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FA01" w14:textId="77777777" w:rsidR="005C5B6C" w:rsidRPr="00053A4C" w:rsidRDefault="00374ADF">
      <w:pPr>
        <w:spacing w:before="240"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sidRPr="00053A4C">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ocho de noviembre de dos mil veintitrés.</w:t>
      </w:r>
    </w:p>
    <w:p w14:paraId="2D57C637" w14:textId="77777777" w:rsidR="005C5B6C" w:rsidRPr="00053A4C" w:rsidRDefault="005C5B6C">
      <w:pPr>
        <w:rPr>
          <w:rFonts w:ascii="Palatino Linotype" w:eastAsia="Palatino Linotype" w:hAnsi="Palatino Linotype" w:cs="Palatino Linotype"/>
        </w:rPr>
      </w:pPr>
    </w:p>
    <w:p w14:paraId="1B5BFB42" w14:textId="77777777" w:rsidR="005C5B6C" w:rsidRPr="00053A4C" w:rsidRDefault="00374ADF">
      <w:pPr>
        <w:spacing w:after="0" w:line="360" w:lineRule="auto"/>
        <w:jc w:val="both"/>
        <w:rPr>
          <w:rFonts w:ascii="Palatino Linotype" w:eastAsia="Palatino Linotype" w:hAnsi="Palatino Linotype" w:cs="Palatino Linotype"/>
          <w:b/>
          <w:sz w:val="24"/>
          <w:szCs w:val="24"/>
        </w:rPr>
      </w:pPr>
      <w:r w:rsidRPr="00053A4C">
        <w:rPr>
          <w:rFonts w:ascii="Palatino Linotype" w:eastAsia="Palatino Linotype" w:hAnsi="Palatino Linotype" w:cs="Palatino Linotype"/>
          <w:b/>
          <w:sz w:val="24"/>
          <w:szCs w:val="24"/>
        </w:rPr>
        <w:t xml:space="preserve">Visto </w:t>
      </w:r>
      <w:r w:rsidRPr="00053A4C">
        <w:rPr>
          <w:rFonts w:ascii="Palatino Linotype" w:eastAsia="Palatino Linotype" w:hAnsi="Palatino Linotype" w:cs="Palatino Linotype"/>
          <w:sz w:val="24"/>
          <w:szCs w:val="24"/>
        </w:rPr>
        <w:t xml:space="preserve">el expediente relativo al recurso de revisión </w:t>
      </w:r>
      <w:r w:rsidRPr="00053A4C">
        <w:rPr>
          <w:rFonts w:ascii="Palatino Linotype" w:eastAsia="Palatino Linotype" w:hAnsi="Palatino Linotype" w:cs="Palatino Linotype"/>
          <w:b/>
          <w:sz w:val="24"/>
          <w:szCs w:val="24"/>
        </w:rPr>
        <w:t>02904/INFOEM/IP/RR/2023</w:t>
      </w:r>
      <w:r w:rsidRPr="00053A4C">
        <w:rPr>
          <w:rFonts w:ascii="Palatino Linotype" w:eastAsia="Palatino Linotype" w:hAnsi="Palatino Linotype" w:cs="Palatino Linotype"/>
          <w:sz w:val="24"/>
          <w:szCs w:val="24"/>
        </w:rPr>
        <w:t xml:space="preserve">, interpuesto por </w:t>
      </w:r>
      <w:r w:rsidRPr="00053A4C">
        <w:rPr>
          <w:rFonts w:ascii="Palatino Linotype" w:eastAsia="Palatino Linotype" w:hAnsi="Palatino Linotype" w:cs="Palatino Linotype"/>
          <w:b/>
          <w:sz w:val="24"/>
          <w:szCs w:val="24"/>
        </w:rPr>
        <w:t>un particular de manera anónima</w:t>
      </w:r>
      <w:r w:rsidRPr="00053A4C">
        <w:rPr>
          <w:rFonts w:ascii="Palatino Linotype" w:eastAsia="Palatino Linotype" w:hAnsi="Palatino Linotype" w:cs="Palatino Linotype"/>
          <w:sz w:val="24"/>
          <w:szCs w:val="24"/>
        </w:rPr>
        <w:t>,</w:t>
      </w:r>
      <w:r w:rsidRPr="00053A4C">
        <w:rPr>
          <w:rFonts w:ascii="Palatino Linotype" w:eastAsia="Palatino Linotype" w:hAnsi="Palatino Linotype" w:cs="Palatino Linotype"/>
          <w:b/>
          <w:sz w:val="24"/>
          <w:szCs w:val="24"/>
        </w:rPr>
        <w:t xml:space="preserve"> </w:t>
      </w:r>
      <w:r w:rsidRPr="00053A4C">
        <w:rPr>
          <w:rFonts w:ascii="Palatino Linotype" w:eastAsia="Palatino Linotype" w:hAnsi="Palatino Linotype" w:cs="Palatino Linotype"/>
          <w:sz w:val="24"/>
          <w:szCs w:val="24"/>
        </w:rPr>
        <w:t xml:space="preserve">a quien en lo sucesivo se le denominará </w:t>
      </w:r>
      <w:r w:rsidRPr="00053A4C">
        <w:rPr>
          <w:rFonts w:ascii="Palatino Linotype" w:eastAsia="Palatino Linotype" w:hAnsi="Palatino Linotype" w:cs="Palatino Linotype"/>
          <w:b/>
          <w:sz w:val="24"/>
          <w:szCs w:val="24"/>
        </w:rPr>
        <w:t>LA PARTE RECURRENTE</w:t>
      </w:r>
      <w:r w:rsidRPr="00053A4C">
        <w:rPr>
          <w:rFonts w:ascii="Palatino Linotype" w:eastAsia="Palatino Linotype" w:hAnsi="Palatino Linotype" w:cs="Palatino Linotype"/>
          <w:sz w:val="24"/>
          <w:szCs w:val="24"/>
        </w:rPr>
        <w:t xml:space="preserve">, en contra de la respuesta a la solicitud de información con número de folio </w:t>
      </w:r>
      <w:r w:rsidRPr="00053A4C">
        <w:rPr>
          <w:rFonts w:ascii="Palatino Linotype" w:eastAsia="Palatino Linotype" w:hAnsi="Palatino Linotype" w:cs="Palatino Linotype"/>
          <w:b/>
          <w:sz w:val="24"/>
          <w:szCs w:val="24"/>
        </w:rPr>
        <w:t>00217/SMOV/IP/2023</w:t>
      </w:r>
      <w:r w:rsidRPr="00053A4C">
        <w:rPr>
          <w:rFonts w:ascii="Palatino Linotype" w:eastAsia="Palatino Linotype" w:hAnsi="Palatino Linotype" w:cs="Palatino Linotype"/>
          <w:sz w:val="24"/>
          <w:szCs w:val="24"/>
        </w:rPr>
        <w:t xml:space="preserve">, por parte de la </w:t>
      </w:r>
      <w:r w:rsidRPr="00053A4C">
        <w:rPr>
          <w:rFonts w:ascii="Palatino Linotype" w:eastAsia="Palatino Linotype" w:hAnsi="Palatino Linotype" w:cs="Palatino Linotype"/>
          <w:b/>
          <w:sz w:val="24"/>
          <w:szCs w:val="24"/>
        </w:rPr>
        <w:t>Secretaría de Movilidad</w:t>
      </w:r>
      <w:r w:rsidRPr="00053A4C">
        <w:rPr>
          <w:rFonts w:ascii="Palatino Linotype" w:eastAsia="Palatino Linotype" w:hAnsi="Palatino Linotype" w:cs="Palatino Linotype"/>
          <w:sz w:val="24"/>
          <w:szCs w:val="24"/>
        </w:rPr>
        <w:t xml:space="preserve">, en lo sucesivo </w:t>
      </w:r>
      <w:r w:rsidRPr="00053A4C">
        <w:rPr>
          <w:rFonts w:ascii="Palatino Linotype" w:eastAsia="Palatino Linotype" w:hAnsi="Palatino Linotype" w:cs="Palatino Linotype"/>
          <w:b/>
          <w:sz w:val="24"/>
          <w:szCs w:val="24"/>
        </w:rPr>
        <w:t>EL</w:t>
      </w: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b/>
          <w:sz w:val="24"/>
          <w:szCs w:val="24"/>
        </w:rPr>
        <w:t xml:space="preserve">SUJETO OBLIGADO; </w:t>
      </w:r>
      <w:r w:rsidRPr="00053A4C">
        <w:rPr>
          <w:rFonts w:ascii="Palatino Linotype" w:eastAsia="Palatino Linotype" w:hAnsi="Palatino Linotype" w:cs="Palatino Linotype"/>
          <w:sz w:val="24"/>
          <w:szCs w:val="24"/>
        </w:rPr>
        <w:t>se procede a dictar la presente resolución, con base en lo siguiente.</w:t>
      </w:r>
    </w:p>
    <w:p w14:paraId="32C2CD32" w14:textId="77777777" w:rsidR="005C5B6C" w:rsidRPr="00053A4C" w:rsidRDefault="005C5B6C"/>
    <w:p w14:paraId="7646D62C" w14:textId="77777777" w:rsidR="005C5B6C" w:rsidRPr="00053A4C" w:rsidRDefault="00374ADF">
      <w:pPr>
        <w:spacing w:after="0" w:line="360" w:lineRule="auto"/>
        <w:jc w:val="center"/>
        <w:rPr>
          <w:rFonts w:ascii="Palatino Linotype" w:eastAsia="Palatino Linotype" w:hAnsi="Palatino Linotype" w:cs="Palatino Linotype"/>
          <w:b/>
          <w:sz w:val="24"/>
          <w:szCs w:val="24"/>
        </w:rPr>
      </w:pPr>
      <w:r w:rsidRPr="00053A4C">
        <w:rPr>
          <w:rFonts w:ascii="Palatino Linotype" w:eastAsia="Palatino Linotype" w:hAnsi="Palatino Linotype" w:cs="Palatino Linotype"/>
          <w:b/>
          <w:sz w:val="24"/>
          <w:szCs w:val="24"/>
        </w:rPr>
        <w:t xml:space="preserve">A N T E C E D E N T E S </w:t>
      </w:r>
    </w:p>
    <w:p w14:paraId="16933C1D"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975EE31" w14:textId="77777777" w:rsidR="005C5B6C" w:rsidRPr="00053A4C" w:rsidRDefault="00374ADF">
      <w:pP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1.</w:t>
      </w: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b/>
          <w:sz w:val="24"/>
          <w:szCs w:val="24"/>
        </w:rPr>
        <w:t xml:space="preserve">SOLICITUD DE INFORMACIÓN. </w:t>
      </w:r>
      <w:r w:rsidRPr="00053A4C">
        <w:rPr>
          <w:rFonts w:ascii="Palatino Linotype" w:eastAsia="Palatino Linotype" w:hAnsi="Palatino Linotype" w:cs="Palatino Linotype"/>
          <w:sz w:val="24"/>
          <w:szCs w:val="24"/>
        </w:rPr>
        <w:t xml:space="preserve">Con fecha dieciocho de abril de dos mil veintitrés, </w:t>
      </w:r>
      <w:r w:rsidRPr="00053A4C">
        <w:rPr>
          <w:rFonts w:ascii="Palatino Linotype" w:eastAsia="Palatino Linotype" w:hAnsi="Palatino Linotype" w:cs="Palatino Linotype"/>
          <w:b/>
          <w:sz w:val="24"/>
          <w:szCs w:val="24"/>
        </w:rPr>
        <w:t>LA PARTE RECURRENTE</w:t>
      </w:r>
      <w:r w:rsidRPr="00053A4C">
        <w:rPr>
          <w:rFonts w:ascii="Palatino Linotype" w:eastAsia="Palatino Linotype" w:hAnsi="Palatino Linotype" w:cs="Palatino Linotype"/>
          <w:sz w:val="24"/>
          <w:szCs w:val="24"/>
        </w:rPr>
        <w:t>, presentó a través del Sistema de Acceso a la Información Mexiquense (</w:t>
      </w:r>
      <w:r w:rsidRPr="00053A4C">
        <w:rPr>
          <w:rFonts w:ascii="Palatino Linotype" w:eastAsia="Palatino Linotype" w:hAnsi="Palatino Linotype" w:cs="Palatino Linotype"/>
          <w:b/>
          <w:sz w:val="24"/>
          <w:szCs w:val="24"/>
        </w:rPr>
        <w:t>SAIMEX)</w:t>
      </w:r>
      <w:r w:rsidRPr="00053A4C">
        <w:rPr>
          <w:rFonts w:ascii="Palatino Linotype" w:eastAsia="Palatino Linotype" w:hAnsi="Palatino Linotype" w:cs="Palatino Linotype"/>
          <w:sz w:val="24"/>
          <w:szCs w:val="24"/>
        </w:rPr>
        <w:t xml:space="preserve"> ante </w:t>
      </w:r>
      <w:r w:rsidRPr="00053A4C">
        <w:rPr>
          <w:rFonts w:ascii="Palatino Linotype" w:eastAsia="Palatino Linotype" w:hAnsi="Palatino Linotype" w:cs="Palatino Linotype"/>
          <w:b/>
          <w:sz w:val="24"/>
          <w:szCs w:val="24"/>
        </w:rPr>
        <w:t>EL SUJETO OBLIGADO</w:t>
      </w:r>
      <w:r w:rsidRPr="00053A4C">
        <w:rPr>
          <w:rFonts w:ascii="Palatino Linotype" w:eastAsia="Palatino Linotype" w:hAnsi="Palatino Linotype" w:cs="Palatino Linotype"/>
          <w:sz w:val="24"/>
          <w:szCs w:val="24"/>
        </w:rPr>
        <w:t>, solicitud de acceso a la información pública, registrada bajo el número de expediente</w:t>
      </w:r>
      <w:r w:rsidRPr="00053A4C">
        <w:rPr>
          <w:rFonts w:ascii="Palatino Linotype" w:eastAsia="Palatino Linotype" w:hAnsi="Palatino Linotype" w:cs="Palatino Linotype"/>
          <w:b/>
        </w:rPr>
        <w:t> </w:t>
      </w:r>
      <w:r w:rsidRPr="00053A4C">
        <w:rPr>
          <w:rFonts w:ascii="Palatino Linotype" w:eastAsia="Palatino Linotype" w:hAnsi="Palatino Linotype" w:cs="Palatino Linotype"/>
          <w:b/>
          <w:sz w:val="24"/>
          <w:szCs w:val="24"/>
        </w:rPr>
        <w:t>00217/SMOV/IP/2023</w:t>
      </w:r>
      <w:r w:rsidRPr="00053A4C">
        <w:rPr>
          <w:rFonts w:ascii="Palatino Linotype" w:eastAsia="Palatino Linotype" w:hAnsi="Palatino Linotype" w:cs="Palatino Linotype"/>
          <w:sz w:val="24"/>
          <w:szCs w:val="24"/>
        </w:rPr>
        <w:t>,</w:t>
      </w:r>
      <w:r w:rsidRPr="00053A4C">
        <w:rPr>
          <w:rFonts w:ascii="Palatino Linotype" w:eastAsia="Palatino Linotype" w:hAnsi="Palatino Linotype" w:cs="Palatino Linotype"/>
          <w:b/>
          <w:sz w:val="24"/>
          <w:szCs w:val="24"/>
        </w:rPr>
        <w:t xml:space="preserve"> </w:t>
      </w:r>
      <w:r w:rsidRPr="00053A4C">
        <w:rPr>
          <w:rFonts w:ascii="Palatino Linotype" w:eastAsia="Palatino Linotype" w:hAnsi="Palatino Linotype" w:cs="Palatino Linotype"/>
          <w:sz w:val="24"/>
          <w:szCs w:val="24"/>
        </w:rPr>
        <w:t>mediante la cual solicitó la siguiente información:</w:t>
      </w:r>
    </w:p>
    <w:p w14:paraId="2C3F967C" w14:textId="77777777" w:rsidR="005C5B6C" w:rsidRPr="00053A4C" w:rsidRDefault="005C5B6C">
      <w:pPr>
        <w:spacing w:after="0" w:line="360" w:lineRule="auto"/>
        <w:ind w:right="49"/>
        <w:jc w:val="both"/>
        <w:rPr>
          <w:rFonts w:ascii="Palatino Linotype" w:eastAsia="Palatino Linotype" w:hAnsi="Palatino Linotype" w:cs="Palatino Linotype"/>
          <w:sz w:val="24"/>
          <w:szCs w:val="24"/>
        </w:rPr>
      </w:pPr>
    </w:p>
    <w:p w14:paraId="1E7CCDDE" w14:textId="77777777" w:rsidR="005C5B6C" w:rsidRPr="00053A4C" w:rsidRDefault="00374ADF">
      <w:pPr>
        <w:spacing w:after="0" w:line="276" w:lineRule="auto"/>
        <w:ind w:left="709" w:right="758"/>
        <w:jc w:val="both"/>
        <w:rPr>
          <w:rFonts w:ascii="Palatino Linotype" w:eastAsia="Palatino Linotype" w:hAnsi="Palatino Linotype" w:cs="Palatino Linotype"/>
          <w:i/>
        </w:rPr>
      </w:pPr>
      <w:r w:rsidRPr="00053A4C">
        <w:rPr>
          <w:rFonts w:ascii="Palatino Linotype" w:eastAsia="Palatino Linotype" w:hAnsi="Palatino Linotype" w:cs="Palatino Linotype"/>
          <w:i/>
        </w:rPr>
        <w:t xml:space="preserve">“Solicito la revisión del carril reversible ubicado en la Avenida Mario Colín en el municipio de Tlanepantla del Estado de México que si bien fue planeado para disminuir los tiempos de traslado que se ven perjudicados los trabajadores, </w:t>
      </w:r>
      <w:r w:rsidRPr="00053A4C">
        <w:rPr>
          <w:rFonts w:ascii="Palatino Linotype" w:eastAsia="Palatino Linotype" w:hAnsi="Palatino Linotype" w:cs="Palatino Linotype"/>
          <w:i/>
        </w:rPr>
        <w:lastRenderedPageBreak/>
        <w:t>estudiantes y demás personas que utilizan dicha avenida para llegar a sus destinos, ocasionando un embotellamiento vehicular pues en las mañanas en horas pico llegan a transitar hasta 4 mil 600 coches por ahí. Dirijo esta solicitud a Marco Antonio Rodríguez Hurtado (Presidente Municipal de Tlanepantla), Rafael Díaz Leal Barrueta (Secretario - Secretaría de Desarrollo Urbano y Obra del Estado de México), Raymundo Edgar Martínez Carbajal (Secretario de Movilidad), y a José Martínez Vilchis (Comisionado Presidente del Instituto de Transparencia y Acceso a la Información Pública del Estado de México y Municipios), para conocer si la implementación de dicho carril realmente ha ayudado al flujo de automóviles y que tan viable sería la mejor planeación de la coordinación de los semáforos que se encuentran dentro de la Avenida Mario Colín.” (Sic).</w:t>
      </w:r>
    </w:p>
    <w:p w14:paraId="34F287AE" w14:textId="77777777" w:rsidR="005C5B6C" w:rsidRPr="00053A4C" w:rsidRDefault="005C5B6C">
      <w:pPr>
        <w:spacing w:after="0" w:line="276" w:lineRule="auto"/>
        <w:ind w:left="709" w:right="758"/>
        <w:jc w:val="both"/>
        <w:rPr>
          <w:rFonts w:ascii="Palatino Linotype" w:eastAsia="Palatino Linotype" w:hAnsi="Palatino Linotype" w:cs="Palatino Linotype"/>
          <w:i/>
        </w:rPr>
      </w:pPr>
    </w:p>
    <w:p w14:paraId="574BE35E" w14:textId="77777777" w:rsidR="005C5B6C" w:rsidRPr="00053A4C" w:rsidRDefault="00374ADF">
      <w:pP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Modalidad de entrega: A través del </w:t>
      </w:r>
      <w:r w:rsidRPr="00053A4C">
        <w:rPr>
          <w:rFonts w:ascii="Palatino Linotype" w:eastAsia="Palatino Linotype" w:hAnsi="Palatino Linotype" w:cs="Palatino Linotype"/>
          <w:b/>
          <w:sz w:val="24"/>
          <w:szCs w:val="24"/>
        </w:rPr>
        <w:t>SAIMEX</w:t>
      </w:r>
      <w:r w:rsidRPr="00053A4C">
        <w:rPr>
          <w:rFonts w:ascii="Palatino Linotype" w:eastAsia="Palatino Linotype" w:hAnsi="Palatino Linotype" w:cs="Palatino Linotype"/>
          <w:sz w:val="24"/>
          <w:szCs w:val="24"/>
        </w:rPr>
        <w:t>.</w:t>
      </w:r>
    </w:p>
    <w:p w14:paraId="155E8017" w14:textId="77777777" w:rsidR="005C5B6C" w:rsidRPr="00053A4C" w:rsidRDefault="005C5B6C">
      <w:pPr>
        <w:rPr>
          <w:rFonts w:ascii="Palatino Linotype" w:eastAsia="Palatino Linotype" w:hAnsi="Palatino Linotype" w:cs="Palatino Linotype"/>
          <w:sz w:val="24"/>
          <w:szCs w:val="24"/>
        </w:rPr>
      </w:pPr>
    </w:p>
    <w:p w14:paraId="6564BE42" w14:textId="77777777" w:rsidR="005C5B6C" w:rsidRPr="00053A4C" w:rsidRDefault="00374ADF">
      <w:pPr>
        <w:spacing w:after="0" w:line="360" w:lineRule="auto"/>
        <w:jc w:val="both"/>
        <w:rPr>
          <w:rFonts w:ascii="Palatino Linotype" w:eastAsia="Palatino Linotype" w:hAnsi="Palatino Linotype" w:cs="Palatino Linotype"/>
        </w:rPr>
      </w:pPr>
      <w:r w:rsidRPr="00053A4C">
        <w:rPr>
          <w:rFonts w:ascii="Palatino Linotype" w:eastAsia="Palatino Linotype" w:hAnsi="Palatino Linotype" w:cs="Palatino Linotype"/>
          <w:b/>
          <w:sz w:val="24"/>
          <w:szCs w:val="24"/>
        </w:rPr>
        <w:t xml:space="preserve">2. RESPUESTA.  </w:t>
      </w:r>
      <w:r w:rsidRPr="00053A4C">
        <w:rPr>
          <w:rFonts w:ascii="Palatino Linotype" w:eastAsia="Palatino Linotype" w:hAnsi="Palatino Linotype" w:cs="Palatino Linotype"/>
          <w:sz w:val="24"/>
          <w:szCs w:val="24"/>
        </w:rPr>
        <w:t xml:space="preserve">Con fecha tres de mayo del dos mil veintitrés, </w:t>
      </w:r>
      <w:r w:rsidRPr="00053A4C">
        <w:rPr>
          <w:rFonts w:ascii="Palatino Linotype" w:eastAsia="Palatino Linotype" w:hAnsi="Palatino Linotype" w:cs="Palatino Linotype"/>
          <w:b/>
          <w:sz w:val="24"/>
          <w:szCs w:val="24"/>
        </w:rPr>
        <w:t>EL SUJETO OBLIGADO</w:t>
      </w:r>
      <w:r w:rsidRPr="00053A4C">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053A4C">
        <w:rPr>
          <w:rFonts w:ascii="Palatino Linotype" w:eastAsia="Palatino Linotype" w:hAnsi="Palatino Linotype" w:cs="Palatino Linotype"/>
        </w:rPr>
        <w:t xml:space="preserve"> </w:t>
      </w:r>
    </w:p>
    <w:p w14:paraId="64E3C3E3" w14:textId="77777777" w:rsidR="005C5B6C" w:rsidRPr="00053A4C" w:rsidRDefault="005C5B6C">
      <w:pPr>
        <w:spacing w:after="0" w:line="360" w:lineRule="auto"/>
        <w:jc w:val="both"/>
        <w:rPr>
          <w:rFonts w:ascii="Palatino Linotype" w:eastAsia="Palatino Linotype" w:hAnsi="Palatino Linotype" w:cs="Palatino Linotype"/>
        </w:rPr>
      </w:pPr>
    </w:p>
    <w:p w14:paraId="10DEDA79" w14:textId="77777777" w:rsidR="005C5B6C" w:rsidRPr="00053A4C" w:rsidRDefault="00374ADF">
      <w:pPr>
        <w:spacing w:after="0" w:line="276" w:lineRule="auto"/>
        <w:ind w:left="851" w:right="900"/>
        <w:jc w:val="both"/>
        <w:rPr>
          <w:rFonts w:ascii="Palatino Linotype" w:eastAsia="Palatino Linotype" w:hAnsi="Palatino Linotype" w:cs="Palatino Linotype"/>
          <w:i/>
        </w:rPr>
      </w:pPr>
      <w:r w:rsidRPr="00053A4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7002DD" w14:textId="77777777" w:rsidR="005C5B6C" w:rsidRPr="00053A4C" w:rsidRDefault="00374ADF">
      <w:pPr>
        <w:spacing w:after="0" w:line="276" w:lineRule="auto"/>
        <w:ind w:left="851" w:right="900"/>
        <w:jc w:val="both"/>
        <w:rPr>
          <w:rFonts w:ascii="Palatino Linotype" w:eastAsia="Palatino Linotype" w:hAnsi="Palatino Linotype" w:cs="Palatino Linotype"/>
          <w:i/>
        </w:rPr>
      </w:pPr>
      <w:r w:rsidRPr="00053A4C">
        <w:rPr>
          <w:rFonts w:ascii="Palatino Linotype" w:eastAsia="Palatino Linotype" w:hAnsi="Palatino Linotype" w:cs="Palatino Linotype"/>
          <w:i/>
        </w:rPr>
        <w:t>Se anexa respuesta</w:t>
      </w:r>
    </w:p>
    <w:p w14:paraId="742AA6E2" w14:textId="77777777" w:rsidR="005C5B6C" w:rsidRPr="00053A4C" w:rsidRDefault="00374ADF">
      <w:pPr>
        <w:spacing w:after="0" w:line="276" w:lineRule="auto"/>
        <w:ind w:left="851" w:right="900"/>
        <w:jc w:val="both"/>
        <w:rPr>
          <w:rFonts w:ascii="Palatino Linotype" w:eastAsia="Palatino Linotype" w:hAnsi="Palatino Linotype" w:cs="Palatino Linotype"/>
          <w:i/>
        </w:rPr>
      </w:pPr>
      <w:r w:rsidRPr="00053A4C">
        <w:rPr>
          <w:rFonts w:ascii="Palatino Linotype" w:eastAsia="Palatino Linotype" w:hAnsi="Palatino Linotype" w:cs="Palatino Linotype"/>
          <w:i/>
        </w:rPr>
        <w:t>ATENTAMENTE</w:t>
      </w:r>
    </w:p>
    <w:p w14:paraId="23511AB3" w14:textId="77777777" w:rsidR="005C5B6C" w:rsidRPr="00053A4C" w:rsidRDefault="00374ADF">
      <w:pPr>
        <w:spacing w:after="0" w:line="276" w:lineRule="auto"/>
        <w:ind w:left="851" w:right="900"/>
        <w:jc w:val="both"/>
        <w:rPr>
          <w:rFonts w:ascii="Palatino Linotype" w:eastAsia="Palatino Linotype" w:hAnsi="Palatino Linotype" w:cs="Palatino Linotype"/>
          <w:i/>
        </w:rPr>
      </w:pPr>
      <w:r w:rsidRPr="00053A4C">
        <w:rPr>
          <w:rFonts w:ascii="Palatino Linotype" w:eastAsia="Palatino Linotype" w:hAnsi="Palatino Linotype" w:cs="Palatino Linotype"/>
          <w:i/>
        </w:rPr>
        <w:t>Lic. Luis Gustavo Mondragón Duarte”</w:t>
      </w:r>
    </w:p>
    <w:p w14:paraId="7979FC65" w14:textId="77777777" w:rsidR="005C5B6C" w:rsidRPr="00053A4C" w:rsidRDefault="005C5B6C">
      <w:pPr>
        <w:rPr>
          <w:rFonts w:ascii="Palatino Linotype" w:eastAsia="Palatino Linotype" w:hAnsi="Palatino Linotype" w:cs="Palatino Linotype"/>
        </w:rPr>
      </w:pPr>
    </w:p>
    <w:p w14:paraId="57D4B7CF"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 xml:space="preserve">EL SUJETO OBLIGADO </w:t>
      </w:r>
      <w:r w:rsidRPr="00053A4C">
        <w:rPr>
          <w:rFonts w:ascii="Palatino Linotype" w:eastAsia="Palatino Linotype" w:hAnsi="Palatino Linotype" w:cs="Palatino Linotype"/>
          <w:sz w:val="24"/>
          <w:szCs w:val="24"/>
        </w:rPr>
        <w:t xml:space="preserve">adjuntó el archivo electrónico: </w:t>
      </w:r>
    </w:p>
    <w:p w14:paraId="169C69A0"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098CE869"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lastRenderedPageBreak/>
        <w:t>“</w:t>
      </w:r>
      <w:r w:rsidRPr="00053A4C">
        <w:rPr>
          <w:rFonts w:ascii="Palatino Linotype" w:eastAsia="Palatino Linotype" w:hAnsi="Palatino Linotype" w:cs="Palatino Linotype"/>
          <w:b/>
          <w:i/>
          <w:sz w:val="24"/>
          <w:szCs w:val="24"/>
          <w:u w:val="single"/>
        </w:rPr>
        <w:t>Respuesta Solicitud 00217.pdf</w:t>
      </w:r>
      <w:r w:rsidRPr="00053A4C">
        <w:rPr>
          <w:rFonts w:ascii="Palatino Linotype" w:eastAsia="Palatino Linotype" w:hAnsi="Palatino Linotype" w:cs="Palatino Linotype"/>
          <w:sz w:val="24"/>
          <w:szCs w:val="24"/>
        </w:rPr>
        <w:t>”: Oficio de fecha tres de mayo de dos mil veintitrés, signado por el Titular de la Unidad de Transparencia, mediante el cual menciona los pronunciamientos de las siguientes unidades administrativas:</w:t>
      </w:r>
    </w:p>
    <w:p w14:paraId="7DBCA9FB"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9D1F7F8"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Subsecretaria de Movilidad: En se sentido, sí bien es cierto que el Mtro. Carlos </w:t>
      </w:r>
      <w:proofErr w:type="spellStart"/>
      <w:r w:rsidRPr="00053A4C">
        <w:rPr>
          <w:rFonts w:ascii="Palatino Linotype" w:eastAsia="Palatino Linotype" w:hAnsi="Palatino Linotype" w:cs="Palatino Linotype"/>
          <w:sz w:val="24"/>
          <w:szCs w:val="24"/>
        </w:rPr>
        <w:t>Preza</w:t>
      </w:r>
      <w:proofErr w:type="spellEnd"/>
      <w:r w:rsidRPr="00053A4C">
        <w:rPr>
          <w:rFonts w:ascii="Palatino Linotype" w:eastAsia="Palatino Linotype" w:hAnsi="Palatino Linotype" w:cs="Palatino Linotype"/>
          <w:sz w:val="24"/>
          <w:szCs w:val="24"/>
        </w:rPr>
        <w:t xml:space="preserve"> Millán, Subsecretario de Movilidad asistió al inicio de los trabajos para la operación del Sistema Carril Reversible, es exclusivamente porque en su momento tenía el cargo de Comisionado Regional por parte del Gobierno del Estado de México, en la Región V, la cual incluía los municipios de Atizapán de Zaragoza, Nicolás Romero y Cuautitlán Izcalli; sin embargo, únicamente asistió como invitado, por lo que esta Unidad Administrativa nunca ha tenido competencia sobre el Road Zipper, ya que dicha maquinaria pertenece a una autoridad diversa a la Subsecretaria de Movilidad, por lo que la información relacionada al uno de esta, no es atribución nuestra, existiendo un impedimento legal y material para poder atender la solicitud.</w:t>
      </w:r>
    </w:p>
    <w:p w14:paraId="1722D39E"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E1D04CE"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Dirección General de Vialidad: Me permito informarle que dicha solicitud NO corresponde a esta Dirección General de Vialidad, derivado de las mismas versan sobre el Carril reversible en el municipio de Tlalnepantla de Baz. </w:t>
      </w:r>
    </w:p>
    <w:p w14:paraId="2A4E135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1049263C"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Sistema de Autopistas, Aeropuertos, Servicios Conexos y Auxiliares (SAASCAEM)</w:t>
      </w:r>
    </w:p>
    <w:p w14:paraId="614C8AA9"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50705E71"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lastRenderedPageBreak/>
        <w:t>Unidad de Apoyo Administrativo: Me permito hacer de su conocimiento que esta Unidad de Apoyo Administrativo no genera información referente a lo solicitado, motivo por el cual, no se remite documentación.</w:t>
      </w:r>
    </w:p>
    <w:p w14:paraId="01E40838"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Unidad Jurídica y de Igualdad de Género: Le informo que dicha </w:t>
      </w:r>
      <w:proofErr w:type="spellStart"/>
      <w:r w:rsidRPr="00053A4C">
        <w:rPr>
          <w:rFonts w:ascii="Palatino Linotype" w:eastAsia="Palatino Linotype" w:hAnsi="Palatino Linotype" w:cs="Palatino Linotype"/>
          <w:sz w:val="24"/>
          <w:szCs w:val="24"/>
        </w:rPr>
        <w:t>solciitud</w:t>
      </w:r>
      <w:proofErr w:type="spellEnd"/>
      <w:r w:rsidRPr="00053A4C">
        <w:rPr>
          <w:rFonts w:ascii="Palatino Linotype" w:eastAsia="Palatino Linotype" w:hAnsi="Palatino Linotype" w:cs="Palatino Linotype"/>
          <w:sz w:val="24"/>
          <w:szCs w:val="24"/>
        </w:rPr>
        <w:t xml:space="preserve"> No corresponde a este Sujeto Obligado, derivado que la misma versa sobre el Carril reversible en Tlalnepantla de Baz, si bien es cierto, este Organismo únicamente proporciono las maquinas que movilizas las barreras, sin embargo, no participo en los estudios correspondientes para elegir donde iban a ser colocadas y el por qué dichas solicitudes tendrían que ser formuladas directamente al H. Ayuntamiento de Tlalnepantla, ya que a este Sistema no le corresponde contar don dicha información.</w:t>
      </w:r>
    </w:p>
    <w:p w14:paraId="241C06C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623D40EF"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Dirección de Proyectos y Control de Obras: No cuenta con la información solicitada.</w:t>
      </w:r>
    </w:p>
    <w:p w14:paraId="62F10197"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Dirección de Operación: No se cuenta con la información solicitada. </w:t>
      </w:r>
    </w:p>
    <w:p w14:paraId="52D6E5DB"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 </w:t>
      </w:r>
    </w:p>
    <w:p w14:paraId="193CE0E5" w14:textId="77777777" w:rsidR="005C5B6C" w:rsidRPr="00053A4C" w:rsidRDefault="00374ADF">
      <w:pPr>
        <w:spacing w:after="0" w:line="360" w:lineRule="auto"/>
        <w:ind w:right="-234"/>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 xml:space="preserve">3. DEL RECURSO DE REVISIÓN. </w:t>
      </w:r>
      <w:r w:rsidRPr="00053A4C">
        <w:rPr>
          <w:rFonts w:ascii="Palatino Linotype" w:eastAsia="Palatino Linotype" w:hAnsi="Palatino Linotype" w:cs="Palatino Linotype"/>
          <w:sz w:val="24"/>
          <w:szCs w:val="24"/>
        </w:rPr>
        <w:t>Inconforme con la respuesta del</w:t>
      </w:r>
      <w:r w:rsidRPr="00053A4C">
        <w:rPr>
          <w:rFonts w:ascii="Palatino Linotype" w:eastAsia="Palatino Linotype" w:hAnsi="Palatino Linotype" w:cs="Palatino Linotype"/>
          <w:b/>
          <w:sz w:val="24"/>
          <w:szCs w:val="24"/>
        </w:rPr>
        <w:t xml:space="preserve"> SUJETO OBLIGADO, </w:t>
      </w:r>
      <w:r w:rsidRPr="00053A4C">
        <w:rPr>
          <w:rFonts w:ascii="Palatino Linotype" w:eastAsia="Palatino Linotype" w:hAnsi="Palatino Linotype" w:cs="Palatino Linotype"/>
          <w:sz w:val="24"/>
          <w:szCs w:val="24"/>
        </w:rPr>
        <w:t>en fecha veinticuatro de mayo de dos mil veintitrés,</w:t>
      </w:r>
      <w:r w:rsidRPr="00053A4C">
        <w:rPr>
          <w:rFonts w:ascii="Palatino Linotype" w:eastAsia="Palatino Linotype" w:hAnsi="Palatino Linotype" w:cs="Palatino Linotype"/>
          <w:b/>
          <w:sz w:val="24"/>
          <w:szCs w:val="24"/>
        </w:rPr>
        <w:t xml:space="preserve"> LA PARTE RECURRENTE </w:t>
      </w:r>
      <w:r w:rsidRPr="00053A4C">
        <w:rPr>
          <w:rFonts w:ascii="Palatino Linotype" w:eastAsia="Palatino Linotype" w:hAnsi="Palatino Linotype" w:cs="Palatino Linotype"/>
          <w:sz w:val="24"/>
          <w:szCs w:val="24"/>
        </w:rPr>
        <w:t>interpuso el recurso de revisión, el cual fue registrado</w:t>
      </w:r>
      <w:r w:rsidRPr="00053A4C">
        <w:rPr>
          <w:rFonts w:ascii="Palatino Linotype" w:eastAsia="Palatino Linotype" w:hAnsi="Palatino Linotype" w:cs="Palatino Linotype"/>
          <w:b/>
          <w:sz w:val="24"/>
          <w:szCs w:val="24"/>
        </w:rPr>
        <w:t xml:space="preserve"> </w:t>
      </w:r>
      <w:r w:rsidRPr="00053A4C">
        <w:rPr>
          <w:rFonts w:ascii="Palatino Linotype" w:eastAsia="Palatino Linotype" w:hAnsi="Palatino Linotype" w:cs="Palatino Linotype"/>
          <w:sz w:val="24"/>
          <w:szCs w:val="24"/>
        </w:rPr>
        <w:t xml:space="preserve">en el sistema electrónico con el expediente número </w:t>
      </w:r>
      <w:r w:rsidRPr="00053A4C">
        <w:rPr>
          <w:rFonts w:ascii="Palatino Linotype" w:eastAsia="Palatino Linotype" w:hAnsi="Palatino Linotype" w:cs="Palatino Linotype"/>
          <w:b/>
          <w:sz w:val="24"/>
          <w:szCs w:val="24"/>
        </w:rPr>
        <w:t>02094/INFOEM/IP/RR/2023</w:t>
      </w:r>
      <w:r w:rsidRPr="00053A4C">
        <w:rPr>
          <w:rFonts w:ascii="Palatino Linotype" w:eastAsia="Palatino Linotype" w:hAnsi="Palatino Linotype" w:cs="Palatino Linotype"/>
          <w:sz w:val="24"/>
          <w:szCs w:val="24"/>
        </w:rPr>
        <w:t>, en el cual manifiesta, lo siguiente:</w:t>
      </w:r>
    </w:p>
    <w:p w14:paraId="4F8C7EF7" w14:textId="77777777" w:rsidR="005C5B6C" w:rsidRPr="00053A4C" w:rsidRDefault="00374ADF">
      <w:pPr>
        <w:spacing w:after="0" w:line="360" w:lineRule="auto"/>
        <w:ind w:right="-234"/>
        <w:jc w:val="both"/>
        <w:rPr>
          <w:rFonts w:ascii="Palatino Linotype" w:eastAsia="Palatino Linotype" w:hAnsi="Palatino Linotype" w:cs="Palatino Linotype"/>
          <w:b/>
          <w:sz w:val="24"/>
          <w:szCs w:val="24"/>
        </w:rPr>
      </w:pPr>
      <w:r w:rsidRPr="00053A4C">
        <w:rPr>
          <w:rFonts w:ascii="Palatino Linotype" w:eastAsia="Palatino Linotype" w:hAnsi="Palatino Linotype" w:cs="Palatino Linotype"/>
          <w:sz w:val="24"/>
          <w:szCs w:val="24"/>
        </w:rPr>
        <w:t xml:space="preserve"> </w:t>
      </w:r>
    </w:p>
    <w:p w14:paraId="5BEFB866" w14:textId="77777777" w:rsidR="005C5B6C" w:rsidRPr="00053A4C" w:rsidRDefault="00374ADF">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053A4C">
        <w:rPr>
          <w:rFonts w:ascii="Palatino Linotype" w:eastAsia="Palatino Linotype" w:hAnsi="Palatino Linotype" w:cs="Palatino Linotype"/>
          <w:b/>
          <w:i/>
          <w:sz w:val="24"/>
          <w:szCs w:val="24"/>
        </w:rPr>
        <w:t>Acto Impugnado:</w:t>
      </w:r>
    </w:p>
    <w:p w14:paraId="168205C3" w14:textId="77777777" w:rsidR="005C5B6C" w:rsidRPr="00053A4C" w:rsidRDefault="00374ADF">
      <w:pPr>
        <w:tabs>
          <w:tab w:val="left" w:pos="8222"/>
        </w:tabs>
        <w:spacing w:before="240" w:after="240" w:line="276" w:lineRule="auto"/>
        <w:ind w:left="851" w:right="616"/>
        <w:jc w:val="both"/>
        <w:rPr>
          <w:rFonts w:ascii="Palatino Linotype" w:eastAsia="Palatino Linotype" w:hAnsi="Palatino Linotype" w:cs="Palatino Linotype"/>
          <w:i/>
        </w:rPr>
      </w:pPr>
      <w:r w:rsidRPr="00053A4C">
        <w:rPr>
          <w:rFonts w:ascii="Palatino Linotype" w:eastAsia="Palatino Linotype" w:hAnsi="Palatino Linotype" w:cs="Palatino Linotype"/>
          <w:i/>
        </w:rPr>
        <w:t>“Recurso de revisión a la respuesta de la información solicitada” [sic]</w:t>
      </w:r>
    </w:p>
    <w:p w14:paraId="1523C21D" w14:textId="77777777" w:rsidR="005C5B6C" w:rsidRPr="00053A4C" w:rsidRDefault="00374ADF">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053A4C">
        <w:rPr>
          <w:rFonts w:ascii="Palatino Linotype" w:eastAsia="Palatino Linotype" w:hAnsi="Palatino Linotype" w:cs="Palatino Linotype"/>
          <w:b/>
          <w:i/>
          <w:sz w:val="24"/>
          <w:szCs w:val="24"/>
        </w:rPr>
        <w:lastRenderedPageBreak/>
        <w:t>Razones o Motivos de Inconformidad</w:t>
      </w:r>
      <w:r w:rsidRPr="00053A4C">
        <w:rPr>
          <w:rFonts w:ascii="Palatino Linotype" w:eastAsia="Palatino Linotype" w:hAnsi="Palatino Linotype" w:cs="Palatino Linotype"/>
          <w:i/>
          <w:sz w:val="24"/>
          <w:szCs w:val="24"/>
        </w:rPr>
        <w:t>:</w:t>
      </w:r>
    </w:p>
    <w:p w14:paraId="17DA95D3" w14:textId="77777777" w:rsidR="005C5B6C" w:rsidRPr="00053A4C" w:rsidRDefault="00374ADF">
      <w:pPr>
        <w:spacing w:before="240" w:after="0" w:line="276" w:lineRule="auto"/>
        <w:ind w:left="851" w:right="616"/>
        <w:jc w:val="both"/>
        <w:rPr>
          <w:rFonts w:ascii="Palatino Linotype" w:eastAsia="Palatino Linotype" w:hAnsi="Palatino Linotype" w:cs="Palatino Linotype"/>
          <w:i/>
        </w:rPr>
      </w:pPr>
      <w:r w:rsidRPr="00053A4C">
        <w:rPr>
          <w:rFonts w:ascii="Palatino Linotype" w:eastAsia="Palatino Linotype" w:hAnsi="Palatino Linotype" w:cs="Palatino Linotype"/>
          <w:i/>
          <w:sz w:val="24"/>
          <w:szCs w:val="24"/>
        </w:rPr>
        <w:t>“</w:t>
      </w:r>
      <w:r w:rsidRPr="00053A4C">
        <w:rPr>
          <w:rFonts w:ascii="Palatino Linotype" w:eastAsia="Palatino Linotype" w:hAnsi="Palatino Linotype" w:cs="Palatino Linotype"/>
          <w:i/>
        </w:rPr>
        <w:t>La secretaría de movilidad tiene que brindar información de situaciones relacionadas con la MOVILIDAD, no puede ser que no cuenten con la información que como ciudadana inconforme que usa el carril reversible todas las mañanas para llegar a mi lugar de destino de manera eficiente sin poder transitar por tanto flujo y aglomeración en el lugar, me digan que no son competentes de una obra que tuvo que planearse mejor” [sic]</w:t>
      </w:r>
    </w:p>
    <w:p w14:paraId="37B2777A" w14:textId="77777777" w:rsidR="005C5B6C" w:rsidRPr="00053A4C" w:rsidRDefault="005C5B6C">
      <w:pPr>
        <w:spacing w:after="0" w:line="360" w:lineRule="auto"/>
        <w:jc w:val="both"/>
      </w:pPr>
    </w:p>
    <w:p w14:paraId="549E4329"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 xml:space="preserve">4. TURNO. </w:t>
      </w:r>
      <w:r w:rsidRPr="00053A4C">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53A4C">
        <w:rPr>
          <w:rFonts w:ascii="Palatino Linotype" w:eastAsia="Palatino Linotype" w:hAnsi="Palatino Linotype" w:cs="Palatino Linotype"/>
          <w:b/>
          <w:sz w:val="24"/>
          <w:szCs w:val="24"/>
        </w:rPr>
        <w:t xml:space="preserve">Guadalupe Ramírez Peña, </w:t>
      </w:r>
      <w:r w:rsidRPr="00053A4C">
        <w:rPr>
          <w:rFonts w:ascii="Palatino Linotype" w:eastAsia="Palatino Linotype" w:hAnsi="Palatino Linotype" w:cs="Palatino Linotype"/>
          <w:sz w:val="24"/>
          <w:szCs w:val="24"/>
        </w:rPr>
        <w:t xml:space="preserve">a efecto de que analizara sobre su admisión o su </w:t>
      </w:r>
      <w:proofErr w:type="spellStart"/>
      <w:r w:rsidRPr="00053A4C">
        <w:rPr>
          <w:rFonts w:ascii="Palatino Linotype" w:eastAsia="Palatino Linotype" w:hAnsi="Palatino Linotype" w:cs="Palatino Linotype"/>
          <w:sz w:val="24"/>
          <w:szCs w:val="24"/>
        </w:rPr>
        <w:t>desechamiento</w:t>
      </w:r>
      <w:proofErr w:type="spellEnd"/>
      <w:r w:rsidRPr="00053A4C">
        <w:rPr>
          <w:rFonts w:ascii="Palatino Linotype" w:eastAsia="Palatino Linotype" w:hAnsi="Palatino Linotype" w:cs="Palatino Linotype"/>
          <w:sz w:val="24"/>
          <w:szCs w:val="24"/>
        </w:rPr>
        <w:t>.</w:t>
      </w:r>
    </w:p>
    <w:p w14:paraId="56834C71"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06186F02"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5. ADMISIÓN DEL RECURSO DE REVISIÓN.</w:t>
      </w:r>
      <w:r w:rsidRPr="00053A4C">
        <w:rPr>
          <w:rFonts w:ascii="Palatino Linotype" w:eastAsia="Palatino Linotype" w:hAnsi="Palatino Linotype" w:cs="Palatino Linotype"/>
          <w:sz w:val="24"/>
          <w:szCs w:val="24"/>
        </w:rPr>
        <w:t xml:space="preserve"> Con fecha</w:t>
      </w:r>
      <w:r w:rsidRPr="00053A4C">
        <w:rPr>
          <w:rFonts w:ascii="Palatino Linotype" w:eastAsia="Palatino Linotype" w:hAnsi="Palatino Linotype" w:cs="Palatino Linotype"/>
          <w:b/>
          <w:sz w:val="24"/>
          <w:szCs w:val="24"/>
        </w:rPr>
        <w:t xml:space="preserve"> veintinueve de mayo de dos mil veintitrés, </w:t>
      </w:r>
      <w:r w:rsidRPr="00053A4C">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53A4C">
        <w:rPr>
          <w:rFonts w:ascii="Palatino Linotype" w:eastAsia="Palatino Linotype" w:hAnsi="Palatino Linotype" w:cs="Palatino Linotype"/>
          <w:b/>
          <w:sz w:val="24"/>
          <w:szCs w:val="24"/>
        </w:rPr>
        <w:t xml:space="preserve">SUJETO OBLIGADO </w:t>
      </w:r>
      <w:r w:rsidRPr="00053A4C">
        <w:rPr>
          <w:rFonts w:ascii="Palatino Linotype" w:eastAsia="Palatino Linotype" w:hAnsi="Palatino Linotype" w:cs="Palatino Linotype"/>
          <w:sz w:val="24"/>
          <w:szCs w:val="24"/>
        </w:rPr>
        <w:t>presentará su informe justificado.</w:t>
      </w:r>
    </w:p>
    <w:p w14:paraId="72675F0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02B5EF22" w14:textId="77777777" w:rsidR="005C5B6C" w:rsidRPr="00053A4C" w:rsidRDefault="00374ADF">
      <w:pP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lastRenderedPageBreak/>
        <w:t>6. MANIFESTACIONES.</w:t>
      </w:r>
      <w:r w:rsidRPr="00053A4C">
        <w:rPr>
          <w:rFonts w:ascii="Palatino Linotype" w:eastAsia="Palatino Linotype" w:hAnsi="Palatino Linotype" w:cs="Palatino Linotype"/>
          <w:sz w:val="24"/>
          <w:szCs w:val="24"/>
        </w:rPr>
        <w:t xml:space="preserve"> El seis de junio de dos mil veintitrés se recibió, a través del Sistema de Acceso a la Información Mexiquense (SAIMEX), el Informe Justificado del </w:t>
      </w:r>
      <w:r w:rsidRPr="00053A4C">
        <w:rPr>
          <w:rFonts w:ascii="Palatino Linotype" w:eastAsia="Palatino Linotype" w:hAnsi="Palatino Linotype" w:cs="Palatino Linotype"/>
          <w:b/>
          <w:sz w:val="24"/>
          <w:szCs w:val="24"/>
        </w:rPr>
        <w:t>SUJETO OBLIGADO</w:t>
      </w:r>
      <w:r w:rsidRPr="00053A4C">
        <w:rPr>
          <w:rFonts w:ascii="Palatino Linotype" w:eastAsia="Palatino Linotype" w:hAnsi="Palatino Linotype" w:cs="Palatino Linotype"/>
          <w:sz w:val="24"/>
          <w:szCs w:val="24"/>
        </w:rPr>
        <w:t>,</w:t>
      </w:r>
      <w:r w:rsidRPr="00053A4C">
        <w:rPr>
          <w:rFonts w:ascii="Palatino Linotype" w:eastAsia="Palatino Linotype" w:hAnsi="Palatino Linotype" w:cs="Palatino Linotype"/>
          <w:b/>
          <w:sz w:val="24"/>
          <w:szCs w:val="24"/>
        </w:rPr>
        <w:t xml:space="preserve"> </w:t>
      </w:r>
      <w:r w:rsidRPr="00053A4C">
        <w:rPr>
          <w:rFonts w:ascii="Palatino Linotype" w:eastAsia="Palatino Linotype" w:hAnsi="Palatino Linotype" w:cs="Palatino Linotype"/>
          <w:sz w:val="24"/>
          <w:szCs w:val="24"/>
        </w:rPr>
        <w:t xml:space="preserve">a través del siguiente archivo electrónico: </w:t>
      </w:r>
    </w:p>
    <w:p w14:paraId="18A39F6E" w14:textId="77777777" w:rsidR="005C5B6C" w:rsidRPr="00053A4C" w:rsidRDefault="005C5B6C">
      <w:pPr>
        <w:spacing w:after="0" w:line="360" w:lineRule="auto"/>
        <w:ind w:right="49"/>
        <w:jc w:val="both"/>
        <w:rPr>
          <w:rFonts w:ascii="Palatino Linotype" w:eastAsia="Palatino Linotype" w:hAnsi="Palatino Linotype" w:cs="Palatino Linotype"/>
          <w:sz w:val="24"/>
          <w:szCs w:val="24"/>
        </w:rPr>
      </w:pPr>
    </w:p>
    <w:p w14:paraId="5827FBA7"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w:t>
      </w:r>
      <w:r w:rsidRPr="00053A4C">
        <w:rPr>
          <w:rFonts w:ascii="Palatino Linotype" w:eastAsia="Palatino Linotype" w:hAnsi="Palatino Linotype" w:cs="Palatino Linotype"/>
          <w:b/>
          <w:i/>
          <w:sz w:val="24"/>
          <w:szCs w:val="24"/>
          <w:u w:val="single"/>
        </w:rPr>
        <w:t>Informe Justificado RR 02904.pdf</w:t>
      </w:r>
      <w:r w:rsidRPr="00053A4C">
        <w:rPr>
          <w:rFonts w:ascii="Palatino Linotype" w:eastAsia="Palatino Linotype" w:hAnsi="Palatino Linotype" w:cs="Palatino Linotype"/>
          <w:sz w:val="24"/>
          <w:szCs w:val="24"/>
        </w:rPr>
        <w:t xml:space="preserve">”: Oficio de fecha seis de junio de dos mil veintitrés, signado por la Titular de la Unidad de Transparencia, mediante el cual describe las constancias que obran el SAIMEX, señalando que agotó los principios de congruencia y exhaustividad en la búsqueda de la información a la que se desea tener acceso, además de mencionar que no está obligado a proporcionar información que no obre en sus archivos, siendo necesario referir puntualmente que la inexistencia de la información solicitada en el presente asunto implica la acreditación de un hecho negativo, solicitando se confirme su respuesta. </w:t>
      </w:r>
    </w:p>
    <w:p w14:paraId="10EE2B75"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1C05EFAA"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Mismos que se pusieron a la vista de </w:t>
      </w:r>
      <w:r w:rsidRPr="00053A4C">
        <w:rPr>
          <w:rFonts w:ascii="Palatino Linotype" w:eastAsia="Palatino Linotype" w:hAnsi="Palatino Linotype" w:cs="Palatino Linotype"/>
          <w:b/>
          <w:sz w:val="24"/>
          <w:szCs w:val="24"/>
        </w:rPr>
        <w:t xml:space="preserve">LA PARTE RECURRENTE </w:t>
      </w:r>
      <w:r w:rsidRPr="00053A4C">
        <w:rPr>
          <w:rFonts w:ascii="Palatino Linotype" w:eastAsia="Palatino Linotype" w:hAnsi="Palatino Linotype" w:cs="Palatino Linotype"/>
          <w:sz w:val="24"/>
          <w:szCs w:val="24"/>
        </w:rPr>
        <w:t xml:space="preserve">en fecha diecinueve de octubre de dos mil veintitrés, sin que emitiera manifestaciones conforme a derecho le corresponde. </w:t>
      </w:r>
    </w:p>
    <w:p w14:paraId="2AC7FD2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5547F4C5"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7. AMPLIACIÓN DEL TÉRMINO PARA RESOLVER</w:t>
      </w:r>
      <w:r w:rsidRPr="00053A4C">
        <w:rPr>
          <w:rFonts w:ascii="Palatino Linotype" w:eastAsia="Palatino Linotype" w:hAnsi="Palatino Linotype" w:cs="Palatino Linotype"/>
          <w:sz w:val="24"/>
          <w:szCs w:val="24"/>
        </w:rPr>
        <w:t>.</w:t>
      </w:r>
      <w:r w:rsidRPr="00053A4C">
        <w:rPr>
          <w:rFonts w:ascii="Palatino Linotype" w:eastAsia="Palatino Linotype" w:hAnsi="Palatino Linotype" w:cs="Palatino Linotype"/>
        </w:rPr>
        <w:t xml:space="preserve"> </w:t>
      </w:r>
      <w:r w:rsidRPr="00053A4C">
        <w:rPr>
          <w:rFonts w:ascii="Palatino Linotype" w:eastAsia="Palatino Linotype" w:hAnsi="Palatino Linotype" w:cs="Palatino Linotype"/>
          <w:sz w:val="24"/>
          <w:szCs w:val="24"/>
        </w:rPr>
        <w:t xml:space="preserve">El treinta y uno de octubre de dos mil veintitrés, se amplió el término para resolver el recurso de revisión en términos del artículo 181 párrafo tercero de la Ley de Transparencia y Acceso a la Información Pública del Estado de México y Municipios. </w:t>
      </w:r>
    </w:p>
    <w:p w14:paraId="44861277" w14:textId="77777777" w:rsidR="005C5B6C" w:rsidRPr="00053A4C" w:rsidRDefault="005C5B6C">
      <w:pPr>
        <w:spacing w:after="0" w:line="360" w:lineRule="auto"/>
        <w:jc w:val="both"/>
      </w:pPr>
    </w:p>
    <w:p w14:paraId="667F4475"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B72258E"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5178564"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26507C6"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8E8047B"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00BC74"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1F4A527C"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053A4C">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014B1633"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89F4A04"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1E74AB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12AAD9E" w14:textId="77777777" w:rsidR="005C5B6C" w:rsidRPr="00053A4C" w:rsidRDefault="00374ADF">
      <w:pPr>
        <w:numPr>
          <w:ilvl w:val="0"/>
          <w:numId w:val="2"/>
        </w:num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D535D64" w14:textId="77777777" w:rsidR="005C5B6C" w:rsidRPr="00053A4C" w:rsidRDefault="00374ADF">
      <w:pPr>
        <w:numPr>
          <w:ilvl w:val="0"/>
          <w:numId w:val="2"/>
        </w:num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Actividad Procesal del interesado. Acciones u omisiones del interesado.</w:t>
      </w:r>
    </w:p>
    <w:p w14:paraId="12329AC0"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A676DEC" w14:textId="77777777" w:rsidR="005C5B6C" w:rsidRPr="00053A4C" w:rsidRDefault="00374ADF">
      <w:pPr>
        <w:numPr>
          <w:ilvl w:val="0"/>
          <w:numId w:val="2"/>
        </w:num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CF0DD17" w14:textId="77777777" w:rsidR="005C5B6C" w:rsidRPr="00053A4C" w:rsidRDefault="005C5B6C">
      <w:pPr>
        <w:spacing w:after="0" w:line="360" w:lineRule="auto"/>
        <w:ind w:left="708"/>
        <w:rPr>
          <w:rFonts w:ascii="Palatino Linotype" w:eastAsia="Palatino Linotype" w:hAnsi="Palatino Linotype" w:cs="Palatino Linotype"/>
          <w:sz w:val="24"/>
          <w:szCs w:val="24"/>
        </w:rPr>
      </w:pPr>
    </w:p>
    <w:p w14:paraId="2F5E737A" w14:textId="77777777" w:rsidR="005C5B6C" w:rsidRPr="00053A4C" w:rsidRDefault="00374ADF">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5580EB08" w14:textId="77777777" w:rsidR="005C5B6C" w:rsidRPr="00053A4C" w:rsidRDefault="005C5B6C">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4DC57855"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53A4C">
        <w:rPr>
          <w:rFonts w:ascii="Palatino Linotype" w:eastAsia="Palatino Linotype" w:hAnsi="Palatino Linotype" w:cs="Palatino Linotype"/>
          <w:sz w:val="24"/>
          <w:szCs w:val="24"/>
        </w:rPr>
        <w:lastRenderedPageBreak/>
        <w:t>relación con la actuación del funcionario, como ha acontecido en el caso que nos ocupa.</w:t>
      </w:r>
    </w:p>
    <w:p w14:paraId="2BA63A55"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318A679" w14:textId="77777777" w:rsidR="005C5B6C" w:rsidRPr="00053A4C" w:rsidRDefault="00374ADF">
      <w:pPr>
        <w:spacing w:after="0" w:line="360" w:lineRule="auto"/>
        <w:jc w:val="both"/>
        <w:rPr>
          <w:rFonts w:ascii="Palatino Linotype" w:eastAsia="Palatino Linotype" w:hAnsi="Palatino Linotype" w:cs="Palatino Linotype"/>
          <w:b/>
          <w:sz w:val="24"/>
          <w:szCs w:val="24"/>
        </w:rPr>
      </w:pPr>
      <w:r w:rsidRPr="00053A4C">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053A4C">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053A4C">
        <w:rPr>
          <w:rFonts w:ascii="Palatino Linotype" w:eastAsia="Palatino Linotype" w:hAnsi="Palatino Linotype" w:cs="Palatino Linotype"/>
          <w:sz w:val="24"/>
          <w:szCs w:val="24"/>
        </w:rPr>
        <w:t>, visible en la Gaceta del Seminario Judicial de la Federación con el registro digital 205635.</w:t>
      </w:r>
    </w:p>
    <w:p w14:paraId="03B73066"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5C874A0"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2EE11D"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1F7ED7D9"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02B7027"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7D7A7D94"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i/>
          <w:sz w:val="24"/>
          <w:szCs w:val="24"/>
        </w:rPr>
        <w:t>“PLAZO RAZONABLE PARA RESOLVER. DIMENSIÓN Y EFECTOS DE ESTE CONCEPTO CUANDO SE ADUCE EXCESIVA CARGA DE TRABAJO.”</w:t>
      </w:r>
      <w:r w:rsidRPr="00053A4C">
        <w:rPr>
          <w:rFonts w:ascii="Palatino Linotype" w:eastAsia="Palatino Linotype" w:hAnsi="Palatino Linotype" w:cs="Palatino Linotype"/>
          <w:sz w:val="24"/>
          <w:szCs w:val="24"/>
        </w:rPr>
        <w:t xml:space="preserve"> consultable en el Seminario Judicial de la Federación y su gaceta, con el registro digital 2002351.</w:t>
      </w:r>
    </w:p>
    <w:p w14:paraId="5F3088CE" w14:textId="77777777" w:rsidR="005C5B6C" w:rsidRPr="00053A4C" w:rsidRDefault="005C5B6C">
      <w:pPr>
        <w:spacing w:after="0" w:line="360" w:lineRule="auto"/>
        <w:jc w:val="both"/>
        <w:rPr>
          <w:rFonts w:ascii="Palatino Linotype" w:eastAsia="Palatino Linotype" w:hAnsi="Palatino Linotype" w:cs="Palatino Linotype"/>
          <w:b/>
          <w:sz w:val="24"/>
          <w:szCs w:val="24"/>
        </w:rPr>
      </w:pPr>
    </w:p>
    <w:p w14:paraId="63FD325B"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053A4C">
        <w:rPr>
          <w:rFonts w:ascii="Palatino Linotype" w:eastAsia="Palatino Linotype" w:hAnsi="Palatino Linotype" w:cs="Palatino Linotype"/>
          <w:sz w:val="24"/>
          <w:szCs w:val="24"/>
        </w:rPr>
        <w:t>, visible en el Seminario Judicial de la Federación y su gaceta, con el registro digital 2002350.</w:t>
      </w:r>
    </w:p>
    <w:p w14:paraId="0381C001"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3AF8BE8"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096F6D6" w14:textId="77777777" w:rsidR="005C5B6C" w:rsidRPr="00053A4C" w:rsidRDefault="005C5B6C">
      <w:pPr>
        <w:spacing w:after="0" w:line="360" w:lineRule="auto"/>
        <w:jc w:val="both"/>
      </w:pPr>
    </w:p>
    <w:p w14:paraId="5A882205"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 xml:space="preserve">8. CIERRE DE INSTRUCCIÓN. </w:t>
      </w:r>
      <w:r w:rsidRPr="00053A4C">
        <w:rPr>
          <w:rFonts w:ascii="Palatino Linotype" w:eastAsia="Palatino Linotype" w:hAnsi="Palatino Linotype" w:cs="Palatino Linotype"/>
          <w:sz w:val="24"/>
          <w:szCs w:val="24"/>
        </w:rPr>
        <w:t>El treinta y uno de octubre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38DEF16" w14:textId="77777777" w:rsidR="005C5B6C" w:rsidRPr="00053A4C" w:rsidRDefault="005C5B6C">
      <w:pPr>
        <w:rPr>
          <w:rFonts w:ascii="Palatino Linotype" w:eastAsia="Palatino Linotype" w:hAnsi="Palatino Linotype" w:cs="Palatino Linotype"/>
          <w:sz w:val="24"/>
          <w:szCs w:val="24"/>
        </w:rPr>
      </w:pPr>
    </w:p>
    <w:p w14:paraId="6719ED97"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68BCA873" w14:textId="77777777" w:rsidR="005C5B6C" w:rsidRPr="00053A4C" w:rsidRDefault="005C5B6C">
      <w:pPr>
        <w:spacing w:after="0" w:line="360" w:lineRule="auto"/>
        <w:jc w:val="both"/>
      </w:pPr>
    </w:p>
    <w:p w14:paraId="28972184" w14:textId="77777777" w:rsidR="005C5B6C" w:rsidRPr="00053A4C" w:rsidRDefault="00374ADF">
      <w:pPr>
        <w:widowControl w:val="0"/>
        <w:spacing w:after="0" w:line="360" w:lineRule="auto"/>
        <w:jc w:val="center"/>
        <w:rPr>
          <w:rFonts w:ascii="Palatino Linotype" w:eastAsia="Palatino Linotype" w:hAnsi="Palatino Linotype" w:cs="Palatino Linotype"/>
          <w:b/>
          <w:sz w:val="24"/>
          <w:szCs w:val="24"/>
        </w:rPr>
      </w:pPr>
      <w:r w:rsidRPr="00053A4C">
        <w:rPr>
          <w:rFonts w:ascii="Palatino Linotype" w:eastAsia="Palatino Linotype" w:hAnsi="Palatino Linotype" w:cs="Palatino Linotype"/>
          <w:b/>
          <w:sz w:val="24"/>
          <w:szCs w:val="24"/>
        </w:rPr>
        <w:t>C O N S I D E R A N D O S</w:t>
      </w:r>
    </w:p>
    <w:p w14:paraId="48ED8158" w14:textId="77777777" w:rsidR="005C5B6C" w:rsidRPr="00053A4C" w:rsidRDefault="005C5B6C">
      <w:pPr>
        <w:widowControl w:val="0"/>
        <w:spacing w:after="0" w:line="360" w:lineRule="auto"/>
        <w:jc w:val="center"/>
        <w:rPr>
          <w:rFonts w:ascii="Palatino Linotype" w:eastAsia="Palatino Linotype" w:hAnsi="Palatino Linotype" w:cs="Palatino Linotype"/>
          <w:b/>
          <w:sz w:val="24"/>
          <w:szCs w:val="24"/>
        </w:rPr>
      </w:pPr>
    </w:p>
    <w:p w14:paraId="5A87F63E"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PRIMERO. COMPETENCIA.</w:t>
      </w:r>
      <w:r w:rsidRPr="00053A4C">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FE8A3B"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C09CDE1" w14:textId="77777777" w:rsidR="005C5B6C" w:rsidRPr="00053A4C" w:rsidRDefault="00374ADF">
      <w:pPr>
        <w:spacing w:after="0" w:line="360" w:lineRule="auto"/>
        <w:ind w:right="-234"/>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 xml:space="preserve">SEGUNDO. OPORTUNIDAD Y PROCEDIBILIDAD DEL RECURSO DE REVISIÓN.  </w:t>
      </w:r>
      <w:r w:rsidRPr="00053A4C">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interpuesto, </w:t>
      </w:r>
      <w:r w:rsidRPr="00053A4C">
        <w:rPr>
          <w:rFonts w:ascii="Palatino Linotype" w:eastAsia="Palatino Linotype" w:hAnsi="Palatino Linotype" w:cs="Palatino Linotype"/>
          <w:sz w:val="24"/>
          <w:szCs w:val="24"/>
        </w:rPr>
        <w:lastRenderedPageBreak/>
        <w:t>previstos en los artículos 178 y 180 de la Ley de Transparencia y Acceso a la Información Pública del Estado de México y Municipios.</w:t>
      </w:r>
    </w:p>
    <w:p w14:paraId="5F2BFF69" w14:textId="77777777" w:rsidR="005C5B6C" w:rsidRPr="00053A4C" w:rsidRDefault="005C5B6C">
      <w:pPr>
        <w:spacing w:after="0" w:line="360" w:lineRule="auto"/>
        <w:jc w:val="both"/>
      </w:pPr>
    </w:p>
    <w:p w14:paraId="35F254B5"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053A4C">
        <w:rPr>
          <w:rFonts w:ascii="Palatino Linotype" w:eastAsia="Palatino Linotype" w:hAnsi="Palatino Linotype" w:cs="Palatino Linotype"/>
          <w:b/>
          <w:sz w:val="24"/>
          <w:szCs w:val="24"/>
        </w:rPr>
        <w:t xml:space="preserve"> EL SUJETO OBLIGADO </w:t>
      </w:r>
      <w:r w:rsidRPr="00053A4C">
        <w:rPr>
          <w:rFonts w:ascii="Palatino Linotype" w:eastAsia="Palatino Linotype" w:hAnsi="Palatino Linotype" w:cs="Palatino Linotype"/>
          <w:sz w:val="24"/>
          <w:szCs w:val="24"/>
        </w:rPr>
        <w:t xml:space="preserve">emitió la respuesta, toda vez que esta fue pronunciada el día tres de mayo del año dos mil veintitrés, mientras que </w:t>
      </w:r>
      <w:r w:rsidRPr="00053A4C">
        <w:rPr>
          <w:rFonts w:ascii="Palatino Linotype" w:eastAsia="Palatino Linotype" w:hAnsi="Palatino Linotype" w:cs="Palatino Linotype"/>
          <w:b/>
          <w:sz w:val="24"/>
          <w:szCs w:val="24"/>
        </w:rPr>
        <w:t>LA PARTE</w:t>
      </w: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b/>
          <w:sz w:val="24"/>
          <w:szCs w:val="24"/>
        </w:rPr>
        <w:t>RECURRENTE</w:t>
      </w:r>
      <w:r w:rsidRPr="00053A4C">
        <w:rPr>
          <w:rFonts w:ascii="Palatino Linotype" w:eastAsia="Palatino Linotype" w:hAnsi="Palatino Linotype" w:cs="Palatino Linotype"/>
          <w:sz w:val="24"/>
          <w:szCs w:val="24"/>
        </w:rPr>
        <w:t xml:space="preserve"> interpuso el recurso de revisión en fecha veinticuatro de mayo de dos mil veintitrés, esto es al décimo cuarto día hábil siguiente de haber recibido la respuesta. </w:t>
      </w:r>
    </w:p>
    <w:p w14:paraId="2CA87D5F" w14:textId="77777777" w:rsidR="005C5B6C" w:rsidRPr="00053A4C" w:rsidRDefault="005C5B6C">
      <w:pPr>
        <w:spacing w:after="0" w:line="360" w:lineRule="auto"/>
        <w:jc w:val="both"/>
      </w:pPr>
    </w:p>
    <w:p w14:paraId="56DE6247"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053A4C">
        <w:rPr>
          <w:rFonts w:ascii="Palatino Linotype" w:eastAsia="Palatino Linotype" w:hAnsi="Palatino Linotype" w:cs="Palatino Linotype"/>
          <w:b/>
          <w:sz w:val="24"/>
          <w:szCs w:val="24"/>
        </w:rPr>
        <w:t>LA PARTE</w:t>
      </w: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b/>
          <w:sz w:val="24"/>
          <w:szCs w:val="24"/>
        </w:rPr>
        <w:t>RECURRENTE</w:t>
      </w:r>
      <w:r w:rsidRPr="00053A4C">
        <w:rPr>
          <w:rFonts w:ascii="Palatino Linotype" w:eastAsia="Palatino Linotype" w:hAnsi="Palatino Linotype" w:cs="Palatino Linotype"/>
          <w:sz w:val="24"/>
          <w:szCs w:val="24"/>
        </w:rPr>
        <w:t>, no proporcionó nombre completo como se advierte en el detalle de seguimiento del SAIMEX, no obstante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C6D238C"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71F97EF5" w14:textId="77777777" w:rsidR="005C5B6C" w:rsidRPr="00053A4C" w:rsidRDefault="00374ADF">
      <w:pPr>
        <w:spacing w:after="0" w:line="276" w:lineRule="auto"/>
        <w:ind w:left="851" w:right="902"/>
        <w:jc w:val="both"/>
        <w:rPr>
          <w:rFonts w:ascii="Palatino Linotype" w:eastAsia="Palatino Linotype" w:hAnsi="Palatino Linotype" w:cs="Palatino Linotype"/>
          <w:b/>
          <w:i/>
        </w:rPr>
      </w:pPr>
      <w:r w:rsidRPr="00053A4C">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B8879B0" w14:textId="77777777" w:rsidR="005C5B6C" w:rsidRPr="00053A4C" w:rsidRDefault="005C5B6C">
      <w:pPr>
        <w:spacing w:after="0" w:line="360" w:lineRule="auto"/>
        <w:ind w:left="851" w:right="902"/>
        <w:jc w:val="both"/>
        <w:rPr>
          <w:rFonts w:ascii="Palatino Linotype" w:eastAsia="Palatino Linotype" w:hAnsi="Palatino Linotype" w:cs="Palatino Linotype"/>
          <w:sz w:val="24"/>
          <w:szCs w:val="24"/>
        </w:rPr>
      </w:pPr>
    </w:p>
    <w:p w14:paraId="0DB11202" w14:textId="77777777" w:rsidR="005C5B6C" w:rsidRPr="00053A4C" w:rsidRDefault="00374ADF">
      <w:pPr>
        <w:spacing w:after="0" w:line="360" w:lineRule="auto"/>
        <w:jc w:val="both"/>
        <w:rPr>
          <w:rFonts w:ascii="Palatino Linotype" w:eastAsia="Palatino Linotype" w:hAnsi="Palatino Linotype" w:cs="Palatino Linotype"/>
          <w:b/>
          <w:sz w:val="24"/>
          <w:szCs w:val="24"/>
        </w:rPr>
      </w:pPr>
      <w:r w:rsidRPr="00053A4C">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53A4C">
        <w:rPr>
          <w:rFonts w:ascii="Palatino Linotype" w:eastAsia="Palatino Linotype" w:hAnsi="Palatino Linotype" w:cs="Palatino Linotype"/>
          <w:b/>
          <w:sz w:val="24"/>
          <w:szCs w:val="24"/>
        </w:rPr>
        <w:t xml:space="preserve">EL SAIMEX.  </w:t>
      </w:r>
    </w:p>
    <w:p w14:paraId="5D0C8BA0"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5555C1B"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 xml:space="preserve">TERCERO. ANÁLISIS DE LAS CAUSALES DE SOBRESEIMIENTO. </w:t>
      </w:r>
      <w:r w:rsidRPr="00053A4C">
        <w:rPr>
          <w:rFonts w:ascii="Palatino Linotype" w:eastAsia="Palatino Linotype" w:hAnsi="Palatino Linotype" w:cs="Palatino Linotype"/>
          <w:sz w:val="24"/>
          <w:szCs w:val="24"/>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76BB4F9F" w14:textId="77777777" w:rsidR="005C5B6C" w:rsidRPr="00053A4C" w:rsidRDefault="005C5B6C">
      <w:pPr>
        <w:spacing w:line="360" w:lineRule="auto"/>
        <w:jc w:val="both"/>
        <w:rPr>
          <w:rFonts w:ascii="Palatino Linotype" w:eastAsia="Palatino Linotype" w:hAnsi="Palatino Linotype" w:cs="Palatino Linotype"/>
          <w:b/>
          <w:sz w:val="24"/>
          <w:szCs w:val="24"/>
        </w:rPr>
      </w:pPr>
    </w:p>
    <w:p w14:paraId="0AEA8279" w14:textId="77777777" w:rsidR="005C5B6C" w:rsidRPr="00053A4C" w:rsidRDefault="00374ADF">
      <w:pPr>
        <w:pBdr>
          <w:top w:val="nil"/>
          <w:left w:val="nil"/>
          <w:bottom w:val="nil"/>
          <w:right w:val="nil"/>
          <w:between w:val="nil"/>
        </w:pBdr>
        <w:spacing w:before="240" w:after="0" w:line="276" w:lineRule="auto"/>
        <w:ind w:left="567" w:right="616"/>
        <w:jc w:val="both"/>
        <w:rPr>
          <w:rFonts w:ascii="Palatino Linotype" w:eastAsia="Palatino Linotype" w:hAnsi="Palatino Linotype" w:cs="Palatino Linotype"/>
          <w:i/>
        </w:rPr>
      </w:pPr>
      <w:r w:rsidRPr="00053A4C">
        <w:rPr>
          <w:rFonts w:ascii="Palatino Linotype" w:eastAsia="Palatino Linotype" w:hAnsi="Palatino Linotype" w:cs="Palatino Linotype"/>
          <w:i/>
        </w:rPr>
        <w:t>“Improcedencia: Sea que las partes la aleguen o no, debe examinarse previamente la procedencia del juicio de amparo, por ser cuestión de orden público en el juicio de garantías.”(Sic)</w:t>
      </w:r>
    </w:p>
    <w:p w14:paraId="619C0B3C" w14:textId="77777777" w:rsidR="005C5B6C" w:rsidRPr="00053A4C" w:rsidRDefault="005C5B6C">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sz w:val="24"/>
          <w:szCs w:val="24"/>
        </w:rPr>
      </w:pPr>
    </w:p>
    <w:p w14:paraId="3A67EE3D" w14:textId="77777777" w:rsidR="005C5B6C" w:rsidRPr="00053A4C" w:rsidRDefault="00374ADF">
      <w:pPr>
        <w:pBdr>
          <w:top w:val="nil"/>
          <w:left w:val="nil"/>
          <w:bottom w:val="nil"/>
          <w:right w:val="nil"/>
          <w:between w:val="nil"/>
        </w:pBdr>
        <w:spacing w:after="240" w:line="24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Por su parte los artículos 186, 191 y 192 de la Ley en cita, disponen lo siguiente:</w:t>
      </w:r>
    </w:p>
    <w:p w14:paraId="402B7426" w14:textId="77777777" w:rsidR="005C5B6C" w:rsidRPr="00053A4C" w:rsidRDefault="00374ADF">
      <w:pPr>
        <w:pBdr>
          <w:top w:val="nil"/>
          <w:left w:val="nil"/>
          <w:bottom w:val="nil"/>
          <w:right w:val="nil"/>
          <w:between w:val="nil"/>
        </w:pBdr>
        <w:spacing w:before="240" w:after="240" w:line="240" w:lineRule="auto"/>
        <w:ind w:left="851" w:right="49"/>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“Artículo 186. Las resoluciones del Instituto podrán:</w:t>
      </w:r>
    </w:p>
    <w:p w14:paraId="5E13B569" w14:textId="77777777" w:rsidR="005C5B6C" w:rsidRPr="00053A4C" w:rsidRDefault="00374ADF">
      <w:pPr>
        <w:pBdr>
          <w:top w:val="nil"/>
          <w:left w:val="nil"/>
          <w:bottom w:val="nil"/>
          <w:right w:val="nil"/>
          <w:between w:val="nil"/>
        </w:pBdr>
        <w:spacing w:before="240" w:after="0" w:line="240" w:lineRule="auto"/>
        <w:ind w:left="851" w:right="49"/>
        <w:jc w:val="both"/>
        <w:rPr>
          <w:rFonts w:ascii="Times New Roman" w:eastAsia="Times New Roman" w:hAnsi="Times New Roman" w:cs="Times New Roman"/>
          <w:sz w:val="24"/>
          <w:szCs w:val="24"/>
        </w:rPr>
      </w:pPr>
      <w:r w:rsidRPr="00053A4C">
        <w:rPr>
          <w:rFonts w:ascii="Palatino Linotype" w:eastAsia="Palatino Linotype" w:hAnsi="Palatino Linotype" w:cs="Palatino Linotype"/>
          <w:b/>
          <w:i/>
        </w:rPr>
        <w:t>I. Desechar o sobreseer el recurso;</w:t>
      </w:r>
    </w:p>
    <w:p w14:paraId="352374A8" w14:textId="77777777" w:rsidR="005C5B6C" w:rsidRPr="00053A4C" w:rsidRDefault="00374ADF">
      <w:pPr>
        <w:pBdr>
          <w:top w:val="nil"/>
          <w:left w:val="nil"/>
          <w:bottom w:val="nil"/>
          <w:right w:val="nil"/>
          <w:between w:val="nil"/>
        </w:pBdr>
        <w:spacing w:after="0" w:line="240" w:lineRule="auto"/>
        <w:ind w:left="851" w:right="49"/>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II. Confirmar la respuesta del sujeto obligado;</w:t>
      </w:r>
    </w:p>
    <w:p w14:paraId="2C3F2002" w14:textId="77777777" w:rsidR="005C5B6C" w:rsidRPr="00053A4C" w:rsidRDefault="00374ADF">
      <w:pPr>
        <w:pBdr>
          <w:top w:val="nil"/>
          <w:left w:val="nil"/>
          <w:bottom w:val="nil"/>
          <w:right w:val="nil"/>
          <w:between w:val="nil"/>
        </w:pBdr>
        <w:spacing w:after="0" w:line="240" w:lineRule="auto"/>
        <w:ind w:left="851" w:right="49"/>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III. Revocar o modificar la respuesta del sujeto obligado; y</w:t>
      </w:r>
    </w:p>
    <w:p w14:paraId="0CBBB170" w14:textId="77777777" w:rsidR="005C5B6C" w:rsidRPr="00053A4C" w:rsidRDefault="00374ADF">
      <w:pPr>
        <w:pBdr>
          <w:top w:val="nil"/>
          <w:left w:val="nil"/>
          <w:bottom w:val="nil"/>
          <w:right w:val="nil"/>
          <w:between w:val="nil"/>
        </w:pBdr>
        <w:spacing w:after="0" w:line="240" w:lineRule="auto"/>
        <w:ind w:left="851" w:right="49"/>
        <w:jc w:val="both"/>
        <w:rPr>
          <w:rFonts w:ascii="Palatino Linotype" w:eastAsia="Palatino Linotype" w:hAnsi="Palatino Linotype" w:cs="Palatino Linotype"/>
          <w:i/>
        </w:rPr>
      </w:pPr>
      <w:r w:rsidRPr="00053A4C">
        <w:rPr>
          <w:rFonts w:ascii="Palatino Linotype" w:eastAsia="Palatino Linotype" w:hAnsi="Palatino Linotype" w:cs="Palatino Linotype"/>
          <w:i/>
        </w:rPr>
        <w:t>IV. Ordenar la entrega de la información…”</w:t>
      </w:r>
    </w:p>
    <w:p w14:paraId="1792DED2" w14:textId="77777777" w:rsidR="005C5B6C" w:rsidRPr="00053A4C" w:rsidRDefault="005C5B6C">
      <w:pPr>
        <w:pBdr>
          <w:top w:val="nil"/>
          <w:left w:val="nil"/>
          <w:bottom w:val="nil"/>
          <w:right w:val="nil"/>
          <w:between w:val="nil"/>
        </w:pBdr>
        <w:spacing w:after="0" w:line="240" w:lineRule="auto"/>
        <w:ind w:left="851" w:right="49"/>
        <w:jc w:val="both"/>
        <w:rPr>
          <w:rFonts w:ascii="Times New Roman" w:eastAsia="Times New Roman" w:hAnsi="Times New Roman" w:cs="Times New Roman"/>
          <w:sz w:val="24"/>
          <w:szCs w:val="24"/>
        </w:rPr>
      </w:pPr>
    </w:p>
    <w:p w14:paraId="787ADC8D"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lastRenderedPageBreak/>
        <w:t xml:space="preserve"> Artículo 191. El recurso será desechado por improcedente cuando:</w:t>
      </w:r>
    </w:p>
    <w:p w14:paraId="1C6C0B41"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 Sea extemporáneo por haber transcurrido el plazo establecido en la presente Ley, a partir de la respuesta;</w:t>
      </w:r>
    </w:p>
    <w:p w14:paraId="77F8842B"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II. Se esté tramitando ante el Poder Judicial de la Federación algún recurso o medio de defensa interpuesto por el recurrente;</w:t>
      </w:r>
    </w:p>
    <w:p w14:paraId="13F3515F"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III. No actualice alguno de los supuestos previstos en la presente Ley;</w:t>
      </w:r>
    </w:p>
    <w:p w14:paraId="788564C7"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IV. No se haya desahogado la prevención en los términos establecidos en la presente Ley;</w:t>
      </w:r>
    </w:p>
    <w:p w14:paraId="30781A22"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V. Se impugne la veracidad de la información proporcionada;</w:t>
      </w:r>
    </w:p>
    <w:p w14:paraId="0A8F5D4D"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b/>
          <w:i/>
          <w:u w:val="single"/>
        </w:rPr>
        <w:t>VI. Se trate de una consulta</w:t>
      </w:r>
      <w:r w:rsidRPr="00053A4C">
        <w:rPr>
          <w:rFonts w:ascii="Palatino Linotype" w:eastAsia="Palatino Linotype" w:hAnsi="Palatino Linotype" w:cs="Palatino Linotype"/>
          <w:b/>
          <w:i/>
        </w:rPr>
        <w:t xml:space="preserve">, </w:t>
      </w:r>
      <w:r w:rsidRPr="00053A4C">
        <w:rPr>
          <w:rFonts w:ascii="Palatino Linotype" w:eastAsia="Palatino Linotype" w:hAnsi="Palatino Linotype" w:cs="Palatino Linotype"/>
          <w:i/>
        </w:rPr>
        <w:t>o trámite en específico; y</w:t>
      </w:r>
    </w:p>
    <w:p w14:paraId="38FB095F"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VII. El recurrente amplíe su solicitud en el recurso de revisión, únicamente respecto de los nuevos contenidos.”</w:t>
      </w:r>
    </w:p>
    <w:p w14:paraId="11A35669" w14:textId="77777777" w:rsidR="005C5B6C" w:rsidRPr="00053A4C" w:rsidRDefault="005C5B6C">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p>
    <w:p w14:paraId="4236A5E7"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“Artículo 192. El recurso será sobreseído, en todo o en parte, cuando una vez admitido, se actualicen alguno de los siguientes supuestos:</w:t>
      </w:r>
    </w:p>
    <w:p w14:paraId="45876BC1"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 El recurrente se desista expresamente del recurso;</w:t>
      </w:r>
    </w:p>
    <w:p w14:paraId="773DA6F9"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II. El recurrente fallezca o, tratándose de personas jurídicas colectivas, se disuelva;</w:t>
      </w:r>
    </w:p>
    <w:p w14:paraId="133B92D3"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III. El sujeto obligado responsable del acto lo modifique o revoque de tal manera que el recurso de revisión quede sin materia;</w:t>
      </w:r>
    </w:p>
    <w:p w14:paraId="6F7C5F92"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b/>
          <w:i/>
        </w:rPr>
        <w:t>IV. Admitido el recurso de revisión, aparezca alguna causal de improcedencia en los términos de la presente Ley; y</w:t>
      </w:r>
    </w:p>
    <w:p w14:paraId="116B69B7" w14:textId="77777777" w:rsidR="005C5B6C" w:rsidRPr="00053A4C" w:rsidRDefault="00374ADF">
      <w:pPr>
        <w:pBdr>
          <w:top w:val="nil"/>
          <w:left w:val="nil"/>
          <w:bottom w:val="nil"/>
          <w:right w:val="nil"/>
          <w:between w:val="nil"/>
        </w:pBdr>
        <w:spacing w:after="0" w:line="240" w:lineRule="auto"/>
        <w:ind w:left="851" w:right="616"/>
        <w:jc w:val="both"/>
        <w:rPr>
          <w:rFonts w:ascii="Times New Roman" w:eastAsia="Times New Roman" w:hAnsi="Times New Roman" w:cs="Times New Roman"/>
          <w:sz w:val="24"/>
          <w:szCs w:val="24"/>
        </w:rPr>
      </w:pPr>
      <w:r w:rsidRPr="00053A4C">
        <w:rPr>
          <w:rFonts w:ascii="Palatino Linotype" w:eastAsia="Palatino Linotype" w:hAnsi="Palatino Linotype" w:cs="Palatino Linotype"/>
          <w:i/>
        </w:rPr>
        <w:t>V. Cuando por cualquier motivo quede sin materia el recurso.” (Sic)</w:t>
      </w:r>
    </w:p>
    <w:p w14:paraId="60C346C1" w14:textId="77777777" w:rsidR="005C5B6C" w:rsidRPr="00053A4C" w:rsidRDefault="005C5B6C">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4"/>
          <w:szCs w:val="24"/>
        </w:rPr>
      </w:pPr>
    </w:p>
    <w:p w14:paraId="3E7E3993" w14:textId="77777777" w:rsidR="005C5B6C" w:rsidRPr="00053A4C" w:rsidRDefault="00374ADF">
      <w:pPr>
        <w:pBdr>
          <w:top w:val="nil"/>
          <w:left w:val="nil"/>
          <w:bottom w:val="nil"/>
          <w:right w:val="nil"/>
          <w:between w:val="nil"/>
        </w:pBdr>
        <w:spacing w:before="240" w:after="0" w:line="360" w:lineRule="auto"/>
        <w:ind w:right="49"/>
        <w:jc w:val="both"/>
        <w:rPr>
          <w:rFonts w:ascii="Times New Roman" w:eastAsia="Times New Roman" w:hAnsi="Times New Roman" w:cs="Times New Roman"/>
          <w:sz w:val="24"/>
          <w:szCs w:val="24"/>
        </w:rPr>
      </w:pPr>
      <w:r w:rsidRPr="00053A4C">
        <w:rPr>
          <w:rFonts w:ascii="Palatino Linotype" w:eastAsia="Palatino Linotype" w:hAnsi="Palatino Linotype" w:cs="Palatino Linotype"/>
          <w:sz w:val="24"/>
          <w:szCs w:val="24"/>
        </w:rPr>
        <w:t>En el presente caso, en el análisis oficioso este Organismo Garante advierte que, una vez admitido el Recurso de Revisión y en su estudio a detalle, surgió una causal de improcedencia, prevista en el artículo 191 fracción VI de la Ley de Transparencia y Acceso a la Información Pública del Estado de México y Municipios</w:t>
      </w:r>
    </w:p>
    <w:p w14:paraId="0B737F9E"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8F38140"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Cobrando aplicación lo previsto en la fracción IV del artículo 192, en razón a que al haber sido el recurso y al actualizarse una causal de improcedencia, debe ser sobreseído.</w:t>
      </w:r>
    </w:p>
    <w:p w14:paraId="60B25E92" w14:textId="77777777" w:rsidR="005C5B6C" w:rsidRPr="00053A4C" w:rsidRDefault="005C5B6C">
      <w:pPr>
        <w:pBdr>
          <w:top w:val="nil"/>
          <w:left w:val="nil"/>
          <w:bottom w:val="nil"/>
          <w:right w:val="nil"/>
          <w:between w:val="nil"/>
        </w:pBdr>
        <w:spacing w:after="0" w:line="360" w:lineRule="auto"/>
        <w:ind w:right="49"/>
        <w:jc w:val="both"/>
        <w:rPr>
          <w:rFonts w:ascii="Times New Roman" w:eastAsia="Times New Roman" w:hAnsi="Times New Roman" w:cs="Times New Roman"/>
          <w:sz w:val="24"/>
          <w:szCs w:val="24"/>
        </w:rPr>
      </w:pPr>
    </w:p>
    <w:p w14:paraId="35E2FD94"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En atención de lo anterior, se procede a analizar las cuestiones de hecho que dieron lugar a la improcedencia en concordancia con el apartado de causales de sobreseimiento.</w:t>
      </w:r>
    </w:p>
    <w:p w14:paraId="6026D7E0" w14:textId="77777777" w:rsidR="005C5B6C" w:rsidRPr="00053A4C" w:rsidRDefault="005C5B6C">
      <w:pPr>
        <w:pBdr>
          <w:top w:val="nil"/>
          <w:left w:val="nil"/>
          <w:bottom w:val="nil"/>
          <w:right w:val="nil"/>
          <w:between w:val="nil"/>
        </w:pBdr>
        <w:spacing w:after="0" w:line="360" w:lineRule="auto"/>
        <w:ind w:right="49"/>
        <w:jc w:val="both"/>
        <w:rPr>
          <w:rFonts w:ascii="Times New Roman" w:eastAsia="Times New Roman" w:hAnsi="Times New Roman" w:cs="Times New Roman"/>
          <w:sz w:val="24"/>
          <w:szCs w:val="24"/>
        </w:rPr>
      </w:pPr>
    </w:p>
    <w:p w14:paraId="4D34A6A8"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w:t>
      </w:r>
      <w:r w:rsidRPr="00053A4C">
        <w:rPr>
          <w:rFonts w:ascii="Palatino Linotype" w:eastAsia="Palatino Linotype" w:hAnsi="Palatino Linotype" w:cs="Palatino Linotype"/>
          <w:b/>
          <w:sz w:val="24"/>
          <w:szCs w:val="24"/>
        </w:rPr>
        <w:t>LA PARTE</w:t>
      </w: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b/>
          <w:sz w:val="24"/>
          <w:szCs w:val="24"/>
        </w:rPr>
        <w:t>RECURRENTE</w:t>
      </w:r>
      <w:r w:rsidRPr="00053A4C">
        <w:rPr>
          <w:rFonts w:ascii="Palatino Linotype" w:eastAsia="Palatino Linotype" w:hAnsi="Palatino Linotype" w:cs="Palatino Linotype"/>
          <w:sz w:val="24"/>
          <w:szCs w:val="24"/>
        </w:rPr>
        <w:t xml:space="preserve">, mediante el recurso de revisión, solicita le sea contestada una consulta para un caso específico. </w:t>
      </w:r>
    </w:p>
    <w:p w14:paraId="77EA65A7"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4AA3B6"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A efecto de sustentar lo anterior, es imprescindible mencionar que, del análisis de la solicitud de información motivo del recurso de revisión que ahora se resuelve, se advierte que la parte solicitante requirió al </w:t>
      </w:r>
      <w:r w:rsidRPr="00053A4C">
        <w:rPr>
          <w:rFonts w:ascii="Palatino Linotype" w:eastAsia="Palatino Linotype" w:hAnsi="Palatino Linotype" w:cs="Palatino Linotype"/>
          <w:b/>
          <w:sz w:val="24"/>
          <w:szCs w:val="24"/>
        </w:rPr>
        <w:t>SUJETO OBLIGADO</w:t>
      </w:r>
      <w:r w:rsidRPr="00053A4C">
        <w:rPr>
          <w:rFonts w:ascii="Palatino Linotype" w:eastAsia="Palatino Linotype" w:hAnsi="Palatino Linotype" w:cs="Palatino Linotype"/>
          <w:sz w:val="24"/>
          <w:szCs w:val="24"/>
        </w:rPr>
        <w:t xml:space="preserve"> lo siguiente:</w:t>
      </w:r>
    </w:p>
    <w:p w14:paraId="28777AA0"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AA80932" w14:textId="77777777" w:rsidR="005C5B6C" w:rsidRPr="00053A4C" w:rsidRDefault="00374ADF">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La revisión del carril reversible ubicado en la Avenida Mario Colín en el municipio de Tlalnepantla del Estado de México que si bien fue planeado para disminuir los tiempos de traslado que se ven perjudicados los trabajadores, estudiantes y demás personas que utilizan dicha avenida para llegar a sus destinos, ocasionando un embotellamiento vehicular pues en las </w:t>
      </w:r>
      <w:r w:rsidRPr="00053A4C">
        <w:rPr>
          <w:rFonts w:ascii="Palatino Linotype" w:eastAsia="Palatino Linotype" w:hAnsi="Palatino Linotype" w:cs="Palatino Linotype"/>
          <w:sz w:val="24"/>
          <w:szCs w:val="24"/>
        </w:rPr>
        <w:lastRenderedPageBreak/>
        <w:t>mañanas en horas pico llegan a transitar hasta 4 mil 600 coches por ahí, para conocer si la implementación de dicho carril realmente ha ayudado al flujo de automóviles y que tan viable sería la mejor planeación de la coordinación de los semáforos que se encuentran dentro de la Avenida Mario Colín.</w:t>
      </w:r>
    </w:p>
    <w:p w14:paraId="6B757810"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48BE0CC"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053A4C">
        <w:rPr>
          <w:rFonts w:ascii="Palatino Linotype" w:eastAsia="Palatino Linotype" w:hAnsi="Palatino Linotype" w:cs="Palatino Linotype"/>
          <w:sz w:val="24"/>
          <w:szCs w:val="24"/>
        </w:rPr>
        <w:t xml:space="preserve">De la solicitud se advierte, que el particular planteó una cuestión con la que pretendía que </w:t>
      </w:r>
      <w:r w:rsidRPr="00053A4C">
        <w:rPr>
          <w:rFonts w:ascii="Palatino Linotype" w:eastAsia="Palatino Linotype" w:hAnsi="Palatino Linotype" w:cs="Palatino Linotype"/>
          <w:b/>
          <w:sz w:val="24"/>
          <w:szCs w:val="24"/>
        </w:rPr>
        <w:t>EL SUJETO OBLIGADO</w:t>
      </w:r>
      <w:r w:rsidRPr="00053A4C">
        <w:rPr>
          <w:rFonts w:ascii="Palatino Linotype" w:eastAsia="Palatino Linotype" w:hAnsi="Palatino Linotype" w:cs="Palatino Linotype"/>
          <w:sz w:val="24"/>
          <w:szCs w:val="24"/>
        </w:rPr>
        <w:t xml:space="preserve"> le explicara una circunstancia para un caso específico, por lo que es obvio que el particular no está ejerciendo su derecho de acceso a la información pública; debido a que en la solicitud consiste en una consulta que no es factible atenderse vía acceso a la información, es decir, que dicho cuestionamiento se colme con documentos que obren en los archivos del </w:t>
      </w:r>
      <w:r w:rsidRPr="00053A4C">
        <w:rPr>
          <w:rFonts w:ascii="Palatino Linotype" w:eastAsia="Palatino Linotype" w:hAnsi="Palatino Linotype" w:cs="Palatino Linotype"/>
          <w:b/>
          <w:sz w:val="24"/>
          <w:szCs w:val="24"/>
        </w:rPr>
        <w:t>SUJETO OBLIGADO.</w:t>
      </w:r>
    </w:p>
    <w:p w14:paraId="553BA3A3"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6C018086"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No obstante,</w:t>
      </w:r>
      <w:r w:rsidRPr="00053A4C">
        <w:rPr>
          <w:rFonts w:ascii="Palatino Linotype" w:eastAsia="Palatino Linotype" w:hAnsi="Palatino Linotype" w:cs="Palatino Linotype"/>
          <w:b/>
          <w:sz w:val="24"/>
          <w:szCs w:val="24"/>
        </w:rPr>
        <w:t xml:space="preserve"> EL</w:t>
      </w: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b/>
          <w:sz w:val="24"/>
          <w:szCs w:val="24"/>
        </w:rPr>
        <w:t>SUJETO OBLIGADO</w:t>
      </w:r>
      <w:r w:rsidRPr="00053A4C">
        <w:rPr>
          <w:rFonts w:ascii="Palatino Linotype" w:eastAsia="Palatino Linotype" w:hAnsi="Palatino Linotype" w:cs="Palatino Linotype"/>
          <w:sz w:val="24"/>
          <w:szCs w:val="24"/>
        </w:rPr>
        <w:t xml:space="preserve"> en aras de satisfacer el derecho de acceso a la información pública, emitió su respuesta por conducto de las siguientes unidades administrativas:</w:t>
      </w:r>
    </w:p>
    <w:p w14:paraId="10AC8C7E"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6968255"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Subsecretaria de Movilidad: En ese sentido, sí bien es cierto que el Mtro. Carlos </w:t>
      </w:r>
      <w:proofErr w:type="spellStart"/>
      <w:r w:rsidRPr="00053A4C">
        <w:rPr>
          <w:rFonts w:ascii="Palatino Linotype" w:eastAsia="Palatino Linotype" w:hAnsi="Palatino Linotype" w:cs="Palatino Linotype"/>
          <w:sz w:val="24"/>
          <w:szCs w:val="24"/>
        </w:rPr>
        <w:t>Preza</w:t>
      </w:r>
      <w:proofErr w:type="spellEnd"/>
      <w:r w:rsidRPr="00053A4C">
        <w:rPr>
          <w:rFonts w:ascii="Palatino Linotype" w:eastAsia="Palatino Linotype" w:hAnsi="Palatino Linotype" w:cs="Palatino Linotype"/>
          <w:sz w:val="24"/>
          <w:szCs w:val="24"/>
        </w:rPr>
        <w:t xml:space="preserve"> Millán, Subsecretario de Movilidad asistió al inicio de los trabajos para la operación del Sistema Carril Reversible, es exclusivamente porque en su momento tenía el cargo de Comisionado Regional por parte del Gobierno del Estado de México, en la Región V, la cual incluía los municipios de Atizapán de Zaragoza, Nicolás Romero y Cuautitlán Izcalli; sin embargo, únicamente asistió como </w:t>
      </w:r>
      <w:r w:rsidRPr="00053A4C">
        <w:rPr>
          <w:rFonts w:ascii="Palatino Linotype" w:eastAsia="Palatino Linotype" w:hAnsi="Palatino Linotype" w:cs="Palatino Linotype"/>
          <w:sz w:val="24"/>
          <w:szCs w:val="24"/>
        </w:rPr>
        <w:lastRenderedPageBreak/>
        <w:t>invitado, por lo que esta Unidad Administrativa nunca ha tenido competencia sobre el Road Zipper, ya que dicha maquinaria pertenece a una autoridad diversa a la Subsecretaria de Movilidad, por lo que la información relacionada al uno de esta, no es atribución nuestra, existiendo un impedimento legal y material para poder atender la solicitud.</w:t>
      </w:r>
    </w:p>
    <w:p w14:paraId="1712D870"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9060732" w14:textId="77777777" w:rsidR="005C5B6C" w:rsidRPr="00053A4C" w:rsidRDefault="00374AD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Dirección General de Vialidad: Me permito informarle que dicha solicitud NO corresponde a esta Dirección General de Vialidad, derivado de las mismas versan sobre el Carril reversible en el municipio de Tlalnepantla de Baz. </w:t>
      </w:r>
    </w:p>
    <w:p w14:paraId="074EE016" w14:textId="77777777" w:rsidR="005C5B6C" w:rsidRPr="00053A4C" w:rsidRDefault="005C5B6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7F75413" w14:textId="77777777" w:rsidR="005C5B6C" w:rsidRPr="00053A4C" w:rsidRDefault="00374ADF">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Sistema de Autopistas, Aeropuertos, Servicios Conexos y Auxiliares (SAASCAEM)</w:t>
      </w:r>
    </w:p>
    <w:p w14:paraId="666163EC"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1433ADD"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Unidad de Apoyo Administrativo: Me permito hacer de su conocimiento que esta Unidad de Apoyo Administrativo no genera información referente a lo solicitado, motivo por el cual, no se remite documentación.</w:t>
      </w:r>
    </w:p>
    <w:p w14:paraId="4B35F9DD"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70BF7B5C"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Unidad Jurídica y de Igualdad de Género: Le informo que dicha solicitud no corresponde a este Sujeto Obligado, derivado que la misma versa sobre el Carril reversible en Tlalnepantla de Baz, si bien es cierto, este Organismo únicamente proporcionó las máquinas que movilizan las barreras, sin embargo, no participó en los estudios correspondientes para elegir dónde iban a ser colocadas y el por qué </w:t>
      </w:r>
      <w:r w:rsidRPr="00053A4C">
        <w:rPr>
          <w:rFonts w:ascii="Palatino Linotype" w:eastAsia="Palatino Linotype" w:hAnsi="Palatino Linotype" w:cs="Palatino Linotype"/>
          <w:sz w:val="24"/>
          <w:szCs w:val="24"/>
        </w:rPr>
        <w:lastRenderedPageBreak/>
        <w:t>dichas solicitudes tendrían que ser formuladas directamente al H. Ayuntamiento de Tlalnepantla, ya que a este Sistema no le corresponde contar don dicha información.</w:t>
      </w:r>
    </w:p>
    <w:p w14:paraId="7CEC5DB9"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12D4723A"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Dirección de Proyectos y Control de Obras: No cuenta con la información solicitada.</w:t>
      </w:r>
    </w:p>
    <w:p w14:paraId="7B2EE3D3"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Dirección de Operación: No se cuenta con la información solicitada. </w:t>
      </w:r>
    </w:p>
    <w:p w14:paraId="50E6FDCD"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8A38DE5" w14:textId="77777777" w:rsidR="005C5B6C" w:rsidRPr="00053A4C" w:rsidRDefault="00374ADF">
      <w:pPr>
        <w:spacing w:after="0" w:line="360" w:lineRule="auto"/>
        <w:jc w:val="both"/>
        <w:rPr>
          <w:rFonts w:ascii="Palatino Linotype" w:eastAsia="Palatino Linotype" w:hAnsi="Palatino Linotype" w:cs="Palatino Linotype"/>
          <w:i/>
          <w:sz w:val="24"/>
          <w:szCs w:val="24"/>
        </w:rPr>
      </w:pPr>
      <w:r w:rsidRPr="00053A4C">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que “</w:t>
      </w:r>
      <w:r w:rsidRPr="00053A4C">
        <w:rPr>
          <w:rFonts w:ascii="Palatino Linotype" w:eastAsia="Palatino Linotype" w:hAnsi="Palatino Linotype" w:cs="Palatino Linotype"/>
          <w:i/>
          <w:sz w:val="24"/>
          <w:szCs w:val="24"/>
        </w:rPr>
        <w:t>La secretaría de movilidad tiene que brindar información de situaciones relacionadas con la MOVILIDAD, no puede ser que no cuenten con la información que como ciudadana inconforme que usa el carril reversible todas las mañanas para llegar a mi lugar de destino de manera eficiente sin poder transitar por tanto flujo y aglomeración en el lugar, me digan que no son competentes de una obra que tuvo que planearse mejor (Sic).”</w:t>
      </w:r>
    </w:p>
    <w:p w14:paraId="45875DA9" w14:textId="77777777" w:rsidR="005C5B6C" w:rsidRPr="00053A4C" w:rsidRDefault="005C5B6C">
      <w:pPr>
        <w:spacing w:after="0" w:line="360" w:lineRule="auto"/>
        <w:jc w:val="both"/>
        <w:rPr>
          <w:rFonts w:ascii="Palatino Linotype" w:eastAsia="Palatino Linotype" w:hAnsi="Palatino Linotype" w:cs="Palatino Linotype"/>
          <w:i/>
          <w:sz w:val="24"/>
          <w:szCs w:val="24"/>
        </w:rPr>
      </w:pPr>
    </w:p>
    <w:p w14:paraId="75210391"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Admitido el presente recurso de revisión, en términos del artículo 185 fracción II</w:t>
      </w:r>
      <w:r w:rsidRPr="00053A4C">
        <w:rPr>
          <w:rFonts w:ascii="Palatino Linotype" w:eastAsia="Palatino Linotype" w:hAnsi="Palatino Linotype" w:cs="Palatino Linotype"/>
          <w:sz w:val="24"/>
          <w:szCs w:val="24"/>
          <w:vertAlign w:val="superscript"/>
        </w:rPr>
        <w:footnoteReference w:id="1"/>
      </w:r>
      <w:r w:rsidRPr="00053A4C">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E92D674"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239CE86"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Cabe resaltar que durante la etapa de manifestaciones </w:t>
      </w:r>
      <w:r w:rsidRPr="00053A4C">
        <w:rPr>
          <w:rFonts w:ascii="Palatino Linotype" w:eastAsia="Palatino Linotype" w:hAnsi="Palatino Linotype" w:cs="Palatino Linotype"/>
          <w:b/>
          <w:sz w:val="24"/>
          <w:szCs w:val="24"/>
        </w:rPr>
        <w:t>LA PARTE RECURRENTE</w:t>
      </w:r>
      <w:r w:rsidRPr="00053A4C">
        <w:rPr>
          <w:rFonts w:ascii="Palatino Linotype" w:eastAsia="Palatino Linotype" w:hAnsi="Palatino Linotype" w:cs="Palatino Linotype"/>
          <w:sz w:val="24"/>
          <w:szCs w:val="24"/>
        </w:rPr>
        <w:t xml:space="preserve"> fue omisa de rendir alegatos, por lo que respecta al</w:t>
      </w:r>
      <w:r w:rsidRPr="00053A4C">
        <w:rPr>
          <w:rFonts w:ascii="Palatino Linotype" w:eastAsia="Palatino Linotype" w:hAnsi="Palatino Linotype" w:cs="Palatino Linotype"/>
          <w:b/>
          <w:sz w:val="24"/>
          <w:szCs w:val="24"/>
        </w:rPr>
        <w:t xml:space="preserve"> SUJETO OBLIGADO</w:t>
      </w:r>
      <w:r w:rsidRPr="00053A4C">
        <w:rPr>
          <w:rFonts w:ascii="Palatino Linotype" w:eastAsia="Palatino Linotype" w:hAnsi="Palatino Linotype" w:cs="Palatino Linotype"/>
          <w:sz w:val="24"/>
          <w:szCs w:val="24"/>
        </w:rPr>
        <w:t xml:space="preserve"> ratificó su respuesta inicial.</w:t>
      </w:r>
    </w:p>
    <w:p w14:paraId="6EB4AEDD"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4A5395E"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En tal contexto, del análisis realizado al expediente electrónico, se advierte que la solicitud no constituye un derecho de acceso a la información y por lo tanto no es atendible mediante una solicitud de acceso a la información pública, porque se tratan de una consulta para un caso específico, situación que conlleva a afirmar que se está en presencia del ejercicio del derecho de petición.</w:t>
      </w:r>
    </w:p>
    <w:p w14:paraId="71967FF8"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5B84F78"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En ese sentido, es importante diferenciar lo que se entiende por derecho de petición y por derecho de acceso a la información pública.</w:t>
      </w:r>
    </w:p>
    <w:p w14:paraId="7ACD8A87" w14:textId="77777777" w:rsidR="005C5B6C" w:rsidRPr="00053A4C" w:rsidRDefault="00374ADF">
      <w:pPr>
        <w:spacing w:after="0" w:line="360" w:lineRule="auto"/>
        <w:ind w:right="-91"/>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Derecho de Petición:</w:t>
      </w:r>
    </w:p>
    <w:p w14:paraId="3A485860" w14:textId="77777777" w:rsidR="005C5B6C" w:rsidRPr="00053A4C" w:rsidRDefault="005C5B6C">
      <w:pPr>
        <w:spacing w:after="0" w:line="360" w:lineRule="auto"/>
        <w:ind w:right="-91"/>
        <w:jc w:val="both"/>
        <w:rPr>
          <w:rFonts w:ascii="Palatino Linotype" w:eastAsia="Palatino Linotype" w:hAnsi="Palatino Linotype" w:cs="Palatino Linotype"/>
          <w:sz w:val="24"/>
          <w:szCs w:val="24"/>
        </w:rPr>
      </w:pPr>
    </w:p>
    <w:p w14:paraId="0473341E"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El Doctor Ignacio Burgoa Orihuela refiere que derecho de petición: "...</w:t>
      </w:r>
      <w:r w:rsidRPr="00053A4C">
        <w:rPr>
          <w:rFonts w:ascii="Palatino Linotype" w:eastAsia="Palatino Linotype" w:hAnsi="Palatino Linotype" w:cs="Palatino Linotype"/>
          <w:i/>
          <w:sz w:val="24"/>
          <w:szCs w:val="24"/>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053A4C">
        <w:rPr>
          <w:rFonts w:ascii="Palatino Linotype" w:eastAsia="Palatino Linotype" w:hAnsi="Palatino Linotype" w:cs="Palatino Linotype"/>
          <w:sz w:val="24"/>
          <w:szCs w:val="24"/>
        </w:rPr>
        <w:t>"</w:t>
      </w:r>
      <w:r w:rsidRPr="00053A4C">
        <w:rPr>
          <w:rFonts w:ascii="Palatino Linotype" w:eastAsia="Palatino Linotype" w:hAnsi="Palatino Linotype" w:cs="Palatino Linotype"/>
          <w:sz w:val="24"/>
          <w:szCs w:val="24"/>
          <w:vertAlign w:val="superscript"/>
        </w:rPr>
        <w:footnoteReference w:id="2"/>
      </w:r>
      <w:r w:rsidRPr="00053A4C">
        <w:rPr>
          <w:rFonts w:ascii="Palatino Linotype" w:eastAsia="Palatino Linotype" w:hAnsi="Palatino Linotype" w:cs="Palatino Linotype"/>
          <w:sz w:val="24"/>
          <w:szCs w:val="24"/>
        </w:rPr>
        <w:t>(Sic)</w:t>
      </w:r>
    </w:p>
    <w:p w14:paraId="52A32330" w14:textId="77777777" w:rsidR="005C5B6C" w:rsidRPr="00053A4C" w:rsidRDefault="00374ADF">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rPr>
      </w:pPr>
      <w:r w:rsidRPr="00053A4C">
        <w:rPr>
          <w:rFonts w:ascii="Palatino Linotype" w:eastAsia="Palatino Linotype" w:hAnsi="Palatino Linotype" w:cs="Palatino Linotype"/>
          <w:sz w:val="24"/>
          <w:szCs w:val="24"/>
        </w:rPr>
        <w:lastRenderedPageBreak/>
        <w:t xml:space="preserve">Por su parte, David Cienfuegos Salgado, concibe al derecho de petición como </w:t>
      </w:r>
      <w:r w:rsidRPr="00053A4C">
        <w:rPr>
          <w:rFonts w:ascii="Palatino Linotype" w:eastAsia="Palatino Linotype" w:hAnsi="Palatino Linotype" w:cs="Palatino Linotype"/>
          <w:i/>
          <w:sz w:val="24"/>
          <w:szCs w:val="24"/>
        </w:rPr>
        <w:t>“el derecho de toda persona a ser escuchado por quienes ejercen el poder público.</w:t>
      </w:r>
      <w:r w:rsidRPr="00053A4C">
        <w:rPr>
          <w:rFonts w:ascii="Palatino Linotype" w:eastAsia="Palatino Linotype" w:hAnsi="Palatino Linotype" w:cs="Palatino Linotype"/>
          <w:i/>
          <w:sz w:val="24"/>
          <w:szCs w:val="24"/>
          <w:vertAlign w:val="superscript"/>
        </w:rPr>
        <w:t xml:space="preserve"> </w:t>
      </w:r>
      <w:r w:rsidRPr="00053A4C">
        <w:rPr>
          <w:rFonts w:ascii="Palatino Linotype" w:eastAsia="Palatino Linotype" w:hAnsi="Palatino Linotype" w:cs="Palatino Linotype"/>
          <w:i/>
          <w:sz w:val="24"/>
          <w:szCs w:val="24"/>
          <w:vertAlign w:val="superscript"/>
        </w:rPr>
        <w:footnoteReference w:id="3"/>
      </w:r>
      <w:r w:rsidRPr="00053A4C">
        <w:rPr>
          <w:rFonts w:ascii="Palatino Linotype" w:eastAsia="Palatino Linotype" w:hAnsi="Palatino Linotype" w:cs="Palatino Linotype"/>
          <w:i/>
          <w:sz w:val="24"/>
          <w:szCs w:val="24"/>
        </w:rPr>
        <w:t xml:space="preserve">” (Sic) </w:t>
      </w:r>
    </w:p>
    <w:p w14:paraId="5789BC6E" w14:textId="77777777" w:rsidR="005C5B6C" w:rsidRPr="00053A4C" w:rsidRDefault="005C5B6C">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rPr>
      </w:pPr>
    </w:p>
    <w:p w14:paraId="5A0EB98D"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53A4C">
        <w:rPr>
          <w:rFonts w:ascii="Palatino Linotype" w:eastAsia="Palatino Linotype" w:hAnsi="Palatino Linotype" w:cs="Palatino Linotype"/>
          <w:sz w:val="24"/>
          <w:szCs w:val="24"/>
          <w:vertAlign w:val="superscript"/>
        </w:rPr>
        <w:footnoteReference w:id="4"/>
      </w:r>
    </w:p>
    <w:p w14:paraId="01F13E27" w14:textId="77777777" w:rsidR="005C5B6C" w:rsidRPr="00053A4C" w:rsidRDefault="00374ADF">
      <w:pPr>
        <w:spacing w:after="0" w:line="360" w:lineRule="auto"/>
        <w:ind w:right="-91"/>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Derecho de Acceso a la Información Pública:</w:t>
      </w:r>
    </w:p>
    <w:p w14:paraId="1EEA0F2C" w14:textId="77777777" w:rsidR="005C5B6C" w:rsidRPr="00053A4C" w:rsidRDefault="00374ADF">
      <w:pPr>
        <w:pBdr>
          <w:top w:val="nil"/>
          <w:left w:val="nil"/>
          <w:bottom w:val="nil"/>
          <w:right w:val="nil"/>
          <w:between w:val="nil"/>
        </w:pBdr>
        <w:spacing w:after="0" w:line="360" w:lineRule="auto"/>
        <w:ind w:right="9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w:t>
      </w:r>
      <w:r w:rsidRPr="00053A4C">
        <w:rPr>
          <w:rFonts w:ascii="Palatino Linotype" w:eastAsia="Palatino Linotype" w:hAnsi="Palatino Linotype" w:cs="Palatino Linotype"/>
          <w:sz w:val="24"/>
          <w:szCs w:val="24"/>
        </w:rPr>
        <w:lastRenderedPageBreak/>
        <w:t>tienen los ciudadanos para acceder a documentos y datos que obren en el poder del gobierno.</w:t>
      </w:r>
    </w:p>
    <w:p w14:paraId="1454DCE3" w14:textId="77777777" w:rsidR="005C5B6C" w:rsidRPr="00053A4C" w:rsidRDefault="005C5B6C">
      <w:pPr>
        <w:pBdr>
          <w:top w:val="nil"/>
          <w:left w:val="nil"/>
          <w:bottom w:val="nil"/>
          <w:right w:val="nil"/>
          <w:between w:val="nil"/>
        </w:pBdr>
        <w:spacing w:after="0" w:line="360" w:lineRule="auto"/>
        <w:ind w:left="93" w:right="116"/>
        <w:rPr>
          <w:sz w:val="24"/>
          <w:szCs w:val="24"/>
        </w:rPr>
      </w:pPr>
    </w:p>
    <w:p w14:paraId="16AAA90A" w14:textId="77777777" w:rsidR="005C5B6C" w:rsidRPr="00053A4C" w:rsidRDefault="00374ADF">
      <w:pPr>
        <w:pBdr>
          <w:top w:val="nil"/>
          <w:left w:val="nil"/>
          <w:bottom w:val="nil"/>
          <w:right w:val="nil"/>
          <w:between w:val="nil"/>
        </w:pBdr>
        <w:spacing w:after="0" w:line="360" w:lineRule="auto"/>
        <w:ind w:right="9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053A4C">
        <w:rPr>
          <w:rFonts w:ascii="Palatino Linotype" w:eastAsia="Palatino Linotype" w:hAnsi="Palatino Linotype" w:cs="Palatino Linotype"/>
          <w:sz w:val="24"/>
          <w:szCs w:val="24"/>
          <w:vertAlign w:val="superscript"/>
        </w:rPr>
        <w:footnoteReference w:id="5"/>
      </w:r>
    </w:p>
    <w:p w14:paraId="2C239D6E" w14:textId="77777777" w:rsidR="005C5B6C" w:rsidRPr="00053A4C" w:rsidRDefault="005C5B6C">
      <w:pPr>
        <w:pBdr>
          <w:top w:val="nil"/>
          <w:left w:val="nil"/>
          <w:bottom w:val="nil"/>
          <w:right w:val="nil"/>
          <w:between w:val="nil"/>
        </w:pBdr>
        <w:spacing w:after="0" w:line="360" w:lineRule="auto"/>
        <w:ind w:right="99"/>
        <w:jc w:val="both"/>
        <w:rPr>
          <w:rFonts w:ascii="Palatino Linotype" w:eastAsia="Palatino Linotype" w:hAnsi="Palatino Linotype" w:cs="Palatino Linotype"/>
          <w:sz w:val="24"/>
          <w:szCs w:val="24"/>
        </w:rPr>
      </w:pPr>
    </w:p>
    <w:p w14:paraId="6D5B52A9" w14:textId="77777777" w:rsidR="005C5B6C" w:rsidRPr="00053A4C" w:rsidRDefault="00374ADF">
      <w:pPr>
        <w:pBdr>
          <w:top w:val="nil"/>
          <w:left w:val="nil"/>
          <w:bottom w:val="nil"/>
          <w:right w:val="nil"/>
          <w:between w:val="nil"/>
        </w:pBdr>
        <w:spacing w:after="0" w:line="360" w:lineRule="auto"/>
        <w:ind w:right="99"/>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053A4C">
        <w:rPr>
          <w:rFonts w:ascii="Palatino Linotype" w:eastAsia="Palatino Linotype" w:hAnsi="Palatino Linotype" w:cs="Palatino Linotype"/>
          <w:sz w:val="24"/>
          <w:szCs w:val="24"/>
          <w:vertAlign w:val="superscript"/>
        </w:rPr>
        <w:footnoteReference w:id="6"/>
      </w:r>
    </w:p>
    <w:p w14:paraId="637F0518" w14:textId="77777777" w:rsidR="005C5B6C" w:rsidRPr="00053A4C" w:rsidRDefault="00374ADF">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De ahí que, para entender los alcances de la información pública se considera importante citar el criterio de interpretación en el orden administrativo número 0002-11, emitido por Acuerdo del Pleno de este Instituto de Transparencia y Acceso </w:t>
      </w:r>
      <w:r w:rsidRPr="00053A4C">
        <w:rPr>
          <w:rFonts w:ascii="Palatino Linotype" w:eastAsia="Palatino Linotype" w:hAnsi="Palatino Linotype" w:cs="Palatino Linotype"/>
          <w:sz w:val="24"/>
          <w:szCs w:val="24"/>
        </w:rPr>
        <w:lastRenderedPageBreak/>
        <w:t>a la Información Pública del Estado de México y Municipios, publicado en el Periódico Oficial del Gobierno del Estado Libre y Soberano de México “Gaceta del Gobierno” el diecinueve de octubre de dos mil once, cuyo rubro y texto dispone:</w:t>
      </w:r>
    </w:p>
    <w:p w14:paraId="1AF3528C" w14:textId="77777777" w:rsidR="005C5B6C" w:rsidRPr="00053A4C" w:rsidRDefault="005C5B6C">
      <w:pPr>
        <w:pBdr>
          <w:top w:val="nil"/>
          <w:left w:val="nil"/>
          <w:bottom w:val="nil"/>
          <w:right w:val="nil"/>
          <w:between w:val="nil"/>
        </w:pBdr>
        <w:spacing w:line="360" w:lineRule="auto"/>
        <w:jc w:val="both"/>
        <w:rPr>
          <w:rFonts w:ascii="Palatino Linotype" w:eastAsia="Palatino Linotype" w:hAnsi="Palatino Linotype" w:cs="Palatino Linotype"/>
        </w:rPr>
      </w:pPr>
    </w:p>
    <w:p w14:paraId="03B27CC3" w14:textId="77777777" w:rsidR="005C5B6C" w:rsidRPr="00053A4C" w:rsidRDefault="00374ADF">
      <w:pPr>
        <w:spacing w:line="276" w:lineRule="auto"/>
        <w:ind w:left="567" w:right="567"/>
        <w:jc w:val="both"/>
        <w:rPr>
          <w:rFonts w:ascii="Palatino Linotype" w:eastAsia="Palatino Linotype" w:hAnsi="Palatino Linotype" w:cs="Palatino Linotype"/>
          <w:b/>
          <w:i/>
        </w:rPr>
      </w:pPr>
      <w:r w:rsidRPr="00053A4C">
        <w:rPr>
          <w:rFonts w:ascii="Palatino Linotype" w:eastAsia="Palatino Linotype" w:hAnsi="Palatino Linotype" w:cs="Palatino Linotype"/>
          <w:b/>
          <w:i/>
        </w:rPr>
        <w:t>“CRITERIO 0002-11</w:t>
      </w:r>
    </w:p>
    <w:p w14:paraId="7168E548" w14:textId="77777777" w:rsidR="005C5B6C" w:rsidRPr="00053A4C" w:rsidRDefault="00374ADF">
      <w:pPr>
        <w:spacing w:line="276" w:lineRule="auto"/>
        <w:ind w:left="567" w:right="567"/>
        <w:jc w:val="both"/>
        <w:rPr>
          <w:rFonts w:ascii="Palatino Linotype" w:eastAsia="Palatino Linotype" w:hAnsi="Palatino Linotype" w:cs="Palatino Linotype"/>
          <w:i/>
        </w:rPr>
      </w:pPr>
      <w:r w:rsidRPr="00053A4C">
        <w:rPr>
          <w:rFonts w:ascii="Palatino Linotype" w:eastAsia="Palatino Linotype" w:hAnsi="Palatino Linotype" w:cs="Palatino Linotype"/>
          <w:b/>
          <w:i/>
        </w:rPr>
        <w:t>INFORMACIÓN PÚBLICA, CONCEPTO DE, EN MATERIA DE TRANSPARENCIA. INTERPRETACIÓN TEMÁTICA DE LOS ARTÍCULOS 2, FRACCIÓN V, XV, Y XVI, 32, 4,11 Y 41.</w:t>
      </w:r>
      <w:r w:rsidRPr="00053A4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0EDF2" w14:textId="77777777" w:rsidR="005C5B6C" w:rsidRPr="00053A4C" w:rsidRDefault="00374ADF">
      <w:pPr>
        <w:spacing w:line="276" w:lineRule="auto"/>
        <w:ind w:left="567" w:right="567"/>
        <w:jc w:val="both"/>
        <w:rPr>
          <w:rFonts w:ascii="Palatino Linotype" w:eastAsia="Palatino Linotype" w:hAnsi="Palatino Linotype" w:cs="Palatino Linotype"/>
          <w:i/>
        </w:rPr>
      </w:pPr>
      <w:r w:rsidRPr="00053A4C">
        <w:rPr>
          <w:rFonts w:ascii="Palatino Linotype" w:eastAsia="Palatino Linotype" w:hAnsi="Palatino Linotype" w:cs="Palatino Linotype"/>
          <w:i/>
        </w:rPr>
        <w:t>En consecuencia el acceso a la información se refiere a que se cumplan cualquiera de los siguientes tres supuestos:</w:t>
      </w:r>
    </w:p>
    <w:p w14:paraId="5025413E" w14:textId="77777777" w:rsidR="005C5B6C" w:rsidRPr="00053A4C" w:rsidRDefault="00374ADF">
      <w:pPr>
        <w:spacing w:line="276" w:lineRule="auto"/>
        <w:ind w:left="567" w:right="567"/>
        <w:jc w:val="both"/>
        <w:rPr>
          <w:rFonts w:ascii="Palatino Linotype" w:eastAsia="Palatino Linotype" w:hAnsi="Palatino Linotype" w:cs="Palatino Linotype"/>
          <w:i/>
        </w:rPr>
      </w:pPr>
      <w:r w:rsidRPr="00053A4C">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4044C9AE" w14:textId="77777777" w:rsidR="005C5B6C" w:rsidRPr="00053A4C" w:rsidRDefault="00374ADF">
      <w:pPr>
        <w:spacing w:line="276" w:lineRule="auto"/>
        <w:ind w:left="567" w:right="567"/>
        <w:jc w:val="both"/>
        <w:rPr>
          <w:rFonts w:ascii="Palatino Linotype" w:eastAsia="Palatino Linotype" w:hAnsi="Palatino Linotype" w:cs="Palatino Linotype"/>
          <w:i/>
        </w:rPr>
      </w:pPr>
      <w:r w:rsidRPr="00053A4C">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29F9F01A" w14:textId="77777777" w:rsidR="005C5B6C" w:rsidRPr="00053A4C" w:rsidRDefault="00374ADF">
      <w:pPr>
        <w:spacing w:line="276" w:lineRule="auto"/>
        <w:ind w:left="567" w:right="567"/>
        <w:jc w:val="both"/>
        <w:rPr>
          <w:rFonts w:ascii="Palatino Linotype" w:eastAsia="Palatino Linotype" w:hAnsi="Palatino Linotype" w:cs="Palatino Linotype"/>
          <w:i/>
        </w:rPr>
      </w:pPr>
      <w:r w:rsidRPr="00053A4C">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Obligados.”(Sic)</w:t>
      </w:r>
    </w:p>
    <w:p w14:paraId="747CF1C1" w14:textId="77777777" w:rsidR="005C5B6C" w:rsidRPr="00053A4C" w:rsidRDefault="005C5B6C">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85370EC" w14:textId="77777777" w:rsidR="005C5B6C" w:rsidRPr="00053A4C" w:rsidRDefault="00374ADF">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w:t>
      </w:r>
      <w:r w:rsidRPr="00053A4C">
        <w:rPr>
          <w:rFonts w:ascii="Palatino Linotype" w:eastAsia="Palatino Linotype" w:hAnsi="Palatino Linotype" w:cs="Palatino Linotype"/>
          <w:sz w:val="24"/>
          <w:szCs w:val="24"/>
        </w:rPr>
        <w:lastRenderedPageBreak/>
        <w:t>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41FF8A8"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99326AA" w14:textId="77777777" w:rsidR="005C5B6C" w:rsidRPr="00053A4C" w:rsidRDefault="00374ADF">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Con base a lo anterior, tenemos que la parte </w:t>
      </w:r>
      <w:r w:rsidRPr="00053A4C">
        <w:rPr>
          <w:rFonts w:ascii="Palatino Linotype" w:eastAsia="Palatino Linotype" w:hAnsi="Palatino Linotype" w:cs="Palatino Linotype"/>
          <w:b/>
          <w:sz w:val="24"/>
          <w:szCs w:val="24"/>
        </w:rPr>
        <w:t>RECURRENTE</w:t>
      </w:r>
      <w:r w:rsidRPr="00053A4C">
        <w:rPr>
          <w:rFonts w:ascii="Palatino Linotype" w:eastAsia="Palatino Linotype" w:hAnsi="Palatino Linotype" w:cs="Palatino Linotype"/>
          <w:sz w:val="24"/>
          <w:szCs w:val="24"/>
        </w:rPr>
        <w:t xml:space="preserve"> en su solicitud de información requiere de una explicación o bien una razón a una consulta sobre un caso específico por parte del </w:t>
      </w:r>
      <w:r w:rsidRPr="00053A4C">
        <w:rPr>
          <w:rFonts w:ascii="Palatino Linotype" w:eastAsia="Palatino Linotype" w:hAnsi="Palatino Linotype" w:cs="Palatino Linotype"/>
          <w:b/>
          <w:sz w:val="24"/>
          <w:szCs w:val="24"/>
        </w:rPr>
        <w:t>SUJETO OBLIGADO</w:t>
      </w:r>
      <w:r w:rsidRPr="00053A4C">
        <w:rPr>
          <w:rFonts w:ascii="Palatino Linotype" w:eastAsia="Palatino Linotype" w:hAnsi="Palatino Linotype" w:cs="Palatino Linotype"/>
          <w:sz w:val="24"/>
          <w:szCs w:val="24"/>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2D3F153C" w14:textId="77777777" w:rsidR="005C5B6C" w:rsidRPr="00053A4C" w:rsidRDefault="005C5B6C">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681E7197" w14:textId="77777777" w:rsidR="005C5B6C" w:rsidRPr="00053A4C" w:rsidRDefault="00374ADF">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w:t>
      </w:r>
      <w:r w:rsidRPr="00053A4C">
        <w:rPr>
          <w:rFonts w:ascii="Palatino Linotype" w:eastAsia="Palatino Linotype" w:hAnsi="Palatino Linotype" w:cs="Palatino Linotype"/>
          <w:sz w:val="24"/>
          <w:szCs w:val="24"/>
        </w:rPr>
        <w:lastRenderedPageBreak/>
        <w:t xml:space="preserve">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053A4C">
        <w:rPr>
          <w:rFonts w:ascii="Palatino Linotype" w:eastAsia="Palatino Linotype" w:hAnsi="Palatino Linotype" w:cs="Palatino Linotype"/>
          <w:b/>
          <w:sz w:val="24"/>
          <w:szCs w:val="24"/>
        </w:rPr>
        <w:t>SUJETO OBLIGADO</w:t>
      </w:r>
      <w:r w:rsidRPr="00053A4C">
        <w:rPr>
          <w:rFonts w:ascii="Palatino Linotype" w:eastAsia="Palatino Linotype" w:hAnsi="Palatino Linotype" w:cs="Palatino Linotype"/>
          <w:sz w:val="24"/>
          <w:szCs w:val="24"/>
        </w:rPr>
        <w:t xml:space="preserve"> aclare una inquietud.</w:t>
      </w:r>
    </w:p>
    <w:p w14:paraId="72F8A30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793BA22" w14:textId="77777777" w:rsidR="005C5B6C" w:rsidRPr="00053A4C" w:rsidRDefault="00374ADF">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En virtud de los argumentos expuestos con anterioridad así como del análisis realizado a las constancias que obran en el expediente electrónico del SAIMEX, identificado con folio </w:t>
      </w:r>
      <w:r w:rsidRPr="00053A4C">
        <w:rPr>
          <w:rFonts w:ascii="Palatino Linotype" w:eastAsia="Palatino Linotype" w:hAnsi="Palatino Linotype" w:cs="Palatino Linotype"/>
          <w:b/>
          <w:sz w:val="24"/>
          <w:szCs w:val="24"/>
        </w:rPr>
        <w:t>00217/SMOV/IP/2023</w:t>
      </w:r>
      <w:r w:rsidRPr="00053A4C">
        <w:rPr>
          <w:rFonts w:ascii="Palatino Linotype" w:eastAsia="Palatino Linotype" w:hAnsi="Palatino Linotype" w:cs="Palatino Linotype"/>
          <w:sz w:val="24"/>
          <w:szCs w:val="24"/>
        </w:rPr>
        <w:t xml:space="preserve">, se determina sobreseer el presente recurso de revisión número </w:t>
      </w:r>
      <w:r w:rsidRPr="00053A4C">
        <w:rPr>
          <w:rFonts w:ascii="Palatino Linotype" w:eastAsia="Palatino Linotype" w:hAnsi="Palatino Linotype" w:cs="Palatino Linotype"/>
          <w:b/>
          <w:sz w:val="24"/>
          <w:szCs w:val="24"/>
        </w:rPr>
        <w:t>02904/INFOEM/IP/RR/2023,</w:t>
      </w:r>
      <w:r w:rsidRPr="00053A4C">
        <w:rPr>
          <w:rFonts w:ascii="Verdana" w:eastAsia="Verdana" w:hAnsi="Verdana" w:cs="Verdana"/>
          <w:b/>
          <w:sz w:val="24"/>
          <w:szCs w:val="24"/>
        </w:rPr>
        <w:t xml:space="preserve"> </w:t>
      </w:r>
      <w:r w:rsidRPr="00053A4C">
        <w:rPr>
          <w:rFonts w:ascii="Palatino Linotype" w:eastAsia="Palatino Linotype" w:hAnsi="Palatino Linotype" w:cs="Palatino Linotype"/>
          <w:sz w:val="24"/>
          <w:szCs w:val="24"/>
        </w:rPr>
        <w:t>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09587BCD" w14:textId="77777777" w:rsidR="005C5B6C" w:rsidRPr="00053A4C" w:rsidRDefault="00374ADF">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53A4C">
        <w:rPr>
          <w:rFonts w:ascii="Palatino Linotype" w:eastAsia="Palatino Linotype" w:hAnsi="Palatino Linotype" w:cs="Palatino Linotype"/>
          <w:i/>
        </w:rPr>
        <w:t>“</w:t>
      </w:r>
      <w:r w:rsidRPr="00053A4C">
        <w:rPr>
          <w:rFonts w:ascii="Palatino Linotype" w:eastAsia="Palatino Linotype" w:hAnsi="Palatino Linotype" w:cs="Palatino Linotype"/>
          <w:b/>
          <w:i/>
        </w:rPr>
        <w:t>Artículo 192.</w:t>
      </w:r>
      <w:r w:rsidRPr="00053A4C">
        <w:rPr>
          <w:rFonts w:ascii="Palatino Linotype" w:eastAsia="Palatino Linotype" w:hAnsi="Palatino Linotype" w:cs="Palatino Linotype"/>
          <w:i/>
        </w:rPr>
        <w:t xml:space="preserve"> El recurso será sobreseído, en todo o en parte, cuando una vez admitido, se actualicen alguno de los siguientes supuestos:</w:t>
      </w:r>
    </w:p>
    <w:p w14:paraId="22922BF6" w14:textId="77777777" w:rsidR="005C5B6C" w:rsidRPr="00053A4C" w:rsidRDefault="00374ADF">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53A4C">
        <w:rPr>
          <w:rFonts w:ascii="Palatino Linotype" w:eastAsia="Palatino Linotype" w:hAnsi="Palatino Linotype" w:cs="Palatino Linotype"/>
          <w:i/>
        </w:rPr>
        <w:lastRenderedPageBreak/>
        <w:t>…</w:t>
      </w:r>
    </w:p>
    <w:p w14:paraId="5CAD3097" w14:textId="77777777" w:rsidR="005C5B6C" w:rsidRPr="00053A4C" w:rsidRDefault="00374ADF">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53A4C">
        <w:rPr>
          <w:rFonts w:ascii="Palatino Linotype" w:eastAsia="Palatino Linotype" w:hAnsi="Palatino Linotype" w:cs="Palatino Linotype"/>
          <w:b/>
          <w:i/>
        </w:rPr>
        <w:t>IV</w:t>
      </w:r>
      <w:r w:rsidRPr="00053A4C">
        <w:rPr>
          <w:rFonts w:ascii="Palatino Linotype" w:eastAsia="Palatino Linotype" w:hAnsi="Palatino Linotype" w:cs="Palatino Linotype"/>
          <w:i/>
        </w:rPr>
        <w:t xml:space="preserve">. Admitido el recurso de revisión, </w:t>
      </w:r>
      <w:r w:rsidRPr="00053A4C">
        <w:rPr>
          <w:rFonts w:ascii="Palatino Linotype" w:eastAsia="Palatino Linotype" w:hAnsi="Palatino Linotype" w:cs="Palatino Linotype"/>
          <w:b/>
          <w:i/>
        </w:rPr>
        <w:t>aparezca alguna causal de improcedencia</w:t>
      </w:r>
      <w:r w:rsidRPr="00053A4C">
        <w:rPr>
          <w:rFonts w:ascii="Palatino Linotype" w:eastAsia="Palatino Linotype" w:hAnsi="Palatino Linotype" w:cs="Palatino Linotype"/>
          <w:i/>
        </w:rPr>
        <w:t xml:space="preserve"> en los términos de la presente Ley…</w:t>
      </w:r>
    </w:p>
    <w:p w14:paraId="7B2E01D8" w14:textId="77777777" w:rsidR="005C5B6C" w:rsidRPr="00053A4C" w:rsidRDefault="00374ADF">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53A4C">
        <w:rPr>
          <w:rFonts w:ascii="Palatino Linotype" w:eastAsia="Palatino Linotype" w:hAnsi="Palatino Linotype" w:cs="Palatino Linotype"/>
          <w:b/>
          <w:i/>
        </w:rPr>
        <w:t>Artículo 191</w:t>
      </w:r>
      <w:r w:rsidRPr="00053A4C">
        <w:rPr>
          <w:rFonts w:ascii="Palatino Linotype" w:eastAsia="Palatino Linotype" w:hAnsi="Palatino Linotype" w:cs="Palatino Linotype"/>
          <w:i/>
        </w:rPr>
        <w:t xml:space="preserve">. </w:t>
      </w:r>
      <w:r w:rsidRPr="00053A4C">
        <w:rPr>
          <w:rFonts w:ascii="Palatino Linotype" w:eastAsia="Palatino Linotype" w:hAnsi="Palatino Linotype" w:cs="Palatino Linotype"/>
          <w:b/>
          <w:i/>
        </w:rPr>
        <w:t>El recurso</w:t>
      </w:r>
      <w:r w:rsidRPr="00053A4C">
        <w:rPr>
          <w:rFonts w:ascii="Palatino Linotype" w:eastAsia="Palatino Linotype" w:hAnsi="Palatino Linotype" w:cs="Palatino Linotype"/>
          <w:i/>
        </w:rPr>
        <w:t xml:space="preserve"> </w:t>
      </w:r>
      <w:r w:rsidRPr="00053A4C">
        <w:rPr>
          <w:rFonts w:ascii="Palatino Linotype" w:eastAsia="Palatino Linotype" w:hAnsi="Palatino Linotype" w:cs="Palatino Linotype"/>
          <w:b/>
          <w:i/>
        </w:rPr>
        <w:t xml:space="preserve">será </w:t>
      </w:r>
      <w:r w:rsidRPr="00053A4C">
        <w:rPr>
          <w:rFonts w:ascii="Palatino Linotype" w:eastAsia="Palatino Linotype" w:hAnsi="Palatino Linotype" w:cs="Palatino Linotype"/>
          <w:i/>
        </w:rPr>
        <w:t xml:space="preserve">desechado por </w:t>
      </w:r>
      <w:r w:rsidRPr="00053A4C">
        <w:rPr>
          <w:rFonts w:ascii="Palatino Linotype" w:eastAsia="Palatino Linotype" w:hAnsi="Palatino Linotype" w:cs="Palatino Linotype"/>
          <w:b/>
          <w:i/>
        </w:rPr>
        <w:t>improcedente cuando</w:t>
      </w:r>
      <w:r w:rsidRPr="00053A4C">
        <w:rPr>
          <w:rFonts w:ascii="Palatino Linotype" w:eastAsia="Palatino Linotype" w:hAnsi="Palatino Linotype" w:cs="Palatino Linotype"/>
          <w:i/>
        </w:rPr>
        <w:t>:</w:t>
      </w:r>
    </w:p>
    <w:p w14:paraId="2F09B860" w14:textId="77777777" w:rsidR="005C5B6C" w:rsidRPr="00053A4C" w:rsidRDefault="00374ADF">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53A4C">
        <w:rPr>
          <w:rFonts w:ascii="Palatino Linotype" w:eastAsia="Palatino Linotype" w:hAnsi="Palatino Linotype" w:cs="Palatino Linotype"/>
          <w:i/>
        </w:rPr>
        <w:t>…</w:t>
      </w:r>
    </w:p>
    <w:p w14:paraId="22F30CEC" w14:textId="77777777" w:rsidR="005C5B6C" w:rsidRPr="00053A4C" w:rsidRDefault="00374ADF">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53A4C">
        <w:rPr>
          <w:rFonts w:ascii="Palatino Linotype" w:eastAsia="Palatino Linotype" w:hAnsi="Palatino Linotype" w:cs="Palatino Linotype"/>
          <w:b/>
          <w:i/>
        </w:rPr>
        <w:t>VI. Se trate de una consulta</w:t>
      </w:r>
      <w:r w:rsidRPr="00053A4C">
        <w:rPr>
          <w:rFonts w:ascii="Palatino Linotype" w:eastAsia="Palatino Linotype" w:hAnsi="Palatino Linotype" w:cs="Palatino Linotype"/>
          <w:i/>
        </w:rPr>
        <w:t>, o tramite en específico... (Sic)</w:t>
      </w:r>
    </w:p>
    <w:p w14:paraId="61438F9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77E8E6ED"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Siendo el </w:t>
      </w:r>
      <w:r w:rsidRPr="00053A4C">
        <w:rPr>
          <w:rFonts w:ascii="Palatino Linotype" w:eastAsia="Palatino Linotype" w:hAnsi="Palatino Linotype" w:cs="Palatino Linotype"/>
          <w:i/>
          <w:sz w:val="24"/>
          <w:szCs w:val="24"/>
        </w:rPr>
        <w:t>sobreseimiento</w:t>
      </w:r>
      <w:r w:rsidRPr="00053A4C">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3CF00616"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5F265AB9" w14:textId="77777777" w:rsidR="005C5B6C" w:rsidRPr="00053A4C" w:rsidRDefault="00374ADF">
      <w:pPr>
        <w:spacing w:after="0" w:line="360" w:lineRule="auto"/>
        <w:jc w:val="both"/>
        <w:rPr>
          <w:rFonts w:ascii="Palatino Linotype" w:eastAsia="Palatino Linotype" w:hAnsi="Palatino Linotype" w:cs="Palatino Linotype"/>
          <w:b/>
          <w:sz w:val="24"/>
          <w:szCs w:val="24"/>
        </w:rPr>
      </w:pPr>
      <w:r w:rsidRPr="00053A4C">
        <w:rPr>
          <w:rFonts w:ascii="Palatino Linotype" w:eastAsia="Palatino Linotype" w:hAnsi="Palatino Linotype" w:cs="Palatino Linotype"/>
          <w:sz w:val="24"/>
          <w:szCs w:val="24"/>
        </w:rPr>
        <w:t>“</w:t>
      </w:r>
      <w:r w:rsidRPr="00053A4C">
        <w:rPr>
          <w:rFonts w:ascii="Palatino Linotype" w:eastAsia="Palatino Linotype" w:hAnsi="Palatino Linotype" w:cs="Palatino Linotype"/>
          <w:b/>
          <w:sz w:val="24"/>
          <w:szCs w:val="24"/>
        </w:rPr>
        <w:t>SOBRESEIMIENTO, NO PERMITE ENTRAR AL ESTUDIO DE LAS CUESTIONES DE FONDO”</w:t>
      </w:r>
      <w:r w:rsidRPr="00053A4C">
        <w:rPr>
          <w:rFonts w:ascii="Palatino Linotype" w:eastAsia="Palatino Linotype" w:hAnsi="Palatino Linotype" w:cs="Palatino Linotype"/>
          <w:b/>
          <w:sz w:val="24"/>
          <w:szCs w:val="24"/>
          <w:vertAlign w:val="superscript"/>
        </w:rPr>
        <w:footnoteReference w:id="7"/>
      </w:r>
      <w:r w:rsidRPr="00053A4C">
        <w:rPr>
          <w:rFonts w:ascii="Palatino Linotype" w:eastAsia="Palatino Linotype" w:hAnsi="Palatino Linotype" w:cs="Palatino Linotype"/>
          <w:b/>
          <w:sz w:val="24"/>
          <w:szCs w:val="24"/>
        </w:rPr>
        <w:t>.</w:t>
      </w:r>
    </w:p>
    <w:p w14:paraId="5D735827"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D09AE0E"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Cabe destacar que la decisión de este órgano colegiado de sobreseer el recurso de revisión no implica una limitación o negación a la justicia, según lo ha establecido el </w:t>
      </w:r>
      <w:r w:rsidRPr="00053A4C">
        <w:rPr>
          <w:rFonts w:ascii="Palatino Linotype" w:eastAsia="Palatino Linotype" w:hAnsi="Palatino Linotype" w:cs="Palatino Linotype"/>
          <w:sz w:val="24"/>
          <w:szCs w:val="24"/>
        </w:rPr>
        <w:lastRenderedPageBreak/>
        <w:t>Poder Judicial Federal, en el criterio con rubro “</w:t>
      </w:r>
      <w:r w:rsidRPr="00053A4C">
        <w:rPr>
          <w:rFonts w:ascii="Palatino Linotype" w:eastAsia="Palatino Linotype" w:hAnsi="Palatino Linotype" w:cs="Palatino Linotype"/>
          <w:b/>
          <w:sz w:val="24"/>
          <w:szCs w:val="24"/>
        </w:rPr>
        <w:t>DESECHAMIENTO O SOBRESEIMIENTO EN EL JUICIO DE AMPARO. NO IMPLICA DENEGACIÓN DE JUSTICIA NI GENERA INSEGURIDAD JURÍDICA”</w:t>
      </w:r>
      <w:r w:rsidRPr="00053A4C">
        <w:rPr>
          <w:rFonts w:ascii="Palatino Linotype" w:eastAsia="Palatino Linotype" w:hAnsi="Palatino Linotype" w:cs="Palatino Linotype"/>
          <w:b/>
          <w:sz w:val="24"/>
          <w:szCs w:val="24"/>
          <w:vertAlign w:val="superscript"/>
        </w:rPr>
        <w:footnoteReference w:id="8"/>
      </w:r>
      <w:r w:rsidRPr="00053A4C">
        <w:rPr>
          <w:rFonts w:ascii="Palatino Linotype" w:eastAsia="Palatino Linotype" w:hAnsi="Palatino Linotype" w:cs="Palatino Linotype"/>
          <w:sz w:val="24"/>
          <w:szCs w:val="24"/>
        </w:rPr>
        <w:t xml:space="preserve"> que es aplicable por analogía.</w:t>
      </w:r>
    </w:p>
    <w:p w14:paraId="6767196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7946D889"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2DEE0897" w14:textId="77777777" w:rsidR="005C5B6C" w:rsidRPr="00053A4C" w:rsidRDefault="005C5B6C">
      <w:pPr>
        <w:spacing w:after="0" w:line="360" w:lineRule="auto"/>
        <w:ind w:right="49"/>
        <w:jc w:val="both"/>
        <w:rPr>
          <w:rFonts w:ascii="Palatino Linotype" w:eastAsia="Palatino Linotype" w:hAnsi="Palatino Linotype" w:cs="Palatino Linotype"/>
          <w:sz w:val="24"/>
          <w:szCs w:val="24"/>
        </w:rPr>
      </w:pPr>
    </w:p>
    <w:p w14:paraId="1FCC5669" w14:textId="77777777" w:rsidR="005C5B6C" w:rsidRPr="00053A4C" w:rsidRDefault="005C5B6C">
      <w:pPr>
        <w:spacing w:after="0" w:line="360" w:lineRule="auto"/>
        <w:ind w:right="49"/>
        <w:jc w:val="both"/>
        <w:rPr>
          <w:rFonts w:ascii="Palatino Linotype" w:eastAsia="Palatino Linotype" w:hAnsi="Palatino Linotype" w:cs="Palatino Linotype"/>
          <w:sz w:val="24"/>
          <w:szCs w:val="24"/>
        </w:rPr>
      </w:pPr>
    </w:p>
    <w:p w14:paraId="7D1BAD8B" w14:textId="77777777" w:rsidR="005C5B6C" w:rsidRPr="00053A4C" w:rsidRDefault="005C5B6C">
      <w:pPr>
        <w:spacing w:after="0" w:line="360" w:lineRule="auto"/>
        <w:ind w:right="49"/>
        <w:jc w:val="both"/>
        <w:rPr>
          <w:rFonts w:ascii="Palatino Linotype" w:eastAsia="Palatino Linotype" w:hAnsi="Palatino Linotype" w:cs="Palatino Linotype"/>
          <w:sz w:val="24"/>
          <w:szCs w:val="24"/>
        </w:rPr>
      </w:pPr>
    </w:p>
    <w:p w14:paraId="29DD9E91" w14:textId="77777777" w:rsidR="005C5B6C" w:rsidRPr="00053A4C" w:rsidRDefault="00374ADF">
      <w:pPr>
        <w:spacing w:after="0" w:line="360" w:lineRule="auto"/>
        <w:ind w:left="360"/>
        <w:jc w:val="center"/>
        <w:rPr>
          <w:rFonts w:ascii="Palatino Linotype" w:eastAsia="Palatino Linotype" w:hAnsi="Palatino Linotype" w:cs="Palatino Linotype"/>
          <w:b/>
          <w:sz w:val="24"/>
          <w:szCs w:val="24"/>
        </w:rPr>
      </w:pPr>
      <w:r w:rsidRPr="00053A4C">
        <w:rPr>
          <w:rFonts w:ascii="Palatino Linotype" w:eastAsia="Palatino Linotype" w:hAnsi="Palatino Linotype" w:cs="Palatino Linotype"/>
          <w:b/>
          <w:sz w:val="24"/>
          <w:szCs w:val="24"/>
        </w:rPr>
        <w:t>R E S U E L V E:</w:t>
      </w:r>
    </w:p>
    <w:p w14:paraId="3618D7E6" w14:textId="77777777" w:rsidR="005C5B6C" w:rsidRPr="00053A4C" w:rsidRDefault="005C5B6C">
      <w:pPr>
        <w:spacing w:after="0" w:line="360" w:lineRule="auto"/>
        <w:ind w:left="360"/>
        <w:jc w:val="center"/>
        <w:rPr>
          <w:rFonts w:ascii="Palatino Linotype" w:eastAsia="Palatino Linotype" w:hAnsi="Palatino Linotype" w:cs="Palatino Linotype"/>
          <w:b/>
          <w:sz w:val="24"/>
          <w:szCs w:val="24"/>
        </w:rPr>
      </w:pPr>
    </w:p>
    <w:p w14:paraId="721F675F" w14:textId="77777777" w:rsidR="005C5B6C" w:rsidRPr="00053A4C" w:rsidRDefault="00374ADF">
      <w:pPr>
        <w:tabs>
          <w:tab w:val="left" w:pos="8647"/>
        </w:tabs>
        <w:spacing w:after="0" w:line="360" w:lineRule="auto"/>
        <w:ind w:right="51"/>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lastRenderedPageBreak/>
        <w:t>Primero.</w:t>
      </w:r>
      <w:r w:rsidRPr="00053A4C">
        <w:rPr>
          <w:rFonts w:ascii="Palatino Linotype" w:eastAsia="Palatino Linotype" w:hAnsi="Palatino Linotype" w:cs="Palatino Linotype"/>
          <w:sz w:val="24"/>
          <w:szCs w:val="24"/>
        </w:rPr>
        <w:t xml:space="preserve"> Se </w:t>
      </w:r>
      <w:r w:rsidRPr="00053A4C">
        <w:rPr>
          <w:rFonts w:ascii="Palatino Linotype" w:eastAsia="Palatino Linotype" w:hAnsi="Palatino Linotype" w:cs="Palatino Linotype"/>
          <w:b/>
          <w:sz w:val="24"/>
          <w:szCs w:val="24"/>
        </w:rPr>
        <w:t>SOBRESEE</w:t>
      </w:r>
      <w:r w:rsidRPr="00053A4C">
        <w:rPr>
          <w:rFonts w:ascii="Palatino Linotype" w:eastAsia="Palatino Linotype" w:hAnsi="Palatino Linotype" w:cs="Palatino Linotype"/>
          <w:sz w:val="24"/>
          <w:szCs w:val="24"/>
        </w:rPr>
        <w:t xml:space="preserve"> el recurso de revisión número </w:t>
      </w:r>
      <w:r w:rsidRPr="00053A4C">
        <w:rPr>
          <w:rFonts w:ascii="Palatino Linotype" w:eastAsia="Palatino Linotype" w:hAnsi="Palatino Linotype" w:cs="Palatino Linotype"/>
          <w:b/>
          <w:sz w:val="24"/>
          <w:szCs w:val="24"/>
        </w:rPr>
        <w:t>02904/INFOEM/IP/RR/2023</w:t>
      </w:r>
      <w:r w:rsidRPr="00053A4C">
        <w:rPr>
          <w:rFonts w:ascii="Palatino Linotype" w:eastAsia="Palatino Linotype" w:hAnsi="Palatino Linotype" w:cs="Palatino Linotype"/>
          <w:sz w:val="24"/>
          <w:szCs w:val="24"/>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Pr="00053A4C">
        <w:rPr>
          <w:rFonts w:ascii="Palatino Linotype" w:eastAsia="Palatino Linotype" w:hAnsi="Palatino Linotype" w:cs="Palatino Linotype"/>
          <w:b/>
          <w:sz w:val="24"/>
          <w:szCs w:val="24"/>
        </w:rPr>
        <w:t>TERCERO</w:t>
      </w:r>
      <w:r w:rsidRPr="00053A4C">
        <w:rPr>
          <w:rFonts w:ascii="Palatino Linotype" w:eastAsia="Palatino Linotype" w:hAnsi="Palatino Linotype" w:cs="Palatino Linotype"/>
          <w:sz w:val="24"/>
          <w:szCs w:val="24"/>
        </w:rPr>
        <w:t xml:space="preserve"> de la presente resolución.</w:t>
      </w:r>
    </w:p>
    <w:p w14:paraId="39CD9907"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1F748294"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SEGUNDO. Notifíquese vía SAIMEX</w:t>
      </w:r>
      <w:r w:rsidRPr="00053A4C">
        <w:rPr>
          <w:rFonts w:ascii="Palatino Linotype" w:eastAsia="Palatino Linotype" w:hAnsi="Palatino Linotype" w:cs="Palatino Linotype"/>
          <w:b/>
          <w:i/>
          <w:sz w:val="24"/>
          <w:szCs w:val="24"/>
        </w:rPr>
        <w:t xml:space="preserve">, </w:t>
      </w:r>
      <w:r w:rsidRPr="00053A4C">
        <w:rPr>
          <w:rFonts w:ascii="Palatino Linotype" w:eastAsia="Palatino Linotype" w:hAnsi="Palatino Linotype" w:cs="Palatino Linotype"/>
          <w:sz w:val="24"/>
          <w:szCs w:val="24"/>
        </w:rPr>
        <w:t xml:space="preserve">al Responsable de la Unidad de Transparencia del </w:t>
      </w:r>
      <w:r w:rsidRPr="00053A4C">
        <w:rPr>
          <w:rFonts w:ascii="Palatino Linotype" w:eastAsia="Palatino Linotype" w:hAnsi="Palatino Linotype" w:cs="Palatino Linotype"/>
          <w:b/>
          <w:sz w:val="24"/>
          <w:szCs w:val="24"/>
        </w:rPr>
        <w:t>SUJETO OBLIGADO</w:t>
      </w:r>
      <w:r w:rsidRPr="00053A4C">
        <w:rPr>
          <w:rFonts w:ascii="Palatino Linotype" w:eastAsia="Palatino Linotype" w:hAnsi="Palatino Linotype" w:cs="Palatino Linotype"/>
          <w:sz w:val="24"/>
          <w:szCs w:val="24"/>
        </w:rPr>
        <w:t xml:space="preserve"> la presente resolución, para su conocimiento, lo anterior en términos del artículo 189 de la Ley de Transparencia y Acceso a la Información Pública del Estado de México y Municipios.</w:t>
      </w:r>
    </w:p>
    <w:p w14:paraId="53C223DB"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59E67C52"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b/>
          <w:sz w:val="24"/>
          <w:szCs w:val="24"/>
        </w:rPr>
        <w:t xml:space="preserve">TERCERO.  Notifíquese </w:t>
      </w:r>
      <w:r w:rsidRPr="00053A4C">
        <w:rPr>
          <w:rFonts w:ascii="Palatino Linotype" w:eastAsia="Palatino Linotype" w:hAnsi="Palatino Linotype" w:cs="Palatino Linotype"/>
          <w:sz w:val="24"/>
          <w:szCs w:val="24"/>
        </w:rPr>
        <w:t>vía SAIMEX</w:t>
      </w:r>
      <w:r w:rsidRPr="00053A4C">
        <w:rPr>
          <w:rFonts w:ascii="Palatino Linotype" w:eastAsia="Palatino Linotype" w:hAnsi="Palatino Linotype" w:cs="Palatino Linotype"/>
          <w:b/>
          <w:sz w:val="24"/>
          <w:szCs w:val="24"/>
        </w:rPr>
        <w:t xml:space="preserve">, </w:t>
      </w:r>
      <w:r w:rsidRPr="00053A4C">
        <w:rPr>
          <w:rFonts w:ascii="Palatino Linotype" w:eastAsia="Palatino Linotype" w:hAnsi="Palatino Linotype" w:cs="Palatino Linotype"/>
          <w:sz w:val="24"/>
          <w:szCs w:val="24"/>
        </w:rPr>
        <w:t xml:space="preserve">la presente resolución a </w:t>
      </w:r>
      <w:r w:rsidRPr="00053A4C">
        <w:rPr>
          <w:rFonts w:ascii="Palatino Linotype" w:eastAsia="Palatino Linotype" w:hAnsi="Palatino Linotype" w:cs="Palatino Linotype"/>
          <w:b/>
          <w:sz w:val="24"/>
          <w:szCs w:val="24"/>
        </w:rPr>
        <w:t>LA PARTE</w:t>
      </w:r>
      <w:r w:rsidRPr="00053A4C">
        <w:rPr>
          <w:rFonts w:ascii="Palatino Linotype" w:eastAsia="Palatino Linotype" w:hAnsi="Palatino Linotype" w:cs="Palatino Linotype"/>
          <w:sz w:val="24"/>
          <w:szCs w:val="24"/>
        </w:rPr>
        <w:t xml:space="preserve"> </w:t>
      </w:r>
      <w:r w:rsidRPr="00053A4C">
        <w:rPr>
          <w:rFonts w:ascii="Palatino Linotype" w:eastAsia="Palatino Linotype" w:hAnsi="Palatino Linotype" w:cs="Palatino Linotype"/>
          <w:b/>
          <w:sz w:val="24"/>
          <w:szCs w:val="24"/>
        </w:rPr>
        <w:t>RECURRENTE</w:t>
      </w:r>
      <w:r w:rsidRPr="00053A4C">
        <w:rPr>
          <w:rFonts w:ascii="Palatino Linotype" w:eastAsia="Palatino Linotype" w:hAnsi="Palatino Linotype" w:cs="Palatino Linotype"/>
          <w:sz w:val="24"/>
          <w:szCs w:val="24"/>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A3C47F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75A23B20" w14:textId="77777777" w:rsidR="005C5B6C" w:rsidRPr="00053A4C" w:rsidRDefault="00374ADF">
      <w:pPr>
        <w:spacing w:after="0" w:line="360" w:lineRule="auto"/>
        <w:jc w:val="both"/>
        <w:rPr>
          <w:rFonts w:ascii="Palatino Linotype" w:eastAsia="Palatino Linotype" w:hAnsi="Palatino Linotype" w:cs="Palatino Linotype"/>
          <w:sz w:val="24"/>
          <w:szCs w:val="24"/>
        </w:rPr>
      </w:pPr>
      <w:r w:rsidRPr="00053A4C">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053A4C">
        <w:rPr>
          <w:rFonts w:ascii="Palatino Linotype" w:eastAsia="Palatino Linotype" w:hAnsi="Palatino Linotype" w:cs="Palatino Linotype"/>
          <w:sz w:val="24"/>
          <w:szCs w:val="24"/>
        </w:rPr>
        <w:lastRenderedPageBreak/>
        <w:t xml:space="preserve">MORALES MARTÍNEZ, LUIS GUSTAVO PARRA NORIEGA Y GUADALUPE RAMÍREZ PEÑA; EN LA CUADRAGÉSIMA SESIÓN ORDINARIA CELEBRADA EL OCHO DE NOVIEMBRE DE DOS MIL VEINTITRÉS, ANTE EL SECRETARIO TÉCNICO DEL PLENO ALEXIS TAPIA RAMÍREZ. </w:t>
      </w:r>
    </w:p>
    <w:p w14:paraId="6BC33DD2"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C27A397"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57BBACE6"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55E4D39D"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69702A1"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A4CB71A"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5C192767"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4C0974C8"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21D1F8BF"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0F4073EF"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36AC424F"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0978AA2B"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7524E273"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231043C6"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4204CF48"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4D90DA84"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491BE03B"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4D760EF3"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4528601C"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38FBF83A" w14:textId="77777777" w:rsidR="00053A4C" w:rsidRPr="00053A4C" w:rsidRDefault="00053A4C">
      <w:pPr>
        <w:spacing w:after="0" w:line="360" w:lineRule="auto"/>
        <w:jc w:val="both"/>
        <w:rPr>
          <w:rFonts w:ascii="Palatino Linotype" w:eastAsia="Palatino Linotype" w:hAnsi="Palatino Linotype" w:cs="Palatino Linotype"/>
          <w:sz w:val="24"/>
          <w:szCs w:val="24"/>
        </w:rPr>
      </w:pPr>
    </w:p>
    <w:p w14:paraId="356E8BAF"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6CF17E68" w14:textId="77777777" w:rsidR="005C5B6C" w:rsidRPr="00053A4C" w:rsidRDefault="005C5B6C">
      <w:pPr>
        <w:spacing w:after="0" w:line="360" w:lineRule="auto"/>
        <w:jc w:val="both"/>
        <w:rPr>
          <w:rFonts w:ascii="Palatino Linotype" w:eastAsia="Palatino Linotype" w:hAnsi="Palatino Linotype" w:cs="Palatino Linotype"/>
          <w:sz w:val="24"/>
          <w:szCs w:val="24"/>
        </w:rPr>
      </w:pPr>
    </w:p>
    <w:p w14:paraId="078B40B7" w14:textId="77777777" w:rsidR="005C5B6C" w:rsidRPr="00053A4C" w:rsidRDefault="005C5B6C">
      <w:pPr>
        <w:spacing w:line="360" w:lineRule="auto"/>
        <w:jc w:val="both"/>
        <w:rPr>
          <w:rFonts w:ascii="Palatino Linotype" w:eastAsia="Palatino Linotype" w:hAnsi="Palatino Linotype" w:cs="Palatino Linotype"/>
          <w:sz w:val="24"/>
          <w:szCs w:val="24"/>
        </w:rPr>
      </w:pPr>
    </w:p>
    <w:sectPr w:rsidR="005C5B6C" w:rsidRPr="00053A4C">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E2BA" w14:textId="77777777" w:rsidR="00FB6BB8" w:rsidRDefault="00FB6BB8">
      <w:pPr>
        <w:spacing w:after="0" w:line="240" w:lineRule="auto"/>
      </w:pPr>
      <w:r>
        <w:separator/>
      </w:r>
    </w:p>
  </w:endnote>
  <w:endnote w:type="continuationSeparator" w:id="0">
    <w:p w14:paraId="148C5D3A" w14:textId="77777777" w:rsidR="00FB6BB8" w:rsidRDefault="00FB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13E9" w14:textId="77777777" w:rsidR="005C5B6C" w:rsidRDefault="00374ADF">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226E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226E6">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12092AF" w14:textId="77777777" w:rsidR="005C5B6C" w:rsidRDefault="005C5B6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535F" w14:textId="77777777" w:rsidR="00FB6BB8" w:rsidRDefault="00FB6BB8">
      <w:pPr>
        <w:spacing w:after="0" w:line="240" w:lineRule="auto"/>
      </w:pPr>
      <w:r>
        <w:separator/>
      </w:r>
    </w:p>
  </w:footnote>
  <w:footnote w:type="continuationSeparator" w:id="0">
    <w:p w14:paraId="3A3B479B" w14:textId="77777777" w:rsidR="00FB6BB8" w:rsidRDefault="00FB6BB8">
      <w:pPr>
        <w:spacing w:after="0" w:line="240" w:lineRule="auto"/>
      </w:pPr>
      <w:r>
        <w:continuationSeparator/>
      </w:r>
    </w:p>
  </w:footnote>
  <w:footnote w:id="1">
    <w:p w14:paraId="5126188D" w14:textId="77777777" w:rsidR="005C5B6C" w:rsidRDefault="00374AD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D88B4A3" w14:textId="77777777" w:rsidR="005C5B6C" w:rsidRDefault="00374AD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0869BC5" w14:textId="77777777" w:rsidR="005C5B6C" w:rsidRDefault="00374AD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3">
    <w:p w14:paraId="0712A425" w14:textId="77777777" w:rsidR="005C5B6C" w:rsidRDefault="00374AD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4">
    <w:p w14:paraId="712FCF2B" w14:textId="77777777" w:rsidR="005C5B6C" w:rsidRDefault="00374ADF">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5">
    <w:p w14:paraId="522B9982" w14:textId="77777777" w:rsidR="005C5B6C" w:rsidRDefault="00374ADF">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r>
        <w:rPr>
          <w:rFonts w:ascii="Palatino Linotype" w:eastAsia="Palatino Linotype" w:hAnsi="Palatino Linotype" w:cs="Palatino Linotype"/>
          <w:color w:val="000000"/>
          <w:sz w:val="16"/>
          <w:szCs w:val="16"/>
        </w:rPr>
        <w:t>VILLANUEVA Ernesto, Derecho de la Información, Ed, Porrúa S.A., México. 2006, pág.270.</w:t>
      </w:r>
    </w:p>
  </w:footnote>
  <w:footnote w:id="6">
    <w:p w14:paraId="6DACF7DA" w14:textId="77777777" w:rsidR="005C5B6C" w:rsidRDefault="00374ADF">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r>
        <w:rPr>
          <w:rFonts w:ascii="Palatino Linotype" w:eastAsia="Palatino Linotype" w:hAnsi="Palatino Linotype" w:cs="Palatino Linotype"/>
          <w:color w:val="000000"/>
          <w:sz w:val="16"/>
          <w:szCs w:val="16"/>
        </w:rPr>
        <w:t>Ed.Universidad de Occidente de México, 2004, pág.72.</w:t>
      </w:r>
    </w:p>
  </w:footnote>
  <w:footnote w:id="7">
    <w:p w14:paraId="1FAD480E" w14:textId="77777777" w:rsidR="005C5B6C" w:rsidRDefault="00374ADF">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14:paraId="55B1FD41" w14:textId="77777777" w:rsidR="005C5B6C" w:rsidRDefault="00374ADF">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8">
    <w:p w14:paraId="284D7AFC" w14:textId="77777777" w:rsidR="005C5B6C" w:rsidRDefault="00374ADF">
      <w:pPr>
        <w:pBdr>
          <w:top w:val="nil"/>
          <w:left w:val="nil"/>
          <w:bottom w:val="nil"/>
          <w:right w:val="nil"/>
          <w:between w:val="nil"/>
        </w:pBd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r>
        <w:rPr>
          <w:rFonts w:ascii="Palatino Linotype" w:eastAsia="Palatino Linotype" w:hAnsi="Palatino Linotype" w:cs="Palatino Linotype"/>
          <w:color w:val="000000"/>
          <w:sz w:val="19"/>
          <w:szCs w:val="19"/>
        </w:rPr>
        <w:t>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0779" w14:textId="77777777" w:rsidR="005C5B6C" w:rsidRDefault="005C5B6C">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9"/>
        <w:szCs w:val="19"/>
      </w:rPr>
    </w:pPr>
  </w:p>
  <w:tbl>
    <w:tblPr>
      <w:tblStyle w:val="a"/>
      <w:tblW w:w="6240" w:type="dxa"/>
      <w:tblInd w:w="2612" w:type="dxa"/>
      <w:tblLayout w:type="fixed"/>
      <w:tblLook w:val="0400" w:firstRow="0" w:lastRow="0" w:firstColumn="0" w:lastColumn="0" w:noHBand="0" w:noVBand="1"/>
    </w:tblPr>
    <w:tblGrid>
      <w:gridCol w:w="2553"/>
      <w:gridCol w:w="3687"/>
    </w:tblGrid>
    <w:tr w:rsidR="005C5B6C" w14:paraId="3C913376" w14:textId="77777777">
      <w:tc>
        <w:tcPr>
          <w:tcW w:w="2553" w:type="dxa"/>
          <w:vAlign w:val="center"/>
        </w:tcPr>
        <w:p w14:paraId="6595776F" w14:textId="77777777" w:rsidR="005C5B6C" w:rsidRDefault="00374ADF">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687" w:type="dxa"/>
          <w:vAlign w:val="center"/>
        </w:tcPr>
        <w:p w14:paraId="3213CC4B" w14:textId="77777777" w:rsidR="005C5B6C" w:rsidRDefault="00374ADF">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02904/INFOEM/IP/RR/2023</w:t>
          </w:r>
        </w:p>
      </w:tc>
    </w:tr>
    <w:tr w:rsidR="005C5B6C" w14:paraId="288BFC0C" w14:textId="77777777">
      <w:tc>
        <w:tcPr>
          <w:tcW w:w="2553" w:type="dxa"/>
          <w:vAlign w:val="center"/>
        </w:tcPr>
        <w:p w14:paraId="29700405" w14:textId="77777777" w:rsidR="005C5B6C" w:rsidRDefault="00374AD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4956F89A" w14:textId="77777777" w:rsidR="005C5B6C" w:rsidRDefault="005C5B6C">
          <w:pPr>
            <w:jc w:val="both"/>
            <w:rPr>
              <w:rFonts w:ascii="Palatino Linotype" w:eastAsia="Palatino Linotype" w:hAnsi="Palatino Linotype" w:cs="Palatino Linotype"/>
              <w:b/>
              <w:color w:val="000000"/>
            </w:rPr>
          </w:pPr>
        </w:p>
      </w:tc>
    </w:tr>
    <w:tr w:rsidR="005C5B6C" w14:paraId="0958A62C" w14:textId="77777777">
      <w:trPr>
        <w:trHeight w:val="228"/>
      </w:trPr>
      <w:tc>
        <w:tcPr>
          <w:tcW w:w="2553" w:type="dxa"/>
          <w:vAlign w:val="center"/>
        </w:tcPr>
        <w:p w14:paraId="1D511282" w14:textId="77777777" w:rsidR="005C5B6C" w:rsidRDefault="00374AD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vAlign w:val="center"/>
        </w:tcPr>
        <w:p w14:paraId="4A3FB6E7" w14:textId="77777777" w:rsidR="005C5B6C" w:rsidRDefault="00374ADF">
          <w:pPr>
            <w:jc w:val="both"/>
            <w:rPr>
              <w:rFonts w:ascii="Palatino Linotype" w:eastAsia="Palatino Linotype" w:hAnsi="Palatino Linotype" w:cs="Palatino Linotype"/>
              <w:b/>
            </w:rPr>
          </w:pPr>
          <w:r>
            <w:rPr>
              <w:rFonts w:ascii="Palatino Linotype" w:eastAsia="Palatino Linotype" w:hAnsi="Palatino Linotype" w:cs="Palatino Linotype"/>
              <w:b/>
            </w:rPr>
            <w:t>Secretaría de Movilidad.</w:t>
          </w:r>
        </w:p>
      </w:tc>
    </w:tr>
    <w:tr w:rsidR="005C5B6C" w14:paraId="131654CC" w14:textId="77777777">
      <w:trPr>
        <w:trHeight w:val="80"/>
      </w:trPr>
      <w:tc>
        <w:tcPr>
          <w:tcW w:w="2553" w:type="dxa"/>
          <w:vAlign w:val="center"/>
        </w:tcPr>
        <w:p w14:paraId="28EB88D4" w14:textId="77777777" w:rsidR="005C5B6C" w:rsidRDefault="00374AD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6EECF23F" w14:textId="77777777" w:rsidR="005C5B6C" w:rsidRDefault="00374ADF">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ABFDDF7" w14:textId="77777777" w:rsidR="005C5B6C" w:rsidRDefault="00374ADF">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551C20E" wp14:editId="0C8E7B8A">
          <wp:simplePos x="0" y="0"/>
          <wp:positionH relativeFrom="column">
            <wp:posOffset>-788669</wp:posOffset>
          </wp:positionH>
          <wp:positionV relativeFrom="paragraph">
            <wp:posOffset>-1367789</wp:posOffset>
          </wp:positionV>
          <wp:extent cx="7648575" cy="985583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48575" cy="98558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6548"/>
    <w:multiLevelType w:val="multilevel"/>
    <w:tmpl w:val="7EDC2F32"/>
    <w:lvl w:ilvl="0">
      <w:start w:val="4"/>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706952"/>
    <w:multiLevelType w:val="multilevel"/>
    <w:tmpl w:val="93B4C6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112E3"/>
    <w:multiLevelType w:val="multilevel"/>
    <w:tmpl w:val="7F3CAF8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6C"/>
    <w:rsid w:val="00053A4C"/>
    <w:rsid w:val="00374ADF"/>
    <w:rsid w:val="004226E6"/>
    <w:rsid w:val="00506334"/>
    <w:rsid w:val="005C5B6C"/>
    <w:rsid w:val="00DF00DE"/>
    <w:rsid w:val="00FB6B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7F11"/>
  <w15:docId w15:val="{7E12EC63-A03C-47B2-B687-E8819EB3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4D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324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24D5"/>
  </w:style>
  <w:style w:type="paragraph" w:styleId="Piedepgina">
    <w:name w:val="footer"/>
    <w:basedOn w:val="Normal"/>
    <w:link w:val="PiedepginaCar"/>
    <w:uiPriority w:val="99"/>
    <w:unhideWhenUsed/>
    <w:rsid w:val="00C324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24D5"/>
  </w:style>
  <w:style w:type="paragraph" w:styleId="NormalWeb">
    <w:name w:val="Normal (Web)"/>
    <w:basedOn w:val="Normal"/>
    <w:uiPriority w:val="99"/>
    <w:unhideWhenUsed/>
    <w:rsid w:val="00380370"/>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7mwCM3HFMnxYA0YSrj/zFb/p7Q==">CgMxLjAyCGguZ2pkZ3hzOAByITFRTFh5NUs3eXZKdjJTRDJ6TWxLa2NFQjNVZTdrN3lNUw==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5668</Words>
  <Characters>31175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2023-11-10T16:02:00Z</cp:lastPrinted>
  <dcterms:created xsi:type="dcterms:W3CDTF">2023-11-27T23:29:00Z</dcterms:created>
  <dcterms:modified xsi:type="dcterms:W3CDTF">2023-11-27T23:29:00Z</dcterms:modified>
</cp:coreProperties>
</file>