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veinticuatro de mayo de dos mil veintitrés.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15219/INFOEM/IP/RR/2023</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XXXXXXX XXXXXXXXXXXX,</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Ayuntamiento de Cuautitlán Izcalli,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diecinueve de agosto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a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00781/CUAUTIZC/IP/2022,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0"/>
      <w:bookmarkEnd w:id="0"/>
      <w:r w:rsidDel="00000000" w:rsidR="00000000" w:rsidRPr="00000000">
        <w:rPr>
          <w:rFonts w:ascii="Palatino Linotype" w:cs="Palatino Linotype" w:eastAsia="Palatino Linotype" w:hAnsi="Palatino Linotype"/>
          <w:i w:val="1"/>
          <w:sz w:val="22"/>
          <w:szCs w:val="22"/>
          <w:rtl w:val="0"/>
        </w:rPr>
        <w:t xml:space="preserve">“A la Dirección de Desarrollo Urbano, solicito me proporcione una copia de todos y cada uno de los permisos de vía pública otorgados a XXXXXXXX XXXX XX XXXX XXXXXX XXXXXXXX en el periodo del 1 de enero del 2022 al 19 de agosto de 2022, cuyo contenido considere el debido resguardo de datos personales. Quien solicita tiene conocimiento de la existencia de los oficios DDU-SOU-LUS/2063/2022 y DDU-SOU-LUS/2056/2022, cuyo asunto refiere "Permiso de Vía Pública", por lo tanto no podrá alegarse inexistencia de los citados permisos y todos aquellos que adicionalmente obren en el archivo de la Dirección de Desarrollo Urbano. Cabe señalar que tal información, por su contenido y naturaleza, no puede ser clasificada ni reservada en términos de lo contenido en los artículos 122, 140 y 143 de la Ley de Transparencia y Acceso a la Información Pública del Estado de México y Municipios, por lo anterior, en caso de no entregar la información o entregarla incompleta, se iniciarán los procedimientos correspondientes en términos de los establecido en el artículo 222 de la ley en cita.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 </w:t>
      </w:r>
      <w:r w:rsidDel="00000000" w:rsidR="00000000" w:rsidRPr="00000000">
        <w:rPr>
          <w:rtl w:val="0"/>
        </w:rPr>
      </w:r>
    </w:p>
    <w:p w:rsidR="00000000" w:rsidDel="00000000" w:rsidP="00000000" w:rsidRDefault="00000000" w:rsidRPr="00000000" w14:paraId="0000000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adjuntó archivos.</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w:t>
      </w:r>
      <w:r w:rsidDel="00000000" w:rsidR="00000000" w:rsidRPr="00000000">
        <w:rPr>
          <w:rFonts w:ascii="Palatino Linotype" w:cs="Palatino Linotype" w:eastAsia="Palatino Linotype" w:hAnsi="Palatino Linotype"/>
          <w:b w:val="1"/>
          <w:rtl w:val="0"/>
        </w:rPr>
        <w:t xml:space="preserve">de SAIMEX</w: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bookmarkStart w:colFirst="0" w:colLast="0" w:name="_heading=h.3dy6vkm" w:id="1"/>
      <w:bookmarkEnd w:id="1"/>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Con fecha</w:t>
      </w:r>
      <w:r w:rsidDel="00000000" w:rsidR="00000000" w:rsidRPr="00000000">
        <w:rPr>
          <w:rFonts w:ascii="Palatino Linotype" w:cs="Palatino Linotype" w:eastAsia="Palatino Linotype" w:hAnsi="Palatino Linotype"/>
          <w:b w:val="1"/>
          <w:rtl w:val="0"/>
        </w:rPr>
        <w:t xml:space="preserve"> nueve de septiembre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09">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atención a lo solicitado, este sujeto obligado, proporciona la información solicitada en su versión pública, en virtud de que la documentación requerida contiene datos personales (información no pública). Lo anterior de conformidad con el Acuerdo de Versión Pública Número CTM/CUT/SE40/008/VP/2022 aprobado por el Comité de Transparencia del Ayuntamiento de Cuautitlán Izcalli, Estado de México de fecha treinta y uno de agosto de dos mil veintidós, el cual se anexa a la presente contestación y a lo dispuesto por el artículo 52 de la Ley de Transparencia y Acceso a la Información Pública del Estado de México y Municipios...”(sic)</w:t>
      </w:r>
    </w:p>
    <w:p w:rsidR="00000000" w:rsidDel="00000000" w:rsidP="00000000" w:rsidRDefault="00000000" w:rsidRPr="00000000" w14:paraId="0000000A">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adjuntó los siguientes archivos:</w:t>
      </w:r>
    </w:p>
    <w:p w:rsidR="00000000" w:rsidDel="00000000" w:rsidP="00000000" w:rsidRDefault="00000000" w:rsidRPr="00000000" w14:paraId="0000000B">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Sol. 781-2022.pdf”</w:t>
      </w:r>
      <w:r w:rsidDel="00000000" w:rsidR="00000000" w:rsidRPr="00000000">
        <w:rPr>
          <w:rFonts w:ascii="Palatino Linotype" w:cs="Palatino Linotype" w:eastAsia="Palatino Linotype" w:hAnsi="Palatino Linotype"/>
          <w:rtl w:val="0"/>
        </w:rPr>
        <w:t xml:space="preserve">, que contiene el oficio número DDU/3858/2022 de fecha cinco de septiembre de dos mil veintidós, signado por la Titular de la Dirección de Desarrollo Urbano, mediante el cual, en atención a lo solicitado, refiere que proporciona la información solicitada en versión pública, en virtud de que esta contiene datos personales (información no pública). Lo anterior de conformidad con el Acuerdo de Versión Pública Número CTM/CUT/SE40/008/VP/2022 aprobado por el Comité de Transparencia del Ayuntamiento de Cuautitlán Izcalli, Estado de México de fecha treinta y uno de agosto de dos mil veintidós, el cual también se anexa a la contestación.</w:t>
      </w:r>
    </w:p>
    <w:p w:rsidR="00000000" w:rsidDel="00000000" w:rsidP="00000000" w:rsidRDefault="00000000" w:rsidRPr="00000000" w14:paraId="0000000C">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“LUS 2056 -2.pdf”, que contiene, en versión pública, el oficio DDU-SOU-LUS/2056/2022, relativo al permiso de vía pública, otorgado el diecinueve de mayo de dos mil veintidós.</w:t>
      </w:r>
    </w:p>
    <w:p w:rsidR="00000000" w:rsidDel="00000000" w:rsidP="00000000" w:rsidRDefault="00000000" w:rsidRPr="00000000" w14:paraId="0000000D">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“lus-2063-2022_page-0001.pdf” que contiene, en versión pública, el oficio DDU-SOU-LUS/2063/2022, relativo al permiso de vía pública, otorgado el diecinueve de mayo de dos mil veintidós.</w:t>
      </w:r>
    </w:p>
    <w:p w:rsidR="00000000" w:rsidDel="00000000" w:rsidP="00000000" w:rsidRDefault="00000000" w:rsidRPr="00000000" w14:paraId="0000000E">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Acuerdo VP 781 - D. URBANO.pdf”, </w:t>
      </w:r>
      <w:r w:rsidDel="00000000" w:rsidR="00000000" w:rsidRPr="00000000">
        <w:rPr>
          <w:rFonts w:ascii="Palatino Linotype" w:cs="Palatino Linotype" w:eastAsia="Palatino Linotype" w:hAnsi="Palatino Linotype"/>
          <w:rtl w:val="0"/>
        </w:rPr>
        <w:t xml:space="preserve">que contiene el acuerdo CTM/CUT/SE40/008/VP/2022, por el que se aprueba la versión pública de las documentales requeridas en la solicitud de información con número de folio 00781/CUAUTIZC/IP/2022, a través del cual se clasifica como información confidencial: nombre de representante legal, domicilio particular, y total de derechos pagados.</w:t>
      </w:r>
    </w:p>
    <w:p w:rsidR="00000000" w:rsidDel="00000000" w:rsidP="00000000" w:rsidRDefault="00000000" w:rsidRPr="00000000" w14:paraId="0000000F">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treinta de septiembre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r w:rsidDel="00000000" w:rsidR="00000000" w:rsidRPr="00000000">
        <w:rPr>
          <w:rtl w:val="0"/>
        </w:rPr>
      </w:r>
    </w:p>
    <w:p w:rsidR="00000000" w:rsidDel="00000000" w:rsidP="00000000" w:rsidRDefault="00000000" w:rsidRPr="00000000" w14:paraId="00000010">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1">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2">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13">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“TESTADO DE LOS MONTOS DE LOS PAGOS DE DERECHOS EN LOS PERMISOS DE VÍA PÚBLICA EMITIDOS POR LA DIRECCIÓN DE DESARROLLO URBANO DEL GOBIERNO MUNICIPAL DE CUAUTITLÁN IZCALLI MEDIANTE OFICIOS CON NÚMEROS DE FOLIO DDU-SOU-LUS/2056/2022 Y DDU-SOU-LUS/2063/2022, DICHO OCULTAMIENTO/ENTREGA DE INFORMACIÓN INCOMPLETA SE APROBÓ MEDIANTE ACUERDO CTM/CUT/SE40/008/VP/2022 DEL COMITÉ DE TRANSPARENCIA DEL GOBIERNO MUNICIPAL DE CUAUTITLÁN IZCALLI..” (sic)</w:t>
      </w:r>
    </w:p>
    <w:p w:rsidR="00000000" w:rsidDel="00000000" w:rsidP="00000000" w:rsidRDefault="00000000" w:rsidRPr="00000000" w14:paraId="00000014">
      <w:pPr>
        <w:spacing w:line="360" w:lineRule="auto"/>
        <w:jc w:val="both"/>
        <w:rPr>
          <w:rFonts w:ascii="Palatino Linotype" w:cs="Palatino Linotype" w:eastAsia="Palatino Linotype" w:hAnsi="Palatino Linotype"/>
        </w:rPr>
      </w:pPr>
      <w:bookmarkStart w:colFirst="0" w:colLast="0" w:name="_heading=h.30j0zll" w:id="2"/>
      <w:bookmarkEnd w:id="2"/>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5">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recurre la respuesta a la solicitud de información de referencia, bajo la inteligencia de que se están ocultando los datos correspondientes al monto que ascienden el pago de derechos por motivo de la expedición de permisos para excavación en via pública, permisos EMITIDOS mediante oficios DDU-SOU-LUS/2056/2022 y DDU-SOU-LUS/2063/2022. Tal versión pública es errónea toda vez que no se deben testar los datos correspondientes al monto de pagos de derechos realizados por la emisión de los permisos de referencia, ya que dichos montos, por su propia naturaleza, son información de carácter financiero y fiscalizable, no de carácter personal, por lo cual, es inoperante su "protección" mediante TESTADO, lo cual se puede presumir como un ocultamiento de información pública. Por lo anteriormente expuesto, y como medida de contención al inicio de una denuncia por presunta responsabilidad administrativa, solicito a la Unidad de Transparencia de mérito se subsane dicho error, a efecto de entregar la información completa.” (sic)</w:t>
      </w:r>
    </w:p>
    <w:p w:rsidR="00000000" w:rsidDel="00000000" w:rsidP="00000000" w:rsidRDefault="00000000" w:rsidRPr="00000000" w14:paraId="0000001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Anexos: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adjuntó los oficios DDU-SOU-LUS/2056/2022, DDU-SOU-LUS/2063/2022, y el acuerdo CTM/CUT/SE40/008/VP/2022 remitidos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respuesta a la solicitud de información.</w:t>
      </w:r>
    </w:p>
    <w:p w:rsidR="00000000" w:rsidDel="00000000" w:rsidP="00000000" w:rsidRDefault="00000000" w:rsidRPr="00000000" w14:paraId="00000017">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cinco de octubre de dos mil veintidós,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rPr>
      </w:pPr>
      <w:bookmarkStart w:colFirst="0" w:colLast="0" w:name="_heading=h.2s8eyo1" w:id="3"/>
      <w:bookmarkEnd w:id="3"/>
      <w:r w:rsidDel="00000000" w:rsidR="00000000" w:rsidRPr="00000000">
        <w:rPr>
          <w:rFonts w:ascii="Palatino Linotype" w:cs="Palatino Linotype" w:eastAsia="Palatino Linotype" w:hAnsi="Palatino Linotype"/>
          <w:b w:val="1"/>
          <w:rtl w:val="0"/>
        </w:rPr>
        <w:t xml:space="preserve">6. Manifestaciones</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trece de octubre de dos mil veintidós,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a través de SAIMEX, su informe justificado, mediante el cual, en atención a los motivos de inconformidad aducidos por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la Titular de la Dirección de Desarrollo Urbano remite una nueva versión de los oficios DDU-SOU-LUS/2056/2022, DDU-SOU-LUS/2063/2022, de conformidad con el acuerdo CTM/CUT/SE46/010/VP/2022.</w:t>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Archivos adjuntos:</w:t>
      </w:r>
    </w:p>
    <w:p w:rsidR="00000000" w:rsidDel="00000000" w:rsidP="00000000" w:rsidRDefault="00000000" w:rsidRPr="00000000" w14:paraId="0000001B">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Acuerdo CTM/CUT/SE46/010/VP/2022, por el que se aprueba la versión pública de las documentales requeridas en la solicitud de información con número de folio 00781/CUAUTIZC/IP/2022, a través del cual se clasifica como información confidencial: nombre de representante legal, domicilio particular, y datos del autorizado para oír y recibir notificaciones.</w:t>
      </w:r>
    </w:p>
    <w:p w:rsidR="00000000" w:rsidDel="00000000" w:rsidP="00000000" w:rsidRDefault="00000000" w:rsidRPr="00000000" w14:paraId="0000001C">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Oficio DDU-SOU-LUS/2056/2022, en versión pública, relativo al permiso de vía pública, otorgado el diecinueve de mayo de dos mil veintidós.</w:t>
      </w:r>
    </w:p>
    <w:p w:rsidR="00000000" w:rsidDel="00000000" w:rsidP="00000000" w:rsidRDefault="00000000" w:rsidRPr="00000000" w14:paraId="0000001D">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Oficio DDU-SOU-LUS/2063/2022, en versión pública, relativo al permiso de vía pública, otorgado el diecinueve de mayo de dos mil veintidós.</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analizados los documentos referidos, los mismos se hicieron del conocimiento de la persona solicitante con la finalidad de que manifestara lo que a su derecho estimara conveniente, siendo omisa en ejercer dicha prerrogativa.</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Ampliación del término para resolver</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veintidós de noviembre de dos mil veintidós</w:t>
      </w:r>
      <w:r w:rsidDel="00000000" w:rsidR="00000000" w:rsidRPr="00000000">
        <w:rPr>
          <w:rFonts w:ascii="Palatino Linotype" w:cs="Palatino Linotype" w:eastAsia="Palatino Linotype" w:hAnsi="Palatino Linotype"/>
          <w:rtl w:val="0"/>
        </w:rPr>
        <w:t xml:space="preserve">, se amplió el término para resolver el recurso de revisión en términos del artículo 181 párrafo tercero de la Ley de Transparencia y Acceso a la Información Pública del Estado de México y Municipios.</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strike w:val="1"/>
        </w:rPr>
      </w:pPr>
      <w:r w:rsidDel="00000000" w:rsidR="00000000" w:rsidRPr="00000000">
        <w:rPr>
          <w:rFonts w:ascii="Palatino Linotype" w:cs="Palatino Linotype" w:eastAsia="Palatino Linotype" w:hAnsi="Palatino Linotype"/>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25">
      <w:pPr>
        <w:numPr>
          <w:ilvl w:val="0"/>
          <w:numId w:val="1"/>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26">
      <w:pPr>
        <w:numPr>
          <w:ilvl w:val="0"/>
          <w:numId w:val="1"/>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Actividad Procesal del interesado. Acciones u omisiones del interesado.</w:t>
      </w:r>
    </w:p>
    <w:p w:rsidR="00000000" w:rsidDel="00000000" w:rsidP="00000000" w:rsidRDefault="00000000" w:rsidRPr="00000000" w14:paraId="00000027">
      <w:pPr>
        <w:numPr>
          <w:ilvl w:val="0"/>
          <w:numId w:val="1"/>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28">
      <w:pPr>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 La afectación generada en la situación jurídica de la persona involucrada en el proceso: Violación a sus derechos humanos.</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2D">
      <w:pPr>
        <w:spacing w:after="240" w:before="24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consultable en el Seminario Judicial de la Federación y su gaceta, con el registro digital 2002351.</w:t>
      </w:r>
    </w:p>
    <w:p w:rsidR="00000000" w:rsidDel="00000000" w:rsidP="00000000" w:rsidRDefault="00000000" w:rsidRPr="00000000" w14:paraId="0000002E">
      <w:pPr>
        <w:spacing w:after="240" w:before="24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visible en el Seminario Judicial de la Federación y su gaceta, con el registro digital 2002350.</w:t>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este organismo garante comprometido con la tutela de los derechos humanos confiados, señala que este exceso del plazo legal para resolver el presente asunto, resulta de carácter excepcional.</w:t>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diecisiete de mayo de dos mil veintidós,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3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32">
      <w:pPr>
        <w:widowControl w:val="0"/>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3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34">
      <w:pPr>
        <w:spacing w:after="240" w:before="240" w:line="360" w:lineRule="auto"/>
        <w:jc w:val="both"/>
        <w:rPr>
          <w:rFonts w:ascii="Palatino Linotype" w:cs="Palatino Linotype" w:eastAsia="Palatino Linotype" w:hAnsi="Palatino Linotype"/>
        </w:rPr>
      </w:pPr>
      <w:bookmarkStart w:colFirst="0" w:colLast="0" w:name="_heading=h.tyjcwt" w:id="4"/>
      <w:bookmarkEnd w:id="4"/>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3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respuesta a la solicitud de información el día </w:t>
      </w:r>
      <w:r w:rsidDel="00000000" w:rsidR="00000000" w:rsidRPr="00000000">
        <w:rPr>
          <w:rFonts w:ascii="Palatino Linotype" w:cs="Palatino Linotype" w:eastAsia="Palatino Linotype" w:hAnsi="Palatino Linotype"/>
          <w:b w:val="1"/>
          <w:rtl w:val="0"/>
        </w:rPr>
        <w:t xml:space="preserve">nueve de septiembre de dos mil veintidós, </w:t>
      </w:r>
      <w:r w:rsidDel="00000000" w:rsidR="00000000" w:rsidRPr="00000000">
        <w:rPr>
          <w:rFonts w:ascii="Palatino Linotype" w:cs="Palatino Linotype" w:eastAsia="Palatino Linotype" w:hAnsi="Palatino Linotype"/>
          <w:rtl w:val="0"/>
        </w:rPr>
        <w:t xml:space="preserve">mientras que el recurso de revisión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treinta de septiembre de dos mil veintidós</w:t>
      </w:r>
      <w:r w:rsidDel="00000000" w:rsidR="00000000" w:rsidRPr="00000000">
        <w:rPr>
          <w:rFonts w:ascii="Palatino Linotype" w:cs="Palatino Linotype" w:eastAsia="Palatino Linotype" w:hAnsi="Palatino Linotype"/>
          <w:rtl w:val="0"/>
        </w:rPr>
        <w:t xml:space="preserve">, esto es, al décimo cuarto día hábil en que tuvo conocimiento de la respuesta impugnada.</w:t>
      </w:r>
    </w:p>
    <w:p w:rsidR="00000000" w:rsidDel="00000000" w:rsidP="00000000" w:rsidRDefault="00000000" w:rsidRPr="00000000" w14:paraId="00000036">
      <w:pPr>
        <w:spacing w:after="240" w:before="240" w:line="360" w:lineRule="auto"/>
        <w:jc w:val="both"/>
        <w:rPr>
          <w:rFonts w:ascii="Palatino Linotype" w:cs="Palatino Linotype" w:eastAsia="Palatino Linotype" w:hAnsi="Palatino Linotype"/>
        </w:rPr>
      </w:pPr>
      <w:bookmarkStart w:colFirst="0" w:colLast="0" w:name="_heading=h.3znysh7" w:id="5"/>
      <w:bookmarkEnd w:id="5"/>
      <w:r w:rsidDel="00000000" w:rsidR="00000000" w:rsidRPr="00000000">
        <w:rPr>
          <w:rFonts w:ascii="Palatino Linotype" w:cs="Palatino Linotype" w:eastAsia="Palatino Linotype" w:hAnsi="Palatino Linotype"/>
          <w:rtl w:val="0"/>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000000" w:rsidDel="00000000" w:rsidP="00000000" w:rsidRDefault="00000000" w:rsidRPr="00000000" w14:paraId="0000003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“RECURSO DE RECLAMACIÓN. SU INTERPOSICIÓN NO ES EXTEMPORÁNEA SI SE REALIZA ANTES DE QUE INICIE EL PLAZO PARA HACERLO</w:t>
      </w:r>
      <w:r w:rsidDel="00000000" w:rsidR="00000000" w:rsidRPr="00000000">
        <w:rPr>
          <w:rFonts w:ascii="Palatino Linotype" w:cs="Palatino Linotype" w:eastAsia="Palatino Linotype" w:hAnsi="Palatino Linotype"/>
          <w:i w:val="1"/>
          <w:sz w:val="22"/>
          <w:szCs w:val="22"/>
          <w:rtl w:val="0"/>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00000" w:rsidDel="00000000" w:rsidP="00000000" w:rsidRDefault="00000000" w:rsidRPr="00000000" w14:paraId="00000038">
      <w:pPr>
        <w:tabs>
          <w:tab w:val="left" w:leader="none" w:pos="7938"/>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3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efecto de sustentar lo anterior, es de suma importancia mencionar que si bien la persona solicitante </w:t>
      </w:r>
      <w:r w:rsidDel="00000000" w:rsidR="00000000" w:rsidRPr="00000000">
        <w:rPr>
          <w:rFonts w:ascii="Palatino Linotype" w:cs="Palatino Linotype" w:eastAsia="Palatino Linotype" w:hAnsi="Palatino Linotype"/>
          <w:b w:val="1"/>
          <w:rtl w:val="0"/>
        </w:rPr>
        <w:t xml:space="preserve">no proporcionó nombre, </w:t>
      </w:r>
      <w:r w:rsidDel="00000000" w:rsidR="00000000" w:rsidRPr="00000000">
        <w:rPr>
          <w:rFonts w:ascii="Palatino Linotype" w:cs="Palatino Linotype" w:eastAsia="Palatino Linotype" w:hAnsi="Palatino Linotype"/>
          <w:rtl w:val="0"/>
        </w:rPr>
        <w:t xml:space="preserve">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3A">
      <w:pPr>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w:t>
      </w:r>
      <w:r w:rsidDel="00000000" w:rsidR="00000000" w:rsidRPr="00000000">
        <w:rPr>
          <w:rtl w:val="0"/>
        </w:rPr>
      </w:r>
    </w:p>
    <w:p w:rsidR="00000000" w:rsidDel="00000000" w:rsidP="00000000" w:rsidRDefault="00000000" w:rsidRPr="00000000" w14:paraId="0000003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por lo que, en el presente caso, al haber sido presentado el recurso de revisión vía SAIMEX, dicho requisito resulta innecesario.</w:t>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advierte que resulta procedente la interposición del recurso, según lo manifestado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sus motivos de inconformidad, de acuerdo al artículo 179, fracción II del ordenamiento legal citado, que a la letra dice: </w:t>
      </w:r>
    </w:p>
    <w:p w:rsidR="00000000" w:rsidDel="00000000" w:rsidP="00000000" w:rsidRDefault="00000000" w:rsidRPr="00000000" w14:paraId="0000003D">
      <w:pPr>
        <w:spacing w:after="120" w:before="120" w:lineRule="auto"/>
        <w:ind w:left="993"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3E">
      <w:pPr>
        <w:spacing w:after="120" w:before="120" w:lineRule="auto"/>
        <w:ind w:left="1134" w:firstLine="0"/>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3F">
      <w:pPr>
        <w:spacing w:after="120" w:before="120" w:lineRule="auto"/>
        <w:ind w:left="1134"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La clasificación de la información;”</w:t>
      </w:r>
    </w:p>
    <w:p w:rsidR="00000000" w:rsidDel="00000000" w:rsidP="00000000" w:rsidRDefault="00000000" w:rsidRPr="00000000" w14:paraId="0000004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Análisis de las causales de sobreseimiento del recurso de revisión.</w:t>
      </w:r>
      <w:r w:rsidDel="00000000" w:rsidR="00000000" w:rsidRPr="00000000">
        <w:rPr>
          <w:rFonts w:ascii="Palatino Linotype" w:cs="Palatino Linotype" w:eastAsia="Palatino Linotype" w:hAnsi="Palatino Linotype"/>
          <w:rtl w:val="0"/>
        </w:rPr>
        <w:t xml:space="preserve"> En primera instancia, debe apuntarse que del análisis al recurso de revisión que ahora se resuelve, se tiene que se actualiza la causal de sobreseimiento del recurso de revisión establecido en la fracción III del artículo 192</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en relación con el diverso 186 fracción I</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ambos de la Ley de Transparencia y Acceso a la Información Pública del Estado de México y Municipios, derivado del contenido del informe justificado rendido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1">
      <w:pPr>
        <w:tabs>
          <w:tab w:val="left" w:leader="none" w:pos="7513"/>
        </w:tabs>
        <w:spacing w:after="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una mejor comprensión del asunto, de las constancias que obran en el expediente electrónico, valoradas anteriormente, destacan por su importancia los antecedentes siguientes:</w:t>
      </w:r>
    </w:p>
    <w:p w:rsidR="00000000" w:rsidDel="00000000" w:rsidP="00000000" w:rsidRDefault="00000000" w:rsidRPr="00000000" w14:paraId="00000042">
      <w:pPr>
        <w:tabs>
          <w:tab w:val="left" w:leader="none" w:pos="7513"/>
        </w:tabs>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la solicitud de información materia del presente recurso, la parte solicitante requirió a la Dirección de Desarrollo Urbano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lo siguiente:</w:t>
      </w:r>
    </w:p>
    <w:p w:rsidR="00000000" w:rsidDel="00000000" w:rsidP="00000000" w:rsidRDefault="00000000" w:rsidRPr="00000000" w14:paraId="00000043">
      <w:pPr>
        <w:tabs>
          <w:tab w:val="left" w:leader="none" w:pos="7513"/>
        </w:tabs>
        <w:spacing w:after="240" w:before="240" w:line="360" w:lineRule="auto"/>
        <w:ind w:left="284" w:right="4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Copia de todos y cada uno de los permisos de vía pública otorgados a XXXXXXXX XXXX XX XXXX XXXXXX XXXXXXXX en el periodo del 1 de enero al 19 de agosto de 2022, cuyo contenido considere el debido resguardo de datos personales. </w:t>
      </w:r>
    </w:p>
    <w:p w:rsidR="00000000" w:rsidDel="00000000" w:rsidP="00000000" w:rsidRDefault="00000000" w:rsidRPr="00000000" w14:paraId="0000004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respuesta,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 la Dirección de Desarrollo Urbano, remitió en versión pública los oficios DDU-SOU-LUS/2056/2022 y DDU-SOU-LUS/2063/2022, relativos al permiso de vía pública, otorgados el diecinueve de mayo de dos mil veintidós, así como el acuerdo CTM/CUT/SE40/008/VP/2022, por medio del cual se aprueba la versión pública de las documentales requeridas en la solicitud de información con número de folio 00781/CUAUTIZC/IP/2022, clasificando como información confidencial: nombre de representante legal, domicilio particular, y total de derechos pagados.</w:t>
      </w:r>
    </w:p>
    <w:p w:rsidR="00000000" w:rsidDel="00000000" w:rsidP="00000000" w:rsidRDefault="00000000" w:rsidRPr="00000000" w14:paraId="0000004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Conocida la respuesta por la persona solicitante, al no estar conforme con los términos de la misma, interpuso el recurso de revisión que nos ocupa, mediante el cual manifestó, como motivo de inconformidad que se ocultaron los datos correspondientes al monto del pago de derechos por motivo de la expedición de permisos para excavación en vía pública en los permisos emitidos mediante los oficios DDU-SOU-LUS/2056/2022 y DDU-SOU-LUS/2063/2022, considerando por tal motivo que la versión pública es errónea al haberse testado el monto de pagos de derechos realizados por la emisión de los permisos de referencia, argumentando que por su propia naturaleza, dichos montos son información de carácter financiero y fiscalizable, no de carácter personal, siendo inoperante su "protección" mediante testado.</w:t>
      </w:r>
    </w:p>
    <w:p w:rsidR="00000000" w:rsidDel="00000000" w:rsidP="00000000" w:rsidRDefault="00000000" w:rsidRPr="00000000" w14:paraId="0000004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no pasa inadvertido para este Organismo Garante que los motivos de inconformidad aducidos, no versan sobre la totalidad de la información proporcionada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pues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manifestó, de manera expresa, su inconformidad respecto de la clasificación del monto de derechos pagado para la expedición del permiso para realizar la excavación en vía pública, al considerar que dicha información reviste el carácter de pública.</w:t>
      </w:r>
    </w:p>
    <w:p w:rsidR="00000000" w:rsidDel="00000000" w:rsidP="00000000" w:rsidRDefault="00000000" w:rsidRPr="00000000" w14:paraId="0000004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orden de ideas, toda vez que no se inconformó por los documentos remitidos relativos a los permisos de vía pública, al no ser impugnados, estos deben declararse consentidos, toda vez que, al no haber realizado manifestaciones de inconformidad al respecto, no pueden producirse efectos jurídicos tendentes a revocar, confirmar o modificar el acto reclamado, ya que, en el caso concreto se infiere que la información proporcionada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satisface la solicitud presentada.</w:t>
      </w:r>
    </w:p>
    <w:p w:rsidR="00000000" w:rsidDel="00000000" w:rsidP="00000000" w:rsidRDefault="00000000" w:rsidRPr="00000000" w14:paraId="00000048">
      <w:pPr>
        <w:spacing w:after="36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es así, debido a que cuando la parte Recurrente impugna 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000000" w:rsidDel="00000000" w:rsidP="00000000" w:rsidRDefault="00000000" w:rsidRPr="00000000" w14:paraId="00000049">
      <w:pPr>
        <w:spacing w:after="36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“REVISIÓN EN AMPARO. LOS RESOLUTIVOS NO COMBATIDOS DEBEN DECLARARSE FIRMES. </w:t>
      </w:r>
      <w:r w:rsidDel="00000000" w:rsidR="00000000" w:rsidRPr="00000000">
        <w:rPr>
          <w:rFonts w:ascii="Palatino Linotype" w:cs="Palatino Linotype" w:eastAsia="Palatino Linotype" w:hAnsi="Palatino Linotype"/>
          <w:i w:val="1"/>
          <w:sz w:val="22"/>
          <w:szCs w:val="22"/>
          <w:rtl w:val="0"/>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00000" w:rsidDel="00000000" w:rsidP="00000000" w:rsidRDefault="00000000" w:rsidRPr="00000000" w14:paraId="0000004A">
      <w:pPr>
        <w:spacing w:after="240" w:before="240" w:line="360" w:lineRule="auto"/>
        <w:jc w:val="both"/>
        <w:rPr>
          <w:rFonts w:ascii="Palatino Linotype" w:cs="Palatino Linotype" w:eastAsia="Palatino Linotype" w:hAnsi="Palatino Linotype"/>
        </w:rPr>
      </w:pPr>
      <w:bookmarkStart w:colFirst="0" w:colLast="0" w:name="_heading=h.17dp8vu" w:id="6"/>
      <w:bookmarkEnd w:id="6"/>
      <w:r w:rsidDel="00000000" w:rsidR="00000000" w:rsidRPr="00000000">
        <w:rPr>
          <w:rFonts w:ascii="Palatino Linotype" w:cs="Palatino Linotype" w:eastAsia="Palatino Linotype" w:hAnsi="Palatino Linotype"/>
          <w:rtl w:val="0"/>
        </w:rPr>
        <w:t xml:space="preserve">Consecuentemente, se insiste, ante la falta de impugnación eficaz, la respuesta entregada debe declararse consentida por persona solicitante.</w:t>
      </w:r>
    </w:p>
    <w:p w:rsidR="00000000" w:rsidDel="00000000" w:rsidP="00000000" w:rsidRDefault="00000000" w:rsidRPr="00000000" w14:paraId="0000004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se sustenta con lo plasmado en el criterio 01/20 emitido por el Instituto Nacional de Transparencia, Acceso a la Información, y Protección de Datos Personales, INAI, que lleva por rubro y texto los siguientes: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Actos consentidos tácitamente. Improcedencia de su análisis.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w:t>
      </w:r>
    </w:p>
    <w:p w:rsidR="00000000" w:rsidDel="00000000" w:rsidP="00000000" w:rsidRDefault="00000000" w:rsidRPr="00000000" w14:paraId="0000004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resulta aplicable por analogía la tesis jurisprudencial número VI.3o.C. J/60, publicada en el Semanario Judicial de la Federación y su Gaceta bajo el número de registro 176,608 que a la letra dice:</w:t>
      </w:r>
    </w:p>
    <w:p w:rsidR="00000000" w:rsidDel="00000000" w:rsidP="00000000" w:rsidRDefault="00000000" w:rsidRPr="00000000" w14:paraId="0000004E">
      <w:pPr>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mallCaps w:val="1"/>
          <w:sz w:val="22"/>
          <w:szCs w:val="22"/>
          <w:rtl w:val="0"/>
        </w:rPr>
        <w:t xml:space="preserve">“ACTOS CONSENTIDOS. SON LOS QUE NO SE IMPUGNAN MEDIANTE EL RECURSO IDÓNEO. </w:t>
      </w:r>
      <w:r w:rsidDel="00000000" w:rsidR="00000000" w:rsidRPr="00000000">
        <w:rPr>
          <w:rFonts w:ascii="Palatino Linotype" w:cs="Palatino Linotype" w:eastAsia="Palatino Linotype" w:hAnsi="Palatino Linotype"/>
          <w:i w:val="1"/>
          <w:sz w:val="22"/>
          <w:szCs w:val="22"/>
          <w:rtl w:val="0"/>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00000" w:rsidDel="00000000" w:rsidP="00000000" w:rsidRDefault="00000000" w:rsidRPr="00000000" w14:paraId="0000004F">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una vez admitido el presente recurso de revisión, en términos del artículo 185 fracción II</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Fonts w:ascii="Palatino Linotype" w:cs="Palatino Linotype" w:eastAsia="Palatino Linotype" w:hAnsi="Palatino Linotype"/>
          <w:rtl w:val="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000000" w:rsidDel="00000000" w:rsidP="00000000" w:rsidRDefault="00000000" w:rsidRPr="00000000" w14:paraId="0000005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 través de la Titular de la Dirección de Desarrollo Urbano, remitió una nueva versión de los oficios DDU-SOU-LUS/2056/2022 y DDU-SOU-LUS/2063/2022, de conformidad con el acuerdo CTM/CUT/SE46/010/VP/2022, documentos mediante las cuales se atendieron las razones y motivos de inconformidad planteados por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al haberse dejado visible el monto de correspondiente al total de derechos pagados, y el número de recibo, como se muestra a continuación:</w:t>
      </w:r>
    </w:p>
    <w:p w:rsidR="00000000" w:rsidDel="00000000" w:rsidP="00000000" w:rsidRDefault="00000000" w:rsidRPr="00000000" w14:paraId="0000005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0225" cy="571500"/>
            <wp:effectExtent b="0" l="0" r="0" t="0"/>
            <wp:docPr id="29" name="image3.png"/>
            <a:graphic>
              <a:graphicData uri="http://schemas.openxmlformats.org/drawingml/2006/picture">
                <pic:pic>
                  <pic:nvPicPr>
                    <pic:cNvPr id="0" name="image3.png"/>
                    <pic:cNvPicPr preferRelativeResize="0"/>
                  </pic:nvPicPr>
                  <pic:blipFill>
                    <a:blip r:embed="rId8"/>
                    <a:srcRect b="66480" l="0" r="0" t="0"/>
                    <a:stretch>
                      <a:fillRect/>
                    </a:stretch>
                  </pic:blipFill>
                  <pic:spPr>
                    <a:xfrm>
                      <a:off x="0" y="0"/>
                      <a:ext cx="5610225"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0225" cy="533400"/>
            <wp:effectExtent b="0" l="0" r="0" t="0"/>
            <wp:docPr id="31" name="image2.png"/>
            <a:graphic>
              <a:graphicData uri="http://schemas.openxmlformats.org/drawingml/2006/picture">
                <pic:pic>
                  <pic:nvPicPr>
                    <pic:cNvPr id="0" name="image2.png"/>
                    <pic:cNvPicPr preferRelativeResize="0"/>
                  </pic:nvPicPr>
                  <pic:blipFill>
                    <a:blip r:embed="rId9"/>
                    <a:srcRect b="78378" l="0" r="0" t="0"/>
                    <a:stretch>
                      <a:fillRect/>
                    </a:stretch>
                  </pic:blipFill>
                  <pic:spPr>
                    <a:xfrm>
                      <a:off x="0" y="0"/>
                      <a:ext cx="5610225"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 este orden de ideas, es evidente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modificó su respuesta, ya que mediante informe justificado proporcionó los oficios DDU-SOU-LUS/2056/2022, DDU-SOU-LUS/2063/2022, mediante los cuales la Dirección de Desarrollo Urbano otorgó permiso de vía pública para realizar obras de modificación, rotura o corte de pavimento o concreto en calles o banquetas, para la instalación de cables o tuberías subterráneas o aéreas en la vía pública, a la empresa referida por la persona solicitante, dejando visible el monto correspondiente al total de derechos pagados por la expedición del permiso o autorización</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u w:val="single"/>
          <w:rtl w:val="0"/>
        </w:rPr>
        <w:t xml:space="preserve">información que constituye el motivo de inconformidad de la parte Recurrente,</w:t>
      </w:r>
      <w:r w:rsidDel="00000000" w:rsidR="00000000" w:rsidRPr="00000000">
        <w:rPr>
          <w:rFonts w:ascii="Palatino Linotype" w:cs="Palatino Linotype" w:eastAsia="Palatino Linotype" w:hAnsi="Palatino Linotype"/>
          <w:b w:val="1"/>
          <w:rtl w:val="0"/>
        </w:rPr>
        <w:t xml:space="preserve"> al haberse clasificado como confidencial en primera instancia, </w:t>
      </w:r>
    </w:p>
    <w:p w:rsidR="00000000" w:rsidDel="00000000" w:rsidP="00000000" w:rsidRDefault="00000000" w:rsidRPr="00000000" w14:paraId="0000005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remitió el acuerdo de clasificación CTM/CUT/SE46/010/VP/2022, mediante el cual el Comité de Transparencia justifica la clasificación del nombre del representante legal de la empresa solicitante, domicilio particular y datos del autorizado para oír y recibir notificaciones, como información confidencial, por tratarse de datos personales que se refieren a la vida privada del propietario de los mismos, cuya divulgación puede producir un daño y un riesgo a la vida, la seguridad, y/o salud de una persona al hacerla vulnerable.</w:t>
      </w:r>
    </w:p>
    <w:p w:rsidR="00000000" w:rsidDel="00000000" w:rsidP="00000000" w:rsidRDefault="00000000" w:rsidRPr="00000000" w14:paraId="0000005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al nombre del representante legal de la empresa solicitante no obsta mencionar que no es de acceso público, en virtud de que el trámite de referencia no se relaciona con un acuerdo de voluntades bilateral, en el que su representada obtenga un beneficio derivado del aprovechamiento de bienes, servicios y/o recursos públicos, sino que se vincula con un trámite meramente privado, que la persona jurídica realiza de forma unilateral en ejercicio de las prerrogativas que le asisten derivado de su objeto social.</w:t>
      </w:r>
    </w:p>
    <w:p w:rsidR="00000000" w:rsidDel="00000000" w:rsidP="00000000" w:rsidRDefault="00000000" w:rsidRPr="00000000" w14:paraId="0000005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esta tesitura, se estima que la información remitida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la etapa de manifestaciones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es suficiente para tener por atendido el derecho de acceso a la información de la persona solicitante, máxime que misma se hizo de su conocimiento con la finalidad de que manifestara lo que a su derecho estimara conveniente, sin que ejerciera dicha prerrogativa hasta el momento de decretar el cierre de instrucción correspondiente, por lo que se entiende que con la información remitida ha quedado satisfecha.</w:t>
      </w:r>
    </w:p>
    <w:p w:rsidR="00000000" w:rsidDel="00000000" w:rsidP="00000000" w:rsidRDefault="00000000" w:rsidRPr="00000000" w14:paraId="0000005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expuesto, se estima que el presente caso actualiza el supuesto previsto en el artículo 192, fracción III de la Ley de Transparencia y Acceso a la Información Pública del Estado de México y Municipios vigente, a saber:</w:t>
      </w:r>
    </w:p>
    <w:p w:rsidR="00000000" w:rsidDel="00000000" w:rsidP="00000000" w:rsidRDefault="00000000" w:rsidRPr="00000000" w14:paraId="00000058">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192</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 recurso será sobreseído</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en todo o en parte,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cuando una vez admitido, se actualicen alguno de los siguientes supuestos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59">
      <w:pPr>
        <w:spacing w:after="240" w:before="24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A">
      <w:pPr>
        <w:spacing w:after="240" w:before="24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El sujeto obligado responsable del acto, lo modifique o revoque de tal manera que el recurso de revisión quede sin materia...</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establecido en el precepto legal citado se advierte que el sobreseimiento del recurso de revisión procede en los siguientes casos</w:t>
      </w:r>
    </w:p>
    <w:p w:rsidR="00000000" w:rsidDel="00000000" w:rsidP="00000000" w:rsidRDefault="00000000" w:rsidRPr="00000000" w14:paraId="0000005C">
      <w:pPr>
        <w:spacing w:after="240" w:before="240" w:line="360" w:lineRule="auto"/>
        <w:ind w:left="28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Cuando el sujeto obligado modifique el acto impugnado. </w:t>
      </w:r>
    </w:p>
    <w:p w:rsidR="00000000" w:rsidDel="00000000" w:rsidP="00000000" w:rsidRDefault="00000000" w:rsidRPr="00000000" w14:paraId="0000005D">
      <w:pPr>
        <w:spacing w:after="240" w:before="240" w:line="360" w:lineRule="auto"/>
        <w:ind w:left="28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 Cuando el sujeto obligado revoque el acto impugnado; </w:t>
      </w:r>
    </w:p>
    <w:p w:rsidR="00000000" w:rsidDel="00000000" w:rsidP="00000000" w:rsidRDefault="00000000" w:rsidRPr="00000000" w14:paraId="0000005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Quedando en ambos casos el acto combatido sin materia o sin efectos.</w:t>
      </w:r>
    </w:p>
    <w:p w:rsidR="00000000" w:rsidDel="00000000" w:rsidP="00000000" w:rsidRDefault="00000000" w:rsidRPr="00000000" w14:paraId="0000005F">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Del="00000000" w:rsidR="00000000" w:rsidRPr="00000000">
        <w:rPr>
          <w:rFonts w:ascii="Palatino Linotype" w:cs="Palatino Linotype" w:eastAsia="Palatino Linotype" w:hAnsi="Palatino Linotype"/>
          <w:b w:val="1"/>
          <w:rtl w:val="0"/>
        </w:rPr>
        <w:t xml:space="preserve">Recurrente.</w:t>
      </w:r>
    </w:p>
    <w:p w:rsidR="00000000" w:rsidDel="00000000" w:rsidP="00000000" w:rsidRDefault="00000000" w:rsidRPr="00000000" w14:paraId="0000006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000000" w:rsidDel="00000000" w:rsidP="00000000" w:rsidRDefault="00000000" w:rsidRPr="00000000" w14:paraId="0000006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orden de ideas, un acto impugnado queda sin efectos, cuando aun existiendo jurídicamente (esto es, que no se ha modificado, ni revocado) ya no genera ninguna consecuencia legal.</w:t>
      </w:r>
    </w:p>
    <w:p w:rsidR="00000000" w:rsidDel="00000000" w:rsidP="00000000" w:rsidRDefault="00000000" w:rsidRPr="00000000" w14:paraId="0000006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000000" w:rsidDel="00000000" w:rsidP="00000000" w:rsidRDefault="00000000" w:rsidRPr="00000000" w14:paraId="0000006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hasta aquí expuesto, resulta evidente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modificó la respuesta a la solicitud de acceso a la información pública de la persona solicitante, aunque ello haya sido de manera posterior a su respuesta inicial, información que se hizo del conocimiento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con la finalidad de que manifestara lo que a su derecho estimara conveniente, sin que obre constancia en el expediente electrónico de que hubiera ejercido dicha prerrogativa, presumiendo en consecuencia, que dicha información satisface su pretensión.</w:t>
      </w:r>
    </w:p>
    <w:p w:rsidR="00000000" w:rsidDel="00000000" w:rsidP="00000000" w:rsidRDefault="00000000" w:rsidRPr="00000000" w14:paraId="0000006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tal motivo, debe tenerse que con lo entregado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rsidR="00000000" w:rsidDel="00000000" w:rsidP="00000000" w:rsidRDefault="00000000" w:rsidRPr="00000000" w14:paraId="00000065">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Siendo el </w:t>
      </w:r>
      <w:r w:rsidDel="00000000" w:rsidR="00000000" w:rsidRPr="00000000">
        <w:rPr>
          <w:rFonts w:ascii="Palatino Linotype" w:cs="Palatino Linotype" w:eastAsia="Palatino Linotype" w:hAnsi="Palatino Linotype"/>
          <w:i w:val="1"/>
          <w:rtl w:val="0"/>
        </w:rPr>
        <w:t xml:space="preserve">sobreseimiento</w:t>
      </w:r>
      <w:r w:rsidDel="00000000" w:rsidR="00000000" w:rsidRPr="00000000">
        <w:rPr>
          <w:rFonts w:ascii="Palatino Linotype" w:cs="Palatino Linotype" w:eastAsia="Palatino Linotype" w:hAnsi="Palatino Linotype"/>
          <w:rtl w:val="0"/>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Del="00000000" w:rsidR="00000000" w:rsidRPr="00000000">
        <w:rPr>
          <w:rFonts w:ascii="Palatino Linotype" w:cs="Palatino Linotype" w:eastAsia="Palatino Linotype" w:hAnsi="Palatino Linotype"/>
          <w:b w:val="1"/>
          <w:rtl w:val="0"/>
        </w:rPr>
        <w:t xml:space="preserve">SOBRESEIMIENTO, NO PERMITE ENTRAR AL ESTUDIO DE LAS CUESTIONES DE FONDO</w:t>
      </w:r>
      <w:r w:rsidDel="00000000" w:rsidR="00000000" w:rsidRPr="00000000">
        <w:rPr>
          <w:rFonts w:ascii="Palatino Linotype" w:cs="Palatino Linotype" w:eastAsia="Palatino Linotype" w:hAnsi="Palatino Linotype"/>
          <w:b w:val="1"/>
          <w:vertAlign w:val="superscript"/>
        </w:rPr>
        <w:footnoteReference w:customMarkFollows="0" w:id="3"/>
      </w:r>
      <w:r w:rsidDel="00000000" w:rsidR="00000000" w:rsidRPr="00000000">
        <w:rPr>
          <w:rFonts w:ascii="Palatino Linotype" w:cs="Palatino Linotype" w:eastAsia="Palatino Linotype" w:hAnsi="Palatino Linotype"/>
          <w:b w:val="1"/>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68">
      <w:pPr>
        <w:spacing w:before="160" w:line="360" w:lineRule="auto"/>
        <w:jc w:val="both"/>
        <w:rPr>
          <w:rFonts w:ascii="Palatino Linotype" w:cs="Palatino Linotype" w:eastAsia="Palatino Linotype" w:hAnsi="Palatino Linotype"/>
        </w:rPr>
      </w:pPr>
      <w:bookmarkStart w:colFirst="0" w:colLast="0" w:name="_heading=h.1fob9te" w:id="7"/>
      <w:bookmarkEnd w:id="7"/>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Sobresee </w:t>
      </w:r>
      <w:r w:rsidDel="00000000" w:rsidR="00000000" w:rsidRPr="00000000">
        <w:rPr>
          <w:rFonts w:ascii="Palatino Linotype" w:cs="Palatino Linotype" w:eastAsia="Palatino Linotype" w:hAnsi="Palatino Linotype"/>
          <w:rtl w:val="0"/>
        </w:rPr>
        <w:t xml:space="preserve">el recurso de revisión número </w:t>
      </w:r>
      <w:r w:rsidDel="00000000" w:rsidR="00000000" w:rsidRPr="00000000">
        <w:rPr>
          <w:rFonts w:ascii="Palatino Linotype" w:cs="Palatino Linotype" w:eastAsia="Palatino Linotype" w:hAnsi="Palatino Linotype"/>
          <w:b w:val="1"/>
          <w:rtl w:val="0"/>
        </w:rPr>
        <w:t xml:space="preserve">15219/INFOEM/IP/RR/2022, </w:t>
      </w:r>
      <w:r w:rsidDel="00000000" w:rsidR="00000000" w:rsidRPr="00000000">
        <w:rPr>
          <w:rFonts w:ascii="Palatino Linotype" w:cs="Palatino Linotype" w:eastAsia="Palatino Linotype" w:hAnsi="Palatino Linotype"/>
          <w:rtl w:val="0"/>
        </w:rPr>
        <w:t xml:space="preserve">porque al </w:t>
      </w:r>
      <w:r w:rsidDel="00000000" w:rsidR="00000000" w:rsidRPr="00000000">
        <w:rPr>
          <w:rFonts w:ascii="Palatino Linotype" w:cs="Palatino Linotype" w:eastAsia="Palatino Linotype" w:hAnsi="Palatino Linotype"/>
          <w:b w:val="1"/>
          <w:rtl w:val="0"/>
        </w:rPr>
        <w:t xml:space="preserve">modificar la respuesta</w:t>
      </w:r>
      <w:r w:rsidDel="00000000" w:rsidR="00000000" w:rsidRPr="00000000">
        <w:rPr>
          <w:rFonts w:ascii="Palatino Linotype" w:cs="Palatino Linotype" w:eastAsia="Palatino Linotype" w:hAnsi="Palatino Linotype"/>
          <w:rtl w:val="0"/>
        </w:rPr>
        <w:t xml:space="preserve"> se actualizó la causal prevista en el artículo 192, fracción III, de la Ley de Transparencia y Acceso a la Información Pública del Estado de México y Municipios, quedando sin materia en términos del considerando </w:t>
      </w:r>
      <w:r w:rsidDel="00000000" w:rsidR="00000000" w:rsidRPr="00000000">
        <w:rPr>
          <w:rFonts w:ascii="Palatino Linotype" w:cs="Palatino Linotype" w:eastAsia="Palatino Linotype" w:hAnsi="Palatino Linotype"/>
          <w:b w:val="1"/>
          <w:rtl w:val="0"/>
        </w:rPr>
        <w:t xml:space="preserve">Tercero </w:t>
      </w:r>
      <w:r w:rsidDel="00000000" w:rsidR="00000000" w:rsidRPr="00000000">
        <w:rPr>
          <w:rFonts w:ascii="Palatino Linotype" w:cs="Palatino Linotype" w:eastAsia="Palatino Linotype" w:hAnsi="Palatino Linotype"/>
          <w:rtl w:val="0"/>
        </w:rPr>
        <w:t xml:space="preserve">de la presente Resolución.</w:t>
      </w:r>
    </w:p>
    <w:p w:rsidR="00000000" w:rsidDel="00000000" w:rsidP="00000000" w:rsidRDefault="00000000" w:rsidRPr="00000000" w14:paraId="0000006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al Titular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presente resolución, para su conocimiento.</w:t>
      </w:r>
    </w:p>
    <w:p w:rsidR="00000000" w:rsidDel="00000000" w:rsidP="00000000" w:rsidRDefault="00000000" w:rsidRPr="00000000" w14:paraId="0000006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00000" w:rsidDel="00000000" w:rsidP="00000000" w:rsidRDefault="00000000" w:rsidRPr="00000000" w14:paraId="0000006B">
      <w:pPr>
        <w:spacing w:line="360" w:lineRule="auto"/>
        <w:jc w:val="both"/>
        <w:rPr>
          <w:rFonts w:ascii="Palatino Linotype" w:cs="Palatino Linotype" w:eastAsia="Palatino Linotype" w:hAnsi="Palatino Linotype"/>
        </w:rPr>
      </w:pPr>
      <w:bookmarkStart w:colFirst="0" w:colLast="0" w:name="_heading=h.3rdcrjn" w:id="8"/>
      <w:bookmarkEnd w:id="8"/>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NOVENA  SESIÓN ORDINARIA, CELEBRADA EL VEINTICUATRO DE MAYO DE DOS MIL VEINTITRÉS, ANTE EL SECRETARIO TÉCNICO DEL PLENO ALEXIS TAPIA RAMÍREZ.</w:t>
      </w:r>
    </w:p>
    <w:p w:rsidR="00000000" w:rsidDel="00000000" w:rsidP="00000000" w:rsidRDefault="00000000" w:rsidRPr="00000000" w14:paraId="0000006C">
      <w:pPr>
        <w:spacing w:line="360" w:lineRule="auto"/>
        <w:jc w:val="both"/>
        <w:rPr>
          <w:rFonts w:ascii="Palatino Linotype" w:cs="Palatino Linotype" w:eastAsia="Palatino Linotype" w:hAnsi="Palatino Linotype"/>
        </w:rPr>
      </w:pPr>
      <w:bookmarkStart w:colFirst="0" w:colLast="0" w:name="_heading=h.1t3h5sf" w:id="9"/>
      <w:bookmarkEnd w:id="9"/>
      <w:r w:rsidDel="00000000" w:rsidR="00000000" w:rsidRPr="00000000">
        <w:rPr>
          <w:rtl w:val="0"/>
        </w:rPr>
      </w:r>
    </w:p>
    <w:p w:rsidR="00000000" w:rsidDel="00000000" w:rsidP="00000000" w:rsidRDefault="00000000" w:rsidRPr="00000000" w14:paraId="0000006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5">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16"/>
          <w:szCs w:val="16"/>
          <w:u w:val="none"/>
          <w:shd w:fill="auto" w:val="clear"/>
          <w:vertAlign w:val="baseline"/>
          <w:rtl w:val="0"/>
        </w:rPr>
        <w:t xml:space="preserve">Artículo 192.</w:t>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El recurso será sobreseído, en todo o en parte, cuando una vez admitido, se actualicen alguno de los siguientes supuestos: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III. El sujeto obligado responsable del acto lo modifique o revoque de tal manera que el recurso de revisión quede sin materia;</w:t>
      </w:r>
    </w:p>
  </w:footnote>
  <w:footnote w:id="1">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16"/>
          <w:szCs w:val="16"/>
          <w:u w:val="none"/>
          <w:shd w:fill="auto" w:val="clear"/>
          <w:vertAlign w:val="baseline"/>
          <w:rtl w:val="0"/>
        </w:rPr>
        <w:t xml:space="preserve">Artículo 186</w:t>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Las resoluciones del Instituto podrán: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I. Desechar o sobreseer el recurso;</w:t>
      </w:r>
      <w:r w:rsidDel="00000000" w:rsidR="00000000" w:rsidRPr="00000000">
        <w:rPr>
          <w:rtl w:val="0"/>
        </w:rPr>
      </w:r>
    </w:p>
  </w:footnote>
  <w:footnote w:id="2">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hanging="720"/>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Artículo 185.</w:t>
      </w:r>
      <w:r w:rsidDel="00000000" w:rsidR="00000000" w:rsidRPr="00000000">
        <w:rPr>
          <w:rFonts w:ascii="Palatino Linotype" w:cs="Palatino Linotype" w:eastAsia="Palatino Linotype" w:hAnsi="Palatino Linotype"/>
          <w:color w:val="000000"/>
          <w:sz w:val="16"/>
          <w:szCs w:val="16"/>
          <w:rtl w:val="0"/>
        </w:rPr>
        <w:t xml:space="preserve"> El Instituto resolverá el recurso de revisión conforme a lo siguiente: (…)</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Admitido el recurso de revisión, la o el Comisionado ponente deberá integrar un expediente y ponerlo a disposición de las partes, para que, en un plazo máximo de siete días hábiles, manifiesten lo que a su derecho convenga;”</w:t>
      </w:r>
    </w:p>
  </w:footnote>
  <w:footnote w:id="3">
    <w:p w:rsidR="00000000" w:rsidDel="00000000" w:rsidP="00000000" w:rsidRDefault="00000000" w:rsidRPr="00000000" w14:paraId="0000007D">
      <w:pP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Cuerpo de tesis:</w:t>
      </w:r>
      <w:r w:rsidDel="00000000" w:rsidR="00000000" w:rsidRPr="00000000">
        <w:rPr>
          <w:rFonts w:ascii="Palatino Linotype" w:cs="Palatino Linotype" w:eastAsia="Palatino Linotype" w:hAnsi="Palatino Linotype"/>
          <w:color w:val="000000"/>
          <w:sz w:val="16"/>
          <w:szCs w:val="16"/>
          <w:rtl w:val="0"/>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000000" w:rsidDel="00000000" w:rsidP="00000000" w:rsidRDefault="00000000" w:rsidRPr="00000000" w14:paraId="0000007E">
      <w:pP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b w:val="1"/>
          <w:color w:val="000000"/>
          <w:sz w:val="16"/>
          <w:szCs w:val="16"/>
          <w:rtl w:val="0"/>
        </w:rPr>
        <w:t xml:space="preserve">Localización</w:t>
      </w:r>
      <w:r w:rsidDel="00000000" w:rsidR="00000000" w:rsidRPr="00000000">
        <w:rPr>
          <w:rFonts w:ascii="Palatino Linotype" w:cs="Palatino Linotype" w:eastAsia="Palatino Linotype" w:hAnsi="Palatino Linotype"/>
          <w:color w:val="000000"/>
          <w:sz w:val="16"/>
          <w:szCs w:val="16"/>
          <w:rtl w:val="0"/>
        </w:rPr>
        <w:t xml:space="preserve">: 2</w:t>
      </w:r>
      <w:r w:rsidDel="00000000" w:rsidR="00000000" w:rsidRPr="00000000">
        <w:rPr>
          <w:rFonts w:ascii="Palatino Linotype" w:cs="Palatino Linotype" w:eastAsia="Palatino Linotype" w:hAnsi="Palatino Linotype"/>
          <w:color w:val="000000"/>
          <w:sz w:val="16"/>
          <w:szCs w:val="16"/>
          <w:highlight w:val="white"/>
          <w:rtl w:val="0"/>
        </w:rPr>
        <w:t xml:space="preserve">13609. II.2o.183 K. Tribunales Colegiados de Circuito. Octava Época. Semanario Judicial de la Federación. Tomo XIII, Febrero de 1994, Pág. 420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-1079499</wp:posOffset>
          </wp:positionH>
          <wp:positionV relativeFrom="paragraph">
            <wp:posOffset>-328929</wp:posOffset>
          </wp:positionV>
          <wp:extent cx="7809865" cy="10165715"/>
          <wp:effectExtent b="0" l="0" r="0" t="0"/>
          <wp:wrapNone/>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08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81">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15219/INFOEM/IP/RR/2022</w:t>
          </w:r>
        </w:p>
      </w:tc>
    </w:tr>
    <w:tr>
      <w:trPr>
        <w:cantSplit w:val="0"/>
        <w:trHeight w:val="130" w:hRule="atLeast"/>
        <w:tblHeader w:val="0"/>
      </w:trPr>
      <w:tc>
        <w:tcPr>
          <w:shd w:fill="auto" w:val="clear"/>
          <w:vAlign w:val="center"/>
        </w:tcPr>
        <w:p w:rsidR="00000000" w:rsidDel="00000000" w:rsidP="00000000" w:rsidRDefault="00000000" w:rsidRPr="00000000" w14:paraId="00000082">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083">
          <w:pPr>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XXXXXXX XXXXXXXXXXXX</w:t>
          </w:r>
        </w:p>
      </w:tc>
    </w:tr>
    <w:tr>
      <w:trPr>
        <w:cantSplit w:val="0"/>
        <w:trHeight w:val="228" w:hRule="atLeast"/>
        <w:tblHeader w:val="0"/>
      </w:trPr>
      <w:tc>
        <w:tcPr>
          <w:shd w:fill="auto" w:val="clear"/>
          <w:vAlign w:val="center"/>
        </w:tcPr>
        <w:p w:rsidR="00000000" w:rsidDel="00000000" w:rsidP="00000000" w:rsidRDefault="00000000" w:rsidRPr="00000000" w14:paraId="0000008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85">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Cuautitlán Izcalli</w:t>
          </w:r>
        </w:p>
      </w:tc>
    </w:tr>
    <w:tr>
      <w:trPr>
        <w:cantSplit w:val="0"/>
        <w:tblHeader w:val="0"/>
      </w:trPr>
      <w:tc>
        <w:tcPr>
          <w:shd w:fill="auto" w:val="clear"/>
          <w:vAlign w:val="center"/>
        </w:tcPr>
        <w:p w:rsidR="00000000" w:rsidDel="00000000" w:rsidP="00000000" w:rsidRDefault="00000000" w:rsidRPr="00000000" w14:paraId="0000008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87">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-1080121</wp:posOffset>
          </wp:positionH>
          <wp:positionV relativeFrom="paragraph">
            <wp:posOffset>-488299</wp:posOffset>
          </wp:positionV>
          <wp:extent cx="7809865" cy="10165715"/>
          <wp:effectExtent b="0" l="0" r="0" t="0"/>
          <wp:wrapNone/>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08B">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8C">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15219/INFOEM/IP/RR/2022</w:t>
          </w:r>
        </w:p>
      </w:tc>
    </w:tr>
    <w:tr>
      <w:trPr>
        <w:cantSplit w:val="0"/>
        <w:trHeight w:val="228" w:hRule="atLeast"/>
        <w:tblHeader w:val="0"/>
      </w:trPr>
      <w:tc>
        <w:tcPr>
          <w:shd w:fill="auto" w:val="clear"/>
          <w:vAlign w:val="center"/>
        </w:tcPr>
        <w:p w:rsidR="00000000" w:rsidDel="00000000" w:rsidP="00000000" w:rsidRDefault="00000000" w:rsidRPr="00000000" w14:paraId="0000008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8E">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Cuautitlán Izcalli</w:t>
          </w:r>
        </w:p>
      </w:tc>
    </w:tr>
    <w:tr>
      <w:trPr>
        <w:cantSplit w:val="0"/>
        <w:tblHeader w:val="0"/>
      </w:trPr>
      <w:tc>
        <w:tcPr>
          <w:shd w:fill="auto" w:val="clear"/>
          <w:vAlign w:val="center"/>
        </w:tcPr>
        <w:p w:rsidR="00000000" w:rsidDel="00000000" w:rsidP="00000000" w:rsidRDefault="00000000" w:rsidRPr="00000000" w14:paraId="0000008F">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90">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91">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2902"/>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semiHidden w:val="1"/>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semiHidden w:val="1"/>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uiPriority w:val="9"/>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
    <w:link w:val="SinespaciadoCar"/>
    <w:uiPriority w:val="1"/>
    <w:qFormat w:val="1"/>
    <w:rsid w:val="002944C8"/>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rPr>
  </w:style>
  <w:style w:type="paragraph" w:styleId="m5127500252372250437gmail-paragraph" w:customStyle="1">
    <w:name w:val="m_5127500252372250437gmail-paragraph"/>
    <w:basedOn w:val="Normal"/>
    <w:rsid w:val="00980B7E"/>
    <w:pPr>
      <w:spacing w:after="100" w:afterAutospacing="1" w:before="100" w:beforeAutospacing="1"/>
    </w:p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style>
  <w:style w:type="paragraph" w:styleId="m" w:customStyle="1">
    <w:name w:val="m"/>
    <w:basedOn w:val="Normal"/>
    <w:rsid w:val="007B00BD"/>
    <w:pPr>
      <w:spacing w:after="100" w:afterAutospacing="1" w:before="100" w:beforeAutospacing="1"/>
    </w:p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style>
  <w:style w:type="paragraph" w:styleId="n2" w:customStyle="1">
    <w:name w:val="n2"/>
    <w:basedOn w:val="Normal"/>
    <w:rsid w:val="009D307C"/>
    <w:pPr>
      <w:spacing w:after="100" w:afterAutospacing="1" w:before="100" w:beforeAutospacing="1"/>
    </w:p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style>
  <w:style w:type="paragraph" w:styleId="j2" w:customStyle="1">
    <w:name w:val="j2"/>
    <w:basedOn w:val="Normal"/>
    <w:rsid w:val="009D307C"/>
    <w:pPr>
      <w:spacing w:after="100" w:afterAutospacing="1" w:before="100" w:before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5" w:customStyle="1">
    <w:name w:val="5"/>
    <w:basedOn w:val="TableNormal10"/>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4" w:customStyle="1">
    <w:name w:val="4"/>
    <w:basedOn w:val="TableNormal10"/>
    <w:tblPr>
      <w:tblStyleRowBandSize w:val="1"/>
      <w:tblStyleColBandSize w:val="1"/>
      <w:tblCellMar>
        <w:left w:w="115.0" w:type="dxa"/>
        <w:right w:w="115.0" w:type="dxa"/>
      </w:tblCellMar>
    </w:tblPr>
  </w:style>
  <w:style w:type="table" w:styleId="3" w:customStyle="1">
    <w:name w:val="3"/>
    <w:basedOn w:val="TableNormal10"/>
    <w:tblPr>
      <w:tblStyleRowBandSize w:val="1"/>
      <w:tblStyleColBandSize w:val="1"/>
      <w:tblCellMar>
        <w:left w:w="115.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table" w:styleId="2" w:customStyle="1">
    <w:name w:val="2"/>
    <w:basedOn w:val="TableNormal10"/>
    <w:tblPr>
      <w:tblStyleRowBandSize w:val="1"/>
      <w:tblStyleColBandSize w:val="1"/>
      <w:tblCellMar>
        <w:left w:w="115.0" w:type="dxa"/>
        <w:right w:w="115.0" w:type="dxa"/>
      </w:tblCellMar>
    </w:tblPr>
  </w:style>
  <w:style w:type="table" w:styleId="1" w:customStyle="1">
    <w:name w:val="1"/>
    <w:basedOn w:val="TableNormal10"/>
    <w:tblPr>
      <w:tblStyleRowBandSize w:val="1"/>
      <w:tblStyleColBandSize w:val="1"/>
      <w:tblCellMar>
        <w:left w:w="115.0" w:type="dxa"/>
        <w:right w:w="115.0" w:type="dxa"/>
      </w:tblCellMar>
    </w:tblPr>
  </w:style>
  <w:style w:type="table" w:styleId="9" w:customStyle="1">
    <w:name w:val="9"/>
    <w:basedOn w:val="TableNormal20"/>
    <w:tblPr>
      <w:tblStyleRowBandSize w:val="1"/>
      <w:tblStyleColBandSize w:val="1"/>
      <w:tblCellMar>
        <w:left w:w="115.0" w:type="dxa"/>
        <w:right w:w="115.0" w:type="dxa"/>
      </w:tblCellMar>
    </w:tblPr>
  </w:style>
  <w:style w:type="table" w:styleId="8" w:customStyle="1">
    <w:name w:val="8"/>
    <w:basedOn w:val="TableNormal20"/>
    <w:tblPr>
      <w:tblStyleRowBandSize w:val="1"/>
      <w:tblStyleColBandSize w:val="1"/>
      <w:tblCellMar>
        <w:left w:w="115.0" w:type="dxa"/>
        <w:right w:w="115.0" w:type="dxa"/>
      </w:tblCellMar>
    </w:tblPr>
  </w:style>
  <w:style w:type="table" w:styleId="7" w:customStyle="1">
    <w:name w:val="7"/>
    <w:basedOn w:val="TableNormal3"/>
    <w:tblPr>
      <w:tblStyleRowBandSize w:val="1"/>
      <w:tblStyleColBandSize w:val="1"/>
      <w:tblCellMar>
        <w:left w:w="115.0" w:type="dxa"/>
        <w:right w:w="115.0" w:type="dxa"/>
      </w:tblCellMar>
    </w:tblPr>
  </w:style>
  <w:style w:type="table" w:styleId="6" w:customStyle="1">
    <w:name w:val="6"/>
    <w:basedOn w:val="TableNormal3"/>
    <w:tblPr>
      <w:tblStyleRowBandSize w:val="1"/>
      <w:tblStyleColBandSize w:val="1"/>
      <w:tblCellMar>
        <w:left w:w="115.0" w:type="dxa"/>
        <w:right w:w="115.0" w:type="dxa"/>
      </w:tblCellMar>
    </w:tblPr>
  </w:style>
  <w:style w:type="table" w:styleId="20" w:customStyle="1">
    <w:name w:val="20"/>
    <w:basedOn w:val="TableNormal4"/>
    <w:tblPr>
      <w:tblStyleRowBandSize w:val="1"/>
      <w:tblStyleColBandSize w:val="1"/>
      <w:tblCellMar>
        <w:left w:w="115.0" w:type="dxa"/>
        <w:right w:w="115.0" w:type="dxa"/>
      </w:tblCellMar>
    </w:tblPr>
  </w:style>
  <w:style w:type="table" w:styleId="19" w:customStyle="1">
    <w:name w:val="19"/>
    <w:basedOn w:val="TableNormal4"/>
    <w:tblPr>
      <w:tblStyleRowBandSize w:val="1"/>
      <w:tblStyleColBandSize w:val="1"/>
      <w:tblCellMar>
        <w:left w:w="115.0" w:type="dxa"/>
        <w:right w:w="115.0" w:type="dxa"/>
      </w:tblCellMar>
    </w:tblPr>
  </w:style>
  <w:style w:type="table" w:styleId="18" w:customStyle="1">
    <w:name w:val="18"/>
    <w:basedOn w:val="TableNormal5"/>
    <w:tblPr>
      <w:tblStyleRowBandSize w:val="1"/>
      <w:tblStyleColBandSize w:val="1"/>
      <w:tblCellMar>
        <w:left w:w="115.0" w:type="dxa"/>
        <w:right w:w="115.0" w:type="dxa"/>
      </w:tblCellMar>
    </w:tblPr>
  </w:style>
  <w:style w:type="table" w:styleId="17" w:customStyle="1">
    <w:name w:val="17"/>
    <w:basedOn w:val="TableNormal5"/>
    <w:tblPr>
      <w:tblStyleRowBandSize w:val="1"/>
      <w:tblStyleColBandSize w:val="1"/>
      <w:tblCellMar>
        <w:left w:w="115.0" w:type="dxa"/>
        <w:right w:w="115.0" w:type="dxa"/>
      </w:tblCellMar>
    </w:tblPr>
  </w:style>
  <w:style w:type="table" w:styleId="16" w:customStyle="1">
    <w:name w:val="16"/>
    <w:basedOn w:val="TableNormal6"/>
    <w:tblPr>
      <w:tblStyleRowBandSize w:val="1"/>
      <w:tblStyleColBandSize w:val="1"/>
      <w:tblCellMar>
        <w:left w:w="115.0" w:type="dxa"/>
        <w:right w:w="115.0" w:type="dxa"/>
      </w:tblCellMar>
    </w:tblPr>
  </w:style>
  <w:style w:type="table" w:styleId="15" w:customStyle="1">
    <w:name w:val="15"/>
    <w:basedOn w:val="TableNormal6"/>
    <w:tblPr>
      <w:tblStyleRowBandSize w:val="1"/>
      <w:tblStyleColBandSize w:val="1"/>
      <w:tblCellMar>
        <w:left w:w="115.0" w:type="dxa"/>
        <w:right w:w="115.0" w:type="dxa"/>
      </w:tblCellMar>
    </w:tblPr>
  </w:style>
  <w:style w:type="table" w:styleId="14" w:customStyle="1">
    <w:name w:val="14"/>
    <w:basedOn w:val="TableNormal7"/>
    <w:tblPr>
      <w:tblStyleRowBandSize w:val="1"/>
      <w:tblStyleColBandSize w:val="1"/>
      <w:tblCellMar>
        <w:left w:w="115.0" w:type="dxa"/>
        <w:right w:w="115.0" w:type="dxa"/>
      </w:tblCellMar>
    </w:tblPr>
  </w:style>
  <w:style w:type="table" w:styleId="13" w:customStyle="1">
    <w:name w:val="13"/>
    <w:basedOn w:val="TableNormal7"/>
    <w:tblPr>
      <w:tblStyleRowBandSize w:val="1"/>
      <w:tblStyleColBandSize w:val="1"/>
      <w:tblCellMar>
        <w:left w:w="115.0" w:type="dxa"/>
        <w:right w:w="115.0" w:type="dxa"/>
      </w:tblCellMar>
    </w:tblPr>
  </w:style>
  <w:style w:type="character" w:styleId="rse6dlih" w:customStyle="1">
    <w:name w:val="rse6dlih"/>
    <w:basedOn w:val="Fuentedeprrafopredeter"/>
    <w:rsid w:val="00190860"/>
  </w:style>
  <w:style w:type="table" w:styleId="12" w:customStyle="1">
    <w:name w:val="12"/>
    <w:basedOn w:val="TableNormal8"/>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1" w:customStyle="1">
    <w:name w:val="11"/>
    <w:basedOn w:val="TableNormal8"/>
    <w:tblPr>
      <w:tblStyleRowBandSize w:val="1"/>
      <w:tblStyleColBandSize w:val="1"/>
      <w:tblCellMar>
        <w:left w:w="115.0" w:type="dxa"/>
        <w:right w:w="115.0" w:type="dxa"/>
      </w:tblCellMar>
    </w:tblPr>
  </w:style>
  <w:style w:type="table" w:styleId="10" w:customStyle="1">
    <w:name w:val="10"/>
    <w:basedOn w:val="TableNormal8"/>
    <w:tblPr>
      <w:tblStyleRowBandSize w:val="1"/>
      <w:tblStyleColBandSize w:val="1"/>
      <w:tblCellMar>
        <w:left w:w="115.0" w:type="dxa"/>
        <w:right w:w="115.0" w:type="dxa"/>
      </w:tblCellMar>
    </w:tblPr>
  </w:style>
  <w:style w:type="table" w:styleId="24" w:customStyle="1">
    <w:name w:val="24"/>
    <w:basedOn w:val="TableNormal9"/>
    <w:tblPr>
      <w:tblStyleRowBandSize w:val="1"/>
      <w:tblStyleColBandSize w:val="1"/>
      <w:tblCellMar>
        <w:left w:w="115.0" w:type="dxa"/>
        <w:right w:w="115.0" w:type="dxa"/>
      </w:tblCellMar>
    </w:tblPr>
  </w:style>
  <w:style w:type="table" w:styleId="23" w:customStyle="1">
    <w:name w:val="23"/>
    <w:basedOn w:val="TableNormal9"/>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2" w:customStyle="1">
    <w:name w:val="22"/>
    <w:basedOn w:val="TableNormal9"/>
    <w:tblPr>
      <w:tblStyleRowBandSize w:val="1"/>
      <w:tblStyleColBandSize w:val="1"/>
      <w:tblCellMar>
        <w:left w:w="115.0" w:type="dxa"/>
        <w:right w:w="115.0" w:type="dxa"/>
      </w:tblCellMar>
    </w:tblPr>
  </w:style>
  <w:style w:type="table" w:styleId="21" w:customStyle="1">
    <w:name w:val="21"/>
    <w:basedOn w:val="TableNormal9"/>
    <w:tblPr>
      <w:tblStyleRowBandSize w:val="1"/>
      <w:tblStyleColBandSize w:val="1"/>
      <w:tblCellMar>
        <w:left w:w="115.0" w:type="dxa"/>
        <w:right w:w="115.0" w:type="dxa"/>
      </w:tblCellMar>
    </w:tblPr>
  </w:style>
  <w:style w:type="table" w:styleId="a" w:customStyle="1">
    <w:basedOn w:val="TableNormal2"/>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2"/>
    <w:tblPr>
      <w:tblStyleRowBandSize w:val="1"/>
      <w:tblStyleColBandSize w:val="1"/>
      <w:tblCellMar>
        <w:left w:w="115.0" w:type="dxa"/>
        <w:right w:w="115.0" w:type="dxa"/>
      </w:tblCellMar>
    </w:tblPr>
  </w:style>
  <w:style w:type="table" w:styleId="a2" w:customStyle="1">
    <w:basedOn w:val="TableNormal2"/>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115.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0"/>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character" w:styleId="Mencinsinresolver4" w:customStyle="1">
    <w:name w:val="Mención sin resolver4"/>
    <w:basedOn w:val="Fuentedeprrafopredeter"/>
    <w:uiPriority w:val="99"/>
    <w:semiHidden w:val="1"/>
    <w:unhideWhenUsed w:val="1"/>
    <w:rsid w:val="00B70D09"/>
    <w:rPr>
      <w:color w:val="605e5c"/>
      <w:shd w:color="auto" w:fill="e1dfdd" w:val="clear"/>
    </w:rPr>
  </w:style>
  <w:style w:type="character" w:styleId="Mencinsinresolver5" w:customStyle="1">
    <w:name w:val="Mención sin resolver5"/>
    <w:basedOn w:val="Fuentedeprrafopredeter"/>
    <w:uiPriority w:val="99"/>
    <w:semiHidden w:val="1"/>
    <w:unhideWhenUsed w:val="1"/>
    <w:rsid w:val="00160AB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kg9VT+SRC++EA5RRIe5mONVBw==">CgMxLjAyCGguZ2pkZ3hzMgloLjNkeTZ2a20yCWguMzBqMHpsbDIJaC4yczhleW8xMghoLnR5amN3dDIJaC4zem55c2g3MgloLjE3ZHA4dnUyCWguMWZvYjl0ZTIJaC4zcmRjcmpuMgloLjF0M2g1c2Y4AHIhMThaT1FiT2JHbVpfcld3Uk9NNzdEWnVCMl96a0VnU09K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2023-06-05T22:54:00Z</dcterms:created>
  <dc:creator>iMac</dc:creator>
</cp:coreProperties>
</file>