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DF63" w14:textId="6707EF94" w:rsidR="00AE4B84" w:rsidRPr="00861738" w:rsidRDefault="00AE4B84" w:rsidP="00AE4B84">
      <w:pPr>
        <w:spacing w:line="360" w:lineRule="auto"/>
        <w:jc w:val="both"/>
        <w:rPr>
          <w:rFonts w:ascii="Palatino Linotype" w:hAnsi="Palatino Linotype"/>
        </w:rPr>
      </w:pPr>
      <w:r w:rsidRPr="00861738">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46109F" w:rsidRPr="00861738">
        <w:rPr>
          <w:rFonts w:ascii="Palatino Linotype" w:hAnsi="Palatino Linotype"/>
          <w:lang w:eastAsia="es-ES"/>
        </w:rPr>
        <w:t>fecha</w:t>
      </w:r>
      <w:r w:rsidR="004C60CB">
        <w:rPr>
          <w:rFonts w:ascii="Palatino Linotype" w:hAnsi="Palatino Linotype"/>
          <w:lang w:eastAsia="es-ES"/>
        </w:rPr>
        <w:t xml:space="preserve"> doce</w:t>
      </w:r>
      <w:r w:rsidR="00424D0B">
        <w:rPr>
          <w:rFonts w:ascii="Palatino Linotype" w:hAnsi="Palatino Linotype"/>
          <w:lang w:eastAsia="es-ES"/>
        </w:rPr>
        <w:t xml:space="preserve"> (1</w:t>
      </w:r>
      <w:r w:rsidR="004C60CB">
        <w:rPr>
          <w:rFonts w:ascii="Palatino Linotype" w:hAnsi="Palatino Linotype"/>
          <w:lang w:eastAsia="es-ES"/>
        </w:rPr>
        <w:t>2</w:t>
      </w:r>
      <w:r w:rsidR="00424D0B">
        <w:rPr>
          <w:rFonts w:ascii="Palatino Linotype" w:hAnsi="Palatino Linotype"/>
          <w:lang w:eastAsia="es-ES"/>
        </w:rPr>
        <w:t>) de octubre</w:t>
      </w:r>
      <w:r w:rsidRPr="00861738">
        <w:rPr>
          <w:rFonts w:ascii="Palatino Linotype" w:hAnsi="Palatino Linotype"/>
          <w:lang w:eastAsia="es-ES"/>
        </w:rPr>
        <w:t xml:space="preserve"> de dos mil veinti</w:t>
      </w:r>
      <w:r w:rsidR="00B4681F">
        <w:rPr>
          <w:rFonts w:ascii="Palatino Linotype" w:hAnsi="Palatino Linotype"/>
          <w:lang w:eastAsia="es-ES"/>
        </w:rPr>
        <w:t>trés.</w:t>
      </w:r>
    </w:p>
    <w:p w14:paraId="1975C4B7" w14:textId="77777777" w:rsidR="00AE4B84" w:rsidRPr="00861738" w:rsidRDefault="00AE4B84" w:rsidP="00AE4B84">
      <w:pPr>
        <w:spacing w:line="360" w:lineRule="auto"/>
        <w:jc w:val="both"/>
        <w:rPr>
          <w:rFonts w:ascii="Palatino Linotype" w:hAnsi="Palatino Linotype"/>
        </w:rPr>
      </w:pPr>
    </w:p>
    <w:p w14:paraId="56085B99" w14:textId="30D851DA" w:rsidR="00AE4B84" w:rsidRPr="00861738" w:rsidRDefault="00AE4B84" w:rsidP="00AE4B84">
      <w:pPr>
        <w:spacing w:line="360" w:lineRule="auto"/>
        <w:jc w:val="both"/>
        <w:rPr>
          <w:rFonts w:ascii="Palatino Linotype" w:hAnsi="Palatino Linotype"/>
        </w:rPr>
      </w:pPr>
      <w:r w:rsidRPr="00861738">
        <w:rPr>
          <w:rFonts w:ascii="Palatino Linotype" w:hAnsi="Palatino Linotype"/>
          <w:b/>
          <w:lang w:eastAsia="es-ES"/>
        </w:rPr>
        <w:t>VISTO</w:t>
      </w:r>
      <w:r w:rsidRPr="00861738">
        <w:rPr>
          <w:rFonts w:ascii="Palatino Linotype" w:hAnsi="Palatino Linotype"/>
          <w:lang w:eastAsia="es-ES"/>
        </w:rPr>
        <w:t xml:space="preserve"> el expediente electrónico formado con motivo del recurso de revisión número </w:t>
      </w:r>
      <w:bookmarkStart w:id="0" w:name="_GoBack"/>
      <w:r w:rsidR="00424D0B">
        <w:rPr>
          <w:rFonts w:ascii="Palatino Linotype" w:hAnsi="Palatino Linotype"/>
          <w:b/>
          <w:bCs/>
          <w:lang w:eastAsia="es-ES"/>
        </w:rPr>
        <w:t>06223</w:t>
      </w:r>
      <w:bookmarkEnd w:id="0"/>
      <w:r w:rsidRPr="00861738">
        <w:rPr>
          <w:rFonts w:ascii="Palatino Linotype" w:hAnsi="Palatino Linotype"/>
          <w:b/>
          <w:bCs/>
          <w:lang w:eastAsia="es-ES"/>
        </w:rPr>
        <w:t>/INFOEM/IP/RR/202</w:t>
      </w:r>
      <w:r w:rsidR="00B4681F">
        <w:rPr>
          <w:rFonts w:ascii="Palatino Linotype" w:hAnsi="Palatino Linotype"/>
          <w:b/>
          <w:bCs/>
          <w:lang w:eastAsia="es-ES"/>
        </w:rPr>
        <w:t>3</w:t>
      </w:r>
      <w:r w:rsidRPr="00861738">
        <w:rPr>
          <w:rFonts w:ascii="Palatino Linotype" w:hAnsi="Palatino Linotype"/>
          <w:b/>
          <w:bCs/>
          <w:lang w:eastAsia="es-ES"/>
        </w:rPr>
        <w:t xml:space="preserve">, </w:t>
      </w:r>
      <w:r w:rsidRPr="00861738">
        <w:rPr>
          <w:rFonts w:ascii="Palatino Linotype" w:hAnsi="Palatino Linotype"/>
          <w:lang w:eastAsia="es-ES"/>
        </w:rPr>
        <w:t xml:space="preserve">promovido </w:t>
      </w:r>
      <w:r w:rsidR="00BC0F45" w:rsidRPr="00861738">
        <w:rPr>
          <w:rFonts w:ascii="Palatino Linotype" w:hAnsi="Palatino Linotype"/>
          <w:lang w:eastAsia="es-ES"/>
        </w:rPr>
        <w:t>por</w:t>
      </w:r>
      <w:r w:rsidR="004524F9" w:rsidRPr="00861738">
        <w:rPr>
          <w:rFonts w:ascii="Palatino Linotype" w:hAnsi="Palatino Linotype"/>
          <w:lang w:eastAsia="es-ES"/>
        </w:rPr>
        <w:t xml:space="preserve"> </w:t>
      </w:r>
      <w:r w:rsidR="00A14B54">
        <w:rPr>
          <w:rFonts w:ascii="Palatino Linotype" w:hAnsi="Palatino Linotype"/>
          <w:b/>
          <w:lang w:eastAsia="es-ES"/>
        </w:rPr>
        <w:t>XXXXX</w:t>
      </w:r>
      <w:r w:rsidR="00D063EE">
        <w:rPr>
          <w:rFonts w:ascii="Palatino Linotype" w:hAnsi="Palatino Linotype"/>
          <w:b/>
          <w:lang w:eastAsia="es-ES"/>
        </w:rPr>
        <w:t>,</w:t>
      </w:r>
      <w:r w:rsidR="00D57632" w:rsidRPr="00861738">
        <w:rPr>
          <w:rFonts w:ascii="Palatino Linotype" w:hAnsi="Palatino Linotype"/>
          <w:lang w:eastAsia="es-ES"/>
        </w:rPr>
        <w:t xml:space="preserve"> quien en lo sucesivo será identificado como </w:t>
      </w:r>
      <w:r w:rsidR="00D063EE">
        <w:rPr>
          <w:rFonts w:ascii="Palatino Linotype" w:hAnsi="Palatino Linotype"/>
          <w:b/>
          <w:lang w:eastAsia="es-ES"/>
        </w:rPr>
        <w:t>RECURRENTE</w:t>
      </w:r>
      <w:r w:rsidR="00BB539F" w:rsidRPr="00861738">
        <w:rPr>
          <w:rFonts w:ascii="Palatino Linotype" w:hAnsi="Palatino Linotype"/>
          <w:b/>
          <w:lang w:eastAsia="es-ES"/>
        </w:rPr>
        <w:t xml:space="preserve">, </w:t>
      </w:r>
      <w:r w:rsidRPr="00861738">
        <w:rPr>
          <w:rFonts w:ascii="Palatino Linotype" w:hAnsi="Palatino Linotype"/>
          <w:lang w:eastAsia="es-ES"/>
        </w:rPr>
        <w:t>en</w:t>
      </w:r>
      <w:r w:rsidR="00D57632" w:rsidRPr="00861738">
        <w:rPr>
          <w:rFonts w:ascii="Palatino Linotype" w:hAnsi="Palatino Linotype"/>
          <w:lang w:eastAsia="es-ES"/>
        </w:rPr>
        <w:t xml:space="preserve"> contra de la respuesta de</w:t>
      </w:r>
      <w:r w:rsidR="00B4681F">
        <w:rPr>
          <w:rFonts w:ascii="Palatino Linotype" w:hAnsi="Palatino Linotype"/>
          <w:lang w:eastAsia="es-ES"/>
        </w:rPr>
        <w:t>l</w:t>
      </w:r>
      <w:r w:rsidRPr="00861738">
        <w:rPr>
          <w:rFonts w:ascii="Palatino Linotype" w:hAnsi="Palatino Linotype"/>
          <w:b/>
          <w:bCs/>
          <w:lang w:eastAsia="es-ES"/>
        </w:rPr>
        <w:t xml:space="preserve"> </w:t>
      </w:r>
      <w:r w:rsidR="00424D0B" w:rsidRPr="00424D0B">
        <w:rPr>
          <w:rFonts w:ascii="Palatino Linotype" w:eastAsia="Calibri" w:hAnsi="Palatino Linotype" w:cs="Tahoma"/>
          <w:b/>
          <w:bCs/>
          <w:lang w:eastAsia="en-US"/>
        </w:rPr>
        <w:t>Centro de Conciliación Laboral del Estado de México</w:t>
      </w:r>
      <w:r w:rsidRPr="00861738">
        <w:rPr>
          <w:rFonts w:ascii="Palatino Linotype" w:hAnsi="Palatino Linotype"/>
          <w:b/>
          <w:lang w:eastAsia="es-ES"/>
        </w:rPr>
        <w:t xml:space="preserve">, </w:t>
      </w:r>
      <w:r w:rsidRPr="00861738">
        <w:rPr>
          <w:rFonts w:ascii="Palatino Linotype" w:hAnsi="Palatino Linotype"/>
          <w:lang w:eastAsia="es-ES"/>
        </w:rPr>
        <w:t xml:space="preserve">en </w:t>
      </w:r>
      <w:r w:rsidR="00D063EE">
        <w:rPr>
          <w:rFonts w:ascii="Palatino Linotype" w:hAnsi="Palatino Linotype"/>
          <w:lang w:eastAsia="es-ES"/>
        </w:rPr>
        <w:t>adelante</w:t>
      </w:r>
      <w:r w:rsidRPr="00861738">
        <w:rPr>
          <w:rFonts w:ascii="Palatino Linotype" w:hAnsi="Palatino Linotype"/>
          <w:lang w:eastAsia="es-ES"/>
        </w:rPr>
        <w:t xml:space="preserve"> el </w:t>
      </w:r>
      <w:r w:rsidRPr="00861738">
        <w:rPr>
          <w:rFonts w:ascii="Palatino Linotype" w:hAnsi="Palatino Linotype"/>
          <w:b/>
          <w:lang w:eastAsia="es-ES"/>
        </w:rPr>
        <w:t xml:space="preserve">SUJETO OBLIGADO, </w:t>
      </w:r>
      <w:r w:rsidRPr="00861738">
        <w:rPr>
          <w:rFonts w:ascii="Palatino Linotype" w:hAnsi="Palatino Linotype"/>
          <w:lang w:eastAsia="es-ES"/>
        </w:rPr>
        <w:t xml:space="preserve">se procede a dictar la presente resolución, con base en los siguientes: </w:t>
      </w:r>
    </w:p>
    <w:p w14:paraId="19AEE27D" w14:textId="77777777" w:rsidR="00AE4B84" w:rsidRPr="00861738" w:rsidRDefault="00AE4B84" w:rsidP="00AE4B84">
      <w:pPr>
        <w:spacing w:line="360" w:lineRule="auto"/>
        <w:jc w:val="both"/>
        <w:rPr>
          <w:rFonts w:ascii="Palatino Linotype" w:hAnsi="Palatino Linotype"/>
        </w:rPr>
      </w:pPr>
    </w:p>
    <w:p w14:paraId="65338A15" w14:textId="77777777" w:rsidR="00AE4B84" w:rsidRPr="00861738" w:rsidRDefault="00AE4B84" w:rsidP="00AE4B84">
      <w:pPr>
        <w:keepNext/>
        <w:keepLines/>
        <w:spacing w:before="240" w:line="360" w:lineRule="auto"/>
        <w:jc w:val="center"/>
        <w:outlineLvl w:val="0"/>
        <w:rPr>
          <w:rFonts w:ascii="Palatino Linotype" w:eastAsia="MS Gothic" w:hAnsi="Palatino Linotype"/>
          <w:b/>
          <w:color w:val="000000"/>
        </w:rPr>
      </w:pPr>
      <w:bookmarkStart w:id="1" w:name="_Toc473812222"/>
      <w:bookmarkStart w:id="2" w:name="_Toc494991882"/>
      <w:bookmarkStart w:id="3" w:name="_Toc29544438"/>
      <w:r w:rsidRPr="00861738">
        <w:rPr>
          <w:rFonts w:ascii="Palatino Linotype" w:eastAsia="MS Gothic" w:hAnsi="Palatino Linotype"/>
          <w:b/>
          <w:color w:val="000000"/>
          <w:lang w:val="es-ES"/>
        </w:rPr>
        <w:t>ANTECEDENTES</w:t>
      </w:r>
      <w:bookmarkEnd w:id="1"/>
      <w:bookmarkEnd w:id="2"/>
      <w:bookmarkEnd w:id="3"/>
    </w:p>
    <w:p w14:paraId="05453C12" w14:textId="77777777" w:rsidR="00AE4B84" w:rsidRPr="00861738"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5804439A" w:rsidR="00AE4B84" w:rsidRPr="00861738" w:rsidRDefault="00BB5195" w:rsidP="003E5530">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861738">
        <w:rPr>
          <w:rFonts w:ascii="Palatino Linotype" w:eastAsia="Calibri" w:hAnsi="Palatino Linotype" w:cs="Arial"/>
          <w:color w:val="000000"/>
          <w:lang w:val="es-ES" w:eastAsia="es-ES"/>
        </w:rPr>
        <w:t>E</w:t>
      </w:r>
      <w:r w:rsidR="005F74BD" w:rsidRPr="00861738">
        <w:rPr>
          <w:rFonts w:ascii="Palatino Linotype" w:eastAsia="Calibri" w:hAnsi="Palatino Linotype" w:cs="Arial"/>
          <w:color w:val="000000"/>
          <w:lang w:val="es-ES" w:eastAsia="es-ES"/>
        </w:rPr>
        <w:t xml:space="preserve">l </w:t>
      </w:r>
      <w:r w:rsidR="00424D0B">
        <w:rPr>
          <w:rFonts w:ascii="Palatino Linotype" w:eastAsia="Calibri" w:hAnsi="Palatino Linotype" w:cs="Arial"/>
          <w:color w:val="000000"/>
          <w:lang w:val="es-ES" w:eastAsia="es-ES"/>
        </w:rPr>
        <w:t>treinta y uno (31) de julio</w:t>
      </w:r>
      <w:r w:rsidRPr="00861738">
        <w:rPr>
          <w:rFonts w:ascii="Palatino Linotype" w:eastAsia="Calibri" w:hAnsi="Palatino Linotype" w:cs="Arial"/>
          <w:color w:val="000000"/>
          <w:lang w:val="es-ES" w:eastAsia="es-ES"/>
        </w:rPr>
        <w:t xml:space="preserve"> de dos mil veint</w:t>
      </w:r>
      <w:r w:rsidR="000A053D" w:rsidRPr="00861738">
        <w:rPr>
          <w:rFonts w:ascii="Palatino Linotype" w:eastAsia="Calibri" w:hAnsi="Palatino Linotype" w:cs="Arial"/>
          <w:color w:val="000000"/>
          <w:lang w:val="es-ES" w:eastAsia="es-ES"/>
        </w:rPr>
        <w:t>i</w:t>
      </w:r>
      <w:r w:rsidR="007576BB">
        <w:rPr>
          <w:rFonts w:ascii="Palatino Linotype" w:eastAsia="Calibri" w:hAnsi="Palatino Linotype" w:cs="Arial"/>
          <w:color w:val="000000"/>
          <w:lang w:val="es-ES" w:eastAsia="es-ES"/>
        </w:rPr>
        <w:t>trés</w:t>
      </w:r>
      <w:r w:rsidR="00AE4B84" w:rsidRPr="00861738">
        <w:rPr>
          <w:rFonts w:ascii="Palatino Linotype" w:eastAsia="Calibri" w:hAnsi="Palatino Linotype" w:cs="Arial"/>
          <w:color w:val="000000"/>
          <w:lang w:val="es-ES" w:eastAsia="es-ES"/>
        </w:rPr>
        <w:t xml:space="preserve">, </w:t>
      </w:r>
      <w:r w:rsidR="007576BB">
        <w:rPr>
          <w:rFonts w:ascii="Palatino Linotype" w:eastAsia="Calibri" w:hAnsi="Palatino Linotype" w:cs="Arial"/>
          <w:color w:val="000000"/>
          <w:lang w:val="es-ES" w:eastAsia="es-ES"/>
        </w:rPr>
        <w:t xml:space="preserve">el </w:t>
      </w:r>
      <w:r w:rsidR="007576BB" w:rsidRPr="007576BB">
        <w:rPr>
          <w:rFonts w:ascii="Palatino Linotype" w:eastAsia="Calibri" w:hAnsi="Palatino Linotype" w:cs="Arial"/>
          <w:b/>
          <w:bCs/>
          <w:color w:val="000000"/>
          <w:lang w:val="es-ES" w:eastAsia="es-ES"/>
        </w:rPr>
        <w:t>RECURRENTE</w:t>
      </w:r>
      <w:r w:rsidR="007576BB">
        <w:rPr>
          <w:rFonts w:ascii="Palatino Linotype" w:eastAsia="Calibri" w:hAnsi="Palatino Linotype" w:cs="Arial"/>
          <w:color w:val="000000"/>
          <w:lang w:val="es-ES" w:eastAsia="es-ES"/>
        </w:rPr>
        <w:t xml:space="preserve"> </w:t>
      </w:r>
      <w:r w:rsidR="003E5530" w:rsidRPr="00861738">
        <w:rPr>
          <w:rFonts w:ascii="Palatino Linotype" w:eastAsia="Calibri" w:hAnsi="Palatino Linotype" w:cs="Arial"/>
          <w:color w:val="000000"/>
          <w:lang w:val="es-ES" w:eastAsia="es-ES"/>
        </w:rPr>
        <w:t>presentó una solicitud de acceso a la información pública</w:t>
      </w:r>
      <w:r w:rsidR="001B6256" w:rsidRPr="00861738">
        <w:rPr>
          <w:rFonts w:ascii="Palatino Linotype" w:eastAsia="Calibri" w:hAnsi="Palatino Linotype" w:cs="Arial"/>
          <w:color w:val="000000"/>
          <w:lang w:val="es-ES" w:eastAsia="es-ES"/>
        </w:rPr>
        <w:t xml:space="preserve"> </w:t>
      </w:r>
      <w:r w:rsidR="007C2D99" w:rsidRPr="00861738">
        <w:rPr>
          <w:rFonts w:ascii="Palatino Linotype" w:hAnsi="Palatino Linotype" w:cs="Arial"/>
          <w:lang w:val="es-ES"/>
        </w:rPr>
        <w:t xml:space="preserve">a través </w:t>
      </w:r>
      <w:r w:rsidR="00A42ABC" w:rsidRPr="00861738">
        <w:rPr>
          <w:rFonts w:ascii="Palatino Linotype" w:hAnsi="Palatino Linotype" w:cs="Arial"/>
          <w:lang w:val="es-ES"/>
        </w:rPr>
        <w:t>de</w:t>
      </w:r>
      <w:r w:rsidR="007576BB">
        <w:rPr>
          <w:rFonts w:ascii="Palatino Linotype" w:hAnsi="Palatino Linotype" w:cs="Arial"/>
          <w:lang w:val="es-ES"/>
        </w:rPr>
        <w:t xml:space="preserve"> </w:t>
      </w:r>
      <w:r w:rsidR="00B4681F">
        <w:rPr>
          <w:rFonts w:ascii="Palatino Linotype" w:hAnsi="Palatino Linotype" w:cs="Arial"/>
          <w:lang w:val="es-ES"/>
        </w:rPr>
        <w:t>l</w:t>
      </w:r>
      <w:r w:rsidR="007576BB">
        <w:rPr>
          <w:rFonts w:ascii="Palatino Linotype" w:hAnsi="Palatino Linotype" w:cs="Arial"/>
          <w:lang w:val="es-ES"/>
        </w:rPr>
        <w:t xml:space="preserve">a Plataforma Nacional de Transparencia </w:t>
      </w:r>
      <w:r w:rsidR="007576BB" w:rsidRPr="007576BB">
        <w:rPr>
          <w:rFonts w:ascii="Palatino Linotype" w:hAnsi="Palatino Linotype" w:cs="Arial"/>
          <w:b/>
          <w:bCs/>
          <w:lang w:val="es-ES"/>
        </w:rPr>
        <w:t>(PNT),</w:t>
      </w:r>
      <w:r w:rsidR="007576BB">
        <w:rPr>
          <w:rFonts w:ascii="Palatino Linotype" w:hAnsi="Palatino Linotype" w:cs="Arial"/>
          <w:lang w:val="es-ES"/>
        </w:rPr>
        <w:t xml:space="preserve"> misma que quedó registrada en el</w:t>
      </w:r>
      <w:r w:rsidR="00B4681F">
        <w:rPr>
          <w:rFonts w:ascii="Palatino Linotype" w:hAnsi="Palatino Linotype" w:cs="Arial"/>
          <w:lang w:val="es-ES"/>
        </w:rPr>
        <w:t xml:space="preserve"> </w:t>
      </w:r>
      <w:r w:rsidR="007F78F1" w:rsidRPr="00861738">
        <w:rPr>
          <w:rFonts w:ascii="Palatino Linotype" w:eastAsia="Calibri" w:hAnsi="Palatino Linotype" w:cs="Arial"/>
          <w:color w:val="000000"/>
          <w:lang w:val="es-ES" w:eastAsia="es-ES"/>
        </w:rPr>
        <w:t xml:space="preserve">Sistema de Acceso a la Información Mexiquense </w:t>
      </w:r>
      <w:r w:rsidR="00AE4B84" w:rsidRPr="00861738">
        <w:rPr>
          <w:rFonts w:ascii="Palatino Linotype" w:eastAsia="Calibri" w:hAnsi="Palatino Linotype" w:cs="Arial"/>
          <w:b/>
          <w:color w:val="000000"/>
          <w:lang w:val="es-ES" w:eastAsia="es-ES"/>
        </w:rPr>
        <w:t>(SAIMEX)</w:t>
      </w:r>
      <w:r w:rsidR="003E5530" w:rsidRPr="00861738">
        <w:rPr>
          <w:rFonts w:ascii="Palatino Linotype" w:eastAsia="Calibri" w:hAnsi="Palatino Linotype" w:cs="Arial"/>
          <w:b/>
          <w:color w:val="000000"/>
          <w:lang w:val="es-ES" w:eastAsia="es-ES"/>
        </w:rPr>
        <w:t xml:space="preserve"> </w:t>
      </w:r>
      <w:r w:rsidR="00AE4B84" w:rsidRPr="00861738">
        <w:rPr>
          <w:rFonts w:ascii="Palatino Linotype" w:eastAsia="Calibri" w:hAnsi="Palatino Linotype" w:cs="Arial"/>
          <w:color w:val="000000"/>
          <w:lang w:val="es-ES" w:eastAsia="es-ES"/>
        </w:rPr>
        <w:t>con el número</w:t>
      </w:r>
      <w:r w:rsidRPr="00861738">
        <w:rPr>
          <w:rFonts w:ascii="Verdana" w:hAnsi="Verdana"/>
          <w:b/>
          <w:bCs/>
          <w:color w:val="FF0000"/>
        </w:rPr>
        <w:t xml:space="preserve"> </w:t>
      </w:r>
      <w:r w:rsidR="00424D0B" w:rsidRPr="00424D0B">
        <w:rPr>
          <w:rFonts w:ascii="Palatino Linotype" w:eastAsia="Calibri" w:hAnsi="Palatino Linotype" w:cs="Arial"/>
          <w:b/>
          <w:bCs/>
          <w:color w:val="000000"/>
          <w:lang w:eastAsia="es-ES"/>
        </w:rPr>
        <w:t>00049/CCLEM/IP/2023</w:t>
      </w:r>
      <w:r w:rsidR="00AE4B84" w:rsidRPr="00861738">
        <w:rPr>
          <w:rFonts w:ascii="Palatino Linotype" w:eastAsia="Calibri" w:hAnsi="Palatino Linotype" w:cs="Arial"/>
          <w:b/>
          <w:bCs/>
          <w:color w:val="000000"/>
          <w:lang w:eastAsia="es-ES"/>
        </w:rPr>
        <w:t>,</w:t>
      </w:r>
      <w:r w:rsidR="00AE4B84" w:rsidRPr="00861738">
        <w:rPr>
          <w:rFonts w:ascii="Palatino Linotype" w:eastAsia="Calibri" w:hAnsi="Palatino Linotype" w:cs="Arial"/>
          <w:color w:val="000000"/>
          <w:lang w:val="es-ES" w:eastAsia="es-ES"/>
        </w:rPr>
        <w:t xml:space="preserve"> </w:t>
      </w:r>
      <w:r w:rsidR="00D063EE">
        <w:rPr>
          <w:rFonts w:ascii="Palatino Linotype" w:eastAsia="Calibri" w:hAnsi="Palatino Linotype" w:cs="Arial"/>
          <w:color w:val="000000"/>
          <w:lang w:val="es-ES" w:eastAsia="es-ES"/>
        </w:rPr>
        <w:t>en la que</w:t>
      </w:r>
      <w:r w:rsidR="00AE4B84" w:rsidRPr="00861738">
        <w:rPr>
          <w:rFonts w:ascii="Palatino Linotype" w:eastAsia="Calibri" w:hAnsi="Palatino Linotype" w:cs="Arial"/>
          <w:color w:val="000000"/>
          <w:lang w:val="es-ES" w:eastAsia="es-ES"/>
        </w:rPr>
        <w:t xml:space="preserve"> requirió: </w:t>
      </w:r>
    </w:p>
    <w:p w14:paraId="658E2A6B" w14:textId="77777777" w:rsidR="00DD6520" w:rsidRPr="00861738" w:rsidRDefault="00DD6520" w:rsidP="00DD6520">
      <w:pPr>
        <w:ind w:right="539"/>
        <w:jc w:val="both"/>
        <w:rPr>
          <w:rFonts w:ascii="Palatino Linotype" w:hAnsi="Palatino Linotype"/>
          <w:i/>
          <w:iCs/>
          <w:color w:val="000000"/>
          <w:sz w:val="22"/>
          <w:szCs w:val="22"/>
        </w:rPr>
      </w:pPr>
    </w:p>
    <w:p w14:paraId="279499A2" w14:textId="7D510E2C" w:rsidR="00A42ABC" w:rsidRPr="00D063EE" w:rsidRDefault="00A42ABC" w:rsidP="00290B53">
      <w:pPr>
        <w:spacing w:line="360" w:lineRule="auto"/>
        <w:ind w:left="567" w:right="539"/>
        <w:jc w:val="both"/>
        <w:rPr>
          <w:rFonts w:ascii="Palatino Linotype" w:hAnsi="Palatino Linotype"/>
          <w:i/>
          <w:color w:val="000000"/>
          <w:szCs w:val="22"/>
        </w:rPr>
      </w:pPr>
      <w:r w:rsidRPr="00D063EE">
        <w:rPr>
          <w:rFonts w:ascii="Palatino Linotype" w:hAnsi="Palatino Linotype"/>
          <w:i/>
          <w:color w:val="000000"/>
          <w:szCs w:val="22"/>
        </w:rPr>
        <w:t>“</w:t>
      </w:r>
      <w:r w:rsidR="00424D0B" w:rsidRPr="00D063EE">
        <w:rPr>
          <w:rFonts w:ascii="Palatino Linotype" w:hAnsi="Palatino Linotype"/>
          <w:i/>
          <w:color w:val="000000"/>
          <w:szCs w:val="22"/>
        </w:rPr>
        <w:t xml:space="preserve">Agradeceré me proporcionen la siguiente información: 1.- ¿Cuántos sindicatos del apartado A existen en el Estado, al cual pertenece este sujeto obligado a que le hacemos la solicitud? 2.- ¿Cuántos sindicatos del apartado B existen en el Estado, al cual pertenece este sujeto obligado a que le hacemos la solicitud? 3.- ¿Cuántos conflictos laborales se registraron o que se presentaron en 2022 y en lo que va 2023, tanto del apartado A como en el apartado B? 4.- Cuántos amparos o demandas </w:t>
      </w:r>
      <w:r w:rsidR="00424D0B" w:rsidRPr="00D063EE">
        <w:rPr>
          <w:rFonts w:ascii="Palatino Linotype" w:hAnsi="Palatino Linotype"/>
          <w:i/>
          <w:color w:val="000000"/>
          <w:szCs w:val="22"/>
        </w:rPr>
        <w:lastRenderedPageBreak/>
        <w:t>laborales se presentaron ante esa instancia debido a conflictos en las elecciones de dirigencias de sindicatos del apartado A y por otro lado del apartado B? 2022 Y 2023 5.- Cuántos trabajadores están sindicalizados tanto del apartado A como del apartado B EN 2022 y en lo que va del 2023</w:t>
      </w:r>
      <w:r w:rsidRPr="00D063EE">
        <w:rPr>
          <w:rFonts w:ascii="Palatino Linotype" w:hAnsi="Palatino Linotype"/>
          <w:i/>
          <w:color w:val="000000"/>
          <w:szCs w:val="22"/>
        </w:rPr>
        <w:t>” (Sic)</w:t>
      </w:r>
    </w:p>
    <w:p w14:paraId="0AD69985" w14:textId="77777777" w:rsidR="00A42ABC" w:rsidRPr="00861738" w:rsidRDefault="00A42ABC" w:rsidP="00DD6520">
      <w:pPr>
        <w:ind w:right="539"/>
        <w:jc w:val="both"/>
        <w:rPr>
          <w:rFonts w:ascii="Palatino Linotype" w:hAnsi="Palatino Linotype"/>
          <w:i/>
          <w:iCs/>
          <w:sz w:val="22"/>
          <w:szCs w:val="22"/>
        </w:rPr>
      </w:pPr>
    </w:p>
    <w:p w14:paraId="0394FBA9" w14:textId="50300728" w:rsidR="00424D0B" w:rsidRPr="00424D0B" w:rsidRDefault="00424D0B" w:rsidP="004B4E36">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6B33E0">
        <w:rPr>
          <w:rFonts w:ascii="Palatino Linotype" w:hAnsi="Palatino Linotype" w:cs="Arial"/>
          <w:color w:val="202124"/>
          <w:szCs w:val="21"/>
        </w:rPr>
        <w:t xml:space="preserve">Se hace constar que el entonces </w:t>
      </w:r>
      <w:r w:rsidRPr="006B33E0">
        <w:rPr>
          <w:rFonts w:ascii="Palatino Linotype" w:hAnsi="Palatino Linotype" w:cs="Arial"/>
          <w:b/>
          <w:color w:val="202124"/>
          <w:szCs w:val="21"/>
        </w:rPr>
        <w:t>solicitante</w:t>
      </w:r>
      <w:r w:rsidRPr="006B33E0">
        <w:rPr>
          <w:rFonts w:ascii="Palatino Linotype" w:hAnsi="Palatino Linotype" w:cs="Arial"/>
          <w:color w:val="202124"/>
          <w:szCs w:val="21"/>
        </w:rPr>
        <w:t xml:space="preserve"> realizó requerimientos de información a través de la Plataforma Nacional de Transparencia, no obstante,</w:t>
      </w:r>
      <w:r>
        <w:rPr>
          <w:rFonts w:ascii="Palatino Linotype" w:hAnsi="Palatino Linotype" w:cs="Arial"/>
          <w:color w:val="202124"/>
          <w:szCs w:val="21"/>
        </w:rPr>
        <w:t xml:space="preserve"> no señaló modalidad de entrega, ni correo electrónico, por lo que </w:t>
      </w:r>
      <w:r w:rsidRPr="006B33E0">
        <w:rPr>
          <w:rFonts w:ascii="Palatino Linotype" w:hAnsi="Palatino Linotype" w:cs="Arial"/>
          <w:color w:val="202124"/>
          <w:szCs w:val="21"/>
        </w:rPr>
        <w:t xml:space="preserve"> de conformidad con el artículo 156</w:t>
      </w:r>
      <w:r>
        <w:rPr>
          <w:rStyle w:val="Refdenotaalpie"/>
          <w:rFonts w:ascii="Palatino Linotype" w:hAnsi="Palatino Linotype" w:cs="Arial"/>
          <w:color w:val="202124"/>
          <w:szCs w:val="21"/>
        </w:rPr>
        <w:footnoteReference w:id="1"/>
      </w:r>
      <w:r w:rsidRPr="006B33E0">
        <w:rPr>
          <w:rFonts w:ascii="Palatino Linotype" w:hAnsi="Palatino Linotype" w:cs="Arial"/>
          <w:color w:val="202124"/>
          <w:szCs w:val="21"/>
        </w:rPr>
        <w:t xml:space="preserve"> de la Ley de Transparencia Estatal se entenderá como medio de notificación a través del </w:t>
      </w:r>
      <w:r w:rsidRPr="006B33E0">
        <w:rPr>
          <w:rFonts w:ascii="Palatino Linotype" w:hAnsi="Palatino Linotype" w:cs="Arial"/>
          <w:b/>
          <w:color w:val="202124"/>
          <w:szCs w:val="21"/>
        </w:rPr>
        <w:t>SAIMEX</w:t>
      </w:r>
      <w:r w:rsidRPr="006B33E0">
        <w:rPr>
          <w:rFonts w:ascii="Palatino Linotype" w:hAnsi="Palatino Linotype" w:cs="Arial"/>
          <w:color w:val="202124"/>
          <w:szCs w:val="21"/>
        </w:rPr>
        <w:t xml:space="preserve"> ya que se encuentra vinculado a la Plataforma Nacional de Transparencia</w:t>
      </w:r>
      <w:r>
        <w:rPr>
          <w:rFonts w:ascii="Palatino Linotype" w:hAnsi="Palatino Linotype" w:cs="Arial"/>
          <w:color w:val="202124"/>
          <w:szCs w:val="21"/>
        </w:rPr>
        <w:t>.</w:t>
      </w:r>
    </w:p>
    <w:p w14:paraId="0BBE40A2" w14:textId="77777777" w:rsidR="001B6256" w:rsidRPr="00861738" w:rsidRDefault="001B6256" w:rsidP="001B6256">
      <w:pPr>
        <w:rPr>
          <w:rFonts w:ascii="Palatino Linotype" w:eastAsia="Calibri" w:hAnsi="Palatino Linotype" w:cs="Arial"/>
          <w:lang w:val="es-AR" w:eastAsia="es-ES"/>
        </w:rPr>
      </w:pPr>
    </w:p>
    <w:p w14:paraId="28ACBFF4" w14:textId="603A6CD0" w:rsidR="00AE4B84" w:rsidRPr="00861738"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861738">
        <w:rPr>
          <w:rFonts w:ascii="Palatino Linotype" w:eastAsia="Calibri" w:hAnsi="Palatino Linotype" w:cs="Arial"/>
          <w:lang w:val="es-AR" w:eastAsia="es-ES"/>
        </w:rPr>
        <w:t>E</w:t>
      </w:r>
      <w:r w:rsidR="00A15185" w:rsidRPr="00861738">
        <w:rPr>
          <w:rFonts w:ascii="Palatino Linotype" w:eastAsia="Calibri" w:hAnsi="Palatino Linotype" w:cs="Arial"/>
          <w:lang w:val="es-AR" w:eastAsia="es-ES"/>
        </w:rPr>
        <w:t xml:space="preserve">l </w:t>
      </w:r>
      <w:r w:rsidR="00424D0B">
        <w:rPr>
          <w:rFonts w:ascii="Palatino Linotype" w:eastAsia="Calibri" w:hAnsi="Palatino Linotype" w:cs="Arial"/>
          <w:bCs/>
          <w:lang w:val="es-AR" w:eastAsia="es-ES"/>
        </w:rPr>
        <w:t>tres (03) de agosto</w:t>
      </w:r>
      <w:r w:rsidR="00A1421C" w:rsidRPr="00861738">
        <w:rPr>
          <w:rFonts w:ascii="Palatino Linotype" w:eastAsia="Calibri" w:hAnsi="Palatino Linotype" w:cs="Arial"/>
          <w:lang w:val="es-AR" w:eastAsia="es-ES"/>
        </w:rPr>
        <w:t xml:space="preserve"> </w:t>
      </w:r>
      <w:r w:rsidRPr="00861738">
        <w:rPr>
          <w:rFonts w:ascii="Palatino Linotype" w:eastAsia="Calibri" w:hAnsi="Palatino Linotype" w:cs="Arial"/>
          <w:lang w:val="es-AR" w:eastAsia="es-ES"/>
        </w:rPr>
        <w:t>de dos mil veint</w:t>
      </w:r>
      <w:r w:rsidR="000A053D" w:rsidRPr="00861738">
        <w:rPr>
          <w:rFonts w:ascii="Palatino Linotype" w:eastAsia="Calibri" w:hAnsi="Palatino Linotype" w:cs="Arial"/>
          <w:lang w:val="es-AR" w:eastAsia="es-ES"/>
        </w:rPr>
        <w:t>i</w:t>
      </w:r>
      <w:r w:rsidR="007576BB">
        <w:rPr>
          <w:rFonts w:ascii="Palatino Linotype" w:eastAsia="Calibri" w:hAnsi="Palatino Linotype" w:cs="Arial"/>
          <w:lang w:val="es-AR" w:eastAsia="es-ES"/>
        </w:rPr>
        <w:t>trés</w:t>
      </w:r>
      <w:r w:rsidR="009C2AB6" w:rsidRPr="00861738">
        <w:rPr>
          <w:rFonts w:ascii="Palatino Linotype" w:hAnsi="Palatino Linotype" w:cs="Arial"/>
          <w:lang w:val="es-AR" w:eastAsia="es-ES"/>
        </w:rPr>
        <w:t xml:space="preserve">, </w:t>
      </w:r>
      <w:r w:rsidR="00AE4B84" w:rsidRPr="00861738">
        <w:rPr>
          <w:rFonts w:ascii="Palatino Linotype" w:eastAsia="MS Mincho" w:hAnsi="Palatino Linotype"/>
          <w:color w:val="000000"/>
          <w:lang w:val="es-ES_tradnl" w:eastAsia="es-ES"/>
        </w:rPr>
        <w:t xml:space="preserve">el </w:t>
      </w:r>
      <w:r w:rsidRPr="00861738">
        <w:rPr>
          <w:rFonts w:ascii="Palatino Linotype" w:eastAsia="MS Mincho" w:hAnsi="Palatino Linotype"/>
          <w:b/>
          <w:color w:val="000000"/>
          <w:lang w:val="es-ES_tradnl" w:eastAsia="es-ES"/>
        </w:rPr>
        <w:t>SUJETO OB</w:t>
      </w:r>
      <w:r w:rsidR="00E9492B" w:rsidRPr="00861738">
        <w:rPr>
          <w:rFonts w:ascii="Palatino Linotype" w:eastAsia="MS Mincho" w:hAnsi="Palatino Linotype"/>
          <w:b/>
          <w:color w:val="000000"/>
          <w:lang w:val="es-ES_tradnl" w:eastAsia="es-ES"/>
        </w:rPr>
        <w:t>L</w:t>
      </w:r>
      <w:r w:rsidRPr="00861738">
        <w:rPr>
          <w:rFonts w:ascii="Palatino Linotype" w:eastAsia="MS Mincho" w:hAnsi="Palatino Linotype"/>
          <w:b/>
          <w:color w:val="000000"/>
          <w:lang w:val="es-ES_tradnl" w:eastAsia="es-ES"/>
        </w:rPr>
        <w:t>IGADO</w:t>
      </w:r>
      <w:r w:rsidR="009C2AB6" w:rsidRPr="00861738">
        <w:rPr>
          <w:rFonts w:ascii="Palatino Linotype" w:eastAsia="MS Mincho" w:hAnsi="Palatino Linotype"/>
          <w:b/>
          <w:color w:val="000000"/>
          <w:lang w:val="es-ES_tradnl" w:eastAsia="es-ES"/>
        </w:rPr>
        <w:t xml:space="preserve"> </w:t>
      </w:r>
      <w:r w:rsidR="00AE4B84" w:rsidRPr="00861738">
        <w:rPr>
          <w:rFonts w:ascii="Palatino Linotype" w:hAnsi="Palatino Linotype" w:cs="Arial"/>
          <w:lang w:val="es-ES" w:eastAsia="es-ES"/>
        </w:rPr>
        <w:t>dio respuesta a la solicitud de información,</w:t>
      </w:r>
      <w:r w:rsidR="009C2AB6" w:rsidRPr="00861738">
        <w:rPr>
          <w:rFonts w:ascii="Palatino Linotype" w:hAnsi="Palatino Linotype" w:cs="Arial"/>
          <w:lang w:val="es-ES" w:eastAsia="es-ES"/>
        </w:rPr>
        <w:t xml:space="preserve"> en los siguientes términos</w:t>
      </w:r>
      <w:r w:rsidR="00AE4B84" w:rsidRPr="00861738">
        <w:rPr>
          <w:rFonts w:ascii="Palatino Linotype" w:hAnsi="Palatino Linotype" w:cs="Arial"/>
          <w:lang w:val="es-ES" w:eastAsia="es-ES"/>
        </w:rPr>
        <w:t>:</w:t>
      </w:r>
    </w:p>
    <w:p w14:paraId="064CBB20" w14:textId="77777777" w:rsidR="00BB5195" w:rsidRPr="007576BB" w:rsidRDefault="00BB5195" w:rsidP="007576BB">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tbl>
      <w:tblPr>
        <w:tblW w:w="7315" w:type="dxa"/>
        <w:jc w:val="center"/>
        <w:tblCellSpacing w:w="0" w:type="dxa"/>
        <w:tblCellMar>
          <w:left w:w="0" w:type="dxa"/>
          <w:right w:w="0" w:type="dxa"/>
        </w:tblCellMar>
        <w:tblLook w:val="04A0" w:firstRow="1" w:lastRow="0" w:firstColumn="1" w:lastColumn="0" w:noHBand="0" w:noVBand="1"/>
      </w:tblPr>
      <w:tblGrid>
        <w:gridCol w:w="7315"/>
      </w:tblGrid>
      <w:tr w:rsidR="00424D0B" w:rsidRPr="00424D0B" w14:paraId="340B4809" w14:textId="77777777" w:rsidTr="00424D0B">
        <w:trPr>
          <w:trHeight w:val="300"/>
          <w:tblCellSpacing w:w="0" w:type="dxa"/>
          <w:jc w:val="center"/>
        </w:trPr>
        <w:tc>
          <w:tcPr>
            <w:tcW w:w="0" w:type="auto"/>
            <w:vAlign w:val="center"/>
            <w:hideMark/>
          </w:tcPr>
          <w:p w14:paraId="2673658B" w14:textId="77777777" w:rsidR="00424D0B" w:rsidRPr="00424D0B" w:rsidRDefault="00424D0B" w:rsidP="00424D0B">
            <w:pPr>
              <w:spacing w:line="360" w:lineRule="auto"/>
              <w:jc w:val="right"/>
              <w:rPr>
                <w:rFonts w:ascii="Palatino Linotype" w:hAnsi="Palatino Linotype"/>
                <w:i/>
                <w:sz w:val="22"/>
                <w:szCs w:val="22"/>
                <w:lang w:val="es-ES" w:eastAsia="es-ES"/>
              </w:rPr>
            </w:pPr>
            <w:r w:rsidRPr="00424D0B">
              <w:rPr>
                <w:rFonts w:ascii="Palatino Linotype" w:hAnsi="Palatino Linotype"/>
                <w:i/>
                <w:sz w:val="22"/>
                <w:szCs w:val="22"/>
                <w:lang w:val="es-ES" w:eastAsia="es-ES"/>
              </w:rPr>
              <w:t>Metepec, México a 03 de Agosto de 2023</w:t>
            </w:r>
          </w:p>
        </w:tc>
      </w:tr>
      <w:tr w:rsidR="00424D0B" w:rsidRPr="00424D0B" w14:paraId="6FC44166" w14:textId="77777777" w:rsidTr="00424D0B">
        <w:trPr>
          <w:trHeight w:val="300"/>
          <w:tblCellSpacing w:w="0" w:type="dxa"/>
          <w:jc w:val="center"/>
        </w:trPr>
        <w:tc>
          <w:tcPr>
            <w:tcW w:w="0" w:type="auto"/>
            <w:vAlign w:val="center"/>
            <w:hideMark/>
          </w:tcPr>
          <w:p w14:paraId="2FD74023" w14:textId="77777777" w:rsidR="00424D0B" w:rsidRPr="00424D0B" w:rsidRDefault="00424D0B" w:rsidP="00424D0B">
            <w:pPr>
              <w:spacing w:line="360" w:lineRule="auto"/>
              <w:jc w:val="right"/>
              <w:rPr>
                <w:rFonts w:ascii="Palatino Linotype" w:hAnsi="Palatino Linotype"/>
                <w:i/>
                <w:sz w:val="22"/>
                <w:szCs w:val="22"/>
                <w:lang w:val="es-ES" w:eastAsia="es-ES"/>
              </w:rPr>
            </w:pPr>
            <w:r w:rsidRPr="00424D0B">
              <w:rPr>
                <w:rFonts w:ascii="Palatino Linotype" w:hAnsi="Palatino Linotype"/>
                <w:i/>
                <w:sz w:val="22"/>
                <w:szCs w:val="22"/>
                <w:lang w:val="es-ES" w:eastAsia="es-ES"/>
              </w:rPr>
              <w:t>Nombre del solicitante:</w:t>
            </w:r>
          </w:p>
        </w:tc>
      </w:tr>
      <w:tr w:rsidR="00424D0B" w:rsidRPr="00424D0B" w14:paraId="49531A3A" w14:textId="77777777" w:rsidTr="00424D0B">
        <w:trPr>
          <w:trHeight w:val="300"/>
          <w:tblCellSpacing w:w="0" w:type="dxa"/>
          <w:jc w:val="center"/>
        </w:trPr>
        <w:tc>
          <w:tcPr>
            <w:tcW w:w="0" w:type="auto"/>
            <w:vAlign w:val="center"/>
            <w:hideMark/>
          </w:tcPr>
          <w:p w14:paraId="570DD938" w14:textId="77777777" w:rsidR="00424D0B" w:rsidRPr="00424D0B" w:rsidRDefault="00424D0B" w:rsidP="00424D0B">
            <w:pPr>
              <w:spacing w:line="360" w:lineRule="auto"/>
              <w:jc w:val="right"/>
              <w:rPr>
                <w:rFonts w:ascii="Palatino Linotype" w:hAnsi="Palatino Linotype"/>
                <w:i/>
                <w:sz w:val="22"/>
                <w:szCs w:val="22"/>
                <w:lang w:val="es-ES" w:eastAsia="es-ES"/>
              </w:rPr>
            </w:pPr>
            <w:r w:rsidRPr="00424D0B">
              <w:rPr>
                <w:rFonts w:ascii="Palatino Linotype" w:hAnsi="Palatino Linotype"/>
                <w:i/>
                <w:sz w:val="22"/>
                <w:szCs w:val="22"/>
                <w:lang w:val="es-ES" w:eastAsia="es-ES"/>
              </w:rPr>
              <w:t>Folio de la solicitud: 00049/CCLEM/IP/2023</w:t>
            </w:r>
          </w:p>
        </w:tc>
      </w:tr>
      <w:tr w:rsidR="00424D0B" w:rsidRPr="00424D0B" w14:paraId="7624317F" w14:textId="77777777" w:rsidTr="00424D0B">
        <w:trPr>
          <w:trHeight w:val="450"/>
          <w:tblCellSpacing w:w="0" w:type="dxa"/>
          <w:jc w:val="center"/>
        </w:trPr>
        <w:tc>
          <w:tcPr>
            <w:tcW w:w="0" w:type="auto"/>
            <w:vAlign w:val="center"/>
            <w:hideMark/>
          </w:tcPr>
          <w:p w14:paraId="1421F798" w14:textId="77777777" w:rsidR="00424D0B" w:rsidRPr="00424D0B" w:rsidRDefault="00424D0B" w:rsidP="00424D0B">
            <w:pPr>
              <w:spacing w:line="360" w:lineRule="auto"/>
              <w:jc w:val="both"/>
              <w:rPr>
                <w:rFonts w:ascii="Palatino Linotype" w:hAnsi="Palatino Linotype"/>
                <w:i/>
                <w:sz w:val="22"/>
                <w:szCs w:val="22"/>
                <w:lang w:val="es-ES" w:eastAsia="es-ES"/>
              </w:rPr>
            </w:pPr>
          </w:p>
        </w:tc>
      </w:tr>
      <w:tr w:rsidR="00424D0B" w:rsidRPr="00424D0B" w14:paraId="3E4DF5E8" w14:textId="77777777" w:rsidTr="00424D0B">
        <w:trPr>
          <w:trHeight w:val="150"/>
          <w:tblCellSpacing w:w="0" w:type="dxa"/>
          <w:jc w:val="center"/>
        </w:trPr>
        <w:tc>
          <w:tcPr>
            <w:tcW w:w="0" w:type="auto"/>
            <w:vAlign w:val="center"/>
            <w:hideMark/>
          </w:tcPr>
          <w:p w14:paraId="658BC694" w14:textId="77777777" w:rsidR="00424D0B" w:rsidRPr="00424D0B" w:rsidRDefault="00424D0B" w:rsidP="00424D0B">
            <w:pPr>
              <w:spacing w:line="360" w:lineRule="auto"/>
              <w:jc w:val="both"/>
              <w:rPr>
                <w:rFonts w:ascii="Palatino Linotype" w:hAnsi="Palatino Linotype"/>
                <w:i/>
                <w:sz w:val="22"/>
                <w:szCs w:val="22"/>
                <w:lang w:val="es-ES" w:eastAsia="es-ES"/>
              </w:rPr>
            </w:pPr>
          </w:p>
        </w:tc>
      </w:tr>
      <w:tr w:rsidR="00424D0B" w:rsidRPr="00424D0B" w14:paraId="4E1C7A23" w14:textId="77777777" w:rsidTr="00424D0B">
        <w:trPr>
          <w:trHeight w:val="375"/>
          <w:tblCellSpacing w:w="0" w:type="dxa"/>
          <w:jc w:val="center"/>
        </w:trPr>
        <w:tc>
          <w:tcPr>
            <w:tcW w:w="0" w:type="auto"/>
            <w:vAlign w:val="center"/>
            <w:hideMark/>
          </w:tcPr>
          <w:p w14:paraId="4FDF8C76" w14:textId="77777777" w:rsidR="00424D0B" w:rsidRPr="00424D0B" w:rsidRDefault="00424D0B" w:rsidP="00424D0B">
            <w:pPr>
              <w:spacing w:line="360" w:lineRule="auto"/>
              <w:jc w:val="both"/>
              <w:rPr>
                <w:rFonts w:ascii="Palatino Linotype" w:hAnsi="Palatino Linotype"/>
                <w:i/>
                <w:sz w:val="22"/>
                <w:szCs w:val="22"/>
                <w:lang w:val="es-ES" w:eastAsia="es-ES"/>
              </w:rPr>
            </w:pPr>
          </w:p>
        </w:tc>
      </w:tr>
      <w:tr w:rsidR="00424D0B" w:rsidRPr="00424D0B" w14:paraId="7F2E8CB7" w14:textId="77777777" w:rsidTr="00424D0B">
        <w:trPr>
          <w:trHeight w:val="150"/>
          <w:tblCellSpacing w:w="0" w:type="dxa"/>
          <w:jc w:val="center"/>
        </w:trPr>
        <w:tc>
          <w:tcPr>
            <w:tcW w:w="0" w:type="auto"/>
            <w:vAlign w:val="center"/>
            <w:hideMark/>
          </w:tcPr>
          <w:p w14:paraId="35866071" w14:textId="77777777" w:rsidR="00424D0B" w:rsidRPr="00424D0B" w:rsidRDefault="00424D0B" w:rsidP="00424D0B">
            <w:pPr>
              <w:spacing w:line="360" w:lineRule="auto"/>
              <w:jc w:val="both"/>
              <w:rPr>
                <w:rFonts w:ascii="Palatino Linotype" w:hAnsi="Palatino Linotype"/>
                <w:i/>
                <w:sz w:val="22"/>
                <w:szCs w:val="22"/>
                <w:lang w:val="es-ES" w:eastAsia="es-ES"/>
              </w:rPr>
            </w:pPr>
            <w:r w:rsidRPr="00424D0B">
              <w:rPr>
                <w:rFonts w:ascii="Palatino Linotype" w:hAnsi="Palatino Linotype"/>
                <w:i/>
                <w:sz w:val="22"/>
                <w:szCs w:val="22"/>
                <w:lang w:val="es-ES" w:eastAsia="es-ES"/>
              </w:rPr>
              <w:lastRenderedPageBreak/>
              <w:t>En atención a su solicitud de información pública con número de folio 00049/CCLEM/IP/2023, de fecha 31 de julio de la presente anualidad, presentada por usted a través de la Plataforma Nacional de Transparencia, me permito informar a Usted que, después de realizar una búsqueda exhaustiva en los archivos que obran en este Organismo y concluido el análisis a su petición, con fundamento en lo dispuesto por los artículos 1, 2 fracción II, 12 segundo párrafo, 15, 24 fracción XI y último párrafo, 151 y 157 de la Ley de Transparencia y Acceso a la Información Pública del Estado de México y Municipios, se tiene por recibida la petición de información referida; comentándole que de acuerdo con el artículo 3 de la Ley del Centro de Conciliación Laboral del Estado de México, que a la letra señala: “El Centro de Conciliación tiene por objeto ofrecer y prestar el servicio público de conciliación laboral para la solución de los asuntos de competencia local, en una instancia previa al juicio ante los tribunales laborales, procurando el equilibrio entre los trabajadores y patrones”; por lo que no es competencia de esta instancia proporcionar la información solicitada. Atendiendo a los artículos 12, 24 último párrafo, 53 fracción III y 167 de la Ley de Transparencia y Acceso a la Información Pública del Estado de México y Municipios, y artículo 590-A fracción II de la Ley Federal del Trabajo, se hace de su conocimiento que no se cuenta con la información solicitada, por lo que quien podría ser competente para conocer de su solicitud es el Centro Federal de Conciliación y Registro Laboral, por lo que se le sugiere dirigirse a la Unidad de Transparencia de este Sujeto Obligado. De conformidad con el artículo 176 de la Ley de Transparencia y Acceso a la Información Pública del Estado de México y Municipios, se hace de su conocimiento que tiene usted derecho a promover recurso de revisión en un lapso de 15 días hábiles, a partir de la notificación de esta respuesta.</w:t>
            </w:r>
          </w:p>
        </w:tc>
      </w:tr>
      <w:tr w:rsidR="00424D0B" w:rsidRPr="00424D0B" w14:paraId="22D7F527" w14:textId="77777777" w:rsidTr="00424D0B">
        <w:trPr>
          <w:trHeight w:val="375"/>
          <w:tblCellSpacing w:w="0" w:type="dxa"/>
          <w:jc w:val="center"/>
        </w:trPr>
        <w:tc>
          <w:tcPr>
            <w:tcW w:w="0" w:type="auto"/>
            <w:vAlign w:val="center"/>
            <w:hideMark/>
          </w:tcPr>
          <w:p w14:paraId="37D93521" w14:textId="77777777" w:rsidR="00424D0B" w:rsidRPr="00424D0B" w:rsidRDefault="00424D0B" w:rsidP="00424D0B">
            <w:pPr>
              <w:spacing w:line="360" w:lineRule="auto"/>
              <w:jc w:val="both"/>
              <w:rPr>
                <w:rFonts w:ascii="Palatino Linotype" w:hAnsi="Palatino Linotype"/>
                <w:i/>
                <w:sz w:val="22"/>
                <w:szCs w:val="22"/>
                <w:lang w:val="es-ES" w:eastAsia="es-ES"/>
              </w:rPr>
            </w:pPr>
          </w:p>
        </w:tc>
      </w:tr>
      <w:tr w:rsidR="00424D0B" w:rsidRPr="00424D0B" w14:paraId="4A306DE1" w14:textId="77777777" w:rsidTr="00424D0B">
        <w:trPr>
          <w:trHeight w:val="150"/>
          <w:tblCellSpacing w:w="0" w:type="dxa"/>
          <w:jc w:val="center"/>
        </w:trPr>
        <w:tc>
          <w:tcPr>
            <w:tcW w:w="0" w:type="auto"/>
            <w:vAlign w:val="center"/>
            <w:hideMark/>
          </w:tcPr>
          <w:p w14:paraId="51E49B8E" w14:textId="77777777" w:rsidR="00424D0B" w:rsidRPr="00424D0B" w:rsidRDefault="00424D0B" w:rsidP="00424D0B">
            <w:pPr>
              <w:spacing w:line="360" w:lineRule="auto"/>
              <w:jc w:val="both"/>
              <w:rPr>
                <w:rFonts w:ascii="Palatino Linotype" w:hAnsi="Palatino Linotype"/>
                <w:i/>
                <w:sz w:val="22"/>
                <w:szCs w:val="22"/>
                <w:lang w:val="es-ES" w:eastAsia="es-ES"/>
              </w:rPr>
            </w:pPr>
          </w:p>
        </w:tc>
      </w:tr>
      <w:tr w:rsidR="00424D0B" w:rsidRPr="00424D0B" w14:paraId="35D63B2D" w14:textId="77777777" w:rsidTr="00D063EE">
        <w:trPr>
          <w:trHeight w:val="150"/>
          <w:tblCellSpacing w:w="0" w:type="dxa"/>
          <w:jc w:val="center"/>
        </w:trPr>
        <w:tc>
          <w:tcPr>
            <w:tcW w:w="0" w:type="auto"/>
            <w:vAlign w:val="center"/>
          </w:tcPr>
          <w:p w14:paraId="3EF41BAB" w14:textId="77777777" w:rsidR="00424D0B" w:rsidRPr="00424D0B" w:rsidRDefault="00424D0B" w:rsidP="00424D0B">
            <w:pPr>
              <w:spacing w:line="360" w:lineRule="auto"/>
              <w:jc w:val="both"/>
              <w:rPr>
                <w:rFonts w:ascii="Palatino Linotype" w:hAnsi="Palatino Linotype"/>
                <w:i/>
                <w:sz w:val="22"/>
                <w:szCs w:val="22"/>
                <w:lang w:val="es-ES" w:eastAsia="es-ES"/>
              </w:rPr>
            </w:pPr>
          </w:p>
        </w:tc>
      </w:tr>
      <w:tr w:rsidR="00424D0B" w:rsidRPr="00424D0B" w14:paraId="49DF5824" w14:textId="77777777" w:rsidTr="00424D0B">
        <w:trPr>
          <w:trHeight w:val="150"/>
          <w:tblCellSpacing w:w="0" w:type="dxa"/>
          <w:jc w:val="center"/>
        </w:trPr>
        <w:tc>
          <w:tcPr>
            <w:tcW w:w="0" w:type="auto"/>
            <w:vAlign w:val="center"/>
            <w:hideMark/>
          </w:tcPr>
          <w:p w14:paraId="76A8EED5" w14:textId="77777777" w:rsidR="00424D0B" w:rsidRPr="00424D0B" w:rsidRDefault="00424D0B" w:rsidP="00424D0B">
            <w:pPr>
              <w:spacing w:line="360" w:lineRule="auto"/>
              <w:jc w:val="both"/>
              <w:rPr>
                <w:rFonts w:ascii="Palatino Linotype" w:hAnsi="Palatino Linotype"/>
                <w:i/>
                <w:sz w:val="22"/>
                <w:szCs w:val="22"/>
                <w:lang w:val="es-ES" w:eastAsia="es-ES"/>
              </w:rPr>
            </w:pPr>
            <w:r w:rsidRPr="00424D0B">
              <w:rPr>
                <w:rFonts w:ascii="Palatino Linotype" w:hAnsi="Palatino Linotype"/>
                <w:i/>
                <w:sz w:val="22"/>
                <w:szCs w:val="22"/>
                <w:lang w:val="es-ES" w:eastAsia="es-ES"/>
              </w:rPr>
              <w:t>ATENTAMENTE</w:t>
            </w:r>
          </w:p>
        </w:tc>
      </w:tr>
      <w:tr w:rsidR="00424D0B" w:rsidRPr="00424D0B" w14:paraId="31C8ED83" w14:textId="77777777" w:rsidTr="00424D0B">
        <w:trPr>
          <w:trHeight w:val="225"/>
          <w:tblCellSpacing w:w="0" w:type="dxa"/>
          <w:jc w:val="center"/>
        </w:trPr>
        <w:tc>
          <w:tcPr>
            <w:tcW w:w="0" w:type="auto"/>
            <w:vAlign w:val="center"/>
            <w:hideMark/>
          </w:tcPr>
          <w:p w14:paraId="1845332C" w14:textId="77777777" w:rsidR="00424D0B" w:rsidRPr="00424D0B" w:rsidRDefault="00424D0B" w:rsidP="00424D0B">
            <w:pPr>
              <w:spacing w:line="360" w:lineRule="auto"/>
              <w:jc w:val="both"/>
              <w:rPr>
                <w:rFonts w:ascii="Palatino Linotype" w:hAnsi="Palatino Linotype"/>
                <w:i/>
                <w:sz w:val="22"/>
                <w:szCs w:val="22"/>
                <w:lang w:val="es-ES" w:eastAsia="es-ES"/>
              </w:rPr>
            </w:pPr>
          </w:p>
        </w:tc>
      </w:tr>
      <w:tr w:rsidR="00424D0B" w:rsidRPr="00424D0B" w14:paraId="05383C0E" w14:textId="77777777" w:rsidTr="00424D0B">
        <w:trPr>
          <w:trHeight w:val="150"/>
          <w:tblCellSpacing w:w="0" w:type="dxa"/>
          <w:jc w:val="center"/>
        </w:trPr>
        <w:tc>
          <w:tcPr>
            <w:tcW w:w="0" w:type="auto"/>
            <w:vAlign w:val="center"/>
            <w:hideMark/>
          </w:tcPr>
          <w:p w14:paraId="044C7BDB" w14:textId="77777777" w:rsidR="00424D0B" w:rsidRPr="00424D0B" w:rsidRDefault="00424D0B" w:rsidP="00424D0B">
            <w:pPr>
              <w:spacing w:line="360" w:lineRule="auto"/>
              <w:jc w:val="both"/>
              <w:rPr>
                <w:rFonts w:ascii="Palatino Linotype" w:hAnsi="Palatino Linotype"/>
                <w:i/>
                <w:sz w:val="22"/>
                <w:szCs w:val="22"/>
                <w:lang w:val="es-ES" w:eastAsia="es-ES"/>
              </w:rPr>
            </w:pPr>
            <w:r w:rsidRPr="00424D0B">
              <w:rPr>
                <w:rFonts w:ascii="Palatino Linotype" w:hAnsi="Palatino Linotype"/>
                <w:i/>
                <w:sz w:val="22"/>
                <w:szCs w:val="22"/>
                <w:lang w:val="es-ES" w:eastAsia="es-ES"/>
              </w:rPr>
              <w:t>Lic. Marco Antonio Hernández Reyes</w:t>
            </w:r>
          </w:p>
        </w:tc>
      </w:tr>
    </w:tbl>
    <w:p w14:paraId="18E47BE2" w14:textId="77777777" w:rsidR="00424D0B" w:rsidRPr="001228E9" w:rsidRDefault="00424D0B" w:rsidP="001228E9">
      <w:pPr>
        <w:spacing w:line="360" w:lineRule="auto"/>
        <w:jc w:val="both"/>
        <w:rPr>
          <w:rFonts w:ascii="Palatino Linotype" w:hAnsi="Palatino Linotype"/>
          <w:color w:val="000000" w:themeColor="text1"/>
          <w:szCs w:val="22"/>
          <w:lang w:val="es-ES_tradnl"/>
        </w:rPr>
      </w:pPr>
    </w:p>
    <w:p w14:paraId="107149DF" w14:textId="4E1E71B6" w:rsidR="00424D0B" w:rsidRPr="00D063EE" w:rsidRDefault="00424D0B" w:rsidP="001228E9">
      <w:pPr>
        <w:pStyle w:val="Prrafodelista"/>
        <w:numPr>
          <w:ilvl w:val="0"/>
          <w:numId w:val="8"/>
        </w:numPr>
        <w:spacing w:line="360" w:lineRule="auto"/>
        <w:jc w:val="both"/>
        <w:rPr>
          <w:rFonts w:ascii="Palatino Linotype" w:hAnsi="Palatino Linotype"/>
          <w:color w:val="000000" w:themeColor="text1"/>
          <w:sz w:val="22"/>
          <w:szCs w:val="22"/>
          <w:lang w:val="es-ES_tradnl"/>
        </w:rPr>
      </w:pPr>
      <w:r w:rsidRPr="00D063EE">
        <w:rPr>
          <w:rFonts w:ascii="Palatino Linotype" w:hAnsi="Palatino Linotype"/>
          <w:color w:val="000000" w:themeColor="text1"/>
          <w:sz w:val="22"/>
          <w:szCs w:val="22"/>
          <w:lang w:val="es-ES_tradnl"/>
        </w:rPr>
        <w:t xml:space="preserve">A la respuesta se adjuntó el archivo denominado </w:t>
      </w:r>
      <w:hyperlink r:id="rId7" w:tgtFrame="_blank" w:history="1">
        <w:r w:rsidRPr="00D063EE">
          <w:rPr>
            <w:rStyle w:val="Hipervnculo"/>
            <w:rFonts w:ascii="Palatino Linotype" w:hAnsi="Palatino Linotype"/>
            <w:b/>
            <w:bCs/>
            <w:sz w:val="22"/>
            <w:szCs w:val="22"/>
          </w:rPr>
          <w:t>00049.pdf</w:t>
        </w:r>
      </w:hyperlink>
      <w:r w:rsidR="001228E9" w:rsidRPr="00D063EE">
        <w:rPr>
          <w:rFonts w:ascii="Palatino Linotype" w:hAnsi="Palatino Linotype"/>
          <w:color w:val="000000" w:themeColor="text1"/>
          <w:sz w:val="22"/>
          <w:szCs w:val="22"/>
          <w:lang w:val="es-ES_tradnl"/>
        </w:rPr>
        <w:t xml:space="preserve">, en el que se advierte el oficio 209C0201000200S-068/2023 suscrito por el Titular de la Unidad de Transparencia en el que manifestó su incompetencia para conocer de la información solicitada. </w:t>
      </w:r>
    </w:p>
    <w:p w14:paraId="47888B9E" w14:textId="472EDC7D" w:rsidR="001228E9" w:rsidRDefault="001228E9"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Pr>
          <w:rFonts w:ascii="Palatino Linotype" w:eastAsia="MS Mincho" w:hAnsi="Palatino Linotype" w:cs="Arial"/>
          <w:color w:val="000000"/>
          <w:lang w:val="es-ES_tradnl"/>
        </w:rPr>
        <w:t xml:space="preserve">El veinticinco (25) de agosto de dos mil veintitrés, se notificó a través del SAIMEX la conclusión de la solicitud. </w:t>
      </w:r>
    </w:p>
    <w:p w14:paraId="11A0216C" w14:textId="77777777" w:rsidR="001228E9" w:rsidRDefault="001228E9" w:rsidP="001228E9">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34187BF3" w14:textId="271E4F4E" w:rsidR="008B1180" w:rsidRPr="00861738"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861738">
        <w:rPr>
          <w:rFonts w:ascii="Palatino Linotype" w:eastAsia="MS Mincho" w:hAnsi="Palatino Linotype" w:cs="Arial"/>
          <w:color w:val="000000"/>
          <w:lang w:val="es-ES_tradnl" w:eastAsia="es-ES"/>
        </w:rPr>
        <w:t xml:space="preserve">El </w:t>
      </w:r>
      <w:r w:rsidR="001228E9">
        <w:rPr>
          <w:rFonts w:ascii="Palatino Linotype" w:eastAsia="MS Mincho" w:hAnsi="Palatino Linotype" w:cs="Arial"/>
          <w:color w:val="000000"/>
          <w:lang w:val="es-ES_tradnl" w:eastAsia="es-ES"/>
        </w:rPr>
        <w:t>dieciocho (18) de septiembre</w:t>
      </w:r>
      <w:r w:rsidR="00A15185" w:rsidRPr="00861738">
        <w:rPr>
          <w:rFonts w:ascii="Palatino Linotype" w:eastAsia="MS Mincho" w:hAnsi="Palatino Linotype" w:cs="Arial"/>
          <w:color w:val="000000"/>
          <w:lang w:val="es-ES_tradnl" w:eastAsia="es-ES"/>
        </w:rPr>
        <w:t xml:space="preserve"> </w:t>
      </w:r>
      <w:r w:rsidR="00AE4B84" w:rsidRPr="00861738">
        <w:rPr>
          <w:rFonts w:ascii="Palatino Linotype" w:eastAsia="MS Mincho" w:hAnsi="Palatino Linotype" w:cs="Arial"/>
          <w:color w:val="000000"/>
          <w:lang w:val="es-ES_tradnl" w:eastAsia="es-ES"/>
        </w:rPr>
        <w:t>de dos mil veinti</w:t>
      </w:r>
      <w:r w:rsidR="00B4681F">
        <w:rPr>
          <w:rFonts w:ascii="Palatino Linotype" w:eastAsia="MS Mincho" w:hAnsi="Palatino Linotype" w:cs="Arial"/>
          <w:color w:val="000000"/>
          <w:lang w:val="es-ES_tradnl" w:eastAsia="es-ES"/>
        </w:rPr>
        <w:t>trés</w:t>
      </w:r>
      <w:r w:rsidR="008B6FF6" w:rsidRPr="00861738">
        <w:rPr>
          <w:rFonts w:ascii="Palatino Linotype" w:eastAsia="MS Mincho" w:hAnsi="Palatino Linotype" w:cs="Arial"/>
          <w:color w:val="000000"/>
          <w:lang w:val="es-ES_tradnl" w:eastAsia="es-ES"/>
        </w:rPr>
        <w:t>,</w:t>
      </w:r>
      <w:r w:rsidR="00AE4B84" w:rsidRPr="00861738">
        <w:rPr>
          <w:rFonts w:ascii="Palatino Linotype" w:eastAsia="MS Mincho" w:hAnsi="Palatino Linotype" w:cs="Arial"/>
          <w:color w:val="000000"/>
          <w:lang w:val="es-ES_tradnl" w:eastAsia="es-ES"/>
        </w:rPr>
        <w:t xml:space="preserve"> se interpuso el recurso de revisión, en contra de la respuesta, señalando como: </w:t>
      </w:r>
    </w:p>
    <w:p w14:paraId="2A57E329" w14:textId="77777777" w:rsidR="00635DF8" w:rsidRPr="00D063EE"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sz w:val="22"/>
          <w:lang w:val="es-ES_tradnl"/>
        </w:rPr>
      </w:pPr>
    </w:p>
    <w:p w14:paraId="08B2531F" w14:textId="77777777" w:rsidR="00253ED9" w:rsidRPr="00D063EE" w:rsidRDefault="00253ED9" w:rsidP="001228E9">
      <w:pPr>
        <w:spacing w:line="360" w:lineRule="auto"/>
        <w:ind w:left="567" w:right="539"/>
        <w:jc w:val="both"/>
        <w:rPr>
          <w:rFonts w:ascii="Palatino Linotype" w:eastAsia="MS Gothic" w:hAnsi="Palatino Linotype"/>
          <w:b/>
          <w:sz w:val="22"/>
          <w:szCs w:val="22"/>
          <w:lang w:val="es-ES"/>
        </w:rPr>
      </w:pPr>
      <w:r w:rsidRPr="00D063EE">
        <w:rPr>
          <w:rFonts w:ascii="Palatino Linotype" w:eastAsia="MS Gothic" w:hAnsi="Palatino Linotype"/>
          <w:b/>
          <w:sz w:val="22"/>
          <w:szCs w:val="22"/>
          <w:lang w:val="es-ES"/>
        </w:rPr>
        <w:t>Acto impugnado:</w:t>
      </w:r>
    </w:p>
    <w:p w14:paraId="18A18416" w14:textId="7FB6E956" w:rsidR="00391F36" w:rsidRPr="00D063EE" w:rsidRDefault="001F6479" w:rsidP="001228E9">
      <w:pPr>
        <w:spacing w:line="360" w:lineRule="auto"/>
        <w:ind w:left="567" w:right="539"/>
        <w:jc w:val="both"/>
        <w:rPr>
          <w:rFonts w:ascii="Palatino Linotype" w:eastAsia="Calibri" w:hAnsi="Palatino Linotype" w:cs="Arial"/>
          <w:i/>
          <w:iCs/>
          <w:sz w:val="22"/>
          <w:szCs w:val="22"/>
          <w:lang w:val="es-ES" w:eastAsia="es-ES"/>
        </w:rPr>
      </w:pPr>
      <w:r w:rsidRPr="00D063EE">
        <w:rPr>
          <w:rFonts w:ascii="Palatino Linotype" w:eastAsia="Calibri" w:hAnsi="Palatino Linotype" w:cs="Arial"/>
          <w:i/>
          <w:sz w:val="22"/>
          <w:szCs w:val="22"/>
          <w:lang w:val="es-ES" w:eastAsia="es-ES"/>
        </w:rPr>
        <w:t>“</w:t>
      </w:r>
      <w:r w:rsidR="001228E9" w:rsidRPr="00D063EE">
        <w:rPr>
          <w:rFonts w:ascii="Palatino Linotype" w:hAnsi="Palatino Linotype"/>
          <w:i/>
          <w:iCs/>
          <w:color w:val="000000"/>
          <w:sz w:val="22"/>
          <w:szCs w:val="22"/>
        </w:rPr>
        <w:t>NO HAY RESPUESTA</w:t>
      </w:r>
      <w:r w:rsidRPr="00D063EE">
        <w:rPr>
          <w:rFonts w:ascii="Palatino Linotype" w:hAnsi="Palatino Linotype"/>
          <w:i/>
          <w:iCs/>
          <w:color w:val="000000"/>
          <w:sz w:val="22"/>
          <w:szCs w:val="22"/>
        </w:rPr>
        <w:t>” (Sic)</w:t>
      </w:r>
    </w:p>
    <w:p w14:paraId="4BFB989D" w14:textId="77777777" w:rsidR="001F6479" w:rsidRPr="00D063EE" w:rsidRDefault="001F6479" w:rsidP="001228E9">
      <w:pPr>
        <w:spacing w:line="360" w:lineRule="auto"/>
        <w:ind w:left="567" w:right="539"/>
        <w:jc w:val="both"/>
        <w:rPr>
          <w:rFonts w:ascii="Palatino Linotype" w:eastAsia="Calibri" w:hAnsi="Palatino Linotype" w:cs="Arial"/>
          <w:i/>
          <w:sz w:val="22"/>
          <w:szCs w:val="22"/>
          <w:lang w:val="es-ES" w:eastAsia="es-ES"/>
        </w:rPr>
      </w:pPr>
    </w:p>
    <w:p w14:paraId="5A9CB95D" w14:textId="21A78072" w:rsidR="006565DA" w:rsidRPr="00D063EE" w:rsidRDefault="001228E9" w:rsidP="001228E9">
      <w:pPr>
        <w:spacing w:line="360" w:lineRule="auto"/>
        <w:ind w:left="567" w:right="539"/>
        <w:jc w:val="both"/>
        <w:rPr>
          <w:rFonts w:ascii="Palatino Linotype" w:eastAsia="Calibri" w:hAnsi="Palatino Linotype" w:cs="Arial"/>
          <w:b/>
          <w:bCs/>
          <w:iCs/>
          <w:sz w:val="22"/>
          <w:szCs w:val="22"/>
          <w:lang w:val="es-ES" w:eastAsia="es-ES"/>
        </w:rPr>
      </w:pPr>
      <w:r w:rsidRPr="00D063EE">
        <w:rPr>
          <w:rFonts w:ascii="Palatino Linotype" w:eastAsia="Calibri" w:hAnsi="Palatino Linotype" w:cs="Arial"/>
          <w:b/>
          <w:bCs/>
          <w:iCs/>
          <w:sz w:val="22"/>
          <w:szCs w:val="22"/>
          <w:lang w:val="es-ES" w:eastAsia="es-ES"/>
        </w:rPr>
        <w:t xml:space="preserve">El Recurrente no señaló </w:t>
      </w:r>
      <w:r w:rsidR="00391F36" w:rsidRPr="00D063EE">
        <w:rPr>
          <w:rFonts w:ascii="Palatino Linotype" w:eastAsia="Calibri" w:hAnsi="Palatino Linotype" w:cs="Arial"/>
          <w:b/>
          <w:bCs/>
          <w:iCs/>
          <w:sz w:val="22"/>
          <w:szCs w:val="22"/>
          <w:lang w:val="es-ES" w:eastAsia="es-ES"/>
        </w:rPr>
        <w:t>Raz</w:t>
      </w:r>
      <w:r w:rsidRPr="00D063EE">
        <w:rPr>
          <w:rFonts w:ascii="Palatino Linotype" w:eastAsia="Calibri" w:hAnsi="Palatino Linotype" w:cs="Arial"/>
          <w:b/>
          <w:bCs/>
          <w:iCs/>
          <w:sz w:val="22"/>
          <w:szCs w:val="22"/>
          <w:lang w:val="es-ES" w:eastAsia="es-ES"/>
        </w:rPr>
        <w:t>ones o motivos de inconformidad.</w:t>
      </w:r>
    </w:p>
    <w:p w14:paraId="21E06B78" w14:textId="0B4FC4EC" w:rsidR="00A94BAD" w:rsidRPr="00D063EE" w:rsidRDefault="00A94BAD" w:rsidP="001228E9">
      <w:pPr>
        <w:spacing w:line="360" w:lineRule="auto"/>
        <w:ind w:right="539"/>
        <w:jc w:val="both"/>
        <w:rPr>
          <w:rFonts w:ascii="Palatino Linotype" w:eastAsia="Calibri" w:hAnsi="Palatino Linotype" w:cs="Arial"/>
          <w:bCs/>
          <w:iCs/>
          <w:sz w:val="22"/>
          <w:szCs w:val="22"/>
          <w:lang w:val="es-ES" w:eastAsia="es-ES"/>
        </w:rPr>
      </w:pPr>
    </w:p>
    <w:p w14:paraId="0AC57DA2" w14:textId="27DD727F" w:rsidR="007576BB" w:rsidRPr="00D063EE" w:rsidRDefault="007576BB" w:rsidP="001228E9">
      <w:pPr>
        <w:numPr>
          <w:ilvl w:val="0"/>
          <w:numId w:val="9"/>
        </w:numPr>
        <w:spacing w:before="100" w:beforeAutospacing="1" w:after="100" w:afterAutospacing="1" w:line="360" w:lineRule="auto"/>
        <w:jc w:val="both"/>
        <w:rPr>
          <w:rFonts w:ascii="Palatino Linotype" w:hAnsi="Palatino Linotype" w:cs="Arial"/>
          <w:b/>
          <w:bCs/>
          <w:color w:val="000000" w:themeColor="text1"/>
          <w:sz w:val="22"/>
          <w:szCs w:val="22"/>
          <w:u w:val="single"/>
          <w:lang w:val="es-ES"/>
        </w:rPr>
      </w:pPr>
      <w:r w:rsidRPr="00D063EE">
        <w:rPr>
          <w:rFonts w:ascii="Palatino Linotype" w:eastAsia="Calibri" w:hAnsi="Palatino Linotype" w:cs="Arial"/>
          <w:bCs/>
          <w:iCs/>
          <w:color w:val="000000" w:themeColor="text1"/>
          <w:sz w:val="22"/>
          <w:szCs w:val="22"/>
          <w:lang w:val="es-ES" w:eastAsia="es-ES"/>
        </w:rPr>
        <w:t xml:space="preserve">Se adjuntó el archivo electrónico denominado </w:t>
      </w:r>
      <w:hyperlink r:id="rId8" w:tgtFrame="_blank" w:history="1">
        <w:r w:rsidR="001228E9" w:rsidRPr="00D063EE">
          <w:rPr>
            <w:rStyle w:val="Hipervnculo"/>
            <w:rFonts w:ascii="Palatino Linotype" w:hAnsi="Palatino Linotype" w:cs="Arial"/>
            <w:b/>
            <w:bCs/>
            <w:sz w:val="22"/>
            <w:szCs w:val="22"/>
            <w:lang w:val="es-ES"/>
          </w:rPr>
          <w:t>Archivo1695062709640null</w:t>
        </w:r>
      </w:hyperlink>
      <w:r w:rsidR="001228E9" w:rsidRPr="00D063EE">
        <w:rPr>
          <w:rFonts w:ascii="Palatino Linotype" w:hAnsi="Palatino Linotype" w:cs="Arial"/>
          <w:b/>
          <w:bCs/>
          <w:color w:val="000000" w:themeColor="text1"/>
          <w:sz w:val="22"/>
          <w:szCs w:val="22"/>
          <w:u w:val="single"/>
          <w:lang w:val="es-ES"/>
        </w:rPr>
        <w:t>,</w:t>
      </w:r>
      <w:r w:rsidR="001228E9" w:rsidRPr="00D063EE">
        <w:rPr>
          <w:rFonts w:ascii="Palatino Linotype" w:hAnsi="Palatino Linotype" w:cs="Arial"/>
          <w:b/>
          <w:bCs/>
          <w:color w:val="000000" w:themeColor="text1"/>
          <w:sz w:val="22"/>
          <w:szCs w:val="22"/>
          <w:lang w:val="es-ES"/>
        </w:rPr>
        <w:t xml:space="preserve"> </w:t>
      </w:r>
      <w:r w:rsidR="001228E9" w:rsidRPr="00D063EE">
        <w:rPr>
          <w:rFonts w:ascii="Palatino Linotype" w:hAnsi="Palatino Linotype" w:cs="Arial"/>
          <w:bCs/>
          <w:color w:val="000000" w:themeColor="text1"/>
          <w:sz w:val="22"/>
          <w:szCs w:val="22"/>
          <w:lang w:val="es-ES"/>
        </w:rPr>
        <w:t xml:space="preserve">al cual no se puede acceder por encontrarse dañado. </w:t>
      </w:r>
    </w:p>
    <w:p w14:paraId="2D3767C3" w14:textId="0E6E7411" w:rsidR="00AE4B84" w:rsidRPr="00861738"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861738">
        <w:rPr>
          <w:rFonts w:ascii="Palatino Linotype" w:hAnsi="Palatino Linotype" w:cs="Arial"/>
          <w:lang w:val="es-ES" w:eastAsia="es-ES"/>
        </w:rPr>
        <w:lastRenderedPageBreak/>
        <w:t xml:space="preserve">Se registró el recurso de revisión bajo el número de expediente al rubro indicado, </w:t>
      </w:r>
      <w:r w:rsidRPr="00861738">
        <w:rPr>
          <w:rFonts w:ascii="Palatino Linotype" w:eastAsia="MS Mincho" w:hAnsi="Palatino Linotype" w:cs="Arial"/>
          <w:bCs/>
          <w:lang w:val="es-ES_tradnl" w:eastAsia="es-ES"/>
        </w:rPr>
        <w:t xml:space="preserve">con fundamento en lo dispuesto por el </w:t>
      </w:r>
      <w:r w:rsidRPr="00861738">
        <w:rPr>
          <w:rFonts w:ascii="Palatino Linotype" w:eastAsia="Calibri" w:hAnsi="Palatino Linotype" w:cs="Arial"/>
          <w:lang w:val="es-ES" w:eastAsia="es-ES"/>
        </w:rPr>
        <w:t xml:space="preserve">artículo 185 fracción I de la </w:t>
      </w:r>
      <w:r w:rsidRPr="00861738">
        <w:rPr>
          <w:rFonts w:ascii="Palatino Linotype" w:eastAsia="Calibri" w:hAnsi="Palatino Linotype" w:cs="Arial"/>
          <w:b/>
          <w:lang w:val="es-ES" w:eastAsia="es-ES"/>
        </w:rPr>
        <w:t xml:space="preserve">Ley de Transparencia y Acceso a la Información Pública del Estado de México y Municipios </w:t>
      </w:r>
      <w:r w:rsidRPr="00861738">
        <w:rPr>
          <w:rFonts w:ascii="Palatino Linotype" w:hAnsi="Palatino Linotype" w:cs="Arial"/>
          <w:lang w:val="es-ES" w:eastAsia="es-ES"/>
        </w:rPr>
        <w:t xml:space="preserve">se turnó a la </w:t>
      </w:r>
      <w:r w:rsidRPr="00861738">
        <w:rPr>
          <w:rFonts w:ascii="Palatino Linotype" w:hAnsi="Palatino Linotype" w:cs="Arial"/>
          <w:b/>
          <w:lang w:val="es-ES" w:eastAsia="es-ES"/>
        </w:rPr>
        <w:t xml:space="preserve">Comisionada María del Rosario Mejía Ayala, </w:t>
      </w:r>
      <w:r w:rsidR="00D063EE">
        <w:rPr>
          <w:rFonts w:ascii="Palatino Linotype" w:hAnsi="Palatino Linotype" w:cs="Arial"/>
          <w:lang w:val="es-ES" w:eastAsia="es-ES"/>
        </w:rPr>
        <w:t>para</w:t>
      </w:r>
      <w:r w:rsidRPr="00861738">
        <w:rPr>
          <w:rFonts w:ascii="Palatino Linotype" w:hAnsi="Palatino Linotype" w:cs="Arial"/>
          <w:lang w:val="es-ES" w:eastAsia="es-ES"/>
        </w:rPr>
        <w:t xml:space="preserve"> </w:t>
      </w:r>
      <w:r w:rsidRPr="00861738">
        <w:rPr>
          <w:rFonts w:ascii="Palatino Linotype" w:hAnsi="Palatino Linotype" w:cs="Arial"/>
          <w:lang w:eastAsia="es-ES"/>
        </w:rPr>
        <w:t xml:space="preserve">su análisis. </w:t>
      </w:r>
    </w:p>
    <w:p w14:paraId="1255E8F7" w14:textId="77777777" w:rsidR="00934AE9" w:rsidRPr="00861738" w:rsidRDefault="00934AE9" w:rsidP="00934AE9">
      <w:pPr>
        <w:spacing w:before="240" w:after="240" w:line="360" w:lineRule="auto"/>
        <w:contextualSpacing/>
        <w:jc w:val="both"/>
        <w:rPr>
          <w:rFonts w:ascii="Palatino Linotype" w:hAnsi="Palatino Linotype" w:cs="Arial"/>
          <w:i/>
          <w:lang w:val="es-ES_tradnl"/>
        </w:rPr>
      </w:pPr>
    </w:p>
    <w:p w14:paraId="419467CD" w14:textId="07809B27" w:rsidR="00AE4B84" w:rsidRPr="00861738"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861738">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1228E9">
        <w:rPr>
          <w:rFonts w:ascii="Palatino Linotype" w:eastAsia="Calibri" w:hAnsi="Palatino Linotype" w:cs="Arial"/>
          <w:lang w:val="es-ES" w:eastAsia="es-ES"/>
        </w:rPr>
        <w:t>veinte (20) de septiembre</w:t>
      </w:r>
      <w:r w:rsidR="004254EF">
        <w:rPr>
          <w:rFonts w:ascii="Palatino Linotype" w:eastAsia="Calibri" w:hAnsi="Palatino Linotype" w:cs="Arial"/>
          <w:lang w:val="es-ES" w:eastAsia="es-ES"/>
        </w:rPr>
        <w:t xml:space="preserve"> </w:t>
      </w:r>
      <w:r w:rsidRPr="00861738">
        <w:rPr>
          <w:rFonts w:ascii="Palatino Linotype" w:eastAsia="Calibri" w:hAnsi="Palatino Linotype" w:cs="Arial"/>
          <w:lang w:val="es-ES" w:eastAsia="es-ES"/>
        </w:rPr>
        <w:t>de dos mil veinti</w:t>
      </w:r>
      <w:r w:rsidR="00CC1765">
        <w:rPr>
          <w:rFonts w:ascii="Palatino Linotype" w:eastAsia="Calibri" w:hAnsi="Palatino Linotype" w:cs="Arial"/>
          <w:lang w:val="es-ES" w:eastAsia="es-ES"/>
        </w:rPr>
        <w:t>trés</w:t>
      </w:r>
      <w:r w:rsidRPr="00861738">
        <w:rPr>
          <w:rFonts w:ascii="Palatino Linotype" w:eastAsia="Calibri" w:hAnsi="Palatino Linotype" w:cs="Arial"/>
          <w:lang w:val="es-ES" w:eastAsia="es-ES"/>
        </w:rPr>
        <w:t xml:space="preserve">, puso a disposición de las partes el expediente electrónico </w:t>
      </w:r>
      <w:r w:rsidRPr="00861738">
        <w:rPr>
          <w:rFonts w:ascii="Palatino Linotype" w:eastAsia="Calibri" w:hAnsi="Palatino Linotype" w:cs="Arial"/>
          <w:lang w:val="es-ES_tradnl" w:eastAsia="es-ES"/>
        </w:rPr>
        <w:t xml:space="preserve">vía </w:t>
      </w:r>
      <w:r w:rsidRPr="00861738">
        <w:rPr>
          <w:rFonts w:ascii="Palatino Linotype" w:eastAsia="Calibri" w:hAnsi="Palatino Linotype" w:cs="Arial"/>
          <w:lang w:val="es-ES" w:eastAsia="es-ES"/>
        </w:rPr>
        <w:t>Sistema de Acceso a la Información Mexiquense (</w:t>
      </w:r>
      <w:r w:rsidRPr="00861738">
        <w:rPr>
          <w:rFonts w:ascii="Palatino Linotype" w:eastAsia="Calibri" w:hAnsi="Palatino Linotype" w:cs="Arial"/>
          <w:b/>
          <w:lang w:val="es-ES" w:eastAsia="es-ES"/>
        </w:rPr>
        <w:t xml:space="preserve">SAIMEX) </w:t>
      </w:r>
      <w:r w:rsidRPr="00861738">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861738">
        <w:rPr>
          <w:rFonts w:ascii="Palatino Linotype" w:eastAsia="Calibri" w:hAnsi="Palatino Linotype" w:cs="Arial"/>
          <w:b/>
          <w:lang w:val="es-ES" w:eastAsia="es-ES"/>
        </w:rPr>
        <w:t>SUJETO OBLIGADO</w:t>
      </w:r>
      <w:r w:rsidRPr="00861738">
        <w:rPr>
          <w:rFonts w:ascii="Palatino Linotype" w:eastAsia="Calibri" w:hAnsi="Palatino Linotype" w:cs="Arial"/>
          <w:lang w:val="es-ES" w:eastAsia="es-ES"/>
        </w:rPr>
        <w:t xml:space="preserve"> presentará el Informe Justificado procedente</w:t>
      </w:r>
      <w:r w:rsidR="00934AE9" w:rsidRPr="00861738">
        <w:rPr>
          <w:rFonts w:ascii="Palatino Linotype" w:eastAsia="Calibri" w:hAnsi="Palatino Linotype" w:cs="Arial"/>
          <w:lang w:val="es-ES" w:eastAsia="es-ES"/>
        </w:rPr>
        <w:t>.</w:t>
      </w:r>
    </w:p>
    <w:p w14:paraId="7E04D420" w14:textId="77777777" w:rsidR="00934AE9" w:rsidRPr="00861738" w:rsidRDefault="00934AE9" w:rsidP="006565DA">
      <w:pPr>
        <w:rPr>
          <w:rFonts w:ascii="Palatino Linotype" w:eastAsia="Calibri" w:hAnsi="Palatino Linotype" w:cs="Arial"/>
        </w:rPr>
      </w:pPr>
    </w:p>
    <w:p w14:paraId="133997AF" w14:textId="52029A67" w:rsidR="001F6479" w:rsidRPr="001228E9" w:rsidRDefault="001228E9" w:rsidP="00CC1765">
      <w:pPr>
        <w:numPr>
          <w:ilvl w:val="0"/>
          <w:numId w:val="1"/>
        </w:numPr>
        <w:tabs>
          <w:tab w:val="clear" w:pos="862"/>
        </w:tabs>
        <w:spacing w:line="360" w:lineRule="auto"/>
        <w:ind w:left="0" w:firstLine="0"/>
        <w:contextualSpacing/>
        <w:jc w:val="both"/>
        <w:rPr>
          <w:rFonts w:ascii="Palatino Linotype" w:eastAsia="Calibri" w:hAnsi="Palatino Linotype" w:cs="Arial"/>
          <w:b/>
        </w:rPr>
      </w:pPr>
      <w:r>
        <w:rPr>
          <w:rFonts w:ascii="Palatino Linotype" w:hAnsi="Palatino Linotype"/>
          <w:color w:val="000000"/>
        </w:rPr>
        <w:t>E</w:t>
      </w:r>
      <w:r w:rsidR="006565DA" w:rsidRPr="00861738">
        <w:rPr>
          <w:rFonts w:ascii="Palatino Linotype" w:hAnsi="Palatino Linotype"/>
          <w:color w:val="000000"/>
        </w:rPr>
        <w:t xml:space="preserve">l </w:t>
      </w:r>
      <w:r w:rsidR="006565DA" w:rsidRPr="00861738">
        <w:rPr>
          <w:rFonts w:ascii="Palatino Linotype" w:hAnsi="Palatino Linotype"/>
          <w:b/>
          <w:bCs/>
          <w:color w:val="000000"/>
        </w:rPr>
        <w:t xml:space="preserve">Recurrente </w:t>
      </w:r>
      <w:r w:rsidR="006565DA" w:rsidRPr="00861738">
        <w:rPr>
          <w:rFonts w:ascii="Palatino Linotype" w:hAnsi="Palatino Linotype"/>
          <w:color w:val="000000"/>
        </w:rPr>
        <w:t>no realizó manifestaciones, ni ofreció pruebas o alegat</w:t>
      </w:r>
      <w:r w:rsidR="001F6479" w:rsidRPr="00861738">
        <w:rPr>
          <w:rFonts w:ascii="Palatino Linotype" w:hAnsi="Palatino Linotype"/>
          <w:color w:val="000000"/>
        </w:rPr>
        <w:t xml:space="preserve">os que a su derecho convinieran, según consta en el Sistema de Acceso a la Información Mexiquense </w:t>
      </w:r>
      <w:r>
        <w:rPr>
          <w:rFonts w:ascii="Palatino Linotype" w:hAnsi="Palatino Linotype"/>
          <w:b/>
          <w:color w:val="000000"/>
        </w:rPr>
        <w:t xml:space="preserve">SAIMEX; </w:t>
      </w:r>
      <w:r w:rsidRPr="001228E9">
        <w:rPr>
          <w:rFonts w:ascii="Palatino Linotype" w:hAnsi="Palatino Linotype"/>
          <w:color w:val="000000"/>
        </w:rPr>
        <w:t xml:space="preserve">por su parte, el Sujeto Obligado rindió informe justificado el veintisiete (27) de septiembre de dos mil veintitrés, a través del archivo </w:t>
      </w:r>
      <w:r w:rsidRPr="001228E9">
        <w:rPr>
          <w:rFonts w:ascii="Palatino Linotype" w:hAnsi="Palatino Linotype"/>
          <w:b/>
          <w:color w:val="000000"/>
        </w:rPr>
        <w:t>06223.pdf</w:t>
      </w:r>
      <w:r>
        <w:rPr>
          <w:rFonts w:ascii="Palatino Linotype" w:hAnsi="Palatino Linotype"/>
          <w:b/>
          <w:color w:val="000000"/>
        </w:rPr>
        <w:t xml:space="preserve">, </w:t>
      </w:r>
      <w:r w:rsidRPr="001228E9">
        <w:rPr>
          <w:rFonts w:ascii="Palatino Linotype" w:hAnsi="Palatino Linotype"/>
          <w:color w:val="000000"/>
        </w:rPr>
        <w:t xml:space="preserve">en el </w:t>
      </w:r>
      <w:r>
        <w:rPr>
          <w:rFonts w:ascii="Palatino Linotype" w:hAnsi="Palatino Linotype"/>
          <w:color w:val="000000"/>
        </w:rPr>
        <w:t>que señaló haber dado respuesta a la solicitud de información y solicitó el sobreseimiento del recurso de revisión.</w:t>
      </w:r>
    </w:p>
    <w:p w14:paraId="78C3FF38" w14:textId="77777777" w:rsidR="00A94BAD" w:rsidRPr="00861738" w:rsidRDefault="00A94BAD" w:rsidP="00A94BAD">
      <w:pPr>
        <w:rPr>
          <w:rFonts w:ascii="Palatino Linotype" w:hAnsi="Palatino Linotype"/>
          <w:lang w:eastAsia="es-ES"/>
        </w:rPr>
      </w:pPr>
    </w:p>
    <w:p w14:paraId="22577FC0" w14:textId="74715AC4" w:rsidR="0058535E" w:rsidRPr="00861738" w:rsidRDefault="007E14AA" w:rsidP="0058535E">
      <w:pPr>
        <w:numPr>
          <w:ilvl w:val="0"/>
          <w:numId w:val="1"/>
        </w:numPr>
        <w:tabs>
          <w:tab w:val="clear" w:pos="862"/>
        </w:tabs>
        <w:spacing w:before="240" w:after="240" w:line="360" w:lineRule="auto"/>
        <w:ind w:left="0" w:firstLine="0"/>
        <w:contextualSpacing/>
        <w:jc w:val="both"/>
        <w:rPr>
          <w:rFonts w:ascii="Palatino Linotype" w:hAnsi="Palatino Linotype" w:cs="Arial"/>
        </w:rPr>
      </w:pPr>
      <w:r>
        <w:rPr>
          <w:rFonts w:ascii="Palatino Linotype" w:hAnsi="Palatino Linotype"/>
          <w:lang w:eastAsia="es-ES"/>
        </w:rPr>
        <w:t>La Comisionada</w:t>
      </w:r>
      <w:r w:rsidR="00AE4B84" w:rsidRPr="00861738">
        <w:rPr>
          <w:rFonts w:ascii="Palatino Linotype" w:hAnsi="Palatino Linotype"/>
          <w:lang w:eastAsia="es-ES"/>
        </w:rPr>
        <w:t xml:space="preserve"> Ponente decretó el cierre de instrucción</w:t>
      </w:r>
      <w:r w:rsidR="00AE4B84" w:rsidRPr="00861738">
        <w:rPr>
          <w:rFonts w:ascii="Palatino Linotype" w:hAnsi="Palatino Linotype" w:cs="Arial"/>
          <w:lang w:eastAsia="es-ES"/>
        </w:rPr>
        <w:t xml:space="preserve"> </w:t>
      </w:r>
      <w:r w:rsidR="00AE4B84" w:rsidRPr="00861738">
        <w:rPr>
          <w:rFonts w:ascii="Palatino Linotype" w:hAnsi="Palatino Linotype"/>
          <w:lang w:eastAsia="es-ES"/>
        </w:rPr>
        <w:t>mediante acuerdo de</w:t>
      </w:r>
      <w:r w:rsidR="008B1180" w:rsidRPr="00861738">
        <w:rPr>
          <w:rFonts w:ascii="Palatino Linotype" w:hAnsi="Palatino Linotype"/>
          <w:lang w:eastAsia="es-ES"/>
        </w:rPr>
        <w:t>l</w:t>
      </w:r>
      <w:r w:rsidR="00AE4B84" w:rsidRPr="00861738">
        <w:rPr>
          <w:rFonts w:ascii="Palatino Linotype" w:hAnsi="Palatino Linotype"/>
          <w:lang w:eastAsia="es-ES"/>
        </w:rPr>
        <w:t xml:space="preserve"> </w:t>
      </w:r>
      <w:r w:rsidR="00E27F84">
        <w:rPr>
          <w:rFonts w:ascii="Palatino Linotype" w:hAnsi="Palatino Linotype"/>
          <w:lang w:eastAsia="es-ES"/>
        </w:rPr>
        <w:t>nueve (09) de octubre</w:t>
      </w:r>
      <w:r w:rsidR="00CC1765">
        <w:rPr>
          <w:rFonts w:ascii="Palatino Linotype" w:hAnsi="Palatino Linotype"/>
          <w:lang w:eastAsia="es-ES"/>
        </w:rPr>
        <w:t xml:space="preserve"> </w:t>
      </w:r>
      <w:r w:rsidR="00635DF8" w:rsidRPr="00861738">
        <w:rPr>
          <w:rFonts w:ascii="Palatino Linotype" w:hAnsi="Palatino Linotype"/>
          <w:lang w:eastAsia="es-ES"/>
        </w:rPr>
        <w:t>de dos mil veinti</w:t>
      </w:r>
      <w:r w:rsidR="00CC1765">
        <w:rPr>
          <w:rFonts w:ascii="Palatino Linotype" w:hAnsi="Palatino Linotype"/>
          <w:lang w:eastAsia="es-ES"/>
        </w:rPr>
        <w:t>trés</w:t>
      </w:r>
      <w:r w:rsidR="001F21B2" w:rsidRPr="00861738">
        <w:rPr>
          <w:rFonts w:ascii="Palatino Linotype" w:hAnsi="Palatino Linotype"/>
          <w:lang w:eastAsia="es-ES"/>
        </w:rPr>
        <w:t xml:space="preserve">; </w:t>
      </w:r>
      <w:r w:rsidR="00635DF8" w:rsidRPr="00861738">
        <w:rPr>
          <w:rFonts w:ascii="Palatino Linotype" w:hAnsi="Palatino Linotype" w:cs="Arial"/>
          <w:lang w:eastAsia="es-ES"/>
        </w:rPr>
        <w:t>posterior a ello</w:t>
      </w:r>
      <w:r w:rsidR="001F21B2" w:rsidRPr="00861738">
        <w:rPr>
          <w:rFonts w:ascii="Palatino Linotype" w:hAnsi="Palatino Linotype" w:cs="Arial"/>
          <w:lang w:eastAsia="es-ES"/>
        </w:rPr>
        <w:t>,</w:t>
      </w:r>
      <w:r w:rsidR="00635DF8" w:rsidRPr="00861738">
        <w:rPr>
          <w:rFonts w:ascii="Palatino Linotype" w:hAnsi="Palatino Linotype" w:cs="Arial"/>
          <w:lang w:eastAsia="es-ES"/>
        </w:rPr>
        <w:t xml:space="preserve"> se </w:t>
      </w:r>
      <w:r w:rsidR="00AE4B84" w:rsidRPr="00861738">
        <w:rPr>
          <w:rFonts w:ascii="Palatino Linotype" w:hAnsi="Palatino Linotype" w:cs="Arial"/>
          <w:lang w:eastAsia="es-ES"/>
        </w:rPr>
        <w:t>ordenó tur</w:t>
      </w:r>
      <w:r w:rsidR="00635DF8" w:rsidRPr="00861738">
        <w:rPr>
          <w:rFonts w:ascii="Palatino Linotype" w:hAnsi="Palatino Linotype" w:cs="Arial"/>
          <w:lang w:eastAsia="es-ES"/>
        </w:rPr>
        <w:t>nar el expediente a resolución</w:t>
      </w:r>
      <w:r w:rsidR="00071DC1" w:rsidRPr="00861738">
        <w:rPr>
          <w:rFonts w:ascii="Palatino Linotype" w:hAnsi="Palatino Linotype" w:cs="Arial"/>
          <w:lang w:eastAsia="es-ES"/>
        </w:rPr>
        <w:t>.</w:t>
      </w:r>
      <w:r w:rsidR="00224440" w:rsidRPr="00861738">
        <w:rPr>
          <w:rFonts w:ascii="Palatino Linotype" w:hAnsi="Palatino Linotype" w:cs="Arial"/>
          <w:lang w:eastAsia="es-ES"/>
        </w:rPr>
        <w:t>---------------------------------------------------------------------------------</w:t>
      </w:r>
    </w:p>
    <w:p w14:paraId="680037A9" w14:textId="77777777" w:rsidR="000A053D" w:rsidRPr="00861738" w:rsidRDefault="000A053D" w:rsidP="000A053D">
      <w:pPr>
        <w:spacing w:before="240" w:after="240" w:line="360" w:lineRule="auto"/>
        <w:contextualSpacing/>
        <w:jc w:val="both"/>
        <w:rPr>
          <w:rFonts w:ascii="Palatino Linotype" w:hAnsi="Palatino Linotype" w:cs="Arial"/>
        </w:rPr>
      </w:pPr>
    </w:p>
    <w:p w14:paraId="3866C4CC" w14:textId="44028130" w:rsidR="00AE4B84" w:rsidRDefault="00AE4B84" w:rsidP="00804F09">
      <w:pPr>
        <w:spacing w:before="240" w:after="240" w:line="360" w:lineRule="auto"/>
        <w:ind w:left="360"/>
        <w:contextualSpacing/>
        <w:jc w:val="center"/>
        <w:outlineLvl w:val="0"/>
        <w:rPr>
          <w:rFonts w:ascii="Palatino Linotype" w:hAnsi="Palatino Linotype" w:cs="Arial"/>
          <w:b/>
          <w:lang w:eastAsia="es-ES"/>
        </w:rPr>
      </w:pPr>
      <w:bookmarkStart w:id="4" w:name="_Toc29544439"/>
      <w:r w:rsidRPr="00861738">
        <w:rPr>
          <w:rFonts w:ascii="Palatino Linotype" w:hAnsi="Palatino Linotype" w:cs="Arial"/>
          <w:b/>
          <w:lang w:eastAsia="es-ES"/>
        </w:rPr>
        <w:t>CONSIDERANDO</w:t>
      </w:r>
      <w:bookmarkEnd w:id="4"/>
    </w:p>
    <w:p w14:paraId="5A0433AF" w14:textId="77777777" w:rsidR="00E27F84" w:rsidRPr="00861738" w:rsidRDefault="00E27F84" w:rsidP="00804F09">
      <w:pPr>
        <w:spacing w:before="240" w:after="240" w:line="360" w:lineRule="auto"/>
        <w:ind w:left="360"/>
        <w:contextualSpacing/>
        <w:jc w:val="center"/>
        <w:outlineLvl w:val="0"/>
        <w:rPr>
          <w:rFonts w:ascii="Palatino Linotype" w:hAnsi="Palatino Linotype" w:cs="Arial"/>
          <w:b/>
        </w:rPr>
      </w:pPr>
    </w:p>
    <w:p w14:paraId="599887F8" w14:textId="77777777" w:rsidR="00AE4B84"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5" w:name="_Toc29544440"/>
      <w:r w:rsidRPr="00861738">
        <w:rPr>
          <w:rFonts w:ascii="Palatino Linotype" w:eastAsia="MS Gothic" w:hAnsi="Palatino Linotype" w:cs="Arial"/>
          <w:b/>
          <w:color w:val="000000"/>
          <w:lang w:val="es-ES" w:eastAsia="es-ES"/>
        </w:rPr>
        <w:t>PRIMERO. De la competencia.</w:t>
      </w:r>
      <w:bookmarkEnd w:id="5"/>
      <w:r w:rsidRPr="00861738">
        <w:rPr>
          <w:rFonts w:ascii="Palatino Linotype" w:eastAsia="MS Gothic" w:hAnsi="Palatino Linotype" w:cs="Arial"/>
          <w:b/>
          <w:color w:val="000000"/>
          <w:lang w:val="es-ES" w:eastAsia="es-ES"/>
        </w:rPr>
        <w:t xml:space="preserve"> </w:t>
      </w:r>
    </w:p>
    <w:p w14:paraId="7EEB5AD3" w14:textId="768FA8E0" w:rsidR="00E27F84" w:rsidRPr="00E27F84" w:rsidRDefault="00E27F84" w:rsidP="00E27F84">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E27F84">
        <w:rPr>
          <w:rFonts w:ascii="Palatino Linotype" w:hAnsi="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8BD313F" w14:textId="77777777" w:rsidR="00E27F84" w:rsidRPr="00861738" w:rsidRDefault="00E27F84" w:rsidP="00E27F84">
      <w:pPr>
        <w:spacing w:line="360" w:lineRule="auto"/>
        <w:contextualSpacing/>
        <w:jc w:val="both"/>
        <w:rPr>
          <w:rFonts w:ascii="Palatino Linotype" w:eastAsia="Calibri" w:hAnsi="Palatino Linotype"/>
          <w:lang w:eastAsia="es-ES"/>
        </w:rPr>
      </w:pPr>
    </w:p>
    <w:p w14:paraId="004E7DEF" w14:textId="387DBA10" w:rsidR="00E27F84" w:rsidRPr="00E27F84" w:rsidRDefault="00AE4B84" w:rsidP="00804F09">
      <w:pPr>
        <w:keepNext/>
        <w:keepLines/>
        <w:spacing w:before="240" w:line="360" w:lineRule="auto"/>
        <w:outlineLvl w:val="0"/>
        <w:rPr>
          <w:rFonts w:ascii="Palatino Linotype" w:eastAsia="MS Gothic" w:hAnsi="Palatino Linotype"/>
          <w:b/>
          <w:color w:val="000000"/>
          <w:lang w:val="es-ES" w:eastAsia="es-ES"/>
        </w:rPr>
      </w:pPr>
      <w:bookmarkStart w:id="6" w:name="_Toc29544441"/>
      <w:r w:rsidRPr="00861738">
        <w:rPr>
          <w:rFonts w:ascii="Palatino Linotype" w:eastAsia="MS Gothic" w:hAnsi="Palatino Linotype"/>
          <w:b/>
          <w:color w:val="000000"/>
          <w:lang w:val="es-ES" w:eastAsia="es-ES"/>
        </w:rPr>
        <w:t>SEGUNDO. De la oportunidad y procedencia</w:t>
      </w:r>
      <w:bookmarkEnd w:id="6"/>
    </w:p>
    <w:p w14:paraId="760EE6DA" w14:textId="77777777" w:rsidR="000A053D" w:rsidRPr="00861738" w:rsidRDefault="00AE4B84" w:rsidP="000A053D">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861738">
        <w:rPr>
          <w:rFonts w:ascii="Palatino Linotype" w:hAnsi="Palatino Linotype"/>
          <w:color w:val="000000"/>
          <w:lang w:eastAsia="es-ES"/>
        </w:rPr>
        <w:t>El medio de impugnación fue presentado a través de</w:t>
      </w:r>
      <w:r w:rsidR="0030793F" w:rsidRPr="00861738">
        <w:rPr>
          <w:rFonts w:ascii="Palatino Linotype" w:hAnsi="Palatino Linotype"/>
          <w:color w:val="000000"/>
          <w:lang w:eastAsia="es-ES"/>
        </w:rPr>
        <w:t xml:space="preserve"> </w:t>
      </w:r>
      <w:r w:rsidRPr="00861738">
        <w:rPr>
          <w:rFonts w:ascii="Palatino Linotype" w:hAnsi="Palatino Linotype"/>
          <w:b/>
          <w:color w:val="000000"/>
          <w:lang w:eastAsia="es-ES"/>
        </w:rPr>
        <w:t>SAIMEX,</w:t>
      </w:r>
      <w:r w:rsidRPr="00861738">
        <w:rPr>
          <w:rFonts w:ascii="Palatino Linotype" w:hAnsi="Palatino Linotype"/>
          <w:color w:val="000000"/>
          <w:lang w:eastAsia="es-ES"/>
        </w:rPr>
        <w:t xml:space="preserve"> en el formato previamente aprobado para tal efecto, s</w:t>
      </w:r>
      <w:r w:rsidRPr="00861738">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861738">
        <w:rPr>
          <w:rFonts w:ascii="Palatino Linotype" w:hAnsi="Palatino Linotype" w:cs="Arial"/>
          <w:u w:val="single"/>
          <w:lang w:eastAsia="es-ES"/>
        </w:rPr>
        <w:t>fuera del plazo</w:t>
      </w:r>
      <w:r w:rsidRPr="00861738">
        <w:rPr>
          <w:rFonts w:ascii="Palatino Linotype" w:hAnsi="Palatino Linotype" w:cs="Arial"/>
          <w:lang w:eastAsia="es-ES"/>
        </w:rPr>
        <w:t xml:space="preserve"> de quince días hábiles </w:t>
      </w:r>
      <w:r w:rsidRPr="00861738">
        <w:rPr>
          <w:rFonts w:ascii="Palatino Linotype" w:hAnsi="Palatino Linotype"/>
          <w:lang w:eastAsia="es-ES"/>
        </w:rPr>
        <w:t>contados</w:t>
      </w:r>
      <w:r w:rsidRPr="00861738">
        <w:rPr>
          <w:rFonts w:ascii="Palatino Linotype" w:hAnsi="Palatino Linotype" w:cs="Arial"/>
          <w:lang w:eastAsia="es-ES"/>
        </w:rPr>
        <w:t xml:space="preserve"> a partir del día siguiente al que </w:t>
      </w:r>
      <w:r w:rsidR="00224440" w:rsidRPr="00861738">
        <w:rPr>
          <w:rFonts w:ascii="Palatino Linotype" w:hAnsi="Palatino Linotype" w:cs="Arial"/>
          <w:bCs/>
          <w:lang w:eastAsia="es-ES"/>
        </w:rPr>
        <w:t>el</w:t>
      </w:r>
      <w:r w:rsidRPr="00861738">
        <w:rPr>
          <w:rFonts w:ascii="Palatino Linotype" w:hAnsi="Palatino Linotype" w:cs="Arial"/>
          <w:b/>
          <w:bCs/>
          <w:lang w:eastAsia="es-ES"/>
        </w:rPr>
        <w:t xml:space="preserve"> R</w:t>
      </w:r>
      <w:r w:rsidR="00224440" w:rsidRPr="00861738">
        <w:rPr>
          <w:rFonts w:ascii="Palatino Linotype" w:hAnsi="Palatino Linotype" w:cs="Arial"/>
          <w:b/>
          <w:bCs/>
          <w:lang w:eastAsia="es-ES"/>
        </w:rPr>
        <w:t>ecurrente</w:t>
      </w:r>
      <w:r w:rsidRPr="00861738">
        <w:rPr>
          <w:rFonts w:ascii="Palatino Linotype" w:hAnsi="Palatino Linotype" w:cs="Arial"/>
          <w:b/>
          <w:bCs/>
          <w:lang w:eastAsia="es-ES"/>
        </w:rPr>
        <w:t xml:space="preserve"> </w:t>
      </w:r>
      <w:r w:rsidRPr="00861738">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4A022FEA" w14:textId="77777777" w:rsidR="000A053D" w:rsidRPr="00861738" w:rsidRDefault="00AE4B84" w:rsidP="00E27F84">
      <w:pPr>
        <w:spacing w:before="240" w:after="240" w:line="360" w:lineRule="auto"/>
        <w:ind w:left="851" w:right="822"/>
        <w:jc w:val="both"/>
        <w:rPr>
          <w:rFonts w:ascii="Palatino Linotype" w:hAnsi="Palatino Linotype"/>
          <w:color w:val="000000"/>
        </w:rPr>
      </w:pPr>
      <w:r w:rsidRPr="00861738">
        <w:rPr>
          <w:rFonts w:ascii="Palatino Linotype" w:hAnsi="Palatino Linotype" w:cs="Arial"/>
          <w:i/>
          <w:sz w:val="22"/>
          <w:szCs w:val="22"/>
          <w:lang w:eastAsia="es-ES"/>
        </w:rPr>
        <w:t>“</w:t>
      </w:r>
      <w:r w:rsidRPr="00861738">
        <w:rPr>
          <w:rFonts w:ascii="Palatino Linotype" w:hAnsi="Palatino Linotype" w:cs="Arial"/>
          <w:b/>
          <w:i/>
          <w:sz w:val="22"/>
          <w:szCs w:val="22"/>
          <w:lang w:eastAsia="es-ES"/>
        </w:rPr>
        <w:t>Artículo 178.</w:t>
      </w:r>
      <w:r w:rsidRPr="00861738">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w:t>
      </w:r>
      <w:r w:rsidRPr="00861738">
        <w:rPr>
          <w:rFonts w:ascii="Palatino Linotype" w:hAnsi="Palatino Linotype" w:cs="Arial"/>
          <w:i/>
          <w:sz w:val="22"/>
          <w:szCs w:val="22"/>
          <w:lang w:eastAsia="es-ES"/>
        </w:rPr>
        <w:lastRenderedPageBreak/>
        <w:t>el Instituto o ante la Unidad de Transparencia que haya conocido de la solicitud dentro de los quince días hábiles, siguientes a la fecha de la notificación de la respuesta.</w:t>
      </w:r>
    </w:p>
    <w:p w14:paraId="4BFF8BD6" w14:textId="50F4F022" w:rsidR="00AE4B84" w:rsidRPr="00861738" w:rsidRDefault="00AE4B84" w:rsidP="00E27F84">
      <w:pPr>
        <w:spacing w:before="240" w:after="240" w:line="360" w:lineRule="auto"/>
        <w:ind w:left="851" w:right="822"/>
        <w:jc w:val="both"/>
        <w:rPr>
          <w:rFonts w:ascii="Palatino Linotype" w:hAnsi="Palatino Linotype"/>
          <w:color w:val="000000"/>
        </w:rPr>
      </w:pPr>
      <w:r w:rsidRPr="00861738">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8A2A549" w14:textId="6993AF0C" w:rsidR="00804F09" w:rsidRPr="00861738" w:rsidRDefault="00AE4B84" w:rsidP="00E27F84">
      <w:pPr>
        <w:spacing w:before="120" w:after="120" w:line="360" w:lineRule="auto"/>
        <w:ind w:left="851" w:right="822"/>
        <w:jc w:val="both"/>
        <w:rPr>
          <w:rFonts w:ascii="Palatino Linotype" w:hAnsi="Palatino Linotype" w:cs="Arial"/>
          <w:i/>
          <w:sz w:val="22"/>
          <w:szCs w:val="22"/>
          <w:lang w:eastAsia="es-ES"/>
        </w:rPr>
      </w:pPr>
      <w:r w:rsidRPr="00861738">
        <w:rPr>
          <w:rFonts w:ascii="Palatino Linotype" w:hAnsi="Palatino Linotype" w:cs="Arial"/>
          <w:i/>
          <w:sz w:val="22"/>
          <w:szCs w:val="22"/>
          <w:lang w:eastAsia="es-ES"/>
        </w:rPr>
        <w:t xml:space="preserve">En el caso de que se interponga ante la Unidad de Transparencia, ésta deberá remitir el recurso de revisión al Instituto a más tardar al día </w:t>
      </w:r>
      <w:r w:rsidRPr="00861738">
        <w:rPr>
          <w:rFonts w:ascii="Palatino Linotype" w:hAnsi="Palatino Linotype" w:cs="Arial"/>
          <w:i/>
          <w:sz w:val="22"/>
          <w:szCs w:val="22"/>
        </w:rPr>
        <w:t>siguiente</w:t>
      </w:r>
      <w:r w:rsidRPr="00861738">
        <w:rPr>
          <w:rFonts w:ascii="Palatino Linotype" w:hAnsi="Palatino Linotype" w:cs="Arial"/>
          <w:i/>
          <w:sz w:val="22"/>
          <w:szCs w:val="22"/>
          <w:lang w:eastAsia="es-ES"/>
        </w:rPr>
        <w:t xml:space="preserve"> de haberlo recibido.”</w:t>
      </w:r>
    </w:p>
    <w:p w14:paraId="312EF591" w14:textId="0B1926B6" w:rsidR="00AE4B84" w:rsidRPr="00861738" w:rsidRDefault="00804F09" w:rsidP="00E27F84">
      <w:pPr>
        <w:spacing w:before="120" w:after="120" w:line="360" w:lineRule="auto"/>
        <w:ind w:left="851" w:right="822"/>
        <w:jc w:val="both"/>
        <w:rPr>
          <w:rFonts w:ascii="Palatino Linotype" w:hAnsi="Palatino Linotype" w:cs="Arial"/>
          <w:b/>
          <w:bCs/>
          <w:i/>
          <w:sz w:val="22"/>
          <w:szCs w:val="22"/>
          <w:lang w:eastAsia="es-ES"/>
        </w:rPr>
      </w:pPr>
      <w:r w:rsidRPr="00861738">
        <w:rPr>
          <w:rFonts w:ascii="Palatino Linotype" w:hAnsi="Palatino Linotype" w:cs="Arial"/>
          <w:b/>
          <w:bCs/>
          <w:i/>
          <w:sz w:val="22"/>
          <w:szCs w:val="22"/>
          <w:lang w:eastAsia="es-ES"/>
        </w:rPr>
        <w:t>(Énfasis añadido)</w:t>
      </w:r>
    </w:p>
    <w:p w14:paraId="5EEED9E0" w14:textId="77777777" w:rsidR="00627148" w:rsidRPr="00861738" w:rsidRDefault="00627148" w:rsidP="00627148">
      <w:pPr>
        <w:spacing w:before="120" w:after="120"/>
        <w:ind w:right="709"/>
        <w:jc w:val="both"/>
        <w:rPr>
          <w:rFonts w:ascii="Palatino Linotype" w:hAnsi="Palatino Linotype" w:cs="Arial"/>
          <w:b/>
          <w:bCs/>
          <w:i/>
          <w:sz w:val="22"/>
          <w:szCs w:val="22"/>
          <w:lang w:eastAsia="es-ES"/>
        </w:rPr>
      </w:pPr>
    </w:p>
    <w:p w14:paraId="2B7EE51A" w14:textId="5E69FDA6" w:rsidR="00130080" w:rsidRPr="00861738"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hAnsi="Palatino Linotype" w:cs="Arial"/>
          <w:lang w:eastAsia="es-ES"/>
        </w:rPr>
        <w:t xml:space="preserve">En esa tesitura, atendiendo que </w:t>
      </w:r>
      <w:r w:rsidRPr="00861738">
        <w:rPr>
          <w:rFonts w:ascii="Palatino Linotype" w:hAnsi="Palatino Linotype" w:cs="Arial"/>
          <w:b/>
          <w:lang w:eastAsia="es-ES"/>
        </w:rPr>
        <w:t>el SUJETO OBLIGADO</w:t>
      </w:r>
      <w:r w:rsidRPr="00861738">
        <w:rPr>
          <w:rFonts w:ascii="Palatino Linotype" w:hAnsi="Palatino Linotype" w:cs="Arial"/>
          <w:lang w:eastAsia="es-ES"/>
        </w:rPr>
        <w:t xml:space="preserve"> notificó la respuesta a la solicitu</w:t>
      </w:r>
      <w:r w:rsidR="000A053D" w:rsidRPr="00861738">
        <w:rPr>
          <w:rFonts w:ascii="Palatino Linotype" w:hAnsi="Palatino Linotype" w:cs="Arial"/>
          <w:lang w:eastAsia="es-ES"/>
        </w:rPr>
        <w:t xml:space="preserve">d de información pública el </w:t>
      </w:r>
      <w:r w:rsidR="00E27F84">
        <w:rPr>
          <w:rFonts w:ascii="Palatino Linotype" w:hAnsi="Palatino Linotype" w:cs="Arial"/>
          <w:b/>
          <w:lang w:eastAsia="es-ES"/>
        </w:rPr>
        <w:t>tres (03) de agosto</w:t>
      </w:r>
      <w:r w:rsidR="003A11F3" w:rsidRPr="004254EF">
        <w:rPr>
          <w:rFonts w:ascii="Palatino Linotype" w:hAnsi="Palatino Linotype" w:cs="Arial"/>
          <w:b/>
          <w:lang w:eastAsia="es-ES"/>
        </w:rPr>
        <w:t xml:space="preserve"> de dos mil veint</w:t>
      </w:r>
      <w:r w:rsidR="00CC1765" w:rsidRPr="004254EF">
        <w:rPr>
          <w:rFonts w:ascii="Palatino Linotype" w:hAnsi="Palatino Linotype" w:cs="Arial"/>
          <w:b/>
          <w:lang w:eastAsia="es-ES"/>
        </w:rPr>
        <w:t>i</w:t>
      </w:r>
      <w:r w:rsidR="004254EF" w:rsidRPr="004254EF">
        <w:rPr>
          <w:rFonts w:ascii="Palatino Linotype" w:hAnsi="Palatino Linotype" w:cs="Arial"/>
          <w:b/>
          <w:lang w:eastAsia="es-ES"/>
        </w:rPr>
        <w:t>trés</w:t>
      </w:r>
      <w:r w:rsidRPr="004254EF">
        <w:rPr>
          <w:rFonts w:ascii="Palatino Linotype" w:hAnsi="Palatino Linotype" w:cs="Arial"/>
          <w:lang w:eastAsia="es-ES"/>
        </w:rPr>
        <w:t>, el plazo de quince días hábiles que el artículo 178 de la Ley de la materia otorga a</w:t>
      </w:r>
      <w:r w:rsidR="00224440" w:rsidRPr="004254EF">
        <w:rPr>
          <w:rFonts w:ascii="Palatino Linotype" w:hAnsi="Palatino Linotype" w:cs="Arial"/>
          <w:lang w:eastAsia="es-ES"/>
        </w:rPr>
        <w:t xml:space="preserve">l </w:t>
      </w:r>
      <w:r w:rsidR="00224440" w:rsidRPr="004254EF">
        <w:rPr>
          <w:rFonts w:ascii="Palatino Linotype" w:hAnsi="Palatino Linotype" w:cs="Arial"/>
          <w:b/>
          <w:bCs/>
          <w:lang w:eastAsia="es-ES"/>
        </w:rPr>
        <w:t>Recurrente</w:t>
      </w:r>
      <w:r w:rsidR="00224440" w:rsidRPr="004254EF">
        <w:rPr>
          <w:rFonts w:ascii="Palatino Linotype" w:hAnsi="Palatino Linotype" w:cs="Arial"/>
          <w:lang w:eastAsia="es-ES"/>
        </w:rPr>
        <w:t xml:space="preserve"> </w:t>
      </w:r>
      <w:r w:rsidRPr="004254EF">
        <w:rPr>
          <w:rFonts w:ascii="Palatino Linotype" w:hAnsi="Palatino Linotype" w:cs="Arial"/>
          <w:lang w:eastAsia="es-ES"/>
        </w:rPr>
        <w:t xml:space="preserve">para presentar el recurso de revisión, transcurrió del </w:t>
      </w:r>
      <w:r w:rsidR="00E27F84">
        <w:rPr>
          <w:rFonts w:ascii="Palatino Linotype" w:hAnsi="Palatino Linotype" w:cs="Arial"/>
          <w:b/>
          <w:lang w:eastAsia="es-ES"/>
        </w:rPr>
        <w:t>cuatro (04) al veinticuatro (24) de agosto</w:t>
      </w:r>
      <w:r w:rsidRPr="004254EF">
        <w:rPr>
          <w:rFonts w:ascii="Palatino Linotype" w:hAnsi="Palatino Linotype" w:cs="Arial"/>
          <w:b/>
          <w:lang w:eastAsia="es-ES"/>
        </w:rPr>
        <w:t xml:space="preserve"> de dos mil veint</w:t>
      </w:r>
      <w:r w:rsidR="000A053D" w:rsidRPr="004254EF">
        <w:rPr>
          <w:rFonts w:ascii="Palatino Linotype" w:hAnsi="Palatino Linotype" w:cs="Arial"/>
          <w:b/>
          <w:lang w:eastAsia="es-ES"/>
        </w:rPr>
        <w:t>i</w:t>
      </w:r>
      <w:r w:rsidR="004254EF" w:rsidRPr="004254EF">
        <w:rPr>
          <w:rFonts w:ascii="Palatino Linotype" w:hAnsi="Palatino Linotype" w:cs="Arial"/>
          <w:b/>
          <w:lang w:eastAsia="es-ES"/>
        </w:rPr>
        <w:t>trés</w:t>
      </w:r>
      <w:r w:rsidR="000A053D" w:rsidRPr="004254EF">
        <w:rPr>
          <w:rFonts w:ascii="Palatino Linotype" w:hAnsi="Palatino Linotype" w:cs="Arial"/>
          <w:b/>
          <w:lang w:eastAsia="es-ES"/>
        </w:rPr>
        <w:t>.</w:t>
      </w:r>
    </w:p>
    <w:p w14:paraId="3B7F11F1" w14:textId="77777777" w:rsidR="00C4282F" w:rsidRPr="00861738" w:rsidRDefault="00C4282F" w:rsidP="00C4282F">
      <w:pPr>
        <w:spacing w:before="240" w:after="240" w:line="360" w:lineRule="auto"/>
        <w:contextualSpacing/>
        <w:jc w:val="both"/>
        <w:rPr>
          <w:rFonts w:ascii="Palatino Linotype" w:hAnsi="Palatino Linotype"/>
          <w:color w:val="000000"/>
        </w:rPr>
      </w:pPr>
    </w:p>
    <w:p w14:paraId="3E27E472" w14:textId="381854F2" w:rsidR="00AE4B84" w:rsidRPr="00861738"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hAnsi="Palatino Linotype" w:cs="Arial"/>
          <w:lang w:eastAsia="es-ES"/>
        </w:rPr>
        <w:t>En ese tenor, si el recurso de revisión que nos ocupa, se interpuso el día</w:t>
      </w:r>
      <w:r w:rsidR="00130080" w:rsidRPr="00861738">
        <w:rPr>
          <w:rFonts w:ascii="Palatino Linotype" w:hAnsi="Palatino Linotype" w:cs="Arial"/>
          <w:b/>
          <w:lang w:eastAsia="es-ES"/>
        </w:rPr>
        <w:t xml:space="preserve"> </w:t>
      </w:r>
      <w:r w:rsidR="00E27F84">
        <w:rPr>
          <w:rFonts w:ascii="Palatino Linotype" w:hAnsi="Palatino Linotype" w:cs="Arial"/>
          <w:b/>
          <w:lang w:eastAsia="es-ES"/>
        </w:rPr>
        <w:t>dieciocho (18) de septiembre</w:t>
      </w:r>
      <w:r w:rsidR="00CC1765">
        <w:rPr>
          <w:rFonts w:ascii="Palatino Linotype" w:hAnsi="Palatino Linotype" w:cs="Arial"/>
          <w:b/>
          <w:lang w:eastAsia="es-ES"/>
        </w:rPr>
        <w:t xml:space="preserve"> </w:t>
      </w:r>
      <w:r w:rsidRPr="00861738">
        <w:rPr>
          <w:rFonts w:ascii="Palatino Linotype" w:hAnsi="Palatino Linotype" w:cs="Arial"/>
          <w:b/>
          <w:lang w:eastAsia="es-ES"/>
        </w:rPr>
        <w:t xml:space="preserve">de dos mil </w:t>
      </w:r>
      <w:r w:rsidRPr="004254EF">
        <w:rPr>
          <w:rFonts w:ascii="Palatino Linotype" w:hAnsi="Palatino Linotype" w:cs="Arial"/>
          <w:b/>
          <w:lang w:eastAsia="es-ES"/>
        </w:rPr>
        <w:t>veinti</w:t>
      </w:r>
      <w:r w:rsidR="00CC1765" w:rsidRPr="004254EF">
        <w:rPr>
          <w:rFonts w:ascii="Palatino Linotype" w:hAnsi="Palatino Linotype" w:cs="Arial"/>
          <w:b/>
          <w:lang w:eastAsia="es-ES"/>
        </w:rPr>
        <w:t>trés</w:t>
      </w:r>
      <w:r w:rsidRPr="004254EF">
        <w:rPr>
          <w:rFonts w:ascii="Palatino Linotype" w:hAnsi="Palatino Linotype" w:cs="Arial"/>
          <w:lang w:eastAsia="es-ES"/>
        </w:rPr>
        <w:t>, se</w:t>
      </w:r>
      <w:r w:rsidRPr="00861738">
        <w:rPr>
          <w:rFonts w:ascii="Palatino Linotype" w:hAnsi="Palatino Linotype" w:cs="Arial"/>
          <w:lang w:eastAsia="es-ES"/>
        </w:rPr>
        <w:t xml:space="preserve"> encuentra </w:t>
      </w:r>
      <w:r w:rsidRPr="00861738">
        <w:rPr>
          <w:rFonts w:ascii="Palatino Linotype" w:hAnsi="Palatino Linotype" w:cs="Arial"/>
          <w:b/>
          <w:u w:val="single"/>
          <w:lang w:eastAsia="es-ES"/>
        </w:rPr>
        <w:t>fuera</w:t>
      </w:r>
      <w:r w:rsidRPr="00861738">
        <w:rPr>
          <w:rFonts w:ascii="Palatino Linotype" w:hAnsi="Palatino Linotype" w:cs="Arial"/>
          <w:lang w:eastAsia="es-ES"/>
        </w:rPr>
        <w:t xml:space="preserve"> de los márgenes temporales previstos en el precepto legal señalado en el artículo 178 </w:t>
      </w:r>
      <w:r w:rsidRPr="00861738">
        <w:rPr>
          <w:rFonts w:ascii="Palatino Linotype" w:hAnsi="Palatino Linotype"/>
          <w:lang w:eastAsia="es-ES_tradnl"/>
        </w:rPr>
        <w:t xml:space="preserve">de la Ley de Transparencia y Acceso a la Información Pública del Estado de México y Municipios </w:t>
      </w:r>
      <w:r w:rsidRPr="00861738">
        <w:rPr>
          <w:rFonts w:ascii="Palatino Linotype" w:hAnsi="Palatino Linotype" w:cs="Arial"/>
          <w:lang w:eastAsia="es-ES"/>
        </w:rPr>
        <w:t xml:space="preserve">y, por tanto, su interposición </w:t>
      </w:r>
      <w:r w:rsidRPr="00861738">
        <w:rPr>
          <w:rFonts w:ascii="Palatino Linotype" w:hAnsi="Palatino Linotype" w:cs="Arial"/>
          <w:b/>
          <w:lang w:eastAsia="es-ES"/>
        </w:rPr>
        <w:t>no se considera oportuna</w:t>
      </w:r>
      <w:r w:rsidR="00E5557C" w:rsidRPr="00861738">
        <w:rPr>
          <w:rFonts w:ascii="Palatino Linotype" w:hAnsi="Palatino Linotype" w:cs="Arial"/>
          <w:lang w:eastAsia="es-ES"/>
        </w:rPr>
        <w:t>.</w:t>
      </w:r>
      <w:r w:rsidRPr="00861738">
        <w:rPr>
          <w:rFonts w:ascii="Palatino Linotype" w:hAnsi="Palatino Linotype" w:cs="Arial"/>
          <w:lang w:eastAsia="es-ES"/>
        </w:rPr>
        <w:t xml:space="preserve"> </w:t>
      </w:r>
    </w:p>
    <w:p w14:paraId="1B73C6A1" w14:textId="77777777" w:rsidR="00AE4B84" w:rsidRPr="00861738"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861738"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hAnsi="Palatino Linotype" w:cs="Arial"/>
          <w:lang w:val="es-ES_tradnl" w:eastAsia="es-ES"/>
        </w:rPr>
        <w:lastRenderedPageBreak/>
        <w:t>En atención a las consideraciones anteriores, esta Ponencia Resolutoria</w:t>
      </w:r>
      <w:r w:rsidRPr="00861738">
        <w:rPr>
          <w:rFonts w:ascii="Palatino Linotype" w:hAnsi="Palatino Linotype"/>
          <w:color w:val="000000"/>
          <w:lang w:eastAsia="es-ES"/>
        </w:rPr>
        <w:t xml:space="preserve"> advierte que</w:t>
      </w:r>
      <w:r w:rsidR="0058535E" w:rsidRPr="00861738">
        <w:rPr>
          <w:rFonts w:ascii="Palatino Linotype" w:hAnsi="Palatino Linotype"/>
          <w:color w:val="000000"/>
          <w:lang w:eastAsia="es-ES"/>
        </w:rPr>
        <w:t>,</w:t>
      </w:r>
      <w:r w:rsidRPr="00861738">
        <w:rPr>
          <w:rFonts w:ascii="Palatino Linotype" w:hAnsi="Palatino Linotype"/>
          <w:color w:val="000000"/>
          <w:lang w:eastAsia="es-ES"/>
        </w:rPr>
        <w:t xml:space="preserve"> en el presente caso, se actualiza la hipótesis prevista en </w:t>
      </w:r>
      <w:r w:rsidRPr="00861738">
        <w:rPr>
          <w:rFonts w:ascii="Palatino Linotype" w:hAnsi="Palatino Linotype" w:cs="Arial"/>
          <w:lang w:val="es-ES_tradnl" w:eastAsia="es-ES"/>
        </w:rPr>
        <w:t xml:space="preserve">el </w:t>
      </w:r>
      <w:r w:rsidRPr="00861738">
        <w:rPr>
          <w:rFonts w:ascii="Palatino Linotype" w:hAnsi="Palatino Linotype"/>
          <w:color w:val="000000"/>
          <w:lang w:eastAsia="es-ES"/>
        </w:rPr>
        <w:t>artículo 191 fracción I de</w:t>
      </w:r>
      <w:r w:rsidRPr="00861738">
        <w:rPr>
          <w:rFonts w:ascii="Palatino Linotype" w:hAnsi="Palatino Linotype" w:cs="Arial"/>
          <w:lang w:val="es-ES_tradnl" w:eastAsia="es-ES"/>
        </w:rPr>
        <w:t xml:space="preserve"> la </w:t>
      </w:r>
      <w:r w:rsidRPr="00861738">
        <w:rPr>
          <w:rFonts w:ascii="Palatino Linotype" w:hAnsi="Palatino Linotype"/>
          <w:lang w:eastAsia="es-ES"/>
        </w:rPr>
        <w:t xml:space="preserve">Ley de Transparencia y Acceso a la Información Pública del Estado de México y Municipios, </w:t>
      </w:r>
      <w:r w:rsidRPr="00861738">
        <w:rPr>
          <w:rFonts w:ascii="Palatino Linotype" w:hAnsi="Palatino Linotype"/>
          <w:color w:val="000000"/>
          <w:lang w:eastAsia="es-ES"/>
        </w:rPr>
        <w:t xml:space="preserve">que dispone lo siguiente: </w:t>
      </w:r>
    </w:p>
    <w:p w14:paraId="2FBF74FD" w14:textId="77777777" w:rsidR="00AE4B84" w:rsidRPr="00861738"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861738" w:rsidRDefault="00AE4B84" w:rsidP="00E27F84">
      <w:pPr>
        <w:spacing w:before="120" w:line="360" w:lineRule="auto"/>
        <w:ind w:left="851" w:right="822"/>
        <w:jc w:val="both"/>
        <w:rPr>
          <w:rFonts w:ascii="Palatino Linotype" w:hAnsi="Palatino Linotype" w:cs="Arial"/>
          <w:i/>
          <w:sz w:val="22"/>
          <w:szCs w:val="22"/>
        </w:rPr>
      </w:pPr>
      <w:r w:rsidRPr="00861738">
        <w:rPr>
          <w:rFonts w:ascii="Palatino Linotype" w:hAnsi="Palatino Linotype" w:cs="Arial"/>
          <w:i/>
          <w:sz w:val="22"/>
          <w:szCs w:val="22"/>
          <w:lang w:eastAsia="es-ES"/>
        </w:rPr>
        <w:t>“</w:t>
      </w:r>
      <w:r w:rsidRPr="00861738">
        <w:rPr>
          <w:rFonts w:ascii="Palatino Linotype" w:hAnsi="Palatino Linotype" w:cs="Arial"/>
          <w:b/>
          <w:i/>
          <w:sz w:val="22"/>
          <w:szCs w:val="22"/>
          <w:lang w:eastAsia="es-ES"/>
        </w:rPr>
        <w:t>Artículo 191</w:t>
      </w:r>
      <w:r w:rsidRPr="00861738">
        <w:rPr>
          <w:rFonts w:ascii="Palatino Linotype" w:hAnsi="Palatino Linotype" w:cs="Arial"/>
          <w:i/>
          <w:sz w:val="22"/>
          <w:szCs w:val="22"/>
          <w:lang w:eastAsia="es-ES"/>
        </w:rPr>
        <w:t xml:space="preserve">. El recurso será desechado por improcedente cuando: </w:t>
      </w:r>
    </w:p>
    <w:p w14:paraId="48C5367A" w14:textId="77777777" w:rsidR="000A053D" w:rsidRPr="00861738" w:rsidRDefault="00AE4B84" w:rsidP="00E27F84">
      <w:pPr>
        <w:spacing w:before="120" w:line="360" w:lineRule="auto"/>
        <w:ind w:left="851" w:right="822"/>
        <w:jc w:val="both"/>
        <w:rPr>
          <w:rFonts w:ascii="Palatino Linotype" w:hAnsi="Palatino Linotype" w:cs="Arial"/>
          <w:i/>
          <w:sz w:val="22"/>
          <w:szCs w:val="22"/>
          <w:lang w:eastAsia="es-ES"/>
        </w:rPr>
      </w:pPr>
      <w:r w:rsidRPr="00861738">
        <w:rPr>
          <w:rFonts w:ascii="Palatino Linotype" w:hAnsi="Palatino Linotype" w:cs="Arial"/>
          <w:i/>
          <w:sz w:val="22"/>
          <w:szCs w:val="22"/>
          <w:lang w:eastAsia="es-ES"/>
        </w:rPr>
        <w:t>I. Sea extemporáneo por haber transcurrido el plazo establecido en la presente Ley, a partir de la respuesta;</w:t>
      </w:r>
    </w:p>
    <w:p w14:paraId="3B8D8B59" w14:textId="4A1A5D3F" w:rsidR="00804F09" w:rsidRPr="00861738" w:rsidRDefault="000A053D" w:rsidP="00E27F84">
      <w:pPr>
        <w:spacing w:before="120" w:line="360" w:lineRule="auto"/>
        <w:ind w:left="851" w:right="822"/>
        <w:jc w:val="both"/>
        <w:rPr>
          <w:rFonts w:ascii="Palatino Linotype" w:hAnsi="Palatino Linotype" w:cs="Arial"/>
          <w:i/>
          <w:sz w:val="22"/>
          <w:szCs w:val="22"/>
          <w:lang w:eastAsia="es-ES"/>
        </w:rPr>
      </w:pPr>
      <w:r w:rsidRPr="00861738">
        <w:rPr>
          <w:rFonts w:ascii="Palatino Linotype" w:hAnsi="Palatino Linotype" w:cs="Arial"/>
          <w:i/>
          <w:sz w:val="22"/>
          <w:szCs w:val="22"/>
          <w:lang w:eastAsia="es-ES"/>
        </w:rPr>
        <w:t>(…)</w:t>
      </w:r>
      <w:r w:rsidR="00AE4B84" w:rsidRPr="00861738">
        <w:rPr>
          <w:rFonts w:ascii="Palatino Linotype" w:hAnsi="Palatino Linotype" w:cs="Arial"/>
          <w:i/>
          <w:sz w:val="22"/>
          <w:szCs w:val="22"/>
          <w:lang w:eastAsia="es-ES"/>
        </w:rPr>
        <w:t>”</w:t>
      </w:r>
    </w:p>
    <w:p w14:paraId="4830B08B" w14:textId="77777777" w:rsidR="00AE4B84" w:rsidRPr="00861738" w:rsidRDefault="00AE4B84" w:rsidP="00804F09">
      <w:pPr>
        <w:spacing w:before="120" w:line="360" w:lineRule="auto"/>
        <w:ind w:right="709"/>
        <w:jc w:val="both"/>
        <w:rPr>
          <w:rFonts w:ascii="Palatino Linotype" w:hAnsi="Palatino Linotype" w:cs="Arial"/>
        </w:rPr>
      </w:pPr>
    </w:p>
    <w:p w14:paraId="08B3C54F" w14:textId="65C891BF" w:rsidR="004524F9" w:rsidRPr="00CC1765" w:rsidRDefault="00AE4B84" w:rsidP="004524F9">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w:t>
      </w:r>
      <w:r w:rsidR="00224440" w:rsidRPr="00861738">
        <w:rPr>
          <w:rFonts w:ascii="Palatino Linotype" w:eastAsia="Calibri" w:hAnsi="Palatino Linotype" w:cs="Arial"/>
          <w:lang w:eastAsia="es-ES"/>
        </w:rPr>
        <w:t>el</w:t>
      </w:r>
      <w:r w:rsidRPr="00861738">
        <w:rPr>
          <w:rFonts w:ascii="Palatino Linotype" w:eastAsia="Calibri" w:hAnsi="Palatino Linotype" w:cs="Arial"/>
          <w:lang w:eastAsia="es-ES"/>
        </w:rPr>
        <w:t xml:space="preserve"> </w:t>
      </w:r>
      <w:r w:rsidRPr="00861738">
        <w:rPr>
          <w:rFonts w:ascii="Palatino Linotype" w:eastAsia="Calibri" w:hAnsi="Palatino Linotype" w:cs="Arial"/>
          <w:b/>
          <w:lang w:eastAsia="es-ES"/>
        </w:rPr>
        <w:t>R</w:t>
      </w:r>
      <w:r w:rsidR="00224440" w:rsidRPr="00861738">
        <w:rPr>
          <w:rFonts w:ascii="Palatino Linotype" w:eastAsia="Calibri" w:hAnsi="Palatino Linotype" w:cs="Arial"/>
          <w:b/>
          <w:lang w:eastAsia="es-ES"/>
        </w:rPr>
        <w:t>ecurrente</w:t>
      </w:r>
      <w:r w:rsidRPr="00861738">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861738">
        <w:rPr>
          <w:rFonts w:ascii="Palatino Linotype" w:hAnsi="Palatino Linotype" w:cs="Arial"/>
          <w:lang w:eastAsia="es-ES"/>
        </w:rPr>
        <w:t xml:space="preserve">Sirve de apoyo a lo anterior, por analogía la Tesis Jurisprudencial </w:t>
      </w:r>
      <w:r w:rsidRPr="00861738">
        <w:rPr>
          <w:rFonts w:ascii="Palatino Linotype" w:hAnsi="Palatino Linotype" w:cs="Arial"/>
          <w:bCs/>
          <w:lang w:eastAsia="es-ES"/>
        </w:rPr>
        <w:t xml:space="preserve">con número de registro 2011170 de la </w:t>
      </w:r>
      <w:r w:rsidRPr="00861738">
        <w:rPr>
          <w:rFonts w:ascii="Palatino Linotype" w:eastAsia="Calibri" w:hAnsi="Palatino Linotype" w:cs="Arial"/>
          <w:lang w:eastAsia="es-ES"/>
        </w:rPr>
        <w:t xml:space="preserve">Décima </w:t>
      </w:r>
      <w:r w:rsidRPr="00861738">
        <w:rPr>
          <w:rFonts w:ascii="Palatino Linotype" w:hAnsi="Palatino Linotype" w:cs="Arial"/>
          <w:bCs/>
          <w:lang w:eastAsia="es-ES"/>
        </w:rPr>
        <w:t xml:space="preserve">Época de la Primera Sala de la Suprema Corte de Justicia de la Nación, publicada en la página 966 del </w:t>
      </w:r>
      <w:r w:rsidRPr="00861738">
        <w:rPr>
          <w:rFonts w:ascii="Palatino Linotype" w:eastAsia="Calibri" w:hAnsi="Palatino Linotype" w:cs="Arial"/>
          <w:lang w:eastAsia="es-ES"/>
        </w:rPr>
        <w:t>Libro 28, Tomo I</w:t>
      </w:r>
      <w:r w:rsidRPr="00861738">
        <w:rPr>
          <w:rFonts w:ascii="Palatino Linotype" w:hAnsi="Palatino Linotype" w:cs="Arial"/>
          <w:bCs/>
          <w:lang w:eastAsia="es-ES"/>
        </w:rPr>
        <w:t xml:space="preserve">, de </w:t>
      </w:r>
      <w:r w:rsidRPr="00861738">
        <w:rPr>
          <w:rFonts w:ascii="Palatino Linotype" w:eastAsia="Calibri" w:hAnsi="Palatino Linotype" w:cs="Arial"/>
          <w:lang w:eastAsia="es-ES"/>
        </w:rPr>
        <w:t>marzo de 2016</w:t>
      </w:r>
      <w:r w:rsidRPr="00861738">
        <w:rPr>
          <w:rFonts w:ascii="Palatino Linotype" w:hAnsi="Palatino Linotype" w:cs="Arial"/>
        </w:rPr>
        <w:t>, del Semanario Judicial de la Federación y su Gaceta, misma que es del tenor</w:t>
      </w:r>
      <w:r w:rsidRPr="00861738">
        <w:rPr>
          <w:rFonts w:ascii="Palatino Linotype" w:hAnsi="Palatino Linotype" w:cs="Arial"/>
          <w:bCs/>
          <w:lang w:eastAsia="es-ES"/>
        </w:rPr>
        <w:t xml:space="preserve"> literal siguiente:</w:t>
      </w:r>
    </w:p>
    <w:p w14:paraId="5A8C4A6A" w14:textId="77777777" w:rsidR="00CC1765" w:rsidRPr="00861738" w:rsidRDefault="00CC1765" w:rsidP="00CC1765">
      <w:pPr>
        <w:spacing w:before="240" w:after="240" w:line="360" w:lineRule="auto"/>
        <w:contextualSpacing/>
        <w:jc w:val="both"/>
        <w:rPr>
          <w:rFonts w:ascii="Palatino Linotype" w:hAnsi="Palatino Linotype"/>
          <w:color w:val="000000"/>
        </w:rPr>
      </w:pPr>
    </w:p>
    <w:p w14:paraId="6CC134CE" w14:textId="77777777" w:rsidR="00AE4B84" w:rsidRPr="00861738" w:rsidRDefault="00AE4B84" w:rsidP="00E27F84">
      <w:pPr>
        <w:spacing w:line="360" w:lineRule="auto"/>
        <w:ind w:left="851" w:right="822"/>
        <w:jc w:val="both"/>
        <w:rPr>
          <w:rFonts w:ascii="Palatino Linotype" w:hAnsi="Palatino Linotype" w:cs="Arial"/>
          <w:b/>
          <w:i/>
          <w:sz w:val="22"/>
        </w:rPr>
      </w:pPr>
      <w:r w:rsidRPr="00861738">
        <w:rPr>
          <w:rFonts w:ascii="Palatino Linotype" w:hAnsi="Palatino Linotype" w:cs="Arial"/>
          <w:b/>
          <w:i/>
          <w:sz w:val="22"/>
          <w:lang w:eastAsia="es-ES"/>
        </w:rPr>
        <w:t>REVISIÓN EN AMPARO DIRECTO. ES EXTEMPORÁNEO CUANDO SU ADMISIÓN SE BASA EN EL SUPUESTO DE "PRESUNCIÓN DE OPORTUNIDAD", POR LO QUE DEBE PROCEDER SU DESECHAMIENTO POR IMPROCEDENTE.</w:t>
      </w:r>
    </w:p>
    <w:p w14:paraId="4B13B8C6" w14:textId="77777777" w:rsidR="00AE4B84" w:rsidRPr="00861738" w:rsidRDefault="00AE4B84" w:rsidP="00E27F84">
      <w:pPr>
        <w:spacing w:line="360" w:lineRule="auto"/>
        <w:ind w:left="851" w:right="822"/>
        <w:rPr>
          <w:rFonts w:ascii="Palatino Linotype" w:hAnsi="Palatino Linotype" w:cs="Arial"/>
          <w:i/>
          <w:sz w:val="22"/>
        </w:rPr>
      </w:pPr>
    </w:p>
    <w:p w14:paraId="12242673" w14:textId="266DD481" w:rsidR="00AE4B84" w:rsidRPr="00861738" w:rsidRDefault="00AE4B84" w:rsidP="00E27F84">
      <w:pPr>
        <w:spacing w:line="360" w:lineRule="auto"/>
        <w:ind w:left="851" w:right="822"/>
        <w:jc w:val="both"/>
        <w:rPr>
          <w:rFonts w:ascii="Palatino Linotype" w:hAnsi="Palatino Linotype" w:cs="Arial"/>
          <w:i/>
          <w:sz w:val="22"/>
          <w:lang w:eastAsia="es-ES"/>
        </w:rPr>
      </w:pPr>
      <w:r w:rsidRPr="00861738">
        <w:rPr>
          <w:rFonts w:ascii="Palatino Linotype" w:hAnsi="Palatino Linotype" w:cs="Arial"/>
          <w:i/>
          <w:sz w:val="22"/>
          <w:lang w:eastAsia="es-ES"/>
        </w:rPr>
        <w:t>Es extemporánea la interposición del recurso de revisión en amparo directo, cuando el escrito de agravios se presenta fuera del plazo de diez días previsto en el artículo </w:t>
      </w:r>
      <w:hyperlink r:id="rId9" w:history="1">
        <w:r w:rsidRPr="00861738">
          <w:rPr>
            <w:rFonts w:ascii="Palatino Linotype" w:hAnsi="Palatino Linotype" w:cs="Arial"/>
            <w:i/>
            <w:sz w:val="22"/>
            <w:lang w:eastAsia="es-ES"/>
          </w:rPr>
          <w:t>86, párrafo primero, de la Ley de Amparo</w:t>
        </w:r>
      </w:hyperlink>
      <w:r w:rsidRPr="00861738">
        <w:rPr>
          <w:rFonts w:ascii="Palatino Linotype" w:hAnsi="Palatino Linotype" w:cs="Arial"/>
          <w:i/>
          <w:sz w:val="22"/>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0" w:history="1">
        <w:r w:rsidRPr="00861738">
          <w:rPr>
            <w:rFonts w:ascii="Palatino Linotype" w:hAnsi="Palatino Linotype" w:cs="Arial"/>
            <w:i/>
            <w:sz w:val="22"/>
            <w:lang w:eastAsia="es-ES"/>
          </w:rPr>
          <w:t>68 de la Ley de Amparo</w:t>
        </w:r>
      </w:hyperlink>
      <w:r w:rsidRPr="00861738">
        <w:rPr>
          <w:rFonts w:ascii="Palatino Linotype" w:hAnsi="Palatino Linotype" w:cs="Arial"/>
          <w:i/>
          <w:sz w:val="22"/>
          <w:lang w:eastAsia="es-ES"/>
        </w:rPr>
        <w:t xml:space="preserve">, por lo que si al </w:t>
      </w:r>
      <w:r w:rsidRPr="00861738">
        <w:rPr>
          <w:rFonts w:ascii="Palatino Linotype" w:hAnsi="Palatino Linotype" w:cs="Arial"/>
          <w:b/>
          <w:i/>
          <w:sz w:val="22"/>
          <w:lang w:eastAsia="es-ES"/>
        </w:rPr>
        <w:t>reexaminar la temporalidad de la interposición del recurso se advierte que se hizo valer de forma extemporánea, debe proceder su desechamiento por improcedente</w:t>
      </w:r>
      <w:r w:rsidRPr="00861738">
        <w:rPr>
          <w:rFonts w:ascii="Palatino Linotype" w:hAnsi="Palatino Linotype" w:cs="Arial"/>
          <w:i/>
          <w:sz w:val="22"/>
          <w:lang w:eastAsia="es-ES"/>
        </w:rPr>
        <w:t>.</w:t>
      </w:r>
    </w:p>
    <w:p w14:paraId="0FE3C2CD" w14:textId="77777777" w:rsidR="00AE4B84" w:rsidRPr="00861738"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861738"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hAnsi="Palatino Linotype"/>
          <w:color w:val="000000"/>
        </w:rPr>
        <w:t>Es por ello,</w:t>
      </w:r>
      <w:r w:rsidR="004D4CE7" w:rsidRPr="00861738">
        <w:rPr>
          <w:rFonts w:ascii="Palatino Linotype" w:hAnsi="Palatino Linotype"/>
          <w:color w:val="000000"/>
        </w:rPr>
        <w:t xml:space="preserve"> </w:t>
      </w:r>
      <w:r w:rsidR="00A5051E" w:rsidRPr="00861738">
        <w:rPr>
          <w:rFonts w:ascii="Palatino Linotype" w:hAnsi="Palatino Linotype"/>
          <w:color w:val="000000"/>
        </w:rPr>
        <w:t xml:space="preserve">que la Ley en la materia contempla que en los casos en que </w:t>
      </w:r>
      <w:r w:rsidRPr="00861738">
        <w:rPr>
          <w:rFonts w:ascii="Palatino Linotype" w:hAnsi="Palatino Linotype"/>
          <w:color w:val="000000"/>
        </w:rPr>
        <w:t xml:space="preserve">el recurso de revisión </w:t>
      </w:r>
      <w:r w:rsidR="00AE4B84" w:rsidRPr="00861738">
        <w:rPr>
          <w:rFonts w:ascii="Palatino Linotype" w:hAnsi="Palatino Linotype" w:cs="Arial"/>
          <w:lang w:val="es-ES_tradnl" w:eastAsia="es-ES"/>
        </w:rPr>
        <w:t xml:space="preserve">al ser interpuesto de manera extemporánea respecto del plazo otorgado </w:t>
      </w:r>
      <w:r w:rsidR="00AE4B84" w:rsidRPr="00861738">
        <w:rPr>
          <w:rFonts w:ascii="Palatino Linotype" w:hAnsi="Palatino Linotype" w:cs="Arial"/>
          <w:lang w:eastAsia="es-ES"/>
        </w:rPr>
        <w:t>para tales efectos</w:t>
      </w:r>
      <w:r w:rsidR="00AE4B84" w:rsidRPr="00861738">
        <w:rPr>
          <w:rFonts w:ascii="Palatino Linotype" w:hAnsi="Palatino Linotype"/>
          <w:lang w:eastAsia="es-ES_tradnl"/>
        </w:rPr>
        <w:t xml:space="preserve">, </w:t>
      </w:r>
      <w:r w:rsidR="00A5051E" w:rsidRPr="00861738">
        <w:rPr>
          <w:rFonts w:ascii="Palatino Linotype" w:hAnsi="Palatino Linotype"/>
          <w:lang w:eastAsia="es-ES_tradnl"/>
        </w:rPr>
        <w:t xml:space="preserve">deberá ser desechado </w:t>
      </w:r>
      <w:r w:rsidR="00AE4B84" w:rsidRPr="00861738">
        <w:rPr>
          <w:rFonts w:ascii="Palatino Linotype" w:hAnsi="Palatino Linotype"/>
          <w:lang w:eastAsia="es-ES_tradnl"/>
        </w:rPr>
        <w:t xml:space="preserve">de conformidad con lo señalado en </w:t>
      </w:r>
      <w:r w:rsidR="00A5051E" w:rsidRPr="00861738">
        <w:rPr>
          <w:rFonts w:ascii="Palatino Linotype" w:hAnsi="Palatino Linotype"/>
          <w:lang w:eastAsia="es-ES_tradnl"/>
        </w:rPr>
        <w:t>el</w:t>
      </w:r>
      <w:r w:rsidR="00AE4B84" w:rsidRPr="00861738">
        <w:rPr>
          <w:rFonts w:ascii="Palatino Linotype" w:hAnsi="Palatino Linotype"/>
          <w:lang w:eastAsia="es-ES_tradnl"/>
        </w:rPr>
        <w:t xml:space="preserve"> </w:t>
      </w:r>
      <w:r w:rsidR="00AE4B84" w:rsidRPr="00861738">
        <w:rPr>
          <w:rFonts w:ascii="Palatino Linotype" w:hAnsi="Palatino Linotype" w:cs="Arial"/>
          <w:lang w:val="es-ES_tradnl" w:eastAsia="es-ES"/>
        </w:rPr>
        <w:t>artículo</w:t>
      </w:r>
      <w:r w:rsidR="00A5051E" w:rsidRPr="00861738">
        <w:rPr>
          <w:rFonts w:ascii="Palatino Linotype" w:hAnsi="Palatino Linotype" w:cs="Arial"/>
          <w:lang w:val="es-ES_tradnl" w:eastAsia="es-ES"/>
        </w:rPr>
        <w:t xml:space="preserve"> </w:t>
      </w:r>
      <w:r w:rsidR="004D4CE7" w:rsidRPr="00861738">
        <w:rPr>
          <w:rFonts w:ascii="Palatino Linotype" w:hAnsi="Palatino Linotype" w:cs="Arial"/>
          <w:lang w:val="es-ES_tradnl" w:eastAsia="es-ES"/>
        </w:rPr>
        <w:t xml:space="preserve">191 fracción I </w:t>
      </w:r>
      <w:r w:rsidR="00AE4B84" w:rsidRPr="00861738">
        <w:rPr>
          <w:rFonts w:ascii="Palatino Linotype" w:hAnsi="Palatino Linotype" w:cs="Arial"/>
          <w:lang w:val="es-ES_tradnl" w:eastAsia="es-ES"/>
        </w:rPr>
        <w:t xml:space="preserve">de la </w:t>
      </w:r>
      <w:r w:rsidR="00AE4B84" w:rsidRPr="00861738">
        <w:rPr>
          <w:rFonts w:ascii="Palatino Linotype" w:eastAsia="Calibri" w:hAnsi="Palatino Linotype" w:cs="Arial"/>
          <w:lang w:eastAsia="es-ES"/>
        </w:rPr>
        <w:t>Ley de Transparencia y Acceso a la Información Pública del Estado de México y Municipios, mismo</w:t>
      </w:r>
      <w:r w:rsidR="004D4CE7" w:rsidRPr="00861738">
        <w:rPr>
          <w:rFonts w:ascii="Palatino Linotype" w:eastAsia="Calibri" w:hAnsi="Palatino Linotype" w:cs="Arial"/>
          <w:lang w:eastAsia="es-ES"/>
        </w:rPr>
        <w:t>s</w:t>
      </w:r>
      <w:r w:rsidR="00AE4B84" w:rsidRPr="00861738">
        <w:rPr>
          <w:rFonts w:ascii="Palatino Linotype" w:eastAsia="Calibri" w:hAnsi="Palatino Linotype" w:cs="Arial"/>
          <w:lang w:eastAsia="es-ES"/>
        </w:rPr>
        <w:t xml:space="preserve"> que se transcribe</w:t>
      </w:r>
      <w:r w:rsidR="004D4CE7" w:rsidRPr="00861738">
        <w:rPr>
          <w:rFonts w:ascii="Palatino Linotype" w:eastAsia="Calibri" w:hAnsi="Palatino Linotype" w:cs="Arial"/>
          <w:lang w:eastAsia="es-ES"/>
        </w:rPr>
        <w:t>n</w:t>
      </w:r>
      <w:r w:rsidR="00AE4B84" w:rsidRPr="00861738">
        <w:rPr>
          <w:rFonts w:ascii="Palatino Linotype" w:eastAsia="Calibri" w:hAnsi="Palatino Linotype" w:cs="Arial"/>
          <w:lang w:eastAsia="es-ES"/>
        </w:rPr>
        <w:t xml:space="preserve"> a continuación:</w:t>
      </w:r>
    </w:p>
    <w:p w14:paraId="4B36BDD1" w14:textId="77777777" w:rsidR="00AE4B84" w:rsidRPr="00861738"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861738" w:rsidRDefault="00AE4B84" w:rsidP="00E27F84">
      <w:pPr>
        <w:spacing w:before="120" w:line="360" w:lineRule="auto"/>
        <w:ind w:left="851" w:right="822"/>
        <w:jc w:val="both"/>
        <w:rPr>
          <w:rFonts w:ascii="Palatino Linotype" w:hAnsi="Palatino Linotype" w:cs="Arial"/>
          <w:b/>
          <w:i/>
          <w:sz w:val="22"/>
          <w:szCs w:val="22"/>
          <w:u w:val="single"/>
          <w:lang w:eastAsia="es-ES"/>
        </w:rPr>
      </w:pPr>
      <w:r w:rsidRPr="00861738">
        <w:rPr>
          <w:rFonts w:ascii="Palatino Linotype" w:hAnsi="Palatino Linotype" w:cs="Arial"/>
          <w:i/>
          <w:sz w:val="22"/>
          <w:szCs w:val="22"/>
          <w:lang w:eastAsia="es-ES"/>
        </w:rPr>
        <w:t>“</w:t>
      </w:r>
      <w:r w:rsidR="004D4CE7" w:rsidRPr="00861738">
        <w:rPr>
          <w:rFonts w:ascii="Palatino Linotype" w:hAnsi="Palatino Linotype" w:cs="Arial"/>
          <w:b/>
          <w:bCs/>
          <w:i/>
          <w:sz w:val="22"/>
          <w:szCs w:val="22"/>
          <w:lang w:eastAsia="es-ES"/>
        </w:rPr>
        <w:t>Artículo 191.</w:t>
      </w:r>
      <w:r w:rsidR="004D4CE7" w:rsidRPr="00861738">
        <w:rPr>
          <w:rFonts w:ascii="Palatino Linotype" w:hAnsi="Palatino Linotype" w:cs="Arial"/>
          <w:i/>
          <w:sz w:val="22"/>
          <w:szCs w:val="22"/>
          <w:lang w:eastAsia="es-ES"/>
        </w:rPr>
        <w:t xml:space="preserve"> El recurso será </w:t>
      </w:r>
      <w:r w:rsidR="004D4CE7" w:rsidRPr="00861738">
        <w:rPr>
          <w:rFonts w:ascii="Palatino Linotype" w:hAnsi="Palatino Linotype" w:cs="Arial"/>
          <w:b/>
          <w:bCs/>
          <w:i/>
          <w:sz w:val="22"/>
          <w:szCs w:val="22"/>
          <w:lang w:eastAsia="es-ES"/>
        </w:rPr>
        <w:t>desechado por improcedente</w:t>
      </w:r>
      <w:r w:rsidR="004D4CE7" w:rsidRPr="00861738">
        <w:rPr>
          <w:rFonts w:ascii="Palatino Linotype" w:hAnsi="Palatino Linotype" w:cs="Arial"/>
          <w:i/>
          <w:sz w:val="22"/>
          <w:szCs w:val="22"/>
          <w:lang w:eastAsia="es-ES"/>
        </w:rPr>
        <w:t xml:space="preserve"> cuando:</w:t>
      </w:r>
    </w:p>
    <w:p w14:paraId="5B06464D" w14:textId="645811F9" w:rsidR="004D4CE7" w:rsidRPr="00861738" w:rsidRDefault="004D4CE7" w:rsidP="00E27F84">
      <w:pPr>
        <w:spacing w:before="120" w:line="360" w:lineRule="auto"/>
        <w:ind w:left="851" w:right="822"/>
        <w:jc w:val="both"/>
        <w:rPr>
          <w:rFonts w:ascii="Palatino Linotype" w:hAnsi="Palatino Linotype" w:cs="Arial"/>
          <w:i/>
          <w:sz w:val="22"/>
          <w:szCs w:val="22"/>
          <w:lang w:eastAsia="es-ES"/>
        </w:rPr>
      </w:pPr>
      <w:r w:rsidRPr="00861738">
        <w:rPr>
          <w:rFonts w:ascii="Palatino Linotype" w:hAnsi="Palatino Linotype" w:cs="Arial"/>
          <w:i/>
          <w:sz w:val="22"/>
          <w:szCs w:val="22"/>
          <w:lang w:eastAsia="es-ES"/>
        </w:rPr>
        <w:lastRenderedPageBreak/>
        <w:t>I.</w:t>
      </w:r>
      <w:r w:rsidR="008F56D4" w:rsidRPr="00861738">
        <w:rPr>
          <w:rFonts w:ascii="Palatino Linotype" w:hAnsi="Palatino Linotype" w:cs="Arial"/>
          <w:i/>
          <w:sz w:val="22"/>
          <w:szCs w:val="22"/>
          <w:lang w:eastAsia="es-ES"/>
        </w:rPr>
        <w:t xml:space="preserve"> </w:t>
      </w:r>
      <w:r w:rsidRPr="00861738">
        <w:rPr>
          <w:rFonts w:ascii="Palatino Linotype" w:hAnsi="Palatino Linotype" w:cs="Arial"/>
          <w:i/>
          <w:sz w:val="22"/>
          <w:szCs w:val="22"/>
          <w:lang w:eastAsia="es-ES"/>
        </w:rPr>
        <w:t xml:space="preserve">Sea </w:t>
      </w:r>
      <w:r w:rsidRPr="00861738">
        <w:rPr>
          <w:rFonts w:ascii="Palatino Linotype" w:hAnsi="Palatino Linotype" w:cs="Arial"/>
          <w:b/>
          <w:bCs/>
          <w:i/>
          <w:sz w:val="22"/>
          <w:szCs w:val="22"/>
          <w:lang w:eastAsia="es-ES"/>
        </w:rPr>
        <w:t>extemporáneo</w:t>
      </w:r>
      <w:r w:rsidRPr="00861738">
        <w:rPr>
          <w:rFonts w:ascii="Palatino Linotype" w:hAnsi="Palatino Linotype" w:cs="Arial"/>
          <w:i/>
          <w:sz w:val="22"/>
          <w:szCs w:val="22"/>
          <w:lang w:eastAsia="es-ES"/>
        </w:rPr>
        <w:t xml:space="preserve"> por haber transcurrido el plazo establecido en la presente Ley, a partir de la respuesta;</w:t>
      </w:r>
    </w:p>
    <w:p w14:paraId="5067F9C1" w14:textId="20578B54" w:rsidR="00804F09" w:rsidRPr="00861738" w:rsidRDefault="004D4CE7" w:rsidP="00E27F84">
      <w:pPr>
        <w:spacing w:before="120" w:line="360" w:lineRule="auto"/>
        <w:ind w:left="851" w:right="822"/>
        <w:jc w:val="both"/>
        <w:rPr>
          <w:rFonts w:ascii="Palatino Linotype" w:hAnsi="Palatino Linotype" w:cs="Arial"/>
          <w:i/>
          <w:sz w:val="22"/>
          <w:szCs w:val="22"/>
          <w:lang w:eastAsia="es-ES"/>
        </w:rPr>
      </w:pPr>
      <w:r w:rsidRPr="00861738">
        <w:rPr>
          <w:rFonts w:ascii="Palatino Linotype" w:hAnsi="Palatino Linotype" w:cs="Arial"/>
          <w:i/>
          <w:sz w:val="22"/>
          <w:szCs w:val="22"/>
          <w:lang w:eastAsia="es-ES"/>
        </w:rPr>
        <w:t>(…)</w:t>
      </w:r>
      <w:r w:rsidR="00AE4B84" w:rsidRPr="00861738">
        <w:rPr>
          <w:rFonts w:ascii="Palatino Linotype" w:hAnsi="Palatino Linotype" w:cs="Arial"/>
          <w:i/>
          <w:sz w:val="22"/>
          <w:szCs w:val="22"/>
          <w:lang w:eastAsia="es-ES"/>
        </w:rPr>
        <w:t>”</w:t>
      </w:r>
    </w:p>
    <w:p w14:paraId="7599DF05" w14:textId="77777777" w:rsidR="00AE4B84" w:rsidRPr="00861738" w:rsidRDefault="00AE4B84" w:rsidP="00804F09">
      <w:pPr>
        <w:spacing w:before="120" w:line="360" w:lineRule="auto"/>
        <w:ind w:right="709"/>
        <w:jc w:val="both"/>
        <w:rPr>
          <w:rFonts w:ascii="Palatino Linotype" w:hAnsi="Palatino Linotype" w:cs="Arial"/>
        </w:rPr>
      </w:pPr>
    </w:p>
    <w:p w14:paraId="0688647F" w14:textId="32FA6238" w:rsidR="00CD24D6" w:rsidRPr="00861738"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hAnsi="Palatino Linotype"/>
          <w:color w:val="000000"/>
        </w:rPr>
        <w:t xml:space="preserve">Consecuentemente, </w:t>
      </w:r>
      <w:r w:rsidRPr="00861738">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861738">
        <w:rPr>
          <w:rFonts w:ascii="Palatino Linotype" w:eastAsia="Calibri" w:hAnsi="Palatino Linotype"/>
          <w:lang w:val="es-CO"/>
        </w:rPr>
        <w:t xml:space="preserve">determina el </w:t>
      </w:r>
      <w:r w:rsidRPr="00861738">
        <w:rPr>
          <w:rFonts w:ascii="Palatino Linotype" w:eastAsia="Calibri" w:hAnsi="Palatino Linotype"/>
          <w:b/>
          <w:lang w:val="es-CO"/>
        </w:rPr>
        <w:t xml:space="preserve">SOBRESEIMIENTO </w:t>
      </w:r>
      <w:r w:rsidRPr="00861738">
        <w:rPr>
          <w:rFonts w:ascii="Palatino Linotype" w:eastAsia="Calibri" w:hAnsi="Palatino Linotype"/>
          <w:lang w:val="es-CO"/>
        </w:rPr>
        <w:t>del presente recurso de revisión,</w:t>
      </w:r>
      <w:r w:rsidRPr="00861738">
        <w:rPr>
          <w:rFonts w:ascii="Palatino Linotype" w:hAnsi="Palatino Linotype"/>
        </w:rPr>
        <w:t xml:space="preserve"> por</w:t>
      </w:r>
      <w:r w:rsidRPr="00861738">
        <w:rPr>
          <w:rFonts w:ascii="Palatino Linotype" w:hAnsi="Palatino Linotype"/>
          <w:spacing w:val="1"/>
        </w:rPr>
        <w:t xml:space="preserve"> </w:t>
      </w:r>
      <w:r w:rsidRPr="00861738">
        <w:rPr>
          <w:rFonts w:ascii="Palatino Linotype" w:hAnsi="Palatino Linotype"/>
        </w:rPr>
        <w:t>resultar</w:t>
      </w:r>
      <w:r w:rsidRPr="00861738">
        <w:rPr>
          <w:rFonts w:ascii="Palatino Linotype" w:hAnsi="Palatino Linotype"/>
          <w:spacing w:val="1"/>
        </w:rPr>
        <w:t xml:space="preserve"> </w:t>
      </w:r>
      <w:r w:rsidRPr="00861738">
        <w:rPr>
          <w:rFonts w:ascii="Palatino Linotype" w:hAnsi="Palatino Linotype"/>
        </w:rPr>
        <w:t>improcedente, de acuerdo con el artículo 192</w:t>
      </w:r>
      <w:r w:rsidR="008F56D4" w:rsidRPr="00861738">
        <w:rPr>
          <w:rFonts w:ascii="Palatino Linotype" w:hAnsi="Palatino Linotype"/>
        </w:rPr>
        <w:t>,</w:t>
      </w:r>
      <w:r w:rsidRPr="00861738">
        <w:rPr>
          <w:rFonts w:ascii="Palatino Linotype" w:hAnsi="Palatino Linotype"/>
        </w:rPr>
        <w:t xml:space="preserve"> </w:t>
      </w:r>
      <w:r w:rsidR="008F56D4" w:rsidRPr="00861738">
        <w:rPr>
          <w:rFonts w:ascii="Palatino Linotype" w:hAnsi="Palatino Linotype"/>
        </w:rPr>
        <w:t>fracción</w:t>
      </w:r>
      <w:r w:rsidRPr="00861738">
        <w:rPr>
          <w:rFonts w:ascii="Palatino Linotype" w:hAnsi="Palatino Linotype"/>
        </w:rPr>
        <w:t xml:space="preserve"> IV de la misma Ley.</w:t>
      </w:r>
    </w:p>
    <w:p w14:paraId="60A9C2F5" w14:textId="77777777" w:rsidR="00804F09" w:rsidRPr="00861738"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861738" w:rsidRDefault="00CD24D6" w:rsidP="00E27F84">
      <w:pPr>
        <w:spacing w:before="240" w:after="240" w:line="360" w:lineRule="auto"/>
        <w:ind w:left="851" w:right="822"/>
        <w:contextualSpacing/>
        <w:jc w:val="both"/>
        <w:rPr>
          <w:rFonts w:ascii="Palatino Linotype" w:hAnsi="Palatino Linotype"/>
          <w:i/>
          <w:iCs/>
          <w:sz w:val="22"/>
          <w:szCs w:val="22"/>
        </w:rPr>
      </w:pPr>
      <w:r w:rsidRPr="00861738">
        <w:rPr>
          <w:rFonts w:ascii="Palatino Linotype" w:hAnsi="Palatino Linotype"/>
          <w:i/>
          <w:iCs/>
          <w:sz w:val="22"/>
          <w:szCs w:val="22"/>
        </w:rPr>
        <w:t>“</w:t>
      </w:r>
      <w:r w:rsidRPr="00861738">
        <w:rPr>
          <w:rFonts w:ascii="Palatino Linotype" w:hAnsi="Palatino Linotype"/>
          <w:b/>
          <w:bCs/>
          <w:i/>
          <w:iCs/>
          <w:sz w:val="22"/>
          <w:szCs w:val="22"/>
        </w:rPr>
        <w:t>Artículo 192.</w:t>
      </w:r>
      <w:r w:rsidRPr="00861738">
        <w:rPr>
          <w:rFonts w:ascii="Palatino Linotype" w:hAnsi="Palatino Linotype"/>
          <w:i/>
          <w:iCs/>
          <w:sz w:val="22"/>
          <w:szCs w:val="22"/>
        </w:rPr>
        <w:t xml:space="preserve"> El recurso será </w:t>
      </w:r>
      <w:r w:rsidRPr="00861738">
        <w:rPr>
          <w:rFonts w:ascii="Palatino Linotype" w:hAnsi="Palatino Linotype"/>
          <w:b/>
          <w:bCs/>
          <w:i/>
          <w:iCs/>
          <w:sz w:val="22"/>
          <w:szCs w:val="22"/>
        </w:rPr>
        <w:t>sobreseído</w:t>
      </w:r>
      <w:r w:rsidR="006C78A4" w:rsidRPr="00861738">
        <w:rPr>
          <w:rFonts w:ascii="Palatino Linotype" w:hAnsi="Palatino Linotype"/>
          <w:i/>
          <w:iCs/>
          <w:sz w:val="22"/>
          <w:szCs w:val="22"/>
        </w:rPr>
        <w:t>, en todo o parte, cuando una vez admitido, se actualicen alguno de los siguientes supuestos:</w:t>
      </w:r>
    </w:p>
    <w:p w14:paraId="5A605ED8" w14:textId="71AC6583" w:rsidR="006C78A4" w:rsidRPr="00861738" w:rsidRDefault="006C78A4" w:rsidP="00E27F84">
      <w:pPr>
        <w:spacing w:before="240" w:after="240" w:line="360" w:lineRule="auto"/>
        <w:ind w:left="851" w:right="822"/>
        <w:contextualSpacing/>
        <w:jc w:val="both"/>
        <w:rPr>
          <w:rFonts w:ascii="Palatino Linotype" w:hAnsi="Palatino Linotype"/>
          <w:i/>
          <w:iCs/>
          <w:sz w:val="22"/>
          <w:szCs w:val="22"/>
        </w:rPr>
      </w:pPr>
      <w:r w:rsidRPr="00861738">
        <w:rPr>
          <w:rFonts w:ascii="Palatino Linotype" w:hAnsi="Palatino Linotype"/>
          <w:i/>
          <w:iCs/>
          <w:sz w:val="22"/>
          <w:szCs w:val="22"/>
        </w:rPr>
        <w:t>(…)</w:t>
      </w:r>
    </w:p>
    <w:p w14:paraId="2FAFC94E" w14:textId="1AB07649" w:rsidR="006C78A4" w:rsidRPr="00861738" w:rsidRDefault="00CD24D6" w:rsidP="00E27F84">
      <w:pPr>
        <w:spacing w:before="240" w:after="240" w:line="360" w:lineRule="auto"/>
        <w:ind w:left="851" w:right="822"/>
        <w:contextualSpacing/>
        <w:jc w:val="both"/>
        <w:rPr>
          <w:rFonts w:ascii="Palatino Linotype" w:hAnsi="Palatino Linotype"/>
          <w:b/>
          <w:bCs/>
          <w:i/>
          <w:iCs/>
          <w:sz w:val="22"/>
          <w:szCs w:val="22"/>
        </w:rPr>
      </w:pPr>
      <w:r w:rsidRPr="00861738">
        <w:rPr>
          <w:rFonts w:ascii="Palatino Linotype" w:hAnsi="Palatino Linotype"/>
          <w:b/>
          <w:bCs/>
          <w:i/>
          <w:iCs/>
          <w:sz w:val="22"/>
          <w:szCs w:val="22"/>
        </w:rPr>
        <w:t xml:space="preserve">IV. </w:t>
      </w:r>
      <w:r w:rsidR="006C78A4" w:rsidRPr="00861738">
        <w:rPr>
          <w:rFonts w:ascii="Palatino Linotype" w:hAnsi="Palatino Linotype"/>
          <w:b/>
          <w:bCs/>
          <w:i/>
          <w:iCs/>
          <w:sz w:val="22"/>
          <w:szCs w:val="22"/>
        </w:rPr>
        <w:t>Admitido el recurso de revisión, aparezca alguna causal de improcedencia en los términos de la presente Ley; y</w:t>
      </w:r>
    </w:p>
    <w:p w14:paraId="3875835F" w14:textId="7AEB6122" w:rsidR="006C78A4" w:rsidRPr="00861738" w:rsidRDefault="006C78A4" w:rsidP="00E27F84">
      <w:pPr>
        <w:spacing w:before="240" w:after="240" w:line="360" w:lineRule="auto"/>
        <w:ind w:left="851" w:right="822"/>
        <w:contextualSpacing/>
        <w:jc w:val="both"/>
        <w:rPr>
          <w:rFonts w:ascii="Palatino Linotype" w:hAnsi="Palatino Linotype"/>
          <w:i/>
          <w:iCs/>
          <w:sz w:val="22"/>
          <w:szCs w:val="22"/>
        </w:rPr>
      </w:pPr>
      <w:r w:rsidRPr="00861738">
        <w:rPr>
          <w:rFonts w:ascii="Palatino Linotype" w:hAnsi="Palatino Linotype"/>
          <w:i/>
          <w:iCs/>
          <w:sz w:val="22"/>
          <w:szCs w:val="22"/>
        </w:rPr>
        <w:t>(…)”</w:t>
      </w:r>
    </w:p>
    <w:p w14:paraId="57B81B7C" w14:textId="77777777" w:rsidR="00B344BC" w:rsidRPr="00861738" w:rsidRDefault="00B344BC" w:rsidP="00B344BC">
      <w:pPr>
        <w:spacing w:before="240" w:after="240" w:line="360" w:lineRule="auto"/>
        <w:contextualSpacing/>
        <w:jc w:val="both"/>
        <w:rPr>
          <w:rFonts w:ascii="Palatino Linotype" w:hAnsi="Palatino Linotype"/>
          <w:color w:val="000000"/>
        </w:rPr>
      </w:pPr>
    </w:p>
    <w:p w14:paraId="2B0DBF0D" w14:textId="65B3960F" w:rsidR="00AE4B84" w:rsidRPr="00861738"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eastAsia="Calibri" w:hAnsi="Palatino Linotype" w:cs="Arial"/>
          <w:lang w:eastAsia="es-ES"/>
        </w:rPr>
        <w:t>Finalmente, es de precisar que se dejan a salvo los derechos de</w:t>
      </w:r>
      <w:r w:rsidR="00224440" w:rsidRPr="00861738">
        <w:rPr>
          <w:rFonts w:ascii="Palatino Linotype" w:eastAsia="Calibri" w:hAnsi="Palatino Linotype" w:cs="Arial"/>
          <w:lang w:eastAsia="es-ES"/>
        </w:rPr>
        <w:t>l</w:t>
      </w:r>
      <w:r w:rsidRPr="00861738">
        <w:rPr>
          <w:rFonts w:ascii="Palatino Linotype" w:eastAsia="Calibri" w:hAnsi="Palatino Linotype" w:cs="Arial"/>
          <w:lang w:eastAsia="es-ES"/>
        </w:rPr>
        <w:t xml:space="preserve"> </w:t>
      </w:r>
      <w:r w:rsidRPr="00861738">
        <w:rPr>
          <w:rFonts w:ascii="Palatino Linotype" w:eastAsia="Calibri" w:hAnsi="Palatino Linotype" w:cs="Arial"/>
          <w:b/>
          <w:lang w:eastAsia="es-ES"/>
        </w:rPr>
        <w:t>R</w:t>
      </w:r>
      <w:r w:rsidR="00224440" w:rsidRPr="00861738">
        <w:rPr>
          <w:rFonts w:ascii="Palatino Linotype" w:eastAsia="Calibri" w:hAnsi="Palatino Linotype" w:cs="Arial"/>
          <w:b/>
          <w:lang w:eastAsia="es-ES"/>
        </w:rPr>
        <w:t>ecurrente</w:t>
      </w:r>
      <w:r w:rsidRPr="00861738">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861738" w:rsidRDefault="00AE4B84" w:rsidP="00AE4B84">
      <w:pPr>
        <w:tabs>
          <w:tab w:val="left" w:pos="426"/>
        </w:tabs>
        <w:spacing w:before="240" w:after="240" w:line="360" w:lineRule="auto"/>
        <w:contextualSpacing/>
        <w:jc w:val="both"/>
        <w:rPr>
          <w:rFonts w:ascii="Palatino Linotype" w:hAnsi="Palatino Linotype"/>
          <w:color w:val="000000"/>
        </w:rPr>
      </w:pPr>
    </w:p>
    <w:p w14:paraId="527392A1" w14:textId="08BB202C" w:rsidR="00AE4B84" w:rsidRPr="00D063E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861738">
        <w:rPr>
          <w:rFonts w:ascii="Palatino Linotype" w:hAnsi="Palatino Linotype"/>
          <w:lang w:val="es-ES"/>
        </w:rPr>
        <w:t xml:space="preserve">Por lo anteriormente expuesto y fundado, este </w:t>
      </w:r>
      <w:r w:rsidRPr="00861738">
        <w:rPr>
          <w:rFonts w:ascii="Palatino Linotype" w:hAnsi="Palatino Linotype"/>
          <w:b/>
          <w:bCs/>
          <w:lang w:val="es-ES"/>
        </w:rPr>
        <w:t>ÓRGANO GARANTE</w:t>
      </w:r>
      <w:r w:rsidRPr="00861738">
        <w:rPr>
          <w:rFonts w:ascii="Palatino Linotype" w:hAnsi="Palatino Linotype"/>
          <w:lang w:val="es-ES"/>
        </w:rPr>
        <w:t xml:space="preserve"> emite los siguientes:</w:t>
      </w:r>
    </w:p>
    <w:p w14:paraId="22D667C5" w14:textId="77777777" w:rsidR="00D063EE" w:rsidRDefault="00D063EE" w:rsidP="00D063EE">
      <w:pPr>
        <w:pStyle w:val="Prrafodelista"/>
        <w:rPr>
          <w:rFonts w:ascii="Palatino Linotype" w:hAnsi="Palatino Linotype" w:cs="Arial"/>
        </w:rPr>
      </w:pPr>
    </w:p>
    <w:p w14:paraId="3E677A94" w14:textId="77777777" w:rsidR="00D063EE" w:rsidRPr="00861738" w:rsidRDefault="00D063EE" w:rsidP="00D063EE">
      <w:pPr>
        <w:spacing w:before="240" w:after="240" w:line="360" w:lineRule="auto"/>
        <w:contextualSpacing/>
        <w:jc w:val="both"/>
        <w:rPr>
          <w:rFonts w:ascii="Palatino Linotype" w:hAnsi="Palatino Linotype" w:cs="Arial"/>
        </w:rPr>
      </w:pPr>
    </w:p>
    <w:p w14:paraId="36CD0155" w14:textId="77777777" w:rsidR="00AE4B84" w:rsidRPr="00861738" w:rsidRDefault="00AE4B84" w:rsidP="00AE4B84">
      <w:pPr>
        <w:keepNext/>
        <w:keepLines/>
        <w:spacing w:before="240" w:line="360" w:lineRule="auto"/>
        <w:jc w:val="center"/>
        <w:outlineLvl w:val="0"/>
        <w:rPr>
          <w:rFonts w:ascii="Palatino Linotype" w:eastAsia="MS Gothic" w:hAnsi="Palatino Linotype"/>
          <w:color w:val="000000"/>
        </w:rPr>
      </w:pPr>
      <w:bookmarkStart w:id="7" w:name="_Toc475014715"/>
      <w:bookmarkStart w:id="8" w:name="_Toc475381194"/>
      <w:bookmarkStart w:id="9" w:name="_Toc490155969"/>
      <w:bookmarkStart w:id="10" w:name="_Toc490734332"/>
      <w:bookmarkStart w:id="11" w:name="_Toc491854740"/>
      <w:bookmarkStart w:id="12" w:name="_Toc494991893"/>
      <w:bookmarkStart w:id="13" w:name="_Toc29544442"/>
      <w:r w:rsidRPr="00861738">
        <w:rPr>
          <w:rFonts w:ascii="Palatino Linotype" w:eastAsia="MS Gothic" w:hAnsi="Palatino Linotype"/>
          <w:b/>
          <w:color w:val="000000"/>
          <w:lang w:val="es-ES" w:eastAsia="es-ES"/>
        </w:rPr>
        <w:lastRenderedPageBreak/>
        <w:t>R E S O L U T I V O S</w:t>
      </w:r>
      <w:bookmarkEnd w:id="7"/>
      <w:bookmarkEnd w:id="8"/>
      <w:bookmarkEnd w:id="9"/>
      <w:bookmarkEnd w:id="10"/>
      <w:bookmarkEnd w:id="11"/>
      <w:bookmarkEnd w:id="12"/>
      <w:bookmarkEnd w:id="13"/>
    </w:p>
    <w:p w14:paraId="71B8E15C" w14:textId="77777777" w:rsidR="00AE4B84" w:rsidRPr="00861738" w:rsidRDefault="00AE4B84" w:rsidP="00AE4B84">
      <w:pPr>
        <w:spacing w:line="360" w:lineRule="auto"/>
        <w:rPr>
          <w:rFonts w:ascii="Palatino Linotype" w:eastAsia="MS Mincho" w:hAnsi="Palatino Linotype"/>
        </w:rPr>
      </w:pPr>
    </w:p>
    <w:p w14:paraId="5CAA6B33" w14:textId="663F0696" w:rsidR="00AE4B84" w:rsidRPr="00861738" w:rsidRDefault="00AE4B84" w:rsidP="0014208C">
      <w:pPr>
        <w:spacing w:line="360" w:lineRule="auto"/>
        <w:jc w:val="both"/>
        <w:rPr>
          <w:rFonts w:ascii="Palatino Linotype" w:eastAsia="MS Mincho" w:hAnsi="Palatino Linotype" w:cs="Arial"/>
          <w:lang w:val="es-ES_tradnl" w:eastAsia="es-ES"/>
        </w:rPr>
      </w:pPr>
      <w:r w:rsidRPr="00861738">
        <w:rPr>
          <w:rFonts w:ascii="Palatino Linotype" w:eastAsia="MS Mincho" w:hAnsi="Palatino Linotype" w:cs="Arial"/>
          <w:b/>
          <w:lang w:val="es-ES_tradnl" w:eastAsia="es-ES"/>
        </w:rPr>
        <w:t>PRIMERO</w:t>
      </w:r>
      <w:r w:rsidRPr="00861738">
        <w:rPr>
          <w:rFonts w:ascii="Palatino Linotype" w:eastAsia="MS Mincho" w:hAnsi="Palatino Linotype" w:cs="Arial"/>
          <w:lang w:val="es-ES_tradnl" w:eastAsia="es-ES"/>
        </w:rPr>
        <w:t xml:space="preserve">. Se </w:t>
      </w:r>
      <w:r w:rsidR="006C78A4" w:rsidRPr="00861738">
        <w:rPr>
          <w:rFonts w:ascii="Palatino Linotype" w:eastAsia="MS Mincho" w:hAnsi="Palatino Linotype" w:cs="Arial"/>
          <w:b/>
          <w:lang w:val="es-ES_tradnl" w:eastAsia="es-ES"/>
        </w:rPr>
        <w:t xml:space="preserve">SOBRESEE </w:t>
      </w:r>
      <w:r w:rsidR="0014208C" w:rsidRPr="00861738">
        <w:rPr>
          <w:rFonts w:ascii="Palatino Linotype" w:eastAsia="MS Mincho" w:hAnsi="Palatino Linotype" w:cs="Arial"/>
          <w:lang w:val="es-ES_tradnl" w:eastAsia="es-ES"/>
        </w:rPr>
        <w:t>el recurso de revisión</w:t>
      </w:r>
      <w:r w:rsidR="00071DC1" w:rsidRPr="00861738">
        <w:rPr>
          <w:rFonts w:ascii="Palatino Linotype" w:eastAsia="MS Mincho" w:hAnsi="Palatino Linotype" w:cs="Arial"/>
          <w:b/>
          <w:lang w:val="es-ES_tradnl" w:eastAsia="es-ES"/>
        </w:rPr>
        <w:t xml:space="preserve"> </w:t>
      </w:r>
      <w:r w:rsidR="00CC1765">
        <w:rPr>
          <w:rFonts w:ascii="Palatino Linotype" w:eastAsia="MS Mincho" w:hAnsi="Palatino Linotype" w:cs="Arial"/>
          <w:b/>
          <w:lang w:val="es-ES_tradnl" w:eastAsia="es-ES"/>
        </w:rPr>
        <w:t>0</w:t>
      </w:r>
      <w:r w:rsidR="00E27F84">
        <w:rPr>
          <w:rFonts w:ascii="Palatino Linotype" w:eastAsia="MS Mincho" w:hAnsi="Palatino Linotype" w:cs="Arial"/>
          <w:b/>
          <w:lang w:val="es-ES_tradnl" w:eastAsia="es-ES"/>
        </w:rPr>
        <w:t>6223</w:t>
      </w:r>
      <w:r w:rsidR="0014208C" w:rsidRPr="00861738">
        <w:rPr>
          <w:rFonts w:ascii="Palatino Linotype" w:eastAsia="MS Mincho" w:hAnsi="Palatino Linotype" w:cs="Arial"/>
          <w:b/>
          <w:lang w:val="es-ES_tradnl" w:eastAsia="es-ES"/>
        </w:rPr>
        <w:t>/INFOEM/IP/RR/202</w:t>
      </w:r>
      <w:r w:rsidR="00CC1765">
        <w:rPr>
          <w:rFonts w:ascii="Palatino Linotype" w:eastAsia="MS Mincho" w:hAnsi="Palatino Linotype" w:cs="Arial"/>
          <w:b/>
          <w:lang w:val="es-ES_tradnl" w:eastAsia="es-ES"/>
        </w:rPr>
        <w:t>3</w:t>
      </w:r>
      <w:r w:rsidR="0014208C" w:rsidRPr="00861738">
        <w:rPr>
          <w:rFonts w:ascii="Palatino Linotype" w:eastAsia="MS Mincho" w:hAnsi="Palatino Linotype" w:cs="Arial"/>
          <w:lang w:val="es-ES_tradnl" w:eastAsia="es-ES"/>
        </w:rPr>
        <w:t xml:space="preserve">, </w:t>
      </w:r>
      <w:r w:rsidR="00AB2087" w:rsidRPr="00861738">
        <w:rPr>
          <w:rFonts w:ascii="Palatino Linotype" w:eastAsia="MS Mincho" w:hAnsi="Palatino Linotype" w:cs="Arial"/>
          <w:lang w:val="es-ES_tradnl" w:eastAsia="es-ES"/>
        </w:rPr>
        <w:t xml:space="preserve">conforme al artículo 192 fracción IV, en relación con el </w:t>
      </w:r>
      <w:r w:rsidR="0014208C" w:rsidRPr="00861738">
        <w:rPr>
          <w:rFonts w:ascii="Palatino Linotype" w:eastAsia="MS Mincho" w:hAnsi="Palatino Linotype" w:cs="Arial"/>
          <w:lang w:val="es-ES_tradnl" w:eastAsia="es-ES"/>
        </w:rPr>
        <w:t>artículo 191</w:t>
      </w:r>
      <w:r w:rsidR="00AB2087" w:rsidRPr="00861738">
        <w:rPr>
          <w:rFonts w:ascii="Palatino Linotype" w:eastAsia="MS Mincho" w:hAnsi="Palatino Linotype" w:cs="Arial"/>
          <w:lang w:val="es-ES_tradnl" w:eastAsia="es-ES"/>
        </w:rPr>
        <w:t xml:space="preserve"> fracción I </w:t>
      </w:r>
      <w:r w:rsidR="0014208C" w:rsidRPr="00861738">
        <w:rPr>
          <w:rFonts w:ascii="Palatino Linotype" w:eastAsia="MS Mincho" w:hAnsi="Palatino Linotype" w:cs="Arial"/>
          <w:lang w:val="es-ES_tradnl" w:eastAsia="es-ES"/>
        </w:rPr>
        <w:t>de la Ley de Transparencia y Acceso a la Información Pública del Estado de México</w:t>
      </w:r>
      <w:r w:rsidR="00D063EE">
        <w:rPr>
          <w:rFonts w:ascii="Palatino Linotype" w:eastAsia="MS Mincho" w:hAnsi="Palatino Linotype" w:cs="Arial"/>
          <w:lang w:val="es-ES_tradnl" w:eastAsia="es-ES"/>
        </w:rPr>
        <w:t xml:space="preserve"> y Municipios, en términos del c</w:t>
      </w:r>
      <w:r w:rsidR="0014208C" w:rsidRPr="00861738">
        <w:rPr>
          <w:rFonts w:ascii="Palatino Linotype" w:eastAsia="MS Mincho" w:hAnsi="Palatino Linotype" w:cs="Arial"/>
          <w:lang w:val="es-ES_tradnl" w:eastAsia="es-ES"/>
        </w:rPr>
        <w:t>onsiderando</w:t>
      </w:r>
      <w:r w:rsidRPr="00861738">
        <w:rPr>
          <w:rFonts w:ascii="Palatino Linotype" w:eastAsia="MS Mincho" w:hAnsi="Palatino Linotype" w:cs="Arial"/>
          <w:lang w:val="es-ES_tradnl" w:eastAsia="es-ES"/>
        </w:rPr>
        <w:t xml:space="preserve"> </w:t>
      </w:r>
      <w:r w:rsidR="00D063EE">
        <w:rPr>
          <w:rFonts w:ascii="Palatino Linotype" w:eastAsia="MS Mincho" w:hAnsi="Palatino Linotype" w:cs="Arial"/>
          <w:b/>
          <w:lang w:val="es-ES_tradnl" w:eastAsia="es-ES"/>
        </w:rPr>
        <w:t xml:space="preserve">SEGUNDO </w:t>
      </w:r>
      <w:r w:rsidR="0014208C" w:rsidRPr="00861738">
        <w:rPr>
          <w:rFonts w:ascii="Palatino Linotype" w:eastAsia="MS Mincho" w:hAnsi="Palatino Linotype" w:cs="Arial"/>
          <w:lang w:val="es-ES_tradnl" w:eastAsia="es-ES"/>
        </w:rPr>
        <w:t>de la presente R</w:t>
      </w:r>
      <w:r w:rsidRPr="00861738">
        <w:rPr>
          <w:rFonts w:ascii="Palatino Linotype" w:eastAsia="MS Mincho" w:hAnsi="Palatino Linotype" w:cs="Arial"/>
          <w:lang w:val="es-ES_tradnl" w:eastAsia="es-ES"/>
        </w:rPr>
        <w:t>esolución.</w:t>
      </w:r>
    </w:p>
    <w:p w14:paraId="10DF6935" w14:textId="77777777" w:rsidR="00AE4B84" w:rsidRPr="00861738" w:rsidRDefault="00AE4B84" w:rsidP="00AE4B84">
      <w:pPr>
        <w:spacing w:line="360" w:lineRule="auto"/>
        <w:jc w:val="both"/>
        <w:rPr>
          <w:rFonts w:ascii="Palatino Linotype" w:eastAsia="MS Mincho" w:hAnsi="Palatino Linotype" w:cs="Arial"/>
          <w:b/>
          <w:bCs/>
          <w:lang w:val="es-ES_tradnl"/>
        </w:rPr>
      </w:pPr>
    </w:p>
    <w:p w14:paraId="6DDF49DE" w14:textId="3B5C1690" w:rsidR="00AB2087" w:rsidRPr="00861738" w:rsidRDefault="00AE4B84" w:rsidP="00AE4B84">
      <w:pPr>
        <w:spacing w:line="360" w:lineRule="auto"/>
        <w:jc w:val="both"/>
        <w:rPr>
          <w:rFonts w:ascii="Palatino Linotype" w:hAnsi="Palatino Linotype"/>
          <w:b/>
          <w:shd w:val="clear" w:color="auto" w:fill="FFFFFF"/>
          <w:lang w:val="es-ES_tradnl"/>
        </w:rPr>
      </w:pPr>
      <w:r w:rsidRPr="00861738">
        <w:rPr>
          <w:rFonts w:ascii="Palatino Linotype" w:eastAsia="MS Mincho" w:hAnsi="Palatino Linotype" w:cs="Arial"/>
          <w:b/>
          <w:lang w:val="es-ES_tradnl" w:eastAsia="es-ES"/>
        </w:rPr>
        <w:t xml:space="preserve">SEGUNDO. </w:t>
      </w:r>
      <w:r w:rsidRPr="00861738">
        <w:rPr>
          <w:rFonts w:ascii="Palatino Linotype" w:eastAsia="MS Gothic" w:hAnsi="Palatino Linotype"/>
          <w:b/>
          <w:lang w:val="es-ES_tradnl" w:eastAsia="es-ES"/>
        </w:rPr>
        <w:t xml:space="preserve">REMÍTASE, </w:t>
      </w:r>
      <w:r w:rsidRPr="00861738">
        <w:rPr>
          <w:rFonts w:ascii="Palatino Linotype" w:hAnsi="Palatino Linotype"/>
          <w:lang w:val="es-ES" w:eastAsia="es-ES"/>
        </w:rPr>
        <w:t xml:space="preserve">vía </w:t>
      </w:r>
      <w:r w:rsidRPr="00861738">
        <w:rPr>
          <w:rFonts w:ascii="Palatino Linotype" w:hAnsi="Palatino Linotype"/>
          <w:lang w:val="es-ES_tradnl" w:eastAsia="es-ES"/>
        </w:rPr>
        <w:t>Sistema de Acceso a Información Mexiquense, (</w:t>
      </w:r>
      <w:r w:rsidRPr="00861738">
        <w:rPr>
          <w:rFonts w:ascii="Palatino Linotype" w:hAnsi="Palatino Linotype"/>
          <w:b/>
          <w:lang w:val="es-ES_tradnl" w:eastAsia="es-ES"/>
        </w:rPr>
        <w:t>SAIMEX</w:t>
      </w:r>
      <w:r w:rsidR="008F56D4" w:rsidRPr="00861738">
        <w:rPr>
          <w:rFonts w:ascii="Palatino Linotype" w:hAnsi="Palatino Linotype"/>
          <w:b/>
          <w:lang w:val="es-ES_tradnl" w:eastAsia="es-ES"/>
        </w:rPr>
        <w:t>)</w:t>
      </w:r>
      <w:r w:rsidRPr="00861738">
        <w:rPr>
          <w:rFonts w:ascii="Palatino Linotype" w:eastAsia="MS Gothic" w:hAnsi="Palatino Linotype"/>
          <w:b/>
          <w:lang w:val="es-ES_tradnl" w:eastAsia="es-ES"/>
        </w:rPr>
        <w:t xml:space="preserve">, </w:t>
      </w:r>
      <w:r w:rsidRPr="00861738">
        <w:rPr>
          <w:rFonts w:ascii="Palatino Linotype" w:eastAsia="MS Gothic" w:hAnsi="Palatino Linotype"/>
          <w:lang w:val="es-ES_tradnl" w:eastAsia="es-ES"/>
        </w:rPr>
        <w:t xml:space="preserve">la presente resolución al Titular de la Unidad de Transparencia </w:t>
      </w:r>
      <w:r w:rsidRPr="00861738">
        <w:rPr>
          <w:rFonts w:ascii="Palatino Linotype" w:hAnsi="Palatino Linotype"/>
          <w:color w:val="222222"/>
          <w:shd w:val="clear" w:color="auto" w:fill="FFFFFF"/>
          <w:lang w:val="es-ES_tradnl"/>
        </w:rPr>
        <w:t xml:space="preserve">del </w:t>
      </w:r>
      <w:r w:rsidRPr="00861738">
        <w:rPr>
          <w:rFonts w:ascii="Palatino Linotype" w:hAnsi="Palatino Linotype"/>
          <w:b/>
          <w:shd w:val="clear" w:color="auto" w:fill="FFFFFF"/>
          <w:lang w:val="es-ES_tradnl"/>
        </w:rPr>
        <w:t>SUJETO OBLIGADO.</w:t>
      </w:r>
    </w:p>
    <w:p w14:paraId="0BBA9C68" w14:textId="1B2C44B9" w:rsidR="00AE4B84" w:rsidRPr="00861738" w:rsidRDefault="00AE4B84" w:rsidP="00AE4B84">
      <w:pPr>
        <w:shd w:val="clear" w:color="auto" w:fill="FFFFFF"/>
        <w:spacing w:before="240" w:after="360" w:line="360" w:lineRule="auto"/>
        <w:jc w:val="both"/>
        <w:rPr>
          <w:rFonts w:ascii="Palatino Linotype" w:hAnsi="Palatino Linotype"/>
          <w:lang w:val="es-ES_tradnl"/>
        </w:rPr>
      </w:pPr>
      <w:r w:rsidRPr="00861738">
        <w:rPr>
          <w:rFonts w:ascii="Palatino Linotype" w:eastAsia="MS Gothic" w:hAnsi="Palatino Linotype"/>
          <w:b/>
          <w:lang w:val="es-ES_tradnl" w:eastAsia="es-ES"/>
        </w:rPr>
        <w:t xml:space="preserve">TERCERO. </w:t>
      </w:r>
      <w:r w:rsidRPr="00861738">
        <w:rPr>
          <w:rFonts w:ascii="Palatino Linotype" w:eastAsia="MS Gothic" w:hAnsi="Palatino Linotype"/>
          <w:lang w:val="es-ES_tradnl" w:eastAsia="es-ES"/>
        </w:rPr>
        <w:t>Notifíquese a</w:t>
      </w:r>
      <w:r w:rsidR="00F42350">
        <w:rPr>
          <w:rFonts w:ascii="Palatino Linotype" w:eastAsia="MS Gothic" w:hAnsi="Palatino Linotype"/>
          <w:lang w:val="es-ES_tradnl" w:eastAsia="es-ES"/>
        </w:rPr>
        <w:t xml:space="preserve">l </w:t>
      </w:r>
      <w:r w:rsidRPr="00861738">
        <w:rPr>
          <w:rFonts w:ascii="Palatino Linotype" w:eastAsiaTheme="minorEastAsia" w:hAnsi="Palatino Linotype"/>
          <w:b/>
          <w:lang w:val="es-ES_tradnl" w:eastAsia="es-ES"/>
        </w:rPr>
        <w:t xml:space="preserve">RECURRENTE </w:t>
      </w:r>
      <w:r w:rsidR="007B7637" w:rsidRPr="00861738">
        <w:rPr>
          <w:rFonts w:ascii="Palatino Linotype" w:hAnsi="Palatino Linotype"/>
          <w:lang w:val="es-ES" w:eastAsia="es-ES"/>
        </w:rPr>
        <w:t xml:space="preserve">la presente resolución vía </w:t>
      </w:r>
      <w:r w:rsidR="007B7637" w:rsidRPr="00861738">
        <w:rPr>
          <w:rFonts w:ascii="Palatino Linotype" w:hAnsi="Palatino Linotype"/>
          <w:lang w:val="es-ES_tradnl" w:eastAsia="es-ES"/>
        </w:rPr>
        <w:t>Sistema de Acceso a Información Mexiquense (</w:t>
      </w:r>
      <w:r w:rsidR="007B7637" w:rsidRPr="00861738">
        <w:rPr>
          <w:rFonts w:ascii="Palatino Linotype" w:hAnsi="Palatino Linotype"/>
          <w:b/>
          <w:lang w:val="es-ES_tradnl" w:eastAsia="es-ES"/>
        </w:rPr>
        <w:t>SAIMEX)</w:t>
      </w:r>
      <w:r w:rsidR="004254EF">
        <w:rPr>
          <w:rFonts w:ascii="Palatino Linotype" w:hAnsi="Palatino Linotype"/>
          <w:b/>
          <w:lang w:val="es-ES_tradnl" w:eastAsia="es-ES"/>
        </w:rPr>
        <w:t>.</w:t>
      </w:r>
    </w:p>
    <w:p w14:paraId="110EFE7A" w14:textId="77777777" w:rsidR="00AE4B84" w:rsidRPr="00861738" w:rsidRDefault="00AE4B84" w:rsidP="00AE4B84">
      <w:pPr>
        <w:spacing w:line="360" w:lineRule="auto"/>
        <w:jc w:val="both"/>
        <w:rPr>
          <w:rFonts w:ascii="Palatino Linotype" w:eastAsia="MS Mincho" w:hAnsi="Palatino Linotype"/>
        </w:rPr>
      </w:pPr>
      <w:r w:rsidRPr="00861738">
        <w:rPr>
          <w:rFonts w:ascii="Palatino Linotype" w:eastAsia="MS Mincho" w:hAnsi="Palatino Linotype"/>
          <w:b/>
          <w:lang w:eastAsia="es-ES"/>
        </w:rPr>
        <w:t>CUARTO.</w:t>
      </w:r>
      <w:r w:rsidRPr="00861738">
        <w:rPr>
          <w:rFonts w:ascii="Palatino Linotype" w:eastAsia="MS Mincho" w:hAnsi="Palatino Linotype"/>
          <w:lang w:eastAsia="es-ES"/>
        </w:rPr>
        <w:t xml:space="preserve"> </w:t>
      </w:r>
      <w:r w:rsidRPr="00861738">
        <w:rPr>
          <w:rFonts w:ascii="Palatino Linotype" w:eastAsia="MS Mincho" w:hAnsi="Palatino Linotype"/>
          <w:lang w:val="es-ES" w:eastAsia="es-ES"/>
        </w:rPr>
        <w:t>Se hace del conocimiento del</w:t>
      </w:r>
      <w:r w:rsidRPr="00861738">
        <w:rPr>
          <w:rFonts w:ascii="Palatino Linotype" w:hAnsi="Palatino Linotype"/>
          <w:b/>
          <w:lang w:val="es-ES_tradnl" w:eastAsia="es-ES"/>
        </w:rPr>
        <w:t xml:space="preserve"> </w:t>
      </w:r>
      <w:r w:rsidRPr="00861738">
        <w:rPr>
          <w:rFonts w:ascii="Palatino Linotype" w:eastAsia="MS Mincho" w:hAnsi="Palatino Linotype"/>
          <w:b/>
          <w:lang w:val="es-ES_tradnl" w:eastAsia="es-ES"/>
        </w:rPr>
        <w:t>RECURRENTE</w:t>
      </w:r>
      <w:r w:rsidRPr="00861738">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61738">
        <w:rPr>
          <w:rFonts w:ascii="Palatino Linotype" w:eastAsia="MS Mincho" w:hAnsi="Palatino Linotype"/>
          <w:bCs/>
          <w:lang w:val="es-ES" w:eastAsia="es-ES"/>
        </w:rPr>
        <w:t>vía juicio de amparo</w:t>
      </w:r>
      <w:r w:rsidRPr="00861738">
        <w:rPr>
          <w:rFonts w:ascii="Palatino Linotype" w:eastAsia="MS Mincho" w:hAnsi="Palatino Linotype"/>
          <w:lang w:val="es-ES" w:eastAsia="es-ES"/>
        </w:rPr>
        <w:t> en los términos de las leyes aplicables.</w:t>
      </w:r>
    </w:p>
    <w:p w14:paraId="074546BF" w14:textId="77777777" w:rsidR="00AE4B84" w:rsidRPr="00861738" w:rsidRDefault="00AE4B84" w:rsidP="00AE4B84">
      <w:pPr>
        <w:shd w:val="clear" w:color="auto" w:fill="FFFFFF"/>
        <w:spacing w:line="360" w:lineRule="auto"/>
        <w:jc w:val="both"/>
        <w:rPr>
          <w:rFonts w:ascii="Palatino Linotype" w:hAnsi="Palatino Linotype" w:cs="Arial"/>
          <w:b/>
          <w:bCs/>
          <w:color w:val="222222"/>
        </w:rPr>
      </w:pPr>
    </w:p>
    <w:p w14:paraId="367EF9A0" w14:textId="78115E8D" w:rsidR="004C60CB" w:rsidRPr="004C60CB" w:rsidRDefault="004C60CB" w:rsidP="004C60CB">
      <w:pPr>
        <w:spacing w:before="240" w:after="240" w:line="360" w:lineRule="auto"/>
        <w:ind w:firstLine="1"/>
        <w:jc w:val="both"/>
        <w:rPr>
          <w:rFonts w:ascii="Palatino Linotype" w:hAnsi="Palatino Linotype"/>
          <w:smallCaps/>
        </w:rPr>
      </w:pPr>
      <w:bookmarkStart w:id="14" w:name="_Hlk129792997"/>
      <w:r w:rsidRPr="004C60CB">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w:t>
      </w:r>
      <w:r w:rsidRPr="004C60CB">
        <w:rPr>
          <w:rStyle w:val="Referenciasutil"/>
          <w:rFonts w:ascii="Palatino Linotype" w:hAnsi="Palatino Linotype"/>
          <w:color w:val="auto"/>
        </w:rPr>
        <w:lastRenderedPageBreak/>
        <w:t>MEJÍA AYALA; SHARON CRISTINA MORALES MARTÍNEZ</w:t>
      </w:r>
      <w:r w:rsidR="00962E8C">
        <w:rPr>
          <w:rStyle w:val="Referenciasutil"/>
          <w:rFonts w:ascii="Palatino Linotype" w:hAnsi="Palatino Linotype"/>
          <w:color w:val="auto"/>
        </w:rPr>
        <w:t xml:space="preserve"> (AUSENCIA JUSTIFICADA)</w:t>
      </w:r>
      <w:r w:rsidRPr="004C60CB">
        <w:rPr>
          <w:rStyle w:val="Referenciasutil"/>
          <w:rFonts w:ascii="Palatino Linotype" w:hAnsi="Palatino Linotype"/>
          <w:color w:val="auto"/>
        </w:rPr>
        <w:t xml:space="preserve">; LUIS GUSTAVO PARRA NORIEGA Y GUADALUPE RAMÍREZ PEÑA; EN LA TRIGÉSIMA SÉPTIMA SESIÓN ORDINARIA CELEBRADA EL DOCE (12) DE OCTUBRE DE DOS MIL VEINTITRÉS, ANTE EL SECRETARIO TÉCNICO DEL PLENO ALEXIS TAPIA RAMÍREZ. </w:t>
      </w:r>
      <w:bookmarkEnd w:id="14"/>
    </w:p>
    <w:p w14:paraId="78DC4807" w14:textId="77777777" w:rsidR="00D063EE" w:rsidRDefault="00D063EE" w:rsidP="00D063EE">
      <w:pPr>
        <w:spacing w:before="240" w:after="240" w:line="360" w:lineRule="auto"/>
        <w:ind w:firstLine="1"/>
        <w:jc w:val="both"/>
        <w:rPr>
          <w:rStyle w:val="Referenciasutil"/>
          <w:rFonts w:ascii="Palatino Linotype" w:hAnsi="Palatino Linotype"/>
          <w:color w:val="auto"/>
        </w:rPr>
      </w:pPr>
    </w:p>
    <w:p w14:paraId="61EE03EE" w14:textId="77777777" w:rsidR="00D063EE" w:rsidRDefault="00D063EE" w:rsidP="00D063EE">
      <w:pPr>
        <w:spacing w:before="240" w:after="240" w:line="360" w:lineRule="auto"/>
        <w:ind w:firstLine="1"/>
        <w:jc w:val="both"/>
        <w:rPr>
          <w:rStyle w:val="Referenciasutil"/>
          <w:rFonts w:ascii="Palatino Linotype" w:hAnsi="Palatino Linotype"/>
          <w:color w:val="auto"/>
        </w:rPr>
      </w:pPr>
    </w:p>
    <w:p w14:paraId="0319A306" w14:textId="77777777" w:rsidR="00D063EE" w:rsidRDefault="00D063EE" w:rsidP="00D063EE">
      <w:pPr>
        <w:spacing w:before="240" w:after="240" w:line="360" w:lineRule="auto"/>
        <w:ind w:firstLine="1"/>
        <w:jc w:val="both"/>
        <w:rPr>
          <w:rStyle w:val="Referenciasutil"/>
          <w:rFonts w:ascii="Palatino Linotype" w:hAnsi="Palatino Linotype"/>
          <w:color w:val="auto"/>
        </w:rPr>
      </w:pPr>
    </w:p>
    <w:p w14:paraId="098FBD54" w14:textId="77777777" w:rsidR="00D063EE" w:rsidRDefault="00D063EE" w:rsidP="00D063EE">
      <w:pPr>
        <w:spacing w:before="240" w:after="240" w:line="360" w:lineRule="auto"/>
        <w:ind w:firstLine="1"/>
        <w:jc w:val="both"/>
        <w:rPr>
          <w:rStyle w:val="Referenciasutil"/>
          <w:rFonts w:ascii="Palatino Linotype" w:hAnsi="Palatino Linotype"/>
          <w:color w:val="auto"/>
        </w:rPr>
      </w:pPr>
    </w:p>
    <w:p w14:paraId="6A5EF012" w14:textId="77777777" w:rsidR="00D063EE" w:rsidRDefault="00D063EE" w:rsidP="00D063EE">
      <w:pPr>
        <w:spacing w:before="240" w:after="240" w:line="360" w:lineRule="auto"/>
        <w:ind w:firstLine="1"/>
        <w:jc w:val="both"/>
        <w:rPr>
          <w:rStyle w:val="Referenciasutil"/>
          <w:rFonts w:ascii="Palatino Linotype" w:hAnsi="Palatino Linotype"/>
          <w:color w:val="auto"/>
        </w:rPr>
      </w:pPr>
    </w:p>
    <w:p w14:paraId="572CC7FB" w14:textId="77777777" w:rsidR="00D063EE" w:rsidRDefault="00D063EE" w:rsidP="00D063EE">
      <w:pPr>
        <w:spacing w:before="240" w:after="240" w:line="360" w:lineRule="auto"/>
        <w:ind w:firstLine="1"/>
        <w:jc w:val="both"/>
        <w:rPr>
          <w:rStyle w:val="Referenciasutil"/>
          <w:rFonts w:ascii="Palatino Linotype" w:hAnsi="Palatino Linotype"/>
          <w:color w:val="auto"/>
        </w:rPr>
      </w:pPr>
    </w:p>
    <w:p w14:paraId="6C00D6DA" w14:textId="77777777" w:rsidR="00D063EE" w:rsidRDefault="00D063EE" w:rsidP="00D063EE">
      <w:pPr>
        <w:spacing w:before="240" w:after="240" w:line="360" w:lineRule="auto"/>
        <w:ind w:firstLine="1"/>
        <w:jc w:val="both"/>
        <w:rPr>
          <w:rStyle w:val="Referenciasutil"/>
          <w:rFonts w:ascii="Palatino Linotype" w:hAnsi="Palatino Linotype"/>
          <w:color w:val="auto"/>
        </w:rPr>
      </w:pPr>
    </w:p>
    <w:p w14:paraId="773F4DE5" w14:textId="77777777" w:rsidR="00D063EE" w:rsidRDefault="00D063EE" w:rsidP="00D063EE">
      <w:pPr>
        <w:spacing w:before="240" w:after="240" w:line="360" w:lineRule="auto"/>
        <w:ind w:firstLine="1"/>
        <w:jc w:val="both"/>
        <w:rPr>
          <w:rStyle w:val="Referenciasutil"/>
          <w:rFonts w:ascii="Palatino Linotype" w:hAnsi="Palatino Linotype"/>
          <w:color w:val="auto"/>
        </w:rPr>
      </w:pPr>
    </w:p>
    <w:p w14:paraId="529C4F30" w14:textId="77777777" w:rsidR="00D063EE" w:rsidRDefault="00D063EE" w:rsidP="00D063EE">
      <w:pPr>
        <w:spacing w:before="240" w:after="240" w:line="360" w:lineRule="auto"/>
        <w:ind w:firstLine="1"/>
        <w:jc w:val="both"/>
        <w:rPr>
          <w:rStyle w:val="Referenciasutil"/>
          <w:rFonts w:ascii="Palatino Linotype" w:hAnsi="Palatino Linotype"/>
          <w:color w:val="auto"/>
        </w:rPr>
      </w:pPr>
    </w:p>
    <w:p w14:paraId="5196CE29" w14:textId="77777777" w:rsidR="00D063EE" w:rsidRDefault="00D063EE" w:rsidP="00D063EE">
      <w:pPr>
        <w:spacing w:before="240" w:after="240" w:line="360" w:lineRule="auto"/>
        <w:ind w:firstLine="1"/>
        <w:jc w:val="both"/>
        <w:rPr>
          <w:rStyle w:val="Referenciasutil"/>
          <w:rFonts w:ascii="Palatino Linotype" w:hAnsi="Palatino Linotype"/>
          <w:color w:val="auto"/>
        </w:rPr>
      </w:pPr>
    </w:p>
    <w:p w14:paraId="216FE00D" w14:textId="77777777" w:rsidR="00D063EE" w:rsidRDefault="00D063EE" w:rsidP="00D063EE">
      <w:pPr>
        <w:spacing w:before="240" w:after="240" w:line="360" w:lineRule="auto"/>
        <w:ind w:firstLine="1"/>
        <w:jc w:val="both"/>
        <w:rPr>
          <w:rStyle w:val="Referenciasutil"/>
          <w:rFonts w:ascii="Palatino Linotype" w:hAnsi="Palatino Linotype"/>
          <w:color w:val="auto"/>
        </w:rPr>
      </w:pPr>
    </w:p>
    <w:p w14:paraId="5BF30E70" w14:textId="77777777" w:rsidR="00D063EE" w:rsidRDefault="00D063EE" w:rsidP="00D063EE">
      <w:pPr>
        <w:spacing w:before="240" w:after="240" w:line="360" w:lineRule="auto"/>
        <w:ind w:firstLine="1"/>
        <w:jc w:val="both"/>
        <w:rPr>
          <w:rStyle w:val="Referenciasutil"/>
          <w:rFonts w:ascii="Palatino Linotype" w:hAnsi="Palatino Linotype"/>
          <w:color w:val="auto"/>
        </w:rPr>
      </w:pPr>
    </w:p>
    <w:p w14:paraId="167DD5FA" w14:textId="77777777" w:rsidR="00D063EE" w:rsidRDefault="00D063EE" w:rsidP="00D063EE">
      <w:pPr>
        <w:spacing w:before="240" w:after="240" w:line="360" w:lineRule="auto"/>
        <w:ind w:firstLine="1"/>
        <w:jc w:val="both"/>
        <w:rPr>
          <w:rStyle w:val="Referenciasutil"/>
          <w:rFonts w:ascii="Palatino Linotype" w:hAnsi="Palatino Linotype"/>
          <w:color w:val="auto"/>
        </w:rPr>
      </w:pPr>
    </w:p>
    <w:p w14:paraId="748691E3" w14:textId="77777777" w:rsidR="00D063EE" w:rsidRDefault="00D063EE" w:rsidP="00D063EE">
      <w:pPr>
        <w:spacing w:before="240" w:after="240" w:line="360" w:lineRule="auto"/>
        <w:ind w:firstLine="1"/>
        <w:jc w:val="both"/>
        <w:rPr>
          <w:rStyle w:val="Referenciasutil"/>
          <w:rFonts w:ascii="Palatino Linotype" w:hAnsi="Palatino Linotype"/>
          <w:color w:val="auto"/>
        </w:rPr>
      </w:pPr>
    </w:p>
    <w:p w14:paraId="6997A8E6" w14:textId="77777777" w:rsidR="00D063EE" w:rsidRPr="00D063EE" w:rsidRDefault="00D063EE" w:rsidP="00D063EE">
      <w:pPr>
        <w:spacing w:before="240" w:after="240" w:line="360" w:lineRule="auto"/>
        <w:ind w:firstLine="1"/>
        <w:jc w:val="both"/>
        <w:rPr>
          <w:rFonts w:ascii="Palatino Linotype" w:hAnsi="Palatino Linotype"/>
          <w:smallCaps/>
        </w:rPr>
      </w:pPr>
    </w:p>
    <w:p w14:paraId="5F69CC4D" w14:textId="002B1337" w:rsidR="00861738" w:rsidRDefault="00861738" w:rsidP="00861738">
      <w:pPr>
        <w:spacing w:before="240" w:after="240" w:line="360" w:lineRule="auto"/>
        <w:jc w:val="both"/>
        <w:rPr>
          <w:rFonts w:ascii="Palatino Linotype" w:hAnsi="Palatino Linotype"/>
        </w:rPr>
      </w:pPr>
    </w:p>
    <w:p w14:paraId="400CC5A0" w14:textId="77777777" w:rsidR="00C85E52" w:rsidRDefault="00C85E52"/>
    <w:sectPr w:rsidR="00C85E52" w:rsidSect="00934AE9">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30FBB" w14:textId="77777777" w:rsidR="00956A8F" w:rsidRDefault="00956A8F">
      <w:r>
        <w:separator/>
      </w:r>
    </w:p>
  </w:endnote>
  <w:endnote w:type="continuationSeparator" w:id="0">
    <w:p w14:paraId="20D9C60D" w14:textId="77777777" w:rsidR="00956A8F" w:rsidRDefault="0095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A14B54">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14B54">
      <w:rPr>
        <w:b/>
        <w:bCs/>
        <w:noProof/>
      </w:rPr>
      <w:t>13</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A14B5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14B54">
      <w:rPr>
        <w:b/>
        <w:bCs/>
        <w:noProof/>
      </w:rPr>
      <w:t>13</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39EBA" w14:textId="77777777" w:rsidR="00956A8F" w:rsidRDefault="00956A8F">
      <w:r>
        <w:separator/>
      </w:r>
    </w:p>
  </w:footnote>
  <w:footnote w:type="continuationSeparator" w:id="0">
    <w:p w14:paraId="7C5F873E" w14:textId="77777777" w:rsidR="00956A8F" w:rsidRDefault="00956A8F">
      <w:r>
        <w:continuationSeparator/>
      </w:r>
    </w:p>
  </w:footnote>
  <w:footnote w:id="1">
    <w:p w14:paraId="0E2A7D23" w14:textId="77777777" w:rsidR="00424D0B" w:rsidRDefault="00424D0B" w:rsidP="00424D0B">
      <w:pPr>
        <w:pStyle w:val="Textonotapie"/>
        <w:jc w:val="both"/>
      </w:pPr>
      <w:r>
        <w:rPr>
          <w:rStyle w:val="Refdenotaalpie"/>
        </w:rPr>
        <w:footnoteRef/>
      </w:r>
      <w:r>
        <w:t xml:space="preserve"> Artículo 156. Ley de Transparencia y Acceso a la Información Pública del Estado de México y Municipios.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F394" w14:textId="77777777" w:rsidR="00194689" w:rsidRDefault="00956A8F">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977"/>
      <w:gridCol w:w="7371"/>
    </w:tblGrid>
    <w:tr w:rsidR="00194689" w:rsidRPr="005C106F" w14:paraId="25C6577E" w14:textId="77777777" w:rsidTr="00D063EE">
      <w:trPr>
        <w:trHeight w:val="1435"/>
      </w:trPr>
      <w:tc>
        <w:tcPr>
          <w:tcW w:w="2977"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7371" w:type="dxa"/>
          <w:shd w:val="clear" w:color="auto" w:fill="auto"/>
        </w:tcPr>
        <w:p w14:paraId="6D081576" w14:textId="77777777" w:rsidR="00194689" w:rsidRDefault="00194689" w:rsidP="00194689"/>
        <w:tbl>
          <w:tblPr>
            <w:tblW w:w="6520" w:type="dxa"/>
            <w:tblInd w:w="318" w:type="dxa"/>
            <w:tblLayout w:type="fixed"/>
            <w:tblLook w:val="0420" w:firstRow="1" w:lastRow="0" w:firstColumn="0" w:lastColumn="0" w:noHBand="0" w:noVBand="1"/>
          </w:tblPr>
          <w:tblGrid>
            <w:gridCol w:w="2551"/>
            <w:gridCol w:w="3969"/>
          </w:tblGrid>
          <w:tr w:rsidR="00194689" w14:paraId="700F904D" w14:textId="77777777" w:rsidTr="00D063EE">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969" w:type="dxa"/>
                <w:shd w:val="clear" w:color="auto" w:fill="auto"/>
              </w:tcPr>
              <w:p w14:paraId="3D653E30" w14:textId="2C070897" w:rsidR="00194689" w:rsidRPr="00020E73" w:rsidRDefault="00B4681F" w:rsidP="00D57632">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424D0B">
                  <w:rPr>
                    <w:rFonts w:ascii="Palatino Linotype" w:eastAsia="Calibri" w:hAnsi="Palatino Linotype" w:cs="Tahoma"/>
                    <w:bCs/>
                    <w:sz w:val="22"/>
                    <w:szCs w:val="22"/>
                    <w:lang w:eastAsia="en-US"/>
                  </w:rPr>
                  <w:t>6223</w:t>
                </w:r>
                <w:r w:rsidR="00F736EA" w:rsidRPr="009E7B0A">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p>
            </w:tc>
          </w:tr>
          <w:tr w:rsidR="00194689" w14:paraId="16A25739" w14:textId="77777777" w:rsidTr="00D063EE">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969" w:type="dxa"/>
                <w:shd w:val="clear" w:color="auto" w:fill="auto"/>
              </w:tcPr>
              <w:p w14:paraId="7DB4A81D" w14:textId="2A44C560" w:rsidR="00194689" w:rsidRPr="00424D0B" w:rsidRDefault="00424D0B" w:rsidP="00D063EE">
                <w:pPr>
                  <w:tabs>
                    <w:tab w:val="left" w:pos="2834"/>
                    <w:tab w:val="right" w:pos="8838"/>
                  </w:tabs>
                  <w:ind w:left="-108" w:right="-102"/>
                  <w:rPr>
                    <w:rFonts w:ascii="Palatino Linotype" w:eastAsia="Calibri" w:hAnsi="Palatino Linotype" w:cs="Tahoma"/>
                    <w:sz w:val="22"/>
                    <w:szCs w:val="22"/>
                    <w:lang w:val="es-ES" w:eastAsia="en-US"/>
                  </w:rPr>
                </w:pPr>
                <w:r w:rsidRPr="00424D0B">
                  <w:rPr>
                    <w:rFonts w:ascii="Palatino Linotype" w:eastAsia="Calibri" w:hAnsi="Palatino Linotype" w:cs="Tahoma"/>
                    <w:bCs/>
                    <w:sz w:val="22"/>
                    <w:szCs w:val="22"/>
                    <w:lang w:eastAsia="en-US"/>
                  </w:rPr>
                  <w:t>Centro de Conciliación Laboral del Estado de México</w:t>
                </w:r>
              </w:p>
            </w:tc>
          </w:tr>
          <w:tr w:rsidR="00194689" w14:paraId="542C3BE0" w14:textId="77777777" w:rsidTr="00D063EE">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3969"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3125C6" w:rsidR="00194689" w:rsidRPr="00443C6B" w:rsidRDefault="00956A8F"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804" w:type="dxa"/>
            <w:tblInd w:w="601" w:type="dxa"/>
            <w:tblLayout w:type="fixed"/>
            <w:tblLook w:val="0420" w:firstRow="1" w:lastRow="0" w:firstColumn="0" w:lastColumn="0" w:noHBand="0" w:noVBand="1"/>
          </w:tblPr>
          <w:tblGrid>
            <w:gridCol w:w="2546"/>
            <w:gridCol w:w="4258"/>
          </w:tblGrid>
          <w:tr w:rsidR="00194689" w:rsidRPr="00330DA7" w14:paraId="2FDFA89A" w14:textId="77777777" w:rsidTr="00D063EE">
            <w:trPr>
              <w:trHeight w:val="144"/>
            </w:trPr>
            <w:tc>
              <w:tcPr>
                <w:tcW w:w="2546"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58" w:type="dxa"/>
                <w:shd w:val="clear" w:color="auto" w:fill="auto"/>
              </w:tcPr>
              <w:p w14:paraId="69605667" w14:textId="32784D82" w:rsidR="00194689" w:rsidRPr="00BC0F45" w:rsidRDefault="00B4681F" w:rsidP="00D063EE">
                <w:pPr>
                  <w:tabs>
                    <w:tab w:val="right" w:pos="8838"/>
                  </w:tabs>
                  <w:ind w:right="-105"/>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424D0B">
                  <w:rPr>
                    <w:rFonts w:ascii="Palatino Linotype" w:eastAsia="Calibri" w:hAnsi="Palatino Linotype" w:cs="Tahoma"/>
                    <w:sz w:val="22"/>
                    <w:szCs w:val="22"/>
                    <w:lang w:eastAsia="en-US"/>
                  </w:rPr>
                  <w:t>6223</w:t>
                </w:r>
                <w:r w:rsidR="00F736EA" w:rsidRPr="00BC0F45">
                  <w:rPr>
                    <w:rFonts w:ascii="Palatino Linotype" w:eastAsia="Calibri" w:hAnsi="Palatino Linotype" w:cs="Tahoma"/>
                    <w:sz w:val="22"/>
                    <w:szCs w:val="22"/>
                    <w:lang w:eastAsia="en-US"/>
                  </w:rPr>
                  <w:t>/INFOEM/IP/RR/202</w:t>
                </w:r>
                <w:r w:rsidR="007576BB">
                  <w:rPr>
                    <w:rFonts w:ascii="Palatino Linotype" w:eastAsia="Calibri" w:hAnsi="Palatino Linotype" w:cs="Tahoma"/>
                    <w:sz w:val="22"/>
                    <w:szCs w:val="22"/>
                    <w:lang w:eastAsia="en-US"/>
                  </w:rPr>
                  <w:t>3</w:t>
                </w:r>
              </w:p>
            </w:tc>
          </w:tr>
          <w:tr w:rsidR="00194689" w:rsidRPr="00330DA7" w14:paraId="3643DA1F" w14:textId="77777777" w:rsidTr="00D063EE">
            <w:trPr>
              <w:trHeight w:val="144"/>
            </w:trPr>
            <w:tc>
              <w:tcPr>
                <w:tcW w:w="2546"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58" w:type="dxa"/>
                <w:shd w:val="clear" w:color="auto" w:fill="auto"/>
              </w:tcPr>
              <w:p w14:paraId="57D58B0A" w14:textId="2F6DE5A2" w:rsidR="00194689" w:rsidRPr="00BC0F45" w:rsidRDefault="00A14B54" w:rsidP="00D063EE">
                <w:pPr>
                  <w:tabs>
                    <w:tab w:val="right" w:pos="8838"/>
                  </w:tabs>
                  <w:ind w:left="-6" w:right="-105" w:hanging="6"/>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w:t>
                </w:r>
              </w:p>
            </w:tc>
          </w:tr>
          <w:tr w:rsidR="00194689" w:rsidRPr="00330DA7" w14:paraId="46E8E26D" w14:textId="77777777" w:rsidTr="00D063EE">
            <w:trPr>
              <w:trHeight w:val="83"/>
            </w:trPr>
            <w:tc>
              <w:tcPr>
                <w:tcW w:w="2546"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58" w:type="dxa"/>
                <w:shd w:val="clear" w:color="auto" w:fill="auto"/>
              </w:tcPr>
              <w:p w14:paraId="613EF278" w14:textId="2EBD95A1" w:rsidR="00194689" w:rsidRPr="00424D0B" w:rsidRDefault="00424D0B" w:rsidP="00D063EE">
                <w:pPr>
                  <w:ind w:left="-6" w:hanging="6"/>
                  <w:rPr>
                    <w:rFonts w:ascii="Palatino Linotype" w:hAnsi="Palatino Linotype"/>
                    <w:sz w:val="22"/>
                    <w:szCs w:val="22"/>
                  </w:rPr>
                </w:pPr>
                <w:r w:rsidRPr="00424D0B">
                  <w:rPr>
                    <w:rFonts w:ascii="Palatino Linotype" w:eastAsia="Calibri" w:hAnsi="Palatino Linotype" w:cs="Tahoma"/>
                    <w:bCs/>
                    <w:sz w:val="22"/>
                    <w:szCs w:val="22"/>
                    <w:lang w:eastAsia="en-US"/>
                  </w:rPr>
                  <w:t>Centro de Conciliación Laboral del Estado de México</w:t>
                </w:r>
              </w:p>
            </w:tc>
          </w:tr>
          <w:tr w:rsidR="00194689" w:rsidRPr="00330DA7" w14:paraId="4E2722A4" w14:textId="77777777" w:rsidTr="00D063EE">
            <w:trPr>
              <w:trHeight w:val="283"/>
            </w:trPr>
            <w:tc>
              <w:tcPr>
                <w:tcW w:w="2546"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58" w:type="dxa"/>
                <w:shd w:val="clear" w:color="auto" w:fill="auto"/>
              </w:tcPr>
              <w:p w14:paraId="012BF8F8" w14:textId="77777777" w:rsidR="00194689" w:rsidRPr="00020E73" w:rsidRDefault="00F736EA" w:rsidP="00D063EE">
                <w:pPr>
                  <w:tabs>
                    <w:tab w:val="right" w:pos="8838"/>
                  </w:tabs>
                  <w:ind w:left="-6" w:right="-105" w:hanging="6"/>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D063EE">
                <w:pPr>
                  <w:tabs>
                    <w:tab w:val="right" w:pos="8838"/>
                  </w:tabs>
                  <w:ind w:left="-6" w:right="-105" w:hanging="6"/>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956A8F"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B170F9"/>
    <w:multiLevelType w:val="hybridMultilevel"/>
    <w:tmpl w:val="8B4459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227A03"/>
    <w:multiLevelType w:val="multilevel"/>
    <w:tmpl w:val="4F32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3107B"/>
    <w:multiLevelType w:val="hybridMultilevel"/>
    <w:tmpl w:val="0958F3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9CC32CA"/>
    <w:multiLevelType w:val="multilevel"/>
    <w:tmpl w:val="7B60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6"/>
  </w:num>
  <w:num w:numId="3">
    <w:abstractNumId w:val="3"/>
  </w:num>
  <w:num w:numId="4">
    <w:abstractNumId w:val="0"/>
  </w:num>
  <w:num w:numId="5">
    <w:abstractNumId w:val="7"/>
  </w:num>
  <w:num w:numId="6">
    <w:abstractNumId w:val="8"/>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84"/>
    <w:rsid w:val="00007A3C"/>
    <w:rsid w:val="00015C87"/>
    <w:rsid w:val="00071DC1"/>
    <w:rsid w:val="0007327E"/>
    <w:rsid w:val="000A053D"/>
    <w:rsid w:val="000B55F3"/>
    <w:rsid w:val="000E186F"/>
    <w:rsid w:val="000E4615"/>
    <w:rsid w:val="00101811"/>
    <w:rsid w:val="0010276A"/>
    <w:rsid w:val="001228E9"/>
    <w:rsid w:val="00130080"/>
    <w:rsid w:val="001374AD"/>
    <w:rsid w:val="0014208C"/>
    <w:rsid w:val="0018065E"/>
    <w:rsid w:val="00194689"/>
    <w:rsid w:val="001B52C2"/>
    <w:rsid w:val="001B6256"/>
    <w:rsid w:val="001D38F0"/>
    <w:rsid w:val="001F21B2"/>
    <w:rsid w:val="001F6479"/>
    <w:rsid w:val="00214EBE"/>
    <w:rsid w:val="00224440"/>
    <w:rsid w:val="00253ED9"/>
    <w:rsid w:val="002707A9"/>
    <w:rsid w:val="00287F67"/>
    <w:rsid w:val="00290B53"/>
    <w:rsid w:val="002A2F2B"/>
    <w:rsid w:val="0030793F"/>
    <w:rsid w:val="00312F62"/>
    <w:rsid w:val="0035558F"/>
    <w:rsid w:val="00391F36"/>
    <w:rsid w:val="003A11F3"/>
    <w:rsid w:val="003A7B86"/>
    <w:rsid w:val="003E5530"/>
    <w:rsid w:val="00424D0B"/>
    <w:rsid w:val="004254EF"/>
    <w:rsid w:val="00430888"/>
    <w:rsid w:val="00441F33"/>
    <w:rsid w:val="004524F9"/>
    <w:rsid w:val="0046109F"/>
    <w:rsid w:val="00474004"/>
    <w:rsid w:val="00482FCB"/>
    <w:rsid w:val="004A2A10"/>
    <w:rsid w:val="004B4E36"/>
    <w:rsid w:val="004C60CB"/>
    <w:rsid w:val="004D4CE7"/>
    <w:rsid w:val="004E09D0"/>
    <w:rsid w:val="004F6CEE"/>
    <w:rsid w:val="00502300"/>
    <w:rsid w:val="00547C72"/>
    <w:rsid w:val="0058535E"/>
    <w:rsid w:val="005949AA"/>
    <w:rsid w:val="005B59B8"/>
    <w:rsid w:val="005E51B8"/>
    <w:rsid w:val="005F74BD"/>
    <w:rsid w:val="00627148"/>
    <w:rsid w:val="0063135F"/>
    <w:rsid w:val="00635DF8"/>
    <w:rsid w:val="00647772"/>
    <w:rsid w:val="006565DA"/>
    <w:rsid w:val="006C11D1"/>
    <w:rsid w:val="006C78A4"/>
    <w:rsid w:val="006F3A6D"/>
    <w:rsid w:val="007120A1"/>
    <w:rsid w:val="0073111A"/>
    <w:rsid w:val="00742B92"/>
    <w:rsid w:val="007576BB"/>
    <w:rsid w:val="00760690"/>
    <w:rsid w:val="0076643E"/>
    <w:rsid w:val="007901EB"/>
    <w:rsid w:val="00795DE3"/>
    <w:rsid w:val="007A3703"/>
    <w:rsid w:val="007B7637"/>
    <w:rsid w:val="007C2D99"/>
    <w:rsid w:val="007C4C8F"/>
    <w:rsid w:val="007E0799"/>
    <w:rsid w:val="007E14AA"/>
    <w:rsid w:val="007F3C5F"/>
    <w:rsid w:val="007F78F1"/>
    <w:rsid w:val="00804F09"/>
    <w:rsid w:val="008468E1"/>
    <w:rsid w:val="00861738"/>
    <w:rsid w:val="008A0EBF"/>
    <w:rsid w:val="008A3FA6"/>
    <w:rsid w:val="008B1180"/>
    <w:rsid w:val="008B6FF6"/>
    <w:rsid w:val="008F3327"/>
    <w:rsid w:val="008F44D6"/>
    <w:rsid w:val="008F56D4"/>
    <w:rsid w:val="00934AE9"/>
    <w:rsid w:val="00956A8F"/>
    <w:rsid w:val="00962E8C"/>
    <w:rsid w:val="0099650D"/>
    <w:rsid w:val="009A32D1"/>
    <w:rsid w:val="009A4B58"/>
    <w:rsid w:val="009B0F16"/>
    <w:rsid w:val="009C2AB6"/>
    <w:rsid w:val="009C2E06"/>
    <w:rsid w:val="00A1421C"/>
    <w:rsid w:val="00A14B54"/>
    <w:rsid w:val="00A15185"/>
    <w:rsid w:val="00A42ABC"/>
    <w:rsid w:val="00A5051E"/>
    <w:rsid w:val="00A531FD"/>
    <w:rsid w:val="00A94BAD"/>
    <w:rsid w:val="00AB2087"/>
    <w:rsid w:val="00AD0D38"/>
    <w:rsid w:val="00AE4B84"/>
    <w:rsid w:val="00B021A4"/>
    <w:rsid w:val="00B25FC0"/>
    <w:rsid w:val="00B344BC"/>
    <w:rsid w:val="00B4681F"/>
    <w:rsid w:val="00B51F50"/>
    <w:rsid w:val="00B53803"/>
    <w:rsid w:val="00B65D96"/>
    <w:rsid w:val="00B851A6"/>
    <w:rsid w:val="00B912F7"/>
    <w:rsid w:val="00BB5195"/>
    <w:rsid w:val="00BB539F"/>
    <w:rsid w:val="00BC0F45"/>
    <w:rsid w:val="00BE40F9"/>
    <w:rsid w:val="00BF1809"/>
    <w:rsid w:val="00C03272"/>
    <w:rsid w:val="00C4282F"/>
    <w:rsid w:val="00C5012F"/>
    <w:rsid w:val="00C85E52"/>
    <w:rsid w:val="00CC1765"/>
    <w:rsid w:val="00CD24D6"/>
    <w:rsid w:val="00CF4287"/>
    <w:rsid w:val="00D063EE"/>
    <w:rsid w:val="00D06EDB"/>
    <w:rsid w:val="00D57632"/>
    <w:rsid w:val="00DC1EB9"/>
    <w:rsid w:val="00DC493C"/>
    <w:rsid w:val="00DD06F9"/>
    <w:rsid w:val="00DD6520"/>
    <w:rsid w:val="00E07639"/>
    <w:rsid w:val="00E27F84"/>
    <w:rsid w:val="00E461D8"/>
    <w:rsid w:val="00E5557C"/>
    <w:rsid w:val="00E72525"/>
    <w:rsid w:val="00E83330"/>
    <w:rsid w:val="00E9492B"/>
    <w:rsid w:val="00EA5CB9"/>
    <w:rsid w:val="00EE4B01"/>
    <w:rsid w:val="00EF0A5D"/>
    <w:rsid w:val="00F365B8"/>
    <w:rsid w:val="00F42350"/>
    <w:rsid w:val="00F736EA"/>
    <w:rsid w:val="00FD3D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35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5195"/>
    <w:pPr>
      <w:ind w:left="720"/>
      <w:contextualSpacing/>
    </w:pPr>
  </w:style>
  <w:style w:type="character" w:styleId="Hipervnculo">
    <w:name w:val="Hyperlink"/>
    <w:basedOn w:val="Fuentedeprrafopredeter"/>
    <w:uiPriority w:val="99"/>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4BAD"/>
    <w:rPr>
      <w:rFonts w:ascii="Times New Roman" w:eastAsia="Times New Roman" w:hAnsi="Times New Roman" w:cs="Times New Roman"/>
      <w:sz w:val="24"/>
      <w:szCs w:val="24"/>
      <w:lang w:val="es-MX"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24D0B"/>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424D0B"/>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24D0B"/>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424D0B"/>
    <w:rPr>
      <w:rFonts w:ascii="Times New Roman" w:eastAsia="Times New Roman" w:hAnsi="Times New Roman" w:cs="Times New Roman"/>
      <w:sz w:val="20"/>
      <w:szCs w:val="20"/>
      <w:lang w:val="es-MX" w:eastAsia="es-MX"/>
    </w:rPr>
  </w:style>
  <w:style w:type="character" w:styleId="Referenciasutil">
    <w:name w:val="Subtle Reference"/>
    <w:basedOn w:val="Fuentedeprrafopredeter"/>
    <w:uiPriority w:val="31"/>
    <w:qFormat/>
    <w:rsid w:val="00D063E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4063">
      <w:bodyDiv w:val="1"/>
      <w:marLeft w:val="0"/>
      <w:marRight w:val="0"/>
      <w:marTop w:val="0"/>
      <w:marBottom w:val="0"/>
      <w:divBdr>
        <w:top w:val="none" w:sz="0" w:space="0" w:color="auto"/>
        <w:left w:val="none" w:sz="0" w:space="0" w:color="auto"/>
        <w:bottom w:val="none" w:sz="0" w:space="0" w:color="auto"/>
        <w:right w:val="none" w:sz="0" w:space="0" w:color="auto"/>
      </w:divBdr>
    </w:div>
    <w:div w:id="251552888">
      <w:bodyDiv w:val="1"/>
      <w:marLeft w:val="0"/>
      <w:marRight w:val="0"/>
      <w:marTop w:val="0"/>
      <w:marBottom w:val="0"/>
      <w:divBdr>
        <w:top w:val="none" w:sz="0" w:space="0" w:color="auto"/>
        <w:left w:val="none" w:sz="0" w:space="0" w:color="auto"/>
        <w:bottom w:val="none" w:sz="0" w:space="0" w:color="auto"/>
        <w:right w:val="none" w:sz="0" w:space="0" w:color="auto"/>
      </w:divBdr>
    </w:div>
    <w:div w:id="382028238">
      <w:bodyDiv w:val="1"/>
      <w:marLeft w:val="0"/>
      <w:marRight w:val="0"/>
      <w:marTop w:val="0"/>
      <w:marBottom w:val="0"/>
      <w:divBdr>
        <w:top w:val="none" w:sz="0" w:space="0" w:color="auto"/>
        <w:left w:val="none" w:sz="0" w:space="0" w:color="auto"/>
        <w:bottom w:val="none" w:sz="0" w:space="0" w:color="auto"/>
        <w:right w:val="none" w:sz="0" w:space="0" w:color="auto"/>
      </w:divBdr>
    </w:div>
    <w:div w:id="390932161">
      <w:bodyDiv w:val="1"/>
      <w:marLeft w:val="0"/>
      <w:marRight w:val="0"/>
      <w:marTop w:val="0"/>
      <w:marBottom w:val="0"/>
      <w:divBdr>
        <w:top w:val="none" w:sz="0" w:space="0" w:color="auto"/>
        <w:left w:val="none" w:sz="0" w:space="0" w:color="auto"/>
        <w:bottom w:val="none" w:sz="0" w:space="0" w:color="auto"/>
        <w:right w:val="none" w:sz="0" w:space="0" w:color="auto"/>
      </w:divBdr>
    </w:div>
    <w:div w:id="394396137">
      <w:bodyDiv w:val="1"/>
      <w:marLeft w:val="0"/>
      <w:marRight w:val="0"/>
      <w:marTop w:val="0"/>
      <w:marBottom w:val="0"/>
      <w:divBdr>
        <w:top w:val="none" w:sz="0" w:space="0" w:color="auto"/>
        <w:left w:val="none" w:sz="0" w:space="0" w:color="auto"/>
        <w:bottom w:val="none" w:sz="0" w:space="0" w:color="auto"/>
        <w:right w:val="none" w:sz="0" w:space="0" w:color="auto"/>
      </w:divBdr>
    </w:div>
    <w:div w:id="399597969">
      <w:bodyDiv w:val="1"/>
      <w:marLeft w:val="0"/>
      <w:marRight w:val="0"/>
      <w:marTop w:val="0"/>
      <w:marBottom w:val="0"/>
      <w:divBdr>
        <w:top w:val="none" w:sz="0" w:space="0" w:color="auto"/>
        <w:left w:val="none" w:sz="0" w:space="0" w:color="auto"/>
        <w:bottom w:val="none" w:sz="0" w:space="0" w:color="auto"/>
        <w:right w:val="none" w:sz="0" w:space="0" w:color="auto"/>
      </w:divBdr>
    </w:div>
    <w:div w:id="439490324">
      <w:bodyDiv w:val="1"/>
      <w:marLeft w:val="0"/>
      <w:marRight w:val="0"/>
      <w:marTop w:val="0"/>
      <w:marBottom w:val="0"/>
      <w:divBdr>
        <w:top w:val="none" w:sz="0" w:space="0" w:color="auto"/>
        <w:left w:val="none" w:sz="0" w:space="0" w:color="auto"/>
        <w:bottom w:val="none" w:sz="0" w:space="0" w:color="auto"/>
        <w:right w:val="none" w:sz="0" w:space="0" w:color="auto"/>
      </w:divBdr>
    </w:div>
    <w:div w:id="483355226">
      <w:bodyDiv w:val="1"/>
      <w:marLeft w:val="0"/>
      <w:marRight w:val="0"/>
      <w:marTop w:val="0"/>
      <w:marBottom w:val="0"/>
      <w:divBdr>
        <w:top w:val="none" w:sz="0" w:space="0" w:color="auto"/>
        <w:left w:val="none" w:sz="0" w:space="0" w:color="auto"/>
        <w:bottom w:val="none" w:sz="0" w:space="0" w:color="auto"/>
        <w:right w:val="none" w:sz="0" w:space="0" w:color="auto"/>
      </w:divBdr>
    </w:div>
    <w:div w:id="535854273">
      <w:bodyDiv w:val="1"/>
      <w:marLeft w:val="0"/>
      <w:marRight w:val="0"/>
      <w:marTop w:val="0"/>
      <w:marBottom w:val="0"/>
      <w:divBdr>
        <w:top w:val="none" w:sz="0" w:space="0" w:color="auto"/>
        <w:left w:val="none" w:sz="0" w:space="0" w:color="auto"/>
        <w:bottom w:val="none" w:sz="0" w:space="0" w:color="auto"/>
        <w:right w:val="none" w:sz="0" w:space="0" w:color="auto"/>
      </w:divBdr>
    </w:div>
    <w:div w:id="549465595">
      <w:bodyDiv w:val="1"/>
      <w:marLeft w:val="0"/>
      <w:marRight w:val="0"/>
      <w:marTop w:val="0"/>
      <w:marBottom w:val="0"/>
      <w:divBdr>
        <w:top w:val="none" w:sz="0" w:space="0" w:color="auto"/>
        <w:left w:val="none" w:sz="0" w:space="0" w:color="auto"/>
        <w:bottom w:val="none" w:sz="0" w:space="0" w:color="auto"/>
        <w:right w:val="none" w:sz="0" w:space="0" w:color="auto"/>
      </w:divBdr>
    </w:div>
    <w:div w:id="561597396">
      <w:bodyDiv w:val="1"/>
      <w:marLeft w:val="0"/>
      <w:marRight w:val="0"/>
      <w:marTop w:val="0"/>
      <w:marBottom w:val="0"/>
      <w:divBdr>
        <w:top w:val="none" w:sz="0" w:space="0" w:color="auto"/>
        <w:left w:val="none" w:sz="0" w:space="0" w:color="auto"/>
        <w:bottom w:val="none" w:sz="0" w:space="0" w:color="auto"/>
        <w:right w:val="none" w:sz="0" w:space="0" w:color="auto"/>
      </w:divBdr>
    </w:div>
    <w:div w:id="565654090">
      <w:bodyDiv w:val="1"/>
      <w:marLeft w:val="0"/>
      <w:marRight w:val="0"/>
      <w:marTop w:val="0"/>
      <w:marBottom w:val="0"/>
      <w:divBdr>
        <w:top w:val="none" w:sz="0" w:space="0" w:color="auto"/>
        <w:left w:val="none" w:sz="0" w:space="0" w:color="auto"/>
        <w:bottom w:val="none" w:sz="0" w:space="0" w:color="auto"/>
        <w:right w:val="none" w:sz="0" w:space="0" w:color="auto"/>
      </w:divBdr>
    </w:div>
    <w:div w:id="604731026">
      <w:bodyDiv w:val="1"/>
      <w:marLeft w:val="0"/>
      <w:marRight w:val="0"/>
      <w:marTop w:val="0"/>
      <w:marBottom w:val="0"/>
      <w:divBdr>
        <w:top w:val="none" w:sz="0" w:space="0" w:color="auto"/>
        <w:left w:val="none" w:sz="0" w:space="0" w:color="auto"/>
        <w:bottom w:val="none" w:sz="0" w:space="0" w:color="auto"/>
        <w:right w:val="none" w:sz="0" w:space="0" w:color="auto"/>
      </w:divBdr>
    </w:div>
    <w:div w:id="684408745">
      <w:bodyDiv w:val="1"/>
      <w:marLeft w:val="0"/>
      <w:marRight w:val="0"/>
      <w:marTop w:val="0"/>
      <w:marBottom w:val="0"/>
      <w:divBdr>
        <w:top w:val="none" w:sz="0" w:space="0" w:color="auto"/>
        <w:left w:val="none" w:sz="0" w:space="0" w:color="auto"/>
        <w:bottom w:val="none" w:sz="0" w:space="0" w:color="auto"/>
        <w:right w:val="none" w:sz="0" w:space="0" w:color="auto"/>
      </w:divBdr>
    </w:div>
    <w:div w:id="775295147">
      <w:bodyDiv w:val="1"/>
      <w:marLeft w:val="0"/>
      <w:marRight w:val="0"/>
      <w:marTop w:val="0"/>
      <w:marBottom w:val="0"/>
      <w:divBdr>
        <w:top w:val="none" w:sz="0" w:space="0" w:color="auto"/>
        <w:left w:val="none" w:sz="0" w:space="0" w:color="auto"/>
        <w:bottom w:val="none" w:sz="0" w:space="0" w:color="auto"/>
        <w:right w:val="none" w:sz="0" w:space="0" w:color="auto"/>
      </w:divBdr>
    </w:div>
    <w:div w:id="821506982">
      <w:bodyDiv w:val="1"/>
      <w:marLeft w:val="0"/>
      <w:marRight w:val="0"/>
      <w:marTop w:val="0"/>
      <w:marBottom w:val="0"/>
      <w:divBdr>
        <w:top w:val="none" w:sz="0" w:space="0" w:color="auto"/>
        <w:left w:val="none" w:sz="0" w:space="0" w:color="auto"/>
        <w:bottom w:val="none" w:sz="0" w:space="0" w:color="auto"/>
        <w:right w:val="none" w:sz="0" w:space="0" w:color="auto"/>
      </w:divBdr>
    </w:div>
    <w:div w:id="947859450">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209803453">
      <w:bodyDiv w:val="1"/>
      <w:marLeft w:val="0"/>
      <w:marRight w:val="0"/>
      <w:marTop w:val="0"/>
      <w:marBottom w:val="0"/>
      <w:divBdr>
        <w:top w:val="none" w:sz="0" w:space="0" w:color="auto"/>
        <w:left w:val="none" w:sz="0" w:space="0" w:color="auto"/>
        <w:bottom w:val="none" w:sz="0" w:space="0" w:color="auto"/>
        <w:right w:val="none" w:sz="0" w:space="0" w:color="auto"/>
      </w:divBdr>
    </w:div>
    <w:div w:id="1251887635">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556165602">
      <w:bodyDiv w:val="1"/>
      <w:marLeft w:val="0"/>
      <w:marRight w:val="0"/>
      <w:marTop w:val="0"/>
      <w:marBottom w:val="0"/>
      <w:divBdr>
        <w:top w:val="none" w:sz="0" w:space="0" w:color="auto"/>
        <w:left w:val="none" w:sz="0" w:space="0" w:color="auto"/>
        <w:bottom w:val="none" w:sz="0" w:space="0" w:color="auto"/>
        <w:right w:val="none" w:sz="0" w:space="0" w:color="auto"/>
      </w:divBdr>
    </w:div>
    <w:div w:id="1566337143">
      <w:bodyDiv w:val="1"/>
      <w:marLeft w:val="0"/>
      <w:marRight w:val="0"/>
      <w:marTop w:val="0"/>
      <w:marBottom w:val="0"/>
      <w:divBdr>
        <w:top w:val="none" w:sz="0" w:space="0" w:color="auto"/>
        <w:left w:val="none" w:sz="0" w:space="0" w:color="auto"/>
        <w:bottom w:val="none" w:sz="0" w:space="0" w:color="auto"/>
        <w:right w:val="none" w:sz="0" w:space="0" w:color="auto"/>
      </w:divBdr>
    </w:div>
    <w:div w:id="1593971441">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1765803193">
      <w:bodyDiv w:val="1"/>
      <w:marLeft w:val="0"/>
      <w:marRight w:val="0"/>
      <w:marTop w:val="0"/>
      <w:marBottom w:val="0"/>
      <w:divBdr>
        <w:top w:val="none" w:sz="0" w:space="0" w:color="auto"/>
        <w:left w:val="none" w:sz="0" w:space="0" w:color="auto"/>
        <w:bottom w:val="none" w:sz="0" w:space="0" w:color="auto"/>
        <w:right w:val="none" w:sz="0" w:space="0" w:color="auto"/>
      </w:divBdr>
    </w:div>
    <w:div w:id="1815095644">
      <w:bodyDiv w:val="1"/>
      <w:marLeft w:val="0"/>
      <w:marRight w:val="0"/>
      <w:marTop w:val="0"/>
      <w:marBottom w:val="0"/>
      <w:divBdr>
        <w:top w:val="none" w:sz="0" w:space="0" w:color="auto"/>
        <w:left w:val="none" w:sz="0" w:space="0" w:color="auto"/>
        <w:bottom w:val="none" w:sz="0" w:space="0" w:color="auto"/>
        <w:right w:val="none" w:sz="0" w:space="0" w:color="auto"/>
      </w:divBdr>
    </w:div>
    <w:div w:id="1871718255">
      <w:bodyDiv w:val="1"/>
      <w:marLeft w:val="0"/>
      <w:marRight w:val="0"/>
      <w:marTop w:val="0"/>
      <w:marBottom w:val="0"/>
      <w:divBdr>
        <w:top w:val="none" w:sz="0" w:space="0" w:color="auto"/>
        <w:left w:val="none" w:sz="0" w:space="0" w:color="auto"/>
        <w:bottom w:val="none" w:sz="0" w:space="0" w:color="auto"/>
        <w:right w:val="none" w:sz="0" w:space="0" w:color="auto"/>
      </w:divBdr>
    </w:div>
    <w:div w:id="1887989986">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 w:id="2082630208">
      <w:bodyDiv w:val="1"/>
      <w:marLeft w:val="0"/>
      <w:marRight w:val="0"/>
      <w:marTop w:val="0"/>
      <w:marBottom w:val="0"/>
      <w:divBdr>
        <w:top w:val="none" w:sz="0" w:space="0" w:color="auto"/>
        <w:left w:val="none" w:sz="0" w:space="0" w:color="auto"/>
        <w:bottom w:val="none" w:sz="0" w:space="0" w:color="auto"/>
        <w:right w:val="none" w:sz="0" w:space="0" w:color="auto"/>
      </w:divBdr>
    </w:div>
    <w:div w:id="2098213949">
      <w:bodyDiv w:val="1"/>
      <w:marLeft w:val="0"/>
      <w:marRight w:val="0"/>
      <w:marTop w:val="0"/>
      <w:marBottom w:val="0"/>
      <w:divBdr>
        <w:top w:val="none" w:sz="0" w:space="0" w:color="auto"/>
        <w:left w:val="none" w:sz="0" w:space="0" w:color="auto"/>
        <w:bottom w:val="none" w:sz="0" w:space="0" w:color="auto"/>
        <w:right w:val="none" w:sz="0" w:space="0" w:color="auto"/>
      </w:divBdr>
    </w:div>
    <w:div w:id="21013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95971.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850770.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2434</Words>
  <Characters>13392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2023-10-03T20:43:00Z</dcterms:created>
  <dcterms:modified xsi:type="dcterms:W3CDTF">2023-10-18T16:55:00Z</dcterms:modified>
</cp:coreProperties>
</file>