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62D7DE7" w:rsidR="00A970D5" w:rsidRPr="003A5EDE" w:rsidRDefault="00A970D5" w:rsidP="006922F5">
      <w:pPr>
        <w:pBdr>
          <w:top w:val="nil"/>
          <w:left w:val="nil"/>
          <w:bottom w:val="nil"/>
          <w:right w:val="nil"/>
          <w:between w:val="nil"/>
        </w:pBdr>
        <w:contextualSpacing/>
        <w:rPr>
          <w:rFonts w:eastAsia="Palatino Linotype" w:cs="Palatino Linotype"/>
          <w:color w:val="000000"/>
          <w:szCs w:val="24"/>
        </w:rPr>
      </w:pPr>
      <w:r w:rsidRPr="003A5ED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3A5EDE">
        <w:rPr>
          <w:rFonts w:eastAsia="Palatino Linotype" w:cs="Palatino Linotype"/>
          <w:color w:val="000000"/>
          <w:szCs w:val="24"/>
        </w:rPr>
        <w:t xml:space="preserve">México, a </w:t>
      </w:r>
      <w:r w:rsidR="00247C45" w:rsidRPr="003A5EDE">
        <w:rPr>
          <w:rFonts w:eastAsia="Palatino Linotype" w:cs="Palatino Linotype"/>
          <w:color w:val="000000"/>
          <w:szCs w:val="24"/>
        </w:rPr>
        <w:t>d</w:t>
      </w:r>
      <w:r w:rsidR="006C2CEF" w:rsidRPr="003A5EDE">
        <w:rPr>
          <w:rFonts w:eastAsia="Palatino Linotype" w:cs="Palatino Linotype"/>
          <w:color w:val="000000"/>
          <w:szCs w:val="24"/>
        </w:rPr>
        <w:t>ieci</w:t>
      </w:r>
      <w:r w:rsidR="003A5EDE" w:rsidRPr="003A5EDE">
        <w:rPr>
          <w:rFonts w:eastAsia="Palatino Linotype" w:cs="Palatino Linotype"/>
          <w:color w:val="000000"/>
          <w:szCs w:val="24"/>
        </w:rPr>
        <w:t>ocho de enero de dos mil veintitrés</w:t>
      </w:r>
      <w:r w:rsidRPr="003A5EDE">
        <w:rPr>
          <w:rFonts w:eastAsia="Palatino Linotype" w:cs="Palatino Linotype"/>
          <w:color w:val="000000"/>
          <w:szCs w:val="24"/>
        </w:rPr>
        <w:t>.</w:t>
      </w:r>
    </w:p>
    <w:p w14:paraId="60399B74" w14:textId="77777777" w:rsidR="00A970D5" w:rsidRPr="003A5ED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34D2B4A" w:rsidR="00A970D5" w:rsidRPr="003A5EDE" w:rsidRDefault="00A970D5" w:rsidP="006922F5">
      <w:pPr>
        <w:pBdr>
          <w:top w:val="nil"/>
          <w:left w:val="nil"/>
          <w:bottom w:val="nil"/>
          <w:right w:val="nil"/>
          <w:between w:val="nil"/>
        </w:pBdr>
        <w:contextualSpacing/>
        <w:rPr>
          <w:rFonts w:eastAsia="Palatino Linotype" w:cs="Palatino Linotype"/>
          <w:color w:val="000000"/>
          <w:szCs w:val="24"/>
        </w:rPr>
      </w:pPr>
      <w:r w:rsidRPr="003A5EDE">
        <w:rPr>
          <w:rFonts w:eastAsia="Palatino Linotype" w:cs="Palatino Linotype"/>
          <w:b/>
          <w:color w:val="000000"/>
          <w:szCs w:val="24"/>
        </w:rPr>
        <w:t>VISTO</w:t>
      </w:r>
      <w:r w:rsidRPr="003A5EDE">
        <w:rPr>
          <w:rFonts w:eastAsia="Palatino Linotype" w:cs="Palatino Linotype"/>
          <w:color w:val="000000"/>
          <w:szCs w:val="24"/>
        </w:rPr>
        <w:t xml:space="preserve"> el expediente electrónico formado con motivo del recurso de revisión número </w:t>
      </w:r>
      <w:r w:rsidR="00247C45" w:rsidRPr="003A5EDE">
        <w:rPr>
          <w:rFonts w:eastAsia="Palatino Linotype" w:cs="Palatino Linotype"/>
          <w:b/>
          <w:color w:val="000000"/>
          <w:szCs w:val="24"/>
        </w:rPr>
        <w:t>12</w:t>
      </w:r>
      <w:r w:rsidR="003A5EDE" w:rsidRPr="003A5EDE">
        <w:rPr>
          <w:rFonts w:eastAsia="Palatino Linotype" w:cs="Palatino Linotype"/>
          <w:b/>
          <w:color w:val="000000"/>
          <w:szCs w:val="24"/>
        </w:rPr>
        <w:t>540</w:t>
      </w:r>
      <w:r w:rsidRPr="003A5EDE">
        <w:rPr>
          <w:rFonts w:eastAsia="Palatino Linotype" w:cs="Palatino Linotype"/>
          <w:b/>
          <w:color w:val="000000"/>
          <w:szCs w:val="24"/>
        </w:rPr>
        <w:t>/INFOEM/IP/RR/202</w:t>
      </w:r>
      <w:r w:rsidR="00885F19" w:rsidRPr="003A5EDE">
        <w:rPr>
          <w:rFonts w:eastAsia="Palatino Linotype" w:cs="Palatino Linotype"/>
          <w:b/>
          <w:color w:val="000000"/>
          <w:szCs w:val="24"/>
        </w:rPr>
        <w:t>2</w:t>
      </w:r>
      <w:r w:rsidR="00B54BC7" w:rsidRPr="003A5EDE">
        <w:rPr>
          <w:rFonts w:eastAsia="Palatino Linotype" w:cs="Palatino Linotype"/>
          <w:color w:val="000000"/>
          <w:szCs w:val="24"/>
        </w:rPr>
        <w:t>, interpuesto por</w:t>
      </w:r>
      <w:r w:rsidR="002D2F64" w:rsidRPr="003A5EDE">
        <w:rPr>
          <w:rFonts w:eastAsia="Palatino Linotype" w:cs="Palatino Linotype"/>
          <w:color w:val="000000"/>
          <w:szCs w:val="24"/>
        </w:rPr>
        <w:t xml:space="preserve"> </w:t>
      </w:r>
      <w:r w:rsidR="005951F5">
        <w:rPr>
          <w:rFonts w:eastAsia="Palatino Linotype" w:cs="Palatino Linotype"/>
          <w:b/>
          <w:bCs/>
          <w:color w:val="000000"/>
          <w:szCs w:val="24"/>
        </w:rPr>
        <w:t>XXXXXXXXXXXXXXXXXXXXXXXXXXX</w:t>
      </w:r>
      <w:r w:rsidR="005951F5">
        <w:rPr>
          <w:rFonts w:eastAsia="Palatino Linotype" w:cs="Palatino Linotype"/>
          <w:b/>
          <w:bCs/>
          <w:color w:val="000000"/>
          <w:szCs w:val="24"/>
        </w:rPr>
        <w:t>X</w:t>
      </w:r>
      <w:bookmarkStart w:id="0" w:name="_GoBack"/>
      <w:bookmarkEnd w:id="0"/>
      <w:r w:rsidR="00B54BC7" w:rsidRPr="003A5EDE">
        <w:rPr>
          <w:rFonts w:eastAsia="Palatino Linotype" w:cs="Palatino Linotype"/>
          <w:color w:val="000000"/>
          <w:szCs w:val="24"/>
        </w:rPr>
        <w:t xml:space="preserve">, en lo sucesivo </w:t>
      </w:r>
      <w:r w:rsidR="003A5EDE" w:rsidRPr="003A5EDE">
        <w:rPr>
          <w:rFonts w:eastAsia="Palatino Linotype" w:cs="Palatino Linotype"/>
          <w:color w:val="000000"/>
          <w:szCs w:val="24"/>
        </w:rPr>
        <w:t>la</w:t>
      </w:r>
      <w:r w:rsidR="00B54BC7" w:rsidRPr="003A5EDE">
        <w:rPr>
          <w:rFonts w:eastAsia="Palatino Linotype" w:cs="Palatino Linotype"/>
          <w:color w:val="000000"/>
          <w:szCs w:val="24"/>
        </w:rPr>
        <w:t xml:space="preserve"> </w:t>
      </w:r>
      <w:r w:rsidRPr="003A5EDE">
        <w:rPr>
          <w:rFonts w:eastAsia="Palatino Linotype" w:cs="Palatino Linotype"/>
          <w:b/>
          <w:color w:val="000000"/>
          <w:szCs w:val="24"/>
        </w:rPr>
        <w:t>Recurrente</w:t>
      </w:r>
      <w:r w:rsidRPr="003A5EDE">
        <w:rPr>
          <w:rFonts w:eastAsia="Palatino Linotype" w:cs="Palatino Linotype"/>
          <w:color w:val="000000"/>
          <w:szCs w:val="24"/>
        </w:rPr>
        <w:t>, en contra de la respuesta de</w:t>
      </w:r>
      <w:r w:rsidR="00B54BC7" w:rsidRPr="003A5EDE">
        <w:rPr>
          <w:rFonts w:eastAsia="Palatino Linotype" w:cs="Palatino Linotype"/>
          <w:color w:val="000000"/>
          <w:szCs w:val="24"/>
        </w:rPr>
        <w:t>l</w:t>
      </w:r>
      <w:r w:rsidRPr="003A5EDE">
        <w:rPr>
          <w:rFonts w:eastAsia="Palatino Linotype" w:cs="Palatino Linotype"/>
          <w:color w:val="000000"/>
          <w:szCs w:val="24"/>
        </w:rPr>
        <w:t xml:space="preserve"> </w:t>
      </w:r>
      <w:r w:rsidR="003A5EDE" w:rsidRPr="003A5EDE">
        <w:rPr>
          <w:rFonts w:eastAsia="Palatino Linotype" w:cs="Palatino Linotype"/>
          <w:b/>
          <w:color w:val="000000"/>
          <w:szCs w:val="24"/>
        </w:rPr>
        <w:t>Instituto de Salud del Estado de México</w:t>
      </w:r>
      <w:r w:rsidR="0051074E" w:rsidRPr="003A5EDE">
        <w:rPr>
          <w:rFonts w:eastAsia="Palatino Linotype" w:cs="Palatino Linotype"/>
          <w:color w:val="000000"/>
          <w:szCs w:val="24"/>
        </w:rPr>
        <w:t xml:space="preserve">, </w:t>
      </w:r>
      <w:r w:rsidRPr="003A5EDE">
        <w:rPr>
          <w:rFonts w:eastAsia="Palatino Linotype" w:cs="Palatino Linotype"/>
          <w:color w:val="000000"/>
          <w:szCs w:val="24"/>
        </w:rPr>
        <w:t>en lo subsecuente</w:t>
      </w:r>
      <w:r w:rsidRPr="003A5EDE">
        <w:rPr>
          <w:rFonts w:eastAsia="Palatino Linotype" w:cs="Palatino Linotype"/>
          <w:b/>
          <w:color w:val="000000"/>
          <w:szCs w:val="24"/>
        </w:rPr>
        <w:t xml:space="preserve"> </w:t>
      </w:r>
      <w:r w:rsidRPr="003A5EDE">
        <w:rPr>
          <w:rFonts w:eastAsia="Palatino Linotype" w:cs="Palatino Linotype"/>
          <w:color w:val="000000"/>
          <w:szCs w:val="24"/>
        </w:rPr>
        <w:t>el</w:t>
      </w:r>
      <w:r w:rsidRPr="003A5EDE">
        <w:rPr>
          <w:rFonts w:eastAsia="Palatino Linotype" w:cs="Palatino Linotype"/>
          <w:b/>
          <w:color w:val="000000"/>
          <w:szCs w:val="24"/>
        </w:rPr>
        <w:t xml:space="preserve"> Sujeto Obligado, </w:t>
      </w:r>
      <w:r w:rsidRPr="003A5EDE">
        <w:rPr>
          <w:rFonts w:eastAsia="Palatino Linotype" w:cs="Palatino Linotype"/>
          <w:color w:val="000000"/>
          <w:szCs w:val="24"/>
        </w:rPr>
        <w:t>se procede a dictar la presente resolución.</w:t>
      </w:r>
    </w:p>
    <w:p w14:paraId="2E2053C2" w14:textId="77777777" w:rsidR="00A970D5" w:rsidRPr="003A5ED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3A5ED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5BD2A47F" w:rsidR="00A970D5" w:rsidRPr="003A5EDE" w:rsidRDefault="00B36B86" w:rsidP="006922F5">
      <w:pPr>
        <w:pBdr>
          <w:top w:val="nil"/>
          <w:left w:val="nil"/>
          <w:bottom w:val="nil"/>
          <w:right w:val="nil"/>
          <w:between w:val="nil"/>
        </w:pBdr>
        <w:contextualSpacing/>
        <w:rPr>
          <w:rFonts w:eastAsia="Palatino Linotype" w:cs="Palatino Linotype"/>
          <w:color w:val="000000"/>
          <w:szCs w:val="24"/>
        </w:rPr>
      </w:pPr>
      <w:r w:rsidRPr="003A5EDE">
        <w:rPr>
          <w:rFonts w:eastAsia="Palatino Linotype" w:cs="Palatino Linotype"/>
          <w:color w:val="000000"/>
          <w:szCs w:val="24"/>
        </w:rPr>
        <w:t xml:space="preserve">Con fecha </w:t>
      </w:r>
      <w:r w:rsidR="00247C45" w:rsidRPr="003A5EDE">
        <w:rPr>
          <w:rFonts w:eastAsia="Palatino Linotype" w:cs="Palatino Linotype"/>
          <w:color w:val="000000"/>
          <w:szCs w:val="24"/>
        </w:rPr>
        <w:t>dieci</w:t>
      </w:r>
      <w:r w:rsidR="003A5EDE">
        <w:rPr>
          <w:rFonts w:eastAsia="Palatino Linotype" w:cs="Palatino Linotype"/>
          <w:color w:val="000000"/>
          <w:szCs w:val="24"/>
        </w:rPr>
        <w:t>séis de junio</w:t>
      </w:r>
      <w:r w:rsidR="0051074E" w:rsidRPr="003A5EDE">
        <w:rPr>
          <w:rFonts w:eastAsia="Palatino Linotype" w:cs="Palatino Linotype"/>
          <w:color w:val="000000"/>
          <w:szCs w:val="24"/>
        </w:rPr>
        <w:t xml:space="preserve"> de dos mil veintidós</w:t>
      </w:r>
      <w:r w:rsidR="00B54BC7" w:rsidRPr="003A5EDE">
        <w:rPr>
          <w:rFonts w:eastAsia="Palatino Linotype" w:cs="Palatino Linotype"/>
          <w:color w:val="000000"/>
          <w:szCs w:val="24"/>
        </w:rPr>
        <w:t xml:space="preserve">, </w:t>
      </w:r>
      <w:r w:rsidR="003A5EDE">
        <w:rPr>
          <w:rFonts w:eastAsia="Palatino Linotype" w:cs="Palatino Linotype"/>
          <w:color w:val="000000"/>
          <w:szCs w:val="24"/>
        </w:rPr>
        <w:t>la</w:t>
      </w:r>
      <w:r w:rsidR="00A970D5" w:rsidRPr="003A5EDE">
        <w:rPr>
          <w:rFonts w:eastAsia="Palatino Linotype" w:cs="Palatino Linotype"/>
          <w:color w:val="000000"/>
          <w:szCs w:val="24"/>
        </w:rPr>
        <w:t xml:space="preserve"> Recurrente presentó </w:t>
      </w:r>
      <w:r w:rsidR="00D673A9" w:rsidRPr="003A5EDE">
        <w:rPr>
          <w:rFonts w:eastAsia="Palatino Linotype" w:cs="Palatino Linotype"/>
          <w:color w:val="000000"/>
          <w:szCs w:val="24"/>
        </w:rPr>
        <w:t>solicitud de información que fue registrada en</w:t>
      </w:r>
      <w:r w:rsidR="00A970D5" w:rsidRPr="003A5EDE">
        <w:rPr>
          <w:rFonts w:eastAsia="Palatino Linotype" w:cs="Palatino Linotype"/>
          <w:color w:val="000000"/>
          <w:szCs w:val="24"/>
        </w:rPr>
        <w:t xml:space="preserve"> el Sistema de Acceso a la </w:t>
      </w:r>
      <w:r w:rsidR="00D673A9" w:rsidRPr="003A5EDE">
        <w:rPr>
          <w:rFonts w:eastAsia="Palatino Linotype" w:cs="Palatino Linotype"/>
          <w:color w:val="000000"/>
          <w:szCs w:val="24"/>
        </w:rPr>
        <w:t>Información Mexiquense (SAIMEX)</w:t>
      </w:r>
      <w:r w:rsidR="00A970D5" w:rsidRPr="003A5EDE">
        <w:rPr>
          <w:rFonts w:eastAsia="Palatino Linotype" w:cs="Palatino Linotype"/>
          <w:color w:val="000000"/>
          <w:szCs w:val="24"/>
        </w:rPr>
        <w:t xml:space="preserve"> con el número de expediente</w:t>
      </w:r>
      <w:r w:rsidR="00A970D5" w:rsidRPr="003A5EDE">
        <w:rPr>
          <w:rFonts w:eastAsia="Palatino Linotype" w:cs="Palatino Linotype"/>
          <w:b/>
          <w:color w:val="000000"/>
          <w:szCs w:val="24"/>
        </w:rPr>
        <w:t xml:space="preserve"> </w:t>
      </w:r>
      <w:r w:rsidR="003A5EDE" w:rsidRPr="003A5EDE">
        <w:rPr>
          <w:rFonts w:eastAsia="Palatino Linotype" w:cs="Palatino Linotype"/>
          <w:b/>
          <w:bCs/>
          <w:color w:val="000000"/>
          <w:szCs w:val="24"/>
        </w:rPr>
        <w:t>00404/ISEM/IP/2022</w:t>
      </w:r>
      <w:r w:rsidR="00A970D5" w:rsidRPr="003A5EDE">
        <w:rPr>
          <w:rFonts w:eastAsia="Palatino Linotype" w:cs="Palatino Linotype"/>
          <w:color w:val="000000"/>
          <w:szCs w:val="24"/>
        </w:rPr>
        <w:t>,</w:t>
      </w:r>
      <w:r w:rsidR="00A970D5" w:rsidRPr="003A5EDE">
        <w:rPr>
          <w:rFonts w:eastAsia="Palatino Linotype" w:cs="Palatino Linotype"/>
          <w:b/>
          <w:color w:val="000000"/>
          <w:szCs w:val="24"/>
        </w:rPr>
        <w:t xml:space="preserve"> </w:t>
      </w:r>
      <w:r w:rsidR="00A970D5" w:rsidRPr="003A5EDE">
        <w:rPr>
          <w:rFonts w:eastAsia="Palatino Linotype" w:cs="Palatino Linotype"/>
          <w:color w:val="000000"/>
          <w:szCs w:val="24"/>
        </w:rPr>
        <w:t>mediante la cual solicitó información en el tenor siguiente:</w:t>
      </w:r>
    </w:p>
    <w:p w14:paraId="68B56D82" w14:textId="77777777" w:rsidR="00A970D5" w:rsidRPr="003A5ED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17E4A3E" w:rsidR="00A970D5" w:rsidRPr="006922F5" w:rsidRDefault="00A970D5" w:rsidP="006922F5">
      <w:pPr>
        <w:pStyle w:val="Fundamentos"/>
      </w:pPr>
      <w:r w:rsidRPr="006922F5">
        <w:t>“</w:t>
      </w:r>
      <w:r w:rsidR="003A5EDE" w:rsidRPr="003A5EDE">
        <w:t>SOLICITO A USTED SE ME PROPORCIONEN LAS HOJAS DE REGISTRO DE LAS PERSONAS ATENDIDAS EN LAS CLINICAS DE SALUD DE LAS COMUNIDADES DE AGOSTADERO, PUENTECILLAS, SAN FRANCISCO SHAXNI Y CONEJERAS DE LOS MESES DE MAYO, JUNIO, JULIO. AGOSTO, SEPTIEMBRE, OCTUBRE, NOVIEMBRE Y DICIEMBRE DE 2021. ASI MISMO SOLICITO LOS CONTRATOS DE LOS MEDICOS QUE ESTUVIERON EN LAS CITADAS CLINICAS DURANTE ESOS MESES. TAMBIEN SOLICITO EL METODO DE ASIGNACION DE LOS MEDICOS A LAS CLINICAS DE SALUD EN DICHAS COMUNIDADES.</w:t>
      </w:r>
      <w:r w:rsidRPr="006922F5">
        <w:t xml:space="preserve">” </w:t>
      </w:r>
      <w:r w:rsidR="00D7260C" w:rsidRPr="006922F5">
        <w:t>(</w:t>
      </w:r>
      <w:r w:rsidRPr="006922F5">
        <w:t>Sic</w:t>
      </w:r>
      <w:r w:rsidR="00D7260C" w:rsidRPr="006922F5">
        <w:t>)</w:t>
      </w:r>
    </w:p>
    <w:p w14:paraId="40BBECCB" w14:textId="77777777" w:rsidR="00A970D5" w:rsidRPr="003A5ED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3A5EDE" w:rsidRDefault="00A970D5" w:rsidP="006922F5">
      <w:pPr>
        <w:pBdr>
          <w:top w:val="nil"/>
          <w:left w:val="nil"/>
          <w:bottom w:val="nil"/>
          <w:right w:val="nil"/>
          <w:between w:val="nil"/>
        </w:pBdr>
        <w:contextualSpacing/>
        <w:rPr>
          <w:rFonts w:eastAsia="Palatino Linotype" w:cs="Palatino Linotype"/>
          <w:b/>
          <w:color w:val="000000"/>
          <w:szCs w:val="24"/>
        </w:rPr>
      </w:pPr>
      <w:r w:rsidRPr="003A5EDE">
        <w:rPr>
          <w:rFonts w:eastAsia="Palatino Linotype" w:cs="Palatino Linotype"/>
          <w:color w:val="000000"/>
          <w:szCs w:val="24"/>
        </w:rPr>
        <w:lastRenderedPageBreak/>
        <w:t xml:space="preserve">Modalidad de entrega: </w:t>
      </w:r>
      <w:r w:rsidRPr="003A5EDE">
        <w:rPr>
          <w:rFonts w:eastAsia="Palatino Linotype" w:cs="Palatino Linotype"/>
          <w:b/>
          <w:color w:val="000000"/>
          <w:szCs w:val="24"/>
        </w:rPr>
        <w:t>A través del SAIMEX</w:t>
      </w:r>
      <w:r w:rsidRPr="003A5EDE">
        <w:rPr>
          <w:rFonts w:eastAsia="Palatino Linotype" w:cs="Palatino Linotype"/>
          <w:color w:val="000000"/>
          <w:szCs w:val="24"/>
        </w:rPr>
        <w:t>.</w:t>
      </w:r>
    </w:p>
    <w:p w14:paraId="035FB8D4" w14:textId="77777777" w:rsidR="003938ED" w:rsidRPr="003A5EDE" w:rsidRDefault="003938ED" w:rsidP="006922F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6922F5" w:rsidRDefault="002D2F64" w:rsidP="006922F5">
      <w:pPr>
        <w:pStyle w:val="Ttulo2"/>
        <w:rPr>
          <w:rFonts w:eastAsia="Palatino Linotype"/>
        </w:rPr>
      </w:pPr>
      <w:r w:rsidRPr="006922F5">
        <w:rPr>
          <w:rFonts w:eastAsia="Palatino Linotype"/>
        </w:rPr>
        <w:t>SEGUNDO</w:t>
      </w:r>
      <w:r w:rsidR="00A970D5" w:rsidRPr="006922F5">
        <w:rPr>
          <w:rFonts w:eastAsia="Palatino Linotype"/>
        </w:rPr>
        <w:t>. De la respuesta del Sujeto Obligado.</w:t>
      </w:r>
    </w:p>
    <w:p w14:paraId="2EE6F294" w14:textId="73FA944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614724">
        <w:rPr>
          <w:rFonts w:eastAsia="Palatino Linotype" w:cs="Palatino Linotype"/>
          <w:color w:val="000000"/>
          <w:szCs w:val="24"/>
        </w:rPr>
        <w:t xml:space="preserve">e el día </w:t>
      </w:r>
      <w:r w:rsidR="003A5EDE">
        <w:rPr>
          <w:rFonts w:eastAsia="Palatino Linotype" w:cs="Palatino Linotype"/>
          <w:color w:val="000000"/>
          <w:szCs w:val="24"/>
        </w:rPr>
        <w:t>siete de julio</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443B1DA" w14:textId="705AF992" w:rsidR="004B061A" w:rsidRDefault="00A970D5" w:rsidP="004B061A">
      <w:pPr>
        <w:pStyle w:val="Fundamentos"/>
      </w:pPr>
      <w:r w:rsidRPr="006922F5">
        <w:t>“</w:t>
      </w:r>
      <w:r w:rsidR="004B061A">
        <w:t>En respuesta a la solicitud recibida, nos permitimos hacer de su conocimiento que con fundamento en el artículo 53, Fracciones: II, V y VI de la Ley de Transparencia y Acceso a la Información Pública del Estado de México y Municipios, le contestamos que:</w:t>
      </w:r>
    </w:p>
    <w:p w14:paraId="6D254C46" w14:textId="77777777" w:rsidR="004B061A" w:rsidRDefault="004B061A" w:rsidP="004B061A">
      <w:pPr>
        <w:pStyle w:val="Fundamentos"/>
      </w:pPr>
    </w:p>
    <w:p w14:paraId="540ACD80" w14:textId="4AEC0B8C" w:rsidR="004B061A" w:rsidRDefault="004B061A" w:rsidP="004B061A">
      <w:pPr>
        <w:pStyle w:val="Fundamentos"/>
      </w:pPr>
      <w:r>
        <w:t>Se da atención a su solicitud.</w:t>
      </w:r>
    </w:p>
    <w:p w14:paraId="5C83C5E9" w14:textId="77777777" w:rsidR="004B061A" w:rsidRDefault="004B061A" w:rsidP="004B061A">
      <w:pPr>
        <w:pStyle w:val="Fundamentos"/>
      </w:pPr>
    </w:p>
    <w:p w14:paraId="3D7A8CC4" w14:textId="77777777" w:rsidR="004B061A" w:rsidRDefault="004B061A" w:rsidP="004B061A">
      <w:pPr>
        <w:pStyle w:val="Fundamentos"/>
      </w:pPr>
      <w:r>
        <w:t>ATENTAMENTE</w:t>
      </w:r>
    </w:p>
    <w:p w14:paraId="3FE4A9EF" w14:textId="21771485" w:rsidR="00A970D5" w:rsidRPr="006922F5" w:rsidRDefault="004B061A" w:rsidP="004B061A">
      <w:pPr>
        <w:pStyle w:val="Fundamentos"/>
      </w:pPr>
      <w:r>
        <w:t>LIC. ELOINA SILVETTE DÍAZ GUTIÉRREZ</w:t>
      </w:r>
      <w:r w:rsidR="00A970D5" w:rsidRPr="006922F5">
        <w:t>” (Sic)</w:t>
      </w:r>
    </w:p>
    <w:p w14:paraId="4E8ED7C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EB4C948" w14:textId="1983D077" w:rsidR="001107C4" w:rsidRPr="00614724" w:rsidRDefault="001107C4" w:rsidP="006922F5">
      <w:pPr>
        <w:pBdr>
          <w:top w:val="nil"/>
          <w:left w:val="nil"/>
          <w:bottom w:val="nil"/>
          <w:right w:val="nil"/>
          <w:between w:val="nil"/>
        </w:pBdr>
        <w:contextualSpacing/>
        <w:rPr>
          <w:rFonts w:eastAsia="Palatino Linotype" w:cs="Palatino Linotype"/>
          <w:b/>
          <w:bCs/>
          <w:color w:val="000000"/>
          <w:szCs w:val="24"/>
        </w:rPr>
      </w:pPr>
      <w:r w:rsidRPr="006922F5">
        <w:rPr>
          <w:rFonts w:eastAsia="Palatino Linotype" w:cs="Palatino Linotype"/>
          <w:color w:val="000000"/>
          <w:szCs w:val="24"/>
        </w:rPr>
        <w:t xml:space="preserve">El Sujeto Obligado </w:t>
      </w:r>
      <w:r w:rsidR="00663B72" w:rsidRPr="006922F5">
        <w:rPr>
          <w:rFonts w:eastAsia="Palatino Linotype" w:cs="Palatino Linotype"/>
          <w:color w:val="000000"/>
          <w:szCs w:val="24"/>
        </w:rPr>
        <w:t>anexó a la respuesta l</w:t>
      </w:r>
      <w:r w:rsidR="00A159DE" w:rsidRPr="006922F5">
        <w:rPr>
          <w:rFonts w:eastAsia="Palatino Linotype" w:cs="Palatino Linotype"/>
          <w:color w:val="000000"/>
          <w:szCs w:val="24"/>
        </w:rPr>
        <w:t>os</w:t>
      </w:r>
      <w:r w:rsidR="00663B72" w:rsidRPr="006922F5">
        <w:rPr>
          <w:rFonts w:eastAsia="Palatino Linotype" w:cs="Palatino Linotype"/>
          <w:color w:val="000000"/>
          <w:szCs w:val="24"/>
        </w:rPr>
        <w:t xml:space="preserve"> documento</w:t>
      </w:r>
      <w:r w:rsidR="00A159DE" w:rsidRPr="006922F5">
        <w:rPr>
          <w:rFonts w:eastAsia="Palatino Linotype" w:cs="Palatino Linotype"/>
          <w:color w:val="000000"/>
          <w:szCs w:val="24"/>
        </w:rPr>
        <w:t>s</w:t>
      </w:r>
      <w:r w:rsidR="00663B72" w:rsidRPr="006922F5">
        <w:rPr>
          <w:rFonts w:eastAsia="Palatino Linotype" w:cs="Palatino Linotype"/>
          <w:color w:val="000000"/>
          <w:szCs w:val="24"/>
        </w:rPr>
        <w:t xml:space="preserve"> denominado</w:t>
      </w:r>
      <w:r w:rsidR="00A159DE" w:rsidRPr="006922F5">
        <w:rPr>
          <w:rFonts w:eastAsia="Palatino Linotype" w:cs="Palatino Linotype"/>
          <w:color w:val="000000"/>
          <w:szCs w:val="24"/>
        </w:rPr>
        <w:t>s</w:t>
      </w:r>
      <w:r w:rsidR="00C5042D" w:rsidRPr="006922F5">
        <w:rPr>
          <w:rFonts w:eastAsia="Palatino Linotype" w:cs="Palatino Linotype"/>
          <w:b/>
          <w:bCs/>
          <w:color w:val="000000"/>
          <w:szCs w:val="24"/>
        </w:rPr>
        <w:t xml:space="preserve"> </w:t>
      </w:r>
      <w:r w:rsidR="00614724">
        <w:rPr>
          <w:rFonts w:eastAsia="Palatino Linotype" w:cs="Palatino Linotype"/>
          <w:b/>
          <w:bCs/>
          <w:color w:val="000000"/>
          <w:szCs w:val="24"/>
        </w:rPr>
        <w:t>“</w:t>
      </w:r>
      <w:r w:rsidR="004B061A">
        <w:rPr>
          <w:rFonts w:eastAsia="Palatino Linotype" w:cs="Palatino Linotype"/>
          <w:b/>
          <w:bCs/>
          <w:color w:val="000000"/>
          <w:szCs w:val="24"/>
        </w:rPr>
        <w:t xml:space="preserve">07072022 Respuesta sol 00404 2022 447 </w:t>
      </w:r>
      <w:proofErr w:type="spellStart"/>
      <w:r w:rsidR="004B061A">
        <w:rPr>
          <w:rFonts w:eastAsia="Palatino Linotype" w:cs="Palatino Linotype"/>
          <w:b/>
          <w:bCs/>
          <w:color w:val="000000"/>
          <w:szCs w:val="24"/>
        </w:rPr>
        <w:t>saimex</w:t>
      </w:r>
      <w:proofErr w:type="spellEnd"/>
      <w:r w:rsidR="00614724">
        <w:rPr>
          <w:rFonts w:eastAsia="Palatino Linotype" w:cs="Palatino Linotype"/>
          <w:b/>
          <w:bCs/>
          <w:color w:val="000000"/>
          <w:szCs w:val="24"/>
        </w:rPr>
        <w:t>”</w:t>
      </w:r>
      <w:r w:rsidR="00614724" w:rsidRPr="00614724">
        <w:rPr>
          <w:rFonts w:eastAsia="Palatino Linotype" w:cs="Palatino Linotype"/>
          <w:bCs/>
          <w:color w:val="000000"/>
          <w:szCs w:val="24"/>
        </w:rPr>
        <w:t xml:space="preserve">, </w:t>
      </w:r>
      <w:r w:rsidR="00614724">
        <w:rPr>
          <w:rFonts w:eastAsia="Palatino Linotype" w:cs="Palatino Linotype"/>
          <w:b/>
          <w:bCs/>
          <w:color w:val="000000"/>
          <w:szCs w:val="24"/>
        </w:rPr>
        <w:t>“</w:t>
      </w:r>
      <w:r w:rsidR="004B061A">
        <w:rPr>
          <w:rFonts w:eastAsia="Palatino Linotype" w:cs="Palatino Linotype"/>
          <w:b/>
          <w:bCs/>
          <w:color w:val="000000"/>
          <w:szCs w:val="24"/>
        </w:rPr>
        <w:t>208C0101320100L-10658-2022</w:t>
      </w:r>
      <w:r w:rsidR="00614724" w:rsidRPr="00614724">
        <w:rPr>
          <w:rFonts w:eastAsia="Palatino Linotype" w:cs="Palatino Linotype"/>
          <w:b/>
          <w:bCs/>
          <w:color w:val="000000"/>
          <w:szCs w:val="24"/>
        </w:rPr>
        <w:t>.pdf</w:t>
      </w:r>
      <w:r w:rsidR="00614724">
        <w:rPr>
          <w:rFonts w:eastAsia="Palatino Linotype" w:cs="Palatino Linotype"/>
          <w:b/>
          <w:bCs/>
          <w:color w:val="000000"/>
          <w:szCs w:val="24"/>
        </w:rPr>
        <w:t>”</w:t>
      </w:r>
      <w:r w:rsidR="00614724" w:rsidRPr="00614724">
        <w:rPr>
          <w:rFonts w:eastAsia="Palatino Linotype" w:cs="Palatino Linotype"/>
          <w:bCs/>
          <w:color w:val="000000"/>
          <w:szCs w:val="24"/>
        </w:rPr>
        <w:t xml:space="preserve"> y</w:t>
      </w:r>
      <w:r w:rsidR="00614724">
        <w:rPr>
          <w:rFonts w:eastAsia="Palatino Linotype" w:cs="Palatino Linotype"/>
          <w:b/>
          <w:bCs/>
          <w:color w:val="000000"/>
          <w:szCs w:val="24"/>
        </w:rPr>
        <w:t xml:space="preserve"> “</w:t>
      </w:r>
      <w:proofErr w:type="spellStart"/>
      <w:r w:rsidR="004B061A">
        <w:rPr>
          <w:rFonts w:eastAsia="Palatino Linotype" w:cs="Palatino Linotype"/>
          <w:b/>
          <w:bCs/>
          <w:color w:val="000000"/>
          <w:szCs w:val="24"/>
        </w:rPr>
        <w:t>saimex</w:t>
      </w:r>
      <w:proofErr w:type="spellEnd"/>
      <w:r w:rsidR="004B061A">
        <w:rPr>
          <w:rFonts w:eastAsia="Palatino Linotype" w:cs="Palatino Linotype"/>
          <w:b/>
          <w:bCs/>
          <w:color w:val="000000"/>
          <w:szCs w:val="24"/>
        </w:rPr>
        <w:t xml:space="preserve"> 404</w:t>
      </w:r>
      <w:r w:rsidR="00614724" w:rsidRPr="00614724">
        <w:rPr>
          <w:rFonts w:eastAsia="Palatino Linotype" w:cs="Palatino Linotype"/>
          <w:b/>
          <w:bCs/>
          <w:color w:val="000000"/>
          <w:szCs w:val="24"/>
        </w:rPr>
        <w:t>.pdf</w:t>
      </w:r>
      <w:r w:rsidR="00614724">
        <w:rPr>
          <w:rFonts w:eastAsia="Palatino Linotype" w:cs="Palatino Linotype"/>
          <w:b/>
          <w:bCs/>
          <w:color w:val="000000"/>
          <w:szCs w:val="24"/>
        </w:rPr>
        <w:t>”</w:t>
      </w:r>
      <w:r w:rsidR="008C004B" w:rsidRPr="006922F5">
        <w:rPr>
          <w:rFonts w:eastAsia="Palatino Linotype" w:cs="Palatino Linotype"/>
          <w:color w:val="000000"/>
          <w:szCs w:val="24"/>
        </w:rPr>
        <w:t xml:space="preserve">, </w:t>
      </w:r>
      <w:r w:rsidR="00831867" w:rsidRPr="006922F5">
        <w:rPr>
          <w:rFonts w:eastAsia="Palatino Linotype" w:cs="Palatino Linotype"/>
          <w:color w:val="000000"/>
          <w:szCs w:val="24"/>
        </w:rPr>
        <w:t>los cuales</w:t>
      </w:r>
      <w:r w:rsidR="008C004B" w:rsidRPr="006922F5">
        <w:rPr>
          <w:rFonts w:eastAsia="Palatino Linotype" w:cs="Palatino Linotype"/>
          <w:color w:val="000000"/>
          <w:szCs w:val="24"/>
        </w:rPr>
        <w:t xml:space="preserve"> no se reproduce</w:t>
      </w:r>
      <w:r w:rsidR="00831867" w:rsidRPr="006922F5">
        <w:rPr>
          <w:rFonts w:eastAsia="Palatino Linotype" w:cs="Palatino Linotype"/>
          <w:color w:val="000000"/>
          <w:szCs w:val="24"/>
        </w:rPr>
        <w:t>n</w:t>
      </w:r>
      <w:r w:rsidR="008C004B" w:rsidRPr="006922F5">
        <w:rPr>
          <w:rFonts w:eastAsia="Palatino Linotype" w:cs="Palatino Linotype"/>
          <w:color w:val="000000"/>
          <w:szCs w:val="24"/>
        </w:rPr>
        <w:t xml:space="preserve"> por ser del conocimiento de las partes; no obstante, se hará </w:t>
      </w:r>
      <w:r w:rsidR="007A414E" w:rsidRPr="006922F5">
        <w:rPr>
          <w:rFonts w:eastAsia="Palatino Linotype" w:cs="Palatino Linotype"/>
          <w:color w:val="000000"/>
          <w:szCs w:val="24"/>
        </w:rPr>
        <w:t>el análisis de su contenido en el estudio correspondiente</w:t>
      </w:r>
      <w:r w:rsidR="00E75DEB" w:rsidRPr="006922F5">
        <w:rPr>
          <w:rFonts w:eastAsia="Palatino Linotype" w:cs="Palatino Linotype"/>
          <w:color w:val="000000"/>
          <w:szCs w:val="24"/>
        </w:rPr>
        <w:t>.</w:t>
      </w:r>
    </w:p>
    <w:p w14:paraId="183DF8AE" w14:textId="77777777" w:rsidR="00AA7B9C" w:rsidRPr="006922F5" w:rsidRDefault="00AA7B9C" w:rsidP="006922F5">
      <w:pPr>
        <w:pBdr>
          <w:top w:val="nil"/>
          <w:left w:val="nil"/>
          <w:bottom w:val="nil"/>
          <w:right w:val="nil"/>
          <w:between w:val="nil"/>
        </w:pBdr>
        <w:contextualSpacing/>
        <w:rPr>
          <w:rFonts w:eastAsia="Palatino Linotype" w:cs="Palatino Linotype"/>
          <w:color w:val="000000"/>
          <w:szCs w:val="24"/>
        </w:rPr>
      </w:pPr>
    </w:p>
    <w:p w14:paraId="58FA11DD" w14:textId="15561275" w:rsidR="00A970D5" w:rsidRPr="006922F5" w:rsidRDefault="004B061A"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04EDA2A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4B061A">
        <w:rPr>
          <w:rFonts w:eastAsia="Palatino Linotype" w:cs="Palatino Linotype"/>
          <w:color w:val="000000"/>
          <w:szCs w:val="24"/>
        </w:rPr>
        <w:t>la</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4B061A">
        <w:rPr>
          <w:rFonts w:eastAsia="Palatino Linotype" w:cs="Palatino Linotype"/>
          <w:color w:val="000000"/>
          <w:szCs w:val="24"/>
        </w:rPr>
        <w:t>siete</w:t>
      </w:r>
      <w:r w:rsidR="00A45A05">
        <w:rPr>
          <w:rFonts w:eastAsia="Palatino Linotype" w:cs="Palatino Linotype"/>
          <w:color w:val="000000"/>
          <w:szCs w:val="24"/>
        </w:rPr>
        <w:t xml:space="preserve"> de julio</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A45A05">
        <w:rPr>
          <w:rFonts w:eastAsia="Palatino Linotype" w:cs="Palatino Linotype"/>
          <w:b/>
          <w:color w:val="000000"/>
          <w:szCs w:val="24"/>
        </w:rPr>
        <w:t>12</w:t>
      </w:r>
      <w:r w:rsidR="004B061A">
        <w:rPr>
          <w:rFonts w:eastAsia="Palatino Linotype" w:cs="Palatino Linotype"/>
          <w:b/>
          <w:color w:val="000000"/>
          <w:szCs w:val="24"/>
        </w:rPr>
        <w:t>540</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32A4C20C"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75B523A4" w14:textId="77777777" w:rsidR="000F47D0" w:rsidRPr="006922F5" w:rsidRDefault="000F47D0"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006A0F69" w:rsidR="00A970D5" w:rsidRPr="006922F5" w:rsidRDefault="00A970D5" w:rsidP="006922F5">
      <w:pPr>
        <w:pStyle w:val="Fundamentos"/>
        <w:rPr>
          <w:b/>
        </w:rPr>
      </w:pPr>
      <w:r w:rsidRPr="006922F5">
        <w:t>“</w:t>
      </w:r>
      <w:r w:rsidR="004B061A" w:rsidRPr="004B061A">
        <w:t>NO SE ENTREGO LA INFORMACION REQUERIDA</w:t>
      </w:r>
      <w:r w:rsidRPr="006922F5">
        <w:t>"(Sic)</w:t>
      </w:r>
    </w:p>
    <w:p w14:paraId="66DA045E" w14:textId="77777777" w:rsidR="00D863B5" w:rsidRPr="006922F5" w:rsidRDefault="00D863B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237C065F" w:rsidR="00A970D5" w:rsidRPr="006922F5" w:rsidRDefault="00A970D5" w:rsidP="006922F5">
      <w:pPr>
        <w:pStyle w:val="Fundamentos"/>
      </w:pPr>
      <w:r w:rsidRPr="006922F5">
        <w:t>“</w:t>
      </w:r>
      <w:r w:rsidR="004B061A" w:rsidRPr="004B061A">
        <w:t xml:space="preserve">PUNTOS DE INCONFORMIDAD: 1.- LA INFORMACION NO ES CLASIFICADA CONFORME AL ART. 3 FRACCION XX, XXI, POR LO QUE LA INFORMACION SE CLASIFICA EN EL ART. 3 FRACCION XXII. (INFORMACION DE INTERES PUBLICO) DE LA LEY DE TRANSPARENCIA Y ACCESO A LA INFORMACION PUBLICA DEL ESTADO DE MEXICO Y MUNICIPIOS, CON LA FINALIDAD DE TRANSPARENTAR LAS ACCIONES ARBITRARIAS POR PARTE DE LA SECRETARIA DE SALUD DEL ESTADO DE MEXICO, A TRAVES DE LA COORDINACION DE REGULACION SANITARIA REGION ATLACOMULCO. 2.- EN LA INFORMACION REQUERIDA AL NUMERO DE PERSONAS QUE ACUDEN A LOS CENTROS DE SALUD DONDE SE NOS MANIFIESTA QUE ES CONFIDENCIAL, LA SOLICITUD REFIERE A LA CANTIDAD ATENDIDA NO ESPECIFICAMENTE AL NOMBRE NI APELLIDO DE LOS PACIENTES, POR LO QUE NO SE DEBE CONSIDERAR LA PETICION COMO CONFIDENCIAL, YA QUE ES INFORMACION DE INTERES PUBLICO EL DAR A CONOCER EL NUMERO DE PACIENTES QUE SE ATIENDEN EN LAS CLINCIAS REFERIDAS EN LA PETICION. MUCHO SE HA DICHO EN SUS CONTESTACIONES QUE NO CUENTAN CON UN REGISTRO DE </w:t>
      </w:r>
      <w:proofErr w:type="gramStart"/>
      <w:r w:rsidR="004B061A" w:rsidRPr="004B061A">
        <w:t>PACIENTES; !MI</w:t>
      </w:r>
      <w:proofErr w:type="gramEnd"/>
      <w:r w:rsidR="004B061A" w:rsidRPr="004B061A">
        <w:t xml:space="preserve"> PREGUNTA ES! ¿COMO ES QUE HACEN SUS EVALUACIONES DE LAS QUE TANTO SE HABLA EN EL CONSEJO INTERNO DEL INSTITUTO DE SALUD DEL ESTADO DE MEXICO</w:t>
      </w:r>
      <w:proofErr w:type="gramStart"/>
      <w:r w:rsidR="004B061A" w:rsidRPr="004B061A">
        <w:t>?.</w:t>
      </w:r>
      <w:proofErr w:type="gramEnd"/>
      <w:r w:rsidR="004B061A" w:rsidRPr="004B061A">
        <w:t xml:space="preserve"> PARA COODINAR, DIRIGIRY PREVENIR EL CONTROL DE ENFERMEDADES Y MAYOR AUN LA ATENCION DE LA QUE TANTO SE HABLA EN SU MARCO JURIDICO. 3.- REFERENTE A LOS CONTRATOS DE LOS MEDICOS DONDE SE NOS ARGUMENTA QUE OBRAN EN LA SUBDIRECCION DE RECURSOS HUMANOS DEBO ENTENDER QUE ES UNA SOLA SECRETARIA Y QUE LA SUBDIRECCION DEPENDE DE ELLA, POR LO QUE SE NOS NIEGA EL DERECHO A SABER LOS CONTRATOS DEL PERSONAL MEDICO DEBIENDO SER DE INTERES PUBLICO POR SER SERVIDORES PUBLICOS. 4.- EL MAS IMPORTANTE DE ESTA INCONFORMIDAD SE DESPRENDE DE LA FORMA DE ASIGNACION DEL PERSONAL DONDE SE HA DEJADO VER EN LOS OFICIOS REMITIDOS A MI PERSONA LAS ACCIONES ARBITRARIAS PARA LA ASIGNACION O CANCELACION DE CONTRATOS A CLINICAS CON UN MAYOR NUMERO DE ATENCIONES OBEDECIENDO INTERESES PARTICULARES DE LA ACTUAL ADMINISTRACION.</w:t>
      </w:r>
      <w:r w:rsidRPr="006922F5">
        <w:t>” (Sic)</w:t>
      </w:r>
    </w:p>
    <w:p w14:paraId="219E9188" w14:textId="77777777" w:rsidR="00AA7B9C" w:rsidRPr="006922F5" w:rsidRDefault="00AA7B9C" w:rsidP="006922F5">
      <w:pPr>
        <w:pBdr>
          <w:top w:val="nil"/>
          <w:left w:val="nil"/>
          <w:bottom w:val="nil"/>
          <w:right w:val="nil"/>
          <w:between w:val="nil"/>
        </w:pBdr>
        <w:contextualSpacing/>
        <w:rPr>
          <w:rFonts w:eastAsia="Palatino Linotype" w:cs="Palatino Linotype"/>
          <w:color w:val="000000"/>
          <w:szCs w:val="24"/>
        </w:rPr>
      </w:pPr>
    </w:p>
    <w:p w14:paraId="11D7F189" w14:textId="13A3CAF8" w:rsidR="00A970D5" w:rsidRPr="006922F5" w:rsidRDefault="004B061A" w:rsidP="006922F5">
      <w:pPr>
        <w:pStyle w:val="Ttulo2"/>
        <w:rPr>
          <w:rFonts w:eastAsia="Palatino Linotype"/>
        </w:rPr>
      </w:pPr>
      <w:r>
        <w:rPr>
          <w:rFonts w:eastAsia="Palatino Linotype"/>
        </w:rPr>
        <w:lastRenderedPageBreak/>
        <w:t>CUAR</w:t>
      </w:r>
      <w:r w:rsidR="00977F54">
        <w:rPr>
          <w:rFonts w:eastAsia="Palatino Linotype"/>
        </w:rPr>
        <w:t>TO</w:t>
      </w:r>
      <w:r w:rsidR="00A970D5" w:rsidRPr="006922F5">
        <w:rPr>
          <w:rFonts w:eastAsia="Palatino Linotype"/>
        </w:rPr>
        <w:t>. Del turno y admisión del recurso de revisión.</w:t>
      </w:r>
    </w:p>
    <w:p w14:paraId="2459DEBA" w14:textId="6335972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977F54">
        <w:rPr>
          <w:rFonts w:eastAsia="Palatino Linotype" w:cs="Palatino Linotype"/>
          <w:color w:val="000000"/>
          <w:szCs w:val="24"/>
        </w:rPr>
        <w:t>trece de julio</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565E27A" w:rsidR="00A970D5" w:rsidRPr="006922F5" w:rsidRDefault="004D01F9" w:rsidP="006922F5">
      <w:pPr>
        <w:pStyle w:val="Ttulo2"/>
        <w:rPr>
          <w:rFonts w:eastAsia="Palatino Linotype"/>
        </w:rPr>
      </w:pPr>
      <w:r>
        <w:rPr>
          <w:rFonts w:eastAsia="Palatino Linotype"/>
        </w:rPr>
        <w:t>QUINTO</w:t>
      </w:r>
      <w:r w:rsidR="00A970D5" w:rsidRPr="006922F5">
        <w:rPr>
          <w:rFonts w:eastAsia="Palatino Linotype"/>
        </w:rPr>
        <w:t>. De la etapa de instrucción.</w:t>
      </w:r>
    </w:p>
    <w:p w14:paraId="54E0C269" w14:textId="490EBB97" w:rsidR="006A53BF" w:rsidRPr="006922F5" w:rsidRDefault="006A53BF"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Una vez abierta la etapa de instrucción, </w:t>
      </w:r>
      <w:r w:rsidR="00977F54">
        <w:rPr>
          <w:rFonts w:eastAsia="Palatino Linotype" w:cs="Palatino Linotype"/>
          <w:color w:val="000000"/>
          <w:szCs w:val="24"/>
        </w:rPr>
        <w:t>el día</w:t>
      </w:r>
      <w:r w:rsidR="004D01F9">
        <w:rPr>
          <w:rFonts w:eastAsia="Palatino Linotype" w:cs="Palatino Linotype"/>
          <w:color w:val="000000"/>
          <w:szCs w:val="24"/>
        </w:rPr>
        <w:t xml:space="preserve"> veinticinco de julio</w:t>
      </w:r>
      <w:r w:rsidR="00B87E47" w:rsidRPr="006922F5">
        <w:rPr>
          <w:rFonts w:eastAsia="Palatino Linotype" w:cs="Palatino Linotype"/>
          <w:color w:val="000000"/>
          <w:szCs w:val="24"/>
        </w:rPr>
        <w:t xml:space="preserve"> de dos mil veintidós, el Sujeto Obligado rindió su Informe Justificado, consistente en </w:t>
      </w:r>
      <w:r w:rsidR="006F428B" w:rsidRPr="006922F5">
        <w:rPr>
          <w:rFonts w:eastAsia="Palatino Linotype" w:cs="Palatino Linotype"/>
          <w:color w:val="000000"/>
          <w:szCs w:val="24"/>
        </w:rPr>
        <w:t>el</w:t>
      </w:r>
      <w:r w:rsidR="00B87E47" w:rsidRPr="006922F5">
        <w:rPr>
          <w:rFonts w:eastAsia="Palatino Linotype" w:cs="Palatino Linotype"/>
          <w:color w:val="000000"/>
          <w:szCs w:val="24"/>
        </w:rPr>
        <w:t xml:space="preserve"> documento denominado </w:t>
      </w:r>
      <w:r w:rsidR="00B87E47" w:rsidRPr="006922F5">
        <w:rPr>
          <w:rFonts w:eastAsia="Palatino Linotype" w:cs="Palatino Linotype"/>
          <w:b/>
          <w:color w:val="000000"/>
          <w:szCs w:val="24"/>
        </w:rPr>
        <w:t>“</w:t>
      </w:r>
      <w:r w:rsidR="004D01F9">
        <w:rPr>
          <w:rFonts w:eastAsia="Palatino Linotype" w:cs="Palatino Linotype"/>
          <w:b/>
          <w:color w:val="000000"/>
          <w:szCs w:val="24"/>
        </w:rPr>
        <w:t>Informe justificado sol 00404</w:t>
      </w:r>
      <w:r w:rsidR="00482C8B" w:rsidRPr="006922F5">
        <w:rPr>
          <w:rFonts w:eastAsia="Palatino Linotype" w:cs="Palatino Linotype"/>
          <w:b/>
          <w:color w:val="000000"/>
          <w:szCs w:val="24"/>
        </w:rPr>
        <w:t>.pdf</w:t>
      </w:r>
      <w:r w:rsidR="00B87E47" w:rsidRPr="006922F5">
        <w:rPr>
          <w:rFonts w:eastAsia="Palatino Linotype" w:cs="Palatino Linotype"/>
          <w:b/>
          <w:color w:val="000000"/>
          <w:szCs w:val="24"/>
        </w:rPr>
        <w:t>”</w:t>
      </w:r>
      <w:r w:rsidR="008C6338" w:rsidRPr="006922F5">
        <w:rPr>
          <w:rFonts w:eastAsia="Palatino Linotype" w:cs="Palatino Linotype"/>
          <w:color w:val="000000"/>
          <w:szCs w:val="24"/>
        </w:rPr>
        <w:t>, el cual</w:t>
      </w:r>
      <w:r w:rsidR="00B87E47" w:rsidRPr="006922F5">
        <w:rPr>
          <w:rFonts w:eastAsia="Palatino Linotype" w:cs="Palatino Linotype"/>
          <w:color w:val="000000"/>
          <w:szCs w:val="24"/>
        </w:rPr>
        <w:t xml:space="preserve"> fue puesto a la vista de</w:t>
      </w:r>
      <w:r w:rsidR="004D01F9">
        <w:rPr>
          <w:rFonts w:eastAsia="Palatino Linotype" w:cs="Palatino Linotype"/>
          <w:color w:val="000000"/>
          <w:szCs w:val="24"/>
        </w:rPr>
        <w:t xml:space="preserve"> </w:t>
      </w:r>
      <w:r w:rsidR="000117AB" w:rsidRPr="006922F5">
        <w:rPr>
          <w:rFonts w:eastAsia="Palatino Linotype" w:cs="Palatino Linotype"/>
          <w:color w:val="000000"/>
          <w:szCs w:val="24"/>
        </w:rPr>
        <w:t>l</w:t>
      </w:r>
      <w:r w:rsidR="004D01F9">
        <w:rPr>
          <w:rFonts w:eastAsia="Palatino Linotype" w:cs="Palatino Linotype"/>
          <w:color w:val="000000"/>
          <w:szCs w:val="24"/>
        </w:rPr>
        <w:t>a</w:t>
      </w:r>
      <w:r w:rsidR="00B87E47" w:rsidRPr="006922F5">
        <w:rPr>
          <w:rFonts w:eastAsia="Palatino Linotype" w:cs="Palatino Linotype"/>
          <w:color w:val="000000"/>
          <w:szCs w:val="24"/>
        </w:rPr>
        <w:t xml:space="preserve"> Recurrente mediante acuerdo de fecha </w:t>
      </w:r>
      <w:r w:rsidR="00977F54">
        <w:rPr>
          <w:rFonts w:eastAsia="Palatino Linotype" w:cs="Palatino Linotype"/>
          <w:color w:val="000000"/>
          <w:szCs w:val="24"/>
        </w:rPr>
        <w:t>nueve de agosto</w:t>
      </w:r>
      <w:r w:rsidR="00B87E47" w:rsidRPr="006922F5">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w:t>
      </w:r>
      <w:r w:rsidR="000117AB" w:rsidRPr="006922F5">
        <w:rPr>
          <w:rFonts w:eastAsia="Palatino Linotype" w:cs="Palatino Linotype"/>
          <w:color w:val="000000"/>
          <w:szCs w:val="24"/>
        </w:rPr>
        <w:t>l</w:t>
      </w:r>
      <w:r w:rsidR="00B87E47" w:rsidRPr="006922F5">
        <w:rPr>
          <w:rFonts w:eastAsia="Palatino Linotype" w:cs="Palatino Linotype"/>
          <w:color w:val="000000"/>
          <w:szCs w:val="24"/>
        </w:rPr>
        <w:t xml:space="preserve"> particular un término de tres días para manifestar lo que a su derecho conviniera. </w:t>
      </w:r>
      <w:r w:rsidR="004D01F9">
        <w:rPr>
          <w:rFonts w:eastAsia="Palatino Linotype" w:cs="Palatino Linotype"/>
          <w:color w:val="000000"/>
          <w:szCs w:val="24"/>
        </w:rPr>
        <w:t>Por su parte, la Recurrente no realizó manifestaciones, vertió alegatos ni presentó pruebas que a su derecho convinieran, así como tampoco se manifestó respecto del Informe presentado por el Sujeto Obligado.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135DB295" w:rsidR="00A970D5" w:rsidRPr="006922F5" w:rsidRDefault="004D01F9" w:rsidP="006922F5">
      <w:pPr>
        <w:pStyle w:val="Ttulo2"/>
        <w:rPr>
          <w:rFonts w:eastAsia="Palatino Linotype"/>
        </w:rPr>
      </w:pPr>
      <w:r>
        <w:rPr>
          <w:rFonts w:eastAsia="Palatino Linotype"/>
        </w:rPr>
        <w:t>SEXTO</w:t>
      </w:r>
      <w:r w:rsidR="00A970D5" w:rsidRPr="006922F5">
        <w:rPr>
          <w:rFonts w:eastAsia="Palatino Linotype"/>
        </w:rPr>
        <w:t>. Del cierre de instrucción.</w:t>
      </w:r>
    </w:p>
    <w:p w14:paraId="2456F4BD" w14:textId="22E82FA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977F54">
        <w:rPr>
          <w:rFonts w:eastAsia="Palatino Linotype" w:cs="Palatino Linotype"/>
          <w:color w:val="000000"/>
          <w:szCs w:val="24"/>
        </w:rPr>
        <w:t>quince de agosto</w:t>
      </w:r>
      <w:r w:rsidR="004579DC"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4580981F" w:rsidR="00A914F3" w:rsidRPr="006922F5" w:rsidRDefault="00197A4A" w:rsidP="006922F5">
      <w:pPr>
        <w:pStyle w:val="Ttulo2"/>
        <w:rPr>
          <w:rFonts w:eastAsiaTheme="minorHAnsi"/>
          <w:lang w:eastAsia="en-US"/>
        </w:rPr>
      </w:pPr>
      <w:r>
        <w:rPr>
          <w:rFonts w:eastAsiaTheme="minorHAnsi"/>
          <w:lang w:eastAsia="en-US"/>
        </w:rPr>
        <w:t>NOVENA</w:t>
      </w:r>
      <w:r w:rsidR="00A914F3" w:rsidRPr="006922F5">
        <w:rPr>
          <w:rFonts w:eastAsiaTheme="minorHAnsi"/>
          <w:lang w:eastAsia="en-US"/>
        </w:rPr>
        <w:t>. De la ampliación del término para resolver.</w:t>
      </w:r>
    </w:p>
    <w:p w14:paraId="2B961806" w14:textId="008EF570"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8302C5" w:rsidRPr="006922F5">
        <w:rPr>
          <w:rFonts w:eastAsiaTheme="minorHAnsi" w:cstheme="minorBidi"/>
          <w:szCs w:val="24"/>
          <w:lang w:eastAsia="en-US"/>
        </w:rPr>
        <w:t xml:space="preserve">fecha </w:t>
      </w:r>
      <w:r w:rsidR="00977F54">
        <w:rPr>
          <w:rFonts w:eastAsiaTheme="minorHAnsi" w:cstheme="minorBidi"/>
          <w:szCs w:val="24"/>
          <w:lang w:eastAsia="en-US"/>
        </w:rPr>
        <w:t>siete de septiembre</w:t>
      </w:r>
      <w:r w:rsidR="009F1E25" w:rsidRPr="006922F5">
        <w:rPr>
          <w:rFonts w:eastAsiaTheme="minorHAnsi" w:cstheme="minorBidi"/>
          <w:szCs w:val="24"/>
          <w:lang w:eastAsia="en-US"/>
        </w:rPr>
        <w:t xml:space="preserve"> de dos mil veintidós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6922F5" w:rsidRDefault="000F367A" w:rsidP="006922F5">
      <w:pPr>
        <w:rPr>
          <w:rFonts w:eastAsiaTheme="minorHAnsi" w:cstheme="minorBidi"/>
          <w:szCs w:val="24"/>
          <w:lang w:eastAsia="en-US"/>
        </w:rPr>
      </w:pPr>
    </w:p>
    <w:p w14:paraId="399F5238"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Este organismo garante no pasa por alto justificar, </w:t>
      </w:r>
      <w:r w:rsidRPr="006922F5">
        <w:rPr>
          <w:rFonts w:eastAsiaTheme="minorHAnsi" w:cstheme="minorBidi"/>
          <w:bCs/>
          <w:szCs w:val="24"/>
          <w:lang w:eastAsia="en-US"/>
        </w:rPr>
        <w:t xml:space="preserve">que el plazo para emitir resolución en el presente asunto </w:t>
      </w:r>
      <w:r w:rsidRPr="006922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E5C1A5" w14:textId="364793B9"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es menester precisar </w:t>
      </w:r>
      <w:r w:rsidR="001E21A0" w:rsidRPr="006922F5">
        <w:rPr>
          <w:rFonts w:eastAsiaTheme="minorHAnsi" w:cstheme="minorBidi"/>
          <w:szCs w:val="24"/>
          <w:lang w:eastAsia="en-US"/>
        </w:rPr>
        <w:t>que,</w:t>
      </w:r>
      <w:r w:rsidRPr="006922F5">
        <w:rPr>
          <w:rFonts w:eastAsiaTheme="minorHAnsi" w:cstheme="minorBidi"/>
          <w:szCs w:val="24"/>
          <w:lang w:eastAsia="en-US"/>
        </w:rPr>
        <w:t xml:space="preserve"> si bien se ha excedido el plazo para resolver el presente medio de impugnación, de conformidad con la ley de la materia, </w:t>
      </w:r>
      <w:r w:rsidRPr="006922F5">
        <w:rPr>
          <w:rFonts w:eastAsiaTheme="minorHAnsi" w:cstheme="minorBidi"/>
          <w:bCs/>
          <w:szCs w:val="24"/>
          <w:lang w:eastAsia="en-US"/>
        </w:rPr>
        <w:t>el plazo para emitir resolución</w:t>
      </w:r>
      <w:r w:rsidRPr="006922F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2D37D368"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1F20A163"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3685246"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539906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22F5" w:rsidRDefault="006A53BF" w:rsidP="00211BE5">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22F5" w:rsidRDefault="006A53BF" w:rsidP="00211BE5">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Actividad Procesal del interesado: Acciones u omisiones del interesado.</w:t>
      </w:r>
    </w:p>
    <w:p w14:paraId="683898A6" w14:textId="556E72E0" w:rsidR="006A53BF" w:rsidRPr="006922F5" w:rsidRDefault="006A53BF" w:rsidP="00211BE5">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6922F5" w:rsidRDefault="006A53BF" w:rsidP="00211BE5">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4741367" w14:textId="769517EE"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D863B5">
        <w:rPr>
          <w:rFonts w:eastAsiaTheme="minorHAnsi" w:cstheme="minorBidi"/>
          <w:szCs w:val="24"/>
          <w:lang w:eastAsia="en-US"/>
        </w:rPr>
        <w:t xml:space="preserve"> </w:t>
      </w:r>
      <w:r w:rsidRPr="006922F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bCs/>
          <w:szCs w:val="24"/>
          <w:lang w:eastAsia="en-US"/>
        </w:rPr>
        <w:t xml:space="preserve">Por ello, este organismo garante comprometido con la tutela de los derechos humanos </w:t>
      </w:r>
      <w:r w:rsidR="001E21A0" w:rsidRPr="006922F5">
        <w:rPr>
          <w:rFonts w:eastAsiaTheme="minorHAnsi" w:cstheme="minorBidi"/>
          <w:bCs/>
          <w:szCs w:val="24"/>
          <w:lang w:eastAsia="en-US"/>
        </w:rPr>
        <w:t>confiados</w:t>
      </w:r>
      <w:r w:rsidRPr="006922F5">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6922F5" w:rsidRDefault="0031280C" w:rsidP="006922F5">
      <w:pPr>
        <w:pBdr>
          <w:top w:val="nil"/>
          <w:left w:val="nil"/>
          <w:bottom w:val="nil"/>
          <w:right w:val="nil"/>
          <w:between w:val="nil"/>
        </w:pBdr>
        <w:contextualSpacing/>
        <w:rPr>
          <w:rFonts w:eastAsia="Palatino Linotype" w:cs="Palatino Linotype"/>
          <w:color w:val="000000"/>
          <w:szCs w:val="24"/>
        </w:rPr>
      </w:pPr>
    </w:p>
    <w:p w14:paraId="6D04F852" w14:textId="2BDD724A" w:rsidR="00A970D5" w:rsidRPr="006922F5" w:rsidRDefault="00FD57A1" w:rsidP="006922F5">
      <w:pPr>
        <w:pStyle w:val="Ttulo2"/>
        <w:rPr>
          <w:rFonts w:eastAsia="Palatino Linotype"/>
        </w:rPr>
      </w:pPr>
      <w:r w:rsidRPr="006922F5">
        <w:rPr>
          <w:rFonts w:eastAsia="Palatino Linotype"/>
        </w:rPr>
        <w:t>TERCERO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6922F5">
        <w:rPr>
          <w:rFonts w:eastAsia="Palatino Linotype" w:cs="Palatino Linotype"/>
          <w:color w:val="000000"/>
          <w:szCs w:val="24"/>
        </w:rPr>
        <w:lastRenderedPageBreak/>
        <w:t>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6C754762" w:rsidR="00A970D5" w:rsidRPr="006922F5" w:rsidRDefault="00FD57A1" w:rsidP="006922F5">
      <w:pPr>
        <w:pStyle w:val="Ttulo2"/>
        <w:rPr>
          <w:rFonts w:eastAsia="Palatino Linotype"/>
        </w:rPr>
      </w:pPr>
      <w:r w:rsidRPr="006922F5">
        <w:rPr>
          <w:rFonts w:eastAsia="Palatino Linotype"/>
        </w:rPr>
        <w:lastRenderedPageBreak/>
        <w:t>CUAR</w:t>
      </w:r>
      <w:r w:rsidR="00A970D5" w:rsidRPr="006922F5">
        <w:rPr>
          <w:rFonts w:eastAsia="Palatino Linotype"/>
        </w:rPr>
        <w:t>TO. Estudio y resolución del asunto.</w:t>
      </w:r>
    </w:p>
    <w:p w14:paraId="172D5B7B" w14:textId="77777777"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48CFC3" w14:textId="77777777" w:rsidR="00847780" w:rsidRDefault="00847780" w:rsidP="006922F5">
      <w:pPr>
        <w:pBdr>
          <w:top w:val="nil"/>
          <w:left w:val="nil"/>
          <w:bottom w:val="nil"/>
          <w:right w:val="nil"/>
          <w:between w:val="nil"/>
        </w:pBdr>
        <w:contextualSpacing/>
        <w:rPr>
          <w:rFonts w:eastAsia="Palatino Linotype" w:cs="Palatino Linotype"/>
          <w:color w:val="000000"/>
          <w:szCs w:val="24"/>
        </w:rPr>
      </w:pPr>
    </w:p>
    <w:p w14:paraId="21E892A8" w14:textId="3D5738A1" w:rsidR="00A970D5" w:rsidRDefault="0083063D" w:rsidP="006922F5">
      <w:pPr>
        <w:pBdr>
          <w:top w:val="nil"/>
          <w:left w:val="nil"/>
          <w:bottom w:val="nil"/>
          <w:right w:val="nil"/>
          <w:between w:val="nil"/>
        </w:pBdr>
        <w:contextualSpacing/>
        <w:rPr>
          <w:rFonts w:eastAsia="Palatino Linotype" w:cs="Palatino Linotype"/>
          <w:color w:val="000000"/>
          <w:szCs w:val="24"/>
        </w:rPr>
      </w:pPr>
      <w:r w:rsidRPr="000C3EBE">
        <w:rPr>
          <w:rFonts w:eastAsia="Palatino Linotype" w:cs="Palatino Linotype"/>
          <w:color w:val="000000"/>
          <w:szCs w:val="24"/>
        </w:rPr>
        <w:t xml:space="preserve">Una vez </w:t>
      </w:r>
      <w:r w:rsidR="008F2C42" w:rsidRPr="000C3EBE">
        <w:rPr>
          <w:rFonts w:eastAsia="Palatino Linotype" w:cs="Palatino Linotype"/>
          <w:color w:val="000000"/>
          <w:szCs w:val="24"/>
        </w:rPr>
        <w:t>establecido</w:t>
      </w:r>
      <w:r w:rsidRPr="000C3EBE">
        <w:rPr>
          <w:rFonts w:eastAsia="Palatino Linotype" w:cs="Palatino Linotype"/>
          <w:color w:val="000000"/>
          <w:szCs w:val="24"/>
        </w:rPr>
        <w:t xml:space="preserve"> lo anterior</w:t>
      </w:r>
      <w:r w:rsidR="007F3F9F" w:rsidRPr="000C3EBE">
        <w:rPr>
          <w:rFonts w:eastAsia="Palatino Linotype" w:cs="Palatino Linotype"/>
          <w:color w:val="000000"/>
          <w:szCs w:val="24"/>
        </w:rPr>
        <w:t xml:space="preserve">, es conveniente recordar que </w:t>
      </w:r>
      <w:r w:rsidR="00C50751">
        <w:rPr>
          <w:rFonts w:eastAsia="Palatino Linotype" w:cs="Palatino Linotype"/>
          <w:color w:val="000000"/>
          <w:szCs w:val="24"/>
        </w:rPr>
        <w:t>la</w:t>
      </w:r>
      <w:r w:rsidR="00A970D5" w:rsidRPr="000C3EBE">
        <w:rPr>
          <w:rFonts w:eastAsia="Palatino Linotype" w:cs="Palatino Linotype"/>
          <w:color w:val="000000"/>
          <w:szCs w:val="24"/>
        </w:rPr>
        <w:t xml:space="preserve"> hoy Recurrente </w:t>
      </w:r>
      <w:r w:rsidR="00F709AB" w:rsidRPr="000C3EBE">
        <w:rPr>
          <w:rFonts w:eastAsia="Palatino Linotype" w:cs="Palatino Linotype"/>
          <w:color w:val="000000"/>
          <w:szCs w:val="24"/>
        </w:rPr>
        <w:t>del Sujeto Obligado lo siguiente:</w:t>
      </w:r>
    </w:p>
    <w:p w14:paraId="4A03D0E1" w14:textId="77777777" w:rsidR="0083063D" w:rsidRDefault="0083063D" w:rsidP="006922F5">
      <w:pPr>
        <w:pBdr>
          <w:top w:val="nil"/>
          <w:left w:val="nil"/>
          <w:bottom w:val="nil"/>
          <w:right w:val="nil"/>
          <w:between w:val="nil"/>
        </w:pBdr>
        <w:contextualSpacing/>
        <w:rPr>
          <w:rFonts w:eastAsia="Palatino Linotype" w:cs="Palatino Linotype"/>
          <w:color w:val="000000"/>
          <w:szCs w:val="24"/>
        </w:rPr>
      </w:pPr>
    </w:p>
    <w:p w14:paraId="0F711B10" w14:textId="3CC4F7F1" w:rsidR="0083063D" w:rsidRDefault="00C50751" w:rsidP="00211BE5">
      <w:pPr>
        <w:pStyle w:val="Prrafodelista"/>
        <w:numPr>
          <w:ilvl w:val="0"/>
          <w:numId w:val="1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Hojas de registro de las personas atendidas en las clínicas de salud de las comunidades de Agostadero, Puentecillas, San Francisco </w:t>
      </w:r>
      <w:proofErr w:type="spellStart"/>
      <w:r>
        <w:rPr>
          <w:rFonts w:eastAsia="Palatino Linotype" w:cs="Palatino Linotype"/>
          <w:color w:val="000000"/>
        </w:rPr>
        <w:t>Shaxni</w:t>
      </w:r>
      <w:proofErr w:type="spellEnd"/>
      <w:r>
        <w:rPr>
          <w:rFonts w:eastAsia="Palatino Linotype" w:cs="Palatino Linotype"/>
          <w:color w:val="000000"/>
        </w:rPr>
        <w:t xml:space="preserve"> y Conejeras, de los meses de mayo a diciembre de dos mil veintiuno.</w:t>
      </w:r>
    </w:p>
    <w:p w14:paraId="3BCE2161" w14:textId="2D57A1C5" w:rsidR="00687BF5" w:rsidRDefault="00C50751" w:rsidP="00211BE5">
      <w:pPr>
        <w:pStyle w:val="Prrafodelista"/>
        <w:numPr>
          <w:ilvl w:val="0"/>
          <w:numId w:val="1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Contratos de los médicos que estuvieron en las clínicas referidas en los meses señalados.</w:t>
      </w:r>
    </w:p>
    <w:p w14:paraId="15E5C0FC" w14:textId="6F1E921F" w:rsidR="00C50751" w:rsidRPr="0083063D" w:rsidRDefault="00C50751" w:rsidP="00211BE5">
      <w:pPr>
        <w:pStyle w:val="Prrafodelista"/>
        <w:numPr>
          <w:ilvl w:val="0"/>
          <w:numId w:val="14"/>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Método de asignación de los médicos a las clínicas de salud en dichas comunidades.</w:t>
      </w:r>
    </w:p>
    <w:p w14:paraId="72F03196" w14:textId="77777777" w:rsidR="0083063D"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77777777" w:rsidR="0083063D" w:rsidRPr="006922F5" w:rsidRDefault="0083063D" w:rsidP="0083063D">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 dicha solicitud, el Sujeto Obligado respondió mediante la entrega de los siguientes documentos:</w:t>
      </w:r>
    </w:p>
    <w:p w14:paraId="6EF23BF8" w14:textId="77777777" w:rsidR="00F709AB" w:rsidRDefault="00F709AB" w:rsidP="006922F5">
      <w:pPr>
        <w:pBdr>
          <w:top w:val="nil"/>
          <w:left w:val="nil"/>
          <w:bottom w:val="nil"/>
          <w:right w:val="nil"/>
          <w:between w:val="nil"/>
        </w:pBdr>
        <w:contextualSpacing/>
        <w:rPr>
          <w:rFonts w:eastAsia="Palatino Linotype" w:cs="Palatino Linotype"/>
          <w:color w:val="000000"/>
          <w:szCs w:val="24"/>
        </w:rPr>
      </w:pPr>
    </w:p>
    <w:p w14:paraId="0DECCEA9" w14:textId="4C46364A" w:rsidR="00687BF5" w:rsidRPr="00F709AB" w:rsidRDefault="00C50751" w:rsidP="00211BE5">
      <w:pPr>
        <w:pStyle w:val="Prrafodelista"/>
        <w:numPr>
          <w:ilvl w:val="0"/>
          <w:numId w:val="13"/>
        </w:numPr>
        <w:pBdr>
          <w:top w:val="nil"/>
          <w:left w:val="nil"/>
          <w:bottom w:val="nil"/>
          <w:right w:val="nil"/>
          <w:between w:val="nil"/>
        </w:pBdr>
        <w:contextualSpacing/>
        <w:rPr>
          <w:rFonts w:eastAsia="Palatino Linotype" w:cs="Palatino Linotype"/>
          <w:color w:val="000000"/>
          <w:lang w:val="es-MX"/>
        </w:rPr>
      </w:pPr>
      <w:r w:rsidRPr="00C50751">
        <w:rPr>
          <w:rFonts w:eastAsia="Palatino Linotype" w:cs="Palatino Linotype"/>
          <w:b/>
          <w:color w:val="000000"/>
          <w:lang w:val="es-MX"/>
        </w:rPr>
        <w:lastRenderedPageBreak/>
        <w:t>07072022 Respuesta sol 00404 2022 447 saimex</w:t>
      </w:r>
      <w:r w:rsidR="00F709AB" w:rsidRPr="00F709AB">
        <w:rPr>
          <w:rFonts w:eastAsia="Palatino Linotype" w:cs="Palatino Linotype"/>
          <w:color w:val="000000"/>
          <w:lang w:val="es-MX"/>
        </w:rPr>
        <w:t>.</w:t>
      </w:r>
      <w:r w:rsidR="00687BF5">
        <w:rPr>
          <w:rFonts w:eastAsia="Palatino Linotype" w:cs="Palatino Linotype"/>
          <w:color w:val="000000"/>
          <w:lang w:val="es-MX"/>
        </w:rPr>
        <w:t xml:space="preserve"> </w:t>
      </w:r>
      <w:r>
        <w:rPr>
          <w:rFonts w:eastAsia="Palatino Linotype" w:cs="Palatino Linotype"/>
          <w:color w:val="000000"/>
          <w:lang w:val="es-MX"/>
        </w:rPr>
        <w:t xml:space="preserve">Respuesta </w:t>
      </w:r>
      <w:r w:rsidR="00894764">
        <w:rPr>
          <w:rFonts w:eastAsia="Palatino Linotype" w:cs="Palatino Linotype"/>
          <w:color w:val="000000"/>
          <w:lang w:val="es-MX"/>
        </w:rPr>
        <w:t xml:space="preserve">identificada con el </w:t>
      </w:r>
      <w:r>
        <w:rPr>
          <w:rFonts w:eastAsia="Palatino Linotype" w:cs="Palatino Linotype"/>
          <w:color w:val="000000"/>
          <w:lang w:val="es-MX"/>
        </w:rPr>
        <w:t>número ISE</w:t>
      </w:r>
      <w:r w:rsidR="00894764">
        <w:rPr>
          <w:rFonts w:eastAsia="Palatino Linotype" w:cs="Palatino Linotype"/>
          <w:color w:val="000000"/>
          <w:lang w:val="es-MX"/>
        </w:rPr>
        <w:t>M</w:t>
      </w:r>
      <w:r>
        <w:rPr>
          <w:rFonts w:eastAsia="Palatino Linotype" w:cs="Palatino Linotype"/>
          <w:color w:val="000000"/>
          <w:lang w:val="es-MX"/>
        </w:rPr>
        <w:t>/SAIMEX/447/2022</w:t>
      </w:r>
      <w:r w:rsidR="00894764">
        <w:rPr>
          <w:rFonts w:eastAsia="Palatino Linotype" w:cs="Palatino Linotype"/>
          <w:color w:val="000000"/>
          <w:lang w:val="es-MX"/>
        </w:rPr>
        <w:t>, suscrita por la Jefa de la Unidad de Información, Planeación, Programación y Evaluación, por la cual se informó que se adjuntaron las respuestas de la Dirección de Servicios de Salud y de laSubdirección de Recursos Humanos.</w:t>
      </w:r>
    </w:p>
    <w:p w14:paraId="10FD532A" w14:textId="415D2BA4" w:rsidR="00687BF5" w:rsidRPr="00F709AB" w:rsidRDefault="00C50751" w:rsidP="00211BE5">
      <w:pPr>
        <w:pStyle w:val="Prrafodelista"/>
        <w:numPr>
          <w:ilvl w:val="0"/>
          <w:numId w:val="13"/>
        </w:numPr>
        <w:pBdr>
          <w:top w:val="nil"/>
          <w:left w:val="nil"/>
          <w:bottom w:val="nil"/>
          <w:right w:val="nil"/>
          <w:between w:val="nil"/>
        </w:pBdr>
        <w:contextualSpacing/>
        <w:rPr>
          <w:rFonts w:eastAsia="Palatino Linotype" w:cs="Palatino Linotype"/>
          <w:color w:val="000000"/>
          <w:lang w:val="es-MX"/>
        </w:rPr>
      </w:pPr>
      <w:r w:rsidRPr="00C50751">
        <w:rPr>
          <w:rFonts w:eastAsia="Palatino Linotype" w:cs="Palatino Linotype"/>
          <w:b/>
          <w:color w:val="000000"/>
          <w:lang w:val="es-MX"/>
        </w:rPr>
        <w:t>208C0101320100L-10658-2022.pdf</w:t>
      </w:r>
      <w:r w:rsidR="00F709AB" w:rsidRPr="00F709AB">
        <w:rPr>
          <w:rFonts w:eastAsia="Palatino Linotype" w:cs="Palatino Linotype"/>
          <w:color w:val="000000"/>
          <w:lang w:val="es-MX"/>
        </w:rPr>
        <w:t>.</w:t>
      </w:r>
      <w:r w:rsidR="006F3656">
        <w:rPr>
          <w:rFonts w:eastAsia="Palatino Linotype" w:cs="Palatino Linotype"/>
          <w:color w:val="000000"/>
          <w:lang w:val="es-MX"/>
        </w:rPr>
        <w:t xml:space="preserve"> </w:t>
      </w:r>
      <w:r w:rsidR="00894764">
        <w:rPr>
          <w:rFonts w:eastAsia="Palatino Linotype" w:cs="Palatino Linotype"/>
          <w:color w:val="000000"/>
          <w:lang w:val="es-MX"/>
        </w:rPr>
        <w:t xml:space="preserve">Oficio número 208C01013220100L/10658/2022, emitido por el Subdirector de Recursos Humanos, por medio del cual manifestó que, respecto de las hojas de registro solicitadas, dicha información queda fuera de la competencia de la Dirección de Administración y de esa Unidad, ya que no genera, recopila, administra, maneja, procesa, archiva o conserva esa documentación; por lo que toca a los contratos requeridos, se señaló que los médicos que estuvieron en las clinicas referidas en la solicitud a la fecha no se encuentran como trabajadores activos, por lo que al ya no ser servidores públicos de ese Organismo, no es posible dar atención a lo solicitado; por lo que toca al metodo de asignación de los médicos, se informó que </w:t>
      </w:r>
      <w:r w:rsidR="00241634">
        <w:rPr>
          <w:rFonts w:eastAsia="Palatino Linotype" w:cs="Palatino Linotype"/>
          <w:color w:val="000000"/>
          <w:lang w:val="es-MX"/>
        </w:rPr>
        <w:t>cada unidad aplicativa de ese Instituto es la encargada de la selección, reclutamiento, promoción, designación, administración, coordinación, control de asistencia, incidencia y supervisión del personal que se encuentra a su cargo, contando esas unidades con un Jefe o Encargado de Recursos Humanos responsable de aplicar la normatividad vigente que rige al Sujeto Obligado.</w:t>
      </w:r>
    </w:p>
    <w:p w14:paraId="5DF39CD1" w14:textId="628EA13C" w:rsidR="00F709AB" w:rsidRPr="006922F5" w:rsidRDefault="00C50751" w:rsidP="00211BE5">
      <w:pPr>
        <w:pStyle w:val="Prrafodelista"/>
        <w:numPr>
          <w:ilvl w:val="0"/>
          <w:numId w:val="13"/>
        </w:numPr>
        <w:pBdr>
          <w:top w:val="nil"/>
          <w:left w:val="nil"/>
          <w:bottom w:val="nil"/>
          <w:right w:val="nil"/>
          <w:between w:val="nil"/>
        </w:pBdr>
        <w:contextualSpacing/>
        <w:rPr>
          <w:rFonts w:eastAsia="Palatino Linotype" w:cs="Palatino Linotype"/>
          <w:color w:val="000000"/>
        </w:rPr>
      </w:pPr>
      <w:r w:rsidRPr="00C50751">
        <w:rPr>
          <w:rFonts w:eastAsia="Palatino Linotype" w:cs="Palatino Linotype"/>
          <w:b/>
          <w:color w:val="000000"/>
          <w:lang w:val="es-MX"/>
        </w:rPr>
        <w:t>saimex 404.pdf</w:t>
      </w:r>
      <w:r w:rsidR="00F709AB" w:rsidRPr="00F709AB">
        <w:rPr>
          <w:rFonts w:eastAsia="Palatino Linotype" w:cs="Palatino Linotype"/>
          <w:color w:val="000000"/>
          <w:lang w:val="es-MX"/>
        </w:rPr>
        <w:t>.</w:t>
      </w:r>
      <w:r w:rsidR="00D14240">
        <w:rPr>
          <w:rFonts w:eastAsia="Palatino Linotype" w:cs="Palatino Linotype"/>
          <w:color w:val="000000"/>
          <w:lang w:val="es-MX"/>
        </w:rPr>
        <w:t xml:space="preserve"> </w:t>
      </w:r>
      <w:r w:rsidR="00241634">
        <w:rPr>
          <w:rFonts w:eastAsia="Palatino Linotype" w:cs="Palatino Linotype"/>
          <w:color w:val="000000"/>
          <w:lang w:val="es-MX"/>
        </w:rPr>
        <w:t xml:space="preserve">Escrito sin número de identificación suscrito por la Subdirectora de Atención Médica, mediante el cual se hizo del conocimiento del solicitante que, respecto de las hojas de registro solicitadas, toda la información relacionada con las personas que acuden a los centros de salud es confidencial, por lo que no </w:t>
      </w:r>
      <w:r w:rsidR="00241634">
        <w:rPr>
          <w:rFonts w:eastAsia="Palatino Linotype" w:cs="Palatino Linotype"/>
          <w:color w:val="000000"/>
          <w:lang w:val="es-MX"/>
        </w:rPr>
        <w:lastRenderedPageBreak/>
        <w:t>existen datos por aportar; mientras que tocante a los contratos de los médicos y el método de asignación, es competencia de otra unidad administrativa, en concreto de la Subdirección de Recursos Humanos.</w:t>
      </w:r>
    </w:p>
    <w:p w14:paraId="0C5E9645" w14:textId="77777777" w:rsidR="00C50751" w:rsidRDefault="00C50751" w:rsidP="006922F5">
      <w:pPr>
        <w:pBdr>
          <w:top w:val="nil"/>
          <w:left w:val="nil"/>
          <w:bottom w:val="nil"/>
          <w:right w:val="nil"/>
          <w:between w:val="nil"/>
        </w:pBdr>
        <w:contextualSpacing/>
        <w:rPr>
          <w:rFonts w:eastAsia="Palatino Linotype" w:cs="Palatino Linotype"/>
          <w:color w:val="000000"/>
          <w:szCs w:val="24"/>
        </w:rPr>
      </w:pPr>
    </w:p>
    <w:p w14:paraId="6128DFF4" w14:textId="13691EDB" w:rsidR="00A970D5"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E0FE3" w:rsidRPr="006922F5">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E37872">
        <w:rPr>
          <w:rFonts w:eastAsia="Palatino Linotype" w:cs="Palatino Linotype"/>
          <w:color w:val="000000"/>
          <w:szCs w:val="24"/>
        </w:rPr>
        <w:t xml:space="preserve"> </w:t>
      </w:r>
      <w:r w:rsidR="0078254E">
        <w:rPr>
          <w:rFonts w:eastAsia="Palatino Linotype" w:cs="Palatino Linotype"/>
          <w:color w:val="000000"/>
          <w:szCs w:val="24"/>
        </w:rPr>
        <w:t>que no se le entregó la información requerida; dando como razones o motivos de inconformidad los siguientes puntos:</w:t>
      </w:r>
    </w:p>
    <w:p w14:paraId="42D1735A" w14:textId="78431B95" w:rsidR="0078254E" w:rsidRDefault="0078254E" w:rsidP="006922F5">
      <w:pPr>
        <w:pBdr>
          <w:top w:val="nil"/>
          <w:left w:val="nil"/>
          <w:bottom w:val="nil"/>
          <w:right w:val="nil"/>
          <w:between w:val="nil"/>
        </w:pBdr>
        <w:contextualSpacing/>
        <w:rPr>
          <w:rFonts w:eastAsia="Palatino Linotype" w:cs="Palatino Linotype"/>
          <w:color w:val="000000"/>
          <w:szCs w:val="24"/>
        </w:rPr>
      </w:pPr>
    </w:p>
    <w:p w14:paraId="418625CE" w14:textId="3BCE000D" w:rsidR="0078254E" w:rsidRDefault="00E81FF4" w:rsidP="00211BE5">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Que la </w:t>
      </w:r>
      <w:r w:rsidRPr="00E81FF4">
        <w:rPr>
          <w:rFonts w:eastAsia="Palatino Linotype" w:cs="Palatino Linotype"/>
          <w:color w:val="000000"/>
        </w:rPr>
        <w:t>información no es clasificada conforme al art</w:t>
      </w:r>
      <w:r>
        <w:rPr>
          <w:rFonts w:eastAsia="Palatino Linotype" w:cs="Palatino Linotype"/>
          <w:color w:val="000000"/>
        </w:rPr>
        <w:t>ículo</w:t>
      </w:r>
      <w:r w:rsidRPr="00E81FF4">
        <w:rPr>
          <w:rFonts w:eastAsia="Palatino Linotype" w:cs="Palatino Linotype"/>
          <w:color w:val="000000"/>
        </w:rPr>
        <w:t xml:space="preserve"> 3 fracci</w:t>
      </w:r>
      <w:r>
        <w:rPr>
          <w:rFonts w:eastAsia="Palatino Linotype" w:cs="Palatino Linotype"/>
          <w:color w:val="000000"/>
        </w:rPr>
        <w:t>ones</w:t>
      </w:r>
      <w:r w:rsidRPr="00E81FF4">
        <w:rPr>
          <w:rFonts w:eastAsia="Palatino Linotype" w:cs="Palatino Linotype"/>
          <w:color w:val="000000"/>
        </w:rPr>
        <w:t xml:space="preserve"> XX</w:t>
      </w:r>
      <w:r>
        <w:rPr>
          <w:rFonts w:eastAsia="Palatino Linotype" w:cs="Palatino Linotype"/>
          <w:color w:val="000000"/>
        </w:rPr>
        <w:t xml:space="preserve"> y</w:t>
      </w:r>
      <w:r w:rsidRPr="00E81FF4">
        <w:rPr>
          <w:rFonts w:eastAsia="Palatino Linotype" w:cs="Palatino Linotype"/>
          <w:color w:val="000000"/>
        </w:rPr>
        <w:t xml:space="preserve"> XXI, por lo que la información se clasifica </w:t>
      </w:r>
      <w:r>
        <w:rPr>
          <w:rFonts w:eastAsia="Palatino Linotype" w:cs="Palatino Linotype"/>
          <w:color w:val="000000"/>
        </w:rPr>
        <w:t xml:space="preserve">según </w:t>
      </w:r>
      <w:r w:rsidRPr="00E81FF4">
        <w:rPr>
          <w:rFonts w:eastAsia="Palatino Linotype" w:cs="Palatino Linotype"/>
          <w:color w:val="000000"/>
        </w:rPr>
        <w:t>en el</w:t>
      </w:r>
      <w:r>
        <w:rPr>
          <w:rFonts w:eastAsia="Palatino Linotype" w:cs="Palatino Linotype"/>
          <w:color w:val="000000"/>
        </w:rPr>
        <w:t xml:space="preserve"> </w:t>
      </w:r>
      <w:r w:rsidRPr="00E81FF4">
        <w:rPr>
          <w:rFonts w:eastAsia="Palatino Linotype" w:cs="Palatino Linotype"/>
          <w:color w:val="000000"/>
        </w:rPr>
        <w:t>art</w:t>
      </w:r>
      <w:r>
        <w:rPr>
          <w:rFonts w:eastAsia="Palatino Linotype" w:cs="Palatino Linotype"/>
          <w:color w:val="000000"/>
        </w:rPr>
        <w:t>ículo</w:t>
      </w:r>
      <w:r w:rsidRPr="00E81FF4">
        <w:rPr>
          <w:rFonts w:eastAsia="Palatino Linotype" w:cs="Palatino Linotype"/>
          <w:color w:val="000000"/>
        </w:rPr>
        <w:t xml:space="preserve"> 3 fracción XXII</w:t>
      </w:r>
      <w:r>
        <w:rPr>
          <w:rFonts w:eastAsia="Palatino Linotype" w:cs="Palatino Linotype"/>
          <w:color w:val="000000"/>
        </w:rPr>
        <w:t xml:space="preserve"> (</w:t>
      </w:r>
      <w:r w:rsidRPr="00E81FF4">
        <w:rPr>
          <w:rFonts w:eastAsia="Palatino Linotype" w:cs="Palatino Linotype"/>
          <w:color w:val="000000"/>
        </w:rPr>
        <w:t xml:space="preserve">información de interés publico) de la </w:t>
      </w:r>
      <w:r>
        <w:rPr>
          <w:rFonts w:eastAsia="Palatino Linotype" w:cs="Palatino Linotype"/>
          <w:color w:val="000000"/>
        </w:rPr>
        <w:t>L</w:t>
      </w:r>
      <w:r w:rsidRPr="00E81FF4">
        <w:rPr>
          <w:rFonts w:eastAsia="Palatino Linotype" w:cs="Palatino Linotype"/>
          <w:color w:val="000000"/>
        </w:rPr>
        <w:t xml:space="preserve">ey de </w:t>
      </w:r>
      <w:r>
        <w:rPr>
          <w:rFonts w:eastAsia="Palatino Linotype" w:cs="Palatino Linotype"/>
          <w:color w:val="000000"/>
        </w:rPr>
        <w:t>T</w:t>
      </w:r>
      <w:r w:rsidRPr="00E81FF4">
        <w:rPr>
          <w:rFonts w:eastAsia="Palatino Linotype" w:cs="Palatino Linotype"/>
          <w:color w:val="000000"/>
        </w:rPr>
        <w:t xml:space="preserve">ransparencia </w:t>
      </w:r>
      <w:r w:rsidR="00B24E38">
        <w:rPr>
          <w:rFonts w:eastAsia="Palatino Linotype" w:cs="Palatino Linotype"/>
          <w:color w:val="000000"/>
        </w:rPr>
        <w:t xml:space="preserve">local </w:t>
      </w:r>
      <w:r w:rsidRPr="00E81FF4">
        <w:rPr>
          <w:rFonts w:eastAsia="Palatino Linotype" w:cs="Palatino Linotype"/>
          <w:color w:val="000000"/>
        </w:rPr>
        <w:t>con la finalidad de transparentar las acciones arbitrarias por parte de la</w:t>
      </w:r>
      <w:r w:rsidR="00B24E38">
        <w:rPr>
          <w:rFonts w:eastAsia="Palatino Linotype" w:cs="Palatino Linotype"/>
          <w:color w:val="000000"/>
        </w:rPr>
        <w:t xml:space="preserve"> S</w:t>
      </w:r>
      <w:r w:rsidRPr="00E81FF4">
        <w:rPr>
          <w:rFonts w:eastAsia="Palatino Linotype" w:cs="Palatino Linotype"/>
          <w:color w:val="000000"/>
        </w:rPr>
        <w:t>ecretar</w:t>
      </w:r>
      <w:r w:rsidR="00B24E38">
        <w:rPr>
          <w:rFonts w:eastAsia="Palatino Linotype" w:cs="Palatino Linotype"/>
          <w:color w:val="000000"/>
        </w:rPr>
        <w:t>í</w:t>
      </w:r>
      <w:r w:rsidRPr="00E81FF4">
        <w:rPr>
          <w:rFonts w:eastAsia="Palatino Linotype" w:cs="Palatino Linotype"/>
          <w:color w:val="000000"/>
        </w:rPr>
        <w:t xml:space="preserve">a de </w:t>
      </w:r>
      <w:r w:rsidR="00B24E38">
        <w:rPr>
          <w:rFonts w:eastAsia="Palatino Linotype" w:cs="Palatino Linotype"/>
          <w:color w:val="000000"/>
        </w:rPr>
        <w:t>S</w:t>
      </w:r>
      <w:r w:rsidRPr="00E81FF4">
        <w:rPr>
          <w:rFonts w:eastAsia="Palatino Linotype" w:cs="Palatino Linotype"/>
          <w:color w:val="000000"/>
        </w:rPr>
        <w:t xml:space="preserve">alud del </w:t>
      </w:r>
      <w:r w:rsidR="00B24E38">
        <w:rPr>
          <w:rFonts w:eastAsia="Palatino Linotype" w:cs="Palatino Linotype"/>
          <w:color w:val="000000"/>
        </w:rPr>
        <w:t>E</w:t>
      </w:r>
      <w:r w:rsidRPr="00E81FF4">
        <w:rPr>
          <w:rFonts w:eastAsia="Palatino Linotype" w:cs="Palatino Linotype"/>
          <w:color w:val="000000"/>
        </w:rPr>
        <w:t xml:space="preserve">stado de </w:t>
      </w:r>
      <w:r w:rsidR="00B24E38" w:rsidRPr="00E81FF4">
        <w:rPr>
          <w:rFonts w:eastAsia="Palatino Linotype" w:cs="Palatino Linotype"/>
          <w:color w:val="000000"/>
        </w:rPr>
        <w:t>México</w:t>
      </w:r>
      <w:r w:rsidRPr="00E81FF4">
        <w:rPr>
          <w:rFonts w:eastAsia="Palatino Linotype" w:cs="Palatino Linotype"/>
          <w:color w:val="000000"/>
        </w:rPr>
        <w:t xml:space="preserve">, a </w:t>
      </w:r>
      <w:r w:rsidR="00B24E38" w:rsidRPr="00E81FF4">
        <w:rPr>
          <w:rFonts w:eastAsia="Palatino Linotype" w:cs="Palatino Linotype"/>
          <w:color w:val="000000"/>
        </w:rPr>
        <w:t>través</w:t>
      </w:r>
      <w:r w:rsidRPr="00E81FF4">
        <w:rPr>
          <w:rFonts w:eastAsia="Palatino Linotype" w:cs="Palatino Linotype"/>
          <w:color w:val="000000"/>
        </w:rPr>
        <w:t xml:space="preserve"> de la </w:t>
      </w:r>
      <w:r w:rsidR="00B24E38">
        <w:rPr>
          <w:rFonts w:eastAsia="Palatino Linotype" w:cs="Palatino Linotype"/>
          <w:color w:val="000000"/>
        </w:rPr>
        <w:t>C</w:t>
      </w:r>
      <w:r w:rsidR="00B24E38" w:rsidRPr="00E81FF4">
        <w:rPr>
          <w:rFonts w:eastAsia="Palatino Linotype" w:cs="Palatino Linotype"/>
          <w:color w:val="000000"/>
        </w:rPr>
        <w:t>oordinación</w:t>
      </w:r>
      <w:r w:rsidRPr="00E81FF4">
        <w:rPr>
          <w:rFonts w:eastAsia="Palatino Linotype" w:cs="Palatino Linotype"/>
          <w:color w:val="000000"/>
        </w:rPr>
        <w:t xml:space="preserve"> de </w:t>
      </w:r>
      <w:r w:rsidR="00B24E38">
        <w:rPr>
          <w:rFonts w:eastAsia="Palatino Linotype" w:cs="Palatino Linotype"/>
          <w:color w:val="000000"/>
        </w:rPr>
        <w:t>R</w:t>
      </w:r>
      <w:r w:rsidR="00B24E38" w:rsidRPr="00E81FF4">
        <w:rPr>
          <w:rFonts w:eastAsia="Palatino Linotype" w:cs="Palatino Linotype"/>
          <w:color w:val="000000"/>
        </w:rPr>
        <w:t>egulación</w:t>
      </w:r>
      <w:r w:rsidRPr="00E81FF4">
        <w:rPr>
          <w:rFonts w:eastAsia="Palatino Linotype" w:cs="Palatino Linotype"/>
          <w:color w:val="000000"/>
        </w:rPr>
        <w:t xml:space="preserve"> </w:t>
      </w:r>
      <w:r w:rsidR="00B24E38">
        <w:rPr>
          <w:rFonts w:eastAsia="Palatino Linotype" w:cs="Palatino Linotype"/>
          <w:color w:val="000000"/>
        </w:rPr>
        <w:t>S</w:t>
      </w:r>
      <w:r w:rsidRPr="00E81FF4">
        <w:rPr>
          <w:rFonts w:eastAsia="Palatino Linotype" w:cs="Palatino Linotype"/>
          <w:color w:val="000000"/>
        </w:rPr>
        <w:t xml:space="preserve">anitaria </w:t>
      </w:r>
      <w:r w:rsidR="00B24E38">
        <w:rPr>
          <w:rFonts w:eastAsia="Palatino Linotype" w:cs="Palatino Linotype"/>
          <w:color w:val="000000"/>
        </w:rPr>
        <w:t>R</w:t>
      </w:r>
      <w:r w:rsidR="00B24E38" w:rsidRPr="00E81FF4">
        <w:rPr>
          <w:rFonts w:eastAsia="Palatino Linotype" w:cs="Palatino Linotype"/>
          <w:color w:val="000000"/>
        </w:rPr>
        <w:t>egión</w:t>
      </w:r>
      <w:r w:rsidRPr="00E81FF4">
        <w:rPr>
          <w:rFonts w:eastAsia="Palatino Linotype" w:cs="Palatino Linotype"/>
          <w:color w:val="000000"/>
        </w:rPr>
        <w:t xml:space="preserve"> </w:t>
      </w:r>
      <w:r w:rsidR="00B24E38" w:rsidRPr="00E81FF4">
        <w:rPr>
          <w:rFonts w:eastAsia="Palatino Linotype" w:cs="Palatino Linotype"/>
          <w:color w:val="000000"/>
        </w:rPr>
        <w:t>Atlacomulco</w:t>
      </w:r>
      <w:r w:rsidRPr="00E81FF4">
        <w:rPr>
          <w:rFonts w:eastAsia="Palatino Linotype" w:cs="Palatino Linotype"/>
          <w:color w:val="000000"/>
        </w:rPr>
        <w:t>.</w:t>
      </w:r>
    </w:p>
    <w:p w14:paraId="09F2F990" w14:textId="72B8BA2D" w:rsidR="00B24E38" w:rsidRDefault="001B772C" w:rsidP="00211BE5">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Que la información requerida al número de personas que acuden a los centros de salud sólo se refiere a la cantidad atendida y no a los nombres y apellidos de los pacientes, por lo que no se considera que sea información confidencial, y se formularon otras preguntas que no fueron realizadas en la solicitud de información.</w:t>
      </w:r>
    </w:p>
    <w:p w14:paraId="33CB55CC" w14:textId="607A1496" w:rsidR="001B772C" w:rsidRDefault="001B772C" w:rsidP="00211BE5">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Respecto de los contratos de los médicos, se consideró que se negó el derecho a saber los contratos del personal médico debiendo ser de interés público por ser servidores públicos.</w:t>
      </w:r>
    </w:p>
    <w:p w14:paraId="46749B67" w14:textId="40C4BD18" w:rsidR="001B772C" w:rsidRPr="00E81FF4" w:rsidRDefault="001B772C" w:rsidP="00211BE5">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Tocante a la forma de asignación del personal, se mencionó que se ha dejado ver en los oficios remitidos al solicitante la forma arbitraria para la asignación o cancelación de contratos a clínicas con un mayor número de atenciones obedeciendo a intereses particulares de la administración actual.</w:t>
      </w:r>
    </w:p>
    <w:p w14:paraId="295E3A91" w14:textId="77777777" w:rsidR="00A2429B" w:rsidRDefault="00A2429B" w:rsidP="006922F5">
      <w:pPr>
        <w:pBdr>
          <w:top w:val="nil"/>
          <w:left w:val="nil"/>
          <w:bottom w:val="nil"/>
          <w:right w:val="nil"/>
          <w:between w:val="nil"/>
        </w:pBdr>
        <w:contextualSpacing/>
        <w:rPr>
          <w:rFonts w:eastAsia="Palatino Linotype" w:cs="Palatino Linotype"/>
          <w:color w:val="000000"/>
          <w:szCs w:val="24"/>
        </w:rPr>
      </w:pPr>
    </w:p>
    <w:p w14:paraId="62218583" w14:textId="39EA3A18" w:rsidR="00345427" w:rsidRDefault="001B772C" w:rsidP="00CF1F0A">
      <w:pPr>
        <w:pStyle w:val="Sinespaciado"/>
        <w:spacing w:line="360" w:lineRule="auto"/>
        <w:jc w:val="both"/>
        <w:rPr>
          <w:rFonts w:ascii="Palatino Linotype" w:hAnsi="Palatino Linotype"/>
          <w:lang w:val="es-ES_tradnl"/>
        </w:rPr>
      </w:pPr>
      <w:r>
        <w:rPr>
          <w:rFonts w:ascii="Palatino Linotype" w:hAnsi="Palatino Linotype"/>
          <w:lang w:val="es-ES_tradnl"/>
        </w:rPr>
        <w:t xml:space="preserve">Durante la etapa de instrucción, </w:t>
      </w:r>
      <w:r w:rsidR="003B4BBE" w:rsidRPr="006922F5">
        <w:rPr>
          <w:rFonts w:ascii="Palatino Linotype" w:hAnsi="Palatino Linotype"/>
          <w:lang w:val="es-ES_tradnl"/>
        </w:rPr>
        <w:t>el Sujeto Obligado rindió su Informe Justificado mediante la presentación del documento</w:t>
      </w:r>
      <w:r w:rsidR="005D43B1" w:rsidRPr="006922F5">
        <w:rPr>
          <w:rFonts w:ascii="Palatino Linotype" w:hAnsi="Palatino Linotype"/>
          <w:b/>
          <w:bCs/>
          <w:lang w:val="es-ES_tradnl"/>
        </w:rPr>
        <w:t xml:space="preserve"> </w:t>
      </w:r>
      <w:r w:rsidR="00CF1F0A">
        <w:rPr>
          <w:rFonts w:ascii="Palatino Linotype" w:hAnsi="Palatino Linotype"/>
          <w:b/>
          <w:bCs/>
          <w:lang w:val="es-ES_tradnl"/>
        </w:rPr>
        <w:t>“</w:t>
      </w:r>
      <w:r>
        <w:rPr>
          <w:rFonts w:ascii="Palatino Linotype" w:hAnsi="Palatino Linotype"/>
          <w:b/>
          <w:bCs/>
          <w:lang w:val="es-ES_tradnl"/>
        </w:rPr>
        <w:t>Informe justificado sol 00404</w:t>
      </w:r>
      <w:r w:rsidR="005D43B1" w:rsidRPr="006922F5">
        <w:rPr>
          <w:rFonts w:ascii="Palatino Linotype" w:hAnsi="Palatino Linotype"/>
          <w:b/>
          <w:bCs/>
          <w:lang w:val="es-ES_tradnl"/>
        </w:rPr>
        <w:t>.pdf</w:t>
      </w:r>
      <w:r w:rsidR="00AF6B36">
        <w:rPr>
          <w:rFonts w:ascii="Palatino Linotype" w:hAnsi="Palatino Linotype"/>
          <w:b/>
          <w:bCs/>
          <w:lang w:val="es-ES_tradnl"/>
        </w:rPr>
        <w:t>”</w:t>
      </w:r>
      <w:r w:rsidR="005D43B1" w:rsidRPr="006922F5">
        <w:rPr>
          <w:rFonts w:ascii="Palatino Linotype" w:hAnsi="Palatino Linotype"/>
          <w:lang w:val="es-ES_tradnl"/>
        </w:rPr>
        <w:t xml:space="preserve">, </w:t>
      </w:r>
      <w:r w:rsidR="00724311">
        <w:rPr>
          <w:rFonts w:ascii="Palatino Linotype" w:hAnsi="Palatino Linotype"/>
          <w:lang w:val="es-ES_tradnl"/>
        </w:rPr>
        <w:t>el cual consta de lo siguiente:</w:t>
      </w:r>
    </w:p>
    <w:p w14:paraId="69C37306" w14:textId="0A2091E3" w:rsidR="00724311" w:rsidRDefault="00724311" w:rsidP="00CF1F0A">
      <w:pPr>
        <w:pStyle w:val="Sinespaciado"/>
        <w:spacing w:line="360" w:lineRule="auto"/>
        <w:jc w:val="both"/>
        <w:rPr>
          <w:rFonts w:ascii="Palatino Linotype" w:hAnsi="Palatino Linotype"/>
          <w:lang w:val="es-ES_tradnl"/>
        </w:rPr>
      </w:pPr>
    </w:p>
    <w:p w14:paraId="1E8969BD" w14:textId="16E1E621" w:rsidR="00724311" w:rsidRDefault="00724311" w:rsidP="00211BE5">
      <w:pPr>
        <w:pStyle w:val="Sinespaciado"/>
        <w:numPr>
          <w:ilvl w:val="0"/>
          <w:numId w:val="17"/>
        </w:numPr>
        <w:spacing w:line="360" w:lineRule="auto"/>
        <w:jc w:val="both"/>
        <w:rPr>
          <w:rFonts w:ascii="Palatino Linotype" w:hAnsi="Palatino Linotype"/>
          <w:lang w:val="es-ES_tradnl"/>
        </w:rPr>
      </w:pPr>
      <w:r>
        <w:rPr>
          <w:rFonts w:ascii="Palatino Linotype" w:hAnsi="Palatino Linotype"/>
          <w:lang w:val="es-ES_tradnl"/>
        </w:rPr>
        <w:t>Oficio número 208C0101110000L-1494/2022 emitido por el Director de Servicios de Salud, con el cual manifestó que se adjunta el informe justificado remitido por la Subdirectora de Atención Médica.</w:t>
      </w:r>
    </w:p>
    <w:p w14:paraId="564987EB" w14:textId="02E0ED38" w:rsidR="00EF5FF8" w:rsidRPr="00464CF5" w:rsidRDefault="00CC59FD" w:rsidP="00211BE5">
      <w:pPr>
        <w:pStyle w:val="Sinespaciado"/>
        <w:numPr>
          <w:ilvl w:val="0"/>
          <w:numId w:val="17"/>
        </w:numPr>
        <w:spacing w:line="360" w:lineRule="auto"/>
        <w:jc w:val="both"/>
        <w:rPr>
          <w:rFonts w:ascii="Palatino Linotype" w:hAnsi="Palatino Linotype"/>
          <w:lang w:val="es-ES_tradnl"/>
        </w:rPr>
      </w:pPr>
      <w:r>
        <w:rPr>
          <w:rFonts w:ascii="Palatino Linotype" w:hAnsi="Palatino Linotype"/>
          <w:lang w:val="es-ES_tradnl"/>
        </w:rPr>
        <w:t xml:space="preserve">Escrito sin número de identificación suscrito por la Subdirectora de Atención Médica mediante el cual, sustancialmente se reiteró la respuesta proporcionada; asimismo, </w:t>
      </w:r>
      <w:r w:rsidR="003D386C">
        <w:rPr>
          <w:rFonts w:ascii="Palatino Linotype" w:hAnsi="Palatino Linotype"/>
          <w:lang w:val="es-ES_tradnl"/>
        </w:rPr>
        <w:t>dado el pronunciamiento de la solicitante en cuanto a que se solicitaron sólo los datos numéricos de las personas que acuden a las clínicas referidas en la solicitud de información, se señaló que ese dato no se mencionó en la solicitud original, por lo que no se proporcionó; no obstante se anexó un cuadro estadístico con el número de personas atendidas en los centros de salud referidos durante el periodo de mayo a diciembre de dos mil veintiuno, como se observa a continuación:</w:t>
      </w:r>
    </w:p>
    <w:p w14:paraId="51F7F82C" w14:textId="7FC58B94" w:rsidR="00443857" w:rsidRDefault="00443857" w:rsidP="003D386C">
      <w:pPr>
        <w:pBdr>
          <w:top w:val="nil"/>
          <w:left w:val="nil"/>
          <w:bottom w:val="nil"/>
          <w:right w:val="nil"/>
          <w:between w:val="nil"/>
        </w:pBdr>
        <w:contextualSpacing/>
        <w:jc w:val="center"/>
        <w:rPr>
          <w:noProof/>
        </w:rPr>
      </w:pPr>
      <w:r>
        <w:rPr>
          <w:noProof/>
          <w:lang w:val="es-MX"/>
        </w:rPr>
        <w:lastRenderedPageBreak/>
        <w:drawing>
          <wp:inline distT="0" distB="0" distL="0" distR="0" wp14:anchorId="338539DC" wp14:editId="7ACFF278">
            <wp:extent cx="5165039" cy="1600200"/>
            <wp:effectExtent l="0" t="0" r="444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pic:cNvPicPr/>
                  </pic:nvPicPr>
                  <pic:blipFill>
                    <a:blip r:embed="rId8">
                      <a:extLst>
                        <a:ext uri="{28A0092B-C50C-407E-A947-70E740481C1C}">
                          <a14:useLocalDpi xmlns:a14="http://schemas.microsoft.com/office/drawing/2010/main" val="0"/>
                        </a:ext>
                      </a:extLst>
                    </a:blip>
                    <a:stretch>
                      <a:fillRect/>
                    </a:stretch>
                  </pic:blipFill>
                  <pic:spPr>
                    <a:xfrm>
                      <a:off x="0" y="0"/>
                      <a:ext cx="5280764" cy="1636053"/>
                    </a:xfrm>
                    <a:prstGeom prst="rect">
                      <a:avLst/>
                    </a:prstGeom>
                  </pic:spPr>
                </pic:pic>
              </a:graphicData>
            </a:graphic>
          </wp:inline>
        </w:drawing>
      </w:r>
    </w:p>
    <w:p w14:paraId="58889D3B" w14:textId="77777777" w:rsidR="00443857" w:rsidRDefault="00443857" w:rsidP="00464CF5">
      <w:pPr>
        <w:pBdr>
          <w:top w:val="nil"/>
          <w:left w:val="nil"/>
          <w:bottom w:val="nil"/>
          <w:right w:val="nil"/>
          <w:between w:val="nil"/>
        </w:pBdr>
        <w:contextualSpacing/>
        <w:rPr>
          <w:noProof/>
        </w:rPr>
      </w:pPr>
    </w:p>
    <w:p w14:paraId="64B9BA8A" w14:textId="2062818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lastRenderedPageBreak/>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1530E5" w:rsidRPr="006922F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5429547D" w:rsidR="00C82268" w:rsidRPr="006922F5" w:rsidRDefault="00C82268" w:rsidP="006922F5">
      <w:pPr>
        <w:pStyle w:val="Fundamentos"/>
      </w:pPr>
      <w:r w:rsidRPr="006922F5">
        <w:rPr>
          <w:b/>
          <w:bCs/>
        </w:rPr>
        <w:t>I</w:t>
      </w:r>
      <w:r w:rsidR="001530E5" w:rsidRPr="006922F5">
        <w:rPr>
          <w:b/>
          <w:bCs/>
        </w:rPr>
        <w:t>V</w:t>
      </w:r>
      <w:r w:rsidRPr="006922F5">
        <w:rPr>
          <w:b/>
          <w:bCs/>
        </w:rPr>
        <w:t>.</w:t>
      </w:r>
      <w:r w:rsidRPr="006922F5">
        <w:t xml:space="preserve"> </w:t>
      </w:r>
      <w:r w:rsidR="001530E5" w:rsidRPr="006922F5">
        <w:t xml:space="preserve">Los </w:t>
      </w:r>
      <w:r w:rsidR="00754A30" w:rsidRPr="006922F5">
        <w:t>ayuntamientos y las dependencias, organismos, órganos y entidades de la administración municipal;</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51F78F4C"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21414834" w14:textId="06E11EDB" w:rsidR="00211BE5" w:rsidRDefault="00211BE5"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Asimismo, conforme a las actuaciones en el expediente, se advierte que se actualiza la causal de procedencia del recurso de revisión prevista en el artículo 179 fracción I de la Ley de Transparencia estatal, que a la letra estipula lo siguiente:</w:t>
      </w:r>
    </w:p>
    <w:p w14:paraId="056959A8" w14:textId="35A127F2" w:rsidR="00211BE5" w:rsidRDefault="00211BE5" w:rsidP="006922F5">
      <w:pPr>
        <w:pBdr>
          <w:top w:val="nil"/>
          <w:left w:val="nil"/>
          <w:bottom w:val="nil"/>
          <w:right w:val="nil"/>
          <w:between w:val="nil"/>
        </w:pBdr>
        <w:contextualSpacing/>
        <w:rPr>
          <w:rFonts w:eastAsia="Palatino Linotype" w:cs="Palatino Linotype"/>
          <w:color w:val="000000"/>
          <w:szCs w:val="24"/>
        </w:rPr>
      </w:pPr>
    </w:p>
    <w:p w14:paraId="5FB4A330"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i/>
          <w:sz w:val="22"/>
          <w:szCs w:val="24"/>
          <w:lang w:val="es-MX" w:eastAsia="es-ES"/>
        </w:rPr>
        <w:lastRenderedPageBreak/>
        <w:t xml:space="preserve">Artículo 179. </w:t>
      </w:r>
      <w:r w:rsidRPr="00211BE5">
        <w:rPr>
          <w:rFonts w:eastAsia="Palatino Linotype" w:cs="Times New Roman"/>
          <w:i/>
          <w:sz w:val="22"/>
          <w:szCs w:val="24"/>
          <w:lang w:val="es-MX" w:eastAsia="es-ES"/>
        </w:rPr>
        <w:t>El recurso de revisión es un medio de protección que la Ley otorga a los particulares, para hacer valer su derecho de acceso a la información pública, y procederá en contra de las siguientes causas:</w:t>
      </w:r>
    </w:p>
    <w:p w14:paraId="2FE547E6" w14:textId="77777777" w:rsidR="00211BE5" w:rsidRPr="00211BE5" w:rsidRDefault="00211BE5" w:rsidP="00211BE5">
      <w:pPr>
        <w:spacing w:line="240" w:lineRule="auto"/>
        <w:ind w:left="567" w:right="567"/>
        <w:rPr>
          <w:rFonts w:eastAsia="Palatino Linotype" w:cs="Times New Roman"/>
          <w:i/>
          <w:sz w:val="22"/>
          <w:szCs w:val="24"/>
          <w:lang w:eastAsia="es-ES"/>
        </w:rPr>
      </w:pPr>
    </w:p>
    <w:p w14:paraId="0A0405C5" w14:textId="77777777" w:rsidR="00211BE5" w:rsidRPr="00211BE5" w:rsidRDefault="00211BE5" w:rsidP="00211BE5">
      <w:pPr>
        <w:numPr>
          <w:ilvl w:val="0"/>
          <w:numId w:val="19"/>
        </w:numPr>
        <w:spacing w:line="240" w:lineRule="auto"/>
        <w:ind w:right="567" w:hanging="861"/>
        <w:rPr>
          <w:rFonts w:eastAsia="Palatino Linotype" w:cs="Times New Roman"/>
          <w:i/>
          <w:sz w:val="22"/>
          <w:szCs w:val="24"/>
          <w:lang w:eastAsia="es-ES"/>
        </w:rPr>
      </w:pPr>
      <w:r w:rsidRPr="00211BE5">
        <w:rPr>
          <w:rFonts w:eastAsia="Palatino Linotype" w:cs="Times New Roman"/>
          <w:b/>
          <w:bCs/>
          <w:i/>
          <w:sz w:val="22"/>
          <w:szCs w:val="24"/>
          <w:u w:val="single"/>
          <w:lang w:eastAsia="es-ES"/>
        </w:rPr>
        <w:t>La negativa a la información solicitada</w:t>
      </w:r>
      <w:r w:rsidRPr="00211BE5">
        <w:rPr>
          <w:rFonts w:eastAsia="Palatino Linotype" w:cs="Times New Roman"/>
          <w:i/>
          <w:sz w:val="22"/>
          <w:szCs w:val="24"/>
          <w:lang w:eastAsia="es-ES"/>
        </w:rPr>
        <w:t>;</w:t>
      </w:r>
    </w:p>
    <w:p w14:paraId="575E076B"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II.</w:t>
      </w:r>
      <w:r w:rsidRPr="00211BE5">
        <w:rPr>
          <w:rFonts w:eastAsia="Palatino Linotype" w:cs="Times New Roman"/>
          <w:i/>
          <w:sz w:val="22"/>
          <w:szCs w:val="24"/>
          <w:lang w:eastAsia="es-ES"/>
        </w:rPr>
        <w:tab/>
        <w:t>La clasificación de la información;</w:t>
      </w:r>
    </w:p>
    <w:p w14:paraId="4D4F7E32"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III.</w:t>
      </w:r>
      <w:r w:rsidRPr="00211BE5">
        <w:rPr>
          <w:rFonts w:eastAsia="Palatino Linotype" w:cs="Times New Roman"/>
          <w:i/>
          <w:sz w:val="22"/>
          <w:szCs w:val="24"/>
          <w:lang w:eastAsia="es-ES"/>
        </w:rPr>
        <w:tab/>
        <w:t>La declaración de inexistencia de la información;</w:t>
      </w:r>
    </w:p>
    <w:p w14:paraId="7DA91455"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IV.</w:t>
      </w:r>
      <w:r w:rsidRPr="00211BE5">
        <w:rPr>
          <w:rFonts w:eastAsia="Palatino Linotype" w:cs="Times New Roman"/>
          <w:i/>
          <w:sz w:val="22"/>
          <w:szCs w:val="24"/>
          <w:lang w:eastAsia="es-ES"/>
        </w:rPr>
        <w:tab/>
        <w:t>La declaración de incompetencia por el sujeto obligado;</w:t>
      </w:r>
    </w:p>
    <w:p w14:paraId="5A7E0EB8"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w:t>
      </w:r>
      <w:r w:rsidRPr="00211BE5">
        <w:rPr>
          <w:rFonts w:eastAsia="Palatino Linotype" w:cs="Times New Roman"/>
          <w:i/>
          <w:sz w:val="22"/>
          <w:szCs w:val="24"/>
          <w:lang w:eastAsia="es-ES"/>
        </w:rPr>
        <w:tab/>
        <w:t>La entrega de información incompleta;</w:t>
      </w:r>
    </w:p>
    <w:p w14:paraId="31077CD7"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w:t>
      </w:r>
      <w:r w:rsidRPr="00211BE5">
        <w:rPr>
          <w:rFonts w:eastAsia="Palatino Linotype" w:cs="Times New Roman"/>
          <w:i/>
          <w:sz w:val="22"/>
          <w:szCs w:val="24"/>
          <w:lang w:eastAsia="es-ES"/>
        </w:rPr>
        <w:tab/>
        <w:t>La entrega de información que no corresponda con lo solicitado;</w:t>
      </w:r>
    </w:p>
    <w:p w14:paraId="074D0F56"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VII.</w:t>
      </w:r>
      <w:r w:rsidRPr="00211BE5">
        <w:rPr>
          <w:rFonts w:eastAsia="Palatino Linotype" w:cs="Times New Roman"/>
          <w:i/>
          <w:sz w:val="22"/>
          <w:szCs w:val="24"/>
          <w:lang w:eastAsia="es-ES"/>
        </w:rPr>
        <w:tab/>
        <w:t>La falta de respuesta a una solicitud de acceso a la información;</w:t>
      </w:r>
    </w:p>
    <w:p w14:paraId="325217CE"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VIII.</w:t>
      </w:r>
      <w:r w:rsidRPr="00211BE5">
        <w:rPr>
          <w:rFonts w:eastAsia="Palatino Linotype" w:cs="Times New Roman"/>
          <w:i/>
          <w:sz w:val="22"/>
          <w:szCs w:val="24"/>
          <w:lang w:eastAsia="es-ES"/>
        </w:rPr>
        <w:tab/>
        <w:t>La notificación, entrega o puesta a disposición de información en una modalidad o formato distinto al solicitado;</w:t>
      </w:r>
    </w:p>
    <w:p w14:paraId="12681135"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IX.</w:t>
      </w:r>
      <w:r w:rsidRPr="00211BE5">
        <w:rPr>
          <w:rFonts w:eastAsia="Palatino Linotype" w:cs="Times New Roman"/>
          <w:i/>
          <w:sz w:val="22"/>
          <w:szCs w:val="24"/>
          <w:lang w:eastAsia="es-ES"/>
        </w:rPr>
        <w:tab/>
        <w:t>La entrega o puesta a disposición de información en un formato incomprensible y/o no accesible para el solicitante;</w:t>
      </w:r>
    </w:p>
    <w:p w14:paraId="3D68C9CA"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w:t>
      </w:r>
      <w:r w:rsidRPr="00211BE5">
        <w:rPr>
          <w:rFonts w:eastAsia="Palatino Linotype" w:cs="Times New Roman"/>
          <w:i/>
          <w:sz w:val="22"/>
          <w:szCs w:val="24"/>
          <w:lang w:eastAsia="es-ES"/>
        </w:rPr>
        <w:tab/>
        <w:t>Los costos o tiempos de entrega de la información;</w:t>
      </w:r>
    </w:p>
    <w:p w14:paraId="78121250"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w:t>
      </w:r>
      <w:r w:rsidRPr="00211BE5">
        <w:rPr>
          <w:rFonts w:eastAsia="Palatino Linotype" w:cs="Times New Roman"/>
          <w:i/>
          <w:sz w:val="22"/>
          <w:szCs w:val="24"/>
          <w:lang w:eastAsia="es-ES"/>
        </w:rPr>
        <w:tab/>
        <w:t>La falta de trámite a una solicitud;</w:t>
      </w:r>
    </w:p>
    <w:p w14:paraId="68556F49"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XII.</w:t>
      </w:r>
      <w:r w:rsidRPr="00211BE5">
        <w:rPr>
          <w:rFonts w:eastAsia="Palatino Linotype" w:cs="Times New Roman"/>
          <w:i/>
          <w:sz w:val="22"/>
          <w:szCs w:val="24"/>
          <w:lang w:eastAsia="es-ES"/>
        </w:rPr>
        <w:tab/>
        <w:t>La negativa a permitir la consulta directa de la información;</w:t>
      </w:r>
    </w:p>
    <w:p w14:paraId="309B36D6"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XIII.</w:t>
      </w:r>
      <w:r w:rsidRPr="00211BE5">
        <w:rPr>
          <w:rFonts w:eastAsia="Palatino Linotype" w:cs="Times New Roman"/>
          <w:i/>
          <w:sz w:val="22"/>
          <w:szCs w:val="24"/>
          <w:lang w:eastAsia="es-ES"/>
        </w:rPr>
        <w:tab/>
        <w:t>La falta, deficiencia o insuficiencia de la fundamentación y/o motivación en la respuesta; y</w:t>
      </w:r>
    </w:p>
    <w:p w14:paraId="4D93781F"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b/>
          <w:bCs/>
          <w:i/>
          <w:sz w:val="22"/>
          <w:szCs w:val="24"/>
          <w:lang w:eastAsia="es-ES"/>
        </w:rPr>
        <w:t>XIV.</w:t>
      </w:r>
      <w:r w:rsidRPr="00211BE5">
        <w:rPr>
          <w:rFonts w:eastAsia="Palatino Linotype" w:cs="Times New Roman"/>
          <w:i/>
          <w:sz w:val="22"/>
          <w:szCs w:val="24"/>
          <w:lang w:eastAsia="es-ES"/>
        </w:rPr>
        <w:tab/>
        <w:t>La orientación a un trámite específico.</w:t>
      </w:r>
    </w:p>
    <w:p w14:paraId="2D7428EF" w14:textId="77777777" w:rsidR="00211BE5" w:rsidRPr="00211BE5" w:rsidRDefault="00211BE5" w:rsidP="00211BE5">
      <w:pPr>
        <w:spacing w:line="240" w:lineRule="auto"/>
        <w:ind w:left="567" w:right="567"/>
        <w:rPr>
          <w:rFonts w:eastAsia="Palatino Linotype" w:cs="Times New Roman"/>
          <w:i/>
          <w:sz w:val="22"/>
          <w:szCs w:val="24"/>
          <w:lang w:eastAsia="es-ES"/>
        </w:rPr>
      </w:pPr>
    </w:p>
    <w:p w14:paraId="5C533356" w14:textId="77777777" w:rsidR="00211BE5" w:rsidRPr="00211BE5" w:rsidRDefault="00211BE5" w:rsidP="00211BE5">
      <w:pPr>
        <w:spacing w:line="240" w:lineRule="auto"/>
        <w:ind w:left="567" w:right="567"/>
        <w:rPr>
          <w:rFonts w:eastAsia="Palatino Linotype" w:cs="Times New Roman"/>
          <w:i/>
          <w:sz w:val="22"/>
          <w:szCs w:val="24"/>
          <w:lang w:eastAsia="es-ES"/>
        </w:rPr>
      </w:pPr>
      <w:r w:rsidRPr="00211BE5">
        <w:rPr>
          <w:rFonts w:eastAsia="Palatino Linotype" w:cs="Times New Roman"/>
          <w:i/>
          <w:sz w:val="22"/>
          <w:szCs w:val="24"/>
          <w:lang w:eastAsia="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286454F" w14:textId="77777777" w:rsidR="00211BE5" w:rsidRDefault="00211BE5" w:rsidP="006922F5">
      <w:pPr>
        <w:pBdr>
          <w:top w:val="nil"/>
          <w:left w:val="nil"/>
          <w:bottom w:val="nil"/>
          <w:right w:val="nil"/>
          <w:between w:val="nil"/>
        </w:pBdr>
        <w:contextualSpacing/>
        <w:rPr>
          <w:rFonts w:eastAsia="Palatino Linotype" w:cs="Palatino Linotype"/>
          <w:color w:val="000000"/>
          <w:szCs w:val="24"/>
        </w:rPr>
      </w:pPr>
    </w:p>
    <w:p w14:paraId="1FC68B10" w14:textId="15DB1AA4" w:rsidR="00211BE5" w:rsidRDefault="00211BE5" w:rsidP="006922F5">
      <w:pPr>
        <w:contextualSpacing/>
        <w:rPr>
          <w:rFonts w:eastAsia="Palatino Linotype" w:cs="Palatino Linotype"/>
          <w:color w:val="000000"/>
          <w:szCs w:val="24"/>
        </w:rPr>
      </w:pPr>
      <w:r>
        <w:rPr>
          <w:rFonts w:eastAsia="Palatino Linotype" w:cs="Palatino Linotype"/>
          <w:color w:val="000000"/>
          <w:szCs w:val="24"/>
        </w:rPr>
        <w:t>Por tanto, con la finalidad de emitir una resolución apegada a derecho, se considera viable realizar el estudio de cada uno de los puntos solicitados por la particular.</w:t>
      </w:r>
    </w:p>
    <w:p w14:paraId="1199CC04" w14:textId="54345F0A" w:rsidR="00211BE5" w:rsidRDefault="00211BE5" w:rsidP="006922F5">
      <w:pPr>
        <w:contextualSpacing/>
        <w:rPr>
          <w:rFonts w:eastAsia="Palatino Linotype" w:cs="Palatino Linotype"/>
          <w:color w:val="000000"/>
          <w:szCs w:val="24"/>
        </w:rPr>
      </w:pPr>
    </w:p>
    <w:p w14:paraId="782ED533" w14:textId="3874916A" w:rsidR="00211BE5" w:rsidRDefault="00211BE5" w:rsidP="006922F5">
      <w:pPr>
        <w:contextualSpacing/>
        <w:rPr>
          <w:rFonts w:eastAsia="Palatino Linotype" w:cs="Palatino Linotype"/>
          <w:color w:val="000000"/>
          <w:szCs w:val="24"/>
        </w:rPr>
      </w:pPr>
      <w:r>
        <w:rPr>
          <w:rFonts w:eastAsia="Palatino Linotype" w:cs="Palatino Linotype"/>
          <w:color w:val="000000"/>
          <w:szCs w:val="24"/>
        </w:rPr>
        <w:t xml:space="preserve">En esa tesitura, respecto del primer punto relativo a las hojas de registro de las personas atendidas en las clínicas de salud de las comunidades de Agostadero, Puentecillas, San Francisco </w:t>
      </w:r>
      <w:proofErr w:type="spellStart"/>
      <w:r>
        <w:rPr>
          <w:rFonts w:eastAsia="Palatino Linotype" w:cs="Palatino Linotype"/>
          <w:color w:val="000000"/>
          <w:szCs w:val="24"/>
        </w:rPr>
        <w:t>Shaxni</w:t>
      </w:r>
      <w:proofErr w:type="spellEnd"/>
      <w:r>
        <w:rPr>
          <w:rFonts w:eastAsia="Palatino Linotype" w:cs="Palatino Linotype"/>
          <w:color w:val="000000"/>
          <w:szCs w:val="24"/>
        </w:rPr>
        <w:t xml:space="preserve"> y Conejeras de los meses de mayo a diciembre de dos mil veintiuno, se tiene que el Sujeto Obligado manifestó que toda la información relativa a las personas que acuden a los centros de salud es considerada como confidencial.</w:t>
      </w:r>
    </w:p>
    <w:p w14:paraId="6AFB53D7" w14:textId="46CC521F" w:rsidR="00211BE5" w:rsidRDefault="00211BE5" w:rsidP="006922F5">
      <w:pPr>
        <w:contextualSpacing/>
        <w:rPr>
          <w:rFonts w:eastAsia="Palatino Linotype" w:cs="Palatino Linotype"/>
          <w:color w:val="000000"/>
          <w:szCs w:val="24"/>
        </w:rPr>
      </w:pPr>
    </w:p>
    <w:p w14:paraId="27774236" w14:textId="6020C462" w:rsidR="00211BE5" w:rsidRDefault="00211BE5" w:rsidP="006922F5">
      <w:pPr>
        <w:contextualSpacing/>
        <w:rPr>
          <w:rFonts w:eastAsia="Palatino Linotype" w:cs="Palatino Linotype"/>
          <w:color w:val="000000"/>
          <w:szCs w:val="24"/>
        </w:rPr>
      </w:pPr>
      <w:r>
        <w:rPr>
          <w:rFonts w:eastAsia="Palatino Linotype" w:cs="Palatino Linotype"/>
          <w:color w:val="000000"/>
          <w:szCs w:val="24"/>
        </w:rPr>
        <w:t xml:space="preserve">Por lo que en un primer momento se debe considerar que dicha respuesta no colma la pretensión del Recurrente, puesto que el Sujeto Obligado omitió </w:t>
      </w:r>
      <w:r w:rsidR="00052B7D">
        <w:rPr>
          <w:rFonts w:eastAsia="Palatino Linotype" w:cs="Palatino Linotype"/>
          <w:color w:val="000000"/>
          <w:szCs w:val="24"/>
        </w:rPr>
        <w:t>hacer entrega del acuerdo mediante el cual el Comité de Transparencia confirmara la clasificación de dicha información como confidencial; no obstante, la Recurrente señaló en su recurso de revisión que no solicitó los datos de las personas atendidas, sino el número de personas que fueron atendidas en los centros de salud referidos.</w:t>
      </w:r>
    </w:p>
    <w:p w14:paraId="641AD6D7" w14:textId="74B0DDE1" w:rsidR="00052B7D" w:rsidRDefault="00052B7D" w:rsidP="006922F5">
      <w:pPr>
        <w:contextualSpacing/>
        <w:rPr>
          <w:rFonts w:eastAsia="Palatino Linotype" w:cs="Palatino Linotype"/>
          <w:color w:val="000000"/>
          <w:szCs w:val="24"/>
        </w:rPr>
      </w:pPr>
    </w:p>
    <w:p w14:paraId="403CF088" w14:textId="6D8463CA" w:rsidR="00052B7D" w:rsidRDefault="00052B7D" w:rsidP="006922F5">
      <w:pPr>
        <w:contextualSpacing/>
        <w:rPr>
          <w:rFonts w:eastAsia="Palatino Linotype" w:cs="Palatino Linotype"/>
          <w:color w:val="000000"/>
          <w:szCs w:val="24"/>
        </w:rPr>
      </w:pPr>
      <w:r>
        <w:rPr>
          <w:rFonts w:eastAsia="Palatino Linotype" w:cs="Palatino Linotype"/>
          <w:color w:val="000000"/>
          <w:szCs w:val="24"/>
        </w:rPr>
        <w:t>Por tanto, el Sujeto Obligado, al momento de rendir su Informe Justificado, presentó un cuadro en el que se puede observar el número de personas a las que se les prestó consultas médicas en los centros de salud referidos por la Recurrente durante el periodo requerido, haciendo entrega así de la información solicitada por la particular.</w:t>
      </w:r>
    </w:p>
    <w:p w14:paraId="7DC21D5E" w14:textId="1AED9264" w:rsidR="00052B7D" w:rsidRDefault="00052B7D" w:rsidP="006922F5">
      <w:pPr>
        <w:contextualSpacing/>
        <w:rPr>
          <w:rFonts w:eastAsia="Palatino Linotype" w:cs="Palatino Linotype"/>
          <w:color w:val="000000"/>
          <w:szCs w:val="24"/>
        </w:rPr>
      </w:pPr>
    </w:p>
    <w:p w14:paraId="19412C36" w14:textId="289E2031" w:rsidR="00052B7D" w:rsidRPr="0056405F" w:rsidRDefault="00052B7D" w:rsidP="00052B7D">
      <w:pPr>
        <w:contextualSpacing/>
        <w:rPr>
          <w:rFonts w:eastAsia="Palatino Linotype" w:cs="Palatino Linotype"/>
          <w:szCs w:val="24"/>
        </w:rPr>
      </w:pPr>
      <w:r>
        <w:rPr>
          <w:rFonts w:eastAsia="Palatino Linotype" w:cs="Palatino Linotype"/>
          <w:color w:val="000000"/>
          <w:szCs w:val="24"/>
        </w:rPr>
        <w:t xml:space="preserve">Así, dado el pronunciamiento del Sujeto Obligado en su Informe Justificado, es preciso señalar que </w:t>
      </w:r>
      <w:r w:rsidRPr="0056405F">
        <w:rPr>
          <w:rFonts w:eastAsia="Palatino Linotype" w:cs="Palatino Linotype"/>
          <w:szCs w:val="24"/>
        </w:rPr>
        <w:t>este Órgano Garante</w:t>
      </w:r>
      <w:r>
        <w:rPr>
          <w:rFonts w:eastAsia="Palatino Linotype" w:cs="Palatino Linotype"/>
          <w:szCs w:val="24"/>
        </w:rPr>
        <w:t>,</w:t>
      </w:r>
      <w:r w:rsidRPr="0056405F">
        <w:rPr>
          <w:rFonts w:eastAsia="Palatino Linotype" w:cs="Palatino Linotype"/>
          <w:szCs w:val="24"/>
        </w:rPr>
        <w:t xml:space="preserve"> conforme al artículo 36 de la Ley de la </w:t>
      </w:r>
      <w:r w:rsidR="00730A96">
        <w:rPr>
          <w:rFonts w:eastAsia="Palatino Linotype" w:cs="Palatino Linotype"/>
          <w:szCs w:val="24"/>
        </w:rPr>
        <w:t>m</w:t>
      </w:r>
      <w:r w:rsidRPr="0056405F">
        <w:rPr>
          <w:rFonts w:eastAsia="Palatino Linotype" w:cs="Palatino Linotype"/>
          <w:szCs w:val="24"/>
        </w:rPr>
        <w:t>ateria, no se encuentra facultado para pronunciarse acerca de la veracidad de la</w:t>
      </w:r>
      <w:r w:rsidR="00730A96">
        <w:rPr>
          <w:rFonts w:eastAsia="Palatino Linotype" w:cs="Palatino Linotype"/>
          <w:szCs w:val="24"/>
        </w:rPr>
        <w:t xml:space="preserve"> información</w:t>
      </w:r>
      <w:r w:rsidRPr="0056405F">
        <w:rPr>
          <w:rFonts w:eastAsia="Palatino Linotype" w:cs="Palatino Linotype"/>
          <w:szCs w:val="24"/>
        </w:rPr>
        <w:t xml:space="preserve"> </w:t>
      </w:r>
      <w:r w:rsidR="00730A96">
        <w:rPr>
          <w:rFonts w:eastAsia="Palatino Linotype" w:cs="Palatino Linotype"/>
          <w:szCs w:val="24"/>
        </w:rPr>
        <w:t>proporcionada</w:t>
      </w:r>
      <w:r w:rsidRPr="0056405F">
        <w:rPr>
          <w:rFonts w:eastAsia="Palatino Linotype" w:cs="Palatino Linotype"/>
          <w:szCs w:val="24"/>
        </w:rPr>
        <w:t xml:space="preserve"> por los Sujetos Obligados.</w:t>
      </w:r>
    </w:p>
    <w:p w14:paraId="7449D194" w14:textId="77777777" w:rsidR="00052B7D" w:rsidRPr="0056405F" w:rsidRDefault="00052B7D" w:rsidP="00052B7D">
      <w:pPr>
        <w:contextualSpacing/>
        <w:rPr>
          <w:rFonts w:eastAsia="Palatino Linotype" w:cs="Palatino Linotype"/>
          <w:szCs w:val="24"/>
        </w:rPr>
      </w:pPr>
    </w:p>
    <w:p w14:paraId="4EFA2349" w14:textId="77777777" w:rsidR="00052B7D" w:rsidRDefault="00052B7D" w:rsidP="00052B7D">
      <w:pPr>
        <w:contextualSpacing/>
        <w:rPr>
          <w:rFonts w:eastAsia="Palatino Linotype" w:cs="Palatino Linotype"/>
          <w:szCs w:val="24"/>
        </w:rPr>
      </w:pPr>
      <w:r w:rsidRPr="0056405F">
        <w:rPr>
          <w:rFonts w:eastAsia="Palatino Linotype" w:cs="Palatino Linotype"/>
          <w:szCs w:val="24"/>
        </w:rPr>
        <w:t>Sirve de sustento a lo anterior, el criterio 31/10 emitido por el entonces Instituto Federal de Acceso a la Información y Protección de Datos, ahora Instituto Nacional de Acceso a la Información y Protección de Datos, que enuncia lo siguiente:</w:t>
      </w:r>
    </w:p>
    <w:p w14:paraId="6D287F8F" w14:textId="77777777" w:rsidR="00052B7D" w:rsidRDefault="00052B7D" w:rsidP="00052B7D">
      <w:pPr>
        <w:contextualSpacing/>
        <w:rPr>
          <w:rFonts w:eastAsia="Palatino Linotype" w:cs="Palatino Linotype"/>
          <w:szCs w:val="24"/>
        </w:rPr>
      </w:pPr>
    </w:p>
    <w:p w14:paraId="45B27B33" w14:textId="77777777" w:rsidR="00052B7D" w:rsidRDefault="00052B7D" w:rsidP="00052B7D">
      <w:pPr>
        <w:pStyle w:val="Fundamentos"/>
      </w:pPr>
      <w:r w:rsidRPr="0056405F">
        <w:rPr>
          <w:b/>
          <w:bCs/>
          <w:lang w:val="es-ES"/>
        </w:rPr>
        <w:t>El Instituto Federal de Acceso a la Información y Protección de Datos no cuenta con facultades para pronunciarse respecto de la veracidad de los documentos proporcionados por los sujetos obligados.</w:t>
      </w:r>
      <w:r w:rsidRPr="0056405F">
        <w:rPr>
          <w:lang w:val="es-ES"/>
        </w:rPr>
        <w:t xml:space="preserve"> El Instituto Federal de Acceso a la Información </w:t>
      </w:r>
      <w:r w:rsidRPr="0056405F">
        <w:rPr>
          <w:lang w:val="es-ES"/>
        </w:rPr>
        <w:lastRenderedPageBreak/>
        <w:t>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E85CBB" w14:textId="5545BBC3" w:rsidR="00211BE5" w:rsidRDefault="00211BE5" w:rsidP="006922F5">
      <w:pPr>
        <w:contextualSpacing/>
        <w:rPr>
          <w:rFonts w:eastAsia="Palatino Linotype" w:cs="Palatino Linotype"/>
          <w:color w:val="000000"/>
          <w:szCs w:val="24"/>
        </w:rPr>
      </w:pPr>
    </w:p>
    <w:p w14:paraId="6F40F803" w14:textId="28CADF8A" w:rsidR="00730A96" w:rsidRDefault="00730A96" w:rsidP="006922F5">
      <w:pPr>
        <w:contextualSpacing/>
        <w:rPr>
          <w:rFonts w:eastAsia="Palatino Linotype" w:cs="Palatino Linotype"/>
          <w:color w:val="000000"/>
          <w:szCs w:val="24"/>
        </w:rPr>
      </w:pPr>
      <w:r>
        <w:rPr>
          <w:rFonts w:eastAsia="Palatino Linotype" w:cs="Palatino Linotype"/>
          <w:color w:val="000000"/>
          <w:szCs w:val="24"/>
        </w:rPr>
        <w:t>En conclusión, se tiene por colmado el punto relativo al número de personas atendidas en los centros de salud referidos durante el periodo solicitado por la particular.</w:t>
      </w:r>
    </w:p>
    <w:p w14:paraId="09EE7971" w14:textId="1CB5A265" w:rsidR="000D75BB" w:rsidRDefault="000D75BB" w:rsidP="006922F5">
      <w:pPr>
        <w:contextualSpacing/>
        <w:rPr>
          <w:rFonts w:eastAsia="Palatino Linotype" w:cs="Palatino Linotype"/>
          <w:color w:val="000000"/>
          <w:szCs w:val="24"/>
        </w:rPr>
      </w:pPr>
    </w:p>
    <w:p w14:paraId="17E22B05" w14:textId="08FEB7B5" w:rsidR="000D75BB" w:rsidRDefault="000D75BB" w:rsidP="000D75BB">
      <w:pPr>
        <w:contextualSpacing/>
        <w:rPr>
          <w:rFonts w:eastAsia="Palatino Linotype" w:cs="Palatino Linotype"/>
          <w:szCs w:val="24"/>
        </w:rPr>
      </w:pPr>
      <w:r>
        <w:rPr>
          <w:rFonts w:eastAsia="Palatino Linotype" w:cs="Palatino Linotype"/>
          <w:szCs w:val="24"/>
        </w:rPr>
        <w:t xml:space="preserve">Asimismo, en este punto es necesario señalar que, al momento de interponer el recurso de revisión, la Recurrente formuló la siguiente pregunta: </w:t>
      </w:r>
    </w:p>
    <w:p w14:paraId="179A21A2" w14:textId="0F090318" w:rsidR="000D75BB" w:rsidRDefault="000D75BB" w:rsidP="000D75BB">
      <w:pPr>
        <w:contextualSpacing/>
        <w:rPr>
          <w:rFonts w:eastAsia="Palatino Linotype" w:cs="Palatino Linotype"/>
          <w:szCs w:val="24"/>
        </w:rPr>
      </w:pPr>
    </w:p>
    <w:p w14:paraId="67C86EE2" w14:textId="7A2E53B8" w:rsidR="000D75BB" w:rsidRPr="000D75BB" w:rsidRDefault="000D75BB" w:rsidP="000D75BB">
      <w:pPr>
        <w:pStyle w:val="Prrafodelista"/>
        <w:numPr>
          <w:ilvl w:val="0"/>
          <w:numId w:val="20"/>
        </w:numPr>
        <w:contextualSpacing/>
        <w:rPr>
          <w:rFonts w:eastAsia="Palatino Linotype" w:cs="Palatino Linotype"/>
        </w:rPr>
      </w:pPr>
      <w:r>
        <w:rPr>
          <w:rFonts w:eastAsia="Palatino Linotype" w:cs="Palatino Linotype"/>
        </w:rPr>
        <w:t>¿Cómo es que se hacen las evaluaciones en el Consejo Interno del Instituto de Salud del Estado de México para coordinar, dirigir y prevenir el control de enfermedades y mayor aún la atención que se menciona en su marco jurídico?</w:t>
      </w:r>
    </w:p>
    <w:p w14:paraId="7F23B4F6" w14:textId="5E4EBFF7" w:rsidR="000D75BB" w:rsidRDefault="000D75BB" w:rsidP="006922F5">
      <w:pPr>
        <w:contextualSpacing/>
        <w:rPr>
          <w:rFonts w:eastAsia="Palatino Linotype" w:cs="Palatino Linotype"/>
          <w:color w:val="000000"/>
          <w:szCs w:val="24"/>
        </w:rPr>
      </w:pPr>
    </w:p>
    <w:p w14:paraId="5CA7A0A5" w14:textId="77777777" w:rsidR="000D75BB" w:rsidRPr="000D75BB" w:rsidRDefault="000D75BB" w:rsidP="000D75BB">
      <w:pPr>
        <w:contextualSpacing/>
        <w:rPr>
          <w:rFonts w:eastAsia="Palatino Linotype" w:cs="Palatino Linotype"/>
          <w:color w:val="000000"/>
          <w:szCs w:val="24"/>
        </w:rPr>
      </w:pPr>
      <w:r>
        <w:rPr>
          <w:rFonts w:eastAsia="Palatino Linotype" w:cs="Palatino Linotype"/>
          <w:color w:val="000000"/>
          <w:szCs w:val="24"/>
        </w:rPr>
        <w:t xml:space="preserve">De tal forma que, debido a que dicho cuestionamiento no fue formulado en la solicitud de información primigenia, se considera que su planteamiento consiste en una ampliación a la solicitud </w:t>
      </w:r>
      <w:r w:rsidRPr="000D75BB">
        <w:rPr>
          <w:rFonts w:eastAsia="Palatino Linotype" w:cs="Palatino Linotype"/>
          <w:color w:val="000000"/>
          <w:szCs w:val="24"/>
        </w:rPr>
        <w:t xml:space="preserve">o </w:t>
      </w:r>
      <w:r w:rsidRPr="000D75BB">
        <w:rPr>
          <w:rFonts w:eastAsia="Palatino Linotype" w:cs="Palatino Linotype"/>
          <w:i/>
          <w:iCs/>
          <w:color w:val="000000"/>
          <w:szCs w:val="24"/>
        </w:rPr>
        <w:t xml:space="preserve">plus </w:t>
      </w:r>
      <w:proofErr w:type="spellStart"/>
      <w:r w:rsidRPr="000D75BB">
        <w:rPr>
          <w:rFonts w:eastAsia="Palatino Linotype" w:cs="Palatino Linotype"/>
          <w:i/>
          <w:iCs/>
          <w:color w:val="000000"/>
          <w:szCs w:val="24"/>
        </w:rPr>
        <w:t>petitio</w:t>
      </w:r>
      <w:proofErr w:type="spellEnd"/>
      <w:r w:rsidRPr="000D75BB">
        <w:rPr>
          <w:rFonts w:eastAsia="Palatino Linotype" w:cs="Palatino Linotype"/>
          <w:color w:val="000000"/>
          <w:szCs w:val="24"/>
        </w:rPr>
        <w:t xml:space="preserve">; esto es, que se adhirió información que no había sido solicitada; por tanto al haberse realizado en un momento posterior al ingreso de la solicitud original, deviene infundado el requerimiento adicional, debido a que al ser requerimientos que no se plantearon ante el Sujeto Obligado al momento de realizar la solicitud de información, resulta injustificado examinar tales peticiones pues éstas no </w:t>
      </w:r>
      <w:r w:rsidRPr="000D75BB">
        <w:rPr>
          <w:rFonts w:eastAsia="Palatino Linotype" w:cs="Palatino Linotype"/>
          <w:color w:val="000000"/>
          <w:szCs w:val="24"/>
        </w:rPr>
        <w:lastRenderedPageBreak/>
        <w:t xml:space="preserve">fueron del conocimiento del Sujeto Obligado, por lo que, no tuvo la oportunidad legal de analizarlas ni de pronunciarse sobre ellas. </w:t>
      </w:r>
    </w:p>
    <w:p w14:paraId="25CAB3EF" w14:textId="77777777" w:rsidR="000D75BB" w:rsidRPr="000D75BB" w:rsidRDefault="000D75BB" w:rsidP="000D75BB">
      <w:pPr>
        <w:contextualSpacing/>
        <w:rPr>
          <w:rFonts w:eastAsia="Palatino Linotype" w:cs="Palatino Linotype"/>
          <w:color w:val="000000"/>
          <w:szCs w:val="24"/>
        </w:rPr>
      </w:pPr>
    </w:p>
    <w:p w14:paraId="6C659111" w14:textId="77777777" w:rsidR="000D75BB" w:rsidRPr="000D75BB" w:rsidRDefault="000D75BB" w:rsidP="000D75BB">
      <w:pPr>
        <w:contextualSpacing/>
        <w:rPr>
          <w:rFonts w:eastAsia="Palatino Linotype" w:cs="Palatino Linotype"/>
          <w:color w:val="000000"/>
          <w:szCs w:val="24"/>
        </w:rPr>
      </w:pPr>
      <w:r w:rsidRPr="000D75BB">
        <w:rPr>
          <w:rFonts w:eastAsia="Palatino Linotype" w:cs="Palatino Linotype"/>
          <w:color w:val="000000"/>
          <w:szCs w:val="24"/>
        </w:rPr>
        <w:t>Sirve de apoyo por analogía la siguiente tesis jurisprudencial con registro digital 178788</w:t>
      </w:r>
      <w:r w:rsidRPr="000D75BB">
        <w:rPr>
          <w:rFonts w:eastAsia="Palatino Linotype" w:cs="Palatino Linotype"/>
          <w:color w:val="000000"/>
          <w:szCs w:val="24"/>
          <w:vertAlign w:val="superscript"/>
        </w:rPr>
        <w:footnoteReference w:id="3"/>
      </w:r>
      <w:r w:rsidRPr="000D75BB">
        <w:rPr>
          <w:rFonts w:eastAsia="Palatino Linotype" w:cs="Palatino Linotype"/>
          <w:color w:val="000000"/>
          <w:szCs w:val="24"/>
        </w:rPr>
        <w:t>, en la que se establece lo siguiente:</w:t>
      </w:r>
    </w:p>
    <w:p w14:paraId="0F7B30B1" w14:textId="77777777" w:rsidR="000D75BB" w:rsidRPr="000D75BB" w:rsidRDefault="000D75BB" w:rsidP="000D75BB">
      <w:pPr>
        <w:contextualSpacing/>
        <w:rPr>
          <w:rFonts w:eastAsia="Palatino Linotype" w:cs="Palatino Linotype"/>
          <w:color w:val="000000"/>
          <w:szCs w:val="24"/>
        </w:rPr>
      </w:pPr>
    </w:p>
    <w:p w14:paraId="04079EFE" w14:textId="77777777" w:rsidR="000D75BB" w:rsidRPr="000D75BB" w:rsidRDefault="000D75BB" w:rsidP="000D75BB">
      <w:pPr>
        <w:pStyle w:val="Fundamentos"/>
        <w:rPr>
          <w:b/>
          <w:bCs/>
        </w:rPr>
      </w:pPr>
      <w:r w:rsidRPr="000D75BB">
        <w:rPr>
          <w:b/>
          <w:bCs/>
        </w:rPr>
        <w:t xml:space="preserve">CONCEPTOS DE VIOLACIÓN EN EL AMPARO DIRECTO. INOPERANCIA DE LOS QUE INTRODUCEN CUESTIONAMIENTOS NOVEDOSOS QUE NO FUERON PLANTEADOS EN EL JUICIO NATURAL. </w:t>
      </w:r>
    </w:p>
    <w:p w14:paraId="336B1B97" w14:textId="77777777" w:rsidR="000D75BB" w:rsidRPr="000D75BB" w:rsidRDefault="000D75BB" w:rsidP="000D75BB">
      <w:pPr>
        <w:pStyle w:val="Fundamentos"/>
      </w:pPr>
      <w:r w:rsidRPr="000D75BB">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0E2745F8" w14:textId="2F0E34DE" w:rsidR="000D75BB" w:rsidRDefault="000D75BB" w:rsidP="006922F5">
      <w:pPr>
        <w:contextualSpacing/>
        <w:rPr>
          <w:rFonts w:eastAsia="Palatino Linotype" w:cs="Palatino Linotype"/>
          <w:color w:val="000000"/>
          <w:szCs w:val="24"/>
        </w:rPr>
      </w:pPr>
    </w:p>
    <w:p w14:paraId="5A8C2D11" w14:textId="69F17F10" w:rsidR="00730A96" w:rsidRDefault="00730A96" w:rsidP="006922F5">
      <w:pPr>
        <w:contextualSpacing/>
        <w:rPr>
          <w:rFonts w:eastAsia="Palatino Linotype" w:cs="Palatino Linotype"/>
          <w:color w:val="000000"/>
          <w:szCs w:val="24"/>
        </w:rPr>
      </w:pPr>
      <w:r>
        <w:rPr>
          <w:rFonts w:eastAsia="Palatino Linotype" w:cs="Palatino Linotype"/>
          <w:color w:val="000000"/>
          <w:szCs w:val="24"/>
        </w:rPr>
        <w:t>Por otra parte, respecto de los contratos de los médicos que estuvieron laborando en los mismos centros de salud durante el periodo referido, el Sujeto Obligado manifestó por conducto del Subdirector de Recursos Humanos que dicho personal ya no se encuentran como trabajadores activos, por lo que al ya no ser servidores públicos no es posible dar atención a lo solicitado.</w:t>
      </w:r>
    </w:p>
    <w:p w14:paraId="70A489D6" w14:textId="7348CEB3" w:rsidR="00730A96" w:rsidRDefault="00730A96" w:rsidP="006922F5">
      <w:pPr>
        <w:contextualSpacing/>
        <w:rPr>
          <w:rFonts w:eastAsia="Palatino Linotype" w:cs="Palatino Linotype"/>
          <w:color w:val="000000"/>
          <w:szCs w:val="24"/>
        </w:rPr>
      </w:pPr>
    </w:p>
    <w:p w14:paraId="4B2EA1E3" w14:textId="23D7D03E" w:rsidR="00730A96" w:rsidRDefault="00730A96" w:rsidP="006922F5">
      <w:pPr>
        <w:contextualSpacing/>
        <w:rPr>
          <w:rFonts w:eastAsia="Palatino Linotype" w:cs="Palatino Linotype"/>
          <w:color w:val="000000"/>
          <w:szCs w:val="24"/>
        </w:rPr>
      </w:pPr>
      <w:r>
        <w:rPr>
          <w:rFonts w:eastAsia="Palatino Linotype" w:cs="Palatino Linotype"/>
          <w:color w:val="000000"/>
          <w:szCs w:val="24"/>
        </w:rPr>
        <w:t>En ese tenor, este Instituto considera que la respuesta proporcionada no colma la pretensión de la Recurrente y, por ende, se vulnera su derecho de acceso a la información pública, conforme a los razonamientos que se plantearán en los siguientes párrafos.</w:t>
      </w:r>
    </w:p>
    <w:p w14:paraId="295C9113" w14:textId="5F36425E" w:rsidR="00730A96" w:rsidRDefault="00730A96" w:rsidP="006922F5">
      <w:pPr>
        <w:contextualSpacing/>
        <w:rPr>
          <w:rFonts w:eastAsia="Palatino Linotype" w:cs="Palatino Linotype"/>
          <w:color w:val="000000"/>
          <w:szCs w:val="24"/>
        </w:rPr>
      </w:pPr>
    </w:p>
    <w:p w14:paraId="62A15C26" w14:textId="3BE675EA" w:rsidR="00730A96" w:rsidRDefault="00730A96" w:rsidP="00730A96">
      <w:pPr>
        <w:contextualSpacing/>
        <w:rPr>
          <w:rFonts w:eastAsia="Palatino Linotype" w:cs="Palatino Linotype"/>
          <w:color w:val="000000"/>
          <w:szCs w:val="24"/>
        </w:rPr>
      </w:pPr>
      <w:r>
        <w:rPr>
          <w:rFonts w:eastAsia="Palatino Linotype" w:cs="Palatino Linotype"/>
          <w:color w:val="000000"/>
          <w:szCs w:val="24"/>
        </w:rPr>
        <w:t xml:space="preserve">De tal modo que es necesario traer a colación lo dispuesto por la </w:t>
      </w:r>
      <w:r w:rsidRPr="00730A96">
        <w:rPr>
          <w:rFonts w:eastAsia="Palatino Linotype" w:cs="Palatino Linotype"/>
          <w:color w:val="000000"/>
          <w:szCs w:val="24"/>
        </w:rPr>
        <w:t xml:space="preserve">Ley </w:t>
      </w:r>
      <w:r>
        <w:rPr>
          <w:rFonts w:eastAsia="Palatino Linotype" w:cs="Palatino Linotype"/>
          <w:color w:val="000000"/>
          <w:szCs w:val="24"/>
        </w:rPr>
        <w:t>d</w:t>
      </w:r>
      <w:r w:rsidRPr="00730A96">
        <w:rPr>
          <w:rFonts w:eastAsia="Palatino Linotype" w:cs="Palatino Linotype"/>
          <w:color w:val="000000"/>
          <w:szCs w:val="24"/>
        </w:rPr>
        <w:t xml:space="preserve">el Trabajo </w:t>
      </w:r>
      <w:r>
        <w:rPr>
          <w:rFonts w:eastAsia="Palatino Linotype" w:cs="Palatino Linotype"/>
          <w:color w:val="000000"/>
          <w:szCs w:val="24"/>
        </w:rPr>
        <w:t>d</w:t>
      </w:r>
      <w:r w:rsidRPr="00730A96">
        <w:rPr>
          <w:rFonts w:eastAsia="Palatino Linotype" w:cs="Palatino Linotype"/>
          <w:color w:val="000000"/>
          <w:szCs w:val="24"/>
        </w:rPr>
        <w:t xml:space="preserve">e </w:t>
      </w:r>
      <w:r>
        <w:rPr>
          <w:rFonts w:eastAsia="Palatino Linotype" w:cs="Palatino Linotype"/>
          <w:color w:val="000000"/>
          <w:szCs w:val="24"/>
        </w:rPr>
        <w:t>l</w:t>
      </w:r>
      <w:r w:rsidRPr="00730A96">
        <w:rPr>
          <w:rFonts w:eastAsia="Palatino Linotype" w:cs="Palatino Linotype"/>
          <w:color w:val="000000"/>
          <w:szCs w:val="24"/>
        </w:rPr>
        <w:t xml:space="preserve">os Servidores Públicos </w:t>
      </w:r>
      <w:r>
        <w:rPr>
          <w:rFonts w:eastAsia="Palatino Linotype" w:cs="Palatino Linotype"/>
          <w:color w:val="000000"/>
          <w:szCs w:val="24"/>
        </w:rPr>
        <w:t>d</w:t>
      </w:r>
      <w:r w:rsidRPr="00730A96">
        <w:rPr>
          <w:rFonts w:eastAsia="Palatino Linotype" w:cs="Palatino Linotype"/>
          <w:color w:val="000000"/>
          <w:szCs w:val="24"/>
        </w:rPr>
        <w:t xml:space="preserve">el Estado </w:t>
      </w:r>
      <w:r>
        <w:rPr>
          <w:rFonts w:eastAsia="Palatino Linotype" w:cs="Palatino Linotype"/>
          <w:color w:val="000000"/>
          <w:szCs w:val="24"/>
        </w:rPr>
        <w:t>y</w:t>
      </w:r>
      <w:r w:rsidRPr="00730A96">
        <w:rPr>
          <w:rFonts w:eastAsia="Palatino Linotype" w:cs="Palatino Linotype"/>
          <w:color w:val="000000"/>
          <w:szCs w:val="24"/>
        </w:rPr>
        <w:t xml:space="preserve"> Municipios</w:t>
      </w:r>
      <w:r>
        <w:rPr>
          <w:rFonts w:eastAsia="Palatino Linotype" w:cs="Palatino Linotype"/>
          <w:color w:val="000000"/>
          <w:szCs w:val="24"/>
        </w:rPr>
        <w:t>, que en sus artículos 4 fracciones III y VI, 5</w:t>
      </w:r>
      <w:r w:rsidR="00B15BB8">
        <w:rPr>
          <w:rFonts w:eastAsia="Palatino Linotype" w:cs="Palatino Linotype"/>
          <w:color w:val="000000"/>
          <w:szCs w:val="24"/>
        </w:rPr>
        <w:t>, 71 y 220 K establece lo siguiente:</w:t>
      </w:r>
    </w:p>
    <w:p w14:paraId="7966A4BE" w14:textId="71CAF638" w:rsidR="00B15BB8" w:rsidRDefault="00B15BB8" w:rsidP="00730A96">
      <w:pPr>
        <w:contextualSpacing/>
        <w:rPr>
          <w:rFonts w:eastAsia="Palatino Linotype" w:cs="Palatino Linotype"/>
          <w:color w:val="000000"/>
          <w:szCs w:val="24"/>
        </w:rPr>
      </w:pPr>
    </w:p>
    <w:p w14:paraId="1254C373" w14:textId="5BC67F5A" w:rsidR="00B15BB8" w:rsidRDefault="00B15BB8" w:rsidP="00B15BB8">
      <w:pPr>
        <w:pStyle w:val="Fundamentos"/>
      </w:pPr>
      <w:r w:rsidRPr="00B15BB8">
        <w:rPr>
          <w:b/>
          <w:lang w:val="es-MX"/>
        </w:rPr>
        <w:t xml:space="preserve">ARTÍCULO 4. </w:t>
      </w:r>
      <w:r w:rsidRPr="00B15BB8">
        <w:rPr>
          <w:lang w:val="es-MX"/>
        </w:rPr>
        <w:t>Para efectos de esta ley se entiende:</w:t>
      </w:r>
    </w:p>
    <w:p w14:paraId="1D788364" w14:textId="68847525" w:rsidR="00730A96" w:rsidRDefault="00B15BB8" w:rsidP="00B15BB8">
      <w:pPr>
        <w:pStyle w:val="Fundamentos"/>
      </w:pPr>
      <w:r>
        <w:t>(…)</w:t>
      </w:r>
    </w:p>
    <w:p w14:paraId="6A33B6E0" w14:textId="6B43196B" w:rsidR="00730A96" w:rsidRDefault="00B15BB8" w:rsidP="00B15BB8">
      <w:pPr>
        <w:pStyle w:val="Fundamentos"/>
      </w:pPr>
      <w:r w:rsidRPr="00B15BB8">
        <w:rPr>
          <w:b/>
          <w:bCs/>
        </w:rPr>
        <w:t>III.</w:t>
      </w:r>
      <w:r w:rsidRPr="00B15BB8">
        <w:rPr>
          <w:b/>
          <w:bCs/>
        </w:rPr>
        <w:tab/>
        <w:t>Institución Pública:</w:t>
      </w:r>
      <w:r w:rsidRPr="00B15BB8">
        <w:t xml:space="preserve"> A cada uno de los poderes públicos del Estado, los municipios y los tribunales administrativos; así como los organismos descentralizados, fideicomisos de carácter estatal y municipal, y los órganos autónomos que sus leyes de creación así lo determinen.</w:t>
      </w:r>
    </w:p>
    <w:p w14:paraId="731B5C42" w14:textId="0B84699C" w:rsidR="00B15BB8" w:rsidRDefault="00B15BB8" w:rsidP="00B15BB8">
      <w:pPr>
        <w:pStyle w:val="Fundamentos"/>
      </w:pPr>
      <w:r>
        <w:t>(…)</w:t>
      </w:r>
    </w:p>
    <w:p w14:paraId="71D42BE2" w14:textId="28371A46" w:rsidR="00B15BB8" w:rsidRDefault="00B15BB8" w:rsidP="00B15BB8">
      <w:pPr>
        <w:pStyle w:val="Fundamentos"/>
      </w:pPr>
      <w:r w:rsidRPr="00B15BB8">
        <w:rPr>
          <w:b/>
          <w:bCs/>
        </w:rPr>
        <w:t>VI.</w:t>
      </w:r>
      <w:r w:rsidRPr="00B15BB8">
        <w:rPr>
          <w:b/>
          <w:bCs/>
        </w:rPr>
        <w:tab/>
        <w:t>Servidor Público:</w:t>
      </w:r>
      <w:r w:rsidRPr="00B15BB8">
        <w:t xml:space="preserve"> A toda persona física que preste a una institución pública un trabajo personal subordinado de carácter material o intelectual, o de ambos géneros, mediante el pago de un sueldo.</w:t>
      </w:r>
    </w:p>
    <w:p w14:paraId="64F7BA0E" w14:textId="4371DBAD" w:rsidR="00B15BB8" w:rsidRDefault="00B15BB8" w:rsidP="00B15BB8">
      <w:pPr>
        <w:pStyle w:val="Fundamentos"/>
      </w:pPr>
      <w:r>
        <w:t>(…)</w:t>
      </w:r>
    </w:p>
    <w:p w14:paraId="0D36E265" w14:textId="0D97FE8F" w:rsidR="00B15BB8" w:rsidRDefault="00B15BB8" w:rsidP="00B15BB8">
      <w:pPr>
        <w:pStyle w:val="Fundamentos"/>
      </w:pPr>
    </w:p>
    <w:p w14:paraId="4AEE94EC" w14:textId="77777777" w:rsidR="00B15BB8" w:rsidRPr="00B15BB8" w:rsidRDefault="00B15BB8" w:rsidP="00B15BB8">
      <w:pPr>
        <w:pStyle w:val="Fundamentos"/>
        <w:rPr>
          <w:lang w:val="es-ES"/>
        </w:rPr>
      </w:pPr>
      <w:r w:rsidRPr="00B15BB8">
        <w:rPr>
          <w:b/>
          <w:bCs/>
          <w:lang w:val="es-ES"/>
        </w:rPr>
        <w:t xml:space="preserve">ARTÍCULO 5.- </w:t>
      </w:r>
      <w:r w:rsidRPr="00E6454C">
        <w:rPr>
          <w:b/>
          <w:bCs/>
          <w:u w:val="single"/>
          <w:lang w:val="es-ES"/>
        </w:rPr>
        <w:t>La relación de trabajo entre las instituciones públicas y sus servidores públicos se entiende establecida mediante</w:t>
      </w:r>
      <w:r w:rsidRPr="00B15BB8">
        <w:rPr>
          <w:lang w:val="es-ES"/>
        </w:rPr>
        <w:t xml:space="preserve"> nombramiento, formato único de movimiento de personal, </w:t>
      </w:r>
      <w:r w:rsidRPr="00E6454C">
        <w:rPr>
          <w:b/>
          <w:bCs/>
          <w:u w:val="single"/>
          <w:lang w:val="es-ES"/>
        </w:rPr>
        <w:t>contrato</w:t>
      </w:r>
      <w:r w:rsidRPr="00B15BB8">
        <w:rPr>
          <w:lang w:val="es-ES"/>
        </w:rPr>
        <w:t xml:space="preserve"> o por cualquier otro acto </w:t>
      </w:r>
      <w:r w:rsidRPr="00E6454C">
        <w:rPr>
          <w:b/>
          <w:bCs/>
          <w:u w:val="single"/>
          <w:lang w:val="es-ES"/>
        </w:rPr>
        <w:t>que tenga como consecuencia la prestación personal subordinada del servicio y la percepción de un sueldo</w:t>
      </w:r>
      <w:r w:rsidRPr="00B15BB8">
        <w:rPr>
          <w:lang w:val="es-ES"/>
        </w:rPr>
        <w:t>.</w:t>
      </w:r>
    </w:p>
    <w:p w14:paraId="3DD3F162" w14:textId="77777777" w:rsidR="00B15BB8" w:rsidRPr="00B15BB8" w:rsidRDefault="00B15BB8" w:rsidP="00B15BB8">
      <w:pPr>
        <w:pStyle w:val="Fundamentos"/>
        <w:rPr>
          <w:b/>
          <w:lang w:val="es-ES"/>
        </w:rPr>
      </w:pPr>
    </w:p>
    <w:p w14:paraId="06E019AB" w14:textId="77777777" w:rsidR="00B15BB8" w:rsidRPr="00B15BB8" w:rsidRDefault="00B15BB8" w:rsidP="00B15BB8">
      <w:pPr>
        <w:pStyle w:val="Fundamentos"/>
        <w:rPr>
          <w:lang w:val="es-ES"/>
        </w:rPr>
      </w:pPr>
      <w:r w:rsidRPr="00B15BB8">
        <w:rPr>
          <w:lang w:val="es-ES"/>
        </w:rPr>
        <w:t>Para los efectos de esta ley, las instituciones públicas estarán representadas por sus titulares.</w:t>
      </w:r>
    </w:p>
    <w:p w14:paraId="1B0D5A77" w14:textId="6A5448A4" w:rsidR="00B15BB8" w:rsidRPr="00B15BB8" w:rsidRDefault="00B15BB8" w:rsidP="00B15BB8">
      <w:pPr>
        <w:pStyle w:val="Fundamentos"/>
        <w:rPr>
          <w:lang w:val="es-ES"/>
        </w:rPr>
      </w:pPr>
    </w:p>
    <w:p w14:paraId="0C6B3AA0" w14:textId="77777777" w:rsidR="00B15BB8" w:rsidRPr="00B15BB8" w:rsidRDefault="00B15BB8" w:rsidP="00B15BB8">
      <w:pPr>
        <w:pStyle w:val="Fundamentos"/>
        <w:rPr>
          <w:lang w:val="es-ES"/>
        </w:rPr>
      </w:pPr>
      <w:r w:rsidRPr="00B15BB8">
        <w:rPr>
          <w:b/>
          <w:lang w:val="es-ES"/>
        </w:rPr>
        <w:t>ARTÍCULO 71.</w:t>
      </w:r>
      <w:r w:rsidRPr="00B15BB8">
        <w:rPr>
          <w:lang w:val="es-ES"/>
        </w:rPr>
        <w:t xml:space="preserve"> </w:t>
      </w:r>
      <w:r w:rsidRPr="00E6454C">
        <w:rPr>
          <w:b/>
          <w:bCs/>
          <w:u w:val="single"/>
          <w:lang w:val="es-ES"/>
        </w:rPr>
        <w:t>El sueldo es la retribución que la institución pública debe pagar al servidor público por los servicios prestados</w:t>
      </w:r>
      <w:r w:rsidRPr="00B15BB8">
        <w:rPr>
          <w:lang w:val="es-ES"/>
        </w:rPr>
        <w:t>.</w:t>
      </w:r>
    </w:p>
    <w:p w14:paraId="3E73AB5F" w14:textId="66B7A550" w:rsidR="00B15BB8" w:rsidRDefault="00B15BB8" w:rsidP="00B15BB8">
      <w:pPr>
        <w:pStyle w:val="Fundamentos"/>
        <w:rPr>
          <w:lang w:val="es-ES"/>
        </w:rPr>
      </w:pPr>
    </w:p>
    <w:p w14:paraId="10FD6632" w14:textId="77777777" w:rsidR="00B15BB8" w:rsidRPr="00B15BB8" w:rsidRDefault="00B15BB8" w:rsidP="00B15BB8">
      <w:pPr>
        <w:pStyle w:val="Fundamentos"/>
        <w:rPr>
          <w:lang w:val="es-ES"/>
        </w:rPr>
      </w:pPr>
      <w:r w:rsidRPr="00B15BB8">
        <w:rPr>
          <w:b/>
          <w:bCs/>
          <w:lang w:val="es-ES"/>
        </w:rPr>
        <w:t xml:space="preserve">ARTÍCULO 220 K.- </w:t>
      </w:r>
      <w:r w:rsidRPr="00B15BB8">
        <w:rPr>
          <w:lang w:val="es-ES"/>
        </w:rPr>
        <w:t>La institución o dependencia pública tiene la obligación de conservar y exhibir en el proceso los documentos que a continuación se precisan:</w:t>
      </w:r>
    </w:p>
    <w:p w14:paraId="6446584A" w14:textId="77777777" w:rsidR="00B15BB8" w:rsidRPr="00B15BB8" w:rsidRDefault="00B15BB8" w:rsidP="00B15BB8">
      <w:pPr>
        <w:pStyle w:val="Fundamentos"/>
        <w:rPr>
          <w:lang w:val="es-ES"/>
        </w:rPr>
      </w:pPr>
    </w:p>
    <w:p w14:paraId="79B5FDB3" w14:textId="77777777" w:rsidR="00B15BB8" w:rsidRPr="00B15BB8" w:rsidRDefault="00B15BB8" w:rsidP="00B15BB8">
      <w:pPr>
        <w:pStyle w:val="Fundamentos"/>
        <w:rPr>
          <w:lang w:val="es-ES"/>
        </w:rPr>
      </w:pPr>
      <w:r w:rsidRPr="00B15BB8">
        <w:rPr>
          <w:lang w:val="es-ES"/>
        </w:rPr>
        <w:t xml:space="preserve">I. </w:t>
      </w:r>
      <w:r w:rsidRPr="00E6454C">
        <w:rPr>
          <w:b/>
          <w:bCs/>
          <w:u w:val="single"/>
          <w:lang w:val="es-ES"/>
        </w:rPr>
        <w:t>Contratos, Nombramientos o Formato Único de Movimientos de Personal, cuando no exista Convenio de condiciones generales de trabajo aplicable</w:t>
      </w:r>
      <w:r w:rsidRPr="00B15BB8">
        <w:rPr>
          <w:lang w:val="es-ES"/>
        </w:rPr>
        <w:t>;</w:t>
      </w:r>
    </w:p>
    <w:p w14:paraId="0E83ACAB" w14:textId="77777777" w:rsidR="00B15BB8" w:rsidRPr="00B15BB8" w:rsidRDefault="00B15BB8" w:rsidP="00B15BB8">
      <w:pPr>
        <w:pStyle w:val="Fundamentos"/>
        <w:rPr>
          <w:lang w:val="es-ES"/>
        </w:rPr>
      </w:pPr>
      <w:r w:rsidRPr="00B15BB8">
        <w:rPr>
          <w:lang w:val="es-ES"/>
        </w:rPr>
        <w:t>II. Recibos de pagos de salarios o las constancias documentales del pago de salario cuando sea por depósito o mediante información electrónica;</w:t>
      </w:r>
    </w:p>
    <w:p w14:paraId="16921FD6" w14:textId="77777777" w:rsidR="00B15BB8" w:rsidRPr="00B15BB8" w:rsidRDefault="00B15BB8" w:rsidP="00B15BB8">
      <w:pPr>
        <w:pStyle w:val="Fundamentos"/>
        <w:rPr>
          <w:lang w:val="es-ES"/>
        </w:rPr>
      </w:pPr>
      <w:r w:rsidRPr="00B15BB8">
        <w:rPr>
          <w:lang w:val="es-ES"/>
        </w:rPr>
        <w:t>III. Controles de asistencia o la información magnética o electrónica de asistencia de los servidores públicos;</w:t>
      </w:r>
    </w:p>
    <w:p w14:paraId="5BC0CC2B" w14:textId="0B1B720B" w:rsidR="00B15BB8" w:rsidRPr="00B15BB8" w:rsidRDefault="00B15BB8" w:rsidP="00B15BB8">
      <w:pPr>
        <w:pStyle w:val="Fundamentos"/>
        <w:rPr>
          <w:lang w:val="es-ES"/>
        </w:rPr>
      </w:pPr>
      <w:r w:rsidRPr="00B15BB8">
        <w:rPr>
          <w:lang w:val="es-ES"/>
        </w:rPr>
        <w:lastRenderedPageBreak/>
        <w:t>IV. Recibos o las constancias de depósito o del medio de información magnética o electrónica que sean utilizadas para el pago de salarios, prima vacacional, aguinaldo y demás prestaciones establecidas en la presente ley; y</w:t>
      </w:r>
    </w:p>
    <w:p w14:paraId="643060AC" w14:textId="77777777" w:rsidR="00B15BB8" w:rsidRPr="00B15BB8" w:rsidRDefault="00B15BB8" w:rsidP="00B15BB8">
      <w:pPr>
        <w:pStyle w:val="Fundamentos"/>
        <w:rPr>
          <w:lang w:val="es-ES"/>
        </w:rPr>
      </w:pPr>
      <w:r w:rsidRPr="00B15BB8">
        <w:rPr>
          <w:lang w:val="es-ES"/>
        </w:rPr>
        <w:t>V. Los demás que señalen las leyes.</w:t>
      </w:r>
    </w:p>
    <w:p w14:paraId="2EF9A557" w14:textId="77777777" w:rsidR="00B15BB8" w:rsidRPr="00B15BB8" w:rsidRDefault="00B15BB8" w:rsidP="00B15BB8">
      <w:pPr>
        <w:pStyle w:val="Fundamentos"/>
        <w:rPr>
          <w:lang w:val="es-ES"/>
        </w:rPr>
      </w:pPr>
    </w:p>
    <w:p w14:paraId="3A48C1F0" w14:textId="77777777" w:rsidR="00B15BB8" w:rsidRPr="00B15BB8" w:rsidRDefault="00B15BB8" w:rsidP="00B15BB8">
      <w:pPr>
        <w:pStyle w:val="Fundamentos"/>
        <w:rPr>
          <w:lang w:val="es-ES"/>
        </w:rPr>
      </w:pPr>
      <w:r w:rsidRPr="00E70CC9">
        <w:rPr>
          <w:b/>
          <w:bCs/>
          <w:u w:val="single"/>
          <w:lang w:val="es-ES"/>
        </w:rPr>
        <w:t>Los documentos señalados en la fracción I de este artículo, deberán conservarse mientras dure la relación laboral y hasta un año después</w:t>
      </w:r>
      <w:r w:rsidRPr="00B15BB8">
        <w:rPr>
          <w:lang w:val="es-ES"/>
        </w:rPr>
        <w:t>;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444EB08" w14:textId="77777777" w:rsidR="00B15BB8" w:rsidRPr="00B15BB8" w:rsidRDefault="00B15BB8" w:rsidP="00B15BB8">
      <w:pPr>
        <w:pStyle w:val="Fundamentos"/>
        <w:rPr>
          <w:lang w:val="es-ES"/>
        </w:rPr>
      </w:pPr>
    </w:p>
    <w:p w14:paraId="2E4DEAE5" w14:textId="32F95964" w:rsidR="00B15BB8" w:rsidRPr="00B15BB8" w:rsidRDefault="00B15BB8" w:rsidP="00B15BB8">
      <w:pPr>
        <w:pStyle w:val="Fundamentos"/>
        <w:rPr>
          <w:lang w:val="es-ES"/>
        </w:rPr>
      </w:pPr>
      <w:r w:rsidRPr="00B15BB8">
        <w:rPr>
          <w:lang w:val="es-ES"/>
        </w:rPr>
        <w:t>El incumplimiento por lo dispuesto por este artículo, establecerá la presunción de ser ciertos los hechos que el actor exprese en su demanda, en relación con tales documentos, salvo prueba en contrario.</w:t>
      </w:r>
    </w:p>
    <w:p w14:paraId="7C510ED9" w14:textId="4CB38A40" w:rsidR="00B15BB8" w:rsidRDefault="00B15BB8" w:rsidP="006922F5">
      <w:pPr>
        <w:contextualSpacing/>
        <w:rPr>
          <w:rFonts w:eastAsia="Palatino Linotype" w:cs="Palatino Linotype"/>
          <w:szCs w:val="24"/>
        </w:rPr>
      </w:pPr>
    </w:p>
    <w:p w14:paraId="1ECB96FD" w14:textId="3457D3CB" w:rsidR="00B15BB8" w:rsidRDefault="00E70CC9" w:rsidP="006922F5">
      <w:pPr>
        <w:contextualSpacing/>
        <w:rPr>
          <w:rFonts w:eastAsia="Palatino Linotype" w:cs="Palatino Linotype"/>
          <w:szCs w:val="24"/>
        </w:rPr>
      </w:pPr>
      <w:r>
        <w:rPr>
          <w:rFonts w:eastAsia="Palatino Linotype" w:cs="Palatino Linotype"/>
          <w:szCs w:val="24"/>
        </w:rPr>
        <w:t>De los preceptos legales citados se desprende que las relaciones laborales entre las instituciones públicas y los servidores públicos se entiende mediante diversos actos, entre ellos mediante un contrato, que dicha relación tiene como consecuencia la prestación personal subordinada del servicio y la percepción de un sueldo, que es la retribución que se debe pagar a las personas por los servicios prestados; asimismo, las instituciones públicas están obligadas a conservar los contratos, nombramientos o Formato Único de Movimientos de Personal mientras dure la relación laboral y hasta un año después.</w:t>
      </w:r>
    </w:p>
    <w:p w14:paraId="2864F2E1" w14:textId="43C67D4D" w:rsidR="00E70CC9" w:rsidRDefault="00E70CC9" w:rsidP="006922F5">
      <w:pPr>
        <w:contextualSpacing/>
        <w:rPr>
          <w:rFonts w:eastAsia="Palatino Linotype" w:cs="Palatino Linotype"/>
          <w:szCs w:val="24"/>
        </w:rPr>
      </w:pPr>
    </w:p>
    <w:p w14:paraId="30C1CB77" w14:textId="108F126C" w:rsidR="00E70CC9" w:rsidRDefault="00E70CC9" w:rsidP="006922F5">
      <w:pPr>
        <w:contextualSpacing/>
        <w:rPr>
          <w:rFonts w:eastAsia="Palatino Linotype" w:cs="Palatino Linotype"/>
          <w:szCs w:val="24"/>
        </w:rPr>
      </w:pPr>
      <w:r>
        <w:rPr>
          <w:rFonts w:eastAsia="Palatino Linotype" w:cs="Palatino Linotype"/>
          <w:szCs w:val="24"/>
        </w:rPr>
        <w:t xml:space="preserve">De tal forma que el Sujeto Obligado se encuentra constreñido a conservar los documentos en donde consta </w:t>
      </w:r>
      <w:r w:rsidR="002F3BA1">
        <w:rPr>
          <w:rFonts w:eastAsia="Palatino Linotype" w:cs="Palatino Linotype"/>
          <w:szCs w:val="24"/>
        </w:rPr>
        <w:t xml:space="preserve">la relación laboral con sus servidores públicos y ex servidores públicos al menos un año después de concluir dicha relación; asimismo, se debe notar que los servidores públicos reciben un sueldo como contraprestación por sus labores y por lo que </w:t>
      </w:r>
      <w:r w:rsidR="002F3BA1">
        <w:rPr>
          <w:rFonts w:eastAsia="Palatino Linotype" w:cs="Palatino Linotype"/>
          <w:szCs w:val="24"/>
        </w:rPr>
        <w:lastRenderedPageBreak/>
        <w:t>resulta evidente que esa contraprestación se cubre con recursos públicos; en ese sentido, por lo que se debe traer a colación lo dispuesto en el artículo 7 de la Ley de Transparencia estatal, en el que se estipula lo siguiente:</w:t>
      </w:r>
    </w:p>
    <w:p w14:paraId="5BC2755D" w14:textId="4E1D54DA" w:rsidR="002F3BA1" w:rsidRDefault="002F3BA1" w:rsidP="006922F5">
      <w:pPr>
        <w:contextualSpacing/>
        <w:rPr>
          <w:rFonts w:eastAsia="Palatino Linotype" w:cs="Palatino Linotype"/>
          <w:szCs w:val="24"/>
        </w:rPr>
      </w:pPr>
    </w:p>
    <w:p w14:paraId="564D0C1B" w14:textId="0BFA3F76" w:rsidR="002F3BA1" w:rsidRDefault="002F3BA1" w:rsidP="002F3BA1">
      <w:pPr>
        <w:pStyle w:val="Fundamentos"/>
      </w:pPr>
      <w:r w:rsidRPr="002F3BA1">
        <w:rPr>
          <w:b/>
          <w:lang w:val="es-MX"/>
        </w:rPr>
        <w:t xml:space="preserve">Artículo 7. </w:t>
      </w:r>
      <w:r w:rsidRPr="002F3BA1">
        <w:rPr>
          <w:lang w:val="es-MX"/>
        </w:rPr>
        <w:t>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66B9873F" w14:textId="76865D97" w:rsidR="00B15BB8" w:rsidRDefault="00B15BB8" w:rsidP="006922F5">
      <w:pPr>
        <w:contextualSpacing/>
        <w:rPr>
          <w:rFonts w:eastAsia="Palatino Linotype" w:cs="Palatino Linotype"/>
          <w:szCs w:val="24"/>
        </w:rPr>
      </w:pPr>
    </w:p>
    <w:p w14:paraId="1BC164AA" w14:textId="1D413253" w:rsidR="00B15BB8" w:rsidRDefault="002F3BA1" w:rsidP="006922F5">
      <w:pPr>
        <w:contextualSpacing/>
        <w:rPr>
          <w:rFonts w:eastAsia="Palatino Linotype" w:cs="Palatino Linotype"/>
          <w:szCs w:val="24"/>
        </w:rPr>
      </w:pPr>
      <w:r>
        <w:rPr>
          <w:rFonts w:eastAsia="Palatino Linotype" w:cs="Palatino Linotype"/>
          <w:szCs w:val="24"/>
        </w:rPr>
        <w:t>Consecuentemente, queda demostrado que el Sujeto Obligado está constreñido a conservar el documento en el que conste la relación laboral con sus trabajadores hasta por un año posterior a la culminación de la relación laboral; además, al constituir información considerada como pública en términos de la Ley de Transparencia pues implica la utilización de recursos públicos, se considera procedente ordenar al Sujeto Obligado a que haga entrega en versión pública de los contratos o cualquier otro documento en el que conste la relación laboral con los médicos que prestaron sus servicios en los centros de salud referidos por la solicitante durante el periodo de mayo a diciembre de dos mil veintiuno.</w:t>
      </w:r>
    </w:p>
    <w:p w14:paraId="5463FD65" w14:textId="4AB5D9C7" w:rsidR="00B15BB8" w:rsidRDefault="00B15BB8" w:rsidP="006922F5">
      <w:pPr>
        <w:contextualSpacing/>
        <w:rPr>
          <w:rFonts w:eastAsia="Palatino Linotype" w:cs="Palatino Linotype"/>
          <w:szCs w:val="24"/>
        </w:rPr>
      </w:pPr>
    </w:p>
    <w:p w14:paraId="156626E9" w14:textId="05FD6B29" w:rsidR="002F3BA1" w:rsidRDefault="002F3BA1" w:rsidP="006922F5">
      <w:pPr>
        <w:contextualSpacing/>
        <w:rPr>
          <w:rFonts w:eastAsia="Palatino Linotype" w:cs="Palatino Linotype"/>
          <w:szCs w:val="24"/>
        </w:rPr>
      </w:pPr>
      <w:r>
        <w:rPr>
          <w:rFonts w:eastAsia="Palatino Linotype" w:cs="Palatino Linotype"/>
          <w:szCs w:val="24"/>
        </w:rPr>
        <w:t>Por último, por lo que toca a los</w:t>
      </w:r>
      <w:r w:rsidR="000D75BB">
        <w:rPr>
          <w:rFonts w:eastAsia="Palatino Linotype" w:cs="Palatino Linotype"/>
          <w:szCs w:val="24"/>
        </w:rPr>
        <w:t xml:space="preserve"> métodos de asignación de los médicos a las clínicas de salud en las comunidades referidas en la solicitud de información, el propio Sujeto Obligado manifestó en su respuesta lo siguiente:</w:t>
      </w:r>
    </w:p>
    <w:p w14:paraId="6604A935" w14:textId="5BDC41A0" w:rsidR="00FD03C3" w:rsidRDefault="00FD03C3" w:rsidP="006922F5">
      <w:pPr>
        <w:contextualSpacing/>
        <w:rPr>
          <w:rFonts w:eastAsia="Palatino Linotype" w:cs="Palatino Linotype"/>
          <w:szCs w:val="24"/>
        </w:rPr>
      </w:pPr>
    </w:p>
    <w:p w14:paraId="2BCE7C21" w14:textId="2E52443F" w:rsidR="00FD03C3" w:rsidRDefault="00FD03C3" w:rsidP="00FD03C3">
      <w:pPr>
        <w:pStyle w:val="Fundamentos"/>
      </w:pPr>
      <w:r>
        <w:t xml:space="preserve">‘… informo que referente a “… SOLICITO EL METODO DE ASIGNACIÓN DE LOS MEDICOS A LAS CLINICAS DE SALUD EN DICHAS COMUNIDADES…”, </w:t>
      </w:r>
      <w:r w:rsidRPr="00FD03C3">
        <w:rPr>
          <w:b/>
          <w:bCs/>
          <w:u w:val="single"/>
        </w:rPr>
        <w:t xml:space="preserve">cada </w:t>
      </w:r>
      <w:r w:rsidRPr="00FD03C3">
        <w:rPr>
          <w:b/>
          <w:bCs/>
          <w:u w:val="single"/>
        </w:rPr>
        <w:lastRenderedPageBreak/>
        <w:t>Unidad Aplicativa de este Instituto de Salud del Estado de México, es la encargada de la selección, reclutamiento, promoción, designación, administración, coordinación, control de asistencia, incidencias y supervisión del personal que se encuentra a su cargo</w:t>
      </w:r>
      <w:r>
        <w:t>, contando estas mismas con un Jefe o Encargado de Recursos Humanos, responsable de aplicar la normatividad vigente que rige al ISEM…’</w:t>
      </w:r>
    </w:p>
    <w:p w14:paraId="555379A9" w14:textId="7E6F2C7F" w:rsidR="000D75BB" w:rsidRDefault="000D75BB" w:rsidP="006922F5">
      <w:pPr>
        <w:contextualSpacing/>
        <w:rPr>
          <w:rFonts w:eastAsia="Palatino Linotype" w:cs="Palatino Linotype"/>
          <w:szCs w:val="24"/>
        </w:rPr>
      </w:pPr>
    </w:p>
    <w:p w14:paraId="0A0AF7C1" w14:textId="4C6B9093" w:rsidR="000D75BB" w:rsidRDefault="00FD03C3" w:rsidP="006922F5">
      <w:pPr>
        <w:contextualSpacing/>
        <w:rPr>
          <w:rFonts w:eastAsia="Palatino Linotype" w:cs="Palatino Linotype"/>
          <w:szCs w:val="24"/>
        </w:rPr>
      </w:pPr>
      <w:r>
        <w:rPr>
          <w:rFonts w:eastAsia="Palatino Linotype" w:cs="Palatino Linotype"/>
          <w:szCs w:val="24"/>
        </w:rPr>
        <w:t xml:space="preserve">En ese sentido, se advierte que el Sujeto Obligado no </w:t>
      </w:r>
      <w:r w:rsidR="00A77029">
        <w:rPr>
          <w:rFonts w:eastAsia="Palatino Linotype" w:cs="Palatino Linotype"/>
          <w:szCs w:val="24"/>
        </w:rPr>
        <w:t xml:space="preserve">niega generar, poseer o administrar la información solicitada, sino que, por el contrario, manifestó expresamente que cada una de las unidades aplicativas son las encargadas de, entre otras actividades la selección, reclutamiento y </w:t>
      </w:r>
      <w:r w:rsidR="00A77029">
        <w:rPr>
          <w:rFonts w:eastAsia="Palatino Linotype" w:cs="Palatino Linotype"/>
          <w:b/>
          <w:bCs/>
          <w:szCs w:val="24"/>
          <w:u w:val="single"/>
        </w:rPr>
        <w:t>designación</w:t>
      </w:r>
      <w:r w:rsidR="00A77029">
        <w:rPr>
          <w:rFonts w:eastAsia="Palatino Linotype" w:cs="Palatino Linotype"/>
          <w:szCs w:val="24"/>
        </w:rPr>
        <w:t xml:space="preserve"> del personal que se encuentra a su cargo, </w:t>
      </w:r>
      <w:r w:rsidR="006B5F2B">
        <w:rPr>
          <w:rFonts w:eastAsia="Palatino Linotype" w:cs="Palatino Linotype"/>
          <w:szCs w:val="24"/>
        </w:rPr>
        <w:t xml:space="preserve">por lo que se debe entender que la generación, administración o posesión de la información solicitada por la Recurrente </w:t>
      </w:r>
      <w:r w:rsidR="006B5F2B">
        <w:rPr>
          <w:rFonts w:eastAsia="Palatino Linotype" w:cs="Palatino Linotype"/>
          <w:b/>
          <w:bCs/>
          <w:szCs w:val="24"/>
        </w:rPr>
        <w:t>sí se encuentra entre sus funciones de derecho público</w:t>
      </w:r>
      <w:r w:rsidR="006B5F2B">
        <w:rPr>
          <w:rFonts w:eastAsia="Palatino Linotype" w:cs="Palatino Linotype"/>
          <w:szCs w:val="24"/>
        </w:rPr>
        <w:t>.</w:t>
      </w:r>
    </w:p>
    <w:p w14:paraId="55963C08" w14:textId="7F89D692" w:rsidR="006B5F2B" w:rsidRDefault="006B5F2B" w:rsidP="006922F5">
      <w:pPr>
        <w:contextualSpacing/>
        <w:rPr>
          <w:rFonts w:eastAsia="Palatino Linotype" w:cs="Palatino Linotype"/>
          <w:szCs w:val="24"/>
        </w:rPr>
      </w:pPr>
    </w:p>
    <w:p w14:paraId="65F98CCF" w14:textId="4F4DF625" w:rsidR="006B5F2B" w:rsidRDefault="006B5F2B" w:rsidP="006922F5">
      <w:pPr>
        <w:contextualSpacing/>
        <w:rPr>
          <w:rFonts w:eastAsia="Palatino Linotype" w:cs="Palatino Linotype"/>
          <w:szCs w:val="24"/>
        </w:rPr>
      </w:pPr>
      <w:r>
        <w:rPr>
          <w:rFonts w:eastAsia="Palatino Linotype" w:cs="Palatino Linotype"/>
          <w:szCs w:val="24"/>
        </w:rPr>
        <w:t xml:space="preserve">Por tal motivo, se debe recordar lo estipulado por los artículos </w:t>
      </w:r>
      <w:r w:rsidR="00856A0E">
        <w:rPr>
          <w:rFonts w:eastAsia="Palatino Linotype" w:cs="Palatino Linotype"/>
          <w:szCs w:val="24"/>
        </w:rPr>
        <w:t xml:space="preserve">3 fracción XI, </w:t>
      </w:r>
      <w:r>
        <w:rPr>
          <w:rFonts w:eastAsia="Palatino Linotype" w:cs="Palatino Linotype"/>
          <w:szCs w:val="24"/>
        </w:rPr>
        <w:t>4, 12, 18 y 19 primer párrafo de la Ley de Transparencia estatal, en los que se dispone lo siguiente:</w:t>
      </w:r>
    </w:p>
    <w:p w14:paraId="6AD0737F" w14:textId="59EBCF43" w:rsidR="006B5F2B" w:rsidRDefault="006B5F2B" w:rsidP="006922F5">
      <w:pPr>
        <w:contextualSpacing/>
        <w:rPr>
          <w:rFonts w:eastAsia="Palatino Linotype" w:cs="Palatino Linotype"/>
          <w:szCs w:val="24"/>
        </w:rPr>
      </w:pPr>
    </w:p>
    <w:p w14:paraId="30C129D0" w14:textId="77777777" w:rsidR="00856A0E" w:rsidRPr="00856A0E" w:rsidRDefault="00856A0E" w:rsidP="00856A0E">
      <w:pPr>
        <w:pStyle w:val="Fundamentos"/>
        <w:rPr>
          <w:bCs/>
          <w:lang w:val="es-MX"/>
        </w:rPr>
      </w:pPr>
      <w:r w:rsidRPr="00856A0E">
        <w:rPr>
          <w:b/>
          <w:bCs/>
          <w:lang w:val="es-MX"/>
        </w:rPr>
        <w:t xml:space="preserve">Artículo 3. </w:t>
      </w:r>
      <w:r w:rsidRPr="00856A0E">
        <w:rPr>
          <w:bCs/>
          <w:lang w:val="es-MX"/>
        </w:rPr>
        <w:t>Para los efectos de la presente Ley se entenderá por:</w:t>
      </w:r>
    </w:p>
    <w:p w14:paraId="09E02417" w14:textId="35CCCFA5" w:rsidR="00856A0E" w:rsidRDefault="00856A0E" w:rsidP="006B5F2B">
      <w:pPr>
        <w:pStyle w:val="Fundamentos"/>
        <w:rPr>
          <w:bCs/>
          <w:lang w:val="es-MX"/>
        </w:rPr>
      </w:pPr>
      <w:r>
        <w:rPr>
          <w:bCs/>
          <w:lang w:val="es-MX"/>
        </w:rPr>
        <w:t>(…)</w:t>
      </w:r>
    </w:p>
    <w:p w14:paraId="0D46B34D" w14:textId="65674E9F" w:rsidR="00856A0E" w:rsidRDefault="00856A0E" w:rsidP="006B5F2B">
      <w:pPr>
        <w:pStyle w:val="Fundamentos"/>
        <w:rPr>
          <w:bCs/>
          <w:lang w:val="es-MX"/>
        </w:rPr>
      </w:pPr>
      <w:r w:rsidRPr="00856A0E">
        <w:rPr>
          <w:b/>
          <w:lang w:val="es-MX"/>
        </w:rPr>
        <w:t>XI.</w:t>
      </w:r>
      <w:r>
        <w:rPr>
          <w:b/>
          <w:lang w:val="es-MX"/>
        </w:rPr>
        <w:t xml:space="preserve"> </w:t>
      </w:r>
      <w:r w:rsidRPr="00856A0E">
        <w:rPr>
          <w:b/>
          <w:lang w:val="es-MX"/>
        </w:rPr>
        <w:t>Documento:</w:t>
      </w:r>
      <w:r w:rsidRPr="00856A0E">
        <w:rPr>
          <w:bCs/>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DCBC55" w14:textId="44B20CD0" w:rsidR="00856A0E" w:rsidRPr="00856A0E" w:rsidRDefault="00856A0E" w:rsidP="006B5F2B">
      <w:pPr>
        <w:pStyle w:val="Fundamentos"/>
        <w:rPr>
          <w:bCs/>
          <w:lang w:val="es-MX"/>
        </w:rPr>
      </w:pPr>
      <w:r>
        <w:rPr>
          <w:bCs/>
          <w:lang w:val="es-MX"/>
        </w:rPr>
        <w:t>(…)</w:t>
      </w:r>
    </w:p>
    <w:p w14:paraId="6B9D031F" w14:textId="77777777" w:rsidR="00856A0E" w:rsidRPr="00856A0E" w:rsidRDefault="00856A0E" w:rsidP="006B5F2B">
      <w:pPr>
        <w:pStyle w:val="Fundamentos"/>
        <w:rPr>
          <w:bCs/>
          <w:lang w:val="es-MX"/>
        </w:rPr>
      </w:pPr>
    </w:p>
    <w:p w14:paraId="482A2C22" w14:textId="76D52FF0" w:rsidR="006B5F2B" w:rsidRPr="006B5F2B" w:rsidRDefault="006B5F2B" w:rsidP="006B5F2B">
      <w:pPr>
        <w:pStyle w:val="Fundamentos"/>
        <w:rPr>
          <w:lang w:val="es-MX"/>
        </w:rPr>
      </w:pPr>
      <w:r w:rsidRPr="006B5F2B">
        <w:rPr>
          <w:b/>
          <w:lang w:val="es-MX"/>
        </w:rPr>
        <w:t xml:space="preserve">Artículo 4. </w:t>
      </w:r>
      <w:r w:rsidRPr="006B5F2B">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14EBDD8F" w14:textId="77777777" w:rsidR="006B5F2B" w:rsidRPr="006B5F2B" w:rsidRDefault="006B5F2B" w:rsidP="006B5F2B">
      <w:pPr>
        <w:pStyle w:val="Fundamentos"/>
        <w:rPr>
          <w:lang w:val="es-MX"/>
        </w:rPr>
      </w:pPr>
    </w:p>
    <w:p w14:paraId="379F7C2F" w14:textId="77777777" w:rsidR="006B5F2B" w:rsidRPr="006B5F2B" w:rsidRDefault="006B5F2B" w:rsidP="006B5F2B">
      <w:pPr>
        <w:pStyle w:val="Fundamentos"/>
        <w:rPr>
          <w:lang w:val="es-MX"/>
        </w:rPr>
      </w:pPr>
      <w:r w:rsidRPr="006B5F2B">
        <w:rPr>
          <w:b/>
          <w:bCs/>
          <w:u w:val="single"/>
          <w:lang w:val="es-MX"/>
        </w:rPr>
        <w:lastRenderedPageBreak/>
        <w:t>Toda la información generada, obtenida, adquirida, transformada, administrada o en posesión de los sujetos obligados es pública y accesible de manera permanente a cualquier persona</w:t>
      </w:r>
      <w:r w:rsidRPr="006B5F2B">
        <w:rPr>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6BEA9E" w14:textId="77777777" w:rsidR="006B5F2B" w:rsidRPr="006B5F2B" w:rsidRDefault="006B5F2B" w:rsidP="006B5F2B">
      <w:pPr>
        <w:pStyle w:val="Fundamentos"/>
        <w:rPr>
          <w:lang w:val="es-MX"/>
        </w:rPr>
      </w:pPr>
    </w:p>
    <w:p w14:paraId="467B2E8E" w14:textId="38F8ECE7" w:rsidR="006B5F2B" w:rsidRDefault="006B5F2B" w:rsidP="006B5F2B">
      <w:pPr>
        <w:pStyle w:val="Fundamentos"/>
        <w:rPr>
          <w:lang w:val="es-MX"/>
        </w:rPr>
      </w:pPr>
      <w:r w:rsidRPr="006B5F2B">
        <w:rPr>
          <w:lang w:val="es-MX"/>
        </w:rPr>
        <w:t>Los sujetos obligados deben poner en práctica, políticas y programas de acceso a la información que se apeguen a criterios de publicidad, veracidad, oportunidad, precisión y suficiencia en beneficio de los solicitantes.</w:t>
      </w:r>
    </w:p>
    <w:p w14:paraId="40A53747" w14:textId="1D468513" w:rsidR="006B5F2B" w:rsidRDefault="006B5F2B" w:rsidP="006B5F2B">
      <w:pPr>
        <w:pStyle w:val="Fundamentos"/>
        <w:rPr>
          <w:lang w:val="es-MX"/>
        </w:rPr>
      </w:pPr>
    </w:p>
    <w:p w14:paraId="5393ACBD" w14:textId="77777777" w:rsidR="006B5F2B" w:rsidRPr="006B5F2B" w:rsidRDefault="006B5F2B" w:rsidP="006B5F2B">
      <w:pPr>
        <w:pStyle w:val="Fundamentos"/>
        <w:rPr>
          <w:lang w:val="es-MX"/>
        </w:rPr>
      </w:pPr>
      <w:r w:rsidRPr="006B5F2B">
        <w:rPr>
          <w:b/>
          <w:lang w:val="es-MX"/>
        </w:rPr>
        <w:t xml:space="preserve">Artículo 12. </w:t>
      </w:r>
      <w:r w:rsidRPr="006B5F2B">
        <w:rPr>
          <w:lang w:val="es-MX"/>
        </w:rPr>
        <w:t>Quienes generen, recopilen, administren, manejen, procesen, archiven o conserven información pública serán responsables de la misma en los términos de las disposiciones jurídicas aplicables.</w:t>
      </w:r>
    </w:p>
    <w:p w14:paraId="6356A25A" w14:textId="77777777" w:rsidR="006B5F2B" w:rsidRPr="006B5F2B" w:rsidRDefault="006B5F2B" w:rsidP="006B5F2B">
      <w:pPr>
        <w:pStyle w:val="Fundamentos"/>
        <w:rPr>
          <w:lang w:val="es-MX"/>
        </w:rPr>
      </w:pPr>
    </w:p>
    <w:p w14:paraId="0D9F52C8" w14:textId="77777777" w:rsidR="006B5F2B" w:rsidRPr="006B5F2B" w:rsidRDefault="006B5F2B" w:rsidP="006B5F2B">
      <w:pPr>
        <w:pStyle w:val="Fundamentos"/>
        <w:rPr>
          <w:lang w:val="es-MX"/>
        </w:rPr>
      </w:pPr>
      <w:r w:rsidRPr="006B5F2B">
        <w:rPr>
          <w:b/>
          <w:bCs/>
          <w:u w:val="single"/>
          <w:lang w:val="es-MX"/>
        </w:rPr>
        <w:t>Los sujetos obligados sólo proporcionarán la información pública que se les requiera y que obre en sus archivos y en el estado en que ésta se encuentre</w:t>
      </w:r>
      <w:r w:rsidRPr="006B5F2B">
        <w:rPr>
          <w:lang w:val="es-MX"/>
        </w:rPr>
        <w:t>. La obligación de proporcionar información no comprende el procesamiento de la misma, ni el presentarla conforme al interés del solicitante; no estarán obligados a generarla, resumirla, efectuar cálculos o practicar investigaciones.</w:t>
      </w:r>
    </w:p>
    <w:p w14:paraId="356BDB0E" w14:textId="7E3D5E65" w:rsidR="006B5F2B" w:rsidRDefault="006B5F2B" w:rsidP="006B5F2B">
      <w:pPr>
        <w:pStyle w:val="Fundamentos"/>
        <w:rPr>
          <w:lang w:val="es-MX"/>
        </w:rPr>
      </w:pPr>
    </w:p>
    <w:p w14:paraId="2C6DE39D" w14:textId="77777777" w:rsidR="006B5F2B" w:rsidRPr="006B5F2B" w:rsidRDefault="006B5F2B" w:rsidP="006B5F2B">
      <w:pPr>
        <w:pStyle w:val="Fundamentos"/>
        <w:rPr>
          <w:lang w:val="es-MX"/>
        </w:rPr>
      </w:pPr>
      <w:r w:rsidRPr="006B5F2B">
        <w:rPr>
          <w:b/>
          <w:lang w:val="es-MX"/>
        </w:rPr>
        <w:t xml:space="preserve">Artículo 18. </w:t>
      </w:r>
      <w:r w:rsidRPr="006B5F2B">
        <w:rPr>
          <w:b/>
          <w:bCs/>
          <w:u w:val="single"/>
          <w:lang w:val="es-MX"/>
        </w:rPr>
        <w:t>Los sujetos obligados deberán documentar todo acto que derive del ejercicio de sus facultades, competencias o funciones, considerando desde su origen la eventual publicidad y reutilización de la información que generen</w:t>
      </w:r>
      <w:r w:rsidRPr="006B5F2B">
        <w:rPr>
          <w:lang w:val="es-MX"/>
        </w:rPr>
        <w:t>.</w:t>
      </w:r>
    </w:p>
    <w:p w14:paraId="0EC1CFB6" w14:textId="77777777" w:rsidR="006B5F2B" w:rsidRPr="006B5F2B" w:rsidRDefault="006B5F2B" w:rsidP="006B5F2B">
      <w:pPr>
        <w:pStyle w:val="Fundamentos"/>
        <w:rPr>
          <w:b/>
          <w:lang w:val="es-MX"/>
        </w:rPr>
      </w:pPr>
    </w:p>
    <w:p w14:paraId="3C4A2C25" w14:textId="77777777" w:rsidR="006B5F2B" w:rsidRPr="006B5F2B" w:rsidRDefault="006B5F2B" w:rsidP="006B5F2B">
      <w:pPr>
        <w:pStyle w:val="Fundamentos"/>
        <w:rPr>
          <w:lang w:val="es-MX"/>
        </w:rPr>
      </w:pPr>
      <w:r w:rsidRPr="006B5F2B">
        <w:rPr>
          <w:b/>
          <w:lang w:val="es-MX"/>
        </w:rPr>
        <w:t xml:space="preserve">Artículo 19. </w:t>
      </w:r>
      <w:r w:rsidRPr="006B5F2B">
        <w:rPr>
          <w:b/>
          <w:bCs/>
          <w:u w:val="single"/>
          <w:lang w:val="es-MX"/>
        </w:rPr>
        <w:t>Se presume que la información debe existir si se refiere a las facultades, competencias y funciones que los ordenamientos jurídicos aplicables otorgan a los sujetos obligados</w:t>
      </w:r>
      <w:r w:rsidRPr="006B5F2B">
        <w:rPr>
          <w:lang w:val="es-MX"/>
        </w:rPr>
        <w:t>.</w:t>
      </w:r>
    </w:p>
    <w:p w14:paraId="048C55AC" w14:textId="77777777" w:rsidR="006B5F2B" w:rsidRPr="006B5F2B" w:rsidRDefault="006B5F2B" w:rsidP="006B5F2B">
      <w:pPr>
        <w:pStyle w:val="Fundamentos"/>
        <w:rPr>
          <w:lang w:val="es-MX"/>
        </w:rPr>
      </w:pPr>
    </w:p>
    <w:p w14:paraId="16BF4CE0" w14:textId="77777777" w:rsidR="006B5F2B" w:rsidRPr="006B5F2B" w:rsidRDefault="006B5F2B" w:rsidP="006B5F2B">
      <w:pPr>
        <w:pStyle w:val="Fundamentos"/>
        <w:rPr>
          <w:lang w:val="es-MX"/>
        </w:rPr>
      </w:pPr>
      <w:r w:rsidRPr="006B5F2B">
        <w:rPr>
          <w:lang w:val="es-MX"/>
        </w:rPr>
        <w:t>En los casos en que ciertas facultades, competencias o funciones no se hayan ejercido, se debe motivar la respuesta en función de las causas que motiven tal circunstancia.</w:t>
      </w:r>
    </w:p>
    <w:p w14:paraId="43F4F95A" w14:textId="77777777" w:rsidR="006B5F2B" w:rsidRPr="006B5F2B" w:rsidRDefault="006B5F2B" w:rsidP="006B5F2B">
      <w:pPr>
        <w:pStyle w:val="Fundamentos"/>
        <w:rPr>
          <w:lang w:val="es-MX"/>
        </w:rPr>
      </w:pPr>
    </w:p>
    <w:p w14:paraId="280ED294" w14:textId="77777777" w:rsidR="006B5F2B" w:rsidRPr="006B5F2B" w:rsidRDefault="006B5F2B" w:rsidP="006B5F2B">
      <w:pPr>
        <w:pStyle w:val="Fundamentos"/>
        <w:rPr>
          <w:lang w:val="es-MX"/>
        </w:rPr>
      </w:pPr>
      <w:r w:rsidRPr="006B5F2B">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BB14C49" w14:textId="77777777" w:rsidR="006B5F2B" w:rsidRPr="006B5F2B" w:rsidRDefault="006B5F2B" w:rsidP="006B5F2B">
      <w:pPr>
        <w:contextualSpacing/>
        <w:rPr>
          <w:rFonts w:eastAsia="Palatino Linotype" w:cs="Palatino Linotype"/>
          <w:b/>
          <w:szCs w:val="24"/>
          <w:lang w:val="es-MX"/>
        </w:rPr>
      </w:pPr>
    </w:p>
    <w:p w14:paraId="135B48D2" w14:textId="33055867" w:rsidR="006B5F2B" w:rsidRDefault="006B5F2B" w:rsidP="006B5F2B">
      <w:pPr>
        <w:contextualSpacing/>
        <w:rPr>
          <w:rFonts w:eastAsia="Palatino Linotype" w:cs="Palatino Linotype"/>
          <w:szCs w:val="24"/>
          <w:lang w:val="es-MX"/>
        </w:rPr>
      </w:pPr>
      <w:r>
        <w:rPr>
          <w:rFonts w:eastAsia="Palatino Linotype" w:cs="Palatino Linotype"/>
          <w:szCs w:val="24"/>
          <w:lang w:val="es-MX"/>
        </w:rPr>
        <w:lastRenderedPageBreak/>
        <w:t>De los artículos en cita se desprende que toda la información que los sujetos obligados generen, posean o administren es considerada pública, que los sujetos obligados deben documentar todo acto que se derive del ejercicio de sus atribuciones y que se debe presumir su existencia si ésta es consecuencia de ejercer dichas facultades, competencia o funciones.</w:t>
      </w:r>
    </w:p>
    <w:p w14:paraId="6F1D2B27" w14:textId="4D0D58CD" w:rsidR="006B5F2B" w:rsidRDefault="006B5F2B" w:rsidP="006B5F2B">
      <w:pPr>
        <w:contextualSpacing/>
        <w:rPr>
          <w:rFonts w:eastAsia="Palatino Linotype" w:cs="Palatino Linotype"/>
          <w:szCs w:val="24"/>
          <w:lang w:val="es-MX"/>
        </w:rPr>
      </w:pPr>
    </w:p>
    <w:p w14:paraId="14147E07" w14:textId="47A7F4B7" w:rsidR="006B5F2B" w:rsidRDefault="006B5F2B" w:rsidP="006B5F2B">
      <w:pPr>
        <w:contextualSpacing/>
        <w:rPr>
          <w:rFonts w:eastAsia="Palatino Linotype" w:cs="Palatino Linotype"/>
          <w:szCs w:val="24"/>
          <w:lang w:val="es-MX"/>
        </w:rPr>
      </w:pPr>
      <w:r>
        <w:rPr>
          <w:rFonts w:eastAsia="Palatino Linotype" w:cs="Palatino Linotype"/>
          <w:szCs w:val="24"/>
          <w:lang w:val="es-MX"/>
        </w:rPr>
        <w:t xml:space="preserve">De tal forma que, ante la aceptación del Sujeto Obligado respecto de que existen las unidades administrativas encargadas de la selección, reclutamiento y designación de los servidores públicos, </w:t>
      </w:r>
      <w:r w:rsidR="00856A0E">
        <w:rPr>
          <w:rFonts w:eastAsia="Palatino Linotype" w:cs="Palatino Linotype"/>
          <w:szCs w:val="24"/>
          <w:lang w:val="es-MX"/>
        </w:rPr>
        <w:t>esas actividades deben constar en documentos y se presume su existencia debido a que se desprende del ejercicio de sus atribuciones, funciones, competencias o facultades.</w:t>
      </w:r>
    </w:p>
    <w:p w14:paraId="1163F7CF" w14:textId="4326862F" w:rsidR="00856A0E" w:rsidRDefault="00856A0E" w:rsidP="006B5F2B">
      <w:pPr>
        <w:contextualSpacing/>
        <w:rPr>
          <w:rFonts w:eastAsia="Palatino Linotype" w:cs="Palatino Linotype"/>
          <w:szCs w:val="24"/>
          <w:lang w:val="es-MX"/>
        </w:rPr>
      </w:pPr>
    </w:p>
    <w:p w14:paraId="37F68594" w14:textId="1CED1268" w:rsidR="00856A0E" w:rsidRDefault="00856A0E" w:rsidP="006B5F2B">
      <w:pPr>
        <w:contextualSpacing/>
        <w:rPr>
          <w:rFonts w:eastAsia="Palatino Linotype" w:cs="Palatino Linotype"/>
          <w:szCs w:val="24"/>
          <w:lang w:val="es-MX"/>
        </w:rPr>
      </w:pPr>
      <w:r>
        <w:rPr>
          <w:rFonts w:eastAsia="Palatino Linotype" w:cs="Palatino Linotype"/>
          <w:szCs w:val="24"/>
          <w:lang w:val="es-MX"/>
        </w:rPr>
        <w:t>En consecuencia, es procedente ordenar al Sujeto Obligado a que haga entrega del documento o documentes en los que conste el método de designación de los médicos a los centros de salud referidos en la solicitud de información durante el periodo comprendido de mayo a diciembre de dos mil veintiuno.</w:t>
      </w:r>
    </w:p>
    <w:p w14:paraId="4DE7EFA7" w14:textId="55E1CBA2" w:rsidR="00856A0E" w:rsidRDefault="00856A0E" w:rsidP="006B5F2B">
      <w:pPr>
        <w:contextualSpacing/>
        <w:rPr>
          <w:rFonts w:eastAsia="Palatino Linotype" w:cs="Palatino Linotype"/>
          <w:szCs w:val="24"/>
          <w:lang w:val="es-MX"/>
        </w:rPr>
      </w:pPr>
    </w:p>
    <w:p w14:paraId="524DEA41" w14:textId="7EEC21D7" w:rsidR="00856A0E" w:rsidRDefault="00856A0E" w:rsidP="006B5F2B">
      <w:pPr>
        <w:contextualSpacing/>
        <w:rPr>
          <w:rFonts w:eastAsia="Palatino Linotype" w:cs="Palatino Linotype"/>
          <w:szCs w:val="24"/>
          <w:lang w:val="es-MX"/>
        </w:rPr>
      </w:pPr>
      <w:r>
        <w:rPr>
          <w:rFonts w:eastAsia="Palatino Linotype" w:cs="Palatino Linotype"/>
          <w:szCs w:val="24"/>
          <w:lang w:val="es-MX"/>
        </w:rPr>
        <w:t xml:space="preserve">En conclusión, el Sujeto Obligado colmó la pretensión de la Recurrente relativa al número de personas atendidas en </w:t>
      </w:r>
      <w:r w:rsidRPr="00856A0E">
        <w:rPr>
          <w:rFonts w:eastAsia="Palatino Linotype" w:cs="Palatino Linotype"/>
          <w:szCs w:val="24"/>
          <w:lang w:val="es-MX"/>
        </w:rPr>
        <w:t>las clínicas de salud de las comunidades de Agostadero, Puentecillas, San Francisco Shaxni y Conejeras</w:t>
      </w:r>
      <w:r>
        <w:rPr>
          <w:rFonts w:eastAsia="Palatino Linotype" w:cs="Palatino Linotype"/>
          <w:szCs w:val="24"/>
          <w:lang w:val="es-MX"/>
        </w:rPr>
        <w:t xml:space="preserve"> durante el periodo de mayo a diciembre de dos mil veintiuno; mientras que no se consideran colmadas las pretensiones de la particular relativas a los contratos de los médicos y el método de designación de éstos a las clínicas de salud referidas durante el mismo periodo.</w:t>
      </w:r>
    </w:p>
    <w:p w14:paraId="1FCE286D" w14:textId="42F1A036" w:rsidR="006B5F2B" w:rsidRDefault="006B5F2B" w:rsidP="006B5F2B">
      <w:pPr>
        <w:contextualSpacing/>
        <w:rPr>
          <w:rFonts w:eastAsia="Palatino Linotype" w:cs="Palatino Linotype"/>
          <w:szCs w:val="24"/>
          <w:lang w:val="es-MX"/>
        </w:rPr>
      </w:pPr>
    </w:p>
    <w:p w14:paraId="4879F667" w14:textId="09EE9A86" w:rsidR="00196AF7" w:rsidRPr="006922F5" w:rsidRDefault="00196AF7" w:rsidP="006922F5">
      <w:pPr>
        <w:rPr>
          <w:szCs w:val="24"/>
        </w:rPr>
      </w:pPr>
    </w:p>
    <w:p w14:paraId="03CC3610" w14:textId="69AFC9AB" w:rsidR="00196AF7" w:rsidRPr="006922F5" w:rsidRDefault="00F42673" w:rsidP="006922F5">
      <w:pPr>
        <w:rPr>
          <w:szCs w:val="24"/>
        </w:rPr>
      </w:pPr>
      <w:r>
        <w:rPr>
          <w:szCs w:val="24"/>
        </w:rPr>
        <w:t>P</w:t>
      </w:r>
      <w:r w:rsidR="00196AF7" w:rsidRPr="006922F5">
        <w:rPr>
          <w:szCs w:val="24"/>
        </w:rPr>
        <w:t xml:space="preserve">or lo argumentado anteriormente, </w:t>
      </w:r>
      <w:r w:rsidR="00196AF7" w:rsidRPr="006922F5">
        <w:t xml:space="preserve">este Instituto considera que las razones o motivos de inconformidad del Recurrente </w:t>
      </w:r>
      <w:r w:rsidR="00E84DC7">
        <w:t>devienen</w:t>
      </w:r>
      <w:r>
        <w:t xml:space="preserve"> parcialmente</w:t>
      </w:r>
      <w:r w:rsidR="00E84DC7">
        <w:t xml:space="preserve"> </w:t>
      </w:r>
      <w:r w:rsidR="00196AF7" w:rsidRPr="006922F5">
        <w:t xml:space="preserve">fundados, por lo que es procedente </w:t>
      </w:r>
      <w:r>
        <w:t>revocar</w:t>
      </w:r>
      <w:r w:rsidR="00196AF7" w:rsidRPr="006922F5">
        <w:t xml:space="preserve"> la respuesta del Sujeto Obligado y ordenar que se haga entrega de</w:t>
      </w:r>
      <w:r>
        <w:t xml:space="preserve">l documento o documentos en donde conste la contratación de los médicos y la designación de dichos servidores públicos a las clínicas de salud </w:t>
      </w:r>
      <w:r w:rsidRPr="00856A0E">
        <w:rPr>
          <w:rFonts w:eastAsia="Palatino Linotype" w:cs="Palatino Linotype"/>
          <w:szCs w:val="24"/>
          <w:lang w:val="es-MX"/>
        </w:rPr>
        <w:t>de las comunidades de Agostadero, Puentecillas, San Francisco Shaxni y Conejeras</w:t>
      </w:r>
      <w:r>
        <w:rPr>
          <w:rFonts w:eastAsia="Palatino Linotype" w:cs="Palatino Linotype"/>
          <w:szCs w:val="24"/>
          <w:lang w:val="es-MX"/>
        </w:rPr>
        <w:t xml:space="preserve"> durante el periodo de mayo a diciembre de dos mil veintiuno, en versión pública en los casos que sea procedente.</w:t>
      </w:r>
    </w:p>
    <w:p w14:paraId="4C42C5AD" w14:textId="77777777" w:rsidR="00196AF7" w:rsidRPr="006922F5" w:rsidRDefault="00196AF7" w:rsidP="006922F5">
      <w:pPr>
        <w:rPr>
          <w:szCs w:val="24"/>
        </w:rPr>
      </w:pPr>
    </w:p>
    <w:p w14:paraId="44ADF675" w14:textId="77777777" w:rsidR="00196AF7" w:rsidRPr="006922F5" w:rsidRDefault="00196AF7" w:rsidP="006922F5">
      <w:pPr>
        <w:pStyle w:val="Ttulo3"/>
      </w:pPr>
      <w:r w:rsidRPr="006922F5">
        <w:t>DE LA VERSIÓN PÚBLICA.</w:t>
      </w:r>
    </w:p>
    <w:p w14:paraId="221EFBBE" w14:textId="77777777" w:rsidR="00E472F3" w:rsidRPr="006939B2" w:rsidRDefault="00E472F3" w:rsidP="00E472F3">
      <w:pPr>
        <w:rPr>
          <w:rFonts w:eastAsia="Palatino Linotype" w:cs="Palatino Linotype"/>
          <w:szCs w:val="24"/>
        </w:rPr>
      </w:pPr>
      <w:r w:rsidRPr="006939B2">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9AC6A7D" w14:textId="77777777" w:rsidR="00E472F3" w:rsidRPr="006939B2" w:rsidRDefault="00E472F3" w:rsidP="00E472F3">
      <w:pPr>
        <w:rPr>
          <w:rFonts w:eastAsia="Palatino Linotype" w:cs="Palatino Linotype"/>
          <w:szCs w:val="24"/>
        </w:rPr>
      </w:pPr>
    </w:p>
    <w:p w14:paraId="067DF54F" w14:textId="77777777" w:rsidR="00E472F3" w:rsidRPr="006939B2" w:rsidRDefault="00E472F3" w:rsidP="00E472F3">
      <w:pPr>
        <w:pStyle w:val="Fundamentos"/>
      </w:pPr>
      <w:r w:rsidRPr="006939B2">
        <w:rPr>
          <w:b/>
        </w:rPr>
        <w:t>Artículo 3.</w:t>
      </w:r>
      <w:r w:rsidRPr="006939B2">
        <w:t xml:space="preserve"> Para los efectos de la presente Ley se entenderá por:</w:t>
      </w:r>
    </w:p>
    <w:p w14:paraId="29389E82" w14:textId="77777777" w:rsidR="00E472F3" w:rsidRPr="006939B2" w:rsidRDefault="00E472F3" w:rsidP="00E472F3">
      <w:pPr>
        <w:pStyle w:val="Fundamentos"/>
      </w:pPr>
      <w:r w:rsidRPr="006939B2">
        <w:t>(…)</w:t>
      </w:r>
    </w:p>
    <w:p w14:paraId="7C25ADA6" w14:textId="77777777" w:rsidR="00E472F3" w:rsidRPr="006939B2" w:rsidRDefault="00E472F3" w:rsidP="00E472F3">
      <w:pPr>
        <w:pStyle w:val="Fundamentos"/>
      </w:pPr>
      <w:r w:rsidRPr="006939B2">
        <w:rPr>
          <w:b/>
        </w:rPr>
        <w:t>IX. Datos personales:</w:t>
      </w:r>
      <w:r w:rsidRPr="006939B2">
        <w:t xml:space="preserve"> La información concerniente a una persona, identificada o identificable según lo dispuesto por la Ley de Protección de Datos Personales del Estado de México; </w:t>
      </w:r>
    </w:p>
    <w:p w14:paraId="4C83C3FF" w14:textId="77777777" w:rsidR="00E472F3" w:rsidRPr="006939B2" w:rsidRDefault="00E472F3" w:rsidP="00E472F3">
      <w:pPr>
        <w:pStyle w:val="Fundamentos"/>
      </w:pPr>
      <w:r w:rsidRPr="006939B2">
        <w:rPr>
          <w:b/>
        </w:rPr>
        <w:t>XX.</w:t>
      </w:r>
      <w:r w:rsidRPr="006939B2">
        <w:t xml:space="preserve"> </w:t>
      </w:r>
      <w:r w:rsidRPr="006939B2">
        <w:rPr>
          <w:b/>
        </w:rPr>
        <w:t>Información clasificada:</w:t>
      </w:r>
      <w:r w:rsidRPr="006939B2">
        <w:t xml:space="preserve"> Aquella considerada por la presente Ley como reservada o confidencial;</w:t>
      </w:r>
    </w:p>
    <w:p w14:paraId="7602EFDD" w14:textId="77777777" w:rsidR="00E472F3" w:rsidRPr="006939B2" w:rsidRDefault="00E472F3" w:rsidP="00E472F3">
      <w:pPr>
        <w:pStyle w:val="Fundamentos"/>
      </w:pPr>
      <w:r w:rsidRPr="006939B2">
        <w:rPr>
          <w:b/>
        </w:rPr>
        <w:t>XXI.</w:t>
      </w:r>
      <w:r w:rsidRPr="006939B2">
        <w:t xml:space="preserve"> </w:t>
      </w:r>
      <w:r w:rsidRPr="006939B2">
        <w:rPr>
          <w:b/>
        </w:rPr>
        <w:t>Información confidencial:</w:t>
      </w:r>
      <w:r w:rsidRPr="006939B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B8F681" w14:textId="7CDAB924" w:rsidR="00E472F3" w:rsidRPr="00E472F3" w:rsidRDefault="00E472F3" w:rsidP="00E472F3">
      <w:pPr>
        <w:pStyle w:val="Fundamentos"/>
        <w:rPr>
          <w:bCs/>
        </w:rPr>
      </w:pPr>
      <w:r>
        <w:rPr>
          <w:bCs/>
        </w:rPr>
        <w:t>(</w:t>
      </w:r>
      <w:r w:rsidRPr="00E472F3">
        <w:rPr>
          <w:bCs/>
        </w:rPr>
        <w:t>…</w:t>
      </w:r>
      <w:r>
        <w:rPr>
          <w:bCs/>
        </w:rPr>
        <w:t>)</w:t>
      </w:r>
    </w:p>
    <w:p w14:paraId="77D5B190" w14:textId="77777777" w:rsidR="00E472F3" w:rsidRPr="006939B2" w:rsidRDefault="00E472F3" w:rsidP="00E472F3">
      <w:pPr>
        <w:pStyle w:val="Fundamentos"/>
      </w:pPr>
      <w:r w:rsidRPr="006939B2">
        <w:rPr>
          <w:b/>
        </w:rPr>
        <w:t>XLV.</w:t>
      </w:r>
      <w:r w:rsidRPr="006939B2">
        <w:t xml:space="preserve"> </w:t>
      </w:r>
      <w:r w:rsidRPr="006939B2">
        <w:rPr>
          <w:b/>
        </w:rPr>
        <w:t>Versión pública:</w:t>
      </w:r>
      <w:r w:rsidRPr="006939B2">
        <w:t xml:space="preserve"> Documento en el que se elimine, suprime o borra la información clasificada como reservada o confidencial para permitir su acceso.</w:t>
      </w:r>
    </w:p>
    <w:p w14:paraId="5C09E76F" w14:textId="77777777" w:rsidR="00E472F3" w:rsidRPr="006939B2" w:rsidRDefault="00E472F3" w:rsidP="00E472F3">
      <w:pPr>
        <w:pStyle w:val="Fundamentos"/>
      </w:pPr>
      <w:r w:rsidRPr="006939B2">
        <w:lastRenderedPageBreak/>
        <w:t>(…)</w:t>
      </w:r>
    </w:p>
    <w:p w14:paraId="03006C90" w14:textId="77777777" w:rsidR="00E472F3" w:rsidRPr="006939B2" w:rsidRDefault="00E472F3" w:rsidP="00E472F3">
      <w:pPr>
        <w:pStyle w:val="Fundamentos"/>
      </w:pPr>
    </w:p>
    <w:p w14:paraId="42517E9E" w14:textId="77777777" w:rsidR="00E472F3" w:rsidRPr="006939B2" w:rsidRDefault="00E472F3" w:rsidP="00E472F3">
      <w:pPr>
        <w:pStyle w:val="Fundamentos"/>
      </w:pPr>
      <w:r w:rsidRPr="006939B2">
        <w:rPr>
          <w:b/>
        </w:rPr>
        <w:t xml:space="preserve">Artículo 91. </w:t>
      </w:r>
      <w:r w:rsidRPr="006939B2">
        <w:t>El acceso a la información pública será restringido excepcionalmente, cuando ésta sea clasificada como reservada o confidencial.</w:t>
      </w:r>
    </w:p>
    <w:p w14:paraId="4B7356FB" w14:textId="77777777" w:rsidR="00E472F3" w:rsidRPr="006939B2" w:rsidRDefault="00E472F3" w:rsidP="00E472F3">
      <w:pPr>
        <w:pStyle w:val="Fundamentos"/>
      </w:pPr>
    </w:p>
    <w:p w14:paraId="22DCB506" w14:textId="77777777" w:rsidR="00E472F3" w:rsidRPr="006939B2" w:rsidRDefault="00E472F3" w:rsidP="00E472F3">
      <w:pPr>
        <w:pStyle w:val="Fundamentos"/>
      </w:pPr>
      <w:r w:rsidRPr="006939B2">
        <w:rPr>
          <w:b/>
        </w:rPr>
        <w:t>Artículo 132.</w:t>
      </w:r>
      <w:r w:rsidRPr="006939B2">
        <w:t xml:space="preserve"> </w:t>
      </w:r>
      <w:r w:rsidRPr="006939B2">
        <w:rPr>
          <w:u w:val="single"/>
        </w:rPr>
        <w:t>La clasificación de la información se llevará a cabo en el momento en que</w:t>
      </w:r>
      <w:r w:rsidRPr="006939B2">
        <w:t>:</w:t>
      </w:r>
    </w:p>
    <w:p w14:paraId="081978DB" w14:textId="77777777" w:rsidR="00E472F3" w:rsidRPr="006939B2" w:rsidRDefault="00E472F3" w:rsidP="00E472F3">
      <w:pPr>
        <w:pStyle w:val="Fundamentos"/>
      </w:pPr>
      <w:r w:rsidRPr="006939B2">
        <w:rPr>
          <w:b/>
        </w:rPr>
        <w:t>I.</w:t>
      </w:r>
      <w:r w:rsidRPr="006939B2">
        <w:t xml:space="preserve"> Se reciba una solicitud de acceso a la información;</w:t>
      </w:r>
    </w:p>
    <w:p w14:paraId="543E1C95" w14:textId="77777777" w:rsidR="00E472F3" w:rsidRPr="006939B2" w:rsidRDefault="00E472F3" w:rsidP="00E472F3">
      <w:pPr>
        <w:pStyle w:val="Fundamentos"/>
      </w:pPr>
      <w:r w:rsidRPr="006939B2">
        <w:rPr>
          <w:b/>
        </w:rPr>
        <w:t>II.</w:t>
      </w:r>
      <w:r w:rsidRPr="006939B2">
        <w:t xml:space="preserve"> </w:t>
      </w:r>
      <w:r w:rsidRPr="006939B2">
        <w:rPr>
          <w:u w:val="single"/>
        </w:rPr>
        <w:t>Se determine mediante resolución de autoridad competente; o</w:t>
      </w:r>
    </w:p>
    <w:p w14:paraId="6DDB74B7" w14:textId="77777777" w:rsidR="00E472F3" w:rsidRPr="006939B2" w:rsidRDefault="00E472F3" w:rsidP="00E472F3">
      <w:pPr>
        <w:pStyle w:val="Fundamentos"/>
        <w:rPr>
          <w:u w:val="single"/>
        </w:rPr>
      </w:pPr>
      <w:r w:rsidRPr="006939B2">
        <w:rPr>
          <w:b/>
        </w:rPr>
        <w:t>III.</w:t>
      </w:r>
      <w:r w:rsidRPr="006939B2">
        <w:t xml:space="preserve"> </w:t>
      </w:r>
      <w:r w:rsidRPr="006939B2">
        <w:rPr>
          <w:u w:val="single"/>
        </w:rPr>
        <w:t>Se generen versiones públicas para dar cumplimiento a las obligaciones de transparencia previstas en esta Ley.</w:t>
      </w:r>
    </w:p>
    <w:p w14:paraId="17198299" w14:textId="77777777" w:rsidR="00E472F3" w:rsidRPr="006939B2" w:rsidRDefault="00E472F3" w:rsidP="00E472F3">
      <w:pPr>
        <w:pStyle w:val="Fundamentos"/>
      </w:pPr>
      <w:r w:rsidRPr="006939B2">
        <w:t>(…)</w:t>
      </w:r>
    </w:p>
    <w:p w14:paraId="48B3F3A2" w14:textId="77777777" w:rsidR="00E472F3" w:rsidRPr="006939B2" w:rsidRDefault="00E472F3" w:rsidP="00E472F3">
      <w:pPr>
        <w:rPr>
          <w:rFonts w:eastAsia="Palatino Linotype" w:cs="Palatino Linotype"/>
          <w:i/>
          <w:szCs w:val="24"/>
        </w:rPr>
      </w:pPr>
    </w:p>
    <w:p w14:paraId="3A9675B4" w14:textId="77777777" w:rsidR="00E472F3" w:rsidRPr="006939B2" w:rsidRDefault="00E472F3" w:rsidP="00E472F3">
      <w:pPr>
        <w:rPr>
          <w:rFonts w:eastAsia="Palatino Linotype" w:cs="Palatino Linotype"/>
          <w:szCs w:val="24"/>
        </w:rPr>
      </w:pPr>
      <w:r w:rsidRPr="006939B2">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2E4ACA" w14:textId="77777777" w:rsidR="00E472F3" w:rsidRPr="006939B2" w:rsidRDefault="00E472F3" w:rsidP="00E472F3">
      <w:pPr>
        <w:rPr>
          <w:rFonts w:eastAsia="Palatino Linotype" w:cs="Palatino Linotype"/>
          <w:szCs w:val="24"/>
        </w:rPr>
      </w:pPr>
    </w:p>
    <w:p w14:paraId="3FF7FD67" w14:textId="77777777" w:rsidR="00E472F3" w:rsidRPr="006939B2" w:rsidRDefault="00E472F3" w:rsidP="00E472F3">
      <w:pPr>
        <w:rPr>
          <w:rFonts w:eastAsia="Palatino Linotype" w:cs="Palatino Linotype"/>
          <w:szCs w:val="24"/>
        </w:rPr>
      </w:pPr>
      <w:r w:rsidRPr="006939B2">
        <w:rPr>
          <w:rFonts w:eastAsia="Palatino Linotype" w:cs="Palatino Linotype"/>
          <w:szCs w:val="24"/>
        </w:rPr>
        <w:t xml:space="preserve">Por otro lado, los </w:t>
      </w:r>
      <w:r w:rsidRPr="006939B2">
        <w:rPr>
          <w:rFonts w:eastAsia="Palatino Linotype" w:cs="Palatino Linotype"/>
          <w:i/>
          <w:szCs w:val="24"/>
        </w:rPr>
        <w:t>Lineamientos Generales en Materia de Clasificación y Desclasificación de la Información, así como para la elaboración de Versiones Públicas</w:t>
      </w:r>
      <w:r w:rsidRPr="006939B2">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7C11FFA" w14:textId="77777777" w:rsidR="00E472F3" w:rsidRPr="006939B2" w:rsidRDefault="00E472F3" w:rsidP="00E472F3">
      <w:pPr>
        <w:rPr>
          <w:rFonts w:eastAsia="Palatino Linotype" w:cs="Palatino Linotype"/>
          <w:szCs w:val="24"/>
        </w:rPr>
      </w:pPr>
    </w:p>
    <w:p w14:paraId="36F47F34" w14:textId="77777777" w:rsidR="00E472F3" w:rsidRPr="006939B2" w:rsidRDefault="00E472F3" w:rsidP="00E472F3">
      <w:pPr>
        <w:rPr>
          <w:rFonts w:eastAsia="Palatino Linotype" w:cs="Palatino Linotype"/>
          <w:szCs w:val="24"/>
        </w:rPr>
      </w:pPr>
      <w:r w:rsidRPr="006939B2">
        <w:rPr>
          <w:rFonts w:eastAsia="Palatino Linotype" w:cs="Palatino Linotype"/>
          <w:szCs w:val="24"/>
        </w:rPr>
        <w:t>Entorno a lo que aquí nos interesa, los Lineamientos Quincuagésimo sexto, Quincuagésimo séptimo y Quincuagésimo octavo, establecen lo siguiente:</w:t>
      </w:r>
    </w:p>
    <w:p w14:paraId="5CC0CF5F" w14:textId="77777777" w:rsidR="00E472F3" w:rsidRPr="006939B2" w:rsidRDefault="00E472F3" w:rsidP="00E472F3">
      <w:pPr>
        <w:rPr>
          <w:rFonts w:eastAsia="Palatino Linotype" w:cs="Palatino Linotype"/>
        </w:rPr>
      </w:pPr>
    </w:p>
    <w:p w14:paraId="6BE05569" w14:textId="77777777" w:rsidR="00E472F3" w:rsidRPr="006939B2" w:rsidRDefault="00E472F3" w:rsidP="00E472F3">
      <w:pPr>
        <w:pStyle w:val="Fundamentos"/>
      </w:pPr>
      <w:r w:rsidRPr="006939B2">
        <w:rPr>
          <w:b/>
        </w:rPr>
        <w:t>Quincuagésimo sexto.</w:t>
      </w:r>
      <w:r w:rsidRPr="006939B2">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8399E8C" w14:textId="77777777" w:rsidR="00E472F3" w:rsidRPr="006939B2" w:rsidRDefault="00E472F3" w:rsidP="00E472F3">
      <w:pPr>
        <w:pStyle w:val="Fundamentos"/>
      </w:pPr>
    </w:p>
    <w:p w14:paraId="75842F02" w14:textId="77777777" w:rsidR="00E472F3" w:rsidRPr="006939B2" w:rsidRDefault="00E472F3" w:rsidP="00E472F3">
      <w:pPr>
        <w:pStyle w:val="Fundamentos"/>
      </w:pPr>
      <w:r w:rsidRPr="006939B2">
        <w:rPr>
          <w:b/>
        </w:rPr>
        <w:t>Quincuagésimo séptimo.</w:t>
      </w:r>
      <w:r w:rsidRPr="006939B2">
        <w:t xml:space="preserve"> Se considera, en principio, como información pública y no podrá omitirse de las versiones públicas la siguiente:</w:t>
      </w:r>
    </w:p>
    <w:p w14:paraId="6B0C4ADF" w14:textId="6DFD8273" w:rsidR="00E472F3" w:rsidRPr="006939B2" w:rsidRDefault="00E472F3" w:rsidP="00E472F3">
      <w:pPr>
        <w:pStyle w:val="Fundamentos"/>
      </w:pPr>
    </w:p>
    <w:p w14:paraId="51A1439F" w14:textId="77777777" w:rsidR="00E472F3" w:rsidRPr="006939B2" w:rsidRDefault="00E472F3" w:rsidP="00E472F3">
      <w:pPr>
        <w:pStyle w:val="Fundamentos"/>
      </w:pPr>
      <w:r w:rsidRPr="006939B2">
        <w:t xml:space="preserve">I. La relativa a las Obligaciones de Transparencia que contempla el Título V de la Ley General y las demás disposiciones legales aplicables; </w:t>
      </w:r>
    </w:p>
    <w:p w14:paraId="32AC1948" w14:textId="77777777" w:rsidR="00E472F3" w:rsidRPr="006939B2" w:rsidRDefault="00E472F3" w:rsidP="00E472F3">
      <w:pPr>
        <w:pStyle w:val="Fundamentos"/>
      </w:pPr>
      <w:r w:rsidRPr="006939B2">
        <w:t xml:space="preserve">II. El nombre de los servidores públicos en los documentos, y sus firmas autógrafas, cuando sean utilizados en el ejercicio de las facultades conferidas para el desempeño del servicio público, y </w:t>
      </w:r>
    </w:p>
    <w:p w14:paraId="0F52B5ED" w14:textId="77777777" w:rsidR="00E472F3" w:rsidRPr="006939B2" w:rsidRDefault="00E472F3" w:rsidP="00E472F3">
      <w:pPr>
        <w:pStyle w:val="Fundamentos"/>
      </w:pPr>
      <w:r w:rsidRPr="006939B2">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31A059C" w14:textId="77777777" w:rsidR="00E472F3" w:rsidRPr="006939B2" w:rsidRDefault="00E472F3" w:rsidP="00E472F3">
      <w:pPr>
        <w:pStyle w:val="Fundamentos"/>
      </w:pPr>
    </w:p>
    <w:p w14:paraId="48561A92" w14:textId="77777777" w:rsidR="00E472F3" w:rsidRPr="006939B2" w:rsidRDefault="00E472F3" w:rsidP="00E472F3">
      <w:pPr>
        <w:pStyle w:val="Fundamentos"/>
      </w:pPr>
      <w:r w:rsidRPr="006939B2">
        <w:t xml:space="preserve">Lo anterior, siempre y cuando no se acredite alguna causal de clasificación, prevista en las leyes o en los tratados internacionales suscritos por el Estado mexicano. </w:t>
      </w:r>
    </w:p>
    <w:p w14:paraId="2A463845" w14:textId="77777777" w:rsidR="00E472F3" w:rsidRPr="006939B2" w:rsidRDefault="00E472F3" w:rsidP="00E472F3">
      <w:pPr>
        <w:pStyle w:val="Fundamentos"/>
      </w:pPr>
    </w:p>
    <w:p w14:paraId="62E971C0" w14:textId="77777777" w:rsidR="00E472F3" w:rsidRPr="006939B2" w:rsidRDefault="00E472F3" w:rsidP="00E472F3">
      <w:pPr>
        <w:pStyle w:val="Fundamentos"/>
      </w:pPr>
      <w:r w:rsidRPr="006939B2">
        <w:rPr>
          <w:b/>
        </w:rPr>
        <w:t>Quincuagésimo octavo.</w:t>
      </w:r>
      <w:r w:rsidRPr="006939B2">
        <w:t xml:space="preserve"> Los sujetos obligados garantizarán que los sistemas o medios empleados para eliminar la información en las versiones públicas no permitan la recuperación o visualización de la misma.</w:t>
      </w:r>
    </w:p>
    <w:p w14:paraId="30BDC5EB" w14:textId="77777777" w:rsidR="00E472F3" w:rsidRPr="006939B2" w:rsidRDefault="00E472F3" w:rsidP="00E472F3">
      <w:pPr>
        <w:rPr>
          <w:rFonts w:eastAsia="Palatino Linotype" w:cs="Palatino Linotype"/>
          <w:i/>
          <w:szCs w:val="24"/>
        </w:rPr>
      </w:pPr>
    </w:p>
    <w:p w14:paraId="7B5E82D0" w14:textId="77777777" w:rsidR="00E472F3" w:rsidRPr="006939B2" w:rsidRDefault="00E472F3" w:rsidP="00E472F3">
      <w:pPr>
        <w:rPr>
          <w:rFonts w:eastAsia="Palatino Linotype" w:cs="Palatino Linotype"/>
          <w:szCs w:val="24"/>
        </w:rPr>
      </w:pPr>
      <w:r w:rsidRPr="006939B2">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w:t>
      </w:r>
      <w:r w:rsidRPr="006939B2">
        <w:rPr>
          <w:rFonts w:eastAsia="Palatino Linotype" w:cs="Palatino Linotype"/>
          <w:szCs w:val="24"/>
        </w:rPr>
        <w:lastRenderedPageBreak/>
        <w:t>en estado de incertidumbre, al no conocer o comprender porque no aparecen en la documentación respectiva.</w:t>
      </w:r>
    </w:p>
    <w:p w14:paraId="73CD5979" w14:textId="77777777" w:rsidR="00E472F3" w:rsidRPr="006939B2" w:rsidRDefault="00E472F3" w:rsidP="00E472F3">
      <w:pPr>
        <w:rPr>
          <w:rFonts w:eastAsia="Palatino Linotype" w:cs="Palatino Linotype"/>
          <w:szCs w:val="24"/>
        </w:rPr>
      </w:pPr>
    </w:p>
    <w:p w14:paraId="27EE7729" w14:textId="77777777" w:rsidR="00E472F3" w:rsidRPr="006939B2" w:rsidRDefault="00E472F3" w:rsidP="00E472F3">
      <w:pPr>
        <w:rPr>
          <w:rFonts w:eastAsia="Palatino Linotype" w:cs="Palatino Linotype"/>
          <w:szCs w:val="24"/>
        </w:rPr>
      </w:pPr>
      <w:r w:rsidRPr="006939B2">
        <w:rPr>
          <w:rFonts w:eastAsia="Palatino Linotype" w:cs="Palatino Linotype"/>
          <w:szCs w:val="24"/>
        </w:rPr>
        <w:t>Por lo que respecta al Acuerdo del Comité de Transparencia que sustente la versión pública de la documentación a entregar, deberá ser notificado mediante el SAIMEX.</w:t>
      </w:r>
    </w:p>
    <w:p w14:paraId="025E31A5" w14:textId="77777777" w:rsidR="00E472F3" w:rsidRPr="006939B2" w:rsidRDefault="00E472F3" w:rsidP="00E472F3">
      <w:pPr>
        <w:rPr>
          <w:rFonts w:eastAsia="Palatino Linotype" w:cs="Palatino Linotype"/>
          <w:szCs w:val="24"/>
        </w:rPr>
      </w:pPr>
    </w:p>
    <w:p w14:paraId="72A340EF" w14:textId="77777777" w:rsidR="00E472F3" w:rsidRPr="006939B2" w:rsidRDefault="00E472F3" w:rsidP="00E472F3">
      <w:pPr>
        <w:rPr>
          <w:szCs w:val="24"/>
        </w:rPr>
      </w:pPr>
      <w:r w:rsidRPr="006939B2">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6EDE24D" w14:textId="5C1A327E" w:rsidR="00196AF7" w:rsidRPr="00E472F3" w:rsidRDefault="00196AF7" w:rsidP="006922F5">
      <w:pPr>
        <w:contextualSpacing/>
        <w:rPr>
          <w:rFonts w:eastAsia="Arial Unicode MS"/>
          <w:szCs w:val="24"/>
        </w:rPr>
      </w:pPr>
    </w:p>
    <w:p w14:paraId="0F0F5E32" w14:textId="2E2E2A06" w:rsidR="00196AF7" w:rsidRPr="006922F5" w:rsidRDefault="00196AF7" w:rsidP="006922F5">
      <w:pPr>
        <w:pStyle w:val="Textoindependiente"/>
        <w:outlineLvl w:val="1"/>
        <w:rPr>
          <w:rFonts w:eastAsia="Palatino Linotype"/>
        </w:rPr>
      </w:pPr>
      <w:r w:rsidRPr="006922F5">
        <w:rPr>
          <w:rFonts w:eastAsia="Palatino Linotype"/>
        </w:rPr>
        <w:t xml:space="preserve">En mérito de lo expuesto en líneas anteriores, este Instituto considera que los motivos de inconformidad planteados por el Recurrente resultan fundados en el recurso de revisión que es materia de esta resolución; por ello </w:t>
      </w:r>
      <w:r w:rsidRPr="006922F5">
        <w:rPr>
          <w:rFonts w:eastAsia="Palatino Linotype"/>
          <w:b/>
        </w:rPr>
        <w:t xml:space="preserve">con fundamento en la </w:t>
      </w:r>
      <w:r w:rsidR="00E472F3">
        <w:rPr>
          <w:rFonts w:eastAsia="Palatino Linotype"/>
          <w:b/>
        </w:rPr>
        <w:t>primera</w:t>
      </w:r>
      <w:r w:rsidRPr="006922F5">
        <w:rPr>
          <w:rFonts w:eastAsia="Palatino Linotype"/>
          <w:b/>
        </w:rPr>
        <w:t xml:space="preserve"> hipótesis de la fracción III del artículo 186 </w:t>
      </w:r>
      <w:r w:rsidRPr="006922F5">
        <w:rPr>
          <w:rFonts w:eastAsia="Palatino Linotype"/>
        </w:rPr>
        <w:t xml:space="preserve">de la Ley de Transparencia y Acceso a la Información Pública del Estado de México y Municipios, se </w:t>
      </w:r>
      <w:r w:rsidR="00E472F3">
        <w:rPr>
          <w:rFonts w:eastAsia="Palatino Linotype"/>
          <w:b/>
        </w:rPr>
        <w:t>REVO</w:t>
      </w:r>
      <w:r w:rsidRPr="006922F5">
        <w:rPr>
          <w:rFonts w:eastAsia="Palatino Linotype"/>
          <w:b/>
        </w:rPr>
        <w:t xml:space="preserve">CA </w:t>
      </w:r>
      <w:r w:rsidRPr="006922F5">
        <w:rPr>
          <w:rFonts w:eastAsia="Palatino Linotype"/>
        </w:rPr>
        <w:t>la respuesta a la solicitud de información número</w:t>
      </w:r>
      <w:r w:rsidRPr="006922F5">
        <w:rPr>
          <w:rFonts w:eastAsia="Palatino Linotype"/>
          <w:b/>
        </w:rPr>
        <w:t xml:space="preserve"> </w:t>
      </w:r>
      <w:r w:rsidR="00E472F3" w:rsidRPr="00E472F3">
        <w:rPr>
          <w:rFonts w:eastAsia="Palatino Linotype"/>
          <w:b/>
          <w:bCs/>
        </w:rPr>
        <w:t>00404/ISEM/IP/2022</w:t>
      </w:r>
      <w:r w:rsidRPr="006922F5">
        <w:rPr>
          <w:rFonts w:eastAsia="Palatino Linotype"/>
        </w:rPr>
        <w:t>,</w:t>
      </w:r>
      <w:r w:rsidRPr="006922F5">
        <w:rPr>
          <w:rFonts w:eastAsia="Palatino Linotype"/>
          <w:b/>
        </w:rPr>
        <w:t xml:space="preserve"> </w:t>
      </w:r>
      <w:r w:rsidRPr="006922F5">
        <w:rPr>
          <w:rFonts w:eastAsia="Palatino Linotype"/>
        </w:rPr>
        <w:t>que ha sido materia del presente estudio.</w:t>
      </w:r>
    </w:p>
    <w:p w14:paraId="5B9D5CCF" w14:textId="77777777" w:rsidR="00196AF7" w:rsidRPr="006922F5" w:rsidRDefault="00196AF7" w:rsidP="006922F5">
      <w:pPr>
        <w:pStyle w:val="Textoindependiente"/>
        <w:rPr>
          <w:rFonts w:eastAsia="Palatino Linotype"/>
          <w:sz w:val="22"/>
          <w:szCs w:val="22"/>
        </w:rPr>
      </w:pPr>
    </w:p>
    <w:p w14:paraId="3EFE5754" w14:textId="77777777" w:rsidR="00196AF7" w:rsidRPr="006922F5" w:rsidRDefault="00196AF7" w:rsidP="006922F5">
      <w:pPr>
        <w:pStyle w:val="Textoindependiente"/>
        <w:rPr>
          <w:rFonts w:eastAsia="Palatino Linotype"/>
        </w:rPr>
      </w:pPr>
      <w:r w:rsidRPr="006922F5">
        <w:rPr>
          <w:rFonts w:eastAsia="Palatino Linotype"/>
        </w:rPr>
        <w:t>Por lo antes expuesto y fundado es de resolverse y,</w:t>
      </w:r>
    </w:p>
    <w:p w14:paraId="3E68FB18" w14:textId="73775950" w:rsidR="00196AF7" w:rsidRPr="006922F5" w:rsidRDefault="00E472F3" w:rsidP="006922F5">
      <w:pPr>
        <w:pBdr>
          <w:top w:val="nil"/>
          <w:left w:val="nil"/>
          <w:bottom w:val="nil"/>
          <w:right w:val="nil"/>
          <w:between w:val="nil"/>
        </w:pBdr>
        <w:rPr>
          <w:rFonts w:eastAsia="Palatino Linotype" w:cs="Palatino Linotype"/>
          <w:color w:val="000000"/>
          <w:sz w:val="22"/>
        </w:rPr>
      </w:pPr>
      <w:r>
        <w:rPr>
          <w:rFonts w:eastAsia="Palatino Linotype" w:cs="Palatino Linotype"/>
          <w:color w:val="000000"/>
          <w:sz w:val="22"/>
        </w:rPr>
        <w:t>----------------------------------------------------------------------------------------------------------------------------------------------------------------------------------------------------------------------------------------------------------------------------------------------------------------------------------------------------------------------------------------------------------------------------------------------------------------------------------------------------------------------------</w:t>
      </w:r>
    </w:p>
    <w:p w14:paraId="5C75AFCB" w14:textId="77777777" w:rsidR="00196AF7" w:rsidRPr="006922F5" w:rsidRDefault="00196AF7" w:rsidP="006922F5">
      <w:pPr>
        <w:pStyle w:val="Ttulo1"/>
        <w:rPr>
          <w:rFonts w:eastAsia="Palatino Linotype"/>
          <w:lang w:val="es-ES_tradnl"/>
        </w:rPr>
      </w:pPr>
      <w:r w:rsidRPr="006922F5">
        <w:rPr>
          <w:rFonts w:eastAsia="Palatino Linotype"/>
          <w:lang w:val="es-ES_tradnl"/>
        </w:rPr>
        <w:lastRenderedPageBreak/>
        <w:t>S E    R E S U E L V E</w:t>
      </w:r>
    </w:p>
    <w:p w14:paraId="29E5E40D" w14:textId="77777777" w:rsidR="00196AF7" w:rsidRPr="006922F5" w:rsidRDefault="00196AF7" w:rsidP="006922F5">
      <w:pPr>
        <w:pBdr>
          <w:top w:val="nil"/>
          <w:left w:val="nil"/>
          <w:bottom w:val="nil"/>
          <w:right w:val="nil"/>
          <w:between w:val="nil"/>
        </w:pBdr>
        <w:rPr>
          <w:rFonts w:eastAsia="Palatino Linotype" w:cs="Palatino Linotype"/>
          <w:bCs/>
          <w:color w:val="000000"/>
          <w:sz w:val="22"/>
        </w:rPr>
      </w:pPr>
    </w:p>
    <w:p w14:paraId="736A9060" w14:textId="15347968"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b/>
          <w:color w:val="000000"/>
          <w:szCs w:val="24"/>
        </w:rPr>
        <w:t>PRIMERO.</w:t>
      </w:r>
      <w:r w:rsidRPr="006922F5">
        <w:rPr>
          <w:rFonts w:eastAsia="Palatino Linotype" w:cs="Palatino Linotype"/>
          <w:color w:val="000000"/>
          <w:szCs w:val="24"/>
        </w:rPr>
        <w:t xml:space="preserve"> Se </w:t>
      </w:r>
      <w:r w:rsidR="00E472F3">
        <w:rPr>
          <w:rFonts w:eastAsia="Palatino Linotype" w:cs="Palatino Linotype"/>
          <w:b/>
          <w:color w:val="000000"/>
          <w:szCs w:val="24"/>
        </w:rPr>
        <w:t>REVO</w:t>
      </w:r>
      <w:r w:rsidRPr="006922F5">
        <w:rPr>
          <w:rFonts w:eastAsia="Palatino Linotype" w:cs="Palatino Linotype"/>
          <w:b/>
          <w:color w:val="000000"/>
          <w:szCs w:val="24"/>
        </w:rPr>
        <w:t>CA</w:t>
      </w:r>
      <w:r w:rsidRPr="006922F5">
        <w:rPr>
          <w:rFonts w:eastAsia="Palatino Linotype" w:cs="Palatino Linotype"/>
          <w:color w:val="000000"/>
          <w:szCs w:val="24"/>
        </w:rPr>
        <w:t xml:space="preserve"> la respuesta entregada por el Sujeto Obligado</w:t>
      </w:r>
      <w:r w:rsidRPr="006922F5">
        <w:rPr>
          <w:rFonts w:eastAsia="Palatino Linotype" w:cs="Palatino Linotype"/>
          <w:b/>
          <w:color w:val="000000"/>
          <w:szCs w:val="24"/>
        </w:rPr>
        <w:t xml:space="preserve"> </w:t>
      </w:r>
      <w:r w:rsidRPr="006922F5">
        <w:rPr>
          <w:rFonts w:eastAsia="Palatino Linotype" w:cs="Palatino Linotype"/>
          <w:color w:val="000000"/>
          <w:szCs w:val="24"/>
        </w:rPr>
        <w:t xml:space="preserve">a la solicitud de información número </w:t>
      </w:r>
      <w:r w:rsidR="00E472F3" w:rsidRPr="00E472F3">
        <w:rPr>
          <w:rFonts w:eastAsia="Palatino Linotype"/>
          <w:b/>
          <w:bCs/>
        </w:rPr>
        <w:t>00404/ISEM/IP/2022</w:t>
      </w:r>
      <w:r w:rsidR="00E84DC7">
        <w:rPr>
          <w:rFonts w:eastAsia="Palatino Linotype" w:cs="Palatino Linotype"/>
          <w:color w:val="000000"/>
          <w:szCs w:val="24"/>
        </w:rPr>
        <w:t>, por resultar</w:t>
      </w:r>
      <w:r w:rsidR="00482D0F" w:rsidRPr="006922F5">
        <w:rPr>
          <w:rFonts w:eastAsia="Palatino Linotype" w:cs="Palatino Linotype"/>
          <w:color w:val="000000"/>
          <w:szCs w:val="24"/>
        </w:rPr>
        <w:t xml:space="preserve"> </w:t>
      </w:r>
      <w:r w:rsidRPr="006922F5">
        <w:rPr>
          <w:rFonts w:eastAsia="Palatino Linotype" w:cs="Palatino Linotype"/>
          <w:color w:val="000000"/>
          <w:szCs w:val="24"/>
        </w:rPr>
        <w:t xml:space="preserve">fundados los motivos de inconformidad argüidos por </w:t>
      </w:r>
      <w:r w:rsidR="00E472F3">
        <w:rPr>
          <w:rFonts w:eastAsia="Palatino Linotype" w:cs="Palatino Linotype"/>
          <w:color w:val="000000"/>
          <w:szCs w:val="24"/>
        </w:rPr>
        <w:t>la</w:t>
      </w:r>
      <w:r w:rsidRPr="006922F5">
        <w:rPr>
          <w:rFonts w:eastAsia="Palatino Linotype" w:cs="Palatino Linotype"/>
          <w:color w:val="000000"/>
          <w:szCs w:val="24"/>
        </w:rPr>
        <w:t xml:space="preserve"> Recurrente, en términos del</w:t>
      </w:r>
      <w:r w:rsidRPr="006922F5">
        <w:rPr>
          <w:rFonts w:eastAsia="Palatino Linotype" w:cs="Palatino Linotype"/>
          <w:b/>
          <w:color w:val="000000"/>
          <w:szCs w:val="24"/>
        </w:rPr>
        <w:t xml:space="preserve"> Considerando </w:t>
      </w:r>
      <w:r w:rsidR="00F43528" w:rsidRPr="006922F5">
        <w:rPr>
          <w:rFonts w:eastAsia="Palatino Linotype" w:cs="Palatino Linotype"/>
          <w:b/>
          <w:color w:val="000000"/>
          <w:szCs w:val="24"/>
        </w:rPr>
        <w:t>CUAR</w:t>
      </w:r>
      <w:r w:rsidRPr="006922F5">
        <w:rPr>
          <w:rFonts w:eastAsia="Palatino Linotype" w:cs="Palatino Linotype"/>
          <w:b/>
          <w:color w:val="000000"/>
          <w:szCs w:val="24"/>
        </w:rPr>
        <w:t xml:space="preserve">TO </w:t>
      </w:r>
      <w:r w:rsidRPr="006922F5">
        <w:rPr>
          <w:rFonts w:eastAsia="Palatino Linotype" w:cs="Palatino Linotype"/>
          <w:color w:val="000000"/>
          <w:szCs w:val="24"/>
        </w:rPr>
        <w:t xml:space="preserve">de la presente resolución. </w:t>
      </w:r>
    </w:p>
    <w:p w14:paraId="5A31A1EB"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p>
    <w:p w14:paraId="3D1D95B4" w14:textId="39901883"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b/>
          <w:color w:val="000000"/>
          <w:szCs w:val="24"/>
        </w:rPr>
        <w:t>SEGUNDO.</w:t>
      </w:r>
      <w:r w:rsidRPr="006922F5">
        <w:rPr>
          <w:rFonts w:eastAsia="Palatino Linotype" w:cs="Palatino Linotype"/>
          <w:color w:val="000000"/>
          <w:szCs w:val="24"/>
        </w:rPr>
        <w:t xml:space="preserve"> Se </w:t>
      </w:r>
      <w:r w:rsidRPr="006922F5">
        <w:rPr>
          <w:rFonts w:eastAsia="Palatino Linotype" w:cs="Palatino Linotype"/>
          <w:b/>
          <w:color w:val="000000"/>
          <w:szCs w:val="24"/>
        </w:rPr>
        <w:t>ORDENA</w:t>
      </w:r>
      <w:r w:rsidRPr="006922F5">
        <w:rPr>
          <w:rFonts w:eastAsia="Palatino Linotype" w:cs="Palatino Linotype"/>
          <w:color w:val="000000"/>
          <w:szCs w:val="24"/>
        </w:rPr>
        <w:t xml:space="preserve"> al Sujeto Obligado que </w:t>
      </w:r>
      <w:r w:rsidR="00F43528" w:rsidRPr="006922F5">
        <w:rPr>
          <w:rFonts w:eastAsia="Palatino Linotype" w:cs="Palatino Linotype"/>
          <w:color w:val="000000"/>
          <w:szCs w:val="24"/>
        </w:rPr>
        <w:t xml:space="preserve">haga </w:t>
      </w:r>
      <w:r w:rsidRPr="006922F5">
        <w:rPr>
          <w:rFonts w:eastAsia="Palatino Linotype" w:cs="Palatino Linotype"/>
          <w:color w:val="000000"/>
          <w:szCs w:val="24"/>
        </w:rPr>
        <w:t>entrega a</w:t>
      </w:r>
      <w:r w:rsidR="00E472F3">
        <w:rPr>
          <w:rFonts w:eastAsia="Palatino Linotype" w:cs="Palatino Linotype"/>
          <w:color w:val="000000"/>
          <w:szCs w:val="24"/>
        </w:rPr>
        <w:t xml:space="preserve"> </w:t>
      </w:r>
      <w:r w:rsidRPr="006922F5">
        <w:rPr>
          <w:rFonts w:eastAsia="Palatino Linotype" w:cs="Palatino Linotype"/>
          <w:color w:val="000000"/>
          <w:szCs w:val="24"/>
        </w:rPr>
        <w:t>l</w:t>
      </w:r>
      <w:r w:rsidR="00E472F3">
        <w:rPr>
          <w:rFonts w:eastAsia="Palatino Linotype" w:cs="Palatino Linotype"/>
          <w:color w:val="000000"/>
          <w:szCs w:val="24"/>
        </w:rPr>
        <w:t>a</w:t>
      </w:r>
      <w:r w:rsidRPr="006922F5">
        <w:rPr>
          <w:rFonts w:eastAsia="Palatino Linotype" w:cs="Palatino Linotype"/>
          <w:color w:val="000000"/>
          <w:szCs w:val="24"/>
        </w:rPr>
        <w:t xml:space="preserve"> Recurrente mediante el Sistema de Acceso a la I</w:t>
      </w:r>
      <w:r w:rsidR="00E84DC7">
        <w:rPr>
          <w:rFonts w:eastAsia="Palatino Linotype" w:cs="Palatino Linotype"/>
          <w:color w:val="000000"/>
          <w:szCs w:val="24"/>
        </w:rPr>
        <w:t>nformación Mexiquense (SAIMEX),</w:t>
      </w:r>
      <w:r w:rsidRPr="006922F5">
        <w:rPr>
          <w:rFonts w:eastAsia="Palatino Linotype" w:cs="Palatino Linotype"/>
          <w:color w:val="000000"/>
          <w:szCs w:val="24"/>
        </w:rPr>
        <w:t xml:space="preserve"> en términos del </w:t>
      </w:r>
      <w:r w:rsidRPr="006922F5">
        <w:rPr>
          <w:rFonts w:eastAsia="Palatino Linotype" w:cs="Palatino Linotype"/>
          <w:b/>
          <w:color w:val="000000"/>
          <w:szCs w:val="24"/>
        </w:rPr>
        <w:t xml:space="preserve">Considerando </w:t>
      </w:r>
      <w:r w:rsidR="00F43528" w:rsidRPr="006922F5">
        <w:rPr>
          <w:rFonts w:eastAsia="Palatino Linotype" w:cs="Palatino Linotype"/>
          <w:b/>
          <w:color w:val="000000"/>
          <w:szCs w:val="24"/>
        </w:rPr>
        <w:t>CUAR</w:t>
      </w:r>
      <w:r w:rsidRPr="006922F5">
        <w:rPr>
          <w:rFonts w:eastAsia="Palatino Linotype" w:cs="Palatino Linotype"/>
          <w:b/>
          <w:color w:val="000000"/>
          <w:szCs w:val="24"/>
        </w:rPr>
        <w:t>TO</w:t>
      </w:r>
      <w:r w:rsidR="00E84DC7">
        <w:rPr>
          <w:rFonts w:eastAsia="Palatino Linotype" w:cs="Palatino Linotype"/>
          <w:color w:val="000000"/>
          <w:szCs w:val="24"/>
        </w:rPr>
        <w:t xml:space="preserve"> y </w:t>
      </w:r>
      <w:r w:rsidR="005C0894" w:rsidRPr="006922F5">
        <w:rPr>
          <w:rFonts w:eastAsia="Palatino Linotype" w:cs="Palatino Linotype"/>
          <w:color w:val="000000"/>
          <w:szCs w:val="24"/>
        </w:rPr>
        <w:t xml:space="preserve">en versión pública </w:t>
      </w:r>
      <w:r w:rsidR="00E472F3">
        <w:rPr>
          <w:rFonts w:eastAsia="Palatino Linotype" w:cs="Palatino Linotype"/>
          <w:color w:val="000000"/>
          <w:szCs w:val="24"/>
        </w:rPr>
        <w:t xml:space="preserve">en los casos que se procedente, </w:t>
      </w:r>
      <w:r w:rsidRPr="006922F5">
        <w:rPr>
          <w:rFonts w:eastAsia="Palatino Linotype" w:cs="Palatino Linotype"/>
          <w:color w:val="000000"/>
          <w:szCs w:val="24"/>
        </w:rPr>
        <w:t xml:space="preserve">de </w:t>
      </w:r>
      <w:r w:rsidR="00E472F3">
        <w:rPr>
          <w:rFonts w:eastAsia="Palatino Linotype" w:cs="Palatino Linotype"/>
          <w:color w:val="000000"/>
          <w:szCs w:val="24"/>
        </w:rPr>
        <w:t>lo</w:t>
      </w:r>
      <w:r w:rsidRPr="006922F5">
        <w:rPr>
          <w:rFonts w:eastAsia="Palatino Linotype" w:cs="Palatino Linotype"/>
          <w:color w:val="000000"/>
          <w:szCs w:val="24"/>
        </w:rPr>
        <w:t xml:space="preserve"> siguiente: </w:t>
      </w:r>
    </w:p>
    <w:p w14:paraId="3304F25C"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p>
    <w:p w14:paraId="7D43054F" w14:textId="572B7764" w:rsidR="00F43528" w:rsidRPr="00655FE2"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r w:rsidRPr="00655FE2">
        <w:rPr>
          <w:rFonts w:eastAsia="Palatino Linotype" w:cs="Palatino Linotype"/>
          <w:i/>
          <w:color w:val="000000"/>
          <w:szCs w:val="24"/>
        </w:rPr>
        <w:t xml:space="preserve">De </w:t>
      </w:r>
      <w:r w:rsidR="00E472F3">
        <w:rPr>
          <w:rFonts w:eastAsia="Palatino Linotype" w:cs="Palatino Linotype"/>
          <w:i/>
          <w:color w:val="000000"/>
          <w:szCs w:val="24"/>
        </w:rPr>
        <w:t>los médicos que laboraron en</w:t>
      </w:r>
      <w:r w:rsidR="00E472F3" w:rsidRPr="00E472F3">
        <w:rPr>
          <w:rFonts w:eastAsia="Palatino Linotype" w:cs="Palatino Linotype"/>
          <w:i/>
          <w:color w:val="000000"/>
          <w:szCs w:val="24"/>
        </w:rPr>
        <w:t xml:space="preserve"> las clínicas de salud de las comunidades de Agostadero, Puentecillas, San Francisco </w:t>
      </w:r>
      <w:proofErr w:type="spellStart"/>
      <w:r w:rsidR="00E472F3" w:rsidRPr="00E472F3">
        <w:rPr>
          <w:rFonts w:eastAsia="Palatino Linotype" w:cs="Palatino Linotype"/>
          <w:i/>
          <w:color w:val="000000"/>
          <w:szCs w:val="24"/>
        </w:rPr>
        <w:t>Shaxni</w:t>
      </w:r>
      <w:proofErr w:type="spellEnd"/>
      <w:r w:rsidR="00E472F3" w:rsidRPr="00E472F3">
        <w:rPr>
          <w:rFonts w:eastAsia="Palatino Linotype" w:cs="Palatino Linotype"/>
          <w:i/>
          <w:color w:val="000000"/>
          <w:szCs w:val="24"/>
        </w:rPr>
        <w:t xml:space="preserve"> y Conejeras durante el periodo de mayo a diciembre de dos mil veintiuno</w:t>
      </w:r>
      <w:r w:rsidRPr="00655FE2">
        <w:rPr>
          <w:rFonts w:eastAsia="Palatino Linotype" w:cs="Palatino Linotype"/>
          <w:i/>
          <w:color w:val="000000"/>
          <w:szCs w:val="24"/>
        </w:rPr>
        <w:t>:</w:t>
      </w:r>
    </w:p>
    <w:p w14:paraId="7E984FF5" w14:textId="77777777" w:rsidR="00DC635B" w:rsidRPr="00DC635B"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5CD0B0A5" w14:textId="2EFFC887" w:rsidR="00DC635B" w:rsidRPr="00DC635B" w:rsidRDefault="00E472F3" w:rsidP="00211BE5">
      <w:pPr>
        <w:numPr>
          <w:ilvl w:val="0"/>
          <w:numId w:val="2"/>
        </w:numPr>
        <w:pBdr>
          <w:top w:val="nil"/>
          <w:left w:val="nil"/>
          <w:bottom w:val="nil"/>
          <w:right w:val="nil"/>
          <w:between w:val="nil"/>
        </w:pBdr>
        <w:spacing w:line="240" w:lineRule="auto"/>
        <w:rPr>
          <w:rFonts w:eastAsia="Palatino Linotype" w:cs="Palatino Linotype"/>
          <w:i/>
          <w:color w:val="000000"/>
          <w:szCs w:val="24"/>
        </w:rPr>
      </w:pPr>
      <w:r>
        <w:rPr>
          <w:rFonts w:eastAsia="Palatino Linotype" w:cs="Palatino Linotype"/>
          <w:i/>
          <w:color w:val="000000"/>
          <w:szCs w:val="24"/>
        </w:rPr>
        <w:t>Los documentos en donde conste su contratación.</w:t>
      </w:r>
    </w:p>
    <w:p w14:paraId="5FD27056" w14:textId="44A2E676" w:rsidR="00196AF7" w:rsidRPr="00DC635B" w:rsidRDefault="00E472F3" w:rsidP="00211BE5">
      <w:pPr>
        <w:numPr>
          <w:ilvl w:val="0"/>
          <w:numId w:val="2"/>
        </w:numPr>
        <w:pBdr>
          <w:top w:val="nil"/>
          <w:left w:val="nil"/>
          <w:bottom w:val="nil"/>
          <w:right w:val="nil"/>
          <w:between w:val="nil"/>
        </w:pBdr>
        <w:spacing w:line="240" w:lineRule="auto"/>
        <w:rPr>
          <w:rFonts w:eastAsia="Palatino Linotype" w:cs="Palatino Linotype"/>
          <w:i/>
          <w:color w:val="000000"/>
          <w:szCs w:val="24"/>
        </w:rPr>
      </w:pPr>
      <w:r>
        <w:rPr>
          <w:rFonts w:eastAsia="Palatino Linotype" w:cs="Palatino Linotype"/>
          <w:i/>
          <w:color w:val="000000"/>
          <w:szCs w:val="24"/>
        </w:rPr>
        <w:t>El método de designación de dichos servidores públicos a las clínicas referidas</w:t>
      </w:r>
      <w:r w:rsidR="00DC635B">
        <w:rPr>
          <w:rFonts w:eastAsia="Palatino Linotype" w:cs="Palatino Linotype"/>
          <w:i/>
          <w:color w:val="000000"/>
          <w:szCs w:val="24"/>
        </w:rPr>
        <w:t>.</w:t>
      </w:r>
    </w:p>
    <w:p w14:paraId="272C86EF"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p>
    <w:p w14:paraId="724143AE" w14:textId="72ECF1CF" w:rsidR="00196AF7" w:rsidRPr="006922F5" w:rsidRDefault="00E472F3" w:rsidP="006922F5">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En los casos que sea procedente y c</w:t>
      </w:r>
      <w:r w:rsidR="00196AF7" w:rsidRPr="006922F5">
        <w:rPr>
          <w:rFonts w:eastAsia="Palatino Linotype" w:cs="Palatino Linotype"/>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F64CDE4" w14:textId="77777777" w:rsidR="00196AF7" w:rsidRPr="006922F5" w:rsidRDefault="00196AF7" w:rsidP="006922F5">
      <w:pPr>
        <w:pBdr>
          <w:top w:val="nil"/>
          <w:left w:val="nil"/>
          <w:bottom w:val="nil"/>
          <w:right w:val="nil"/>
          <w:between w:val="nil"/>
        </w:pBdr>
        <w:rPr>
          <w:rFonts w:eastAsia="Palatino Linotype" w:cs="Palatino Linotype"/>
          <w:b/>
          <w:color w:val="000000"/>
          <w:szCs w:val="24"/>
        </w:rPr>
      </w:pPr>
    </w:p>
    <w:p w14:paraId="293B5BF3"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b/>
          <w:color w:val="000000"/>
          <w:szCs w:val="24"/>
        </w:rPr>
        <w:lastRenderedPageBreak/>
        <w:t>TERCERO. Notifíquese</w:t>
      </w:r>
      <w:r w:rsidRPr="006922F5">
        <w:rPr>
          <w:rFonts w:eastAsia="Palatino Linotype" w:cs="Palatino Linotype"/>
          <w:b/>
          <w:i/>
          <w:color w:val="000000"/>
          <w:szCs w:val="24"/>
        </w:rPr>
        <w:t xml:space="preserve"> </w:t>
      </w:r>
      <w:r w:rsidRPr="006922F5">
        <w:rPr>
          <w:rFonts w:eastAsia="Palatino Linotype" w:cs="Palatino Linotype"/>
          <w:color w:val="000000"/>
          <w:szCs w:val="24"/>
        </w:rPr>
        <w:t>al Titular de la Unidad de Transparencia del</w:t>
      </w:r>
      <w:r w:rsidRPr="006922F5">
        <w:rPr>
          <w:rFonts w:eastAsia="Palatino Linotype" w:cs="Palatino Linotype"/>
          <w:b/>
          <w:color w:val="000000"/>
          <w:szCs w:val="24"/>
        </w:rPr>
        <w:t xml:space="preserve"> </w:t>
      </w:r>
      <w:r w:rsidRPr="006922F5">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54354FD"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p>
    <w:p w14:paraId="63205456"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b/>
          <w:color w:val="000000"/>
          <w:szCs w:val="24"/>
        </w:rPr>
        <w:t xml:space="preserve">CUARTO. </w:t>
      </w:r>
      <w:r w:rsidRPr="006922F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504CB1" w14:textId="77777777" w:rsidR="00196AF7" w:rsidRPr="006922F5" w:rsidRDefault="00196AF7" w:rsidP="006922F5">
      <w:pPr>
        <w:pBdr>
          <w:top w:val="nil"/>
          <w:left w:val="nil"/>
          <w:bottom w:val="nil"/>
          <w:right w:val="nil"/>
          <w:between w:val="nil"/>
        </w:pBdr>
        <w:rPr>
          <w:rFonts w:eastAsia="Palatino Linotype" w:cs="Palatino Linotype"/>
          <w:b/>
          <w:color w:val="000000"/>
          <w:sz w:val="18"/>
          <w:szCs w:val="24"/>
        </w:rPr>
      </w:pPr>
    </w:p>
    <w:p w14:paraId="259B2042" w14:textId="7CBA008E" w:rsidR="00196AF7" w:rsidRPr="006922F5" w:rsidRDefault="00196AF7" w:rsidP="006922F5">
      <w:pPr>
        <w:contextualSpacing/>
        <w:rPr>
          <w:rFonts w:eastAsia="Palatino Linotype" w:cs="Palatino Linotype"/>
          <w:color w:val="000000"/>
          <w:szCs w:val="24"/>
        </w:rPr>
      </w:pPr>
      <w:r w:rsidRPr="006922F5">
        <w:rPr>
          <w:rFonts w:eastAsia="Palatino Linotype" w:cs="Palatino Linotype"/>
          <w:b/>
          <w:color w:val="000000"/>
          <w:szCs w:val="24"/>
        </w:rPr>
        <w:t xml:space="preserve">QUINTO. Notifíquese </w:t>
      </w:r>
      <w:r w:rsidRPr="006922F5">
        <w:rPr>
          <w:rFonts w:eastAsia="Palatino Linotype" w:cs="Palatino Linotype"/>
          <w:color w:val="000000"/>
          <w:szCs w:val="24"/>
        </w:rPr>
        <w:t>la presente resolución a</w:t>
      </w:r>
      <w:r w:rsidR="00E472F3">
        <w:rPr>
          <w:rFonts w:eastAsia="Palatino Linotype" w:cs="Palatino Linotype"/>
          <w:color w:val="000000"/>
          <w:szCs w:val="24"/>
        </w:rPr>
        <w:t xml:space="preserve"> </w:t>
      </w:r>
      <w:r w:rsidRPr="006922F5">
        <w:rPr>
          <w:rFonts w:eastAsia="Palatino Linotype" w:cs="Palatino Linotype"/>
          <w:color w:val="000000"/>
          <w:szCs w:val="24"/>
        </w:rPr>
        <w:t>l</w:t>
      </w:r>
      <w:r w:rsidR="00E472F3">
        <w:rPr>
          <w:rFonts w:eastAsia="Palatino Linotype" w:cs="Palatino Linotype"/>
          <w:color w:val="000000"/>
          <w:szCs w:val="24"/>
        </w:rPr>
        <w:t>a</w:t>
      </w:r>
      <w:r w:rsidRPr="006922F5">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r w:rsidR="0085719C" w:rsidRPr="006922F5">
        <w:rPr>
          <w:rFonts w:eastAsia="Palatino Linotype" w:cs="Palatino Linotype"/>
          <w:color w:val="000000"/>
          <w:szCs w:val="24"/>
        </w:rPr>
        <w:t xml:space="preserve">, o bien conforme a lo </w:t>
      </w:r>
      <w:r w:rsidR="0085719C" w:rsidRPr="006922F5">
        <w:rPr>
          <w:rFonts w:eastAsia="Palatino Linotype" w:cs="Palatino Linotype"/>
          <w:color w:val="000000"/>
          <w:szCs w:val="24"/>
          <w:lang w:val="es-MX"/>
        </w:rPr>
        <w:t>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3938F220" w14:textId="77777777" w:rsidR="000D2C63" w:rsidRPr="00DC635B" w:rsidRDefault="000D2C63" w:rsidP="006922F5">
      <w:pPr>
        <w:contextualSpacing/>
        <w:rPr>
          <w:rFonts w:eastAsia="Palatino Linotype" w:cs="Palatino Linotype"/>
          <w:sz w:val="32"/>
          <w:szCs w:val="24"/>
        </w:rPr>
      </w:pPr>
    </w:p>
    <w:p w14:paraId="20573BFF" w14:textId="139DECD2" w:rsidR="00A970D5" w:rsidRPr="006922F5" w:rsidRDefault="006922F5" w:rsidP="00DC635B">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ASÍ LO RESUELVE POR </w:t>
      </w:r>
      <w:r w:rsidR="00E472F3">
        <w:rPr>
          <w:rFonts w:eastAsia="Palatino Linotype" w:cs="Palatino Linotype"/>
          <w:color w:val="000000"/>
          <w:szCs w:val="24"/>
        </w:rPr>
        <w:t>UNANIMIDAD</w:t>
      </w:r>
      <w:r>
        <w:rPr>
          <w:rFonts w:eastAsia="Palatino Linotype" w:cs="Palatino Linotype"/>
          <w:color w:val="000000"/>
          <w:szCs w:val="24"/>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DC635B">
        <w:rPr>
          <w:rFonts w:eastAsia="Palatino Linotype" w:cs="Palatino Linotype"/>
          <w:color w:val="000000"/>
          <w:szCs w:val="24"/>
        </w:rPr>
        <w:t xml:space="preserve">ÍREZ PEÑA, EN LA </w:t>
      </w:r>
      <w:r w:rsidR="00E638F3">
        <w:rPr>
          <w:rFonts w:eastAsia="Palatino Linotype" w:cs="Palatino Linotype"/>
          <w:color w:val="000000"/>
          <w:szCs w:val="24"/>
        </w:rPr>
        <w:t xml:space="preserve">SEGUNDA </w:t>
      </w:r>
      <w:r>
        <w:rPr>
          <w:rFonts w:eastAsia="Palatino Linotype" w:cs="Palatino Linotype"/>
          <w:color w:val="000000"/>
          <w:szCs w:val="24"/>
        </w:rPr>
        <w:t>SESIÓN ORDINARIA C</w:t>
      </w:r>
      <w:r w:rsidR="00DC635B">
        <w:rPr>
          <w:rFonts w:eastAsia="Palatino Linotype" w:cs="Palatino Linotype"/>
          <w:color w:val="000000"/>
          <w:szCs w:val="24"/>
        </w:rPr>
        <w:t>ELEBRADA EL</w:t>
      </w:r>
      <w:r w:rsidR="00E638F3">
        <w:rPr>
          <w:rFonts w:eastAsia="Palatino Linotype" w:cs="Palatino Linotype"/>
          <w:color w:val="000000"/>
          <w:szCs w:val="24"/>
        </w:rPr>
        <w:t xml:space="preserve"> DIECIOCHO DE ENERO DE DOS MIL VEINTITRÉS</w:t>
      </w:r>
      <w:r>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r w:rsidR="00DC635B">
        <w:rPr>
          <w:rFonts w:eastAsia="Palatino Linotype" w:cs="Palatino Linotype"/>
          <w:color w:val="000000"/>
          <w:szCs w:val="24"/>
        </w:rPr>
        <w:t>---------------------------------------------------------------------------------------------------------------------------------------------------------------------------------------------------------------------------------------------------------------------------------------------------------------------------------------------------------------------------------------------------------------------------------------------------------------------------------------------------------------------------------------------------------------------------------------------------------------------------------------------------------------------------------------------------------------------------------------------------------------------------------------------------------------------------------------------------------------------------------------------------------------------------------------------------------------------------------------------------------------------------------------------------------------------------------------------</w:t>
      </w:r>
      <w:r w:rsidR="00E472F3">
        <w:rPr>
          <w:rFonts w:eastAsia="Palatino Linotype" w:cs="Palatino Linotype"/>
          <w:color w:val="000000"/>
          <w:szCs w:val="24"/>
        </w:rPr>
        <w:t>----------------------------------------------------------------------------------------------------------------------------------------------------------------------------------------------------------------------------------------------------------------------------------------------------------</w:t>
      </w:r>
      <w:r w:rsidR="00E638F3" w:rsidRPr="00E638F3">
        <w:rPr>
          <w:rFonts w:eastAsia="Palatino Linotype" w:cs="Palatino Linotype"/>
          <w:color w:val="000000"/>
          <w:szCs w:val="24"/>
        </w:rPr>
        <w:t xml:space="preserve"> </w:t>
      </w:r>
      <w:r w:rsidR="00E638F3">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26625" w14:textId="77777777" w:rsidR="003F78D2" w:rsidRDefault="003F78D2" w:rsidP="00F2498E">
      <w:pPr>
        <w:spacing w:line="240" w:lineRule="auto"/>
      </w:pPr>
      <w:r>
        <w:separator/>
      </w:r>
    </w:p>
  </w:endnote>
  <w:endnote w:type="continuationSeparator" w:id="0">
    <w:p w14:paraId="591AD930" w14:textId="77777777" w:rsidR="003F78D2" w:rsidRDefault="003F78D2" w:rsidP="00F2498E">
      <w:pPr>
        <w:spacing w:line="240" w:lineRule="auto"/>
      </w:pPr>
      <w:r>
        <w:continuationSeparator/>
      </w:r>
    </w:p>
  </w:endnote>
  <w:endnote w:type="continuationNotice" w:id="1">
    <w:p w14:paraId="19F49959" w14:textId="77777777" w:rsidR="003F78D2" w:rsidRDefault="003F78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D354EA" w:rsidRPr="00871A91" w:rsidRDefault="00D354E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951F5">
      <w:rPr>
        <w:rFonts w:ascii="Palatino Linotype" w:hAnsi="Palatino Linotype"/>
        <w:b/>
        <w:bCs/>
        <w:noProof/>
        <w:sz w:val="20"/>
      </w:rPr>
      <w:t>36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951F5">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D354EA" w:rsidRPr="00871A91" w:rsidRDefault="00D354E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951F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951F5">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5B09D" w14:textId="77777777" w:rsidR="003F78D2" w:rsidRDefault="003F78D2" w:rsidP="00F2498E">
      <w:pPr>
        <w:spacing w:line="240" w:lineRule="auto"/>
      </w:pPr>
      <w:r>
        <w:separator/>
      </w:r>
    </w:p>
  </w:footnote>
  <w:footnote w:type="continuationSeparator" w:id="0">
    <w:p w14:paraId="48D1F30B" w14:textId="77777777" w:rsidR="003F78D2" w:rsidRDefault="003F78D2" w:rsidP="00F2498E">
      <w:pPr>
        <w:spacing w:line="240" w:lineRule="auto"/>
      </w:pPr>
      <w:r>
        <w:continuationSeparator/>
      </w:r>
    </w:p>
  </w:footnote>
  <w:footnote w:type="continuationNotice" w:id="1">
    <w:p w14:paraId="13A8ED77" w14:textId="77777777" w:rsidR="003F78D2" w:rsidRDefault="003F78D2">
      <w:pPr>
        <w:spacing w:line="240" w:lineRule="auto"/>
      </w:pPr>
    </w:p>
  </w:footnote>
  <w:footnote w:id="2">
    <w:p w14:paraId="2348F3B8" w14:textId="77777777" w:rsidR="00D354EA" w:rsidRPr="0031280C" w:rsidRDefault="00D354E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D354EA" w:rsidRPr="0031280C" w:rsidRDefault="00D354EA"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D354EA" w:rsidRPr="0031280C" w:rsidRDefault="00D354E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D354EA" w:rsidRPr="0031280C" w:rsidRDefault="00D354E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F0EE74A" w14:textId="77777777" w:rsidR="000D75BB" w:rsidRPr="0076491F" w:rsidRDefault="000D75BB" w:rsidP="000D75BB">
      <w:pPr>
        <w:pStyle w:val="Textonotapie"/>
      </w:pPr>
      <w:r>
        <w:rPr>
          <w:rStyle w:val="Refdenotaalpie"/>
        </w:rPr>
        <w:footnoteRef/>
      </w:r>
      <w:r>
        <w:t xml:space="preserve"> Tesis VI.2o.A. J/7, </w:t>
      </w:r>
      <w:r>
        <w:rPr>
          <w:i/>
          <w:iCs/>
        </w:rPr>
        <w:t>Semanario Judicial de la Federación y su Gaceta</w:t>
      </w:r>
      <w: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354EA" w:rsidRDefault="005951F5">
    <w:pPr>
      <w:pStyle w:val="Encabezado"/>
    </w:pPr>
    <w:r>
      <w:rPr>
        <w:noProof/>
        <w:lang w:val="es-MX" w:eastAsia="es-MX"/>
      </w:rPr>
      <w:pict w14:anchorId="154D5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105"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354EA" w:rsidRPr="00B17577" w14:paraId="37B9EBDE" w14:textId="77777777" w:rsidTr="003938ED">
      <w:trPr>
        <w:trHeight w:val="227"/>
      </w:trPr>
      <w:tc>
        <w:tcPr>
          <w:tcW w:w="5103" w:type="dxa"/>
          <w:hideMark/>
        </w:tcPr>
        <w:p w14:paraId="4964FBC5" w14:textId="54CDA645" w:rsidR="00D354EA" w:rsidRPr="00096248" w:rsidRDefault="00D354EA" w:rsidP="003A5EDE">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C348386" w:rsidR="00D354EA" w:rsidRPr="00096248" w:rsidRDefault="00D354EA" w:rsidP="003A5EDE">
          <w:pPr>
            <w:spacing w:after="120" w:line="240" w:lineRule="auto"/>
            <w:ind w:right="71"/>
            <w:jc w:val="right"/>
            <w:rPr>
              <w:rFonts w:cs="Arial"/>
              <w:b/>
              <w:szCs w:val="24"/>
            </w:rPr>
          </w:pPr>
          <w:r>
            <w:rPr>
              <w:rFonts w:cs="Arial"/>
              <w:b/>
              <w:bCs/>
              <w:szCs w:val="24"/>
            </w:rPr>
            <w:t>12</w:t>
          </w:r>
          <w:r w:rsidR="003A5EDE">
            <w:rPr>
              <w:rFonts w:cs="Arial"/>
              <w:b/>
              <w:bCs/>
              <w:szCs w:val="24"/>
            </w:rPr>
            <w:t>540</w:t>
          </w:r>
          <w:r w:rsidRPr="00096248">
            <w:rPr>
              <w:rFonts w:cs="Arial"/>
              <w:b/>
              <w:bCs/>
              <w:szCs w:val="24"/>
            </w:rPr>
            <w:t>/INFOEM/IP/RR/202</w:t>
          </w:r>
          <w:r>
            <w:rPr>
              <w:rFonts w:cs="Arial"/>
              <w:b/>
              <w:bCs/>
              <w:szCs w:val="24"/>
            </w:rPr>
            <w:t>2</w:t>
          </w:r>
        </w:p>
      </w:tc>
    </w:tr>
    <w:tr w:rsidR="00D354EA" w14:paraId="7591D3C9" w14:textId="77777777" w:rsidTr="003938ED">
      <w:trPr>
        <w:trHeight w:val="242"/>
      </w:trPr>
      <w:tc>
        <w:tcPr>
          <w:tcW w:w="5103" w:type="dxa"/>
          <w:hideMark/>
        </w:tcPr>
        <w:p w14:paraId="729A65A8" w14:textId="77777777" w:rsidR="00D354EA" w:rsidRPr="00096248" w:rsidRDefault="00D354EA" w:rsidP="003A5EDE">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05E870A" w:rsidR="00D354EA" w:rsidRPr="00096248" w:rsidRDefault="003A5EDE" w:rsidP="003A5EDE">
          <w:pPr>
            <w:spacing w:after="120" w:line="240" w:lineRule="auto"/>
            <w:ind w:left="-81" w:right="71"/>
            <w:jc w:val="right"/>
            <w:rPr>
              <w:rFonts w:cs="Arial"/>
              <w:szCs w:val="24"/>
            </w:rPr>
          </w:pPr>
          <w:r>
            <w:rPr>
              <w:rFonts w:cs="Arial"/>
              <w:szCs w:val="24"/>
            </w:rPr>
            <w:t>Instituto de Salud del Estado de México</w:t>
          </w:r>
        </w:p>
      </w:tc>
    </w:tr>
    <w:tr w:rsidR="00D354EA" w:rsidRPr="00F63239" w14:paraId="037E914D" w14:textId="77777777" w:rsidTr="003938ED">
      <w:trPr>
        <w:trHeight w:val="342"/>
      </w:trPr>
      <w:tc>
        <w:tcPr>
          <w:tcW w:w="5103" w:type="dxa"/>
          <w:hideMark/>
        </w:tcPr>
        <w:p w14:paraId="7676B68F" w14:textId="64D69EAF" w:rsidR="00D354EA" w:rsidRPr="00096248" w:rsidRDefault="00D354EA" w:rsidP="003A5EDE">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D354EA" w:rsidRPr="00096248" w:rsidRDefault="00D354EA" w:rsidP="003A5EDE">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25A9F426" w:rsidR="00D354EA" w:rsidRPr="00871A91" w:rsidRDefault="005951F5">
    <w:pPr>
      <w:pStyle w:val="Encabezado"/>
      <w:rPr>
        <w:sz w:val="2"/>
      </w:rPr>
    </w:pPr>
    <w:r>
      <w:rPr>
        <w:noProof/>
        <w:lang w:val="es-MX" w:eastAsia="es-MX"/>
      </w:rPr>
      <w:pict w14:anchorId="6C0D7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104" type="#_x0000_t75" alt="" style="position:absolute;left:0;text-align:left;margin-left:-81pt;margin-top:-141.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D354E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354EA" w14:paraId="0F9FE9B6" w14:textId="77777777" w:rsidTr="003938ED">
      <w:trPr>
        <w:trHeight w:val="227"/>
      </w:trPr>
      <w:tc>
        <w:tcPr>
          <w:tcW w:w="5103" w:type="dxa"/>
          <w:hideMark/>
        </w:tcPr>
        <w:p w14:paraId="6D1D9D71" w14:textId="11150E5A" w:rsidR="00D354EA" w:rsidRPr="00663A37" w:rsidRDefault="00D354EA" w:rsidP="003A5EDE">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A75CF11" w:rsidR="00D354EA" w:rsidRPr="00C81ECD" w:rsidRDefault="00D354EA" w:rsidP="003A5EDE">
          <w:pPr>
            <w:spacing w:after="120" w:line="240" w:lineRule="auto"/>
            <w:ind w:left="-486" w:right="68" w:firstLine="558"/>
            <w:jc w:val="right"/>
            <w:rPr>
              <w:rFonts w:cs="Arial"/>
              <w:b/>
              <w:szCs w:val="24"/>
            </w:rPr>
          </w:pPr>
          <w:r>
            <w:rPr>
              <w:rFonts w:cs="Arial"/>
              <w:b/>
              <w:bCs/>
              <w:szCs w:val="24"/>
            </w:rPr>
            <w:t>12</w:t>
          </w:r>
          <w:r w:rsidR="003A5EDE">
            <w:rPr>
              <w:rFonts w:cs="Arial"/>
              <w:b/>
              <w:bCs/>
              <w:szCs w:val="24"/>
            </w:rPr>
            <w:t>540</w:t>
          </w:r>
          <w:r w:rsidRPr="00C81ECD">
            <w:rPr>
              <w:rFonts w:cs="Arial"/>
              <w:b/>
              <w:bCs/>
              <w:szCs w:val="24"/>
            </w:rPr>
            <w:t>/INFOEM/IP/RR/2022</w:t>
          </w:r>
        </w:p>
      </w:tc>
    </w:tr>
    <w:tr w:rsidR="00D354EA" w:rsidRPr="001F57CD" w14:paraId="1377D264" w14:textId="77777777" w:rsidTr="003938ED">
      <w:trPr>
        <w:trHeight w:val="196"/>
      </w:trPr>
      <w:tc>
        <w:tcPr>
          <w:tcW w:w="5103" w:type="dxa"/>
          <w:hideMark/>
        </w:tcPr>
        <w:p w14:paraId="04D597A1" w14:textId="77777777" w:rsidR="00D354EA" w:rsidRPr="00663A37" w:rsidRDefault="00D354EA" w:rsidP="003A5EDE">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3EE6B47" w:rsidR="00D354EA" w:rsidRPr="00663A37" w:rsidRDefault="005951F5" w:rsidP="005951F5">
          <w:pPr>
            <w:spacing w:after="120" w:line="240" w:lineRule="auto"/>
            <w:ind w:right="68"/>
            <w:jc w:val="right"/>
            <w:rPr>
              <w:rFonts w:cs="Arial"/>
              <w:szCs w:val="24"/>
            </w:rPr>
          </w:pPr>
          <w:r>
            <w:rPr>
              <w:rFonts w:cs="Arial"/>
              <w:szCs w:val="24"/>
            </w:rPr>
            <w:t>XXXXXXXXXXXXXXXXXXX</w:t>
          </w:r>
          <w:r w:rsidR="003A5EDE">
            <w:rPr>
              <w:rFonts w:cs="Arial"/>
              <w:szCs w:val="24"/>
            </w:rPr>
            <w:t xml:space="preserve"> </w:t>
          </w:r>
          <w:r>
            <w:rPr>
              <w:rFonts w:cs="Arial"/>
              <w:szCs w:val="24"/>
            </w:rPr>
            <w:t>XXXXXXXXXXX</w:t>
          </w:r>
        </w:p>
      </w:tc>
    </w:tr>
    <w:tr w:rsidR="00D354EA" w14:paraId="4DC11993" w14:textId="77777777" w:rsidTr="003938ED">
      <w:trPr>
        <w:trHeight w:val="242"/>
      </w:trPr>
      <w:tc>
        <w:tcPr>
          <w:tcW w:w="5103" w:type="dxa"/>
          <w:hideMark/>
        </w:tcPr>
        <w:p w14:paraId="76CEF1B5" w14:textId="77777777" w:rsidR="00D354EA" w:rsidRPr="00663A37" w:rsidRDefault="00D354EA" w:rsidP="003A5EDE">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E44219F" w:rsidR="00D354EA" w:rsidRPr="00663A37" w:rsidRDefault="003A5EDE" w:rsidP="003A5EDE">
          <w:pPr>
            <w:spacing w:after="120" w:line="240" w:lineRule="auto"/>
            <w:ind w:left="-70" w:right="68"/>
            <w:jc w:val="right"/>
            <w:rPr>
              <w:rFonts w:cs="Arial"/>
              <w:szCs w:val="24"/>
            </w:rPr>
          </w:pPr>
          <w:r>
            <w:rPr>
              <w:rFonts w:cs="Arial"/>
              <w:szCs w:val="24"/>
            </w:rPr>
            <w:t>Instituto de Salud del Estado de México</w:t>
          </w:r>
        </w:p>
      </w:tc>
    </w:tr>
    <w:tr w:rsidR="00D354EA" w14:paraId="5C2B511D" w14:textId="77777777" w:rsidTr="003938ED">
      <w:trPr>
        <w:trHeight w:val="342"/>
      </w:trPr>
      <w:tc>
        <w:tcPr>
          <w:tcW w:w="5103" w:type="dxa"/>
          <w:hideMark/>
        </w:tcPr>
        <w:p w14:paraId="03FEF68C" w14:textId="45E91CF4" w:rsidR="00D354EA" w:rsidRPr="00663A37" w:rsidRDefault="00D354EA" w:rsidP="003A5EDE">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D354EA" w:rsidRPr="00663A37" w:rsidRDefault="00D354EA" w:rsidP="003A5EDE">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D354EA" w:rsidRPr="00871A91" w:rsidRDefault="005951F5">
    <w:pPr>
      <w:pStyle w:val="Encabezado"/>
      <w:rPr>
        <w:sz w:val="2"/>
      </w:rPr>
    </w:pPr>
    <w:r>
      <w:rPr>
        <w:noProof/>
        <w:lang w:val="es-MX" w:eastAsia="es-MX"/>
      </w:rPr>
      <w:pict w14:anchorId="0C941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alt="" style="position:absolute;left:0;text-align:left;margin-left:-81.8pt;margin-top:-141.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D354E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543B7A"/>
    <w:multiLevelType w:val="hybridMultilevel"/>
    <w:tmpl w:val="3F3A247E"/>
    <w:lvl w:ilvl="0" w:tplc="1CD8144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9" w15:restartNumberingAfterBreak="0">
    <w:nsid w:val="32396BB4"/>
    <w:multiLevelType w:val="hybridMultilevel"/>
    <w:tmpl w:val="E242C04C"/>
    <w:lvl w:ilvl="0" w:tplc="05701B0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46714F"/>
    <w:multiLevelType w:val="multilevel"/>
    <w:tmpl w:val="4A10C99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18474F"/>
    <w:multiLevelType w:val="hybridMultilevel"/>
    <w:tmpl w:val="BA40C028"/>
    <w:lvl w:ilvl="0" w:tplc="9482BCC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E64EED"/>
    <w:multiLevelType w:val="multilevel"/>
    <w:tmpl w:val="1512C068"/>
    <w:styleLink w:val="Listaactual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F2678E"/>
    <w:multiLevelType w:val="hybridMultilevel"/>
    <w:tmpl w:val="06868BFA"/>
    <w:lvl w:ilvl="0" w:tplc="9482BCC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B52B4E"/>
    <w:multiLevelType w:val="hybridMultilevel"/>
    <w:tmpl w:val="1CC28E3A"/>
    <w:lvl w:ilvl="0" w:tplc="F1B4467C">
      <w:start w:val="1"/>
      <w:numFmt w:val="decimal"/>
      <w:lvlText w:val="%1."/>
      <w:lvlJc w:val="left"/>
      <w:pPr>
        <w:ind w:left="709" w:hanging="425"/>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4"/>
  </w:num>
  <w:num w:numId="5">
    <w:abstractNumId w:val="6"/>
  </w:num>
  <w:num w:numId="6">
    <w:abstractNumId w:val="15"/>
  </w:num>
  <w:num w:numId="7">
    <w:abstractNumId w:val="1"/>
  </w:num>
  <w:num w:numId="8">
    <w:abstractNumId w:val="14"/>
  </w:num>
  <w:num w:numId="9">
    <w:abstractNumId w:val="2"/>
  </w:num>
  <w:num w:numId="10">
    <w:abstractNumId w:val="0"/>
  </w:num>
  <w:num w:numId="11">
    <w:abstractNumId w:val="5"/>
  </w:num>
  <w:num w:numId="12">
    <w:abstractNumId w:val="8"/>
  </w:num>
  <w:num w:numId="13">
    <w:abstractNumId w:val="19"/>
  </w:num>
  <w:num w:numId="14">
    <w:abstractNumId w:val="13"/>
  </w:num>
  <w:num w:numId="15">
    <w:abstractNumId w:val="9"/>
  </w:num>
  <w:num w:numId="16">
    <w:abstractNumId w:val="10"/>
  </w:num>
  <w:num w:numId="17">
    <w:abstractNumId w:val="18"/>
  </w:num>
  <w:num w:numId="18">
    <w:abstractNumId w:val="17"/>
  </w:num>
  <w:num w:numId="19">
    <w:abstractNumId w:val="7"/>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51F"/>
    <w:rsid w:val="000117AB"/>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2B7D"/>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16E"/>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5BB"/>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47D0"/>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B772C"/>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1BE5"/>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1634"/>
    <w:rsid w:val="002432E1"/>
    <w:rsid w:val="0024331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3E62"/>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3BA1"/>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5EDE"/>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3477"/>
    <w:rsid w:val="003D372B"/>
    <w:rsid w:val="003D386C"/>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6124"/>
    <w:rsid w:val="00426F24"/>
    <w:rsid w:val="004310BB"/>
    <w:rsid w:val="004325EA"/>
    <w:rsid w:val="004338C7"/>
    <w:rsid w:val="00433E65"/>
    <w:rsid w:val="00434C3F"/>
    <w:rsid w:val="00434EAD"/>
    <w:rsid w:val="00437085"/>
    <w:rsid w:val="004406B5"/>
    <w:rsid w:val="004431D5"/>
    <w:rsid w:val="004436C5"/>
    <w:rsid w:val="00443857"/>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CF5"/>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061A"/>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1F9"/>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5A9F"/>
    <w:rsid w:val="00587B1E"/>
    <w:rsid w:val="00587E84"/>
    <w:rsid w:val="005911EE"/>
    <w:rsid w:val="005913E6"/>
    <w:rsid w:val="005944ED"/>
    <w:rsid w:val="005951F5"/>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10CC"/>
    <w:rsid w:val="005B4E14"/>
    <w:rsid w:val="005B52A0"/>
    <w:rsid w:val="005B538B"/>
    <w:rsid w:val="005B6FFD"/>
    <w:rsid w:val="005B72D5"/>
    <w:rsid w:val="005B7DE0"/>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5F2B"/>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4311"/>
    <w:rsid w:val="0072514D"/>
    <w:rsid w:val="00725C5A"/>
    <w:rsid w:val="007263E6"/>
    <w:rsid w:val="007264EA"/>
    <w:rsid w:val="00726D09"/>
    <w:rsid w:val="00726F49"/>
    <w:rsid w:val="00730A96"/>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54E"/>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4E58"/>
    <w:rsid w:val="008275DC"/>
    <w:rsid w:val="00827D60"/>
    <w:rsid w:val="008302C5"/>
    <w:rsid w:val="0083063D"/>
    <w:rsid w:val="00830D47"/>
    <w:rsid w:val="00831867"/>
    <w:rsid w:val="00831D6C"/>
    <w:rsid w:val="00832F6C"/>
    <w:rsid w:val="008341ED"/>
    <w:rsid w:val="008362CE"/>
    <w:rsid w:val="00837584"/>
    <w:rsid w:val="00841673"/>
    <w:rsid w:val="00841963"/>
    <w:rsid w:val="00845B52"/>
    <w:rsid w:val="00846D3E"/>
    <w:rsid w:val="00846DE7"/>
    <w:rsid w:val="00847780"/>
    <w:rsid w:val="008477B9"/>
    <w:rsid w:val="00847C27"/>
    <w:rsid w:val="008505FB"/>
    <w:rsid w:val="008523FA"/>
    <w:rsid w:val="008529E6"/>
    <w:rsid w:val="00852CDD"/>
    <w:rsid w:val="008542A4"/>
    <w:rsid w:val="00855E11"/>
    <w:rsid w:val="00856A0E"/>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CFC"/>
    <w:rsid w:val="00891E79"/>
    <w:rsid w:val="008921AE"/>
    <w:rsid w:val="00894764"/>
    <w:rsid w:val="00895187"/>
    <w:rsid w:val="00895BD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3FB"/>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77C69"/>
    <w:rsid w:val="00977F54"/>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5654D"/>
    <w:rsid w:val="00A60841"/>
    <w:rsid w:val="00A61A4E"/>
    <w:rsid w:val="00A63700"/>
    <w:rsid w:val="00A64575"/>
    <w:rsid w:val="00A64C36"/>
    <w:rsid w:val="00A65A26"/>
    <w:rsid w:val="00A67625"/>
    <w:rsid w:val="00A67EF4"/>
    <w:rsid w:val="00A73EF9"/>
    <w:rsid w:val="00A75324"/>
    <w:rsid w:val="00A756C6"/>
    <w:rsid w:val="00A77029"/>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6B36"/>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5BB8"/>
    <w:rsid w:val="00B17577"/>
    <w:rsid w:val="00B21CD1"/>
    <w:rsid w:val="00B23256"/>
    <w:rsid w:val="00B24CF5"/>
    <w:rsid w:val="00B24E38"/>
    <w:rsid w:val="00B26507"/>
    <w:rsid w:val="00B269CE"/>
    <w:rsid w:val="00B3055A"/>
    <w:rsid w:val="00B31CD8"/>
    <w:rsid w:val="00B32535"/>
    <w:rsid w:val="00B3277B"/>
    <w:rsid w:val="00B32B21"/>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5226"/>
    <w:rsid w:val="00B75683"/>
    <w:rsid w:val="00B75985"/>
    <w:rsid w:val="00B76050"/>
    <w:rsid w:val="00B7667D"/>
    <w:rsid w:val="00B777FF"/>
    <w:rsid w:val="00B8179C"/>
    <w:rsid w:val="00B822DB"/>
    <w:rsid w:val="00B82D4E"/>
    <w:rsid w:val="00B84A8A"/>
    <w:rsid w:val="00B87C64"/>
    <w:rsid w:val="00B87E47"/>
    <w:rsid w:val="00B91A82"/>
    <w:rsid w:val="00B9279C"/>
    <w:rsid w:val="00B934BE"/>
    <w:rsid w:val="00B93569"/>
    <w:rsid w:val="00B94B37"/>
    <w:rsid w:val="00B9576A"/>
    <w:rsid w:val="00B962BB"/>
    <w:rsid w:val="00BA088E"/>
    <w:rsid w:val="00BA2861"/>
    <w:rsid w:val="00BA3873"/>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0751"/>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793"/>
    <w:rsid w:val="00C80B05"/>
    <w:rsid w:val="00C81AD2"/>
    <w:rsid w:val="00C81CD7"/>
    <w:rsid w:val="00C81ECD"/>
    <w:rsid w:val="00C82268"/>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9FD"/>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5B"/>
    <w:rsid w:val="00DC63B3"/>
    <w:rsid w:val="00DC6B6C"/>
    <w:rsid w:val="00DD25BD"/>
    <w:rsid w:val="00DD2877"/>
    <w:rsid w:val="00DD2EDE"/>
    <w:rsid w:val="00DD3144"/>
    <w:rsid w:val="00DD38A3"/>
    <w:rsid w:val="00DD392A"/>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5508"/>
    <w:rsid w:val="00E46685"/>
    <w:rsid w:val="00E472F3"/>
    <w:rsid w:val="00E507BE"/>
    <w:rsid w:val="00E50A06"/>
    <w:rsid w:val="00E51D63"/>
    <w:rsid w:val="00E5265D"/>
    <w:rsid w:val="00E540BC"/>
    <w:rsid w:val="00E5413A"/>
    <w:rsid w:val="00E54541"/>
    <w:rsid w:val="00E545D0"/>
    <w:rsid w:val="00E546D8"/>
    <w:rsid w:val="00E55480"/>
    <w:rsid w:val="00E55AC7"/>
    <w:rsid w:val="00E55C26"/>
    <w:rsid w:val="00E55EA0"/>
    <w:rsid w:val="00E56C8D"/>
    <w:rsid w:val="00E600CD"/>
    <w:rsid w:val="00E61239"/>
    <w:rsid w:val="00E62EF4"/>
    <w:rsid w:val="00E632EA"/>
    <w:rsid w:val="00E638F3"/>
    <w:rsid w:val="00E6454C"/>
    <w:rsid w:val="00E654A0"/>
    <w:rsid w:val="00E65521"/>
    <w:rsid w:val="00E65D6D"/>
    <w:rsid w:val="00E67455"/>
    <w:rsid w:val="00E67FF3"/>
    <w:rsid w:val="00E701AC"/>
    <w:rsid w:val="00E70CC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1FF4"/>
    <w:rsid w:val="00E8267D"/>
    <w:rsid w:val="00E82FDB"/>
    <w:rsid w:val="00E83C17"/>
    <w:rsid w:val="00E844ED"/>
    <w:rsid w:val="00E84DC7"/>
    <w:rsid w:val="00E8653F"/>
    <w:rsid w:val="00E86C05"/>
    <w:rsid w:val="00E90C8F"/>
    <w:rsid w:val="00E91006"/>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2673"/>
    <w:rsid w:val="00F43528"/>
    <w:rsid w:val="00F43916"/>
    <w:rsid w:val="00F44F84"/>
    <w:rsid w:val="00F466E6"/>
    <w:rsid w:val="00F47508"/>
    <w:rsid w:val="00F4786D"/>
    <w:rsid w:val="00F508F3"/>
    <w:rsid w:val="00F51133"/>
    <w:rsid w:val="00F51165"/>
    <w:rsid w:val="00F51C42"/>
    <w:rsid w:val="00F51CC4"/>
    <w:rsid w:val="00F51EAB"/>
    <w:rsid w:val="00F53747"/>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3C3"/>
    <w:rsid w:val="00FD0A58"/>
    <w:rsid w:val="00FD160B"/>
    <w:rsid w:val="00FD19B7"/>
    <w:rsid w:val="00FD2094"/>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FD295A"/>
    <w:pPr>
      <w:numPr>
        <w:numId w:val="10"/>
      </w:numPr>
    </w:pPr>
  </w:style>
  <w:style w:type="numbering" w:customStyle="1" w:styleId="Listaactual9">
    <w:name w:val="Lista actual9"/>
    <w:uiPriority w:val="99"/>
    <w:rsid w:val="00025560"/>
    <w:pPr>
      <w:numPr>
        <w:numId w:val="11"/>
      </w:numPr>
    </w:pPr>
  </w:style>
  <w:style w:type="numbering" w:customStyle="1" w:styleId="Listaactual10">
    <w:name w:val="Lista actual10"/>
    <w:uiPriority w:val="99"/>
    <w:rsid w:val="00CE31B1"/>
    <w:pPr>
      <w:numPr>
        <w:numId w:val="12"/>
      </w:numPr>
    </w:pPr>
  </w:style>
  <w:style w:type="character" w:customStyle="1" w:styleId="Ttulo5Car">
    <w:name w:val="Título 5 Car"/>
    <w:basedOn w:val="Fuentedeprrafopredeter"/>
    <w:link w:val="Ttulo5"/>
    <w:uiPriority w:val="9"/>
    <w:semiHidden/>
    <w:rsid w:val="00AA7B9C"/>
    <w:rPr>
      <w:rFonts w:eastAsiaTheme="minorEastAsia"/>
      <w:b/>
      <w:bCs/>
      <w:i/>
      <w:iCs/>
      <w:sz w:val="26"/>
      <w:szCs w:val="26"/>
      <w:lang w:val="en-US"/>
    </w:rPr>
  </w:style>
  <w:style w:type="character" w:customStyle="1" w:styleId="Ttulo6Car">
    <w:name w:val="Título 6 Car"/>
    <w:basedOn w:val="Fuentedeprrafopredeter"/>
    <w:link w:val="Ttulo6"/>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numbering" w:customStyle="1" w:styleId="Listaactual11">
    <w:name w:val="Lista actual11"/>
    <w:uiPriority w:val="99"/>
    <w:rsid w:val="0078254E"/>
    <w:pPr>
      <w:numPr>
        <w:numId w:val="16"/>
      </w:numPr>
    </w:pPr>
  </w:style>
  <w:style w:type="numbering" w:customStyle="1" w:styleId="Listaactual12">
    <w:name w:val="Lista actual12"/>
    <w:uiPriority w:val="99"/>
    <w:rsid w:val="0072431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B2E2E-070D-4F31-BDDA-14D34021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36</Pages>
  <Words>9223</Words>
  <Characters>50732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2019-06-13T15:30:00Z</cp:lastPrinted>
  <dcterms:created xsi:type="dcterms:W3CDTF">2022-10-17T22:36:00Z</dcterms:created>
  <dcterms:modified xsi:type="dcterms:W3CDTF">2023-01-27T16:45:00Z</dcterms:modified>
</cp:coreProperties>
</file>