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D02F8" w:rsidR="00E437B0" w:rsidP="00E437B0" w:rsidRDefault="00E437B0" w14:paraId="1754F024" w14:textId="0C8E1BEA">
      <w:pPr>
        <w:spacing w:line="360" w:lineRule="auto"/>
        <w:ind w:right="-28"/>
        <w:jc w:val="both"/>
        <w:rPr>
          <w:rFonts w:ascii="Palatino Linotype" w:hAnsi="Palatino Linotype"/>
          <w:noProof/>
          <w:sz w:val="22"/>
          <w:szCs w:val="22"/>
          <w:lang w:val="es-ES"/>
        </w:rPr>
      </w:pPr>
      <w:r w:rsidRPr="006D02F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6D02F8" w:rsidR="0080743F">
        <w:rPr>
          <w:rFonts w:ascii="Palatino Linotype" w:hAnsi="Palatino Linotype" w:cs="Tahoma"/>
          <w:bCs/>
          <w:sz w:val="22"/>
          <w:szCs w:val="22"/>
        </w:rPr>
        <w:t>diecisiete</w:t>
      </w:r>
      <w:r w:rsidRPr="006D02F8">
        <w:rPr>
          <w:rFonts w:ascii="Palatino Linotype" w:hAnsi="Palatino Linotype" w:cs="Tahoma"/>
          <w:bCs/>
          <w:sz w:val="22"/>
          <w:szCs w:val="22"/>
        </w:rPr>
        <w:t xml:space="preserve"> de mayo de dos mil veintitrés.</w:t>
      </w:r>
    </w:p>
    <w:p w:rsidRPr="006D02F8" w:rsidR="00E437B0" w:rsidP="00E437B0" w:rsidRDefault="00E437B0" w14:paraId="308D5F69" w14:textId="77777777">
      <w:pPr>
        <w:spacing w:line="360" w:lineRule="auto"/>
        <w:ind w:right="-28"/>
        <w:jc w:val="both"/>
        <w:rPr>
          <w:rFonts w:ascii="Palatino Linotype" w:hAnsi="Palatino Linotype"/>
          <w:noProof/>
          <w:sz w:val="22"/>
          <w:szCs w:val="22"/>
          <w:lang w:val="es-ES"/>
        </w:rPr>
      </w:pPr>
    </w:p>
    <w:p w:rsidRPr="006D02F8" w:rsidR="00E437B0" w:rsidP="57E1C54D" w:rsidRDefault="00E437B0" w14:paraId="3A91F9D0" w14:textId="3267C873">
      <w:pPr>
        <w:spacing w:line="360" w:lineRule="auto"/>
        <w:ind w:right="-28"/>
        <w:jc w:val="both"/>
        <w:rPr>
          <w:rFonts w:ascii="Palatino Linotype" w:hAnsi="Palatino Linotype" w:cs="Tahoma"/>
          <w:sz w:val="22"/>
          <w:szCs w:val="22"/>
        </w:rPr>
      </w:pPr>
      <w:r w:rsidRPr="57E1C54D" w:rsidR="57E1C54D">
        <w:rPr>
          <w:rFonts w:ascii="Palatino Linotype" w:hAnsi="Palatino Linotype" w:cs="Tahoma"/>
          <w:b w:val="1"/>
          <w:bCs w:val="1"/>
          <w:sz w:val="22"/>
          <w:szCs w:val="22"/>
        </w:rPr>
        <w:t xml:space="preserve">VISTO </w:t>
      </w:r>
      <w:r w:rsidRPr="57E1C54D" w:rsidR="57E1C54D">
        <w:rPr>
          <w:rFonts w:ascii="Palatino Linotype" w:hAnsi="Palatino Linotype" w:cs="Tahoma"/>
          <w:sz w:val="22"/>
          <w:szCs w:val="22"/>
        </w:rPr>
        <w:t xml:space="preserve">el expediente conformado con motivo del Recurso de Revisión </w:t>
      </w:r>
      <w:r w:rsidRPr="57E1C54D" w:rsidR="57E1C54D">
        <w:rPr>
          <w:rFonts w:ascii="Palatino Linotype" w:hAnsi="Palatino Linotype" w:cs="Tahoma"/>
          <w:color w:val="0D0D0D" w:themeColor="text1" w:themeTint="F2" w:themeShade="FF"/>
          <w:sz w:val="22"/>
          <w:szCs w:val="22"/>
        </w:rPr>
        <w:t>01391/INFOEM/IP/RR/2023</w:t>
      </w:r>
      <w:r w:rsidRPr="57E1C54D" w:rsidR="57E1C54D">
        <w:rPr>
          <w:rFonts w:ascii="Palatino Linotype" w:hAnsi="Palatino Linotype" w:cs="Tahoma"/>
          <w:sz w:val="22"/>
          <w:szCs w:val="22"/>
        </w:rPr>
        <w:t xml:space="preserve">, interpuesto por </w:t>
      </w:r>
      <w:r w:rsidRPr="57E1C54D" w:rsidR="57E1C54D">
        <w:rPr>
          <w:rFonts w:ascii="Palatino Linotype" w:hAnsi="Palatino Linotype" w:cs="Tahoma"/>
          <w:sz w:val="22"/>
          <w:szCs w:val="22"/>
          <w:highlight w:val="black"/>
        </w:rPr>
        <w:t>XXXXXXXXXXX</w:t>
      </w:r>
      <w:r w:rsidRPr="57E1C54D" w:rsidR="57E1C54D">
        <w:rPr>
          <w:rFonts w:ascii="Palatino Linotype" w:hAnsi="Palatino Linotype" w:cs="Tahoma"/>
          <w:sz w:val="22"/>
          <w:szCs w:val="22"/>
        </w:rPr>
        <w:t xml:space="preserve">, en lo sucesivo el Recurrente o Particular, en contra de la respuesta del Sujeto Obligado, Ayuntamiento de Toluca, a la solicitud de acceso a la información pública con número de folio </w:t>
      </w:r>
      <w:r w:rsidRPr="57E1C54D" w:rsidR="57E1C54D">
        <w:rPr>
          <w:rFonts w:ascii="Palatino Linotype" w:hAnsi="Palatino Linotype"/>
          <w:color w:val="000000" w:themeColor="text1" w:themeTint="FF" w:themeShade="FF"/>
          <w:sz w:val="22"/>
          <w:szCs w:val="22"/>
        </w:rPr>
        <w:t>00466/TOLUCA/IP/2023</w:t>
      </w:r>
      <w:r w:rsidRPr="57E1C54D" w:rsidR="57E1C54D">
        <w:rPr>
          <w:rFonts w:ascii="Palatino Linotype" w:hAnsi="Palatino Linotype" w:cs="Tahoma"/>
          <w:sz w:val="22"/>
          <w:szCs w:val="22"/>
        </w:rPr>
        <w:t>, se emite la presente Resolución, con base en los Antecedentes y Considerandos que se exponen a continuación:</w:t>
      </w:r>
    </w:p>
    <w:p w:rsidRPr="006D02F8" w:rsidR="00E437B0" w:rsidP="00E437B0" w:rsidRDefault="00E437B0" w14:paraId="0D298306" w14:textId="77777777">
      <w:pPr>
        <w:spacing w:line="360" w:lineRule="auto"/>
        <w:ind w:right="-28"/>
        <w:jc w:val="both"/>
        <w:rPr>
          <w:rFonts w:ascii="Palatino Linotype" w:hAnsi="Palatino Linotype" w:cs="Tahoma"/>
          <w:b/>
          <w:bCs/>
          <w:color w:val="0D0D0D" w:themeColor="text1" w:themeTint="F2"/>
          <w:sz w:val="22"/>
          <w:szCs w:val="22"/>
        </w:rPr>
      </w:pPr>
    </w:p>
    <w:p w:rsidRPr="006D02F8" w:rsidR="00E437B0" w:rsidP="00E437B0" w:rsidRDefault="00E437B0" w14:paraId="0C94243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6D02F8">
        <w:rPr>
          <w:rFonts w:ascii="Palatino Linotype" w:hAnsi="Palatino Linotype" w:cs="Tahoma"/>
          <w:b/>
          <w:sz w:val="22"/>
          <w:szCs w:val="22"/>
        </w:rPr>
        <w:t>A N T E C E D E N T E S</w:t>
      </w:r>
    </w:p>
    <w:p w:rsidRPr="006D02F8" w:rsidR="00E437B0" w:rsidP="00E437B0" w:rsidRDefault="00E437B0" w14:paraId="2A3E442C" w14:textId="77777777">
      <w:pPr>
        <w:tabs>
          <w:tab w:val="center" w:pos="4522"/>
          <w:tab w:val="left" w:pos="7245"/>
          <w:tab w:val="right" w:pos="9044"/>
        </w:tabs>
        <w:spacing w:line="360" w:lineRule="auto"/>
        <w:ind w:right="-28"/>
        <w:rPr>
          <w:rFonts w:ascii="Palatino Linotype" w:hAnsi="Palatino Linotype" w:cs="Tahoma"/>
          <w:b/>
          <w:sz w:val="22"/>
          <w:szCs w:val="22"/>
        </w:rPr>
      </w:pPr>
    </w:p>
    <w:p w:rsidRPr="006D02F8" w:rsidR="00E437B0" w:rsidP="00E437B0" w:rsidRDefault="00E437B0" w14:paraId="31CA1EEE"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6D02F8">
        <w:rPr>
          <w:rFonts w:ascii="Palatino Linotype" w:hAnsi="Palatino Linotype" w:cs="Tahoma"/>
          <w:b/>
          <w:szCs w:val="22"/>
        </w:rPr>
        <w:t xml:space="preserve">I. Presentación de la solicitud de información. </w:t>
      </w:r>
    </w:p>
    <w:p w:rsidRPr="006D02F8" w:rsidR="00E437B0" w:rsidP="00E437B0" w:rsidRDefault="00E437B0" w14:paraId="32116D39"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6D02F8" w:rsidR="00E437B0" w:rsidP="00E437B0" w:rsidRDefault="00E437B0" w14:paraId="6197F899" w14:textId="1ECAA554">
      <w:pPr>
        <w:autoSpaceDE w:val="0"/>
        <w:autoSpaceDN w:val="0"/>
        <w:adjustRightInd w:val="0"/>
        <w:spacing w:line="360" w:lineRule="auto"/>
        <w:jc w:val="both"/>
        <w:rPr>
          <w:rFonts w:ascii="Palatino Linotype" w:hAnsi="Palatino Linotype" w:cs="Tahoma"/>
          <w:b/>
          <w:bCs/>
          <w:sz w:val="22"/>
          <w:szCs w:val="22"/>
          <w:lang w:val="es-ES"/>
        </w:rPr>
      </w:pPr>
      <w:r w:rsidRPr="006D02F8">
        <w:rPr>
          <w:rFonts w:ascii="Palatino Linotype" w:hAnsi="Palatino Linotype" w:cs="Tahoma"/>
          <w:sz w:val="22"/>
          <w:szCs w:val="22"/>
        </w:rPr>
        <w:t>Con fecha ocho de febrero de dos mil veintitrés, el Particular presentó una solicitud de acceso a la información pública, a través del Sistema de Acceso a la Información Mexiquense (SAIMEX), ante el Ayuntamiento de Toluca</w:t>
      </w:r>
      <w:r w:rsidRPr="006D02F8">
        <w:rPr>
          <w:rFonts w:ascii="Palatino Linotype" w:hAnsi="Palatino Linotype" w:cs="Tahoma"/>
          <w:b/>
          <w:bCs/>
          <w:sz w:val="22"/>
          <w:szCs w:val="22"/>
        </w:rPr>
        <w:t xml:space="preserve">, </w:t>
      </w:r>
      <w:r w:rsidRPr="006D02F8">
        <w:rPr>
          <w:rFonts w:ascii="Palatino Linotype" w:hAnsi="Palatino Linotype" w:cs="Tahoma"/>
          <w:sz w:val="22"/>
          <w:szCs w:val="22"/>
          <w:lang w:val="es-ES"/>
        </w:rPr>
        <w:t>mediante la cual requirió lo siguiente:</w:t>
      </w:r>
    </w:p>
    <w:p w:rsidRPr="006D02F8" w:rsidR="00E437B0" w:rsidP="00E437B0" w:rsidRDefault="00E437B0" w14:paraId="1E28FE12" w14:textId="77777777">
      <w:pPr>
        <w:tabs>
          <w:tab w:val="left" w:pos="4667"/>
        </w:tabs>
        <w:spacing w:line="360" w:lineRule="auto"/>
        <w:ind w:left="567" w:right="567"/>
        <w:jc w:val="both"/>
        <w:rPr>
          <w:rFonts w:ascii="Palatino Linotype" w:hAnsi="Palatino Linotype" w:cs="Tahoma"/>
          <w:b/>
          <w:bCs/>
          <w:i/>
        </w:rPr>
      </w:pPr>
    </w:p>
    <w:p w:rsidRPr="006D02F8" w:rsidR="00E437B0" w:rsidP="00E437B0" w:rsidRDefault="00E437B0" w14:paraId="25A7AF04" w14:textId="77777777">
      <w:pPr>
        <w:tabs>
          <w:tab w:val="left" w:pos="4667"/>
        </w:tabs>
        <w:spacing w:line="360" w:lineRule="auto"/>
        <w:ind w:left="567" w:right="567"/>
        <w:contextualSpacing/>
        <w:jc w:val="both"/>
        <w:rPr>
          <w:rFonts w:ascii="Palatino Linotype" w:hAnsi="Palatino Linotype" w:cs="Tahoma"/>
          <w:b/>
          <w:bCs/>
          <w:i/>
        </w:rPr>
      </w:pPr>
      <w:r w:rsidRPr="006D02F8">
        <w:rPr>
          <w:rFonts w:ascii="Palatino Linotype" w:hAnsi="Palatino Linotype" w:cs="Tahoma"/>
          <w:b/>
          <w:bCs/>
          <w:i/>
        </w:rPr>
        <w:t>“DESCRIPCIÓN CLARA Y PRECISA DE LA INFORMACIÓN SOLICITADA:</w:t>
      </w:r>
    </w:p>
    <w:p w:rsidRPr="006D02F8" w:rsidR="00E437B0" w:rsidP="00E437B0" w:rsidRDefault="00E437B0" w14:paraId="2CF1E1F4" w14:textId="4DEE2DB8">
      <w:pPr>
        <w:spacing w:line="360" w:lineRule="auto"/>
        <w:ind w:left="567" w:right="567"/>
        <w:contextualSpacing/>
        <w:jc w:val="both"/>
        <w:rPr>
          <w:rFonts w:ascii="Palatino Linotype" w:hAnsi="Palatino Linotype"/>
          <w:i/>
          <w:lang w:eastAsia="es-MX"/>
        </w:rPr>
      </w:pPr>
      <w:r w:rsidRPr="006D02F8">
        <w:rPr>
          <w:rFonts w:ascii="Palatino Linotype" w:hAnsi="Palatino Linotype"/>
          <w:i/>
          <w:lang w:eastAsia="es-MX"/>
        </w:rPr>
        <w:t xml:space="preserve">A </w:t>
      </w:r>
      <w:proofErr w:type="spellStart"/>
      <w:r w:rsidRPr="006D02F8">
        <w:rPr>
          <w:rFonts w:ascii="Palatino Linotype" w:hAnsi="Palatino Linotype"/>
          <w:i/>
          <w:lang w:eastAsia="es-MX"/>
        </w:rPr>
        <w:t>cuanto</w:t>
      </w:r>
      <w:proofErr w:type="spellEnd"/>
      <w:r w:rsidRPr="006D02F8">
        <w:rPr>
          <w:rFonts w:ascii="Palatino Linotype" w:hAnsi="Palatino Linotype"/>
          <w:i/>
          <w:lang w:eastAsia="es-MX"/>
        </w:rPr>
        <w:t xml:space="preserve"> asciende el monto erogado para la </w:t>
      </w:r>
      <w:proofErr w:type="spellStart"/>
      <w:r w:rsidRPr="006D02F8">
        <w:rPr>
          <w:rFonts w:ascii="Palatino Linotype" w:hAnsi="Palatino Linotype"/>
          <w:i/>
          <w:lang w:eastAsia="es-MX"/>
        </w:rPr>
        <w:t>instalacion</w:t>
      </w:r>
      <w:proofErr w:type="spellEnd"/>
      <w:r w:rsidRPr="006D02F8">
        <w:rPr>
          <w:rFonts w:ascii="Palatino Linotype" w:hAnsi="Palatino Linotype"/>
          <w:i/>
          <w:lang w:eastAsia="es-MX"/>
        </w:rPr>
        <w:t xml:space="preserve"> de los </w:t>
      </w:r>
      <w:proofErr w:type="spellStart"/>
      <w:r w:rsidRPr="006D02F8">
        <w:rPr>
          <w:rFonts w:ascii="Palatino Linotype" w:hAnsi="Palatino Linotype"/>
          <w:i/>
          <w:lang w:eastAsia="es-MX"/>
        </w:rPr>
        <w:t>parquimetros</w:t>
      </w:r>
      <w:proofErr w:type="spellEnd"/>
      <w:r w:rsidRPr="006D02F8">
        <w:rPr>
          <w:rFonts w:ascii="Palatino Linotype" w:hAnsi="Palatino Linotype"/>
          <w:i/>
          <w:lang w:eastAsia="es-MX"/>
        </w:rPr>
        <w:t xml:space="preserve"> virtuales instalados en la Col Universidad</w:t>
      </w:r>
      <w:r w:rsidRPr="006D02F8">
        <w:rPr>
          <w:rFonts w:ascii="Palatino Linotype" w:hAnsi="Palatino Linotype" w:cs="Tahoma"/>
          <w:bCs/>
          <w:i/>
        </w:rPr>
        <w:t>” (Sic)</w:t>
      </w:r>
    </w:p>
    <w:p w:rsidRPr="006D02F8" w:rsidR="00E437B0" w:rsidP="00E437B0" w:rsidRDefault="00E437B0" w14:paraId="56761BA4" w14:textId="77777777">
      <w:pPr>
        <w:tabs>
          <w:tab w:val="left" w:pos="4667"/>
        </w:tabs>
        <w:spacing w:line="360" w:lineRule="auto"/>
        <w:ind w:right="567"/>
        <w:jc w:val="both"/>
        <w:rPr>
          <w:rFonts w:ascii="Palatino Linotype" w:hAnsi="Palatino Linotype" w:cs="Tahoma"/>
          <w:bCs/>
          <w:i/>
        </w:rPr>
      </w:pPr>
    </w:p>
    <w:p w:rsidRPr="006D02F8" w:rsidR="00E437B0" w:rsidP="00E437B0" w:rsidRDefault="00E437B0" w14:paraId="0C0F3FCB" w14:textId="77777777">
      <w:pPr>
        <w:tabs>
          <w:tab w:val="left" w:pos="4667"/>
        </w:tabs>
        <w:spacing w:line="360" w:lineRule="auto"/>
        <w:ind w:left="567"/>
        <w:jc w:val="both"/>
        <w:rPr>
          <w:rFonts w:ascii="Palatino Linotype" w:hAnsi="Palatino Linotype" w:cs="Tahoma"/>
          <w:b/>
          <w:bCs/>
          <w:i/>
        </w:rPr>
      </w:pPr>
      <w:r w:rsidRPr="006D02F8">
        <w:rPr>
          <w:rFonts w:ascii="Palatino Linotype" w:hAnsi="Palatino Linotype" w:cs="Tahoma"/>
          <w:b/>
          <w:bCs/>
          <w:i/>
        </w:rPr>
        <w:t xml:space="preserve">“Modalidad de Entrega: </w:t>
      </w:r>
    </w:p>
    <w:p w:rsidRPr="006D02F8" w:rsidR="00E437B0" w:rsidP="00E437B0" w:rsidRDefault="00E437B0" w14:paraId="400F00B9" w14:textId="77777777">
      <w:pPr>
        <w:tabs>
          <w:tab w:val="left" w:pos="567"/>
        </w:tabs>
        <w:spacing w:line="360" w:lineRule="auto"/>
        <w:ind w:left="567" w:right="-28"/>
        <w:jc w:val="both"/>
        <w:rPr>
          <w:rFonts w:ascii="Palatino Linotype" w:hAnsi="Palatino Linotype" w:cs="Tahoma"/>
          <w:bCs/>
          <w:i/>
        </w:rPr>
      </w:pPr>
      <w:r w:rsidRPr="006D02F8" w:rsidDel="006544EC">
        <w:rPr>
          <w:rFonts w:ascii="Palatino Linotype" w:hAnsi="Palatino Linotype" w:cs="Tahoma"/>
          <w:b/>
          <w:bCs/>
          <w:i/>
        </w:rPr>
        <w:t xml:space="preserve"> </w:t>
      </w:r>
      <w:r w:rsidRPr="006D02F8">
        <w:rPr>
          <w:rFonts w:ascii="Palatino Linotype" w:hAnsi="Palatino Linotype" w:cs="Tahoma"/>
          <w:bCs/>
          <w:i/>
        </w:rPr>
        <w:t>A través de SAIMEX.”</w:t>
      </w:r>
    </w:p>
    <w:p w:rsidRPr="006D02F8" w:rsidR="00E437B0" w:rsidP="00E437B0" w:rsidRDefault="00E437B0" w14:paraId="1A9B98F8" w14:textId="77777777">
      <w:pPr>
        <w:tabs>
          <w:tab w:val="left" w:pos="567"/>
        </w:tabs>
        <w:spacing w:line="360" w:lineRule="auto"/>
        <w:ind w:left="567" w:right="-28"/>
        <w:jc w:val="both"/>
        <w:rPr>
          <w:rFonts w:ascii="Palatino Linotype" w:hAnsi="Palatino Linotype" w:cs="Tahoma"/>
          <w:i/>
        </w:rPr>
      </w:pPr>
    </w:p>
    <w:p w:rsidRPr="006D02F8" w:rsidR="00E437B0" w:rsidP="00E437B0" w:rsidRDefault="00E437B0" w14:paraId="7038C3B8" w14:textId="64105B85">
      <w:pPr>
        <w:pStyle w:val="Prrafodelista"/>
        <w:tabs>
          <w:tab w:val="left" w:pos="567"/>
        </w:tabs>
        <w:spacing w:line="360" w:lineRule="auto"/>
        <w:ind w:left="0"/>
        <w:jc w:val="both"/>
        <w:rPr>
          <w:rFonts w:ascii="Palatino Linotype" w:hAnsi="Palatino Linotype" w:cs="Tahoma"/>
          <w:i/>
          <w:iCs/>
          <w:szCs w:val="22"/>
        </w:rPr>
      </w:pPr>
      <w:bookmarkStart w:name="_Hlk16082333" w:id="0"/>
      <w:r w:rsidRPr="006D02F8">
        <w:rPr>
          <w:rFonts w:ascii="Palatino Linotype" w:hAnsi="Palatino Linotype" w:cs="Tahoma"/>
          <w:b/>
          <w:szCs w:val="22"/>
        </w:rPr>
        <w:t>II.</w:t>
      </w:r>
      <w:r w:rsidRPr="006D02F8">
        <w:rPr>
          <w:rFonts w:ascii="Palatino Linotype" w:hAnsi="Palatino Linotype" w:cs="Tahoma"/>
          <w:b/>
          <w:bCs/>
        </w:rPr>
        <w:t xml:space="preserve"> </w:t>
      </w:r>
      <w:r w:rsidRPr="006D02F8">
        <w:rPr>
          <w:rFonts w:ascii="Palatino Linotype" w:hAnsi="Palatino Linotype" w:cs="Tahoma"/>
          <w:b/>
        </w:rPr>
        <w:t>Respuesta</w:t>
      </w:r>
      <w:r w:rsidRPr="006D02F8">
        <w:rPr>
          <w:rFonts w:ascii="Palatino Linotype" w:hAnsi="Palatino Linotype" w:cs="Tahoma"/>
          <w:b/>
          <w:bCs/>
        </w:rPr>
        <w:t xml:space="preserve"> del Sujeto Obligado.</w:t>
      </w:r>
    </w:p>
    <w:p w:rsidRPr="006D02F8" w:rsidR="00E437B0" w:rsidP="00E437B0" w:rsidRDefault="00E437B0" w14:paraId="4CB95F42" w14:textId="77777777">
      <w:pPr>
        <w:tabs>
          <w:tab w:val="left" w:pos="4667"/>
        </w:tabs>
        <w:spacing w:line="360" w:lineRule="auto"/>
        <w:ind w:right="567"/>
        <w:jc w:val="both"/>
        <w:rPr>
          <w:rFonts w:ascii="Palatino Linotype" w:hAnsi="Palatino Linotype" w:cs="Tahoma"/>
          <w:b/>
          <w:bCs/>
          <w:sz w:val="22"/>
          <w:szCs w:val="24"/>
        </w:rPr>
      </w:pPr>
    </w:p>
    <w:bookmarkEnd w:id="0"/>
    <w:p w:rsidRPr="006D02F8" w:rsidR="00E437B0" w:rsidP="00E437B0" w:rsidRDefault="00E437B0" w14:paraId="7E8832BA" w14:textId="17FA9737">
      <w:pPr>
        <w:autoSpaceDE w:val="0"/>
        <w:autoSpaceDN w:val="0"/>
        <w:adjustRightInd w:val="0"/>
        <w:spacing w:line="360" w:lineRule="auto"/>
        <w:contextualSpacing/>
        <w:jc w:val="both"/>
        <w:rPr>
          <w:rFonts w:ascii="Palatino Linotype" w:hAnsi="Palatino Linotype" w:cs="Tahoma"/>
          <w:sz w:val="22"/>
          <w:szCs w:val="22"/>
        </w:rPr>
      </w:pPr>
      <w:r w:rsidRPr="006D02F8">
        <w:rPr>
          <w:rFonts w:ascii="Palatino Linotype" w:hAnsi="Palatino Linotype" w:cs="Tahoma"/>
          <w:bCs/>
          <w:sz w:val="22"/>
          <w:szCs w:val="22"/>
        </w:rPr>
        <w:lastRenderedPageBreak/>
        <w:t>Con fecha primero de marzo de dos mil veintitrés, el</w:t>
      </w:r>
      <w:r w:rsidRPr="006D02F8">
        <w:rPr>
          <w:rFonts w:ascii="Palatino Linotype" w:hAnsi="Palatino Linotype" w:cs="Tahoma"/>
          <w:b/>
          <w:sz w:val="22"/>
          <w:szCs w:val="22"/>
        </w:rPr>
        <w:t xml:space="preserve"> </w:t>
      </w:r>
      <w:r w:rsidRPr="006D02F8">
        <w:rPr>
          <w:rFonts w:ascii="Palatino Linotype" w:hAnsi="Palatino Linotype" w:cs="Tahoma"/>
          <w:sz w:val="22"/>
          <w:szCs w:val="22"/>
        </w:rPr>
        <w:t xml:space="preserve">Sujeto Obligado dio respuesta a la solicitud de acceso a la información a través del Sistema de Acceso a la Información Mexiquense (SAIMEX), por medio de un oficio sin número, suscrito por </w:t>
      </w:r>
      <w:r w:rsidRPr="006D02F8" w:rsidR="00C262E8">
        <w:rPr>
          <w:rFonts w:ascii="Palatino Linotype" w:hAnsi="Palatino Linotype" w:cs="Tahoma"/>
          <w:sz w:val="22"/>
          <w:szCs w:val="22"/>
        </w:rPr>
        <w:t>la</w:t>
      </w:r>
      <w:r w:rsidRPr="006D02F8">
        <w:rPr>
          <w:rFonts w:ascii="Palatino Linotype" w:hAnsi="Palatino Linotype" w:cs="Tahoma"/>
          <w:sz w:val="22"/>
          <w:szCs w:val="22"/>
        </w:rPr>
        <w:t xml:space="preserve"> Titular de la Unidad de Transparencia y dirigido al Particular, </w:t>
      </w:r>
      <w:r w:rsidRPr="006D02F8" w:rsidR="00C262E8">
        <w:rPr>
          <w:rFonts w:ascii="Palatino Linotype" w:hAnsi="Palatino Linotype" w:cs="Tahoma"/>
          <w:sz w:val="22"/>
          <w:szCs w:val="22"/>
        </w:rPr>
        <w:t xml:space="preserve">esencialmente, </w:t>
      </w:r>
      <w:r w:rsidRPr="006D02F8">
        <w:rPr>
          <w:rFonts w:ascii="Palatino Linotype" w:hAnsi="Palatino Linotype" w:cs="Tahoma"/>
          <w:sz w:val="22"/>
          <w:szCs w:val="22"/>
        </w:rPr>
        <w:t>en los siguientes términos:</w:t>
      </w:r>
    </w:p>
    <w:p w:rsidRPr="006D02F8" w:rsidR="00E437B0" w:rsidP="00E437B0" w:rsidRDefault="00E437B0" w14:paraId="4A0EFBE9" w14:textId="77777777">
      <w:pPr>
        <w:tabs>
          <w:tab w:val="left" w:pos="4667"/>
        </w:tabs>
        <w:spacing w:line="360" w:lineRule="auto"/>
        <w:ind w:left="567"/>
        <w:jc w:val="both"/>
        <w:rPr>
          <w:rFonts w:ascii="Palatino Linotype" w:hAnsi="Palatino Linotype" w:cs="Tahoma"/>
          <w:bCs/>
          <w:i/>
        </w:rPr>
      </w:pPr>
    </w:p>
    <w:p w:rsidRPr="006D02F8" w:rsidR="00E437B0" w:rsidP="00C262E8" w:rsidRDefault="00E437B0" w14:paraId="42B93D49" w14:textId="24F6FFEE">
      <w:pPr>
        <w:tabs>
          <w:tab w:val="left" w:pos="4667"/>
        </w:tabs>
        <w:spacing w:line="360" w:lineRule="auto"/>
        <w:ind w:left="567" w:right="567"/>
        <w:jc w:val="both"/>
        <w:rPr>
          <w:rFonts w:ascii="Palatino Linotype" w:hAnsi="Palatino Linotype" w:cs="Tahoma"/>
          <w:bCs/>
          <w:i/>
          <w:lang w:val="es-ES"/>
        </w:rPr>
      </w:pPr>
      <w:r w:rsidRPr="006D02F8">
        <w:rPr>
          <w:rFonts w:ascii="Palatino Linotype" w:hAnsi="Palatino Linotype" w:cs="Tahoma"/>
          <w:bCs/>
          <w:i/>
        </w:rPr>
        <w:t>“</w:t>
      </w:r>
      <w:r w:rsidRPr="006D02F8">
        <w:rPr>
          <w:rFonts w:ascii="Palatino Linotype" w:hAnsi="Palatino Linotype" w:cs="Tahoma"/>
          <w:bCs/>
          <w:i/>
          <w:lang w:val="es-ES"/>
        </w:rPr>
        <w:t xml:space="preserve">… </w:t>
      </w:r>
      <w:r w:rsidRPr="006D02F8" w:rsidR="00C262E8">
        <w:rPr>
          <w:rFonts w:ascii="Palatino Linotype" w:hAnsi="Palatino Linotype" w:cs="Tahoma"/>
          <w:bCs/>
          <w:i/>
          <w:lang w:val="es-ES"/>
        </w:rPr>
        <w:t xml:space="preserve">hago de su conocimiento que la Tesorería Municipal y Servidor Público Habilitado, informó a la que suscribe que después de realizar una búsqueda exhaustiva y razonable dentro de sus archivos, </w:t>
      </w:r>
      <w:r w:rsidRPr="006D02F8" w:rsidR="00C262E8">
        <w:rPr>
          <w:rFonts w:ascii="Palatino Linotype" w:hAnsi="Palatino Linotype" w:cs="Tahoma"/>
          <w:b/>
          <w:i/>
          <w:lang w:val="es-ES"/>
        </w:rPr>
        <w:t>no encontró registro alguno por el concepto solicitado</w:t>
      </w:r>
      <w:r w:rsidRPr="006D02F8">
        <w:rPr>
          <w:rFonts w:ascii="Palatino Linotype" w:hAnsi="Palatino Linotype" w:cs="Tahoma"/>
          <w:bCs/>
          <w:i/>
          <w:szCs w:val="22"/>
          <w:lang w:val="es-ES"/>
        </w:rPr>
        <w:t xml:space="preserve">…” </w:t>
      </w:r>
    </w:p>
    <w:p w:rsidRPr="006D02F8" w:rsidR="00E437B0" w:rsidP="00E437B0" w:rsidRDefault="00E437B0" w14:paraId="5770F6B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6D02F8" w:rsidR="00E437B0" w:rsidP="00E437B0" w:rsidRDefault="00E437B0" w14:paraId="23B63C47" w14:textId="77777777">
      <w:pPr>
        <w:autoSpaceDE w:val="0"/>
        <w:autoSpaceDN w:val="0"/>
        <w:adjustRightInd w:val="0"/>
        <w:spacing w:line="360" w:lineRule="auto"/>
        <w:ind w:right="-28"/>
        <w:jc w:val="both"/>
        <w:rPr>
          <w:rFonts w:ascii="Palatino Linotype" w:hAnsi="Palatino Linotype" w:cs="Tahoma"/>
          <w:b/>
          <w:sz w:val="22"/>
          <w:szCs w:val="22"/>
        </w:rPr>
      </w:pPr>
      <w:r w:rsidRPr="006D02F8">
        <w:rPr>
          <w:rFonts w:ascii="Palatino Linotype" w:hAnsi="Palatino Linotype" w:cs="Tahoma"/>
          <w:b/>
          <w:sz w:val="22"/>
          <w:szCs w:val="22"/>
        </w:rPr>
        <w:t xml:space="preserve">III. Interposición del Recurso de Revisión. </w:t>
      </w:r>
    </w:p>
    <w:p w:rsidRPr="006D02F8" w:rsidR="00E437B0" w:rsidP="00E437B0" w:rsidRDefault="00E437B0" w14:paraId="21332931" w14:textId="77777777">
      <w:pPr>
        <w:autoSpaceDE w:val="0"/>
        <w:autoSpaceDN w:val="0"/>
        <w:adjustRightInd w:val="0"/>
        <w:spacing w:line="360" w:lineRule="auto"/>
        <w:ind w:right="-28"/>
        <w:jc w:val="both"/>
        <w:rPr>
          <w:rFonts w:ascii="Palatino Linotype" w:hAnsi="Palatino Linotype" w:cs="Tahoma"/>
          <w:sz w:val="22"/>
          <w:szCs w:val="22"/>
        </w:rPr>
      </w:pPr>
    </w:p>
    <w:p w:rsidRPr="006D02F8" w:rsidR="00E437B0" w:rsidP="00E437B0" w:rsidRDefault="00E437B0" w14:paraId="42BFF586" w14:textId="0F0A884E">
      <w:pPr>
        <w:spacing w:line="360" w:lineRule="auto"/>
        <w:jc w:val="both"/>
        <w:rPr>
          <w:rFonts w:ascii="Palatino Linotype" w:hAnsi="Palatino Linotype" w:cs="Tahoma"/>
          <w:bCs/>
          <w:sz w:val="22"/>
          <w:szCs w:val="22"/>
          <w:lang w:val="es-ES"/>
        </w:rPr>
      </w:pPr>
      <w:r w:rsidRPr="006D02F8">
        <w:rPr>
          <w:rFonts w:ascii="Palatino Linotype" w:hAnsi="Palatino Linotype" w:cs="Tahoma"/>
          <w:bCs/>
          <w:sz w:val="22"/>
          <w:szCs w:val="22"/>
          <w:lang w:val="es-ES"/>
        </w:rPr>
        <w:t xml:space="preserve">Con fecha </w:t>
      </w:r>
      <w:r w:rsidRPr="006D02F8" w:rsidR="000E458A">
        <w:rPr>
          <w:rFonts w:ascii="Palatino Linotype" w:hAnsi="Palatino Linotype" w:cs="Tahoma"/>
          <w:bCs/>
          <w:sz w:val="22"/>
          <w:szCs w:val="22"/>
          <w:lang w:val="es-ES"/>
        </w:rPr>
        <w:t xml:space="preserve">catorce de marzo </w:t>
      </w:r>
      <w:r w:rsidRPr="006D02F8">
        <w:rPr>
          <w:rFonts w:ascii="Palatino Linotype" w:hAnsi="Palatino Linotype" w:cs="Tahoma"/>
          <w:bCs/>
          <w:sz w:val="22"/>
          <w:szCs w:val="22"/>
          <w:lang w:val="es-ES"/>
        </w:rPr>
        <w:t xml:space="preserve">de dos mil veintitrés </w:t>
      </w:r>
      <w:r w:rsidRPr="006D02F8">
        <w:rPr>
          <w:rFonts w:ascii="Palatino Linotype" w:hAnsi="Palatino Linotype" w:cs="Tahoma"/>
          <w:bCs/>
          <w:sz w:val="22"/>
          <w:szCs w:val="22"/>
        </w:rPr>
        <w:t xml:space="preserve">se recibió en este Instituto, a través del </w:t>
      </w:r>
      <w:r w:rsidRPr="006D02F8">
        <w:rPr>
          <w:rFonts w:ascii="Palatino Linotype" w:hAnsi="Palatino Linotype" w:cs="Tahoma"/>
          <w:bCs/>
          <w:sz w:val="22"/>
          <w:szCs w:val="22"/>
          <w:lang w:val="es-ES"/>
        </w:rPr>
        <w:t>Sistema de Acceso a la Información Mexiquense (SAIMEX)</w:t>
      </w:r>
      <w:r w:rsidRPr="006D02F8">
        <w:rPr>
          <w:rFonts w:ascii="Palatino Linotype" w:hAnsi="Palatino Linotype" w:cs="Tahoma"/>
          <w:bCs/>
          <w:sz w:val="22"/>
          <w:szCs w:val="22"/>
        </w:rPr>
        <w:t>, el Recurso de Revisión interpuesto por la parte Recurrente, en contra de la respuesta del Sujeto Obligado,</w:t>
      </w:r>
      <w:r w:rsidRPr="006D02F8" w:rsidR="000E458A">
        <w:rPr>
          <w:rFonts w:ascii="Palatino Linotype" w:hAnsi="Palatino Linotype" w:cs="Tahoma"/>
          <w:bCs/>
          <w:sz w:val="22"/>
          <w:szCs w:val="22"/>
        </w:rPr>
        <w:t xml:space="preserve"> </w:t>
      </w:r>
      <w:r w:rsidRPr="006D02F8" w:rsidR="000E458A">
        <w:rPr>
          <w:rFonts w:ascii="Palatino Linotype" w:hAnsi="Palatino Linotype" w:cs="Tahoma"/>
          <w:b/>
          <w:bCs/>
          <w:sz w:val="22"/>
          <w:szCs w:val="22"/>
        </w:rPr>
        <w:t>toda vez que, si bien se presentó el once de dicho mes y año, lo cierto es que fue inhábil, por lo que, se tuvo por recibido, el hábil siguiente</w:t>
      </w:r>
      <w:r w:rsidRPr="006D02F8">
        <w:rPr>
          <w:rFonts w:ascii="Palatino Linotype" w:hAnsi="Palatino Linotype" w:cs="Tahoma"/>
          <w:bCs/>
          <w:sz w:val="22"/>
          <w:szCs w:val="22"/>
        </w:rPr>
        <w:t xml:space="preserve"> en los siguientes términos:</w:t>
      </w:r>
    </w:p>
    <w:p w:rsidRPr="006D02F8" w:rsidR="00E437B0" w:rsidP="00E437B0" w:rsidRDefault="00E437B0" w14:paraId="593ADC69" w14:textId="77777777">
      <w:pPr>
        <w:autoSpaceDE w:val="0"/>
        <w:autoSpaceDN w:val="0"/>
        <w:adjustRightInd w:val="0"/>
        <w:spacing w:line="360" w:lineRule="auto"/>
        <w:ind w:right="-28"/>
        <w:jc w:val="both"/>
        <w:rPr>
          <w:rFonts w:ascii="Palatino Linotype" w:hAnsi="Palatino Linotype" w:cs="Tahoma"/>
          <w:sz w:val="22"/>
          <w:szCs w:val="22"/>
          <w:lang w:val="es-ES"/>
        </w:rPr>
      </w:pPr>
    </w:p>
    <w:p w:rsidRPr="006D02F8" w:rsidR="00E437B0" w:rsidP="00E437B0" w:rsidRDefault="00E437B0" w14:paraId="422693F7" w14:textId="77777777">
      <w:pPr>
        <w:tabs>
          <w:tab w:val="left" w:pos="4667"/>
        </w:tabs>
        <w:spacing w:line="360" w:lineRule="auto"/>
        <w:ind w:left="567" w:right="567"/>
        <w:jc w:val="both"/>
        <w:rPr>
          <w:rFonts w:ascii="Palatino Linotype" w:hAnsi="Palatino Linotype" w:cs="Tahoma"/>
          <w:b/>
          <w:bCs/>
          <w:i/>
        </w:rPr>
      </w:pPr>
      <w:r w:rsidRPr="006D02F8">
        <w:rPr>
          <w:rFonts w:ascii="Palatino Linotype" w:hAnsi="Palatino Linotype" w:cs="Tahoma"/>
          <w:b/>
          <w:bCs/>
          <w:i/>
        </w:rPr>
        <w:t>“ACTO IMPUGNADO</w:t>
      </w:r>
    </w:p>
    <w:p w:rsidRPr="006D02F8" w:rsidR="00E437B0" w:rsidP="00E437B0" w:rsidRDefault="000E458A" w14:paraId="5D07532E" w14:textId="599844B9">
      <w:pPr>
        <w:tabs>
          <w:tab w:val="left" w:pos="4667"/>
        </w:tabs>
        <w:spacing w:line="360" w:lineRule="auto"/>
        <w:ind w:left="567" w:right="567"/>
        <w:jc w:val="both"/>
        <w:rPr>
          <w:rFonts w:ascii="Palatino Linotype" w:hAnsi="Palatino Linotype" w:cs="Tahoma"/>
          <w:bCs/>
          <w:i/>
        </w:rPr>
      </w:pPr>
      <w:r w:rsidRPr="006D02F8">
        <w:rPr>
          <w:rFonts w:ascii="Palatino Linotype" w:hAnsi="Palatino Linotype"/>
          <w:i/>
          <w:color w:val="000000"/>
        </w:rPr>
        <w:t>Me están negando la información</w:t>
      </w:r>
      <w:r w:rsidRPr="006D02F8" w:rsidR="00E437B0">
        <w:rPr>
          <w:rFonts w:ascii="Palatino Linotype" w:hAnsi="Palatino Linotype" w:cs="Tahoma"/>
          <w:bCs/>
          <w:i/>
        </w:rPr>
        <w:t>” (Sic.)</w:t>
      </w:r>
    </w:p>
    <w:p w:rsidRPr="006D02F8" w:rsidR="00E437B0" w:rsidP="00E437B0" w:rsidRDefault="00E437B0" w14:paraId="7D0EED7D" w14:textId="77777777">
      <w:pPr>
        <w:tabs>
          <w:tab w:val="left" w:pos="4667"/>
        </w:tabs>
        <w:spacing w:line="360" w:lineRule="auto"/>
        <w:ind w:left="567" w:right="567"/>
        <w:jc w:val="both"/>
        <w:rPr>
          <w:rFonts w:ascii="Palatino Linotype" w:hAnsi="Palatino Linotype" w:cs="Tahoma"/>
          <w:bCs/>
          <w:i/>
        </w:rPr>
      </w:pPr>
    </w:p>
    <w:p w:rsidRPr="006D02F8" w:rsidR="00E437B0" w:rsidP="00E437B0" w:rsidRDefault="00E437B0" w14:paraId="40B9D630" w14:textId="77777777">
      <w:pPr>
        <w:tabs>
          <w:tab w:val="left" w:pos="4667"/>
        </w:tabs>
        <w:spacing w:line="360" w:lineRule="auto"/>
        <w:ind w:left="567" w:right="567"/>
        <w:jc w:val="both"/>
        <w:rPr>
          <w:rFonts w:ascii="Palatino Linotype" w:hAnsi="Palatino Linotype" w:cs="Tahoma"/>
          <w:b/>
          <w:bCs/>
          <w:i/>
        </w:rPr>
      </w:pPr>
      <w:r w:rsidRPr="006D02F8">
        <w:rPr>
          <w:rFonts w:ascii="Palatino Linotype" w:hAnsi="Palatino Linotype" w:cs="Tahoma"/>
          <w:b/>
          <w:bCs/>
          <w:i/>
        </w:rPr>
        <w:t>“RAZONES O MOTIVOS DE LA INCONFORMIDAD</w:t>
      </w:r>
    </w:p>
    <w:p w:rsidRPr="006D02F8" w:rsidR="00E437B0" w:rsidP="00E437B0" w:rsidRDefault="000E458A" w14:paraId="345AB9FE" w14:textId="5A5E1857">
      <w:pPr>
        <w:tabs>
          <w:tab w:val="left" w:pos="4667"/>
        </w:tabs>
        <w:spacing w:line="360" w:lineRule="auto"/>
        <w:ind w:left="567" w:right="567"/>
        <w:jc w:val="both"/>
        <w:rPr>
          <w:rFonts w:ascii="Palatino Linotype" w:hAnsi="Palatino Linotype" w:cs="Tahoma"/>
          <w:i/>
        </w:rPr>
      </w:pPr>
      <w:r w:rsidRPr="006D02F8">
        <w:rPr>
          <w:rFonts w:ascii="Palatino Linotype" w:hAnsi="Palatino Linotype"/>
          <w:i/>
          <w:color w:val="000000"/>
        </w:rPr>
        <w:t>Me están negando la información</w:t>
      </w:r>
      <w:r w:rsidRPr="006D02F8" w:rsidR="00E437B0">
        <w:rPr>
          <w:rFonts w:ascii="Palatino Linotype" w:hAnsi="Palatino Linotype" w:cs="Tahoma"/>
          <w:i/>
        </w:rPr>
        <w:t>” (Sic.)</w:t>
      </w:r>
    </w:p>
    <w:p w:rsidRPr="006D02F8" w:rsidR="00E437B0" w:rsidP="00E437B0" w:rsidRDefault="00E437B0" w14:paraId="179E14DA" w14:textId="77777777">
      <w:pPr>
        <w:autoSpaceDE w:val="0"/>
        <w:autoSpaceDN w:val="0"/>
        <w:adjustRightInd w:val="0"/>
        <w:spacing w:line="360" w:lineRule="auto"/>
        <w:ind w:right="-28"/>
        <w:jc w:val="both"/>
        <w:rPr>
          <w:rFonts w:ascii="Palatino Linotype" w:hAnsi="Palatino Linotype" w:cs="Tahoma"/>
          <w:sz w:val="22"/>
          <w:szCs w:val="22"/>
        </w:rPr>
      </w:pPr>
    </w:p>
    <w:p w:rsidRPr="006D02F8" w:rsidR="00E437B0" w:rsidP="00E437B0" w:rsidRDefault="00E437B0" w14:paraId="26929EED" w14:textId="77777777">
      <w:pPr>
        <w:spacing w:line="360" w:lineRule="auto"/>
        <w:ind w:right="-28"/>
        <w:jc w:val="both"/>
        <w:rPr>
          <w:rFonts w:ascii="Palatino Linotype" w:hAnsi="Palatino Linotype" w:eastAsia="Batang" w:cs="Tahoma"/>
          <w:b/>
          <w:bCs/>
          <w:sz w:val="22"/>
          <w:szCs w:val="22"/>
        </w:rPr>
      </w:pPr>
      <w:r w:rsidRPr="006D02F8">
        <w:rPr>
          <w:rFonts w:ascii="Palatino Linotype" w:hAnsi="Palatino Linotype" w:cs="Tahoma"/>
          <w:b/>
          <w:sz w:val="22"/>
          <w:szCs w:val="22"/>
        </w:rPr>
        <w:t xml:space="preserve">IV. </w:t>
      </w:r>
      <w:r w:rsidRPr="006D02F8">
        <w:rPr>
          <w:rFonts w:ascii="Palatino Linotype" w:hAnsi="Palatino Linotype" w:eastAsia="Batang" w:cs="Tahoma"/>
          <w:b/>
          <w:bCs/>
          <w:sz w:val="22"/>
          <w:szCs w:val="22"/>
        </w:rPr>
        <w:t xml:space="preserve">Trámite del </w:t>
      </w:r>
      <w:r w:rsidRPr="006D02F8">
        <w:rPr>
          <w:rFonts w:ascii="Palatino Linotype" w:hAnsi="Palatino Linotype" w:cs="Tahoma"/>
          <w:b/>
          <w:sz w:val="22"/>
          <w:szCs w:val="22"/>
        </w:rPr>
        <w:t xml:space="preserve">Recurso de Revisión </w:t>
      </w:r>
      <w:r w:rsidRPr="006D02F8">
        <w:rPr>
          <w:rFonts w:ascii="Palatino Linotype" w:hAnsi="Palatino Linotype" w:eastAsia="Batang" w:cs="Tahoma"/>
          <w:b/>
          <w:bCs/>
          <w:sz w:val="22"/>
          <w:szCs w:val="22"/>
        </w:rPr>
        <w:t>ante el Instituto.</w:t>
      </w:r>
    </w:p>
    <w:p w:rsidRPr="006D02F8" w:rsidR="00E437B0" w:rsidP="00E437B0" w:rsidRDefault="00E437B0" w14:paraId="61E7B89F" w14:textId="77777777">
      <w:pPr>
        <w:spacing w:line="360" w:lineRule="auto"/>
        <w:ind w:right="-28"/>
        <w:jc w:val="both"/>
        <w:rPr>
          <w:rFonts w:ascii="Palatino Linotype" w:hAnsi="Palatino Linotype" w:eastAsia="Batang" w:cs="Tahoma"/>
          <w:b/>
          <w:bCs/>
          <w:sz w:val="22"/>
          <w:szCs w:val="22"/>
        </w:rPr>
      </w:pPr>
    </w:p>
    <w:p w:rsidRPr="006D02F8" w:rsidR="00E437B0" w:rsidP="00E437B0" w:rsidRDefault="00E437B0" w14:paraId="11A29364" w14:textId="61FB1AE6">
      <w:pPr>
        <w:spacing w:line="360" w:lineRule="auto"/>
        <w:ind w:right="-28"/>
        <w:jc w:val="both"/>
        <w:rPr>
          <w:rFonts w:ascii="Palatino Linotype" w:hAnsi="Palatino Linotype" w:eastAsia="Calibri" w:cs="Tahoma"/>
          <w:bCs/>
          <w:sz w:val="22"/>
          <w:szCs w:val="22"/>
          <w:lang w:eastAsia="en-US"/>
        </w:rPr>
      </w:pPr>
      <w:r w:rsidRPr="006D02F8">
        <w:rPr>
          <w:rFonts w:ascii="Palatino Linotype" w:hAnsi="Palatino Linotype" w:eastAsia="Batang" w:cs="Tahoma"/>
          <w:b/>
          <w:bCs/>
          <w:sz w:val="22"/>
          <w:szCs w:val="22"/>
        </w:rPr>
        <w:t xml:space="preserve">a) Turno del </w:t>
      </w:r>
      <w:r w:rsidRPr="006D02F8">
        <w:rPr>
          <w:rFonts w:ascii="Palatino Linotype" w:hAnsi="Palatino Linotype" w:cs="Tahoma"/>
          <w:b/>
          <w:sz w:val="22"/>
          <w:szCs w:val="22"/>
        </w:rPr>
        <w:t>Recurso de Revisión</w:t>
      </w:r>
      <w:r w:rsidRPr="006D02F8">
        <w:rPr>
          <w:rFonts w:ascii="Palatino Linotype" w:hAnsi="Palatino Linotype" w:eastAsia="Batang" w:cs="Tahoma"/>
          <w:b/>
          <w:bCs/>
          <w:sz w:val="22"/>
          <w:szCs w:val="22"/>
        </w:rPr>
        <w:t xml:space="preserve">. </w:t>
      </w:r>
      <w:r w:rsidRPr="006D02F8">
        <w:rPr>
          <w:rFonts w:ascii="Palatino Linotype" w:hAnsi="Palatino Linotype" w:eastAsia="Batang" w:cs="Tahoma"/>
          <w:bCs/>
          <w:sz w:val="22"/>
          <w:szCs w:val="22"/>
        </w:rPr>
        <w:t>El</w:t>
      </w:r>
      <w:r w:rsidRPr="006D02F8" w:rsidR="000E458A">
        <w:rPr>
          <w:rFonts w:ascii="Palatino Linotype" w:hAnsi="Palatino Linotype" w:eastAsia="Batang" w:cs="Tahoma"/>
          <w:bCs/>
          <w:sz w:val="22"/>
          <w:szCs w:val="22"/>
        </w:rPr>
        <w:t xml:space="preserve"> once de marzo</w:t>
      </w:r>
      <w:r w:rsidRPr="006D02F8">
        <w:rPr>
          <w:rFonts w:ascii="Palatino Linotype" w:hAnsi="Palatino Linotype" w:cs="Tahoma"/>
          <w:sz w:val="22"/>
          <w:szCs w:val="22"/>
        </w:rPr>
        <w:t xml:space="preserve"> de dos mil veintitrés</w:t>
      </w:r>
      <w:r w:rsidRPr="006D02F8">
        <w:rPr>
          <w:rFonts w:ascii="Palatino Linotype" w:hAnsi="Palatino Linotype" w:eastAsia="Batang" w:cs="Tahoma"/>
          <w:bCs/>
          <w:sz w:val="22"/>
          <w:szCs w:val="22"/>
        </w:rPr>
        <w:t xml:space="preserve">, </w:t>
      </w:r>
      <w:r w:rsidRPr="006D02F8">
        <w:rPr>
          <w:rFonts w:ascii="Palatino Linotype" w:hAnsi="Palatino Linotype" w:eastAsia="Calibri" w:cs="Tahoma"/>
          <w:bCs/>
          <w:sz w:val="22"/>
          <w:szCs w:val="22"/>
          <w:lang w:eastAsia="en-US"/>
        </w:rPr>
        <w:t xml:space="preserve">el Sistema de Acceso a la Información Mexiquense (SAIMEX), asignó el número de expediente </w:t>
      </w:r>
      <w:r w:rsidRPr="006D02F8">
        <w:rPr>
          <w:rFonts w:ascii="Palatino Linotype" w:hAnsi="Palatino Linotype" w:eastAsia="Calibri" w:cs="Tahoma"/>
          <w:b/>
          <w:bCs/>
          <w:sz w:val="22"/>
          <w:szCs w:val="22"/>
          <w:lang w:eastAsia="en-US"/>
        </w:rPr>
        <w:t>0</w:t>
      </w:r>
      <w:r w:rsidRPr="006D02F8" w:rsidR="000E458A">
        <w:rPr>
          <w:rFonts w:ascii="Palatino Linotype" w:hAnsi="Palatino Linotype" w:eastAsia="Calibri" w:cs="Tahoma"/>
          <w:b/>
          <w:bCs/>
          <w:sz w:val="22"/>
          <w:szCs w:val="22"/>
          <w:lang w:eastAsia="en-US"/>
        </w:rPr>
        <w:t>1391</w:t>
      </w:r>
      <w:r w:rsidRPr="006D02F8">
        <w:rPr>
          <w:rFonts w:ascii="Palatino Linotype" w:hAnsi="Palatino Linotype" w:eastAsia="Calibri" w:cs="Tahoma"/>
          <w:b/>
          <w:bCs/>
          <w:sz w:val="22"/>
          <w:szCs w:val="22"/>
          <w:lang w:eastAsia="en-US"/>
        </w:rPr>
        <w:t xml:space="preserve">/INFOEM/IP/RR/2023, </w:t>
      </w:r>
      <w:r w:rsidRPr="006D02F8">
        <w:rPr>
          <w:rFonts w:ascii="Palatino Linotype" w:hAnsi="Palatino Linotype" w:eastAsia="Calibri" w:cs="Tahoma"/>
          <w:bCs/>
          <w:sz w:val="22"/>
          <w:szCs w:val="22"/>
          <w:lang w:eastAsia="en-US"/>
        </w:rPr>
        <w:t xml:space="preserve">al Recurso de Revisión y lo turnó al Comisionado Ponente </w:t>
      </w:r>
      <w:r w:rsidRPr="006D02F8">
        <w:rPr>
          <w:rFonts w:ascii="Palatino Linotype" w:hAnsi="Palatino Linotype" w:eastAsia="Calibri" w:cs="Tahoma"/>
          <w:b/>
          <w:bCs/>
          <w:sz w:val="22"/>
          <w:szCs w:val="22"/>
          <w:lang w:eastAsia="en-US"/>
        </w:rPr>
        <w:t xml:space="preserve">Luis </w:t>
      </w:r>
      <w:r w:rsidRPr="006D02F8">
        <w:rPr>
          <w:rFonts w:ascii="Palatino Linotype" w:hAnsi="Palatino Linotype" w:eastAsia="Calibri" w:cs="Tahoma"/>
          <w:b/>
          <w:bCs/>
          <w:sz w:val="22"/>
          <w:szCs w:val="22"/>
          <w:lang w:eastAsia="en-US"/>
        </w:rPr>
        <w:lastRenderedPageBreak/>
        <w:t>Gustavo Parra Noriega</w:t>
      </w:r>
      <w:r w:rsidRPr="006D02F8">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6D02F8" w:rsidR="00E437B0" w:rsidP="00E437B0" w:rsidRDefault="00E437B0" w14:paraId="24FD1ED3" w14:textId="77777777">
      <w:pPr>
        <w:spacing w:line="360" w:lineRule="auto"/>
        <w:ind w:right="-28"/>
        <w:jc w:val="both"/>
        <w:rPr>
          <w:rFonts w:ascii="Palatino Linotype" w:hAnsi="Palatino Linotype" w:eastAsia="Batang" w:cs="Tahoma"/>
          <w:b/>
          <w:bCs/>
          <w:sz w:val="22"/>
          <w:szCs w:val="22"/>
        </w:rPr>
      </w:pPr>
    </w:p>
    <w:p w:rsidRPr="006D02F8" w:rsidR="00E437B0" w:rsidP="00E437B0" w:rsidRDefault="00E437B0" w14:paraId="1D9440AC" w14:textId="59CCE689">
      <w:pPr>
        <w:spacing w:line="360" w:lineRule="auto"/>
        <w:jc w:val="both"/>
        <w:rPr>
          <w:rFonts w:ascii="Palatino Linotype" w:hAnsi="Palatino Linotype" w:cs="Tahoma"/>
          <w:bCs/>
          <w:sz w:val="22"/>
          <w:szCs w:val="22"/>
        </w:rPr>
      </w:pPr>
      <w:r w:rsidRPr="006D02F8">
        <w:rPr>
          <w:rFonts w:ascii="Palatino Linotype" w:hAnsi="Palatino Linotype" w:eastAsia="Batang" w:cs="Tahoma"/>
          <w:b/>
          <w:bCs/>
          <w:sz w:val="22"/>
          <w:szCs w:val="22"/>
        </w:rPr>
        <w:t xml:space="preserve">b) Admisión del </w:t>
      </w:r>
      <w:r w:rsidRPr="006D02F8">
        <w:rPr>
          <w:rFonts w:ascii="Palatino Linotype" w:hAnsi="Palatino Linotype" w:cs="Tahoma"/>
          <w:b/>
          <w:sz w:val="22"/>
          <w:szCs w:val="22"/>
        </w:rPr>
        <w:t>Recurso de Revisión</w:t>
      </w:r>
      <w:r w:rsidRPr="006D02F8">
        <w:rPr>
          <w:rFonts w:ascii="Palatino Linotype" w:hAnsi="Palatino Linotype" w:eastAsia="Batang" w:cs="Tahoma"/>
          <w:b/>
          <w:bCs/>
          <w:sz w:val="22"/>
          <w:szCs w:val="22"/>
          <w:lang w:val="es-ES_tradnl"/>
        </w:rPr>
        <w:t xml:space="preserve">. </w:t>
      </w:r>
      <w:r w:rsidRPr="006D02F8">
        <w:rPr>
          <w:rFonts w:ascii="Palatino Linotype" w:hAnsi="Palatino Linotype" w:eastAsia="Batang" w:cs="Tahoma"/>
          <w:bCs/>
          <w:sz w:val="22"/>
          <w:szCs w:val="22"/>
          <w:lang w:val="es-ES_tradnl"/>
        </w:rPr>
        <w:t xml:space="preserve">El </w:t>
      </w:r>
      <w:r w:rsidRPr="006D02F8" w:rsidR="000E458A">
        <w:rPr>
          <w:rFonts w:ascii="Palatino Linotype" w:hAnsi="Palatino Linotype" w:eastAsia="Batang" w:cs="Tahoma"/>
          <w:bCs/>
          <w:sz w:val="22"/>
          <w:szCs w:val="22"/>
          <w:lang w:val="es-ES_tradnl"/>
        </w:rPr>
        <w:t>diecisiete de marzo</w:t>
      </w:r>
      <w:r w:rsidRPr="006D02F8">
        <w:rPr>
          <w:rFonts w:ascii="Palatino Linotype" w:hAnsi="Palatino Linotype" w:eastAsia="Batang" w:cs="Tahoma"/>
          <w:bCs/>
          <w:sz w:val="22"/>
          <w:szCs w:val="22"/>
          <w:lang w:val="es-ES_tradnl"/>
        </w:rPr>
        <w:t xml:space="preserve"> 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Pr="006D02F8" w:rsidR="000E458A">
        <w:rPr>
          <w:rFonts w:ascii="Palatino Linotype" w:hAnsi="Palatino Linotype" w:eastAsia="Batang" w:cs="Tahoma"/>
          <w:bCs/>
          <w:sz w:val="22"/>
          <w:szCs w:val="22"/>
          <w:lang w:val="es-ES_tradnl"/>
        </w:rPr>
        <w:t xml:space="preserve"> el mismo día</w:t>
      </w:r>
      <w:r w:rsidRPr="006D02F8">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6D02F8" w:rsidR="00E437B0" w:rsidP="00E437B0" w:rsidRDefault="00E437B0" w14:paraId="5B81CCEA" w14:textId="77777777">
      <w:pPr>
        <w:spacing w:line="360" w:lineRule="auto"/>
        <w:ind w:right="-28"/>
        <w:jc w:val="both"/>
        <w:rPr>
          <w:rFonts w:ascii="Palatino Linotype" w:hAnsi="Palatino Linotype" w:cs="Tahoma"/>
          <w:b/>
          <w:sz w:val="22"/>
          <w:szCs w:val="22"/>
        </w:rPr>
      </w:pPr>
    </w:p>
    <w:p w:rsidRPr="006D02F8" w:rsidR="00E437B0" w:rsidP="00E437B0" w:rsidRDefault="00E437B0" w14:paraId="1D9F2352" w14:textId="7FF95EDD">
      <w:pPr>
        <w:spacing w:line="360" w:lineRule="auto"/>
        <w:ind w:right="-28"/>
        <w:jc w:val="both"/>
        <w:rPr>
          <w:rFonts w:ascii="Palatino Linotype" w:hAnsi="Palatino Linotype" w:cs="Tahoma"/>
          <w:bCs/>
          <w:sz w:val="22"/>
          <w:szCs w:val="22"/>
        </w:rPr>
      </w:pPr>
      <w:r w:rsidRPr="006D02F8">
        <w:rPr>
          <w:rFonts w:ascii="Palatino Linotype" w:hAnsi="Palatino Linotype" w:cs="Tahoma"/>
          <w:b/>
          <w:sz w:val="22"/>
          <w:szCs w:val="22"/>
        </w:rPr>
        <w:t xml:space="preserve">c) Informe Justificado. </w:t>
      </w:r>
      <w:r w:rsidRPr="006D02F8">
        <w:rPr>
          <w:rFonts w:ascii="Palatino Linotype" w:hAnsi="Palatino Linotype" w:cs="Tahoma"/>
          <w:bCs/>
          <w:sz w:val="22"/>
          <w:szCs w:val="22"/>
        </w:rPr>
        <w:t xml:space="preserve">El </w:t>
      </w:r>
      <w:r w:rsidRPr="006D02F8" w:rsidR="000E458A">
        <w:rPr>
          <w:rFonts w:ascii="Palatino Linotype" w:hAnsi="Palatino Linotype" w:cs="Tahoma"/>
          <w:bCs/>
          <w:sz w:val="22"/>
          <w:szCs w:val="22"/>
        </w:rPr>
        <w:t>veintinueve</w:t>
      </w:r>
      <w:r w:rsidRPr="006D02F8">
        <w:rPr>
          <w:rFonts w:ascii="Palatino Linotype" w:hAnsi="Palatino Linotype" w:cs="Tahoma"/>
          <w:bCs/>
          <w:sz w:val="22"/>
          <w:szCs w:val="22"/>
        </w:rPr>
        <w:t xml:space="preserve"> de marzo de dos mil veintitrés, se recibió en este Instituto, </w:t>
      </w:r>
      <w:r w:rsidRPr="006D02F8">
        <w:rPr>
          <w:rFonts w:ascii="Palatino Linotype" w:hAnsi="Palatino Linotype" w:cs="Tahoma"/>
          <w:bCs/>
          <w:sz w:val="22"/>
          <w:szCs w:val="22"/>
          <w:lang w:val="es-ES_tradnl"/>
        </w:rPr>
        <w:t xml:space="preserve">del Sistema de Acceso a la Información Mexiquense (SAIMEX), el Informe Justificado del Sujeto Obligado, </w:t>
      </w:r>
      <w:r w:rsidRPr="006D02F8" w:rsidR="00663800">
        <w:rPr>
          <w:rFonts w:ascii="Palatino Linotype" w:hAnsi="Palatino Linotype" w:cs="Tahoma"/>
          <w:bCs/>
          <w:sz w:val="22"/>
          <w:szCs w:val="22"/>
          <w:lang w:val="es-ES_tradnl"/>
        </w:rPr>
        <w:t xml:space="preserve">por medio del oficio </w:t>
      </w:r>
      <w:r w:rsidRPr="006D02F8">
        <w:rPr>
          <w:rFonts w:ascii="Palatino Linotype" w:hAnsi="Palatino Linotype" w:cs="Tahoma"/>
          <w:bCs/>
          <w:sz w:val="22"/>
          <w:szCs w:val="22"/>
          <w:lang w:val="es-ES_tradnl"/>
        </w:rPr>
        <w:t>número</w:t>
      </w:r>
      <w:r w:rsidRPr="006D02F8" w:rsidR="00663800">
        <w:rPr>
          <w:rFonts w:ascii="Palatino Linotype" w:hAnsi="Palatino Linotype" w:cs="Tahoma"/>
          <w:bCs/>
          <w:sz w:val="22"/>
          <w:szCs w:val="22"/>
          <w:lang w:val="es-ES_tradnl"/>
        </w:rPr>
        <w:t xml:space="preserve"> 2010A4000/UT/RR/0195/2023</w:t>
      </w:r>
      <w:r w:rsidRPr="006D02F8">
        <w:rPr>
          <w:rFonts w:ascii="Palatino Linotype" w:hAnsi="Palatino Linotype" w:cs="Tahoma"/>
          <w:bCs/>
          <w:sz w:val="22"/>
          <w:szCs w:val="22"/>
          <w:lang w:val="es-ES_tradnl"/>
        </w:rPr>
        <w:t xml:space="preserve">, de la misma fecha de recepción, emitido por el Titular de la Unidad de Transparencia y dirigido al Solicitante, </w:t>
      </w:r>
      <w:r w:rsidRPr="006D02F8">
        <w:rPr>
          <w:rFonts w:ascii="Palatino Linotype" w:hAnsi="Palatino Linotype" w:cs="Tahoma"/>
          <w:bCs/>
          <w:sz w:val="22"/>
          <w:szCs w:val="22"/>
        </w:rPr>
        <w:t xml:space="preserve">por medio del cual </w:t>
      </w:r>
      <w:r w:rsidRPr="006D02F8" w:rsidR="00663800">
        <w:rPr>
          <w:rFonts w:ascii="Palatino Linotype" w:hAnsi="Palatino Linotype" w:cs="Tahoma"/>
          <w:bCs/>
          <w:sz w:val="22"/>
          <w:szCs w:val="22"/>
        </w:rPr>
        <w:t>esencialmente ratifica su respuesta inicial.</w:t>
      </w:r>
      <w:r w:rsidRPr="006D02F8">
        <w:rPr>
          <w:rFonts w:ascii="Palatino Linotype" w:hAnsi="Palatino Linotype" w:cs="Tahoma"/>
          <w:bCs/>
          <w:sz w:val="22"/>
          <w:szCs w:val="22"/>
        </w:rPr>
        <w:t xml:space="preserve"> </w:t>
      </w:r>
    </w:p>
    <w:p w:rsidRPr="006D02F8" w:rsidR="00E437B0" w:rsidP="00E437B0" w:rsidRDefault="00E437B0" w14:paraId="7A7E3A5A" w14:textId="77777777">
      <w:pPr>
        <w:spacing w:line="360" w:lineRule="auto"/>
        <w:ind w:right="-28"/>
        <w:jc w:val="both"/>
        <w:rPr>
          <w:rFonts w:ascii="Palatino Linotype" w:hAnsi="Palatino Linotype" w:cs="Tahoma"/>
          <w:b/>
          <w:sz w:val="22"/>
          <w:szCs w:val="22"/>
        </w:rPr>
      </w:pPr>
    </w:p>
    <w:p w:rsidRPr="006D02F8" w:rsidR="00E437B0" w:rsidP="00E437B0" w:rsidRDefault="00E437B0" w14:paraId="5791890D" w14:textId="235ED03C">
      <w:pPr>
        <w:spacing w:line="360" w:lineRule="auto"/>
        <w:jc w:val="both"/>
        <w:rPr>
          <w:rFonts w:ascii="Palatino Linotype" w:hAnsi="Palatino Linotype" w:eastAsia="Calibri" w:cs="Tahoma"/>
          <w:color w:val="000000"/>
          <w:sz w:val="22"/>
          <w:szCs w:val="22"/>
          <w:lang w:val="es-ES" w:eastAsia="en-US"/>
        </w:rPr>
      </w:pPr>
      <w:r w:rsidRPr="006D02F8">
        <w:rPr>
          <w:rFonts w:ascii="Palatino Linotype" w:hAnsi="Palatino Linotype" w:cs="Tahoma"/>
          <w:b/>
          <w:sz w:val="22"/>
          <w:szCs w:val="22"/>
        </w:rPr>
        <w:t xml:space="preserve">e) </w:t>
      </w:r>
      <w:r w:rsidRPr="006D02F8">
        <w:rPr>
          <w:rFonts w:ascii="Palatino Linotype" w:hAnsi="Palatino Linotype" w:eastAsia="Calibri" w:cs="Tahoma"/>
          <w:b/>
          <w:bCs/>
          <w:color w:val="000000"/>
          <w:sz w:val="22"/>
          <w:szCs w:val="22"/>
          <w:lang w:eastAsia="en-US"/>
        </w:rPr>
        <w:t xml:space="preserve">Vista del Informe Justificado. </w:t>
      </w:r>
      <w:r w:rsidRPr="006D02F8">
        <w:rPr>
          <w:rFonts w:ascii="Palatino Linotype" w:hAnsi="Palatino Linotype"/>
          <w:bCs/>
          <w:sz w:val="22"/>
          <w:szCs w:val="22"/>
          <w:lang w:val="es-ES_tradnl"/>
        </w:rPr>
        <w:t>El veinti</w:t>
      </w:r>
      <w:r w:rsidRPr="006D02F8" w:rsidR="00663800">
        <w:rPr>
          <w:rFonts w:ascii="Palatino Linotype" w:hAnsi="Palatino Linotype"/>
          <w:bCs/>
          <w:sz w:val="22"/>
          <w:szCs w:val="22"/>
          <w:lang w:val="es-ES_tradnl"/>
        </w:rPr>
        <w:t xml:space="preserve">cuatro </w:t>
      </w:r>
      <w:r w:rsidRPr="006D02F8">
        <w:rPr>
          <w:rFonts w:ascii="Palatino Linotype" w:hAnsi="Palatino Linotype"/>
          <w:bCs/>
          <w:sz w:val="22"/>
          <w:szCs w:val="22"/>
          <w:lang w:val="es-ES_tradnl"/>
        </w:rPr>
        <w:t xml:space="preserve">de </w:t>
      </w:r>
      <w:r w:rsidRPr="006D02F8" w:rsidR="00663800">
        <w:rPr>
          <w:rFonts w:ascii="Palatino Linotype" w:hAnsi="Palatino Linotype"/>
          <w:bCs/>
          <w:sz w:val="22"/>
          <w:szCs w:val="22"/>
          <w:lang w:val="es-ES_tradnl"/>
        </w:rPr>
        <w:t xml:space="preserve">abril </w:t>
      </w:r>
      <w:r w:rsidRPr="006D02F8">
        <w:rPr>
          <w:rFonts w:ascii="Palatino Linotype" w:hAnsi="Palatino Linotype"/>
          <w:bCs/>
          <w:sz w:val="22"/>
          <w:szCs w:val="22"/>
          <w:lang w:val="es-ES_tradnl"/>
        </w:rPr>
        <w:t xml:space="preserve">de dos mil veintitrés, se dictó acuerdo mediante el cual se puso a la vista del Particular el Informe Justificado, entregado por el Sujeto Obligado, el cual fue notificado a las partes el mismo día, mes y año, a través del Sistema de Acceso a la Información Mexiquense (SAIMEX). </w:t>
      </w:r>
      <w:r w:rsidRPr="006D02F8">
        <w:rPr>
          <w:rFonts w:ascii="Palatino Linotype" w:hAnsi="Palatino Linotype"/>
          <w:b/>
          <w:sz w:val="22"/>
          <w:szCs w:val="22"/>
          <w:lang w:val="es-ES_tradnl"/>
        </w:rPr>
        <w:t>Cabe señalar que el Recurrente fue omiso en realizar alguna manifestación que a su derecho conviniera y asistiera.</w:t>
      </w:r>
    </w:p>
    <w:p w:rsidRPr="006D02F8" w:rsidR="00E437B0" w:rsidP="00E437B0" w:rsidRDefault="00E437B0" w14:paraId="0543A965" w14:textId="77777777">
      <w:pPr>
        <w:spacing w:line="360" w:lineRule="auto"/>
        <w:ind w:right="-28"/>
        <w:jc w:val="both"/>
        <w:rPr>
          <w:rFonts w:ascii="Palatino Linotype" w:hAnsi="Palatino Linotype" w:cs="Tahoma"/>
          <w:b/>
          <w:sz w:val="22"/>
          <w:szCs w:val="22"/>
        </w:rPr>
      </w:pPr>
    </w:p>
    <w:p w:rsidRPr="006D02F8" w:rsidR="00E437B0" w:rsidP="00E437B0" w:rsidRDefault="00E437B0" w14:paraId="0FC629DD" w14:textId="4F23F461">
      <w:pPr>
        <w:spacing w:line="360" w:lineRule="auto"/>
        <w:ind w:right="-28"/>
        <w:jc w:val="both"/>
        <w:rPr>
          <w:rFonts w:ascii="Palatino Linotype" w:hAnsi="Palatino Linotype" w:cs="Tahoma"/>
          <w:sz w:val="22"/>
          <w:szCs w:val="22"/>
        </w:rPr>
      </w:pPr>
      <w:r w:rsidRPr="006D02F8">
        <w:rPr>
          <w:rFonts w:ascii="Palatino Linotype" w:hAnsi="Palatino Linotype" w:cs="Tahoma"/>
          <w:b/>
          <w:sz w:val="22"/>
          <w:szCs w:val="22"/>
        </w:rPr>
        <w:t xml:space="preserve">f) Cierre de instrucción. </w:t>
      </w:r>
      <w:r w:rsidRPr="006D02F8">
        <w:rPr>
          <w:rFonts w:ascii="Palatino Linotype" w:hAnsi="Palatino Linotype" w:cs="Tahoma"/>
          <w:sz w:val="22"/>
          <w:szCs w:val="22"/>
        </w:rPr>
        <w:t xml:space="preserve">El </w:t>
      </w:r>
      <w:r w:rsidRPr="006D02F8" w:rsidR="00567F1B">
        <w:rPr>
          <w:rFonts w:ascii="Palatino Linotype" w:hAnsi="Palatino Linotype" w:cs="Tahoma"/>
          <w:sz w:val="22"/>
          <w:szCs w:val="22"/>
        </w:rPr>
        <w:t>cuatro</w:t>
      </w:r>
      <w:r w:rsidRPr="006D02F8" w:rsidR="00663800">
        <w:rPr>
          <w:rFonts w:ascii="Palatino Linotype" w:hAnsi="Palatino Linotype" w:cs="Tahoma"/>
          <w:sz w:val="22"/>
          <w:szCs w:val="22"/>
        </w:rPr>
        <w:t xml:space="preserve"> de mayo</w:t>
      </w:r>
      <w:r w:rsidRPr="006D02F8">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w:t>
      </w:r>
      <w:r w:rsidRPr="006D02F8">
        <w:rPr>
          <w:rFonts w:ascii="Palatino Linotype" w:hAnsi="Palatino Linotype" w:cs="Tahoma"/>
          <w:sz w:val="22"/>
          <w:szCs w:val="22"/>
        </w:rPr>
        <w:lastRenderedPageBreak/>
        <w:t xml:space="preserve">del Estado de México y Municipios, mismo que fue notificado a las partes el mismo día, a través del </w:t>
      </w:r>
      <w:r w:rsidRPr="006D02F8">
        <w:rPr>
          <w:rFonts w:ascii="Palatino Linotype" w:hAnsi="Palatino Linotype" w:cs="Tahoma"/>
          <w:sz w:val="22"/>
          <w:szCs w:val="22"/>
          <w:lang w:val="es-ES"/>
        </w:rPr>
        <w:t>Sistema de Acceso a la Información Mexiquense (SAIMEX)</w:t>
      </w:r>
      <w:r w:rsidRPr="006D02F8">
        <w:rPr>
          <w:rFonts w:ascii="Palatino Linotype" w:hAnsi="Palatino Linotype" w:cs="Tahoma"/>
          <w:sz w:val="22"/>
          <w:szCs w:val="22"/>
        </w:rPr>
        <w:t>.</w:t>
      </w:r>
    </w:p>
    <w:p w:rsidRPr="006D02F8" w:rsidR="00E437B0" w:rsidP="00E437B0" w:rsidRDefault="00E437B0" w14:paraId="4040B02B" w14:textId="77777777">
      <w:pPr>
        <w:spacing w:line="360" w:lineRule="auto"/>
        <w:ind w:right="-28"/>
        <w:jc w:val="both"/>
        <w:rPr>
          <w:rFonts w:ascii="Palatino Linotype" w:hAnsi="Palatino Linotype" w:cs="Tahoma"/>
          <w:sz w:val="22"/>
          <w:szCs w:val="22"/>
          <w:lang w:val="es-ES"/>
        </w:rPr>
      </w:pPr>
    </w:p>
    <w:p w:rsidRPr="006D02F8" w:rsidR="00E437B0" w:rsidP="00663800" w:rsidRDefault="00E437B0" w14:paraId="4AB69391" w14:textId="08BAEF46">
      <w:pPr>
        <w:spacing w:line="360" w:lineRule="auto"/>
        <w:ind w:right="-28"/>
        <w:jc w:val="both"/>
        <w:rPr>
          <w:rFonts w:ascii="Palatino Linotype" w:hAnsi="Palatino Linotype" w:cs="Tahoma"/>
          <w:color w:val="000000"/>
          <w:sz w:val="22"/>
          <w:szCs w:val="22"/>
        </w:rPr>
      </w:pPr>
      <w:r w:rsidRPr="006D02F8">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6D02F8" w:rsidR="00663800" w:rsidP="00663800" w:rsidRDefault="00663800" w14:paraId="11B56FCD" w14:textId="77777777">
      <w:pPr>
        <w:spacing w:line="360" w:lineRule="auto"/>
        <w:ind w:right="-28"/>
        <w:jc w:val="both"/>
        <w:rPr>
          <w:rFonts w:ascii="Palatino Linotype" w:hAnsi="Palatino Linotype" w:cs="Tahoma"/>
          <w:color w:val="000000"/>
          <w:sz w:val="22"/>
          <w:szCs w:val="22"/>
        </w:rPr>
      </w:pPr>
    </w:p>
    <w:p w:rsidRPr="006D02F8" w:rsidR="00E437B0" w:rsidP="00E437B0" w:rsidRDefault="00E437B0" w14:paraId="5947F06D" w14:textId="77777777">
      <w:pPr>
        <w:spacing w:line="360" w:lineRule="auto"/>
        <w:ind w:right="-28"/>
        <w:jc w:val="center"/>
        <w:rPr>
          <w:rFonts w:ascii="Palatino Linotype" w:hAnsi="Palatino Linotype" w:cs="Tahoma"/>
          <w:b/>
          <w:sz w:val="22"/>
          <w:szCs w:val="22"/>
          <w:lang w:val="es-ES"/>
        </w:rPr>
      </w:pPr>
      <w:r w:rsidRPr="006D02F8">
        <w:rPr>
          <w:rFonts w:ascii="Palatino Linotype" w:hAnsi="Palatino Linotype" w:cs="Tahoma"/>
          <w:b/>
          <w:sz w:val="22"/>
          <w:szCs w:val="22"/>
          <w:lang w:val="es-ES"/>
        </w:rPr>
        <w:t>C O N S I D E R A N D O S</w:t>
      </w:r>
    </w:p>
    <w:p w:rsidRPr="006D02F8" w:rsidR="00E437B0" w:rsidP="00E437B0" w:rsidRDefault="00E437B0" w14:paraId="37DF5BC4" w14:textId="77777777">
      <w:pPr>
        <w:spacing w:line="360" w:lineRule="auto"/>
        <w:ind w:right="-28"/>
        <w:jc w:val="center"/>
        <w:rPr>
          <w:rFonts w:ascii="Palatino Linotype" w:hAnsi="Palatino Linotype" w:cs="Tahoma"/>
          <w:b/>
          <w:sz w:val="22"/>
          <w:szCs w:val="22"/>
          <w:lang w:val="es-ES"/>
        </w:rPr>
      </w:pPr>
    </w:p>
    <w:p w:rsidRPr="006D02F8" w:rsidR="00E437B0" w:rsidP="00E437B0" w:rsidRDefault="00E437B0" w14:paraId="0ED043B3" w14:textId="77777777">
      <w:pPr>
        <w:autoSpaceDE w:val="0"/>
        <w:autoSpaceDN w:val="0"/>
        <w:adjustRightInd w:val="0"/>
        <w:spacing w:line="360" w:lineRule="auto"/>
        <w:ind w:right="-28"/>
        <w:jc w:val="both"/>
        <w:rPr>
          <w:rFonts w:ascii="Palatino Linotype" w:hAnsi="Palatino Linotype" w:cs="Tahoma"/>
          <w:b/>
          <w:sz w:val="22"/>
          <w:szCs w:val="22"/>
          <w:lang w:val="es-ES"/>
        </w:rPr>
      </w:pPr>
      <w:r w:rsidRPr="006D02F8">
        <w:rPr>
          <w:rFonts w:ascii="Palatino Linotype" w:hAnsi="Palatino Linotype" w:eastAsia="Calibri" w:cs="Tahoma"/>
          <w:b/>
          <w:color w:val="000000"/>
          <w:sz w:val="22"/>
          <w:szCs w:val="22"/>
          <w:lang w:val="es-ES" w:eastAsia="es-MX"/>
        </w:rPr>
        <w:t>PRIMERO</w:t>
      </w:r>
      <w:r w:rsidRPr="006D02F8">
        <w:rPr>
          <w:rFonts w:ascii="Palatino Linotype" w:hAnsi="Palatino Linotype" w:eastAsia="Calibri" w:cs="Tahoma"/>
          <w:color w:val="000000"/>
          <w:sz w:val="22"/>
          <w:szCs w:val="22"/>
          <w:lang w:val="es-ES" w:eastAsia="es-MX"/>
        </w:rPr>
        <w:t xml:space="preserve">. </w:t>
      </w:r>
      <w:r w:rsidRPr="006D02F8">
        <w:rPr>
          <w:rFonts w:ascii="Palatino Linotype" w:hAnsi="Palatino Linotype" w:cs="Tahoma"/>
          <w:b/>
          <w:sz w:val="22"/>
          <w:szCs w:val="22"/>
          <w:lang w:val="es-ES"/>
        </w:rPr>
        <w:t>Competencia.</w:t>
      </w:r>
    </w:p>
    <w:p w:rsidRPr="006D02F8" w:rsidR="00E437B0" w:rsidP="00E437B0" w:rsidRDefault="00E437B0" w14:paraId="66C1E72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6D02F8" w:rsidR="00E437B0" w:rsidP="00E437B0" w:rsidRDefault="00E437B0" w14:paraId="37CE3EDA" w14:textId="77777777">
      <w:pPr>
        <w:spacing w:line="360" w:lineRule="auto"/>
        <w:ind w:right="-28"/>
        <w:jc w:val="both"/>
        <w:rPr>
          <w:rFonts w:ascii="Palatino Linotype" w:hAnsi="Palatino Linotype" w:cs="Tahoma"/>
          <w:color w:val="000000"/>
          <w:sz w:val="22"/>
          <w:szCs w:val="22"/>
        </w:rPr>
      </w:pPr>
      <w:r w:rsidRPr="006D02F8">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D02F8">
        <w:rPr>
          <w:color w:val="000000"/>
        </w:rPr>
        <w:t xml:space="preserve"> 7°, </w:t>
      </w:r>
      <w:r w:rsidRPr="006D02F8">
        <w:rPr>
          <w:rFonts w:ascii="Palatino Linotype" w:hAnsi="Palatino Linotype" w:cs="Tahoma"/>
          <w:color w:val="000000"/>
          <w:sz w:val="22"/>
          <w:szCs w:val="22"/>
        </w:rPr>
        <w:t>9°, fracciones I y XXIII y 11 del Reglamento Interior del Instituto de Transparencia, Acceso a la Información Pública y Protección de Datos Personales del Estado de México y Municipios.</w:t>
      </w:r>
    </w:p>
    <w:p w:rsidRPr="006D02F8" w:rsidR="00E437B0" w:rsidP="00E437B0" w:rsidRDefault="00E437B0" w14:paraId="7E4E100D" w14:textId="77777777">
      <w:pPr>
        <w:spacing w:line="360" w:lineRule="auto"/>
        <w:ind w:right="-28"/>
        <w:jc w:val="both"/>
        <w:rPr>
          <w:rFonts w:ascii="Palatino Linotype" w:hAnsi="Palatino Linotype" w:cs="Tahoma"/>
          <w:color w:val="000000"/>
          <w:sz w:val="22"/>
          <w:szCs w:val="22"/>
        </w:rPr>
      </w:pPr>
    </w:p>
    <w:p w:rsidRPr="006D02F8" w:rsidR="00E437B0" w:rsidP="00E437B0" w:rsidRDefault="00E437B0" w14:paraId="13CAC148"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6D02F8">
        <w:rPr>
          <w:rFonts w:ascii="Palatino Linotype" w:hAnsi="Palatino Linotype" w:eastAsia="Calibri" w:cs="Tahoma"/>
          <w:b/>
          <w:color w:val="000000"/>
          <w:sz w:val="22"/>
          <w:szCs w:val="22"/>
          <w:lang w:val="es-ES" w:eastAsia="es-MX"/>
        </w:rPr>
        <w:t>SEGUNDO. Causales de improcedencia y sobreseimiento.</w:t>
      </w:r>
    </w:p>
    <w:p w:rsidRPr="006D02F8" w:rsidR="00E437B0" w:rsidP="00E437B0" w:rsidRDefault="00E437B0" w14:paraId="646592B0" w14:textId="77777777">
      <w:pPr>
        <w:autoSpaceDE w:val="0"/>
        <w:autoSpaceDN w:val="0"/>
        <w:adjustRightInd w:val="0"/>
        <w:spacing w:line="360" w:lineRule="auto"/>
        <w:jc w:val="both"/>
        <w:rPr>
          <w:rFonts w:ascii="Palatino Linotype" w:hAnsi="Palatino Linotype" w:cs="Tahoma"/>
          <w:sz w:val="22"/>
          <w:szCs w:val="22"/>
          <w:lang w:val="es-ES"/>
        </w:rPr>
      </w:pPr>
    </w:p>
    <w:p w:rsidRPr="006D02F8" w:rsidR="00E437B0" w:rsidP="00E437B0" w:rsidRDefault="00E437B0" w14:paraId="27B9583C" w14:textId="77777777">
      <w:pPr>
        <w:autoSpaceDE w:val="0"/>
        <w:autoSpaceDN w:val="0"/>
        <w:adjustRightInd w:val="0"/>
        <w:spacing w:line="360" w:lineRule="auto"/>
        <w:jc w:val="both"/>
        <w:rPr>
          <w:rFonts w:ascii="Palatino Linotype" w:hAnsi="Palatino Linotype" w:cs="Tahoma"/>
          <w:sz w:val="22"/>
          <w:szCs w:val="22"/>
          <w:lang w:val="es-ES"/>
        </w:rPr>
      </w:pPr>
      <w:r w:rsidRPr="006D02F8">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6D02F8">
        <w:rPr>
          <w:rFonts w:ascii="Palatino Linotype" w:hAnsi="Palatino Linotype" w:cs="Tahoma"/>
          <w:i/>
          <w:sz w:val="22"/>
          <w:szCs w:val="22"/>
          <w:lang w:val="es-ES"/>
        </w:rPr>
        <w:t>litis</w:t>
      </w:r>
      <w:r w:rsidRPr="006D02F8">
        <w:rPr>
          <w:rFonts w:ascii="Palatino Linotype" w:hAnsi="Palatino Linotype" w:cs="Tahoma"/>
          <w:sz w:val="22"/>
          <w:szCs w:val="22"/>
          <w:lang w:val="es-ES"/>
        </w:rPr>
        <w:t>, es necesario estudiar las causales de improcedencia, para determinar lo que en Derecho proceda.</w:t>
      </w:r>
    </w:p>
    <w:p w:rsidRPr="006D02F8" w:rsidR="00E437B0" w:rsidP="00E437B0" w:rsidRDefault="00E437B0" w14:paraId="0C7AB7AA" w14:textId="77777777">
      <w:pPr>
        <w:autoSpaceDE w:val="0"/>
        <w:autoSpaceDN w:val="0"/>
        <w:adjustRightInd w:val="0"/>
        <w:spacing w:line="360" w:lineRule="auto"/>
        <w:jc w:val="both"/>
        <w:rPr>
          <w:rFonts w:ascii="Palatino Linotype" w:hAnsi="Palatino Linotype" w:cs="Tahoma"/>
          <w:sz w:val="22"/>
          <w:szCs w:val="22"/>
        </w:rPr>
      </w:pPr>
    </w:p>
    <w:p w:rsidRPr="006D02F8" w:rsidR="00E437B0" w:rsidP="00E437B0" w:rsidRDefault="00E437B0" w14:paraId="5AE49B4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6D02F8">
        <w:rPr>
          <w:rFonts w:ascii="Palatino Linotype" w:hAnsi="Palatino Linotype" w:eastAsia="Calibri" w:cs="Tahoma"/>
          <w:b/>
          <w:color w:val="000000"/>
          <w:sz w:val="22"/>
          <w:szCs w:val="22"/>
          <w:lang w:val="es-ES" w:eastAsia="es-MX"/>
        </w:rPr>
        <w:t>Causales de improcedencia.</w:t>
      </w:r>
    </w:p>
    <w:p w:rsidRPr="006D02F8" w:rsidR="00E437B0" w:rsidP="00E437B0" w:rsidRDefault="00E437B0" w14:paraId="0F258DD8"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6D02F8" w:rsidR="00E437B0" w:rsidP="00E437B0" w:rsidRDefault="00E437B0" w14:paraId="2EBF60E6"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6D02F8">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D02F8" w:rsidR="00E437B0" w:rsidP="00E437B0" w:rsidRDefault="00E437B0" w14:paraId="7EF531B1"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02F8" w:rsidR="00E437B0" w:rsidP="00E437B0" w:rsidRDefault="00E437B0" w14:paraId="1F8040D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6D02F8">
        <w:rPr>
          <w:rFonts w:ascii="Palatino Linotype" w:hAnsi="Palatino Linotype" w:cs="Tahoma"/>
          <w:sz w:val="22"/>
          <w:szCs w:val="24"/>
        </w:rPr>
        <w:t>En el presente caso, </w:t>
      </w:r>
      <w:r w:rsidRPr="006D02F8">
        <w:rPr>
          <w:rFonts w:ascii="Palatino Linotype" w:hAnsi="Palatino Linotype" w:cs="Tahoma"/>
          <w:b/>
          <w:bCs/>
          <w:sz w:val="22"/>
          <w:szCs w:val="24"/>
        </w:rPr>
        <w:t>no se actualiza ninguna de las causales de improcedencia</w:t>
      </w:r>
      <w:r w:rsidRPr="006D02F8">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6D02F8">
        <w:rPr>
          <w:rFonts w:ascii="Palatino Linotype" w:hAnsi="Palatino Linotype" w:cs="Tahoma"/>
          <w:sz w:val="22"/>
          <w:szCs w:val="22"/>
          <w:lang w:val="es-ES"/>
        </w:rPr>
        <w:t xml:space="preserve">además de que </w:t>
      </w:r>
      <w:r w:rsidRPr="006D02F8">
        <w:rPr>
          <w:rFonts w:ascii="Palatino Linotype" w:hAnsi="Palatino Linotype" w:eastAsia="Calibri" w:cs="Tahoma"/>
          <w:color w:val="000000"/>
          <w:sz w:val="22"/>
          <w:szCs w:val="22"/>
          <w:lang w:val="es-ES" w:eastAsia="es-MX"/>
        </w:rPr>
        <w:t>el medio de impugnación fue presentado en tiempo.</w:t>
      </w:r>
    </w:p>
    <w:p w:rsidRPr="006D02F8" w:rsidR="00E437B0" w:rsidP="00E437B0" w:rsidRDefault="00E437B0" w14:paraId="16448DE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6D02F8" w:rsidR="00E437B0" w:rsidP="00E437B0" w:rsidRDefault="00E437B0" w14:paraId="5F041B20" w14:textId="13EE7E84">
      <w:pPr>
        <w:widowControl w:val="0"/>
        <w:spacing w:line="360" w:lineRule="auto"/>
        <w:jc w:val="both"/>
        <w:rPr>
          <w:rFonts w:ascii="Palatino Linotype" w:hAnsi="Palatino Linotype"/>
          <w:color w:val="222222"/>
        </w:rPr>
      </w:pPr>
      <w:r w:rsidRPr="006D02F8">
        <w:rPr>
          <w:rFonts w:ascii="Palatino Linotype" w:hAnsi="Palatino Linotype" w:cs="Tahoma"/>
          <w:sz w:val="22"/>
          <w:szCs w:val="22"/>
        </w:rPr>
        <w:t xml:space="preserve">Asimismo, se actualiza la causal de procedencia del Recurso de Revisión señalada en el artículo 179, fracción </w:t>
      </w:r>
      <w:r w:rsidRPr="006D02F8" w:rsidR="0080743F">
        <w:rPr>
          <w:rFonts w:ascii="Palatino Linotype" w:hAnsi="Palatino Linotype" w:cs="Tahoma"/>
          <w:sz w:val="22"/>
          <w:szCs w:val="22"/>
        </w:rPr>
        <w:t>II</w:t>
      </w:r>
      <w:r w:rsidRPr="006D02F8">
        <w:rPr>
          <w:rFonts w:ascii="Palatino Linotype" w:hAnsi="Palatino Linotype" w:cs="Tahoma"/>
          <w:sz w:val="22"/>
          <w:szCs w:val="22"/>
        </w:rPr>
        <w:t xml:space="preserve">I, de la Ley en cita, </w:t>
      </w:r>
      <w:r w:rsidRPr="006D02F8">
        <w:rPr>
          <w:rFonts w:ascii="Palatino Linotype" w:hAnsi="Palatino Linotype" w:eastAsia="Calibri" w:cs="Tahoma"/>
          <w:color w:val="000000"/>
          <w:sz w:val="22"/>
          <w:szCs w:val="22"/>
          <w:lang w:eastAsia="es-MX"/>
        </w:rPr>
        <w:t xml:space="preserve">pues la Recurrente se inconformó con </w:t>
      </w:r>
      <w:r w:rsidRPr="006D02F8">
        <w:rPr>
          <w:rFonts w:ascii="Palatino Linotype" w:hAnsi="Palatino Linotype" w:cs="Tahoma"/>
          <w:sz w:val="22"/>
          <w:szCs w:val="22"/>
        </w:rPr>
        <w:t xml:space="preserve">la </w:t>
      </w:r>
      <w:r w:rsidRPr="006D02F8" w:rsidR="0080743F">
        <w:rPr>
          <w:rFonts w:ascii="Palatino Linotype" w:hAnsi="Palatino Linotype" w:cs="Tahoma"/>
          <w:sz w:val="22"/>
          <w:szCs w:val="22"/>
        </w:rPr>
        <w:t>inexistencia de la información peticionada.</w:t>
      </w:r>
    </w:p>
    <w:p w:rsidRPr="006D02F8" w:rsidR="00E437B0" w:rsidP="00E437B0" w:rsidRDefault="00E437B0" w14:paraId="3B91766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02F8" w:rsidR="00E437B0" w:rsidP="00E437B0" w:rsidRDefault="00E437B0" w14:paraId="5678878A" w14:textId="77777777">
      <w:pPr>
        <w:spacing w:line="360" w:lineRule="auto"/>
        <w:ind w:right="-28"/>
        <w:jc w:val="both"/>
        <w:rPr>
          <w:rFonts w:ascii="Palatino Linotype" w:hAnsi="Palatino Linotype" w:eastAsia="Calibri" w:cs="Tahoma"/>
          <w:sz w:val="22"/>
          <w:szCs w:val="22"/>
          <w:lang w:val="es-ES" w:eastAsia="es-ES_tradnl"/>
        </w:rPr>
      </w:pPr>
      <w:r w:rsidRPr="006D02F8">
        <w:rPr>
          <w:rFonts w:ascii="Palatino Linotype" w:hAnsi="Palatino Linotype" w:eastAsia="Calibri" w:cs="Tahoma"/>
          <w:b/>
          <w:sz w:val="22"/>
          <w:szCs w:val="22"/>
          <w:lang w:val="es-ES" w:eastAsia="es-ES_tradnl"/>
        </w:rPr>
        <w:t>Causales de sobreseimiento.</w:t>
      </w:r>
    </w:p>
    <w:p w:rsidRPr="006D02F8" w:rsidR="00E437B0" w:rsidP="00E437B0" w:rsidRDefault="00E437B0" w14:paraId="68F49A76" w14:textId="77777777">
      <w:pPr>
        <w:spacing w:line="360" w:lineRule="auto"/>
        <w:ind w:right="-28"/>
        <w:jc w:val="both"/>
        <w:rPr>
          <w:rFonts w:ascii="Palatino Linotype" w:hAnsi="Palatino Linotype" w:eastAsia="Calibri" w:cs="Tahoma"/>
          <w:sz w:val="22"/>
          <w:szCs w:val="22"/>
          <w:lang w:val="es-ES" w:eastAsia="es-ES_tradnl"/>
        </w:rPr>
      </w:pPr>
    </w:p>
    <w:p w:rsidRPr="006D02F8" w:rsidR="00E437B0" w:rsidP="00E437B0" w:rsidRDefault="00E437B0" w14:paraId="0AD69F33" w14:textId="77777777">
      <w:pPr>
        <w:spacing w:line="360" w:lineRule="auto"/>
        <w:jc w:val="both"/>
        <w:rPr>
          <w:rFonts w:ascii="Palatino Linotype" w:hAnsi="Palatino Linotype" w:cs="Tahoma"/>
          <w:sz w:val="22"/>
          <w:szCs w:val="24"/>
        </w:rPr>
      </w:pPr>
      <w:r w:rsidRPr="006D02F8">
        <w:rPr>
          <w:rFonts w:ascii="Palatino Linotype" w:hAnsi="Palatino Linotype" w:cs="Tahoma"/>
          <w:sz w:val="22"/>
          <w:szCs w:val="24"/>
        </w:rPr>
        <w:t>Por ser de previo y especial pronunciamiento, este Instituto analiza si se actualiza alguna causal de sobreseimiento.</w:t>
      </w:r>
    </w:p>
    <w:p w:rsidRPr="006D02F8" w:rsidR="00E437B0" w:rsidP="00E437B0" w:rsidRDefault="00E437B0" w14:paraId="66A62471" w14:textId="77777777">
      <w:pPr>
        <w:spacing w:line="360" w:lineRule="auto"/>
        <w:jc w:val="both"/>
        <w:rPr>
          <w:rFonts w:ascii="Palatino Linotype" w:hAnsi="Palatino Linotype" w:cs="Tahoma"/>
          <w:sz w:val="22"/>
          <w:szCs w:val="24"/>
        </w:rPr>
      </w:pPr>
    </w:p>
    <w:p w:rsidRPr="006D02F8" w:rsidR="00E437B0" w:rsidP="00E437B0" w:rsidRDefault="00E437B0" w14:paraId="0ED0F6BE" w14:textId="77777777">
      <w:pPr>
        <w:spacing w:line="360" w:lineRule="auto"/>
        <w:jc w:val="both"/>
        <w:rPr>
          <w:rFonts w:ascii="Palatino Linotype" w:hAnsi="Palatino Linotype" w:cs="Tahoma"/>
          <w:sz w:val="22"/>
          <w:szCs w:val="24"/>
        </w:rPr>
      </w:pPr>
      <w:r w:rsidRPr="006D02F8">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D02F8" w:rsidR="00E437B0" w:rsidP="00E437B0" w:rsidRDefault="00E437B0" w14:paraId="01969BE3" w14:textId="77777777">
      <w:pPr>
        <w:spacing w:line="360" w:lineRule="auto"/>
        <w:jc w:val="both"/>
        <w:rPr>
          <w:rFonts w:ascii="Palatino Linotype" w:hAnsi="Palatino Linotype" w:cs="Tahoma"/>
          <w:sz w:val="22"/>
          <w:szCs w:val="24"/>
        </w:rPr>
      </w:pPr>
    </w:p>
    <w:p w:rsidRPr="006D02F8" w:rsidR="00E437B0" w:rsidP="00E437B0" w:rsidRDefault="00E437B0" w14:paraId="09E7042C" w14:textId="77777777">
      <w:pPr>
        <w:spacing w:line="360" w:lineRule="auto"/>
        <w:jc w:val="both"/>
        <w:rPr>
          <w:rFonts w:ascii="Palatino Linotype" w:hAnsi="Palatino Linotype" w:cs="Tahoma"/>
          <w:sz w:val="22"/>
          <w:szCs w:val="24"/>
          <w:lang w:val="es-ES"/>
        </w:rPr>
      </w:pPr>
      <w:r w:rsidRPr="006D02F8">
        <w:rPr>
          <w:rFonts w:ascii="Palatino Linotype" w:hAnsi="Palatino Linotype" w:cs="Tahoma"/>
          <w:bCs/>
          <w:sz w:val="22"/>
          <w:szCs w:val="24"/>
          <w:lang w:val="es-ES"/>
        </w:rPr>
        <w:t xml:space="preserve">Por tales motivos, </w:t>
      </w:r>
      <w:r w:rsidRPr="006D02F8">
        <w:rPr>
          <w:rFonts w:ascii="Palatino Linotype" w:hAnsi="Palatino Linotype" w:cs="Tahoma"/>
          <w:sz w:val="22"/>
          <w:szCs w:val="24"/>
          <w:lang w:val="es-ES"/>
        </w:rPr>
        <w:t>se considera procedente entrar al fondo del presente asunto.</w:t>
      </w:r>
    </w:p>
    <w:p w:rsidRPr="006D02F8" w:rsidR="00E437B0" w:rsidP="00E437B0" w:rsidRDefault="00E437B0" w14:paraId="7E97C201"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6D02F8" w:rsidR="00E437B0" w:rsidP="00E437B0" w:rsidRDefault="00E437B0" w14:paraId="1EFAAAA5"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02F8">
        <w:rPr>
          <w:rFonts w:ascii="Palatino Linotype" w:hAnsi="Palatino Linotype" w:eastAsia="Calibri" w:cs="Tahoma"/>
          <w:b/>
          <w:iCs/>
          <w:sz w:val="22"/>
          <w:szCs w:val="22"/>
          <w:lang w:val="es-ES" w:eastAsia="es-ES_tradnl"/>
        </w:rPr>
        <w:t xml:space="preserve">TERCERO. Determinación de la Controversia. </w:t>
      </w:r>
    </w:p>
    <w:p w:rsidRPr="006D02F8" w:rsidR="00E437B0" w:rsidP="00E437B0" w:rsidRDefault="00E437B0" w14:paraId="11714AFE"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6D02F8" w:rsidR="00E437B0" w:rsidP="00E437B0" w:rsidRDefault="00E437B0" w14:paraId="4256BDF4" w14:textId="6CC9C3A1">
      <w:pPr>
        <w:tabs>
          <w:tab w:val="left" w:pos="4962"/>
        </w:tabs>
        <w:spacing w:line="360" w:lineRule="auto"/>
        <w:ind w:right="-28"/>
        <w:jc w:val="both"/>
        <w:rPr>
          <w:rFonts w:ascii="Palatino Linotype" w:hAnsi="Palatino Linotype" w:eastAsia="Calibri" w:cs="Tahoma"/>
          <w:iCs/>
          <w:sz w:val="22"/>
          <w:szCs w:val="22"/>
          <w:lang w:val="es-ES" w:eastAsia="es-ES_tradnl"/>
        </w:rPr>
      </w:pPr>
      <w:r w:rsidRPr="006D02F8">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sidRPr="006D02F8">
        <w:rPr>
          <w:rFonts w:ascii="Palatino Linotype" w:hAnsi="Palatino Linotype" w:eastAsia="Calibri" w:cs="Tahoma"/>
          <w:bCs/>
          <w:sz w:val="22"/>
          <w:szCs w:val="22"/>
          <w:lang w:eastAsia="en-US"/>
        </w:rPr>
        <w:t xml:space="preserve">el Particular </w:t>
      </w:r>
      <w:r w:rsidRPr="006D02F8">
        <w:rPr>
          <w:rFonts w:ascii="Palatino Linotype" w:hAnsi="Palatino Linotype" w:eastAsia="Calibri" w:cs="Tahoma"/>
          <w:iCs/>
          <w:sz w:val="22"/>
          <w:szCs w:val="22"/>
          <w:lang w:val="es-ES" w:eastAsia="es-ES_tradnl"/>
        </w:rPr>
        <w:t xml:space="preserve">solicitó, conocer el </w:t>
      </w:r>
      <w:r w:rsidRPr="006D02F8" w:rsidR="00663800">
        <w:rPr>
          <w:rFonts w:ascii="Palatino Linotype" w:hAnsi="Palatino Linotype" w:eastAsia="Calibri" w:cs="Tahoma"/>
          <w:iCs/>
          <w:sz w:val="22"/>
          <w:szCs w:val="22"/>
          <w:lang w:val="es-ES" w:eastAsia="es-ES_tradnl"/>
        </w:rPr>
        <w:t>monto erogado para la instalación de lo</w:t>
      </w:r>
      <w:r w:rsidRPr="006D02F8" w:rsidR="0080743F">
        <w:rPr>
          <w:rFonts w:ascii="Palatino Linotype" w:hAnsi="Palatino Linotype" w:eastAsia="Calibri" w:cs="Tahoma"/>
          <w:iCs/>
          <w:sz w:val="22"/>
          <w:szCs w:val="22"/>
          <w:lang w:val="es-ES" w:eastAsia="es-ES_tradnl"/>
        </w:rPr>
        <w:t>s parquímetros virtuales en la Colonia U</w:t>
      </w:r>
      <w:r w:rsidRPr="006D02F8" w:rsidR="00663800">
        <w:rPr>
          <w:rFonts w:ascii="Palatino Linotype" w:hAnsi="Palatino Linotype" w:eastAsia="Calibri" w:cs="Tahoma"/>
          <w:iCs/>
          <w:sz w:val="22"/>
          <w:szCs w:val="22"/>
          <w:lang w:val="es-ES" w:eastAsia="es-ES_tradnl"/>
        </w:rPr>
        <w:t>niversidad</w:t>
      </w:r>
      <w:r w:rsidRPr="006D02F8">
        <w:rPr>
          <w:rFonts w:ascii="Palatino Linotype" w:hAnsi="Palatino Linotype" w:eastAsia="Calibri" w:cs="Tahoma"/>
          <w:iCs/>
          <w:sz w:val="22"/>
          <w:szCs w:val="22"/>
          <w:lang w:val="es-ES" w:eastAsia="es-ES_tradnl"/>
        </w:rPr>
        <w:t>.</w:t>
      </w:r>
    </w:p>
    <w:p w:rsidRPr="006D02F8" w:rsidR="00E437B0" w:rsidP="00E437B0" w:rsidRDefault="00E437B0" w14:paraId="14C1FEA7"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D02F8" w:rsidR="00E437B0" w:rsidP="00E437B0" w:rsidRDefault="00E437B0" w14:paraId="71530B4E" w14:textId="17946315">
      <w:pPr>
        <w:spacing w:line="360" w:lineRule="auto"/>
        <w:jc w:val="both"/>
        <w:rPr>
          <w:rFonts w:ascii="Palatino Linotype" w:hAnsi="Palatino Linotype"/>
          <w:sz w:val="22"/>
          <w:szCs w:val="22"/>
        </w:rPr>
      </w:pPr>
      <w:r w:rsidRPr="006D02F8">
        <w:rPr>
          <w:rFonts w:ascii="Palatino Linotype" w:hAnsi="Palatino Linotype" w:eastAsia="Calibri" w:cs="Tahoma"/>
          <w:iCs/>
          <w:sz w:val="22"/>
          <w:szCs w:val="24"/>
          <w:lang w:val="es-ES" w:eastAsia="es-ES_tradnl"/>
        </w:rPr>
        <w:t>En respuesta, el Sujeto Obligado</w:t>
      </w:r>
      <w:r w:rsidRPr="006D02F8" w:rsidR="0080743F">
        <w:rPr>
          <w:rFonts w:ascii="Palatino Linotype" w:hAnsi="Palatino Linotype" w:eastAsia="Calibri" w:cs="Tahoma"/>
          <w:iCs/>
          <w:sz w:val="22"/>
          <w:szCs w:val="24"/>
          <w:lang w:val="es-ES" w:eastAsia="es-ES_tradnl"/>
        </w:rPr>
        <w:t>, a través de la Tesorería Municipal,</w:t>
      </w:r>
      <w:r w:rsidRPr="006D02F8">
        <w:rPr>
          <w:rFonts w:ascii="Palatino Linotype" w:hAnsi="Palatino Linotype" w:eastAsia="Calibri" w:cs="Tahoma"/>
          <w:iCs/>
          <w:sz w:val="22"/>
          <w:szCs w:val="24"/>
          <w:lang w:val="es-ES" w:eastAsia="es-ES_tradnl"/>
        </w:rPr>
        <w:t xml:space="preserve"> precisó que </w:t>
      </w:r>
      <w:r w:rsidRPr="006D02F8" w:rsidR="00687A8C">
        <w:rPr>
          <w:rFonts w:ascii="Palatino Linotype" w:hAnsi="Palatino Linotype" w:eastAsia="Calibri" w:cs="Tahoma"/>
          <w:iCs/>
          <w:sz w:val="22"/>
          <w:szCs w:val="24"/>
          <w:lang w:val="es-ES" w:eastAsia="es-ES_tradnl"/>
        </w:rPr>
        <w:t xml:space="preserve">después de realizar una búsqueda exhaustiva y razonable en sus archivos, </w:t>
      </w:r>
      <w:r w:rsidRPr="006D02F8">
        <w:rPr>
          <w:rFonts w:ascii="Palatino Linotype" w:hAnsi="Palatino Linotype" w:eastAsia="Calibri" w:cs="Tahoma"/>
          <w:iCs/>
          <w:sz w:val="22"/>
          <w:szCs w:val="24"/>
          <w:lang w:val="es-ES" w:eastAsia="es-ES_tradnl"/>
        </w:rPr>
        <w:t xml:space="preserve">no </w:t>
      </w:r>
      <w:r w:rsidRPr="006D02F8" w:rsidR="00687A8C">
        <w:rPr>
          <w:rFonts w:ascii="Palatino Linotype" w:hAnsi="Palatino Linotype" w:eastAsia="Calibri" w:cs="Tahoma"/>
          <w:iCs/>
          <w:sz w:val="22"/>
          <w:szCs w:val="24"/>
          <w:lang w:val="es-ES" w:eastAsia="es-ES_tradnl"/>
        </w:rPr>
        <w:t>encontró registro alguno por el concepto solicitado</w:t>
      </w:r>
      <w:r w:rsidRPr="006D02F8">
        <w:rPr>
          <w:rFonts w:ascii="Palatino Linotype" w:hAnsi="Palatino Linotype" w:eastAsia="Calibri" w:cs="Tahoma"/>
          <w:iCs/>
          <w:sz w:val="22"/>
          <w:szCs w:val="24"/>
          <w:lang w:val="es-ES" w:eastAsia="es-ES_tradnl"/>
        </w:rPr>
        <w:t xml:space="preserve">; </w:t>
      </w:r>
      <w:r w:rsidRPr="006D02F8">
        <w:rPr>
          <w:rFonts w:ascii="Palatino Linotype" w:hAnsi="Palatino Linotype"/>
          <w:sz w:val="22"/>
          <w:szCs w:val="22"/>
        </w:rPr>
        <w:t>ante dicha circunstancia, la parte Recurrente se inconformó</w:t>
      </w:r>
      <w:r w:rsidRPr="006D02F8" w:rsidR="0080743F">
        <w:rPr>
          <w:rFonts w:ascii="Palatino Linotype" w:hAnsi="Palatino Linotype"/>
          <w:sz w:val="22"/>
          <w:szCs w:val="22"/>
        </w:rPr>
        <w:t xml:space="preserve"> de la inexistencia,</w:t>
      </w:r>
      <w:r w:rsidRPr="006D02F8">
        <w:rPr>
          <w:rFonts w:ascii="Palatino Linotype" w:hAnsi="Palatino Linotype"/>
          <w:sz w:val="22"/>
          <w:szCs w:val="22"/>
        </w:rPr>
        <w:t xml:space="preserve"> </w:t>
      </w:r>
      <w:r w:rsidRPr="006D02F8">
        <w:rPr>
          <w:rFonts w:ascii="Palatino Linotype" w:hAnsi="Palatino Linotype" w:cs="Tahoma" w:eastAsiaTheme="minorHAnsi"/>
          <w:bCs/>
          <w:iCs/>
          <w:color w:val="000000" w:themeColor="text1"/>
          <w:sz w:val="22"/>
          <w:szCs w:val="22"/>
          <w:lang w:val="es-ES" w:eastAsia="en-US"/>
        </w:rPr>
        <w:t>al señalar que no le proporcionaban la información</w:t>
      </w:r>
      <w:r w:rsidRPr="006D02F8" w:rsidR="0080743F">
        <w:rPr>
          <w:rFonts w:ascii="Palatino Linotype" w:hAnsi="Palatino Linotype" w:cs="Tahoma" w:eastAsiaTheme="minorHAnsi"/>
          <w:bCs/>
          <w:iCs/>
          <w:color w:val="000000" w:themeColor="text1"/>
          <w:sz w:val="22"/>
          <w:szCs w:val="22"/>
          <w:lang w:val="es-ES" w:eastAsia="en-US"/>
        </w:rPr>
        <w:t xml:space="preserve"> requerida</w:t>
      </w:r>
      <w:r w:rsidRPr="006D02F8">
        <w:rPr>
          <w:rFonts w:ascii="Palatino Linotype" w:hAnsi="Palatino Linotype" w:cs="Tahoma" w:eastAsiaTheme="minorHAnsi"/>
          <w:bCs/>
          <w:iCs/>
          <w:color w:val="000000" w:themeColor="text1"/>
          <w:sz w:val="22"/>
          <w:szCs w:val="22"/>
          <w:lang w:val="es-ES" w:eastAsia="en-US"/>
        </w:rPr>
        <w:t xml:space="preserve">, lo cual actualiza el supuesto previsto en el artículo 179, fracción </w:t>
      </w:r>
      <w:r w:rsidRPr="006D02F8" w:rsidR="0080743F">
        <w:rPr>
          <w:rFonts w:ascii="Palatino Linotype" w:hAnsi="Palatino Linotype" w:cs="Tahoma" w:eastAsiaTheme="minorHAnsi"/>
          <w:bCs/>
          <w:iCs/>
          <w:color w:val="000000" w:themeColor="text1"/>
          <w:sz w:val="22"/>
          <w:szCs w:val="22"/>
          <w:lang w:val="es-ES" w:eastAsia="en-US"/>
        </w:rPr>
        <w:t>II</w:t>
      </w:r>
      <w:r w:rsidRPr="006D02F8">
        <w:rPr>
          <w:rFonts w:ascii="Palatino Linotype" w:hAnsi="Palatino Linotype" w:cs="Tahoma" w:eastAsiaTheme="minorHAnsi"/>
          <w:bCs/>
          <w:iCs/>
          <w:color w:val="000000" w:themeColor="text1"/>
          <w:sz w:val="22"/>
          <w:szCs w:val="22"/>
          <w:lang w:val="es-ES" w:eastAsia="en-US"/>
        </w:rPr>
        <w:t xml:space="preserve">I, de la Ley de Transparencia y Acceso a la </w:t>
      </w:r>
      <w:r w:rsidRPr="006D02F8">
        <w:rPr>
          <w:rFonts w:ascii="Palatino Linotype" w:hAnsi="Palatino Linotype" w:cs="Tahoma" w:eastAsiaTheme="minorHAnsi"/>
          <w:bCs/>
          <w:iCs/>
          <w:color w:val="000000" w:themeColor="text1"/>
          <w:sz w:val="22"/>
          <w:szCs w:val="22"/>
          <w:lang w:val="es-ES" w:eastAsia="en-US"/>
        </w:rPr>
        <w:lastRenderedPageBreak/>
        <w:t>Información Pública del Estado de México y Municipios</w:t>
      </w:r>
      <w:r w:rsidRPr="006D02F8">
        <w:rPr>
          <w:rFonts w:ascii="Palatino Linotype" w:hAnsi="Palatino Linotype" w:eastAsia="Calibri" w:cs="Tahoma"/>
          <w:bCs/>
          <w:iCs/>
          <w:color w:val="000000"/>
          <w:sz w:val="22"/>
          <w:szCs w:val="22"/>
          <w:lang w:val="es-ES_tradnl" w:eastAsia="en-US"/>
        </w:rPr>
        <w:t xml:space="preserve">. </w:t>
      </w:r>
      <w:r w:rsidRPr="006D02F8">
        <w:rPr>
          <w:rFonts w:ascii="Palatino Linotype" w:hAnsi="Palatino Linotype" w:cs="Tahoma" w:eastAsiaTheme="minorHAnsi"/>
          <w:color w:val="000000" w:themeColor="text1"/>
          <w:sz w:val="22"/>
          <w:szCs w:val="22"/>
          <w:lang w:val="es-ES" w:eastAsia="en-US"/>
        </w:rPr>
        <w:t xml:space="preserve">Así las cosas, una vez admitido y notificado los Recursos de Revisión a las partes, el Sujeto Obligado </w:t>
      </w:r>
      <w:r w:rsidRPr="006D02F8" w:rsidR="00687A8C">
        <w:rPr>
          <w:rFonts w:ascii="Palatino Linotype" w:hAnsi="Palatino Linotype" w:cs="Tahoma" w:eastAsiaTheme="minorHAnsi"/>
          <w:color w:val="000000" w:themeColor="text1"/>
          <w:sz w:val="22"/>
          <w:szCs w:val="22"/>
          <w:lang w:val="es-ES" w:eastAsia="en-US"/>
        </w:rPr>
        <w:t>ratificó su respuesta inicial</w:t>
      </w:r>
      <w:r w:rsidRPr="006D02F8">
        <w:rPr>
          <w:rFonts w:ascii="Palatino Linotype" w:hAnsi="Palatino Linotype" w:cs="Tahoma" w:eastAsiaTheme="minorHAnsi"/>
          <w:color w:val="000000" w:themeColor="text1"/>
          <w:sz w:val="22"/>
          <w:szCs w:val="22"/>
          <w:lang w:val="es-ES" w:eastAsia="en-US"/>
        </w:rPr>
        <w:t xml:space="preserve">. </w:t>
      </w:r>
    </w:p>
    <w:p w:rsidRPr="006D02F8" w:rsidR="00E437B0" w:rsidP="00E437B0" w:rsidRDefault="00E437B0" w14:paraId="19E5A9D9"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6D02F8" w:rsidR="00E437B0" w:rsidP="00E437B0" w:rsidRDefault="00E437B0" w14:paraId="1AB19CB6" w14:textId="77777777">
      <w:pPr>
        <w:spacing w:line="360" w:lineRule="auto"/>
        <w:jc w:val="both"/>
        <w:rPr>
          <w:rFonts w:ascii="Palatino Linotype" w:hAnsi="Palatino Linotype" w:cs="Tahoma"/>
          <w:bCs/>
          <w:sz w:val="22"/>
          <w:szCs w:val="22"/>
        </w:rPr>
      </w:pPr>
      <w:r w:rsidRPr="006D02F8">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el escrito </w:t>
      </w:r>
      <w:proofErr w:type="spellStart"/>
      <w:r w:rsidRPr="006D02F8">
        <w:rPr>
          <w:rFonts w:ascii="Palatino Linotype" w:hAnsi="Palatino Linotype" w:cs="Tahoma"/>
          <w:iCs/>
          <w:sz w:val="22"/>
          <w:szCs w:val="22"/>
        </w:rPr>
        <w:t>recursal</w:t>
      </w:r>
      <w:proofErr w:type="spellEnd"/>
      <w:r w:rsidRPr="006D02F8">
        <w:rPr>
          <w:rFonts w:ascii="Palatino Linotype" w:hAnsi="Palatino Linotype" w:cs="Tahoma"/>
          <w:iCs/>
          <w:sz w:val="22"/>
          <w:szCs w:val="22"/>
        </w:rPr>
        <w:t xml:space="preserve"> y el informe justificado; </w:t>
      </w:r>
      <w:r w:rsidRPr="006D02F8">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D02F8" w:rsidR="00E437B0" w:rsidP="00E437B0" w:rsidRDefault="00E437B0" w14:paraId="2AD5B268"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D02F8" w:rsidR="00E437B0" w:rsidP="00E437B0" w:rsidRDefault="00E437B0" w14:paraId="632A13C6" w14:textId="77777777">
      <w:pPr>
        <w:spacing w:line="360" w:lineRule="auto"/>
        <w:ind w:right="-28"/>
        <w:jc w:val="both"/>
        <w:rPr>
          <w:rFonts w:ascii="Palatino Linotype" w:hAnsi="Palatino Linotype" w:cs="Tahoma"/>
          <w:b/>
          <w:sz w:val="22"/>
          <w:szCs w:val="22"/>
        </w:rPr>
      </w:pPr>
      <w:r w:rsidRPr="006D02F8">
        <w:rPr>
          <w:rFonts w:ascii="Palatino Linotype" w:hAnsi="Palatino Linotype" w:cs="Tahoma"/>
          <w:b/>
          <w:sz w:val="22"/>
          <w:szCs w:val="22"/>
          <w:lang w:val="es-ES"/>
        </w:rPr>
        <w:t xml:space="preserve">CUARTO. </w:t>
      </w:r>
      <w:r w:rsidRPr="006D02F8">
        <w:rPr>
          <w:rFonts w:ascii="Palatino Linotype" w:hAnsi="Palatino Linotype" w:cs="Tahoma"/>
          <w:b/>
          <w:sz w:val="22"/>
          <w:szCs w:val="22"/>
        </w:rPr>
        <w:t>Marco normativo aplicable en materia de transparencia y acceso a la información pública.</w:t>
      </w:r>
    </w:p>
    <w:p w:rsidRPr="006D02F8" w:rsidR="00E437B0" w:rsidP="00E437B0" w:rsidRDefault="00E437B0" w14:paraId="60458485" w14:textId="77777777">
      <w:pPr>
        <w:spacing w:line="360" w:lineRule="auto"/>
        <w:ind w:right="-28"/>
        <w:jc w:val="both"/>
        <w:rPr>
          <w:rFonts w:ascii="Palatino Linotype" w:hAnsi="Palatino Linotype" w:cs="Tahoma"/>
          <w:b/>
          <w:sz w:val="22"/>
          <w:szCs w:val="22"/>
        </w:rPr>
      </w:pPr>
    </w:p>
    <w:p w:rsidRPr="006D02F8" w:rsidR="00E437B0" w:rsidP="00E437B0" w:rsidRDefault="00E437B0" w14:paraId="65F9CA3D"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D02F8" w:rsidR="00E437B0" w:rsidP="00E437B0" w:rsidRDefault="00E437B0" w14:paraId="3AD083E4"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6C6093B9"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D02F8" w:rsidR="00E437B0" w:rsidP="00E437B0" w:rsidRDefault="00E437B0" w14:paraId="50100E80"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13092CBA"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D02F8" w:rsidR="00E437B0" w:rsidP="00E437B0" w:rsidRDefault="00E437B0" w14:paraId="6205A872"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0E1C0531"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6D02F8" w:rsidR="00E437B0" w:rsidP="00E437B0" w:rsidRDefault="00E437B0" w14:paraId="63FFF23B"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6CFC9B92"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6D02F8" w:rsidR="00E437B0" w:rsidP="00E437B0" w:rsidRDefault="00E437B0" w14:paraId="31E91D96"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5720CC8C"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6D02F8" w:rsidR="00E437B0" w:rsidP="00E437B0" w:rsidRDefault="00E437B0" w14:paraId="2053F486" w14:textId="77777777">
      <w:pPr>
        <w:spacing w:line="360" w:lineRule="auto"/>
        <w:ind w:right="-28"/>
        <w:jc w:val="both"/>
        <w:rPr>
          <w:rFonts w:ascii="Palatino Linotype" w:hAnsi="Palatino Linotype" w:cs="Tahoma"/>
          <w:bCs/>
          <w:iCs/>
          <w:sz w:val="22"/>
          <w:szCs w:val="22"/>
        </w:rPr>
      </w:pPr>
    </w:p>
    <w:p w:rsidRPr="006D02F8" w:rsidR="00E437B0" w:rsidP="00E437B0" w:rsidRDefault="00E437B0" w14:paraId="4FD86E1A" w14:textId="77777777">
      <w:pPr>
        <w:spacing w:line="360" w:lineRule="auto"/>
        <w:ind w:right="-28"/>
        <w:jc w:val="both"/>
        <w:rPr>
          <w:rFonts w:ascii="Palatino Linotype" w:hAnsi="Palatino Linotype" w:cs="Tahoma"/>
          <w:bCs/>
          <w:iCs/>
          <w:sz w:val="22"/>
          <w:szCs w:val="22"/>
        </w:rPr>
      </w:pPr>
      <w:r w:rsidRPr="006D02F8">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D02F8" w:rsidR="00E437B0" w:rsidP="00E437B0" w:rsidRDefault="00E437B0" w14:paraId="3D04C8D7" w14:textId="77777777">
      <w:pPr>
        <w:spacing w:line="360" w:lineRule="auto"/>
        <w:ind w:right="-28"/>
        <w:jc w:val="both"/>
        <w:rPr>
          <w:rFonts w:ascii="Palatino Linotype" w:hAnsi="Palatino Linotype" w:cs="Tahoma"/>
          <w:b/>
          <w:sz w:val="22"/>
          <w:szCs w:val="22"/>
          <w:lang w:val="es-ES"/>
        </w:rPr>
      </w:pPr>
    </w:p>
    <w:p w:rsidRPr="006D02F8" w:rsidR="00E437B0" w:rsidP="00E437B0" w:rsidRDefault="00E437B0" w14:paraId="7B99C16F" w14:textId="77777777">
      <w:pPr>
        <w:tabs>
          <w:tab w:val="left" w:pos="4962"/>
        </w:tabs>
        <w:spacing w:line="360" w:lineRule="auto"/>
        <w:contextualSpacing/>
        <w:jc w:val="both"/>
        <w:rPr>
          <w:rFonts w:ascii="Palatino Linotype" w:hAnsi="Palatino Linotype" w:cs="Tahoma"/>
          <w:sz w:val="22"/>
          <w:szCs w:val="22"/>
        </w:rPr>
      </w:pPr>
      <w:r w:rsidRPr="006D02F8">
        <w:rPr>
          <w:rFonts w:ascii="Palatino Linotype" w:hAnsi="Palatino Linotype" w:cs="Tahoma"/>
          <w:sz w:val="22"/>
          <w:szCs w:val="22"/>
        </w:rPr>
        <w:t>El artículo 92, detalla la información que corresponde a las Obligaciones Comunes de Transparencia, de las que destacan las contenidas en las fracciones XXIX y XXXII, concernientes la información relacionada con los procesos y resultados sobre procedimientos de adjudicación directa, invitación restringida y licitación pública, así como, los contratos celebrados.</w:t>
      </w:r>
    </w:p>
    <w:p w:rsidRPr="006D02F8" w:rsidR="00E437B0" w:rsidP="00E437B0" w:rsidRDefault="00E437B0" w14:paraId="549EBDA7" w14:textId="77777777">
      <w:pPr>
        <w:spacing w:line="360" w:lineRule="auto"/>
        <w:ind w:right="-28"/>
        <w:jc w:val="both"/>
        <w:rPr>
          <w:rFonts w:ascii="Palatino Linotype" w:hAnsi="Palatino Linotype" w:cs="Tahoma"/>
          <w:b/>
          <w:sz w:val="22"/>
          <w:szCs w:val="22"/>
          <w:lang w:val="es-ES"/>
        </w:rPr>
      </w:pPr>
    </w:p>
    <w:p w:rsidRPr="006D02F8" w:rsidR="00E437B0" w:rsidP="00E437B0" w:rsidRDefault="00E437B0" w14:paraId="68DE9318" w14:textId="77777777">
      <w:pPr>
        <w:spacing w:line="360" w:lineRule="auto"/>
        <w:ind w:right="-28"/>
        <w:contextualSpacing/>
        <w:jc w:val="both"/>
        <w:rPr>
          <w:rFonts w:ascii="Palatino Linotype" w:hAnsi="Palatino Linotype" w:cs="Tahoma"/>
          <w:b/>
          <w:sz w:val="22"/>
          <w:szCs w:val="22"/>
        </w:rPr>
      </w:pPr>
      <w:r w:rsidRPr="006D02F8">
        <w:rPr>
          <w:rFonts w:ascii="Palatino Linotype" w:hAnsi="Palatino Linotype" w:cs="Tahoma"/>
          <w:b/>
          <w:sz w:val="22"/>
          <w:szCs w:val="22"/>
        </w:rPr>
        <w:t>QUINTO. Estudio de Fondo.</w:t>
      </w:r>
    </w:p>
    <w:p w:rsidRPr="006D02F8" w:rsidR="00E437B0" w:rsidP="00E437B0" w:rsidRDefault="00E437B0" w14:paraId="3DBE0158"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6D02F8" w:rsidR="00E437B0" w:rsidP="00E437B0" w:rsidRDefault="00E437B0" w14:paraId="3D466FF3" w14:textId="1EB763F8">
      <w:pPr>
        <w:spacing w:line="360" w:lineRule="auto"/>
        <w:ind w:right="-28"/>
        <w:contextualSpacing/>
        <w:jc w:val="both"/>
        <w:rPr>
          <w:rFonts w:ascii="Palatino Linotype" w:hAnsi="Palatino Linotype" w:cs="Tahoma"/>
          <w:bCs/>
          <w:iCs/>
          <w:sz w:val="22"/>
          <w:szCs w:val="22"/>
        </w:rPr>
      </w:pPr>
      <w:r w:rsidRPr="006D02F8">
        <w:rPr>
          <w:rFonts w:ascii="Palatino Linotype" w:hAnsi="Palatino Linotype" w:cs="Tahoma"/>
          <w:bCs/>
          <w:iCs/>
          <w:sz w:val="22"/>
          <w:szCs w:val="22"/>
        </w:rPr>
        <w:t xml:space="preserve">Expuestas las posturas de las partes, se procede al análisis del agravio hecho valer por el Particular, concerniente a la entrega de información que no corresponde con lo solicitado; para lo cual, en principio es necesario contextualizar la solicitud de información relacionada con el </w:t>
      </w:r>
      <w:r w:rsidRPr="006D02F8" w:rsidR="00687A8C">
        <w:rPr>
          <w:rFonts w:ascii="Palatino Linotype" w:hAnsi="Palatino Linotype" w:cs="Tahoma"/>
          <w:bCs/>
          <w:iCs/>
          <w:sz w:val="22"/>
          <w:szCs w:val="22"/>
        </w:rPr>
        <w:t>monto erogado para la instalación de los parquímetros virtuales</w:t>
      </w:r>
      <w:r w:rsidRPr="006D02F8" w:rsidR="00F32C10">
        <w:rPr>
          <w:rFonts w:ascii="Palatino Linotype" w:hAnsi="Palatino Linotype" w:cs="Tahoma"/>
          <w:bCs/>
          <w:iCs/>
          <w:sz w:val="22"/>
          <w:szCs w:val="22"/>
        </w:rPr>
        <w:t xml:space="preserve"> instalados</w:t>
      </w:r>
      <w:r w:rsidRPr="006D02F8">
        <w:rPr>
          <w:rFonts w:ascii="Palatino Linotype" w:hAnsi="Palatino Linotype" w:cs="Tahoma"/>
          <w:bCs/>
          <w:iCs/>
          <w:sz w:val="22"/>
          <w:szCs w:val="22"/>
        </w:rPr>
        <w:t>.</w:t>
      </w:r>
    </w:p>
    <w:p w:rsidRPr="006D02F8" w:rsidR="00E437B0" w:rsidP="00E437B0" w:rsidRDefault="00E437B0" w14:paraId="52419518" w14:textId="77777777">
      <w:pPr>
        <w:spacing w:line="360" w:lineRule="auto"/>
        <w:ind w:right="-28"/>
        <w:contextualSpacing/>
        <w:jc w:val="both"/>
        <w:rPr>
          <w:rFonts w:ascii="Palatino Linotype" w:hAnsi="Palatino Linotype" w:cs="Tahoma"/>
          <w:bCs/>
          <w:iCs/>
          <w:sz w:val="22"/>
          <w:szCs w:val="22"/>
        </w:rPr>
      </w:pPr>
    </w:p>
    <w:p w:rsidRPr="006D02F8" w:rsidR="00E437B0" w:rsidP="00E437B0" w:rsidRDefault="00E437B0" w14:paraId="39018F10" w14:textId="38CC6008">
      <w:pPr>
        <w:spacing w:line="360" w:lineRule="auto"/>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Sobre</w:t>
      </w:r>
      <w:r w:rsidRPr="006D02F8">
        <w:rPr>
          <w:rFonts w:ascii="Palatino Linotype" w:hAnsi="Palatino Linotype" w:eastAsiaTheme="minorHAnsi" w:cstheme="minorBidi"/>
          <w:color w:val="000000" w:themeColor="text1"/>
          <w:sz w:val="22"/>
          <w:szCs w:val="22"/>
          <w:lang w:eastAsia="en-US"/>
        </w:rPr>
        <w:t xml:space="preserve"> el tema, López Olvera, Miguel Alejandro </w:t>
      </w:r>
      <w:proofErr w:type="spellStart"/>
      <w:r w:rsidRPr="006D02F8">
        <w:rPr>
          <w:rFonts w:ascii="Palatino Linotype" w:hAnsi="Palatino Linotype" w:eastAsiaTheme="minorHAnsi" w:cstheme="minorBidi"/>
          <w:color w:val="000000" w:themeColor="text1"/>
          <w:sz w:val="22"/>
          <w:szCs w:val="22"/>
          <w:lang w:eastAsia="en-US"/>
        </w:rPr>
        <w:t>Cancino</w:t>
      </w:r>
      <w:proofErr w:type="spellEnd"/>
      <w:r w:rsidRPr="006D02F8">
        <w:rPr>
          <w:rFonts w:ascii="Palatino Linotype" w:hAnsi="Palatino Linotype" w:eastAsiaTheme="minorHAnsi" w:cstheme="minorBidi"/>
          <w:color w:val="000000" w:themeColor="text1"/>
          <w:sz w:val="22"/>
          <w:szCs w:val="22"/>
          <w:lang w:eastAsia="en-US"/>
        </w:rPr>
        <w:t xml:space="preserve"> Gómez, Rodolfo. (2020). “La Contratación Pública y el Sistema Nacional Anticorrupción”. (p. 4) la </w:t>
      </w:r>
      <w:r w:rsidRPr="006D02F8">
        <w:rPr>
          <w:rFonts w:ascii="Palatino Linotype" w:hAnsi="Palatino Linotype" w:eastAsiaTheme="minorHAnsi" w:cstheme="minorBidi"/>
          <w:b/>
          <w:color w:val="000000" w:themeColor="text1"/>
          <w:sz w:val="22"/>
          <w:szCs w:val="22"/>
          <w:lang w:eastAsia="en-US"/>
        </w:rPr>
        <w:t>contratación pública</w:t>
      </w:r>
      <w:r w:rsidRPr="006D02F8">
        <w:rPr>
          <w:rFonts w:ascii="Palatino Linotype" w:hAnsi="Palatino Linotype" w:eastAsiaTheme="minorHAnsi"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w:t>
      </w:r>
      <w:r w:rsidRPr="006D02F8" w:rsidR="0080743F">
        <w:rPr>
          <w:rFonts w:ascii="Palatino Linotype" w:hAnsi="Palatino Linotype" w:eastAsiaTheme="minorHAnsi" w:cstheme="minorBidi"/>
          <w:color w:val="000000" w:themeColor="text1"/>
          <w:sz w:val="22"/>
          <w:szCs w:val="22"/>
          <w:lang w:eastAsia="en-US"/>
        </w:rPr>
        <w:t xml:space="preserve">olectiva, para que ésta, entregue o arrende un bien, preste </w:t>
      </w:r>
      <w:r w:rsidRPr="006D02F8">
        <w:rPr>
          <w:rFonts w:ascii="Palatino Linotype" w:hAnsi="Palatino Linotype" w:eastAsiaTheme="minorHAnsi" w:cstheme="minorBidi"/>
          <w:color w:val="000000" w:themeColor="text1"/>
          <w:sz w:val="22"/>
          <w:szCs w:val="22"/>
          <w:lang w:eastAsia="en-US"/>
        </w:rPr>
        <w:t>algún servicio público o lleve a cabo la ejecución de una obra pública, con recursos públicos del Estado y en beneficio de la colectividad.</w:t>
      </w:r>
    </w:p>
    <w:p w:rsidRPr="006D02F8" w:rsidR="00E437B0" w:rsidP="00E437B0" w:rsidRDefault="00E437B0" w14:paraId="0BDA2E62" w14:textId="77777777">
      <w:pPr>
        <w:spacing w:line="360" w:lineRule="auto"/>
        <w:contextualSpacing/>
        <w:jc w:val="both"/>
        <w:rPr>
          <w:rFonts w:ascii="Palatino Linotype" w:hAnsi="Palatino Linotype" w:eastAsiaTheme="minorHAnsi" w:cstheme="minorBidi"/>
          <w:color w:val="000000" w:themeColor="text1"/>
          <w:sz w:val="22"/>
          <w:szCs w:val="22"/>
          <w:lang w:eastAsia="en-US"/>
        </w:rPr>
      </w:pPr>
    </w:p>
    <w:p w:rsidRPr="006D02F8" w:rsidR="00A447D7" w:rsidP="00A447D7" w:rsidRDefault="00A447D7" w14:paraId="76057A7E" w14:textId="77777777">
      <w:pPr>
        <w:spacing w:line="360" w:lineRule="auto"/>
        <w:jc w:val="both"/>
        <w:rPr>
          <w:rFonts w:ascii="Palatino Linotype" w:hAnsi="Palatino Linotype" w:eastAsia="Calibri"/>
          <w:color w:val="000000" w:themeColor="text1"/>
          <w:sz w:val="22"/>
          <w:szCs w:val="22"/>
          <w:lang w:eastAsia="en-US"/>
        </w:rPr>
      </w:pPr>
      <w:r w:rsidRPr="006D02F8">
        <w:rPr>
          <w:rFonts w:ascii="Palatino Linotype" w:hAnsi="Palatino Linotype" w:eastAsia="Calibri"/>
          <w:color w:val="000000" w:themeColor="text1"/>
          <w:sz w:val="22"/>
          <w:szCs w:val="22"/>
          <w:lang w:eastAsia="en-US"/>
        </w:rPr>
        <w:t>Sobre el tema,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rsidRPr="006D02F8" w:rsidR="00A447D7" w:rsidP="00A447D7" w:rsidRDefault="00A447D7" w14:paraId="4B392B49" w14:textId="77777777">
      <w:pPr>
        <w:spacing w:line="360" w:lineRule="auto"/>
        <w:jc w:val="both"/>
        <w:rPr>
          <w:rFonts w:ascii="Palatino Linotype" w:hAnsi="Palatino Linotype" w:eastAsia="Calibri"/>
          <w:color w:val="000000" w:themeColor="text1"/>
          <w:sz w:val="22"/>
          <w:szCs w:val="22"/>
          <w:lang w:eastAsia="en-US"/>
        </w:rPr>
      </w:pPr>
    </w:p>
    <w:p w:rsidRPr="006D02F8" w:rsidR="00A447D7" w:rsidP="00A447D7" w:rsidRDefault="00A447D7" w14:paraId="6B3E5E91" w14:textId="77777777">
      <w:pPr>
        <w:spacing w:line="360" w:lineRule="auto"/>
        <w:jc w:val="both"/>
        <w:rPr>
          <w:rFonts w:ascii="Palatino Linotype" w:hAnsi="Palatino Linotype" w:eastAsia="Calibri"/>
          <w:color w:val="000000" w:themeColor="text1"/>
          <w:sz w:val="22"/>
          <w:szCs w:val="22"/>
          <w:lang w:eastAsia="en-US"/>
        </w:rPr>
      </w:pPr>
      <w:r w:rsidRPr="006D02F8">
        <w:rPr>
          <w:rFonts w:ascii="Palatino Linotype" w:hAnsi="Palatino Linotype" w:eastAsia="Calibri"/>
          <w:color w:val="000000" w:themeColor="text1"/>
          <w:sz w:val="22"/>
          <w:szCs w:val="22"/>
          <w:lang w:eastAsia="en-US"/>
        </w:rPr>
        <w:t xml:space="preserve">En ese orden de ideas, es responsabilidad de los Ayuntamientos ejecutar la obra pública respectiva, mediante contrato con terceros o por administración directa; dicho acto jurídico, será </w:t>
      </w:r>
      <w:r w:rsidRPr="006D02F8">
        <w:rPr>
          <w:rFonts w:ascii="Palatino Linotype" w:hAnsi="Palatino Linotype" w:eastAsia="Calibri"/>
          <w:b/>
          <w:bCs/>
          <w:color w:val="000000" w:themeColor="text1"/>
          <w:sz w:val="22"/>
          <w:szCs w:val="22"/>
          <w:lang w:eastAsia="en-US"/>
        </w:rPr>
        <w:t>adjudicado a través de licitaciones públicas,</w:t>
      </w:r>
      <w:r w:rsidRPr="006D02F8">
        <w:rPr>
          <w:rFonts w:ascii="Palatino Linotype" w:hAnsi="Palatino Linotype" w:eastAsia="Calibri"/>
          <w:color w:val="000000" w:themeColor="text1"/>
          <w:sz w:val="22"/>
          <w:szCs w:val="22"/>
          <w:lang w:eastAsia="en-US"/>
        </w:rPr>
        <w:t xml:space="preserve"> invitación restringida o adjudicación directa, conforme a los artículos 12.8, 12.20 y 12.21 del Código mencionado.</w:t>
      </w:r>
    </w:p>
    <w:p w:rsidRPr="006D02F8" w:rsidR="00A447D7" w:rsidP="00A447D7" w:rsidRDefault="00A447D7" w14:paraId="20A2E3A6" w14:textId="77777777">
      <w:pPr>
        <w:spacing w:line="360" w:lineRule="auto"/>
        <w:jc w:val="both"/>
        <w:rPr>
          <w:rFonts w:ascii="Palatino Linotype" w:hAnsi="Palatino Linotype" w:eastAsia="Calibri"/>
          <w:color w:val="000000" w:themeColor="text1"/>
          <w:sz w:val="22"/>
          <w:szCs w:val="22"/>
          <w:lang w:eastAsia="en-US"/>
        </w:rPr>
      </w:pPr>
    </w:p>
    <w:p w:rsidRPr="006D02F8" w:rsidR="00A447D7" w:rsidP="00A447D7" w:rsidRDefault="00A447D7" w14:paraId="52BED2B7" w14:textId="77777777">
      <w:pPr>
        <w:spacing w:line="360" w:lineRule="auto"/>
        <w:jc w:val="both"/>
        <w:rPr>
          <w:rFonts w:ascii="Palatino Linotype" w:hAnsi="Palatino Linotype" w:eastAsia="Calibri" w:cs="Tahoma"/>
          <w:color w:val="000000" w:themeColor="text1"/>
          <w:sz w:val="22"/>
          <w:szCs w:val="22"/>
          <w:lang w:eastAsia="en-US"/>
        </w:rPr>
      </w:pPr>
      <w:r w:rsidRPr="006D02F8">
        <w:rPr>
          <w:rFonts w:ascii="Palatino Linotype" w:hAnsi="Palatino Linotype" w:eastAsia="Calibri" w:cs="Tahoma"/>
          <w:color w:val="000000" w:themeColor="text1"/>
          <w:sz w:val="22"/>
          <w:szCs w:val="22"/>
          <w:lang w:eastAsia="en-U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mueves e inmuebles), arrendamiento (bienes mueves e inmuebles), </w:t>
      </w:r>
      <w:r w:rsidRPr="006D02F8">
        <w:rPr>
          <w:rFonts w:ascii="Palatino Linotype" w:hAnsi="Palatino Linotype" w:eastAsia="Calibri" w:cs="Tahoma"/>
          <w:color w:val="000000" w:themeColor="text1"/>
          <w:sz w:val="22"/>
          <w:szCs w:val="22"/>
          <w:lang w:eastAsia="en-US"/>
        </w:rPr>
        <w:lastRenderedPageBreak/>
        <w:t xml:space="preserve">y la contratación de servicios de cualquier naturaleza, que realicen los Ayuntamientos de los Municipios. </w:t>
      </w:r>
    </w:p>
    <w:p w:rsidRPr="006D02F8" w:rsidR="00A447D7" w:rsidP="00A447D7" w:rsidRDefault="00A447D7" w14:paraId="7DA6A200" w14:textId="77777777">
      <w:pPr>
        <w:spacing w:line="360" w:lineRule="auto"/>
        <w:jc w:val="both"/>
        <w:rPr>
          <w:rFonts w:ascii="Palatino Linotype" w:hAnsi="Palatino Linotype" w:eastAsia="Calibri" w:cs="Tahoma"/>
          <w:color w:val="000000" w:themeColor="text1"/>
          <w:sz w:val="22"/>
          <w:szCs w:val="22"/>
          <w:lang w:eastAsia="en-US"/>
        </w:rPr>
      </w:pPr>
    </w:p>
    <w:p w:rsidRPr="006D02F8" w:rsidR="00A447D7" w:rsidP="00A447D7" w:rsidRDefault="00A447D7" w14:paraId="66061533" w14:textId="77777777">
      <w:pPr>
        <w:spacing w:line="360" w:lineRule="auto"/>
        <w:jc w:val="both"/>
        <w:rPr>
          <w:rFonts w:ascii="Palatino Linotype" w:hAnsi="Palatino Linotype" w:eastAsia="Calibri" w:cs="Tahoma"/>
          <w:color w:val="000000" w:themeColor="text1"/>
          <w:sz w:val="22"/>
          <w:szCs w:val="22"/>
          <w:lang w:eastAsia="en-US"/>
        </w:rPr>
      </w:pPr>
    </w:p>
    <w:p w:rsidRPr="006D02F8" w:rsidR="00A447D7" w:rsidP="00A447D7" w:rsidRDefault="00A447D7" w14:paraId="7CA1CCF0" w14:textId="77777777">
      <w:pPr>
        <w:spacing w:line="360" w:lineRule="auto"/>
        <w:jc w:val="both"/>
        <w:rPr>
          <w:rFonts w:ascii="Palatino Linotype" w:hAnsi="Palatino Linotype" w:eastAsia="Calibri" w:cs="Tahoma"/>
          <w:color w:val="000000" w:themeColor="text1"/>
          <w:sz w:val="22"/>
          <w:szCs w:val="22"/>
          <w:lang w:eastAsia="en-US"/>
        </w:rPr>
      </w:pPr>
      <w:r w:rsidRPr="006D02F8">
        <w:rPr>
          <w:rFonts w:ascii="Palatino Linotype" w:hAnsi="Palatino Linotype" w:eastAsia="Calibri" w:cs="Tahoma"/>
          <w:color w:val="000000" w:themeColor="text1"/>
          <w:sz w:val="22"/>
          <w:szCs w:val="22"/>
          <w:lang w:eastAsia="en-US"/>
        </w:rPr>
        <w:t>En ese contexto, conforme a los artículos 26 y 27 de dicho ordenamiento jurídico, las adquisiciones, arrendamientos y servicios, se adjudicarán a través de procedimientos de licitación pública, invitación restringida y adjudicación directa.</w:t>
      </w:r>
    </w:p>
    <w:p w:rsidRPr="006D02F8" w:rsidR="00A447D7" w:rsidP="00A447D7" w:rsidRDefault="00A447D7" w14:paraId="2404192B" w14:textId="77777777">
      <w:pPr>
        <w:spacing w:line="360" w:lineRule="auto"/>
        <w:jc w:val="both"/>
        <w:rPr>
          <w:rFonts w:ascii="Palatino Linotype" w:hAnsi="Palatino Linotype" w:eastAsia="Calibri" w:cs="Tahoma"/>
          <w:color w:val="000000" w:themeColor="text1"/>
          <w:sz w:val="22"/>
          <w:szCs w:val="22"/>
          <w:lang w:eastAsia="en-US"/>
        </w:rPr>
      </w:pPr>
    </w:p>
    <w:p w:rsidRPr="006D02F8" w:rsidR="00A447D7" w:rsidP="00A447D7" w:rsidRDefault="00A447D7" w14:paraId="4123CCDF" w14:textId="77777777">
      <w:pPr>
        <w:spacing w:line="360" w:lineRule="auto"/>
        <w:jc w:val="both"/>
        <w:rPr>
          <w:rFonts w:ascii="Palatino Linotype" w:hAnsi="Palatino Linotype" w:cs="Tahoma" w:eastAsiaTheme="minorHAnsi"/>
          <w:color w:val="000000" w:themeColor="text1"/>
          <w:sz w:val="22"/>
          <w:szCs w:val="22"/>
          <w:lang w:val="es-ES" w:eastAsia="en-US"/>
        </w:rPr>
      </w:pPr>
      <w:r w:rsidRPr="006D02F8">
        <w:rPr>
          <w:rFonts w:ascii="Palatino Linotype" w:hAnsi="Palatino Linotype" w:eastAsiaTheme="minorHAnsi" w:cstheme="minorBidi"/>
          <w:color w:val="000000" w:themeColor="text1"/>
          <w:sz w:val="22"/>
          <w:szCs w:val="22"/>
          <w:lang w:eastAsia="en-US"/>
        </w:rPr>
        <w:t xml:space="preserve">Ahora bien, sobre los documentos peticionados, se trae </w:t>
      </w:r>
      <w:r w:rsidRPr="006D02F8">
        <w:rPr>
          <w:rFonts w:ascii="Palatino Linotype" w:hAnsi="Palatino Linotype" w:cs="Tahoma" w:eastAsiaTheme="minorHAnsi"/>
          <w:color w:val="000000" w:themeColor="text1"/>
          <w:sz w:val="22"/>
          <w:szCs w:val="22"/>
          <w:lang w:val="es-ES" w:eastAsia="en-US"/>
        </w:rPr>
        <w:t xml:space="preserve">a colación el artículo 12.38 del Código Administrativo del Estado de México y el 65 de la Ley de Contratación Pública del Estado de México y Municipios, que establecen que la adjudicación de un procedimiento de </w:t>
      </w:r>
      <w:r w:rsidRPr="006D02F8">
        <w:rPr>
          <w:rFonts w:ascii="Palatino Linotype" w:hAnsi="Palatino Linotype" w:cs="Tahoma" w:eastAsiaTheme="minorHAnsi"/>
          <w:b/>
          <w:bCs/>
          <w:color w:val="000000" w:themeColor="text1"/>
          <w:sz w:val="22"/>
          <w:szCs w:val="22"/>
          <w:lang w:val="es-ES" w:eastAsia="en-US"/>
        </w:rPr>
        <w:t>adquisición y arrendamiento de bienes, contratación de servicios y ejecución de obra,</w:t>
      </w:r>
      <w:r w:rsidRPr="006D02F8">
        <w:rPr>
          <w:rFonts w:ascii="Palatino Linotype" w:hAnsi="Palatino Linotype" w:cs="Tahoma" w:eastAsiaTheme="minorHAnsi"/>
          <w:color w:val="000000" w:themeColor="text1"/>
          <w:sz w:val="22"/>
          <w:szCs w:val="22"/>
          <w:lang w:val="es-ES" w:eastAsia="en-US"/>
        </w:rPr>
        <w:t xml:space="preserve"> se realizará mediante la suscripción de un contrato, entre el Ayuntamiento y la persona a la cual haya ganado el procedimiento licitatorio, dentro de los diez días hábiles siguientes a la notificación del fallo.</w:t>
      </w:r>
    </w:p>
    <w:p w:rsidRPr="006D02F8" w:rsidR="00A447D7" w:rsidP="00A447D7" w:rsidRDefault="00A447D7" w14:paraId="15775E62" w14:textId="77777777">
      <w:pPr>
        <w:spacing w:line="360" w:lineRule="auto"/>
        <w:jc w:val="both"/>
        <w:rPr>
          <w:rFonts w:ascii="Palatino Linotype" w:hAnsi="Palatino Linotype" w:eastAsiaTheme="minorHAnsi" w:cstheme="minorBidi"/>
          <w:color w:val="000000" w:themeColor="text1"/>
          <w:sz w:val="22"/>
          <w:szCs w:val="22"/>
          <w:lang w:eastAsia="en-US"/>
        </w:rPr>
      </w:pPr>
    </w:p>
    <w:p w:rsidRPr="006D02F8" w:rsidR="00A447D7" w:rsidP="00A447D7" w:rsidRDefault="00A447D7" w14:paraId="1F6C8123" w14:textId="77777777">
      <w:pPr>
        <w:spacing w:line="360" w:lineRule="auto"/>
        <w:jc w:val="both"/>
        <w:rPr>
          <w:rFonts w:ascii="Palatino Linotype" w:hAnsi="Palatino Linotype" w:cs="Tahoma" w:eastAsiaTheme="minorHAnsi"/>
          <w:b/>
          <w:color w:val="000000" w:themeColor="text1"/>
          <w:sz w:val="22"/>
          <w:szCs w:val="22"/>
          <w:lang w:val="es-ES" w:eastAsia="en-US"/>
        </w:rPr>
      </w:pPr>
      <w:r w:rsidRPr="006D02F8">
        <w:rPr>
          <w:rFonts w:ascii="Palatino Linotype" w:hAnsi="Palatino Linotype" w:cs="Tahoma" w:eastAsiaTheme="minorHAnsi"/>
          <w:color w:val="000000" w:themeColor="text1"/>
          <w:sz w:val="22"/>
          <w:szCs w:val="22"/>
          <w:lang w:val="es-ES" w:eastAsia="en-US"/>
        </w:rPr>
        <w:t xml:space="preserve">Además, que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Pr="006D02F8">
        <w:rPr>
          <w:rFonts w:ascii="Palatino Linotype" w:hAnsi="Palatino Linotype" w:cs="Tahoma" w:eastAsiaTheme="minorHAnsi"/>
          <w:b/>
          <w:color w:val="000000" w:themeColor="text1"/>
          <w:sz w:val="22"/>
          <w:szCs w:val="22"/>
          <w:lang w:val="es-ES" w:eastAsia="en-US"/>
        </w:rPr>
        <w:t>así como el importe total.</w:t>
      </w:r>
    </w:p>
    <w:p w:rsidRPr="006D02F8" w:rsidR="00E437B0" w:rsidP="00E437B0" w:rsidRDefault="00E437B0" w14:paraId="6E68E601" w14:textId="77777777">
      <w:pPr>
        <w:spacing w:line="360" w:lineRule="auto"/>
        <w:contextualSpacing/>
        <w:jc w:val="both"/>
        <w:rPr>
          <w:rFonts w:ascii="Palatino Linotype" w:hAnsi="Palatino Linotype" w:eastAsia="Calibri" w:cs="Tahoma"/>
          <w:color w:val="000000" w:themeColor="text1"/>
          <w:sz w:val="22"/>
          <w:szCs w:val="22"/>
          <w:lang w:eastAsia="en-US"/>
        </w:rPr>
      </w:pPr>
    </w:p>
    <w:p w:rsidRPr="006D02F8" w:rsidR="00E437B0" w:rsidP="00E437B0" w:rsidRDefault="00A447D7" w14:paraId="494C97F1" w14:textId="6EC1D86F">
      <w:pPr>
        <w:spacing w:line="360" w:lineRule="auto"/>
        <w:contextualSpacing/>
        <w:jc w:val="both"/>
        <w:rPr>
          <w:rFonts w:ascii="Palatino Linotype" w:hAnsi="Palatino Linotype" w:cs="Tahoma"/>
          <w:color w:val="0D0D0D" w:themeColor="text1" w:themeTint="F2"/>
          <w:sz w:val="22"/>
          <w:szCs w:val="22"/>
        </w:rPr>
      </w:pPr>
      <w:r w:rsidRPr="006D02F8">
        <w:rPr>
          <w:rFonts w:ascii="Palatino Linotype" w:hAnsi="Palatino Linotype" w:cs="Tahoma"/>
          <w:color w:val="0D0D0D" w:themeColor="text1" w:themeTint="F2"/>
          <w:sz w:val="22"/>
          <w:szCs w:val="22"/>
        </w:rPr>
        <w:t>En ese orden de ideas, por lo que hace al monto erogado,</w:t>
      </w:r>
      <w:r w:rsidRPr="006D02F8" w:rsidR="00E437B0">
        <w:rPr>
          <w:rFonts w:ascii="Palatino Linotype" w:hAnsi="Palatino Linotype" w:cs="Tahoma"/>
          <w:color w:val="0D0D0D" w:themeColor="text1" w:themeTint="F2"/>
          <w:sz w:val="22"/>
          <w:szCs w:val="22"/>
        </w:rPr>
        <w:t xml:space="preserve"> </w:t>
      </w:r>
      <w:r w:rsidRPr="006D02F8" w:rsidR="00E437B0">
        <w:rPr>
          <w:rFonts w:ascii="Palatino Linotype" w:hAnsi="Palatino Linotype" w:cs="Tahoma"/>
          <w:iCs/>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6D02F8" w:rsidR="00E437B0">
        <w:rPr>
          <w:rFonts w:ascii="Palatino Linotype" w:hAnsi="Palatino Linotype" w:cs="Tahoma"/>
          <w:b/>
          <w:bCs/>
          <w:iCs/>
          <w:sz w:val="22"/>
          <w:szCs w:val="22"/>
          <w:lang w:val="es-ES"/>
        </w:rPr>
        <w:t xml:space="preserve">transacciones que realiza un ente público y los eventos económicos identificables y </w:t>
      </w:r>
      <w:r w:rsidRPr="006D02F8" w:rsidR="00E437B0">
        <w:rPr>
          <w:rFonts w:ascii="Palatino Linotype" w:hAnsi="Palatino Linotype" w:cs="Tahoma"/>
          <w:b/>
          <w:bCs/>
          <w:iCs/>
          <w:sz w:val="22"/>
          <w:szCs w:val="22"/>
          <w:lang w:val="es-ES"/>
        </w:rPr>
        <w:lastRenderedPageBreak/>
        <w:t>cuantificable</w:t>
      </w:r>
      <w:r w:rsidRPr="006D02F8" w:rsidR="00E437B0">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rsidRPr="006D02F8" w:rsidR="00E437B0" w:rsidP="00E437B0" w:rsidRDefault="00E437B0" w14:paraId="1A6DE1D4" w14:textId="77777777">
      <w:pPr>
        <w:spacing w:line="360" w:lineRule="auto"/>
        <w:contextualSpacing/>
        <w:jc w:val="both"/>
        <w:rPr>
          <w:rFonts w:ascii="Palatino Linotype" w:hAnsi="Palatino Linotype" w:cs="Tahoma"/>
          <w:iCs/>
          <w:sz w:val="22"/>
          <w:szCs w:val="22"/>
          <w:lang w:val="es-ES"/>
        </w:rPr>
      </w:pPr>
    </w:p>
    <w:p w:rsidRPr="006D02F8" w:rsidR="00E437B0" w:rsidP="00E437B0" w:rsidRDefault="00E437B0" w14:paraId="047D3D5D" w14:textId="77777777">
      <w:pPr>
        <w:spacing w:line="360" w:lineRule="auto"/>
        <w:contextualSpacing/>
        <w:jc w:val="both"/>
        <w:rPr>
          <w:rFonts w:ascii="Palatino Linotype" w:hAnsi="Palatino Linotype" w:cs="Tahoma"/>
          <w:iCs/>
          <w:sz w:val="22"/>
          <w:szCs w:val="22"/>
          <w:lang w:val="es-ES"/>
        </w:rPr>
      </w:pPr>
      <w:r w:rsidRPr="006D02F8">
        <w:rPr>
          <w:rFonts w:ascii="Palatino Linotype" w:hAnsi="Palatino Linotype" w:cs="Tahoma"/>
          <w:iCs/>
          <w:sz w:val="22"/>
          <w:szCs w:val="22"/>
          <w:lang w:val="es-ES"/>
        </w:rPr>
        <w:t xml:space="preserve">En esa misma tesitura, los artículos 16, 18, 19, fracción V, y 34 de la Ley General en comento, estableen que los entes públicos deben contar con un sistema de contabilidad gubernamental en el cual se registrarán </w:t>
      </w:r>
      <w:r w:rsidRPr="006D02F8">
        <w:rPr>
          <w:rFonts w:ascii="Palatino Linotype" w:hAnsi="Palatino Linotype" w:cs="Tahoma"/>
          <w:iCs/>
          <w:sz w:val="22"/>
          <w:szCs w:val="22"/>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rsidRPr="006D02F8" w:rsidR="00E437B0" w:rsidP="00E437B0" w:rsidRDefault="00E437B0" w14:paraId="53A7C6DD" w14:textId="77777777">
      <w:pPr>
        <w:spacing w:line="360" w:lineRule="auto"/>
        <w:contextualSpacing/>
        <w:jc w:val="both"/>
        <w:rPr>
          <w:rFonts w:ascii="Palatino Linotype" w:hAnsi="Palatino Linotype" w:cs="Tahoma"/>
          <w:iCs/>
          <w:sz w:val="22"/>
          <w:szCs w:val="22"/>
          <w:lang w:val="es-ES"/>
        </w:rPr>
      </w:pPr>
    </w:p>
    <w:p w:rsidRPr="006D02F8" w:rsidR="00E437B0" w:rsidP="00E437B0" w:rsidRDefault="00A447D7" w14:paraId="66850152" w14:textId="07BA7737">
      <w:pPr>
        <w:spacing w:line="360" w:lineRule="auto"/>
        <w:jc w:val="both"/>
        <w:rPr>
          <w:rFonts w:ascii="Palatino Linotype" w:hAnsi="Palatino Linotype" w:cs="Tahoma"/>
          <w:color w:val="0D0D0D" w:themeColor="text1" w:themeTint="F2"/>
          <w:sz w:val="22"/>
          <w:szCs w:val="22"/>
          <w:lang w:val="es-ES"/>
        </w:rPr>
      </w:pPr>
      <w:r w:rsidRPr="006D02F8">
        <w:rPr>
          <w:rFonts w:ascii="Palatino Linotype" w:hAnsi="Palatino Linotype" w:cs="Tahoma"/>
          <w:iCs/>
          <w:color w:val="0D0D0D" w:themeColor="text1" w:themeTint="F2"/>
          <w:sz w:val="22"/>
          <w:szCs w:val="22"/>
          <w:lang w:val="es-ES"/>
        </w:rPr>
        <w:t>En ese contexto,</w:t>
      </w:r>
      <w:r w:rsidRPr="006D02F8" w:rsidR="00E437B0">
        <w:rPr>
          <w:rFonts w:ascii="Palatino Linotype" w:hAnsi="Palatino Linotype" w:cs="Tahoma"/>
          <w:iCs/>
          <w:color w:val="0D0D0D" w:themeColor="text1" w:themeTint="F2"/>
          <w:sz w:val="22"/>
          <w:szCs w:val="22"/>
          <w:lang w:val="es-ES"/>
        </w:rPr>
        <w:t xml:space="preserve"> la </w:t>
      </w:r>
      <w:r w:rsidRPr="006D02F8" w:rsidR="00E437B0">
        <w:rPr>
          <w:rFonts w:ascii="Palatino Linotype" w:hAnsi="Palatino Linotype" w:cs="Tahoma"/>
          <w:iCs/>
          <w:color w:val="0D0D0D" w:themeColor="text1" w:themeTint="F2"/>
          <w:sz w:val="22"/>
          <w:szCs w:val="22"/>
        </w:rPr>
        <w:t xml:space="preserve">Guía técnica 05 </w:t>
      </w:r>
      <w:r w:rsidRPr="006D02F8">
        <w:rPr>
          <w:rFonts w:ascii="Palatino Linotype" w:hAnsi="Palatino Linotype" w:cs="Tahoma"/>
          <w:iCs/>
          <w:color w:val="0D0D0D" w:themeColor="text1" w:themeTint="F2"/>
          <w:sz w:val="22"/>
          <w:szCs w:val="22"/>
        </w:rPr>
        <w:t>“</w:t>
      </w:r>
      <w:r w:rsidRPr="006D02F8" w:rsidR="00E437B0">
        <w:rPr>
          <w:rFonts w:ascii="Palatino Linotype" w:hAnsi="Palatino Linotype" w:cs="Tahoma"/>
          <w:iCs/>
          <w:color w:val="0D0D0D" w:themeColor="text1" w:themeTint="F2"/>
          <w:sz w:val="22"/>
          <w:szCs w:val="22"/>
        </w:rPr>
        <w:t>La contabilida</w:t>
      </w:r>
      <w:r w:rsidRPr="006D02F8">
        <w:rPr>
          <w:rFonts w:ascii="Palatino Linotype" w:hAnsi="Palatino Linotype" w:cs="Tahoma"/>
          <w:iCs/>
          <w:color w:val="0D0D0D" w:themeColor="text1" w:themeTint="F2"/>
          <w:sz w:val="22"/>
          <w:szCs w:val="22"/>
        </w:rPr>
        <w:t>d y la cuenta pública municipal”</w:t>
      </w:r>
      <w:r w:rsidRPr="006D02F8" w:rsidR="00E437B0">
        <w:rPr>
          <w:rFonts w:ascii="Palatino Linotype" w:hAnsi="Palatino Linotype" w:cs="Tahoma"/>
          <w:iCs/>
          <w:color w:val="0D0D0D" w:themeColor="text1" w:themeTint="F2"/>
          <w:sz w:val="22"/>
          <w:szCs w:val="22"/>
        </w:rPr>
        <w:t>,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rsidRPr="006D02F8" w:rsidR="00E437B0" w:rsidP="00E437B0" w:rsidRDefault="00E437B0" w14:paraId="17909C5B" w14:textId="77777777">
      <w:pPr>
        <w:spacing w:line="360" w:lineRule="auto"/>
        <w:contextualSpacing/>
        <w:jc w:val="both"/>
        <w:rPr>
          <w:rFonts w:ascii="Palatino Linotype" w:hAnsi="Palatino Linotype" w:cs="Tahoma"/>
          <w:color w:val="0D0D0D" w:themeColor="text1" w:themeTint="F2"/>
          <w:sz w:val="22"/>
          <w:szCs w:val="22"/>
          <w:lang w:val="es-ES"/>
        </w:rPr>
      </w:pPr>
    </w:p>
    <w:p w:rsidRPr="006D02F8" w:rsidR="00E437B0" w:rsidP="00E437B0" w:rsidRDefault="00E437B0" w14:paraId="21CB0250" w14:textId="6FCAC695">
      <w:pPr>
        <w:spacing w:line="360" w:lineRule="auto"/>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 xml:space="preserve">De este modo, de acuerdo a la naturaleza de información solicitada, </w:t>
      </w:r>
      <w:r w:rsidRPr="006D02F8">
        <w:rPr>
          <w:rFonts w:ascii="Palatino Linotype" w:hAnsi="Palatino Linotype" w:eastAsia="Calibri" w:cs="Tahoma"/>
          <w:color w:val="000000" w:themeColor="text1"/>
          <w:sz w:val="22"/>
          <w:szCs w:val="22"/>
          <w:lang w:eastAsia="en-U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6D02F8">
        <w:rPr>
          <w:rFonts w:ascii="Palatino Linotype" w:hAnsi="Palatino Linotype" w:eastAsia="Calibri" w:cs="Tahoma"/>
          <w:b/>
          <w:bCs/>
          <w:color w:val="000000" w:themeColor="text1"/>
          <w:sz w:val="22"/>
          <w:szCs w:val="22"/>
          <w:lang w:eastAsia="en-US"/>
        </w:rPr>
        <w:t>transacción comercial</w:t>
      </w:r>
      <w:r w:rsidRPr="006D02F8">
        <w:rPr>
          <w:rFonts w:ascii="Palatino Linotype" w:hAnsi="Palatino Linotype" w:eastAsia="Calibri" w:cs="Tahoma"/>
          <w:color w:val="000000" w:themeColor="text1"/>
          <w:sz w:val="22"/>
          <w:szCs w:val="22"/>
          <w:lang w:eastAsia="en-US"/>
        </w:rPr>
        <w:t>, entre un comprador y un vendedor, mediante el cual, el primero queda obligado a realizar un pago, mientras que el s</w:t>
      </w:r>
      <w:r w:rsidRPr="006D02F8" w:rsidR="00A447D7">
        <w:rPr>
          <w:rFonts w:ascii="Palatino Linotype" w:hAnsi="Palatino Linotype" w:eastAsia="Calibri" w:cs="Tahoma"/>
          <w:color w:val="000000" w:themeColor="text1"/>
          <w:sz w:val="22"/>
          <w:szCs w:val="22"/>
          <w:lang w:eastAsia="en-US"/>
        </w:rPr>
        <w:t>egundo, a entregar o brindar un producto</w:t>
      </w:r>
      <w:r w:rsidRPr="006D02F8">
        <w:rPr>
          <w:rFonts w:ascii="Palatino Linotype" w:hAnsi="Palatino Linotype" w:eastAsia="Calibri" w:cs="Tahoma"/>
          <w:color w:val="000000" w:themeColor="text1"/>
          <w:sz w:val="22"/>
          <w:szCs w:val="22"/>
          <w:lang w:eastAsia="en-US"/>
        </w:rPr>
        <w:t xml:space="preserve"> o servicio.</w:t>
      </w:r>
    </w:p>
    <w:p w:rsidRPr="006D02F8" w:rsidR="00E437B0" w:rsidP="00E437B0" w:rsidRDefault="00E437B0" w14:paraId="042473D5" w14:textId="77777777">
      <w:pPr>
        <w:spacing w:line="360" w:lineRule="auto"/>
        <w:contextualSpacing/>
        <w:jc w:val="both"/>
        <w:rPr>
          <w:rFonts w:ascii="Palatino Linotype" w:hAnsi="Palatino Linotype" w:eastAsia="Calibri" w:cs="Tahoma"/>
          <w:color w:val="000000" w:themeColor="text1"/>
          <w:sz w:val="22"/>
          <w:szCs w:val="22"/>
          <w:lang w:eastAsia="en-US"/>
        </w:rPr>
      </w:pPr>
    </w:p>
    <w:p w:rsidRPr="006D02F8" w:rsidR="00E437B0" w:rsidP="00E437B0" w:rsidRDefault="00E437B0" w14:paraId="057C71C6" w14:textId="77777777">
      <w:pPr>
        <w:spacing w:line="360" w:lineRule="auto"/>
        <w:contextualSpacing/>
        <w:jc w:val="both"/>
        <w:rPr>
          <w:rFonts w:ascii="Palatino Linotype" w:hAnsi="Palatino Linotype" w:eastAsia="Calibri"/>
          <w:bCs/>
          <w:color w:val="000000" w:themeColor="text1"/>
          <w:sz w:val="22"/>
          <w:szCs w:val="22"/>
          <w:lang w:eastAsia="en-US"/>
        </w:rPr>
      </w:pPr>
      <w:r w:rsidRPr="006D02F8">
        <w:rPr>
          <w:rFonts w:ascii="Palatino Linotype" w:hAnsi="Palatino Linotype" w:eastAsia="Calibri"/>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6D02F8">
        <w:rPr>
          <w:rFonts w:ascii="Palatino Linotype" w:hAnsi="Palatino Linotype" w:eastAsia="Calibri"/>
          <w:b/>
          <w:bCs/>
          <w:color w:val="000000" w:themeColor="text1"/>
          <w:sz w:val="22"/>
          <w:szCs w:val="22"/>
          <w:lang w:eastAsia="en-US"/>
        </w:rPr>
        <w:t>Módulo 1</w:t>
      </w:r>
      <w:r w:rsidRPr="006D02F8">
        <w:rPr>
          <w:rFonts w:ascii="Palatino Linotype" w:hAnsi="Palatino Linotype" w:eastAsia="Calibri"/>
          <w:bCs/>
          <w:color w:val="000000" w:themeColor="text1"/>
          <w:sz w:val="22"/>
          <w:szCs w:val="22"/>
          <w:lang w:eastAsia="en-US"/>
        </w:rPr>
        <w:t xml:space="preserve">, se advierte que </w:t>
      </w:r>
      <w:r w:rsidRPr="006D02F8">
        <w:rPr>
          <w:rFonts w:ascii="Palatino Linotype" w:hAnsi="Palatino Linotype" w:eastAsia="Calibri"/>
          <w:bCs/>
          <w:color w:val="000000" w:themeColor="text1"/>
          <w:sz w:val="22"/>
          <w:szCs w:val="22"/>
          <w:lang w:eastAsia="en-US"/>
        </w:rPr>
        <w:lastRenderedPageBreak/>
        <w:t>se encuentran Póliza de Egresos y Póliza Cheque, con los documentos comprobatorios, mismos que serán entregados al Órgano Superior de Fiscalización del Estado de México.</w:t>
      </w:r>
    </w:p>
    <w:p w:rsidRPr="006D02F8" w:rsidR="00E437B0" w:rsidP="00E437B0" w:rsidRDefault="00E437B0" w14:paraId="12255FAC" w14:textId="77777777">
      <w:pPr>
        <w:spacing w:line="360" w:lineRule="auto"/>
        <w:contextualSpacing/>
        <w:jc w:val="both"/>
        <w:rPr>
          <w:rFonts w:ascii="Palatino Linotype" w:hAnsi="Palatino Linotype" w:eastAsia="Calibri"/>
          <w:b/>
          <w:bCs/>
          <w:color w:val="000000" w:themeColor="text1"/>
          <w:sz w:val="22"/>
          <w:szCs w:val="22"/>
          <w:lang w:eastAsia="en-US"/>
        </w:rPr>
      </w:pPr>
    </w:p>
    <w:p w:rsidRPr="006D02F8" w:rsidR="00E437B0" w:rsidP="00E437B0" w:rsidRDefault="00E437B0" w14:paraId="3ED3F970" w14:textId="77777777">
      <w:pPr>
        <w:spacing w:line="360" w:lineRule="auto"/>
        <w:jc w:val="both"/>
        <w:rPr>
          <w:rFonts w:ascii="Palatino Linotype" w:hAnsi="Palatino Linotype" w:eastAsia="Calibri"/>
          <w:bCs/>
          <w:color w:val="000000" w:themeColor="text1"/>
          <w:sz w:val="22"/>
          <w:szCs w:val="22"/>
          <w:lang w:eastAsia="en-US"/>
        </w:rPr>
      </w:pPr>
      <w:r w:rsidRPr="006D02F8">
        <w:rPr>
          <w:rFonts w:ascii="Palatino Linotype" w:hAnsi="Palatino Linotype" w:eastAsia="Calibri"/>
          <w:bCs/>
          <w:color w:val="000000" w:themeColor="text1"/>
          <w:sz w:val="22"/>
          <w:szCs w:val="22"/>
          <w:lang w:eastAsia="en-US"/>
        </w:rPr>
        <w:t>Además</w:t>
      </w:r>
      <w:r w:rsidRPr="006D02F8">
        <w:rPr>
          <w:rFonts w:ascii="Palatino Linotype" w:hAnsi="Palatino Linotype" w:eastAsia="Calibri"/>
          <w:b/>
          <w:bCs/>
          <w:color w:val="000000" w:themeColor="text1"/>
          <w:sz w:val="22"/>
          <w:szCs w:val="22"/>
          <w:lang w:eastAsia="en-US"/>
        </w:rPr>
        <w:t xml:space="preserve">, </w:t>
      </w:r>
      <w:r w:rsidRPr="006D02F8">
        <w:rPr>
          <w:rFonts w:ascii="Palatino Linotype" w:hAnsi="Palatino Linotype" w:eastAsia="Calibri"/>
          <w:bCs/>
          <w:color w:val="000000" w:themeColor="text1"/>
          <w:sz w:val="22"/>
          <w:szCs w:val="22"/>
          <w:lang w:eastAsia="en-U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rsidRPr="006D02F8" w:rsidR="00E437B0" w:rsidP="00E437B0" w:rsidRDefault="00E437B0" w14:paraId="08CF6868"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7F7391" w:rsidP="00E437B0" w:rsidRDefault="007F7391" w14:paraId="4F36ECAE"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7F7391" w:rsidP="007F7391" w:rsidRDefault="00A447D7" w14:paraId="537A7365" w14:textId="1A3978FB">
      <w:pPr>
        <w:spacing w:line="360" w:lineRule="auto"/>
        <w:jc w:val="both"/>
        <w:rPr>
          <w:rFonts w:ascii="Palatino Linotype" w:hAnsi="Palatino Linotype" w:eastAsia="Calibri" w:cs="Tahoma"/>
          <w:color w:val="000000" w:themeColor="text1"/>
          <w:sz w:val="22"/>
          <w:szCs w:val="22"/>
          <w:lang w:eastAsia="en-US"/>
        </w:rPr>
      </w:pPr>
      <w:r w:rsidRPr="006D02F8">
        <w:rPr>
          <w:rFonts w:ascii="Palatino Linotype" w:hAnsi="Palatino Linotype" w:eastAsia="Calibri" w:cs="Tahoma"/>
          <w:color w:val="000000" w:themeColor="text1"/>
          <w:sz w:val="22"/>
          <w:szCs w:val="22"/>
          <w:lang w:eastAsia="en-US"/>
        </w:rPr>
        <w:t>Ahora bien,</w:t>
      </w:r>
      <w:r w:rsidRPr="006D02F8" w:rsidR="007F7391">
        <w:rPr>
          <w:rFonts w:ascii="Palatino Linotype" w:hAnsi="Palatino Linotype" w:eastAsia="Calibri" w:cs="Tahoma"/>
          <w:color w:val="000000" w:themeColor="text1"/>
          <w:sz w:val="22"/>
          <w:szCs w:val="22"/>
          <w:lang w:eastAsia="en-US"/>
        </w:rPr>
        <w:t xml:space="preserve"> respecto a lo solicitado</w:t>
      </w:r>
      <w:r w:rsidRPr="006D02F8" w:rsidR="007F7391">
        <w:rPr>
          <w:rFonts w:ascii="Palatino Linotype" w:hAnsi="Palatino Linotype" w:eastAsia="Calibri" w:cs="Tahoma"/>
          <w:bCs/>
          <w:sz w:val="22"/>
          <w:szCs w:val="22"/>
        </w:rPr>
        <w:t>, los artículos 9°, fracción I, y 16, fracción</w:t>
      </w:r>
      <w:r w:rsidRPr="006D02F8" w:rsidR="00536EFD">
        <w:rPr>
          <w:rFonts w:ascii="Palatino Linotype" w:hAnsi="Palatino Linotype" w:eastAsia="Calibri" w:cs="Tahoma"/>
          <w:bCs/>
          <w:sz w:val="22"/>
          <w:szCs w:val="22"/>
        </w:rPr>
        <w:t xml:space="preserve"> I, inciso b, y</w:t>
      </w:r>
      <w:r w:rsidRPr="006D02F8" w:rsidR="007F7391">
        <w:rPr>
          <w:rFonts w:ascii="Palatino Linotype" w:hAnsi="Palatino Linotype" w:eastAsia="Calibri" w:cs="Tahoma"/>
          <w:bCs/>
          <w:sz w:val="22"/>
          <w:szCs w:val="22"/>
        </w:rPr>
        <w:t xml:space="preserve"> II, inciso g, de la Ley de Movilidad del Estado de México, precisan que los municipios tendrán las atribuciones relacionadas con el Sistema Integral de Movilidad, que tengan como fin mejorar la movilidad en el territorio, como lo son los parquímetros.</w:t>
      </w:r>
    </w:p>
    <w:p w:rsidRPr="006D02F8" w:rsidR="007F7391" w:rsidP="00A447D7" w:rsidRDefault="007F7391" w14:paraId="16EE6A8D" w14:textId="77777777">
      <w:pPr>
        <w:spacing w:line="360" w:lineRule="auto"/>
        <w:jc w:val="both"/>
        <w:rPr>
          <w:rFonts w:ascii="Palatino Linotype" w:hAnsi="Palatino Linotype" w:eastAsia="Calibri" w:cs="Tahoma"/>
          <w:color w:val="000000" w:themeColor="text1"/>
          <w:sz w:val="22"/>
          <w:szCs w:val="22"/>
          <w:lang w:eastAsia="en-US"/>
        </w:rPr>
      </w:pPr>
    </w:p>
    <w:p w:rsidRPr="006D02F8" w:rsidR="00A447D7" w:rsidP="00A447D7" w:rsidRDefault="007F7391" w14:paraId="0F4C0AF3" w14:textId="551CDC29">
      <w:pPr>
        <w:spacing w:line="360" w:lineRule="auto"/>
        <w:jc w:val="both"/>
        <w:rPr>
          <w:rFonts w:ascii="Palatino Linotype" w:hAnsi="Palatino Linotype" w:eastAsia="Calibri" w:cs="Tahoma"/>
          <w:color w:val="000000" w:themeColor="text1"/>
          <w:sz w:val="22"/>
          <w:szCs w:val="22"/>
          <w:lang w:eastAsia="en-US"/>
        </w:rPr>
      </w:pPr>
      <w:r w:rsidRPr="006D02F8">
        <w:rPr>
          <w:rFonts w:ascii="Palatino Linotype" w:hAnsi="Palatino Linotype" w:eastAsia="Calibri" w:cs="Tahoma"/>
          <w:color w:val="000000" w:themeColor="text1"/>
          <w:sz w:val="22"/>
          <w:szCs w:val="22"/>
          <w:lang w:eastAsia="en-US"/>
        </w:rPr>
        <w:t xml:space="preserve">En ese sentido, </w:t>
      </w:r>
      <w:r w:rsidRPr="006D02F8" w:rsidR="00A447D7">
        <w:rPr>
          <w:rFonts w:ascii="Palatino Linotype" w:hAnsi="Palatino Linotype" w:eastAsia="Calibri" w:cs="Tahoma"/>
          <w:color w:val="000000" w:themeColor="text1"/>
          <w:sz w:val="22"/>
          <w:szCs w:val="22"/>
          <w:lang w:eastAsia="en-US"/>
        </w:rPr>
        <w:t xml:space="preserve">este Instituto localizó el Comunicado número 608/2022 emitido por el Ayuntamiento de Toluca, denominado “Toluca Se Moderniza Con Nuevo Sistema De Parquímetros Virtuales”, del ocho de diciembre de dos mil veintidós, (consultado el nueve de mayo de dos mil veintitrés, en la liga </w:t>
      </w:r>
      <w:hyperlink w:history="1" r:id="rId8">
        <w:r w:rsidRPr="006D02F8" w:rsidR="005F4B91">
          <w:rPr>
            <w:rStyle w:val="Hipervnculo"/>
            <w:rFonts w:ascii="Palatino Linotype" w:hAnsi="Palatino Linotype" w:eastAsia="Calibri" w:cs="Tahoma"/>
            <w:sz w:val="22"/>
            <w:szCs w:val="22"/>
            <w:lang w:eastAsia="en-US"/>
          </w:rPr>
          <w:t>https://www2.toluca.gob.mx/wp-content/uploads/2022/12/Comunicado-Num.-608-2022.pdf</w:t>
        </w:r>
      </w:hyperlink>
      <w:r w:rsidRPr="006D02F8" w:rsidR="00A447D7">
        <w:rPr>
          <w:rFonts w:ascii="Palatino Linotype" w:hAnsi="Palatino Linotype" w:eastAsia="Calibri" w:cs="Tahoma"/>
          <w:color w:val="000000" w:themeColor="text1"/>
          <w:sz w:val="22"/>
          <w:szCs w:val="22"/>
          <w:lang w:eastAsia="en-US"/>
        </w:rPr>
        <w:t>)</w:t>
      </w:r>
      <w:r w:rsidRPr="006D02F8" w:rsidR="005F4B91">
        <w:rPr>
          <w:rFonts w:ascii="Palatino Linotype" w:hAnsi="Palatino Linotype" w:eastAsia="Calibri" w:cs="Tahoma"/>
          <w:color w:val="000000" w:themeColor="text1"/>
          <w:sz w:val="22"/>
          <w:szCs w:val="22"/>
          <w:lang w:eastAsia="en-US"/>
        </w:rPr>
        <w:t xml:space="preserve">, </w:t>
      </w:r>
      <w:r w:rsidRPr="006D02F8" w:rsidR="00A447D7">
        <w:rPr>
          <w:rFonts w:ascii="Palatino Linotype" w:hAnsi="Palatino Linotype" w:eastAsia="Calibri" w:cs="Tahoma"/>
          <w:color w:val="000000" w:themeColor="text1"/>
          <w:sz w:val="22"/>
          <w:szCs w:val="22"/>
          <w:lang w:eastAsia="en-US"/>
        </w:rPr>
        <w:t xml:space="preserve">el cual precisa </w:t>
      </w:r>
      <w:r w:rsidRPr="006D02F8" w:rsidR="005F4B91">
        <w:rPr>
          <w:rFonts w:ascii="Palatino Linotype" w:hAnsi="Palatino Linotype" w:eastAsia="Calibri" w:cs="Tahoma"/>
          <w:color w:val="000000" w:themeColor="text1"/>
          <w:sz w:val="22"/>
          <w:szCs w:val="22"/>
          <w:lang w:eastAsia="en-US"/>
        </w:rPr>
        <w:t>que en los meses de octubre y noviembre se iniciaron los trabajos de instalación de infraestructura y señalética del nuevo sistema de parquímetros virtuales, el cual sustituyó el viejo medio; por lo que también se retiraron los viejos equipos que estaba obsoletos, tal como se muestra a continuación:</w:t>
      </w:r>
    </w:p>
    <w:p w:rsidRPr="006D02F8" w:rsidR="005F4B91" w:rsidP="00A447D7" w:rsidRDefault="005F4B91" w14:paraId="590E7E04" w14:textId="77777777">
      <w:pPr>
        <w:spacing w:line="360" w:lineRule="auto"/>
        <w:jc w:val="both"/>
        <w:rPr>
          <w:rFonts w:ascii="Palatino Linotype" w:hAnsi="Palatino Linotype" w:eastAsia="Calibri" w:cs="Tahoma"/>
          <w:color w:val="000000" w:themeColor="text1"/>
          <w:sz w:val="22"/>
          <w:szCs w:val="22"/>
          <w:lang w:eastAsia="en-US"/>
        </w:rPr>
      </w:pPr>
    </w:p>
    <w:p w:rsidRPr="006D02F8" w:rsidR="005F4B91" w:rsidP="005F4B91" w:rsidRDefault="005F4B91" w14:paraId="1C053EB1" w14:textId="32E0C683">
      <w:pPr>
        <w:spacing w:line="360" w:lineRule="auto"/>
        <w:jc w:val="center"/>
        <w:rPr>
          <w:rFonts w:ascii="Palatino Linotype" w:hAnsi="Palatino Linotype" w:eastAsia="Calibri" w:cs="Tahoma"/>
          <w:color w:val="000000" w:themeColor="text1"/>
          <w:sz w:val="22"/>
          <w:szCs w:val="22"/>
          <w:lang w:eastAsia="en-US"/>
        </w:rPr>
      </w:pPr>
      <w:r w:rsidRPr="006D02F8">
        <w:rPr>
          <w:rFonts w:ascii="Palatino Linotype" w:hAnsi="Palatino Linotype" w:eastAsia="Calibri" w:cs="Tahoma"/>
          <w:noProof/>
          <w:color w:val="000000" w:themeColor="text1"/>
          <w:sz w:val="22"/>
          <w:szCs w:val="22"/>
          <w:lang w:eastAsia="es-MX"/>
        </w:rPr>
        <w:lastRenderedPageBreak/>
        <w:drawing>
          <wp:inline distT="0" distB="0" distL="0" distR="0" wp14:anchorId="742C6A0B" wp14:editId="07C29A00">
            <wp:extent cx="4892758" cy="19050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4755" cy="1929139"/>
                    </a:xfrm>
                    <a:prstGeom prst="rect">
                      <a:avLst/>
                    </a:prstGeom>
                  </pic:spPr>
                </pic:pic>
              </a:graphicData>
            </a:graphic>
          </wp:inline>
        </w:drawing>
      </w:r>
    </w:p>
    <w:p w:rsidRPr="006D02F8" w:rsidR="00A447D7" w:rsidP="00E437B0" w:rsidRDefault="00A447D7" w14:paraId="6930E760"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5F4B91" w:rsidP="00E437B0" w:rsidRDefault="005F4B91" w14:paraId="27467C9D" w14:textId="28857789">
      <w:pPr>
        <w:spacing w:line="360" w:lineRule="auto"/>
        <w:ind w:right="-28"/>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 xml:space="preserve">Además, se localizó que </w:t>
      </w:r>
      <w:r w:rsidRPr="006D02F8" w:rsidR="00EB7802">
        <w:rPr>
          <w:rFonts w:ascii="Palatino Linotype" w:hAnsi="Palatino Linotype" w:cs="Tahoma"/>
          <w:color w:val="0D0D0D" w:themeColor="text1" w:themeTint="F2"/>
          <w:sz w:val="22"/>
          <w:szCs w:val="22"/>
          <w:lang w:val="es-ES"/>
        </w:rPr>
        <w:t xml:space="preserve">se instalaron parquímetros virtuales, en diversas calles del Municipio de Toluca, entre las cuales se encuentra, </w:t>
      </w:r>
      <w:r w:rsidRPr="006D02F8">
        <w:rPr>
          <w:rFonts w:ascii="Palatino Linotype" w:hAnsi="Palatino Linotype" w:cs="Tahoma"/>
          <w:color w:val="0D0D0D" w:themeColor="text1" w:themeTint="F2"/>
          <w:sz w:val="22"/>
          <w:szCs w:val="22"/>
          <w:lang w:val="es-ES"/>
        </w:rPr>
        <w:t>la Avenida Benito Juárez García Sur</w:t>
      </w:r>
      <w:r w:rsidRPr="006D02F8" w:rsidR="00EB7802">
        <w:rPr>
          <w:rFonts w:ascii="Palatino Linotype" w:hAnsi="Palatino Linotype" w:cs="Tahoma"/>
          <w:color w:val="0D0D0D" w:themeColor="text1" w:themeTint="F2"/>
          <w:sz w:val="22"/>
          <w:szCs w:val="22"/>
          <w:lang w:val="es-ES"/>
        </w:rPr>
        <w:t>, en la Colonia Universidad, tal como se muestra a continuación:</w:t>
      </w:r>
    </w:p>
    <w:p w:rsidRPr="006D02F8" w:rsidR="00A447D7" w:rsidP="00E437B0" w:rsidRDefault="00A447D7" w14:paraId="14294BC2"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A447D7" w:rsidP="00EB7802" w:rsidRDefault="00536EFD" w14:paraId="513131C5" w14:textId="56E7C322">
      <w:pPr>
        <w:spacing w:line="360" w:lineRule="auto"/>
        <w:ind w:right="-28"/>
        <w:contextualSpacing/>
        <w:jc w:val="center"/>
        <w:rPr>
          <w:rFonts w:ascii="Palatino Linotype" w:hAnsi="Palatino Linotype" w:cs="Tahoma"/>
          <w:color w:val="0D0D0D" w:themeColor="text1" w:themeTint="F2"/>
          <w:sz w:val="22"/>
          <w:szCs w:val="22"/>
          <w:lang w:val="es-ES"/>
        </w:rPr>
      </w:pPr>
      <w:r w:rsidRPr="006D02F8">
        <w:rPr>
          <w:rFonts w:ascii="Palatino Linotype" w:hAnsi="Palatino Linotype" w:cs="Tahoma"/>
          <w:noProof/>
          <w:color w:val="0D0D0D" w:themeColor="text1" w:themeTint="F2"/>
          <w:sz w:val="22"/>
          <w:szCs w:val="22"/>
          <w:lang w:eastAsia="es-MX"/>
          <w14:ligatures w14:val="standardContextual"/>
        </w:rPr>
        <mc:AlternateContent>
          <mc:Choice Requires="wps">
            <w:drawing>
              <wp:anchor distT="0" distB="0" distL="114300" distR="114300" simplePos="0" relativeHeight="251659264" behindDoc="0" locked="0" layoutInCell="1" allowOverlap="1" wp14:anchorId="20865BCE" wp14:editId="2F307D93">
                <wp:simplePos x="0" y="0"/>
                <wp:positionH relativeFrom="column">
                  <wp:posOffset>3287395</wp:posOffset>
                </wp:positionH>
                <wp:positionV relativeFrom="paragraph">
                  <wp:posOffset>2406015</wp:posOffset>
                </wp:positionV>
                <wp:extent cx="333375" cy="200025"/>
                <wp:effectExtent l="19050" t="19050" r="28575" b="47625"/>
                <wp:wrapNone/>
                <wp:docPr id="5" name="Flecha izquierda 5"/>
                <wp:cNvGraphicFramePr/>
                <a:graphic xmlns:a="http://schemas.openxmlformats.org/drawingml/2006/main">
                  <a:graphicData uri="http://schemas.microsoft.com/office/word/2010/wordprocessingShape">
                    <wps:wsp>
                      <wps:cNvSpPr/>
                      <wps:spPr>
                        <a:xfrm>
                          <a:off x="0" y="0"/>
                          <a:ext cx="333375" cy="200025"/>
                        </a:xfrm>
                        <a:prstGeom prst="leftArrow">
                          <a:avLst/>
                        </a:prstGeom>
                        <a:solidFill>
                          <a:schemeClr val="tx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w14:anchorId="4DDB8441">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Flecha izquierda 5" style="position:absolute;margin-left:258.85pt;margin-top:189.45pt;width:26.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0d0d0d [3069]" strokeweight="1pt" type="#_x0000_t66" adj="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"/>
            </w:pict>
          </mc:Fallback>
        </mc:AlternateContent>
      </w:r>
      <w:r w:rsidRPr="006D02F8">
        <w:rPr>
          <w:rFonts w:ascii="Palatino Linotype" w:hAnsi="Palatino Linotype" w:cs="Tahoma"/>
          <w:noProof/>
          <w:color w:val="0D0D0D" w:themeColor="text1" w:themeTint="F2"/>
          <w:sz w:val="22"/>
          <w:szCs w:val="22"/>
          <w:lang w:eastAsia="es-MX"/>
          <w14:ligatures w14:val="standardContextual"/>
        </w:rPr>
        <mc:AlternateContent>
          <mc:Choice Requires="wps">
            <w:drawing>
              <wp:anchor distT="0" distB="0" distL="114300" distR="114300" simplePos="0" relativeHeight="251661312" behindDoc="0" locked="0" layoutInCell="1" allowOverlap="1" wp14:anchorId="215260E9" wp14:editId="1435DF73">
                <wp:simplePos x="0" y="0"/>
                <wp:positionH relativeFrom="column">
                  <wp:posOffset>3239770</wp:posOffset>
                </wp:positionH>
                <wp:positionV relativeFrom="paragraph">
                  <wp:posOffset>1787525</wp:posOffset>
                </wp:positionV>
                <wp:extent cx="333375" cy="200025"/>
                <wp:effectExtent l="19050" t="19050" r="28575" b="47625"/>
                <wp:wrapNone/>
                <wp:docPr id="6" name="Flecha izquierda 6"/>
                <wp:cNvGraphicFramePr/>
                <a:graphic xmlns:a="http://schemas.openxmlformats.org/drawingml/2006/main">
                  <a:graphicData uri="http://schemas.microsoft.com/office/word/2010/wordprocessingShape">
                    <wps:wsp>
                      <wps:cNvSpPr/>
                      <wps:spPr>
                        <a:xfrm>
                          <a:off x="0" y="0"/>
                          <a:ext cx="333375" cy="200025"/>
                        </a:xfrm>
                        <a:prstGeom prst="leftArrow">
                          <a:avLst/>
                        </a:prstGeom>
                        <a:solidFill>
                          <a:schemeClr val="tx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izquierda 6" style="position:absolute;margin-left:255.1pt;margin-top:140.75pt;width:26.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0d0d0d [3069]" strokeweight="1pt" type="#_x0000_t66" adj="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" w14:anchorId="55F0D896"/>
            </w:pict>
          </mc:Fallback>
        </mc:AlternateContent>
      </w:r>
      <w:r w:rsidRPr="006D02F8" w:rsidR="00EB7802">
        <w:rPr>
          <w:rFonts w:ascii="Palatino Linotype" w:hAnsi="Palatino Linotype" w:cs="Tahoma"/>
          <w:noProof/>
          <w:color w:val="0D0D0D" w:themeColor="text1" w:themeTint="F2"/>
          <w:sz w:val="22"/>
          <w:szCs w:val="22"/>
          <w:lang w:eastAsia="es-MX"/>
        </w:rPr>
        <w:drawing>
          <wp:inline distT="0" distB="0" distL="0" distR="0" wp14:anchorId="0A9013E8" wp14:editId="275AE62D">
            <wp:extent cx="2133574" cy="284416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928" t="-336" r="32182" b="-1"/>
                    <a:stretch/>
                  </pic:blipFill>
                  <pic:spPr bwMode="auto">
                    <a:xfrm>
                      <a:off x="0" y="0"/>
                      <a:ext cx="2183681" cy="2910960"/>
                    </a:xfrm>
                    <a:prstGeom prst="rect">
                      <a:avLst/>
                    </a:prstGeom>
                    <a:ln>
                      <a:noFill/>
                    </a:ln>
                    <a:extLst>
                      <a:ext uri="{53640926-AAD7-44D8-BBD7-CCE9431645EC}">
                        <a14:shadowObscured xmlns:a14="http://schemas.microsoft.com/office/drawing/2010/main"/>
                      </a:ext>
                    </a:extLst>
                  </pic:spPr>
                </pic:pic>
              </a:graphicData>
            </a:graphic>
          </wp:inline>
        </w:drawing>
      </w:r>
    </w:p>
    <w:p w:rsidRPr="006D02F8" w:rsidR="00A447D7" w:rsidP="00E437B0" w:rsidRDefault="00A447D7" w14:paraId="674F4548"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A948AB" w:rsidP="00E437B0" w:rsidRDefault="00A948AB" w14:paraId="1B6A32B9" w14:textId="2FDA7FD8">
      <w:pPr>
        <w:spacing w:line="360" w:lineRule="auto"/>
        <w:ind w:right="-28"/>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Conforme a lo anterior, se logra vislumbrar que la pretensión del ahora Recurrente, es obtener el monto erogado a la fecha de la solicitud, para la instalación de los parquímetros virtuales en la Avenida Benito Juárez García Sur, en la Colonia Universidad.</w:t>
      </w:r>
    </w:p>
    <w:p w:rsidRPr="006D02F8" w:rsidR="00A948AB" w:rsidP="00E437B0" w:rsidRDefault="00A948AB" w14:paraId="773245EC"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A948AB" w:rsidP="00A948AB" w:rsidRDefault="00A948AB" w14:paraId="04EB2644" w14:textId="68C2E09F">
      <w:pPr>
        <w:spacing w:line="360" w:lineRule="auto"/>
        <w:contextualSpacing/>
        <w:jc w:val="both"/>
        <w:rPr>
          <w:rFonts w:ascii="Palatino Linotype" w:hAnsi="Palatino Linotype" w:cs="Tahoma"/>
          <w:iCs/>
          <w:sz w:val="22"/>
          <w:szCs w:val="22"/>
          <w:lang w:val="es-ES"/>
        </w:rPr>
      </w:pPr>
      <w:r w:rsidRPr="006D02F8">
        <w:rPr>
          <w:rFonts w:ascii="Palatino Linotype" w:hAnsi="Palatino Linotype" w:cs="Tahoma"/>
          <w:bCs/>
          <w:iCs/>
          <w:sz w:val="22"/>
          <w:szCs w:val="22"/>
          <w:lang w:val="es-ES"/>
        </w:rPr>
        <w:lastRenderedPageBreak/>
        <w:t xml:space="preserve">Ahora bien, de las constancias que obran en el expediente, se logra vislumbrar que el Sujeto Obligado, únicamente turno la solicitud de información a Tesorería Municipal, </w:t>
      </w:r>
      <w:r w:rsidRPr="006D02F8">
        <w:rPr>
          <w:rFonts w:ascii="Palatino Linotype" w:hAnsi="Palatino Linotype" w:cs="Tahoma"/>
          <w:bCs/>
          <w:iCs/>
          <w:sz w:val="22"/>
          <w:szCs w:val="22"/>
        </w:rPr>
        <w:t xml:space="preserve">por lo que, es necesario hacer referencia al </w:t>
      </w:r>
      <w:r w:rsidRPr="006D02F8">
        <w:rPr>
          <w:rFonts w:ascii="Palatino Linotype" w:hAnsi="Palatino Linotype" w:cs="Tahoma"/>
          <w:b/>
          <w:iCs/>
          <w:sz w:val="22"/>
          <w:szCs w:val="22"/>
        </w:rPr>
        <w:t xml:space="preserve">procedimiento de búsqueda </w:t>
      </w:r>
      <w:r w:rsidRPr="006D02F8">
        <w:rPr>
          <w:rFonts w:ascii="Palatino Linotype" w:hAnsi="Palatino Linotype" w:cs="Tahoma"/>
          <w:b/>
          <w:iCs/>
          <w:sz w:val="22"/>
          <w:szCs w:val="22"/>
          <w:lang w:val="es-ES"/>
        </w:rPr>
        <w:t>que deben de seguir los Sujetos Obligados para localizar la información</w:t>
      </w:r>
      <w:r w:rsidRPr="006D02F8">
        <w:rPr>
          <w:rFonts w:ascii="Palatino Linotype" w:hAnsi="Palatino Linotype" w:cs="Tahoma"/>
          <w:bCs/>
          <w:iCs/>
          <w:sz w:val="22"/>
          <w:szCs w:val="22"/>
          <w:lang w:val="es-ES"/>
        </w:rPr>
        <w:t>, el cual se encuentra previsto en los artículos 160 y 162 de la Ley de Transparencia y Acceso a la Información Pública del Estado de México y Municipios, mismo que es el siguiente:</w:t>
      </w:r>
    </w:p>
    <w:p w:rsidRPr="006D02F8" w:rsidR="00A948AB" w:rsidP="00A948AB" w:rsidRDefault="00A948AB" w14:paraId="4C27B001" w14:textId="77777777">
      <w:pPr>
        <w:spacing w:line="360" w:lineRule="auto"/>
        <w:contextualSpacing/>
        <w:jc w:val="both"/>
        <w:rPr>
          <w:rFonts w:ascii="Palatino Linotype" w:hAnsi="Palatino Linotype" w:cs="Tahoma"/>
          <w:bCs/>
          <w:iCs/>
          <w:sz w:val="22"/>
          <w:szCs w:val="22"/>
        </w:rPr>
      </w:pPr>
    </w:p>
    <w:p w:rsidRPr="006D02F8" w:rsidR="00A948AB" w:rsidP="00A948AB" w:rsidRDefault="00A948AB" w14:paraId="29980423" w14:textId="77777777">
      <w:pPr>
        <w:numPr>
          <w:ilvl w:val="0"/>
          <w:numId w:val="2"/>
        </w:numPr>
        <w:spacing w:line="360" w:lineRule="auto"/>
        <w:contextualSpacing/>
        <w:jc w:val="both"/>
        <w:rPr>
          <w:rFonts w:ascii="Palatino Linotype" w:hAnsi="Palatino Linotype" w:cs="Tahoma"/>
          <w:bCs/>
          <w:iCs/>
          <w:sz w:val="22"/>
          <w:szCs w:val="22"/>
          <w:lang w:val="es-ES"/>
        </w:rPr>
      </w:pPr>
      <w:r w:rsidRPr="006D02F8">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D02F8" w:rsidR="00A948AB" w:rsidP="00A948AB" w:rsidRDefault="00A948AB" w14:paraId="47E36A29" w14:textId="77777777">
      <w:pPr>
        <w:spacing w:line="360" w:lineRule="auto"/>
        <w:contextualSpacing/>
        <w:jc w:val="both"/>
        <w:rPr>
          <w:rFonts w:ascii="Palatino Linotype" w:hAnsi="Palatino Linotype" w:cs="Tahoma"/>
          <w:bCs/>
          <w:iCs/>
          <w:sz w:val="22"/>
          <w:szCs w:val="22"/>
          <w:lang w:val="es-ES"/>
        </w:rPr>
      </w:pPr>
    </w:p>
    <w:p w:rsidRPr="006D02F8" w:rsidR="00A948AB" w:rsidP="00A948AB" w:rsidRDefault="00A948AB" w14:paraId="7A6C909D" w14:textId="77777777">
      <w:pPr>
        <w:numPr>
          <w:ilvl w:val="0"/>
          <w:numId w:val="2"/>
        </w:numPr>
        <w:spacing w:line="360" w:lineRule="auto"/>
        <w:contextualSpacing/>
        <w:jc w:val="both"/>
        <w:rPr>
          <w:rFonts w:ascii="Palatino Linotype" w:hAnsi="Palatino Linotype" w:cs="Tahoma"/>
          <w:bCs/>
          <w:iCs/>
          <w:sz w:val="22"/>
          <w:szCs w:val="22"/>
          <w:lang w:val="es-ES"/>
        </w:rPr>
      </w:pPr>
      <w:r w:rsidRPr="006D02F8">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D02F8" w:rsidR="00A948AB" w:rsidP="00A948AB" w:rsidRDefault="00A948AB" w14:paraId="31F4E28E" w14:textId="77777777">
      <w:pPr>
        <w:spacing w:line="360" w:lineRule="auto"/>
        <w:contextualSpacing/>
        <w:jc w:val="both"/>
        <w:rPr>
          <w:rFonts w:ascii="Palatino Linotype" w:hAnsi="Palatino Linotype" w:cs="Tahoma"/>
          <w:b/>
          <w:bCs/>
          <w:iCs/>
          <w:sz w:val="22"/>
          <w:szCs w:val="22"/>
        </w:rPr>
      </w:pPr>
    </w:p>
    <w:p w:rsidRPr="006D02F8" w:rsidR="00A948AB" w:rsidP="00A948AB" w:rsidRDefault="00A948AB" w14:paraId="0F6CB0C4" w14:textId="1242A3EC">
      <w:pPr>
        <w:spacing w:line="360" w:lineRule="auto"/>
        <w:contextualSpacing/>
        <w:jc w:val="both"/>
        <w:rPr>
          <w:rFonts w:ascii="Palatino Linotype" w:hAnsi="Palatino Linotype" w:cs="Tahoma"/>
          <w:bCs/>
          <w:iCs/>
          <w:sz w:val="22"/>
          <w:szCs w:val="22"/>
        </w:rPr>
      </w:pPr>
      <w:r w:rsidRPr="006D02F8">
        <w:rPr>
          <w:rFonts w:ascii="Palatino Linotype" w:hAnsi="Palatino Linotype" w:cs="Tahoma"/>
          <w:bCs/>
          <w:iCs/>
          <w:sz w:val="22"/>
          <w:szCs w:val="22"/>
        </w:rPr>
        <w:t>Así, con la finalidad de determinar si el Sujeto Obligado cumplió con el procedimiento de búsqueda previamente establecido, es necesario traer a colación los artículos 3.2, fracción I, numerales 1, 5 y 8, 3.19, 3.22</w:t>
      </w:r>
      <w:r w:rsidRPr="006D02F8" w:rsidR="000736FB">
        <w:rPr>
          <w:rFonts w:ascii="Palatino Linotype" w:hAnsi="Palatino Linotype" w:cs="Tahoma"/>
          <w:bCs/>
          <w:iCs/>
          <w:sz w:val="22"/>
          <w:szCs w:val="22"/>
        </w:rPr>
        <w:t>, 3.40,</w:t>
      </w:r>
      <w:r w:rsidRPr="006D02F8">
        <w:rPr>
          <w:rFonts w:ascii="Palatino Linotype" w:hAnsi="Palatino Linotype" w:cs="Tahoma"/>
          <w:bCs/>
          <w:iCs/>
          <w:sz w:val="22"/>
          <w:szCs w:val="22"/>
        </w:rPr>
        <w:t xml:space="preserve"> </w:t>
      </w:r>
      <w:r w:rsidRPr="006D02F8" w:rsidR="000736FB">
        <w:rPr>
          <w:rFonts w:ascii="Palatino Linotype" w:hAnsi="Palatino Linotype" w:cs="Tahoma"/>
          <w:bCs/>
          <w:iCs/>
          <w:sz w:val="22"/>
          <w:szCs w:val="22"/>
        </w:rPr>
        <w:t xml:space="preserve">3.53 y 3.55 </w:t>
      </w:r>
      <w:r w:rsidRPr="006D02F8">
        <w:rPr>
          <w:rFonts w:ascii="Palatino Linotype" w:hAnsi="Palatino Linotype" w:cs="Tahoma"/>
          <w:bCs/>
          <w:iCs/>
          <w:sz w:val="22"/>
          <w:szCs w:val="22"/>
        </w:rPr>
        <w:t>del Código de Reglamentación Municipal de Toluca, que precisan que el Sujeto Obligado cuenta con diversas unidades administrativas para el ejercicio de sus funciones y cumplimiento de objetivos y fines, entre las cuales se encuentran, las siguientes:</w:t>
      </w:r>
    </w:p>
    <w:p w:rsidRPr="006D02F8" w:rsidR="000736FB" w:rsidP="00A948AB" w:rsidRDefault="000736FB" w14:paraId="71C0F34C" w14:textId="77777777">
      <w:pPr>
        <w:spacing w:line="360" w:lineRule="auto"/>
        <w:contextualSpacing/>
        <w:jc w:val="both"/>
        <w:rPr>
          <w:rFonts w:ascii="Palatino Linotype" w:hAnsi="Palatino Linotype" w:cs="Tahoma"/>
          <w:bCs/>
          <w:iCs/>
          <w:sz w:val="22"/>
          <w:szCs w:val="22"/>
        </w:rPr>
      </w:pPr>
    </w:p>
    <w:p w:rsidRPr="006D02F8" w:rsidR="00A948AB" w:rsidP="00A948AB" w:rsidRDefault="00A948AB" w14:paraId="1AA41D75" w14:textId="51539EC9">
      <w:pPr>
        <w:pStyle w:val="Prrafodelista"/>
        <w:numPr>
          <w:ilvl w:val="0"/>
          <w:numId w:val="5"/>
        </w:numPr>
        <w:spacing w:line="360" w:lineRule="auto"/>
        <w:jc w:val="both"/>
        <w:rPr>
          <w:rFonts w:ascii="Palatino Linotype" w:hAnsi="Palatino Linotype"/>
          <w:szCs w:val="22"/>
        </w:rPr>
      </w:pPr>
      <w:r w:rsidRPr="006D02F8">
        <w:rPr>
          <w:rFonts w:ascii="Palatino Linotype" w:hAnsi="Palatino Linotype" w:cs="Tahoma"/>
          <w:b/>
          <w:bCs/>
          <w:iCs/>
          <w:szCs w:val="22"/>
        </w:rPr>
        <w:lastRenderedPageBreak/>
        <w:t xml:space="preserve">Tesorería Municipal: </w:t>
      </w:r>
      <w:r w:rsidRPr="006D02F8">
        <w:rPr>
          <w:rFonts w:ascii="Palatino Linotype" w:hAnsi="Palatino Linotype" w:cs="Tahoma"/>
          <w:bCs/>
          <w:iCs/>
          <w:szCs w:val="22"/>
        </w:rPr>
        <w:t xml:space="preserve">Que a través de la </w:t>
      </w:r>
      <w:r w:rsidRPr="006D02F8" w:rsidR="000736FB">
        <w:rPr>
          <w:rFonts w:ascii="Palatino Linotype" w:hAnsi="Palatino Linotype" w:cs="Tahoma"/>
          <w:bCs/>
          <w:iCs/>
          <w:szCs w:val="22"/>
        </w:rPr>
        <w:t>Dirección</w:t>
      </w:r>
      <w:r w:rsidRPr="006D02F8">
        <w:rPr>
          <w:rFonts w:ascii="Palatino Linotype" w:hAnsi="Palatino Linotype" w:cs="Tahoma"/>
          <w:bCs/>
          <w:iCs/>
          <w:szCs w:val="22"/>
        </w:rPr>
        <w:t xml:space="preserve"> de Egresos</w:t>
      </w:r>
      <w:r w:rsidRPr="006D02F8" w:rsidR="000736FB">
        <w:rPr>
          <w:rFonts w:ascii="Palatino Linotype" w:hAnsi="Palatino Linotype" w:cs="Tahoma"/>
          <w:bCs/>
          <w:iCs/>
          <w:szCs w:val="22"/>
        </w:rPr>
        <w:t xml:space="preserve"> </w:t>
      </w:r>
      <w:r w:rsidRPr="006D02F8" w:rsidR="000736FB">
        <w:rPr>
          <w:rFonts w:ascii="Palatino Linotype" w:hAnsi="Palatino Linotype"/>
          <w:szCs w:val="22"/>
        </w:rPr>
        <w:t xml:space="preserve">realiza </w:t>
      </w:r>
      <w:r w:rsidRPr="006D02F8">
        <w:rPr>
          <w:rFonts w:ascii="Palatino Linotype" w:hAnsi="Palatino Linotype"/>
          <w:szCs w:val="22"/>
        </w:rPr>
        <w:t>la programación de los pagos que se deben efectuar con cargo al presupuesto de egresos del Ayuntamiento y verificar que se lleven a cabo.</w:t>
      </w:r>
    </w:p>
    <w:p w:rsidRPr="006D02F8" w:rsidR="000736FB" w:rsidP="000736FB" w:rsidRDefault="000736FB" w14:paraId="2BF72492" w14:textId="77777777">
      <w:pPr>
        <w:pStyle w:val="Prrafodelista"/>
        <w:spacing w:line="360" w:lineRule="auto"/>
        <w:jc w:val="both"/>
        <w:rPr>
          <w:rFonts w:ascii="Palatino Linotype" w:hAnsi="Palatino Linotype"/>
          <w:szCs w:val="22"/>
        </w:rPr>
      </w:pPr>
    </w:p>
    <w:p w:rsidRPr="006D02F8" w:rsidR="000736FB" w:rsidP="00A948AB" w:rsidRDefault="000736FB" w14:paraId="0FFF75CA" w14:textId="6CD63BCC">
      <w:pPr>
        <w:pStyle w:val="Prrafodelista"/>
        <w:numPr>
          <w:ilvl w:val="0"/>
          <w:numId w:val="5"/>
        </w:numPr>
        <w:spacing w:line="360" w:lineRule="auto"/>
        <w:jc w:val="both"/>
        <w:rPr>
          <w:rFonts w:ascii="Palatino Linotype" w:hAnsi="Palatino Linotype"/>
          <w:szCs w:val="22"/>
        </w:rPr>
      </w:pPr>
      <w:r w:rsidRPr="006D02F8">
        <w:rPr>
          <w:rFonts w:ascii="Palatino Linotype" w:hAnsi="Palatino Linotype" w:cs="Tahoma"/>
          <w:b/>
          <w:bCs/>
          <w:iCs/>
          <w:szCs w:val="22"/>
        </w:rPr>
        <w:t xml:space="preserve">Dirección General de Administración: </w:t>
      </w:r>
      <w:r w:rsidRPr="006D02F8">
        <w:rPr>
          <w:rFonts w:ascii="Palatino Linotype" w:hAnsi="Palatino Linotype" w:cs="Tahoma"/>
          <w:bCs/>
          <w:iCs/>
          <w:szCs w:val="22"/>
        </w:rPr>
        <w:t>Que interviene, vigila y da seguimiento a los procedimientos de adquisición, arrendamiento, contratación de servicios, enajenación y subasta de bienes; supervisa y vigila los procedimientos de adjudicación.</w:t>
      </w:r>
    </w:p>
    <w:p w:rsidRPr="006D02F8" w:rsidR="000736FB" w:rsidP="00536EFD" w:rsidRDefault="000736FB" w14:paraId="442D0C1E" w14:textId="77777777">
      <w:pPr>
        <w:pStyle w:val="Prrafodelista"/>
        <w:spacing w:line="360" w:lineRule="auto"/>
        <w:rPr>
          <w:rFonts w:ascii="Palatino Linotype" w:hAnsi="Palatino Linotype"/>
          <w:szCs w:val="22"/>
        </w:rPr>
      </w:pPr>
    </w:p>
    <w:p w:rsidRPr="006D02F8" w:rsidR="000736FB" w:rsidP="00142BD3" w:rsidRDefault="000736FB" w14:paraId="21974B36" w14:textId="590D6E99">
      <w:pPr>
        <w:pStyle w:val="Prrafodelista"/>
        <w:numPr>
          <w:ilvl w:val="0"/>
          <w:numId w:val="5"/>
        </w:numPr>
        <w:spacing w:line="360" w:lineRule="auto"/>
        <w:jc w:val="both"/>
        <w:rPr>
          <w:rFonts w:ascii="Palatino Linotype" w:hAnsi="Palatino Linotype"/>
          <w:b/>
          <w:szCs w:val="22"/>
        </w:rPr>
      </w:pPr>
      <w:r w:rsidRPr="006D02F8">
        <w:rPr>
          <w:rFonts w:ascii="Palatino Linotype" w:hAnsi="Palatino Linotype"/>
          <w:b/>
          <w:szCs w:val="22"/>
        </w:rPr>
        <w:t xml:space="preserve">Dirección General de Desarrollo Urbano, Ordenamiento Territorial y Obras Públicas: </w:t>
      </w:r>
      <w:r w:rsidRPr="006D02F8">
        <w:rPr>
          <w:rFonts w:ascii="Palatino Linotype" w:hAnsi="Palatino Linotype"/>
          <w:szCs w:val="22"/>
        </w:rPr>
        <w:t>Que por medio de la Dirección de Obras Públicas, coordina la planeación, programación, presupuestación, adjudicación y contratación de la obra pública.</w:t>
      </w:r>
    </w:p>
    <w:p w:rsidRPr="006D02F8" w:rsidR="00A948AB" w:rsidP="00A948AB" w:rsidRDefault="00A948AB" w14:paraId="250ACA00" w14:textId="77777777">
      <w:pPr>
        <w:spacing w:line="360" w:lineRule="auto"/>
        <w:contextualSpacing/>
        <w:jc w:val="both"/>
        <w:rPr>
          <w:rFonts w:ascii="Palatino Linotype" w:hAnsi="Palatino Linotype"/>
          <w:sz w:val="22"/>
          <w:szCs w:val="22"/>
        </w:rPr>
      </w:pPr>
    </w:p>
    <w:p w:rsidRPr="006D02F8" w:rsidR="00A948AB" w:rsidP="00A948AB" w:rsidRDefault="00A948AB" w14:paraId="29F43A31" w14:textId="4E0F9220">
      <w:pPr>
        <w:spacing w:line="360" w:lineRule="auto"/>
        <w:contextualSpacing/>
        <w:jc w:val="both"/>
        <w:rPr>
          <w:rFonts w:ascii="Palatino Linotype" w:hAnsi="Palatino Linotype"/>
          <w:b/>
          <w:sz w:val="22"/>
          <w:szCs w:val="22"/>
        </w:rPr>
      </w:pPr>
      <w:r w:rsidRPr="006D02F8">
        <w:rPr>
          <w:rFonts w:ascii="Palatino Linotype" w:hAnsi="Palatino Linotype" w:eastAsia="Calibri"/>
          <w:sz w:val="22"/>
          <w:szCs w:val="22"/>
        </w:rPr>
        <w:t>De tal circunstancia</w:t>
      </w:r>
      <w:r w:rsidRPr="006D02F8">
        <w:rPr>
          <w:rFonts w:ascii="Palatino Linotype" w:hAnsi="Palatino Linotype" w:eastAsia="Calibri" w:cs="Tahoma"/>
          <w:bCs/>
          <w:iCs/>
          <w:sz w:val="22"/>
          <w:szCs w:val="22"/>
        </w:rPr>
        <w:t xml:space="preserve">, se logra colegir que el Sujeto Obligado </w:t>
      </w:r>
      <w:r w:rsidRPr="006D02F8" w:rsidR="000736FB">
        <w:rPr>
          <w:rFonts w:ascii="Palatino Linotype" w:hAnsi="Palatino Linotype" w:eastAsia="Calibri" w:cs="Tahoma"/>
          <w:bCs/>
          <w:iCs/>
          <w:sz w:val="22"/>
          <w:szCs w:val="22"/>
        </w:rPr>
        <w:t xml:space="preserve">no </w:t>
      </w:r>
      <w:r w:rsidRPr="006D02F8">
        <w:rPr>
          <w:rFonts w:ascii="Palatino Linotype" w:hAnsi="Palatino Linotype" w:eastAsia="Calibri" w:cs="Tahoma"/>
          <w:bCs/>
          <w:iCs/>
          <w:sz w:val="22"/>
          <w:szCs w:val="22"/>
        </w:rPr>
        <w:t xml:space="preserve">cumplió con el procedimiento de búsqueda </w:t>
      </w:r>
      <w:r w:rsidRPr="006D02F8">
        <w:rPr>
          <w:rFonts w:ascii="Palatino Linotype" w:hAnsi="Palatino Linotype" w:eastAsia="Calibri" w:cs="Tahoma"/>
          <w:color w:val="000000"/>
          <w:sz w:val="22"/>
          <w:szCs w:val="22"/>
          <w:lang w:val="es-ES" w:eastAsia="es-MX"/>
        </w:rPr>
        <w:t xml:space="preserve">establecido en el artículo 162 de la Ley de Transparencia y Acceso a la Información Pública del Estado de México y Municipios, </w:t>
      </w:r>
      <w:r w:rsidRPr="006D02F8" w:rsidR="000736FB">
        <w:rPr>
          <w:rFonts w:ascii="Palatino Linotype" w:hAnsi="Palatino Linotype" w:eastAsia="Calibri" w:cs="Tahoma"/>
          <w:color w:val="000000"/>
          <w:sz w:val="22"/>
          <w:szCs w:val="22"/>
          <w:lang w:val="es-ES" w:eastAsia="es-MX"/>
        </w:rPr>
        <w:t xml:space="preserve">ya que si bien turno la solicitud a un área competente, omitió hacerlo a la Dirección General de Administración y la Dirección General de Desarrollo Urbano, Ordenamiento Territorial y Obras Públicas, que ven las cuestiones relacionadas con la adquisición o arrendamiento de bienes, contratación de servicios y obra pública. </w:t>
      </w:r>
    </w:p>
    <w:p w:rsidRPr="006D02F8" w:rsidR="00A948AB" w:rsidP="00A948AB" w:rsidRDefault="00A948AB" w14:paraId="19693BA0"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A948AB" w:rsidP="000736FB" w:rsidRDefault="00A948AB" w14:paraId="54C1F063" w14:textId="5D259F7D">
      <w:pPr>
        <w:spacing w:line="360" w:lineRule="auto"/>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 xml:space="preserve">Ahora bien, </w:t>
      </w:r>
      <w:r w:rsidRPr="006D02F8" w:rsidR="000736FB">
        <w:rPr>
          <w:rFonts w:ascii="Palatino Linotype" w:hAnsi="Palatino Linotype" w:cs="Tahoma"/>
          <w:color w:val="0D0D0D" w:themeColor="text1" w:themeTint="F2"/>
          <w:sz w:val="22"/>
          <w:szCs w:val="22"/>
          <w:lang w:val="es-ES"/>
        </w:rPr>
        <w:t xml:space="preserve">tanto en respuesta, como Informe Justificado, la Tesorería Municipal </w:t>
      </w:r>
      <w:r w:rsidRPr="006D02F8">
        <w:rPr>
          <w:rFonts w:ascii="Palatino Linotype" w:hAnsi="Palatino Linotype" w:cs="Tahoma"/>
          <w:color w:val="0D0D0D" w:themeColor="text1" w:themeTint="F2"/>
          <w:sz w:val="22"/>
          <w:szCs w:val="22"/>
          <w:lang w:val="es-ES"/>
        </w:rPr>
        <w:t xml:space="preserve"> precisó que, después de una búsqueda exhaustiva en sus archivos no se encontró registro alguno por </w:t>
      </w:r>
      <w:r w:rsidRPr="006D02F8" w:rsidR="000736FB">
        <w:rPr>
          <w:rFonts w:ascii="Palatino Linotype" w:hAnsi="Palatino Linotype" w:cs="Tahoma"/>
          <w:color w:val="0D0D0D" w:themeColor="text1" w:themeTint="F2"/>
          <w:sz w:val="22"/>
          <w:szCs w:val="22"/>
          <w:lang w:val="es-ES"/>
        </w:rPr>
        <w:t xml:space="preserve">el concepto solicitado; </w:t>
      </w:r>
      <w:r w:rsidRPr="006D02F8" w:rsidR="007F7391">
        <w:rPr>
          <w:rFonts w:ascii="Palatino Linotype" w:hAnsi="Palatino Linotype" w:cs="Tahoma"/>
          <w:color w:val="0D0D0D" w:themeColor="text1" w:themeTint="F2"/>
          <w:sz w:val="22"/>
          <w:szCs w:val="22"/>
          <w:lang w:val="es-ES"/>
        </w:rPr>
        <w:t xml:space="preserve">sobre dicha situación, este Instituto considera que el criterio utilizado por el área en mención fue </w:t>
      </w:r>
      <w:r w:rsidRPr="006D02F8" w:rsidR="007F7391">
        <w:rPr>
          <w:rFonts w:ascii="Palatino Linotype" w:hAnsi="Palatino Linotype" w:cs="Tahoma"/>
          <w:b/>
          <w:color w:val="0D0D0D" w:themeColor="text1" w:themeTint="F2"/>
          <w:sz w:val="22"/>
          <w:szCs w:val="22"/>
          <w:lang w:val="es-ES"/>
        </w:rPr>
        <w:t>incorrecto</w:t>
      </w:r>
      <w:r w:rsidRPr="006D02F8" w:rsidR="007F7391">
        <w:rPr>
          <w:rFonts w:ascii="Palatino Linotype" w:hAnsi="Palatino Linotype" w:cs="Tahoma"/>
          <w:color w:val="0D0D0D" w:themeColor="text1" w:themeTint="F2"/>
          <w:sz w:val="22"/>
          <w:szCs w:val="22"/>
          <w:lang w:val="es-ES"/>
        </w:rPr>
        <w:t>, al ceñirla a la literalidad, sin tomar en cuenta las siguientes circunstancias:</w:t>
      </w:r>
    </w:p>
    <w:p w:rsidRPr="006D02F8" w:rsidR="00142BD3" w:rsidP="000736FB" w:rsidRDefault="00142BD3" w14:paraId="05605176" w14:textId="77777777">
      <w:pPr>
        <w:spacing w:line="360" w:lineRule="auto"/>
        <w:contextualSpacing/>
        <w:jc w:val="both"/>
        <w:rPr>
          <w:rFonts w:ascii="Palatino Linotype" w:hAnsi="Palatino Linotype" w:cs="Tahoma"/>
          <w:color w:val="0D0D0D" w:themeColor="text1" w:themeTint="F2"/>
          <w:sz w:val="22"/>
          <w:szCs w:val="22"/>
          <w:lang w:val="es-ES"/>
        </w:rPr>
      </w:pPr>
    </w:p>
    <w:p w:rsidRPr="006D02F8" w:rsidR="007F7391" w:rsidP="007F7391" w:rsidRDefault="007F7391" w14:paraId="488B2865" w14:textId="09B3843C">
      <w:pPr>
        <w:pStyle w:val="Prrafodelista"/>
        <w:numPr>
          <w:ilvl w:val="0"/>
          <w:numId w:val="6"/>
        </w:numPr>
        <w:spacing w:line="360" w:lineRule="auto"/>
        <w:jc w:val="both"/>
        <w:rPr>
          <w:rFonts w:ascii="Palatino Linotype" w:hAnsi="Palatino Linotype" w:eastAsia="Calibri" w:cs="Tahoma"/>
          <w:color w:val="000000"/>
          <w:lang w:val="es-ES" w:eastAsia="es-MX"/>
        </w:rPr>
      </w:pPr>
      <w:r w:rsidRPr="006D02F8">
        <w:rPr>
          <w:rFonts w:ascii="Palatino Linotype" w:hAnsi="Palatino Linotype" w:eastAsia="Calibri" w:cs="Tahoma"/>
          <w:color w:val="000000"/>
          <w:lang w:val="es-ES" w:eastAsia="es-MX"/>
        </w:rPr>
        <w:lastRenderedPageBreak/>
        <w:t>Que se instalaron parquímetros virtuales, en distintos puntos del Ayuntamiento de Toluca;</w:t>
      </w:r>
    </w:p>
    <w:p w:rsidRPr="006D02F8" w:rsidR="007F7391" w:rsidP="007F7391" w:rsidRDefault="007F7391" w14:paraId="02520BF4" w14:textId="77777777">
      <w:pPr>
        <w:pStyle w:val="Prrafodelista"/>
        <w:spacing w:line="360" w:lineRule="auto"/>
        <w:jc w:val="both"/>
        <w:rPr>
          <w:rFonts w:ascii="Palatino Linotype" w:hAnsi="Palatino Linotype" w:eastAsia="Calibri" w:cs="Tahoma"/>
          <w:color w:val="000000"/>
          <w:lang w:val="es-ES" w:eastAsia="es-MX"/>
        </w:rPr>
      </w:pPr>
    </w:p>
    <w:p w:rsidRPr="006D02F8" w:rsidR="007F7391" w:rsidP="007F7391" w:rsidRDefault="007F7391" w14:paraId="46E4A652" w14:textId="09D9C472">
      <w:pPr>
        <w:pStyle w:val="Prrafodelista"/>
        <w:numPr>
          <w:ilvl w:val="0"/>
          <w:numId w:val="6"/>
        </w:numPr>
        <w:spacing w:line="360" w:lineRule="auto"/>
        <w:jc w:val="both"/>
        <w:rPr>
          <w:rFonts w:ascii="Palatino Linotype" w:hAnsi="Palatino Linotype" w:eastAsia="Calibri" w:cs="Tahoma"/>
          <w:color w:val="000000"/>
          <w:lang w:val="es-ES" w:eastAsia="es-MX"/>
        </w:rPr>
      </w:pPr>
      <w:r w:rsidRPr="006D02F8">
        <w:rPr>
          <w:rFonts w:ascii="Palatino Linotype" w:hAnsi="Palatino Linotype" w:eastAsia="Calibri" w:cs="Tahoma"/>
          <w:color w:val="000000"/>
          <w:lang w:val="es-ES" w:eastAsia="es-MX"/>
        </w:rPr>
        <w:t xml:space="preserve">Que la pretensión del ahora Recurrente, es obtener la información de la </w:t>
      </w:r>
      <w:r w:rsidRPr="006D02F8">
        <w:rPr>
          <w:rFonts w:ascii="Palatino Linotype" w:hAnsi="Palatino Linotype" w:cs="Tahoma"/>
          <w:color w:val="0D0D0D" w:themeColor="text1" w:themeTint="F2"/>
          <w:szCs w:val="22"/>
          <w:lang w:val="es-ES"/>
        </w:rPr>
        <w:t>Avenida Benito Juárez García Sur, en la Colonia Universidad;</w:t>
      </w:r>
    </w:p>
    <w:p w:rsidRPr="006D02F8" w:rsidR="007F7391" w:rsidP="007F7391" w:rsidRDefault="007F7391" w14:paraId="674D93EA" w14:textId="77777777">
      <w:pPr>
        <w:pStyle w:val="Prrafodelista"/>
        <w:rPr>
          <w:rFonts w:ascii="Palatino Linotype" w:hAnsi="Palatino Linotype" w:eastAsia="Calibri" w:cs="Tahoma"/>
          <w:color w:val="000000"/>
          <w:lang w:val="es-ES" w:eastAsia="es-MX"/>
        </w:rPr>
      </w:pPr>
    </w:p>
    <w:p w:rsidRPr="006D02F8" w:rsidR="007F7391" w:rsidP="007F7391" w:rsidRDefault="007F7391" w14:paraId="20A14E82" w14:textId="1B31B903">
      <w:pPr>
        <w:pStyle w:val="Prrafodelista"/>
        <w:numPr>
          <w:ilvl w:val="0"/>
          <w:numId w:val="6"/>
        </w:numPr>
        <w:spacing w:line="360" w:lineRule="auto"/>
        <w:jc w:val="both"/>
        <w:rPr>
          <w:rFonts w:ascii="Palatino Linotype" w:hAnsi="Palatino Linotype" w:eastAsia="Calibri" w:cs="Tahoma"/>
          <w:color w:val="000000"/>
          <w:lang w:val="es-ES" w:eastAsia="es-MX"/>
        </w:rPr>
      </w:pPr>
      <w:r w:rsidRPr="006D02F8">
        <w:rPr>
          <w:rFonts w:ascii="Palatino Linotype" w:hAnsi="Palatino Linotype" w:eastAsia="Calibri" w:cs="Tahoma"/>
          <w:color w:val="000000"/>
          <w:lang w:val="es-ES" w:eastAsia="es-MX"/>
        </w:rPr>
        <w:t>Que los particulares no son peritos en la materia y no se encuentra obligados a conocer de manera precisa, la forma o conceptos en que se erogaron los recursos públicos.</w:t>
      </w:r>
    </w:p>
    <w:p w:rsidRPr="006D02F8" w:rsidR="007F7391" w:rsidP="007F7391" w:rsidRDefault="007F7391" w14:paraId="5D935EDC" w14:textId="77777777">
      <w:pPr>
        <w:pStyle w:val="Prrafodelista"/>
        <w:rPr>
          <w:rFonts w:ascii="Palatino Linotype" w:hAnsi="Palatino Linotype" w:eastAsia="Calibri" w:cs="Tahoma"/>
          <w:color w:val="000000"/>
          <w:lang w:val="es-ES" w:eastAsia="es-MX"/>
        </w:rPr>
      </w:pPr>
    </w:p>
    <w:p w:rsidRPr="006D02F8" w:rsidR="007F7391" w:rsidP="007F7391" w:rsidRDefault="007F7391" w14:paraId="11CDB1FC" w14:textId="086A0885">
      <w:pPr>
        <w:spacing w:line="360" w:lineRule="auto"/>
        <w:jc w:val="both"/>
        <w:rPr>
          <w:rFonts w:ascii="Palatino Linotype" w:hAnsi="Palatino Linotype" w:eastAsia="Calibri" w:cs="Tahoma"/>
          <w:color w:val="000000"/>
          <w:sz w:val="22"/>
          <w:lang w:val="es-ES" w:eastAsia="es-MX"/>
        </w:rPr>
      </w:pPr>
      <w:r w:rsidRPr="006D02F8">
        <w:rPr>
          <w:rFonts w:ascii="Palatino Linotype" w:hAnsi="Palatino Linotype" w:eastAsia="Calibri" w:cs="Tahoma"/>
          <w:color w:val="000000"/>
          <w:sz w:val="22"/>
          <w:lang w:val="es-ES" w:eastAsia="es-MX"/>
        </w:rPr>
        <w:t xml:space="preserve">Conforme a lo anterior, se logra vislumbrar se logra vislumbrar que el criterio de búsqueda utilizado por la Tesorería Municipal fue restrictivo y erróneo al ceñirla al concepto literal de la solicitud, sin tomar en cuenta que existían otros elementos para tomar en cuenta, como la avenida y el hecho de que se instalaron y removieron parquímetros en distintas partes del Municipio, lo cual da como resultado que el agravio sea </w:t>
      </w:r>
      <w:r w:rsidRPr="006D02F8">
        <w:rPr>
          <w:rFonts w:ascii="Palatino Linotype" w:hAnsi="Palatino Linotype" w:eastAsia="Calibri" w:cs="Tahoma"/>
          <w:b/>
          <w:color w:val="000000"/>
          <w:sz w:val="22"/>
          <w:lang w:val="es-ES" w:eastAsia="es-MX"/>
        </w:rPr>
        <w:t xml:space="preserve">FUNDADO; </w:t>
      </w:r>
      <w:r w:rsidRPr="006D02F8">
        <w:rPr>
          <w:rFonts w:ascii="Palatino Linotype" w:hAnsi="Palatino Linotype" w:eastAsia="Calibri" w:cs="Tahoma"/>
          <w:color w:val="000000"/>
          <w:sz w:val="22"/>
          <w:lang w:val="es-ES" w:eastAsia="es-MX"/>
        </w:rPr>
        <w:t>situación que se robustece con el hecho de que tampoco se gestionó el requerimiento a todas las áreas competentes.</w:t>
      </w:r>
    </w:p>
    <w:p w:rsidRPr="006D02F8" w:rsidR="000736FB" w:rsidP="000736FB" w:rsidRDefault="000736FB" w14:paraId="18832A10" w14:textId="77777777">
      <w:pPr>
        <w:spacing w:line="360" w:lineRule="auto"/>
        <w:contextualSpacing/>
        <w:jc w:val="both"/>
        <w:rPr>
          <w:rFonts w:ascii="Palatino Linotype" w:hAnsi="Palatino Linotype" w:cs="Tahoma"/>
          <w:color w:val="0D0D0D" w:themeColor="text1" w:themeTint="F2"/>
          <w:sz w:val="22"/>
          <w:szCs w:val="22"/>
          <w:lang w:val="es-ES"/>
        </w:rPr>
      </w:pPr>
    </w:p>
    <w:p w:rsidRPr="006D02F8" w:rsidR="00A948AB" w:rsidP="00E437B0" w:rsidRDefault="00A948AB" w14:paraId="2F2FE700"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142BD3" w:rsidP="00142BD3" w:rsidRDefault="007F7391" w14:paraId="695C0AB8" w14:textId="77777777">
      <w:pPr>
        <w:spacing w:line="360" w:lineRule="auto"/>
        <w:ind w:right="-28"/>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Tahoma"/>
          <w:color w:val="0D0D0D" w:themeColor="text1" w:themeTint="F2"/>
          <w:sz w:val="22"/>
          <w:szCs w:val="22"/>
          <w:lang w:val="es-ES"/>
        </w:rPr>
        <w:t>Así, se considera que el Sujeto Obligado, deberá realizar una búsqueda exhaustiva y razonable, en términos del artículo 162 de la Ley de Transparencia y Acceso a la Información Pública del Estado de México y Municipios, en los archivos</w:t>
      </w:r>
      <w:r w:rsidRPr="006D02F8" w:rsidR="00142BD3">
        <w:rPr>
          <w:rFonts w:ascii="Palatino Linotype" w:hAnsi="Palatino Linotype" w:cs="Tahoma"/>
          <w:color w:val="0D0D0D" w:themeColor="text1" w:themeTint="F2"/>
          <w:sz w:val="22"/>
          <w:szCs w:val="22"/>
          <w:lang w:val="es-ES"/>
        </w:rPr>
        <w:t xml:space="preserve"> de todas las áreas competentes, entre las cuales, se encuentra </w:t>
      </w:r>
      <w:r w:rsidRPr="006D02F8">
        <w:rPr>
          <w:rFonts w:ascii="Palatino Linotype" w:hAnsi="Palatino Linotype" w:cs="Tahoma"/>
          <w:color w:val="0D0D0D" w:themeColor="text1" w:themeTint="F2"/>
          <w:sz w:val="22"/>
          <w:szCs w:val="22"/>
          <w:lang w:val="es-ES"/>
        </w:rPr>
        <w:t>la Tesorería Municipal</w:t>
      </w:r>
      <w:r w:rsidRPr="006D02F8" w:rsidR="00142BD3">
        <w:rPr>
          <w:rFonts w:ascii="Palatino Linotype" w:hAnsi="Palatino Linotype" w:cs="Tahoma"/>
          <w:color w:val="0D0D0D" w:themeColor="text1" w:themeTint="F2"/>
          <w:sz w:val="22"/>
          <w:szCs w:val="22"/>
          <w:lang w:val="es-ES"/>
        </w:rPr>
        <w:t>, la Dirección General de Administración y la Dirección General de Desarrollo Urbano, Ordenamiento Territorial y Obras Públicas</w:t>
      </w:r>
      <w:r w:rsidRPr="006D02F8">
        <w:rPr>
          <w:rFonts w:ascii="Palatino Linotype" w:hAnsi="Palatino Linotype" w:cs="Tahoma"/>
          <w:color w:val="0D0D0D" w:themeColor="text1" w:themeTint="F2"/>
          <w:sz w:val="22"/>
          <w:szCs w:val="22"/>
          <w:lang w:val="es-ES"/>
        </w:rPr>
        <w:t xml:space="preserve"> </w:t>
      </w:r>
      <w:r w:rsidRPr="006D02F8" w:rsidR="00142BD3">
        <w:rPr>
          <w:rFonts w:ascii="Palatino Linotype" w:hAnsi="Palatino Linotype" w:cs="Tahoma"/>
          <w:color w:val="0D0D0D" w:themeColor="text1" w:themeTint="F2"/>
          <w:sz w:val="22"/>
          <w:szCs w:val="22"/>
          <w:lang w:val="es-ES"/>
        </w:rPr>
        <w:t>a efecto de que proporcione el documento donde conste el monto erogado por el Ayuntamiento, para la instalación de los parquímetros virtuales en la en la Avenida Benito Juárez García Sur, en la Colonia Universidad.</w:t>
      </w:r>
    </w:p>
    <w:p w:rsidRPr="006D02F8" w:rsidR="007F7391" w:rsidP="007F7391" w:rsidRDefault="007F7391" w14:paraId="31D18763" w14:textId="77777777">
      <w:pPr>
        <w:spacing w:line="360" w:lineRule="auto"/>
        <w:contextualSpacing/>
        <w:jc w:val="both"/>
        <w:rPr>
          <w:rFonts w:ascii="Palatino Linotype" w:hAnsi="Palatino Linotype" w:cs="Tahoma"/>
          <w:color w:val="0D0D0D" w:themeColor="text1" w:themeTint="F2"/>
          <w:sz w:val="22"/>
          <w:szCs w:val="22"/>
          <w:lang w:val="es-ES"/>
        </w:rPr>
      </w:pPr>
    </w:p>
    <w:p w:rsidRPr="006D02F8" w:rsidR="007F7391" w:rsidP="007F7391" w:rsidRDefault="007F7391" w14:paraId="4E43BD33" w14:textId="77777777">
      <w:pPr>
        <w:spacing w:line="360" w:lineRule="auto"/>
        <w:jc w:val="both"/>
        <w:rPr>
          <w:rFonts w:ascii="Palatino Linotype" w:hAnsi="Palatino Linotype" w:cs="Tahoma"/>
          <w:sz w:val="22"/>
          <w:szCs w:val="24"/>
          <w:lang w:val="es-ES"/>
        </w:rPr>
      </w:pPr>
      <w:r w:rsidRPr="006D02F8">
        <w:rPr>
          <w:rFonts w:ascii="Palatino Linotype" w:hAnsi="Palatino Linotype" w:cs="Tahoma"/>
          <w:iCs/>
          <w:sz w:val="22"/>
          <w:szCs w:val="22"/>
        </w:rPr>
        <w:lastRenderedPageBreak/>
        <w:t>Dicha</w:t>
      </w:r>
      <w:r w:rsidRPr="006D02F8">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6D02F8" w:rsidR="007F7391" w:rsidP="007F7391" w:rsidRDefault="007F7391" w14:paraId="17BE3E5F" w14:textId="77777777">
      <w:pPr>
        <w:spacing w:line="360" w:lineRule="auto"/>
        <w:ind w:right="-28"/>
        <w:contextualSpacing/>
        <w:jc w:val="both"/>
        <w:rPr>
          <w:rFonts w:ascii="Palatino Linotype" w:hAnsi="Palatino Linotype" w:cs="Tahoma"/>
          <w:bCs/>
          <w:iCs/>
          <w:sz w:val="22"/>
          <w:szCs w:val="22"/>
        </w:rPr>
      </w:pPr>
    </w:p>
    <w:p w:rsidRPr="006D02F8" w:rsidR="007F7391" w:rsidP="007F7391" w:rsidRDefault="007F7391" w14:paraId="786B8B1D" w14:textId="77777777">
      <w:pPr>
        <w:spacing w:line="360" w:lineRule="auto"/>
        <w:jc w:val="both"/>
        <w:rPr>
          <w:rFonts w:ascii="Palatino Linotype" w:hAnsi="Palatino Linotype" w:cs="Tahoma"/>
          <w:sz w:val="22"/>
          <w:szCs w:val="22"/>
        </w:rPr>
      </w:pPr>
      <w:r w:rsidRPr="006D02F8">
        <w:rPr>
          <w:rFonts w:ascii="Palatino Linotype" w:hAnsi="Palatino Linotype" w:cs="Tahoma"/>
          <w:sz w:val="22"/>
          <w:szCs w:val="22"/>
        </w:rPr>
        <w:t xml:space="preserve">De esta manera, </w:t>
      </w:r>
      <w:r w:rsidRPr="006D02F8">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D02F8">
        <w:rPr>
          <w:rFonts w:ascii="Palatino Linotype" w:hAnsi="Palatino Linotype" w:cs="Tahoma"/>
          <w:i/>
          <w:sz w:val="22"/>
          <w:szCs w:val="22"/>
        </w:rPr>
        <w:t>ad hoc</w:t>
      </w:r>
      <w:r w:rsidRPr="006D02F8">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Pr="006D02F8" w:rsidR="007F7391" w:rsidP="007F7391" w:rsidRDefault="007F7391" w14:paraId="50C4D81D" w14:textId="77777777">
      <w:pPr>
        <w:spacing w:line="360" w:lineRule="auto"/>
        <w:ind w:right="-28"/>
        <w:jc w:val="both"/>
        <w:rPr>
          <w:rFonts w:ascii="Palatino Linotype" w:hAnsi="Palatino Linotype" w:cs="Tahoma"/>
          <w:iCs/>
          <w:sz w:val="22"/>
          <w:szCs w:val="22"/>
        </w:rPr>
      </w:pPr>
    </w:p>
    <w:p w:rsidRPr="006D02F8" w:rsidR="007F7391" w:rsidP="007F7391" w:rsidRDefault="007F7391" w14:paraId="2AA39EB0" w14:textId="77777777">
      <w:pPr>
        <w:spacing w:line="360" w:lineRule="auto"/>
        <w:jc w:val="both"/>
        <w:rPr>
          <w:rFonts w:ascii="Palatino Linotype" w:hAnsi="Palatino Linotype" w:cs="Tahoma"/>
          <w:sz w:val="22"/>
          <w:szCs w:val="24"/>
          <w:lang w:val="es-ES"/>
        </w:rPr>
      </w:pPr>
      <w:r w:rsidRPr="006D02F8">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que den cuenta de lo peticionado.</w:t>
      </w:r>
    </w:p>
    <w:p w:rsidRPr="006D02F8" w:rsidR="00266A29" w:rsidP="007F7391" w:rsidRDefault="00266A29" w14:paraId="304E0430" w14:textId="77777777">
      <w:pPr>
        <w:spacing w:line="360" w:lineRule="auto"/>
        <w:jc w:val="both"/>
        <w:rPr>
          <w:rFonts w:ascii="Palatino Linotype" w:hAnsi="Palatino Linotype" w:cs="Tahoma"/>
          <w:sz w:val="22"/>
          <w:szCs w:val="24"/>
          <w:lang w:val="es-ES"/>
        </w:rPr>
      </w:pPr>
    </w:p>
    <w:p w:rsidRPr="006D02F8" w:rsidR="00E437B0" w:rsidP="00E437B0" w:rsidRDefault="00142BD3" w14:paraId="07D15D46" w14:textId="532C3A41">
      <w:pPr>
        <w:spacing w:line="360" w:lineRule="auto"/>
        <w:jc w:val="both"/>
        <w:rPr>
          <w:rFonts w:ascii="Palatino Linotype" w:hAnsi="Palatino Linotype" w:cs="Tahoma"/>
          <w:sz w:val="22"/>
          <w:szCs w:val="22"/>
          <w:lang w:val="es-ES"/>
        </w:rPr>
      </w:pPr>
      <w:r w:rsidRPr="006D02F8">
        <w:rPr>
          <w:rFonts w:ascii="Palatino Linotype" w:hAnsi="Palatino Linotype" w:cs="Tahoma"/>
          <w:sz w:val="22"/>
          <w:szCs w:val="22"/>
          <w:lang w:val="es-ES"/>
        </w:rPr>
        <w:t>Lo anterior guarda relevancia</w:t>
      </w:r>
      <w:r w:rsidRPr="006D02F8" w:rsidR="00E437B0">
        <w:rPr>
          <w:rFonts w:ascii="Palatino Linotype" w:hAnsi="Palatino Linotype" w:cs="Tahoma"/>
          <w:sz w:val="22"/>
          <w:szCs w:val="22"/>
          <w:lang w:val="es-ES"/>
        </w:rPr>
        <w:t xml:space="preserve">, </w:t>
      </w:r>
      <w:r w:rsidRPr="006D02F8">
        <w:rPr>
          <w:rFonts w:ascii="Palatino Linotype" w:hAnsi="Palatino Linotype" w:cs="Tahoma"/>
          <w:sz w:val="22"/>
          <w:szCs w:val="22"/>
          <w:lang w:val="es-ES"/>
        </w:rPr>
        <w:t>pues</w:t>
      </w:r>
      <w:r w:rsidRPr="006D02F8" w:rsidR="00E437B0">
        <w:rPr>
          <w:rFonts w:ascii="Palatino Linotype" w:hAnsi="Palatino Linotype" w:cs="Tahoma"/>
          <w:sz w:val="22"/>
          <w:szCs w:val="22"/>
          <w:lang w:val="es-ES"/>
        </w:rPr>
        <w:t xml:space="preserve"> los documentos solicitados darían cuenta del ejercicio de recursos públicos; sobre el tema, </w:t>
      </w:r>
      <w:r w:rsidRPr="006D02F8" w:rsidR="00E437B0">
        <w:rPr>
          <w:rFonts w:ascii="Palatino Linotype" w:hAnsi="Palatino Linotype" w:cs="Arial"/>
          <w:bCs/>
          <w:sz w:val="22"/>
          <w:szCs w:val="22"/>
        </w:rPr>
        <w:t>según Arizmendi, Guillermo (2016), en la “Ley General de Transparencia y Acceso a la Información Pública Comentada” (p. 240 y 241), los recursos públicos, deber ser administrado con responsabilidad y transparencia.</w:t>
      </w:r>
    </w:p>
    <w:p w:rsidRPr="006D02F8" w:rsidR="00E437B0" w:rsidP="00E437B0" w:rsidRDefault="00E437B0" w14:paraId="05F4042D" w14:textId="77777777">
      <w:pPr>
        <w:spacing w:line="360" w:lineRule="auto"/>
        <w:ind w:right="-28"/>
        <w:contextualSpacing/>
        <w:jc w:val="both"/>
        <w:rPr>
          <w:rFonts w:ascii="Palatino Linotype" w:hAnsi="Palatino Linotype" w:cs="Tahoma"/>
          <w:sz w:val="22"/>
          <w:szCs w:val="22"/>
          <w:lang w:val="es-ES"/>
        </w:rPr>
      </w:pPr>
    </w:p>
    <w:p w:rsidRPr="006D02F8" w:rsidR="00E437B0" w:rsidP="00E437B0" w:rsidRDefault="00E437B0" w14:paraId="7D50D93B" w14:textId="77777777">
      <w:pPr>
        <w:spacing w:line="360" w:lineRule="auto"/>
        <w:jc w:val="both"/>
        <w:rPr>
          <w:rFonts w:ascii="Palatino Linotype" w:hAnsi="Palatino Linotype" w:cs="Tahoma"/>
          <w:b/>
          <w:sz w:val="22"/>
          <w:szCs w:val="22"/>
          <w:lang w:val="es-ES"/>
        </w:rPr>
      </w:pPr>
      <w:r w:rsidRPr="006D02F8">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6D02F8">
        <w:rPr>
          <w:rFonts w:ascii="Palatino Linotype" w:hAnsi="Palatino Linotype" w:cs="Tahoma"/>
          <w:b/>
          <w:sz w:val="22"/>
          <w:szCs w:val="22"/>
          <w:lang w:val="es-ES"/>
        </w:rPr>
        <w:t xml:space="preserve">los recursos públicos son los ingresos económicos, que obtiene el Estado y que asigna (a partir del presupuesto) al ejercicio de sus </w:t>
      </w:r>
      <w:r w:rsidRPr="006D02F8">
        <w:rPr>
          <w:rFonts w:ascii="Palatino Linotype" w:hAnsi="Palatino Linotype" w:cs="Tahoma"/>
          <w:b/>
          <w:sz w:val="22"/>
          <w:szCs w:val="22"/>
          <w:lang w:val="es-ES"/>
        </w:rPr>
        <w:lastRenderedPageBreak/>
        <w:t>actividades, los cuales deben ser asignados de manera transparente y bajo un sistema de rendición de cuentas, para que las personas puedan monitorear, evaluar y cuestionar su gasto.</w:t>
      </w:r>
    </w:p>
    <w:p w:rsidRPr="006D02F8" w:rsidR="00E437B0" w:rsidP="00E437B0" w:rsidRDefault="00E437B0" w14:paraId="21AAB70E" w14:textId="77777777">
      <w:pPr>
        <w:spacing w:line="360" w:lineRule="auto"/>
        <w:jc w:val="both"/>
        <w:rPr>
          <w:rFonts w:ascii="Palatino Linotype" w:hAnsi="Palatino Linotype" w:cs="Tahoma"/>
          <w:b/>
          <w:sz w:val="22"/>
          <w:szCs w:val="22"/>
          <w:lang w:val="es-ES"/>
        </w:rPr>
      </w:pPr>
    </w:p>
    <w:p w:rsidRPr="006D02F8" w:rsidR="00E437B0" w:rsidP="00E437B0" w:rsidRDefault="00E437B0" w14:paraId="2D3D4910" w14:textId="3B5D4074">
      <w:pPr>
        <w:spacing w:line="360" w:lineRule="auto"/>
        <w:jc w:val="both"/>
        <w:rPr>
          <w:rFonts w:ascii="Palatino Linotype" w:hAnsi="Palatino Linotype" w:cs="Tahoma"/>
          <w:sz w:val="22"/>
          <w:szCs w:val="22"/>
        </w:rPr>
      </w:pPr>
      <w:r w:rsidRPr="006D02F8">
        <w:rPr>
          <w:rFonts w:ascii="Palatino Linotype" w:hAnsi="Palatino Linotype" w:cs="Tahoma"/>
          <w:sz w:val="22"/>
          <w:szCs w:val="22"/>
          <w:lang w:val="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6D02F8">
        <w:rPr>
          <w:rFonts w:ascii="Palatino Linotype" w:hAnsi="Palatino Linotype" w:cs="Tahoma"/>
          <w:b/>
          <w:sz w:val="22"/>
          <w:szCs w:val="22"/>
          <w:lang w:val="es-ES"/>
        </w:rPr>
        <w:t xml:space="preserve">transparencia </w:t>
      </w:r>
      <w:r w:rsidRPr="006D02F8">
        <w:rPr>
          <w:rFonts w:ascii="Palatino Linotype" w:hAnsi="Palatino Linotype" w:cs="Tahoma"/>
          <w:sz w:val="22"/>
          <w:szCs w:val="22"/>
          <w:lang w:val="es-ES"/>
        </w:rPr>
        <w:t xml:space="preserve">y honradez; sobre lo referido,  </w:t>
      </w:r>
      <w:r w:rsidRPr="006D02F8">
        <w:rPr>
          <w:rFonts w:ascii="Palatino Linotype" w:hAnsi="Palatino Linotype" w:cs="Tahoma"/>
          <w:sz w:val="22"/>
          <w:szCs w:val="22"/>
        </w:rPr>
        <w:t>la Tesis número 1</w:t>
      </w:r>
      <w:r w:rsidRPr="006D02F8" w:rsidR="00DA2245">
        <w:rPr>
          <w:rFonts w:ascii="Palatino Linotype" w:hAnsi="Palatino Linotype" w:cs="Tahoma"/>
          <w:sz w:val="22"/>
          <w:szCs w:val="22"/>
        </w:rPr>
        <w:t>ª</w:t>
      </w:r>
      <w:r w:rsidRPr="006D02F8">
        <w:rPr>
          <w:rFonts w:ascii="Palatino Linotype" w:hAnsi="Palatino Linotype" w:cs="Tahoma"/>
          <w:sz w:val="22"/>
          <w:szCs w:val="22"/>
        </w:rPr>
        <w:t>.CXLV/2009, Novena Época, publicada en el Semanario Judicial de la Federación, Tomo XXX, de septiembre de dos mil nueve, (p. 2712), establece lo siguiente:</w:t>
      </w:r>
    </w:p>
    <w:p w:rsidRPr="006D02F8" w:rsidR="00E437B0" w:rsidP="00E437B0" w:rsidRDefault="00E437B0" w14:paraId="2328AE66" w14:textId="77777777">
      <w:pPr>
        <w:spacing w:line="360" w:lineRule="auto"/>
        <w:jc w:val="both"/>
        <w:rPr>
          <w:rFonts w:ascii="Palatino Linotype" w:hAnsi="Palatino Linotype" w:cs="Tahoma"/>
          <w:sz w:val="22"/>
          <w:szCs w:val="22"/>
          <w:lang w:val="es-ES"/>
        </w:rPr>
      </w:pPr>
    </w:p>
    <w:p w:rsidRPr="006D02F8" w:rsidR="00E437B0" w:rsidP="00E437B0" w:rsidRDefault="00E437B0" w14:paraId="6AB752BF" w14:textId="77777777">
      <w:pPr>
        <w:spacing w:line="360" w:lineRule="auto"/>
        <w:ind w:left="567" w:right="567"/>
        <w:jc w:val="both"/>
        <w:rPr>
          <w:rFonts w:ascii="Palatino Linotype" w:hAnsi="Palatino Linotype" w:cs="Tahoma"/>
          <w:bCs/>
          <w:i/>
          <w:iCs/>
          <w:lang w:val="es-ES"/>
        </w:rPr>
      </w:pPr>
      <w:r w:rsidRPr="006D02F8">
        <w:rPr>
          <w:rFonts w:ascii="Palatino Linotype" w:hAnsi="Palatino Linotype" w:cs="Tahoma"/>
          <w:b/>
          <w:bCs/>
          <w:i/>
          <w:iCs/>
          <w:lang w:val="es-ES"/>
        </w:rPr>
        <w:t>“</w:t>
      </w:r>
      <w:r w:rsidRPr="006D02F8">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6D02F8">
        <w:rPr>
          <w:rFonts w:ascii="Palatino Linotype" w:hAnsi="Palatino Linotype" w:cs="Tahoma"/>
          <w:bCs/>
          <w:i/>
          <w:iC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6D02F8">
        <w:rPr>
          <w:rFonts w:ascii="Palatino Linotype" w:hAnsi="Palatino Linotype" w:cs="Tahoma"/>
          <w:bCs/>
          <w:i/>
          <w:iCs/>
          <w:lang w:val="es-ES"/>
        </w:rPr>
        <w:t>”</w:t>
      </w:r>
    </w:p>
    <w:p w:rsidRPr="006D02F8" w:rsidR="00E437B0" w:rsidP="00E437B0" w:rsidRDefault="00E437B0" w14:paraId="15EE6579" w14:textId="77777777">
      <w:pPr>
        <w:spacing w:line="360" w:lineRule="auto"/>
        <w:jc w:val="both"/>
        <w:rPr>
          <w:rFonts w:ascii="Palatino Linotype" w:hAnsi="Palatino Linotype" w:cs="Tahoma"/>
          <w:bCs/>
          <w:iCs/>
          <w:sz w:val="22"/>
          <w:szCs w:val="22"/>
          <w:lang w:val="es-ES"/>
        </w:rPr>
      </w:pPr>
    </w:p>
    <w:p w:rsidRPr="006D02F8" w:rsidR="00E437B0" w:rsidP="00E437B0" w:rsidRDefault="00E437B0" w14:paraId="75B77EA3" w14:textId="77777777">
      <w:pPr>
        <w:spacing w:line="360" w:lineRule="auto"/>
        <w:jc w:val="both"/>
        <w:rPr>
          <w:rFonts w:ascii="Palatino Linotype" w:hAnsi="Palatino Linotype" w:cs="Tahoma"/>
          <w:bCs/>
          <w:iCs/>
          <w:sz w:val="22"/>
          <w:szCs w:val="22"/>
          <w:lang w:val="es-ES"/>
        </w:rPr>
      </w:pPr>
      <w:r w:rsidRPr="006D02F8">
        <w:rPr>
          <w:rFonts w:ascii="Palatino Linotype" w:hAnsi="Palatino Linotype" w:cs="Tahoma"/>
          <w:bCs/>
          <w:iCs/>
          <w:sz w:val="22"/>
          <w:szCs w:val="22"/>
          <w:lang w:val="es-ES"/>
        </w:rPr>
        <w:t xml:space="preserve">Como se logra observar, el ejercicio de recursos públicos por parte de los tres niveles de Gobierno, que incluye a los Municipios, debe seguir el Principio de Transparencia, que implica </w:t>
      </w:r>
      <w:r w:rsidRPr="006D02F8">
        <w:rPr>
          <w:rFonts w:ascii="Palatino Linotype" w:hAnsi="Palatino Linotype" w:cs="Tahoma"/>
          <w:bCs/>
          <w:iCs/>
          <w:sz w:val="22"/>
          <w:szCs w:val="22"/>
          <w:lang w:val="es-ES"/>
        </w:rPr>
        <w:lastRenderedPageBreak/>
        <w:t>permitir a la ciudadanía conocer en la forma en que se gasta el Estado, los recursos con los que cuenta para el cumplimiento de sus obligaciones y atribuciones.</w:t>
      </w:r>
    </w:p>
    <w:p w:rsidRPr="006D02F8" w:rsidR="00E437B0" w:rsidP="00E437B0" w:rsidRDefault="00E437B0" w14:paraId="1B822F73" w14:textId="77777777">
      <w:pPr>
        <w:spacing w:line="360" w:lineRule="auto"/>
        <w:jc w:val="both"/>
        <w:rPr>
          <w:rFonts w:ascii="Palatino Linotype" w:hAnsi="Palatino Linotype" w:cs="Tahoma"/>
          <w:bCs/>
          <w:iCs/>
          <w:sz w:val="22"/>
          <w:szCs w:val="22"/>
          <w:lang w:val="es-ES"/>
        </w:rPr>
      </w:pPr>
    </w:p>
    <w:p w:rsidRPr="006D02F8" w:rsidR="00E437B0" w:rsidP="00E437B0" w:rsidRDefault="00E437B0" w14:paraId="6C63088B" w14:textId="77777777">
      <w:pPr>
        <w:spacing w:line="360" w:lineRule="auto"/>
        <w:jc w:val="both"/>
        <w:rPr>
          <w:rFonts w:ascii="Palatino Linotype" w:hAnsi="Palatino Linotype" w:cs="Tahoma"/>
          <w:sz w:val="22"/>
          <w:szCs w:val="22"/>
          <w:lang w:val="es-ES"/>
        </w:rPr>
      </w:pPr>
      <w:r w:rsidRPr="006D02F8">
        <w:rPr>
          <w:rFonts w:ascii="Palatino Linotype" w:hAnsi="Palatino Linotype" w:cs="Tahoma"/>
          <w:bCs/>
          <w:iCs/>
          <w:sz w:val="22"/>
          <w:szCs w:val="22"/>
          <w:lang w:val="es-ES"/>
        </w:rPr>
        <w:t xml:space="preserve">Al respecto, </w:t>
      </w:r>
      <w:r w:rsidRPr="006D02F8">
        <w:rPr>
          <w:rFonts w:ascii="Palatino Linotype" w:hAnsi="Palatino Linotype" w:cs="Tahoma"/>
          <w:sz w:val="22"/>
          <w:szCs w:val="22"/>
          <w:lang w:val="es-ES"/>
        </w:rPr>
        <w:t xml:space="preserve">según Merino, Mauricio (2019), en el “Diccionario de Transparencia y Acceso a la Información Pública” (p. 276), </w:t>
      </w:r>
      <w:r w:rsidRPr="006D02F8">
        <w:rPr>
          <w:rFonts w:ascii="Palatino Linotype" w:hAnsi="Palatino Linotype" w:cs="Tahoma"/>
          <w:b/>
          <w:sz w:val="22"/>
          <w:szCs w:val="22"/>
          <w:lang w:val="es-ES"/>
        </w:rPr>
        <w:t xml:space="preserve">la rendición de cuentas, </w:t>
      </w:r>
      <w:r w:rsidRPr="006D02F8">
        <w:rPr>
          <w:rFonts w:ascii="Palatino Linotype" w:hAnsi="Palatino Linotype" w:cs="Tahoma"/>
          <w:sz w:val="22"/>
          <w:szCs w:val="22"/>
          <w:lang w:val="es-ES"/>
        </w:rPr>
        <w:t xml:space="preserve">es un ejercicio de transparencia e información pública; es un medio a través del cual los gobiernos informan al público de sus actividades, </w:t>
      </w:r>
      <w:r w:rsidRPr="006D02F8">
        <w:rPr>
          <w:rFonts w:ascii="Palatino Linotype" w:hAnsi="Palatino Linotype" w:cs="Tahoma"/>
          <w:b/>
          <w:sz w:val="22"/>
          <w:szCs w:val="22"/>
          <w:lang w:val="es-ES"/>
        </w:rPr>
        <w:t>de los recursos que han ejercido</w:t>
      </w:r>
      <w:r w:rsidRPr="006D02F8">
        <w:rPr>
          <w:rFonts w:ascii="Palatino Linotype" w:hAnsi="Palatino Linotype" w:cs="Tahoma"/>
          <w:sz w:val="22"/>
          <w:szCs w:val="22"/>
          <w:lang w:val="es-ES"/>
        </w:rPr>
        <w:t xml:space="preserve"> y de los resultados obtenidos.</w:t>
      </w:r>
    </w:p>
    <w:p w:rsidRPr="006D02F8" w:rsidR="00E437B0" w:rsidP="00142BD3" w:rsidRDefault="00E437B0" w14:paraId="2E4BBE6C" w14:textId="77777777">
      <w:pPr>
        <w:spacing w:line="360" w:lineRule="auto"/>
        <w:jc w:val="both"/>
        <w:rPr>
          <w:rFonts w:ascii="Palatino Linotype" w:hAnsi="Palatino Linotype" w:cs="Tahoma"/>
          <w:sz w:val="22"/>
          <w:szCs w:val="22"/>
          <w:lang w:val="es-ES"/>
        </w:rPr>
      </w:pPr>
    </w:p>
    <w:p w:rsidRPr="006D02F8" w:rsidR="00E437B0" w:rsidP="00E437B0" w:rsidRDefault="00E437B0" w14:paraId="2AD50DE0" w14:textId="77777777">
      <w:pPr>
        <w:spacing w:line="360" w:lineRule="auto"/>
        <w:jc w:val="both"/>
        <w:rPr>
          <w:rFonts w:ascii="Palatino Linotype" w:hAnsi="Palatino Linotype" w:cs="Tahoma"/>
          <w:bCs/>
          <w:iCs/>
          <w:sz w:val="22"/>
          <w:szCs w:val="22"/>
          <w:lang w:val="es-ES"/>
        </w:rPr>
      </w:pPr>
      <w:r w:rsidRPr="006D02F8">
        <w:rPr>
          <w:rFonts w:ascii="Palatino Linotype" w:hAnsi="Palatino Linotype" w:cs="Tahoma"/>
          <w:bCs/>
          <w:iCs/>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rsidRPr="006D02F8" w:rsidR="00E437B0" w:rsidP="00E437B0" w:rsidRDefault="00E437B0" w14:paraId="4A821FA5" w14:textId="77777777">
      <w:pPr>
        <w:spacing w:line="360" w:lineRule="auto"/>
        <w:jc w:val="both"/>
        <w:rPr>
          <w:rFonts w:ascii="Palatino Linotype" w:hAnsi="Palatino Linotype" w:cs="Tahoma"/>
          <w:bCs/>
          <w:iCs/>
          <w:sz w:val="22"/>
          <w:szCs w:val="22"/>
          <w:lang w:val="es-ES"/>
        </w:rPr>
      </w:pPr>
    </w:p>
    <w:p w:rsidRPr="006D02F8" w:rsidR="00E437B0" w:rsidP="00E437B0" w:rsidRDefault="00E437B0" w14:paraId="7D04CB8A" w14:textId="29F2D7A3">
      <w:pPr>
        <w:spacing w:line="360" w:lineRule="auto"/>
        <w:jc w:val="both"/>
        <w:rPr>
          <w:rFonts w:ascii="Palatino Linotype" w:hAnsi="Palatino Linotype" w:cs="Tahoma"/>
          <w:bCs/>
          <w:iCs/>
          <w:sz w:val="22"/>
          <w:szCs w:val="22"/>
          <w:lang w:val="es-ES"/>
        </w:rPr>
      </w:pPr>
      <w:r w:rsidRPr="006D02F8">
        <w:rPr>
          <w:rFonts w:ascii="Palatino Linotype" w:hAnsi="Palatino Linotype" w:cs="Tahoma"/>
          <w:bCs/>
          <w:iCs/>
          <w:sz w:val="22"/>
          <w:szCs w:val="22"/>
          <w:lang w:val="es-ES"/>
        </w:rPr>
        <w:t>Toma relevancia lo anterior, pues conforme al artículo 2°, fracción VII</w:t>
      </w:r>
      <w:r w:rsidRPr="006D02F8" w:rsidR="00142BD3">
        <w:rPr>
          <w:rFonts w:ascii="Palatino Linotype" w:hAnsi="Palatino Linotype" w:cs="Tahoma"/>
          <w:bCs/>
          <w:iCs/>
          <w:sz w:val="22"/>
          <w:szCs w:val="22"/>
          <w:lang w:val="es-ES"/>
        </w:rPr>
        <w:t>,</w:t>
      </w:r>
      <w:r w:rsidRPr="006D02F8">
        <w:rPr>
          <w:rFonts w:ascii="Palatino Linotype" w:hAnsi="Palatino Linotype" w:cs="Tahoma"/>
          <w:bCs/>
          <w:iCs/>
          <w:sz w:val="22"/>
          <w:szCs w:val="22"/>
          <w:lang w:val="es-ES"/>
        </w:rPr>
        <w:t xml:space="preserve">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rsidRPr="006D02F8" w:rsidR="00E437B0" w:rsidP="00E437B0" w:rsidRDefault="00E437B0" w14:paraId="3C015BBA" w14:textId="77777777">
      <w:pPr>
        <w:spacing w:line="360" w:lineRule="auto"/>
        <w:ind w:right="-28"/>
        <w:contextualSpacing/>
        <w:jc w:val="both"/>
        <w:rPr>
          <w:rFonts w:ascii="Palatino Linotype" w:hAnsi="Palatino Linotype" w:cs="Tahoma"/>
          <w:bCs/>
          <w:iCs/>
          <w:sz w:val="22"/>
          <w:szCs w:val="22"/>
        </w:rPr>
      </w:pPr>
    </w:p>
    <w:p w:rsidRPr="006D02F8" w:rsidR="00266A29" w:rsidP="00E437B0" w:rsidRDefault="00E437B0" w14:paraId="16EA075F" w14:textId="1FB140F8">
      <w:pPr>
        <w:spacing w:line="360" w:lineRule="auto"/>
        <w:ind w:right="-28"/>
        <w:contextualSpacing/>
        <w:jc w:val="both"/>
        <w:rPr>
          <w:rFonts w:ascii="Palatino Linotype" w:hAnsi="Palatino Linotype" w:cs="Tahoma"/>
          <w:bCs/>
          <w:iCs/>
          <w:sz w:val="22"/>
          <w:szCs w:val="22"/>
        </w:rPr>
      </w:pPr>
      <w:r w:rsidRPr="006D02F8">
        <w:rPr>
          <w:rFonts w:ascii="Palatino Linotype" w:hAnsi="Palatino Linotype" w:cs="Tahoma"/>
          <w:bCs/>
          <w:iCs/>
          <w:sz w:val="22"/>
          <w:szCs w:val="22"/>
        </w:rPr>
        <w:t>Conforme a lo anterior, se logra vislumbrar que</w:t>
      </w:r>
      <w:r w:rsidRPr="006D02F8" w:rsidR="00E35E1E">
        <w:rPr>
          <w:rFonts w:ascii="Palatino Linotype" w:hAnsi="Palatino Linotype" w:cs="Tahoma"/>
          <w:bCs/>
          <w:iCs/>
          <w:sz w:val="22"/>
          <w:szCs w:val="22"/>
        </w:rPr>
        <w:t>,</w:t>
      </w:r>
      <w:r w:rsidRPr="006D02F8">
        <w:rPr>
          <w:rFonts w:ascii="Palatino Linotype" w:hAnsi="Palatino Linotype" w:cs="Tahoma"/>
          <w:bCs/>
          <w:iCs/>
          <w:sz w:val="22"/>
          <w:szCs w:val="22"/>
        </w:rPr>
        <w:t xml:space="preserve"> en el presente caso, la información solicitada rinde cuentas del ejercicio de recursos públicos y la forma en que se utilizaron; </w:t>
      </w:r>
      <w:r w:rsidRPr="006D02F8" w:rsidR="00142BD3">
        <w:rPr>
          <w:rFonts w:ascii="Palatino Linotype" w:hAnsi="Palatino Linotype" w:cs="Tahoma"/>
          <w:bCs/>
          <w:iCs/>
          <w:sz w:val="22"/>
          <w:szCs w:val="22"/>
        </w:rPr>
        <w:t xml:space="preserve">además, que en el presente caso, de trata de aquellos recursos empleados para mejorar el sistema de </w:t>
      </w:r>
      <w:r w:rsidRPr="006D02F8" w:rsidR="00142BD3">
        <w:rPr>
          <w:rFonts w:ascii="Palatino Linotype" w:hAnsi="Palatino Linotype" w:cs="Tahoma"/>
          <w:bCs/>
          <w:iCs/>
          <w:sz w:val="22"/>
          <w:szCs w:val="22"/>
        </w:rPr>
        <w:lastRenderedPageBreak/>
        <w:t>recaudación en el tema de parquímetros, con el fin de que la Tesorería Municipal obtenga mayores ingresos.</w:t>
      </w:r>
      <w:r w:rsidRPr="006D02F8" w:rsidR="00266A29">
        <w:rPr>
          <w:rFonts w:ascii="Palatino Linotype" w:hAnsi="Palatino Linotype" w:cs="Tahoma"/>
          <w:bCs/>
          <w:iCs/>
          <w:sz w:val="22"/>
          <w:szCs w:val="22"/>
        </w:rPr>
        <w:t xml:space="preserve"> Ahora bien, para el caso de que no cuente con el monto erogado por Colonia o Calle, deberá proporcionarlo al nivel de desglose con el que lo cuente, como puede ser el establecido de manera general en el contrato respectivo.</w:t>
      </w:r>
    </w:p>
    <w:p w:rsidRPr="006D02F8" w:rsidR="0026793A" w:rsidP="0026793A" w:rsidRDefault="0026793A" w14:paraId="65D9823E"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E437B0" w:rsidP="00E437B0" w:rsidRDefault="00E437B0" w14:paraId="5F310DB6" w14:textId="77777777">
      <w:pPr>
        <w:spacing w:line="360" w:lineRule="auto"/>
        <w:jc w:val="both"/>
        <w:rPr>
          <w:rFonts w:ascii="Palatino Linotype" w:hAnsi="Palatino Linotype" w:cs="Tahoma"/>
          <w:bCs/>
          <w:sz w:val="22"/>
          <w:szCs w:val="22"/>
          <w:lang w:val="es-ES"/>
        </w:rPr>
      </w:pPr>
      <w:r w:rsidRPr="006D02F8">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6D02F8">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6D02F8" w:rsidR="00266A29" w:rsidP="00E437B0" w:rsidRDefault="00266A29" w14:paraId="4479B660" w14:textId="77777777">
      <w:pPr>
        <w:spacing w:line="360" w:lineRule="auto"/>
        <w:jc w:val="both"/>
        <w:rPr>
          <w:rFonts w:ascii="Palatino Linotype" w:hAnsi="Palatino Linotype" w:cs="Tahoma"/>
          <w:bCs/>
          <w:sz w:val="22"/>
          <w:szCs w:val="22"/>
          <w:lang w:val="es-ES"/>
        </w:rPr>
      </w:pPr>
    </w:p>
    <w:p w:rsidRPr="006D02F8" w:rsidR="00E437B0" w:rsidP="00023DE6" w:rsidRDefault="00E437B0" w14:paraId="2FF8292E" w14:textId="10EB4FA5">
      <w:pPr>
        <w:spacing w:line="360" w:lineRule="auto"/>
        <w:jc w:val="both"/>
        <w:rPr>
          <w:rFonts w:ascii="Palatino Linotype" w:hAnsi="Palatino Linotype" w:cs="Tahoma"/>
          <w:bCs/>
          <w:sz w:val="22"/>
          <w:szCs w:val="22"/>
          <w:lang w:val="es-ES"/>
        </w:rPr>
      </w:pPr>
      <w:r w:rsidRPr="006D02F8">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6D02F8" w:rsidR="00E437B0" w:rsidP="00E437B0" w:rsidRDefault="00E437B0" w14:paraId="5E5093BD" w14:textId="77777777">
      <w:pPr>
        <w:spacing w:line="360" w:lineRule="auto"/>
        <w:ind w:right="-28"/>
        <w:jc w:val="both"/>
        <w:rPr>
          <w:rFonts w:ascii="Palatino Linotype" w:hAnsi="Palatino Linotype" w:cs="Tahoma"/>
          <w:b/>
          <w:sz w:val="22"/>
          <w:szCs w:val="22"/>
        </w:rPr>
      </w:pPr>
      <w:r w:rsidRPr="006D02F8">
        <w:rPr>
          <w:rFonts w:ascii="Palatino Linotype" w:hAnsi="Palatino Linotype" w:cs="Tahoma"/>
          <w:b/>
          <w:sz w:val="22"/>
          <w:szCs w:val="22"/>
        </w:rPr>
        <w:t xml:space="preserve">SEXTO. Decisión. </w:t>
      </w:r>
    </w:p>
    <w:p w:rsidRPr="006D02F8" w:rsidR="00142BD3" w:rsidP="00E437B0" w:rsidRDefault="00142BD3" w14:paraId="0A74B9E0" w14:textId="77777777">
      <w:pPr>
        <w:spacing w:line="360" w:lineRule="auto"/>
        <w:ind w:right="-28"/>
        <w:jc w:val="both"/>
        <w:rPr>
          <w:rFonts w:ascii="Palatino Linotype" w:hAnsi="Palatino Linotype" w:cs="Tahoma"/>
          <w:b/>
          <w:sz w:val="22"/>
          <w:szCs w:val="22"/>
        </w:rPr>
      </w:pPr>
    </w:p>
    <w:p w:rsidRPr="006D02F8" w:rsidR="00420F0B" w:rsidP="00142BD3" w:rsidRDefault="00E437B0" w14:paraId="082466EA" w14:textId="77777777">
      <w:pPr>
        <w:spacing w:line="360" w:lineRule="auto"/>
        <w:ind w:right="-28"/>
        <w:contextualSpacing/>
        <w:jc w:val="both"/>
        <w:rPr>
          <w:rFonts w:ascii="Palatino Linotype" w:hAnsi="Palatino Linotype" w:cs="Tahoma"/>
          <w:color w:val="0D0D0D" w:themeColor="text1" w:themeTint="F2"/>
          <w:sz w:val="22"/>
          <w:szCs w:val="22"/>
          <w:lang w:val="es-ES"/>
        </w:rPr>
      </w:pPr>
      <w:r w:rsidRPr="006D02F8">
        <w:rPr>
          <w:rFonts w:ascii="Palatino Linotype" w:hAnsi="Palatino Linotype" w:cs="Arial"/>
          <w:sz w:val="22"/>
          <w:szCs w:val="22"/>
        </w:rPr>
        <w:t>C</w:t>
      </w:r>
      <w:r w:rsidRPr="006D02F8">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6D02F8">
        <w:rPr>
          <w:rFonts w:ascii="Palatino Linotype" w:hAnsi="Palatino Linotype" w:cs="Tahoma"/>
          <w:b/>
          <w:sz w:val="22"/>
          <w:szCs w:val="22"/>
        </w:rPr>
        <w:t>REVOCAR</w:t>
      </w:r>
      <w:r w:rsidRPr="006D02F8">
        <w:rPr>
          <w:rFonts w:ascii="Palatino Linotype" w:hAnsi="Palatino Linotype" w:cs="Tahoma"/>
          <w:sz w:val="22"/>
          <w:szCs w:val="22"/>
        </w:rPr>
        <w:t xml:space="preserve"> la respuesta otorgada a la solicitud de información </w:t>
      </w:r>
      <w:r w:rsidRPr="006D02F8" w:rsidR="00FB10BB">
        <w:rPr>
          <w:rFonts w:ascii="Palatino Linotype" w:hAnsi="Palatino Linotype"/>
          <w:color w:val="000000" w:themeColor="text1"/>
          <w:sz w:val="22"/>
          <w:szCs w:val="22"/>
        </w:rPr>
        <w:t>00466/TOLUCA/IP/2023</w:t>
      </w:r>
      <w:r w:rsidRPr="006D02F8">
        <w:rPr>
          <w:rFonts w:ascii="Palatino Linotype" w:hAnsi="Palatino Linotype" w:cs="Tahoma"/>
          <w:bCs/>
          <w:sz w:val="22"/>
          <w:szCs w:val="22"/>
        </w:rPr>
        <w:t xml:space="preserve">, a efecto de que previa </w:t>
      </w:r>
      <w:r w:rsidRPr="006D02F8">
        <w:rPr>
          <w:rFonts w:ascii="Palatino Linotype" w:hAnsi="Palatino Linotype" w:eastAsia="Calibri" w:cs="Tahoma"/>
          <w:iCs/>
          <w:sz w:val="22"/>
          <w:szCs w:val="22"/>
          <w:lang w:eastAsia="es-ES_tradnl"/>
        </w:rPr>
        <w:t xml:space="preserve">búsqueda exhaustiva y razonable, en todas las áreas competentes, entre las cuales no podrá omitir a </w:t>
      </w:r>
      <w:r w:rsidRPr="006D02F8">
        <w:rPr>
          <w:rFonts w:ascii="Palatino Linotype" w:hAnsi="Palatino Linotype" w:eastAsia="Calibri" w:cs="Tahoma"/>
          <w:bCs/>
          <w:iCs/>
          <w:sz w:val="22"/>
          <w:szCs w:val="22"/>
          <w:lang w:eastAsia="es-ES_tradnl"/>
        </w:rPr>
        <w:t xml:space="preserve">la </w:t>
      </w:r>
      <w:r w:rsidRPr="006D02F8" w:rsidR="00FB10BB">
        <w:rPr>
          <w:rFonts w:ascii="Palatino Linotype" w:hAnsi="Palatino Linotype" w:eastAsia="Calibri" w:cs="Tahoma"/>
          <w:bCs/>
          <w:iCs/>
          <w:sz w:val="22"/>
          <w:szCs w:val="22"/>
          <w:lang w:eastAsia="es-ES_tradnl"/>
        </w:rPr>
        <w:t>Tesorería Municipal</w:t>
      </w:r>
      <w:r w:rsidRPr="006D02F8" w:rsidR="00142BD3">
        <w:rPr>
          <w:rFonts w:ascii="Palatino Linotype" w:hAnsi="Palatino Linotype" w:eastAsia="Calibri" w:cs="Tahoma"/>
          <w:bCs/>
          <w:iCs/>
          <w:sz w:val="22"/>
          <w:szCs w:val="22"/>
          <w:lang w:eastAsia="es-ES_tradnl"/>
        </w:rPr>
        <w:t>,</w:t>
      </w:r>
      <w:r w:rsidRPr="006D02F8" w:rsidR="00142BD3">
        <w:rPr>
          <w:rFonts w:ascii="Palatino Linotype" w:hAnsi="Palatino Linotype" w:cs="Tahoma"/>
          <w:color w:val="0D0D0D" w:themeColor="text1" w:themeTint="F2"/>
          <w:sz w:val="22"/>
          <w:szCs w:val="22"/>
          <w:lang w:val="es-ES"/>
        </w:rPr>
        <w:t xml:space="preserve"> la Dirección General de Administración y la Dirección General de Desarrollo Urbano, Ordenamiento Territorial y Obras Públicas, </w:t>
      </w:r>
      <w:r w:rsidRPr="006D02F8" w:rsidR="00142BD3">
        <w:rPr>
          <w:rFonts w:ascii="Palatino Linotype" w:hAnsi="Palatino Linotype" w:cs="Tahoma"/>
          <w:color w:val="0D0D0D" w:themeColor="text1" w:themeTint="F2"/>
          <w:sz w:val="22"/>
          <w:szCs w:val="22"/>
          <w:lang w:val="es-ES"/>
        </w:rPr>
        <w:lastRenderedPageBreak/>
        <w:t>entregue, en su caso, en versión pública, el documento donde conste el monto erogado por el Ayuntamiento, para la instalación de los parquímetros virtuales en la en la Avenida Benito Juárez García Sur, en la Colonia Universidad</w:t>
      </w:r>
      <w:bookmarkStart w:name="_Hlk130405429" w:id="1"/>
      <w:r w:rsidRPr="006D02F8" w:rsidR="00420F0B">
        <w:rPr>
          <w:rFonts w:ascii="Palatino Linotype" w:hAnsi="Palatino Linotype" w:cs="Tahoma"/>
          <w:color w:val="0D0D0D" w:themeColor="text1" w:themeTint="F2"/>
          <w:sz w:val="22"/>
          <w:szCs w:val="22"/>
          <w:lang w:val="es-ES"/>
        </w:rPr>
        <w:t>.</w:t>
      </w:r>
    </w:p>
    <w:p w:rsidRPr="006D02F8" w:rsidR="00420F0B" w:rsidP="00142BD3" w:rsidRDefault="00420F0B" w14:paraId="6F207FFA" w14:textId="77777777">
      <w:pPr>
        <w:spacing w:line="360" w:lineRule="auto"/>
        <w:ind w:right="-28"/>
        <w:contextualSpacing/>
        <w:jc w:val="both"/>
        <w:rPr>
          <w:rFonts w:ascii="Palatino Linotype" w:hAnsi="Palatino Linotype" w:cs="Tahoma"/>
          <w:color w:val="0D0D0D" w:themeColor="text1" w:themeTint="F2"/>
          <w:sz w:val="22"/>
          <w:szCs w:val="22"/>
          <w:lang w:val="es-ES"/>
        </w:rPr>
      </w:pPr>
    </w:p>
    <w:p w:rsidRPr="006D02F8" w:rsidR="00266A29" w:rsidP="00266A29" w:rsidRDefault="00420F0B" w14:paraId="3073FA7A" w14:textId="0ECC5A32">
      <w:pPr>
        <w:spacing w:line="360" w:lineRule="auto"/>
        <w:ind w:right="-28"/>
        <w:contextualSpacing/>
        <w:jc w:val="both"/>
        <w:rPr>
          <w:rFonts w:ascii="Palatino Linotype" w:hAnsi="Palatino Linotype" w:cs="Tahoma"/>
          <w:bCs/>
          <w:iCs/>
          <w:sz w:val="22"/>
          <w:szCs w:val="22"/>
        </w:rPr>
      </w:pPr>
      <w:r w:rsidRPr="006D02F8">
        <w:rPr>
          <w:rFonts w:ascii="Palatino Linotype" w:hAnsi="Palatino Linotype" w:cs="Tahoma"/>
          <w:color w:val="0D0D0D" w:themeColor="text1" w:themeTint="F2"/>
          <w:sz w:val="22"/>
          <w:szCs w:val="22"/>
          <w:lang w:val="es-ES"/>
        </w:rPr>
        <w:t>A</w:t>
      </w:r>
      <w:r w:rsidRPr="006D02F8" w:rsidR="00E437B0">
        <w:rPr>
          <w:rFonts w:ascii="Palatino Linotype" w:hAnsi="Palatino Linotype" w:cs="Tahoma"/>
          <w:bCs/>
          <w:iCs/>
          <w:sz w:val="22"/>
          <w:szCs w:val="22"/>
        </w:rPr>
        <w:t>demás, de ser necesario, deberá proporcionar el Acuerdo de Clasificación donde el Comité de Transparencia, confirme la eliminación de los datos o información cla</w:t>
      </w:r>
      <w:r w:rsidRPr="006D02F8" w:rsidR="00266A29">
        <w:rPr>
          <w:rFonts w:ascii="Palatino Linotype" w:hAnsi="Palatino Linotype" w:cs="Tahoma"/>
          <w:bCs/>
          <w:iCs/>
          <w:sz w:val="22"/>
          <w:szCs w:val="22"/>
        </w:rPr>
        <w:t>sificada, en la versión pública; para el caso de que no cuente con el monto erogado al nivel de desglose referido, deberá proporcionarlo como obre en sus archivos, como puede ser el establecido de manera general en el contrato respectivo.</w:t>
      </w:r>
    </w:p>
    <w:p w:rsidRPr="006D02F8" w:rsidR="00E437B0" w:rsidP="00142BD3" w:rsidRDefault="00E437B0" w14:paraId="4F0DC8A6" w14:textId="025BA444">
      <w:pPr>
        <w:spacing w:line="360" w:lineRule="auto"/>
        <w:ind w:right="-28"/>
        <w:contextualSpacing/>
        <w:jc w:val="both"/>
        <w:rPr>
          <w:rFonts w:ascii="Palatino Linotype" w:hAnsi="Palatino Linotype" w:cs="Tahoma"/>
          <w:sz w:val="22"/>
          <w:szCs w:val="24"/>
          <w:lang w:val="es-ES"/>
        </w:rPr>
      </w:pPr>
    </w:p>
    <w:bookmarkEnd w:id="1"/>
    <w:p w:rsidRPr="006D02F8" w:rsidR="00E437B0" w:rsidP="00E437B0" w:rsidRDefault="00E437B0" w14:paraId="5ED77A92" w14:textId="77777777">
      <w:pPr>
        <w:spacing w:line="360" w:lineRule="auto"/>
        <w:ind w:right="-93"/>
        <w:jc w:val="both"/>
        <w:rPr>
          <w:rFonts w:ascii="Palatino Linotype" w:hAnsi="Palatino Linotype" w:cs="Tahoma"/>
          <w:bCs/>
          <w:sz w:val="22"/>
          <w:szCs w:val="22"/>
        </w:rPr>
      </w:pPr>
    </w:p>
    <w:p w:rsidRPr="006D02F8" w:rsidR="00E437B0" w:rsidP="00E437B0" w:rsidRDefault="00E437B0" w14:paraId="0B860CF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6D02F8">
        <w:rPr>
          <w:rFonts w:ascii="Palatino Linotype" w:hAnsi="Palatino Linotype" w:eastAsia="Calibri" w:cs="Tahoma"/>
          <w:b/>
          <w:bCs/>
          <w:iCs/>
          <w:sz w:val="22"/>
          <w:szCs w:val="22"/>
          <w:lang w:val="es-ES" w:eastAsia="en-US"/>
        </w:rPr>
        <w:t>Términos de la Resolución para conocimiento del Particular.</w:t>
      </w:r>
    </w:p>
    <w:p w:rsidRPr="006D02F8" w:rsidR="00E437B0" w:rsidP="00E437B0" w:rsidRDefault="00E437B0" w14:paraId="30ABC548"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6D02F8" w:rsidR="00E437B0" w:rsidP="00E437B0" w:rsidRDefault="00E437B0" w14:paraId="19CC9BBB" w14:textId="193EA2DB">
      <w:pPr>
        <w:autoSpaceDE w:val="0"/>
        <w:autoSpaceDN w:val="0"/>
        <w:adjustRightInd w:val="0"/>
        <w:spacing w:line="360" w:lineRule="auto"/>
        <w:jc w:val="both"/>
        <w:rPr>
          <w:rFonts w:ascii="Palatino Linotype" w:hAnsi="Palatino Linotype" w:eastAsia="Calibri" w:cs="Tahoma"/>
          <w:bCs/>
          <w:sz w:val="22"/>
          <w:szCs w:val="22"/>
          <w:lang w:eastAsia="en-US"/>
        </w:rPr>
      </w:pPr>
      <w:r w:rsidRPr="006D02F8">
        <w:rPr>
          <w:rFonts w:ascii="Palatino Linotype" w:hAnsi="Palatino Linotype" w:eastAsia="Calibri" w:cs="Tahoma"/>
          <w:bCs/>
          <w:sz w:val="22"/>
          <w:szCs w:val="22"/>
          <w:lang w:eastAsia="en-US"/>
        </w:rPr>
        <w:t xml:space="preserve">Se le hace del conocimiento al ahora Recurrente, que, en el presente caso, se le da la razón, pues el Ente Recurrido no proporcionó la información solicitada, concerniente </w:t>
      </w:r>
      <w:r w:rsidRPr="006D02F8" w:rsidR="00567F1B">
        <w:rPr>
          <w:rFonts w:ascii="Palatino Linotype" w:hAnsi="Palatino Linotype" w:eastAsia="Calibri" w:cs="Tahoma"/>
          <w:bCs/>
          <w:sz w:val="22"/>
          <w:szCs w:val="22"/>
          <w:lang w:eastAsia="en-US"/>
        </w:rPr>
        <w:t xml:space="preserve">al monto erogado </w:t>
      </w:r>
      <w:r w:rsidRPr="006D02F8" w:rsidR="00567F1B">
        <w:rPr>
          <w:rFonts w:ascii="Palatino Linotype" w:hAnsi="Palatino Linotype" w:cs="Tahoma"/>
          <w:color w:val="0D0D0D" w:themeColor="text1" w:themeTint="F2"/>
          <w:sz w:val="22"/>
          <w:szCs w:val="22"/>
          <w:lang w:val="es-ES"/>
        </w:rPr>
        <w:t>erogado para la instalación de parquímetros virtuales</w:t>
      </w:r>
      <w:r w:rsidRPr="006D02F8">
        <w:rPr>
          <w:rFonts w:ascii="Palatino Linotype" w:hAnsi="Palatino Linotype" w:eastAsia="Calibri" w:cs="Tahoma"/>
          <w:bCs/>
          <w:sz w:val="22"/>
          <w:szCs w:val="22"/>
          <w:lang w:eastAsia="en-US"/>
        </w:rPr>
        <w:t>, por lo que deberá hacer entrega de información solicitada.</w:t>
      </w:r>
      <w:r w:rsidRPr="006D02F8" w:rsidR="00FB10BB">
        <w:rPr>
          <w:rFonts w:ascii="Palatino Linotype" w:hAnsi="Palatino Linotype" w:eastAsia="Calibri" w:cs="Tahoma"/>
          <w:bCs/>
          <w:sz w:val="22"/>
          <w:szCs w:val="22"/>
          <w:lang w:eastAsia="en-US"/>
        </w:rPr>
        <w:t xml:space="preserve"> </w:t>
      </w:r>
      <w:r w:rsidRPr="006D02F8" w:rsidR="00142BD3">
        <w:rPr>
          <w:rFonts w:ascii="Palatino Linotype" w:hAnsi="Palatino Linotype" w:eastAsia="Calibri" w:cs="Tahoma"/>
          <w:bCs/>
          <w:iCs/>
          <w:sz w:val="22"/>
          <w:szCs w:val="22"/>
          <w:lang w:val="es-ES_tradnl" w:eastAsia="en-US"/>
        </w:rPr>
        <w:t>Finalmente, la</w:t>
      </w:r>
      <w:r w:rsidRPr="006D02F8">
        <w:rPr>
          <w:rFonts w:ascii="Palatino Linotype" w:hAnsi="Palatino Linotype" w:eastAsia="Calibri" w:cs="Tahoma"/>
          <w:bCs/>
          <w:iCs/>
          <w:sz w:val="22"/>
          <w:szCs w:val="22"/>
          <w:lang w:val="es-ES_tradnl" w:eastAsia="en-US"/>
        </w:rPr>
        <w:t xml:space="preserve"> labor del Instituto es apoyar a la población a acceder a la información pública y</w:t>
      </w:r>
      <w:r w:rsidRPr="006D02F8" w:rsidR="00266A29">
        <w:rPr>
          <w:rFonts w:ascii="Palatino Linotype" w:hAnsi="Palatino Linotype" w:eastAsia="Calibri" w:cs="Tahoma"/>
          <w:bCs/>
          <w:iCs/>
          <w:sz w:val="22"/>
          <w:szCs w:val="22"/>
          <w:lang w:val="es-ES_tradnl" w:eastAsia="en-US"/>
        </w:rPr>
        <w:t xml:space="preserve"> </w:t>
      </w:r>
      <w:r w:rsidRPr="006D02F8">
        <w:rPr>
          <w:rFonts w:ascii="Palatino Linotype" w:hAnsi="Palatino Linotype" w:eastAsia="Calibri" w:cs="Tahoma"/>
          <w:bCs/>
          <w:iCs/>
          <w:sz w:val="22"/>
          <w:szCs w:val="22"/>
          <w:lang w:val="es-ES_tradnl" w:eastAsia="en-US"/>
        </w:rPr>
        <w:t>garantizar la protección de los datos personales.</w:t>
      </w:r>
    </w:p>
    <w:p w:rsidRPr="006D02F8" w:rsidR="00266A29" w:rsidP="00E437B0" w:rsidRDefault="00266A29" w14:paraId="12FA59CB"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p>
    <w:p w:rsidRPr="006D02F8" w:rsidR="00E437B0" w:rsidP="00E437B0" w:rsidRDefault="00E437B0" w14:paraId="78A37F20"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6D02F8">
        <w:rPr>
          <w:rFonts w:ascii="Palatino Linotype" w:hAnsi="Palatino Linotype" w:eastAsia="Calibri" w:cs="Tahoma"/>
          <w:bCs/>
          <w:iCs/>
          <w:sz w:val="22"/>
          <w:szCs w:val="22"/>
          <w:lang w:eastAsia="en-US"/>
        </w:rPr>
        <w:t>Por lo expuesto y fundado, este Pleno:</w:t>
      </w:r>
    </w:p>
    <w:p w:rsidRPr="006D02F8" w:rsidR="00E437B0" w:rsidP="00E437B0" w:rsidRDefault="00E437B0" w14:paraId="3350E430" w14:textId="77777777">
      <w:pPr>
        <w:spacing w:line="360" w:lineRule="auto"/>
        <w:ind w:right="-28"/>
        <w:jc w:val="both"/>
        <w:rPr>
          <w:rFonts w:ascii="Palatino Linotype" w:hAnsi="Palatino Linotype" w:eastAsia="Calibri" w:cs="Tahoma"/>
          <w:bCs/>
          <w:sz w:val="22"/>
          <w:szCs w:val="22"/>
          <w:lang w:eastAsia="en-US"/>
        </w:rPr>
      </w:pPr>
    </w:p>
    <w:p w:rsidRPr="006D02F8" w:rsidR="00E437B0" w:rsidP="00E437B0" w:rsidRDefault="00E437B0" w14:paraId="414EDF20" w14:textId="77777777">
      <w:pPr>
        <w:spacing w:line="360" w:lineRule="auto"/>
        <w:ind w:right="-28"/>
        <w:jc w:val="center"/>
        <w:rPr>
          <w:rFonts w:ascii="Palatino Linotype" w:hAnsi="Palatino Linotype" w:eastAsia="Calibri" w:cs="Tahoma"/>
          <w:b/>
          <w:bCs/>
          <w:sz w:val="22"/>
          <w:szCs w:val="22"/>
          <w:lang w:eastAsia="en-US"/>
        </w:rPr>
      </w:pPr>
      <w:r w:rsidRPr="006D02F8">
        <w:rPr>
          <w:rFonts w:ascii="Palatino Linotype" w:hAnsi="Palatino Linotype" w:eastAsia="Calibri" w:cs="Tahoma"/>
          <w:b/>
          <w:bCs/>
          <w:sz w:val="22"/>
          <w:szCs w:val="22"/>
          <w:lang w:eastAsia="en-US"/>
        </w:rPr>
        <w:t>R E S U E L V E</w:t>
      </w:r>
    </w:p>
    <w:p w:rsidRPr="006D02F8" w:rsidR="00E437B0" w:rsidP="00E437B0" w:rsidRDefault="00E437B0" w14:paraId="09D2B8BA" w14:textId="77777777">
      <w:pPr>
        <w:spacing w:line="360" w:lineRule="auto"/>
        <w:ind w:right="-28"/>
        <w:jc w:val="center"/>
        <w:rPr>
          <w:rFonts w:ascii="Palatino Linotype" w:hAnsi="Palatino Linotype" w:cs="Tahoma"/>
          <w:b/>
          <w:bCs/>
          <w:sz w:val="22"/>
          <w:szCs w:val="22"/>
        </w:rPr>
      </w:pPr>
    </w:p>
    <w:p w:rsidRPr="006D02F8" w:rsidR="00E437B0" w:rsidP="00E437B0" w:rsidRDefault="00E437B0" w14:paraId="10136F96" w14:textId="6A16AA27">
      <w:pPr>
        <w:widowControl w:val="0"/>
        <w:spacing w:line="360" w:lineRule="auto"/>
        <w:jc w:val="both"/>
        <w:rPr>
          <w:rFonts w:ascii="Palatino Linotype" w:hAnsi="Palatino Linotype" w:eastAsia="Calibri"/>
          <w:sz w:val="22"/>
          <w:szCs w:val="22"/>
        </w:rPr>
      </w:pPr>
      <w:r w:rsidRPr="006D02F8">
        <w:rPr>
          <w:rFonts w:ascii="Palatino Linotype" w:hAnsi="Palatino Linotype" w:eastAsia="Calibri"/>
          <w:b/>
          <w:bCs/>
          <w:sz w:val="22"/>
          <w:szCs w:val="22"/>
        </w:rPr>
        <w:t xml:space="preserve">PRIMERO. </w:t>
      </w:r>
      <w:r w:rsidRPr="006D02F8">
        <w:rPr>
          <w:rFonts w:ascii="Palatino Linotype" w:hAnsi="Palatino Linotype" w:eastAsia="Calibri"/>
          <w:sz w:val="22"/>
          <w:szCs w:val="22"/>
        </w:rPr>
        <w:t xml:space="preserve">Se </w:t>
      </w:r>
      <w:r w:rsidRPr="006D02F8">
        <w:rPr>
          <w:rFonts w:ascii="Palatino Linotype" w:hAnsi="Palatino Linotype" w:eastAsia="Calibri"/>
          <w:b/>
          <w:bCs/>
          <w:sz w:val="22"/>
          <w:szCs w:val="22"/>
        </w:rPr>
        <w:t xml:space="preserve">REVOCA </w:t>
      </w:r>
      <w:r w:rsidRPr="006D02F8">
        <w:rPr>
          <w:rFonts w:ascii="Palatino Linotype" w:hAnsi="Palatino Linotype" w:eastAsia="Calibri"/>
          <w:sz w:val="22"/>
          <w:szCs w:val="22"/>
        </w:rPr>
        <w:t>la</w:t>
      </w:r>
      <w:r w:rsidRPr="006D02F8">
        <w:rPr>
          <w:rFonts w:ascii="Palatino Linotype" w:hAnsi="Palatino Linotype" w:eastAsia="Calibri"/>
          <w:b/>
          <w:bCs/>
          <w:sz w:val="22"/>
          <w:szCs w:val="22"/>
        </w:rPr>
        <w:t xml:space="preserve"> </w:t>
      </w:r>
      <w:r w:rsidRPr="006D02F8">
        <w:rPr>
          <w:rFonts w:ascii="Palatino Linotype" w:hAnsi="Palatino Linotype" w:eastAsia="Calibri"/>
          <w:sz w:val="22"/>
          <w:szCs w:val="22"/>
        </w:rPr>
        <w:t xml:space="preserve">respuesta entregada por el Ayuntamiento de </w:t>
      </w:r>
      <w:r w:rsidRPr="006D02F8" w:rsidR="00266A29">
        <w:rPr>
          <w:rFonts w:ascii="Palatino Linotype" w:hAnsi="Palatino Linotype" w:eastAsia="Calibri"/>
          <w:sz w:val="22"/>
          <w:szCs w:val="22"/>
        </w:rPr>
        <w:t>Toluca</w:t>
      </w:r>
      <w:r w:rsidRPr="006D02F8">
        <w:rPr>
          <w:rFonts w:ascii="Palatino Linotype" w:hAnsi="Palatino Linotype" w:eastAsia="Calibri"/>
          <w:sz w:val="22"/>
          <w:szCs w:val="22"/>
        </w:rPr>
        <w:t xml:space="preserve"> a la solicitud de información</w:t>
      </w:r>
      <w:r w:rsidRPr="006D02F8">
        <w:rPr>
          <w:rFonts w:ascii="Palatino Linotype" w:hAnsi="Palatino Linotype" w:eastAsia="Calibri"/>
          <w:b/>
          <w:bCs/>
          <w:sz w:val="22"/>
          <w:szCs w:val="22"/>
        </w:rPr>
        <w:t xml:space="preserve"> </w:t>
      </w:r>
      <w:r w:rsidRPr="006D02F8" w:rsidR="00567F1B">
        <w:rPr>
          <w:rFonts w:ascii="Palatino Linotype" w:hAnsi="Palatino Linotype"/>
          <w:color w:val="000000" w:themeColor="text1"/>
          <w:sz w:val="22"/>
          <w:szCs w:val="22"/>
        </w:rPr>
        <w:t xml:space="preserve">00466/TOLUCA/IP/2023 </w:t>
      </w:r>
      <w:r w:rsidRPr="006D02F8">
        <w:rPr>
          <w:rFonts w:ascii="Palatino Linotype" w:hAnsi="Palatino Linotype" w:eastAsia="Calibri"/>
          <w:sz w:val="22"/>
          <w:szCs w:val="22"/>
        </w:rPr>
        <w:t xml:space="preserve">por resultar </w:t>
      </w:r>
      <w:r w:rsidRPr="006D02F8">
        <w:rPr>
          <w:rFonts w:ascii="Palatino Linotype" w:hAnsi="Palatino Linotype" w:eastAsia="Calibri"/>
          <w:b/>
          <w:bCs/>
          <w:sz w:val="22"/>
          <w:szCs w:val="22"/>
        </w:rPr>
        <w:t>FUNDADAS</w:t>
      </w:r>
      <w:r w:rsidRPr="006D02F8">
        <w:rPr>
          <w:rFonts w:ascii="Palatino Linotype" w:hAnsi="Palatino Linotype" w:eastAsia="Calibri"/>
          <w:sz w:val="22"/>
          <w:szCs w:val="22"/>
        </w:rPr>
        <w:t xml:space="preserve"> las razones o motivos de inconformidad hechos valer por el Recurrente, en términos de los considerandos QUINTO y SEXTO de la presente Resolución.</w:t>
      </w:r>
    </w:p>
    <w:p w:rsidRPr="006D02F8" w:rsidR="00023DE6" w:rsidP="00E437B0" w:rsidRDefault="00023DE6" w14:paraId="6303B54D" w14:textId="77777777">
      <w:pPr>
        <w:autoSpaceDE w:val="0"/>
        <w:autoSpaceDN w:val="0"/>
        <w:adjustRightInd w:val="0"/>
        <w:spacing w:line="360" w:lineRule="auto"/>
        <w:ind w:right="-28"/>
        <w:jc w:val="both"/>
        <w:rPr>
          <w:rFonts w:ascii="Palatino Linotype" w:hAnsi="Palatino Linotype" w:cs="Tahoma"/>
          <w:b/>
          <w:bCs/>
          <w:sz w:val="22"/>
          <w:szCs w:val="22"/>
        </w:rPr>
      </w:pPr>
    </w:p>
    <w:p w:rsidRPr="006D02F8" w:rsidR="00E437B0" w:rsidP="00E437B0" w:rsidRDefault="00E437B0" w14:paraId="54AC7A13" w14:textId="1AC1A776">
      <w:pPr>
        <w:autoSpaceDE w:val="0"/>
        <w:autoSpaceDN w:val="0"/>
        <w:adjustRightInd w:val="0"/>
        <w:spacing w:line="360" w:lineRule="auto"/>
        <w:ind w:right="-28"/>
        <w:jc w:val="both"/>
        <w:rPr>
          <w:rFonts w:ascii="Palatino Linotype" w:hAnsi="Palatino Linotype" w:cs="Tahoma"/>
          <w:sz w:val="22"/>
          <w:szCs w:val="22"/>
        </w:rPr>
      </w:pPr>
      <w:r w:rsidRPr="006D02F8">
        <w:rPr>
          <w:rFonts w:ascii="Palatino Linotype" w:hAnsi="Palatino Linotype" w:cs="Tahoma"/>
          <w:b/>
          <w:bCs/>
          <w:sz w:val="22"/>
          <w:szCs w:val="22"/>
        </w:rPr>
        <w:t xml:space="preserve">SEGUNDO. </w:t>
      </w:r>
      <w:r w:rsidRPr="006D02F8">
        <w:rPr>
          <w:rFonts w:ascii="Palatino Linotype" w:hAnsi="Palatino Linotype" w:cs="Tahoma"/>
          <w:sz w:val="22"/>
          <w:szCs w:val="22"/>
        </w:rPr>
        <w:t xml:space="preserve">Se </w:t>
      </w:r>
      <w:r w:rsidRPr="006D02F8">
        <w:rPr>
          <w:rFonts w:ascii="Palatino Linotype" w:hAnsi="Palatino Linotype" w:cs="Tahoma"/>
          <w:b/>
          <w:sz w:val="22"/>
          <w:szCs w:val="22"/>
        </w:rPr>
        <w:t xml:space="preserve">ORDENA </w:t>
      </w:r>
      <w:r w:rsidRPr="006D02F8">
        <w:rPr>
          <w:rFonts w:ascii="Palatino Linotype" w:hAnsi="Palatino Linotype" w:cs="Tahoma"/>
          <w:sz w:val="22"/>
          <w:szCs w:val="22"/>
        </w:rPr>
        <w:t xml:space="preserve">al </w:t>
      </w:r>
      <w:r w:rsidRPr="006D02F8">
        <w:rPr>
          <w:rFonts w:ascii="Palatino Linotype" w:hAnsi="Palatino Linotype" w:cs="Tahoma"/>
          <w:color w:val="0D0D0D" w:themeColor="text1" w:themeTint="F2"/>
          <w:sz w:val="22"/>
          <w:szCs w:val="22"/>
        </w:rPr>
        <w:t>Sujeto Obligado</w:t>
      </w:r>
      <w:r w:rsidRPr="006D02F8">
        <w:rPr>
          <w:rFonts w:ascii="Palatino Linotype" w:hAnsi="Palatino Linotype" w:cs="Tahoma"/>
          <w:sz w:val="22"/>
          <w:szCs w:val="22"/>
        </w:rPr>
        <w:t xml:space="preserve">, a efecto de que, previa búsqueda exhaustiva y razonable en las áreas competentes, entregue </w:t>
      </w:r>
      <w:r w:rsidRPr="006D02F8">
        <w:rPr>
          <w:rFonts w:ascii="Palatino Linotype" w:hAnsi="Palatino Linotype" w:cs="Tahoma"/>
          <w:bCs/>
          <w:iCs/>
          <w:sz w:val="22"/>
          <w:szCs w:val="22"/>
        </w:rPr>
        <w:t xml:space="preserve">a través del Sistema de Acceso a la Información Mexiquense (SAIMEX), </w:t>
      </w:r>
      <w:r w:rsidRPr="006D02F8" w:rsidR="00142BD3">
        <w:rPr>
          <w:rFonts w:ascii="Palatino Linotype" w:hAnsi="Palatino Linotype" w:cs="Tahoma"/>
          <w:sz w:val="22"/>
          <w:szCs w:val="22"/>
        </w:rPr>
        <w:t>en su caso, en versión pública</w:t>
      </w:r>
      <w:r w:rsidRPr="006D02F8" w:rsidR="00142BD3">
        <w:rPr>
          <w:rFonts w:ascii="Palatino Linotype" w:hAnsi="Palatino Linotype" w:cs="Tahoma"/>
          <w:bCs/>
          <w:iCs/>
          <w:sz w:val="22"/>
          <w:szCs w:val="22"/>
        </w:rPr>
        <w:t xml:space="preserve">, </w:t>
      </w:r>
      <w:r w:rsidRPr="006D02F8">
        <w:rPr>
          <w:rFonts w:ascii="Palatino Linotype" w:hAnsi="Palatino Linotype" w:cs="Tahoma"/>
          <w:bCs/>
          <w:iCs/>
          <w:sz w:val="22"/>
          <w:szCs w:val="22"/>
        </w:rPr>
        <w:t xml:space="preserve">los documentos </w:t>
      </w:r>
      <w:r w:rsidRPr="006D02F8" w:rsidR="00142BD3">
        <w:rPr>
          <w:rFonts w:ascii="Palatino Linotype" w:hAnsi="Palatino Linotype" w:cs="Tahoma"/>
          <w:bCs/>
          <w:iCs/>
          <w:sz w:val="22"/>
          <w:szCs w:val="22"/>
        </w:rPr>
        <w:t>con los que contará al ocho de febrero de dos mil veintitrés, donde conste lo siguiente:</w:t>
      </w:r>
    </w:p>
    <w:p w:rsidRPr="006D02F8" w:rsidR="00E437B0" w:rsidP="00E437B0" w:rsidRDefault="00E437B0" w14:paraId="77D407A9" w14:textId="77777777">
      <w:pPr>
        <w:autoSpaceDE w:val="0"/>
        <w:autoSpaceDN w:val="0"/>
        <w:adjustRightInd w:val="0"/>
        <w:spacing w:line="360" w:lineRule="auto"/>
        <w:ind w:right="-28"/>
        <w:jc w:val="both"/>
        <w:rPr>
          <w:rFonts w:ascii="Palatino Linotype" w:hAnsi="Palatino Linotype" w:cs="Tahoma"/>
          <w:bCs/>
          <w:iCs/>
          <w:sz w:val="22"/>
          <w:szCs w:val="22"/>
        </w:rPr>
      </w:pPr>
    </w:p>
    <w:p w:rsidRPr="006D02F8" w:rsidR="00E437B0" w:rsidP="00E437B0" w:rsidRDefault="00142BD3" w14:paraId="1C36D9A7" w14:textId="62997441">
      <w:pPr>
        <w:pStyle w:val="Prrafodelista"/>
        <w:numPr>
          <w:ilvl w:val="0"/>
          <w:numId w:val="1"/>
        </w:numPr>
        <w:spacing w:line="360" w:lineRule="auto"/>
        <w:ind w:right="-28"/>
        <w:jc w:val="both"/>
        <w:rPr>
          <w:rFonts w:ascii="Palatino Linotype" w:hAnsi="Palatino Linotype" w:cs="Tahoma"/>
          <w:szCs w:val="22"/>
        </w:rPr>
      </w:pPr>
      <w:r w:rsidRPr="006D02F8">
        <w:rPr>
          <w:rFonts w:ascii="Palatino Linotype" w:hAnsi="Palatino Linotype" w:cs="Tahoma"/>
          <w:lang w:val="es-ES"/>
        </w:rPr>
        <w:t xml:space="preserve">El monto </w:t>
      </w:r>
      <w:r w:rsidRPr="006D02F8">
        <w:rPr>
          <w:rFonts w:ascii="Palatino Linotype" w:hAnsi="Palatino Linotype" w:cs="Tahoma"/>
          <w:color w:val="0D0D0D" w:themeColor="text1" w:themeTint="F2"/>
          <w:szCs w:val="22"/>
          <w:lang w:val="es-ES"/>
        </w:rPr>
        <w:t>erogado por el Ayuntamiento, para la instalación de los parquímetros virtuales en la en la Avenida Benito Juárez García Sur, en la Colonia Universidad</w:t>
      </w:r>
    </w:p>
    <w:p w:rsidRPr="006D02F8" w:rsidR="00E437B0" w:rsidP="00E437B0" w:rsidRDefault="00E437B0" w14:paraId="7F48ADDC" w14:textId="77777777">
      <w:pPr>
        <w:pStyle w:val="Prrafodelista"/>
        <w:spacing w:line="360" w:lineRule="auto"/>
        <w:ind w:right="-28"/>
        <w:jc w:val="both"/>
        <w:rPr>
          <w:rFonts w:ascii="Palatino Linotype" w:hAnsi="Palatino Linotype" w:cs="Tahoma"/>
          <w:szCs w:val="22"/>
        </w:rPr>
      </w:pPr>
    </w:p>
    <w:p w:rsidRPr="006D02F8" w:rsidR="00567F1B" w:rsidP="00E437B0" w:rsidRDefault="00E437B0" w14:paraId="2190E1CD" w14:textId="4E3346C5">
      <w:pPr>
        <w:spacing w:line="360" w:lineRule="auto"/>
        <w:jc w:val="both"/>
        <w:rPr>
          <w:rFonts w:ascii="Palatino Linotype" w:hAnsi="Palatino Linotype" w:eastAsia="Calibri" w:cs="Tahoma"/>
          <w:iCs/>
          <w:color w:val="000000"/>
          <w:sz w:val="22"/>
          <w:szCs w:val="22"/>
          <w:lang w:val="es-ES" w:eastAsia="es-ES_tradnl"/>
        </w:rPr>
      </w:pPr>
      <w:r w:rsidRPr="006D02F8">
        <w:rPr>
          <w:rFonts w:ascii="Palatino Linotype" w:hAnsi="Palatino Linotype" w:eastAsia="Calibri"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6D02F8" w:rsidR="00266A29" w:rsidP="00E437B0" w:rsidRDefault="00266A29" w14:paraId="295376FF" w14:textId="77777777">
      <w:pPr>
        <w:spacing w:line="360" w:lineRule="auto"/>
        <w:jc w:val="both"/>
        <w:rPr>
          <w:rFonts w:ascii="Palatino Linotype" w:hAnsi="Palatino Linotype" w:eastAsia="Calibri" w:cs="Tahoma"/>
          <w:iCs/>
          <w:color w:val="000000"/>
          <w:sz w:val="22"/>
          <w:szCs w:val="22"/>
          <w:lang w:val="es-ES" w:eastAsia="es-ES_tradnl"/>
        </w:rPr>
      </w:pPr>
    </w:p>
    <w:p w:rsidRPr="006D02F8" w:rsidR="00266A29" w:rsidP="00266A29" w:rsidRDefault="00C477E7" w14:paraId="621857E3" w14:textId="53860ECD">
      <w:pPr>
        <w:spacing w:line="360" w:lineRule="auto"/>
        <w:ind w:right="-28"/>
        <w:contextualSpacing/>
        <w:jc w:val="both"/>
        <w:rPr>
          <w:rFonts w:ascii="Palatino Linotype" w:hAnsi="Palatino Linotype" w:cs="Tahoma"/>
          <w:bCs/>
          <w:iCs/>
          <w:sz w:val="22"/>
          <w:szCs w:val="22"/>
        </w:rPr>
      </w:pPr>
      <w:r w:rsidRPr="006D02F8">
        <w:rPr>
          <w:rFonts w:ascii="Palatino Linotype" w:hAnsi="Palatino Linotype" w:cs="Tahoma"/>
          <w:bCs/>
          <w:iCs/>
          <w:sz w:val="22"/>
          <w:szCs w:val="22"/>
        </w:rPr>
        <w:t>P</w:t>
      </w:r>
      <w:r w:rsidRPr="006D02F8" w:rsidR="00266A29">
        <w:rPr>
          <w:rFonts w:ascii="Palatino Linotype" w:hAnsi="Palatino Linotype" w:cs="Tahoma"/>
          <w:bCs/>
          <w:iCs/>
          <w:sz w:val="22"/>
          <w:szCs w:val="22"/>
        </w:rPr>
        <w:t>ara el caso de que no cuente con el monto erogado al nivel de desglose referido, deberá proporcionarlo como obre en sus archivos, como puede ser el establecido de manera general en el contrato respectivo.</w:t>
      </w:r>
    </w:p>
    <w:p w:rsidRPr="006D02F8" w:rsidR="00266A29" w:rsidP="00E437B0" w:rsidRDefault="00266A29" w14:paraId="0208DB99" w14:textId="77777777">
      <w:pPr>
        <w:spacing w:line="360" w:lineRule="auto"/>
        <w:jc w:val="both"/>
        <w:rPr>
          <w:rFonts w:ascii="Palatino Linotype" w:hAnsi="Palatino Linotype" w:eastAsia="Calibri" w:cs="Tahoma"/>
          <w:iCs/>
          <w:color w:val="000000"/>
          <w:sz w:val="22"/>
          <w:szCs w:val="22"/>
          <w:lang w:val="es-ES" w:eastAsia="es-ES_tradnl"/>
        </w:rPr>
      </w:pPr>
    </w:p>
    <w:p w:rsidRPr="006D02F8" w:rsidR="00567F1B" w:rsidP="00567F1B" w:rsidRDefault="00567F1B" w14:paraId="1A18910D" w14:textId="77777777">
      <w:pPr>
        <w:spacing w:line="360" w:lineRule="auto"/>
        <w:ind w:right="-28"/>
        <w:contextualSpacing/>
        <w:jc w:val="both"/>
        <w:rPr>
          <w:rFonts w:ascii="Palatino Linotype" w:hAnsi="Palatino Linotype" w:cs="Tahoma"/>
          <w:b/>
          <w:iCs/>
          <w:sz w:val="22"/>
          <w:szCs w:val="22"/>
        </w:rPr>
      </w:pPr>
      <w:r w:rsidRPr="006D02F8">
        <w:rPr>
          <w:rFonts w:ascii="Palatino Linotype" w:hAnsi="Palatino Linotype" w:eastAsia="Calibri" w:cs="Tahoma"/>
          <w:b/>
          <w:bCs/>
          <w:sz w:val="22"/>
          <w:szCs w:val="22"/>
        </w:rPr>
        <w:t xml:space="preserve">TERCERO. </w:t>
      </w:r>
      <w:r w:rsidRPr="006D02F8">
        <w:rPr>
          <w:rFonts w:ascii="Palatino Linotype" w:hAnsi="Palatino Linotype" w:cs="Tahoma"/>
          <w:b/>
          <w:bCs/>
          <w:iCs/>
          <w:sz w:val="22"/>
          <w:szCs w:val="22"/>
        </w:rPr>
        <w:t xml:space="preserve">NOTIFÍQUESE </w:t>
      </w:r>
      <w:r w:rsidRPr="006D02F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6D02F8" w:rsidR="00E437B0" w:rsidP="00E437B0" w:rsidRDefault="00E437B0" w14:paraId="48E1FC58" w14:textId="77777777">
      <w:pPr>
        <w:spacing w:line="360" w:lineRule="auto"/>
        <w:ind w:right="-28"/>
        <w:jc w:val="both"/>
        <w:rPr>
          <w:rFonts w:ascii="Palatino Linotype" w:hAnsi="Palatino Linotype" w:eastAsia="Calibri" w:cs="Tahoma"/>
          <w:color w:val="000000"/>
          <w:sz w:val="22"/>
          <w:szCs w:val="22"/>
          <w:lang w:val="es-ES" w:eastAsia="es-MX"/>
        </w:rPr>
      </w:pPr>
    </w:p>
    <w:p w:rsidRPr="006D02F8" w:rsidR="00E437B0" w:rsidP="00E437B0" w:rsidRDefault="00E437B0" w14:paraId="6438BCF8" w14:textId="344670F3">
      <w:pPr>
        <w:spacing w:line="360" w:lineRule="auto"/>
        <w:jc w:val="both"/>
        <w:rPr>
          <w:rFonts w:ascii="Palatino Linotype" w:hAnsi="Palatino Linotype" w:eastAsia="Calibri" w:cs="Tahoma"/>
          <w:iCs/>
          <w:color w:val="000000"/>
          <w:sz w:val="22"/>
          <w:szCs w:val="22"/>
          <w:lang w:eastAsia="en-US"/>
        </w:rPr>
      </w:pPr>
      <w:r w:rsidRPr="006D02F8">
        <w:rPr>
          <w:rFonts w:ascii="Palatino Linotype" w:hAnsi="Palatino Linotype" w:eastAsia="Calibri"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D02F8" w:rsidR="00023DE6" w:rsidP="00E437B0" w:rsidRDefault="00023DE6" w14:paraId="176C4F6D" w14:textId="77777777">
      <w:pPr>
        <w:spacing w:line="360" w:lineRule="auto"/>
        <w:jc w:val="both"/>
        <w:rPr>
          <w:rFonts w:ascii="Palatino Linotype" w:hAnsi="Palatino Linotype" w:eastAsia="Calibri" w:cs="Tahoma"/>
          <w:b/>
          <w:bCs/>
          <w:iCs/>
          <w:color w:val="000000"/>
          <w:sz w:val="22"/>
          <w:szCs w:val="22"/>
          <w:lang w:eastAsia="en-US"/>
        </w:rPr>
      </w:pPr>
    </w:p>
    <w:p w:rsidRPr="006D02F8" w:rsidR="00E437B0" w:rsidP="00E437B0" w:rsidRDefault="00E437B0" w14:paraId="6FB6619D" w14:textId="204F25DD">
      <w:pPr>
        <w:spacing w:line="360" w:lineRule="auto"/>
        <w:jc w:val="both"/>
        <w:rPr>
          <w:rFonts w:ascii="Palatino Linotype" w:hAnsi="Palatino Linotype" w:eastAsia="Calibri" w:cs="Tahoma"/>
          <w:iCs/>
          <w:color w:val="000000"/>
          <w:sz w:val="22"/>
          <w:szCs w:val="22"/>
          <w:lang w:eastAsia="en-US"/>
        </w:rPr>
      </w:pPr>
      <w:r w:rsidRPr="006D02F8">
        <w:rPr>
          <w:rFonts w:ascii="Palatino Linotype" w:hAnsi="Palatino Linotype" w:eastAsia="Calibri" w:cs="Tahoma"/>
          <w:b/>
          <w:bCs/>
          <w:iCs/>
          <w:color w:val="000000"/>
          <w:sz w:val="22"/>
          <w:szCs w:val="22"/>
          <w:lang w:eastAsia="en-US"/>
        </w:rPr>
        <w:t>CUARTO. NOTIFÍQUESE</w:t>
      </w:r>
      <w:r w:rsidRPr="006D02F8">
        <w:rPr>
          <w:rFonts w:ascii="Palatino Linotype" w:hAnsi="Palatino Linotype" w:eastAsia="Calibri"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D02F8" w:rsidR="00E437B0" w:rsidP="00420F0B" w:rsidRDefault="00E437B0" w14:paraId="42CBB6FA" w14:textId="77777777">
      <w:pPr>
        <w:spacing w:line="360" w:lineRule="auto"/>
        <w:jc w:val="both"/>
        <w:rPr>
          <w:rFonts w:ascii="Palatino Linotype" w:hAnsi="Palatino Linotype" w:cs="Tahoma"/>
          <w:sz w:val="22"/>
          <w:szCs w:val="22"/>
        </w:rPr>
      </w:pPr>
    </w:p>
    <w:p w:rsidR="00E437B0" w:rsidP="00E437B0" w:rsidRDefault="00F62BD9" w14:paraId="1C3760E0" w14:textId="4528B011">
      <w:pPr>
        <w:spacing w:line="360" w:lineRule="auto"/>
        <w:jc w:val="both"/>
        <w:rPr>
          <w:rFonts w:ascii="Palatino Linotype" w:hAnsi="Palatino Linotype" w:eastAsia="Calibri" w:cs="Tahoma"/>
          <w:sz w:val="22"/>
          <w:szCs w:val="22"/>
          <w:lang w:val="es-ES" w:eastAsia="es-ES_tradnl"/>
        </w:rPr>
      </w:pPr>
      <w:r w:rsidRPr="006D02F8">
        <w:rPr>
          <w:rFonts w:ascii="Palatino Linotype" w:hAnsi="Palatino Linotype" w:eastAsia="Calibri" w:cs="Tahoma"/>
          <w:sz w:val="22"/>
          <w:szCs w:val="22"/>
          <w:lang w:val="es-ES" w:eastAsia="es-ES_tradnl"/>
        </w:rPr>
        <w:t xml:space="preserve">ASÍ LO RESUELVE, </w:t>
      </w:r>
      <w:r w:rsidRPr="006D02F8">
        <w:rPr>
          <w:rFonts w:ascii="Palatino Linotype" w:hAnsi="Palatino Linotype" w:eastAsia="Calibri" w:cs="Tahoma"/>
          <w:b/>
          <w:bCs/>
          <w:sz w:val="22"/>
          <w:szCs w:val="22"/>
          <w:lang w:val="es-ES" w:eastAsia="es-ES_tradnl"/>
        </w:rPr>
        <w:t>POR MAYORÍA</w:t>
      </w:r>
      <w:r w:rsidRPr="006D02F8">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VOTO DISIDENTE, EN LA DÉCIMO OCTAVA SESIÓN ORDINARIA, CELEBRADA EL DIECISIETE DE MAYO DE DOS MIL VEINTITRÉS, ANTE EL SECRETARIO TÉCNICO DEL PLENO, ALEXIS TAPIA RAMÍREZ.</w:t>
      </w:r>
    </w:p>
    <w:p w:rsidRPr="00C61C11" w:rsidR="00E437B0" w:rsidP="00E437B0" w:rsidRDefault="00E437B0" w14:paraId="138C32DE" w14:textId="77777777">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p w:rsidR="00CE7148" w:rsidRDefault="00CE7148" w14:paraId="4BBCAA72" w14:textId="77777777"/>
    <w:sectPr w:rsidR="00CE7148" w:rsidSect="00142BD3">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168E" w:rsidP="00E437B0" w:rsidRDefault="002F168E" w14:paraId="07887249" w14:textId="77777777">
      <w:r>
        <w:separator/>
      </w:r>
    </w:p>
  </w:endnote>
  <w:endnote w:type="continuationSeparator" w:id="0">
    <w:p w:rsidR="002F168E" w:rsidP="00E437B0" w:rsidRDefault="002F168E" w14:paraId="27D6D1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42BD3" w:rsidRDefault="00142BD3" w14:paraId="4082A58F" w14:textId="77777777">
            <w:pPr>
              <w:pStyle w:val="Piedepgina"/>
              <w:jc w:val="right"/>
              <w:rPr>
                <w:sz w:val="26"/>
                <w:szCs w:val="26"/>
              </w:rPr>
            </w:pPr>
          </w:p>
          <w:p w:rsidR="00142BD3" w:rsidRDefault="00142BD3" w14:paraId="6F16314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7E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7E7">
              <w:rPr>
                <w:b/>
                <w:bCs/>
                <w:noProof/>
              </w:rPr>
              <w:t>23</w:t>
            </w:r>
            <w:r>
              <w:rPr>
                <w:b/>
                <w:bCs/>
                <w:sz w:val="24"/>
                <w:szCs w:val="24"/>
              </w:rPr>
              <w:fldChar w:fldCharType="end"/>
            </w:r>
          </w:p>
        </w:sdtContent>
      </w:sdt>
    </w:sdtContent>
  </w:sdt>
  <w:p w:rsidR="00142BD3" w:rsidRDefault="00142BD3" w14:paraId="416DFB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2BD3" w:rsidRDefault="00142BD3" w14:paraId="6CC3DA24" w14:textId="77777777">
    <w:pPr>
      <w:pStyle w:val="Piedepgina"/>
      <w:jc w:val="right"/>
    </w:pPr>
  </w:p>
  <w:p w:rsidR="00142BD3" w:rsidRDefault="00142BD3" w14:paraId="309475A4" w14:textId="77777777">
    <w:pPr>
      <w:pStyle w:val="Piedepgina"/>
      <w:jc w:val="right"/>
    </w:pPr>
  </w:p>
  <w:p w:rsidR="00142BD3" w:rsidRDefault="00142BD3" w14:paraId="4A71D10C" w14:textId="77777777">
    <w:pPr>
      <w:pStyle w:val="Piedepgina"/>
      <w:jc w:val="right"/>
    </w:pPr>
  </w:p>
  <w:p w:rsidR="00142BD3" w:rsidRDefault="00142BD3" w14:paraId="0B6D833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7E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7E7">
      <w:rPr>
        <w:b/>
        <w:bCs/>
        <w:noProof/>
      </w:rPr>
      <w:t>23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168E" w:rsidP="00E437B0" w:rsidRDefault="002F168E" w14:paraId="6898D30E" w14:textId="77777777">
      <w:r>
        <w:separator/>
      </w:r>
    </w:p>
  </w:footnote>
  <w:footnote w:type="continuationSeparator" w:id="0">
    <w:p w:rsidR="002F168E" w:rsidP="00E437B0" w:rsidRDefault="002F168E" w14:paraId="0C9339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2BD3" w:rsidRDefault="006D02F8" w14:paraId="3D201A8E" w14:textId="77777777">
    <w:pPr>
      <w:pStyle w:val="Encabezado"/>
    </w:pPr>
    <w:r>
      <w:rPr>
        <w:noProof/>
        <w:lang w:eastAsia="es-MX"/>
      </w:rPr>
      <w:pict w14:anchorId="628E1A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49"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42BD3" w:rsidP="00142BD3" w:rsidRDefault="006D02F8" w14:paraId="1ED6BDE9" w14:textId="77777777">
    <w:pPr>
      <w:tabs>
        <w:tab w:val="left" w:pos="3416"/>
      </w:tabs>
      <w:rPr>
        <w:sz w:val="22"/>
        <w:szCs w:val="22"/>
      </w:rPr>
    </w:pPr>
    <w:r>
      <w:rPr>
        <w:noProof/>
        <w:sz w:val="14"/>
        <w:lang w:eastAsia="es-MX"/>
      </w:rPr>
      <w:pict w14:anchorId="008C95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142BD3" w:rsidTr="00142BD3" w14:paraId="39994917" w14:textId="77777777">
      <w:trPr>
        <w:trHeight w:val="70"/>
      </w:trPr>
      <w:tc>
        <w:tcPr>
          <w:tcW w:w="2552" w:type="dxa"/>
          <w:shd w:val="clear" w:color="auto" w:fill="auto"/>
        </w:tcPr>
        <w:p w:rsidRPr="005C106F" w:rsidR="00142BD3" w:rsidP="00142BD3" w:rsidRDefault="00142BD3" w14:paraId="2F405F40"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367"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958"/>
          </w:tblGrid>
          <w:tr w:rsidR="00142BD3" w:rsidTr="00E437B0" w14:paraId="3288B87F" w14:textId="77777777">
            <w:trPr>
              <w:trHeight w:val="128"/>
            </w:trPr>
            <w:tc>
              <w:tcPr>
                <w:tcW w:w="2409" w:type="dxa"/>
                <w:vAlign w:val="bottom"/>
              </w:tcPr>
              <w:p w:rsidRPr="008B41A2" w:rsidR="00142BD3" w:rsidP="00142BD3" w:rsidRDefault="00142BD3" w14:paraId="5392D84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958" w:type="dxa"/>
              </w:tcPr>
              <w:p w:rsidRPr="00651A13" w:rsidR="00142BD3" w:rsidP="00142BD3" w:rsidRDefault="00142BD3" w14:paraId="43807802" w14:textId="77C1A22B">
                <w:pPr>
                  <w:tabs>
                    <w:tab w:val="right" w:pos="8838"/>
                  </w:tabs>
                  <w:ind w:left="-28" w:right="683"/>
                  <w:rPr>
                    <w:rFonts w:ascii="Palatino Linotype" w:hAnsi="Palatino Linotype" w:eastAsia="Calibri" w:cs="Tahoma"/>
                    <w:sz w:val="22"/>
                    <w:szCs w:val="22"/>
                  </w:rPr>
                </w:pPr>
                <w:r w:rsidRPr="006D1DD9">
                  <w:rPr>
                    <w:rFonts w:ascii="Palatino Linotype" w:hAnsi="Palatino Linotype" w:eastAsia="Calibri" w:cs="Tahoma"/>
                    <w:sz w:val="22"/>
                    <w:szCs w:val="22"/>
                    <w:lang w:val="es-MX"/>
                  </w:rPr>
                  <w:t>0</w:t>
                </w:r>
                <w:r>
                  <w:rPr>
                    <w:rFonts w:ascii="Palatino Linotype" w:hAnsi="Palatino Linotype" w:eastAsia="Calibri" w:cs="Tahoma"/>
                    <w:sz w:val="22"/>
                    <w:szCs w:val="22"/>
                    <w:lang w:val="es-MX"/>
                  </w:rPr>
                  <w:t>1391</w:t>
                </w:r>
                <w:r w:rsidRPr="006D1DD9">
                  <w:rPr>
                    <w:rFonts w:ascii="Palatino Linotype" w:hAnsi="Palatino Linotype" w:eastAsia="Calibri" w:cs="Tahoma"/>
                    <w:sz w:val="22"/>
                    <w:szCs w:val="22"/>
                    <w:lang w:val="es-MX"/>
                  </w:rPr>
                  <w:t>/INFOEM/IP/RR/2023</w:t>
                </w:r>
              </w:p>
            </w:tc>
          </w:tr>
          <w:tr w:rsidR="00142BD3" w:rsidTr="00E437B0" w14:paraId="7A17DC01" w14:textId="77777777">
            <w:trPr>
              <w:trHeight w:val="251"/>
            </w:trPr>
            <w:tc>
              <w:tcPr>
                <w:tcW w:w="2409" w:type="dxa"/>
              </w:tcPr>
              <w:p w:rsidRPr="008B41A2" w:rsidR="00142BD3" w:rsidP="00142BD3" w:rsidRDefault="00142BD3" w14:paraId="421ABCD3"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958" w:type="dxa"/>
              </w:tcPr>
              <w:p w:rsidRPr="008B41A2" w:rsidR="00142BD3" w:rsidP="00142BD3" w:rsidRDefault="00142BD3" w14:paraId="16CAB895" w14:textId="34208C2E">
                <w:pPr>
                  <w:tabs>
                    <w:tab w:val="right" w:pos="8838"/>
                  </w:tabs>
                  <w:ind w:right="1008"/>
                  <w:jc w:val="both"/>
                  <w:rPr>
                    <w:rFonts w:ascii="Palatino Linotype" w:hAnsi="Palatino Linotype" w:eastAsia="Calibri" w:cs="Tahoma"/>
                    <w:sz w:val="22"/>
                    <w:szCs w:val="22"/>
                    <w:lang w:val="es-MX"/>
                  </w:rPr>
                </w:pPr>
                <w:r w:rsidRPr="006D1DD9">
                  <w:rPr>
                    <w:rFonts w:ascii="Palatino Linotype" w:hAnsi="Palatino Linotype" w:eastAsia="Calibri" w:cs="Tahoma"/>
                    <w:sz w:val="22"/>
                    <w:szCs w:val="22"/>
                    <w:lang w:val="es-MX"/>
                  </w:rPr>
                  <w:t xml:space="preserve">Ayuntamiento de </w:t>
                </w:r>
                <w:r>
                  <w:rPr>
                    <w:rFonts w:ascii="Palatino Linotype" w:hAnsi="Palatino Linotype" w:eastAsia="Calibri" w:cs="Tahoma"/>
                    <w:sz w:val="22"/>
                    <w:szCs w:val="22"/>
                    <w:lang w:val="es-MX"/>
                  </w:rPr>
                  <w:t>Toluca</w:t>
                </w:r>
              </w:p>
            </w:tc>
          </w:tr>
          <w:tr w:rsidR="00142BD3" w:rsidTr="00E437B0" w14:paraId="51CD67A3" w14:textId="77777777">
            <w:trPr>
              <w:trHeight w:val="251"/>
            </w:trPr>
            <w:tc>
              <w:tcPr>
                <w:tcW w:w="2409" w:type="dxa"/>
              </w:tcPr>
              <w:p w:rsidRPr="008B41A2" w:rsidR="00142BD3" w:rsidP="00142BD3" w:rsidRDefault="00142BD3" w14:paraId="00601531"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958" w:type="dxa"/>
              </w:tcPr>
              <w:p w:rsidRPr="008B41A2" w:rsidR="00142BD3" w:rsidP="00142BD3" w:rsidRDefault="00142BD3" w14:paraId="0119B1FA"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142BD3" w:rsidP="00142BD3" w:rsidRDefault="00142BD3" w14:paraId="500DB9AF" w14:textId="77777777">
          <w:pPr>
            <w:tabs>
              <w:tab w:val="right" w:pos="8838"/>
            </w:tabs>
            <w:ind w:left="-28"/>
            <w:rPr>
              <w:rFonts w:ascii="Arial" w:hAnsi="Arial" w:eastAsia="Calibri" w:cs="Arial"/>
              <w:b/>
            </w:rPr>
          </w:pPr>
        </w:p>
      </w:tc>
    </w:tr>
  </w:tbl>
  <w:p w:rsidR="00142BD3" w:rsidP="00142BD3" w:rsidRDefault="00142BD3" w14:paraId="4895BB04" w14:textId="77777777">
    <w:pPr>
      <w:pStyle w:val="Encabezado"/>
      <w:rPr>
        <w:sz w:val="14"/>
      </w:rPr>
    </w:pPr>
  </w:p>
  <w:p w:rsidRPr="00443C6B" w:rsidR="00142BD3" w:rsidP="00142BD3" w:rsidRDefault="00142BD3" w14:paraId="3334631E"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106"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697"/>
    </w:tblGrid>
    <w:tr w:rsidRPr="00264223" w:rsidR="00142BD3" w:rsidTr="57E1C54D" w14:paraId="28955DC7" w14:textId="77777777">
      <w:trPr>
        <w:trHeight w:val="302"/>
      </w:trPr>
      <w:tc>
        <w:tcPr>
          <w:tcW w:w="2409" w:type="dxa"/>
          <w:tcMar/>
        </w:tcPr>
        <w:p w:rsidRPr="00D3618F" w:rsidR="00142BD3" w:rsidP="00142BD3" w:rsidRDefault="00142BD3" w14:paraId="5AAE9302"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697" w:type="dxa"/>
          <w:tcMar/>
        </w:tcPr>
        <w:p w:rsidRPr="00651A13" w:rsidR="00142BD3" w:rsidP="00142BD3" w:rsidRDefault="00142BD3" w14:paraId="764AA47E" w14:textId="0106296D">
          <w:pPr>
            <w:tabs>
              <w:tab w:val="right" w:pos="8838"/>
            </w:tabs>
            <w:jc w:val="both"/>
            <w:rPr>
              <w:rFonts w:ascii="Palatino Linotype" w:hAnsi="Palatino Linotype" w:eastAsia="Calibri" w:cs="Tahoma"/>
              <w:sz w:val="22"/>
              <w:szCs w:val="22"/>
              <w:lang w:eastAsia="en-US"/>
            </w:rPr>
          </w:pPr>
          <w:r w:rsidRPr="00BE31CC">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1391</w:t>
          </w:r>
          <w:r w:rsidRPr="00BE31CC">
            <w:rPr>
              <w:rFonts w:ascii="Palatino Linotype" w:hAnsi="Palatino Linotype" w:eastAsia="Calibri" w:cs="Tahoma"/>
              <w:sz w:val="22"/>
              <w:szCs w:val="22"/>
              <w:lang w:val="es-MX" w:eastAsia="en-US"/>
            </w:rPr>
            <w:t>/INFOEM/IP/RR/2023</w:t>
          </w:r>
        </w:p>
      </w:tc>
    </w:tr>
    <w:tr w:rsidRPr="00264223" w:rsidR="00142BD3" w:rsidTr="57E1C54D" w14:paraId="3108A7FE" w14:textId="77777777">
      <w:trPr>
        <w:trHeight w:val="110"/>
      </w:trPr>
      <w:tc>
        <w:tcPr>
          <w:tcW w:w="2409" w:type="dxa"/>
          <w:tcMar/>
        </w:tcPr>
        <w:p w:rsidRPr="00D3618F" w:rsidR="00142BD3" w:rsidP="00142BD3" w:rsidRDefault="00142BD3" w14:paraId="053B534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697" w:type="dxa"/>
          <w:tcMar/>
        </w:tcPr>
        <w:p w:rsidRPr="00EE2A06" w:rsidR="00142BD3" w:rsidP="57E1C54D" w:rsidRDefault="00142BD3" w14:paraId="4FF6257A" w14:textId="6AFC0228">
          <w:pPr>
            <w:pStyle w:val="Normal"/>
            <w:tabs>
              <w:tab w:val="right" w:leader="none" w:pos="8838"/>
            </w:tabs>
            <w:bidi w:val="0"/>
            <w:spacing w:before="0" w:beforeAutospacing="off" w:after="0" w:afterAutospacing="off" w:line="240" w:lineRule="auto"/>
            <w:ind w:left="0" w:right="0"/>
            <w:jc w:val="both"/>
            <w:rPr>
              <w:rFonts w:ascii="Palatino Linotype" w:hAnsi="Palatino Linotype" w:eastAsia="Calibri" w:cs="Tahoma"/>
              <w:sz w:val="22"/>
              <w:szCs w:val="22"/>
              <w:highlight w:val="black"/>
              <w:lang w:val="es-MX" w:eastAsia="en-US"/>
            </w:rPr>
          </w:pPr>
          <w:r w:rsidRPr="57E1C54D" w:rsidR="57E1C54D">
            <w:rPr>
              <w:rFonts w:ascii="Palatino Linotype" w:hAnsi="Palatino Linotype" w:eastAsia="Calibri" w:cs="Tahoma"/>
              <w:sz w:val="22"/>
              <w:szCs w:val="22"/>
              <w:highlight w:val="black"/>
              <w:lang w:val="es-MX" w:eastAsia="en-US"/>
            </w:rPr>
            <w:t>XXXXXXXXXXX</w:t>
          </w:r>
        </w:p>
      </w:tc>
    </w:tr>
    <w:tr w:rsidRPr="00264223" w:rsidR="00142BD3" w:rsidTr="57E1C54D" w14:paraId="49FA3BC5" w14:textId="77777777">
      <w:trPr>
        <w:trHeight w:val="248"/>
      </w:trPr>
      <w:tc>
        <w:tcPr>
          <w:tcW w:w="2409" w:type="dxa"/>
          <w:tcMar/>
        </w:tcPr>
        <w:p w:rsidRPr="00D3618F" w:rsidR="00142BD3" w:rsidP="00142BD3" w:rsidRDefault="00142BD3" w14:paraId="3421799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697" w:type="dxa"/>
          <w:tcMar/>
        </w:tcPr>
        <w:p w:rsidRPr="00651A13" w:rsidR="00142BD3" w:rsidP="00142BD3" w:rsidRDefault="00142BD3" w14:paraId="03435AAC" w14:textId="21CCB7D0">
          <w:pPr>
            <w:tabs>
              <w:tab w:val="right" w:pos="8838"/>
            </w:tabs>
            <w:jc w:val="both"/>
            <w:rPr>
              <w:rFonts w:ascii="Palatino Linotype" w:hAnsi="Palatino Linotype" w:eastAsia="Calibri" w:cs="Tahoma"/>
              <w:sz w:val="22"/>
              <w:szCs w:val="22"/>
              <w:lang w:val="es-MX" w:eastAsia="en-US"/>
            </w:rPr>
          </w:pPr>
          <w:r w:rsidRPr="00BE31CC">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Toluca</w:t>
          </w:r>
        </w:p>
      </w:tc>
    </w:tr>
    <w:tr w:rsidRPr="00264223" w:rsidR="00142BD3" w:rsidTr="57E1C54D" w14:paraId="3982DA7C" w14:textId="77777777">
      <w:trPr>
        <w:trHeight w:val="248"/>
      </w:trPr>
      <w:tc>
        <w:tcPr>
          <w:tcW w:w="2409" w:type="dxa"/>
          <w:tcMar/>
        </w:tcPr>
        <w:p w:rsidRPr="00D3618F" w:rsidR="00142BD3" w:rsidP="00142BD3" w:rsidRDefault="00142BD3" w14:paraId="1FD3D2C2"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697" w:type="dxa"/>
          <w:tcMar/>
        </w:tcPr>
        <w:p w:rsidRPr="00D3618F" w:rsidR="00142BD3" w:rsidP="00142BD3" w:rsidRDefault="00142BD3" w14:paraId="1C490CF5"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42BD3" w:rsidP="00142BD3" w:rsidRDefault="006D02F8" w14:paraId="6C04ABD3" w14:textId="77777777">
    <w:pPr>
      <w:ind w:right="-312"/>
    </w:pPr>
    <w:r>
      <w:rPr>
        <w:noProof/>
        <w:lang w:eastAsia="es-MX"/>
      </w:rPr>
      <w:pict w14:anchorId="2C4062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2051"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5E"/>
    <w:multiLevelType w:val="hybridMultilevel"/>
    <w:tmpl w:val="A75E54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2F27D86"/>
    <w:multiLevelType w:val="hybridMultilevel"/>
    <w:tmpl w:val="C69CF5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D992497"/>
    <w:multiLevelType w:val="hybridMultilevel"/>
    <w:tmpl w:val="FB56DB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56DA32D3"/>
    <w:multiLevelType w:val="hybridMultilevel"/>
    <w:tmpl w:val="0A9EBB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483812518">
    <w:abstractNumId w:val="0"/>
  </w:num>
  <w:num w:numId="2" w16cid:durableId="484317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633">
    <w:abstractNumId w:val="4"/>
  </w:num>
  <w:num w:numId="4" w16cid:durableId="1990741695">
    <w:abstractNumId w:val="3"/>
  </w:num>
  <w:num w:numId="5" w16cid:durableId="512691444">
    <w:abstractNumId w:val="1"/>
  </w:num>
  <w:num w:numId="6" w16cid:durableId="908033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B0"/>
    <w:rsid w:val="00023DE6"/>
    <w:rsid w:val="000736FB"/>
    <w:rsid w:val="000E458A"/>
    <w:rsid w:val="00142BD3"/>
    <w:rsid w:val="00264675"/>
    <w:rsid w:val="00266A29"/>
    <w:rsid w:val="0026793A"/>
    <w:rsid w:val="002F168E"/>
    <w:rsid w:val="004043B7"/>
    <w:rsid w:val="00420F0B"/>
    <w:rsid w:val="004426E2"/>
    <w:rsid w:val="00495155"/>
    <w:rsid w:val="00536EFD"/>
    <w:rsid w:val="00567F1B"/>
    <w:rsid w:val="005F4B91"/>
    <w:rsid w:val="0065180A"/>
    <w:rsid w:val="00663800"/>
    <w:rsid w:val="00687A8C"/>
    <w:rsid w:val="006D02F8"/>
    <w:rsid w:val="007F7391"/>
    <w:rsid w:val="0080743F"/>
    <w:rsid w:val="008F5D8C"/>
    <w:rsid w:val="00937DA0"/>
    <w:rsid w:val="009B3FB8"/>
    <w:rsid w:val="00A0098F"/>
    <w:rsid w:val="00A447D7"/>
    <w:rsid w:val="00A948AB"/>
    <w:rsid w:val="00B03924"/>
    <w:rsid w:val="00C262E8"/>
    <w:rsid w:val="00C477E7"/>
    <w:rsid w:val="00CE7148"/>
    <w:rsid w:val="00DA2245"/>
    <w:rsid w:val="00DF3B90"/>
    <w:rsid w:val="00E35E1E"/>
    <w:rsid w:val="00E437B0"/>
    <w:rsid w:val="00EB7802"/>
    <w:rsid w:val="00EE1D6D"/>
    <w:rsid w:val="00F32C10"/>
    <w:rsid w:val="00F62BD9"/>
    <w:rsid w:val="00FB10BB"/>
    <w:rsid w:val="57E1C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B8323"/>
  <w15:chartTrackingRefBased/>
  <w15:docId w15:val="{D07A18A1-D18B-4875-9D49-2DBC056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37B0"/>
    <w:pPr>
      <w:spacing w:after="0" w:line="240" w:lineRule="auto"/>
    </w:pPr>
    <w:rPr>
      <w:rFonts w:ascii="Times New Roman" w:hAnsi="Times New Roman" w:eastAsia="Times New Roman" w:cs="Times New Roman"/>
      <w:kern w:val="0"/>
      <w:sz w:val="20"/>
      <w:szCs w:val="20"/>
      <w:lang w:eastAsia="es-ES"/>
      <w14:ligatures w14:val="none"/>
    </w:rPr>
  </w:style>
  <w:style w:type="paragraph" w:styleId="Ttulo2">
    <w:name w:val="heading 2"/>
    <w:basedOn w:val="Normal"/>
    <w:next w:val="Normal"/>
    <w:link w:val="Ttulo2Car"/>
    <w:uiPriority w:val="9"/>
    <w:semiHidden/>
    <w:unhideWhenUsed/>
    <w:qFormat/>
    <w:rsid w:val="00A447D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37B0"/>
    <w:pPr>
      <w:tabs>
        <w:tab w:val="center" w:pos="4419"/>
        <w:tab w:val="right" w:pos="8838"/>
      </w:tabs>
    </w:pPr>
  </w:style>
  <w:style w:type="character" w:styleId="EncabezadoCar" w:customStyle="1">
    <w:name w:val="Encabezado Car"/>
    <w:basedOn w:val="Fuentedeprrafopredeter"/>
    <w:link w:val="Encabezado"/>
    <w:uiPriority w:val="99"/>
    <w:rsid w:val="00E437B0"/>
    <w:rPr>
      <w:rFonts w:ascii="Times New Roman" w:hAnsi="Times New Roman" w:eastAsia="Times New Roman" w:cs="Times New Roman"/>
      <w:kern w:val="0"/>
      <w:sz w:val="20"/>
      <w:szCs w:val="20"/>
      <w:lang w:eastAsia="es-ES"/>
      <w14:ligatures w14:val="none"/>
    </w:rPr>
  </w:style>
  <w:style w:type="paragraph" w:styleId="Piedepgina">
    <w:name w:val="footer"/>
    <w:basedOn w:val="Normal"/>
    <w:link w:val="PiedepginaCar"/>
    <w:uiPriority w:val="99"/>
    <w:unhideWhenUsed/>
    <w:rsid w:val="00E437B0"/>
    <w:pPr>
      <w:tabs>
        <w:tab w:val="center" w:pos="4419"/>
        <w:tab w:val="right" w:pos="8838"/>
      </w:tabs>
    </w:pPr>
  </w:style>
  <w:style w:type="character" w:styleId="PiedepginaCar" w:customStyle="1">
    <w:name w:val="Pie de página Car"/>
    <w:basedOn w:val="Fuentedeprrafopredeter"/>
    <w:link w:val="Piedepgina"/>
    <w:uiPriority w:val="99"/>
    <w:rsid w:val="00E437B0"/>
    <w:rPr>
      <w:rFonts w:ascii="Times New Roman" w:hAnsi="Times New Roman" w:eastAsia="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37B0"/>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437B0"/>
    <w:rPr>
      <w:rFonts w:ascii="Century Gothic" w:hAnsi="Century Gothic" w:eastAsia="Times New Roman"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437B0"/>
    <w:rPr>
      <w:color w:val="0563C1" w:themeColor="hyperlink"/>
      <w:u w:val="single"/>
    </w:rPr>
  </w:style>
  <w:style w:type="table" w:styleId="Tablaconcuadrcula">
    <w:name w:val="Table Grid"/>
    <w:basedOn w:val="Tablanormal"/>
    <w:uiPriority w:val="59"/>
    <w:rsid w:val="00E437B0"/>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8F5D8C"/>
    <w:rPr>
      <w:color w:val="605E5C"/>
      <w:shd w:val="clear" w:color="auto" w:fill="E1DFDD"/>
    </w:rPr>
  </w:style>
  <w:style w:type="character" w:styleId="Ttulo2Car" w:customStyle="1">
    <w:name w:val="Título 2 Car"/>
    <w:basedOn w:val="Fuentedeprrafopredeter"/>
    <w:link w:val="Ttulo2"/>
    <w:uiPriority w:val="9"/>
    <w:semiHidden/>
    <w:rsid w:val="00A447D7"/>
    <w:rPr>
      <w:rFonts w:asciiTheme="majorHAnsi" w:hAnsiTheme="majorHAnsi" w:eastAsiaTheme="majorEastAsia" w:cstheme="majorBidi"/>
      <w:color w:val="2F5496" w:themeColor="accent1" w:themeShade="BF"/>
      <w:kern w:val="0"/>
      <w:sz w:val="26"/>
      <w:szCs w:val="2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203">
      <w:bodyDiv w:val="1"/>
      <w:marLeft w:val="0"/>
      <w:marRight w:val="0"/>
      <w:marTop w:val="0"/>
      <w:marBottom w:val="0"/>
      <w:divBdr>
        <w:top w:val="none" w:sz="0" w:space="0" w:color="auto"/>
        <w:left w:val="none" w:sz="0" w:space="0" w:color="auto"/>
        <w:bottom w:val="none" w:sz="0" w:space="0" w:color="auto"/>
        <w:right w:val="none" w:sz="0" w:space="0" w:color="auto"/>
      </w:divBdr>
    </w:div>
    <w:div w:id="1228145047">
      <w:bodyDiv w:val="1"/>
      <w:marLeft w:val="0"/>
      <w:marRight w:val="0"/>
      <w:marTop w:val="0"/>
      <w:marBottom w:val="0"/>
      <w:divBdr>
        <w:top w:val="none" w:sz="0" w:space="0" w:color="auto"/>
        <w:left w:val="none" w:sz="0" w:space="0" w:color="auto"/>
        <w:bottom w:val="none" w:sz="0" w:space="0" w:color="auto"/>
        <w:right w:val="none" w:sz="0" w:space="0" w:color="auto"/>
      </w:divBdr>
    </w:div>
    <w:div w:id="18962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toluca.gob.mx/wp-content/uploads/2022/12/Comunicado-Num.-608-2022.pdf"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b576fe990cb34ab0"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e5cf5e4-49ef-4c6e-86e6-2f167b5dab06}"/>
      </w:docPartPr>
      <w:docPartBody>
        <w:p w14:paraId="57E1C54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4ADC-172D-4225-BC46-1BFEB8FD3A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2023-05-15T20:46:00.0000000Z</dcterms:created>
  <dcterms:modified xsi:type="dcterms:W3CDTF">2023-06-01T20:22:34.6402944Z</dcterms:modified>
</coreProperties>
</file>