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nueve de febrero de dos mil veintitrés. </w:t>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bookmarkStart w:colFirst="0" w:colLast="0" w:name="_heading=h.35nkun2" w:id="0"/>
      <w:bookmarkEnd w:id="0"/>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13949/INFOEM/IP/RR/2022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 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Cuautitlán Izcalli,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uno de agosto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00575/CUAUTIZC/IP/2022,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6">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documentos públicos y anexos de la controversia de limites territoriales de Cuautitlan Izcalli contra Teoloyucan.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veintidós de agosto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17dp8vu" w:id="2"/>
      <w:bookmarkEnd w:id="2"/>
      <w:r w:rsidDel="00000000" w:rsidR="00000000" w:rsidRPr="00000000">
        <w:rPr>
          <w:rFonts w:ascii="Palatino Linotype" w:cs="Palatino Linotype" w:eastAsia="Palatino Linotype" w:hAnsi="Palatino Linotype"/>
          <w:i w:val="1"/>
          <w:sz w:val="22"/>
          <w:szCs w:val="22"/>
          <w:rtl w:val="0"/>
        </w:rPr>
        <w:t xml:space="preserve">“…le informo la contestación que a su solicitud efectuaron, (1) Dirección Jurídica y (2) Secretaría del Ayuntamiento 1.- “Le hago de su conocimiento que la información que se solicita se encuentra aprobada por el Comité de Transparencia dentro del Acuerdo de reserva de fecha 20 de enero de 2021, bajo número de acuerdo 040/CUAUIZC/CT/DGSJ/2021, consistente en “Todos los documentos generados y que se generen con motivo de todos los juicios y así como de los procedimientos jurídicos, administrativos y técnicos, en tanto no hayan causado estado, ejecutoria y/o se encuentren concluidos”; de conformidad con el artículo 140 fracción VI y VIII de la Ley de Transparencia y Acceso a la Información Pública del Estado de México y sus Municipios “SIC 2.- “En atención a la solicitud ingresada vía Sistema de Acceso a la Información Mexiquense (SAIMEX), y turnada a esta Secretaría del Ayuntamiento bajo el folio 00575/CUAUTIZC/IP/2022, la que a la letra señala; “Solicito documentos públicos y anexos de la controversia de límites territoriales de Cuautitlán Izcalli contra Teoloyucan.” (sic). Le hago de su conocimiento que derivado de la revisión de las facultades a cargo de esta Secretaría del Ayuntamiento establecidas en el Artículo 29 del Reglamento de Organización Interna de la Administración Pública del Municipio de Cuautitlán Izcalli, Estado de México. (2022-2024), no es competencia por parte de esta dependencia brindar atención a la solicitud de mérito, toda vez que esta Secretaría no genera, recopila, administra, maneja, procesa, archiva o conserva información sobre la información solicitada.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 (sic)</w:t>
      </w:r>
      <w:r w:rsidDel="00000000" w:rsidR="00000000" w:rsidRPr="00000000">
        <w:rPr>
          <w:rtl w:val="0"/>
        </w:rPr>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los siguientes archivos:</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“20220818190439444.pdf”, </w:t>
      </w:r>
      <w:r w:rsidDel="00000000" w:rsidR="00000000" w:rsidRPr="00000000">
        <w:rPr>
          <w:rFonts w:ascii="Palatino Linotype" w:cs="Palatino Linotype" w:eastAsia="Palatino Linotype" w:hAnsi="Palatino Linotype"/>
          <w:rtl w:val="0"/>
        </w:rPr>
        <w:t xml:space="preserve">que contiene el oficio SA/3730/2022, de fecha dieciséis de agosto de dos mil veintidós, signado por el Secretario del Ayuntamiento, mediante el cual señala que derivado de la revisión de las facultades establecidas en el Artículo 29 del Reglamento de Organización Interna de la Administración Pública del Municipio de Cuautitlán Izcalli, Estado de México. (2022-2024), no es competencia por parte de esta dependencia brindar atención a la solicitud, toda vez que esta Secretaría no genera, recopila, administra, maneja, procesa, archiva o conserva información sobre la información solicitada.</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“SOLICITUD 575.pdf”, </w:t>
      </w:r>
      <w:r w:rsidDel="00000000" w:rsidR="00000000" w:rsidRPr="00000000">
        <w:rPr>
          <w:rFonts w:ascii="Palatino Linotype" w:cs="Palatino Linotype" w:eastAsia="Palatino Linotype" w:hAnsi="Palatino Linotype"/>
          <w:rtl w:val="0"/>
        </w:rPr>
        <w:t xml:space="preserve">que contiene la circular número DJ/3412/2022 de fecha dieciocho de agosto de dos mil veintidós, signada por la Titular de la Dirección Jurídica, mediante el cual refiere que la información que se solicita se encuentra aprobada por el Comité de Transparencia dentro del Acuerdo de reserva de fecha 20 de enero de 2021, bajo número de acuerdo 040/CUAUIZC/CT/DGSJ/2021, consistente en “Todos los documentos generados y que se generen con motivo de todos los juicios y así como de los procedimientos jurídicos, administrativos y técnicos, en tanto no hayan causado estado, ejecutoria y/o se encuentren concluidos”; de conformidad con el artículo 140 fracción VI y VIII de la Ley de Transparencia y Acceso a la Información Pública del Estado de México y sus Municipios.</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“ACUERDO DE RESERVA 040.pdf”, </w:t>
      </w:r>
      <w:r w:rsidDel="00000000" w:rsidR="00000000" w:rsidRPr="00000000">
        <w:rPr>
          <w:rFonts w:ascii="Palatino Linotype" w:cs="Palatino Linotype" w:eastAsia="Palatino Linotype" w:hAnsi="Palatino Linotype"/>
          <w:rtl w:val="0"/>
        </w:rPr>
        <w:t xml:space="preserve">que contiene el Acuerdo número 040/CUAUIZC/CT/DGSJ/2021, de fecha veinte de enero de dos mil veintiuno, mediante el cual se resuelve sobre la clasificación de la información con carácter de reservada, que obra en los archivos de la Dirección General de Servicios Jurídicos, consistente en </w:t>
      </w:r>
      <w:r w:rsidDel="00000000" w:rsidR="00000000" w:rsidRPr="00000000">
        <w:rPr>
          <w:rFonts w:ascii="Palatino Linotype" w:cs="Palatino Linotype" w:eastAsia="Palatino Linotype" w:hAnsi="Palatino Linotype"/>
          <w:i w:val="1"/>
          <w:rtl w:val="0"/>
        </w:rPr>
        <w:t xml:space="preserve">Todos los documentos generados y que se generen con motivo de todos los juicios y así como de los procedimientos jurídicos, administrativos y técnicos, en tanto no hayan causado estado, ejecutoria y/o se encuentren concluidos, </w:t>
      </w:r>
      <w:r w:rsidDel="00000000" w:rsidR="00000000" w:rsidRPr="00000000">
        <w:rPr>
          <w:rFonts w:ascii="Palatino Linotype" w:cs="Palatino Linotype" w:eastAsia="Palatino Linotype" w:hAnsi="Palatino Linotype"/>
          <w:rtl w:val="0"/>
        </w:rPr>
        <w:t xml:space="preserve">aprobándose la clasificación por un periodo de tres años. </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veintinueve de agosto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0">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“negativa a la información.” (sic)</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3">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“negativa a la información solicitada” (sic)</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uno de septiembre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trece de septiembre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el Secretario del Ayuntamiento y la Directora Jurídica ratificaron en lo sustancial la respuesta emitida en primera instancia.</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Directora Jurídica  refirió que el proporcionar la información que obra en los archivos de la Dirección a su cargo, consistentes en los documentos públicos y anexos de la controversia de límites territoriales de Cuautitlán Izcalli Contra Teoloyucan daría a conocer una información que alteraría el sigilo y seguimiento de las investigaciones, un debido proceso y el fallo conducente al procedimiento, ya que se pondría a disposición pública la información que es parte de un Procedimiento de Diferendo Limítrofe que está siendo integrado por documentales, pruebas, gestiones, promociones y acuerdos que signen un procedimiento vigente ante la Legislatura y que a la fecha no ha causado dictamen alguno.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señaló que el municipio de Cuautitlán Izcalli únicamente forma parte del Procedimiento para la solución de diferendos limítrofes intermunicipales, en calidad de demandado, procedimiento que es desahogado por la Comisión Legislativa de Límites Territoriales del Estado de México y sus Municipios de conformidad con el Capitulo Segundo de la Ley Reglamentaria de las fracciones XXV y XXVI del artículo 61 de la Constitución Política del Estado Libre y Soberano de México, razón por la cual el Sujeto Obligado se ve imposibilitado para entregar la información que por su naturaleza y estatus legal está siendo parte de un procedimiento ante la Legislatura, aprobándose la reserva de la misma mediante el Acuerdo 040/CUAUIZC/CT/DGSJ/2021 de fecha veinte de enero de dos mil veintiuno, emitido por el Comité de Transparencia.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 el documento, se hizo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no obstante, fue omisa en ejercer dicha prerrogativa.</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el año dos mil veintiuno,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1">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2">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3">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4">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9">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A">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dos de febrero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F">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veintidós de agosto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veintinueve de agosto de dos mil veintidós</w:t>
      </w:r>
      <w:r w:rsidDel="00000000" w:rsidR="00000000" w:rsidRPr="00000000">
        <w:rPr>
          <w:rFonts w:ascii="Palatino Linotype" w:cs="Palatino Linotype" w:eastAsia="Palatino Linotype" w:hAnsi="Palatino Linotype"/>
          <w:rtl w:val="0"/>
        </w:rPr>
        <w:t xml:space="preserve">, esto es, al quinto día hábil posterior en que tuvo conocimiento de la respuesta impugnada.</w:t>
      </w:r>
    </w:p>
    <w:p w:rsidR="00000000" w:rsidDel="00000000" w:rsidP="00000000" w:rsidRDefault="00000000" w:rsidRPr="00000000" w14:paraId="00000033">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completo,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y II del ordenamiento legal citado, que a la letra dice: </w:t>
      </w:r>
    </w:p>
    <w:p w:rsidR="00000000" w:rsidDel="00000000" w:rsidP="00000000" w:rsidRDefault="00000000" w:rsidRPr="00000000" w14:paraId="00000038">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9">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A">
      <w:pPr>
        <w:spacing w:after="120" w:before="120" w:lineRule="auto"/>
        <w:ind w:left="1134" w:firstLine="0"/>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w:t>
      </w:r>
    </w:p>
    <w:p w:rsidR="00000000" w:rsidDel="00000000" w:rsidP="00000000" w:rsidRDefault="00000000" w:rsidRPr="00000000" w14:paraId="0000003B">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clasificación de la información;”</w:t>
      </w: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D">
      <w:pPr>
        <w:spacing w:after="240" w:before="240" w:line="360" w:lineRule="auto"/>
        <w:ind w:right="51"/>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E">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Documentos públicos y anexos de la controversia de límites territoriales de Cuautitlán Izcalli contra Teoloyucan.</w:t>
      </w:r>
    </w:p>
    <w:p w:rsidR="00000000" w:rsidDel="00000000" w:rsidP="00000000" w:rsidRDefault="00000000" w:rsidRPr="00000000" w14:paraId="0000003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notificó el pronunciamiento emitido por el Secretario del Ayuntamiento, quien se  declaró incompetente para generar, recopilar, administrar, manejar, procesar, archivar o conservar la información de mérito de conformidad con las facultades que se le confieren a través del artículo 29 del Reglamento de Organización Interna de la Administración Pública del Municipio de Cuautitlán Izcalli; y por la Directora Jurídica,  quien señaló que la información requerida se encontraba clasificada como reservada, remitiendo el  Acuerdo 040/CUAUIZC/CT/DGSJ/2021 de fecha 20 de enero de 2021, mediante el cual el Comité de Transparencia aprobó la clasificación de todos los documentos generados y que se generen con motivo de todos los juicios y así como de los procedimientos jurídicos, administrativos y técnicos, en tanto no hayan causado estado, ejecutoria y/o se encuentren concluidos, de conformidad con el artículo 140 fracción VI y VIII de la Ley de Transparencia y Acceso a la Información Pública del Estado de México y sus Municipios.</w:t>
      </w:r>
    </w:p>
    <w:p w:rsidR="00000000" w:rsidDel="00000000" w:rsidP="00000000" w:rsidRDefault="00000000" w:rsidRPr="00000000" w14:paraId="0000004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se le negó la información.</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una vez 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el pronunciamiento emitido por Secretario del Ayuntamiento y la Directora Jurídica, quienes ratificaron en lo sustancial la respuesta emitida en primera instancia.</w:t>
      </w:r>
    </w:p>
    <w:p w:rsidR="00000000" w:rsidDel="00000000" w:rsidP="00000000" w:rsidRDefault="00000000" w:rsidRPr="00000000" w14:paraId="0000004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en primer lugar, es conveniente señalar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4">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5">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6">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48">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9">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A">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B">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4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4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2">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4">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6">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5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B">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C">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segundo lugar,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la reserva de la información implica una clasificación, la cual debe entenderse como el proceso mediante el cual el Sujeto Obligado determina que la información en su poder, actualiza alguno de los supuestos de reserva o confidencialidad, de conformidad con las normas aplicables.</w:t>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en el caso que nos ocupa, en observancia de lo previsto en los los artículos 53</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fracciones II y IV y 162</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la Unidad de Transparencia turnó la solicitud de información a las áreas que, de acuerdo con sus facultades, competencias y funciones, pudieran contar con la información materia de la solicitud, esto es a la Secretaría del Ayuntamiento y a la Dirección Jurídica, declarándose incompetente la primera al no contar con facultades para generar, administrar o poseer la información de mérito conforme a lo establecido en el Reglamento de Organización Interna de la Administración Pública de Cuautitlán Izcalli, mientras que la segunda, manifestó que la información solicitada se encontraba reservada de conformidad con el Acuerdo 040/CUAUIZC/CT/DGSJ/2021 emitido por el Comité de Transparencia en fecha veinte de enero de dos mil veintiuno.</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mencionar que, del análisis efectuado en la Ley Orgánica Municipal del Estado de México, el Bando Municipal de Cuautitlán Izcalli y el Reglamento de Organización Interna referido, no se advirtió atribución alguna que efectivamente le faculte para conocer lo solicitado, pues si bien es cierto que tiene a su cargo el archivo de concentración e histórico del Ayuntamiento, no debe perderse de vista que la materia de la solicitud, según lo referido por la Directora Jurídica, versa sobre un procedimiento en trámite, lo que significa que los documentos relativos a dicho procedimiento se encuentran aún en los archivos del área encargada de la sustanciación. </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 conformidad con el artículo 30 del Reglamento de Organización Interna, el titular de la Dirección Jurídica cuenta con las siguientes atribuciones en su parte conducente: </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50</w:t>
      </w:r>
      <w:r w:rsidDel="00000000" w:rsidR="00000000" w:rsidRPr="00000000">
        <w:rPr>
          <w:rFonts w:ascii="Palatino Linotype" w:cs="Palatino Linotype" w:eastAsia="Palatino Linotype" w:hAnsi="Palatino Linotype"/>
          <w:i w:val="1"/>
          <w:sz w:val="22"/>
          <w:szCs w:val="22"/>
          <w:rtl w:val="0"/>
        </w:rPr>
        <w:t xml:space="preserve">.- La persona titular de la Dirección Jurídica contará, con las siguientes facultades:</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Intervenir en los asuntos de carácter legal en que tenga interés la Administración Pública Municipal;</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Coadyuvar en todos los juicios, procesos y procedimientos interpuestos en contra del Ayuntamiento, de sus integrantes, del Municipio, de sus dependencias o de sus servidores públicos en el ejercicio de sus atribuciones y/o funciones;</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Representar al Municipio y a las Dependencias de la Administración Pública Municipal, ante los Tribunales Federales y del fuero común y ante toda autoridad en los trámites jurisdiccionales y cualquier otro asunto de carácter legal en que tenga interés e injerencia el Ayuntamiento o a las Dependencias de la Administración Pública Municipal, con todos los derechos procesales que las leyes reconocen a las personas físicas y jurídico-colectivas, para que promueva o realice todos los actos permitidos por las leyes, que favorezcan a los derechos o interés del Ayuntamiento y de las Dependencias de la Administración Pública Municipal, así como para sustituir poder en términos de ley a los representantes que para el efecto señale, previo otorgamiento de los poderes generales y especiales a terceros o mediante oficio para la representación jurídica que otorgue a la persona titular de la Presidencia Municipal en términos de la Ley Orgánica Municipal del Estado de México;</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Suscribir por conducto de su Titular escritos y desahogar los trámites que correspondan a los casos urgentes relativos a términos, interposición de recursos y recepción de toda clase de notificaciones, documentos y rendición de informes previos y justificados en el Juicio de Amparo, en ausencia de la persona titular de la Presidencia Municipal, y las personas titulares de las dependencias municipales; en términos de lo previsto por la Ley Orgánica;</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Convenir ante los Órganos Jurisdiccionales, criterios de resolución encaminados a salvaguardar los intereses jurídicos y patrimoniales del Municipio;</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w:t>
      </w:r>
      <w:r w:rsidDel="00000000" w:rsidR="00000000" w:rsidRPr="00000000">
        <w:rPr>
          <w:rFonts w:ascii="Palatino Linotype" w:cs="Palatino Linotype" w:eastAsia="Palatino Linotype" w:hAnsi="Palatino Linotype"/>
          <w:i w:val="1"/>
          <w:sz w:val="22"/>
          <w:szCs w:val="22"/>
          <w:rtl w:val="0"/>
        </w:rPr>
        <w:t xml:space="preserve">. Llevar el registro y seguimiento, de plazos y términos de los asuntos jurídicos en los que interviene, a través del Departamento de Seguimiento y asistencia Legal; </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w:t>
      </w:r>
      <w:r w:rsidDel="00000000" w:rsidR="00000000" w:rsidRPr="00000000">
        <w:rPr>
          <w:rFonts w:ascii="Palatino Linotype" w:cs="Palatino Linotype" w:eastAsia="Palatino Linotype" w:hAnsi="Palatino Linotype"/>
          <w:i w:val="1"/>
          <w:sz w:val="22"/>
          <w:szCs w:val="22"/>
          <w:rtl w:val="0"/>
        </w:rPr>
        <w:t xml:space="preserve"> Implementar, instaurar o sustanciar, por razones de orden público, interés general o utilidad pública los procedimientos administrativos, contenciosos, civiles, penales y demás necesarios para la recuperación administrativa, legal y física de inmuebles propiedad municipal, de dominio público o privado, en términos de los procedimientos administrativos previstos en el artículo 27 Bis de la Ley de Bienes del Estado de México y de sus Municipios; así mismo podrá ordenar y ejecutar la imposición de medidas cautelares o medidas de seguridad, en su caso, con las Dependencias, Organismos Descentralizados, Órganos Desconcentrados y áreas administrativas correspondientes.”</w:t>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a la Dirección Jurídica le corresponde la representación legal del Municipio y a las Dependencias de la Administración Pública Municipal, ante los Tribunales Federales y del fuero común y ante toda autoridad en los trámites jurisdiccionales y cualquier otro asunto de carácter legal en que tenga interés e injerencia el Ayuntamiento o a las Dependencias de la Administración Pública Municipal, advirtiéndose que derivado del ejercicio de sus atribuciones, pudiera ser componte para conocer la información de mérito.</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importante mencionar que la servidora pública habilitada, en atención a la solicitud de información, no negó la existencia de la información, sin embargo, no hizo entrega de la información, argumentando que la misma se encontraba clasificada como reservada.</w:t>
      </w:r>
    </w:p>
    <w:p w:rsidR="00000000" w:rsidDel="00000000" w:rsidP="00000000" w:rsidRDefault="00000000" w:rsidRPr="00000000" w14:paraId="0000006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mencionarse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7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rsidR="00000000" w:rsidDel="00000000" w:rsidP="00000000" w:rsidRDefault="00000000" w:rsidRPr="00000000" w14:paraId="00000074">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w:t>
      </w:r>
      <w:r w:rsidDel="00000000" w:rsidR="00000000" w:rsidRPr="00000000">
        <w:rPr>
          <w:rFonts w:ascii="Palatino Linotype" w:cs="Palatino Linotype" w:eastAsia="Palatino Linotype" w:hAnsi="Palatino Linotype"/>
          <w:i w:val="1"/>
          <w:sz w:val="22"/>
          <w:szCs w:val="22"/>
          <w:rtl w:val="0"/>
        </w:rPr>
        <w:t xml:space="preserve"> Como información reservada podrá clasificarse aquella cuya publicación:</w:t>
      </w:r>
    </w:p>
    <w:p w:rsidR="00000000" w:rsidDel="00000000" w:rsidP="00000000" w:rsidRDefault="00000000" w:rsidRPr="00000000" w14:paraId="00000075">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I.</w:t>
      </w:r>
      <w:r w:rsidDel="00000000" w:rsidR="00000000" w:rsidRPr="00000000">
        <w:rPr>
          <w:rFonts w:ascii="Palatino Linotype" w:cs="Palatino Linotype" w:eastAsia="Palatino Linotype" w:hAnsi="Palatino Linotype"/>
          <w:i w:val="1"/>
          <w:sz w:val="22"/>
          <w:szCs w:val="22"/>
          <w:rtl w:val="0"/>
        </w:rPr>
        <w:t xml:space="preserve"> Comprometa la seguridad nacional, la seguridad pública o la defensa nacional y cuente con un propósito genuino y un efecto demostrable; </w:t>
      </w:r>
    </w:p>
    <w:p w:rsidR="00000000" w:rsidDel="00000000" w:rsidP="00000000" w:rsidRDefault="00000000" w:rsidRPr="00000000" w14:paraId="00000076">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Pueda menoscabar la conducción de las negociaciones y relaciones internacionales; </w:t>
        <w:br w:type="textWrapping"/>
      </w: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000000" w:rsidDel="00000000" w:rsidP="00000000" w:rsidRDefault="00000000" w:rsidRPr="00000000" w14:paraId="00000077">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000000" w:rsidDel="00000000" w:rsidP="00000000" w:rsidRDefault="00000000" w:rsidRPr="00000000" w14:paraId="00000078">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Pueda poner en riesgo la vida, seguridad o salud de una persona física; </w:t>
      </w:r>
    </w:p>
    <w:p w:rsidR="00000000" w:rsidDel="00000000" w:rsidP="00000000" w:rsidRDefault="00000000" w:rsidRPr="00000000" w14:paraId="00000079">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Obstruya las actividades de verificación, inspección y auditoría relativas al cumplimiento de las leyes o afecte la recaudación de contribuciones; </w:t>
      </w:r>
    </w:p>
    <w:p w:rsidR="00000000" w:rsidDel="00000000" w:rsidP="00000000" w:rsidRDefault="00000000" w:rsidRPr="00000000" w14:paraId="0000007A">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Obstruya la prevención o persecución de los delitos; </w:t>
      </w:r>
    </w:p>
    <w:p w:rsidR="00000000" w:rsidDel="00000000" w:rsidP="00000000" w:rsidRDefault="00000000" w:rsidRPr="00000000" w14:paraId="0000007B">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que contenga las opiniones, recomendaciones o puntos de vista que formen parte del proceso deliberativo de los servidores públicos, hasta en tanto no sea adoptada la decisión definitiva, la cual deberá estar documentada; </w:t>
      </w:r>
    </w:p>
    <w:p w:rsidR="00000000" w:rsidDel="00000000" w:rsidP="00000000" w:rsidRDefault="00000000" w:rsidRPr="00000000" w14:paraId="0000007C">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Obstruya los procedimientos para fincar responsabilidad a los Servidores Públicos, en tanto no se haya dictado la resolución administrativa; </w:t>
      </w:r>
    </w:p>
    <w:p w:rsidR="00000000" w:rsidDel="00000000" w:rsidP="00000000" w:rsidRDefault="00000000" w:rsidRPr="00000000" w14:paraId="0000007D">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Afecte los derechos del debido proceso; </w:t>
      </w:r>
    </w:p>
    <w:p w:rsidR="00000000" w:rsidDel="00000000" w:rsidP="00000000" w:rsidRDefault="00000000" w:rsidRPr="00000000" w14:paraId="0000007E">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causado estado;</w:t>
      </w:r>
    </w:p>
    <w:p w:rsidR="00000000" w:rsidDel="00000000" w:rsidP="00000000" w:rsidRDefault="00000000" w:rsidRPr="00000000" w14:paraId="0000007F">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80">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Comprometa la seguridad pública y cuente con un propósito genuino y un efecto demostrable; </w:t>
      </w:r>
    </w:p>
    <w:p w:rsidR="00000000" w:rsidDel="00000000" w:rsidP="00000000" w:rsidRDefault="00000000" w:rsidRPr="00000000" w14:paraId="00000081">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Pueda menoscabar la conducción de las negociaciones y relaciones internacionales; </w:t>
      </w:r>
    </w:p>
    <w:p w:rsidR="00000000" w:rsidDel="00000000" w:rsidP="00000000" w:rsidRDefault="00000000" w:rsidRPr="00000000" w14:paraId="00000082">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000000" w:rsidDel="00000000" w:rsidP="00000000" w:rsidRDefault="00000000" w:rsidRPr="00000000" w14:paraId="00000083">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Ponga en riesgo la vida, la seguridad o la salud de una persona física; </w:t>
      </w:r>
    </w:p>
    <w:p w:rsidR="00000000" w:rsidDel="00000000" w:rsidP="00000000" w:rsidRDefault="00000000" w:rsidRPr="00000000" w14:paraId="00000084">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Aquella cuya divulgación obstruya o pueda causar un serio perjuicio a: </w:t>
      </w:r>
    </w:p>
    <w:p w:rsidR="00000000" w:rsidDel="00000000" w:rsidP="00000000" w:rsidRDefault="00000000" w:rsidRPr="00000000" w14:paraId="00000085">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Las actividades de fiscalización, verificación, inspección, comprobación y auditoría sobre el cumplimiento de las Leyes; o </w:t>
      </w:r>
    </w:p>
    <w:p w:rsidR="00000000" w:rsidDel="00000000" w:rsidP="00000000" w:rsidRDefault="00000000" w:rsidRPr="00000000" w14:paraId="00000086">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La recaudación de las contribuciones. </w:t>
      </w:r>
    </w:p>
    <w:p w:rsidR="00000000" w:rsidDel="00000000" w:rsidP="00000000" w:rsidRDefault="00000000" w:rsidRPr="00000000" w14:paraId="00000087">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00000" w:rsidDel="00000000" w:rsidP="00000000" w:rsidRDefault="00000000" w:rsidRPr="00000000" w14:paraId="00000088">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que contengan las opiniones, recomendaciones o puntos de vista que formen parte del proceso deliberativo de los servidores públicos, hasta en tanto sea adoptada la decisión definitiva, la cual deberá estar documentada; </w:t>
      </w:r>
    </w:p>
    <w:p w:rsidR="00000000" w:rsidDel="00000000" w:rsidP="00000000" w:rsidRDefault="00000000" w:rsidRPr="00000000" w14:paraId="00000089">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 </w:t>
      </w:r>
    </w:p>
    <w:p w:rsidR="00000000" w:rsidDel="00000000" w:rsidP="00000000" w:rsidRDefault="00000000" w:rsidRPr="00000000" w14:paraId="0000008A">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Se encuentre contenida dentro de las investigaciones de hechos que la Ley señale como delitos y se tramiten ante el Ministerio Público; </w:t>
      </w:r>
    </w:p>
    <w:p w:rsidR="00000000" w:rsidDel="00000000" w:rsidP="00000000" w:rsidRDefault="00000000" w:rsidRPr="00000000" w14:paraId="0000008B">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000000" w:rsidDel="00000000" w:rsidP="00000000" w:rsidRDefault="00000000" w:rsidRPr="00000000" w14:paraId="0000008C">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000000" w:rsidDel="00000000" w:rsidP="00000000" w:rsidRDefault="00000000" w:rsidRPr="00000000" w14:paraId="0000008D">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8E">
      <w:pPr>
        <w:spacing w:after="160" w:line="360" w:lineRule="auto"/>
        <w:jc w:val="both"/>
        <w:rPr/>
      </w:pPr>
      <w:r w:rsidDel="00000000" w:rsidR="00000000" w:rsidRPr="00000000">
        <w:rPr>
          <w:rFonts w:ascii="Palatino Linotype" w:cs="Palatino Linotype" w:eastAsia="Palatino Linotype" w:hAnsi="Palatino Linotype"/>
          <w:rtl w:val="0"/>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Del="00000000" w:rsidR="00000000" w:rsidRPr="00000000">
        <w:rPr>
          <w:rFonts w:ascii="Palatino Linotype" w:cs="Palatino Linotype" w:eastAsia="Palatino Linotype" w:hAnsi="Palatino Linotype"/>
          <w:b w:val="1"/>
          <w:rtl w:val="0"/>
        </w:rPr>
        <w:t xml:space="preserve">Reservada</w:t>
      </w:r>
      <w:r w:rsidDel="00000000" w:rsidR="00000000" w:rsidRPr="00000000">
        <w:rPr>
          <w:rFonts w:ascii="Palatino Linotype" w:cs="Palatino Linotype" w:eastAsia="Palatino Linotype" w:hAnsi="Palatino Linotype"/>
          <w:rtl w:val="0"/>
        </w:rPr>
        <w:t xml:space="preserve">, delimitando una serie de hipótesis de hecho en las cuales descansa la posibilidad de reserva de información, por lo que dentro la información que generen, posean o administren los Sujetos Obligados, se considerará reservada cuando su divulgación obstruya o pueda causar un serio perjuicio a las actividades de fiscalización, verificación, inspección, comprobación y auditoría sobre el cumplimiento de las Leyes, vulnere la conducción de los expedientes judiciales o que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Del="00000000" w:rsidR="00000000" w:rsidRPr="00000000">
        <w:rPr>
          <w:rtl w:val="0"/>
        </w:rPr>
        <w:t xml:space="preserve">.</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valoración, debe realizarse caso por caso, a través de lo que se conoce como la llamada </w:t>
      </w:r>
      <w:r w:rsidDel="00000000" w:rsidR="00000000" w:rsidRPr="00000000">
        <w:rPr>
          <w:rFonts w:ascii="Palatino Linotype" w:cs="Palatino Linotype" w:eastAsia="Palatino Linotype" w:hAnsi="Palatino Linotype"/>
          <w:i w:val="1"/>
          <w:rtl w:val="0"/>
        </w:rPr>
        <w:t xml:space="preserve">“prueba de daño”</w:t>
      </w:r>
      <w:r w:rsidDel="00000000" w:rsidR="00000000" w:rsidRPr="00000000">
        <w:rPr>
          <w:rFonts w:ascii="Palatino Linotype" w:cs="Palatino Linotype" w:eastAsia="Palatino Linotype" w:hAnsi="Palatino Linotype"/>
          <w:rtl w:val="0"/>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9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 </w:t>
      </w:r>
    </w:p>
    <w:p w:rsidR="00000000" w:rsidDel="00000000" w:rsidP="00000000" w:rsidRDefault="00000000" w:rsidRPr="00000000" w14:paraId="00000096">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7">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Prueba de daño</w:t>
      </w:r>
      <w:r w:rsidDel="00000000" w:rsidR="00000000" w:rsidRPr="00000000">
        <w:rPr>
          <w:rFonts w:ascii="Palatino Linotype" w:cs="Palatino Linotype" w:eastAsia="Palatino Linotype" w:hAnsi="Palatino Linotype"/>
          <w:i w:val="1"/>
          <w:sz w:val="22"/>
          <w:szCs w:val="22"/>
          <w:rtl w:val="0"/>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9C">
      <w:pPr>
        <w:numPr>
          <w:ilvl w:val="0"/>
          <w:numId w:val="1"/>
        </w:numPr>
        <w:spacing w:line="360" w:lineRule="auto"/>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9D">
      <w:pPr>
        <w:numPr>
          <w:ilvl w:val="0"/>
          <w:numId w:val="1"/>
        </w:numPr>
        <w:spacing w:line="360" w:lineRule="auto"/>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w:t>
      </w:r>
    </w:p>
    <w:p w:rsidR="00000000" w:rsidDel="00000000" w:rsidP="00000000" w:rsidRDefault="00000000" w:rsidRPr="00000000" w14:paraId="0000009E">
      <w:pPr>
        <w:numPr>
          <w:ilvl w:val="0"/>
          <w:numId w:val="1"/>
        </w:numPr>
        <w:spacing w:line="360" w:lineRule="auto"/>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artículo 141 de la misma Ley, que señala que las causales de reserva previstas, se deberán fundar y motivar, a través de la aplicación de la prueba de daño.</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rsidR="00000000" w:rsidDel="00000000" w:rsidP="00000000" w:rsidRDefault="00000000" w:rsidRPr="00000000" w14:paraId="000000A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129</w:t>
      </w:r>
      <w:r w:rsidDel="00000000" w:rsidR="00000000" w:rsidRPr="00000000">
        <w:rPr>
          <w:rFonts w:ascii="Palatino Linotype" w:cs="Palatino Linotype" w:eastAsia="Palatino Linotype" w:hAnsi="Palatino Linotype"/>
          <w:i w:val="1"/>
          <w:sz w:val="22"/>
          <w:szCs w:val="22"/>
          <w:rtl w:val="0"/>
        </w:rPr>
        <w:t xml:space="preserve">. En la aplicación de la prueba de daño, el sujeto obligado deberá precisar las razones objetivas por las que la apertura de la información generaría una afectación, justificando que:</w:t>
      </w:r>
    </w:p>
    <w:p w:rsidR="00000000" w:rsidDel="00000000" w:rsidP="00000000" w:rsidRDefault="00000000" w:rsidRPr="00000000" w14:paraId="000000A4">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divulgación de la información representa un riesgo real, demostrable e identificable del perjuicio significativo al interés público o a la seguridad pública; </w:t>
      </w:r>
    </w:p>
    <w:p w:rsidR="00000000" w:rsidDel="00000000" w:rsidP="00000000" w:rsidRDefault="00000000" w:rsidRPr="00000000" w14:paraId="000000A5">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riesgo de perjuicio que supondría la divulgación supera el interés público general de que se difunda; y</w:t>
      </w:r>
    </w:p>
    <w:p w:rsidR="00000000" w:rsidDel="00000000" w:rsidP="00000000" w:rsidRDefault="00000000" w:rsidRPr="00000000" w14:paraId="000000A6">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w:t>
      </w:r>
      <w:r w:rsidDel="00000000" w:rsidR="00000000" w:rsidRPr="00000000">
        <w:rPr>
          <w:rFonts w:ascii="Palatino Linotype" w:cs="Palatino Linotype" w:eastAsia="Palatino Linotype" w:hAnsi="Palatino Linotype"/>
          <w:sz w:val="22"/>
          <w:szCs w:val="22"/>
          <w:rtl w:val="0"/>
        </w:rPr>
        <w:t xml:space="preserve">-el riesgo al divulgarse- </w:t>
      </w:r>
      <w:r w:rsidDel="00000000" w:rsidR="00000000" w:rsidRPr="00000000">
        <w:rPr>
          <w:rFonts w:ascii="Palatino Linotype" w:cs="Palatino Linotype" w:eastAsia="Palatino Linotype" w:hAnsi="Palatino Linotype"/>
          <w:rtl w:val="0"/>
        </w:rPr>
        <w:t xml:space="preserve">supera al segundo </w:t>
      </w:r>
      <w:r w:rsidDel="00000000" w:rsidR="00000000" w:rsidRPr="00000000">
        <w:rPr>
          <w:rFonts w:ascii="Palatino Linotype" w:cs="Palatino Linotype" w:eastAsia="Palatino Linotype" w:hAnsi="Palatino Linotype"/>
          <w:sz w:val="22"/>
          <w:szCs w:val="22"/>
          <w:rtl w:val="0"/>
        </w:rPr>
        <w:t xml:space="preserve">-el interés de que se conozca-</w:t>
      </w:r>
      <w:r w:rsidDel="00000000" w:rsidR="00000000" w:rsidRPr="00000000">
        <w:rPr>
          <w:rFonts w:ascii="Palatino Linotype" w:cs="Palatino Linotype" w:eastAsia="Palatino Linotype" w:hAnsi="Palatino Linotype"/>
          <w:rtl w:val="0"/>
        </w:rPr>
        <w:t xml:space="preserve">.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numeral Trigésimo Tercero de los Lineamientos Generales en Materia de Clasificación y Desclasificación de la Información, dispone lo siguiente: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Trigésimo tercero</w:t>
      </w:r>
      <w:r w:rsidDel="00000000" w:rsidR="00000000" w:rsidRPr="00000000">
        <w:rPr>
          <w:rFonts w:ascii="Palatino Linotype" w:cs="Palatino Linotype" w:eastAsia="Palatino Linotype" w:hAnsi="Palatino Linotype"/>
          <w:i w:val="1"/>
          <w:sz w:val="22"/>
          <w:szCs w:val="22"/>
          <w:rtl w:val="0"/>
        </w:rPr>
        <w:t xml:space="preserve">. Para la aplicación de la prueba de daño a la que hace referencia el artículo 104 de la Ley General, los sujetos obligados atenderán lo siguiente:</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debe de acreditar el vínculo entre la difusión de la información y la afectación del interés jurídico tutelado de que se trate;</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Precisar las razones objetivas por las que la apertura de la información generaría una afectación, a través de los elementos de un riesgo real, demostrable e identificable;</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En la motivación de la clasificación, el sujeto obligado deberá acreditar las circunstancias de modo, tiempo y lugar del daño, y</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1701"/>
        </w:tabs>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000000" w:rsidDel="00000000" w:rsidP="00000000" w:rsidRDefault="00000000" w:rsidRPr="00000000" w14:paraId="000000B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B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Prueba de daño, que cobra relevancia puesto que sí ésta no arroja resultados contundentes sobre un posible peligro, deberá de publicarse o difundirse la información.</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la Tesis jurisprudencial número I.4º.A. J/43, publicada en el Semanario Judicial de la Federación y su Gaceta, bajo el número de registro 175,082; que a la letra dice:</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BC">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 </w:t>
      </w: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16 constitucional relativa a la fundamentación y motivación tiene como propósito primordial y ratio que el justiciable </w:t>
      </w:r>
      <w:r w:rsidDel="00000000" w:rsidR="00000000" w:rsidRPr="00000000">
        <w:rPr>
          <w:rFonts w:ascii="Palatino Linotype" w:cs="Palatino Linotype" w:eastAsia="Palatino Linotype" w:hAnsi="Palatino Linotype"/>
          <w:b w:val="1"/>
          <w:i w:val="1"/>
          <w:sz w:val="22"/>
          <w:szCs w:val="22"/>
          <w:rtl w:val="0"/>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Del="00000000" w:rsidR="00000000" w:rsidRPr="00000000">
        <w:rPr>
          <w:rFonts w:ascii="Palatino Linotype" w:cs="Palatino Linotype" w:eastAsia="Palatino Linotype" w:hAnsi="Palatino Linotype"/>
          <w:b w:val="1"/>
          <w:i w:val="1"/>
          <w:sz w:val="22"/>
          <w:szCs w:val="22"/>
          <w:rtl w:val="0"/>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Del="00000000" w:rsidR="00000000" w:rsidRPr="00000000">
        <w:rPr>
          <w:rFonts w:ascii="Palatino Linotype" w:cs="Palatino Linotype" w:eastAsia="Palatino Linotype" w:hAnsi="Palatino Linotype"/>
          <w:i w:val="1"/>
          <w:sz w:val="22"/>
          <w:szCs w:val="22"/>
          <w:rtl w:val="0"/>
        </w:rPr>
        <w:t xml:space="preserve"> del que se deduzca la relación de pertenencia lógica de los hechos al derecho invocado, que es la subsunción.”</w:t>
      </w:r>
      <w:r w:rsidDel="00000000" w:rsidR="00000000" w:rsidRPr="00000000">
        <w:rPr>
          <w:rtl w:val="0"/>
        </w:rPr>
      </w:r>
    </w:p>
    <w:p w:rsidR="00000000" w:rsidDel="00000000" w:rsidP="00000000" w:rsidRDefault="00000000" w:rsidRPr="00000000" w14:paraId="000000B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el Acuerdo 040/CUAUIZC/CT/DGSJ/2021 emitido por el Comité de Transparencia el veinte de enero de dos mil veintiuno, mediante la cual se aprobó la propuesta de clasificación de la Dirección General de Servicios Jurídicos, de todos los documentos generados y que se generen con motivo de todos los juicios y así como de los procedimientos jurídicos, administrativos y técnicos, en tanto no hayan causado estado, ejecutoria y/o se encuentren concluidos, por lo que a continuación se efectuará el análisis de dicho documento con la finalidad de determinar si cumplió con las formalidades precisadas en líneas anteriores:</w:t>
      </w:r>
    </w:p>
    <w:tbl>
      <w:tblPr>
        <w:tblStyle w:val="Table1"/>
        <w:tblW w:w="882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5245"/>
        <w:gridCol w:w="1320"/>
        <w:tblGridChange w:id="0">
          <w:tblGrid>
            <w:gridCol w:w="2263"/>
            <w:gridCol w:w="5245"/>
            <w:gridCol w:w="1320"/>
          </w:tblGrid>
        </w:tblGridChange>
      </w:tblGrid>
      <w:tr>
        <w:trPr>
          <w:cantSplit w:val="0"/>
          <w:tblHeader w:val="0"/>
        </w:trPr>
        <w:tc>
          <w:tcPr>
            <w:vAlign w:val="center"/>
          </w:tcPr>
          <w:p w:rsidR="00000000" w:rsidDel="00000000" w:rsidP="00000000" w:rsidRDefault="00000000" w:rsidRPr="00000000" w14:paraId="000000B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REQUISITOS</w:t>
            </w:r>
          </w:p>
        </w:tc>
        <w:tc>
          <w:tcPr>
            <w:vAlign w:val="center"/>
          </w:tcPr>
          <w:p w:rsidR="00000000" w:rsidDel="00000000" w:rsidP="00000000" w:rsidRDefault="00000000" w:rsidRPr="00000000" w14:paraId="000000B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ACUERDO</w:t>
            </w:r>
          </w:p>
        </w:tc>
        <w:tc>
          <w:tcPr>
            <w:vAlign w:val="center"/>
          </w:tcPr>
          <w:p w:rsidR="00000000" w:rsidDel="00000000" w:rsidP="00000000" w:rsidRDefault="00000000" w:rsidRPr="00000000" w14:paraId="000000C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¿CUMPLE?</w:t>
            </w:r>
          </w:p>
        </w:tc>
      </w:tr>
      <w:tr>
        <w:trPr>
          <w:cantSplit w:val="0"/>
          <w:trHeight w:val="795" w:hRule="atLeast"/>
          <w:tblHeader w:val="0"/>
        </w:trPr>
        <w:tc>
          <w:tcPr>
            <w:vAlign w:val="center"/>
          </w:tcPr>
          <w:p w:rsidR="00000000" w:rsidDel="00000000" w:rsidP="00000000" w:rsidRDefault="00000000" w:rsidRPr="00000000" w14:paraId="000000C1">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Lugar y fecha de la resolución.</w:t>
            </w:r>
          </w:p>
        </w:tc>
        <w:tc>
          <w:tcPr>
            <w:vAlign w:val="center"/>
          </w:tcPr>
          <w:p w:rsidR="00000000" w:rsidDel="00000000" w:rsidP="00000000" w:rsidRDefault="00000000" w:rsidRPr="00000000" w14:paraId="000000C2">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SE ADVIERTE</w:t>
            </w:r>
          </w:p>
        </w:tc>
        <w:tc>
          <w:tcPr>
            <w:vAlign w:val="center"/>
          </w:tcPr>
          <w:p w:rsidR="00000000" w:rsidDel="00000000" w:rsidP="00000000" w:rsidRDefault="00000000" w:rsidRPr="00000000" w14:paraId="000000C3">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tc>
      </w:tr>
      <w:tr>
        <w:trPr>
          <w:cantSplit w:val="0"/>
          <w:tblHeader w:val="0"/>
        </w:trPr>
        <w:tc>
          <w:tcPr>
            <w:vAlign w:val="center"/>
          </w:tcPr>
          <w:p w:rsidR="00000000" w:rsidDel="00000000" w:rsidP="00000000" w:rsidRDefault="00000000" w:rsidRPr="00000000" w14:paraId="000000C4">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Número de solicitud de información.</w:t>
            </w:r>
          </w:p>
        </w:tc>
        <w:tc>
          <w:tcPr>
            <w:vAlign w:val="center"/>
          </w:tcPr>
          <w:p w:rsidR="00000000" w:rsidDel="00000000" w:rsidP="00000000" w:rsidRDefault="00000000" w:rsidRPr="00000000" w14:paraId="000000C5">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SE ADVIERTE</w:t>
            </w:r>
          </w:p>
        </w:tc>
        <w:tc>
          <w:tcPr>
            <w:vAlign w:val="center"/>
          </w:tcPr>
          <w:p w:rsidR="00000000" w:rsidDel="00000000" w:rsidP="00000000" w:rsidRDefault="00000000" w:rsidRPr="00000000" w14:paraId="000000C6">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p w:rsidR="00000000" w:rsidDel="00000000" w:rsidP="00000000" w:rsidRDefault="00000000" w:rsidRPr="00000000" w14:paraId="000000C7">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Se trata de información 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8">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Información solicitada.</w:t>
            </w:r>
          </w:p>
        </w:tc>
        <w:tc>
          <w:tcPr>
            <w:vAlign w:val="center"/>
          </w:tcPr>
          <w:p w:rsidR="00000000" w:rsidDel="00000000" w:rsidP="00000000" w:rsidRDefault="00000000" w:rsidRPr="00000000" w14:paraId="000000C9">
            <w:pPr>
              <w:spacing w:after="240" w:before="240" w:line="360" w:lineRule="auto"/>
              <w:jc w:val="center"/>
              <w:rPr>
                <w:rFonts w:ascii="Palatino Linotype" w:cs="Palatino Linotype" w:eastAsia="Palatino Linotype" w:hAnsi="Palatino Linotype"/>
              </w:rPr>
            </w:pPr>
            <w:r w:rsidDel="00000000" w:rsidR="00000000" w:rsidRPr="00000000">
              <w:rPr/>
              <w:pict>
                <v:shape id="_x0000_i1025" style="width:252pt;height:98.8pt" o:ole="" type="#_x0000_t75">
                  <v:imagedata r:id="rId1" o:title=""/>
                </v:shape>
                <o:OLEObject DrawAspect="Content" r:id="rId2" ObjectID="_1738494087" ProgID="PBrush" ShapeID="_x0000_i1025" Type="Embed"/>
              </w:pict>
            </w:r>
            <w:r w:rsidDel="00000000" w:rsidR="00000000" w:rsidRPr="00000000">
              <w:rPr>
                <w:rtl w:val="0"/>
              </w:rPr>
            </w:r>
          </w:p>
        </w:tc>
        <w:tc>
          <w:tcPr>
            <w:vAlign w:val="center"/>
          </w:tcPr>
          <w:p w:rsidR="00000000" w:rsidDel="00000000" w:rsidP="00000000" w:rsidRDefault="00000000" w:rsidRPr="00000000" w14:paraId="000000CA">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p w:rsidR="00000000" w:rsidDel="00000000" w:rsidP="00000000" w:rsidRDefault="00000000" w:rsidRPr="00000000" w14:paraId="000000CB">
            <w:pPr>
              <w:spacing w:after="240" w:befor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Se trata de información 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C">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razonamiento lógico que demuestre que la información encuadra en alguna de las hipótesis previstas en la Ley, debiéndose invocar el artículo de la Ley, fracción, y supuesto que se actualiza.</w:t>
            </w:r>
          </w:p>
        </w:tc>
        <w:tc>
          <w:tcPr>
            <w:vAlign w:val="center"/>
          </w:tcPr>
          <w:p w:rsidR="00000000" w:rsidDel="00000000" w:rsidP="00000000" w:rsidRDefault="00000000" w:rsidRPr="00000000" w14:paraId="000000CD">
            <w:pPr>
              <w:spacing w:after="240" w:before="240" w:line="360" w:lineRule="auto"/>
              <w:jc w:val="both"/>
              <w:rPr/>
            </w:pPr>
            <w:r w:rsidDel="00000000" w:rsidR="00000000" w:rsidRPr="00000000">
              <w:rPr/>
              <w:pict>
                <v:shape id="_x0000_i1026" style="width:252pt;height:128.2pt" o:ole="" type="#_x0000_t75">
                  <v:imagedata cropbottom="30852f" r:id="rId3" o:title=""/>
                </v:shape>
                <o:OLEObject DrawAspect="Content" r:id="rId4" ObjectID="_1738494088" ProgID="PBrush" ShapeID="_x0000_i1026" Type="Embed"/>
              </w:pict>
            </w:r>
            <w:r w:rsidDel="00000000" w:rsidR="00000000" w:rsidRPr="00000000">
              <w:rPr>
                <w:rtl w:val="0"/>
              </w:rPr>
            </w:r>
          </w:p>
          <w:p w:rsidR="00000000" w:rsidDel="00000000" w:rsidP="00000000" w:rsidRDefault="00000000" w:rsidRPr="00000000" w14:paraId="000000CE">
            <w:pPr>
              <w:spacing w:after="240" w:before="240" w:line="360" w:lineRule="auto"/>
              <w:jc w:val="both"/>
              <w:rPr/>
            </w:pPr>
            <w:r w:rsidDel="00000000" w:rsidR="00000000" w:rsidRPr="00000000">
              <w:rPr/>
              <w:pict>
                <v:shape id="_x0000_i1027" style="width:252pt;height:19.45pt" o:ole="" type="#_x0000_t75">
                  <v:imagedata croptop="60495f" r:id="rId5" o:title=""/>
                </v:shape>
                <o:OLEObject DrawAspect="Content" r:id="rId6" ObjectID="_1738494089" ProgID="PBrush" ShapeID="_x0000_i1027" Type="Embed"/>
              </w:pict>
            </w:r>
            <w:r w:rsidDel="00000000" w:rsidR="00000000" w:rsidRPr="00000000">
              <w:rPr>
                <w:rtl w:val="0"/>
              </w:rPr>
            </w:r>
          </w:p>
          <w:p w:rsidR="00000000" w:rsidDel="00000000" w:rsidP="00000000" w:rsidRDefault="00000000" w:rsidRPr="00000000" w14:paraId="000000CF">
            <w:pPr>
              <w:spacing w:after="240" w:before="240" w:line="360" w:lineRule="auto"/>
              <w:jc w:val="both"/>
              <w:rPr/>
            </w:pPr>
            <w:r w:rsidDel="00000000" w:rsidR="00000000" w:rsidRPr="00000000">
              <w:rPr/>
              <w:pict>
                <v:shape id="_x0000_i1028" style="width:252pt;height:314.8pt" o:ole="" type="#_x0000_t75">
                  <v:imagedata r:id="rId7" o:title=""/>
                </v:shape>
                <o:OLEObject DrawAspect="Content" r:id="rId8" ObjectID="_1738494090" ProgID="PBrush" ShapeID="_x0000_i1028" Type="Embed"/>
              </w:pict>
            </w:r>
            <w:r w:rsidDel="00000000" w:rsidR="00000000" w:rsidRPr="00000000">
              <w:rPr>
                <w:rtl w:val="0"/>
              </w:rPr>
            </w:r>
          </w:p>
        </w:tc>
        <w:tc>
          <w:tcPr>
            <w:vAlign w:val="center"/>
          </w:tcPr>
          <w:p w:rsidR="00000000" w:rsidDel="00000000" w:rsidP="00000000" w:rsidRDefault="00000000" w:rsidRPr="00000000" w14:paraId="000000D0">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p w:rsidR="00000000" w:rsidDel="00000000" w:rsidP="00000000" w:rsidRDefault="00000000" w:rsidRPr="00000000" w14:paraId="000000D1">
            <w:pPr>
              <w:spacing w:after="240" w:before="24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Se trata de información general.</w:t>
            </w:r>
          </w:p>
        </w:tc>
      </w:tr>
      <w:tr>
        <w:trPr>
          <w:cantSplit w:val="0"/>
          <w:tblHeader w:val="0"/>
        </w:trPr>
        <w:tc>
          <w:tcPr>
            <w:vAlign w:val="center"/>
          </w:tcPr>
          <w:p w:rsidR="00000000" w:rsidDel="00000000" w:rsidP="00000000" w:rsidRDefault="00000000" w:rsidRPr="00000000" w14:paraId="000000D2">
            <w:pPr>
              <w:widowControl w:val="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Periodo por el cual se encuentra clasificada la información solicitada.</w:t>
            </w:r>
          </w:p>
        </w:tc>
        <w:tc>
          <w:tcPr>
            <w:vAlign w:val="center"/>
          </w:tcPr>
          <w:p w:rsidR="00000000" w:rsidDel="00000000" w:rsidP="00000000" w:rsidRDefault="00000000" w:rsidRPr="00000000" w14:paraId="000000D3">
            <w:pPr>
              <w:spacing w:after="240" w:before="240" w:line="360" w:lineRule="auto"/>
              <w:jc w:val="both"/>
              <w:rPr/>
            </w:pPr>
            <w:r w:rsidDel="00000000" w:rsidR="00000000" w:rsidRPr="00000000">
              <w:rPr/>
              <w:pict>
                <v:shape id="_x0000_i1029" style="width:252pt;height:113.9pt" o:ole="" type="#_x0000_t75">
                  <v:imagedata r:id="rId9" o:title=""/>
                </v:shape>
                <o:OLEObject DrawAspect="Content" r:id="rId10" ObjectID="_1738494091" ProgID="PBrush" ShapeID="_x0000_i1029" Type="Embed"/>
              </w:pict>
            </w:r>
            <w:r w:rsidDel="00000000" w:rsidR="00000000" w:rsidRPr="00000000">
              <w:rPr>
                <w:rtl w:val="0"/>
              </w:rPr>
            </w:r>
          </w:p>
        </w:tc>
        <w:tc>
          <w:tcPr>
            <w:vAlign w:val="center"/>
          </w:tcPr>
          <w:p w:rsidR="00000000" w:rsidDel="00000000" w:rsidP="00000000" w:rsidRDefault="00000000" w:rsidRPr="00000000" w14:paraId="000000D4">
            <w:pPr>
              <w:spacing w:after="240" w:before="240" w:line="360" w:lineRule="auto"/>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20"/>
                <w:szCs w:val="20"/>
                <w:rtl w:val="0"/>
              </w:rPr>
              <w:t xml:space="preserve">SI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5">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Elementos objetivos que permitan determinar si la difusión de la información causaría un daño presente, probable y específico a los intereses jurídicos tutelados en los supuestos de excepción previstos en el artículo 140 de la Ley.</w:t>
            </w:r>
          </w:p>
          <w:p w:rsidR="00000000" w:rsidDel="00000000" w:rsidP="00000000" w:rsidRDefault="00000000" w:rsidRPr="00000000" w14:paraId="000000D6">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(prueba de daño)</w:t>
            </w:r>
          </w:p>
        </w:tc>
        <w:tc>
          <w:tcPr>
            <w:vAlign w:val="center"/>
          </w:tcPr>
          <w:p w:rsidR="00000000" w:rsidDel="00000000" w:rsidP="00000000" w:rsidRDefault="00000000" w:rsidRPr="00000000" w14:paraId="000000D7">
            <w:pPr>
              <w:spacing w:after="240" w:before="240" w:line="360" w:lineRule="auto"/>
              <w:jc w:val="both"/>
              <w:rPr/>
            </w:pPr>
            <w:r w:rsidDel="00000000" w:rsidR="00000000" w:rsidRPr="00000000">
              <w:rPr/>
              <w:pict>
                <v:shape id="_x0000_i1030" style="width:252pt;height:116.1pt" o:ole="" type="#_x0000_t75">
                  <v:imagedata r:id="rId11" o:title=""/>
                </v:shape>
                <o:OLEObject DrawAspect="Content" r:id="rId12" ObjectID="_1738494092" ProgID="PBrush" ShapeID="_x0000_i1030" Type="Embed"/>
              </w:pict>
            </w:r>
            <w:r w:rsidDel="00000000" w:rsidR="00000000" w:rsidRPr="00000000">
              <w:rPr>
                <w:rtl w:val="0"/>
              </w:rPr>
            </w:r>
          </w:p>
          <w:p w:rsidR="00000000" w:rsidDel="00000000" w:rsidP="00000000" w:rsidRDefault="00000000" w:rsidRPr="00000000" w14:paraId="000000D8">
            <w:pPr>
              <w:spacing w:after="240" w:before="240" w:line="360" w:lineRule="auto"/>
              <w:jc w:val="both"/>
              <w:rPr/>
            </w:pPr>
            <w:r w:rsidDel="00000000" w:rsidR="00000000" w:rsidRPr="00000000">
              <w:rPr>
                <w:rtl w:val="0"/>
              </w:rPr>
            </w:r>
          </w:p>
        </w:tc>
        <w:tc>
          <w:tcPr>
            <w:vAlign w:val="center"/>
          </w:tcPr>
          <w:p w:rsidR="00000000" w:rsidDel="00000000" w:rsidP="00000000" w:rsidRDefault="00000000" w:rsidRPr="00000000" w14:paraId="000000D9">
            <w:pPr>
              <w:spacing w:after="240" w:before="240" w:line="36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p w:rsidR="00000000" w:rsidDel="00000000" w:rsidP="00000000" w:rsidRDefault="00000000" w:rsidRPr="00000000" w14:paraId="000000DA">
            <w:pPr>
              <w:spacing w:after="240" w:before="240" w:lineRule="auto"/>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6"/>
                <w:szCs w:val="16"/>
                <w:rtl w:val="0"/>
              </w:rPr>
              <w:t xml:space="preserve">No acreditó de manera fehaciente como la divulgación de la información, concretamente, representa un riesgo real, demostrable e identificable, ni se estableció que el perjuicio supera el interés público general que pudiera existir sobre la información requerida.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B">
            <w:pPr>
              <w:widowControl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Nombres y firmas de los integrantes del Comité</w:t>
            </w:r>
          </w:p>
        </w:tc>
        <w:tc>
          <w:tcPr>
            <w:vAlign w:val="center"/>
          </w:tcPr>
          <w:p w:rsidR="00000000" w:rsidDel="00000000" w:rsidP="00000000" w:rsidRDefault="00000000" w:rsidRPr="00000000" w14:paraId="000000DC">
            <w:pPr>
              <w:spacing w:after="240" w:before="240" w:line="360" w:lineRule="auto"/>
              <w:jc w:val="center"/>
              <w:rPr/>
            </w:pPr>
            <w:r w:rsidDel="00000000" w:rsidR="00000000" w:rsidRPr="00000000">
              <w:rPr/>
              <w:pict>
                <v:shape id="_x0000_i1031" style="width:184.4pt;height:59.9pt" o:ole="" type="#_x0000_t75">
                  <v:imagedata r:id="rId13" o:title=""/>
                </v:shape>
                <o:OLEObject DrawAspect="Content" r:id="rId14" ObjectID="_1738494093" ProgID="PBrush" ShapeID="_x0000_i1031" Type="Embed"/>
              </w:pict>
            </w:r>
            <w:r w:rsidDel="00000000" w:rsidR="00000000" w:rsidRPr="00000000">
              <w:rPr>
                <w:rtl w:val="0"/>
              </w:rPr>
            </w:r>
          </w:p>
          <w:p w:rsidR="00000000" w:rsidDel="00000000" w:rsidP="00000000" w:rsidRDefault="00000000" w:rsidRPr="00000000" w14:paraId="000000DD">
            <w:pPr>
              <w:spacing w:after="240" w:before="240" w:line="360" w:lineRule="auto"/>
              <w:jc w:val="center"/>
              <w:rPr/>
            </w:pPr>
            <w:r w:rsidDel="00000000" w:rsidR="00000000" w:rsidRPr="00000000">
              <w:rPr/>
              <w:pict>
                <v:shape id="_x0000_i1032" style="width:170.8pt;height:184.4pt" o:ole="" type="#_x0000_t75">
                  <v:imagedata cropbottom="33604f" r:id="rId15" o:title=""/>
                </v:shape>
                <o:OLEObject DrawAspect="Content" r:id="rId16" ObjectID="_1738494094" ProgID="PBrush" ShapeID="_x0000_i1032" Type="Embed"/>
              </w:pict>
            </w:r>
            <w:r w:rsidDel="00000000" w:rsidR="00000000" w:rsidRPr="00000000">
              <w:rPr>
                <w:rtl w:val="0"/>
              </w:rPr>
            </w:r>
          </w:p>
          <w:p w:rsidR="00000000" w:rsidDel="00000000" w:rsidP="00000000" w:rsidRDefault="00000000" w:rsidRPr="00000000" w14:paraId="000000DE">
            <w:pPr>
              <w:spacing w:after="240" w:before="240" w:line="360" w:lineRule="auto"/>
              <w:jc w:val="center"/>
              <w:rPr/>
            </w:pPr>
            <w:r w:rsidDel="00000000" w:rsidR="00000000" w:rsidRPr="00000000">
              <w:rPr/>
              <w:pict>
                <v:shape id="_x0000_i1033" style="width:170.8pt;height:186.6pt" o:ole="" type="#_x0000_t75">
                  <v:imagedata cropbottom="503f" croptop="32737f" r:id="rId17" o:title=""/>
                </v:shape>
                <o:OLEObject DrawAspect="Content" r:id="rId18" ObjectID="_1738494095" ProgID="PBrush" ShapeID="_x0000_i1033" Type="Embed"/>
              </w:pict>
            </w:r>
            <w:r w:rsidDel="00000000" w:rsidR="00000000" w:rsidRPr="00000000">
              <w:rPr>
                <w:rtl w:val="0"/>
              </w:rPr>
            </w:r>
          </w:p>
        </w:tc>
        <w:tc>
          <w:tcPr>
            <w:vAlign w:val="center"/>
          </w:tcPr>
          <w:p w:rsidR="00000000" w:rsidDel="00000000" w:rsidP="00000000" w:rsidRDefault="00000000" w:rsidRPr="00000000" w14:paraId="000000DF">
            <w:pPr>
              <w:spacing w:after="240" w:before="240" w:line="360" w:lineRule="auto"/>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20"/>
                <w:szCs w:val="20"/>
                <w:rtl w:val="0"/>
              </w:rPr>
              <w:t xml:space="preserve">P</w:t>
            </w:r>
            <w:r w:rsidDel="00000000" w:rsidR="00000000" w:rsidRPr="00000000">
              <w:rPr>
                <w:rFonts w:ascii="Palatino Linotype" w:cs="Palatino Linotype" w:eastAsia="Palatino Linotype" w:hAnsi="Palatino Linotype"/>
                <w:b w:val="1"/>
                <w:sz w:val="18"/>
                <w:szCs w:val="18"/>
                <w:rtl w:val="0"/>
              </w:rPr>
              <w:t xml:space="preserve">arcialmente</w:t>
            </w:r>
          </w:p>
          <w:p w:rsidR="00000000" w:rsidDel="00000000" w:rsidP="00000000" w:rsidRDefault="00000000" w:rsidRPr="00000000" w14:paraId="000000E0">
            <w:pPr>
              <w:spacing w:after="240" w:before="24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No se advierte la firma del responsable del área coordinadora de archivos o equivalente.</w:t>
            </w:r>
          </w:p>
        </w:tc>
      </w:tr>
    </w:tbl>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cuadro anterior se desprende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justificar la restricción al derecho de acceso a los documentos públicos y anexos de la controversia de límites territoriales de Cuautitlán Izcalli contra Teoloyucan, mediante un acuerdo de clasificación que, además de no contar con las formalidades que la normatividad prevé, fue emitido de manera previa a la presentación de la solicitud respecto de un cumulo de información en la que podría encontrarse aquella que es hoy tema de estudio, por lo tanto, no es posible acreditar la actualización de los supuestos definidos por la norma, reiterando que la clasificación de la información se debe realizar conforme a un análisis caso por caso, mediante la aplicación de la enunciada prueba de daño, situación que en el asunto que nos ocupa no aconteció, razón por la cual el derecho de acceso a la información no puede tenerse por colmado.</w:t>
      </w:r>
    </w:p>
    <w:p w:rsidR="00000000" w:rsidDel="00000000" w:rsidP="00000000" w:rsidRDefault="00000000" w:rsidRPr="00000000" w14:paraId="000000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es pertinente mencionar, respecto de los diferendos limítrofes que el artículo 112 de la Constitución Política del Estado Libere y Soberano del Estado de México, dispone lo siguiente:</w:t>
      </w:r>
    </w:p>
    <w:p w:rsidR="00000000" w:rsidDel="00000000" w:rsidP="00000000" w:rsidRDefault="00000000" w:rsidRPr="00000000" w14:paraId="000000E3">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112</w:t>
      </w:r>
      <w:r w:rsidDel="00000000" w:rsidR="00000000" w:rsidRPr="00000000">
        <w:rPr>
          <w:rFonts w:ascii="Palatino Linotype" w:cs="Palatino Linotype" w:eastAsia="Palatino Linotype" w:hAnsi="Palatino Linotype"/>
          <w:i w:val="1"/>
          <w:sz w:val="22"/>
          <w:szCs w:val="22"/>
          <w:rtl w:val="0"/>
        </w:rPr>
        <w:t xml:space="preserve">.-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rsidR="00000000" w:rsidDel="00000000" w:rsidP="00000000" w:rsidRDefault="00000000" w:rsidRPr="00000000" w14:paraId="000000E4">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municipios del Estado, su denominación y la de sus cabeceras, serán los que señale la ley de la materia.” (Sic)</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la disposición legal referida, el municipio tiene la facultad de establecer su división territorial, ante ello viene a colación lo establecido por los artículos 4, 7 y 8 de la Ley Orgánica Municipal del Estado de México, los que disponen: </w:t>
      </w:r>
    </w:p>
    <w:p w:rsidR="00000000" w:rsidDel="00000000" w:rsidP="00000000" w:rsidRDefault="00000000" w:rsidRPr="00000000" w14:paraId="000000E6">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La creación y supresión de municipios, la modificación de su territorio, cambios en su denominación o ubicación de sus cabeceras municipales, así como la solución de conflictos sobre límites intermunicipales, corresponden a la Legislatura del Estado.</w:t>
      </w:r>
    </w:p>
    <w:p w:rsidR="00000000" w:rsidDel="00000000" w:rsidP="00000000" w:rsidRDefault="00000000" w:rsidRPr="00000000" w14:paraId="000000E7">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w:t>
      </w:r>
      <w:r w:rsidDel="00000000" w:rsidR="00000000" w:rsidRPr="00000000">
        <w:rPr>
          <w:rFonts w:ascii="Palatino Linotype" w:cs="Palatino Linotype" w:eastAsia="Palatino Linotype" w:hAnsi="Palatino Linotype"/>
          <w:i w:val="1"/>
          <w:sz w:val="22"/>
          <w:szCs w:val="22"/>
          <w:rtl w:val="0"/>
        </w:rPr>
        <w:t xml:space="preserve">.- La extensión territorial de los municipios del Estado, comprenderá la superficie y límites reconocidos para cada uno de ellos.” (Sic)</w:t>
      </w:r>
    </w:p>
    <w:p w:rsidR="00000000" w:rsidDel="00000000" w:rsidP="00000000" w:rsidRDefault="00000000" w:rsidRPr="00000000" w14:paraId="000000E8">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La división territorial de los municipios se integra por la cabecera municipal, y por las delegaciones, subdelegaciones, colonias, sectores y manzanas, con la denominación, extensión y límites que establezcan los ayuntamientos.” (Sic)</w:t>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procedente se advierte que los municipios del Estado de México, entre ellos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facultad para modificar su territorio, denominación o ubicación de sus cabeceras municipales y la </w:t>
      </w:r>
      <w:r w:rsidDel="00000000" w:rsidR="00000000" w:rsidRPr="00000000">
        <w:rPr>
          <w:rFonts w:ascii="Palatino Linotype" w:cs="Palatino Linotype" w:eastAsia="Palatino Linotype" w:hAnsi="Palatino Linotype"/>
          <w:b w:val="1"/>
          <w:rtl w:val="0"/>
        </w:rPr>
        <w:t xml:space="preserve">solución de conflictos sobre diferendos limítrofes intermunicipales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se debe mencionar que la autoridad competente para conocer sobre los conflictos intermunicipales es el Poder Legislativo del Estado de México, a través de la Comisión de Límites del Gobierno del Estado de México, como se desprende de los artículos 61, fracciones XXV y XXVI de la Constitución Política del Estado Libre y Soberano de México, 19, fracciones I, III, VII y XI y 40 de la Ley Reglamentaria de Las Fracciones XXV y XXVI del Artículo 61 de la Constitución Política del Estado Libre y Soberano de México, donde se establecen las atribuciones de la Comisión y el procedimiento para la solución de diferendos limítrofes intermunicipales, respectivamente, a saber:</w:t>
      </w:r>
    </w:p>
    <w:p w:rsidR="00000000" w:rsidDel="00000000" w:rsidP="00000000" w:rsidRDefault="00000000" w:rsidRPr="00000000" w14:paraId="000000EB">
      <w:pPr>
        <w:spacing w:after="120" w:before="120" w:lineRule="auto"/>
        <w:ind w:left="851" w:right="1134"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61.</w:t>
      </w:r>
      <w:r w:rsidDel="00000000" w:rsidR="00000000" w:rsidRPr="00000000">
        <w:rPr>
          <w:rFonts w:ascii="Palatino Linotype" w:cs="Palatino Linotype" w:eastAsia="Palatino Linotype" w:hAnsi="Palatino Linotype"/>
          <w:i w:val="1"/>
          <w:sz w:val="22"/>
          <w:szCs w:val="22"/>
          <w:rtl w:val="0"/>
        </w:rPr>
        <w:t xml:space="preserve"> Son facultades y obligaciones de la legislatura:</w:t>
      </w:r>
      <w:r w:rsidDel="00000000" w:rsidR="00000000" w:rsidRPr="00000000">
        <w:rPr>
          <w:rtl w:val="0"/>
        </w:rPr>
      </w:r>
    </w:p>
    <w:p w:rsidR="00000000" w:rsidDel="00000000" w:rsidP="00000000" w:rsidRDefault="00000000" w:rsidRPr="00000000" w14:paraId="000000EC">
      <w:pPr>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D">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 </w:t>
      </w:r>
      <w:r w:rsidDel="00000000" w:rsidR="00000000" w:rsidRPr="00000000">
        <w:rPr>
          <w:rFonts w:ascii="Palatino Linotype" w:cs="Palatino Linotype" w:eastAsia="Palatino Linotype" w:hAnsi="Palatino Linotype"/>
          <w:i w:val="1"/>
          <w:sz w:val="22"/>
          <w:szCs w:val="22"/>
          <w:rtl w:val="0"/>
        </w:rPr>
        <w:t xml:space="preserve">Fijar los límites de los municipios del Estado y resolver las diferencias que en esta materia se produzcan;</w:t>
      </w:r>
    </w:p>
    <w:p w:rsidR="00000000" w:rsidDel="00000000" w:rsidP="00000000" w:rsidRDefault="00000000" w:rsidRPr="00000000" w14:paraId="000000EE">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w:t>
      </w:r>
      <w:r w:rsidDel="00000000" w:rsidR="00000000" w:rsidRPr="00000000">
        <w:rPr>
          <w:rFonts w:ascii="Palatino Linotype" w:cs="Palatino Linotype" w:eastAsia="Palatino Linotype" w:hAnsi="Palatino Linotype"/>
          <w:i w:val="1"/>
          <w:sz w:val="22"/>
          <w:szCs w:val="22"/>
          <w:rtl w:val="0"/>
        </w:rPr>
        <w:t xml:space="preserve"> Crear y suprimir municipios, tomando en cuenta criterios de orden demográfico, político, social y económico;”</w:t>
      </w:r>
    </w:p>
    <w:p w:rsidR="00000000" w:rsidDel="00000000" w:rsidP="00000000" w:rsidRDefault="00000000" w:rsidRPr="00000000" w14:paraId="000000EF">
      <w:pPr>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Para el cumplimiento de su objetivo, la Comisión Estatal tendrá las atribuciones siguientes:</w:t>
      </w:r>
    </w:p>
    <w:p w:rsidR="00000000" w:rsidDel="00000000" w:rsidP="00000000" w:rsidRDefault="00000000" w:rsidRPr="00000000" w14:paraId="000000F0">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Emitir opinión técnica sobre la extensión y límites del Estado y de sus Municipios a solicitud expresa de la Legislatura o del titular del Poder Ejecutivo;</w:t>
      </w:r>
    </w:p>
    <w:p w:rsidR="00000000" w:rsidDel="00000000" w:rsidP="00000000" w:rsidRDefault="00000000" w:rsidRPr="00000000" w14:paraId="000000F1">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2">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Promover la celebración de convenios amistosos para resolver los problemas de límites entre sus municipios y el Estado con otras entidades federativas, a fin de que el Poder Legislativo cuente con argumentos para dictaminar sobre los mismos;</w:t>
      </w:r>
    </w:p>
    <w:p w:rsidR="00000000" w:rsidDel="00000000" w:rsidP="00000000" w:rsidRDefault="00000000" w:rsidRPr="00000000" w14:paraId="000000F3">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Preparar el expediente técnico que coadyuve para el arreglo de los límites del estado con otras entidades federativas o con sus municipios en los casos que se planteen diferencias en esta materia;</w:t>
      </w:r>
    </w:p>
    <w:p w:rsidR="00000000" w:rsidDel="00000000" w:rsidP="00000000" w:rsidRDefault="00000000" w:rsidRPr="00000000" w14:paraId="000000F5">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6">
      <w:pPr>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Emitir dictámenes técnicos en materia de diferendos limítrofes entre los municipios del Estado...”;</w:t>
      </w:r>
    </w:p>
    <w:p w:rsidR="00000000" w:rsidDel="00000000" w:rsidP="00000000" w:rsidRDefault="00000000" w:rsidRPr="00000000" w14:paraId="000000F7">
      <w:pPr>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40.-</w:t>
      </w:r>
      <w:r w:rsidDel="00000000" w:rsidR="00000000" w:rsidRPr="00000000">
        <w:rPr>
          <w:rFonts w:ascii="Palatino Linotype" w:cs="Palatino Linotype" w:eastAsia="Palatino Linotype" w:hAnsi="Palatino Linotype"/>
          <w:i w:val="1"/>
          <w:sz w:val="22"/>
          <w:szCs w:val="22"/>
          <w:rtl w:val="0"/>
        </w:rPr>
        <w:t xml:space="preserve"> Las diferencias que se susciten sobre límites municipales serán resueltas por el Poder Legislativo del Estado, con el apoyo de la Comisión Estatal de conformidad con las disposiciones de esta ley.”</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mismo instrumento, en los artículos que 41 al 60, contempla el procedimiento que se debe llevar a cabo, a saber:</w:t>
      </w:r>
    </w:p>
    <w:p w:rsidR="00000000" w:rsidDel="00000000" w:rsidP="00000000" w:rsidRDefault="00000000" w:rsidRPr="00000000" w14:paraId="000000F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41.- El procedimiento para la solución de diferendos limítrofes intermunicipales, podrá ser iniciado por el o los municipios interesados o por la propia Legislatura a través de alguno de sus diputados. </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42.- La solicitud en la que uno o más municipios demanden la intervención de la Legislatura para la solución de un diferendo limítrofe, deberá dirigirse al Presidente de la Legislatura y contener los siguientes requisitos: </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Deberá estar formulada por el presidente municipal y síndico del o los municipios solicitantes, señalando el domicilio del Ayuntamiento; </w:t>
      </w:r>
    </w:p>
    <w:p w:rsidR="00000000" w:rsidDel="00000000" w:rsidP="00000000" w:rsidRDefault="00000000" w:rsidRPr="00000000" w14:paraId="000000F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profesionales que se encuentren facultados para representar al municipio en el desarrollo del procedimiento; </w:t>
      </w:r>
    </w:p>
    <w:p w:rsidR="00000000" w:rsidDel="00000000" w:rsidP="00000000" w:rsidRDefault="00000000" w:rsidRPr="00000000" w14:paraId="000000F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acuerdo de cabildo en el cual se autorice al Presidente Municipal solicitar la intervención de la Legislatura para la solución del diferendo; </w:t>
      </w:r>
    </w:p>
    <w:p w:rsidR="00000000" w:rsidDel="00000000" w:rsidP="00000000" w:rsidRDefault="00000000" w:rsidRPr="00000000" w14:paraId="000000F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municipio o municipios respecto de los cuales se solicite la solución del diferendo limítrofe; y </w:t>
      </w:r>
    </w:p>
    <w:p w:rsidR="00000000" w:rsidDel="00000000" w:rsidP="00000000" w:rsidRDefault="00000000" w:rsidRPr="00000000" w14:paraId="000000F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Una exposición de motivos en la que se precise de manera clara los planteamientos y disposiciones en que funden su pretensión.</w:t>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43. Una vez recibida la solicitud el Presidente de la Legislatura, la turnará a la Comisión Legislativa quien la radicará a través de un acuerdo, señalando día y hora dentro de los treinta días hábiles siguientes para una audiencia en la que comparezcan los municipios involucrados a exponer sus argumentos respecto del diferendo.</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44.- La Comisión Legislativa notificará por oficio a los municipios involucrados en el domicilio de sus Ayuntamientos; el auto de radicación y la fecha de la audiencia, corriéndoles traslado a los municipios respecto de los cuales se solicite la solución del diferendo, con copias de la solicitud presentada por el municipio o municipios promoventes.</w:t>
      </w:r>
    </w:p>
    <w:p w:rsidR="00000000" w:rsidDel="00000000" w:rsidP="00000000" w:rsidRDefault="00000000" w:rsidRPr="00000000" w14:paraId="0000010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45.- La audiencia ante la Comisión Legislativa se desarrollará de la manera siguiente manera:</w:t>
      </w:r>
    </w:p>
    <w:p w:rsidR="00000000" w:rsidDel="00000000" w:rsidP="00000000" w:rsidRDefault="00000000" w:rsidRPr="00000000" w14:paraId="0000010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Presidente de la Comisión Legislativa exhortará a los municipios a que lleguen a un acuerdo amistoso;</w:t>
      </w:r>
    </w:p>
    <w:p w:rsidR="00000000" w:rsidDel="00000000" w:rsidP="00000000" w:rsidRDefault="00000000" w:rsidRPr="00000000" w14:paraId="0000010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municipio o municipios promoventes expresarán sus planteamientos en relación al motivo del diferendo limítrofe;</w:t>
      </w:r>
    </w:p>
    <w:p w:rsidR="00000000" w:rsidDel="00000000" w:rsidP="00000000" w:rsidRDefault="00000000" w:rsidRPr="00000000" w14:paraId="0000010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municipio o municipios citados expresarán sus puntos de vista y sus argumentos en relación al hecho; y </w:t>
      </w:r>
    </w:p>
    <w:p w:rsidR="00000000" w:rsidDel="00000000" w:rsidP="00000000" w:rsidRDefault="00000000" w:rsidRPr="00000000" w14:paraId="0000010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Comisión Legislativa requerirá a los municipios involucrados para que en un plazo de 30 días hábiles posteriores a la audiencia remitan, todas las pruebas que consideren son suficientes para acreditar sus manifestaciones. Fuera de este término no será admitida probanza alguna.</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46.- En el desahogo del procedimiento se admitirán toda clase de pruebas excepto la confesional, las que no tengan relación directa con el asunto, las que resulten inútiles para la decisión del caso y aquellas que sean contrarias a derecho. </w:t>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47. Transcurrido el término establecido por la fracción IV del artículo 45 de esta Ley, la Comisión Legislativa admitirá las pruebas dando vista con las mismas a los municipios interesados y ordenará su desahogo dentro del término de 60 días hábiles, dentro de los cuales deberán realizarse todas las diligencias necesarias.</w:t>
      </w:r>
    </w:p>
    <w:p w:rsidR="00000000" w:rsidDel="00000000" w:rsidP="00000000" w:rsidRDefault="00000000" w:rsidRPr="00000000" w14:paraId="0000010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48.- Una vez recibidas las pruebas de los municipios, la Comisión Legislativa podrá solicitar a la Comisión Estatal, emita un dictamen técnico en relación al diferendo. </w:t>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49.- En cualquier etapa del procedimiento la Comisión Legislativa podrá requerir a los municipios involucrados, los informes o aclaraciones que determine necesarios, así como decretar el desahogo de las diligencias probatorias para auxiliar a esclarecer el asunto. </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50.- La Comisión Legislativa podrá solicitar los informes necesarios y estudios técnicos que estime pertinentes, a cualquier autoridad o institución, para allegarse de elementos que le permitan esclarecer el asunto. </w:t>
      </w:r>
    </w:p>
    <w:p w:rsidR="00000000" w:rsidDel="00000000" w:rsidP="00000000" w:rsidRDefault="00000000" w:rsidRPr="00000000" w14:paraId="0000010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51.- Para favorecer el desarrollo del procedimiento, la Comisión Legislativa podrá solicitar, a través del Gobernador el apoyo e intervención de cualquiera de las dependencias del Ejecutivo Estatal. </w:t>
      </w:r>
    </w:p>
    <w:p w:rsidR="00000000" w:rsidDel="00000000" w:rsidP="00000000" w:rsidRDefault="00000000" w:rsidRPr="00000000" w14:paraId="0000010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52.- La Comisión Legislativa podrá establecer un proceso metodológico que al interior de la misma permita el fácil análisis de la documentación, pruebas y soportes que presenten las partes interesadas. </w:t>
      </w:r>
    </w:p>
    <w:p w:rsidR="00000000" w:rsidDel="00000000" w:rsidP="00000000" w:rsidRDefault="00000000" w:rsidRPr="00000000" w14:paraId="0000010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Una vez concluido el periodo de desahogo de pruebas, dentro de los siguientes treinta días hábiles, la comisión legislativa se reunirá para analizar y valorar las manifestaciones y las probanzas ofrecidas por los municipios y en su caso las diligencias ordenadas por la misma procediendo a elaborar el dictamen correspondiente, el cual deberá contener:</w:t>
      </w:r>
    </w:p>
    <w:p w:rsidR="00000000" w:rsidDel="00000000" w:rsidP="00000000" w:rsidRDefault="00000000" w:rsidRPr="00000000" w14:paraId="0000010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 los municipios involucrados;</w:t>
      </w:r>
    </w:p>
    <w:p w:rsidR="00000000" w:rsidDel="00000000" w:rsidP="00000000" w:rsidRDefault="00000000" w:rsidRPr="00000000" w14:paraId="0000011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Una exposición precisa del diferendo limítrofe analizado; </w:t>
      </w:r>
    </w:p>
    <w:p w:rsidR="00000000" w:rsidDel="00000000" w:rsidP="00000000" w:rsidRDefault="00000000" w:rsidRPr="00000000" w14:paraId="0000011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análisis y valoración de las pruebas presentadas por los municipios involucrados; </w:t>
      </w:r>
    </w:p>
    <w:p w:rsidR="00000000" w:rsidDel="00000000" w:rsidP="00000000" w:rsidRDefault="00000000" w:rsidRPr="00000000" w14:paraId="0000011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Los fundamentos y motivos que sustenten el dictamen; y</w:t>
      </w:r>
    </w:p>
    <w:p w:rsidR="00000000" w:rsidDel="00000000" w:rsidP="00000000" w:rsidRDefault="00000000" w:rsidRPr="00000000" w14:paraId="0000011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El plano topográfico en el que se señalará el cuadro de construcción del polígono definido en coordenadas UTM (Universal Transversa de Mercator).</w:t>
      </w:r>
    </w:p>
    <w:p w:rsidR="00000000" w:rsidDel="00000000" w:rsidP="00000000" w:rsidRDefault="00000000" w:rsidRPr="00000000" w14:paraId="0000011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54.- Una vez aprobado el dictamen por parte de la comisión, será turnado al Presidente de la Legislatura para que este lo presente ante el pleno en la primera sesión del inicio del periodo siguiente para su discusión y en su caso aprobación.</w:t>
      </w:r>
    </w:p>
    <w:p w:rsidR="00000000" w:rsidDel="00000000" w:rsidP="00000000" w:rsidRDefault="00000000" w:rsidRPr="00000000" w14:paraId="0000011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55.- Aprobado el dictamen por el Pleno de la Legislatura, emitirá el decreto correspondiente, el cual deberá contener los siguientes requisitos: </w:t>
      </w:r>
    </w:p>
    <w:p w:rsidR="00000000" w:rsidDel="00000000" w:rsidP="00000000" w:rsidRDefault="00000000" w:rsidRPr="00000000" w14:paraId="0000011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 los municipios involucrados; </w:t>
      </w:r>
    </w:p>
    <w:p w:rsidR="00000000" w:rsidDel="00000000" w:rsidP="00000000" w:rsidRDefault="00000000" w:rsidRPr="00000000" w14:paraId="0000011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Una exposición precisa del diferendo limítrofe analizado;</w:t>
      </w:r>
    </w:p>
    <w:p w:rsidR="00000000" w:rsidDel="00000000" w:rsidP="00000000" w:rsidRDefault="00000000" w:rsidRPr="00000000" w14:paraId="0000011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análisis y valoración de las pruebas presentadas por los municipios involucrados; </w:t>
      </w:r>
    </w:p>
    <w:p w:rsidR="00000000" w:rsidDel="00000000" w:rsidP="00000000" w:rsidRDefault="00000000" w:rsidRPr="00000000" w14:paraId="0000011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Los fundamentos y motivos que sustenten el dictamen; </w:t>
      </w:r>
    </w:p>
    <w:p w:rsidR="00000000" w:rsidDel="00000000" w:rsidP="00000000" w:rsidRDefault="00000000" w:rsidRPr="00000000" w14:paraId="0000011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conclusiones y puntos resolutivos; </w:t>
      </w:r>
    </w:p>
    <w:p w:rsidR="00000000" w:rsidDel="00000000" w:rsidP="00000000" w:rsidRDefault="00000000" w:rsidRPr="00000000" w14:paraId="0000011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alcances y efectos del decreto, fijando con precisión, en su caso, los órganos obligados a cumplirlo; el acto o actos respecto de los cuales opere; la mención precisa de los límites, y todos aquellos elementos necesarios para su plena eficacia en el ámbito que corresponda; </w:t>
      </w:r>
    </w:p>
    <w:p w:rsidR="00000000" w:rsidDel="00000000" w:rsidP="00000000" w:rsidRDefault="00000000" w:rsidRPr="00000000" w14:paraId="0000011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término en el que se deba dar cumplimiento al Decreto; y </w:t>
      </w:r>
    </w:p>
    <w:p w:rsidR="00000000" w:rsidDel="00000000" w:rsidP="00000000" w:rsidRDefault="00000000" w:rsidRPr="00000000" w14:paraId="0000011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plano topográfico en el que se señalará el cuadro de construcción del polígono definido en coordenadas UTM (Universal Transversa de Mercator). </w:t>
      </w:r>
    </w:p>
    <w:p w:rsidR="00000000" w:rsidDel="00000000" w:rsidP="00000000" w:rsidRDefault="00000000" w:rsidRPr="00000000" w14:paraId="000001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56.- Dentro del plazo señalado en el decreto, la Legislatura instruirá a la Comisión Estatal para que vigile que los municipios realicen el establecimiento material de los señalamientos oficiales, así como el amojonamiento que fijen los límites físicos territoriales, debiéndose levantar acta circunstanciada de dicha diligencia, la cual obrara en el expediente de la legislatura. </w:t>
      </w:r>
    </w:p>
    <w:p w:rsidR="00000000" w:rsidDel="00000000" w:rsidP="00000000" w:rsidRDefault="00000000" w:rsidRPr="00000000" w14:paraId="0000011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57.- Las resoluciones de la Legislatura, por las que se ponga fin a los diferendos de límites intermunicipales y los convenios que sean aprobados por ésta no admitirán recurso o medio de defensa legal alguno.</w:t>
      </w:r>
    </w:p>
    <w:p w:rsidR="00000000" w:rsidDel="00000000" w:rsidP="00000000" w:rsidRDefault="00000000" w:rsidRPr="00000000" w14:paraId="0000012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58.- A partir de la aprobación del decreto que resuelva los diferendos limítrofes, todas las autoridades están obligadas a realizar las adecuaciones necesarias en el ámbito de sus atribuciones, que permitan el cabal cumplimiento del decreto. </w:t>
      </w:r>
    </w:p>
    <w:p w:rsidR="00000000" w:rsidDel="00000000" w:rsidP="00000000" w:rsidRDefault="00000000" w:rsidRPr="00000000" w14:paraId="0000012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59. Los municipios involucrados en un término que no deberá exceder de 90 días hábiles a partir de la publicación del Decreto, realizarán trabajos conjuntos de amojonamiento y señalización sobre la línea limítrofe aportando cada uno el 50% de los gastos generados, informando a las comisiones Estatal y Legislativa. </w:t>
      </w:r>
    </w:p>
    <w:p w:rsidR="00000000" w:rsidDel="00000000" w:rsidP="00000000" w:rsidRDefault="00000000" w:rsidRPr="00000000" w14:paraId="0000012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60.- Los municipios con el objeto de preservar los límites intermunicipales tendrán un derecho de vía de 4 metros para cada lado a lo largo de toda la franja que una los territorios de cada municipio.”</w:t>
      </w:r>
    </w:p>
    <w:p w:rsidR="00000000" w:rsidDel="00000000" w:rsidP="00000000" w:rsidRDefault="00000000" w:rsidRPr="00000000" w14:paraId="000001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anteriores, también se advierte que la Comisión referida deberá hacer del conocimiento de la resolución que emita la legislatura que ponga fin al diferendo de límite intermunicipales, a los municipios involucrados, para que estos dentro del término que no exceda de noventa días hábiles siguientes a la publicación del decreto, den cumplimiento a esté, lo cual deberá ser informado por los municipios involucrados a la Comisión Estatal y Legislativa.</w:t>
      </w:r>
    </w:p>
    <w:p w:rsidR="00000000" w:rsidDel="00000000" w:rsidP="00000000" w:rsidRDefault="00000000" w:rsidRPr="00000000" w14:paraId="000001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advierte que el procedimiento al ser formalmente administrativo y materialmente judicial encuadra en el supuesto, pues no solo se trata de una controversia entre partes, sino que también se rige por un procedimiento en el cual las etapas se asemejan a las de un juicio, pues estas contemplan una petición, argumentos, ofrecimiento de pruebas, el desahogo de las mismas y una resolución inapelable.</w:t>
      </w:r>
    </w:p>
    <w:p w:rsidR="00000000" w:rsidDel="00000000" w:rsidP="00000000" w:rsidRDefault="00000000" w:rsidRPr="00000000" w14:paraId="00000125">
      <w:pPr>
        <w:spacing w:after="240" w:before="240" w:line="360" w:lineRule="auto"/>
        <w:jc w:val="both"/>
        <w:rPr>
          <w:rFonts w:ascii="Palatino Linotype" w:cs="Palatino Linotype" w:eastAsia="Palatino Linotype" w:hAnsi="Palatino Linotype"/>
        </w:rPr>
      </w:pPr>
      <w:bookmarkStart w:colFirst="0" w:colLast="0" w:name="_heading=h.26in1rg" w:id="8"/>
      <w:bookmarkEnd w:id="8"/>
      <w:r w:rsidDel="00000000" w:rsidR="00000000" w:rsidRPr="00000000">
        <w:rPr>
          <w:rFonts w:ascii="Palatino Linotype" w:cs="Palatino Linotype" w:eastAsia="Palatino Linotype" w:hAnsi="Palatino Linotype"/>
          <w:rtl w:val="0"/>
        </w:rPr>
        <w:t xml:space="preserve">Una vez precisado lo anterior, se procede a realizar los siguientes cuestionamientos para determinar la procedencia de la entrega de la información requerida por el recurrente.</w:t>
      </w:r>
    </w:p>
    <w:p w:rsidR="00000000" w:rsidDel="00000000" w:rsidP="00000000" w:rsidRDefault="00000000" w:rsidRPr="00000000" w14:paraId="0000012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 cuestión: </w:t>
      </w:r>
      <w:r w:rsidDel="00000000" w:rsidR="00000000" w:rsidRPr="00000000">
        <w:rPr>
          <w:rFonts w:ascii="Palatino Linotype" w:cs="Palatino Linotype" w:eastAsia="Palatino Linotype" w:hAnsi="Palatino Linotype"/>
          <w:i w:val="1"/>
          <w:rtl w:val="0"/>
        </w:rPr>
        <w:t xml:space="preserve">¿Pueden ser restringidos los Principios establecidos en el artículo 6 de la Constitución Federal respecto del derecho de acceso a la información?</w:t>
      </w:r>
      <w:r w:rsidDel="00000000" w:rsidR="00000000" w:rsidRPr="00000000">
        <w:rPr>
          <w:rtl w:val="0"/>
        </w:rPr>
      </w:r>
    </w:p>
    <w:p w:rsidR="00000000" w:rsidDel="00000000" w:rsidP="00000000" w:rsidRDefault="00000000" w:rsidRPr="00000000" w14:paraId="000001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6 de la Constitución General de la República, establece una serie de principios y bases sobre las cuales se erige el reconocimiento y ejercicio del derecho humano del acceso a la información pública.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este sentido, en la fracción I del citado artículo, establece que es pública la información que posea cualquier ente estatal, con </w:t>
      </w:r>
      <w:r w:rsidDel="00000000" w:rsidR="00000000" w:rsidRPr="00000000">
        <w:rPr>
          <w:rFonts w:ascii="Palatino Linotype" w:cs="Palatino Linotype" w:eastAsia="Palatino Linotype" w:hAnsi="Palatino Linotype"/>
          <w:b w:val="1"/>
          <w:rtl w:val="0"/>
        </w:rPr>
        <w:t xml:space="preserve">excepción de reserva temporal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por razón de interés público</w:t>
      </w: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b w:val="1"/>
          <w:rtl w:val="0"/>
        </w:rPr>
        <w:t xml:space="preserve">en los términos que fijen las leyes;</w:t>
      </w:r>
      <w:r w:rsidDel="00000000" w:rsidR="00000000" w:rsidRPr="00000000">
        <w:rPr>
          <w:rFonts w:ascii="Palatino Linotype" w:cs="Palatino Linotype" w:eastAsia="Palatino Linotype" w:hAnsi="Palatino Linotype"/>
          <w:rtl w:val="0"/>
        </w:rPr>
        <w:t xml:space="preserve"> y en la fracción segunda se ordena, que la referente a la vida privada y datos personales, sea protegida.</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puede determinar que, a rango constitucional </w:t>
      </w:r>
      <w:r w:rsidDel="00000000" w:rsidR="00000000" w:rsidRPr="00000000">
        <w:rPr>
          <w:rFonts w:ascii="Palatino Linotype" w:cs="Palatino Linotype" w:eastAsia="Palatino Linotype" w:hAnsi="Palatino Linotype"/>
          <w:b w:val="1"/>
          <w:rtl w:val="0"/>
        </w:rPr>
        <w:t xml:space="preserve">el ejercicio del poder público debe operar bajo la máxima publicidad y accesibilidad, solo limitada por circunstancias específicas establecidas por la ley</w:t>
      </w:r>
      <w:r w:rsidDel="00000000" w:rsidR="00000000" w:rsidRPr="00000000">
        <w:rPr>
          <w:rFonts w:ascii="Palatino Linotype" w:cs="Palatino Linotype" w:eastAsia="Palatino Linotype" w:hAnsi="Palatino Linotype"/>
          <w:rtl w:val="0"/>
        </w:rPr>
        <w:t xml:space="preserve">, y que pudieran implicar que la divulgación de la información atente contra los derechos de terceros o la protección de la seguridad nacional, el orden público, la salud o moral públicas.</w:t>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témenos que como sucede con el ejercicio de otros derechos fundamentales, </w:t>
      </w:r>
      <w:r w:rsidDel="00000000" w:rsidR="00000000" w:rsidRPr="00000000">
        <w:rPr>
          <w:rFonts w:ascii="Palatino Linotype" w:cs="Palatino Linotype" w:eastAsia="Palatino Linotype" w:hAnsi="Palatino Linotype"/>
          <w:b w:val="1"/>
          <w:u w:val="single"/>
          <w:rtl w:val="0"/>
        </w:rPr>
        <w:t xml:space="preserve">el derecho al acceso a la información, se encuentra sujeto a determinadas restricciones; sin embargo, a efecto de no ser excesivas, que lleguen al grado de anular el ejercicio del derecho fundamental, están condicionadas a diversos aspectos,</w:t>
      </w:r>
      <w:r w:rsidDel="00000000" w:rsidR="00000000" w:rsidRPr="00000000">
        <w:rPr>
          <w:rFonts w:ascii="Palatino Linotype" w:cs="Palatino Linotype" w:eastAsia="Palatino Linotype" w:hAnsi="Palatino Linotype"/>
          <w:rtl w:val="0"/>
        </w:rPr>
        <w:t xml:space="preserve"> de modo que, como lo indica la propia Convención Americana de Derechos Humanos en su artículo 13.2, para que una restricción al derecho a la información pública pueda ser aplicable, debe demostrarse que ha cumplido con las condiciones de: i)</w:t>
      </w:r>
      <w:r w:rsidDel="00000000" w:rsidR="00000000" w:rsidRPr="00000000">
        <w:rPr>
          <w:rFonts w:ascii="Palatino Linotype" w:cs="Palatino Linotype" w:eastAsia="Palatino Linotype" w:hAnsi="Palatino Linotype"/>
          <w:i w:val="1"/>
          <w:rtl w:val="0"/>
        </w:rPr>
        <w:t xml:space="preserve">carácter excepcional, ii) consagración legal, iii) objetivos legítimos, iii) necesidad y proporcionalidad.</w:t>
      </w:r>
      <w:r w:rsidDel="00000000" w:rsidR="00000000" w:rsidRPr="00000000">
        <w:rPr>
          <w:rtl w:val="0"/>
        </w:rPr>
      </w:r>
    </w:p>
    <w:p w:rsidR="00000000" w:rsidDel="00000000" w:rsidP="00000000" w:rsidRDefault="00000000" w:rsidRPr="00000000" w14:paraId="000001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estas excepciones, la </w:t>
      </w:r>
      <w:r w:rsidDel="00000000" w:rsidR="00000000" w:rsidRPr="00000000">
        <w:rPr>
          <w:rFonts w:ascii="Palatino Linotype" w:cs="Palatino Linotype" w:eastAsia="Palatino Linotype" w:hAnsi="Palatino Linotype"/>
          <w:b w:val="1"/>
          <w:rtl w:val="0"/>
        </w:rPr>
        <w:t xml:space="preserve">Corte Interamericana al resolver el </w:t>
      </w:r>
      <w:r w:rsidDel="00000000" w:rsidR="00000000" w:rsidRPr="00000000">
        <w:rPr>
          <w:rFonts w:ascii="Palatino Linotype" w:cs="Palatino Linotype" w:eastAsia="Palatino Linotype" w:hAnsi="Palatino Linotype"/>
          <w:b w:val="1"/>
          <w:i w:val="1"/>
          <w:rtl w:val="0"/>
        </w:rPr>
        <w:t xml:space="preserve">Caso de Clade Reyes y Otros (sentencia del 19 de septiembre de 2006)</w:t>
      </w:r>
      <w:r w:rsidDel="00000000" w:rsidR="00000000" w:rsidRPr="00000000">
        <w:rPr>
          <w:rFonts w:ascii="Palatino Linotype" w:cs="Palatino Linotype" w:eastAsia="Palatino Linotype" w:hAnsi="Palatino Linotype"/>
          <w:rtl w:val="0"/>
        </w:rPr>
        <w:t xml:space="preserve">  preciso que,  el establecimiento de </w:t>
      </w:r>
      <w:r w:rsidDel="00000000" w:rsidR="00000000" w:rsidRPr="00000000">
        <w:rPr>
          <w:rFonts w:ascii="Palatino Linotype" w:cs="Palatino Linotype" w:eastAsia="Palatino Linotype" w:hAnsi="Palatino Linotype"/>
          <w:b w:val="1"/>
          <w:u w:val="single"/>
          <w:rtl w:val="0"/>
        </w:rPr>
        <w:t xml:space="preserve">restricciones al derecho de acceso a la información bajo control del Estado, a través de la práctica de las autoridades, sin cumplimiento de los requisitos establecidos en la Convención Americana, crea un campo fértil para la actuación discrecional y arbitraria en la clasificación de informaciones como secretas, reservadas</w:t>
      </w:r>
      <w:r w:rsidDel="00000000" w:rsidR="00000000" w:rsidRPr="00000000">
        <w:rPr>
          <w:rFonts w:ascii="Palatino Linotype" w:cs="Palatino Linotype" w:eastAsia="Palatino Linotype" w:hAnsi="Palatino Linotype"/>
          <w:rtl w:val="0"/>
        </w:rPr>
        <w:t xml:space="preserve"> o confidenciales y genera inseguridad jurídica respecto del ejercicio de dicho derecho, así como del alcance de las facultades estatales para restringirlo; es por ello que, en atención al principio de máxima divulgación, toda excepción que precisen los entes públicos debe sujetarse a  una serie de parámetros jurídicos. </w:t>
      </w:r>
    </w:p>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Además, en la misma sentencia el tribunal interamericano puntualizó que la ley debe garantizar un acceso a la información pública que sea efectivo y lo más amplio posible, además de que, </w:t>
      </w:r>
      <w:r w:rsidDel="00000000" w:rsidR="00000000" w:rsidRPr="00000000">
        <w:rPr>
          <w:rFonts w:ascii="Palatino Linotype" w:cs="Palatino Linotype" w:eastAsia="Palatino Linotype" w:hAnsi="Palatino Linotype"/>
          <w:b w:val="1"/>
          <w:u w:val="single"/>
          <w:rtl w:val="0"/>
        </w:rPr>
        <w:t xml:space="preserve">en caso de contemplar excepciones, éstas no deben convertirse en la práctica en la regla general, sino deben ser la excepción sujetas a estudios casuísticos. </w:t>
      </w:r>
      <w:r w:rsidDel="00000000" w:rsidR="00000000" w:rsidRPr="00000000">
        <w:rPr>
          <w:rtl w:val="0"/>
        </w:rPr>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medida, la Relatoría para la Libertad de Expresión de la Comisión Interamericana de Derechos Humanos, </w:t>
      </w:r>
      <w:r w:rsidDel="00000000" w:rsidR="00000000" w:rsidRPr="00000000">
        <w:rPr>
          <w:rFonts w:ascii="Palatino Linotype" w:cs="Palatino Linotype" w:eastAsia="Palatino Linotype" w:hAnsi="Palatino Linotype"/>
          <w:b w:val="1"/>
          <w:rtl w:val="0"/>
        </w:rPr>
        <w:t xml:space="preserve">ha sostenido que las limitaciones impuestas al derecho de acceso a la información, como cualquier otra limitación que se imponga a cualquiera de las derivaciones del derecho a la libertad de expresión, deben ser necesarias en una sociedad democrática para satisfacer un interés público imperativo; debiendo escoger la que restrinja en menor escala el derecho protegido</w:t>
      </w:r>
      <w:r w:rsidDel="00000000" w:rsidR="00000000" w:rsidRPr="00000000">
        <w:rPr>
          <w:rFonts w:ascii="Palatino Linotype" w:cs="Palatino Linotype" w:eastAsia="Palatino Linotype" w:hAnsi="Palatino Linotype"/>
          <w:rtl w:val="0"/>
        </w:rPr>
        <w:t xml:space="preserve">, y observando que ésta:  (i) sea conducente para alcanzar su logro, (ii) sea proporcional al interés que la justifica, e (iii) interfiera en la menor medida posible en el ejercicio efectivo del derecho.</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De esta forma, del principio de máxima publicidad tanto en el ámbito internos como en la óptica internacional, deriva el que </w:t>
      </w:r>
      <w:r w:rsidDel="00000000" w:rsidR="00000000" w:rsidRPr="00000000">
        <w:rPr>
          <w:rFonts w:ascii="Palatino Linotype" w:cs="Palatino Linotype" w:eastAsia="Palatino Linotype" w:hAnsi="Palatino Linotype"/>
          <w:b w:val="1"/>
          <w:u w:val="single"/>
          <w:rtl w:val="0"/>
        </w:rPr>
        <w:t xml:space="preserve">las normas que limitan el derecho de acceso a la información deben ser interpretadas de manera restrictiva y que toda limitación debe estar debidamente sujeta a una serie de parámetros con los cuales se permita determinar la menor limitación posible al derecho de acceso. </w:t>
      </w:r>
    </w:p>
    <w:p w:rsidR="00000000" w:rsidDel="00000000" w:rsidP="00000000" w:rsidRDefault="00000000" w:rsidRPr="00000000" w14:paraId="0000012F">
      <w:pPr>
        <w:spacing w:after="240" w:before="240" w:line="360" w:lineRule="auto"/>
        <w:ind w:right="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Segunda cuestión: </w:t>
      </w:r>
      <w:r w:rsidDel="00000000" w:rsidR="00000000" w:rsidRPr="00000000">
        <w:rPr>
          <w:rFonts w:ascii="Palatino Linotype" w:cs="Palatino Linotype" w:eastAsia="Palatino Linotype" w:hAnsi="Palatino Linotype"/>
          <w:i w:val="1"/>
          <w:rtl w:val="0"/>
        </w:rPr>
        <w:t xml:space="preserve">¿Cuál es el marco legal que contempla el conjunto de limitaciones excepcionales al Derecho de Acceso a la información Pública en México en los casos en concreto?</w:t>
      </w:r>
    </w:p>
    <w:p w:rsidR="00000000" w:rsidDel="00000000" w:rsidP="00000000" w:rsidRDefault="00000000" w:rsidRPr="00000000" w14:paraId="0000013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panorama, en congruencia con el marco constitucional y convencional, la Ley General de Transparencia y de forma equivalente la Ley de Transparencia y Acceso a la Información Pública del Estado de México y Municipios, establecen dos supuestos bajo los cuales una autoridad del estado puede restringir el Derecho de acceso a la información pública ejercido por los particulares, dichas hipótesis de restricción las podemos delimitar en dos conjuntos, el primero como información: “Confidencial” y el segundo como información “Reservada”.  </w:t>
      </w:r>
    </w:p>
    <w:p w:rsidR="00000000" w:rsidDel="00000000" w:rsidP="00000000" w:rsidRDefault="00000000" w:rsidRPr="00000000" w14:paraId="0000013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para proteger la vida privada y los datos personales –considerados como uno de los límites constitucionalmente legítimos– el artículo 116 de la legislación general reproducido de forma simétrica en el análogo 143 de ley local en la materia, se establece como criterio de clasificación el de “información confidencial”, el cual restringe el acceso a la información pública que contenga datos personales o haga referencia a la vida privada de una persona física que requieran el consentimiento de estos para su difusión, distribución o comercialización. </w:t>
      </w:r>
    </w:p>
    <w:p w:rsidR="00000000" w:rsidDel="00000000" w:rsidP="00000000" w:rsidRDefault="00000000" w:rsidRPr="00000000" w14:paraId="0000013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proteger el interés público, amabas legislaciones de manera homogénea en los numerales 113 y 140 de la ley general y de la ley local respectivamente, consideran la posibilidad de restringir el derecho de acceso a la información pública ejercido por los particulares, estableciendo la posibilidad de catalogar la información pública que obra en su poder con la calidad de reservada. </w:t>
      </w:r>
    </w:p>
    <w:p w:rsidR="00000000" w:rsidDel="00000000" w:rsidP="00000000" w:rsidRDefault="00000000" w:rsidRPr="00000000" w14:paraId="0000013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la pretendida reserva ya fue analizada previamente, sin que se encontraran elementos que fundaran y motivaran de manera concreta la restricción al derecho de acceso, al haberse remitido un acuerdo que no se adecúa al presente asunto.</w:t>
      </w:r>
    </w:p>
    <w:p w:rsidR="00000000" w:rsidDel="00000000" w:rsidP="00000000" w:rsidRDefault="00000000" w:rsidRPr="00000000" w14:paraId="0000013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preciso resaltar que, conforme a lo expresado por la Corte Interamericana, ha de vigilarse en todo momento, que las excepciones no se conviertan en regla general, dado que el derecho a la información juega un papel determinante en un Estado democrático, a partir del cual, los gobernados pueden ejercer un control respecto del funcionamiento institucional de los poderes públicos.</w:t>
      </w:r>
    </w:p>
    <w:p w:rsidR="00000000" w:rsidDel="00000000" w:rsidP="00000000" w:rsidRDefault="00000000" w:rsidRPr="00000000" w14:paraId="00000135">
      <w:pPr>
        <w:spacing w:after="240" w:before="240" w:line="360" w:lineRule="auto"/>
        <w:ind w:right="51"/>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rtl w:val="0"/>
        </w:rPr>
        <w:t xml:space="preserve">En este sentido, la propia Suprema Corte de Justicia de la Nación (SCJN) al resolver la Acción de inconstitucionalidad 26/2006, concreto la tesis de jurisprudencia de rubro: </w:t>
      </w:r>
      <w:r w:rsidDel="00000000" w:rsidR="00000000" w:rsidRPr="00000000">
        <w:rPr>
          <w:rFonts w:ascii="Palatino Linotype" w:cs="Palatino Linotype" w:eastAsia="Palatino Linotype" w:hAnsi="Palatino Linotype"/>
          <w:b w:val="1"/>
          <w:rtl w:val="0"/>
        </w:rPr>
        <w:t xml:space="preserve">“INFORMACIÓN RESERVADA. EXCEPCIÓN A LA PROHIBICIÓN DE SU DIVULGACIÓN</w:t>
      </w:r>
      <w:r w:rsidDel="00000000" w:rsidR="00000000" w:rsidRPr="00000000">
        <w:rPr>
          <w:rFonts w:ascii="Palatino Linotype" w:cs="Palatino Linotype" w:eastAsia="Palatino Linotype" w:hAnsi="Palatino Linotype"/>
          <w:rtl w:val="0"/>
        </w:rPr>
        <w:t xml:space="preserve">”, de cuyo cuerpo, en el tema que interesa se precisa que: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r w:rsidDel="00000000" w:rsidR="00000000" w:rsidRPr="00000000">
        <w:rPr>
          <w:rFonts w:ascii="Palatino Linotype" w:cs="Palatino Linotype" w:eastAsia="Palatino Linotype" w:hAnsi="Palatino Linotype"/>
          <w:sz w:val="16"/>
          <w:szCs w:val="16"/>
          <w:rtl w:val="0"/>
        </w:rPr>
        <w:t xml:space="preserve">.”</w:t>
      </w:r>
      <w:r w:rsidDel="00000000" w:rsidR="00000000" w:rsidRPr="00000000">
        <w:rPr>
          <w:rFonts w:ascii="Palatino Linotype" w:cs="Palatino Linotype" w:eastAsia="Palatino Linotype" w:hAnsi="Palatino Linotype"/>
          <w:sz w:val="16"/>
          <w:szCs w:val="16"/>
          <w:vertAlign w:val="superscript"/>
        </w:rPr>
        <w:footnoteReference w:customMarkFollows="0" w:id="3"/>
      </w:r>
      <w:r w:rsidDel="00000000" w:rsidR="00000000" w:rsidRPr="00000000">
        <w:rPr>
          <w:rtl w:val="0"/>
        </w:rPr>
      </w:r>
    </w:p>
    <w:p w:rsidR="00000000" w:rsidDel="00000000" w:rsidP="00000000" w:rsidRDefault="00000000" w:rsidRPr="00000000" w14:paraId="0000013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puede desprender que la restricción para acceder a la información relacionada con expedientes administrativos que no hayan causado estado, no puede considerarse como una regla absoluta. Debe hacerse una excepción a esta regla privilegiando la transparencia y difusión de la información respectiva cuando su difusión producirá mayores beneficios para la sociedad que los daños que pudieran provocarse con su divulgación.</w:t>
      </w:r>
    </w:p>
    <w:p w:rsidR="00000000" w:rsidDel="00000000" w:rsidP="00000000" w:rsidRDefault="00000000" w:rsidRPr="00000000" w14:paraId="0000013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Tercera cuestión: </w:t>
      </w:r>
      <w:r w:rsidDel="00000000" w:rsidR="00000000" w:rsidRPr="00000000">
        <w:rPr>
          <w:rFonts w:ascii="Palatino Linotype" w:cs="Palatino Linotype" w:eastAsia="Palatino Linotype" w:hAnsi="Palatino Linotype"/>
          <w:i w:val="1"/>
          <w:rtl w:val="0"/>
        </w:rPr>
        <w:t xml:space="preserve">¿El interés público que envuelve el expediente referido resulta suficiente para restringir la necesidad de clasificar la información como reservada?</w:t>
      </w:r>
      <w:r w:rsidDel="00000000" w:rsidR="00000000" w:rsidRPr="00000000">
        <w:rPr>
          <w:rtl w:val="0"/>
        </w:rPr>
      </w:r>
    </w:p>
    <w:p w:rsidR="00000000" w:rsidDel="00000000" w:rsidP="00000000" w:rsidRDefault="00000000" w:rsidRPr="00000000" w14:paraId="00000138">
      <w:pPr>
        <w:spacing w:after="240" w:before="240" w:line="360" w:lineRule="auto"/>
        <w:ind w:right="51"/>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rtl w:val="0"/>
        </w:rPr>
        <w:t xml:space="preserve">Entonces al hablar de una valoración de los beneficios o perjuicios de la divulgación señalada, debe fundarse en las consecuencias concretas que, potencialmente, resulten de la publicidad de la información, se deberá ponderar si la publicidad de la información tiene una trascendencia social y poder ser catalogada como información de interés público.</w:t>
      </w:r>
      <w:r w:rsidDel="00000000" w:rsidR="00000000" w:rsidRPr="00000000">
        <w:rPr>
          <w:rtl w:val="0"/>
        </w:rPr>
        <w:t xml:space="preserve"> </w:t>
      </w:r>
      <w:r w:rsidDel="00000000" w:rsidR="00000000" w:rsidRPr="00000000">
        <w:rPr>
          <w:sz w:val="16"/>
          <w:szCs w:val="16"/>
          <w:vertAlign w:val="superscript"/>
        </w:rPr>
        <w:footnoteReference w:customMarkFollows="0" w:id="4"/>
      </w:r>
      <w:r w:rsidDel="00000000" w:rsidR="00000000" w:rsidRPr="00000000">
        <w:rPr>
          <w:rtl w:val="0"/>
        </w:rPr>
      </w:r>
    </w:p>
    <w:p w:rsidR="00000000" w:rsidDel="00000000" w:rsidP="00000000" w:rsidRDefault="00000000" w:rsidRPr="00000000" w14:paraId="0000013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este Instituto considera procedente efectuar una prueba de interés público ante la colisión de derechos que se plantea en el presente recurso de revisión, por una parte: i) el derecho aducido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consistente en el derecho a la secrecía del expediente en virtud de no haber causado estado, frente al derecho ejercido por el particular consiéntete en el Derecho de Acceso a la Información Pública. Lo anterior, conforme a lo que mandata la Ley General de Transparencia y Acceso a la Información Pública, la cual en su artículo 149 refiere la posibilidad, tratándose de colisión de derechos, la solución bajo el principio de proporcionalidad en observancia a las gradas de: idoneidad, necesidad y proporcionalidad (premisa que es replicada en el artículo 184 de la ley local en la materia), tal y como se precisa:  </w:t>
      </w:r>
    </w:p>
    <w:p w:rsidR="00000000" w:rsidDel="00000000" w:rsidP="00000000" w:rsidRDefault="00000000" w:rsidRPr="00000000" w14:paraId="000001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organismo garante, al resolver el recurso de revisión, deberá aplicar una prueba de interés público con base en elementos de idoneidad, necesidad y proporcionalidad, cuando exista una colisión de derechos.” (Sic)</w:t>
      </w:r>
    </w:p>
    <w:p w:rsidR="00000000" w:rsidDel="00000000" w:rsidP="00000000" w:rsidRDefault="00000000" w:rsidRPr="00000000" w14:paraId="0000013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estos efectos, se entenderá por:</w:t>
      </w:r>
    </w:p>
    <w:p w:rsidR="00000000" w:rsidDel="00000000" w:rsidP="00000000" w:rsidRDefault="00000000" w:rsidRPr="00000000" w14:paraId="0000013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Idoneidad:</w:t>
      </w:r>
      <w:r w:rsidDel="00000000" w:rsidR="00000000" w:rsidRPr="00000000">
        <w:rPr>
          <w:rFonts w:ascii="Palatino Linotype" w:cs="Palatino Linotype" w:eastAsia="Palatino Linotype" w:hAnsi="Palatino Linotype"/>
          <w:i w:val="1"/>
          <w:sz w:val="22"/>
          <w:szCs w:val="22"/>
          <w:rtl w:val="0"/>
        </w:rPr>
        <w:t xml:space="preserve"> La legitimidad del derecho adoptado como preferente, que sea el adecuado para el logro de un fin constitucionalmente válido o apto para conseguir el fin pretendido;</w:t>
      </w:r>
    </w:p>
    <w:p w:rsidR="00000000" w:rsidDel="00000000" w:rsidP="00000000" w:rsidRDefault="00000000" w:rsidRPr="00000000" w14:paraId="000001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Necesidad:</w:t>
      </w:r>
      <w:r w:rsidDel="00000000" w:rsidR="00000000" w:rsidRPr="00000000">
        <w:rPr>
          <w:rFonts w:ascii="Palatino Linotype" w:cs="Palatino Linotype" w:eastAsia="Palatino Linotype" w:hAnsi="Palatino Linotype"/>
          <w:i w:val="1"/>
          <w:sz w:val="22"/>
          <w:szCs w:val="22"/>
          <w:rtl w:val="0"/>
        </w:rPr>
        <w:t xml:space="preserve"> La falta de un medio alternativo menos lesivo a la apertura de la información, para satisfacer el interés público, y </w:t>
      </w:r>
    </w:p>
    <w:p w:rsidR="00000000" w:rsidDel="00000000" w:rsidP="00000000" w:rsidRDefault="00000000" w:rsidRPr="00000000" w14:paraId="0000013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Proporcionalidad</w:t>
      </w:r>
      <w:r w:rsidDel="00000000" w:rsidR="00000000" w:rsidRPr="00000000">
        <w:rPr>
          <w:rFonts w:ascii="Palatino Linotype" w:cs="Palatino Linotype" w:eastAsia="Palatino Linotype" w:hAnsi="Palatino Linotype"/>
          <w:i w:val="1"/>
          <w:sz w:val="22"/>
          <w:szCs w:val="22"/>
          <w:rtl w:val="0"/>
        </w:rPr>
        <w:t xml:space="preserve">: El equilibrio entre perjuicio y beneficio a favor del interés público, a fin de que la decisión tomada represente un beneficio mayor al perjuicio que podría causar a la población.”</w:t>
      </w:r>
    </w:p>
    <w:p w:rsidR="00000000" w:rsidDel="00000000" w:rsidP="00000000" w:rsidRDefault="00000000" w:rsidRPr="00000000" w14:paraId="0000013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utilizando lo precisado en la parte inicial de este apartado, el contenido de ciertos derechos fundamentales no puede ser absoluto, y la colisión entre derechos fundamentales no puede resolverse apelando a reglas de prioridad entre normas, </w:t>
      </w:r>
      <w:r w:rsidDel="00000000" w:rsidR="00000000" w:rsidRPr="00000000">
        <w:rPr>
          <w:rFonts w:ascii="Palatino Linotype" w:cs="Palatino Linotype" w:eastAsia="Palatino Linotype" w:hAnsi="Palatino Linotype"/>
          <w:b w:val="1"/>
          <w:i w:val="1"/>
          <w:rtl w:val="0"/>
        </w:rPr>
        <w:t xml:space="preserve">sino mediante una ponderación que determine el derecho que ha de prevalecer</w:t>
      </w:r>
      <w:r w:rsidDel="00000000" w:rsidR="00000000" w:rsidRPr="00000000">
        <w:rPr>
          <w:rFonts w:ascii="Palatino Linotype" w:cs="Palatino Linotype" w:eastAsia="Palatino Linotype" w:hAnsi="Palatino Linotype"/>
          <w:rtl w:val="0"/>
        </w:rPr>
        <w:t xml:space="preserve"> en el caso concreto, esto conforme la doctrina de</w:t>
      </w:r>
      <w:r w:rsidDel="00000000" w:rsidR="00000000" w:rsidRPr="00000000">
        <w:rPr>
          <w:rFonts w:ascii="Palatino Linotype" w:cs="Palatino Linotype" w:eastAsia="Palatino Linotype" w:hAnsi="Palatino Linotype"/>
          <w:b w:val="1"/>
          <w:rtl w:val="0"/>
        </w:rPr>
        <w:t xml:space="preserve"> Riccardnao Guastini al señalar que “</w:t>
      </w:r>
      <w:r w:rsidDel="00000000" w:rsidR="00000000" w:rsidRPr="00000000">
        <w:rPr>
          <w:rFonts w:ascii="Palatino Linotype" w:cs="Palatino Linotype" w:eastAsia="Palatino Linotype" w:hAnsi="Palatino Linotype"/>
          <w:i w:val="1"/>
          <w:rtl w:val="0"/>
        </w:rPr>
        <w:t xml:space="preserve">La ponderación, por tanto, no es una “conciliación</w:t>
      </w:r>
      <w:r w:rsidDel="00000000" w:rsidR="00000000" w:rsidRPr="00000000">
        <w:rPr>
          <w:rFonts w:ascii="Palatino Linotype" w:cs="Palatino Linotype" w:eastAsia="Palatino Linotype" w:hAnsi="Palatino Linotype"/>
          <w:rtl w:val="0"/>
        </w:rPr>
        <w:t xml:space="preserve">”. No consiste en “</w:t>
      </w:r>
      <w:r w:rsidDel="00000000" w:rsidR="00000000" w:rsidRPr="00000000">
        <w:rPr>
          <w:rFonts w:ascii="Palatino Linotype" w:cs="Palatino Linotype" w:eastAsia="Palatino Linotype" w:hAnsi="Palatino Linotype"/>
          <w:i w:val="1"/>
          <w:rtl w:val="0"/>
        </w:rPr>
        <w:t xml:space="preserve">poner de acuerdo</w:t>
      </w:r>
      <w:r w:rsidDel="00000000" w:rsidR="00000000" w:rsidRPr="00000000">
        <w:rPr>
          <w:rFonts w:ascii="Palatino Linotype" w:cs="Palatino Linotype" w:eastAsia="Palatino Linotype" w:hAnsi="Palatino Linotype"/>
          <w:rtl w:val="0"/>
        </w:rPr>
        <w:t xml:space="preserve">” los dos principios en conflicto, o en encontrar un punto de “equilibrio” entre ellos. No consiste en la aplicación o en el sacrificio parcial de dos principios. </w:t>
      </w:r>
      <w:r w:rsidDel="00000000" w:rsidR="00000000" w:rsidRPr="00000000">
        <w:rPr>
          <w:rFonts w:ascii="Palatino Linotype" w:cs="Palatino Linotype" w:eastAsia="Palatino Linotype" w:hAnsi="Palatino Linotype"/>
          <w:b w:val="1"/>
          <w:i w:val="1"/>
          <w:rtl w:val="0"/>
        </w:rPr>
        <w:t xml:space="preserve">Uno de los dos principios es aplicado, el otro es ciertamente acantonado.”</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tl w:val="0"/>
        </w:rPr>
      </w:r>
    </w:p>
    <w:p w:rsidR="00000000" w:rsidDel="00000000" w:rsidP="00000000" w:rsidRDefault="00000000" w:rsidRPr="00000000" w14:paraId="0000014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 la metodología de ponderación de derechos, es necesario citar el siguiente criterio del Poder Judicial de la Federación, en el que se dispone lo siguiente: </w:t>
      </w:r>
    </w:p>
    <w:p w:rsidR="00000000" w:rsidDel="00000000" w:rsidP="00000000" w:rsidRDefault="00000000" w:rsidRPr="00000000" w14:paraId="000001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“Época Novena Época  </w:t>
      </w:r>
    </w:p>
    <w:p w:rsidR="00000000" w:rsidDel="00000000" w:rsidP="00000000" w:rsidRDefault="00000000" w:rsidRPr="00000000" w14:paraId="0000014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Registro 174338 </w:t>
      </w:r>
    </w:p>
    <w:p w:rsidR="00000000" w:rsidDel="00000000" w:rsidP="00000000" w:rsidRDefault="00000000" w:rsidRPr="00000000" w14:paraId="0000014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Instancia Tribunales Colegiados de Circuito</w:t>
      </w:r>
    </w:p>
    <w:p w:rsidR="00000000" w:rsidDel="00000000" w:rsidP="00000000" w:rsidRDefault="00000000" w:rsidRPr="00000000" w14:paraId="000001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Tipo de Tesis: Aislada </w:t>
      </w:r>
    </w:p>
    <w:p w:rsidR="00000000" w:rsidDel="00000000" w:rsidP="00000000" w:rsidRDefault="00000000" w:rsidRPr="00000000" w14:paraId="000001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Fuente Semanario Judicial de la Federación y su Gaceta </w:t>
      </w:r>
    </w:p>
    <w:p w:rsidR="00000000" w:rsidDel="00000000" w:rsidP="00000000" w:rsidRDefault="00000000" w:rsidRPr="00000000" w14:paraId="0000014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Tomo XXIV. Agosto</w:t>
      </w:r>
    </w:p>
    <w:p w:rsidR="00000000" w:rsidDel="00000000" w:rsidP="00000000" w:rsidRDefault="00000000" w:rsidRPr="00000000" w14:paraId="0000014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SUSPENSIÓN EN EL AMPARO. CONFORME A LA TEORÍA DE PONDERACIÓN DE PRINCIPIOS DEBE NEGARSE SI EL INTERÉS SOCIAL CONSTITUCIONALMENTE TUTELADO ES PREFERENTE AL DEL PARTICULAR</w:t>
      </w:r>
      <w:r w:rsidDel="00000000" w:rsidR="00000000" w:rsidRPr="00000000">
        <w:rPr>
          <w:rFonts w:ascii="Palatino Linotype" w:cs="Palatino Linotype" w:eastAsia="Palatino Linotype" w:hAnsi="Palatino Linotype"/>
          <w:i w:val="1"/>
          <w:sz w:val="22"/>
          <w:szCs w:val="22"/>
          <w:rtl w:val="0"/>
        </w:rPr>
        <w:t xml:space="preserve">. Cuando dos derechos fundamentales entran en colisión, se debe resolver el problema atendiendo a las características y naturaleza del caso concreto, conforme al criterio de proporcionalidad, ponderando los elementos o subprincipios siguientes: a) idoneidad, la cual es la legitimidad constitucional del principio adoptado como preferente, por resultar ser el adecuado para el logro de un fin constitucionalmente válido o apto para conseguir el objetivo pretendido; b) necesidad,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c) el mandato de proporcionalidad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 (Sic)</w:t>
      </w:r>
    </w:p>
    <w:p w:rsidR="00000000" w:rsidDel="00000000" w:rsidP="00000000" w:rsidRDefault="00000000" w:rsidRPr="00000000" w14:paraId="0000014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que se desprende que, cuando dos derechos fundamentales entran en colisión debe resolverse el problema atendiendo a las características y naturaleza del caso concreto, conforme al criterio de</w:t>
      </w:r>
      <w:r w:rsidDel="00000000" w:rsidR="00000000" w:rsidRPr="00000000">
        <w:rPr>
          <w:rFonts w:ascii="Palatino Linotype" w:cs="Palatino Linotype" w:eastAsia="Palatino Linotype" w:hAnsi="Palatino Linotype"/>
          <w:b w:val="1"/>
          <w:u w:val="single"/>
          <w:rtl w:val="0"/>
        </w:rPr>
        <w:t xml:space="preserve"> proporcionalidad, ponderando los elementos o subprincipios siguientes: a) Idoneidad. b) necesidad y c) proporcionalidad:</w:t>
      </w:r>
      <w:r w:rsidDel="00000000" w:rsidR="00000000" w:rsidRPr="00000000">
        <w:rPr>
          <w:rtl w:val="0"/>
        </w:rPr>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spacing w:after="280" w:before="28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Análisis en el caso en concreto de la primera grada de la ponderación: Idoneidad. </w:t>
      </w:r>
    </w:p>
    <w:p w:rsidR="00000000" w:rsidDel="00000000" w:rsidP="00000000" w:rsidRDefault="00000000" w:rsidRPr="00000000" w14:paraId="0000014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recordar que, sin la intensión de entrar en materia de los derechos que involucran el procedimiento que únicamente compete a la Comisión de Límites del Gobierno del Estado de México, esta autoridad se abocara a la publicidad del expediente por motivo de la existencia de un interés social que motiva y obliga hacerla del dominio público.</w:t>
      </w:r>
    </w:p>
    <w:p w:rsidR="00000000" w:rsidDel="00000000" w:rsidP="00000000" w:rsidRDefault="00000000" w:rsidRPr="00000000" w14:paraId="0000014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puntualizado lo anterior, la presente solicitud de acceso a la información para este Organismo Garante del Derecho de Acceso a la Información evidencia el ejercicio del derecho de acceso a la información, en contraposición al derecho de sigilo que deben guardar los expedientes que se generan a raíz del procedimiento para la solución de diferendos limítrofes intermunicipales cuando aún no ha quedado firme o no haya concluido. </w:t>
      </w:r>
    </w:p>
    <w:p w:rsidR="00000000" w:rsidDel="00000000" w:rsidP="00000000" w:rsidRDefault="00000000" w:rsidRPr="00000000" w14:paraId="0000014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el municipio de Lerma, en atención a los siguientes argumentos: </w:t>
      </w:r>
    </w:p>
    <w:p w:rsidR="00000000" w:rsidDel="00000000" w:rsidP="00000000" w:rsidRDefault="00000000" w:rsidRPr="00000000" w14:paraId="0000014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Primero, es precedente la publicidad del referido expediente en atención a la proyección pública de las partes, ya que de acuerdo al artículo 115 de la Constitución Política de los Estados Unidos Mexicanos, define al municipio como:</w:t>
      </w:r>
    </w:p>
    <w:p w:rsidR="00000000" w:rsidDel="00000000" w:rsidP="00000000" w:rsidRDefault="00000000" w:rsidRPr="00000000" w14:paraId="0000014E">
      <w:pPr>
        <w:spacing w:after="280" w:before="28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115</w:t>
      </w:r>
      <w:r w:rsidDel="00000000" w:rsidR="00000000" w:rsidRPr="00000000">
        <w:rPr>
          <w:rFonts w:ascii="Palatino Linotype" w:cs="Palatino Linotype" w:eastAsia="Palatino Linotype" w:hAnsi="Palatino Linotype"/>
          <w:i w:val="1"/>
          <w:sz w:val="22"/>
          <w:szCs w:val="22"/>
          <w:rtl w:val="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00000" w:rsidDel="00000000" w:rsidP="00000000" w:rsidRDefault="00000000" w:rsidRPr="00000000" w14:paraId="0000014F">
      <w:pPr>
        <w:spacing w:after="280" w:before="28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Cada Municipio será gobernado por un Ayuntamiento de elección popular directa, integrado por un Presidente o Presidenta Municipal y el número de regidurías y sindicaturas que la ley determine, de conformidad con el principio de paridad.</w:t>
      </w:r>
      <w:r w:rsidDel="00000000" w:rsidR="00000000" w:rsidRPr="00000000">
        <w:rPr>
          <w:rtl w:val="0"/>
        </w:rPr>
      </w:r>
    </w:p>
    <w:p w:rsidR="00000000" w:rsidDel="00000000" w:rsidP="00000000" w:rsidRDefault="00000000" w:rsidRPr="00000000" w14:paraId="00000150">
      <w:pPr>
        <w:spacing w:after="280" w:before="28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La competencia que esta Constitución otorga al gobierno municipal se ejercerá por el Ayuntamiento de manera exclusiva y no habrá autoridad intermedia alguna entre éste y el gobierno del Estado. </w:t>
      </w:r>
    </w:p>
    <w:p w:rsidR="00000000" w:rsidDel="00000000" w:rsidP="00000000" w:rsidRDefault="00000000" w:rsidRPr="00000000" w14:paraId="00000151">
      <w:pPr>
        <w:spacing w:after="280" w:before="28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2">
      <w:pPr>
        <w:spacing w:before="280" w:lineRule="auto"/>
        <w:ind w:left="113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postulación sólo podrá ser realizada por el mismo partido o por cualquiera de los partidos integrantes de la coalición que lo hubieren postulado, salvo que hayan renunciado o perdido su militancia antes de la mitad de su mandato. </w:t>
      </w:r>
    </w:p>
    <w:p w:rsidR="00000000" w:rsidDel="00000000" w:rsidP="00000000" w:rsidRDefault="00000000" w:rsidRPr="00000000" w14:paraId="00000153">
      <w:pPr>
        <w:ind w:left="113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4">
      <w:pPr>
        <w:ind w:left="113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000000" w:rsidDel="00000000" w:rsidP="00000000" w:rsidRDefault="00000000" w:rsidRPr="00000000" w14:paraId="00000155">
      <w:pPr>
        <w:ind w:left="113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objeto de las leyes a que se refiere el párrafo anterior será establecer: </w:t>
      </w:r>
    </w:p>
    <w:p w:rsidR="00000000" w:rsidDel="00000000" w:rsidP="00000000" w:rsidRDefault="00000000" w:rsidRPr="00000000" w14:paraId="00000156">
      <w:pPr>
        <w:ind w:left="1418"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robustece con lo señalado por el artículo 1 de la Ley Municipal del Estado de México, que señala:</w:t>
      </w:r>
    </w:p>
    <w:p w:rsidR="00000000" w:rsidDel="00000000" w:rsidP="00000000" w:rsidRDefault="00000000" w:rsidRPr="00000000" w14:paraId="000001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after="280" w:lineRule="auto"/>
        <w:ind w:left="993"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Esta Ley es de interés público y tiene por objeto regular las bases para la integración y organización del territorio, la población, el gobierno y la administración pública municipales. </w:t>
      </w:r>
    </w:p>
    <w:p w:rsidR="00000000" w:rsidDel="00000000" w:rsidP="00000000" w:rsidRDefault="00000000" w:rsidRPr="00000000" w14:paraId="0000015B">
      <w:pPr>
        <w:spacing w:after="280" w:before="280" w:lineRule="auto"/>
        <w:ind w:left="993"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(sic)</w:t>
      </w:r>
    </w:p>
    <w:p w:rsidR="00000000" w:rsidDel="00000000" w:rsidP="00000000" w:rsidRDefault="00000000" w:rsidRPr="00000000" w14:paraId="0000015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precisa la existencia de elementos objetivos que permiten demostrar la relevancia del asunto por virtud de tratarse de municipios que son conocidos por todos, es decir, son entes públicos ya que su esencia es realizar actividades de interés público.</w:t>
      </w:r>
    </w:p>
    <w:p w:rsidR="00000000" w:rsidDel="00000000" w:rsidP="00000000" w:rsidRDefault="00000000" w:rsidRPr="00000000" w14:paraId="0000015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la única forma que tiene la ciudadanía en general de constatar el buen funcionamiento y actuar de la Comisión de Límites del Gobierno del Estado de México como del Ayuntamiento de Cuautitlán Izcalli, es accediendo a esta actuación de dicha autoridad mediante el derecho de acceso a la información pública, lo que le permitirá valorar el desempeño y actuar en el expediente que contiene relacionado con los conflictos por límites territoriales del municipio de Cuautitlán Izcalli con el municipio de Teoloyucan, al verse involucrados entes públicos. </w:t>
      </w:r>
    </w:p>
    <w:p w:rsidR="00000000" w:rsidDel="00000000" w:rsidP="00000000" w:rsidRDefault="00000000" w:rsidRPr="00000000" w14:paraId="0000015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este panorama, es que se considera que existe un inminente interés público de conocer los documentos relacionados con el conflicto por límites territoriales del municipio de Cuautitlán Izcalli con el municipio de Teoloyucan, pues el permitir el acceso a la misma fomentaría la transparencia de las actividades de la Comisión de Límites del Gobierno del Estado de México como del Ayuntamiento de Cuautitlán Izcalli,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w:t>
      </w:r>
    </w:p>
    <w:p w:rsidR="00000000" w:rsidDel="00000000" w:rsidP="00000000" w:rsidRDefault="00000000" w:rsidRPr="00000000" w14:paraId="0000015F">
      <w:pPr>
        <w:spacing w:after="280" w:before="28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caso de mérito.</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60">
      <w:pPr>
        <w:numPr>
          <w:ilvl w:val="0"/>
          <w:numId w:val="2"/>
        </w:numPr>
        <w:pBdr>
          <w:top w:space="0" w:sz="0" w:val="nil"/>
          <w:left w:space="0" w:sz="0" w:val="nil"/>
          <w:bottom w:space="0" w:sz="0" w:val="nil"/>
          <w:right w:space="0" w:sz="0" w:val="nil"/>
          <w:between w:space="0" w:sz="0" w:val="nil"/>
        </w:pBdr>
        <w:spacing w:after="280" w:before="28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Análisis de la segunda grada de la ponderación: Necesidad. </w:t>
      </w:r>
    </w:p>
    <w:p w:rsidR="00000000" w:rsidDel="00000000" w:rsidP="00000000" w:rsidRDefault="00000000" w:rsidRPr="00000000" w14:paraId="0000016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Nuestra carta magna, así como diversos ordenamientos reconocen los principios bajo los cuales deben regirse los procedimientos administrativos, como lo es el principio de publicidad que implica el deber del dictaminador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w:t>
      </w:r>
    </w:p>
    <w:p w:rsidR="00000000" w:rsidDel="00000000" w:rsidP="00000000" w:rsidRDefault="00000000" w:rsidRPr="00000000" w14:paraId="0000016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la  Corte Interamericana de Derechos Humanos al resolver el </w:t>
      </w:r>
      <w:r w:rsidDel="00000000" w:rsidR="00000000" w:rsidRPr="00000000">
        <w:rPr>
          <w:rFonts w:ascii="Palatino Linotype" w:cs="Palatino Linotype" w:eastAsia="Palatino Linotype" w:hAnsi="Palatino Linotype"/>
          <w:i w:val="1"/>
          <w:rtl w:val="0"/>
        </w:rPr>
        <w:t xml:space="preserve">Caso Claude Reyes y otros vs. Chile</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Fonts w:ascii="Palatino Linotype" w:cs="Palatino Linotype" w:eastAsia="Palatino Linotype" w:hAnsi="Palatino Linotype"/>
          <w:rtl w:val="0"/>
        </w:rPr>
        <w:t xml:space="preserve">,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rsidR="00000000" w:rsidDel="00000000" w:rsidP="00000000" w:rsidRDefault="00000000" w:rsidRPr="00000000" w14:paraId="0000016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w:t>
      </w:r>
      <w:r w:rsidDel="00000000" w:rsidR="00000000" w:rsidRPr="00000000">
        <w:rPr>
          <w:rFonts w:ascii="Palatino Linotype" w:cs="Palatino Linotype" w:eastAsia="Palatino Linotype" w:hAnsi="Palatino Linotype"/>
          <w:b w:val="1"/>
          <w:rtl w:val="0"/>
        </w:rPr>
        <w:t xml:space="preserve">es necesario para evitar abusos de los funcionarios gubernamentales, promover la rendición de cuentas y la transparencia dentro del Estado y permitir un debate público sólido e informado para asegurar la garantía de contar con recursos efectivos contra tales abusos.</w:t>
      </w:r>
      <w:r w:rsidDel="00000000" w:rsidR="00000000" w:rsidRPr="00000000">
        <w:rPr>
          <w:rtl w:val="0"/>
        </w:rPr>
      </w:r>
    </w:p>
    <w:p w:rsidR="00000000" w:rsidDel="00000000" w:rsidP="00000000" w:rsidRDefault="00000000" w:rsidRPr="00000000" w14:paraId="0000016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este Instituto observa que también se actualiza el principio de necesidad, ya que no existe un medio menos oneroso para lograr el fin constitucionalmente válido, en tanto que el ejercicio del derecho de acceso a la información es la única vía para que cualquier persona acceda al multireferido expediente.</w:t>
      </w:r>
    </w:p>
    <w:p w:rsidR="00000000" w:rsidDel="00000000" w:rsidP="00000000" w:rsidRDefault="00000000" w:rsidRPr="00000000" w14:paraId="0000016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necesidad de hacer pública el multicitado expediente deriva de la trascendencia social al involucrar entes públicos como quedó demostrado.</w:t>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spacing w:after="280" w:before="28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análisis de la tercera grada de la ponderación: Proporcionalidad</w:t>
      </w:r>
    </w:p>
    <w:p w:rsidR="00000000" w:rsidDel="00000000" w:rsidP="00000000" w:rsidRDefault="00000000" w:rsidRPr="00000000" w14:paraId="0000016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w:t>
      </w:r>
    </w:p>
    <w:p w:rsidR="00000000" w:rsidDel="00000000" w:rsidP="00000000" w:rsidRDefault="00000000" w:rsidRPr="00000000" w14:paraId="000001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es posible advertir un margen de beneficio mayor al favorecer el derecho de acceso a la información, respecto de la secrecía al expediente que contiene el conflicto de límites territoriales multicitado, pues favorece la rendición de cuentas a los ciudadanos, de manera que puedan valorar el desempeño del Ayuntamiento de Cuautitlán Izcalli como de la Comisión de Límites del Gobierno del Estado de México y fortalece el escrutinio ciudadano sobre sus actividades sustantivas.</w:t>
      </w:r>
    </w:p>
    <w:p w:rsidR="00000000" w:rsidDel="00000000" w:rsidP="00000000" w:rsidRDefault="00000000" w:rsidRPr="00000000" w14:paraId="000001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la intervención que subsume este ejercicio de ponderación apunta a la obtención de mayores efectos positivos para la sociedad y una afectación menor en el bien Jurídico de secrecía al expediente tomada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favoreciendo el control ciudadano. </w:t>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si  bien la  información  requerida  es  considerada  como  de  acceso restringido, ya  que encuadra en alguna de  las excepciones  a  la  publicidad  de  la información  establecida  en  la  Ley   General   de  Transparencia  y  Acceso   a  la Información Pública, replicada en el artículo 140 de la ley local, al tratarse de información relacionada con motivos de interés público, es que procede publicidad, pues su difusión contribuirá tanto a garantizar el ejercicio de acceso a la información, como a favorecer la rendición de cuentas a los  ciudadanos,  de  manera  que  puedan valorar el desempeño del Ayuntamiento de Cuautitlán Izcalli como de la Comisión de Límites del Gobierno del Estado de México, fortaleciendo el escrutinio ciudadano sobre sus actividades sustantivas, cumpliendo así con los ideales planteados en los  objetivos previstos en el artículo 2 de la Ley de Transparencia y Acceso a la información Pública del estado de México y Municipios. </w:t>
      </w:r>
    </w:p>
    <w:p w:rsidR="00000000" w:rsidDel="00000000" w:rsidP="00000000" w:rsidRDefault="00000000" w:rsidRPr="00000000" w14:paraId="000001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 cuales resulta improcedente acreditar la información en carácter de reservada en el presente caso en particular, por los motivos y fundamentos expuestos en el presente considerando; por consiguiente, lo dable es ordenar a entrega de los documentos públicos y anexos de la controversia de límites territoriales de Cuautitlán Izcalli con el municipio de Teoloyucan, en versión pública de ser procedente conforme al considerando siguiente.</w:t>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no escapa de la óptica de este Organismo Garante que de conformidad con el artículo 6 de la Ley Reglamentaria de las Fracciones XXV y XXVI del Artículo 61 de la Constitución Política del Estado Libre y Soberano de México, en la substanciación de los procedimientos que establece dicha ley, los municipios serán representados por las personas titulares de la Presidencia Municipal y la Sindicatura del Ayuntamiento correspondiente, sin que puedan delegar dicha representación, como se lee enseguida:</w:t>
      </w:r>
    </w:p>
    <w:p w:rsidR="00000000" w:rsidDel="00000000" w:rsidP="00000000" w:rsidRDefault="00000000" w:rsidRPr="00000000" w14:paraId="0000016D">
      <w:pPr>
        <w:spacing w:after="120" w:before="120" w:lineRule="auto"/>
        <w:ind w:left="851" w:right="902"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En la substanciación de los procedimientos que establece esta ley, los municipios serán representados por las personas titulares de la Presidencia Municipal y la Sindicatura del Ayuntamiento correspondiente, </w:t>
      </w:r>
      <w:r w:rsidDel="00000000" w:rsidR="00000000" w:rsidRPr="00000000">
        <w:rPr>
          <w:rFonts w:ascii="Palatino Linotype" w:cs="Palatino Linotype" w:eastAsia="Palatino Linotype" w:hAnsi="Palatino Linotype"/>
          <w:b w:val="1"/>
          <w:i w:val="1"/>
          <w:sz w:val="22"/>
          <w:szCs w:val="22"/>
          <w:u w:val="single"/>
          <w:rtl w:val="0"/>
        </w:rPr>
        <w:t xml:space="preserve">sin que puedan delegar esta representación.</w:t>
      </w:r>
      <w:r w:rsidDel="00000000" w:rsidR="00000000" w:rsidRPr="00000000">
        <w:rPr>
          <w:rFonts w:ascii="Palatino Linotype" w:cs="Palatino Linotype" w:eastAsia="Palatino Linotype" w:hAnsi="Palatino Linotype"/>
          <w:i w:val="1"/>
          <w:sz w:val="22"/>
          <w:szCs w:val="22"/>
          <w:u w:val="single"/>
          <w:rtl w:val="0"/>
        </w:rPr>
        <w:t xml:space="preserve"> </w:t>
      </w:r>
    </w:p>
    <w:p w:rsidR="00000000" w:rsidDel="00000000" w:rsidP="00000000" w:rsidRDefault="00000000" w:rsidRPr="00000000" w14:paraId="000001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procedimientos para la creación o supresión y fijación o precisión de los límites municipales se regirán bajo los principios de sencillez, celeridad, colaboración, publicidad, gratuidad y buena fe.”(Sic)</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presente caso no obra constancia de que la solicitud se hubiera turnado a dichas dependencias para su atención, por lo que se estima que el Sujeto Obligado deberá hacer de nuevo una búsqueda exhaustiva y razonable en términos del artículo 162 de la Ley de la Materia, a efecto de dar cumplimiento a la presente resolución.</w:t>
      </w:r>
    </w:p>
    <w:p w:rsidR="00000000" w:rsidDel="00000000" w:rsidP="00000000" w:rsidRDefault="00000000" w:rsidRPr="00000000" w14:paraId="0000017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7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7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7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7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7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7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7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8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8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8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8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8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8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8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8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2"/>
        <w:tblW w:w="8828.0" w:type="dxa"/>
        <w:jc w:val="left"/>
        <w:tblInd w:w="-113.0" w:type="dxa"/>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9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9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95">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96">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97">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98">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99">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9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A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A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A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A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B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B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B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B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B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B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B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B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B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B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B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C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C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C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C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C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C5">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6">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C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C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A">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C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CF">
      <w:pPr>
        <w:spacing w:after="240" w:before="240" w:line="360" w:lineRule="auto"/>
        <w:jc w:val="both"/>
        <w:rPr>
          <w:rFonts w:ascii="Palatino Linotype" w:cs="Palatino Linotype" w:eastAsia="Palatino Linotype" w:hAnsi="Palatino Linotype"/>
          <w:b w:val="1"/>
        </w:rPr>
      </w:pPr>
      <w:bookmarkStart w:colFirst="0" w:colLast="0" w:name="_heading=h.1fob9te"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13949/INFOEM/IP/RR/2022,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procedente, de lo siguiente:</w:t>
      </w:r>
    </w:p>
    <w:p w:rsidR="00000000" w:rsidDel="00000000" w:rsidP="00000000" w:rsidRDefault="00000000" w:rsidRPr="00000000" w14:paraId="000001D1">
      <w:pPr>
        <w:spacing w:after="240" w:before="240" w:line="360" w:lineRule="auto"/>
        <w:ind w:left="284" w:right="49" w:firstLine="0"/>
        <w:jc w:val="both"/>
        <w:rPr>
          <w:rFonts w:ascii="Palatino Linotype" w:cs="Palatino Linotype" w:eastAsia="Palatino Linotype" w:hAnsi="Palatino Linotype"/>
        </w:rPr>
      </w:pPr>
      <w:bookmarkStart w:colFirst="0" w:colLast="0" w:name="_heading=h.kelgs2428oa6" w:id="10"/>
      <w:bookmarkEnd w:id="10"/>
      <w:r w:rsidDel="00000000" w:rsidR="00000000" w:rsidRPr="00000000">
        <w:rPr>
          <w:rFonts w:ascii="Palatino Linotype" w:cs="Palatino Linotype" w:eastAsia="Palatino Linotype" w:hAnsi="Palatino Linotype"/>
          <w:rtl w:val="0"/>
        </w:rPr>
        <w:t xml:space="preserve">1. Documentos públicos donde conste la información relativa al diferendo limítrofe de los municipios de Cuautitlán Izcalli y Teoloyucan, así como los anexos del mismo.</w:t>
      </w:r>
    </w:p>
    <w:p w:rsidR="00000000" w:rsidDel="00000000" w:rsidP="00000000" w:rsidRDefault="00000000" w:rsidRPr="00000000" w14:paraId="000001D2">
      <w:pPr>
        <w:spacing w:after="240" w:before="240" w:lineRule="auto"/>
        <w:ind w:left="284" w:right="49" w:firstLine="0"/>
        <w:jc w:val="both"/>
        <w:rPr>
          <w:rFonts w:ascii="Palatino Linotype" w:cs="Palatino Linotype" w:eastAsia="Palatino Linotype" w:hAnsi="Palatino Linotype"/>
          <w:i w:val="1"/>
          <w:sz w:val="20"/>
          <w:szCs w:val="20"/>
        </w:rPr>
      </w:pPr>
      <w:bookmarkStart w:colFirst="0" w:colLast="0" w:name="_heading=h.gjdgxs" w:id="11"/>
      <w:bookmarkEnd w:id="11"/>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D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D6">
      <w:pPr>
        <w:spacing w:line="360" w:lineRule="auto"/>
        <w:jc w:val="both"/>
        <w:rPr>
          <w:rFonts w:ascii="Palatino Linotype" w:cs="Palatino Linotype" w:eastAsia="Palatino Linotype" w:hAnsi="Palatino Linotype"/>
        </w:rPr>
      </w:pPr>
      <w:bookmarkStart w:colFirst="0" w:colLast="0" w:name="_heading=h.4d34og8" w:id="12"/>
      <w:bookmarkEnd w:id="1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DE FEBRERO DE DOS MIL VEINTITRÉS, ANTE EL SECRETARIO TÉCNICO DEL PLENO ALEXIS TAPIA RAMÍREZ.</w:t>
      </w:r>
    </w:p>
    <w:p w:rsidR="00000000" w:rsidDel="00000000" w:rsidP="00000000" w:rsidRDefault="00000000" w:rsidRPr="00000000" w14:paraId="000001D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50989" cy="5590177"/>
                <wp:effectExtent b="0" l="0" r="0" t="0"/>
                <wp:wrapNone/>
                <wp:docPr id="95" name=""/>
                <a:graphic>
                  <a:graphicData uri="http://schemas.microsoft.com/office/word/2010/wordprocessingShape">
                    <wps:wsp>
                      <wps:cNvCnPr/>
                      <wps:spPr>
                        <a:xfrm>
                          <a:off x="2583206" y="997612"/>
                          <a:ext cx="5525589" cy="5564777"/>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50989" cy="5590177"/>
                <wp:effectExtent b="0" l="0" r="0" t="0"/>
                <wp:wrapNone/>
                <wp:docPr id="95"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5550989" cy="5590177"/>
                        </a:xfrm>
                        <a:prstGeom prst="rect"/>
                        <a:ln/>
                      </pic:spPr>
                    </pic:pic>
                  </a:graphicData>
                </a:graphic>
              </wp:anchor>
            </w:drawing>
          </mc:Fallback>
        </mc:AlternateContent>
      </w:r>
    </w:p>
    <w:p w:rsidR="00000000" w:rsidDel="00000000" w:rsidP="00000000" w:rsidRDefault="00000000" w:rsidRPr="00000000" w14:paraId="000001D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line="360" w:lineRule="auto"/>
        <w:jc w:val="both"/>
        <w:rPr>
          <w:rFonts w:ascii="Palatino Linotype" w:cs="Palatino Linotype" w:eastAsia="Palatino Linotype" w:hAnsi="Palatino Linotype"/>
        </w:rPr>
      </w:pPr>
      <w:bookmarkStart w:colFirst="0" w:colLast="0" w:name="_heading=h.3rdcrjn" w:id="13"/>
      <w:bookmarkEnd w:id="13"/>
      <w:r w:rsidDel="00000000" w:rsidR="00000000" w:rsidRPr="00000000">
        <w:rPr>
          <w:rtl w:val="0"/>
        </w:rPr>
      </w:r>
    </w:p>
    <w:p w:rsidR="00000000" w:rsidDel="00000000" w:rsidP="00000000" w:rsidRDefault="00000000" w:rsidRPr="00000000" w14:paraId="000001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5">
      <w:pPr>
        <w:spacing w:line="360" w:lineRule="auto"/>
        <w:jc w:val="both"/>
        <w:rPr>
          <w:rFonts w:ascii="Palatino Linotype" w:cs="Palatino Linotype" w:eastAsia="Palatino Linotype" w:hAnsi="Palatino Linotype"/>
        </w:rPr>
      </w:pPr>
      <w:bookmarkStart w:colFirst="0" w:colLast="0" w:name="_heading=h.1t3h5sf" w:id="14"/>
      <w:bookmarkEnd w:id="14"/>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7" w:type="default"/>
      <w:headerReference r:id="rId28" w:type="first"/>
      <w:footerReference r:id="rId29" w:type="default"/>
      <w:footerReference r:id="rId3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F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F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1F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Recibir, tramitar y dar respuesta a las solicitudes de acceso a la información;</w:t>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Realizar, con efectividad, los trámites internos necesarios para la atención de las solicitudes de acceso a la información;</w:t>
      </w:r>
    </w:p>
  </w:footnote>
  <w:footnote w:id="2">
    <w:p w:rsidR="00000000" w:rsidDel="00000000" w:rsidP="00000000" w:rsidRDefault="00000000" w:rsidRPr="00000000" w14:paraId="000001F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3">
    <w:p w:rsidR="00000000" w:rsidDel="00000000" w:rsidP="00000000" w:rsidRDefault="00000000" w:rsidRPr="00000000" w14:paraId="000001F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Visible en: </w:t>
      </w:r>
      <w:hyperlink r:id="rId19">
        <w:r w:rsidDel="00000000" w:rsidR="00000000" w:rsidRPr="00000000">
          <w:rPr>
            <w:rFonts w:ascii="Palatino Linotype" w:cs="Palatino Linotype" w:eastAsia="Palatino Linotype" w:hAnsi="Palatino Linotype"/>
            <w:i w:val="1"/>
            <w:color w:val="0000ff"/>
            <w:sz w:val="16"/>
            <w:szCs w:val="16"/>
            <w:u w:val="single"/>
            <w:rtl w:val="0"/>
          </w:rPr>
          <w:t xml:space="preserve">http://sjf.scjn.gob.mx/SJFSist/Documentos/Tesis/170/170722.pdf</w:t>
        </w:r>
      </w:hyperlink>
      <w:r w:rsidDel="00000000" w:rsidR="00000000" w:rsidRPr="00000000">
        <w:rPr>
          <w:rFonts w:ascii="Palatino Linotype" w:cs="Palatino Linotype" w:eastAsia="Palatino Linotype" w:hAnsi="Palatino Linotype"/>
          <w:color w:val="000000"/>
          <w:sz w:val="16"/>
          <w:szCs w:val="16"/>
          <w:rtl w:val="0"/>
        </w:rPr>
        <w:t xml:space="preserve">. Consultado en fecha 18 de marzo de 2019.</w:t>
      </w:r>
    </w:p>
  </w:footnote>
  <w:footnote w:id="4">
    <w:p w:rsidR="00000000" w:rsidDel="00000000" w:rsidP="00000000" w:rsidRDefault="00000000" w:rsidRPr="00000000" w14:paraId="000001F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respecto la fracd6n XII del artículo 3 de la ley General de Transparencia y Acceso a la Información Pública, define a la información de Interés público como:</w:t>
      </w:r>
    </w:p>
    <w:p w:rsidR="00000000" w:rsidDel="00000000" w:rsidP="00000000" w:rsidRDefault="00000000" w:rsidRPr="00000000" w14:paraId="000001F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w:t>
      </w:r>
    </w:p>
    <w:p w:rsidR="00000000" w:rsidDel="00000000" w:rsidP="00000000" w:rsidRDefault="00000000" w:rsidRPr="00000000" w14:paraId="000001F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w:t>
      </w:r>
    </w:p>
    <w:p w:rsidR="00000000" w:rsidDel="00000000" w:rsidP="00000000" w:rsidRDefault="00000000" w:rsidRPr="00000000" w14:paraId="000001F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bookmarkStart w:colFirst="0" w:colLast="0" w:name="_heading=h.lnxbz9" w:id="15"/>
      <w:bookmarkEnd w:id="15"/>
      <w:r w:rsidDel="00000000" w:rsidR="00000000" w:rsidRPr="00000000">
        <w:rPr>
          <w:rFonts w:ascii="Palatino Linotype" w:cs="Palatino Linotype" w:eastAsia="Palatino Linotype" w:hAnsi="Palatino Linotype"/>
          <w:b w:val="1"/>
          <w:color w:val="000000"/>
          <w:sz w:val="16"/>
          <w:szCs w:val="16"/>
          <w:rtl w:val="0"/>
        </w:rPr>
        <w:t xml:space="preserve">XII. Información de interés público: Se refiere a la información que resulta relevante o beneficiosa para la sociedad y no simplemente de interés individual</w:t>
      </w:r>
      <w:r w:rsidDel="00000000" w:rsidR="00000000" w:rsidRPr="00000000">
        <w:rPr>
          <w:rFonts w:ascii="Palatino Linotype" w:cs="Palatino Linotype" w:eastAsia="Palatino Linotype" w:hAnsi="Palatino Linotype"/>
          <w:color w:val="000000"/>
          <w:sz w:val="16"/>
          <w:szCs w:val="16"/>
          <w:rtl w:val="0"/>
        </w:rPr>
        <w:t xml:space="preserve">, cuya divulgación resulta útil para que el público comprenda las actividades que llevan a cabo los sujetos obligados;</w:t>
      </w:r>
    </w:p>
    <w:p w:rsidR="00000000" w:rsidDel="00000000" w:rsidP="00000000" w:rsidRDefault="00000000" w:rsidRPr="00000000" w14:paraId="000001F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w:t>
      </w:r>
    </w:p>
  </w:footnote>
  <w:footnote w:id="5">
    <w:p w:rsidR="00000000" w:rsidDel="00000000" w:rsidP="00000000" w:rsidRDefault="00000000" w:rsidRPr="00000000" w14:paraId="000001F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Michelle Zezza. LA RACIONALIDAD DE LA PONDERACIÓN JUDICIAL: ANÁLISIS DE LAS TEORÍAS DE ROBERT ALEXY Y RICCARDO GUASTINI” Universidad Carlos III de Madrid. 2006. Visible en: </w:t>
      </w:r>
      <w:hyperlink r:id="rId20">
        <w:r w:rsidDel="00000000" w:rsidR="00000000" w:rsidRPr="00000000">
          <w:rPr>
            <w:rFonts w:ascii="Palatino Linotype" w:cs="Palatino Linotype" w:eastAsia="Palatino Linotype" w:hAnsi="Palatino Linotype"/>
            <w:color w:val="0000ff"/>
            <w:sz w:val="16"/>
            <w:szCs w:val="16"/>
            <w:u w:val="single"/>
            <w:rtl w:val="0"/>
          </w:rPr>
          <w:t xml:space="preserve">https://e-archivo.uc3m.es/bitstream/handle/10016/26545/WF-18-03.pdf</w:t>
        </w:r>
      </w:hyperlink>
      <w:r w:rsidDel="00000000" w:rsidR="00000000" w:rsidRPr="00000000">
        <w:rPr>
          <w:rFonts w:ascii="Palatino Linotype" w:cs="Palatino Linotype" w:eastAsia="Palatino Linotype" w:hAnsi="Palatino Linotype"/>
          <w:color w:val="000000"/>
          <w:sz w:val="16"/>
          <w:szCs w:val="16"/>
          <w:rtl w:val="0"/>
        </w:rPr>
        <w:t xml:space="preserve">.</w:t>
      </w:r>
    </w:p>
    <w:p w:rsidR="00000000" w:rsidDel="00000000" w:rsidP="00000000" w:rsidRDefault="00000000" w:rsidRPr="00000000" w14:paraId="000001F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tl w:val="0"/>
        </w:rPr>
      </w:r>
    </w:p>
  </w:footnote>
  <w:footnote w:id="6">
    <w:p w:rsidR="00000000" w:rsidDel="00000000" w:rsidP="00000000" w:rsidRDefault="00000000" w:rsidRPr="00000000" w14:paraId="0000020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Sentencia de fecha 19 de septiembre de 2006.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-1166584</wp:posOffset>
          </wp:positionH>
          <wp:positionV relativeFrom="paragraph">
            <wp:posOffset>-262253</wp:posOffset>
          </wp:positionV>
          <wp:extent cx="7809865" cy="10165715"/>
          <wp:effectExtent b="0" l="0" r="0" t="0"/>
          <wp:wrapNone/>
          <wp:docPr id="9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7809865" cy="10165715"/>
                  </a:xfrm>
                  <a:prstGeom prst="rect"/>
                  <a:ln/>
                </pic:spPr>
              </pic:pic>
            </a:graphicData>
          </a:graphic>
        </wp:anchor>
      </w:drawing>
    </w:r>
  </w:p>
  <w:tbl>
    <w:tblPr>
      <w:tblStyle w:val="Table3"/>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0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0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13949/INFOEM/IP/RR/2022</w:t>
          </w:r>
        </w:p>
      </w:tc>
    </w:tr>
    <w:tr>
      <w:trPr>
        <w:cantSplit w:val="0"/>
        <w:trHeight w:val="130" w:hRule="atLeast"/>
        <w:tblHeader w:val="0"/>
      </w:trPr>
      <w:tc>
        <w:tcPr>
          <w:shd w:fill="auto" w:val="clear"/>
          <w:vAlign w:val="center"/>
        </w:tcPr>
        <w:p w:rsidR="00000000" w:rsidDel="00000000" w:rsidP="00000000" w:rsidRDefault="00000000" w:rsidRPr="00000000" w14:paraId="0000020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06">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20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0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w:t>
          </w:r>
        </w:p>
      </w:tc>
    </w:tr>
    <w:tr>
      <w:trPr>
        <w:cantSplit w:val="0"/>
        <w:tblHeader w:val="0"/>
      </w:trPr>
      <w:tc>
        <w:tcPr>
          <w:shd w:fill="auto" w:val="clear"/>
          <w:vAlign w:val="center"/>
        </w:tcPr>
        <w:p w:rsidR="00000000" w:rsidDel="00000000" w:rsidP="00000000" w:rsidRDefault="00000000" w:rsidRPr="00000000" w14:paraId="0000020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0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0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-1080120</wp:posOffset>
          </wp:positionH>
          <wp:positionV relativeFrom="paragraph">
            <wp:posOffset>-488298</wp:posOffset>
          </wp:positionV>
          <wp:extent cx="7809865" cy="10165715"/>
          <wp:effectExtent b="0" l="0" r="0" t="0"/>
          <wp:wrapNone/>
          <wp:docPr id="96"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0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13949/INFOEM/IP/RR/2022</w:t>
          </w:r>
        </w:p>
      </w:tc>
    </w:tr>
    <w:tr>
      <w:trPr>
        <w:cantSplit w:val="0"/>
        <w:trHeight w:val="228" w:hRule="atLeast"/>
        <w:tblHeader w:val="0"/>
      </w:trPr>
      <w:tc>
        <w:tcPr>
          <w:shd w:fill="auto" w:val="clear"/>
          <w:vAlign w:val="center"/>
        </w:tcPr>
        <w:p w:rsidR="00000000" w:rsidDel="00000000" w:rsidP="00000000" w:rsidRDefault="00000000" w:rsidRPr="00000000" w14:paraId="000002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1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w:t>
          </w:r>
        </w:p>
      </w:tc>
    </w:tr>
    <w:tr>
      <w:trPr>
        <w:cantSplit w:val="0"/>
        <w:tblHeader w:val="0"/>
      </w:trPr>
      <w:tc>
        <w:tcPr>
          <w:shd w:fill="auto" w:val="clear"/>
          <w:vAlign w:val="center"/>
        </w:tcPr>
        <w:p w:rsidR="00000000" w:rsidDel="00000000" w:rsidP="00000000" w:rsidRDefault="00000000" w:rsidRPr="00000000" w14:paraId="0000021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1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1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D1A57"/>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top w:w="0.0" w:type="dxa"/>
        <w:left w:w="115.0" w:type="dxa"/>
        <w:bottom w:w="0.0" w:type="dxa"/>
        <w:right w:w="115.0" w:type="dxa"/>
      </w:tblCellMar>
    </w:tblPr>
  </w:style>
  <w:style w:type="table" w:styleId="3" w:customStyle="1">
    <w:name w:val="3"/>
    <w:basedOn w:val="TableNormal10"/>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top w:w="0.0" w:type="dxa"/>
        <w:left w:w="115.0" w:type="dxa"/>
        <w:bottom w:w="0.0" w:type="dxa"/>
        <w:right w:w="115.0" w:type="dxa"/>
      </w:tblCellMar>
    </w:tblPr>
  </w:style>
  <w:style w:type="table" w:styleId="1" w:customStyle="1">
    <w:name w:val="1"/>
    <w:basedOn w:val="TableNormal10"/>
    <w:tblPr>
      <w:tblStyleRowBandSize w:val="1"/>
      <w:tblStyleColBandSize w:val="1"/>
      <w:tblCellMar>
        <w:top w:w="0.0" w:type="dxa"/>
        <w:left w:w="115.0" w:type="dxa"/>
        <w:bottom w:w="0.0" w:type="dxa"/>
        <w:right w:w="115.0" w:type="dxa"/>
      </w:tblCellMar>
    </w:tblPr>
  </w:style>
  <w:style w:type="table" w:styleId="9" w:customStyle="1">
    <w:name w:val="9"/>
    <w:basedOn w:val="TableNormal20"/>
    <w:tblPr>
      <w:tblStyleRowBandSize w:val="1"/>
      <w:tblStyleColBandSize w:val="1"/>
      <w:tblCellMar>
        <w:top w:w="0.0" w:type="dxa"/>
        <w:left w:w="115.0" w:type="dxa"/>
        <w:bottom w:w="0.0" w:type="dxa"/>
        <w:right w:w="115.0" w:type="dxa"/>
      </w:tblCellMar>
    </w:tblPr>
  </w:style>
  <w:style w:type="table" w:styleId="8" w:customStyle="1">
    <w:name w:val="8"/>
    <w:basedOn w:val="TableNormal20"/>
    <w:tblPr>
      <w:tblStyleRowBandSize w:val="1"/>
      <w:tblStyleColBandSize w:val="1"/>
      <w:tblCellMar>
        <w:top w:w="0.0" w:type="dxa"/>
        <w:left w:w="115.0" w:type="dxa"/>
        <w:bottom w:w="0.0" w:type="dxa"/>
        <w:right w:w="115.0" w:type="dxa"/>
      </w:tblCellMar>
    </w:tblPr>
  </w:style>
  <w:style w:type="table" w:styleId="7" w:customStyle="1">
    <w:name w:val="7"/>
    <w:basedOn w:val="TableNormal30"/>
    <w:tblPr>
      <w:tblStyleRowBandSize w:val="1"/>
      <w:tblStyleColBandSize w:val="1"/>
      <w:tblCellMar>
        <w:top w:w="0.0" w:type="dxa"/>
        <w:left w:w="115.0" w:type="dxa"/>
        <w:bottom w:w="0.0" w:type="dxa"/>
        <w:right w:w="115.0" w:type="dxa"/>
      </w:tblCellMar>
    </w:tblPr>
  </w:style>
  <w:style w:type="table" w:styleId="6" w:customStyle="1">
    <w:name w:val="6"/>
    <w:basedOn w:val="TableNormal30"/>
    <w:tblPr>
      <w:tblStyleRowBandSize w:val="1"/>
      <w:tblStyleColBandSize w:val="1"/>
      <w:tblCellMar>
        <w:top w:w="0.0" w:type="dxa"/>
        <w:left w:w="115.0" w:type="dxa"/>
        <w:bottom w:w="0.0" w:type="dxa"/>
        <w:right w:w="115.0" w:type="dxa"/>
      </w:tblCellMar>
    </w:tblPr>
  </w:style>
  <w:style w:type="table" w:styleId="20" w:customStyle="1">
    <w:name w:val="20"/>
    <w:basedOn w:val="TableNormal4"/>
    <w:tblPr>
      <w:tblStyleRowBandSize w:val="1"/>
      <w:tblStyleColBandSize w:val="1"/>
      <w:tblCellMar>
        <w:top w:w="0.0" w:type="dxa"/>
        <w:left w:w="115.0" w:type="dxa"/>
        <w:bottom w:w="0.0" w:type="dxa"/>
        <w:right w:w="115.0" w:type="dxa"/>
      </w:tblCellMar>
    </w:tblPr>
  </w:style>
  <w:style w:type="table" w:styleId="19" w:customStyle="1">
    <w:name w:val="19"/>
    <w:basedOn w:val="TableNormal4"/>
    <w:tblPr>
      <w:tblStyleRowBandSize w:val="1"/>
      <w:tblStyleColBandSize w:val="1"/>
      <w:tblCellMar>
        <w:top w:w="0.0" w:type="dxa"/>
        <w:left w:w="115.0" w:type="dxa"/>
        <w:bottom w:w="0.0" w:type="dxa"/>
        <w:right w:w="115.0" w:type="dxa"/>
      </w:tblCellMar>
    </w:tblPr>
  </w:style>
  <w:style w:type="table" w:styleId="18" w:customStyle="1">
    <w:name w:val="18"/>
    <w:basedOn w:val="TableNormal5"/>
    <w:tblPr>
      <w:tblStyleRowBandSize w:val="1"/>
      <w:tblStyleColBandSize w:val="1"/>
      <w:tblCellMar>
        <w:top w:w="0.0" w:type="dxa"/>
        <w:left w:w="115.0" w:type="dxa"/>
        <w:bottom w:w="0.0" w:type="dxa"/>
        <w:right w:w="115.0" w:type="dxa"/>
      </w:tblCellMar>
    </w:tblPr>
  </w:style>
  <w:style w:type="table" w:styleId="17" w:customStyle="1">
    <w:name w:val="17"/>
    <w:basedOn w:val="TableNormal5"/>
    <w:tblPr>
      <w:tblStyleRowBandSize w:val="1"/>
      <w:tblStyleColBandSize w:val="1"/>
      <w:tblCellMar>
        <w:top w:w="0.0" w:type="dxa"/>
        <w:left w:w="115.0" w:type="dxa"/>
        <w:bottom w:w="0.0" w:type="dxa"/>
        <w:right w:w="115.0" w:type="dxa"/>
      </w:tblCellMar>
    </w:tblPr>
  </w:style>
  <w:style w:type="table" w:styleId="16" w:customStyle="1">
    <w:name w:val="16"/>
    <w:basedOn w:val="TableNormal6"/>
    <w:tblPr>
      <w:tblStyleRowBandSize w:val="1"/>
      <w:tblStyleColBandSize w:val="1"/>
      <w:tblCellMar>
        <w:top w:w="0.0" w:type="dxa"/>
        <w:left w:w="115.0" w:type="dxa"/>
        <w:bottom w:w="0.0" w:type="dxa"/>
        <w:right w:w="115.0" w:type="dxa"/>
      </w:tblCellMar>
    </w:tblPr>
  </w:style>
  <w:style w:type="table" w:styleId="15" w:customStyle="1">
    <w:name w:val="15"/>
    <w:basedOn w:val="TableNormal6"/>
    <w:tblPr>
      <w:tblStyleRowBandSize w:val="1"/>
      <w:tblStyleColBandSize w:val="1"/>
      <w:tblCellMar>
        <w:top w:w="0.0" w:type="dxa"/>
        <w:left w:w="115.0" w:type="dxa"/>
        <w:bottom w:w="0.0" w:type="dxa"/>
        <w:right w:w="115.0" w:type="dxa"/>
      </w:tblCellMar>
    </w:tblPr>
  </w:style>
  <w:style w:type="table" w:styleId="14" w:customStyle="1">
    <w:name w:val="14"/>
    <w:basedOn w:val="TableNormal7"/>
    <w:tblPr>
      <w:tblStyleRowBandSize w:val="1"/>
      <w:tblStyleColBandSize w:val="1"/>
      <w:tblCellMar>
        <w:top w:w="0.0" w:type="dxa"/>
        <w:left w:w="115.0" w:type="dxa"/>
        <w:bottom w:w="0.0" w:type="dxa"/>
        <w:right w:w="115.0" w:type="dxa"/>
      </w:tblCellMar>
    </w:tblPr>
  </w:style>
  <w:style w:type="table" w:styleId="13" w:customStyle="1">
    <w:name w:val="13"/>
    <w:basedOn w:val="TableNormal7"/>
    <w:tblPr>
      <w:tblStyleRowBandSize w:val="1"/>
      <w:tblStyleColBandSize w:val="1"/>
      <w:tblCellMar>
        <w:top w:w="0.0" w:type="dxa"/>
        <w:left w:w="115.0" w:type="dxa"/>
        <w:bottom w:w="0.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top w:w="0.0" w:type="dxa"/>
        <w:left w:w="115.0" w:type="dxa"/>
        <w:bottom w:w="0.0" w:type="dxa"/>
        <w:right w:w="115.0" w:type="dxa"/>
      </w:tblCellMar>
    </w:tblPr>
  </w:style>
  <w:style w:type="table" w:styleId="10" w:customStyle="1">
    <w:name w:val="10"/>
    <w:basedOn w:val="TableNormal8"/>
    <w:tblPr>
      <w:tblStyleRowBandSize w:val="1"/>
      <w:tblStyleColBandSize w:val="1"/>
      <w:tblCellMar>
        <w:top w:w="0.0" w:type="dxa"/>
        <w:left w:w="115.0" w:type="dxa"/>
        <w:bottom w:w="0.0" w:type="dxa"/>
        <w:right w:w="115.0" w:type="dxa"/>
      </w:tblCellMar>
    </w:tblPr>
  </w:style>
  <w:style w:type="table" w:styleId="24" w:customStyle="1">
    <w:name w:val="24"/>
    <w:basedOn w:val="TableNormal9"/>
    <w:tblPr>
      <w:tblStyleRowBandSize w:val="1"/>
      <w:tblStyleColBandSize w:val="1"/>
      <w:tblCellMar>
        <w:top w:w="0.0" w:type="dxa"/>
        <w:left w:w="115.0" w:type="dxa"/>
        <w:bottom w:w="0.0" w:type="dxa"/>
        <w:right w:w="115.0" w:type="dxa"/>
      </w:tblCellMar>
    </w:tblPr>
  </w:style>
  <w:style w:type="table" w:styleId="23" w:customStyle="1">
    <w:name w:val="23"/>
    <w:basedOn w:val="TableNormal9"/>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top w:w="0.0" w:type="dxa"/>
        <w:left w:w="115.0" w:type="dxa"/>
        <w:bottom w:w="0.0" w:type="dxa"/>
        <w:right w:w="115.0" w:type="dxa"/>
      </w:tblCellMar>
    </w:tblPr>
  </w:style>
  <w:style w:type="table" w:styleId="21" w:customStyle="1">
    <w:name w:val="21"/>
    <w:basedOn w:val="TableNormal9"/>
    <w:tblPr>
      <w:tblStyleRowBandSize w:val="1"/>
      <w:tblStyleColBandSize w:val="1"/>
      <w:tblCellMar>
        <w:top w:w="0.0" w:type="dxa"/>
        <w:left w:w="115.0" w:type="dxa"/>
        <w:bottom w:w="0.0" w:type="dxa"/>
        <w:right w:w="115.0" w:type="dxa"/>
      </w:tblCellMar>
    </w:tblPr>
  </w:style>
  <w:style w:type="table" w:styleId="a" w:customStyle="1">
    <w:basedOn w:val="TableNormal3"/>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3"/>
    <w:tblPr>
      <w:tblStyleRowBandSize w:val="1"/>
      <w:tblStyleColBandSize w:val="1"/>
      <w:tblCellMar>
        <w:top w:w="0.0" w:type="dxa"/>
        <w:left w:w="115.0" w:type="dxa"/>
        <w:bottom w:w="0.0" w:type="dxa"/>
        <w:right w:w="115.0" w:type="dxa"/>
      </w:tblCellMar>
    </w:tblPr>
  </w:style>
  <w:style w:type="table" w:styleId="a2" w:customStyle="1">
    <w:basedOn w:val="TableNormal3"/>
    <w:tblPr>
      <w:tblStyleRowBandSize w:val="1"/>
      <w:tblStyleColBandSize w:val="1"/>
      <w:tblCellMar>
        <w:top w:w="0.0" w:type="dxa"/>
        <w:left w:w="115.0" w:type="dxa"/>
        <w:bottom w:w="0.0" w:type="dxa"/>
        <w:right w:w="115.0" w:type="dxa"/>
      </w:tblCellMar>
    </w:tblPr>
  </w:style>
  <w:style w:type="table" w:styleId="a3" w:customStyle="1">
    <w:basedOn w:val="TableNormal2"/>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2"/>
    <w:tblPr>
      <w:tblStyleRowBandSize w:val="1"/>
      <w:tblStyleColBandSize w:val="1"/>
      <w:tblCellMar>
        <w:top w:w="0.0" w:type="dxa"/>
        <w:left w:w="115.0" w:type="dxa"/>
        <w:bottom w:w="0.0" w:type="dxa"/>
        <w:right w:w="115.0" w:type="dxa"/>
      </w:tblCellMar>
    </w:tblPr>
  </w:style>
  <w:style w:type="table" w:styleId="a5" w:customStyle="1">
    <w:basedOn w:val="TableNormal2"/>
    <w:tblPr>
      <w:tblStyleRowBandSize w:val="1"/>
      <w:tblStyleColBandSize w:val="1"/>
      <w:tblCellMar>
        <w:top w:w="0.0" w:type="dxa"/>
        <w:left w:w="115.0" w:type="dxa"/>
        <w:bottom w:w="0.0" w:type="dxa"/>
        <w:right w:w="115.0" w:type="dxa"/>
      </w:tblCellMar>
    </w:tblPr>
  </w:style>
  <w:style w:type="table" w:styleId="a6" w:customStyle="1">
    <w:basedOn w:val="TableNormal1"/>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1"/>
    <w:tblPr>
      <w:tblStyleRowBandSize w:val="1"/>
      <w:tblStyleColBandSize w:val="1"/>
      <w:tblCellMar>
        <w:top w:w="0.0" w:type="dxa"/>
        <w:left w:w="115.0" w:type="dxa"/>
        <w:bottom w:w="0.0" w:type="dxa"/>
        <w:right w:w="115.0" w:type="dxa"/>
      </w:tblCellMar>
    </w:tblPr>
  </w:style>
  <w:style w:type="table" w:styleId="a8" w:customStyle="1">
    <w:basedOn w:val="TableNormal1"/>
    <w:tblPr>
      <w:tblStyleRowBandSize w:val="1"/>
      <w:tblStyleColBandSize w:val="1"/>
      <w:tblCellMar>
        <w:top w:w="0.0" w:type="dxa"/>
        <w:left w:w="115.0" w:type="dxa"/>
        <w:bottom w:w="0.0" w:type="dxa"/>
        <w:right w:w="115.0" w:type="dxa"/>
      </w:tblCellMar>
    </w:tblPr>
  </w:style>
  <w:style w:type="paragraph" w:styleId="corte4fondo" w:customStyle="1">
    <w:name w:val="corte4 fondo"/>
    <w:basedOn w:val="Normal"/>
    <w:link w:val="corte4fondoCar3"/>
    <w:qFormat w:val="1"/>
    <w:rsid w:val="00436B4A"/>
    <w:pPr>
      <w:spacing w:line="360" w:lineRule="auto"/>
      <w:ind w:firstLine="709"/>
      <w:jc w:val="both"/>
    </w:pPr>
    <w:rPr>
      <w:rFonts w:ascii="Arial" w:hAnsi="Arial"/>
      <w:sz w:val="30"/>
      <w:szCs w:val="20"/>
    </w:rPr>
  </w:style>
  <w:style w:type="character" w:styleId="corte4fondoCar3" w:customStyle="1">
    <w:name w:val="corte4 fondo Car3"/>
    <w:link w:val="corte4fondo"/>
    <w:locked w:val="1"/>
    <w:rsid w:val="00436B4A"/>
    <w:rPr>
      <w:rFonts w:ascii="Arial" w:hAnsi="Arial"/>
      <w:sz w:val="30"/>
      <w:szCs w:val="20"/>
    </w:rPr>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0"/>
    <w:tblPr>
      <w:tblStyleRowBandSize w:val="1"/>
      <w:tblStyleColBandSize w:val="1"/>
      <w:tblCellMar>
        <w:top w:w="0.0" w:type="dxa"/>
        <w:left w:w="115.0" w:type="dxa"/>
        <w:bottom w:w="0.0" w:type="dxa"/>
        <w:right w:w="115.0" w:type="dxa"/>
      </w:tblCellMar>
    </w:tblPr>
  </w:style>
  <w:style w:type="table" w:styleId="ac"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settings" Target="settings.xml"/><Relationship Id="rId22" Type="http://schemas.openxmlformats.org/officeDocument/2006/relationships/footnotes" Target="footnotes.xml"/><Relationship Id="rId21" Type="http://schemas.openxmlformats.org/officeDocument/2006/relationships/fontTable" Target="fontTable.xml"/><Relationship Id="rId24" Type="http://schemas.openxmlformats.org/officeDocument/2006/relationships/styles" Target="styles.xml"/><Relationship Id="rId23"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image" Target="media/image4.png"/><Relationship Id="rId26" Type="http://schemas.openxmlformats.org/officeDocument/2006/relationships/image" Target="media/image11.png"/><Relationship Id="rId25" Type="http://schemas.openxmlformats.org/officeDocument/2006/relationships/customXml" Target="../customXML/item1.xm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image" Target="media/image3.png"/><Relationship Id="rId6" Type="http://schemas.openxmlformats.org/officeDocument/2006/relationships/oleObject" Target="embeddings/oleObject2.bin"/><Relationship Id="rId29" Type="http://schemas.openxmlformats.org/officeDocument/2006/relationships/footer" Target="footer2.xml"/><Relationship Id="rId7" Type="http://schemas.openxmlformats.org/officeDocument/2006/relationships/image" Target="media/image5.png"/><Relationship Id="rId8" Type="http://schemas.openxmlformats.org/officeDocument/2006/relationships/oleObject" Target="embeddings/oleObject5.bin"/><Relationship Id="rId3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oleObject" Target="embeddings/oleObject4.bin"/><Relationship Id="rId13" Type="http://schemas.openxmlformats.org/officeDocument/2006/relationships/image" Target="media/image6.png"/><Relationship Id="rId12" Type="http://schemas.openxmlformats.org/officeDocument/2006/relationships/oleObject" Target="embeddings/oleObject7.bin"/><Relationship Id="rId15" Type="http://schemas.openxmlformats.org/officeDocument/2006/relationships/image" Target="media/image9.png"/><Relationship Id="rId14" Type="http://schemas.openxmlformats.org/officeDocument/2006/relationships/oleObject" Target="embeddings/oleObject6.bin"/><Relationship Id="rId17" Type="http://schemas.openxmlformats.org/officeDocument/2006/relationships/image" Target="media/image9.png"/><Relationship Id="rId16" Type="http://schemas.openxmlformats.org/officeDocument/2006/relationships/oleObject" Target="embeddings/oleObject9.bin"/><Relationship Id="rId19" Type="http://schemas.openxmlformats.org/officeDocument/2006/relationships/theme" Target="theme/theme1.xml"/><Relationship Id="rId18"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20" Type="http://schemas.openxmlformats.org/officeDocument/2006/relationships/font" Target="fonts/PalatinoLinotype-bold.ttf"/><Relationship Id="rId22" Type="http://schemas.openxmlformats.org/officeDocument/2006/relationships/font" Target="fonts/PalatinoLinotype-boldItalic.ttf"/><Relationship Id="rId21" Type="http://schemas.openxmlformats.org/officeDocument/2006/relationships/font" Target="fonts/PalatinoLinotype-italic.ttf"/><Relationship Id="rId19" Type="http://schemas.openxmlformats.org/officeDocument/2006/relationships/font" Target="fonts/PalatinoLinotype-regular.ttf"/></Relationships>
</file>

<file path=word/_rels/footnotes.xml.rels><?xml version="1.0" encoding="UTF-8" standalone="yes"?><Relationships xmlns="http://schemas.openxmlformats.org/package/2006/relationships"><Relationship Id="rId20" Type="http://schemas.openxmlformats.org/officeDocument/2006/relationships/hyperlink" Target="https://e-archivo.uc3m.es/bitstream/handle/10016/26545/WF-18-03.pdf" TargetMode="External"/><Relationship Id="rId19" Type="http://schemas.openxmlformats.org/officeDocument/2006/relationships/hyperlink" Target="http://sjf.scjn.gob.mx/SJFSist/Documentos/Tesis/170/170722.pdf" TargetMode="External"/></Relationships>
</file>

<file path=word/_rels/header1.xml.rels><?xml version="1.0" encoding="UTF-8" standalone="yes"?><Relationships xmlns="http://schemas.openxmlformats.org/package/2006/relationships"><Relationship Id="rId19" Type="http://schemas.openxmlformats.org/officeDocument/2006/relationships/image" Target="media/image10.png"/></Relationships>
</file>

<file path=word/_rels/header2.xml.rels><?xml version="1.0" encoding="UTF-8" standalone="yes"?><Relationships xmlns="http://schemas.openxmlformats.org/package/2006/relationships"><Relationship Id="rId1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FoeJef9FfLqfvSiEQAOTvZ3Nuw==">AMUW2mXBHa+s89/NaDVrIU4SDGdxJKmumcE8J1uhWK/tYZHaFi8m2CXBPOn209Agl5yLptisQEvX1qSnryB1AKZMUw+NpIpOJYe9hkIxC+dbmFFAImhvl9pwR7ft1gGiPRRjOuuJYkY3F+3XyJv987pfEPwoBGepB+GOUqfBonhXf+6uDBvcn7DP51N4s0ah5mb3zqyb0UsXLFb7iBVwvggm7uxBJlUgmk+HRqrjKvQZZ19Tou+kUBk1mZtSiOS+zMDbgLhvNYoh6Ar93aA7x7xUx1Pr4TF0svhGcDOobdcinso9GrP3pQcNDVxtuh541qf1v4MTeNlk/XYoMfaZ95U/+AzZ3a2N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2023-02-21T20:15:00Z</dcterms:created>
  <dc:creator>iMac</dc:creator>
</cp:coreProperties>
</file>