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025" w:rsidRPr="005A3E5E" w:rsidRDefault="00847025" w:rsidP="004860F7">
      <w:pPr>
        <w:shd w:val="clear" w:color="auto" w:fill="FFFFFF"/>
        <w:spacing w:after="0" w:line="360" w:lineRule="auto"/>
        <w:jc w:val="both"/>
        <w:rPr>
          <w:rFonts w:ascii="Palatino Linotype" w:eastAsia="Times New Roman" w:hAnsi="Palatino Linotype" w:cs="Arial"/>
          <w:color w:val="000000"/>
          <w:sz w:val="24"/>
          <w:szCs w:val="24"/>
          <w:lang w:eastAsia="es-MX"/>
        </w:rPr>
      </w:pPr>
      <w:r w:rsidRPr="005A3E5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937E4" w:rsidRPr="005A3E5E">
        <w:rPr>
          <w:rFonts w:ascii="Palatino Linotype" w:eastAsia="Times New Roman" w:hAnsi="Palatino Linotype" w:cs="Arial"/>
          <w:color w:val="000000"/>
          <w:sz w:val="24"/>
          <w:szCs w:val="24"/>
          <w:lang w:eastAsia="es-MX"/>
        </w:rPr>
        <w:t xml:space="preserve">doce de abril </w:t>
      </w:r>
      <w:r w:rsidRPr="005A3E5E">
        <w:rPr>
          <w:rFonts w:ascii="Palatino Linotype" w:eastAsia="Times New Roman" w:hAnsi="Palatino Linotype" w:cs="Arial"/>
          <w:color w:val="000000"/>
          <w:sz w:val="24"/>
          <w:szCs w:val="24"/>
          <w:lang w:eastAsia="es-MX"/>
        </w:rPr>
        <w:t>de dos mil veintitrés.</w:t>
      </w:r>
    </w:p>
    <w:p w:rsidR="00847025" w:rsidRPr="005A3E5E" w:rsidRDefault="00847025" w:rsidP="004860F7">
      <w:pPr>
        <w:shd w:val="clear" w:color="auto" w:fill="FFFFFF"/>
        <w:spacing w:after="0" w:line="360" w:lineRule="auto"/>
        <w:jc w:val="both"/>
        <w:rPr>
          <w:rFonts w:ascii="Palatino Linotype" w:eastAsia="Times New Roman" w:hAnsi="Palatino Linotype" w:cs="Arial"/>
          <w:color w:val="000000"/>
          <w:sz w:val="24"/>
          <w:szCs w:val="24"/>
          <w:lang w:eastAsia="es-MX"/>
        </w:rPr>
      </w:pPr>
    </w:p>
    <w:p w:rsidR="00847025" w:rsidRPr="005A3E5E" w:rsidRDefault="00847025" w:rsidP="004860F7">
      <w:pPr>
        <w:tabs>
          <w:tab w:val="left" w:pos="1701"/>
        </w:tabs>
        <w:spacing w:after="0" w:line="360" w:lineRule="auto"/>
        <w:jc w:val="both"/>
        <w:rPr>
          <w:rFonts w:ascii="Palatino Linotype" w:hAnsi="Palatino Linotype" w:cs="Arial"/>
          <w:b/>
          <w:sz w:val="24"/>
          <w:szCs w:val="24"/>
        </w:rPr>
      </w:pPr>
      <w:r w:rsidRPr="005A3E5E">
        <w:rPr>
          <w:rFonts w:ascii="Palatino Linotype" w:hAnsi="Palatino Linotype" w:cs="Arial"/>
          <w:b/>
          <w:sz w:val="24"/>
          <w:szCs w:val="24"/>
        </w:rPr>
        <w:t>VISTO</w:t>
      </w:r>
      <w:r w:rsidRPr="005A3E5E">
        <w:rPr>
          <w:rFonts w:ascii="Palatino Linotype" w:hAnsi="Palatino Linotype" w:cs="Arial"/>
          <w:sz w:val="24"/>
          <w:szCs w:val="24"/>
        </w:rPr>
        <w:t xml:space="preserve"> el expediente electrónico formado con motivo del recurso de revisión con número </w:t>
      </w:r>
      <w:r w:rsidRPr="005A3E5E">
        <w:rPr>
          <w:rFonts w:ascii="Palatino Linotype" w:hAnsi="Palatino Linotype" w:cs="Arial"/>
          <w:b/>
          <w:bCs/>
          <w:sz w:val="24"/>
          <w:szCs w:val="24"/>
          <w:lang w:eastAsia="es-MX"/>
        </w:rPr>
        <w:t>01</w:t>
      </w:r>
      <w:r w:rsidR="00361B30" w:rsidRPr="005A3E5E">
        <w:rPr>
          <w:rFonts w:ascii="Palatino Linotype" w:hAnsi="Palatino Linotype" w:cs="Arial"/>
          <w:b/>
          <w:bCs/>
          <w:sz w:val="24"/>
          <w:szCs w:val="24"/>
          <w:lang w:eastAsia="es-MX"/>
        </w:rPr>
        <w:t>759</w:t>
      </w:r>
      <w:r w:rsidRPr="005A3E5E">
        <w:rPr>
          <w:rFonts w:ascii="Palatino Linotype" w:hAnsi="Palatino Linotype" w:cs="Arial"/>
          <w:b/>
          <w:bCs/>
          <w:sz w:val="24"/>
          <w:szCs w:val="24"/>
          <w:lang w:eastAsia="es-MX"/>
        </w:rPr>
        <w:t>5/INFOEM/IP/RR/2022</w:t>
      </w:r>
      <w:r w:rsidRPr="005A3E5E">
        <w:rPr>
          <w:rFonts w:ascii="Palatino Linotype" w:hAnsi="Palatino Linotype" w:cs="Arial"/>
          <w:sz w:val="24"/>
          <w:szCs w:val="24"/>
        </w:rPr>
        <w:t xml:space="preserve">, </w:t>
      </w:r>
      <w:r w:rsidRPr="005A3E5E">
        <w:rPr>
          <w:rFonts w:ascii="Palatino Linotype" w:eastAsia="Palatino Linotype" w:hAnsi="Palatino Linotype" w:cs="Palatino Linotype"/>
          <w:color w:val="000000"/>
          <w:sz w:val="24"/>
          <w:szCs w:val="24"/>
        </w:rPr>
        <w:t xml:space="preserve">interpuesto por una persona de manera anónima, en lo sucesivo el </w:t>
      </w:r>
      <w:r w:rsidRPr="005A3E5E">
        <w:rPr>
          <w:rFonts w:ascii="Palatino Linotype" w:eastAsia="Palatino Linotype" w:hAnsi="Palatino Linotype" w:cs="Palatino Linotype"/>
          <w:b/>
          <w:color w:val="000000"/>
          <w:sz w:val="24"/>
          <w:szCs w:val="24"/>
        </w:rPr>
        <w:t>Recurrente</w:t>
      </w:r>
      <w:r w:rsidRPr="005A3E5E">
        <w:rPr>
          <w:rFonts w:ascii="Palatino Linotype" w:eastAsia="Palatino Linotype" w:hAnsi="Palatino Linotype" w:cs="Palatino Linotype"/>
          <w:color w:val="000000"/>
          <w:sz w:val="24"/>
          <w:szCs w:val="24"/>
        </w:rPr>
        <w:t xml:space="preserve">, </w:t>
      </w:r>
      <w:r w:rsidRPr="005A3E5E">
        <w:rPr>
          <w:rFonts w:ascii="Palatino Linotype" w:hAnsi="Palatino Linotype" w:cs="Arial"/>
          <w:sz w:val="24"/>
          <w:szCs w:val="24"/>
        </w:rPr>
        <w:t xml:space="preserve">en contra de la falta de respuesta del </w:t>
      </w:r>
      <w:r w:rsidRPr="005A3E5E">
        <w:rPr>
          <w:rFonts w:ascii="Palatino Linotype" w:hAnsi="Palatino Linotype" w:cs="Arial"/>
          <w:b/>
          <w:sz w:val="24"/>
          <w:szCs w:val="24"/>
        </w:rPr>
        <w:t xml:space="preserve">Ayuntamiento de Zinacantepec, </w:t>
      </w:r>
      <w:r w:rsidRPr="005A3E5E">
        <w:rPr>
          <w:rFonts w:ascii="Palatino Linotype" w:hAnsi="Palatino Linotype" w:cs="Arial"/>
          <w:sz w:val="24"/>
          <w:szCs w:val="24"/>
        </w:rPr>
        <w:t>en lo subsecuente</w:t>
      </w:r>
      <w:r w:rsidRPr="005A3E5E">
        <w:rPr>
          <w:rFonts w:ascii="Palatino Linotype" w:hAnsi="Palatino Linotype" w:cs="Arial"/>
          <w:b/>
          <w:sz w:val="24"/>
          <w:szCs w:val="24"/>
        </w:rPr>
        <w:t xml:space="preserve"> el Sujeto Obligado, </w:t>
      </w:r>
      <w:r w:rsidRPr="005A3E5E">
        <w:rPr>
          <w:rFonts w:ascii="Palatino Linotype" w:hAnsi="Palatino Linotype" w:cs="Arial"/>
          <w:sz w:val="24"/>
          <w:szCs w:val="24"/>
        </w:rPr>
        <w:t>se procede a dictar la presente resolución.</w:t>
      </w:r>
    </w:p>
    <w:p w:rsidR="00847025" w:rsidRPr="005A3E5E" w:rsidRDefault="00847025" w:rsidP="004860F7">
      <w:pPr>
        <w:tabs>
          <w:tab w:val="left" w:pos="6960"/>
        </w:tabs>
        <w:spacing w:after="0" w:line="360" w:lineRule="auto"/>
        <w:jc w:val="both"/>
        <w:rPr>
          <w:rFonts w:ascii="Palatino Linotype" w:hAnsi="Palatino Linotype" w:cs="Arial"/>
          <w:sz w:val="24"/>
          <w:szCs w:val="24"/>
        </w:rPr>
      </w:pPr>
    </w:p>
    <w:p w:rsidR="00847025" w:rsidRPr="005A3E5E" w:rsidRDefault="00847025" w:rsidP="004860F7">
      <w:pPr>
        <w:spacing w:after="0" w:line="360" w:lineRule="auto"/>
        <w:jc w:val="center"/>
        <w:rPr>
          <w:rFonts w:ascii="Palatino Linotype" w:hAnsi="Palatino Linotype" w:cs="Arial"/>
          <w:b/>
          <w:sz w:val="28"/>
          <w:szCs w:val="24"/>
        </w:rPr>
      </w:pPr>
      <w:r w:rsidRPr="005A3E5E">
        <w:rPr>
          <w:rFonts w:ascii="Palatino Linotype" w:hAnsi="Palatino Linotype" w:cs="Arial"/>
          <w:b/>
          <w:sz w:val="28"/>
          <w:szCs w:val="24"/>
        </w:rPr>
        <w:t>A N T E C E D E N T E S</w:t>
      </w:r>
    </w:p>
    <w:p w:rsidR="00847025" w:rsidRPr="005A3E5E" w:rsidRDefault="00847025" w:rsidP="004860F7">
      <w:pPr>
        <w:spacing w:after="0" w:line="360" w:lineRule="auto"/>
        <w:rPr>
          <w:rFonts w:ascii="Palatino Linotype" w:hAnsi="Palatino Linotype" w:cs="Arial"/>
          <w:b/>
          <w:sz w:val="24"/>
          <w:szCs w:val="24"/>
        </w:rPr>
      </w:pP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8"/>
        </w:rPr>
        <w:t xml:space="preserve">PRIMERO. </w:t>
      </w:r>
      <w:r w:rsidRPr="005A3E5E">
        <w:rPr>
          <w:rFonts w:ascii="Palatino Linotype" w:hAnsi="Palatino Linotype" w:cs="Arial"/>
          <w:sz w:val="24"/>
          <w:szCs w:val="24"/>
        </w:rPr>
        <w:t xml:space="preserve">Con fecha dieciocho de noviembre de dos mil </w:t>
      </w:r>
      <w:r w:rsidR="00021AEE" w:rsidRPr="005A3E5E">
        <w:rPr>
          <w:rFonts w:ascii="Palatino Linotype" w:hAnsi="Palatino Linotype" w:cs="Arial"/>
          <w:sz w:val="24"/>
          <w:szCs w:val="24"/>
        </w:rPr>
        <w:t>veintidós</w:t>
      </w:r>
      <w:r w:rsidRPr="005A3E5E">
        <w:rPr>
          <w:rFonts w:ascii="Palatino Linotype" w:hAnsi="Palatino Linotype" w:cs="Arial"/>
          <w:sz w:val="24"/>
          <w:szCs w:val="24"/>
        </w:rPr>
        <w:t xml:space="preserve">, </w:t>
      </w:r>
      <w:r w:rsidRPr="005A3E5E">
        <w:rPr>
          <w:rFonts w:ascii="Palatino Linotype" w:hAnsi="Palatino Linotype" w:cs="Arial"/>
          <w:b/>
          <w:sz w:val="24"/>
          <w:szCs w:val="24"/>
        </w:rPr>
        <w:t>el Recurrente</w:t>
      </w:r>
      <w:r w:rsidRPr="005A3E5E">
        <w:rPr>
          <w:rFonts w:ascii="Palatino Linotype" w:hAnsi="Palatino Linotype" w:cs="Arial"/>
          <w:sz w:val="24"/>
          <w:szCs w:val="24"/>
        </w:rPr>
        <w:t xml:space="preserve"> presentó a través del Sistema de Acceso a la Información Mexiquense, en lo posterior el </w:t>
      </w:r>
      <w:r w:rsidRPr="005A3E5E">
        <w:rPr>
          <w:rFonts w:ascii="Palatino Linotype" w:hAnsi="Palatino Linotype" w:cs="Arial"/>
          <w:b/>
          <w:sz w:val="24"/>
          <w:szCs w:val="24"/>
        </w:rPr>
        <w:t>SAIMEX</w:t>
      </w:r>
      <w:r w:rsidRPr="005A3E5E">
        <w:rPr>
          <w:rFonts w:ascii="Palatino Linotype" w:hAnsi="Palatino Linotype" w:cs="Arial"/>
          <w:sz w:val="24"/>
          <w:szCs w:val="24"/>
        </w:rPr>
        <w:t xml:space="preserve">, ante </w:t>
      </w:r>
      <w:r w:rsidRPr="005A3E5E">
        <w:rPr>
          <w:rFonts w:ascii="Palatino Linotype" w:hAnsi="Palatino Linotype" w:cs="Arial"/>
          <w:b/>
          <w:sz w:val="24"/>
          <w:szCs w:val="24"/>
        </w:rPr>
        <w:t>el Sujeto Obligado</w:t>
      </w:r>
      <w:r w:rsidRPr="005A3E5E">
        <w:rPr>
          <w:rFonts w:ascii="Palatino Linotype" w:hAnsi="Palatino Linotype" w:cs="Arial"/>
          <w:sz w:val="24"/>
          <w:szCs w:val="24"/>
        </w:rPr>
        <w:t>, solicitud de acceso a la información pública, registrada bajo el número de expediente</w:t>
      </w:r>
      <w:r w:rsidRPr="005A3E5E">
        <w:rPr>
          <w:rFonts w:ascii="Palatino Linotype" w:hAnsi="Palatino Linotype" w:cs="Arial"/>
          <w:b/>
          <w:sz w:val="24"/>
          <w:szCs w:val="24"/>
        </w:rPr>
        <w:t xml:space="preserve"> </w:t>
      </w:r>
      <w:r w:rsidR="00021AEE" w:rsidRPr="005A3E5E">
        <w:rPr>
          <w:rFonts w:ascii="Palatino Linotype" w:hAnsi="Palatino Linotype" w:cs="Arial"/>
          <w:b/>
          <w:sz w:val="24"/>
          <w:szCs w:val="24"/>
        </w:rPr>
        <w:t>01264/ZINACANT/IP/2022</w:t>
      </w:r>
      <w:r w:rsidRPr="005A3E5E">
        <w:rPr>
          <w:rFonts w:ascii="Palatino Linotype" w:hAnsi="Palatino Linotype" w:cs="Arial"/>
          <w:sz w:val="24"/>
          <w:szCs w:val="24"/>
          <w:lang w:eastAsia="es-MX"/>
        </w:rPr>
        <w:t>,</w:t>
      </w:r>
      <w:r w:rsidRPr="005A3E5E">
        <w:rPr>
          <w:rFonts w:ascii="Palatino Linotype" w:hAnsi="Palatino Linotype" w:cs="Arial"/>
          <w:b/>
          <w:sz w:val="24"/>
          <w:szCs w:val="24"/>
          <w:lang w:eastAsia="es-MX"/>
        </w:rPr>
        <w:t xml:space="preserve"> </w:t>
      </w:r>
      <w:r w:rsidRPr="005A3E5E">
        <w:rPr>
          <w:rFonts w:ascii="Palatino Linotype" w:hAnsi="Palatino Linotype" w:cs="Arial"/>
          <w:sz w:val="24"/>
          <w:szCs w:val="24"/>
        </w:rPr>
        <w:t>mediante la cual solicitó información en el tenor siguiente:</w:t>
      </w:r>
    </w:p>
    <w:p w:rsidR="00847025" w:rsidRPr="005A3E5E" w:rsidRDefault="00847025" w:rsidP="004860F7">
      <w:pPr>
        <w:tabs>
          <w:tab w:val="left" w:pos="5647"/>
        </w:tabs>
        <w:spacing w:after="0" w:line="360" w:lineRule="auto"/>
        <w:ind w:right="850"/>
        <w:jc w:val="both"/>
        <w:rPr>
          <w:rFonts w:ascii="Palatino Linotype" w:eastAsia="Times New Roman" w:hAnsi="Palatino Linotype" w:cs="Times New Roman"/>
          <w:sz w:val="24"/>
          <w:szCs w:val="24"/>
          <w:lang w:eastAsia="es-ES"/>
        </w:rPr>
      </w:pPr>
    </w:p>
    <w:p w:rsidR="00847025" w:rsidRPr="005A3E5E" w:rsidRDefault="00847025" w:rsidP="004860F7">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5A3E5E">
        <w:rPr>
          <w:rFonts w:ascii="Palatino Linotype" w:eastAsia="Times New Roman" w:hAnsi="Palatino Linotype" w:cs="Times New Roman"/>
          <w:i/>
          <w:szCs w:val="24"/>
          <w:lang w:val="es-ES_tradnl" w:eastAsia="es-ES"/>
        </w:rPr>
        <w:t>“</w:t>
      </w:r>
      <w:r w:rsidR="00E2652C" w:rsidRPr="005A3E5E">
        <w:rPr>
          <w:rFonts w:ascii="Palatino Linotype" w:eastAsia="Times New Roman" w:hAnsi="Palatino Linotype" w:cs="Times New Roman"/>
          <w:i/>
          <w:szCs w:val="24"/>
          <w:lang w:val="es-ES_tradnl" w:eastAsia="es-ES"/>
        </w:rPr>
        <w:t>S</w:t>
      </w:r>
      <w:r w:rsidR="00021AEE" w:rsidRPr="005A3E5E">
        <w:rPr>
          <w:rFonts w:ascii="Palatino Linotype" w:eastAsia="Times New Roman" w:hAnsi="Palatino Linotype" w:cs="Times New Roman"/>
          <w:i/>
          <w:szCs w:val="24"/>
          <w:lang w:val="es-ES_tradnl" w:eastAsia="es-ES"/>
        </w:rPr>
        <w:t>OLICITO TODAS LAS TARJETAS DE RESGUARDO DE BIENES MUEBLES DE LA SECRETARÍA DEL AYUNTAMIENTO, ADMINISTRACIÓN, TRANSPARENCIA Y UIPPE DEL AÑO 2022”</w:t>
      </w:r>
    </w:p>
    <w:p w:rsidR="00847025" w:rsidRPr="005A3E5E" w:rsidRDefault="00847025" w:rsidP="004860F7">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847025" w:rsidRPr="005A3E5E" w:rsidRDefault="00847025" w:rsidP="004860F7">
      <w:pPr>
        <w:spacing w:after="0" w:line="360" w:lineRule="auto"/>
        <w:jc w:val="both"/>
        <w:rPr>
          <w:rFonts w:ascii="Palatino Linotype" w:eastAsia="Times New Roman" w:hAnsi="Palatino Linotype" w:cs="Times New Roman"/>
          <w:sz w:val="24"/>
          <w:szCs w:val="24"/>
          <w:lang w:val="es-ES_tradnl" w:eastAsia="es-ES"/>
        </w:rPr>
      </w:pPr>
      <w:r w:rsidRPr="005A3E5E">
        <w:rPr>
          <w:rFonts w:ascii="Palatino Linotype" w:eastAsia="Times New Roman" w:hAnsi="Palatino Linotype" w:cs="Times New Roman"/>
          <w:sz w:val="24"/>
          <w:szCs w:val="24"/>
          <w:lang w:val="es-ES_tradnl" w:eastAsia="es-ES"/>
        </w:rPr>
        <w:t xml:space="preserve">Modalidad de entrega: </w:t>
      </w:r>
      <w:r w:rsidRPr="005A3E5E">
        <w:rPr>
          <w:rFonts w:ascii="Palatino Linotype" w:eastAsia="Times New Roman" w:hAnsi="Palatino Linotype" w:cs="Times New Roman"/>
          <w:b/>
          <w:i/>
          <w:sz w:val="24"/>
          <w:szCs w:val="24"/>
          <w:lang w:val="es-ES_tradnl" w:eastAsia="es-ES"/>
        </w:rPr>
        <w:t>A través del SAIMEX</w:t>
      </w:r>
    </w:p>
    <w:p w:rsidR="00847025" w:rsidRPr="005A3E5E" w:rsidRDefault="00847025" w:rsidP="004860F7">
      <w:pPr>
        <w:tabs>
          <w:tab w:val="left" w:pos="5647"/>
        </w:tabs>
        <w:spacing w:after="0" w:line="360" w:lineRule="auto"/>
        <w:ind w:right="850"/>
        <w:jc w:val="both"/>
        <w:rPr>
          <w:rFonts w:ascii="Palatino Linotype" w:hAnsi="Palatino Linotype"/>
          <w:color w:val="000000"/>
          <w:sz w:val="24"/>
          <w:szCs w:val="24"/>
          <w:lang w:val="es-ES_tradnl"/>
        </w:rPr>
      </w:pPr>
    </w:p>
    <w:p w:rsidR="00021AEE"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A3E5E">
        <w:rPr>
          <w:rFonts w:ascii="Palatino Linotype" w:hAnsi="Palatino Linotype" w:cs="Arial"/>
          <w:b/>
          <w:sz w:val="28"/>
          <w:szCs w:val="24"/>
        </w:rPr>
        <w:lastRenderedPageBreak/>
        <w:t>SEGUNDO</w:t>
      </w:r>
      <w:r w:rsidRPr="005A3E5E">
        <w:rPr>
          <w:rFonts w:ascii="Palatino Linotype" w:hAnsi="Palatino Linotype" w:cs="Arial"/>
          <w:b/>
          <w:sz w:val="24"/>
          <w:szCs w:val="24"/>
        </w:rPr>
        <w:t xml:space="preserve">. </w:t>
      </w:r>
      <w:r w:rsidR="00021AEE" w:rsidRPr="005A3E5E">
        <w:rPr>
          <w:rFonts w:ascii="Palatino Linotype" w:eastAsia="Palatino Linotype" w:hAnsi="Palatino Linotype" w:cs="Palatino Linotype"/>
          <w:color w:val="000000"/>
          <w:sz w:val="24"/>
          <w:szCs w:val="24"/>
        </w:rPr>
        <w:t xml:space="preserve">Derivado del ingreso de la solicitud de información, en fecha veintiocho de noviembre de dos mil veintidós, el </w:t>
      </w:r>
      <w:r w:rsidR="00021AEE" w:rsidRPr="005A3E5E">
        <w:rPr>
          <w:rFonts w:ascii="Palatino Linotype" w:eastAsia="Palatino Linotype" w:hAnsi="Palatino Linotype" w:cs="Palatino Linotype"/>
          <w:b/>
          <w:color w:val="000000"/>
          <w:sz w:val="24"/>
          <w:szCs w:val="24"/>
        </w:rPr>
        <w:t>Sujeto Obligado</w:t>
      </w:r>
      <w:r w:rsidR="00021AEE" w:rsidRPr="005A3E5E">
        <w:rPr>
          <w:rFonts w:ascii="Palatino Linotype" w:eastAsia="Palatino Linotype" w:hAnsi="Palatino Linotype" w:cs="Palatino Linotype"/>
          <w:color w:val="000000"/>
          <w:sz w:val="24"/>
          <w:szCs w:val="24"/>
        </w:rPr>
        <w:t xml:space="preserve"> consideró no contar con los elementos suficientes para atender la solicitud de información, por lo que requirió al entonces Solicitante, aclare su solicitud, en los términos siguientes:</w:t>
      </w:r>
    </w:p>
    <w:p w:rsidR="00021AEE" w:rsidRPr="005A3E5E" w:rsidRDefault="00021AEE"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021AEE" w:rsidRPr="005A3E5E" w:rsidRDefault="00021AEE" w:rsidP="004860F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5A3E5E">
        <w:rPr>
          <w:rFonts w:ascii="Palatino Linotype" w:eastAsia="Palatino Linotype" w:hAnsi="Palatino Linotype" w:cs="Palatino Linotype"/>
          <w:i/>
          <w:color w:val="000000"/>
          <w:szCs w:val="24"/>
        </w:rPr>
        <w:t>“Con fundamento en el articulo 159 de la Ley de Transparencia y Acceso a la Información Pública del Estado de México y Municipios, se le requiere para que dentro del plazo de diez días hábiles realice lo siguiente:</w:t>
      </w:r>
    </w:p>
    <w:p w:rsidR="00021AEE" w:rsidRPr="005A3E5E" w:rsidRDefault="00021AEE" w:rsidP="004860F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021AEE" w:rsidRPr="005A3E5E" w:rsidRDefault="00021AEE" w:rsidP="004860F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5A3E5E">
        <w:rPr>
          <w:rFonts w:ascii="Palatino Linotype" w:eastAsia="Palatino Linotype" w:hAnsi="Palatino Linotype" w:cs="Palatino Linotype"/>
          <w:i/>
          <w:color w:val="000000"/>
          <w:szCs w:val="24"/>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rsidR="00021AEE" w:rsidRPr="005A3E5E" w:rsidRDefault="00021AEE" w:rsidP="004860F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p>
    <w:p w:rsidR="00021AEE" w:rsidRPr="005A3E5E" w:rsidRDefault="00021AEE" w:rsidP="004860F7">
      <w:pPr>
        <w:pBdr>
          <w:top w:val="nil"/>
          <w:left w:val="nil"/>
          <w:bottom w:val="nil"/>
          <w:right w:val="nil"/>
          <w:between w:val="nil"/>
        </w:pBdr>
        <w:spacing w:after="0" w:line="240" w:lineRule="auto"/>
        <w:ind w:left="567" w:right="616"/>
        <w:contextualSpacing/>
        <w:jc w:val="both"/>
        <w:rPr>
          <w:rFonts w:ascii="Palatino Linotype" w:eastAsia="Palatino Linotype" w:hAnsi="Palatino Linotype" w:cs="Palatino Linotype"/>
          <w:i/>
          <w:color w:val="000000"/>
          <w:szCs w:val="24"/>
        </w:rPr>
      </w:pPr>
      <w:r w:rsidRPr="005A3E5E">
        <w:rPr>
          <w:rFonts w:ascii="Palatino Linotype" w:eastAsia="Palatino Linotype" w:hAnsi="Palatino Linotype" w:cs="Palatino Linotype"/>
          <w:i/>
          <w:color w:val="000000"/>
          <w:szCs w:val="24"/>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21AEE" w:rsidRPr="005A3E5E" w:rsidRDefault="00021AEE"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021AEE" w:rsidRPr="005A3E5E" w:rsidRDefault="00021AEE"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5A3E5E">
        <w:rPr>
          <w:rFonts w:ascii="Palatino Linotype" w:eastAsia="Palatino Linotype" w:hAnsi="Palatino Linotype" w:cs="Palatino Linotype"/>
          <w:color w:val="000000"/>
          <w:sz w:val="24"/>
          <w:szCs w:val="24"/>
        </w:rPr>
        <w:t xml:space="preserve">El </w:t>
      </w:r>
      <w:r w:rsidRPr="005A3E5E">
        <w:rPr>
          <w:rFonts w:ascii="Palatino Linotype" w:eastAsia="Palatino Linotype" w:hAnsi="Palatino Linotype" w:cs="Palatino Linotype"/>
          <w:b/>
          <w:color w:val="000000"/>
          <w:sz w:val="24"/>
          <w:szCs w:val="24"/>
        </w:rPr>
        <w:t>Solicitante</w:t>
      </w:r>
      <w:r w:rsidRPr="005A3E5E">
        <w:rPr>
          <w:rFonts w:ascii="Palatino Linotype" w:eastAsia="Palatino Linotype" w:hAnsi="Palatino Linotype" w:cs="Palatino Linotype"/>
          <w:color w:val="000000"/>
          <w:sz w:val="24"/>
          <w:szCs w:val="24"/>
        </w:rPr>
        <w:t xml:space="preserve"> estando dentro del término otorgado por el </w:t>
      </w:r>
      <w:r w:rsidRPr="005A3E5E">
        <w:rPr>
          <w:rFonts w:ascii="Palatino Linotype" w:eastAsia="Palatino Linotype" w:hAnsi="Palatino Linotype" w:cs="Palatino Linotype"/>
          <w:b/>
          <w:color w:val="000000"/>
          <w:sz w:val="24"/>
          <w:szCs w:val="24"/>
        </w:rPr>
        <w:t>Sujeto Obligado</w:t>
      </w:r>
      <w:r w:rsidRPr="005A3E5E">
        <w:rPr>
          <w:rFonts w:ascii="Palatino Linotype" w:eastAsia="Palatino Linotype" w:hAnsi="Palatino Linotype" w:cs="Palatino Linotype"/>
          <w:color w:val="000000"/>
          <w:sz w:val="24"/>
          <w:szCs w:val="24"/>
        </w:rPr>
        <w:t>, desahogo la solicitud de aclaración, manifestando:</w:t>
      </w:r>
    </w:p>
    <w:p w:rsidR="00021AEE" w:rsidRPr="005A3E5E" w:rsidRDefault="00021AEE"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rsidR="00021AEE" w:rsidRPr="005A3E5E" w:rsidRDefault="00021AEE" w:rsidP="004860F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color w:val="000000"/>
          <w:szCs w:val="24"/>
        </w:rPr>
      </w:pPr>
      <w:r w:rsidRPr="005A3E5E">
        <w:rPr>
          <w:rFonts w:ascii="Palatino Linotype" w:eastAsia="Palatino Linotype" w:hAnsi="Palatino Linotype" w:cs="Palatino Linotype"/>
          <w:i/>
          <w:color w:val="000000"/>
          <w:szCs w:val="24"/>
        </w:rPr>
        <w:t>“</w:t>
      </w:r>
      <w:r w:rsidR="009A599D" w:rsidRPr="005A3E5E">
        <w:rPr>
          <w:rFonts w:ascii="Palatino Linotype" w:eastAsia="Palatino Linotype" w:hAnsi="Palatino Linotype" w:cs="Palatino Linotype"/>
          <w:i/>
          <w:color w:val="000000"/>
          <w:szCs w:val="24"/>
        </w:rPr>
        <w:t>LA SOLICITUD ES MUY ESPECÍFICA</w:t>
      </w:r>
      <w:r w:rsidRPr="005A3E5E">
        <w:rPr>
          <w:rFonts w:ascii="Palatino Linotype" w:eastAsia="Palatino Linotype" w:hAnsi="Palatino Linotype" w:cs="Palatino Linotype"/>
          <w:i/>
          <w:color w:val="000000"/>
          <w:szCs w:val="24"/>
        </w:rPr>
        <w:t>”</w:t>
      </w:r>
      <w:r w:rsidRPr="005A3E5E">
        <w:rPr>
          <w:rFonts w:ascii="Palatino Linotype" w:eastAsia="Palatino Linotype" w:hAnsi="Palatino Linotype" w:cs="Palatino Linotype"/>
          <w:color w:val="000000"/>
          <w:szCs w:val="24"/>
        </w:rPr>
        <w:t>.</w:t>
      </w:r>
    </w:p>
    <w:p w:rsidR="00021AEE" w:rsidRPr="005A3E5E" w:rsidRDefault="00021AEE" w:rsidP="004860F7">
      <w:pPr>
        <w:spacing w:after="0" w:line="360" w:lineRule="auto"/>
        <w:jc w:val="both"/>
        <w:rPr>
          <w:rFonts w:ascii="Palatino Linotype" w:hAnsi="Palatino Linotype" w:cs="Arial"/>
          <w:b/>
          <w:sz w:val="24"/>
          <w:szCs w:val="24"/>
        </w:rPr>
      </w:pPr>
    </w:p>
    <w:p w:rsidR="009A599D" w:rsidRPr="005A3E5E" w:rsidRDefault="009A599D"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4"/>
        </w:rPr>
        <w:t>TERCERO</w:t>
      </w:r>
      <w:r w:rsidRPr="005A3E5E">
        <w:rPr>
          <w:rFonts w:ascii="Palatino Linotype" w:hAnsi="Palatino Linotype" w:cs="Arial"/>
          <w:b/>
          <w:sz w:val="24"/>
          <w:szCs w:val="24"/>
        </w:rPr>
        <w:t xml:space="preserve">. </w:t>
      </w:r>
      <w:r w:rsidRPr="005A3E5E">
        <w:rPr>
          <w:rFonts w:ascii="Palatino Linotype" w:hAnsi="Palatino Linotype" w:cs="Arial"/>
          <w:sz w:val="24"/>
          <w:szCs w:val="24"/>
        </w:rPr>
        <w:t xml:space="preserve">En el expediente electrónico SAIMEX, se aprecia que el </w:t>
      </w:r>
      <w:r w:rsidRPr="005A3E5E">
        <w:rPr>
          <w:rFonts w:ascii="Palatino Linotype" w:hAnsi="Palatino Linotype" w:cs="Arial"/>
          <w:b/>
          <w:sz w:val="24"/>
          <w:szCs w:val="24"/>
        </w:rPr>
        <w:t>Sujeto Obligado</w:t>
      </w:r>
      <w:r w:rsidRPr="005A3E5E">
        <w:rPr>
          <w:rFonts w:ascii="Palatino Linotype" w:hAnsi="Palatino Linotype" w:cs="Arial"/>
          <w:sz w:val="24"/>
          <w:szCs w:val="24"/>
        </w:rPr>
        <w:t xml:space="preserve"> fue omiso en dar respuesta a la solicitud de información presentada por el </w:t>
      </w:r>
      <w:r w:rsidRPr="005A3E5E">
        <w:rPr>
          <w:rFonts w:ascii="Palatino Linotype" w:hAnsi="Palatino Linotype" w:cs="Arial"/>
          <w:b/>
          <w:sz w:val="24"/>
          <w:szCs w:val="24"/>
        </w:rPr>
        <w:t>Recurrente</w:t>
      </w:r>
      <w:r w:rsidRPr="005A3E5E">
        <w:rPr>
          <w:rFonts w:ascii="Palatino Linotype" w:hAnsi="Palatino Linotype" w:cs="Arial"/>
          <w:sz w:val="24"/>
          <w:szCs w:val="24"/>
        </w:rPr>
        <w:t xml:space="preserve">. Derivado de lo anterior, se constituye la figura de la NEGATIVA FICTA, cuya esencia </w:t>
      </w:r>
      <w:r w:rsidRPr="005A3E5E">
        <w:rPr>
          <w:rFonts w:ascii="Palatino Linotype" w:hAnsi="Palatino Linotype" w:cs="Arial"/>
          <w:sz w:val="24"/>
          <w:szCs w:val="24"/>
        </w:rPr>
        <w:lastRenderedPageBreak/>
        <w:t xml:space="preserve">consiste en atribuir un efecto negativo de la autoridad administrativa frente a las instancias y solicitudes que hagan los particulares. </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9A599D"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4"/>
        </w:rPr>
        <w:t>CUARTO</w:t>
      </w:r>
      <w:r w:rsidR="00847025" w:rsidRPr="005A3E5E">
        <w:rPr>
          <w:rFonts w:ascii="Palatino Linotype" w:hAnsi="Palatino Linotype" w:cs="Arial"/>
          <w:b/>
          <w:sz w:val="24"/>
          <w:szCs w:val="24"/>
        </w:rPr>
        <w:t xml:space="preserve">. </w:t>
      </w:r>
      <w:r w:rsidR="00847025" w:rsidRPr="005A3E5E">
        <w:rPr>
          <w:rFonts w:ascii="Palatino Linotype" w:hAnsi="Palatino Linotype" w:cs="Arial"/>
          <w:sz w:val="24"/>
          <w:szCs w:val="24"/>
        </w:rPr>
        <w:t xml:space="preserve">Inconforme ante la falta de respuesta por parte del </w:t>
      </w:r>
      <w:r w:rsidR="00847025" w:rsidRPr="005A3E5E">
        <w:rPr>
          <w:rFonts w:ascii="Palatino Linotype" w:hAnsi="Palatino Linotype" w:cs="Arial"/>
          <w:b/>
          <w:sz w:val="24"/>
          <w:szCs w:val="24"/>
        </w:rPr>
        <w:t>Sujeto Obligado</w:t>
      </w:r>
      <w:r w:rsidR="00847025" w:rsidRPr="005A3E5E">
        <w:rPr>
          <w:rFonts w:ascii="Palatino Linotype" w:hAnsi="Palatino Linotype" w:cs="Arial"/>
          <w:sz w:val="24"/>
          <w:szCs w:val="24"/>
        </w:rPr>
        <w:t xml:space="preserve">, el ahora </w:t>
      </w:r>
      <w:r w:rsidR="00847025" w:rsidRPr="005A3E5E">
        <w:rPr>
          <w:rFonts w:ascii="Palatino Linotype" w:hAnsi="Palatino Linotype" w:cs="Arial"/>
          <w:b/>
          <w:sz w:val="24"/>
          <w:szCs w:val="24"/>
        </w:rPr>
        <w:t>Recurrente</w:t>
      </w:r>
      <w:r w:rsidR="00847025" w:rsidRPr="005A3E5E">
        <w:rPr>
          <w:rFonts w:ascii="Palatino Linotype" w:hAnsi="Palatino Linotype" w:cs="Arial"/>
          <w:sz w:val="24"/>
          <w:szCs w:val="24"/>
        </w:rPr>
        <w:t xml:space="preserve"> en fecha </w:t>
      </w:r>
      <w:r w:rsidRPr="005A3E5E">
        <w:rPr>
          <w:rFonts w:ascii="Palatino Linotype" w:hAnsi="Palatino Linotype" w:cs="Arial"/>
          <w:sz w:val="24"/>
          <w:szCs w:val="24"/>
        </w:rPr>
        <w:t>veintiuno de diciembre de dos mil veintidós</w:t>
      </w:r>
      <w:r w:rsidR="00847025" w:rsidRPr="005A3E5E">
        <w:rPr>
          <w:rFonts w:ascii="Palatino Linotype" w:hAnsi="Palatino Linotype" w:cs="Arial"/>
          <w:sz w:val="24"/>
          <w:szCs w:val="24"/>
        </w:rPr>
        <w:t>, interpuso recurso de revisión, que fue registrado</w:t>
      </w:r>
      <w:r w:rsidR="00847025" w:rsidRPr="005A3E5E">
        <w:rPr>
          <w:rFonts w:ascii="Palatino Linotype" w:hAnsi="Palatino Linotype" w:cs="Arial"/>
          <w:b/>
          <w:sz w:val="24"/>
          <w:szCs w:val="24"/>
        </w:rPr>
        <w:t xml:space="preserve"> </w:t>
      </w:r>
      <w:r w:rsidR="00847025" w:rsidRPr="005A3E5E">
        <w:rPr>
          <w:rFonts w:ascii="Palatino Linotype" w:hAnsi="Palatino Linotype" w:cs="Arial"/>
          <w:sz w:val="24"/>
          <w:szCs w:val="24"/>
        </w:rPr>
        <w:t xml:space="preserve">en el sistema electrónico con número de expediente </w:t>
      </w:r>
      <w:r w:rsidR="00847025" w:rsidRPr="005A3E5E">
        <w:rPr>
          <w:rFonts w:ascii="Palatino Linotype" w:hAnsi="Palatino Linotype" w:cs="Arial"/>
          <w:b/>
          <w:bCs/>
          <w:sz w:val="24"/>
          <w:szCs w:val="24"/>
          <w:lang w:eastAsia="es-MX"/>
        </w:rPr>
        <w:t>0</w:t>
      </w:r>
      <w:r w:rsidRPr="005A3E5E">
        <w:rPr>
          <w:rFonts w:ascii="Palatino Linotype" w:hAnsi="Palatino Linotype" w:cs="Arial"/>
          <w:b/>
          <w:bCs/>
          <w:sz w:val="24"/>
          <w:szCs w:val="24"/>
          <w:lang w:eastAsia="es-MX"/>
        </w:rPr>
        <w:t>17595</w:t>
      </w:r>
      <w:r w:rsidR="00847025" w:rsidRPr="005A3E5E">
        <w:rPr>
          <w:rFonts w:ascii="Palatino Linotype" w:hAnsi="Palatino Linotype" w:cs="Arial"/>
          <w:b/>
          <w:bCs/>
          <w:sz w:val="24"/>
          <w:szCs w:val="24"/>
          <w:lang w:eastAsia="es-MX"/>
        </w:rPr>
        <w:t>/INFOEM/IP/RR/202</w:t>
      </w:r>
      <w:r w:rsidRPr="005A3E5E">
        <w:rPr>
          <w:rFonts w:ascii="Palatino Linotype" w:hAnsi="Palatino Linotype" w:cs="Arial"/>
          <w:b/>
          <w:bCs/>
          <w:sz w:val="24"/>
          <w:szCs w:val="24"/>
          <w:lang w:eastAsia="es-MX"/>
        </w:rPr>
        <w:t>2</w:t>
      </w:r>
      <w:r w:rsidR="00847025" w:rsidRPr="005A3E5E">
        <w:rPr>
          <w:rFonts w:ascii="Palatino Linotype" w:hAnsi="Palatino Linotype" w:cs="Arial"/>
          <w:sz w:val="24"/>
          <w:szCs w:val="24"/>
        </w:rPr>
        <w:t>, aduciendo como acto impugnado y razones o motivos de inconformidad, los siguientes:</w:t>
      </w:r>
    </w:p>
    <w:p w:rsidR="00847025" w:rsidRPr="005A3E5E" w:rsidRDefault="00847025" w:rsidP="004860F7">
      <w:pPr>
        <w:spacing w:after="0" w:line="360" w:lineRule="auto"/>
        <w:jc w:val="both"/>
        <w:rPr>
          <w:rFonts w:ascii="Palatino Linotype" w:hAnsi="Palatino Linotype" w:cs="Arial"/>
          <w:b/>
          <w:sz w:val="24"/>
          <w:szCs w:val="24"/>
        </w:rPr>
      </w:pPr>
    </w:p>
    <w:p w:rsidR="00847025" w:rsidRPr="005A3E5E" w:rsidRDefault="00847025" w:rsidP="004860F7">
      <w:pPr>
        <w:pStyle w:val="Prrafodelista"/>
        <w:spacing w:line="360" w:lineRule="auto"/>
        <w:ind w:left="0"/>
        <w:jc w:val="both"/>
        <w:rPr>
          <w:rFonts w:ascii="Palatino Linotype" w:hAnsi="Palatino Linotype" w:cs="Arial"/>
          <w:b/>
        </w:rPr>
      </w:pPr>
      <w:r w:rsidRPr="005A3E5E">
        <w:rPr>
          <w:rFonts w:ascii="Palatino Linotype" w:hAnsi="Palatino Linotype" w:cs="Arial"/>
          <w:b/>
        </w:rPr>
        <w:t>Acto Impugnado:</w:t>
      </w:r>
    </w:p>
    <w:p w:rsidR="00847025" w:rsidRPr="005A3E5E" w:rsidRDefault="00847025" w:rsidP="004860F7">
      <w:pPr>
        <w:pStyle w:val="Prrafodelista"/>
        <w:spacing w:line="360" w:lineRule="auto"/>
        <w:ind w:left="0"/>
        <w:jc w:val="both"/>
        <w:rPr>
          <w:rFonts w:ascii="Palatino Linotype" w:hAnsi="Palatino Linotype" w:cs="Arial"/>
          <w:b/>
        </w:rPr>
      </w:pPr>
    </w:p>
    <w:p w:rsidR="00847025" w:rsidRPr="005A3E5E" w:rsidRDefault="00847025" w:rsidP="004860F7">
      <w:pPr>
        <w:spacing w:after="0" w:line="240" w:lineRule="auto"/>
        <w:ind w:left="567" w:right="567"/>
        <w:jc w:val="both"/>
        <w:rPr>
          <w:rFonts w:ascii="Palatino Linotype" w:hAnsi="Palatino Linotype"/>
          <w:i/>
          <w:color w:val="000000"/>
        </w:rPr>
      </w:pPr>
      <w:r w:rsidRPr="005A3E5E">
        <w:rPr>
          <w:rFonts w:ascii="Palatino Linotype" w:hAnsi="Palatino Linotype" w:cs="Arial"/>
          <w:i/>
        </w:rPr>
        <w:t>“</w:t>
      </w:r>
      <w:r w:rsidR="009A599D" w:rsidRPr="005A3E5E">
        <w:rPr>
          <w:rFonts w:ascii="Palatino Linotype" w:hAnsi="Palatino Linotype"/>
          <w:i/>
          <w:color w:val="000000"/>
        </w:rPr>
        <w:t>NO ENTREGA INFORMACIÓN</w:t>
      </w:r>
      <w:r w:rsidRPr="005A3E5E">
        <w:rPr>
          <w:rFonts w:ascii="Palatino Linotype" w:hAnsi="Palatino Linotype"/>
          <w:i/>
          <w:color w:val="000000"/>
        </w:rPr>
        <w:t>” (sic)</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847025" w:rsidP="004860F7">
      <w:pPr>
        <w:spacing w:after="0" w:line="360" w:lineRule="auto"/>
        <w:jc w:val="both"/>
        <w:rPr>
          <w:rFonts w:ascii="Palatino Linotype" w:hAnsi="Palatino Linotype" w:cs="Arial"/>
          <w:sz w:val="28"/>
          <w:szCs w:val="24"/>
        </w:rPr>
      </w:pPr>
      <w:r w:rsidRPr="005A3E5E">
        <w:rPr>
          <w:rFonts w:ascii="Palatino Linotype" w:hAnsi="Palatino Linotype" w:cs="Arial"/>
          <w:b/>
          <w:sz w:val="24"/>
        </w:rPr>
        <w:t>Razones o motivos de inconformidad:</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847025" w:rsidP="004860F7">
      <w:pPr>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r w:rsidR="009A599D" w:rsidRPr="005A3E5E">
        <w:rPr>
          <w:rFonts w:ascii="Palatino Linotype" w:hAnsi="Palatino Linotype" w:cs="Arial"/>
          <w:i/>
          <w:szCs w:val="24"/>
        </w:rPr>
        <w:t>NO ENTREGA INFORMACIÓN</w:t>
      </w:r>
      <w:r w:rsidRPr="005A3E5E">
        <w:rPr>
          <w:rFonts w:ascii="Palatino Linotype" w:hAnsi="Palatino Linotype" w:cs="Arial"/>
          <w:i/>
          <w:szCs w:val="24"/>
        </w:rPr>
        <w:t>”</w:t>
      </w:r>
    </w:p>
    <w:p w:rsidR="00847025" w:rsidRPr="005A3E5E" w:rsidRDefault="00847025" w:rsidP="004860F7">
      <w:pPr>
        <w:spacing w:after="0" w:line="360" w:lineRule="auto"/>
        <w:ind w:right="49"/>
        <w:jc w:val="both"/>
        <w:rPr>
          <w:rFonts w:ascii="Palatino Linotype" w:eastAsia="Times New Roman" w:hAnsi="Palatino Linotype" w:cs="Arial"/>
          <w:sz w:val="24"/>
          <w:lang w:eastAsia="es-ES"/>
        </w:rPr>
      </w:pPr>
    </w:p>
    <w:p w:rsidR="00847025" w:rsidRPr="005A3E5E" w:rsidRDefault="00847025" w:rsidP="004860F7">
      <w:pPr>
        <w:spacing w:after="0" w:line="360" w:lineRule="auto"/>
        <w:ind w:right="49"/>
        <w:jc w:val="both"/>
        <w:rPr>
          <w:rFonts w:ascii="Palatino Linotype" w:eastAsia="Times New Roman" w:hAnsi="Palatino Linotype" w:cs="Arial"/>
          <w:sz w:val="24"/>
          <w:szCs w:val="24"/>
          <w:lang w:val="es-ES_tradnl" w:eastAsia="es-ES"/>
        </w:rPr>
      </w:pPr>
      <w:r w:rsidRPr="005A3E5E">
        <w:rPr>
          <w:rFonts w:ascii="Palatino Linotype" w:eastAsia="Times New Roman" w:hAnsi="Palatino Linotype" w:cs="Arial"/>
          <w:sz w:val="24"/>
          <w:szCs w:val="24"/>
          <w:lang w:val="es-ES_tradnl" w:eastAsia="es-ES"/>
        </w:rPr>
        <w:t>Recurso de revisión que</w:t>
      </w:r>
      <w:r w:rsidRPr="005A3E5E">
        <w:rPr>
          <w:rFonts w:ascii="Palatino Linotype" w:eastAsia="Times New Roman" w:hAnsi="Palatino Linotype" w:cs="Arial"/>
          <w:sz w:val="24"/>
          <w:szCs w:val="24"/>
          <w:lang w:val="es-ES" w:eastAsia="es-ES"/>
        </w:rPr>
        <w:t xml:space="preserve"> se</w:t>
      </w:r>
      <w:r w:rsidRPr="005A3E5E">
        <w:rPr>
          <w:rFonts w:ascii="Palatino Linotype" w:eastAsia="Times New Roman" w:hAnsi="Palatino Linotype" w:cs="Arial"/>
          <w:sz w:val="24"/>
          <w:szCs w:val="24"/>
          <w:lang w:val="es-ES_tradnl" w:eastAsia="es-ES"/>
        </w:rPr>
        <w:t xml:space="preserve"> envió electrónicamente al Instituto de </w:t>
      </w:r>
      <w:r w:rsidRPr="005A3E5E">
        <w:rPr>
          <w:rFonts w:ascii="Palatino Linotype" w:eastAsia="Arial Unicode MS" w:hAnsi="Palatino Linotype" w:cs="Arial"/>
          <w:sz w:val="24"/>
          <w:szCs w:val="24"/>
          <w:lang w:val="es-ES" w:eastAsia="es-ES"/>
        </w:rPr>
        <w:t>Transparencia</w:t>
      </w:r>
      <w:r w:rsidRPr="005A3E5E">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5A3E5E">
        <w:rPr>
          <w:rFonts w:ascii="Palatino Linotype" w:eastAsia="Times New Roman" w:hAnsi="Palatino Linotype" w:cs="Times New Roman"/>
          <w:sz w:val="24"/>
          <w:szCs w:val="24"/>
          <w:lang w:val="es-ES" w:eastAsia="es-ES"/>
        </w:rPr>
        <w:t>Ley de Transparencia y Acceso a la Información Pública del Estado de México y Municipios</w:t>
      </w:r>
      <w:r w:rsidRPr="005A3E5E">
        <w:rPr>
          <w:rFonts w:ascii="Palatino Linotype" w:eastAsia="Times New Roman" w:hAnsi="Palatino Linotype" w:cs="Arial"/>
          <w:sz w:val="24"/>
          <w:szCs w:val="24"/>
          <w:lang w:val="es-ES_tradnl" w:eastAsia="es-ES"/>
        </w:rPr>
        <w:t>, se turnó a través del</w:t>
      </w:r>
      <w:r w:rsidRPr="005A3E5E">
        <w:rPr>
          <w:rFonts w:ascii="Palatino Linotype" w:eastAsia="Arial Unicode MS" w:hAnsi="Palatino Linotype" w:cs="Arial"/>
          <w:sz w:val="24"/>
          <w:szCs w:val="24"/>
          <w:lang w:val="es-ES_tradnl" w:eastAsia="es-ES"/>
        </w:rPr>
        <w:t xml:space="preserve"> </w:t>
      </w:r>
      <w:r w:rsidRPr="005A3E5E">
        <w:rPr>
          <w:rFonts w:ascii="Palatino Linotype" w:eastAsia="Arial Unicode MS" w:hAnsi="Palatino Linotype" w:cs="Arial"/>
          <w:b/>
          <w:sz w:val="24"/>
          <w:szCs w:val="24"/>
          <w:lang w:val="es-ES_tradnl" w:eastAsia="es-ES"/>
        </w:rPr>
        <w:t>SAIMEX</w:t>
      </w:r>
      <w:r w:rsidRPr="005A3E5E">
        <w:rPr>
          <w:rFonts w:ascii="Palatino Linotype" w:eastAsia="Times New Roman" w:hAnsi="Palatino Linotype" w:cs="Times New Roman"/>
          <w:sz w:val="24"/>
          <w:szCs w:val="24"/>
          <w:lang w:val="es-ES" w:eastAsia="es-ES"/>
        </w:rPr>
        <w:t xml:space="preserve"> al </w:t>
      </w:r>
      <w:r w:rsidRPr="005A3E5E">
        <w:rPr>
          <w:rFonts w:ascii="Palatino Linotype" w:eastAsia="Times New Roman" w:hAnsi="Palatino Linotype" w:cs="Arial"/>
          <w:sz w:val="24"/>
          <w:szCs w:val="24"/>
          <w:lang w:val="es-ES_tradnl" w:eastAsia="es-ES"/>
        </w:rPr>
        <w:t xml:space="preserve">Comisionado Presidente </w:t>
      </w:r>
      <w:r w:rsidRPr="005A3E5E">
        <w:rPr>
          <w:rFonts w:ascii="Palatino Linotype" w:eastAsia="Times New Roman" w:hAnsi="Palatino Linotype" w:cs="Arial"/>
          <w:b/>
          <w:sz w:val="24"/>
          <w:szCs w:val="24"/>
          <w:lang w:val="es-ES_tradnl" w:eastAsia="es-ES"/>
        </w:rPr>
        <w:t xml:space="preserve">JOSÉ MARTÍNEZ VILCHIS, </w:t>
      </w:r>
      <w:r w:rsidRPr="005A3E5E">
        <w:rPr>
          <w:rFonts w:ascii="Palatino Linotype" w:eastAsia="Times New Roman" w:hAnsi="Palatino Linotype" w:cs="Arial"/>
          <w:sz w:val="24"/>
          <w:szCs w:val="24"/>
          <w:lang w:val="es-ES_tradnl" w:eastAsia="es-ES"/>
        </w:rPr>
        <w:t>a efecto de que decretara su admisión o desechamiento.</w:t>
      </w:r>
    </w:p>
    <w:p w:rsidR="00847025" w:rsidRPr="005A3E5E" w:rsidRDefault="00847025" w:rsidP="004860F7">
      <w:pPr>
        <w:spacing w:after="0" w:line="360" w:lineRule="auto"/>
        <w:ind w:right="49"/>
        <w:jc w:val="both"/>
        <w:rPr>
          <w:rFonts w:ascii="Palatino Linotype" w:eastAsia="Times New Roman" w:hAnsi="Palatino Linotype" w:cs="Arial"/>
          <w:sz w:val="24"/>
          <w:szCs w:val="24"/>
          <w:lang w:val="es-ES_tradnl" w:eastAsia="es-ES"/>
        </w:rPr>
      </w:pPr>
    </w:p>
    <w:p w:rsidR="00847025"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b/>
          <w:sz w:val="28"/>
          <w:szCs w:val="28"/>
          <w:lang w:val="es-ES_tradnl" w:eastAsia="es-ES"/>
        </w:rPr>
        <w:lastRenderedPageBreak/>
        <w:t>QUINTO</w:t>
      </w:r>
      <w:r w:rsidR="00847025" w:rsidRPr="005A3E5E">
        <w:rPr>
          <w:rFonts w:ascii="Palatino Linotype" w:eastAsia="Times New Roman" w:hAnsi="Palatino Linotype" w:cs="Arial"/>
          <w:b/>
          <w:sz w:val="28"/>
          <w:szCs w:val="28"/>
          <w:lang w:val="es-ES_tradnl" w:eastAsia="es-ES"/>
        </w:rPr>
        <w:t xml:space="preserve">. </w:t>
      </w:r>
      <w:r w:rsidR="00847025" w:rsidRPr="005A3E5E">
        <w:rPr>
          <w:rFonts w:ascii="Palatino Linotype" w:eastAsia="Times New Roman" w:hAnsi="Palatino Linotype" w:cs="Arial"/>
          <w:sz w:val="24"/>
          <w:szCs w:val="24"/>
          <w:lang w:val="es-ES_tradnl" w:eastAsia="es-ES"/>
        </w:rPr>
        <w:t>E</w:t>
      </w:r>
      <w:r w:rsidR="00847025" w:rsidRPr="005A3E5E">
        <w:rPr>
          <w:rFonts w:ascii="Palatino Linotype" w:eastAsia="Times New Roman" w:hAnsi="Palatino Linotype" w:cs="Arial"/>
          <w:sz w:val="24"/>
          <w:szCs w:val="24"/>
          <w:lang w:val="es-ES" w:eastAsia="es-ES"/>
        </w:rPr>
        <w:t xml:space="preserve">n fecha </w:t>
      </w:r>
      <w:r w:rsidRPr="005A3E5E">
        <w:rPr>
          <w:rFonts w:ascii="Palatino Linotype" w:eastAsia="Times New Roman" w:hAnsi="Palatino Linotype" w:cs="Arial"/>
          <w:sz w:val="24"/>
          <w:szCs w:val="24"/>
          <w:lang w:val="es-ES" w:eastAsia="es-ES"/>
        </w:rPr>
        <w:t xml:space="preserve">once de enero de dos </w:t>
      </w:r>
      <w:r w:rsidR="00847025" w:rsidRPr="005A3E5E">
        <w:rPr>
          <w:rFonts w:ascii="Palatino Linotype" w:eastAsia="Times New Roman" w:hAnsi="Palatino Linotype" w:cs="Arial"/>
          <w:sz w:val="24"/>
          <w:szCs w:val="24"/>
          <w:lang w:val="es-ES" w:eastAsia="es-ES"/>
        </w:rPr>
        <w:t xml:space="preserve">mil veintitrés, atento a lo dispuesto en el </w:t>
      </w:r>
      <w:r w:rsidR="00847025" w:rsidRPr="005A3E5E">
        <w:rPr>
          <w:rFonts w:ascii="Palatino Linotype" w:eastAsia="Times New Roman" w:hAnsi="Palatino Linotype" w:cs="Arial"/>
          <w:sz w:val="24"/>
          <w:szCs w:val="24"/>
          <w:lang w:val="es-ES_tradnl" w:eastAsia="es-ES"/>
        </w:rPr>
        <w:t>artículo</w:t>
      </w:r>
      <w:r w:rsidR="00847025" w:rsidRPr="005A3E5E">
        <w:rPr>
          <w:rFonts w:ascii="Palatino Linotype" w:eastAsia="Times New Roman" w:hAnsi="Palatino Linotype" w:cs="Arial"/>
          <w:sz w:val="24"/>
          <w:szCs w:val="24"/>
          <w:lang w:val="es-ES" w:eastAsia="es-ES"/>
        </w:rPr>
        <w:t xml:space="preserve"> 185 fracciones I, II y IV </w:t>
      </w:r>
      <w:r w:rsidR="00847025" w:rsidRPr="005A3E5E">
        <w:rPr>
          <w:rFonts w:ascii="Palatino Linotype" w:eastAsia="Times New Roman" w:hAnsi="Palatino Linotype" w:cs="Arial"/>
          <w:sz w:val="24"/>
          <w:szCs w:val="24"/>
          <w:lang w:val="es-ES_tradnl" w:eastAsia="es-ES"/>
        </w:rPr>
        <w:t xml:space="preserve">de la </w:t>
      </w:r>
      <w:r w:rsidR="00847025" w:rsidRPr="005A3E5E">
        <w:rPr>
          <w:rFonts w:ascii="Palatino Linotype" w:eastAsia="Times New Roman" w:hAnsi="Palatino Linotype" w:cs="Times New Roman"/>
          <w:sz w:val="24"/>
          <w:szCs w:val="24"/>
          <w:lang w:val="es-ES" w:eastAsia="es-ES"/>
        </w:rPr>
        <w:t>Ley de Transparencia y Acceso a la Información Pública del Estado de México y Municipios, se a</w:t>
      </w:r>
      <w:r w:rsidR="00847025" w:rsidRPr="005A3E5E">
        <w:rPr>
          <w:rFonts w:ascii="Palatino Linotype" w:eastAsia="Times New Roman" w:hAnsi="Palatino Linotype" w:cs="Arial"/>
          <w:sz w:val="24"/>
          <w:szCs w:val="24"/>
          <w:lang w:val="es-ES" w:eastAsia="es-ES"/>
        </w:rPr>
        <w:t>cordó la admisión a trámite del referido recurso de revisión, así como la integración del expediente respectivo, que se pusieron a disposición de las partes, para que en un plazo máximo de siete días hábiles, realizarán manifestaciones y ofrecieran las pruebas y alegatos que a su derecho conviniera o exhibieran el informe justificado, según fuera el caso.</w:t>
      </w:r>
    </w:p>
    <w:p w:rsidR="00847025" w:rsidRPr="005A3E5E" w:rsidRDefault="00847025" w:rsidP="004860F7">
      <w:pPr>
        <w:spacing w:after="0" w:line="360" w:lineRule="auto"/>
        <w:jc w:val="both"/>
        <w:rPr>
          <w:rFonts w:ascii="Palatino Linotype" w:hAnsi="Palatino Linotype" w:cs="Arial"/>
          <w:sz w:val="24"/>
          <w:szCs w:val="28"/>
          <w:lang w:val="es-ES"/>
        </w:rPr>
      </w:pPr>
    </w:p>
    <w:p w:rsidR="00847025" w:rsidRPr="005A3E5E" w:rsidRDefault="009A599D"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8"/>
        </w:rPr>
        <w:t>SEXTO</w:t>
      </w:r>
      <w:r w:rsidR="00847025" w:rsidRPr="005A3E5E">
        <w:rPr>
          <w:rFonts w:ascii="Palatino Linotype" w:hAnsi="Palatino Linotype" w:cs="Arial"/>
          <w:b/>
          <w:sz w:val="28"/>
          <w:szCs w:val="28"/>
        </w:rPr>
        <w:t xml:space="preserve">. </w:t>
      </w:r>
      <w:r w:rsidR="00847025" w:rsidRPr="005A3E5E">
        <w:rPr>
          <w:rFonts w:ascii="Palatino Linotype" w:hAnsi="Palatino Linotype" w:cs="Arial"/>
          <w:sz w:val="24"/>
          <w:szCs w:val="24"/>
        </w:rPr>
        <w:t xml:space="preserve">Una vez abierta la etapa de instrucción, se advierte que el </w:t>
      </w:r>
      <w:r w:rsidR="00847025" w:rsidRPr="005A3E5E">
        <w:rPr>
          <w:rFonts w:ascii="Palatino Linotype" w:hAnsi="Palatino Linotype" w:cs="Arial"/>
          <w:b/>
          <w:sz w:val="24"/>
          <w:szCs w:val="24"/>
        </w:rPr>
        <w:t>Sujeto Obligado</w:t>
      </w:r>
      <w:r w:rsidR="00847025" w:rsidRPr="005A3E5E">
        <w:rPr>
          <w:rFonts w:ascii="Palatino Linotype" w:hAnsi="Palatino Linotype" w:cs="Arial"/>
          <w:sz w:val="24"/>
          <w:szCs w:val="24"/>
        </w:rPr>
        <w:t xml:space="preserve"> rindió su informe justificado por medio del documento electrónico “</w:t>
      </w:r>
      <w:r w:rsidRPr="005A3E5E">
        <w:rPr>
          <w:rFonts w:ascii="Palatino Linotype" w:hAnsi="Palatino Linotype" w:cs="Arial"/>
          <w:b/>
          <w:i/>
          <w:sz w:val="24"/>
          <w:szCs w:val="24"/>
        </w:rPr>
        <w:t>respuesta de solicitud 1264-22R.pdf</w:t>
      </w:r>
      <w:r w:rsidR="00847025" w:rsidRPr="005A3E5E">
        <w:rPr>
          <w:rFonts w:ascii="Palatino Linotype" w:hAnsi="Palatino Linotype" w:cs="Arial"/>
          <w:sz w:val="24"/>
          <w:szCs w:val="24"/>
        </w:rPr>
        <w:t xml:space="preserve">”, </w:t>
      </w:r>
      <w:r w:rsidRPr="005A3E5E">
        <w:rPr>
          <w:rFonts w:ascii="Palatino Linotype" w:hAnsi="Palatino Linotype" w:cs="Arial"/>
          <w:sz w:val="24"/>
          <w:szCs w:val="24"/>
        </w:rPr>
        <w:t xml:space="preserve">el cual </w:t>
      </w:r>
      <w:r w:rsidR="00847025" w:rsidRPr="005A3E5E">
        <w:rPr>
          <w:rFonts w:ascii="Palatino Linotype" w:hAnsi="Palatino Linotype" w:cs="Arial"/>
          <w:sz w:val="24"/>
          <w:szCs w:val="24"/>
        </w:rPr>
        <w:t xml:space="preserve">fue puesto a la vista del </w:t>
      </w:r>
      <w:r w:rsidR="00847025" w:rsidRPr="005A3E5E">
        <w:rPr>
          <w:rFonts w:ascii="Palatino Linotype" w:hAnsi="Palatino Linotype" w:cs="Arial"/>
          <w:b/>
          <w:sz w:val="24"/>
          <w:szCs w:val="24"/>
        </w:rPr>
        <w:t>Recurrente</w:t>
      </w:r>
      <w:r w:rsidR="00847025" w:rsidRPr="005A3E5E">
        <w:rPr>
          <w:rFonts w:ascii="Palatino Linotype" w:hAnsi="Palatino Linotype" w:cs="Arial"/>
          <w:sz w:val="24"/>
          <w:szCs w:val="24"/>
        </w:rPr>
        <w:t xml:space="preserve">, </w:t>
      </w:r>
      <w:r w:rsidRPr="005A3E5E">
        <w:rPr>
          <w:rFonts w:ascii="Palatino Linotype" w:hAnsi="Palatino Linotype" w:cs="Arial"/>
          <w:sz w:val="24"/>
          <w:szCs w:val="24"/>
        </w:rPr>
        <w:t>a efecto de que presentara las manifestaciones que a sus intereses conviniera.</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5A3E5E">
        <w:rPr>
          <w:rFonts w:ascii="Palatino Linotype" w:hAnsi="Palatino Linotype" w:cs="Arial"/>
          <w:b/>
          <w:sz w:val="24"/>
          <w:szCs w:val="24"/>
        </w:rPr>
        <w:t>Recurrente</w:t>
      </w:r>
      <w:r w:rsidRPr="005A3E5E">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9A599D"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8"/>
        </w:rPr>
        <w:t>SÉPTIMO</w:t>
      </w:r>
      <w:r w:rsidR="00847025" w:rsidRPr="005A3E5E">
        <w:rPr>
          <w:rFonts w:ascii="Palatino Linotype" w:hAnsi="Palatino Linotype" w:cs="Arial"/>
          <w:b/>
          <w:sz w:val="28"/>
          <w:szCs w:val="28"/>
        </w:rPr>
        <w:t xml:space="preserve">. </w:t>
      </w:r>
      <w:r w:rsidR="00847025" w:rsidRPr="005A3E5E">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Pr="005A3E5E">
        <w:rPr>
          <w:rFonts w:ascii="Palatino Linotype" w:hAnsi="Palatino Linotype" w:cs="Arial"/>
          <w:sz w:val="24"/>
          <w:szCs w:val="24"/>
        </w:rPr>
        <w:t xml:space="preserve">veintitrés de enero </w:t>
      </w:r>
      <w:r w:rsidR="00847025" w:rsidRPr="005A3E5E">
        <w:rPr>
          <w:rFonts w:ascii="Palatino Linotype" w:hAnsi="Palatino Linotype" w:cs="Arial"/>
          <w:sz w:val="24"/>
          <w:szCs w:val="24"/>
        </w:rPr>
        <w:t xml:space="preserve">de dos mil veintitrés, en términos del artículo 185 fracción VI de la Ley de </w:t>
      </w:r>
      <w:r w:rsidR="00847025" w:rsidRPr="005A3E5E">
        <w:rPr>
          <w:rFonts w:ascii="Palatino Linotype" w:hAnsi="Palatino Linotype" w:cs="Arial"/>
          <w:sz w:val="24"/>
          <w:szCs w:val="24"/>
        </w:rPr>
        <w:lastRenderedPageBreak/>
        <w:t>Transparencia y Acceso a la Información Pública del Estado de México y Municipios, ordenándose turnar los expedientes a la resolución que en derecho proceda.</w:t>
      </w:r>
    </w:p>
    <w:p w:rsidR="00847025" w:rsidRPr="005A3E5E" w:rsidRDefault="00847025" w:rsidP="004860F7">
      <w:pPr>
        <w:spacing w:after="0" w:line="360" w:lineRule="auto"/>
        <w:jc w:val="both"/>
        <w:rPr>
          <w:rFonts w:ascii="Palatino Linotype" w:hAnsi="Palatino Linotype" w:cs="Arial"/>
          <w:sz w:val="24"/>
          <w:szCs w:val="24"/>
        </w:rPr>
      </w:pPr>
    </w:p>
    <w:p w:rsidR="009A599D" w:rsidRPr="005A3E5E" w:rsidRDefault="009A599D" w:rsidP="004860F7">
      <w:pPr>
        <w:spacing w:after="0" w:line="360" w:lineRule="auto"/>
        <w:jc w:val="both"/>
        <w:rPr>
          <w:rFonts w:ascii="Palatino Linotype" w:hAnsi="Palatino Linotype" w:cs="Arial"/>
          <w:sz w:val="24"/>
          <w:szCs w:val="24"/>
        </w:rPr>
      </w:pPr>
      <w:r w:rsidRPr="005A3E5E">
        <w:rPr>
          <w:rFonts w:ascii="Palatino Linotype" w:hAnsi="Palatino Linotype" w:cs="Arial"/>
          <w:b/>
          <w:sz w:val="28"/>
          <w:szCs w:val="28"/>
        </w:rPr>
        <w:t>OCTAVO</w:t>
      </w:r>
      <w:r w:rsidRPr="005A3E5E">
        <w:rPr>
          <w:rFonts w:ascii="Palatino Linotype" w:hAnsi="Palatino Linotype" w:cs="Arial"/>
          <w:sz w:val="24"/>
          <w:szCs w:val="24"/>
        </w:rPr>
        <w:t xml:space="preserve"> De las constancias que integran el expediente electrónico , se advierte que ha transcurrido el término de Ley, para la emisión de la resolución en el presente recurso de revisión, por lo que en fecha diecisiete de enero de dos mil veintitrés,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9A599D" w:rsidRPr="005A3E5E" w:rsidRDefault="009A599D" w:rsidP="004860F7">
      <w:pPr>
        <w:spacing w:after="0" w:line="360" w:lineRule="auto"/>
        <w:jc w:val="both"/>
        <w:rPr>
          <w:rFonts w:ascii="Palatino Linotype" w:hAnsi="Palatino Linotype" w:cs="Arial"/>
          <w:sz w:val="24"/>
          <w:szCs w:val="24"/>
        </w:rPr>
      </w:pP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 </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 </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 </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atentos a los siguientes criterios:</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p>
    <w:p w:rsidR="009A599D" w:rsidRPr="005A3E5E" w:rsidRDefault="009A599D" w:rsidP="004860F7">
      <w:pPr>
        <w:spacing w:after="0" w:line="360" w:lineRule="auto"/>
        <w:ind w:left="993" w:right="49" w:hanging="426"/>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b/>
          <w:sz w:val="24"/>
          <w:szCs w:val="24"/>
          <w:lang w:val="es-ES" w:eastAsia="es-ES"/>
        </w:rPr>
        <w:t xml:space="preserve">a) </w:t>
      </w:r>
      <w:r w:rsidRPr="005A3E5E">
        <w:rPr>
          <w:rFonts w:ascii="Palatino Linotype" w:eastAsia="Times New Roman" w:hAnsi="Palatino Linotype" w:cs="Arial"/>
          <w:b/>
          <w:sz w:val="24"/>
          <w:szCs w:val="24"/>
          <w:lang w:val="es-ES" w:eastAsia="es-ES"/>
        </w:rPr>
        <w:tab/>
        <w:t>Complejidad del asunto:</w:t>
      </w:r>
      <w:r w:rsidRPr="005A3E5E">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9A599D" w:rsidRPr="005A3E5E" w:rsidRDefault="009A599D" w:rsidP="004860F7">
      <w:pPr>
        <w:spacing w:after="0" w:line="360" w:lineRule="auto"/>
        <w:ind w:left="993" w:right="49" w:hanging="426"/>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b/>
          <w:sz w:val="24"/>
          <w:szCs w:val="24"/>
          <w:lang w:val="es-ES" w:eastAsia="es-ES"/>
        </w:rPr>
        <w:t xml:space="preserve">b) </w:t>
      </w:r>
      <w:r w:rsidRPr="005A3E5E">
        <w:rPr>
          <w:rFonts w:ascii="Palatino Linotype" w:eastAsia="Times New Roman" w:hAnsi="Palatino Linotype" w:cs="Arial"/>
          <w:b/>
          <w:sz w:val="24"/>
          <w:szCs w:val="24"/>
          <w:lang w:val="es-ES" w:eastAsia="es-ES"/>
        </w:rPr>
        <w:tab/>
        <w:t>Actividad Procesal del interesado:</w:t>
      </w:r>
      <w:r w:rsidRPr="005A3E5E">
        <w:rPr>
          <w:rFonts w:ascii="Palatino Linotype" w:eastAsia="Times New Roman" w:hAnsi="Palatino Linotype" w:cs="Arial"/>
          <w:sz w:val="24"/>
          <w:szCs w:val="24"/>
          <w:lang w:val="es-ES" w:eastAsia="es-ES"/>
        </w:rPr>
        <w:t xml:space="preserve"> Acciones u omisiones del interesado.</w:t>
      </w:r>
    </w:p>
    <w:p w:rsidR="009A599D" w:rsidRPr="005A3E5E" w:rsidRDefault="009A599D" w:rsidP="004860F7">
      <w:pPr>
        <w:spacing w:after="0" w:line="360" w:lineRule="auto"/>
        <w:ind w:left="993" w:right="49" w:hanging="426"/>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b/>
          <w:sz w:val="24"/>
          <w:szCs w:val="24"/>
          <w:lang w:val="es-ES" w:eastAsia="es-ES"/>
        </w:rPr>
        <w:t xml:space="preserve">c) </w:t>
      </w:r>
      <w:r w:rsidRPr="005A3E5E">
        <w:rPr>
          <w:rFonts w:ascii="Palatino Linotype" w:eastAsia="Times New Roman" w:hAnsi="Palatino Linotype" w:cs="Arial"/>
          <w:b/>
          <w:sz w:val="24"/>
          <w:szCs w:val="24"/>
          <w:lang w:val="es-ES" w:eastAsia="es-ES"/>
        </w:rPr>
        <w:tab/>
        <w:t>Conducta de la Autoridad:</w:t>
      </w:r>
      <w:r w:rsidRPr="005A3E5E">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9A599D" w:rsidRPr="005A3E5E" w:rsidRDefault="009A599D" w:rsidP="004860F7">
      <w:pPr>
        <w:spacing w:after="0" w:line="360" w:lineRule="auto"/>
        <w:ind w:left="993" w:right="49" w:hanging="426"/>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b/>
          <w:sz w:val="24"/>
          <w:szCs w:val="24"/>
          <w:lang w:val="es-ES" w:eastAsia="es-ES"/>
        </w:rPr>
        <w:t xml:space="preserve">d) </w:t>
      </w:r>
      <w:r w:rsidRPr="005A3E5E">
        <w:rPr>
          <w:rFonts w:ascii="Palatino Linotype" w:eastAsia="Times New Roman" w:hAnsi="Palatino Linotype" w:cs="Arial"/>
          <w:b/>
          <w:sz w:val="24"/>
          <w:szCs w:val="24"/>
          <w:lang w:val="es-ES" w:eastAsia="es-ES"/>
        </w:rPr>
        <w:tab/>
        <w:t>La afectación generada en la situación jurídica de la persona involucrada en el proceso:</w:t>
      </w:r>
      <w:r w:rsidRPr="005A3E5E">
        <w:rPr>
          <w:rFonts w:ascii="Palatino Linotype" w:eastAsia="Times New Roman" w:hAnsi="Palatino Linotype" w:cs="Arial"/>
          <w:sz w:val="24"/>
          <w:szCs w:val="24"/>
          <w:lang w:val="es-ES" w:eastAsia="es-ES"/>
        </w:rPr>
        <w:t xml:space="preserve"> Violación a sus derechos humanos.</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De modo que, cuando se trate de un asunto excepcional, por alguna o todas las características mencionadas o bien, cuando el ingreso de asuntos al órgano </w:t>
      </w:r>
      <w:r w:rsidRPr="005A3E5E">
        <w:rPr>
          <w:rFonts w:ascii="Palatino Linotype" w:eastAsia="Times New Roman" w:hAnsi="Palatino Linotype" w:cs="Arial"/>
          <w:sz w:val="24"/>
          <w:szCs w:val="24"/>
          <w:lang w:val="es-ES" w:eastAsia="es-ES"/>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lastRenderedPageBreak/>
        <w:t>Al respecto, también son de considerar los criterios sostenidos por el Cuarto Tribunal Colegiado en Materia Administrativa del Primer Circuito, cuyos rubros y datos de identificación son los siguientes:</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 </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 </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p>
    <w:p w:rsidR="009A599D" w:rsidRPr="005A3E5E" w:rsidRDefault="009A599D" w:rsidP="004860F7">
      <w:pPr>
        <w:spacing w:after="0" w:line="360" w:lineRule="auto"/>
        <w:ind w:right="49"/>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9A599D" w:rsidRPr="005A3E5E" w:rsidRDefault="009A599D" w:rsidP="004860F7">
      <w:pPr>
        <w:spacing w:after="0" w:line="360" w:lineRule="auto"/>
        <w:jc w:val="both"/>
        <w:rPr>
          <w:rFonts w:ascii="Palatino Linotype" w:hAnsi="Palatino Linotype" w:cs="Arial"/>
          <w:sz w:val="24"/>
          <w:szCs w:val="24"/>
        </w:rPr>
      </w:pPr>
    </w:p>
    <w:p w:rsidR="009A599D" w:rsidRPr="005A3E5E" w:rsidRDefault="009A599D" w:rsidP="004860F7">
      <w:pPr>
        <w:spacing w:after="0" w:line="360" w:lineRule="auto"/>
        <w:jc w:val="both"/>
        <w:rPr>
          <w:rFonts w:ascii="Palatino Linotype" w:hAnsi="Palatino Linotype" w:cs="Arial"/>
          <w:sz w:val="24"/>
          <w:szCs w:val="24"/>
        </w:rPr>
      </w:pPr>
    </w:p>
    <w:p w:rsidR="00847025" w:rsidRPr="005A3E5E" w:rsidRDefault="00847025" w:rsidP="004860F7">
      <w:pPr>
        <w:spacing w:after="0" w:line="360" w:lineRule="auto"/>
        <w:jc w:val="center"/>
        <w:rPr>
          <w:rFonts w:ascii="Palatino Linotype" w:hAnsi="Palatino Linotype" w:cs="Arial"/>
          <w:sz w:val="24"/>
          <w:szCs w:val="24"/>
        </w:rPr>
      </w:pPr>
      <w:r w:rsidRPr="005A3E5E">
        <w:rPr>
          <w:rFonts w:ascii="Palatino Linotype" w:hAnsi="Palatino Linotype" w:cs="Arial"/>
          <w:b/>
          <w:sz w:val="28"/>
          <w:szCs w:val="24"/>
        </w:rPr>
        <w:t xml:space="preserve">C O N S I D E R A N D O </w:t>
      </w:r>
    </w:p>
    <w:p w:rsidR="00847025" w:rsidRPr="005A3E5E" w:rsidRDefault="00847025" w:rsidP="004860F7">
      <w:pPr>
        <w:spacing w:after="0" w:line="360" w:lineRule="auto"/>
        <w:jc w:val="center"/>
        <w:rPr>
          <w:rFonts w:ascii="Palatino Linotype" w:hAnsi="Palatino Linotype" w:cs="Arial"/>
          <w:sz w:val="24"/>
          <w:szCs w:val="24"/>
        </w:rPr>
      </w:pPr>
    </w:p>
    <w:p w:rsidR="00847025" w:rsidRPr="005A3E5E" w:rsidRDefault="00847025" w:rsidP="004860F7">
      <w:pPr>
        <w:spacing w:after="0" w:line="360" w:lineRule="auto"/>
        <w:jc w:val="both"/>
        <w:rPr>
          <w:rFonts w:ascii="Palatino Linotype" w:hAnsi="Palatino Linotype" w:cs="Arial"/>
          <w:sz w:val="28"/>
          <w:szCs w:val="28"/>
        </w:rPr>
      </w:pPr>
      <w:r w:rsidRPr="005A3E5E">
        <w:rPr>
          <w:rFonts w:ascii="Palatino Linotype" w:hAnsi="Palatino Linotype" w:cs="Arial"/>
          <w:b/>
          <w:sz w:val="28"/>
          <w:szCs w:val="28"/>
        </w:rPr>
        <w:t xml:space="preserve">PRIMERO. </w:t>
      </w:r>
      <w:r w:rsidRPr="005A3E5E">
        <w:rPr>
          <w:rFonts w:ascii="Palatino Linotype" w:hAnsi="Palatino Linotype" w:cs="Arial"/>
          <w:b/>
          <w:sz w:val="26"/>
          <w:szCs w:val="26"/>
        </w:rPr>
        <w:t>De la competencia</w:t>
      </w:r>
      <w:r w:rsidRPr="005A3E5E">
        <w:rPr>
          <w:rFonts w:ascii="Palatino Linotype" w:hAnsi="Palatino Linotype" w:cs="Arial"/>
          <w:sz w:val="26"/>
          <w:szCs w:val="26"/>
        </w:rPr>
        <w:t>.</w:t>
      </w: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5A3E5E">
        <w:rPr>
          <w:rFonts w:ascii="Palatino Linotype" w:hAnsi="Palatino Linotype" w:cs="Arial"/>
          <w:b/>
          <w:sz w:val="24"/>
          <w:szCs w:val="24"/>
        </w:rPr>
        <w:t>Recurrente</w:t>
      </w:r>
      <w:r w:rsidRPr="005A3E5E">
        <w:rPr>
          <w:rFonts w:ascii="Palatino Linotype" w:hAnsi="Palatino Linotype" w:cs="Arial"/>
          <w:sz w:val="24"/>
          <w:szCs w:val="24"/>
        </w:rPr>
        <w:t xml:space="preserve">, conforme a lo dispuesto en los artículos 6, apartado A, fracción IV de la Constitución Política de los </w:t>
      </w:r>
      <w:r w:rsidRPr="005A3E5E">
        <w:rPr>
          <w:rFonts w:ascii="Palatino Linotype" w:hAnsi="Palatino Linotype" w:cs="Arial"/>
          <w:sz w:val="24"/>
          <w:szCs w:val="24"/>
        </w:rPr>
        <w:lastRenderedPageBreak/>
        <w:t>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847025" w:rsidP="004860F7">
      <w:pPr>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b/>
          <w:sz w:val="28"/>
          <w:szCs w:val="28"/>
        </w:rPr>
      </w:pPr>
      <w:r w:rsidRPr="005A3E5E">
        <w:rPr>
          <w:rFonts w:ascii="Palatino Linotype" w:hAnsi="Palatino Linotype" w:cs="Arial"/>
          <w:b/>
          <w:sz w:val="28"/>
          <w:szCs w:val="28"/>
        </w:rPr>
        <w:t xml:space="preserve">SEGUNDO. </w:t>
      </w:r>
      <w:r w:rsidRPr="005A3E5E">
        <w:rPr>
          <w:rFonts w:ascii="Palatino Linotype" w:hAnsi="Palatino Linotype" w:cs="Arial"/>
          <w:b/>
          <w:sz w:val="26"/>
          <w:szCs w:val="26"/>
        </w:rPr>
        <w:t>Alcance del recurso de revisión.</w:t>
      </w:r>
      <w:r w:rsidRPr="005A3E5E">
        <w:rPr>
          <w:rFonts w:ascii="Palatino Linotype" w:hAnsi="Palatino Linotype" w:cs="Arial"/>
          <w:b/>
          <w:sz w:val="28"/>
          <w:szCs w:val="28"/>
        </w:rPr>
        <w:t xml:space="preserve"> </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276" w:lineRule="auto"/>
        <w:ind w:left="567" w:right="567"/>
        <w:jc w:val="both"/>
        <w:rPr>
          <w:rFonts w:ascii="Palatino Linotype" w:eastAsia="Times New Roman" w:hAnsi="Palatino Linotype" w:cs="Arial"/>
          <w:i/>
          <w:lang w:val="es-ES" w:eastAsia="es-ES"/>
        </w:rPr>
      </w:pPr>
      <w:r w:rsidRPr="005A3E5E">
        <w:rPr>
          <w:rFonts w:ascii="Palatino Linotype" w:eastAsia="Times New Roman" w:hAnsi="Palatino Linotype" w:cs="Arial"/>
          <w:i/>
          <w:lang w:val="es-ES" w:eastAsia="es-ES"/>
        </w:rPr>
        <w:t>“</w:t>
      </w:r>
      <w:r w:rsidRPr="005A3E5E">
        <w:rPr>
          <w:rFonts w:ascii="Palatino Linotype" w:eastAsia="Times New Roman" w:hAnsi="Palatino Linotype" w:cs="Arial"/>
          <w:b/>
          <w:i/>
          <w:lang w:val="es-ES" w:eastAsia="es-ES"/>
        </w:rPr>
        <w:t>Artículo 163.</w:t>
      </w:r>
      <w:r w:rsidRPr="005A3E5E">
        <w:rPr>
          <w:rFonts w:ascii="Palatino Linotype" w:eastAsia="Times New Roman" w:hAnsi="Palatino Linotype" w:cs="Arial"/>
          <w:i/>
          <w:lang w:val="es-ES" w:eastAsia="es-ES"/>
        </w:rPr>
        <w:t xml:space="preserve"> </w:t>
      </w:r>
      <w:r w:rsidRPr="005A3E5E">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rsidR="00847025" w:rsidRPr="005A3E5E" w:rsidRDefault="00847025" w:rsidP="004860F7">
      <w:pPr>
        <w:autoSpaceDE w:val="0"/>
        <w:autoSpaceDN w:val="0"/>
        <w:adjustRightInd w:val="0"/>
        <w:spacing w:after="0" w:line="276" w:lineRule="auto"/>
        <w:ind w:left="567" w:right="567"/>
        <w:jc w:val="both"/>
        <w:rPr>
          <w:rFonts w:ascii="Palatino Linotype" w:eastAsia="Times New Roman" w:hAnsi="Palatino Linotype" w:cs="Arial"/>
          <w:i/>
          <w:lang w:val="es-ES" w:eastAsia="es-ES"/>
        </w:rPr>
      </w:pPr>
      <w:r w:rsidRPr="005A3E5E">
        <w:rPr>
          <w:rFonts w:ascii="Palatino Linotype" w:eastAsia="Times New Roman" w:hAnsi="Palatino Linotype" w:cs="Arial"/>
          <w:i/>
          <w:lang w:val="es-ES" w:eastAsia="es-ES"/>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47025" w:rsidRPr="005A3E5E" w:rsidRDefault="00847025" w:rsidP="004860F7">
      <w:pPr>
        <w:autoSpaceDE w:val="0"/>
        <w:autoSpaceDN w:val="0"/>
        <w:adjustRightInd w:val="0"/>
        <w:spacing w:after="0" w:line="276" w:lineRule="auto"/>
        <w:ind w:left="567" w:right="567"/>
        <w:jc w:val="right"/>
        <w:rPr>
          <w:rFonts w:ascii="Palatino Linotype" w:eastAsia="Times New Roman" w:hAnsi="Palatino Linotype" w:cs="Arial"/>
          <w:lang w:val="es-ES" w:eastAsia="es-ES"/>
        </w:rPr>
      </w:pPr>
      <w:r w:rsidRPr="005A3E5E">
        <w:rPr>
          <w:rFonts w:ascii="Palatino Linotype" w:eastAsia="Times New Roman" w:hAnsi="Palatino Linotype" w:cs="Arial"/>
          <w:lang w:val="es-ES" w:eastAsia="es-ES"/>
        </w:rPr>
        <w:t>(Énfasis añadido)</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De la interpretación al precepto legal inserto, se advierte que el plazo que les asiste a los </w:t>
      </w:r>
      <w:r w:rsidRPr="005A3E5E">
        <w:rPr>
          <w:rFonts w:ascii="Palatino Linotype" w:hAnsi="Palatino Linotype" w:cs="Arial"/>
          <w:b/>
          <w:sz w:val="24"/>
          <w:szCs w:val="24"/>
        </w:rPr>
        <w:t>sujetos</w:t>
      </w:r>
      <w:r w:rsidRPr="005A3E5E">
        <w:rPr>
          <w:rFonts w:ascii="Palatino Linotype" w:hAnsi="Palatino Linotype" w:cs="Arial"/>
          <w:sz w:val="24"/>
          <w:szCs w:val="24"/>
        </w:rPr>
        <w:t xml:space="preserve"> </w:t>
      </w:r>
      <w:r w:rsidRPr="005A3E5E">
        <w:rPr>
          <w:rFonts w:ascii="Palatino Linotype" w:hAnsi="Palatino Linotype" w:cs="Arial"/>
          <w:b/>
          <w:sz w:val="24"/>
          <w:szCs w:val="24"/>
        </w:rPr>
        <w:t>obligados</w:t>
      </w:r>
      <w:r w:rsidRPr="005A3E5E">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Se constituye la figura jurídica de la </w:t>
      </w:r>
      <w:r w:rsidRPr="005A3E5E">
        <w:rPr>
          <w:rFonts w:ascii="Palatino Linotype" w:hAnsi="Palatino Linotype" w:cs="Arial"/>
          <w:b/>
          <w:i/>
          <w:sz w:val="24"/>
          <w:szCs w:val="24"/>
        </w:rPr>
        <w:t>NEGATIVA FICTA</w:t>
      </w:r>
      <w:r w:rsidRPr="005A3E5E">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A3E5E">
        <w:rPr>
          <w:rFonts w:ascii="Palatino Linotype" w:eastAsia="Times New Roman" w:hAnsi="Palatino Linotype" w:cs="Arial"/>
          <w:i/>
          <w:lang w:val="es-ES" w:eastAsia="es-ES"/>
        </w:rPr>
        <w:t>“</w:t>
      </w:r>
      <w:r w:rsidRPr="005A3E5E">
        <w:rPr>
          <w:rFonts w:ascii="Palatino Linotype" w:eastAsia="Times New Roman" w:hAnsi="Palatino Linotype" w:cs="Arial"/>
          <w:b/>
          <w:i/>
          <w:lang w:val="es-ES" w:eastAsia="es-ES"/>
        </w:rPr>
        <w:t>Artículo 178.</w:t>
      </w:r>
      <w:r w:rsidRPr="005A3E5E">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A3E5E">
        <w:rPr>
          <w:rFonts w:ascii="Palatino Linotype" w:eastAsia="Times New Roman" w:hAnsi="Palatino Linotype" w:cs="Arial"/>
          <w:b/>
          <w:i/>
          <w:lang w:val="es-ES" w:eastAsia="es-ES"/>
        </w:rPr>
        <w:t xml:space="preserve">A falta de respuesta del Sujeto Obligado, dentro de los plazos establecidos en esta Ley, a una solicitud de acceso a la información pública, el recurso podrá ser </w:t>
      </w:r>
      <w:r w:rsidRPr="005A3E5E">
        <w:rPr>
          <w:rFonts w:ascii="Palatino Linotype" w:eastAsia="Times New Roman" w:hAnsi="Palatino Linotype" w:cs="Arial"/>
          <w:b/>
          <w:i/>
          <w:lang w:val="es-ES" w:eastAsia="es-ES"/>
        </w:rPr>
        <w:lastRenderedPageBreak/>
        <w:t>interpuesto en cualquier momento</w:t>
      </w:r>
      <w:r w:rsidRPr="005A3E5E">
        <w:rPr>
          <w:rFonts w:ascii="Palatino Linotype" w:eastAsia="Times New Roman" w:hAnsi="Palatino Linotype" w:cs="Arial"/>
          <w:i/>
          <w:lang w:val="es-ES" w:eastAsia="es-ES"/>
        </w:rPr>
        <w:t>, acompañado con el documento que pruebe la fecha en que presentó la solicitud.</w:t>
      </w: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5A3E5E">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rsidR="00847025" w:rsidRPr="005A3E5E" w:rsidRDefault="00847025" w:rsidP="004860F7">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rsidR="00847025" w:rsidRPr="005A3E5E" w:rsidRDefault="00847025" w:rsidP="004860F7">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5A3E5E">
        <w:rPr>
          <w:rFonts w:ascii="Palatino Linotype" w:eastAsia="Times New Roman" w:hAnsi="Palatino Linotype" w:cs="Arial"/>
          <w:lang w:val="es-ES" w:eastAsia="es-ES"/>
        </w:rPr>
        <w:t>(Énfasis añadido)</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5A3E5E">
        <w:rPr>
          <w:rFonts w:ascii="Palatino Linotype" w:hAnsi="Palatino Linotype" w:cs="Arial"/>
          <w:b/>
          <w:sz w:val="24"/>
          <w:szCs w:val="24"/>
        </w:rPr>
        <w:t>Sujeto Obligado</w:t>
      </w:r>
      <w:r w:rsidRPr="005A3E5E">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Así mismo,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i/>
          <w:szCs w:val="24"/>
        </w:rPr>
        <w:t>“</w:t>
      </w:r>
      <w:r w:rsidRPr="005A3E5E">
        <w:rPr>
          <w:rFonts w:ascii="Palatino Linotype" w:hAnsi="Palatino Linotype" w:cs="Arial"/>
          <w:b/>
          <w:i/>
          <w:szCs w:val="24"/>
        </w:rPr>
        <w:t>Artículo 180</w:t>
      </w:r>
      <w:r w:rsidRPr="005A3E5E">
        <w:rPr>
          <w:rFonts w:ascii="Palatino Linotype" w:hAnsi="Palatino Linotype" w:cs="Arial"/>
          <w:i/>
          <w:szCs w:val="24"/>
        </w:rPr>
        <w:t xml:space="preserve">. El recurso de revisión contendrá: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I</w:t>
      </w:r>
      <w:r w:rsidRPr="005A3E5E">
        <w:rPr>
          <w:rFonts w:ascii="Palatino Linotype" w:hAnsi="Palatino Linotype" w:cs="Arial"/>
          <w:i/>
          <w:szCs w:val="24"/>
        </w:rPr>
        <w:t xml:space="preserve">. El Sujeto Obligado ante la cual se presentó la solicitud;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II</w:t>
      </w:r>
      <w:r w:rsidRPr="005A3E5E">
        <w:rPr>
          <w:rFonts w:ascii="Palatino Linotype" w:hAnsi="Palatino Linotype" w:cs="Arial"/>
          <w:i/>
          <w:szCs w:val="24"/>
        </w:rPr>
        <w:t xml:space="preserve">. </w:t>
      </w:r>
      <w:r w:rsidRPr="005A3E5E">
        <w:rPr>
          <w:rFonts w:ascii="Palatino Linotype" w:hAnsi="Palatino Linotype" w:cs="Arial"/>
          <w:i/>
          <w:szCs w:val="24"/>
          <w:u w:val="single"/>
        </w:rPr>
        <w:t>El nombre del solicitante</w:t>
      </w:r>
      <w:r w:rsidRPr="005A3E5E">
        <w:rPr>
          <w:rFonts w:ascii="Palatino Linotype" w:hAnsi="Palatino Linotype" w:cs="Arial"/>
          <w:i/>
          <w:szCs w:val="24"/>
        </w:rPr>
        <w:t xml:space="preserve"> que recurre o de su representante y, en su caso, del tercero interesado, así como la dirección o medio que señale para recibir notificaciones;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III</w:t>
      </w:r>
      <w:r w:rsidRPr="005A3E5E">
        <w:rPr>
          <w:rFonts w:ascii="Palatino Linotype" w:hAnsi="Palatino Linotype" w:cs="Arial"/>
          <w:i/>
          <w:szCs w:val="24"/>
        </w:rPr>
        <w:t xml:space="preserve">. El número de folio de respuesta de la solicitud de acceso;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IV</w:t>
      </w:r>
      <w:r w:rsidRPr="005A3E5E">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V</w:t>
      </w:r>
      <w:r w:rsidRPr="005A3E5E">
        <w:rPr>
          <w:rFonts w:ascii="Palatino Linotype" w:hAnsi="Palatino Linotype" w:cs="Arial"/>
          <w:i/>
          <w:szCs w:val="24"/>
        </w:rPr>
        <w:t xml:space="preserve">. El acto que se recurre;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lastRenderedPageBreak/>
        <w:t>VI</w:t>
      </w:r>
      <w:r w:rsidRPr="005A3E5E">
        <w:rPr>
          <w:rFonts w:ascii="Palatino Linotype" w:hAnsi="Palatino Linotype" w:cs="Arial"/>
          <w:i/>
          <w:szCs w:val="24"/>
        </w:rPr>
        <w:t xml:space="preserve">. Las razones o motivos de inconformidad;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VII</w:t>
      </w:r>
      <w:r w:rsidRPr="005A3E5E">
        <w:rPr>
          <w:rFonts w:ascii="Palatino Linotype" w:hAnsi="Palatino Linotype" w:cs="Arial"/>
          <w:i/>
          <w:szCs w:val="24"/>
        </w:rPr>
        <w:t xml:space="preserve">. La copia de la respuesta que se impugna y, en su caso, de la notificación correspondiente, en el caso de respuesta de la solicitud; y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b/>
          <w:i/>
          <w:szCs w:val="24"/>
        </w:rPr>
        <w:t>VIII</w:t>
      </w:r>
      <w:r w:rsidRPr="005A3E5E">
        <w:rPr>
          <w:rFonts w:ascii="Palatino Linotype" w:hAnsi="Palatino Linotype" w:cs="Arial"/>
          <w:i/>
          <w:szCs w:val="24"/>
        </w:rPr>
        <w:t xml:space="preserve">. Firma del Recurrente, en su caso, cuando se presente por escrito, requisito sin el cual se dará trámite al recurso.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i/>
          <w:szCs w:val="24"/>
        </w:rPr>
        <w:t xml:space="preserve">Adicionalmente, se podrán anexar las pruebas y demás elementos que considere procedentes someter a juicio del Instituto.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i/>
          <w:szCs w:val="24"/>
        </w:rPr>
      </w:pPr>
      <w:r w:rsidRPr="005A3E5E">
        <w:rPr>
          <w:rFonts w:ascii="Palatino Linotype" w:hAnsi="Palatino Linotype" w:cs="Arial"/>
          <w:i/>
          <w:szCs w:val="24"/>
        </w:rPr>
        <w:t xml:space="preserve">En ningún caso será necesario que el particular ratifique el recurso de revisión interpuesto. </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szCs w:val="24"/>
        </w:rPr>
      </w:pPr>
      <w:r w:rsidRPr="005A3E5E">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rsidR="009A599D" w:rsidRPr="005A3E5E" w:rsidRDefault="009A599D" w:rsidP="004860F7">
      <w:pPr>
        <w:autoSpaceDE w:val="0"/>
        <w:autoSpaceDN w:val="0"/>
        <w:adjustRightInd w:val="0"/>
        <w:spacing w:after="0" w:line="276" w:lineRule="auto"/>
        <w:ind w:left="567" w:right="567"/>
        <w:jc w:val="both"/>
        <w:rPr>
          <w:rFonts w:ascii="Palatino Linotype" w:hAnsi="Palatino Linotype" w:cs="Arial"/>
          <w:szCs w:val="24"/>
        </w:rPr>
      </w:pPr>
    </w:p>
    <w:p w:rsidR="009A599D" w:rsidRPr="005A3E5E" w:rsidRDefault="009A599D" w:rsidP="004860F7">
      <w:pPr>
        <w:autoSpaceDE w:val="0"/>
        <w:autoSpaceDN w:val="0"/>
        <w:adjustRightInd w:val="0"/>
        <w:spacing w:after="0" w:line="276" w:lineRule="auto"/>
        <w:ind w:left="567" w:right="567"/>
        <w:jc w:val="right"/>
        <w:rPr>
          <w:rFonts w:ascii="Palatino Linotype" w:hAnsi="Palatino Linotype" w:cs="Arial"/>
          <w:szCs w:val="24"/>
        </w:rPr>
      </w:pPr>
      <w:r w:rsidRPr="005A3E5E">
        <w:rPr>
          <w:rFonts w:ascii="Palatino Linotype" w:hAnsi="Palatino Linotype" w:cs="Arial"/>
          <w:szCs w:val="24"/>
        </w:rPr>
        <w:t>(Énfasis añadido)</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w:t>
      </w:r>
      <w:r w:rsidRPr="005A3E5E">
        <w:rPr>
          <w:rFonts w:ascii="Palatino Linotype" w:hAnsi="Palatino Linotype" w:cs="Arial"/>
          <w:b/>
          <w:sz w:val="24"/>
          <w:szCs w:val="24"/>
        </w:rPr>
        <w:t>Recurrente</w:t>
      </w:r>
      <w:r w:rsidRPr="005A3E5E">
        <w:rPr>
          <w:rFonts w:ascii="Palatino Linotype" w:hAnsi="Palatino Linotype" w:cs="Arial"/>
          <w:sz w:val="24"/>
          <w:szCs w:val="24"/>
        </w:rPr>
        <w:t>, en ejercicio de su derecho de acceso a la información pública, no proporcionó un nombre para que sea identificado, ya que en el apartado de “DATOS DEL SOLICITANTE”, no señalo nombre o seudónimo con el cual desee identificarse, por lo que no tiene certeza sobre su identidad, lo que en estricto sentido, no se colmarían los requisitos establecidos en el citado artículo 180 de la Ley de Transparencia.</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5A3E5E">
        <w:rPr>
          <w:rFonts w:ascii="Palatino Linotype" w:hAnsi="Palatino Linotype" w:cs="Arial"/>
          <w:i/>
          <w:sz w:val="24"/>
          <w:szCs w:val="24"/>
        </w:rPr>
        <w:t>sine qua non</w:t>
      </w:r>
      <w:r w:rsidRPr="005A3E5E">
        <w:rPr>
          <w:rFonts w:ascii="Palatino Linotype" w:hAnsi="Palatino Linotype" w:cs="Arial"/>
          <w:sz w:val="24"/>
          <w:szCs w:val="24"/>
        </w:rPr>
        <w:t xml:space="preserve"> que los particulares y, en su caso, los Recurrentes deban señalar, por el contrario la Ley de Transparencia </w:t>
      </w:r>
      <w:r w:rsidRPr="005A3E5E">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Correlativo a ello, cabe mencionar que los artículos 6, Apartado A, fracciones I, III, V y VI de la Constitución Política de los Estados Unidos Mexicanos y 5, párrafos trigésimo, trigésimo primero y trigésimo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240" w:lineRule="auto"/>
        <w:jc w:val="center"/>
        <w:rPr>
          <w:rFonts w:ascii="Palatino Linotype" w:hAnsi="Palatino Linotype" w:cs="Arial"/>
          <w:b/>
          <w:i/>
        </w:rPr>
      </w:pPr>
      <w:r w:rsidRPr="005A3E5E">
        <w:rPr>
          <w:rFonts w:ascii="Palatino Linotype" w:hAnsi="Palatino Linotype" w:cs="Arial"/>
          <w:b/>
          <w:i/>
        </w:rPr>
        <w:t>Constitución Política de los Estados Unidos Mexicanos</w:t>
      </w:r>
    </w:p>
    <w:p w:rsidR="009A599D" w:rsidRPr="005A3E5E" w:rsidRDefault="009A599D" w:rsidP="004860F7">
      <w:pPr>
        <w:autoSpaceDE w:val="0"/>
        <w:autoSpaceDN w:val="0"/>
        <w:adjustRightInd w:val="0"/>
        <w:spacing w:after="0" w:line="240" w:lineRule="auto"/>
        <w:jc w:val="both"/>
        <w:rPr>
          <w:rFonts w:ascii="Palatino Linotype" w:hAnsi="Palatino Linotype" w:cs="Arial"/>
        </w:rPr>
      </w:pP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rPr>
      </w:pPr>
      <w:r w:rsidRPr="005A3E5E">
        <w:rPr>
          <w:rFonts w:ascii="Palatino Linotype" w:hAnsi="Palatino Linotype" w:cs="Arial"/>
          <w:i/>
        </w:rPr>
        <w:t>“</w:t>
      </w:r>
      <w:r w:rsidRPr="005A3E5E">
        <w:rPr>
          <w:rFonts w:ascii="Palatino Linotype" w:hAnsi="Palatino Linotype" w:cs="Arial"/>
          <w:b/>
          <w:i/>
        </w:rPr>
        <w:t>Artículo 6o</w:t>
      </w:r>
      <w:r w:rsidRPr="005A3E5E">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Para efectos de lo dispuesto en el presente artículo se observará lo siguiente:</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A</w:t>
      </w:r>
      <w:r w:rsidRPr="005A3E5E">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I</w:t>
      </w:r>
      <w:r w:rsidRPr="005A3E5E">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w:t>
      </w:r>
      <w:r w:rsidRPr="005A3E5E">
        <w:rPr>
          <w:rFonts w:ascii="Palatino Linotype" w:hAnsi="Palatino Linotype" w:cs="Arial"/>
          <w:i/>
          <w:szCs w:val="24"/>
        </w:rPr>
        <w:lastRenderedPageBreak/>
        <w:t>funciones, la ley determinará los supuestos específicos bajo los cuales procederá la declaración de inexistencia de la información.</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III.</w:t>
      </w:r>
      <w:r w:rsidRPr="005A3E5E">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V</w:t>
      </w:r>
      <w:r w:rsidRPr="005A3E5E">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VI.</w:t>
      </w:r>
      <w:r w:rsidRPr="005A3E5E">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La ley establecerá aquella información que se considere reservada o confidencial.</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p>
    <w:p w:rsidR="009A599D" w:rsidRPr="005A3E5E" w:rsidRDefault="009A599D" w:rsidP="004860F7">
      <w:pPr>
        <w:autoSpaceDE w:val="0"/>
        <w:autoSpaceDN w:val="0"/>
        <w:adjustRightInd w:val="0"/>
        <w:spacing w:after="0" w:line="240" w:lineRule="auto"/>
        <w:ind w:left="567" w:right="567"/>
        <w:jc w:val="center"/>
        <w:rPr>
          <w:rFonts w:ascii="Palatino Linotype" w:hAnsi="Palatino Linotype" w:cs="Arial"/>
          <w:b/>
          <w:i/>
          <w:szCs w:val="24"/>
        </w:rPr>
      </w:pPr>
      <w:r w:rsidRPr="005A3E5E">
        <w:rPr>
          <w:rFonts w:ascii="Palatino Linotype" w:hAnsi="Palatino Linotype" w:cs="Arial"/>
          <w:b/>
          <w:i/>
          <w:szCs w:val="24"/>
        </w:rPr>
        <w:t>Constitución Política del Estado Libre y Soberano de México</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r w:rsidRPr="005A3E5E">
        <w:rPr>
          <w:rFonts w:ascii="Palatino Linotype" w:hAnsi="Palatino Linotype" w:cs="Arial"/>
          <w:b/>
          <w:i/>
          <w:szCs w:val="24"/>
        </w:rPr>
        <w:t>Artículo 5</w:t>
      </w:r>
      <w:r w:rsidRPr="005A3E5E">
        <w:rPr>
          <w:rFonts w:ascii="Palatino Linotype" w:hAnsi="Palatino Linotype" w:cs="Arial"/>
          <w:i/>
          <w:szCs w:val="24"/>
        </w:rPr>
        <w:t xml:space="preserve">. … </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Este derecho se regirá por los principios y bases siguientes: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t>I</w:t>
      </w:r>
      <w:r w:rsidRPr="005A3E5E">
        <w:rPr>
          <w:rFonts w:ascii="Palatino Linotype" w:hAnsi="Palatino Linotype" w:cs="Arial"/>
          <w:i/>
          <w:szCs w:val="24"/>
        </w:rPr>
        <w:t>.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b/>
          <w:i/>
          <w:szCs w:val="24"/>
        </w:rPr>
        <w:lastRenderedPageBreak/>
        <w:t>III</w:t>
      </w:r>
      <w:r w:rsidRPr="005A3E5E">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rsidR="009A599D" w:rsidRPr="005A3E5E" w:rsidRDefault="009A599D" w:rsidP="004860F7">
      <w:pPr>
        <w:autoSpaceDE w:val="0"/>
        <w:autoSpaceDN w:val="0"/>
        <w:adjustRightInd w:val="0"/>
        <w:spacing w:after="0" w:line="240" w:lineRule="auto"/>
        <w:ind w:left="567" w:right="567"/>
        <w:jc w:val="right"/>
        <w:rPr>
          <w:rFonts w:ascii="Palatino Linotype" w:hAnsi="Palatino Linotype" w:cs="Arial"/>
          <w:szCs w:val="24"/>
        </w:rPr>
      </w:pPr>
      <w:r w:rsidRPr="005A3E5E">
        <w:rPr>
          <w:rFonts w:ascii="Palatino Linotype" w:hAnsi="Palatino Linotype" w:cs="Arial"/>
          <w:szCs w:val="24"/>
        </w:rPr>
        <w:t>(Énfasis añadido)</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Por otra parte, del contenido del artículo 1 de la Constitución Política de los Estados Unidos Mexicanos, se destaca lo siguiente:</w:t>
      </w:r>
    </w:p>
    <w:p w:rsidR="007078E0" w:rsidRPr="005A3E5E" w:rsidRDefault="007078E0"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r w:rsidRPr="005A3E5E">
        <w:rPr>
          <w:rFonts w:ascii="Palatino Linotype" w:hAnsi="Palatino Linotype" w:cs="Arial"/>
          <w:b/>
          <w:i/>
          <w:szCs w:val="24"/>
        </w:rPr>
        <w:t>Artículo 1o.</w:t>
      </w:r>
      <w:r w:rsidRPr="005A3E5E">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lastRenderedPageBreak/>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Cs w:val="24"/>
        </w:rPr>
      </w:pPr>
      <w:r w:rsidRPr="005A3E5E">
        <w:rPr>
          <w:rFonts w:ascii="Palatino Linotype" w:hAnsi="Palatino Linotype" w:cs="Arial"/>
          <w:i/>
          <w:szCs w:val="24"/>
        </w:rPr>
        <w:t>“</w:t>
      </w:r>
      <w:r w:rsidRPr="005A3E5E">
        <w:rPr>
          <w:rFonts w:ascii="Palatino Linotype" w:hAnsi="Palatino Linotype" w:cs="Arial"/>
          <w:b/>
          <w:i/>
          <w:szCs w:val="24"/>
        </w:rPr>
        <w:t>Acceso a información gubernamental. No debe condicionarse a que el solicitante acredite su personalidad, demuestre interés alguno o justifique su utilización.</w:t>
      </w:r>
      <w:r w:rsidRPr="005A3E5E">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Resoluciones</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 RDA 5275/13. Interpuesto en contra de la Secretaría de la Defensa Nacional. Comisionado Ponente Ángel Trinidad Zaldívar.</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 RDA 2937/13. Interpuesto en contra de LICONSA, S.A. de C.V. Comisionado. Ponente Gerardo Laveaga Rendón.</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 RDA 3609/12. Interpuesto en contra de la Secretaría de Educación Pública. Comisionada Ponente Sigrid Arzt Colunga.</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 RDA 3361/12. Interpuesto en contra del Servicio de Administración Tributaria. Comisionada Ponente María Elena Pérez-Jaén Zermeño.</w:t>
      </w:r>
    </w:p>
    <w:p w:rsidR="009A599D" w:rsidRPr="005A3E5E" w:rsidRDefault="009A599D" w:rsidP="004860F7">
      <w:pPr>
        <w:autoSpaceDE w:val="0"/>
        <w:autoSpaceDN w:val="0"/>
        <w:adjustRightInd w:val="0"/>
        <w:spacing w:after="0" w:line="240" w:lineRule="auto"/>
        <w:ind w:left="567" w:right="567"/>
        <w:jc w:val="both"/>
        <w:rPr>
          <w:rFonts w:ascii="Palatino Linotype" w:hAnsi="Palatino Linotype" w:cs="Arial"/>
          <w:i/>
          <w:sz w:val="20"/>
          <w:szCs w:val="24"/>
        </w:rPr>
      </w:pPr>
      <w:r w:rsidRPr="005A3E5E">
        <w:rPr>
          <w:rFonts w:ascii="Palatino Linotype" w:hAnsi="Palatino Linotype" w:cs="Arial"/>
          <w:i/>
          <w:sz w:val="20"/>
          <w:szCs w:val="24"/>
        </w:rPr>
        <w:t>• RDA 0563/12. Interpuesto en contra de la Secretaría de la Función Pública. Comisionada Ponente Jacqueline Peschard Mariscal.”</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5A3E5E">
        <w:rPr>
          <w:rFonts w:ascii="Palatino Linotype" w:hAnsi="Palatino Linotype" w:cs="Arial"/>
          <w:b/>
          <w:sz w:val="24"/>
          <w:szCs w:val="24"/>
        </w:rPr>
        <w:t>Recurrente</w:t>
      </w:r>
      <w:r w:rsidRPr="005A3E5E">
        <w:rPr>
          <w:rFonts w:ascii="Palatino Linotype" w:hAnsi="Palatino Linotype" w:cs="Arial"/>
          <w:sz w:val="24"/>
          <w:szCs w:val="24"/>
        </w:rPr>
        <w:t xml:space="preserve"> a través de dicho dato personal, en ciertos extremos se equipara a una exigencia acerca de su interés o justificación de su utilización, lo que materialmente haría nugatorio un derecho fundamental.</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lastRenderedPageBreak/>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es la misma persona que realizó la solicitud de acceso a la información pública que ahora se impugna.</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De igual manera, el propio artículo 180 de la Ley de Transparencia local, en su último párrafo establece que cuando el recurso se interponga de manera electrónica, no será indispensable que contenga determinados requisitos, entre ellos, el nombre del </w:t>
      </w:r>
      <w:r w:rsidRPr="005A3E5E">
        <w:rPr>
          <w:rFonts w:ascii="Palatino Linotype" w:hAnsi="Palatino Linotype" w:cs="Arial"/>
          <w:sz w:val="24"/>
          <w:szCs w:val="24"/>
        </w:rPr>
        <w:lastRenderedPageBreak/>
        <w:t>Recurrente, por lo que en el presente caso, al haber sido presentado el recurso de revisión vía SAIMEX, dicho requisito resulta innecesario.</w:t>
      </w:r>
    </w:p>
    <w:p w:rsidR="009A599D" w:rsidRPr="005A3E5E" w:rsidRDefault="009A599D"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lang w:val="es-ES_tradnl" w:eastAsia="es-MX"/>
        </w:rPr>
      </w:pPr>
      <w:r w:rsidRPr="005A3E5E">
        <w:rPr>
          <w:rFonts w:ascii="Palatino Linotype" w:eastAsia="Palatino Linotype" w:hAnsi="Palatino Linotype" w:cs="Palatino Linotype"/>
          <w:b/>
          <w:color w:val="000000"/>
          <w:sz w:val="26"/>
          <w:szCs w:val="26"/>
          <w:lang w:val="es-ES_tradnl" w:eastAsia="es-MX"/>
        </w:rPr>
        <w:t>TERCERO. De las causas de improcedencia.</w:t>
      </w: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5A3E5E">
        <w:rPr>
          <w:rFonts w:ascii="Palatino Linotype" w:eastAsia="Palatino Linotype" w:hAnsi="Palatino Linotype" w:cs="Palatino Linotype"/>
          <w:color w:val="000000"/>
          <w:lang w:val="es-ES_tradnl" w:eastAsia="es-MX"/>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5A3E5E">
        <w:rPr>
          <w:rFonts w:ascii="Palatino Linotype" w:eastAsia="Palatino Linotype" w:hAnsi="Palatino Linotype" w:cs="Palatino Linotype"/>
          <w:color w:val="000000"/>
          <w:lang w:val="es-ES_tradnl" w:eastAsia="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5A3E5E">
        <w:rPr>
          <w:rFonts w:ascii="Palatino Linotype" w:eastAsia="Palatino Linotype" w:hAnsi="Palatino Linotype" w:cs="Palatino Linotype"/>
          <w:color w:val="000000"/>
          <w:vertAlign w:val="superscript"/>
          <w:lang w:val="es-ES_tradnl" w:eastAsia="es-MX"/>
        </w:rPr>
        <w:footnoteReference w:id="1"/>
      </w:r>
      <w:r w:rsidRPr="005A3E5E">
        <w:rPr>
          <w:rFonts w:ascii="Palatino Linotype" w:eastAsia="Palatino Linotype" w:hAnsi="Palatino Linotype" w:cs="Palatino Linotype"/>
          <w:color w:val="000000"/>
          <w:lang w:val="es-ES_tradnl" w:eastAsia="es-MX"/>
        </w:rPr>
        <w:t xml:space="preserve">, la cual permite dilucidar alguna causal que impida </w:t>
      </w:r>
      <w:r w:rsidRPr="005A3E5E">
        <w:rPr>
          <w:rFonts w:ascii="Palatino Linotype" w:eastAsia="Palatino Linotype" w:hAnsi="Palatino Linotype" w:cs="Palatino Linotype"/>
          <w:color w:val="000000"/>
          <w:lang w:val="es-ES_tradnl" w:eastAsia="es-MX"/>
        </w:rPr>
        <w:lastRenderedPageBreak/>
        <w:t>el estudio y resolución, cuando una vez admitido el recurso de revisión se advierta una causa de improcedencia que permita sobreseerlo, sin estudiar el fondo del asunto.</w:t>
      </w: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r w:rsidRPr="005A3E5E">
        <w:rPr>
          <w:rFonts w:ascii="Palatino Linotype" w:eastAsia="Palatino Linotype" w:hAnsi="Palatino Linotype" w:cs="Palatino Linotype"/>
          <w:color w:val="000000"/>
          <w:lang w:val="es-ES_tradnl" w:eastAsia="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lang w:val="es-ES_tradnl" w:eastAsia="es-MX"/>
        </w:rPr>
      </w:pPr>
    </w:p>
    <w:p w:rsidR="00847025" w:rsidRPr="005A3E5E" w:rsidRDefault="00847025" w:rsidP="004860F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lang w:val="es-ES_tradnl" w:eastAsia="es-MX"/>
        </w:rPr>
      </w:pPr>
      <w:r w:rsidRPr="005A3E5E">
        <w:rPr>
          <w:rFonts w:ascii="Palatino Linotype" w:eastAsia="Palatino Linotype" w:hAnsi="Palatino Linotype" w:cs="Palatino Linotype"/>
          <w:b/>
          <w:color w:val="000000"/>
          <w:sz w:val="26"/>
          <w:szCs w:val="26"/>
          <w:lang w:val="es-ES_tradnl" w:eastAsia="es-MX"/>
        </w:rPr>
        <w:t>CUARTO. Estudio y resolución del asunto.</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Ahora bien, 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lastRenderedPageBreak/>
        <w:t xml:space="preserve">En primera instancia, al referirnos a los actos impugnados por el </w:t>
      </w:r>
      <w:r w:rsidRPr="005A3E5E">
        <w:rPr>
          <w:rFonts w:ascii="Palatino Linotype" w:eastAsia="Times New Roman" w:hAnsi="Palatino Linotype" w:cs="Arial"/>
          <w:b/>
          <w:sz w:val="24"/>
          <w:szCs w:val="24"/>
          <w:lang w:val="es-ES" w:eastAsia="es-ES"/>
        </w:rPr>
        <w:t>Recurrente</w:t>
      </w:r>
      <w:r w:rsidRPr="005A3E5E">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negativa y falta de respuesta a la solicitud de acceso a la información formulada, actualizando con ello lo </w:t>
      </w:r>
      <w:r w:rsidRPr="005A3E5E">
        <w:rPr>
          <w:rFonts w:ascii="Palatino Linotype" w:eastAsia="Calibri" w:hAnsi="Palatino Linotype" w:cs="Arial"/>
          <w:color w:val="000000" w:themeColor="text1"/>
          <w:sz w:val="24"/>
          <w:szCs w:val="24"/>
          <w:lang w:val="es-ES" w:eastAsia="es-ES"/>
        </w:rPr>
        <w:t xml:space="preserve">establecido en la fracciones I y VII del artículo 179 de la </w:t>
      </w:r>
      <w:r w:rsidRPr="005A3E5E">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5A3E5E">
        <w:rPr>
          <w:rFonts w:ascii="Palatino Linotype" w:eastAsia="Calibri" w:hAnsi="Palatino Linotype" w:cs="Arial"/>
          <w:color w:val="000000" w:themeColor="text1"/>
          <w:sz w:val="24"/>
          <w:szCs w:val="24"/>
          <w:lang w:val="es-ES" w:eastAsia="es-ES"/>
        </w:rPr>
        <w:t>,</w:t>
      </w:r>
      <w:r w:rsidRPr="005A3E5E">
        <w:rPr>
          <w:rFonts w:ascii="Palatino Linotype" w:eastAsia="Calibri" w:hAnsi="Palatino Linotype" w:cs="Arial"/>
          <w:b/>
          <w:color w:val="000000" w:themeColor="text1"/>
          <w:sz w:val="24"/>
          <w:szCs w:val="24"/>
          <w:lang w:val="es-ES" w:eastAsia="es-ES"/>
        </w:rPr>
        <w:t xml:space="preserve"> </w:t>
      </w:r>
      <w:r w:rsidRPr="005A3E5E">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Establecido lo anterior, resulta evidente que las razones o motivos de </w:t>
      </w:r>
      <w:r w:rsidRPr="005A3E5E">
        <w:rPr>
          <w:rFonts w:ascii="Palatino Linotype" w:eastAsia="Times New Roman" w:hAnsi="Palatino Linotype" w:cs="Times New Roman"/>
          <w:sz w:val="24"/>
          <w:szCs w:val="24"/>
          <w:lang w:val="es-ES" w:eastAsia="es-ES"/>
        </w:rPr>
        <w:t xml:space="preserve">inconformidad hechos valer, resultan </w:t>
      </w:r>
      <w:r w:rsidRPr="005A3E5E">
        <w:rPr>
          <w:rFonts w:ascii="Palatino Linotype" w:eastAsia="Times New Roman" w:hAnsi="Palatino Linotype" w:cs="Times New Roman"/>
          <w:b/>
          <w:sz w:val="24"/>
          <w:szCs w:val="24"/>
          <w:lang w:val="es-ES" w:eastAsia="es-ES"/>
        </w:rPr>
        <w:t>fundadas y procedentes</w:t>
      </w:r>
      <w:r w:rsidRPr="005A3E5E">
        <w:rPr>
          <w:rFonts w:ascii="Palatino Linotype" w:eastAsia="Times New Roman" w:hAnsi="Palatino Linotype" w:cs="Times New Roman"/>
          <w:sz w:val="24"/>
          <w:szCs w:val="24"/>
          <w:lang w:val="es-ES" w:eastAsia="es-ES"/>
        </w:rPr>
        <w:t xml:space="preserve">, en virtud de las constancias que obran en el expediente electrónico SAIMEX, se acredita que el </w:t>
      </w:r>
      <w:r w:rsidRPr="005A3E5E">
        <w:rPr>
          <w:rFonts w:ascii="Palatino Linotype" w:eastAsia="Times New Roman" w:hAnsi="Palatino Linotype" w:cs="Arial"/>
          <w:b/>
          <w:sz w:val="24"/>
          <w:szCs w:val="24"/>
          <w:lang w:val="es-ES" w:eastAsia="es-MX"/>
        </w:rPr>
        <w:t>Sujeto Obligado</w:t>
      </w:r>
      <w:r w:rsidRPr="005A3E5E">
        <w:rPr>
          <w:rFonts w:ascii="Palatino Linotype" w:eastAsia="Times New Roman" w:hAnsi="Palatino Linotype" w:cs="Arial"/>
          <w:sz w:val="24"/>
          <w:szCs w:val="24"/>
          <w:lang w:val="es-ES" w:eastAsia="es-MX"/>
        </w:rPr>
        <w:t xml:space="preserve"> fue omiso en responder la solicitud de información hecha por </w:t>
      </w:r>
      <w:r w:rsidRPr="005A3E5E">
        <w:rPr>
          <w:rFonts w:ascii="Palatino Linotype" w:eastAsia="Times New Roman" w:hAnsi="Palatino Linotype" w:cs="Arial"/>
          <w:b/>
          <w:sz w:val="24"/>
          <w:szCs w:val="24"/>
          <w:lang w:val="es-ES" w:eastAsia="es-MX"/>
        </w:rPr>
        <w:t>el Recurrente</w:t>
      </w:r>
      <w:r w:rsidRPr="005A3E5E">
        <w:rPr>
          <w:rFonts w:ascii="Palatino Linotype" w:eastAsia="Times New Roman" w:hAnsi="Palatino Linotype" w:cs="Arial"/>
          <w:sz w:val="24"/>
          <w:szCs w:val="24"/>
          <w:lang w:val="es-ES" w:eastAsia="es-MX"/>
        </w:rPr>
        <w:t>.</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47025" w:rsidRPr="005A3E5E" w:rsidRDefault="00847025" w:rsidP="004860F7">
      <w:pPr>
        <w:spacing w:after="0" w:line="360" w:lineRule="auto"/>
        <w:contextualSpacing/>
        <w:jc w:val="both"/>
        <w:rPr>
          <w:rFonts w:ascii="Palatino Linotype" w:eastAsia="Times New Roman" w:hAnsi="Palatino Linotype" w:cs="Times New Roman"/>
          <w:sz w:val="24"/>
          <w:szCs w:val="24"/>
          <w:lang w:val="es-ES" w:eastAsia="es-MX"/>
        </w:rPr>
      </w:pPr>
      <w:r w:rsidRPr="005A3E5E">
        <w:rPr>
          <w:rFonts w:ascii="Palatino Linotype" w:eastAsia="Times New Roman" w:hAnsi="Palatino Linotype" w:cs="Times New Roman"/>
          <w:sz w:val="24"/>
          <w:szCs w:val="24"/>
          <w:lang w:val="es-ES" w:eastAsia="es-MX"/>
        </w:rPr>
        <w:t xml:space="preserve">De tal manera que se hace patente que la negativa y falta de respuesta del </w:t>
      </w:r>
      <w:r w:rsidRPr="005A3E5E">
        <w:rPr>
          <w:rFonts w:ascii="Palatino Linotype" w:eastAsia="Times New Roman" w:hAnsi="Palatino Linotype" w:cs="Times New Roman"/>
          <w:b/>
          <w:sz w:val="24"/>
          <w:szCs w:val="24"/>
          <w:lang w:val="es-ES" w:eastAsia="es-MX"/>
        </w:rPr>
        <w:t>Sujeto Obligado</w:t>
      </w:r>
      <w:r w:rsidRPr="005A3E5E">
        <w:rPr>
          <w:rFonts w:ascii="Palatino Linotype" w:eastAsia="Times New Roman" w:hAnsi="Palatino Linotype" w:cs="Times New Roman"/>
          <w:sz w:val="24"/>
          <w:szCs w:val="24"/>
          <w:lang w:val="es-ES" w:eastAsia="es-MX"/>
        </w:rPr>
        <w:t xml:space="preserve"> a la solicitud de información se traducen en el hecho de que fue omiso en dar atención a las peticiones en términos de la Ley de la materia, es decir, incumplió las obligaciones que dicho cuerpo legal le impone como </w:t>
      </w:r>
      <w:r w:rsidRPr="005A3E5E">
        <w:rPr>
          <w:rFonts w:ascii="Palatino Linotype" w:eastAsia="Times New Roman" w:hAnsi="Palatino Linotype" w:cs="Times New Roman"/>
          <w:b/>
          <w:sz w:val="24"/>
          <w:szCs w:val="24"/>
          <w:lang w:val="es-ES" w:eastAsia="es-MX"/>
        </w:rPr>
        <w:t>Sujeto Obligado</w:t>
      </w:r>
      <w:r w:rsidRPr="005A3E5E">
        <w:rPr>
          <w:rFonts w:ascii="Palatino Linotype" w:eastAsia="Times New Roman" w:hAnsi="Palatino Linotype" w:cs="Times New Roman"/>
          <w:sz w:val="24"/>
          <w:szCs w:val="24"/>
          <w:lang w:val="es-ES" w:eastAsia="es-MX"/>
        </w:rPr>
        <w:t xml:space="preserve"> de la misma, tal y como lo constituye los artículos 4, 12, 23 fracción IV, 24 último párrafo y 160 de la Ley de Transparencia del Estado de México, que a la letra dice:</w:t>
      </w:r>
    </w:p>
    <w:p w:rsidR="00847025" w:rsidRPr="005A3E5E" w:rsidRDefault="00847025" w:rsidP="004860F7">
      <w:pPr>
        <w:spacing w:after="0" w:line="360" w:lineRule="auto"/>
        <w:contextualSpacing/>
        <w:jc w:val="both"/>
        <w:rPr>
          <w:rFonts w:ascii="Palatino Linotype" w:eastAsia="Times New Roman" w:hAnsi="Palatino Linotype" w:cs="Times New Roman"/>
          <w:sz w:val="24"/>
          <w:szCs w:val="24"/>
          <w:lang w:val="es-ES" w:eastAsia="es-MX"/>
        </w:rPr>
      </w:pP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w:t>
      </w:r>
      <w:r w:rsidRPr="005A3E5E">
        <w:rPr>
          <w:rFonts w:ascii="Palatino Linotype" w:hAnsi="Palatino Linotype" w:cs="Arial"/>
          <w:b/>
          <w:bCs/>
          <w:i/>
        </w:rPr>
        <w:t>Artículo 4.</w:t>
      </w:r>
      <w:r w:rsidRPr="005A3E5E">
        <w:rPr>
          <w:rFonts w:ascii="Palatino Linotype" w:hAnsi="Palatino Linotype" w:cs="Arial"/>
          <w:bCs/>
          <w:i/>
        </w:rPr>
        <w:t xml:space="preserve"> </w:t>
      </w:r>
      <w:r w:rsidRPr="005A3E5E">
        <w:rPr>
          <w:rFonts w:ascii="Palatino Linotype" w:hAnsi="Palatino Linotype" w:cs="Arial"/>
          <w:bCs/>
          <w:i/>
          <w:u w:val="single"/>
        </w:rPr>
        <w:t>El derecho humano de acceso a la información pública</w:t>
      </w:r>
      <w:r w:rsidRPr="005A3E5E">
        <w:rPr>
          <w:rFonts w:ascii="Palatino Linotype" w:hAnsi="Palatino Linotype" w:cs="Arial"/>
          <w:bCs/>
          <w:i/>
        </w:rPr>
        <w:t xml:space="preserve"> es la prerrogativa de las personas para buscar, difundir, investigar, recabar, recibir y solicitar información pública, sin necesidad de acreditar personalidad ni interés jurídico.</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u w:val="single"/>
        </w:rPr>
        <w:t>Toda la información generada, obtenida, adquirida, transformada, administrada o en posesión de los sujetos obligados es pública y accesible de manera permanente a cualquier persona</w:t>
      </w:r>
      <w:r w:rsidRPr="005A3E5E">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w:t>
      </w:r>
      <w:r w:rsidRPr="005A3E5E">
        <w:rPr>
          <w:rFonts w:ascii="Palatino Linotype" w:hAnsi="Palatino Linotype" w:cs="Arial"/>
          <w:bCs/>
          <w:i/>
        </w:rPr>
        <w:lastRenderedPageBreak/>
        <w:t>información. Solo podrá ser clasificada excepcionalmente como reservada temporalmente por razones de interés público, en los términos de las causas legítimas y estrictamente necesarias previstas por esta Ley.</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9A599D" w:rsidRPr="005A3E5E" w:rsidRDefault="009A599D" w:rsidP="004860F7">
      <w:pPr>
        <w:spacing w:after="0" w:line="240" w:lineRule="auto"/>
        <w:ind w:left="709" w:right="567"/>
        <w:jc w:val="both"/>
        <w:rPr>
          <w:rFonts w:ascii="Palatino Linotype" w:hAnsi="Palatino Linotype" w:cs="Arial"/>
          <w:bCs/>
          <w:i/>
        </w:rPr>
      </w:pP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
          <w:bCs/>
          <w:i/>
        </w:rPr>
        <w:t>Artículo 12.</w:t>
      </w:r>
      <w:r w:rsidRPr="005A3E5E">
        <w:rPr>
          <w:rFonts w:ascii="Palatino Linotype" w:hAnsi="Palatino Linotype" w:cs="Arial"/>
          <w:bCs/>
          <w:i/>
        </w:rPr>
        <w:t xml:space="preserve"> Quienes generen, recopilen, administren, manejen, procesen, archiven o conserven información pública serán responsables de la misma en los términos de las disposiciones jurídicas aplicables.</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u w:val="single"/>
        </w:rPr>
        <w:t>Los sujetos obligados sólo proporcionarán la información pública que se les requiera y que obre en sus archivos y en el estado en que ésta se encuentre.</w:t>
      </w:r>
      <w:r w:rsidRPr="005A3E5E">
        <w:rPr>
          <w:rFonts w:ascii="Palatino Linotype" w:hAnsi="Palatino Linotype" w:cs="Arial"/>
          <w:bCs/>
          <w:i/>
        </w:rPr>
        <w:t xml:space="preserve"> La obligación de proporcionar información no comprende el procesamiento de la misma, ni el presentarla conforme al interés del solicitante; no estarán obligados a generarla, resumirla, efectuar cálculos o practicar investigaciones. </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w:t>
      </w:r>
    </w:p>
    <w:p w:rsidR="00847025" w:rsidRPr="005A3E5E" w:rsidRDefault="00847025" w:rsidP="004860F7">
      <w:pPr>
        <w:spacing w:after="0" w:line="240" w:lineRule="auto"/>
        <w:ind w:left="709" w:right="567"/>
        <w:jc w:val="both"/>
        <w:rPr>
          <w:rFonts w:ascii="Palatino Linotype" w:hAnsi="Palatino Linotype" w:cs="Arial"/>
          <w:b/>
          <w:bCs/>
          <w:i/>
        </w:rPr>
      </w:pP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
          <w:bCs/>
          <w:i/>
        </w:rPr>
        <w:t>Artículo 23</w:t>
      </w:r>
      <w:r w:rsidRPr="005A3E5E">
        <w:rPr>
          <w:rFonts w:ascii="Palatino Linotype" w:hAnsi="Palatino Linotype" w:cs="Arial"/>
          <w:bCs/>
          <w:i/>
        </w:rPr>
        <w:t xml:space="preserve">. </w:t>
      </w:r>
      <w:r w:rsidRPr="005A3E5E">
        <w:rPr>
          <w:rFonts w:ascii="Palatino Linotype" w:hAnsi="Palatino Linotype" w:cs="Arial"/>
          <w:b/>
          <w:bCs/>
          <w:i/>
        </w:rPr>
        <w:t>Son sujetos obligados</w:t>
      </w:r>
      <w:r w:rsidRPr="005A3E5E">
        <w:rPr>
          <w:rFonts w:ascii="Palatino Linotype" w:hAnsi="Palatino Linotype" w:cs="Arial"/>
          <w:bCs/>
          <w:i/>
        </w:rPr>
        <w:t xml:space="preserve"> a transparentar y permitir el acceso a su información y proteger los datos personales que obren en su poder: </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
          <w:bCs/>
          <w:i/>
        </w:rPr>
        <w:t xml:space="preserve">IV. </w:t>
      </w:r>
      <w:r w:rsidRPr="005A3E5E">
        <w:rPr>
          <w:rFonts w:ascii="Palatino Linotype" w:hAnsi="Palatino Linotype" w:cs="Arial"/>
          <w:bCs/>
          <w:i/>
        </w:rPr>
        <w:t>Los ayuntamientos y las dependencias, organismos,</w:t>
      </w:r>
      <w:r w:rsidRPr="005A3E5E">
        <w:rPr>
          <w:rFonts w:ascii="Palatino Linotype" w:hAnsi="Palatino Linotype" w:cs="Arial"/>
          <w:b/>
          <w:bCs/>
          <w:i/>
          <w:u w:val="single"/>
        </w:rPr>
        <w:t xml:space="preserve"> órganos y entidades de la administración municipal;</w:t>
      </w:r>
    </w:p>
    <w:p w:rsidR="00847025" w:rsidRPr="005A3E5E" w:rsidRDefault="00847025" w:rsidP="004860F7">
      <w:pPr>
        <w:spacing w:after="0" w:line="240" w:lineRule="auto"/>
        <w:ind w:left="709" w:right="567"/>
        <w:jc w:val="both"/>
        <w:rPr>
          <w:rFonts w:ascii="Palatino Linotype" w:hAnsi="Palatino Linotype" w:cs="Arial"/>
          <w:bCs/>
          <w:i/>
        </w:rPr>
      </w:pPr>
    </w:p>
    <w:p w:rsidR="00847025" w:rsidRPr="005A3E5E" w:rsidRDefault="00847025" w:rsidP="004860F7">
      <w:pPr>
        <w:spacing w:after="0" w:line="240" w:lineRule="auto"/>
        <w:ind w:left="709" w:right="567"/>
        <w:jc w:val="both"/>
        <w:rPr>
          <w:rFonts w:ascii="Palatino Linotype" w:hAnsi="Palatino Linotype" w:cs="Arial"/>
          <w:b/>
          <w:bCs/>
          <w:i/>
        </w:rPr>
      </w:pPr>
      <w:r w:rsidRPr="005A3E5E">
        <w:rPr>
          <w:rFonts w:ascii="Palatino Linotype" w:hAnsi="Palatino Linotype" w:cs="Arial"/>
          <w:b/>
          <w:bCs/>
          <w:i/>
        </w:rPr>
        <w:t xml:space="preserve">Artículo 24. </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Los sujetos obligados solo proporcionarán la información pública que generen, administren o posean en el ejercicio de sus atribuciones.”</w:t>
      </w: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w:t>
      </w:r>
    </w:p>
    <w:p w:rsidR="00847025" w:rsidRPr="005A3E5E" w:rsidRDefault="00847025" w:rsidP="004860F7">
      <w:pPr>
        <w:spacing w:after="0" w:line="240" w:lineRule="auto"/>
        <w:ind w:left="709" w:right="567"/>
        <w:jc w:val="both"/>
        <w:rPr>
          <w:rFonts w:ascii="Palatino Linotype" w:hAnsi="Palatino Linotype" w:cs="Arial"/>
          <w:bCs/>
          <w:i/>
        </w:rPr>
      </w:pP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
          <w:bCs/>
          <w:i/>
        </w:rPr>
        <w:t>Artículo 160.</w:t>
      </w:r>
      <w:r w:rsidRPr="005A3E5E">
        <w:rPr>
          <w:rFonts w:ascii="Palatino Linotype" w:hAnsi="Palatino Linotype" w:cs="Arial"/>
          <w:bCs/>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47025" w:rsidRPr="005A3E5E" w:rsidRDefault="00847025" w:rsidP="004860F7">
      <w:pPr>
        <w:spacing w:after="0" w:line="240" w:lineRule="auto"/>
        <w:ind w:left="709" w:right="567"/>
        <w:jc w:val="both"/>
        <w:rPr>
          <w:rFonts w:ascii="Palatino Linotype" w:hAnsi="Palatino Linotype" w:cs="Arial"/>
          <w:bCs/>
          <w:i/>
        </w:rPr>
      </w:pPr>
    </w:p>
    <w:p w:rsidR="00847025" w:rsidRPr="005A3E5E" w:rsidRDefault="00847025" w:rsidP="004860F7">
      <w:pPr>
        <w:spacing w:after="0" w:line="240" w:lineRule="auto"/>
        <w:ind w:left="709" w:right="567"/>
        <w:jc w:val="both"/>
        <w:rPr>
          <w:rFonts w:ascii="Palatino Linotype" w:hAnsi="Palatino Linotype" w:cs="Arial"/>
          <w:bCs/>
          <w:i/>
        </w:rPr>
      </w:pPr>
      <w:r w:rsidRPr="005A3E5E">
        <w:rPr>
          <w:rFonts w:ascii="Palatino Linotype" w:hAnsi="Palatino Linotype" w:cs="Arial"/>
          <w:bCs/>
          <w:i/>
        </w:rPr>
        <w:t>En caso que la información solicitada consista en bases de datos se deberá privilegiar la entrega de la misma en formatos abiertos.</w:t>
      </w:r>
    </w:p>
    <w:p w:rsidR="00847025" w:rsidRPr="005A3E5E" w:rsidRDefault="00847025" w:rsidP="004860F7">
      <w:pPr>
        <w:spacing w:after="0" w:line="240" w:lineRule="auto"/>
        <w:ind w:left="709" w:right="567"/>
        <w:jc w:val="right"/>
        <w:rPr>
          <w:rFonts w:ascii="Palatino Linotype" w:hAnsi="Palatino Linotype" w:cs="Arial"/>
        </w:rPr>
      </w:pPr>
      <w:r w:rsidRPr="005A3E5E">
        <w:rPr>
          <w:rFonts w:ascii="Palatino Linotype" w:hAnsi="Palatino Linotype" w:cs="Arial"/>
          <w:bCs/>
        </w:rPr>
        <w:t>(Énfasis añadido)</w:t>
      </w:r>
    </w:p>
    <w:p w:rsidR="00847025" w:rsidRPr="005A3E5E" w:rsidRDefault="00847025" w:rsidP="004860F7">
      <w:pPr>
        <w:spacing w:after="0" w:line="360" w:lineRule="auto"/>
        <w:contextualSpacing/>
        <w:jc w:val="both"/>
        <w:rPr>
          <w:rFonts w:ascii="Palatino Linotype" w:eastAsia="MS Mincho" w:hAnsi="Palatino Linotype" w:cs="Times New Roman"/>
          <w:sz w:val="24"/>
          <w:szCs w:val="24"/>
          <w:lang w:val="es-ES_tradnl" w:eastAsia="es-ES"/>
        </w:rPr>
      </w:pPr>
    </w:p>
    <w:p w:rsidR="00847025" w:rsidRPr="005A3E5E" w:rsidRDefault="00847025" w:rsidP="004860F7">
      <w:pPr>
        <w:spacing w:after="0" w:line="360" w:lineRule="auto"/>
        <w:contextualSpacing/>
        <w:jc w:val="both"/>
        <w:rPr>
          <w:rFonts w:ascii="Palatino Linotype" w:eastAsia="Times New Roman" w:hAnsi="Palatino Linotype" w:cs="Arial"/>
          <w:color w:val="000000"/>
          <w:sz w:val="24"/>
          <w:szCs w:val="24"/>
          <w:lang w:val="es-ES_tradnl" w:eastAsia="es-ES"/>
        </w:rPr>
      </w:pPr>
      <w:r w:rsidRPr="005A3E5E">
        <w:rPr>
          <w:rFonts w:ascii="Palatino Linotype" w:eastAsia="MS Mincho" w:hAnsi="Palatino Linotype" w:cs="Times New Roman"/>
          <w:sz w:val="24"/>
          <w:szCs w:val="24"/>
          <w:lang w:val="es-ES_tradnl" w:eastAsia="es-ES"/>
        </w:rPr>
        <w:lastRenderedPageBreak/>
        <w:t xml:space="preserve">Resulta necesario señalar que el derecho de acceso a la información pública es un </w:t>
      </w:r>
      <w:r w:rsidRPr="005A3E5E">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5A3E5E">
        <w:rPr>
          <w:rFonts w:ascii="Palatino Linotype" w:eastAsia="Times New Roman" w:hAnsi="Palatino Linotype" w:cs="Arial"/>
          <w:color w:val="000000"/>
          <w:sz w:val="24"/>
          <w:szCs w:val="24"/>
          <w:lang w:val="es-ES_tradnl" w:eastAsia="es-ES"/>
        </w:rPr>
        <w:t xml:space="preserve"> </w:t>
      </w:r>
      <w:r w:rsidRPr="005A3E5E">
        <w:rPr>
          <w:rFonts w:ascii="Palatino Linotype" w:eastAsia="Times New Roman" w:hAnsi="Palatino Linotype" w:cs="Arial"/>
          <w:b/>
          <w:color w:val="000000"/>
          <w:sz w:val="24"/>
          <w:szCs w:val="24"/>
          <w:lang w:val="es-ES_tradnl" w:eastAsia="es-ES"/>
        </w:rPr>
        <w:t>Sujeto Obligado</w:t>
      </w:r>
      <w:r w:rsidRPr="005A3E5E">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A3E5E">
        <w:rPr>
          <w:rFonts w:ascii="Palatino Linotype" w:eastAsia="Times New Roman" w:hAnsi="Palatino Linotype" w:cs="Arial"/>
          <w:b/>
          <w:color w:val="000000"/>
          <w:sz w:val="24"/>
          <w:szCs w:val="24"/>
          <w:lang w:val="es-ES_tradnl" w:eastAsia="es-ES"/>
        </w:rPr>
        <w:t xml:space="preserve">Constitución Política de los Estados Unidos Mexicanos </w:t>
      </w:r>
      <w:r w:rsidRPr="005A3E5E">
        <w:rPr>
          <w:rFonts w:ascii="Palatino Linotype" w:eastAsia="Times New Roman" w:hAnsi="Palatino Linotype" w:cs="Arial"/>
          <w:color w:val="000000"/>
          <w:sz w:val="24"/>
          <w:szCs w:val="24"/>
          <w:lang w:val="es-ES_tradnl" w:eastAsia="es-ES"/>
        </w:rPr>
        <w:t xml:space="preserve">al señalar la obligación de “promover, </w:t>
      </w:r>
      <w:r w:rsidRPr="005A3E5E">
        <w:rPr>
          <w:rFonts w:ascii="Palatino Linotype" w:eastAsia="Times New Roman" w:hAnsi="Palatino Linotype" w:cs="Arial"/>
          <w:b/>
          <w:color w:val="000000"/>
          <w:sz w:val="24"/>
          <w:szCs w:val="24"/>
          <w:lang w:val="es-ES_tradnl" w:eastAsia="es-ES"/>
        </w:rPr>
        <w:t>respetar</w:t>
      </w:r>
      <w:r w:rsidRPr="005A3E5E">
        <w:rPr>
          <w:rFonts w:ascii="Palatino Linotype" w:eastAsia="Times New Roman" w:hAnsi="Palatino Linotype" w:cs="Arial"/>
          <w:color w:val="000000"/>
          <w:sz w:val="24"/>
          <w:szCs w:val="24"/>
          <w:lang w:val="es-ES_tradnl" w:eastAsia="es-ES"/>
        </w:rPr>
        <w:t xml:space="preserve">, </w:t>
      </w:r>
      <w:r w:rsidRPr="005A3E5E">
        <w:rPr>
          <w:rFonts w:ascii="Palatino Linotype" w:eastAsia="Times New Roman" w:hAnsi="Palatino Linotype" w:cs="Arial"/>
          <w:b/>
          <w:color w:val="000000"/>
          <w:sz w:val="24"/>
          <w:szCs w:val="24"/>
          <w:lang w:val="es-ES_tradnl" w:eastAsia="es-ES"/>
        </w:rPr>
        <w:t>proteger</w:t>
      </w:r>
      <w:r w:rsidRPr="005A3E5E">
        <w:rPr>
          <w:rFonts w:ascii="Palatino Linotype" w:eastAsia="Times New Roman" w:hAnsi="Palatino Linotype" w:cs="Arial"/>
          <w:color w:val="000000"/>
          <w:sz w:val="24"/>
          <w:szCs w:val="24"/>
          <w:lang w:val="es-ES_tradnl" w:eastAsia="es-ES"/>
        </w:rPr>
        <w:t xml:space="preserve"> y </w:t>
      </w:r>
      <w:r w:rsidRPr="005A3E5E">
        <w:rPr>
          <w:rFonts w:ascii="Palatino Linotype" w:eastAsia="Times New Roman" w:hAnsi="Palatino Linotype" w:cs="Arial"/>
          <w:b/>
          <w:color w:val="000000"/>
          <w:sz w:val="24"/>
          <w:szCs w:val="24"/>
          <w:lang w:val="es-ES_tradnl" w:eastAsia="es-ES"/>
        </w:rPr>
        <w:t>garantizar</w:t>
      </w:r>
      <w:r w:rsidRPr="005A3E5E">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847025" w:rsidRPr="005A3E5E" w:rsidRDefault="00847025" w:rsidP="004860F7">
      <w:pPr>
        <w:spacing w:after="0" w:line="360" w:lineRule="auto"/>
        <w:contextualSpacing/>
        <w:jc w:val="both"/>
        <w:rPr>
          <w:rFonts w:ascii="Palatino Linotype" w:eastAsia="Times New Roman" w:hAnsi="Palatino Linotype" w:cs="Arial"/>
          <w:color w:val="000000"/>
          <w:sz w:val="24"/>
          <w:szCs w:val="24"/>
          <w:lang w:val="es-ES_tradnl" w:eastAsia="es-ES"/>
        </w:rPr>
      </w:pPr>
    </w:p>
    <w:p w:rsidR="00847025" w:rsidRPr="005A3E5E" w:rsidRDefault="00847025" w:rsidP="004860F7">
      <w:pPr>
        <w:spacing w:after="0" w:line="360" w:lineRule="auto"/>
        <w:contextualSpacing/>
        <w:jc w:val="both"/>
        <w:rPr>
          <w:rFonts w:ascii="Palatino Linotype" w:eastAsia="Times New Roman" w:hAnsi="Palatino Linotype" w:cs="Arial"/>
          <w:color w:val="000000"/>
          <w:sz w:val="24"/>
          <w:szCs w:val="24"/>
          <w:lang w:val="es-ES_tradnl" w:eastAsia="es-ES"/>
        </w:rPr>
      </w:pPr>
      <w:r w:rsidRPr="005A3E5E">
        <w:rPr>
          <w:rFonts w:ascii="Palatino Linotype" w:eastAsia="Times New Roman" w:hAnsi="Palatino Linotype" w:cs="Arial"/>
          <w:color w:val="000000"/>
          <w:sz w:val="24"/>
          <w:szCs w:val="24"/>
          <w:lang w:val="es-ES_tradnl" w:eastAsia="es-ES"/>
        </w:rPr>
        <w:t>El acceso a la información pública es el derecho humano a través del cual se puede solicitar aquellos documentos que generen, administren o posean las autoridades en ejercicio de sus respectivas atribuciones y competencia. 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847025" w:rsidRPr="005A3E5E" w:rsidRDefault="00847025" w:rsidP="004860F7">
      <w:pPr>
        <w:spacing w:after="0" w:line="360" w:lineRule="auto"/>
        <w:contextualSpacing/>
        <w:jc w:val="both"/>
        <w:rPr>
          <w:rFonts w:ascii="Palatino Linotype" w:eastAsia="MS Mincho" w:hAnsi="Palatino Linotype" w:cs="Times New Roman"/>
          <w:sz w:val="24"/>
          <w:szCs w:val="24"/>
          <w:lang w:val="es-ES_tradnl" w:eastAsia="es-ES"/>
        </w:rPr>
      </w:pPr>
    </w:p>
    <w:p w:rsidR="00847025" w:rsidRPr="005A3E5E" w:rsidRDefault="00847025" w:rsidP="004860F7">
      <w:pPr>
        <w:spacing w:after="0" w:line="360" w:lineRule="auto"/>
        <w:contextualSpacing/>
        <w:jc w:val="both"/>
        <w:rPr>
          <w:rFonts w:ascii="Palatino Linotype" w:eastAsia="MS Mincho" w:hAnsi="Palatino Linotype" w:cs="Times New Roman"/>
          <w:sz w:val="24"/>
          <w:szCs w:val="24"/>
          <w:lang w:val="es-ES_tradnl" w:eastAsia="es-ES"/>
        </w:rPr>
      </w:pPr>
      <w:r w:rsidRPr="005A3E5E">
        <w:rPr>
          <w:rFonts w:ascii="Palatino Linotype" w:eastAsia="MS Mincho" w:hAnsi="Palatino Linotype" w:cs="Times New Roman"/>
          <w:sz w:val="24"/>
          <w:szCs w:val="24"/>
          <w:lang w:val="es-ES_tradnl" w:eastAsia="es-ES"/>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w:t>
      </w:r>
      <w:r w:rsidRPr="005A3E5E">
        <w:rPr>
          <w:rFonts w:ascii="Palatino Linotype" w:eastAsia="MS Mincho" w:hAnsi="Palatino Linotype" w:cs="Times New Roman"/>
          <w:sz w:val="24"/>
          <w:szCs w:val="24"/>
          <w:lang w:val="es-ES_tradnl" w:eastAsia="es-ES"/>
        </w:rPr>
        <w:lastRenderedPageBreak/>
        <w:t xml:space="preserve">y mecanismos que permitan trasparentar la gestión pública y mejora la toma decisiones, a través de la difusión de la información que obra en poder de los </w:t>
      </w:r>
      <w:r w:rsidRPr="005A3E5E">
        <w:rPr>
          <w:rFonts w:ascii="Palatino Linotype" w:eastAsia="MS Mincho" w:hAnsi="Palatino Linotype" w:cs="Times New Roman"/>
          <w:b/>
          <w:sz w:val="24"/>
          <w:szCs w:val="24"/>
          <w:lang w:val="es-ES_tradnl" w:eastAsia="es-ES"/>
        </w:rPr>
        <w:t>Sujeto Obligado</w:t>
      </w:r>
      <w:r w:rsidRPr="005A3E5E">
        <w:rPr>
          <w:rFonts w:ascii="Palatino Linotype" w:eastAsia="MS Mincho" w:hAnsi="Palatino Linotype" w:cs="Times New Roman"/>
          <w:sz w:val="24"/>
          <w:szCs w:val="24"/>
          <w:lang w:val="es-ES_tradnl" w:eastAsia="es-ES"/>
        </w:rPr>
        <w:t>s.</w:t>
      </w:r>
    </w:p>
    <w:p w:rsidR="00847025" w:rsidRPr="005A3E5E" w:rsidRDefault="00847025" w:rsidP="004860F7">
      <w:pPr>
        <w:spacing w:after="0" w:line="360" w:lineRule="auto"/>
        <w:contextualSpacing/>
        <w:jc w:val="both"/>
        <w:rPr>
          <w:rFonts w:ascii="Palatino Linotype" w:eastAsia="MS Mincho" w:hAnsi="Palatino Linotype" w:cs="Times New Roman"/>
          <w:sz w:val="24"/>
          <w:szCs w:val="24"/>
          <w:lang w:val="es-ES_tradnl" w:eastAsia="es-ES"/>
        </w:rPr>
      </w:pPr>
    </w:p>
    <w:p w:rsidR="00847025" w:rsidRPr="005A3E5E" w:rsidRDefault="00847025" w:rsidP="004860F7">
      <w:pPr>
        <w:spacing w:after="0" w:line="360" w:lineRule="auto"/>
        <w:contextualSpacing/>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rsidR="00847025" w:rsidRPr="005A3E5E" w:rsidRDefault="00847025" w:rsidP="004860F7">
      <w:pPr>
        <w:spacing w:after="0" w:line="360" w:lineRule="auto"/>
        <w:contextualSpacing/>
        <w:jc w:val="both"/>
        <w:rPr>
          <w:rFonts w:ascii="Palatino Linotype" w:eastAsia="Times New Roman" w:hAnsi="Palatino Linotype" w:cs="Arial"/>
          <w:sz w:val="24"/>
          <w:szCs w:val="24"/>
          <w:lang w:val="es-ES" w:eastAsia="es-ES"/>
        </w:rPr>
      </w:pP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Por lo que en cumplimiento a las obligaciones que establece nuestra Carta Magna, la Constitución Estatal y la Ley de la materia le imponen, el </w:t>
      </w:r>
      <w:r w:rsidRPr="005A3E5E">
        <w:rPr>
          <w:rFonts w:ascii="Palatino Linotype" w:eastAsia="Times New Roman" w:hAnsi="Palatino Linotype" w:cs="Arial"/>
          <w:b/>
          <w:sz w:val="24"/>
          <w:szCs w:val="24"/>
          <w:lang w:val="es-ES" w:eastAsia="es-ES"/>
        </w:rPr>
        <w:t>Sujeto Obligado</w:t>
      </w:r>
      <w:r w:rsidRPr="005A3E5E">
        <w:rPr>
          <w:rFonts w:ascii="Palatino Linotype" w:eastAsia="Times New Roman" w:hAnsi="Palatino Linotype" w:cs="Arial"/>
          <w:sz w:val="24"/>
          <w:szCs w:val="24"/>
          <w:lang w:val="es-ES" w:eastAsia="es-ES"/>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sistema SAIMEX por motivo de la solicitud que dio origen a este recurso, el </w:t>
      </w:r>
      <w:r w:rsidRPr="005A3E5E">
        <w:rPr>
          <w:rFonts w:ascii="Palatino Linotype" w:eastAsia="Times New Roman" w:hAnsi="Palatino Linotype" w:cs="Arial"/>
          <w:b/>
          <w:sz w:val="24"/>
          <w:szCs w:val="24"/>
          <w:lang w:val="es-ES" w:eastAsia="es-ES"/>
        </w:rPr>
        <w:t>Sujeto Obligado</w:t>
      </w:r>
      <w:r w:rsidRPr="005A3E5E">
        <w:rPr>
          <w:rFonts w:ascii="Palatino Linotype" w:eastAsia="Times New Roman" w:hAnsi="Palatino Linotype" w:cs="Arial"/>
          <w:sz w:val="24"/>
          <w:szCs w:val="24"/>
          <w:lang w:val="es-ES" w:eastAsia="es-ES"/>
        </w:rPr>
        <w:t xml:space="preserve"> fue omiso en dar respuesta a la solicitud.</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eastAsia="Calibri" w:hAnsi="Palatino Linotype" w:cs="Times New Roman"/>
          <w:sz w:val="24"/>
          <w:szCs w:val="24"/>
          <w:lang w:val="es-ES" w:eastAsia="es-ES"/>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847025" w:rsidRPr="005A3E5E" w:rsidRDefault="00847025" w:rsidP="004860F7">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5A3E5E">
        <w:rPr>
          <w:rFonts w:ascii="Palatino Linotype" w:eastAsia="Calibri" w:hAnsi="Palatino Linotype" w:cs="Times New Roman"/>
          <w:sz w:val="24"/>
          <w:szCs w:val="24"/>
          <w:lang w:val="es-ES" w:eastAsia="es-ES"/>
        </w:rPr>
        <w:lastRenderedPageBreak/>
        <w:t xml:space="preserve">No sobra decir que, al actuar de esta forma, el </w:t>
      </w:r>
      <w:r w:rsidRPr="005A3E5E">
        <w:rPr>
          <w:rFonts w:ascii="Palatino Linotype" w:eastAsia="Calibri" w:hAnsi="Palatino Linotype" w:cs="Times New Roman"/>
          <w:b/>
          <w:sz w:val="24"/>
          <w:szCs w:val="24"/>
          <w:lang w:val="es-ES" w:eastAsia="es-ES"/>
        </w:rPr>
        <w:t>Sujeto Obligado</w:t>
      </w:r>
      <w:r w:rsidRPr="005A3E5E">
        <w:rPr>
          <w:rFonts w:ascii="Palatino Linotype" w:eastAsia="Calibri" w:hAnsi="Palatino Linotype" w:cs="Times New Roman"/>
          <w:sz w:val="24"/>
          <w:szCs w:val="24"/>
          <w:lang w:val="es-ES" w:eastAsia="es-ES"/>
        </w:rPr>
        <w:t xml:space="preserve"> incumple con el primer mandato contenido en el párrafo tercero del artículo primero de la Constitución Política de los Estados Unidos Mexicanos que establece el deber de todas las autoridades, </w:t>
      </w:r>
      <w:r w:rsidRPr="005A3E5E">
        <w:rPr>
          <w:rFonts w:ascii="Palatino Linotype" w:eastAsia="Calibri" w:hAnsi="Palatino Linotype" w:cs="Times New Roman"/>
          <w:i/>
          <w:sz w:val="24"/>
          <w:szCs w:val="24"/>
          <w:lang w:val="es-ES" w:eastAsia="es-ES"/>
        </w:rPr>
        <w:t xml:space="preserve">en el ámbito de sus atribuciones, de promover, respetar, proteger y </w:t>
      </w:r>
      <w:r w:rsidRPr="005A3E5E">
        <w:rPr>
          <w:rFonts w:ascii="Palatino Linotype" w:eastAsia="Calibri" w:hAnsi="Palatino Linotype" w:cs="Times New Roman"/>
          <w:b/>
          <w:i/>
          <w:sz w:val="24"/>
          <w:szCs w:val="24"/>
          <w:lang w:val="es-ES" w:eastAsia="es-ES"/>
        </w:rPr>
        <w:t>garantizar</w:t>
      </w:r>
      <w:r w:rsidRPr="005A3E5E">
        <w:rPr>
          <w:rFonts w:ascii="Palatino Linotype" w:eastAsia="Calibri" w:hAnsi="Palatino Linotype" w:cs="Times New Roman"/>
          <w:i/>
          <w:sz w:val="24"/>
          <w:szCs w:val="24"/>
          <w:lang w:val="es-ES" w:eastAsia="es-ES"/>
        </w:rPr>
        <w:t xml:space="preserve"> los derechos humanos</w:t>
      </w:r>
      <w:r w:rsidRPr="005A3E5E">
        <w:rPr>
          <w:rFonts w:ascii="Palatino Linotype" w:eastAsia="Calibri" w:hAnsi="Palatino Linotype" w:cs="Times New Roman"/>
          <w:sz w:val="24"/>
          <w:szCs w:val="24"/>
          <w:lang w:val="es-ES" w:eastAsia="es-ES"/>
        </w:rPr>
        <w:t xml:space="preserve">. En este contexto, debe considerarse que según lo dispuesto por el artículo 150 de la Ley de Transparencia y Acceso a la Información Pública del Estado de México y Municipios, el </w:t>
      </w:r>
      <w:r w:rsidRPr="005A3E5E">
        <w:rPr>
          <w:rFonts w:ascii="Palatino Linotype" w:eastAsia="Calibri" w:hAnsi="Palatino Linotype" w:cs="Times New Roman"/>
          <w:i/>
          <w:sz w:val="24"/>
          <w:szCs w:val="24"/>
          <w:lang w:val="es-ES" w:eastAsia="es-ES"/>
        </w:rPr>
        <w:t>procedimiento de acceso a la información es la garantía primaria del derecho en cuestión.</w:t>
      </w:r>
      <w:r w:rsidRPr="005A3E5E">
        <w:rPr>
          <w:rFonts w:ascii="Palatino Linotype" w:eastAsia="Calibri" w:hAnsi="Palatino Linotype" w:cs="Times New Roman"/>
          <w:sz w:val="24"/>
          <w:szCs w:val="24"/>
          <w:lang w:val="es-ES" w:eastAsia="es-ES"/>
        </w:rPr>
        <w:t xml:space="preserve"> </w:t>
      </w:r>
    </w:p>
    <w:p w:rsidR="00847025" w:rsidRPr="005A3E5E" w:rsidRDefault="00847025" w:rsidP="004860F7">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p>
    <w:p w:rsidR="00847025" w:rsidRPr="005A3E5E" w:rsidRDefault="00847025" w:rsidP="004860F7">
      <w:pPr>
        <w:autoSpaceDE w:val="0"/>
        <w:autoSpaceDN w:val="0"/>
        <w:adjustRightInd w:val="0"/>
        <w:spacing w:after="0" w:line="360" w:lineRule="auto"/>
        <w:jc w:val="both"/>
        <w:rPr>
          <w:rFonts w:ascii="Palatino Linotype" w:eastAsia="Calibri" w:hAnsi="Palatino Linotype" w:cs="Times New Roman"/>
          <w:sz w:val="24"/>
          <w:szCs w:val="24"/>
          <w:lang w:val="es-ES" w:eastAsia="es-ES"/>
        </w:rPr>
      </w:pPr>
      <w:r w:rsidRPr="005A3E5E">
        <w:rPr>
          <w:rFonts w:ascii="Palatino Linotype" w:eastAsia="Calibri" w:hAnsi="Palatino Linotype" w:cs="Times New Roman"/>
          <w:sz w:val="24"/>
          <w:szCs w:val="24"/>
          <w:lang w:val="es-ES" w:eastAsia="es-ES"/>
        </w:rPr>
        <w:t xml:space="preserve">Por lo tanto, la falta de respuesta a una solicitud de acceso a la información constituye un incumplimiento del </w:t>
      </w:r>
      <w:r w:rsidRPr="005A3E5E">
        <w:rPr>
          <w:rFonts w:ascii="Palatino Linotype" w:eastAsia="Calibri" w:hAnsi="Palatino Linotype" w:cs="Times New Roman"/>
          <w:b/>
          <w:sz w:val="24"/>
          <w:szCs w:val="24"/>
          <w:lang w:val="es-ES" w:eastAsia="es-ES"/>
        </w:rPr>
        <w:t>Sujeto Obligado</w:t>
      </w:r>
      <w:r w:rsidRPr="005A3E5E">
        <w:rPr>
          <w:rFonts w:ascii="Palatino Linotype" w:eastAsia="Calibri" w:hAnsi="Palatino Linotype" w:cs="Times New Roman"/>
          <w:sz w:val="24"/>
          <w:szCs w:val="24"/>
          <w:lang w:val="es-ES" w:eastAsia="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5A3E5E">
        <w:rPr>
          <w:rFonts w:ascii="Palatino Linotype" w:eastAsia="Calibri" w:hAnsi="Palatino Linotype" w:cs="Times New Roman"/>
          <w:i/>
          <w:sz w:val="24"/>
          <w:szCs w:val="24"/>
          <w:lang w:val="es-ES" w:eastAsia="es-ES"/>
        </w:rPr>
        <w:t>investigar, sancionar y reparar las violaciones a los derechos humanos.</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47025" w:rsidRPr="005A3E5E" w:rsidRDefault="00847025" w:rsidP="004860F7">
      <w:pPr>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Ahora bien, de los requerimientos contenidos en la solicitud de información, se aprecia que objetivamente el </w:t>
      </w:r>
      <w:r w:rsidRPr="005A3E5E">
        <w:rPr>
          <w:rFonts w:ascii="Palatino Linotype" w:eastAsia="Times New Roman" w:hAnsi="Palatino Linotype" w:cs="Arial"/>
          <w:b/>
          <w:sz w:val="24"/>
          <w:szCs w:val="24"/>
          <w:lang w:val="es-ES" w:eastAsia="es-ES"/>
        </w:rPr>
        <w:t>Recurrente</w:t>
      </w:r>
      <w:r w:rsidRPr="005A3E5E">
        <w:rPr>
          <w:rFonts w:ascii="Palatino Linotype" w:eastAsia="Times New Roman" w:hAnsi="Palatino Linotype" w:cs="Arial"/>
          <w:sz w:val="24"/>
          <w:szCs w:val="24"/>
          <w:lang w:val="es-ES" w:eastAsia="es-ES"/>
        </w:rPr>
        <w:t xml:space="preserve"> peticiona, lo siguiente:</w:t>
      </w:r>
    </w:p>
    <w:p w:rsidR="00847025" w:rsidRPr="005A3E5E" w:rsidRDefault="00847025" w:rsidP="004860F7">
      <w:pPr>
        <w:spacing w:after="0" w:line="360" w:lineRule="auto"/>
        <w:jc w:val="both"/>
        <w:rPr>
          <w:rFonts w:ascii="Palatino Linotype" w:eastAsia="Times New Roman" w:hAnsi="Palatino Linotype" w:cs="Arial"/>
          <w:sz w:val="24"/>
          <w:szCs w:val="24"/>
          <w:lang w:val="es-ES" w:eastAsia="es-ES"/>
        </w:rPr>
      </w:pPr>
    </w:p>
    <w:p w:rsidR="009A599D" w:rsidRPr="005A3E5E" w:rsidRDefault="009A599D" w:rsidP="004860F7">
      <w:pPr>
        <w:pStyle w:val="Prrafodelista"/>
        <w:numPr>
          <w:ilvl w:val="0"/>
          <w:numId w:val="4"/>
        </w:numPr>
        <w:spacing w:line="360" w:lineRule="auto"/>
        <w:jc w:val="both"/>
        <w:rPr>
          <w:rFonts w:ascii="Palatino Linotype" w:hAnsi="Palatino Linotype"/>
        </w:rPr>
      </w:pPr>
      <w:r w:rsidRPr="005A3E5E">
        <w:rPr>
          <w:rFonts w:ascii="Palatino Linotype" w:hAnsi="Palatino Linotype"/>
        </w:rPr>
        <w:t>Las tarjetas de resguardo de bienes muebles de la Secretaría del Ayuntamiento, Administración, Transparencia y UIPPE del año 2022</w:t>
      </w:r>
    </w:p>
    <w:p w:rsidR="004860F7" w:rsidRPr="005A3E5E" w:rsidRDefault="004860F7" w:rsidP="004860F7">
      <w:pPr>
        <w:spacing w:after="0" w:line="360" w:lineRule="auto"/>
        <w:jc w:val="both"/>
        <w:rPr>
          <w:rFonts w:ascii="Palatino Linotype" w:hAnsi="Palatino Linotype"/>
          <w:sz w:val="24"/>
          <w:szCs w:val="24"/>
        </w:rPr>
      </w:pPr>
    </w:p>
    <w:p w:rsidR="00847025" w:rsidRPr="005A3E5E" w:rsidRDefault="00847025"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t xml:space="preserve">Como quedó precisado en el apartado de antecedentes, se tiene por acreditada la omisión del </w:t>
      </w:r>
      <w:r w:rsidRPr="005A3E5E">
        <w:rPr>
          <w:rFonts w:ascii="Palatino Linotype" w:hAnsi="Palatino Linotype"/>
          <w:b/>
          <w:sz w:val="24"/>
          <w:szCs w:val="24"/>
        </w:rPr>
        <w:t>Sujeto Obligado</w:t>
      </w:r>
      <w:r w:rsidRPr="005A3E5E">
        <w:rPr>
          <w:rFonts w:ascii="Palatino Linotype" w:hAnsi="Palatino Linotype"/>
          <w:sz w:val="24"/>
          <w:szCs w:val="24"/>
        </w:rPr>
        <w:t xml:space="preserve"> por atender en un primer momento el derecho de acceso a la información, al no dar respuesta dentro del término de Ley, con lo cual generó la </w:t>
      </w:r>
      <w:r w:rsidRPr="005A3E5E">
        <w:rPr>
          <w:rFonts w:ascii="Palatino Linotype" w:hAnsi="Palatino Linotype"/>
          <w:sz w:val="24"/>
          <w:szCs w:val="24"/>
        </w:rPr>
        <w:lastRenderedPageBreak/>
        <w:t xml:space="preserve">vulneración del derecho de acceso a la información del </w:t>
      </w:r>
      <w:r w:rsidRPr="005A3E5E">
        <w:rPr>
          <w:rFonts w:ascii="Palatino Linotype" w:hAnsi="Palatino Linotype"/>
          <w:b/>
          <w:sz w:val="24"/>
          <w:szCs w:val="24"/>
        </w:rPr>
        <w:t>Recurrente.</w:t>
      </w:r>
      <w:r w:rsidRPr="005A3E5E">
        <w:rPr>
          <w:rFonts w:ascii="Palatino Linotype" w:hAnsi="Palatino Linotype"/>
          <w:sz w:val="24"/>
          <w:szCs w:val="24"/>
        </w:rPr>
        <w:t xml:space="preserve"> Teniéndose por acreditado el acto de omisión, resultando fundado y procedente la interposición del recurso de revisión.</w:t>
      </w:r>
    </w:p>
    <w:p w:rsidR="00847025" w:rsidRPr="005A3E5E" w:rsidRDefault="00847025" w:rsidP="004860F7">
      <w:pPr>
        <w:spacing w:after="0" w:line="360" w:lineRule="auto"/>
        <w:jc w:val="both"/>
        <w:rPr>
          <w:rFonts w:ascii="Palatino Linotype" w:hAnsi="Palatino Linotype"/>
          <w:sz w:val="24"/>
          <w:szCs w:val="24"/>
        </w:rPr>
      </w:pPr>
    </w:p>
    <w:p w:rsidR="00847025" w:rsidRPr="005A3E5E" w:rsidRDefault="00847025"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t xml:space="preserve">Ahora bien, de las constancias que integran el expediente electrónico, se aprecia que en la etapa de manifestaciones el </w:t>
      </w:r>
      <w:r w:rsidRPr="005A3E5E">
        <w:rPr>
          <w:rFonts w:ascii="Palatino Linotype" w:hAnsi="Palatino Linotype"/>
          <w:b/>
          <w:sz w:val="24"/>
          <w:szCs w:val="24"/>
        </w:rPr>
        <w:t>Sujeto Obligado</w:t>
      </w:r>
      <w:r w:rsidRPr="005A3E5E">
        <w:rPr>
          <w:rFonts w:ascii="Palatino Linotype" w:hAnsi="Palatino Linotype"/>
          <w:sz w:val="24"/>
          <w:szCs w:val="24"/>
        </w:rPr>
        <w:t xml:space="preserve"> pretendió subsanar su actuar, remitiendo </w:t>
      </w:r>
      <w:r w:rsidR="009A599D" w:rsidRPr="005A3E5E">
        <w:rPr>
          <w:rFonts w:ascii="Palatino Linotype" w:hAnsi="Palatino Linotype"/>
          <w:sz w:val="24"/>
          <w:szCs w:val="24"/>
        </w:rPr>
        <w:t>e</w:t>
      </w:r>
      <w:r w:rsidRPr="005A3E5E">
        <w:rPr>
          <w:rFonts w:ascii="Palatino Linotype" w:hAnsi="Palatino Linotype"/>
          <w:sz w:val="24"/>
          <w:szCs w:val="24"/>
        </w:rPr>
        <w:t>l</w:t>
      </w:r>
      <w:r w:rsidR="009A599D" w:rsidRPr="005A3E5E">
        <w:rPr>
          <w:rFonts w:ascii="Palatino Linotype" w:hAnsi="Palatino Linotype"/>
          <w:sz w:val="24"/>
          <w:szCs w:val="24"/>
        </w:rPr>
        <w:t xml:space="preserve"> documento</w:t>
      </w:r>
      <w:r w:rsidRPr="005A3E5E">
        <w:rPr>
          <w:rFonts w:ascii="Palatino Linotype" w:hAnsi="Palatino Linotype"/>
          <w:sz w:val="24"/>
          <w:szCs w:val="24"/>
        </w:rPr>
        <w:t xml:space="preserve"> electrónico </w:t>
      </w:r>
      <w:r w:rsidRPr="005A3E5E">
        <w:rPr>
          <w:rFonts w:ascii="Palatino Linotype" w:hAnsi="Palatino Linotype" w:cs="Arial"/>
          <w:sz w:val="24"/>
          <w:szCs w:val="24"/>
        </w:rPr>
        <w:t>“</w:t>
      </w:r>
      <w:r w:rsidR="009A599D" w:rsidRPr="005A3E5E">
        <w:rPr>
          <w:rFonts w:ascii="Palatino Linotype" w:hAnsi="Palatino Linotype" w:cs="Arial"/>
          <w:b/>
          <w:i/>
          <w:sz w:val="24"/>
          <w:szCs w:val="24"/>
        </w:rPr>
        <w:t>respuesta de solicitud 1264-22R.pdf</w:t>
      </w:r>
      <w:r w:rsidRPr="005A3E5E">
        <w:rPr>
          <w:rFonts w:ascii="Palatino Linotype" w:hAnsi="Palatino Linotype" w:cs="Arial"/>
          <w:sz w:val="24"/>
          <w:szCs w:val="24"/>
        </w:rPr>
        <w:t>”</w:t>
      </w:r>
      <w:r w:rsidRPr="005A3E5E">
        <w:rPr>
          <w:rFonts w:ascii="Palatino Linotype" w:hAnsi="Palatino Linotype"/>
          <w:sz w:val="24"/>
          <w:szCs w:val="24"/>
        </w:rPr>
        <w:t xml:space="preserve">, </w:t>
      </w:r>
      <w:r w:rsidR="009A599D" w:rsidRPr="005A3E5E">
        <w:rPr>
          <w:rFonts w:ascii="Palatino Linotype" w:hAnsi="Palatino Linotype"/>
          <w:sz w:val="24"/>
          <w:szCs w:val="24"/>
        </w:rPr>
        <w:t>consistente en el oficio sin número ni fecha, remitido por el titular de la Unidad de Transparencia del Sujeto Obligado,</w:t>
      </w:r>
      <w:r w:rsidR="00B0036A" w:rsidRPr="005A3E5E">
        <w:rPr>
          <w:rFonts w:ascii="Palatino Linotype" w:hAnsi="Palatino Linotype"/>
          <w:sz w:val="24"/>
          <w:szCs w:val="24"/>
        </w:rPr>
        <w:t xml:space="preserve"> al Solicitante de información, manifestando objetivamente lo siguiente:</w:t>
      </w:r>
    </w:p>
    <w:p w:rsidR="00B0036A" w:rsidRPr="005A3E5E" w:rsidRDefault="00B0036A" w:rsidP="004860F7">
      <w:pPr>
        <w:spacing w:after="0" w:line="360" w:lineRule="auto"/>
        <w:jc w:val="both"/>
        <w:rPr>
          <w:rFonts w:ascii="Palatino Linotype" w:hAnsi="Palatino Linotype"/>
          <w:sz w:val="24"/>
          <w:szCs w:val="24"/>
        </w:rPr>
      </w:pPr>
    </w:p>
    <w:p w:rsidR="00B0036A" w:rsidRPr="005A3E5E" w:rsidRDefault="00B0036A"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“Con el fin de poder darle una oportuna contestación al hoy recurrente le informo que este Sujeto Obligado al realizar un análisis en su solicitud procedió a turnarla al Servidor Público Habilitado poseedor de la información, mismo que informa que </w:t>
      </w:r>
      <w:r w:rsidRPr="005A3E5E">
        <w:rPr>
          <w:rFonts w:ascii="Palatino Linotype" w:hAnsi="Palatino Linotype"/>
          <w:i/>
          <w:szCs w:val="24"/>
          <w:u w:val="single"/>
        </w:rPr>
        <w:t>lo solicitado se puede consultar dentro del sistema de Información Pública de Oficio Mexiquense (IPOMEX),</w:t>
      </w:r>
      <w:r w:rsidRPr="005A3E5E">
        <w:rPr>
          <w:rFonts w:ascii="Palatino Linotype" w:hAnsi="Palatino Linotype"/>
          <w:i/>
          <w:szCs w:val="24"/>
        </w:rPr>
        <w:t xml:space="preserve"> cabe recalcar que en dicho sistema se puede consultar toda la información que este Sujeto Obligado debe transparentar en apego al artículo 92 de Ley en Materia, por lo tanto </w:t>
      </w:r>
      <w:r w:rsidRPr="005A3E5E">
        <w:rPr>
          <w:rFonts w:ascii="Palatino Linotype" w:hAnsi="Palatino Linotype"/>
          <w:i/>
          <w:szCs w:val="24"/>
          <w:u w:val="single"/>
        </w:rPr>
        <w:t>se proporciona enlace para su consulta de lo referente a los bienes muebles de la Secretaria del Ayuntamiento, Administración, Transparencia y UIPPE</w:t>
      </w:r>
      <w:r w:rsidRPr="005A3E5E">
        <w:rPr>
          <w:rFonts w:ascii="Palatino Linotype" w:hAnsi="Palatino Linotype"/>
          <w:i/>
          <w:szCs w:val="24"/>
        </w:rPr>
        <w:t>:</w:t>
      </w:r>
    </w:p>
    <w:p w:rsidR="00B0036A" w:rsidRPr="005A3E5E" w:rsidRDefault="00B0036A" w:rsidP="004860F7">
      <w:pPr>
        <w:spacing w:after="0" w:line="240" w:lineRule="auto"/>
        <w:ind w:left="567" w:right="567"/>
        <w:jc w:val="both"/>
        <w:rPr>
          <w:rFonts w:ascii="Palatino Linotype" w:hAnsi="Palatino Linotype"/>
          <w:b/>
          <w:bCs/>
          <w:i/>
          <w:szCs w:val="24"/>
        </w:rPr>
      </w:pPr>
    </w:p>
    <w:p w:rsidR="00B0036A" w:rsidRPr="005A3E5E" w:rsidRDefault="00BF6662" w:rsidP="004860F7">
      <w:pPr>
        <w:spacing w:after="0" w:line="240" w:lineRule="auto"/>
        <w:ind w:left="567" w:right="567"/>
        <w:jc w:val="both"/>
        <w:rPr>
          <w:rFonts w:ascii="Palatino Linotype" w:hAnsi="Palatino Linotype"/>
          <w:i/>
          <w:szCs w:val="24"/>
        </w:rPr>
      </w:pPr>
      <w:hyperlink r:id="rId7" w:history="1">
        <w:r w:rsidR="00B0036A" w:rsidRPr="005A3E5E">
          <w:rPr>
            <w:rStyle w:val="Hipervnculo"/>
            <w:rFonts w:ascii="Palatino Linotype" w:hAnsi="Palatino Linotype"/>
            <w:i/>
            <w:szCs w:val="24"/>
          </w:rPr>
          <w:t>https://www.ipomex.org.mx/ipo3/lgt/indice/ZINACANTEPEC/art_92_xxxviii_a.web</w:t>
        </w:r>
      </w:hyperlink>
      <w:r w:rsidR="00B0036A" w:rsidRPr="005A3E5E">
        <w:rPr>
          <w:rFonts w:ascii="Palatino Linotype" w:hAnsi="Palatino Linotype"/>
          <w:i/>
          <w:szCs w:val="24"/>
        </w:rPr>
        <w:t xml:space="preserve">” </w:t>
      </w:r>
    </w:p>
    <w:p w:rsidR="00B0036A" w:rsidRPr="005A3E5E" w:rsidRDefault="00B0036A" w:rsidP="004860F7">
      <w:pPr>
        <w:spacing w:after="0" w:line="240" w:lineRule="auto"/>
        <w:ind w:left="567" w:right="567"/>
        <w:jc w:val="both"/>
        <w:rPr>
          <w:rFonts w:ascii="Palatino Linotype" w:hAnsi="Palatino Linotype"/>
          <w:b/>
          <w:bCs/>
          <w:i/>
          <w:szCs w:val="24"/>
        </w:rPr>
      </w:pPr>
    </w:p>
    <w:p w:rsidR="00847025" w:rsidRPr="005A3E5E" w:rsidRDefault="00B0036A" w:rsidP="004860F7">
      <w:pPr>
        <w:spacing w:after="0" w:line="240" w:lineRule="auto"/>
        <w:ind w:left="567" w:right="567"/>
        <w:jc w:val="right"/>
        <w:rPr>
          <w:rFonts w:ascii="Palatino Linotype" w:hAnsi="Palatino Linotype"/>
          <w:szCs w:val="24"/>
        </w:rPr>
      </w:pPr>
      <w:r w:rsidRPr="005A3E5E">
        <w:rPr>
          <w:rFonts w:ascii="Palatino Linotype" w:hAnsi="Palatino Linotype"/>
          <w:szCs w:val="24"/>
        </w:rPr>
        <w:t>(Énfasis añadido)</w:t>
      </w:r>
    </w:p>
    <w:p w:rsidR="00847025" w:rsidRPr="005A3E5E" w:rsidRDefault="00847025" w:rsidP="004860F7">
      <w:pPr>
        <w:spacing w:after="0" w:line="360" w:lineRule="auto"/>
        <w:jc w:val="both"/>
        <w:rPr>
          <w:rFonts w:ascii="Palatino Linotype" w:hAnsi="Palatino Linotype"/>
          <w:sz w:val="24"/>
          <w:szCs w:val="24"/>
        </w:rPr>
      </w:pPr>
    </w:p>
    <w:p w:rsidR="00B0036A" w:rsidRPr="005A3E5E" w:rsidRDefault="00B0036A" w:rsidP="004860F7">
      <w:pPr>
        <w:spacing w:after="0" w:line="360" w:lineRule="auto"/>
        <w:jc w:val="both"/>
        <w:rPr>
          <w:rFonts w:ascii="Palatino Linotype" w:eastAsia="Calibri" w:hAnsi="Palatino Linotype" w:cs="Times New Roman"/>
          <w:sz w:val="24"/>
          <w:szCs w:val="24"/>
          <w:lang w:val="es-ES_tradnl" w:eastAsia="es-ES"/>
        </w:rPr>
      </w:pPr>
      <w:r w:rsidRPr="005A3E5E">
        <w:rPr>
          <w:rFonts w:ascii="Palatino Linotype" w:eastAsia="Calibri" w:hAnsi="Palatino Linotype" w:cs="Times New Roman"/>
          <w:sz w:val="24"/>
          <w:szCs w:val="24"/>
          <w:lang w:val="es-ES_tradnl" w:eastAsia="es-ES"/>
        </w:rPr>
        <w:t xml:space="preserve">Atentos a lo manifestado por el </w:t>
      </w:r>
      <w:r w:rsidRPr="005A3E5E">
        <w:rPr>
          <w:rFonts w:ascii="Palatino Linotype" w:eastAsia="Calibri" w:hAnsi="Palatino Linotype" w:cs="Times New Roman"/>
          <w:b/>
          <w:sz w:val="24"/>
          <w:szCs w:val="24"/>
          <w:lang w:val="es-ES_tradnl" w:eastAsia="es-ES"/>
        </w:rPr>
        <w:t>Sujeto Obligado</w:t>
      </w:r>
      <w:r w:rsidRPr="005A3E5E">
        <w:rPr>
          <w:rFonts w:ascii="Palatino Linotype" w:eastAsia="Calibri" w:hAnsi="Palatino Linotype" w:cs="Times New Roman"/>
          <w:sz w:val="24"/>
          <w:szCs w:val="24"/>
          <w:lang w:val="es-ES_tradnl" w:eastAsia="es-ES"/>
        </w:rPr>
        <w:t xml:space="preserve">, en primer lugar podemos concluir que se obvia el estudio del marco normativo que rige su actuar, ello atendiendo que, el estudio de la fuente obligacional se realiza con la finalidad de determinar si éste se encuentra obligado a generarla, poseerla o administrarla, pero en los casos en que de la respuesta, acepta o bien otorga indicios de que cuenta con ella, seria ocioso delimitar las norma jurídica que determine si la dependencia, cuenta con ella o no. </w:t>
      </w:r>
    </w:p>
    <w:p w:rsidR="00B0036A" w:rsidRPr="005A3E5E" w:rsidRDefault="00E2652C"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lastRenderedPageBreak/>
        <w:t>Precisado lo anterior, resulta necesario hacer consulta de la liga electrónica proporcionada por el Sujeto Obligado, a efecto de poder determinar si la respuesta, satisface el requerimiento de información. Una vez analizada la página electrónica, se advierte el contenido siguiente:</w:t>
      </w:r>
    </w:p>
    <w:p w:rsidR="00E2652C" w:rsidRPr="005A3E5E" w:rsidRDefault="00E2652C" w:rsidP="004860F7">
      <w:pPr>
        <w:spacing w:after="0" w:line="360" w:lineRule="auto"/>
        <w:jc w:val="both"/>
        <w:rPr>
          <w:rFonts w:ascii="Palatino Linotype" w:hAnsi="Palatino Linotype"/>
          <w:sz w:val="24"/>
          <w:szCs w:val="24"/>
        </w:rPr>
      </w:pPr>
    </w:p>
    <w:p w:rsidR="00E2652C" w:rsidRPr="005A3E5E" w:rsidRDefault="00E2652C" w:rsidP="004860F7">
      <w:pPr>
        <w:spacing w:after="0" w:line="360" w:lineRule="auto"/>
        <w:jc w:val="center"/>
        <w:rPr>
          <w:rFonts w:ascii="Palatino Linotype" w:hAnsi="Palatino Linotype"/>
          <w:sz w:val="24"/>
          <w:szCs w:val="24"/>
        </w:rPr>
      </w:pPr>
      <w:r w:rsidRPr="005A3E5E">
        <w:rPr>
          <w:rFonts w:ascii="Palatino Linotype" w:hAnsi="Palatino Linotype"/>
          <w:noProof/>
          <w:sz w:val="24"/>
          <w:szCs w:val="24"/>
          <w:lang w:eastAsia="es-MX"/>
        </w:rPr>
        <w:drawing>
          <wp:inline distT="0" distB="0" distL="0" distR="0" wp14:anchorId="51FBE793" wp14:editId="24C364D5">
            <wp:extent cx="4988966" cy="3160448"/>
            <wp:effectExtent l="0" t="0" r="254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7028" cy="3165555"/>
                    </a:xfrm>
                    <a:prstGeom prst="rect">
                      <a:avLst/>
                    </a:prstGeom>
                  </pic:spPr>
                </pic:pic>
              </a:graphicData>
            </a:graphic>
          </wp:inline>
        </w:drawing>
      </w:r>
    </w:p>
    <w:p w:rsidR="00E2652C" w:rsidRPr="005A3E5E" w:rsidRDefault="00E2652C" w:rsidP="004860F7">
      <w:pPr>
        <w:spacing w:after="0" w:line="360" w:lineRule="auto"/>
        <w:jc w:val="both"/>
        <w:rPr>
          <w:rFonts w:ascii="Palatino Linotype" w:hAnsi="Palatino Linotype"/>
          <w:sz w:val="24"/>
          <w:szCs w:val="24"/>
        </w:rPr>
      </w:pPr>
    </w:p>
    <w:p w:rsidR="00E2652C" w:rsidRPr="005A3E5E" w:rsidRDefault="00E2652C" w:rsidP="004860F7">
      <w:pPr>
        <w:spacing w:after="0" w:line="360" w:lineRule="auto"/>
        <w:jc w:val="both"/>
        <w:rPr>
          <w:rFonts w:ascii="Palatino Linotype" w:eastAsia="Times New Roman" w:hAnsi="Palatino Linotype" w:cs="Arial"/>
          <w:sz w:val="24"/>
          <w:szCs w:val="24"/>
          <w:lang w:val="es-ES" w:eastAsia="es-ES"/>
        </w:rPr>
      </w:pPr>
      <w:r w:rsidRPr="005A3E5E">
        <w:rPr>
          <w:rFonts w:ascii="Palatino Linotype" w:eastAsia="Calibri" w:hAnsi="Palatino Linotype" w:cs="Times New Roman"/>
          <w:sz w:val="24"/>
          <w:szCs w:val="24"/>
          <w:lang w:eastAsia="es-ES"/>
        </w:rPr>
        <w:t xml:space="preserve">De las </w:t>
      </w:r>
      <w:r w:rsidR="008F1A8F" w:rsidRPr="005A3E5E">
        <w:rPr>
          <w:rFonts w:ascii="Palatino Linotype" w:eastAsia="Calibri" w:hAnsi="Palatino Linotype" w:cs="Times New Roman"/>
          <w:sz w:val="24"/>
          <w:szCs w:val="24"/>
          <w:lang w:eastAsia="es-ES"/>
        </w:rPr>
        <w:t xml:space="preserve">imagen </w:t>
      </w:r>
      <w:r w:rsidRPr="005A3E5E">
        <w:rPr>
          <w:rFonts w:ascii="Palatino Linotype" w:eastAsia="Calibri" w:hAnsi="Palatino Linotype" w:cs="Times New Roman"/>
          <w:sz w:val="24"/>
          <w:szCs w:val="24"/>
          <w:lang w:eastAsia="es-ES"/>
        </w:rPr>
        <w:t xml:space="preserve">inserta, se observa que el </w:t>
      </w:r>
      <w:r w:rsidRPr="005A3E5E">
        <w:rPr>
          <w:rFonts w:ascii="Palatino Linotype" w:eastAsia="Calibri" w:hAnsi="Palatino Linotype" w:cs="Times New Roman"/>
          <w:b/>
          <w:sz w:val="24"/>
          <w:szCs w:val="24"/>
          <w:lang w:eastAsia="es-ES"/>
        </w:rPr>
        <w:t>Sujeto Obligado</w:t>
      </w:r>
      <w:r w:rsidRPr="005A3E5E">
        <w:rPr>
          <w:rFonts w:ascii="Palatino Linotype" w:eastAsia="Calibri" w:hAnsi="Palatino Linotype" w:cs="Times New Roman"/>
          <w:sz w:val="24"/>
          <w:szCs w:val="24"/>
          <w:lang w:eastAsia="es-ES"/>
        </w:rPr>
        <w:t xml:space="preserve"> remite a la página electrónica correspondiente a </w:t>
      </w:r>
      <w:r w:rsidR="008F1A8F" w:rsidRPr="005A3E5E">
        <w:rPr>
          <w:rFonts w:ascii="Palatino Linotype" w:eastAsia="Calibri" w:hAnsi="Palatino Linotype" w:cs="Times New Roman"/>
          <w:sz w:val="24"/>
          <w:szCs w:val="24"/>
          <w:lang w:eastAsia="es-ES"/>
        </w:rPr>
        <w:t>su apartado del Portal IPO</w:t>
      </w:r>
      <w:r w:rsidR="00DE1761" w:rsidRPr="005A3E5E">
        <w:rPr>
          <w:rFonts w:ascii="Palatino Linotype" w:eastAsia="Calibri" w:hAnsi="Palatino Linotype" w:cs="Times New Roman"/>
          <w:sz w:val="24"/>
          <w:szCs w:val="24"/>
          <w:lang w:eastAsia="es-ES"/>
        </w:rPr>
        <w:t xml:space="preserve">MEX, sin embargo, </w:t>
      </w:r>
      <w:r w:rsidRPr="005A3E5E">
        <w:rPr>
          <w:rFonts w:ascii="Palatino Linotype" w:eastAsia="Times New Roman" w:hAnsi="Palatino Linotype" w:cs="Times New Roman"/>
          <w:bCs/>
          <w:sz w:val="24"/>
          <w:szCs w:val="24"/>
          <w:lang w:val="es-ES" w:eastAsia="es-ES"/>
        </w:rPr>
        <w:t xml:space="preserve">de </w:t>
      </w:r>
      <w:r w:rsidRPr="005A3E5E">
        <w:rPr>
          <w:rFonts w:ascii="Palatino Linotype" w:hAnsi="Palatino Linotype" w:cs="Arial"/>
          <w:sz w:val="24"/>
          <w:lang w:val="es-ES"/>
        </w:rPr>
        <w:t xml:space="preserve">conformidad con el artículo 161 de nuestra Ley de Transparencia y Acceso a la Información Pública del Estado de México y Municipios, </w:t>
      </w:r>
      <w:r w:rsidRPr="005A3E5E">
        <w:rPr>
          <w:rFonts w:ascii="Palatino Linotype" w:eastAsia="Times New Roman" w:hAnsi="Palatino Linotype" w:cs="Arial"/>
          <w:sz w:val="24"/>
          <w:szCs w:val="24"/>
          <w:lang w:val="es-ES" w:eastAsia="es-ES"/>
        </w:rPr>
        <w:t>dicha orientación al particular resulta insuficiente, al no cumplir con los lineamientos que exige el numeral 161 de la ley de la materia, lo anterior en razón de que, al ingresar al enlace electrónico proporcionado, se aprecia que la fuente no es precisa y concreta.</w:t>
      </w:r>
    </w:p>
    <w:p w:rsidR="00DE1761" w:rsidRPr="005A3E5E" w:rsidRDefault="00DE1761" w:rsidP="004860F7">
      <w:pPr>
        <w:spacing w:after="0" w:line="360" w:lineRule="auto"/>
        <w:jc w:val="both"/>
        <w:rPr>
          <w:rFonts w:ascii="Palatino Linotype" w:eastAsia="Times New Roman" w:hAnsi="Palatino Linotype" w:cs="Arial"/>
          <w:sz w:val="24"/>
          <w:szCs w:val="24"/>
          <w:lang w:val="es-ES" w:eastAsia="es-ES"/>
        </w:rPr>
      </w:pP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lastRenderedPageBreak/>
        <w:t>Para efecto de fundar y motivar la precedente aseveración, se parte de la premisa normativa señalada en los artículos 11 y 161 de la Ley de Transparencia y Acceso a la Información Pública del Estado de México y Municipios, que establecen diversas características que debe tener la información desde el momento de su generación, publicación y entrega, así como la forma en que se deberá consultar la información, señalando una fuente precisa y concreta, a saber:</w:t>
      </w: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p>
    <w:p w:rsidR="00E2652C" w:rsidRPr="005A3E5E" w:rsidRDefault="00E2652C" w:rsidP="004860F7">
      <w:pPr>
        <w:spacing w:after="0" w:line="360" w:lineRule="auto"/>
        <w:ind w:right="51"/>
        <w:jc w:val="both"/>
        <w:rPr>
          <w:rFonts w:ascii="Palatino Linotype" w:eastAsia="Times New Roman" w:hAnsi="Palatino Linotype" w:cs="Arial"/>
          <w:sz w:val="2"/>
          <w:szCs w:val="24"/>
          <w:lang w:val="es-ES" w:eastAsia="es-ES"/>
        </w:rPr>
      </w:pPr>
    </w:p>
    <w:p w:rsidR="00E2652C" w:rsidRPr="005A3E5E" w:rsidRDefault="00E2652C" w:rsidP="004860F7">
      <w:pPr>
        <w:spacing w:after="0" w:line="240" w:lineRule="auto"/>
        <w:ind w:left="567" w:right="567"/>
        <w:jc w:val="both"/>
        <w:rPr>
          <w:rFonts w:ascii="Palatino Linotype" w:eastAsia="Times New Roman" w:hAnsi="Palatino Linotype" w:cs="Times New Roman"/>
          <w:i/>
          <w:szCs w:val="24"/>
          <w:lang w:val="es-ES" w:eastAsia="es-ES"/>
        </w:rPr>
      </w:pPr>
      <w:r w:rsidRPr="005A3E5E">
        <w:rPr>
          <w:rFonts w:ascii="Palatino Linotype" w:eastAsia="Times New Roman" w:hAnsi="Palatino Linotype" w:cs="Times New Roman"/>
          <w:b/>
          <w:i/>
          <w:szCs w:val="24"/>
          <w:lang w:val="es-ES" w:eastAsia="es-ES"/>
        </w:rPr>
        <w:t>“Artículo 11.</w:t>
      </w:r>
      <w:r w:rsidRPr="005A3E5E">
        <w:rPr>
          <w:rFonts w:ascii="Palatino Linotype" w:eastAsia="Times New Roman" w:hAnsi="Palatino Linotype" w:cs="Times New Roman"/>
          <w:i/>
          <w:szCs w:val="24"/>
          <w:lang w:val="es-ES" w:eastAsia="es-ES"/>
        </w:rPr>
        <w:t xml:space="preserve"> En la generación, publicación y</w:t>
      </w:r>
      <w:r w:rsidRPr="005A3E5E">
        <w:rPr>
          <w:rFonts w:ascii="Palatino Linotype" w:eastAsia="Times New Roman" w:hAnsi="Palatino Linotype" w:cs="Times New Roman"/>
          <w:b/>
          <w:i/>
          <w:szCs w:val="24"/>
          <w:lang w:val="es-ES" w:eastAsia="es-ES"/>
        </w:rPr>
        <w:t xml:space="preserve"> </w:t>
      </w:r>
      <w:r w:rsidRPr="005A3E5E">
        <w:rPr>
          <w:rFonts w:ascii="Palatino Linotype" w:eastAsia="Times New Roman" w:hAnsi="Palatino Linotype" w:cs="Times New Roman"/>
          <w:b/>
          <w:i/>
          <w:szCs w:val="24"/>
          <w:u w:val="single"/>
          <w:lang w:val="es-ES" w:eastAsia="es-ES"/>
        </w:rPr>
        <w:t>entrega de información se deberá</w:t>
      </w:r>
      <w:r w:rsidRPr="005A3E5E">
        <w:rPr>
          <w:rFonts w:ascii="Palatino Linotype" w:eastAsia="Times New Roman" w:hAnsi="Palatino Linotype" w:cs="Times New Roman"/>
          <w:i/>
          <w:szCs w:val="24"/>
          <w:lang w:val="es-ES" w:eastAsia="es-ES"/>
        </w:rPr>
        <w:t xml:space="preserve"> </w:t>
      </w:r>
      <w:r w:rsidRPr="005A3E5E">
        <w:rPr>
          <w:rFonts w:ascii="Palatino Linotype" w:eastAsia="Times New Roman" w:hAnsi="Palatino Linotype" w:cs="Times New Roman"/>
          <w:b/>
          <w:i/>
          <w:szCs w:val="24"/>
          <w:u w:val="single"/>
          <w:lang w:val="es-ES" w:eastAsia="es-ES"/>
        </w:rPr>
        <w:t>garantizar que ésta sea accesible, actualizada, completa, congruente, confiable, verificable, veraz, integral, oportuna y expedita</w:t>
      </w:r>
      <w:r w:rsidRPr="005A3E5E">
        <w:rPr>
          <w:rFonts w:ascii="Palatino Linotype" w:eastAsia="Times New Roman" w:hAnsi="Palatino Linotype" w:cs="Times New Roman"/>
          <w:i/>
          <w:szCs w:val="24"/>
          <w:lang w:val="es-ES" w:eastAsia="es-ES"/>
        </w:rPr>
        <w:t>, sujeta a un claro régimen de excepciones que deberá estar definido y ser además legítima y estrictamente necesaria en una sociedad democrática, por lo que atenderá las necesidades del derecho de acceso a la información de toda persona.</w:t>
      </w:r>
    </w:p>
    <w:p w:rsidR="00E2652C" w:rsidRPr="005A3E5E" w:rsidRDefault="00E2652C" w:rsidP="004860F7">
      <w:pPr>
        <w:spacing w:after="0" w:line="240" w:lineRule="auto"/>
        <w:ind w:left="567" w:right="567"/>
        <w:jc w:val="both"/>
        <w:rPr>
          <w:rFonts w:ascii="Palatino Linotype" w:eastAsia="Times New Roman" w:hAnsi="Palatino Linotype" w:cs="Times New Roman"/>
          <w:i/>
          <w:szCs w:val="24"/>
          <w:lang w:val="es-ES" w:eastAsia="es-ES"/>
        </w:rPr>
      </w:pPr>
      <w:r w:rsidRPr="005A3E5E">
        <w:rPr>
          <w:rFonts w:ascii="Palatino Linotype" w:eastAsia="Times New Roman" w:hAnsi="Palatino Linotype" w:cs="Times New Roman"/>
          <w:i/>
          <w:szCs w:val="24"/>
          <w:lang w:val="es-ES" w:eastAsia="es-ES"/>
        </w:rPr>
        <w:t>(…)</w:t>
      </w:r>
    </w:p>
    <w:p w:rsidR="00E2652C" w:rsidRPr="005A3E5E" w:rsidRDefault="00E2652C" w:rsidP="004860F7">
      <w:pPr>
        <w:spacing w:after="0" w:line="240" w:lineRule="auto"/>
        <w:ind w:left="567" w:right="567"/>
        <w:jc w:val="both"/>
        <w:rPr>
          <w:rFonts w:ascii="Palatino Linotype" w:eastAsia="Times New Roman" w:hAnsi="Palatino Linotype" w:cs="Times New Roman"/>
          <w:i/>
          <w:szCs w:val="24"/>
          <w:lang w:val="es-ES" w:eastAsia="es-ES"/>
        </w:rPr>
      </w:pPr>
    </w:p>
    <w:p w:rsidR="00E2652C" w:rsidRPr="005A3E5E" w:rsidRDefault="00E2652C" w:rsidP="004860F7">
      <w:pPr>
        <w:spacing w:after="0" w:line="240" w:lineRule="auto"/>
        <w:ind w:left="567" w:right="567"/>
        <w:jc w:val="both"/>
        <w:rPr>
          <w:rFonts w:ascii="Palatino Linotype" w:eastAsia="Times New Roman" w:hAnsi="Palatino Linotype" w:cs="Times New Roman"/>
          <w:szCs w:val="24"/>
          <w:lang w:val="es-ES" w:eastAsia="es-ES"/>
        </w:rPr>
      </w:pPr>
      <w:r w:rsidRPr="005A3E5E">
        <w:rPr>
          <w:rFonts w:ascii="Palatino Linotype" w:eastAsia="Times New Roman" w:hAnsi="Palatino Linotype" w:cs="Times New Roman"/>
          <w:b/>
          <w:i/>
          <w:szCs w:val="24"/>
          <w:lang w:val="es-ES" w:eastAsia="es-ES"/>
        </w:rPr>
        <w:t>Artículo 161.</w:t>
      </w:r>
      <w:r w:rsidRPr="005A3E5E">
        <w:rPr>
          <w:rFonts w:ascii="Palatino Linotype" w:eastAsia="Times New Roman" w:hAnsi="Palatino Linotype" w:cs="Times New Roman"/>
          <w:i/>
          <w:szCs w:val="24"/>
          <w:lang w:val="es-ES" w:eastAsia="es-E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A3E5E">
        <w:rPr>
          <w:rFonts w:ascii="Palatino Linotype" w:eastAsia="Times New Roman" w:hAnsi="Palatino Linotype" w:cs="Times New Roman"/>
          <w:b/>
          <w:i/>
          <w:szCs w:val="24"/>
          <w:lang w:val="es-ES" w:eastAsia="es-ES"/>
        </w:rPr>
        <w:t xml:space="preserve">la fuente, el lugar y la forma en que puede consultar, reproducir o adquirir dicha información en un plazo no mayor a cinco días hábiles. </w:t>
      </w:r>
      <w:r w:rsidRPr="005A3E5E">
        <w:rPr>
          <w:rFonts w:ascii="Palatino Linotype" w:eastAsia="Times New Roman" w:hAnsi="Palatino Linotype" w:cs="Times New Roman"/>
          <w:b/>
          <w:i/>
          <w:szCs w:val="24"/>
          <w:u w:val="single"/>
          <w:lang w:val="es-ES" w:eastAsia="es-ES"/>
        </w:rPr>
        <w:t>La fuente deberá ser precisa y concreta y no debe implicar que el solicitante realice una búsqueda en toda la información que se encuentre disponible.</w:t>
      </w:r>
    </w:p>
    <w:p w:rsidR="00E2652C" w:rsidRPr="005A3E5E" w:rsidRDefault="00E2652C" w:rsidP="004860F7">
      <w:pPr>
        <w:spacing w:after="0" w:line="240" w:lineRule="auto"/>
        <w:ind w:left="567" w:right="567"/>
        <w:jc w:val="right"/>
        <w:rPr>
          <w:rFonts w:ascii="Palatino Linotype" w:eastAsia="Times New Roman" w:hAnsi="Palatino Linotype" w:cs="Times New Roman"/>
          <w:szCs w:val="24"/>
          <w:lang w:val="es-ES" w:eastAsia="es-ES"/>
        </w:rPr>
      </w:pPr>
      <w:r w:rsidRPr="005A3E5E">
        <w:rPr>
          <w:rFonts w:ascii="Palatino Linotype" w:eastAsia="Times New Roman" w:hAnsi="Palatino Linotype" w:cs="Times New Roman"/>
          <w:szCs w:val="24"/>
          <w:lang w:val="es-ES" w:eastAsia="es-ES"/>
        </w:rPr>
        <w:t>(Énfasis añadido)</w:t>
      </w:r>
    </w:p>
    <w:p w:rsidR="00E2652C" w:rsidRPr="005A3E5E" w:rsidRDefault="00E2652C" w:rsidP="004860F7">
      <w:pPr>
        <w:spacing w:after="0" w:line="360" w:lineRule="auto"/>
        <w:ind w:left="851" w:right="851"/>
        <w:jc w:val="both"/>
        <w:rPr>
          <w:rFonts w:ascii="Palatino Linotype" w:eastAsia="Times New Roman" w:hAnsi="Palatino Linotype" w:cs="Arial"/>
          <w:sz w:val="24"/>
          <w:szCs w:val="24"/>
          <w:lang w:val="es-ES" w:eastAsia="es-ES"/>
        </w:rPr>
      </w:pPr>
    </w:p>
    <w:p w:rsidR="00E2652C" w:rsidRPr="005A3E5E" w:rsidRDefault="00E2652C" w:rsidP="004860F7">
      <w:pPr>
        <w:spacing w:after="0" w:line="360" w:lineRule="auto"/>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w:t>
      </w:r>
      <w:r w:rsidRPr="005A3E5E">
        <w:rPr>
          <w:rFonts w:ascii="Palatino Linotype" w:eastAsia="Times New Roman" w:hAnsi="Palatino Linotype" w:cs="Arial"/>
          <w:b/>
          <w:sz w:val="24"/>
          <w:szCs w:val="24"/>
          <w:lang w:val="es-ES" w:eastAsia="es-ES"/>
        </w:rPr>
        <w:t>Sujeto Obligado</w:t>
      </w:r>
      <w:r w:rsidRPr="005A3E5E">
        <w:rPr>
          <w:rFonts w:ascii="Palatino Linotype" w:eastAsia="Times New Roman" w:hAnsi="Palatino Linotype" w:cs="Arial"/>
          <w:sz w:val="24"/>
          <w:szCs w:val="24"/>
          <w:lang w:val="es-ES" w:eastAsia="es-ES"/>
        </w:rPr>
        <w:t xml:space="preserve"> para informar a los solicitantes sobre información que se encuentre disponible en libros, compendios, formatos electrónicos, entre otros, </w:t>
      </w:r>
      <w:r w:rsidRPr="005A3E5E">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5A3E5E">
        <w:rPr>
          <w:rFonts w:ascii="Palatino Linotype" w:eastAsia="Times New Roman" w:hAnsi="Palatino Linotype" w:cs="Arial"/>
          <w:sz w:val="24"/>
          <w:szCs w:val="24"/>
          <w:lang w:val="es-ES" w:eastAsia="es-ES"/>
        </w:rPr>
        <w:t>, comprendiendo:</w:t>
      </w:r>
    </w:p>
    <w:p w:rsidR="00E2652C" w:rsidRPr="005A3E5E" w:rsidRDefault="00E2652C" w:rsidP="004860F7">
      <w:pPr>
        <w:numPr>
          <w:ilvl w:val="0"/>
          <w:numId w:val="5"/>
        </w:num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lastRenderedPageBreak/>
        <w:t>La fuente</w:t>
      </w:r>
    </w:p>
    <w:p w:rsidR="00E2652C" w:rsidRPr="005A3E5E" w:rsidRDefault="00E2652C" w:rsidP="004860F7">
      <w:pPr>
        <w:numPr>
          <w:ilvl w:val="0"/>
          <w:numId w:val="5"/>
        </w:num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El lugar y</w:t>
      </w:r>
    </w:p>
    <w:p w:rsidR="00E2652C" w:rsidRPr="005A3E5E" w:rsidRDefault="00E2652C" w:rsidP="004860F7">
      <w:pPr>
        <w:numPr>
          <w:ilvl w:val="0"/>
          <w:numId w:val="5"/>
        </w:num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La forma </w:t>
      </w: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Asimismo, se establece que la fuente de la información </w:t>
      </w:r>
      <w:r w:rsidRPr="005A3E5E">
        <w:rPr>
          <w:rFonts w:ascii="Palatino Linotype" w:eastAsia="Times New Roman" w:hAnsi="Palatino Linotype" w:cs="Arial"/>
          <w:b/>
          <w:sz w:val="24"/>
          <w:szCs w:val="24"/>
          <w:lang w:val="es-ES" w:eastAsia="es-ES"/>
        </w:rPr>
        <w:t>deberá ser</w:t>
      </w:r>
      <w:r w:rsidRPr="005A3E5E">
        <w:rPr>
          <w:rFonts w:ascii="Palatino Linotype" w:eastAsia="Times New Roman" w:hAnsi="Palatino Linotype" w:cs="Arial"/>
          <w:sz w:val="24"/>
          <w:szCs w:val="24"/>
          <w:lang w:val="es-ES" w:eastAsia="es-ES"/>
        </w:rPr>
        <w:t>:</w:t>
      </w: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p>
    <w:p w:rsidR="00E2652C" w:rsidRPr="005A3E5E" w:rsidRDefault="00E2652C" w:rsidP="004860F7">
      <w:pPr>
        <w:numPr>
          <w:ilvl w:val="0"/>
          <w:numId w:val="6"/>
        </w:num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Precisa</w:t>
      </w:r>
    </w:p>
    <w:p w:rsidR="00E2652C" w:rsidRPr="005A3E5E" w:rsidRDefault="00E2652C" w:rsidP="004860F7">
      <w:pPr>
        <w:numPr>
          <w:ilvl w:val="0"/>
          <w:numId w:val="6"/>
        </w:num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Concreta</w:t>
      </w:r>
    </w:p>
    <w:p w:rsidR="00E2652C" w:rsidRPr="005A3E5E" w:rsidRDefault="00E2652C" w:rsidP="004860F7">
      <w:pPr>
        <w:numPr>
          <w:ilvl w:val="0"/>
          <w:numId w:val="6"/>
        </w:numPr>
        <w:spacing w:after="0" w:line="360" w:lineRule="auto"/>
        <w:ind w:right="51"/>
        <w:jc w:val="both"/>
        <w:rPr>
          <w:rFonts w:ascii="Palatino Linotype" w:eastAsia="Times New Roman" w:hAnsi="Palatino Linotype" w:cs="Arial"/>
          <w:sz w:val="24"/>
          <w:szCs w:val="24"/>
          <w:u w:val="single"/>
          <w:lang w:val="es-ES" w:eastAsia="es-ES"/>
        </w:rPr>
      </w:pPr>
      <w:r w:rsidRPr="005A3E5E">
        <w:rPr>
          <w:rFonts w:ascii="Palatino Linotype" w:eastAsia="Times New Roman" w:hAnsi="Palatino Linotype" w:cs="Arial"/>
          <w:sz w:val="24"/>
          <w:szCs w:val="24"/>
          <w:u w:val="single"/>
          <w:lang w:val="es-ES" w:eastAsia="es-ES"/>
        </w:rPr>
        <w:t>Y NO debe implicar que el solicitante realice una búsqueda en toda la información que se encuentre disponible.</w:t>
      </w: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p>
    <w:p w:rsidR="00E2652C"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 xml:space="preserve">Imperativos legales que establecen el procedimiento que debe seguir </w:t>
      </w:r>
      <w:r w:rsidRPr="005A3E5E">
        <w:rPr>
          <w:rFonts w:ascii="Palatino Linotype" w:eastAsia="Times New Roman" w:hAnsi="Palatino Linotype" w:cs="Arial"/>
          <w:b/>
          <w:sz w:val="24"/>
          <w:szCs w:val="24"/>
          <w:lang w:val="es-ES" w:eastAsia="es-ES"/>
        </w:rPr>
        <w:t xml:space="preserve">el Sujeto Obligado </w:t>
      </w:r>
      <w:r w:rsidRPr="005A3E5E">
        <w:rPr>
          <w:rFonts w:ascii="Palatino Linotype" w:eastAsia="Times New Roman" w:hAnsi="Palatino Linotype" w:cs="Arial"/>
          <w:sz w:val="24"/>
          <w:szCs w:val="24"/>
          <w:lang w:val="es-ES" w:eastAsia="es-ES"/>
        </w:rPr>
        <w:t xml:space="preserve">para que pueda tomarse como válida su orientación sobre la forma en que puede consultar la información requerida, premisas que en la especie no se cumplen, ello porque conforme a lo que establece </w:t>
      </w:r>
      <w:r w:rsidRPr="005A3E5E">
        <w:rPr>
          <w:rFonts w:ascii="Palatino Linotype" w:eastAsia="Times New Roman" w:hAnsi="Palatino Linotype" w:cs="Arial"/>
          <w:b/>
          <w:sz w:val="24"/>
          <w:szCs w:val="24"/>
          <w:lang w:val="es-ES" w:eastAsia="es-ES"/>
        </w:rPr>
        <w:t>el Sujeto Obligado</w:t>
      </w:r>
      <w:r w:rsidRPr="005A3E5E">
        <w:rPr>
          <w:rFonts w:ascii="Palatino Linotype" w:eastAsia="Times New Roman" w:hAnsi="Palatino Linotype" w:cs="Arial"/>
          <w:sz w:val="24"/>
          <w:szCs w:val="24"/>
          <w:lang w:val="es-ES" w:eastAsia="es-ES"/>
        </w:rPr>
        <w:t xml:space="preserve">, la fuente donde a su decir se encuentra la información, </w:t>
      </w:r>
      <w:r w:rsidRPr="005A3E5E">
        <w:rPr>
          <w:rFonts w:ascii="Palatino Linotype" w:eastAsia="Times New Roman" w:hAnsi="Palatino Linotype" w:cs="Arial"/>
          <w:b/>
          <w:sz w:val="24"/>
          <w:szCs w:val="24"/>
          <w:lang w:val="es-ES" w:eastAsia="es-ES"/>
        </w:rPr>
        <w:t>es imprecisa</w:t>
      </w:r>
      <w:r w:rsidRPr="005A3E5E">
        <w:rPr>
          <w:rFonts w:ascii="Palatino Linotype" w:eastAsia="Times New Roman" w:hAnsi="Palatino Linotype" w:cs="Arial"/>
          <w:sz w:val="24"/>
          <w:szCs w:val="24"/>
          <w:lang w:val="es-ES" w:eastAsia="es-ES"/>
        </w:rPr>
        <w:t xml:space="preserve">, atendiendo que si bien señala que en la fracción XXIX, se encuentra publicada la información, de las imágenes insertas, se acredita que existe una vasta cantidad que genera que el </w:t>
      </w:r>
      <w:r w:rsidRPr="005A3E5E">
        <w:rPr>
          <w:rFonts w:ascii="Palatino Linotype" w:eastAsia="Times New Roman" w:hAnsi="Palatino Linotype" w:cs="Arial"/>
          <w:b/>
          <w:sz w:val="24"/>
          <w:szCs w:val="24"/>
          <w:lang w:val="es-ES" w:eastAsia="es-ES"/>
        </w:rPr>
        <w:t>Recurrente</w:t>
      </w:r>
      <w:r w:rsidRPr="005A3E5E">
        <w:rPr>
          <w:rFonts w:ascii="Palatino Linotype" w:eastAsia="Times New Roman" w:hAnsi="Palatino Linotype" w:cs="Arial"/>
          <w:sz w:val="24"/>
          <w:szCs w:val="24"/>
          <w:lang w:val="es-ES" w:eastAsia="es-ES"/>
        </w:rPr>
        <w:t xml:space="preserve"> navegue en un sinfín de información.</w:t>
      </w:r>
    </w:p>
    <w:p w:rsidR="004860F7" w:rsidRPr="005A3E5E" w:rsidRDefault="004860F7" w:rsidP="004860F7">
      <w:pPr>
        <w:spacing w:after="0" w:line="360" w:lineRule="auto"/>
        <w:ind w:right="51"/>
        <w:jc w:val="both"/>
        <w:rPr>
          <w:rFonts w:ascii="Palatino Linotype" w:eastAsia="Times New Roman" w:hAnsi="Palatino Linotype" w:cs="Arial"/>
          <w:sz w:val="24"/>
          <w:szCs w:val="24"/>
          <w:lang w:val="es-ES" w:eastAsia="es-ES"/>
        </w:rPr>
      </w:pPr>
    </w:p>
    <w:p w:rsidR="00714D2D" w:rsidRPr="005A3E5E" w:rsidRDefault="00E2652C" w:rsidP="004860F7">
      <w:pPr>
        <w:spacing w:after="0" w:line="360" w:lineRule="auto"/>
        <w:ind w:right="51"/>
        <w:jc w:val="both"/>
        <w:rPr>
          <w:rFonts w:ascii="Palatino Linotype" w:eastAsia="Times New Roman" w:hAnsi="Palatino Linotype" w:cs="Arial"/>
          <w:sz w:val="24"/>
          <w:szCs w:val="24"/>
          <w:lang w:val="es-ES" w:eastAsia="es-ES"/>
        </w:rPr>
      </w:pPr>
      <w:r w:rsidRPr="005A3E5E">
        <w:rPr>
          <w:rFonts w:ascii="Palatino Linotype" w:eastAsia="Times New Roman" w:hAnsi="Palatino Linotype" w:cs="Arial"/>
          <w:sz w:val="24"/>
          <w:szCs w:val="24"/>
          <w:lang w:val="es-ES" w:eastAsia="es-ES"/>
        </w:rPr>
        <w:t>Es con base en lo anterior, que podemos concretar que el Sujeto Obligado es omiso en proporcionar de forma precisa y concreta, la fuente en que el Recurrente puede hacer consulta de la información</w:t>
      </w:r>
      <w:r w:rsidR="00714D2D" w:rsidRPr="005A3E5E">
        <w:rPr>
          <w:rFonts w:ascii="Palatino Linotype" w:eastAsia="Times New Roman" w:hAnsi="Palatino Linotype" w:cs="Arial"/>
          <w:sz w:val="24"/>
          <w:szCs w:val="24"/>
          <w:lang w:val="es-ES" w:eastAsia="es-ES"/>
        </w:rPr>
        <w:t>.</w:t>
      </w:r>
      <w:r w:rsidR="007545D0" w:rsidRPr="005A3E5E">
        <w:rPr>
          <w:rFonts w:ascii="Palatino Linotype" w:eastAsia="Times New Roman" w:hAnsi="Palatino Linotype" w:cs="Arial"/>
          <w:sz w:val="24"/>
          <w:szCs w:val="24"/>
          <w:lang w:val="es-ES" w:eastAsia="es-ES"/>
        </w:rPr>
        <w:t xml:space="preserve"> En ese mismo orden de ideas, </w:t>
      </w:r>
      <w:r w:rsidR="00714D2D" w:rsidRPr="005A3E5E">
        <w:rPr>
          <w:rFonts w:ascii="Palatino Linotype" w:eastAsia="Times New Roman" w:hAnsi="Palatino Linotype" w:cs="Arial"/>
          <w:sz w:val="24"/>
          <w:szCs w:val="24"/>
          <w:lang w:val="es-ES" w:eastAsia="es-ES"/>
        </w:rPr>
        <w:t xml:space="preserve">cabe recordar que el Recurrente peticionó de manera precisa la entrega de los documentos </w:t>
      </w:r>
      <w:r w:rsidR="007545D0" w:rsidRPr="005A3E5E">
        <w:rPr>
          <w:rFonts w:ascii="Palatino Linotype" w:eastAsia="Times New Roman" w:hAnsi="Palatino Linotype" w:cs="Arial"/>
          <w:sz w:val="24"/>
          <w:szCs w:val="24"/>
          <w:lang w:val="es-ES" w:eastAsia="es-ES"/>
        </w:rPr>
        <w:t xml:space="preserve">denominados </w:t>
      </w:r>
      <w:r w:rsidR="007545D0" w:rsidRPr="005A3E5E">
        <w:rPr>
          <w:rFonts w:ascii="Palatino Linotype" w:eastAsia="Times New Roman" w:hAnsi="Palatino Linotype" w:cs="Arial"/>
          <w:sz w:val="24"/>
          <w:szCs w:val="24"/>
          <w:lang w:val="es-ES" w:eastAsia="es-ES"/>
        </w:rPr>
        <w:lastRenderedPageBreak/>
        <w:t>tarjetas de resguardo, por lo que, se procedió a hacer consulta de los registros del año 2022, observando que la información publicada corresponde a lo siguiente:</w:t>
      </w:r>
    </w:p>
    <w:p w:rsidR="00E2652C" w:rsidRPr="005A3E5E" w:rsidRDefault="00E2652C" w:rsidP="004860F7">
      <w:pPr>
        <w:spacing w:after="0" w:line="360" w:lineRule="auto"/>
        <w:jc w:val="both"/>
        <w:rPr>
          <w:rFonts w:ascii="Palatino Linotype" w:hAnsi="Palatino Linotype"/>
          <w:sz w:val="24"/>
          <w:szCs w:val="24"/>
        </w:rPr>
      </w:pPr>
    </w:p>
    <w:p w:rsidR="00E2652C" w:rsidRPr="005A3E5E" w:rsidRDefault="007545D0" w:rsidP="004860F7">
      <w:pPr>
        <w:spacing w:after="0" w:line="360" w:lineRule="auto"/>
        <w:jc w:val="center"/>
        <w:rPr>
          <w:rFonts w:ascii="Palatino Linotype" w:hAnsi="Palatino Linotype"/>
          <w:sz w:val="24"/>
          <w:szCs w:val="24"/>
        </w:rPr>
      </w:pPr>
      <w:r w:rsidRPr="005A3E5E">
        <w:rPr>
          <w:rFonts w:ascii="Palatino Linotype" w:hAnsi="Palatino Linotype"/>
          <w:noProof/>
          <w:sz w:val="24"/>
          <w:szCs w:val="24"/>
          <w:lang w:eastAsia="es-MX"/>
        </w:rPr>
        <w:drawing>
          <wp:inline distT="0" distB="0" distL="0" distR="0" wp14:anchorId="5219471C" wp14:editId="7AD360A6">
            <wp:extent cx="5054803" cy="295699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8174" cy="2964815"/>
                    </a:xfrm>
                    <a:prstGeom prst="rect">
                      <a:avLst/>
                    </a:prstGeom>
                  </pic:spPr>
                </pic:pic>
              </a:graphicData>
            </a:graphic>
          </wp:inline>
        </w:drawing>
      </w:r>
    </w:p>
    <w:p w:rsidR="007545D0" w:rsidRPr="005A3E5E" w:rsidRDefault="007545D0" w:rsidP="004860F7">
      <w:pPr>
        <w:spacing w:after="0" w:line="360" w:lineRule="auto"/>
        <w:jc w:val="both"/>
        <w:rPr>
          <w:rFonts w:ascii="Palatino Linotype" w:hAnsi="Palatino Linotype"/>
          <w:sz w:val="24"/>
          <w:szCs w:val="24"/>
        </w:rPr>
      </w:pPr>
    </w:p>
    <w:p w:rsidR="007545D0" w:rsidRPr="005A3E5E" w:rsidRDefault="00FB4021"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t>Conforme a lo anterior, logramos concluir que la respuesta del Sujeto Obligado no satisface el requerimiento de información, al no corresponder con la información peticionada.</w:t>
      </w:r>
    </w:p>
    <w:p w:rsidR="00FB4021" w:rsidRPr="005A3E5E" w:rsidRDefault="00FB4021" w:rsidP="004860F7">
      <w:pPr>
        <w:spacing w:after="0" w:line="360" w:lineRule="auto"/>
        <w:jc w:val="both"/>
        <w:rPr>
          <w:rFonts w:ascii="Palatino Linotype" w:hAnsi="Palatino Linotype"/>
          <w:sz w:val="24"/>
          <w:szCs w:val="24"/>
        </w:rPr>
      </w:pPr>
    </w:p>
    <w:p w:rsidR="00A20D09" w:rsidRPr="005A3E5E" w:rsidRDefault="00A20D09" w:rsidP="004860F7">
      <w:pPr>
        <w:spacing w:after="0" w:line="360" w:lineRule="auto"/>
        <w:jc w:val="both"/>
        <w:rPr>
          <w:rFonts w:ascii="Palatino Linotype" w:eastAsia="Calibri" w:hAnsi="Palatino Linotype" w:cs="Arial"/>
          <w:color w:val="000000" w:themeColor="text1"/>
          <w:sz w:val="24"/>
          <w:lang w:eastAsia="es-MX"/>
        </w:rPr>
      </w:pPr>
      <w:r w:rsidRPr="005A3E5E">
        <w:rPr>
          <w:rFonts w:ascii="Palatino Linotype" w:eastAsia="Calibri" w:hAnsi="Palatino Linotype" w:cs="Arial"/>
          <w:color w:val="000000" w:themeColor="text1"/>
          <w:sz w:val="24"/>
          <w:lang w:eastAsia="es-MX"/>
        </w:rPr>
        <w:t xml:space="preserve">Acotado lo anterior, podemos concretar que la </w:t>
      </w:r>
      <w:r w:rsidRPr="005A3E5E">
        <w:rPr>
          <w:rFonts w:ascii="Palatino Linotype" w:eastAsia="Calibri" w:hAnsi="Palatino Linotype" w:cs="Arial"/>
          <w:i/>
          <w:color w:val="000000" w:themeColor="text1"/>
          <w:sz w:val="24"/>
          <w:lang w:eastAsia="es-MX"/>
        </w:rPr>
        <w:t>Litis</w:t>
      </w:r>
      <w:r w:rsidRPr="005A3E5E">
        <w:rPr>
          <w:rFonts w:ascii="Palatino Linotype" w:eastAsia="Calibri" w:hAnsi="Palatino Linotype" w:cs="Arial"/>
          <w:color w:val="000000" w:themeColor="text1"/>
          <w:sz w:val="24"/>
          <w:lang w:eastAsia="es-MX"/>
        </w:rPr>
        <w:t xml:space="preserve"> en el presente asunto se centra en determinar si dentro del marco normativo que rige el actuar del </w:t>
      </w:r>
      <w:r w:rsidRPr="005A3E5E">
        <w:rPr>
          <w:rFonts w:ascii="Palatino Linotype" w:eastAsia="Calibri" w:hAnsi="Palatino Linotype" w:cs="Arial"/>
          <w:b/>
          <w:color w:val="000000" w:themeColor="text1"/>
          <w:sz w:val="24"/>
          <w:lang w:eastAsia="es-MX"/>
        </w:rPr>
        <w:t>Sujeto Obligado</w:t>
      </w:r>
      <w:r w:rsidRPr="005A3E5E">
        <w:rPr>
          <w:rFonts w:ascii="Palatino Linotype" w:eastAsia="Calibri" w:hAnsi="Palatino Linotype" w:cs="Arial"/>
          <w:color w:val="000000" w:themeColor="text1"/>
          <w:sz w:val="24"/>
          <w:lang w:eastAsia="es-MX"/>
        </w:rPr>
        <w:t>, existe facultad, función y/o atribución que lo constriña a generar, administrar o poseer de manera precisa, las tarjetas de resguardo de los bienes muebles de las áreas peticionadas.</w:t>
      </w:r>
    </w:p>
    <w:p w:rsidR="00A20D09" w:rsidRPr="005A3E5E" w:rsidRDefault="00A20D09" w:rsidP="004860F7">
      <w:pPr>
        <w:spacing w:after="0" w:line="360" w:lineRule="auto"/>
        <w:jc w:val="both"/>
        <w:rPr>
          <w:rFonts w:ascii="Palatino Linotype" w:eastAsia="Calibri" w:hAnsi="Palatino Linotype" w:cs="Arial"/>
          <w:color w:val="000000" w:themeColor="text1"/>
          <w:sz w:val="24"/>
          <w:lang w:eastAsia="es-MX"/>
        </w:rPr>
      </w:pPr>
    </w:p>
    <w:p w:rsidR="00A20D09" w:rsidRPr="005A3E5E" w:rsidRDefault="00A20D09" w:rsidP="004860F7">
      <w:pPr>
        <w:spacing w:after="0" w:line="360" w:lineRule="auto"/>
        <w:jc w:val="both"/>
        <w:rPr>
          <w:rFonts w:ascii="Palatino Linotype" w:hAnsi="Palatino Linotype" w:cs="Arial"/>
          <w:sz w:val="24"/>
          <w:lang w:val="es-ES"/>
        </w:rPr>
      </w:pPr>
      <w:r w:rsidRPr="005A3E5E">
        <w:rPr>
          <w:rFonts w:ascii="Palatino Linotype" w:eastAsia="Calibri" w:hAnsi="Palatino Linotype" w:cs="Times New Roman"/>
          <w:sz w:val="24"/>
          <w:szCs w:val="24"/>
          <w:lang w:val="es-ES_tradnl" w:eastAsia="es-ES"/>
        </w:rPr>
        <w:lastRenderedPageBreak/>
        <w:t>Hecha la acotación, resulta necesario traer a</w:t>
      </w:r>
      <w:r w:rsidRPr="005A3E5E">
        <w:rPr>
          <w:rFonts w:ascii="Palatino Linotype" w:hAnsi="Palatino Linotype" w:cs="Arial"/>
          <w:sz w:val="24"/>
          <w:lang w:val="es-ES"/>
        </w:rPr>
        <w:t xml:space="preserve"> colación los artículos 87 y 95 de la Ley Orgánica Municipal del Estado de México, artículo 21 y 55 del Bando Municipal 2022 del Ayuntamiento de Zinacantepec, que disponen:</w:t>
      </w:r>
    </w:p>
    <w:p w:rsidR="00A20D09" w:rsidRPr="005A3E5E" w:rsidRDefault="00A20D09" w:rsidP="004860F7">
      <w:pPr>
        <w:spacing w:after="0" w:line="360" w:lineRule="auto"/>
        <w:jc w:val="both"/>
        <w:rPr>
          <w:rFonts w:ascii="Palatino Linotype" w:hAnsi="Palatino Linotype" w:cs="Arial"/>
          <w:sz w:val="24"/>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w:t>
      </w:r>
      <w:r w:rsidRPr="005A3E5E">
        <w:rPr>
          <w:rFonts w:ascii="Palatino Linotype" w:hAnsi="Palatino Linotype" w:cs="Arial"/>
          <w:b/>
          <w:i/>
          <w:lang w:val="es-ES"/>
        </w:rPr>
        <w:t>Artículo 87.-</w:t>
      </w:r>
      <w:r w:rsidRPr="005A3E5E">
        <w:rPr>
          <w:rFonts w:ascii="Palatino Linotype" w:hAnsi="Palatino Linotype" w:cs="Arial"/>
          <w:i/>
          <w:lang w:val="es-ES"/>
        </w:rPr>
        <w:t xml:space="preserve"> Para el despacho, estudio y planeación de los diversos asuntos de la administración municipal, el ayuntamiento contará por lo menos con las siguientes Dependencias: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 La secretaría del ayuntamiento;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u w:val="single"/>
          <w:lang w:val="es-ES"/>
        </w:rPr>
        <w:t>II. La tesorería municipal</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III. La Dirección de Obras Públicas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IV. La Dirección de Desarrollo Económico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 La Dirección de Desarrollo Urbano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 La Dirección de Ecología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VII. La Dirección de Desarrollo Social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VIII. La Coordinación Municipal de Protección Civil o equivalente.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IX. La Dirección de las Mujeres o equivalente</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lang w:val="es-ES"/>
        </w:rPr>
        <w:t>Artículo 95.-</w:t>
      </w:r>
      <w:r w:rsidRPr="005A3E5E">
        <w:rPr>
          <w:rFonts w:ascii="Palatino Linotype" w:hAnsi="Palatino Linotype" w:cs="Arial"/>
          <w:i/>
          <w:lang w:val="es-ES"/>
        </w:rPr>
        <w:t xml:space="preserve"> Son atribuciones del </w:t>
      </w:r>
      <w:r w:rsidRPr="005A3E5E">
        <w:rPr>
          <w:rFonts w:ascii="Palatino Linotype" w:hAnsi="Palatino Linotype" w:cs="Arial"/>
          <w:i/>
          <w:u w:val="single"/>
          <w:lang w:val="es-ES"/>
        </w:rPr>
        <w:t>tesorero municipal</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 xml:space="preserve">I. </w:t>
      </w:r>
      <w:r w:rsidRPr="005A3E5E">
        <w:rPr>
          <w:rFonts w:ascii="Palatino Linotype" w:hAnsi="Palatino Linotype" w:cs="Arial"/>
          <w:i/>
          <w:u w:val="single"/>
          <w:lang w:val="es-ES"/>
        </w:rPr>
        <w:t>Administrar la hacienda pública municipal</w:t>
      </w:r>
      <w:r w:rsidRPr="005A3E5E">
        <w:rPr>
          <w:rFonts w:ascii="Palatino Linotype" w:hAnsi="Palatino Linotype" w:cs="Arial"/>
          <w:i/>
          <w:lang w:val="es-ES"/>
        </w:rPr>
        <w:t>, de conformidad con las disposiciones legales aplicables;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 Determinar, liquidar, recaudar, fiscalizar y administrar las contribuciones en los términos de los ordenamientos jurídicos aplicables y, en su caso, aplicar el procedimiento administrativo de ejecución en términos de las disposiciones aplicables;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III. Imponer las sanciones administrativas que procedan por infracciones a las disposiciones fiscales;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 xml:space="preserve">IV. </w:t>
      </w:r>
      <w:r w:rsidRPr="005A3E5E">
        <w:rPr>
          <w:rFonts w:ascii="Palatino Linotype" w:hAnsi="Palatino Linotype" w:cs="Arial"/>
          <w:i/>
          <w:u w:val="single"/>
          <w:lang w:val="es-ES"/>
        </w:rPr>
        <w:t>Llevar</w:t>
      </w:r>
      <w:r w:rsidRPr="005A3E5E">
        <w:rPr>
          <w:rFonts w:ascii="Palatino Linotype" w:hAnsi="Palatino Linotype" w:cs="Arial"/>
          <w:i/>
          <w:lang w:val="es-ES"/>
        </w:rPr>
        <w:t xml:space="preserve"> los registros contables, financieros y administrativos de los ingresos, egresos, e </w:t>
      </w:r>
      <w:r w:rsidRPr="005A3E5E">
        <w:rPr>
          <w:rFonts w:ascii="Palatino Linotype" w:hAnsi="Palatino Linotype" w:cs="Arial"/>
          <w:i/>
          <w:u w:val="single"/>
          <w:lang w:val="es-ES"/>
        </w:rPr>
        <w:t>inventarios</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 Proporcionar oportunamente al ayuntamiento todos los datos o informes que sean necesarios para la formulación del Presupuesto de Egresos Municipales, vigilando que se ajuste a las disposiciones de esta Ley y otros ordenamientos aplicables;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 Presentar anualmente al ayuntamiento un informe de la situación contable financiera de la Tesorería Municipal;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 Bis. Proporcionar para la formulación del proyecto de Presupuesto de Egresos Municipales la información financiera relativa a la solución o en su caso, el pago de los litigios laborales;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VII. Diseñar y aprobar las formas oficiales de manifestaciones, avisos y declaraciones y demás documentos requeridos;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lastRenderedPageBreak/>
        <w:t>VIII. Participar en la formulación de Convenios Fiscales y ejercer las atribuciones que le correspondan en el ámbito de su competencia;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IX. Proponer al ayuntamiento la cancelación de cuentas incobrables;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 Custodiar y ejercer las garantías que se otorguen en favor de la hacienda municipal;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XI. Proponer la política de ingresos de la tesorería municipal;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XII. Intervenir en la elaboración del programa financiero municipal;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XIII. Elaborar y mantener actualizado el Padrón de Contribuyentes;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XIV. Ministrar a su inmediato antecesor todos los datos oficiales que le solicitare, para contestar los pliegos de observaciones y alcances que formule y deduzca el Órgano Superior de Fiscalización del Estado de México;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XV. Solicitar a las instancias competentes, la práctica de revisiones circunstanciadas, de conformidad con las normas que rigen en materia de control y evaluación gubernamental en el ámbito municipal;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XVI. Glosar oportunamente las cuentas del ayuntamiento;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XVIII. Expedir copias certificadas de los documentos a su cuidado, por acuerdo expreso del Ayuntamiento y cuando se trate de documentación presentada ante el Órgano Superior de Fiscalización del Estado de México;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XX. Dar cumplimiento a las leyes, convenios de coordinación fiscal y demás que en materia hacendaria celebre el Ayuntamiento con el Estado;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XXI. Entregar oportunamente a él o los Síndicos, según sea el caso, el informe mensual que corresponda, a fin de que se revise, y de ser necesario, para que se formulen las observaciones respectivas.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XXII. Las que les señalen las demás disposiciones legales y el ayuntamiento.</w:t>
      </w:r>
    </w:p>
    <w:p w:rsidR="00A20D09" w:rsidRPr="005A3E5E" w:rsidRDefault="00A20D09" w:rsidP="004860F7">
      <w:pPr>
        <w:spacing w:after="0" w:line="240" w:lineRule="auto"/>
        <w:ind w:left="567" w:right="567"/>
        <w:jc w:val="both"/>
        <w:rPr>
          <w:rFonts w:ascii="Palatino Linotype" w:hAnsi="Palatino Linotype" w:cs="Arial"/>
          <w:i/>
          <w:lang w:val="es-ES"/>
        </w:rPr>
      </w:pPr>
    </w:p>
    <w:p w:rsidR="001937E4" w:rsidRPr="005A3E5E" w:rsidRDefault="001937E4"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center"/>
        <w:rPr>
          <w:rFonts w:ascii="Palatino Linotype" w:hAnsi="Palatino Linotype" w:cs="Arial"/>
          <w:b/>
          <w:i/>
          <w:lang w:val="es-ES"/>
        </w:rPr>
      </w:pPr>
      <w:r w:rsidRPr="005A3E5E">
        <w:rPr>
          <w:rFonts w:ascii="Palatino Linotype" w:hAnsi="Palatino Linotype" w:cs="Arial"/>
          <w:b/>
          <w:i/>
          <w:lang w:val="es-ES"/>
        </w:rPr>
        <w:t>Bando Municipal de Zinacantepec 2022</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lang w:val="es-ES"/>
        </w:rPr>
        <w:t xml:space="preserve">Artículo 21. </w:t>
      </w:r>
      <w:r w:rsidRPr="005A3E5E">
        <w:rPr>
          <w:rFonts w:ascii="Palatino Linotype" w:hAnsi="Palatino Linotype" w:cs="Arial"/>
          <w:i/>
          <w:lang w:val="es-ES"/>
        </w:rPr>
        <w:t>El Presidente Municipal para el ejercicio de sus funciones, se auxiliará de las siguientes Unidades Administrativas: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 xml:space="preserve">I. </w:t>
      </w:r>
      <w:r w:rsidRPr="005A3E5E">
        <w:rPr>
          <w:rFonts w:ascii="Palatino Linotype" w:hAnsi="Palatino Linotype" w:cs="Arial"/>
          <w:i/>
          <w:u w:val="single"/>
          <w:lang w:val="es-ES"/>
        </w:rPr>
        <w:t>Secretaría del Ayuntamiento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 Secretaría Particular.</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III. Secretaría Técnica.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lastRenderedPageBreak/>
        <w:t xml:space="preserve">IV. </w:t>
      </w:r>
      <w:r w:rsidRPr="005A3E5E">
        <w:rPr>
          <w:rFonts w:ascii="Palatino Linotype" w:hAnsi="Palatino Linotype" w:cs="Arial"/>
          <w:i/>
          <w:u w:val="single"/>
          <w:lang w:val="es-ES"/>
        </w:rPr>
        <w:t>Unidad de Información, Planeación, Programación y Evaluación</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 Coordinación Municipal de Mejora Regulatoria.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 xml:space="preserve">VI. </w:t>
      </w:r>
      <w:r w:rsidRPr="005A3E5E">
        <w:rPr>
          <w:rFonts w:ascii="Palatino Linotype" w:hAnsi="Palatino Linotype" w:cs="Arial"/>
          <w:i/>
          <w:u w:val="single"/>
          <w:lang w:val="es-ES"/>
        </w:rPr>
        <w:t>Unidad de Transparencia</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VII. Secretaría Técnica del Consejo Municipal de Seguridad Pública.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VIII. Coordinación de Asesores.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IX. Coordinación de Asuntos Intergubernamentales, y</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X. Las demás que determine crear el Ayuntamiento a propuesta del Presidente Municipal.</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Para el despacho de los asuntos municipales, el Ayuntamiento se auxiliará de dependencias, organismos públicos descentralizados, desconcentrados y autónomos de la administración pública municipal, necesarios para el desarrollo de sus actividades, siendo los siguientes:</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b/>
          <w:i/>
          <w:lang w:val="es-ES"/>
        </w:rPr>
      </w:pPr>
      <w:r w:rsidRPr="005A3E5E">
        <w:rPr>
          <w:rFonts w:ascii="Palatino Linotype" w:hAnsi="Palatino Linotype" w:cs="Arial"/>
          <w:b/>
          <w:i/>
          <w:lang w:val="es-ES"/>
        </w:rPr>
        <w:t>I. DEPENDENCIAS ADMINISTRATIVAS:</w:t>
      </w:r>
    </w:p>
    <w:p w:rsidR="00A20D09" w:rsidRPr="005A3E5E" w:rsidRDefault="007078E0"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1. Tesorería Municipal.</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2. Contraloría Municipal.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3. </w:t>
      </w:r>
      <w:r w:rsidRPr="005A3E5E">
        <w:rPr>
          <w:rFonts w:ascii="Palatino Linotype" w:hAnsi="Palatino Linotype" w:cs="Arial"/>
          <w:i/>
          <w:u w:val="single"/>
        </w:rPr>
        <w:t>Dirección de Administración</w:t>
      </w:r>
      <w:r w:rsidRPr="005A3E5E">
        <w:rPr>
          <w:rFonts w:ascii="Palatino Linotype" w:hAnsi="Palatino Linotype" w:cs="Arial"/>
          <w:i/>
        </w:rPr>
        <w:t xml:space="preserve">.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4. Dirección de Obras Públicas.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5. Dirección de Desarrollo Metropolitano y Movilidad.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6. Dirección de Desarrollo Territorial y Urbano.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7. Dirección de Desarrollo Económico.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8. Dirección de Desarrollo Social.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9. Dirección de Seguridad Pública y de Tránsito.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10. Dirección de Servicios Públicos.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11. Dirección de Medio Ambiente.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12. Dirección de Cultura y Turismo.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13. Dirección de Educación.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14. Dirección de Gobernación.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15. Dirección de la Mujer.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16. Dirección Jurídica. </w:t>
      </w:r>
    </w:p>
    <w:p w:rsidR="00A20D09" w:rsidRPr="005A3E5E" w:rsidRDefault="00A20D09" w:rsidP="004860F7">
      <w:pPr>
        <w:spacing w:after="0" w:line="240" w:lineRule="auto"/>
        <w:ind w:left="567" w:right="567"/>
        <w:jc w:val="both"/>
        <w:rPr>
          <w:rFonts w:ascii="Palatino Linotype" w:hAnsi="Palatino Linotype" w:cs="Arial"/>
          <w:b/>
          <w:i/>
        </w:rPr>
      </w:pPr>
      <w:r w:rsidRPr="005A3E5E">
        <w:rPr>
          <w:rFonts w:ascii="Palatino Linotype" w:hAnsi="Palatino Linotype" w:cs="Arial"/>
          <w:b/>
          <w:i/>
        </w:rPr>
        <w:t xml:space="preserve">I. ORGANISMOS DESCENTRALIZADOS: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 Sistema Municipal para el Desarrollo Integral de la Familia de Zinacantepec.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2. Organismo Público Descentralizado para la Prestación de Servicios de Agua Potable, Alcantarillado y Saneamiento de Zinacantepec.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3. Instituto Municipal de Cultura Física y Deporte de Zinacantepec. </w:t>
      </w:r>
    </w:p>
    <w:p w:rsidR="00A20D09" w:rsidRPr="005A3E5E" w:rsidRDefault="00A20D09" w:rsidP="004860F7">
      <w:pPr>
        <w:spacing w:after="0" w:line="240" w:lineRule="auto"/>
        <w:ind w:left="567" w:right="567"/>
        <w:jc w:val="both"/>
        <w:rPr>
          <w:rFonts w:ascii="Palatino Linotype" w:hAnsi="Palatino Linotype" w:cs="Arial"/>
          <w:b/>
          <w:i/>
        </w:rPr>
      </w:pPr>
      <w:r w:rsidRPr="005A3E5E">
        <w:rPr>
          <w:rFonts w:ascii="Palatino Linotype" w:hAnsi="Palatino Linotype" w:cs="Arial"/>
          <w:b/>
          <w:i/>
        </w:rPr>
        <w:t xml:space="preserve">II. ORGANISMOS DESCONCENTRADOS: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 xml:space="preserve">1. Instituto Municipal de la Juventud. </w:t>
      </w:r>
    </w:p>
    <w:p w:rsidR="00A20D09" w:rsidRPr="005A3E5E" w:rsidRDefault="00A20D09" w:rsidP="004860F7">
      <w:pPr>
        <w:spacing w:after="0" w:line="240" w:lineRule="auto"/>
        <w:ind w:left="567" w:right="567"/>
        <w:jc w:val="both"/>
        <w:rPr>
          <w:rFonts w:ascii="Palatino Linotype" w:hAnsi="Palatino Linotype" w:cs="Arial"/>
          <w:b/>
          <w:i/>
        </w:rPr>
      </w:pPr>
      <w:r w:rsidRPr="005A3E5E">
        <w:rPr>
          <w:rFonts w:ascii="Palatino Linotype" w:hAnsi="Palatino Linotype" w:cs="Arial"/>
          <w:b/>
          <w:i/>
        </w:rPr>
        <w:t xml:space="preserve">III. ORGANISMO AUTÓNOMO: </w:t>
      </w:r>
    </w:p>
    <w:p w:rsidR="00A20D09" w:rsidRPr="005A3E5E" w:rsidRDefault="00A20D09" w:rsidP="004860F7">
      <w:pPr>
        <w:spacing w:after="0" w:line="240" w:lineRule="auto"/>
        <w:ind w:left="567" w:right="567"/>
        <w:jc w:val="both"/>
        <w:rPr>
          <w:rFonts w:ascii="Palatino Linotype" w:hAnsi="Palatino Linotype" w:cs="Arial"/>
          <w:i/>
        </w:rPr>
      </w:pPr>
      <w:r w:rsidRPr="005A3E5E">
        <w:rPr>
          <w:rFonts w:ascii="Palatino Linotype" w:hAnsi="Palatino Linotype" w:cs="Arial"/>
          <w:i/>
        </w:rPr>
        <w:t>1. Defensoría Municipal de Derechos Humanos</w:t>
      </w:r>
    </w:p>
    <w:p w:rsidR="00A20D09" w:rsidRPr="005A3E5E" w:rsidRDefault="00A20D09" w:rsidP="004860F7">
      <w:pPr>
        <w:spacing w:after="0" w:line="240" w:lineRule="auto"/>
        <w:ind w:left="567" w:right="567"/>
        <w:jc w:val="both"/>
        <w:rPr>
          <w:rFonts w:ascii="Palatino Linotype" w:hAnsi="Palatino Linotype" w:cs="Arial"/>
          <w:i/>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rPr>
        <w:t>Artículo 55.</w:t>
      </w:r>
      <w:r w:rsidRPr="005A3E5E">
        <w:rPr>
          <w:rFonts w:ascii="Palatino Linotype" w:hAnsi="Palatino Linotype" w:cs="Arial"/>
          <w:i/>
        </w:rPr>
        <w:t xml:space="preserve"> La Tesorería Municipal es el único Órgano de la Administración Pública Municipal autorizado para la recaudación de los impuestos y derechos municipales y demás </w:t>
      </w:r>
      <w:r w:rsidRPr="005A3E5E">
        <w:rPr>
          <w:rFonts w:ascii="Palatino Linotype" w:hAnsi="Palatino Linotype" w:cs="Arial"/>
          <w:i/>
        </w:rPr>
        <w:lastRenderedPageBreak/>
        <w:t xml:space="preserve">contribuciones de los particulares de conformidad al artículo 95 fracciones I, II, III, y </w:t>
      </w:r>
      <w:r w:rsidRPr="005A3E5E">
        <w:rPr>
          <w:rFonts w:ascii="Palatino Linotype" w:hAnsi="Palatino Linotype" w:cs="Arial"/>
          <w:i/>
          <w:u w:val="single"/>
        </w:rPr>
        <w:t>IV</w:t>
      </w:r>
      <w:r w:rsidRPr="005A3E5E">
        <w:rPr>
          <w:rFonts w:ascii="Palatino Linotype" w:hAnsi="Palatino Linotype" w:cs="Arial"/>
          <w:i/>
        </w:rPr>
        <w:t xml:space="preserve"> de la Ley Orgánica Municipal del Estado de México, así mismo es responsable de efectuar las erogaciones que realice con cargo al presupuesto aprobado por el Ayuntamiento.”</w:t>
      </w:r>
    </w:p>
    <w:p w:rsidR="00A20D09" w:rsidRPr="005A3E5E" w:rsidRDefault="00A20D09" w:rsidP="004860F7">
      <w:pPr>
        <w:spacing w:after="0" w:line="240" w:lineRule="auto"/>
        <w:ind w:left="567" w:right="567"/>
        <w:jc w:val="both"/>
        <w:rPr>
          <w:rFonts w:ascii="Palatino Linotype" w:hAnsi="Palatino Linotype" w:cs="Arial"/>
          <w:lang w:val="es-ES"/>
        </w:rPr>
      </w:pPr>
    </w:p>
    <w:p w:rsidR="00A20D09" w:rsidRPr="005A3E5E" w:rsidRDefault="00A20D09" w:rsidP="004860F7">
      <w:pPr>
        <w:spacing w:after="0" w:line="240" w:lineRule="auto"/>
        <w:ind w:left="567" w:right="567"/>
        <w:jc w:val="right"/>
        <w:rPr>
          <w:rFonts w:ascii="Palatino Linotype" w:hAnsi="Palatino Linotype" w:cs="Arial"/>
          <w:lang w:val="es-ES"/>
        </w:rPr>
      </w:pPr>
      <w:r w:rsidRPr="005A3E5E">
        <w:rPr>
          <w:rFonts w:ascii="Palatino Linotype" w:hAnsi="Palatino Linotype" w:cs="Arial"/>
          <w:lang w:val="es-ES"/>
        </w:rPr>
        <w:t>(Énfasis añadido)</w:t>
      </w:r>
    </w:p>
    <w:p w:rsidR="00A20D09" w:rsidRPr="005A3E5E" w:rsidRDefault="00A20D09" w:rsidP="004860F7">
      <w:pPr>
        <w:spacing w:after="0" w:line="360" w:lineRule="auto"/>
        <w:jc w:val="both"/>
        <w:rPr>
          <w:rFonts w:ascii="Palatino Linotype" w:eastAsia="Calibri" w:hAnsi="Palatino Linotype" w:cs="Times New Roman"/>
          <w:sz w:val="24"/>
          <w:szCs w:val="24"/>
          <w:lang w:val="es-ES_tradnl" w:eastAsia="es-ES"/>
        </w:rPr>
      </w:pPr>
    </w:p>
    <w:p w:rsidR="00A20D09" w:rsidRPr="005A3E5E" w:rsidRDefault="00A20D09" w:rsidP="004860F7">
      <w:pPr>
        <w:spacing w:after="0" w:line="360" w:lineRule="auto"/>
        <w:jc w:val="both"/>
        <w:rPr>
          <w:rFonts w:ascii="Palatino Linotype" w:hAnsi="Palatino Linotype" w:cs="Arial"/>
          <w:sz w:val="24"/>
          <w:lang w:val="es-ES"/>
        </w:rPr>
      </w:pPr>
      <w:r w:rsidRPr="005A3E5E">
        <w:rPr>
          <w:rFonts w:ascii="Palatino Linotype" w:hAnsi="Palatino Linotype" w:cs="Arial"/>
          <w:sz w:val="24"/>
          <w:lang w:val="es-ES"/>
        </w:rPr>
        <w:t xml:space="preserve">De conformidad con los preceptos legales citados, podemos concluir </w:t>
      </w:r>
      <w:r w:rsidR="007078E0" w:rsidRPr="005A3E5E">
        <w:rPr>
          <w:rFonts w:ascii="Palatino Linotype" w:hAnsi="Palatino Linotype" w:cs="Arial"/>
          <w:sz w:val="24"/>
          <w:lang w:val="es-ES"/>
        </w:rPr>
        <w:t xml:space="preserve">en primer lugar </w:t>
      </w:r>
      <w:r w:rsidRPr="005A3E5E">
        <w:rPr>
          <w:rFonts w:ascii="Palatino Linotype" w:hAnsi="Palatino Linotype" w:cs="Arial"/>
          <w:sz w:val="24"/>
          <w:lang w:val="es-ES"/>
        </w:rPr>
        <w:t>que</w:t>
      </w:r>
      <w:r w:rsidR="007078E0" w:rsidRPr="005A3E5E">
        <w:rPr>
          <w:rFonts w:ascii="Palatino Linotype" w:hAnsi="Palatino Linotype" w:cs="Arial"/>
          <w:sz w:val="24"/>
          <w:lang w:val="es-ES"/>
        </w:rPr>
        <w:t>,</w:t>
      </w:r>
      <w:r w:rsidRPr="005A3E5E">
        <w:rPr>
          <w:rFonts w:ascii="Palatino Linotype" w:hAnsi="Palatino Linotype" w:cs="Arial"/>
          <w:sz w:val="24"/>
          <w:lang w:val="es-ES"/>
        </w:rPr>
        <w:t xml:space="preserve"> dentro de las distintas áreas de las que se auxilia el </w:t>
      </w:r>
      <w:r w:rsidRPr="005A3E5E">
        <w:rPr>
          <w:rFonts w:ascii="Palatino Linotype" w:hAnsi="Palatino Linotype" w:cs="Arial"/>
          <w:b/>
          <w:sz w:val="24"/>
          <w:lang w:val="es-ES"/>
        </w:rPr>
        <w:t>Sujeto Obligado</w:t>
      </w:r>
      <w:r w:rsidRPr="005A3E5E">
        <w:rPr>
          <w:rFonts w:ascii="Palatino Linotype" w:hAnsi="Palatino Linotype" w:cs="Arial"/>
          <w:sz w:val="24"/>
          <w:lang w:val="es-ES"/>
        </w:rPr>
        <w:t xml:space="preserve"> para la administración pública municipal, se encuentra la</w:t>
      </w:r>
      <w:r w:rsidR="007078E0" w:rsidRPr="005A3E5E">
        <w:rPr>
          <w:rFonts w:ascii="Palatino Linotype" w:hAnsi="Palatino Linotype" w:cs="Arial"/>
          <w:sz w:val="24"/>
          <w:lang w:val="es-ES"/>
        </w:rPr>
        <w:t xml:space="preserve"> Secretaría del Ayuntamiento, la Dirección de Administración, la Unidad de Información, Planeación, Programación y Evaluación “UIPPE” y la Unidad de Transparencia. Unidades Administrativas de las que se peticiona la información. Asimismo, se encuentra la </w:t>
      </w:r>
      <w:r w:rsidRPr="005A3E5E">
        <w:rPr>
          <w:rFonts w:ascii="Palatino Linotype" w:hAnsi="Palatino Linotype" w:cs="Arial"/>
          <w:sz w:val="24"/>
          <w:lang w:val="es-ES"/>
        </w:rPr>
        <w:t>Tesorería Municipal,</w:t>
      </w:r>
      <w:r w:rsidR="007078E0" w:rsidRPr="005A3E5E">
        <w:rPr>
          <w:rFonts w:ascii="Palatino Linotype" w:hAnsi="Palatino Linotype" w:cs="Arial"/>
          <w:sz w:val="24"/>
          <w:lang w:val="es-ES"/>
        </w:rPr>
        <w:t xml:space="preserve"> siendo está </w:t>
      </w:r>
      <w:r w:rsidRPr="005A3E5E">
        <w:rPr>
          <w:rFonts w:ascii="Palatino Linotype" w:hAnsi="Palatino Linotype" w:cs="Arial"/>
          <w:sz w:val="24"/>
          <w:lang w:val="es-ES"/>
        </w:rPr>
        <w:t xml:space="preserve">la unidad administrativa encargada de administrar la hacienda pública municipal, en particular del registro </w:t>
      </w:r>
      <w:r w:rsidR="007078E0" w:rsidRPr="005A3E5E">
        <w:rPr>
          <w:rFonts w:ascii="Palatino Linotype" w:hAnsi="Palatino Linotype" w:cs="Arial"/>
          <w:sz w:val="24"/>
          <w:lang w:val="es-ES"/>
        </w:rPr>
        <w:t>de inventario de los bienes muebles e inmuebles.</w:t>
      </w:r>
    </w:p>
    <w:p w:rsidR="00A20D09" w:rsidRPr="005A3E5E" w:rsidRDefault="00A20D09" w:rsidP="004860F7">
      <w:pPr>
        <w:spacing w:after="0" w:line="360" w:lineRule="auto"/>
        <w:jc w:val="both"/>
        <w:rPr>
          <w:rFonts w:ascii="Palatino Linotype" w:hAnsi="Palatino Linotype" w:cs="Arial"/>
          <w:sz w:val="24"/>
          <w:lang w:val="es-ES"/>
        </w:rPr>
      </w:pPr>
    </w:p>
    <w:p w:rsidR="00A20D09" w:rsidRPr="005A3E5E" w:rsidRDefault="007078E0" w:rsidP="004860F7">
      <w:pPr>
        <w:spacing w:after="0" w:line="360" w:lineRule="auto"/>
        <w:jc w:val="both"/>
        <w:rPr>
          <w:rFonts w:ascii="Palatino Linotype" w:hAnsi="Palatino Linotype" w:cs="Arial"/>
          <w:sz w:val="24"/>
          <w:lang w:val="es-ES"/>
        </w:rPr>
      </w:pPr>
      <w:r w:rsidRPr="005A3E5E">
        <w:rPr>
          <w:rFonts w:ascii="Palatino Linotype" w:hAnsi="Palatino Linotype" w:cs="Arial"/>
          <w:sz w:val="24"/>
          <w:lang w:val="es-ES"/>
        </w:rPr>
        <w:t>Ahora bien, d</w:t>
      </w:r>
      <w:r w:rsidR="00A20D09" w:rsidRPr="005A3E5E">
        <w:rPr>
          <w:rFonts w:ascii="Palatino Linotype" w:hAnsi="Palatino Linotype" w:cs="Arial"/>
          <w:sz w:val="24"/>
          <w:lang w:val="es-ES"/>
        </w:rPr>
        <w:t>e conformidad con los artículos 350, 351, 352 y 352 Bis del Código Financiero del Estado de México, la administración pública municipal es objeto de fiscalización por parte Órgano Superior de Fiscalización del Estado de México (OSFEM), preceptos legales que se citan para mayor referencia:</w:t>
      </w:r>
    </w:p>
    <w:p w:rsidR="00A20D09" w:rsidRPr="005A3E5E" w:rsidRDefault="00A20D09" w:rsidP="004860F7">
      <w:pPr>
        <w:spacing w:after="0" w:line="360" w:lineRule="auto"/>
        <w:jc w:val="both"/>
        <w:rPr>
          <w:rFonts w:ascii="Palatino Linotype" w:hAnsi="Palatino Linotype" w:cs="Arial"/>
          <w:sz w:val="24"/>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w:t>
      </w:r>
      <w:r w:rsidRPr="005A3E5E">
        <w:rPr>
          <w:rFonts w:ascii="Palatino Linotype" w:hAnsi="Palatino Linotype" w:cs="Arial"/>
          <w:b/>
          <w:i/>
          <w:lang w:val="es-ES"/>
        </w:rPr>
        <w:t>Artículo 350.-</w:t>
      </w:r>
      <w:r w:rsidRPr="005A3E5E">
        <w:rPr>
          <w:rFonts w:ascii="Palatino Linotype" w:hAnsi="Palatino Linotype" w:cs="Arial"/>
          <w:i/>
          <w:lang w:val="es-ES"/>
        </w:rPr>
        <w:t xml:space="preserve"> La Secretaría y las </w:t>
      </w:r>
      <w:r w:rsidRPr="005A3E5E">
        <w:rPr>
          <w:rFonts w:ascii="Palatino Linotype" w:hAnsi="Palatino Linotype" w:cs="Arial"/>
          <w:i/>
          <w:u w:val="single"/>
          <w:lang w:val="es-ES"/>
        </w:rPr>
        <w:t>Tesorerías</w:t>
      </w:r>
      <w:r w:rsidRPr="005A3E5E">
        <w:rPr>
          <w:rFonts w:ascii="Palatino Linotype" w:hAnsi="Palatino Linotype" w:cs="Arial"/>
          <w:i/>
          <w:lang w:val="es-ES"/>
        </w:rPr>
        <w:t>,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 xml:space="preserve">I. </w:t>
      </w:r>
      <w:r w:rsidRPr="005A3E5E">
        <w:rPr>
          <w:rFonts w:ascii="Palatino Linotype" w:hAnsi="Palatino Linotype" w:cs="Arial"/>
          <w:i/>
          <w:u w:val="single"/>
          <w:lang w:val="es-ES"/>
        </w:rPr>
        <w:t>Patrimonial</w:t>
      </w:r>
      <w:r w:rsidRPr="005A3E5E">
        <w:rPr>
          <w:rFonts w:ascii="Palatino Linotype" w:hAnsi="Palatino Linotype" w:cs="Arial"/>
          <w:i/>
          <w:lang w:val="es-ES"/>
        </w:rPr>
        <w:t>.</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 Presupuestal.</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III. De la obra pública.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IV. De nómina</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lang w:val="es-ES"/>
        </w:rPr>
        <w:lastRenderedPageBreak/>
        <w:t>Artículo 351.-</w:t>
      </w:r>
      <w:r w:rsidRPr="005A3E5E">
        <w:rPr>
          <w:rFonts w:ascii="Palatino Linotype" w:hAnsi="Palatino Linotype" w:cs="Arial"/>
          <w:i/>
          <w:lang w:val="es-ES"/>
        </w:rPr>
        <w:t xml:space="preserve"> La Secretaría, los poderes Legislativo y Judicial, los Organismos Descentralizados, los Organismos Autónomos, así como las tesorerías, publicarán los principales resultados trimestrales de la gestión financiera, observando la normatividad aplicable al efecto.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Los Ayuntamientos al aprobar en forma definitiva su presupuesto de egresos, deberán publicar en la "Gaceta Municipal" de manera clara y entendible, todas y cada una de las partidas que lo integran, las remuneraciones de todo tipo aprobadas para los miembros del ayuntamiento y para los servidores públicos en general, incluyendo mandos medios y superiores de la administración municipal, a más tardar el 25 de febrero del año para el cual habrá de aplicar dicho presupuesto.</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lang w:val="es-ES"/>
        </w:rPr>
        <w:t>Artículo 352.-</w:t>
      </w:r>
      <w:r w:rsidRPr="005A3E5E">
        <w:rPr>
          <w:rFonts w:ascii="Palatino Linotype" w:hAnsi="Palatino Linotype" w:cs="Arial"/>
          <w:i/>
          <w:lang w:val="es-ES"/>
        </w:rPr>
        <w:t xml:space="preserve"> La cuenta pública se constituye por la información económica, </w:t>
      </w:r>
      <w:r w:rsidRPr="005A3E5E">
        <w:rPr>
          <w:rFonts w:ascii="Palatino Linotype" w:hAnsi="Palatino Linotype" w:cs="Arial"/>
          <w:i/>
          <w:u w:val="single"/>
          <w:lang w:val="es-ES"/>
        </w:rPr>
        <w:t>patrimonial</w:t>
      </w:r>
      <w:r w:rsidRPr="005A3E5E">
        <w:rPr>
          <w:rFonts w:ascii="Palatino Linotype" w:hAnsi="Palatino Linotype" w:cs="Arial"/>
          <w:i/>
          <w:lang w:val="es-ES"/>
        </w:rPr>
        <w:t>, presupuestal, programática, cualitativa y cuantitativa que muestre los resultados de la ejecución de la Ley de Ingresos y del Presupuesto de Egresos La Secretaría y las Tesorerías, proporcionarán la información complementaria requerida por los Órganos de Fiscalización locales y federales, según corresponda, para el análisis y evaluación de la cuenta pública correspondiente.</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A20D09" w:rsidRPr="005A3E5E" w:rsidRDefault="00A20D09" w:rsidP="004860F7">
      <w:pPr>
        <w:spacing w:after="0" w:line="240" w:lineRule="auto"/>
        <w:ind w:left="567" w:right="567"/>
        <w:jc w:val="both"/>
        <w:rPr>
          <w:rFonts w:ascii="Palatino Linotype" w:hAnsi="Palatino Linotype" w:cs="Arial"/>
          <w:i/>
          <w:lang w:val="es-ES"/>
        </w:rPr>
      </w:pP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b/>
          <w:i/>
          <w:lang w:val="es-ES"/>
        </w:rPr>
        <w:t>Artículo 352 Bis.-</w:t>
      </w:r>
      <w:r w:rsidRPr="005A3E5E">
        <w:rPr>
          <w:rFonts w:ascii="Palatino Linotype" w:hAnsi="Palatino Linotype" w:cs="Arial"/>
          <w:i/>
          <w:lang w:val="es-ES"/>
        </w:rPr>
        <w:t xml:space="preserve"> Como parte de la cuenta pública, se informará a la Legislatura de las acciones y resultados de la ejecución del Plan de Desarrollo del Estado o del municipio que corresponda y del avance de los programas, en términos de lo establecido en la Ley de Planeación del Estado de México y Municipios.</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Adicionalmente, se enviará trimestralmente a la Legislatura y al Órgano Superior de Fiscalización del Estado de México el informe de las acciones y resultados de la ejecución del Plan de Desarrollo del Estado o del municipio que corresponda y del avance de los programas en los meses de abril, julio y octubre y el trimestre correspondiente al cierre del ejercicio, se hará con la cuenta pública.</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Se adicionará a dichos informes un apartado especial sobre las reasignaciones realizadas, a nivel de proyecto, así como otro apartado para informar de las asignaciones de los recursos en términos de lo dispuesto por el artículo 317 Bis A de este Código.</w:t>
      </w:r>
    </w:p>
    <w:p w:rsidR="00A20D09" w:rsidRPr="005A3E5E" w:rsidRDefault="00A20D09" w:rsidP="004860F7">
      <w:pPr>
        <w:spacing w:after="0" w:line="240" w:lineRule="auto"/>
        <w:ind w:left="567" w:right="567"/>
        <w:jc w:val="both"/>
        <w:rPr>
          <w:rFonts w:ascii="Palatino Linotype" w:hAnsi="Palatino Linotype" w:cs="Arial"/>
          <w:i/>
          <w:lang w:val="es-ES"/>
        </w:rPr>
      </w:pPr>
      <w:r w:rsidRPr="005A3E5E">
        <w:rPr>
          <w:rFonts w:ascii="Palatino Linotype" w:hAnsi="Palatino Linotype" w:cs="Arial"/>
          <w:i/>
          <w:lang w:val="es-ES"/>
        </w:rPr>
        <w:t>El Poder Ejecutivo a través de la Secretaría, comparecerá en las reuniones trimestrales de análisis y evaluación de los informes presentados que, celebren el Órgano Superior de Fiscalización de la Legislatura y las Comisiones Legislativas respectivas.</w:t>
      </w:r>
    </w:p>
    <w:p w:rsidR="00A20D09" w:rsidRPr="005A3E5E" w:rsidRDefault="00A20D09" w:rsidP="004860F7">
      <w:pPr>
        <w:spacing w:after="0" w:line="360" w:lineRule="auto"/>
        <w:jc w:val="both"/>
        <w:rPr>
          <w:rFonts w:ascii="Palatino Linotype" w:hAnsi="Palatino Linotype" w:cs="Arial"/>
          <w:sz w:val="24"/>
          <w:lang w:val="es-ES"/>
        </w:rPr>
      </w:pPr>
    </w:p>
    <w:p w:rsidR="00A5515D" w:rsidRPr="005A3E5E" w:rsidRDefault="00A20D09" w:rsidP="004860F7">
      <w:pPr>
        <w:spacing w:after="0" w:line="360" w:lineRule="auto"/>
        <w:jc w:val="both"/>
        <w:rPr>
          <w:rFonts w:ascii="Palatino Linotype" w:hAnsi="Palatino Linotype" w:cs="Arial"/>
          <w:sz w:val="24"/>
          <w:lang w:val="es-ES"/>
        </w:rPr>
      </w:pPr>
      <w:r w:rsidRPr="005A3E5E">
        <w:rPr>
          <w:rFonts w:ascii="Palatino Linotype" w:hAnsi="Palatino Linotype" w:cs="Arial"/>
          <w:sz w:val="24"/>
          <w:lang w:val="es-ES"/>
        </w:rPr>
        <w:lastRenderedPageBreak/>
        <w:t>En ese orden de ideas, debemos traer a colación lo establecido en el artículo 32 de la Ley Superior de Fiscalización del Estado de México, que consagra la obligación de los Municipios de rendir de manera trimestral al Órgano Superior de Fiscalización del Estado de México (OSFEM), los formatos en que obre su cuenta pública. Atentos a ello, el Organismo citado, emitió los formatos Integración del Informe Trimestral de los Sujetos de Fiscalización MUNICIPALES para el Ejercicio 202</w:t>
      </w:r>
      <w:r w:rsidR="007078E0" w:rsidRPr="005A3E5E">
        <w:rPr>
          <w:rFonts w:ascii="Palatino Linotype" w:hAnsi="Palatino Linotype" w:cs="Arial"/>
          <w:sz w:val="24"/>
          <w:lang w:val="es-ES"/>
        </w:rPr>
        <w:t>2</w:t>
      </w:r>
      <w:r w:rsidRPr="005A3E5E">
        <w:rPr>
          <w:rFonts w:ascii="Palatino Linotype" w:hAnsi="Palatino Linotype" w:cs="Arial"/>
          <w:sz w:val="24"/>
          <w:lang w:val="es-ES"/>
        </w:rPr>
        <w:t xml:space="preserve">, entre los que se destacan los denominados </w:t>
      </w:r>
      <w:r w:rsidR="00A5515D" w:rsidRPr="005A3E5E">
        <w:rPr>
          <w:rFonts w:ascii="Palatino Linotype" w:hAnsi="Palatino Linotype" w:cs="Arial"/>
          <w:sz w:val="24"/>
          <w:lang w:val="es-ES"/>
        </w:rPr>
        <w:t>“</w:t>
      </w:r>
      <w:r w:rsidR="00A5515D" w:rsidRPr="005A3E5E">
        <w:rPr>
          <w:rFonts w:ascii="Palatino Linotype" w:hAnsi="Palatino Linotype" w:cs="Arial"/>
          <w:b/>
          <w:sz w:val="24"/>
          <w:lang w:val="es-ES"/>
        </w:rPr>
        <w:t>20. Inventario de Bienes Muebles</w:t>
      </w:r>
      <w:r w:rsidR="00A5515D" w:rsidRPr="005A3E5E">
        <w:rPr>
          <w:rFonts w:ascii="Palatino Linotype" w:hAnsi="Palatino Linotype" w:cs="Arial"/>
          <w:sz w:val="24"/>
          <w:lang w:val="es-ES"/>
        </w:rPr>
        <w:t xml:space="preserve">”, </w:t>
      </w:r>
      <w:r w:rsidRPr="005A3E5E">
        <w:rPr>
          <w:rFonts w:ascii="Palatino Linotype" w:hAnsi="Palatino Linotype" w:cs="Arial"/>
          <w:sz w:val="24"/>
          <w:lang w:val="es-ES"/>
        </w:rPr>
        <w:t xml:space="preserve">en </w:t>
      </w:r>
      <w:r w:rsidR="00A5515D" w:rsidRPr="005A3E5E">
        <w:rPr>
          <w:rFonts w:ascii="Palatino Linotype" w:hAnsi="Palatino Linotype" w:cs="Arial"/>
          <w:sz w:val="24"/>
          <w:lang w:val="es-ES"/>
        </w:rPr>
        <w:t xml:space="preserve">el cual podemos observar </w:t>
      </w:r>
      <w:r w:rsidR="00675BAA" w:rsidRPr="005A3E5E">
        <w:rPr>
          <w:rFonts w:ascii="Palatino Linotype" w:hAnsi="Palatino Linotype" w:cs="Arial"/>
          <w:sz w:val="24"/>
          <w:lang w:val="es-ES"/>
        </w:rPr>
        <w:t>lo siguiente</w:t>
      </w:r>
      <w:r w:rsidR="00A5515D" w:rsidRPr="005A3E5E">
        <w:rPr>
          <w:rFonts w:ascii="Palatino Linotype" w:hAnsi="Palatino Linotype" w:cs="Arial"/>
          <w:sz w:val="24"/>
          <w:lang w:val="es-ES"/>
        </w:rPr>
        <w:t>:</w:t>
      </w:r>
    </w:p>
    <w:p w:rsidR="00A5515D" w:rsidRPr="005A3E5E" w:rsidRDefault="00A5515D" w:rsidP="004860F7">
      <w:pPr>
        <w:spacing w:after="0" w:line="360" w:lineRule="auto"/>
        <w:jc w:val="both"/>
        <w:rPr>
          <w:rFonts w:ascii="Palatino Linotype" w:hAnsi="Palatino Linotype" w:cs="Arial"/>
          <w:sz w:val="24"/>
          <w:lang w:val="es-ES"/>
        </w:rPr>
      </w:pPr>
    </w:p>
    <w:p w:rsidR="00A5515D" w:rsidRPr="005A3E5E" w:rsidRDefault="00675BAA" w:rsidP="004860F7">
      <w:pPr>
        <w:spacing w:after="0" w:line="360" w:lineRule="auto"/>
        <w:jc w:val="center"/>
        <w:rPr>
          <w:rFonts w:ascii="Palatino Linotype" w:hAnsi="Palatino Linotype" w:cs="Arial"/>
          <w:sz w:val="24"/>
          <w:lang w:val="es-ES"/>
        </w:rPr>
      </w:pPr>
      <w:r w:rsidRPr="005A3E5E">
        <w:rPr>
          <w:rFonts w:ascii="Palatino Linotype" w:hAnsi="Palatino Linotype" w:cs="Arial"/>
          <w:noProof/>
          <w:sz w:val="24"/>
          <w:lang w:eastAsia="es-MX"/>
        </w:rPr>
        <w:drawing>
          <wp:inline distT="0" distB="0" distL="0" distR="0" wp14:anchorId="53C18D60" wp14:editId="66AEC43A">
            <wp:extent cx="5040172" cy="3232333"/>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0378" cy="3238878"/>
                    </a:xfrm>
                    <a:prstGeom prst="rect">
                      <a:avLst/>
                    </a:prstGeom>
                  </pic:spPr>
                </pic:pic>
              </a:graphicData>
            </a:graphic>
          </wp:inline>
        </w:drawing>
      </w:r>
    </w:p>
    <w:p w:rsidR="00675BAA" w:rsidRPr="005A3E5E" w:rsidRDefault="00675BAA" w:rsidP="004860F7">
      <w:pPr>
        <w:spacing w:after="0" w:line="360" w:lineRule="auto"/>
        <w:jc w:val="center"/>
        <w:rPr>
          <w:rFonts w:ascii="Palatino Linotype" w:hAnsi="Palatino Linotype" w:cs="Arial"/>
          <w:sz w:val="24"/>
          <w:lang w:val="es-ES"/>
        </w:rPr>
      </w:pPr>
      <w:r w:rsidRPr="005A3E5E">
        <w:rPr>
          <w:rFonts w:ascii="Palatino Linotype" w:hAnsi="Palatino Linotype" w:cs="Arial"/>
          <w:noProof/>
          <w:sz w:val="24"/>
          <w:lang w:eastAsia="es-MX"/>
        </w:rPr>
        <w:lastRenderedPageBreak/>
        <w:drawing>
          <wp:inline distT="0" distB="0" distL="0" distR="0" wp14:anchorId="0353D0E2" wp14:editId="2CBC5306">
            <wp:extent cx="4003090" cy="3935578"/>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3836" cy="3946142"/>
                    </a:xfrm>
                    <a:prstGeom prst="rect">
                      <a:avLst/>
                    </a:prstGeom>
                  </pic:spPr>
                </pic:pic>
              </a:graphicData>
            </a:graphic>
          </wp:inline>
        </w:drawing>
      </w:r>
    </w:p>
    <w:p w:rsidR="00675BAA" w:rsidRPr="005A3E5E" w:rsidRDefault="00675BAA" w:rsidP="004860F7">
      <w:pPr>
        <w:spacing w:after="0" w:line="360" w:lineRule="auto"/>
        <w:jc w:val="center"/>
        <w:rPr>
          <w:rFonts w:ascii="Palatino Linotype" w:hAnsi="Palatino Linotype" w:cs="Arial"/>
          <w:sz w:val="24"/>
          <w:lang w:val="es-ES"/>
        </w:rPr>
      </w:pPr>
      <w:r w:rsidRPr="005A3E5E">
        <w:rPr>
          <w:rFonts w:ascii="Palatino Linotype" w:hAnsi="Palatino Linotype" w:cs="Arial"/>
          <w:noProof/>
          <w:sz w:val="24"/>
          <w:lang w:eastAsia="es-MX"/>
        </w:rPr>
        <w:drawing>
          <wp:inline distT="0" distB="0" distL="0" distR="0" wp14:anchorId="08F61603" wp14:editId="61B7624A">
            <wp:extent cx="4045306" cy="286720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4793" cy="2881021"/>
                    </a:xfrm>
                    <a:prstGeom prst="rect">
                      <a:avLst/>
                    </a:prstGeom>
                  </pic:spPr>
                </pic:pic>
              </a:graphicData>
            </a:graphic>
          </wp:inline>
        </w:drawing>
      </w:r>
    </w:p>
    <w:p w:rsidR="00A5515D" w:rsidRPr="005A3E5E" w:rsidRDefault="00A5515D" w:rsidP="004860F7">
      <w:pPr>
        <w:spacing w:after="0" w:line="360" w:lineRule="auto"/>
        <w:jc w:val="both"/>
        <w:rPr>
          <w:rFonts w:ascii="Palatino Linotype" w:hAnsi="Palatino Linotype" w:cs="Arial"/>
          <w:sz w:val="24"/>
          <w:lang w:val="es-ES"/>
        </w:rPr>
      </w:pPr>
    </w:p>
    <w:p w:rsidR="00A20D09" w:rsidRPr="005A3E5E" w:rsidRDefault="00A20D09" w:rsidP="004860F7">
      <w:pPr>
        <w:autoSpaceDE w:val="0"/>
        <w:autoSpaceDN w:val="0"/>
        <w:adjustRightInd w:val="0"/>
        <w:spacing w:after="0" w:line="360" w:lineRule="auto"/>
        <w:jc w:val="both"/>
        <w:rPr>
          <w:rFonts w:ascii="Palatino Linotype" w:hAnsi="Palatino Linotype" w:cs="Arial"/>
          <w:sz w:val="24"/>
          <w:lang w:val="es-ES"/>
        </w:rPr>
      </w:pPr>
      <w:r w:rsidRPr="005A3E5E">
        <w:rPr>
          <w:rFonts w:ascii="Palatino Linotype" w:hAnsi="Palatino Linotype" w:cs="Arial"/>
          <w:sz w:val="24"/>
          <w:szCs w:val="24"/>
          <w:lang w:val="es-ES"/>
        </w:rPr>
        <w:lastRenderedPageBreak/>
        <w:t xml:space="preserve">Con base en las imágenes insertas, podemos concluir que el </w:t>
      </w:r>
      <w:r w:rsidRPr="005A3E5E">
        <w:rPr>
          <w:rFonts w:ascii="Palatino Linotype" w:hAnsi="Palatino Linotype" w:cs="Arial"/>
          <w:b/>
          <w:sz w:val="24"/>
          <w:szCs w:val="24"/>
          <w:lang w:val="es-ES"/>
        </w:rPr>
        <w:t>Sujeto Obligado</w:t>
      </w:r>
      <w:r w:rsidRPr="005A3E5E">
        <w:rPr>
          <w:rFonts w:ascii="Palatino Linotype" w:hAnsi="Palatino Linotype" w:cs="Arial"/>
          <w:sz w:val="24"/>
          <w:szCs w:val="24"/>
          <w:lang w:val="es-ES"/>
        </w:rPr>
        <w:t xml:space="preserve"> al ser sujeto fiscalizado por parte del </w:t>
      </w:r>
      <w:r w:rsidRPr="005A3E5E">
        <w:rPr>
          <w:rFonts w:ascii="Palatino Linotype" w:hAnsi="Palatino Linotype" w:cs="Arial"/>
          <w:sz w:val="24"/>
          <w:lang w:val="es-ES"/>
        </w:rPr>
        <w:t xml:space="preserve">Órgano Superior de Fiscalización del Estado de México (OSFEM), debe rendir de manera </w:t>
      </w:r>
      <w:r w:rsidRPr="005A3E5E">
        <w:rPr>
          <w:rFonts w:ascii="Palatino Linotype" w:hAnsi="Palatino Linotype" w:cs="Arial"/>
          <w:b/>
          <w:sz w:val="24"/>
          <w:lang w:val="es-ES"/>
        </w:rPr>
        <w:t>trimestral</w:t>
      </w:r>
      <w:r w:rsidRPr="005A3E5E">
        <w:rPr>
          <w:rFonts w:ascii="Palatino Linotype" w:hAnsi="Palatino Linotype" w:cs="Arial"/>
          <w:sz w:val="24"/>
          <w:lang w:val="es-ES"/>
        </w:rPr>
        <w:t xml:space="preserve"> (dentro de los 20 días hábiles posteriores al término del trimestre que se informa) los formatos que permitan eficaz y eficientemente su fiscalización. </w:t>
      </w:r>
      <w:r w:rsidR="00675BAA" w:rsidRPr="005A3E5E">
        <w:rPr>
          <w:rFonts w:ascii="Palatino Linotype" w:hAnsi="Palatino Linotype" w:cs="Arial"/>
          <w:sz w:val="24"/>
          <w:lang w:val="es-ES"/>
        </w:rPr>
        <w:t>Particularmente del inventario de bienes muebles, en el cual se establece de manera precisa el área responsables que tiene asignado el bien mueble.</w:t>
      </w:r>
    </w:p>
    <w:p w:rsidR="00FB4021" w:rsidRPr="005A3E5E" w:rsidRDefault="00FB4021" w:rsidP="004860F7">
      <w:pPr>
        <w:spacing w:after="0" w:line="360" w:lineRule="auto"/>
        <w:jc w:val="both"/>
        <w:rPr>
          <w:rFonts w:ascii="Palatino Linotype" w:hAnsi="Palatino Linotype"/>
          <w:sz w:val="24"/>
          <w:szCs w:val="24"/>
        </w:rPr>
      </w:pPr>
    </w:p>
    <w:p w:rsidR="00FB4021" w:rsidRPr="005A3E5E" w:rsidRDefault="009B7DA2"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t>En ese mismo orden de ideas, no pasan a la óptica de este Órgano Garante los Lineamientos para el Registro y Control del Inventario y la Conciliación y Desincorporación de Bienes Muebles e Inmuebles para las Entidades Fiscalizables Municipales del Estado de México, que disponen:</w:t>
      </w:r>
    </w:p>
    <w:p w:rsidR="001937E4" w:rsidRPr="005A3E5E" w:rsidRDefault="001937E4" w:rsidP="004860F7">
      <w:pPr>
        <w:spacing w:after="0" w:line="360" w:lineRule="auto"/>
        <w:jc w:val="both"/>
        <w:rPr>
          <w:rFonts w:ascii="Palatino Linotype" w:hAnsi="Palatino Linotype"/>
          <w:sz w:val="24"/>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w:t>
      </w:r>
      <w:r w:rsidRPr="005A3E5E">
        <w:rPr>
          <w:rFonts w:ascii="Palatino Linotype" w:hAnsi="Palatino Linotype"/>
          <w:b/>
          <w:i/>
          <w:szCs w:val="24"/>
        </w:rPr>
        <w:t>PRIMERO:</w:t>
      </w:r>
      <w:r w:rsidRPr="005A3E5E">
        <w:rPr>
          <w:rFonts w:ascii="Palatino Linotype" w:hAnsi="Palatino Linotype"/>
          <w:i/>
          <w:szCs w:val="24"/>
        </w:rPr>
        <w:t xml:space="preserve"> Los presentes Lineamientos tienen por objeto establecer disposiciones para el registro y control del inventario y la conciliación y desincorporación de </w:t>
      </w:r>
      <w:r w:rsidRPr="005A3E5E">
        <w:rPr>
          <w:rFonts w:ascii="Palatino Linotype" w:hAnsi="Palatino Linotype"/>
          <w:i/>
          <w:szCs w:val="24"/>
          <w:u w:val="single"/>
        </w:rPr>
        <w:t>bienes muebles</w:t>
      </w:r>
      <w:r w:rsidRPr="005A3E5E">
        <w:rPr>
          <w:rFonts w:ascii="Palatino Linotype" w:hAnsi="Palatino Linotype"/>
          <w:i/>
          <w:szCs w:val="24"/>
        </w:rPr>
        <w:t xml:space="preserve"> e inmuebles para las entidades fiscalizables municipales. </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SEGUNDO:</w:t>
      </w:r>
      <w:r w:rsidRPr="005A3E5E">
        <w:rPr>
          <w:rFonts w:ascii="Palatino Linotype" w:hAnsi="Palatino Linotype"/>
          <w:i/>
          <w:szCs w:val="24"/>
        </w:rPr>
        <w:t xml:space="preserve"> Corresponde al Órgano Superior de Fiscalización del Estado de México, la facultad de interpretar y aplicar los presentes Lineamientos; determinar lo no previsto en los mismos; emitir criterios y opiniones respecto a las consultas que sobre situaciones reales y concretas planteen los servidores públicos de las entidades fiscalizables.</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NOVENO:</w:t>
      </w:r>
      <w:r w:rsidRPr="005A3E5E">
        <w:rPr>
          <w:rFonts w:ascii="Palatino Linotype" w:hAnsi="Palatino Linotype"/>
          <w:i/>
          <w:szCs w:val="24"/>
        </w:rPr>
        <w:t xml:space="preserve"> Para efectos de los presentes Lineamientos, se entenderá por:</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I…</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III. ACTIVOS INTANGIBLES:</w:t>
      </w:r>
      <w:r w:rsidRPr="005A3E5E">
        <w:rPr>
          <w:rFonts w:ascii="Palatino Linotype" w:hAnsi="Palatino Linotype"/>
          <w:i/>
          <w:szCs w:val="24"/>
        </w:rPr>
        <w:t xml:space="preserve"> Representan el monto de derechos por el uso de activos de propiedad industrial, comercial, intelectual y otros;</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BIEN MUEBLE:</w:t>
      </w:r>
      <w:r w:rsidRPr="005A3E5E">
        <w:rPr>
          <w:rFonts w:ascii="Palatino Linotype" w:hAnsi="Palatino Linotype"/>
          <w:i/>
          <w:szCs w:val="24"/>
        </w:rPr>
        <w:t xml:space="preserve"> Objeto que por su naturaleza de uso o consumo, puede ser trasladado de un lugar a otro ya sea por sí mismo, o por efecto de una fuerza exterior, es todo aquello que </w:t>
      </w:r>
      <w:r w:rsidRPr="005A3E5E">
        <w:rPr>
          <w:rFonts w:ascii="Palatino Linotype" w:hAnsi="Palatino Linotype"/>
          <w:i/>
          <w:szCs w:val="24"/>
        </w:rPr>
        <w:lastRenderedPageBreak/>
        <w:t>se conoce como: mobiliario, mesas, sillas, libreros, anaqueles, equipo de oficina en general, equipo de transporte, semovientes, entre otros;</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XLV. TARJETAS DE RESGUARDO:</w:t>
      </w:r>
      <w:r w:rsidRPr="005A3E5E">
        <w:rPr>
          <w:rFonts w:ascii="Palatino Linotype" w:hAnsi="Palatino Linotype"/>
          <w:i/>
          <w:szCs w:val="24"/>
        </w:rPr>
        <w:t xml:space="preserve"> Documento que concentra las características de identificación de cada uno de los bienes, así como el uso, control, nombre y firma del servidor público usuario responsable de resguardarlo;</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9B7DA2" w:rsidP="004860F7">
      <w:pPr>
        <w:spacing w:after="0" w:line="240" w:lineRule="auto"/>
        <w:ind w:left="567" w:right="567"/>
        <w:jc w:val="center"/>
        <w:rPr>
          <w:rFonts w:ascii="Palatino Linotype" w:hAnsi="Palatino Linotype"/>
          <w:b/>
          <w:i/>
          <w:szCs w:val="24"/>
        </w:rPr>
      </w:pPr>
      <w:r w:rsidRPr="005A3E5E">
        <w:rPr>
          <w:rFonts w:ascii="Palatino Linotype" w:hAnsi="Palatino Linotype"/>
          <w:b/>
          <w:i/>
          <w:szCs w:val="24"/>
        </w:rPr>
        <w:t>DEL RESGUARDO</w:t>
      </w:r>
    </w:p>
    <w:p w:rsidR="009B7DA2" w:rsidRPr="005A3E5E" w:rsidRDefault="009B7DA2" w:rsidP="004860F7">
      <w:pPr>
        <w:spacing w:after="0" w:line="240" w:lineRule="auto"/>
        <w:ind w:left="567" w:right="567"/>
        <w:jc w:val="both"/>
        <w:rPr>
          <w:rFonts w:ascii="Palatino Linotype" w:hAnsi="Palatino Linotype"/>
          <w:b/>
          <w:i/>
          <w:szCs w:val="24"/>
        </w:rPr>
      </w:pP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b/>
          <w:i/>
          <w:szCs w:val="24"/>
        </w:rPr>
        <w:t xml:space="preserve">OCTOGÉSIMO SEXTO: </w:t>
      </w:r>
      <w:r w:rsidRPr="005A3E5E">
        <w:rPr>
          <w:rFonts w:ascii="Palatino Linotype" w:hAnsi="Palatino Linotype"/>
          <w:i/>
          <w:szCs w:val="24"/>
        </w:rPr>
        <w:t xml:space="preserve">El resguardo, es una medida de control interno, que permite conocer a quien fue asignado el bien mueble, responsabilizando al servidor público o usuario de su conservación y custodia. Cada bien mueble se le asignará tarjeta de resguardo que contendrá como mínimo las siguientes características: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I. Número de tarjeta de resguardo;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II. Denominación de la entidad fiscalizable;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III. Denominación de la unidad administrativa;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IV. Clave de la unidad administrativa;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V. Identificación del bien;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VI. Grupo del activo;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VII. Número de inventario;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VIII. Marca, modelo, número de serie, número de motor, tipo de material, color, estado de uso;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IX. Fecha de asignación;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X. Valor de adquisición; y </w:t>
      </w:r>
    </w:p>
    <w:p w:rsidR="00A2221E"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XI. Fecha de elaboración del resguardo, nombre, cargo y firma del usuario del bien mueble. (Anexo 6) </w:t>
      </w:r>
    </w:p>
    <w:p w:rsidR="00A2221E"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 xml:space="preserve">En cada entidad fiscalizable, el comité, será el encargado de fijar las políticas de elaboración, control y asignación de bienes muebles y sus respectivos resguardos. </w:t>
      </w:r>
    </w:p>
    <w:p w:rsidR="009B7DA2" w:rsidRPr="005A3E5E" w:rsidRDefault="009B7DA2" w:rsidP="004860F7">
      <w:pPr>
        <w:spacing w:after="0" w:line="240" w:lineRule="auto"/>
        <w:ind w:left="567" w:right="567"/>
        <w:jc w:val="both"/>
        <w:rPr>
          <w:rFonts w:ascii="Palatino Linotype" w:hAnsi="Palatino Linotype"/>
          <w:i/>
          <w:szCs w:val="24"/>
        </w:rPr>
      </w:pPr>
      <w:r w:rsidRPr="005A3E5E">
        <w:rPr>
          <w:rFonts w:ascii="Palatino Linotype" w:hAnsi="Palatino Linotype"/>
          <w:i/>
          <w:szCs w:val="24"/>
        </w:rPr>
        <w:t>Realizada la depuración del inventario de bienes muebles, las entidades fiscalizables podrán actualizar las tarjetas de resguardo.</w:t>
      </w:r>
    </w:p>
    <w:p w:rsidR="009B7DA2" w:rsidRPr="005A3E5E" w:rsidRDefault="009B7DA2" w:rsidP="004860F7">
      <w:pPr>
        <w:spacing w:after="0" w:line="240" w:lineRule="auto"/>
        <w:ind w:left="567" w:right="567"/>
        <w:jc w:val="both"/>
        <w:rPr>
          <w:rFonts w:ascii="Palatino Linotype" w:hAnsi="Palatino Linotype"/>
          <w:i/>
          <w:szCs w:val="24"/>
        </w:rPr>
      </w:pPr>
    </w:p>
    <w:p w:rsidR="009B7DA2" w:rsidRPr="005A3E5E" w:rsidRDefault="00A2221E" w:rsidP="004860F7">
      <w:pPr>
        <w:spacing w:after="0" w:line="240" w:lineRule="auto"/>
        <w:ind w:left="567" w:right="567"/>
        <w:jc w:val="center"/>
        <w:rPr>
          <w:rFonts w:ascii="Palatino Linotype" w:hAnsi="Palatino Linotype"/>
          <w:i/>
          <w:szCs w:val="24"/>
        </w:rPr>
      </w:pPr>
      <w:r w:rsidRPr="005A3E5E">
        <w:rPr>
          <w:rFonts w:ascii="Palatino Linotype" w:hAnsi="Palatino Linotype"/>
          <w:i/>
          <w:noProof/>
          <w:szCs w:val="24"/>
          <w:lang w:eastAsia="es-MX"/>
        </w:rPr>
        <w:lastRenderedPageBreak/>
        <w:drawing>
          <wp:inline distT="0" distB="0" distL="0" distR="0" wp14:anchorId="52032020" wp14:editId="6595A7DD">
            <wp:extent cx="5054804" cy="4513775"/>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9340" cy="4517825"/>
                    </a:xfrm>
                    <a:prstGeom prst="rect">
                      <a:avLst/>
                    </a:prstGeom>
                  </pic:spPr>
                </pic:pic>
              </a:graphicData>
            </a:graphic>
          </wp:inline>
        </w:drawing>
      </w:r>
    </w:p>
    <w:p w:rsidR="009B7DA2" w:rsidRPr="005A3E5E" w:rsidRDefault="009B7DA2" w:rsidP="004860F7">
      <w:pPr>
        <w:spacing w:after="0" w:line="360" w:lineRule="auto"/>
        <w:jc w:val="both"/>
        <w:rPr>
          <w:rFonts w:ascii="Palatino Linotype" w:hAnsi="Palatino Linotype"/>
          <w:sz w:val="24"/>
          <w:szCs w:val="24"/>
        </w:rPr>
      </w:pPr>
    </w:p>
    <w:p w:rsidR="007545D0" w:rsidRPr="005A3E5E" w:rsidRDefault="00A2221E" w:rsidP="004860F7">
      <w:pPr>
        <w:spacing w:after="0" w:line="360" w:lineRule="auto"/>
        <w:jc w:val="both"/>
        <w:rPr>
          <w:rFonts w:ascii="Palatino Linotype" w:hAnsi="Palatino Linotype"/>
          <w:sz w:val="24"/>
          <w:szCs w:val="24"/>
        </w:rPr>
      </w:pPr>
      <w:r w:rsidRPr="005A3E5E">
        <w:rPr>
          <w:rFonts w:ascii="Palatino Linotype" w:hAnsi="Palatino Linotype"/>
          <w:sz w:val="24"/>
          <w:szCs w:val="24"/>
        </w:rPr>
        <w:t>Es con base en las consideraciones de hecho y de derecho, precisadas en párrafos previos que, podemos tener por acreditada la existencia de atribuciones a cargo del Ayuntamiento de Zinacantepec, para generar, administrar y poseer las tarjetas de resguardo de las unidades administrativas peticionadas, consecuentemente, resulta procedente ordenar su entrega, debiendo observar lo relativo a la clasificación de datos de carácter sensible y/o confidencial, en términos de las Leyes Locales de Transparencia y de Protección de Datos Personales, respectivamente.</w:t>
      </w:r>
    </w:p>
    <w:p w:rsidR="007545D0" w:rsidRPr="005A3E5E" w:rsidRDefault="007545D0" w:rsidP="004860F7">
      <w:pPr>
        <w:spacing w:after="0" w:line="360" w:lineRule="auto"/>
        <w:jc w:val="both"/>
        <w:rPr>
          <w:rFonts w:ascii="Palatino Linotype" w:hAnsi="Palatino Linotype"/>
          <w:sz w:val="24"/>
          <w:szCs w:val="24"/>
        </w:rPr>
      </w:pPr>
    </w:p>
    <w:p w:rsidR="001937E4" w:rsidRPr="005A3E5E" w:rsidRDefault="001937E4" w:rsidP="004860F7">
      <w:pPr>
        <w:spacing w:after="0" w:line="360" w:lineRule="auto"/>
        <w:jc w:val="both"/>
        <w:rPr>
          <w:rFonts w:ascii="Palatino Linotype" w:hAnsi="Palatino Linotype"/>
          <w:sz w:val="24"/>
          <w:szCs w:val="24"/>
        </w:rPr>
      </w:pPr>
    </w:p>
    <w:p w:rsidR="00847025" w:rsidRPr="005A3E5E" w:rsidRDefault="00847025" w:rsidP="004860F7">
      <w:pPr>
        <w:numPr>
          <w:ilvl w:val="0"/>
          <w:numId w:val="2"/>
        </w:numPr>
        <w:shd w:val="clear" w:color="auto" w:fill="FFFFFF"/>
        <w:spacing w:after="0" w:line="360" w:lineRule="auto"/>
        <w:ind w:left="426"/>
        <w:jc w:val="both"/>
        <w:rPr>
          <w:rFonts w:ascii="Palatino Linotype" w:eastAsia="Times New Roman" w:hAnsi="Palatino Linotype" w:cs="Times New Roman"/>
          <w:color w:val="222222"/>
          <w:sz w:val="28"/>
          <w:szCs w:val="24"/>
          <w:lang w:val="es-ES" w:eastAsia="es-MX"/>
        </w:rPr>
      </w:pPr>
      <w:r w:rsidRPr="005A3E5E">
        <w:rPr>
          <w:rFonts w:ascii="Palatino Linotype" w:eastAsia="Times New Roman" w:hAnsi="Palatino Linotype" w:cs="Times New Roman"/>
          <w:b/>
          <w:bCs/>
          <w:i/>
          <w:iCs/>
          <w:color w:val="222222"/>
          <w:sz w:val="28"/>
          <w:szCs w:val="24"/>
          <w:lang w:val="es-ES" w:eastAsia="es-MX"/>
        </w:rPr>
        <w:lastRenderedPageBreak/>
        <w:t>De la versión pública.</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hAnsi="Palatino Linotype"/>
          <w:b/>
          <w:bCs/>
          <w:i/>
          <w:iCs/>
          <w:color w:val="222222"/>
          <w:sz w:val="24"/>
          <w:szCs w:val="24"/>
          <w:lang w:eastAsia="es-MX"/>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Artículo 3. Para los efectos de la presente Ley se entenderá por:</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 xml:space="preserve">IX. Datos personales: </w:t>
      </w:r>
      <w:r w:rsidRPr="005A3E5E">
        <w:rPr>
          <w:rFonts w:ascii="Palatino Linotype" w:hAnsi="Palatino Linotype"/>
          <w:bCs/>
          <w:i/>
          <w:iCs/>
          <w:color w:val="222222"/>
          <w:lang w:eastAsia="es-MX"/>
        </w:rPr>
        <w:t>La información concerniente a una persona, identificada o identificable según lo dispuesto por la Ley de Protección de Datos Personales del Estado de México;</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 xml:space="preserve">XLV. Versión pública: </w:t>
      </w:r>
      <w:r w:rsidRPr="005A3E5E">
        <w:rPr>
          <w:rFonts w:ascii="Palatino Linotype" w:hAnsi="Palatino Linotype"/>
          <w:bCs/>
          <w:i/>
          <w:iCs/>
          <w:color w:val="222222"/>
          <w:lang w:eastAsia="es-MX"/>
        </w:rPr>
        <w:t>Documento en el que se elimine, suprime o borra la información clasificada como reservada o confidencial para permitir su acceso.</w:t>
      </w:r>
    </w:p>
    <w:p w:rsidR="00847025" w:rsidRPr="005A3E5E" w:rsidRDefault="00847025" w:rsidP="004860F7">
      <w:pPr>
        <w:shd w:val="clear" w:color="auto" w:fill="FFFFFF"/>
        <w:spacing w:after="0" w:line="240" w:lineRule="auto"/>
        <w:ind w:left="567" w:right="567"/>
        <w:jc w:val="both"/>
        <w:rPr>
          <w:rFonts w:ascii="Palatino Linotype" w:hAnsi="Palatino Linotype"/>
          <w:b/>
          <w:bCs/>
          <w:i/>
          <w:iCs/>
          <w:color w:val="222222"/>
          <w:lang w:eastAsia="es-MX"/>
        </w:rPr>
      </w:pP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 xml:space="preserve">Artículo 122. </w:t>
      </w:r>
      <w:r w:rsidRPr="005A3E5E">
        <w:rPr>
          <w:rFonts w:ascii="Palatino Linotype" w:hAnsi="Palatino Linotype"/>
          <w:i/>
          <w:iCs/>
          <w:color w:val="222222"/>
          <w:lang w:eastAsia="es-MX"/>
        </w:rPr>
        <w:t>La clasificación es el proceso mediante el cual el sujeto obligado determina que la información en su poder actualiza alguno de los supuestos de reserva o confidencialidad, de conformidad con lo dispuesto en el presente título.</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w:t>
      </w:r>
    </w:p>
    <w:p w:rsidR="00847025" w:rsidRPr="005A3E5E" w:rsidRDefault="00847025" w:rsidP="004860F7">
      <w:pPr>
        <w:shd w:val="clear" w:color="auto" w:fill="FFFFFF"/>
        <w:spacing w:after="0" w:line="240" w:lineRule="auto"/>
        <w:ind w:left="567" w:right="567"/>
        <w:jc w:val="both"/>
        <w:rPr>
          <w:rFonts w:ascii="Palatino Linotype" w:hAnsi="Palatino Linotype"/>
          <w:b/>
          <w:bCs/>
          <w:i/>
          <w:iCs/>
          <w:color w:val="222222"/>
          <w:lang w:eastAsia="es-MX"/>
        </w:rPr>
      </w:pP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Artículo 132.</w:t>
      </w:r>
      <w:r w:rsidRPr="005A3E5E">
        <w:rPr>
          <w:rFonts w:ascii="Palatino Linotype" w:hAnsi="Palatino Linotype"/>
          <w:i/>
          <w:iCs/>
          <w:color w:val="222222"/>
          <w:lang w:eastAsia="es-MX"/>
        </w:rPr>
        <w:t xml:space="preserve"> La clasificación de la información se llevará a cabo en el momento en que:</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II. Se determine mediante resolución de autoridad competente; o</w:t>
      </w:r>
    </w:p>
    <w:p w:rsidR="00847025" w:rsidRPr="005A3E5E" w:rsidRDefault="00847025" w:rsidP="004860F7">
      <w:pPr>
        <w:shd w:val="clear" w:color="auto" w:fill="FFFFFF"/>
        <w:spacing w:after="0" w:line="240" w:lineRule="auto"/>
        <w:ind w:left="567" w:right="567"/>
        <w:jc w:val="both"/>
        <w:rPr>
          <w:rFonts w:ascii="Palatino Linotype" w:hAnsi="Palatino Linotype"/>
          <w:b/>
          <w:bCs/>
          <w:i/>
          <w:iCs/>
          <w:color w:val="222222"/>
          <w:lang w:eastAsia="es-MX"/>
        </w:rPr>
      </w:pP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b/>
          <w:bCs/>
          <w:i/>
          <w:iCs/>
          <w:color w:val="222222"/>
          <w:lang w:eastAsia="es-MX"/>
        </w:rPr>
        <w:t xml:space="preserve">Artículo 137. </w:t>
      </w:r>
      <w:r w:rsidRPr="005A3E5E">
        <w:rPr>
          <w:rFonts w:ascii="Palatino Linotype" w:hAnsi="Palatino Linotype"/>
          <w:bCs/>
          <w:i/>
          <w:iCs/>
          <w:color w:val="222222"/>
          <w:lang w:eastAsia="es-MX"/>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w:t>
      </w:r>
      <w:r w:rsidRPr="005A3E5E">
        <w:rPr>
          <w:rFonts w:ascii="Palatino Linotype" w:hAnsi="Palatino Linotype"/>
          <w:bCs/>
          <w:i/>
          <w:iCs/>
          <w:color w:val="222222"/>
          <w:lang w:eastAsia="es-MX"/>
        </w:rPr>
        <w:lastRenderedPageBreak/>
        <w:t>o secciones clasificadas, indicando su contenido</w:t>
      </w:r>
      <w:r w:rsidR="00DC04E4" w:rsidRPr="005A3E5E">
        <w:rPr>
          <w:rFonts w:ascii="Palatino Linotype" w:hAnsi="Palatino Linotype"/>
          <w:bCs/>
          <w:i/>
          <w:iCs/>
          <w:color w:val="222222"/>
          <w:lang w:eastAsia="es-MX"/>
        </w:rPr>
        <w:t xml:space="preserve"> </w:t>
      </w:r>
      <w:r w:rsidRPr="005A3E5E">
        <w:rPr>
          <w:rFonts w:ascii="Palatino Linotype" w:hAnsi="Palatino Linotype"/>
          <w:bCs/>
          <w:i/>
          <w:iCs/>
          <w:color w:val="222222"/>
          <w:u w:val="single"/>
          <w:lang w:eastAsia="es-MX"/>
        </w:rPr>
        <w:t>de manera genérica y fundando y motivando su clasificación.”</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p>
    <w:p w:rsidR="00847025" w:rsidRPr="005A3E5E" w:rsidRDefault="00847025" w:rsidP="004860F7">
      <w:pPr>
        <w:shd w:val="clear" w:color="auto" w:fill="FFFFFF"/>
        <w:spacing w:after="0" w:line="240" w:lineRule="auto"/>
        <w:ind w:left="567" w:right="567"/>
        <w:jc w:val="right"/>
        <w:rPr>
          <w:rFonts w:ascii="Palatino Linotype" w:hAnsi="Palatino Linotype"/>
          <w:color w:val="222222"/>
          <w:lang w:eastAsia="es-MX"/>
        </w:rPr>
      </w:pPr>
      <w:r w:rsidRPr="005A3E5E">
        <w:rPr>
          <w:rFonts w:ascii="Palatino Linotype" w:hAnsi="Palatino Linotype"/>
          <w:color w:val="222222"/>
          <w:lang w:eastAsia="es-MX"/>
        </w:rPr>
        <w:t>(Énfasis añadido)</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Lo anterior, es compartido por el Instituto Nacional de Transparencia, Acceso a la Información Pública y Protección de Datos Personales (INAI), a través del Criterio 19/17, de la segunda época, el cual es del tenor literal siguiente:</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lastRenderedPageBreak/>
        <w:t>“</w:t>
      </w:r>
      <w:r w:rsidRPr="005A3E5E">
        <w:rPr>
          <w:rFonts w:ascii="Palatino Linotype" w:hAnsi="Palatino Linotype"/>
          <w:b/>
          <w:bCs/>
          <w:i/>
          <w:iCs/>
          <w:color w:val="222222"/>
          <w:lang w:eastAsia="es-MX"/>
        </w:rPr>
        <w:t>Registro Federal de Contribuyente</w:t>
      </w:r>
      <w:r w:rsidR="00DC04E4" w:rsidRPr="005A3E5E">
        <w:rPr>
          <w:rFonts w:ascii="Palatino Linotype" w:hAnsi="Palatino Linotype"/>
          <w:b/>
          <w:bCs/>
          <w:i/>
          <w:iCs/>
          <w:color w:val="222222"/>
          <w:lang w:eastAsia="es-MX"/>
        </w:rPr>
        <w:t xml:space="preserve">s (RFC) de personas físicas. </w:t>
      </w:r>
      <w:r w:rsidRPr="005A3E5E">
        <w:rPr>
          <w:rFonts w:ascii="Palatino Linotype" w:hAnsi="Palatino Linotype"/>
          <w:i/>
          <w:iCs/>
          <w:color w:val="222222"/>
          <w:lang w:eastAsia="es-MX"/>
        </w:rPr>
        <w:t>El RFC es una clave de carácter fiscal, única e irrepetible, que permite identificar al titular, su edad y fecha de nacimiento, por lo que es un dato personal de carácter confidencial.</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Resoluciones:</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 RRA 0189/17. Morena. 08 de febrero de 2017. Por unanimidad. Comisionado Ponente Joel Salas Suárez.</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 RRA 0677/17. Universidad Nacional Autónoma de México. 08 de marzo de 2017. Por unanimidad. Comisionado Ponente Rosendoevgueni Monterrey Chepov.</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 RRA 1564/17. Tribunal Electoral del Poder Judicial de la Federación. 26 de abril de 2017. Por unanimidad. Comisionado Ponente Oscar Mauricio Guerra Ford.”</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hAnsi="Palatino Linotype"/>
          <w:i/>
          <w:iCs/>
          <w:color w:val="222222"/>
          <w:lang w:eastAsia="es-MX"/>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En cuanto a la Clave Única de Registro de Población (CURP) en virtud de que éste se</w:t>
      </w:r>
      <w:r w:rsidR="00DC04E4" w:rsidRPr="005A3E5E">
        <w:rPr>
          <w:rFonts w:ascii="Palatino Linotype" w:eastAsia="Arial Unicode MS" w:hAnsi="Palatino Linotype" w:cs="Arial"/>
          <w:sz w:val="24"/>
        </w:rPr>
        <w:t xml:space="preserve"> </w:t>
      </w:r>
      <w:r w:rsidRPr="005A3E5E">
        <w:rPr>
          <w:rFonts w:ascii="Palatino Linotype" w:eastAsia="Arial Unicode MS" w:hAnsi="Palatino Linotype" w:cs="Arial"/>
          <w:sz w:val="24"/>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lastRenderedPageBreak/>
        <w:t>Argum</w:t>
      </w:r>
      <w:r w:rsidR="00DC04E4" w:rsidRPr="005A3E5E">
        <w:rPr>
          <w:rFonts w:ascii="Palatino Linotype" w:eastAsia="Arial Unicode MS" w:hAnsi="Palatino Linotype" w:cs="Arial"/>
          <w:sz w:val="24"/>
        </w:rPr>
        <w:t xml:space="preserve">ento que es compartido por el </w:t>
      </w:r>
      <w:r w:rsidRPr="005A3E5E">
        <w:rPr>
          <w:rFonts w:ascii="Palatino Linotype" w:eastAsia="Arial Unicode MS" w:hAnsi="Palatino Linotype" w:cs="Arial"/>
          <w:sz w:val="24"/>
        </w:rPr>
        <w:t>Instituto Nacional de Transparencia, Acceso a la Información Pública y Protección de Datos Personales, conforme al criterio número 18/17 de la segunda época, el cual refiere:</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w:t>
      </w:r>
      <w:r w:rsidRPr="005A3E5E">
        <w:rPr>
          <w:rFonts w:ascii="Palatino Linotype" w:hAnsi="Palatino Linotype"/>
          <w:b/>
          <w:bCs/>
          <w:i/>
          <w:iCs/>
          <w:color w:val="222222"/>
          <w:lang w:eastAsia="es-MX"/>
        </w:rPr>
        <w:t>Clave Única de Registro de Población (CURP).</w:t>
      </w:r>
      <w:r w:rsidR="00DC04E4" w:rsidRPr="005A3E5E">
        <w:rPr>
          <w:rFonts w:ascii="Palatino Linotype" w:hAnsi="Palatino Linotype"/>
          <w:b/>
          <w:bCs/>
          <w:i/>
          <w:iCs/>
          <w:color w:val="222222"/>
          <w:lang w:eastAsia="es-MX"/>
        </w:rPr>
        <w:t xml:space="preserve"> </w:t>
      </w:r>
      <w:r w:rsidRPr="005A3E5E">
        <w:rPr>
          <w:rFonts w:ascii="Palatino Linotype" w:hAnsi="Palatino Linotype"/>
          <w:i/>
          <w:iCs/>
          <w:color w:val="2222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Resoluciones:</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 RRA 3995/16. Secretaría de la Defensa Nacional. 1 de febrero de 2017. Por unanimidad. Comisionado Ponente Rosendoevgueni Monterrey Chepov.</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 RRA 0937/17. Senado de la República. 15 de marzo de 2017. Por unanimidad. Comisionada Ponente Ximena Puente de la Mora.</w:t>
      </w:r>
    </w:p>
    <w:p w:rsidR="00847025" w:rsidRPr="005A3E5E" w:rsidRDefault="00847025" w:rsidP="004860F7">
      <w:pPr>
        <w:shd w:val="clear" w:color="auto" w:fill="FFFFFF"/>
        <w:spacing w:after="0" w:line="240" w:lineRule="auto"/>
        <w:ind w:left="567" w:right="567"/>
        <w:jc w:val="both"/>
        <w:rPr>
          <w:rFonts w:ascii="Palatino Linotype" w:hAnsi="Palatino Linotype"/>
          <w:color w:val="222222"/>
          <w:lang w:eastAsia="es-MX"/>
        </w:rPr>
      </w:pPr>
      <w:r w:rsidRPr="005A3E5E">
        <w:rPr>
          <w:rFonts w:ascii="Palatino Linotype" w:hAnsi="Palatino Linotype"/>
          <w:i/>
          <w:iCs/>
          <w:color w:val="222222"/>
          <w:lang w:eastAsia="es-MX"/>
        </w:rPr>
        <w:t>RRA 0478/17. Secretaría de Relaciones Exteriores. 26 de abril de 2017. Por unanimidad. Comisionada Ponente Areli Cano Guadiana.” (sic)</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b/>
          <w:bCs/>
          <w:i/>
          <w:iCs/>
          <w:color w:val="000000"/>
          <w:lang w:val="es-ES_tradnl" w:eastAsia="es-MX"/>
        </w:rPr>
        <w:t>“FUNDAMENTACIÓN Y MOTIVACIÓN.</w:t>
      </w:r>
      <w:r w:rsidRPr="005A3E5E">
        <w:rPr>
          <w:rFonts w:ascii="Palatino Linotype" w:hAnsi="Palatino Linotype" w:cs="Arial"/>
          <w:i/>
          <w:iCs/>
          <w:color w:val="000000"/>
          <w:lang w:val="es-ES_tradnl"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t>SEGUNDO TRIBUNAL COLEGIADO DEL SEXTO CIRCUITO.</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t>Amparo directo 194/88. Bufete Industrial Construcciones, S.A. de C.V. 28 de junio de 1988. Unanimidad de votos. Ponente: Gustavo Calvillo Rangel. Secretario: Jorge Alberto González Álvarez.</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lastRenderedPageBreak/>
        <w:t>Revisión fiscal 103/88. Instituto Mexicano del Seguro Social. 18 de octubre de 1988. Unanimidad de votos. Ponente: Arnoldo Nájera Virgen. Secretario: Alejandro Esponda Rincón.</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t>Amparo en revisión 333/88. Adilia Romero. 26 de octubre de 1988. Unanimidad de votos. Ponente: Arnoldo Nájera Virgen. Secretario: Enrique Crispín Campos Ramírez.</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t>Amparo en revisión 597/95. Emilio Maurer Bretón. 15 de noviembre de 1995. Unanimidad de votos. Ponente: Clementina Ramírez Moguel Goyzueta. Secretario: Gonzalo Carrera Molina.</w:t>
      </w:r>
    </w:p>
    <w:p w:rsidR="00847025" w:rsidRPr="005A3E5E" w:rsidRDefault="00847025" w:rsidP="004860F7">
      <w:pPr>
        <w:shd w:val="clear" w:color="auto" w:fill="FFFFFF"/>
        <w:spacing w:after="0" w:line="240" w:lineRule="auto"/>
        <w:ind w:left="567" w:right="567"/>
        <w:jc w:val="both"/>
        <w:rPr>
          <w:rFonts w:ascii="Palatino Linotype" w:hAnsi="Palatino Linotype" w:cs="Arial"/>
          <w:color w:val="222222"/>
          <w:lang w:eastAsia="es-MX"/>
        </w:rPr>
      </w:pPr>
      <w:r w:rsidRPr="005A3E5E">
        <w:rPr>
          <w:rFonts w:ascii="Palatino Linotype" w:hAnsi="Palatino Linotype" w:cs="Arial"/>
          <w:i/>
          <w:iCs/>
          <w:color w:val="000000"/>
          <w:lang w:val="es-ES_tradnl" w:eastAsia="es-MX"/>
        </w:rPr>
        <w:t>Amparo directo 7/96. Pedro Vicente López Miro. 21 de febrero de 1996. Unanimidad de votos. Ponente: María Eugenia Estela Martínez Cardiel. Secretario: Enrique Baigts Muñoz.” (sic)</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 </w:t>
      </w:r>
    </w:p>
    <w:p w:rsidR="00847025" w:rsidRPr="005A3E5E" w:rsidRDefault="00847025" w:rsidP="004860F7">
      <w:pPr>
        <w:tabs>
          <w:tab w:val="left" w:pos="7938"/>
        </w:tabs>
        <w:spacing w:after="0" w:line="360" w:lineRule="auto"/>
        <w:jc w:val="both"/>
        <w:rPr>
          <w:rFonts w:ascii="Palatino Linotype" w:eastAsia="Arial Unicode MS" w:hAnsi="Palatino Linotype" w:cs="Arial"/>
          <w:sz w:val="24"/>
        </w:rPr>
      </w:pPr>
      <w:r w:rsidRPr="005A3E5E">
        <w:rPr>
          <w:rFonts w:ascii="Palatino Linotype" w:eastAsia="Arial Unicode MS" w:hAnsi="Palatino Linotype" w:cs="Arial"/>
          <w:sz w:val="24"/>
        </w:rPr>
        <w:t>En este sentido, el numeral trigésimo tercero fracción V de los Lineamientos Generales, precisa que para motivar la clasificación se deben acreditar las circunstancias de tiempo, modo y lugar.</w:t>
      </w:r>
    </w:p>
    <w:p w:rsidR="00536131" w:rsidRPr="005A3E5E" w:rsidRDefault="00536131" w:rsidP="004860F7">
      <w:pPr>
        <w:tabs>
          <w:tab w:val="left" w:pos="7938"/>
        </w:tabs>
        <w:spacing w:after="0" w:line="360" w:lineRule="auto"/>
        <w:jc w:val="both"/>
        <w:rPr>
          <w:rFonts w:ascii="Palatino Linotype" w:eastAsia="Arial Unicode MS" w:hAnsi="Palatino Linotype" w:cs="Arial"/>
          <w:sz w:val="24"/>
        </w:rPr>
      </w:pPr>
    </w:p>
    <w:p w:rsidR="00536131" w:rsidRPr="005A3E5E" w:rsidRDefault="00536131" w:rsidP="004860F7">
      <w:pPr>
        <w:numPr>
          <w:ilvl w:val="0"/>
          <w:numId w:val="8"/>
        </w:numPr>
        <w:tabs>
          <w:tab w:val="left" w:pos="709"/>
        </w:tabs>
        <w:spacing w:after="0" w:line="360" w:lineRule="auto"/>
        <w:jc w:val="both"/>
        <w:rPr>
          <w:rFonts w:ascii="Palatino Linotype" w:eastAsia="Times New Roman" w:hAnsi="Palatino Linotype" w:cs="Times New Roman"/>
          <w:i/>
          <w:sz w:val="28"/>
          <w:szCs w:val="24"/>
          <w:lang w:val="es-ES" w:eastAsia="es-ES"/>
        </w:rPr>
      </w:pPr>
      <w:r w:rsidRPr="005A3E5E">
        <w:rPr>
          <w:rFonts w:ascii="Palatino Linotype" w:eastAsia="Times New Roman" w:hAnsi="Palatino Linotype" w:cs="Times New Roman"/>
          <w:b/>
          <w:i/>
          <w:sz w:val="28"/>
          <w:szCs w:val="24"/>
          <w:lang w:val="es-ES" w:eastAsia="es-ES"/>
        </w:rPr>
        <w:t>Vista al Órgano Interno de Control</w:t>
      </w:r>
    </w:p>
    <w:p w:rsidR="00536131" w:rsidRPr="005A3E5E" w:rsidRDefault="00536131" w:rsidP="004860F7">
      <w:pPr>
        <w:tabs>
          <w:tab w:val="left" w:pos="709"/>
        </w:tabs>
        <w:spacing w:after="0" w:line="360" w:lineRule="auto"/>
        <w:jc w:val="both"/>
        <w:rPr>
          <w:rFonts w:ascii="Palatino Linotype" w:hAnsi="Palatino Linotype"/>
          <w:sz w:val="24"/>
          <w:szCs w:val="24"/>
        </w:rPr>
      </w:pPr>
    </w:p>
    <w:p w:rsidR="00536131" w:rsidRPr="005A3E5E" w:rsidRDefault="00536131" w:rsidP="004860F7">
      <w:pPr>
        <w:tabs>
          <w:tab w:val="left" w:pos="709"/>
        </w:tabs>
        <w:spacing w:after="0" w:line="360" w:lineRule="auto"/>
        <w:jc w:val="both"/>
        <w:rPr>
          <w:rFonts w:ascii="Palatino Linotype" w:hAnsi="Palatino Linotype"/>
          <w:sz w:val="24"/>
          <w:szCs w:val="24"/>
        </w:rPr>
      </w:pPr>
      <w:r w:rsidRPr="005A3E5E">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w:t>
      </w:r>
      <w:r w:rsidRPr="005A3E5E">
        <w:rPr>
          <w:rFonts w:ascii="Palatino Linotype" w:hAnsi="Palatino Linotype"/>
          <w:sz w:val="24"/>
          <w:szCs w:val="24"/>
        </w:rPr>
        <w:lastRenderedPageBreak/>
        <w:t xml:space="preserve">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A3E5E">
        <w:rPr>
          <w:rFonts w:ascii="Palatino Linotype" w:hAnsi="Palatino Linotype"/>
          <w:b/>
          <w:sz w:val="24"/>
          <w:szCs w:val="24"/>
        </w:rPr>
        <w:t>Sujeto Obligado</w:t>
      </w:r>
      <w:r w:rsidRPr="005A3E5E">
        <w:rPr>
          <w:rFonts w:ascii="Palatino Linotype" w:hAnsi="Palatino Linotype"/>
          <w:sz w:val="24"/>
          <w:szCs w:val="24"/>
        </w:rPr>
        <w:t>.</w:t>
      </w:r>
    </w:p>
    <w:p w:rsidR="00536131" w:rsidRPr="005A3E5E" w:rsidRDefault="00536131" w:rsidP="004860F7">
      <w:pPr>
        <w:tabs>
          <w:tab w:val="left" w:pos="709"/>
        </w:tabs>
        <w:spacing w:after="0" w:line="360" w:lineRule="auto"/>
        <w:jc w:val="both"/>
        <w:rPr>
          <w:rFonts w:ascii="Palatino Linotype" w:hAnsi="Palatino Linotype"/>
          <w:sz w:val="24"/>
          <w:szCs w:val="24"/>
        </w:rPr>
      </w:pPr>
    </w:p>
    <w:p w:rsidR="00536131" w:rsidRPr="005A3E5E" w:rsidRDefault="00536131" w:rsidP="004860F7">
      <w:pPr>
        <w:tabs>
          <w:tab w:val="left" w:pos="709"/>
        </w:tabs>
        <w:spacing w:after="0" w:line="360" w:lineRule="auto"/>
        <w:jc w:val="both"/>
        <w:rPr>
          <w:rFonts w:ascii="Palatino Linotype" w:hAnsi="Palatino Linotype"/>
          <w:sz w:val="24"/>
          <w:szCs w:val="24"/>
        </w:rPr>
      </w:pPr>
      <w:r w:rsidRPr="005A3E5E">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536131" w:rsidRPr="005A3E5E" w:rsidRDefault="00536131" w:rsidP="004860F7">
      <w:pPr>
        <w:tabs>
          <w:tab w:val="left" w:pos="709"/>
        </w:tabs>
        <w:spacing w:after="0" w:line="360" w:lineRule="auto"/>
        <w:jc w:val="both"/>
        <w:rPr>
          <w:rFonts w:ascii="Palatino Linotype" w:hAnsi="Palatino Linotype"/>
          <w:sz w:val="24"/>
          <w:szCs w:val="24"/>
        </w:rPr>
      </w:pPr>
    </w:p>
    <w:p w:rsidR="00536131" w:rsidRPr="005A3E5E" w:rsidRDefault="00536131" w:rsidP="004860F7">
      <w:pPr>
        <w:tabs>
          <w:tab w:val="left" w:pos="709"/>
        </w:tabs>
        <w:spacing w:after="0" w:line="276" w:lineRule="auto"/>
        <w:ind w:left="567" w:right="567"/>
        <w:jc w:val="both"/>
        <w:rPr>
          <w:rFonts w:ascii="Palatino Linotype" w:hAnsi="Palatino Linotype"/>
          <w:i/>
          <w:szCs w:val="24"/>
        </w:rPr>
      </w:pPr>
      <w:r w:rsidRPr="005A3E5E">
        <w:rPr>
          <w:rFonts w:ascii="Palatino Linotype" w:hAnsi="Palatino Linotype"/>
          <w:i/>
          <w:szCs w:val="24"/>
        </w:rPr>
        <w:t>“</w:t>
      </w:r>
      <w:r w:rsidRPr="005A3E5E">
        <w:rPr>
          <w:rFonts w:ascii="Palatino Linotype" w:hAnsi="Palatino Linotype"/>
          <w:b/>
          <w:i/>
          <w:szCs w:val="24"/>
        </w:rPr>
        <w:t>Artículo 36</w:t>
      </w:r>
      <w:r w:rsidRPr="005A3E5E">
        <w:rPr>
          <w:rFonts w:ascii="Palatino Linotype" w:hAnsi="Palatino Linotype"/>
          <w:i/>
          <w:szCs w:val="24"/>
        </w:rPr>
        <w:t>. El Instituto tendrá, en el ámbito de su competencia, las siguientes atribuciones:</w:t>
      </w:r>
    </w:p>
    <w:p w:rsidR="00536131" w:rsidRPr="005A3E5E" w:rsidRDefault="00536131" w:rsidP="004860F7">
      <w:pPr>
        <w:tabs>
          <w:tab w:val="left" w:pos="709"/>
        </w:tabs>
        <w:spacing w:after="0" w:line="276" w:lineRule="auto"/>
        <w:ind w:left="567" w:right="567"/>
        <w:jc w:val="both"/>
        <w:rPr>
          <w:rFonts w:ascii="Palatino Linotype" w:hAnsi="Palatino Linotype"/>
          <w:i/>
          <w:szCs w:val="24"/>
        </w:rPr>
      </w:pPr>
      <w:r w:rsidRPr="005A3E5E">
        <w:rPr>
          <w:rFonts w:ascii="Palatino Linotype" w:hAnsi="Palatino Linotype"/>
          <w:i/>
          <w:szCs w:val="24"/>
        </w:rPr>
        <w:t>…</w:t>
      </w:r>
    </w:p>
    <w:p w:rsidR="00536131" w:rsidRPr="005A3E5E" w:rsidRDefault="00536131" w:rsidP="004860F7">
      <w:pPr>
        <w:tabs>
          <w:tab w:val="left" w:pos="709"/>
        </w:tabs>
        <w:spacing w:after="0" w:line="276" w:lineRule="auto"/>
        <w:ind w:left="567" w:right="567"/>
        <w:jc w:val="both"/>
        <w:rPr>
          <w:rFonts w:ascii="Palatino Linotype" w:hAnsi="Palatino Linotype"/>
          <w:i/>
          <w:szCs w:val="24"/>
        </w:rPr>
      </w:pPr>
      <w:r w:rsidRPr="005A3E5E">
        <w:rPr>
          <w:rFonts w:ascii="Palatino Linotype" w:hAnsi="Palatino Linotype"/>
          <w:b/>
          <w:i/>
          <w:szCs w:val="24"/>
        </w:rPr>
        <w:t>X</w:t>
      </w:r>
      <w:r w:rsidRPr="005A3E5E">
        <w:rPr>
          <w:rFonts w:ascii="Palatino Linotype" w:hAnsi="Palatino Linotype"/>
          <w:i/>
          <w:szCs w:val="24"/>
        </w:rPr>
        <w:t xml:space="preserve">. Hacer del conocimiento del órgano de control interno o equivalente de cada Sujeto Obligado las infracciones a esta Ley; </w:t>
      </w:r>
    </w:p>
    <w:p w:rsidR="00536131" w:rsidRPr="005A3E5E" w:rsidRDefault="00536131" w:rsidP="004860F7">
      <w:pPr>
        <w:tabs>
          <w:tab w:val="left" w:pos="709"/>
        </w:tabs>
        <w:spacing w:after="0" w:line="276" w:lineRule="auto"/>
        <w:ind w:left="567" w:right="567"/>
        <w:jc w:val="both"/>
        <w:rPr>
          <w:rFonts w:ascii="Palatino Linotype" w:hAnsi="Palatino Linotype"/>
          <w:i/>
          <w:szCs w:val="24"/>
        </w:rPr>
      </w:pPr>
      <w:r w:rsidRPr="005A3E5E">
        <w:rPr>
          <w:rFonts w:ascii="Palatino Linotype" w:hAnsi="Palatino Linotype"/>
          <w:i/>
          <w:szCs w:val="24"/>
        </w:rPr>
        <w:t>…”</w:t>
      </w:r>
    </w:p>
    <w:p w:rsidR="00536131" w:rsidRPr="005A3E5E" w:rsidRDefault="00536131" w:rsidP="004860F7">
      <w:pPr>
        <w:tabs>
          <w:tab w:val="left" w:pos="709"/>
        </w:tabs>
        <w:spacing w:after="0" w:line="360" w:lineRule="auto"/>
        <w:jc w:val="both"/>
        <w:rPr>
          <w:rFonts w:ascii="Palatino Linotype" w:hAnsi="Palatino Linotype"/>
          <w:sz w:val="24"/>
          <w:szCs w:val="24"/>
        </w:rPr>
      </w:pPr>
    </w:p>
    <w:p w:rsidR="00536131" w:rsidRPr="005A3E5E" w:rsidRDefault="00536131" w:rsidP="004860F7">
      <w:pPr>
        <w:tabs>
          <w:tab w:val="left" w:pos="709"/>
        </w:tabs>
        <w:spacing w:after="0" w:line="360" w:lineRule="auto"/>
        <w:jc w:val="both"/>
        <w:rPr>
          <w:rFonts w:ascii="Palatino Linotype" w:hAnsi="Palatino Linotype"/>
          <w:sz w:val="24"/>
          <w:szCs w:val="24"/>
        </w:rPr>
      </w:pPr>
      <w:r w:rsidRPr="005A3E5E">
        <w:rPr>
          <w:rFonts w:ascii="Palatino Linotype" w:hAnsi="Palatino Linotype"/>
          <w:sz w:val="24"/>
          <w:szCs w:val="24"/>
        </w:rPr>
        <w:t>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536131" w:rsidRPr="005A3E5E" w:rsidRDefault="00536131" w:rsidP="004860F7">
      <w:pPr>
        <w:tabs>
          <w:tab w:val="left" w:pos="709"/>
        </w:tabs>
        <w:spacing w:after="0" w:line="360" w:lineRule="auto"/>
        <w:jc w:val="both"/>
        <w:rPr>
          <w:rFonts w:ascii="Palatino Linotype" w:hAnsi="Palatino Linotype"/>
          <w:sz w:val="24"/>
          <w:szCs w:val="24"/>
        </w:rPr>
      </w:pP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i/>
          <w:szCs w:val="24"/>
        </w:rPr>
        <w:t>“</w:t>
      </w:r>
      <w:r w:rsidRPr="005A3E5E">
        <w:rPr>
          <w:rFonts w:ascii="Palatino Linotype" w:hAnsi="Palatino Linotype"/>
          <w:b/>
          <w:i/>
          <w:szCs w:val="24"/>
        </w:rPr>
        <w:t>Artículo 190</w:t>
      </w:r>
      <w:r w:rsidRPr="005A3E5E">
        <w:rPr>
          <w:rFonts w:ascii="Palatino Linotype" w:hAnsi="Palatino Linotype"/>
          <w:i/>
          <w:szCs w:val="24"/>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5A3E5E">
        <w:rPr>
          <w:rFonts w:ascii="Palatino Linotype" w:hAnsi="Palatino Linotype"/>
          <w:i/>
          <w:szCs w:val="24"/>
        </w:rPr>
        <w:lastRenderedPageBreak/>
        <w:t>competente para que éste inicie, en su caso, el procedimiento de responsabilidad respectivo, cuyo resultado deberá de ser informado al Instituto.</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b/>
          <w:i/>
          <w:szCs w:val="24"/>
        </w:rPr>
        <w:t>Artículo 222</w:t>
      </w:r>
      <w:r w:rsidRPr="005A3E5E">
        <w:rPr>
          <w:rFonts w:ascii="Palatino Linotype" w:hAnsi="Palatino Linotype"/>
          <w:i/>
          <w:szCs w:val="24"/>
        </w:rPr>
        <w:t>. Son causas de responsabilidad administrativa de los servidores públicos de los sujetos obligados, por incumplimiento de las obligaciones establecidas en la materia de la presente Ley, las siguientes:</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i/>
          <w:szCs w:val="24"/>
        </w:rPr>
        <w:t>…</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i/>
          <w:szCs w:val="24"/>
        </w:rPr>
        <w:t>I. Cualquier acto u omisión que provoque la suspensión o deficiencia en la atención de las solicitudes de información;</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i/>
          <w:szCs w:val="24"/>
        </w:rPr>
        <w:t>II. La falta de respuesta a las solicitudes de información en los plazos señalados en la normatividad aplicable;</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i/>
          <w:szCs w:val="24"/>
        </w:rPr>
        <w:t>…</w:t>
      </w:r>
    </w:p>
    <w:p w:rsidR="00536131" w:rsidRPr="005A3E5E" w:rsidRDefault="00536131" w:rsidP="004860F7">
      <w:pPr>
        <w:tabs>
          <w:tab w:val="left" w:pos="709"/>
        </w:tabs>
        <w:spacing w:after="0" w:line="240" w:lineRule="auto"/>
        <w:ind w:left="567" w:right="567"/>
        <w:jc w:val="both"/>
        <w:rPr>
          <w:rFonts w:ascii="Palatino Linotype" w:hAnsi="Palatino Linotype"/>
          <w:i/>
          <w:szCs w:val="24"/>
        </w:rPr>
      </w:pPr>
      <w:r w:rsidRPr="005A3E5E">
        <w:rPr>
          <w:rFonts w:ascii="Palatino Linotype" w:hAnsi="Palatino Linotype"/>
          <w:b/>
          <w:i/>
          <w:szCs w:val="24"/>
        </w:rPr>
        <w:t>Artículo 223</w:t>
      </w:r>
      <w:r w:rsidRPr="005A3E5E">
        <w:rPr>
          <w:rFonts w:ascii="Palatino Linotype" w:hAnsi="Palatino Linotype"/>
          <w:i/>
          <w:szCs w:val="24"/>
        </w:rPr>
        <w:t>.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536131" w:rsidRPr="005A3E5E" w:rsidRDefault="00536131" w:rsidP="004860F7">
      <w:pPr>
        <w:tabs>
          <w:tab w:val="left" w:pos="7938"/>
        </w:tabs>
        <w:spacing w:after="0" w:line="360" w:lineRule="auto"/>
        <w:jc w:val="both"/>
        <w:rPr>
          <w:rFonts w:ascii="Palatino Linotype" w:eastAsia="Arial Unicode MS" w:hAnsi="Palatino Linotype" w:cs="Arial"/>
          <w:sz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5A3E5E">
        <w:rPr>
          <w:rFonts w:ascii="Palatino Linotype" w:hAnsi="Palatino Linotype" w:cs="Arial"/>
          <w:b/>
          <w:sz w:val="24"/>
          <w:szCs w:val="24"/>
        </w:rPr>
        <w:t>ORDENA</w:t>
      </w:r>
      <w:r w:rsidRPr="005A3E5E">
        <w:rPr>
          <w:rFonts w:ascii="Palatino Linotype" w:hAnsi="Palatino Linotype" w:cs="Arial"/>
          <w:sz w:val="24"/>
          <w:szCs w:val="24"/>
        </w:rPr>
        <w:t xml:space="preserve"> al </w:t>
      </w:r>
      <w:r w:rsidRPr="005A3E5E">
        <w:rPr>
          <w:rFonts w:ascii="Palatino Linotype" w:hAnsi="Palatino Linotype" w:cs="Arial"/>
          <w:b/>
          <w:sz w:val="24"/>
          <w:szCs w:val="24"/>
        </w:rPr>
        <w:t>Sujeto Obligado</w:t>
      </w:r>
      <w:r w:rsidRPr="005A3E5E">
        <w:rPr>
          <w:rFonts w:ascii="Palatino Linotype" w:hAnsi="Palatino Linotype" w:cs="Arial"/>
          <w:sz w:val="24"/>
          <w:szCs w:val="24"/>
        </w:rPr>
        <w:t xml:space="preserve">, atienda la solicitud de información </w:t>
      </w:r>
      <w:r w:rsidR="00DC04E4" w:rsidRPr="005A3E5E">
        <w:rPr>
          <w:rFonts w:ascii="Palatino Linotype" w:hAnsi="Palatino Linotype" w:cs="Arial"/>
          <w:b/>
          <w:sz w:val="24"/>
          <w:szCs w:val="24"/>
        </w:rPr>
        <w:t>01264/ZINACANT/IP/2022</w:t>
      </w:r>
      <w:r w:rsidRPr="005A3E5E">
        <w:rPr>
          <w:rFonts w:ascii="Palatino Linotype" w:hAnsi="Palatino Linotype" w:cs="Arial"/>
          <w:sz w:val="24"/>
          <w:szCs w:val="24"/>
        </w:rPr>
        <w:t>, la cual ha sido materia del presente fallo.</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r w:rsidRPr="005A3E5E">
        <w:rPr>
          <w:rFonts w:ascii="Palatino Linotype" w:hAnsi="Palatino Linotype" w:cs="Arial"/>
          <w:sz w:val="24"/>
          <w:szCs w:val="24"/>
        </w:rPr>
        <w:t>Por lo antes expuesto y fundado es de resolverse y,</w:t>
      </w:r>
    </w:p>
    <w:p w:rsidR="00847025" w:rsidRPr="005A3E5E" w:rsidRDefault="00847025" w:rsidP="004860F7">
      <w:pPr>
        <w:autoSpaceDE w:val="0"/>
        <w:autoSpaceDN w:val="0"/>
        <w:adjustRightInd w:val="0"/>
        <w:spacing w:after="0" w:line="360" w:lineRule="auto"/>
        <w:jc w:val="both"/>
        <w:rPr>
          <w:rFonts w:ascii="Palatino Linotype" w:hAnsi="Palatino Linotype" w:cs="Arial"/>
          <w:sz w:val="24"/>
          <w:szCs w:val="24"/>
        </w:rPr>
      </w:pPr>
    </w:p>
    <w:p w:rsidR="00847025" w:rsidRPr="005A3E5E" w:rsidRDefault="00847025" w:rsidP="004860F7">
      <w:pPr>
        <w:spacing w:after="0" w:line="360" w:lineRule="auto"/>
        <w:ind w:left="426"/>
        <w:jc w:val="center"/>
        <w:rPr>
          <w:rFonts w:ascii="Palatino Linotype" w:eastAsia="Times New Roman" w:hAnsi="Palatino Linotype" w:cs="Times New Roman"/>
          <w:color w:val="000000"/>
          <w:sz w:val="24"/>
          <w:szCs w:val="24"/>
          <w:lang w:val="es-ES" w:eastAsia="es-ES"/>
        </w:rPr>
      </w:pPr>
      <w:r w:rsidRPr="005A3E5E">
        <w:rPr>
          <w:rFonts w:ascii="Palatino Linotype" w:eastAsia="Times New Roman" w:hAnsi="Palatino Linotype" w:cs="Times New Roman"/>
          <w:b/>
          <w:color w:val="000000"/>
          <w:sz w:val="28"/>
          <w:szCs w:val="24"/>
          <w:lang w:val="es-ES" w:eastAsia="es-ES"/>
        </w:rPr>
        <w:t>SE    RESUELVE</w:t>
      </w:r>
    </w:p>
    <w:p w:rsidR="00847025" w:rsidRPr="005A3E5E" w:rsidRDefault="00847025" w:rsidP="004860F7">
      <w:pPr>
        <w:spacing w:after="0" w:line="360" w:lineRule="auto"/>
        <w:ind w:left="426"/>
        <w:jc w:val="center"/>
        <w:rPr>
          <w:rFonts w:ascii="Palatino Linotype" w:eastAsia="Times New Roman" w:hAnsi="Palatino Linotype" w:cs="Times New Roman"/>
          <w:color w:val="000000"/>
          <w:sz w:val="24"/>
          <w:szCs w:val="24"/>
          <w:lang w:val="es-ES" w:eastAsia="es-ES"/>
        </w:rPr>
      </w:pPr>
    </w:p>
    <w:p w:rsidR="00847025" w:rsidRPr="005A3E5E" w:rsidRDefault="00847025" w:rsidP="004860F7">
      <w:pPr>
        <w:tabs>
          <w:tab w:val="left" w:pos="8647"/>
        </w:tabs>
        <w:spacing w:after="0" w:line="360" w:lineRule="auto"/>
        <w:ind w:right="51"/>
        <w:jc w:val="both"/>
        <w:rPr>
          <w:rFonts w:ascii="Palatino Linotype" w:hAnsi="Palatino Linotype" w:cs="Arial"/>
          <w:sz w:val="24"/>
          <w:szCs w:val="24"/>
        </w:rPr>
      </w:pPr>
      <w:r w:rsidRPr="005A3E5E">
        <w:rPr>
          <w:rFonts w:ascii="Palatino Linotype" w:hAnsi="Palatino Linotype" w:cs="Arial"/>
          <w:b/>
          <w:sz w:val="28"/>
          <w:szCs w:val="24"/>
        </w:rPr>
        <w:t>PRIMERO.</w:t>
      </w:r>
      <w:r w:rsidRPr="005A3E5E">
        <w:rPr>
          <w:rFonts w:ascii="Palatino Linotype" w:hAnsi="Palatino Linotype" w:cs="Arial"/>
          <w:sz w:val="24"/>
          <w:szCs w:val="24"/>
        </w:rPr>
        <w:t xml:space="preserve"> Resultan fundadas las razones o motivos de inconformidad hechos valer por el </w:t>
      </w:r>
      <w:r w:rsidRPr="005A3E5E">
        <w:rPr>
          <w:rFonts w:ascii="Palatino Linotype" w:hAnsi="Palatino Linotype" w:cs="Arial"/>
          <w:b/>
          <w:sz w:val="24"/>
          <w:szCs w:val="24"/>
        </w:rPr>
        <w:t>Recurrente,</w:t>
      </w:r>
      <w:r w:rsidRPr="005A3E5E">
        <w:rPr>
          <w:rFonts w:ascii="Palatino Linotype" w:hAnsi="Palatino Linotype" w:cs="Arial"/>
          <w:sz w:val="24"/>
          <w:szCs w:val="24"/>
        </w:rPr>
        <w:t xml:space="preserve"> en términos del considerando </w:t>
      </w:r>
      <w:r w:rsidRPr="005A3E5E">
        <w:rPr>
          <w:rFonts w:ascii="Palatino Linotype" w:hAnsi="Palatino Linotype" w:cs="Arial"/>
          <w:b/>
          <w:sz w:val="24"/>
          <w:szCs w:val="24"/>
        </w:rPr>
        <w:t>CUARTO</w:t>
      </w:r>
      <w:r w:rsidRPr="005A3E5E">
        <w:rPr>
          <w:rFonts w:ascii="Palatino Linotype" w:hAnsi="Palatino Linotype" w:cs="Arial"/>
          <w:sz w:val="24"/>
          <w:szCs w:val="24"/>
        </w:rPr>
        <w:t>, de la presente resolución.</w:t>
      </w:r>
    </w:p>
    <w:p w:rsidR="00847025" w:rsidRPr="005A3E5E" w:rsidRDefault="00847025" w:rsidP="004860F7">
      <w:pPr>
        <w:tabs>
          <w:tab w:val="left" w:pos="8647"/>
        </w:tabs>
        <w:spacing w:after="0" w:line="360" w:lineRule="auto"/>
        <w:ind w:right="51"/>
        <w:jc w:val="both"/>
        <w:rPr>
          <w:rFonts w:ascii="Palatino Linotype" w:hAnsi="Palatino Linotype" w:cs="Arial"/>
          <w:sz w:val="24"/>
          <w:szCs w:val="24"/>
        </w:rPr>
      </w:pPr>
    </w:p>
    <w:p w:rsidR="00847025" w:rsidRPr="005A3E5E" w:rsidRDefault="00847025" w:rsidP="004860F7">
      <w:pPr>
        <w:spacing w:after="0" w:line="360" w:lineRule="auto"/>
        <w:jc w:val="both"/>
        <w:rPr>
          <w:rFonts w:ascii="Palatino Linotype" w:eastAsia="Times New Roman" w:hAnsi="Palatino Linotype" w:cs="Tahoma"/>
          <w:sz w:val="24"/>
          <w:szCs w:val="24"/>
          <w:lang w:eastAsia="es-ES"/>
        </w:rPr>
      </w:pPr>
      <w:r w:rsidRPr="005A3E5E">
        <w:rPr>
          <w:rFonts w:ascii="Palatino Linotype" w:hAnsi="Palatino Linotype" w:cs="Arial"/>
          <w:b/>
          <w:sz w:val="28"/>
          <w:szCs w:val="24"/>
        </w:rPr>
        <w:lastRenderedPageBreak/>
        <w:t>SEGUNDO.</w:t>
      </w:r>
      <w:r w:rsidRPr="005A3E5E">
        <w:rPr>
          <w:rFonts w:ascii="Palatino Linotype" w:hAnsi="Palatino Linotype" w:cs="Arial"/>
          <w:sz w:val="24"/>
          <w:szCs w:val="24"/>
        </w:rPr>
        <w:t xml:space="preserve"> Se </w:t>
      </w:r>
      <w:r w:rsidRPr="005A3E5E">
        <w:rPr>
          <w:rFonts w:ascii="Palatino Linotype" w:hAnsi="Palatino Linotype" w:cs="Arial"/>
          <w:b/>
          <w:sz w:val="24"/>
          <w:szCs w:val="24"/>
        </w:rPr>
        <w:t>ORDENA</w:t>
      </w:r>
      <w:r w:rsidRPr="005A3E5E">
        <w:rPr>
          <w:rFonts w:ascii="Palatino Linotype" w:hAnsi="Palatino Linotype" w:cs="Arial"/>
          <w:sz w:val="24"/>
          <w:szCs w:val="24"/>
        </w:rPr>
        <w:t xml:space="preserve"> al </w:t>
      </w:r>
      <w:r w:rsidRPr="005A3E5E">
        <w:rPr>
          <w:rFonts w:ascii="Palatino Linotype" w:hAnsi="Palatino Linotype" w:cs="Arial"/>
          <w:b/>
          <w:sz w:val="24"/>
          <w:szCs w:val="24"/>
        </w:rPr>
        <w:t>Sujeto Obligado</w:t>
      </w:r>
      <w:r w:rsidRPr="005A3E5E">
        <w:rPr>
          <w:rFonts w:ascii="Palatino Linotype" w:hAnsi="Palatino Linotype" w:cs="Arial"/>
          <w:sz w:val="24"/>
          <w:szCs w:val="24"/>
        </w:rPr>
        <w:t xml:space="preserve"> </w:t>
      </w:r>
      <w:r w:rsidRPr="005A3E5E">
        <w:rPr>
          <w:rFonts w:ascii="Palatino Linotype" w:eastAsia="Times New Roman" w:hAnsi="Palatino Linotype" w:cs="Arial"/>
          <w:sz w:val="24"/>
          <w:szCs w:val="24"/>
          <w:lang w:val="es-ES" w:eastAsia="es-ES"/>
        </w:rPr>
        <w:t xml:space="preserve">en términos del considerando </w:t>
      </w:r>
      <w:r w:rsidRPr="005A3E5E">
        <w:rPr>
          <w:rFonts w:ascii="Palatino Linotype" w:eastAsia="Times New Roman" w:hAnsi="Palatino Linotype" w:cs="Arial"/>
          <w:b/>
          <w:sz w:val="24"/>
          <w:szCs w:val="24"/>
          <w:lang w:val="es-ES" w:eastAsia="es-ES"/>
        </w:rPr>
        <w:t xml:space="preserve">CUARTO </w:t>
      </w:r>
      <w:r w:rsidRPr="005A3E5E">
        <w:rPr>
          <w:rFonts w:ascii="Palatino Linotype" w:eastAsia="Times New Roman" w:hAnsi="Palatino Linotype" w:cs="Arial"/>
          <w:sz w:val="24"/>
          <w:szCs w:val="24"/>
          <w:lang w:val="es-ES" w:eastAsia="es-ES"/>
        </w:rPr>
        <w:t xml:space="preserve">de esta resolución, atienda la solicitud de información </w:t>
      </w:r>
      <w:r w:rsidR="00DC04E4" w:rsidRPr="005A3E5E">
        <w:rPr>
          <w:rFonts w:ascii="Palatino Linotype" w:hAnsi="Palatino Linotype" w:cs="Arial"/>
          <w:b/>
          <w:sz w:val="24"/>
          <w:szCs w:val="24"/>
        </w:rPr>
        <w:t>01264/ZINACANT/IP/2022</w:t>
      </w:r>
      <w:r w:rsidRPr="005A3E5E">
        <w:rPr>
          <w:rFonts w:ascii="Palatino Linotype" w:eastAsia="Times New Roman" w:hAnsi="Palatino Linotype" w:cs="Arial"/>
          <w:b/>
          <w:sz w:val="24"/>
          <w:szCs w:val="24"/>
          <w:lang w:val="es-ES" w:eastAsia="es-ES"/>
        </w:rPr>
        <w:t>,</w:t>
      </w:r>
      <w:r w:rsidRPr="005A3E5E">
        <w:rPr>
          <w:rFonts w:ascii="Palatino Linotype" w:eastAsia="Times New Roman" w:hAnsi="Palatino Linotype" w:cs="Arial"/>
          <w:sz w:val="24"/>
          <w:szCs w:val="24"/>
          <w:lang w:val="es-ES" w:eastAsia="es-ES"/>
        </w:rPr>
        <w:t xml:space="preserve"> </w:t>
      </w:r>
      <w:r w:rsidRPr="005A3E5E">
        <w:rPr>
          <w:rFonts w:ascii="Palatino Linotype" w:eastAsia="Times New Roman" w:hAnsi="Palatino Linotype" w:cs="Tahoma"/>
          <w:sz w:val="24"/>
          <w:szCs w:val="24"/>
          <w:lang w:eastAsia="es-ES"/>
        </w:rPr>
        <w:t>a través del Sistema de Acceso a la Información Mexiquense (</w:t>
      </w:r>
      <w:r w:rsidRPr="005A3E5E">
        <w:rPr>
          <w:rFonts w:ascii="Palatino Linotype" w:eastAsia="Times New Roman" w:hAnsi="Palatino Linotype" w:cs="Tahoma"/>
          <w:b/>
          <w:sz w:val="24"/>
          <w:szCs w:val="24"/>
          <w:lang w:eastAsia="es-ES"/>
        </w:rPr>
        <w:t>SAIMEX</w:t>
      </w:r>
      <w:r w:rsidRPr="005A3E5E">
        <w:rPr>
          <w:rFonts w:ascii="Palatino Linotype" w:eastAsia="Times New Roman" w:hAnsi="Palatino Linotype" w:cs="Tahoma"/>
          <w:sz w:val="24"/>
          <w:szCs w:val="24"/>
          <w:lang w:eastAsia="es-ES"/>
        </w:rPr>
        <w:t>), y haga entrega de se</w:t>
      </w:r>
      <w:r w:rsidR="00DC04E4" w:rsidRPr="005A3E5E">
        <w:rPr>
          <w:rFonts w:ascii="Palatino Linotype" w:eastAsia="Times New Roman" w:hAnsi="Palatino Linotype" w:cs="Tahoma"/>
          <w:sz w:val="24"/>
          <w:szCs w:val="24"/>
          <w:lang w:eastAsia="es-ES"/>
        </w:rPr>
        <w:t xml:space="preserve">r procedente en versión pública, </w:t>
      </w:r>
      <w:r w:rsidRPr="005A3E5E">
        <w:rPr>
          <w:rFonts w:ascii="Palatino Linotype" w:eastAsia="Times New Roman" w:hAnsi="Palatino Linotype" w:cs="Tahoma"/>
          <w:sz w:val="24"/>
          <w:szCs w:val="24"/>
          <w:lang w:eastAsia="es-ES"/>
        </w:rPr>
        <w:t xml:space="preserve">de lo siguiente: </w:t>
      </w:r>
    </w:p>
    <w:p w:rsidR="00847025" w:rsidRPr="005A3E5E" w:rsidRDefault="00847025" w:rsidP="004860F7">
      <w:pPr>
        <w:spacing w:after="0" w:line="360" w:lineRule="auto"/>
        <w:jc w:val="both"/>
        <w:rPr>
          <w:rFonts w:ascii="Palatino Linotype" w:eastAsia="Times New Roman" w:hAnsi="Palatino Linotype" w:cs="Tahoma"/>
          <w:sz w:val="24"/>
          <w:szCs w:val="24"/>
          <w:lang w:eastAsia="es-ES"/>
        </w:rPr>
      </w:pPr>
    </w:p>
    <w:p w:rsidR="00DC04E4" w:rsidRPr="005A3E5E" w:rsidRDefault="00DC04E4" w:rsidP="004860F7">
      <w:pPr>
        <w:pStyle w:val="Prrafodelista"/>
        <w:numPr>
          <w:ilvl w:val="0"/>
          <w:numId w:val="7"/>
        </w:numPr>
        <w:spacing w:line="360" w:lineRule="auto"/>
        <w:jc w:val="both"/>
        <w:rPr>
          <w:rFonts w:ascii="Palatino Linotype" w:hAnsi="Palatino Linotype"/>
        </w:rPr>
      </w:pPr>
      <w:r w:rsidRPr="005A3E5E">
        <w:rPr>
          <w:rFonts w:ascii="Palatino Linotype" w:hAnsi="Palatino Linotype"/>
        </w:rPr>
        <w:t xml:space="preserve">Las tarjetas de resguardo de bienes muebles de la Secretaría del Ayuntamiento, </w:t>
      </w:r>
      <w:r w:rsidR="00361B30" w:rsidRPr="005A3E5E">
        <w:rPr>
          <w:rFonts w:ascii="Palatino Linotype" w:hAnsi="Palatino Linotype"/>
        </w:rPr>
        <w:t xml:space="preserve">Dirección de </w:t>
      </w:r>
      <w:r w:rsidRPr="005A3E5E">
        <w:rPr>
          <w:rFonts w:ascii="Palatino Linotype" w:hAnsi="Palatino Linotype"/>
        </w:rPr>
        <w:t xml:space="preserve">Administración, </w:t>
      </w:r>
      <w:r w:rsidR="00361B30" w:rsidRPr="005A3E5E">
        <w:rPr>
          <w:rFonts w:ascii="Palatino Linotype" w:hAnsi="Palatino Linotype"/>
        </w:rPr>
        <w:t xml:space="preserve">Unidad de </w:t>
      </w:r>
      <w:r w:rsidRPr="005A3E5E">
        <w:rPr>
          <w:rFonts w:ascii="Palatino Linotype" w:hAnsi="Palatino Linotype"/>
        </w:rPr>
        <w:t>Transparencia y de la Unidad de Información, Planeación, Programación y Evaluación</w:t>
      </w:r>
      <w:r w:rsidR="00361B30" w:rsidRPr="005A3E5E">
        <w:rPr>
          <w:rFonts w:ascii="Palatino Linotype" w:hAnsi="Palatino Linotype"/>
        </w:rPr>
        <w:t>,</w:t>
      </w:r>
      <w:r w:rsidRPr="005A3E5E">
        <w:rPr>
          <w:rFonts w:ascii="Palatino Linotype" w:hAnsi="Palatino Linotype"/>
        </w:rPr>
        <w:t xml:space="preserve"> del</w:t>
      </w:r>
      <w:r w:rsidR="001937E4" w:rsidRPr="005A3E5E">
        <w:rPr>
          <w:rFonts w:ascii="Palatino Linotype" w:hAnsi="Palatino Linotype"/>
        </w:rPr>
        <w:t xml:space="preserve"> periodo del uno de enero al dieciocho de noviembre de dos mil veintidós</w:t>
      </w:r>
      <w:r w:rsidR="00361B30" w:rsidRPr="005A3E5E">
        <w:rPr>
          <w:rFonts w:ascii="Palatino Linotype" w:hAnsi="Palatino Linotype"/>
        </w:rPr>
        <w:t>.</w:t>
      </w:r>
    </w:p>
    <w:p w:rsidR="00847025" w:rsidRPr="005A3E5E" w:rsidRDefault="00847025" w:rsidP="004860F7">
      <w:pPr>
        <w:spacing w:after="0" w:line="360" w:lineRule="auto"/>
        <w:jc w:val="both"/>
        <w:rPr>
          <w:rFonts w:ascii="Palatino Linotype" w:eastAsia="Times New Roman" w:hAnsi="Palatino Linotype" w:cs="Tahoma"/>
          <w:sz w:val="24"/>
          <w:szCs w:val="24"/>
          <w:lang w:val="es-ES" w:eastAsia="es-ES"/>
        </w:rPr>
      </w:pPr>
    </w:p>
    <w:p w:rsidR="00847025" w:rsidRPr="005A3E5E" w:rsidRDefault="00361B30" w:rsidP="004860F7">
      <w:pPr>
        <w:tabs>
          <w:tab w:val="left" w:pos="8647"/>
        </w:tabs>
        <w:spacing w:after="0" w:line="360" w:lineRule="auto"/>
        <w:ind w:right="51"/>
        <w:jc w:val="both"/>
        <w:rPr>
          <w:rFonts w:ascii="Palatino Linotype" w:eastAsia="Times New Roman" w:hAnsi="Palatino Linotype" w:cs="Tahoma"/>
          <w:sz w:val="24"/>
          <w:szCs w:val="24"/>
          <w:lang w:eastAsia="es-ES"/>
        </w:rPr>
      </w:pPr>
      <w:r w:rsidRPr="005A3E5E">
        <w:rPr>
          <w:rFonts w:ascii="Palatino Linotype" w:eastAsia="Times New Roman" w:hAnsi="Palatino Linotype" w:cs="Tahoma"/>
          <w:sz w:val="24"/>
          <w:szCs w:val="24"/>
          <w:lang w:eastAsia="es-ES"/>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361B30" w:rsidRPr="005A3E5E" w:rsidRDefault="00361B30" w:rsidP="004860F7">
      <w:pPr>
        <w:tabs>
          <w:tab w:val="left" w:pos="8647"/>
        </w:tabs>
        <w:spacing w:after="0" w:line="360" w:lineRule="auto"/>
        <w:ind w:right="51"/>
        <w:jc w:val="both"/>
        <w:rPr>
          <w:rFonts w:ascii="Palatino Linotype" w:hAnsi="Palatino Linotype" w:cs="Arial"/>
          <w:sz w:val="24"/>
          <w:szCs w:val="24"/>
        </w:rPr>
      </w:pPr>
    </w:p>
    <w:p w:rsidR="00847025" w:rsidRPr="005A3E5E" w:rsidRDefault="00847025" w:rsidP="004860F7">
      <w:pPr>
        <w:tabs>
          <w:tab w:val="left" w:pos="8647"/>
        </w:tabs>
        <w:spacing w:after="0" w:line="360" w:lineRule="auto"/>
        <w:ind w:right="51"/>
        <w:jc w:val="both"/>
        <w:rPr>
          <w:rFonts w:ascii="Palatino Linotype" w:hAnsi="Palatino Linotype" w:cs="Arial"/>
          <w:sz w:val="24"/>
          <w:szCs w:val="24"/>
        </w:rPr>
      </w:pPr>
      <w:r w:rsidRPr="005A3E5E">
        <w:rPr>
          <w:rFonts w:ascii="Palatino Linotype" w:hAnsi="Palatino Linotype" w:cs="Arial"/>
          <w:b/>
          <w:sz w:val="28"/>
          <w:szCs w:val="24"/>
        </w:rPr>
        <w:t>TERCERO</w:t>
      </w:r>
      <w:r w:rsidRPr="005A3E5E">
        <w:rPr>
          <w:rFonts w:ascii="Palatino Linotype" w:hAnsi="Palatino Linotype" w:cs="Arial"/>
          <w:b/>
          <w:sz w:val="24"/>
          <w:szCs w:val="24"/>
        </w:rPr>
        <w:t>.</w:t>
      </w:r>
      <w:r w:rsidRPr="005A3E5E">
        <w:rPr>
          <w:rFonts w:ascii="Palatino Linotype" w:hAnsi="Palatino Linotype" w:cs="Arial"/>
          <w:sz w:val="24"/>
          <w:szCs w:val="24"/>
        </w:rPr>
        <w:t xml:space="preserve"> </w:t>
      </w:r>
      <w:r w:rsidRPr="005A3E5E">
        <w:rPr>
          <w:rFonts w:ascii="Palatino Linotype" w:hAnsi="Palatino Linotype" w:cs="Arial"/>
          <w:b/>
          <w:sz w:val="24"/>
          <w:szCs w:val="24"/>
        </w:rPr>
        <w:t>Notifíquese</w:t>
      </w:r>
      <w:r w:rsidRPr="005A3E5E">
        <w:rPr>
          <w:rFonts w:ascii="Palatino Linotype" w:hAnsi="Palatino Linotype" w:cs="Arial"/>
          <w:b/>
          <w:i/>
          <w:sz w:val="24"/>
          <w:szCs w:val="24"/>
        </w:rPr>
        <w:t xml:space="preserve"> </w:t>
      </w:r>
      <w:r w:rsidRPr="005A3E5E">
        <w:rPr>
          <w:rFonts w:ascii="Palatino Linotype" w:hAnsi="Palatino Linotype" w:cs="Arial"/>
          <w:sz w:val="24"/>
          <w:szCs w:val="24"/>
        </w:rPr>
        <w:t>al Titular de la Unidad de Transparencia del</w:t>
      </w:r>
      <w:r w:rsidRPr="005A3E5E">
        <w:rPr>
          <w:rFonts w:ascii="Palatino Linotype" w:hAnsi="Palatino Linotype" w:cs="Arial"/>
          <w:b/>
          <w:sz w:val="24"/>
          <w:szCs w:val="24"/>
        </w:rPr>
        <w:t xml:space="preserve"> Sujeto Obligado</w:t>
      </w:r>
      <w:r w:rsidRPr="005A3E5E">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847025" w:rsidRPr="005A3E5E" w:rsidRDefault="00847025" w:rsidP="004860F7">
      <w:pPr>
        <w:tabs>
          <w:tab w:val="left" w:pos="8647"/>
        </w:tabs>
        <w:spacing w:after="0" w:line="360" w:lineRule="auto"/>
        <w:ind w:right="51"/>
        <w:jc w:val="both"/>
        <w:rPr>
          <w:rFonts w:ascii="Palatino Linotype" w:hAnsi="Palatino Linotype" w:cs="Arial"/>
          <w:sz w:val="24"/>
          <w:szCs w:val="24"/>
        </w:rPr>
      </w:pPr>
    </w:p>
    <w:p w:rsidR="00847025" w:rsidRPr="005A3E5E" w:rsidRDefault="00847025" w:rsidP="004860F7">
      <w:pPr>
        <w:spacing w:after="0" w:line="360" w:lineRule="auto"/>
        <w:jc w:val="both"/>
        <w:rPr>
          <w:rFonts w:ascii="Palatino Linotype" w:eastAsia="Calibri" w:hAnsi="Palatino Linotype" w:cs="Times New Roman"/>
          <w:sz w:val="24"/>
          <w:szCs w:val="24"/>
          <w:lang w:eastAsia="es-ES_tradnl"/>
        </w:rPr>
      </w:pPr>
      <w:r w:rsidRPr="005A3E5E">
        <w:rPr>
          <w:rFonts w:ascii="Palatino Linotype" w:eastAsia="Times New Roman" w:hAnsi="Palatino Linotype" w:cs="Arial"/>
          <w:b/>
          <w:sz w:val="28"/>
          <w:szCs w:val="24"/>
          <w:lang w:val="es-ES" w:eastAsia="es-ES"/>
        </w:rPr>
        <w:lastRenderedPageBreak/>
        <w:t>CUARTO</w:t>
      </w:r>
      <w:r w:rsidRPr="005A3E5E">
        <w:rPr>
          <w:rFonts w:ascii="Palatino Linotype" w:eastAsia="Times New Roman" w:hAnsi="Palatino Linotype" w:cs="Arial"/>
          <w:b/>
          <w:sz w:val="24"/>
          <w:szCs w:val="24"/>
          <w:lang w:val="es-ES" w:eastAsia="es-ES"/>
        </w:rPr>
        <w:t xml:space="preserve">. </w:t>
      </w:r>
      <w:r w:rsidRPr="005A3E5E">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5A3E5E">
        <w:rPr>
          <w:rFonts w:ascii="Palatino Linotype" w:eastAsia="Calibri" w:hAnsi="Palatino Linotype" w:cs="Times New Roman"/>
          <w:b/>
          <w:sz w:val="24"/>
          <w:szCs w:val="24"/>
          <w:lang w:eastAsia="es-ES_tradnl"/>
        </w:rPr>
        <w:t>Sujeto Obligado</w:t>
      </w:r>
      <w:r w:rsidRPr="005A3E5E">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847025" w:rsidRPr="005A3E5E" w:rsidRDefault="00847025" w:rsidP="004860F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A3E5E">
        <w:rPr>
          <w:rFonts w:ascii="Palatino Linotype" w:hAnsi="Palatino Linotype"/>
          <w:b/>
          <w:sz w:val="28"/>
          <w:szCs w:val="28"/>
        </w:rPr>
        <w:t>QUINTO</w:t>
      </w:r>
      <w:r w:rsidRPr="005A3E5E">
        <w:rPr>
          <w:rFonts w:ascii="Palatino Linotype" w:hAnsi="Palatino Linotype"/>
          <w:b/>
          <w:sz w:val="24"/>
          <w:szCs w:val="24"/>
        </w:rPr>
        <w:t xml:space="preserve">. </w:t>
      </w:r>
      <w:r w:rsidRPr="005A3E5E">
        <w:rPr>
          <w:rFonts w:ascii="Palatino Linotype" w:eastAsia="Times New Roman" w:hAnsi="Palatino Linotype" w:cs="Arial"/>
          <w:b/>
          <w:sz w:val="24"/>
          <w:szCs w:val="24"/>
          <w:lang w:val="es-ES" w:eastAsia="es-ES"/>
        </w:rPr>
        <w:t>Notifíquese</w:t>
      </w:r>
      <w:r w:rsidRPr="005A3E5E">
        <w:rPr>
          <w:rFonts w:ascii="Palatino Linotype" w:eastAsia="Times New Roman" w:hAnsi="Palatino Linotype" w:cs="Arial"/>
          <w:sz w:val="24"/>
          <w:szCs w:val="24"/>
          <w:lang w:val="es-ES" w:eastAsia="es-ES"/>
        </w:rPr>
        <w:t xml:space="preserve"> </w:t>
      </w:r>
      <w:r w:rsidRPr="005A3E5E">
        <w:rPr>
          <w:rFonts w:ascii="Palatino Linotype" w:eastAsia="Times New Roman" w:hAnsi="Palatino Linotype" w:cs="Arial"/>
          <w:b/>
          <w:sz w:val="24"/>
          <w:szCs w:val="24"/>
          <w:lang w:val="es-ES" w:eastAsia="es-ES"/>
        </w:rPr>
        <w:t>al Recurrente</w:t>
      </w:r>
      <w:r w:rsidRPr="005A3E5E">
        <w:rPr>
          <w:rFonts w:ascii="Palatino Linotype" w:eastAsia="Times New Roman" w:hAnsi="Palatino Linotype" w:cs="Arial"/>
          <w:sz w:val="24"/>
          <w:szCs w:val="24"/>
          <w:lang w:val="es-ES" w:eastAsia="es-ES"/>
        </w:rPr>
        <w:t xml:space="preserve"> a través del SAIMEX,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847025" w:rsidRPr="005A3E5E" w:rsidRDefault="00847025" w:rsidP="004860F7">
      <w:pPr>
        <w:spacing w:after="0" w:line="360" w:lineRule="auto"/>
        <w:jc w:val="both"/>
        <w:rPr>
          <w:rFonts w:ascii="Palatino Linotype" w:hAnsi="Palatino Linotype"/>
          <w:sz w:val="24"/>
          <w:szCs w:val="24"/>
          <w:lang w:eastAsia="es-ES_tradnl"/>
        </w:rPr>
      </w:pPr>
      <w:bookmarkStart w:id="0" w:name="_GoBack"/>
      <w:bookmarkEnd w:id="0"/>
    </w:p>
    <w:p w:rsidR="00847025" w:rsidRPr="005A3E5E" w:rsidRDefault="00847025" w:rsidP="004860F7">
      <w:pPr>
        <w:spacing w:after="0" w:line="360" w:lineRule="auto"/>
        <w:jc w:val="both"/>
        <w:rPr>
          <w:rFonts w:ascii="Palatino Linotype" w:eastAsia="Calibri" w:hAnsi="Palatino Linotype" w:cs="Times New Roman"/>
          <w:sz w:val="24"/>
          <w:szCs w:val="24"/>
          <w:lang w:eastAsia="es-ES_tradnl"/>
        </w:rPr>
      </w:pPr>
      <w:r w:rsidRPr="005A3E5E">
        <w:rPr>
          <w:rFonts w:ascii="Palatino Linotype" w:eastAsia="Calibri" w:hAnsi="Palatino Linotype" w:cs="Times New Roman"/>
          <w:b/>
          <w:sz w:val="28"/>
          <w:szCs w:val="24"/>
          <w:lang w:eastAsia="es-ES_tradnl"/>
        </w:rPr>
        <w:t>SEXTO</w:t>
      </w:r>
      <w:r w:rsidRPr="005A3E5E">
        <w:rPr>
          <w:rFonts w:ascii="Palatino Linotype" w:eastAsia="Calibri" w:hAnsi="Palatino Linotype" w:cs="Times New Roman"/>
          <w:b/>
          <w:sz w:val="24"/>
          <w:szCs w:val="24"/>
          <w:lang w:eastAsia="es-ES_tradnl"/>
        </w:rPr>
        <w:t>.</w:t>
      </w:r>
      <w:r w:rsidRPr="005A3E5E">
        <w:rPr>
          <w:rFonts w:ascii="Palatino Linotype" w:eastAsia="Calibri" w:hAnsi="Palatino Linotype" w:cs="Times New Roman"/>
          <w:sz w:val="24"/>
          <w:szCs w:val="24"/>
          <w:lang w:eastAsia="es-ES_tradnl"/>
        </w:rPr>
        <w:t xml:space="preserve"> </w:t>
      </w:r>
      <w:r w:rsidRPr="005A3E5E">
        <w:rPr>
          <w:rFonts w:ascii="Palatino Linotype" w:eastAsia="Calibri" w:hAnsi="Palatino Linotype" w:cs="Times New Roman"/>
          <w:b/>
          <w:sz w:val="24"/>
          <w:szCs w:val="24"/>
          <w:lang w:eastAsia="es-ES_tradnl"/>
        </w:rPr>
        <w:t>Notifíquese</w:t>
      </w:r>
      <w:r w:rsidRPr="005A3E5E">
        <w:rPr>
          <w:rFonts w:ascii="Palatino Linotype" w:eastAsia="Calibri" w:hAnsi="Palatino Linotype" w:cs="Times New Roman"/>
          <w:sz w:val="24"/>
          <w:szCs w:val="24"/>
          <w:lang w:eastAsia="es-ES_tradnl"/>
        </w:rPr>
        <w:t xml:space="preserve"> al </w:t>
      </w:r>
      <w:r w:rsidRPr="005A3E5E">
        <w:rPr>
          <w:rFonts w:ascii="Palatino Linotype" w:eastAsia="Calibri" w:hAnsi="Palatino Linotype" w:cs="Times New Roman"/>
          <w:b/>
          <w:sz w:val="24"/>
          <w:szCs w:val="24"/>
          <w:lang w:eastAsia="es-ES_tradnl"/>
        </w:rPr>
        <w:t>Recurrente</w:t>
      </w:r>
      <w:r w:rsidRPr="005A3E5E">
        <w:rPr>
          <w:rFonts w:ascii="Palatino Linotype" w:eastAsia="Calibri" w:hAnsi="Palatino Linotype" w:cs="Times New Roman"/>
          <w:sz w:val="24"/>
          <w:szCs w:val="24"/>
          <w:lang w:eastAsia="es-ES_tradnl"/>
        </w:rPr>
        <w:t xml:space="preserv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5A3E5E">
        <w:rPr>
          <w:rFonts w:ascii="Palatino Linotype" w:eastAsia="Calibri" w:hAnsi="Palatino Linotype" w:cs="Times New Roman"/>
          <w:b/>
          <w:sz w:val="24"/>
          <w:szCs w:val="24"/>
          <w:lang w:eastAsia="es-ES_tradnl"/>
        </w:rPr>
        <w:t>Sujeto Obligado</w:t>
      </w:r>
      <w:r w:rsidRPr="005A3E5E">
        <w:rPr>
          <w:rFonts w:ascii="Palatino Linotype" w:eastAsia="Calibri" w:hAnsi="Palatino Linotype" w:cs="Times New Roman"/>
          <w:sz w:val="24"/>
          <w:szCs w:val="24"/>
          <w:lang w:eastAsia="es-ES_tradnl"/>
        </w:rPr>
        <w:t>, en cumplimiento a esta Resolución.</w:t>
      </w:r>
    </w:p>
    <w:p w:rsidR="000476CF" w:rsidRPr="005A3E5E" w:rsidRDefault="000476CF" w:rsidP="004860F7">
      <w:pPr>
        <w:spacing w:after="0" w:line="360" w:lineRule="auto"/>
        <w:jc w:val="both"/>
        <w:rPr>
          <w:rFonts w:ascii="Palatino Linotype" w:eastAsia="Calibri" w:hAnsi="Palatino Linotype" w:cs="Times New Roman"/>
          <w:sz w:val="24"/>
          <w:szCs w:val="24"/>
          <w:lang w:eastAsia="es-ES_tradnl"/>
        </w:rPr>
      </w:pPr>
    </w:p>
    <w:p w:rsidR="000476CF" w:rsidRPr="005A3E5E" w:rsidRDefault="000476CF" w:rsidP="004860F7">
      <w:pPr>
        <w:spacing w:after="0" w:line="360" w:lineRule="auto"/>
        <w:jc w:val="both"/>
        <w:rPr>
          <w:rFonts w:ascii="Palatino Linotype" w:hAnsi="Palatino Linotype"/>
          <w:sz w:val="24"/>
          <w:szCs w:val="24"/>
          <w:lang w:eastAsia="es-ES_tradnl"/>
        </w:rPr>
      </w:pPr>
      <w:r w:rsidRPr="005A3E5E">
        <w:rPr>
          <w:rFonts w:ascii="Palatino Linotype" w:eastAsia="Calibri" w:hAnsi="Palatino Linotype" w:cs="Times New Roman"/>
          <w:b/>
          <w:sz w:val="28"/>
          <w:szCs w:val="24"/>
          <w:lang w:eastAsia="es-ES_tradnl"/>
        </w:rPr>
        <w:t>SÉPTIMO</w:t>
      </w:r>
      <w:r w:rsidRPr="005A3E5E">
        <w:rPr>
          <w:rFonts w:ascii="Palatino Linotype" w:eastAsia="Calibri" w:hAnsi="Palatino Linotype" w:cs="Times New Roman"/>
          <w:b/>
          <w:sz w:val="24"/>
          <w:szCs w:val="24"/>
          <w:lang w:eastAsia="es-ES_tradnl"/>
        </w:rPr>
        <w:t>.-</w:t>
      </w:r>
      <w:r w:rsidRPr="005A3E5E">
        <w:rPr>
          <w:rFonts w:ascii="Palatino Linotype" w:eastAsia="Calibri" w:hAnsi="Palatino Linotype" w:cs="Times New Roman"/>
          <w:sz w:val="24"/>
          <w:szCs w:val="24"/>
          <w:lang w:eastAsia="es-ES_tradnl"/>
        </w:rPr>
        <w:t xml:space="preserve"> </w:t>
      </w:r>
      <w:r w:rsidRPr="005A3E5E">
        <w:rPr>
          <w:rFonts w:ascii="Palatino Linotype" w:hAnsi="Palatino Linotype"/>
          <w:b/>
          <w:sz w:val="24"/>
          <w:szCs w:val="24"/>
          <w:lang w:eastAsia="es-ES_tradnl"/>
        </w:rPr>
        <w:t>Gírese</w:t>
      </w:r>
      <w:r w:rsidRPr="005A3E5E">
        <w:rPr>
          <w:rFonts w:ascii="Palatino Linotype" w:hAnsi="Palatino Linotype"/>
          <w:sz w:val="24"/>
          <w:szCs w:val="24"/>
          <w:lang w:eastAsia="es-ES_tradnl"/>
        </w:rPr>
        <w:t xml:space="preserve"> oficio al Órgano Interno de Control de este Instituto, de conformidad con el artículo 190 de la Ley de Transparencia y Acceso a la Información Pública del Estado de México y Municipios determine lo conducente, en términos del considerando cuarto de la presente resolución.</w:t>
      </w:r>
    </w:p>
    <w:p w:rsidR="000476CF" w:rsidRPr="005A3E5E" w:rsidRDefault="000476CF" w:rsidP="004860F7">
      <w:pPr>
        <w:spacing w:after="0" w:line="360" w:lineRule="auto"/>
        <w:jc w:val="both"/>
        <w:rPr>
          <w:rFonts w:ascii="Palatino Linotype" w:eastAsia="Calibri" w:hAnsi="Palatino Linotype" w:cs="Times New Roman"/>
          <w:sz w:val="24"/>
          <w:szCs w:val="24"/>
          <w:lang w:eastAsia="es-ES_tradnl"/>
        </w:rPr>
      </w:pPr>
    </w:p>
    <w:p w:rsidR="00847025" w:rsidRPr="005A3E5E" w:rsidRDefault="00847025" w:rsidP="004860F7">
      <w:pPr>
        <w:spacing w:after="0" w:line="360" w:lineRule="auto"/>
        <w:jc w:val="both"/>
        <w:rPr>
          <w:rFonts w:ascii="Palatino Linotype" w:eastAsia="Calibri" w:hAnsi="Palatino Linotype" w:cs="Times New Roman"/>
          <w:sz w:val="24"/>
          <w:szCs w:val="24"/>
          <w:lang w:eastAsia="es-ES_tradnl"/>
        </w:rPr>
      </w:pP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lastRenderedPageBreak/>
        <w:t>ASÍ LO RESUELVE, POR UNANIMIDAD DE VOTOS EL PLENO DEL</w:t>
      </w:r>
      <w:r w:rsidRPr="005A3E5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A3E5E">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1937E4" w:rsidRPr="005A3E5E">
        <w:rPr>
          <w:rFonts w:ascii="Palatino Linotype" w:hAnsi="Palatino Linotype" w:cs="Arial"/>
          <w:sz w:val="24"/>
          <w:szCs w:val="24"/>
        </w:rPr>
        <w:t>DÉCIMA TERCERA</w:t>
      </w:r>
      <w:r w:rsidRPr="005A3E5E">
        <w:rPr>
          <w:rFonts w:ascii="Palatino Linotype" w:hAnsi="Palatino Linotype" w:cs="Arial"/>
          <w:sz w:val="24"/>
          <w:szCs w:val="24"/>
        </w:rPr>
        <w:t xml:space="preserve"> SESIÓN ORDINARIA CELEBRADA EL </w:t>
      </w:r>
      <w:r w:rsidR="001937E4" w:rsidRPr="005A3E5E">
        <w:rPr>
          <w:rFonts w:ascii="Palatino Linotype" w:hAnsi="Palatino Linotype" w:cs="Arial"/>
          <w:sz w:val="24"/>
          <w:szCs w:val="24"/>
        </w:rPr>
        <w:t>DOCE</w:t>
      </w:r>
      <w:r w:rsidRPr="005A3E5E">
        <w:rPr>
          <w:rFonts w:ascii="Palatino Linotype" w:hAnsi="Palatino Linotype" w:cs="Arial"/>
          <w:sz w:val="24"/>
          <w:szCs w:val="24"/>
        </w:rPr>
        <w:t xml:space="preserve"> DE </w:t>
      </w:r>
      <w:r w:rsidR="00361B30" w:rsidRPr="005A3E5E">
        <w:rPr>
          <w:rFonts w:ascii="Palatino Linotype" w:hAnsi="Palatino Linotype" w:cs="Arial"/>
          <w:sz w:val="24"/>
          <w:szCs w:val="24"/>
        </w:rPr>
        <w:t>ABRIL</w:t>
      </w:r>
      <w:r w:rsidRPr="005A3E5E">
        <w:rPr>
          <w:rFonts w:ascii="Palatino Linotype" w:hAnsi="Palatino Linotype" w:cs="Arial"/>
          <w:sz w:val="24"/>
          <w:szCs w:val="24"/>
        </w:rPr>
        <w:t xml:space="preserve"> DE DOS MIL VEINTI</w:t>
      </w:r>
      <w:r w:rsidR="00361B30" w:rsidRPr="005A3E5E">
        <w:rPr>
          <w:rFonts w:ascii="Palatino Linotype" w:hAnsi="Palatino Linotype" w:cs="Arial"/>
          <w:sz w:val="24"/>
          <w:szCs w:val="24"/>
        </w:rPr>
        <w:t>TRÉS</w:t>
      </w:r>
      <w:r w:rsidRPr="005A3E5E">
        <w:rPr>
          <w:rFonts w:ascii="Palatino Linotype" w:hAnsi="Palatino Linotype" w:cs="Arial"/>
          <w:sz w:val="24"/>
          <w:szCs w:val="24"/>
        </w:rPr>
        <w:t>, ANTE EL ANTE EL SECRETARIO TÉCNICO DEL PLENO, ALEXIS TAPIA RAMÍREZ. -----------------------------</w:t>
      </w:r>
      <w:r w:rsidR="00361B30" w:rsidRPr="005A3E5E">
        <w:rPr>
          <w:rFonts w:ascii="Palatino Linotype" w:hAnsi="Palatino Linotype" w:cs="Arial"/>
          <w:sz w:val="24"/>
          <w:szCs w:val="24"/>
        </w:rPr>
        <w:t>----------------------------------</w:t>
      </w:r>
      <w:r w:rsidRPr="005A3E5E">
        <w:rPr>
          <w:rFonts w:ascii="Palatino Linotype" w:hAnsi="Palatino Linotype" w:cs="Arial"/>
          <w:sz w:val="24"/>
          <w:szCs w:val="24"/>
        </w:rPr>
        <w:t>----</w:t>
      </w:r>
      <w:r w:rsidR="001937E4" w:rsidRPr="005A3E5E">
        <w:rPr>
          <w:rFonts w:ascii="Palatino Linotype" w:hAnsi="Palatino Linotype" w:cs="Arial"/>
          <w:sz w:val="24"/>
          <w:szCs w:val="24"/>
        </w:rPr>
        <w:t>-------------</w:t>
      </w:r>
      <w:r w:rsidRPr="005A3E5E">
        <w:rPr>
          <w:rFonts w:ascii="Palatino Linotype" w:hAnsi="Palatino Linotype" w:cs="Arial"/>
          <w:sz w:val="24"/>
          <w:szCs w:val="24"/>
        </w:rPr>
        <w:t>--------</w:t>
      </w: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847025" w:rsidRPr="005A3E5E" w:rsidRDefault="00847025"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1937E4" w:rsidRPr="005A3E5E" w:rsidRDefault="001937E4"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4860F7" w:rsidRPr="005A3E5E" w:rsidRDefault="004860F7" w:rsidP="004860F7">
      <w:pPr>
        <w:spacing w:after="0" w:line="360" w:lineRule="auto"/>
        <w:jc w:val="both"/>
        <w:rPr>
          <w:rFonts w:ascii="Palatino Linotype" w:hAnsi="Palatino Linotype" w:cs="Arial"/>
          <w:sz w:val="24"/>
          <w:szCs w:val="24"/>
        </w:rPr>
      </w:pPr>
      <w:r w:rsidRPr="005A3E5E">
        <w:rPr>
          <w:rFonts w:ascii="Palatino Linotype" w:hAnsi="Palatino Linotype" w:cs="Arial"/>
          <w:sz w:val="24"/>
          <w:szCs w:val="24"/>
        </w:rPr>
        <w:t>-----------------------------------------------------------------------------------------------------------------</w:t>
      </w:r>
    </w:p>
    <w:p w:rsidR="00847025" w:rsidRPr="0016590E" w:rsidRDefault="00847025" w:rsidP="004860F7">
      <w:pPr>
        <w:spacing w:after="0" w:line="360" w:lineRule="auto"/>
        <w:jc w:val="both"/>
        <w:rPr>
          <w:rFonts w:ascii="Palatino Linotype" w:hAnsi="Palatino Linotype" w:cs="Arial"/>
          <w:sz w:val="20"/>
        </w:rPr>
      </w:pPr>
      <w:r w:rsidRPr="005A3E5E">
        <w:rPr>
          <w:rFonts w:ascii="Palatino Linotype" w:hAnsi="Palatino Linotype" w:cs="Arial"/>
          <w:sz w:val="20"/>
        </w:rPr>
        <w:t>CCR/</w:t>
      </w:r>
      <w:r w:rsidR="00361B30" w:rsidRPr="005A3E5E">
        <w:rPr>
          <w:rFonts w:ascii="Palatino Linotype" w:hAnsi="Palatino Linotype" w:cs="Arial"/>
          <w:sz w:val="20"/>
        </w:rPr>
        <w:t>*</w:t>
      </w:r>
    </w:p>
    <w:p w:rsidR="00847025" w:rsidRPr="0016590E" w:rsidRDefault="00847025" w:rsidP="004860F7">
      <w:pPr>
        <w:spacing w:after="0" w:line="360" w:lineRule="auto"/>
        <w:jc w:val="both"/>
        <w:rPr>
          <w:rFonts w:ascii="Palatino Linotype" w:hAnsi="Palatino Linotype" w:cs="Arial"/>
          <w:sz w:val="24"/>
          <w:szCs w:val="24"/>
        </w:rPr>
      </w:pPr>
    </w:p>
    <w:p w:rsidR="00847025" w:rsidRPr="0016590E" w:rsidRDefault="00847025" w:rsidP="004860F7">
      <w:pPr>
        <w:spacing w:after="0" w:line="360" w:lineRule="auto"/>
        <w:jc w:val="both"/>
        <w:rPr>
          <w:rFonts w:ascii="Palatino Linotype" w:hAnsi="Palatino Linotype" w:cs="Arial"/>
          <w:sz w:val="24"/>
          <w:szCs w:val="24"/>
        </w:rPr>
      </w:pPr>
    </w:p>
    <w:p w:rsidR="00847025" w:rsidRPr="0016590E" w:rsidRDefault="00847025" w:rsidP="004860F7">
      <w:pPr>
        <w:spacing w:after="0" w:line="360" w:lineRule="auto"/>
        <w:jc w:val="both"/>
        <w:rPr>
          <w:rFonts w:ascii="Palatino Linotype" w:hAnsi="Palatino Linotype" w:cs="Arial"/>
          <w:sz w:val="24"/>
          <w:szCs w:val="24"/>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Pr="0016590E" w:rsidRDefault="00847025" w:rsidP="004860F7">
      <w:pPr>
        <w:spacing w:after="0"/>
        <w:rPr>
          <w:rFonts w:ascii="Palatino Linotype" w:hAnsi="Palatino Linotype"/>
        </w:rPr>
      </w:pPr>
    </w:p>
    <w:p w:rsidR="00847025" w:rsidRDefault="00847025" w:rsidP="004860F7">
      <w:pPr>
        <w:spacing w:after="0"/>
      </w:pPr>
    </w:p>
    <w:p w:rsidR="00847025" w:rsidRPr="00791D5A" w:rsidRDefault="00847025" w:rsidP="004860F7">
      <w:pPr>
        <w:spacing w:after="0"/>
      </w:pPr>
    </w:p>
    <w:p w:rsidR="00847025" w:rsidRDefault="00847025" w:rsidP="004860F7">
      <w:pPr>
        <w:spacing w:after="0"/>
      </w:pPr>
    </w:p>
    <w:p w:rsidR="00847025" w:rsidRDefault="00847025" w:rsidP="004860F7">
      <w:pPr>
        <w:spacing w:after="0"/>
      </w:pPr>
    </w:p>
    <w:p w:rsidR="00A607C9" w:rsidRDefault="00A607C9" w:rsidP="004860F7">
      <w:pPr>
        <w:spacing w:after="0"/>
      </w:pPr>
    </w:p>
    <w:sectPr w:rsidR="00A607C9" w:rsidSect="008F1A8F">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6C2" w:rsidRDefault="008A46C2" w:rsidP="00847025">
      <w:pPr>
        <w:spacing w:after="0" w:line="240" w:lineRule="auto"/>
      </w:pPr>
      <w:r>
        <w:separator/>
      </w:r>
    </w:p>
  </w:endnote>
  <w:endnote w:type="continuationSeparator" w:id="0">
    <w:p w:rsidR="008A46C2" w:rsidRDefault="008A46C2" w:rsidP="00847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F1A8F" w:rsidRPr="002D6DD8" w:rsidRDefault="008F1A8F" w:rsidP="008F1A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6662">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6662">
              <w:rPr>
                <w:rFonts w:ascii="Palatino Linotype" w:hAnsi="Palatino Linotype"/>
                <w:bCs/>
                <w:noProof/>
                <w:sz w:val="20"/>
              </w:rPr>
              <w:t>50</w:t>
            </w:r>
            <w:r>
              <w:rPr>
                <w:rFonts w:ascii="Palatino Linotype" w:hAnsi="Palatino Linotype"/>
                <w:bCs/>
                <w:noProof/>
                <w:sz w:val="20"/>
              </w:rPr>
              <w:fldChar w:fldCharType="end"/>
            </w:r>
          </w:p>
        </w:sdtContent>
      </w:sdt>
    </w:sdtContent>
  </w:sdt>
  <w:p w:rsidR="008F1A8F" w:rsidRDefault="008F1A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8F" w:rsidRPr="000B69FA" w:rsidRDefault="008F1A8F" w:rsidP="008F1A8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F666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F6662">
      <w:rPr>
        <w:rFonts w:ascii="Palatino Linotype" w:hAnsi="Palatino Linotype"/>
        <w:bCs/>
        <w:noProof/>
        <w:sz w:val="20"/>
      </w:rPr>
      <w:t>50</w:t>
    </w:r>
    <w:r>
      <w:rPr>
        <w:rFonts w:ascii="Palatino Linotype" w:hAnsi="Palatino Linotype"/>
        <w:bCs/>
        <w:noProof/>
        <w:sz w:val="20"/>
      </w:rPr>
      <w:fldChar w:fldCharType="end"/>
    </w:r>
  </w:p>
  <w:p w:rsidR="008F1A8F" w:rsidRDefault="008F1A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6C2" w:rsidRDefault="008A46C2" w:rsidP="00847025">
      <w:pPr>
        <w:spacing w:after="0" w:line="240" w:lineRule="auto"/>
      </w:pPr>
      <w:r>
        <w:separator/>
      </w:r>
    </w:p>
  </w:footnote>
  <w:footnote w:type="continuationSeparator" w:id="0">
    <w:p w:rsidR="008A46C2" w:rsidRDefault="008A46C2" w:rsidP="00847025">
      <w:pPr>
        <w:spacing w:after="0" w:line="240" w:lineRule="auto"/>
      </w:pPr>
      <w:r>
        <w:continuationSeparator/>
      </w:r>
    </w:p>
  </w:footnote>
  <w:footnote w:id="1">
    <w:p w:rsidR="008F1A8F" w:rsidRDefault="008F1A8F" w:rsidP="00847025">
      <w:pPr>
        <w:pBdr>
          <w:top w:val="nil"/>
          <w:left w:val="nil"/>
          <w:bottom w:val="nil"/>
          <w:right w:val="nil"/>
          <w:between w:val="nil"/>
        </w:pBdr>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8F1A8F" w:rsidRDefault="008F1A8F" w:rsidP="00847025">
      <w:pPr>
        <w:pBdr>
          <w:top w:val="nil"/>
          <w:left w:val="nil"/>
          <w:bottom w:val="nil"/>
          <w:right w:val="nil"/>
          <w:between w:val="nil"/>
        </w:pBdr>
        <w:jc w:val="both"/>
        <w:rPr>
          <w:rFonts w:ascii="Palatino Linotype" w:eastAsia="Palatino Linotype" w:hAnsi="Palatino Linotype" w:cs="Palatino Linotype"/>
          <w:color w:val="000000"/>
          <w:sz w:val="20"/>
          <w:szCs w:val="20"/>
        </w:rPr>
      </w:pPr>
    </w:p>
    <w:p w:rsidR="008F1A8F" w:rsidRDefault="008F1A8F" w:rsidP="00847025">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8F1A8F" w:rsidRDefault="008F1A8F" w:rsidP="00847025">
      <w:pPr>
        <w:jc w:val="both"/>
        <w:rPr>
          <w:rFonts w:ascii="Palatino Linotype" w:eastAsia="Palatino Linotype" w:hAnsi="Palatino Linotype" w:cs="Palatino Linotype"/>
          <w:b/>
          <w:i/>
          <w:sz w:val="20"/>
          <w:szCs w:val="20"/>
        </w:rPr>
      </w:pPr>
    </w:p>
    <w:p w:rsidR="008F1A8F" w:rsidRDefault="008F1A8F" w:rsidP="00847025">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F1A8F" w:rsidTr="008F1A8F">
      <w:trPr>
        <w:trHeight w:val="227"/>
      </w:trPr>
      <w:tc>
        <w:tcPr>
          <w:tcW w:w="5246" w:type="dxa"/>
          <w:hideMark/>
        </w:tcPr>
        <w:p w:rsidR="008F1A8F" w:rsidRPr="00641471" w:rsidRDefault="008F1A8F" w:rsidP="008F1A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8F1A8F" w:rsidRPr="00641471" w:rsidRDefault="008F1A8F" w:rsidP="00BF6662">
          <w:pPr>
            <w:spacing w:after="120" w:line="256" w:lineRule="auto"/>
            <w:ind w:left="-486" w:right="214" w:firstLine="1585"/>
            <w:jc w:val="right"/>
            <w:rPr>
              <w:rFonts w:ascii="Palatino Linotype" w:hAnsi="Palatino Linotype" w:cs="Arial"/>
              <w:b/>
              <w:szCs w:val="20"/>
            </w:rPr>
          </w:pPr>
          <w:r w:rsidRPr="00641471">
            <w:rPr>
              <w:rFonts w:ascii="Palatino Linotype" w:hAnsi="Palatino Linotype" w:cs="Arial"/>
              <w:b/>
              <w:bCs/>
              <w:sz w:val="24"/>
              <w:lang w:eastAsia="es-MX"/>
            </w:rPr>
            <w:t>0</w:t>
          </w:r>
          <w:r>
            <w:rPr>
              <w:rFonts w:ascii="Palatino Linotype" w:hAnsi="Palatino Linotype" w:cs="Arial"/>
              <w:b/>
              <w:bCs/>
              <w:sz w:val="24"/>
              <w:lang w:eastAsia="es-MX"/>
            </w:rPr>
            <w:t>17595/INFOEM/IP/RR/202</w:t>
          </w:r>
          <w:r w:rsidR="00BF6662">
            <w:rPr>
              <w:rFonts w:ascii="Palatino Linotype" w:hAnsi="Palatino Linotype" w:cs="Arial"/>
              <w:b/>
              <w:bCs/>
              <w:sz w:val="24"/>
              <w:lang w:eastAsia="es-MX"/>
            </w:rPr>
            <w:t>2</w:t>
          </w:r>
        </w:p>
      </w:tc>
    </w:tr>
    <w:tr w:rsidR="008F1A8F" w:rsidTr="008F1A8F">
      <w:trPr>
        <w:trHeight w:val="242"/>
      </w:trPr>
      <w:tc>
        <w:tcPr>
          <w:tcW w:w="5246" w:type="dxa"/>
          <w:hideMark/>
        </w:tcPr>
        <w:p w:rsidR="008F1A8F" w:rsidRPr="00641471" w:rsidRDefault="008F1A8F" w:rsidP="008F1A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8F1A8F" w:rsidRPr="00641471" w:rsidRDefault="008F1A8F" w:rsidP="008F1A8F">
          <w:pPr>
            <w:spacing w:after="120" w:line="256" w:lineRule="auto"/>
            <w:ind w:left="-486" w:right="214" w:firstLine="284"/>
            <w:jc w:val="right"/>
            <w:rPr>
              <w:rFonts w:ascii="Palatino Linotype" w:hAnsi="Palatino Linotype" w:cs="Arial"/>
              <w:b/>
              <w:szCs w:val="20"/>
            </w:rPr>
          </w:pPr>
          <w:r w:rsidRPr="00847025">
            <w:rPr>
              <w:rFonts w:ascii="Palatino Linotype" w:hAnsi="Palatino Linotype" w:cs="Arial"/>
              <w:b/>
              <w:szCs w:val="20"/>
            </w:rPr>
            <w:t>Ayuntamiento de Zinacantepec</w:t>
          </w:r>
        </w:p>
      </w:tc>
    </w:tr>
    <w:tr w:rsidR="008F1A8F" w:rsidTr="008F1A8F">
      <w:trPr>
        <w:trHeight w:val="342"/>
      </w:trPr>
      <w:tc>
        <w:tcPr>
          <w:tcW w:w="5246" w:type="dxa"/>
          <w:hideMark/>
        </w:tcPr>
        <w:p w:rsidR="008F1A8F" w:rsidRPr="00641471" w:rsidRDefault="008F1A8F" w:rsidP="008F1A8F">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8F1A8F" w:rsidRPr="00641471" w:rsidRDefault="008F1A8F" w:rsidP="008F1A8F">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8F1A8F" w:rsidRPr="00AE046A" w:rsidRDefault="008F1A8F" w:rsidP="008F1A8F">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5A1A1C42" wp14:editId="36BAE77E">
          <wp:simplePos x="0" y="0"/>
          <wp:positionH relativeFrom="page">
            <wp:align>center</wp:align>
          </wp:positionH>
          <wp:positionV relativeFrom="margin">
            <wp:posOffset>-1379220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8F1A8F" w:rsidTr="008F1A8F">
      <w:trPr>
        <w:trHeight w:val="227"/>
      </w:trPr>
      <w:tc>
        <w:tcPr>
          <w:tcW w:w="5104" w:type="dxa"/>
          <w:hideMark/>
        </w:tcPr>
        <w:p w:rsidR="008F1A8F" w:rsidRPr="00641471" w:rsidRDefault="008F1A8F" w:rsidP="008F1A8F">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8F1A8F" w:rsidRPr="00641471" w:rsidRDefault="008F1A8F" w:rsidP="00847025">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17595/INFOEM/IP/RR/2022</w:t>
          </w:r>
        </w:p>
      </w:tc>
    </w:tr>
    <w:tr w:rsidR="008F1A8F" w:rsidTr="008F1A8F">
      <w:trPr>
        <w:trHeight w:val="242"/>
      </w:trPr>
      <w:tc>
        <w:tcPr>
          <w:tcW w:w="5104" w:type="dxa"/>
          <w:hideMark/>
        </w:tcPr>
        <w:p w:rsidR="008F1A8F" w:rsidRPr="00641471" w:rsidRDefault="008F1A8F" w:rsidP="008F1A8F">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819" w:type="dxa"/>
          <w:hideMark/>
        </w:tcPr>
        <w:p w:rsidR="008F1A8F" w:rsidRPr="00641471" w:rsidRDefault="008F1A8F" w:rsidP="008F1A8F">
          <w:pPr>
            <w:spacing w:after="120" w:line="256" w:lineRule="auto"/>
            <w:ind w:left="-486" w:right="214" w:firstLine="284"/>
            <w:jc w:val="right"/>
            <w:rPr>
              <w:rFonts w:ascii="Palatino Linotype" w:hAnsi="Palatino Linotype" w:cs="Arial"/>
              <w:b/>
              <w:szCs w:val="20"/>
            </w:rPr>
          </w:pPr>
          <w:r w:rsidRPr="00847025">
            <w:rPr>
              <w:rFonts w:ascii="Palatino Linotype" w:hAnsi="Palatino Linotype" w:cs="Arial"/>
              <w:b/>
              <w:szCs w:val="20"/>
            </w:rPr>
            <w:t>Ayuntamiento de Zinacantepec</w:t>
          </w:r>
        </w:p>
      </w:tc>
    </w:tr>
    <w:tr w:rsidR="008F1A8F" w:rsidTr="008F1A8F">
      <w:trPr>
        <w:trHeight w:val="342"/>
      </w:trPr>
      <w:tc>
        <w:tcPr>
          <w:tcW w:w="5104" w:type="dxa"/>
        </w:tcPr>
        <w:p w:rsidR="008F1A8F" w:rsidRPr="00641471" w:rsidRDefault="008F1A8F" w:rsidP="008F1A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819" w:type="dxa"/>
        </w:tcPr>
        <w:p w:rsidR="008F1A8F" w:rsidRPr="00641471" w:rsidRDefault="008F1A8F" w:rsidP="008F1A8F">
          <w:pPr>
            <w:spacing w:after="120" w:line="256" w:lineRule="auto"/>
            <w:ind w:left="-486" w:right="214" w:firstLine="567"/>
            <w:jc w:val="right"/>
            <w:rPr>
              <w:rFonts w:ascii="Palatino Linotype" w:hAnsi="Palatino Linotype" w:cs="Arial"/>
              <w:b/>
            </w:rPr>
          </w:pPr>
          <w:r>
            <w:rPr>
              <w:rFonts w:ascii="Palatino Linotype" w:hAnsi="Palatino Linotype" w:cs="Arial"/>
              <w:b/>
              <w:noProof/>
              <w:szCs w:val="20"/>
              <w:lang w:eastAsia="es-MX"/>
            </w:rPr>
            <w:drawing>
              <wp:anchor distT="0" distB="0" distL="114300" distR="114300" simplePos="0" relativeHeight="251659264" behindDoc="1" locked="0" layoutInCell="0" allowOverlap="1" wp14:anchorId="3B4FAC9B" wp14:editId="7A9D9C5C">
                <wp:simplePos x="0" y="0"/>
                <wp:positionH relativeFrom="margin">
                  <wp:posOffset>-3769995</wp:posOffset>
                </wp:positionH>
                <wp:positionV relativeFrom="margin">
                  <wp:posOffset>-995680</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r w:rsidR="00BF6662">
            <w:rPr>
              <w:rFonts w:ascii="Palatino Linotype" w:hAnsi="Palatino Linotype" w:cs="Arial"/>
              <w:b/>
            </w:rPr>
            <w:t>xxxx</w:t>
          </w:r>
        </w:p>
      </w:tc>
    </w:tr>
    <w:tr w:rsidR="008F1A8F" w:rsidTr="008F1A8F">
      <w:trPr>
        <w:trHeight w:val="342"/>
      </w:trPr>
      <w:tc>
        <w:tcPr>
          <w:tcW w:w="5104" w:type="dxa"/>
        </w:tcPr>
        <w:p w:rsidR="008F1A8F" w:rsidRPr="00641471" w:rsidRDefault="008F1A8F" w:rsidP="008F1A8F">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819" w:type="dxa"/>
        </w:tcPr>
        <w:p w:rsidR="008F1A8F" w:rsidRPr="00641471" w:rsidRDefault="008F1A8F" w:rsidP="008F1A8F">
          <w:pPr>
            <w:spacing w:after="120" w:line="256" w:lineRule="auto"/>
            <w:ind w:left="-486" w:right="214" w:firstLine="567"/>
            <w:jc w:val="right"/>
            <w:rPr>
              <w:rFonts w:ascii="Palatino Linotype" w:hAnsi="Palatino Linotype" w:cs="Arial"/>
              <w:b/>
              <w:szCs w:val="20"/>
            </w:rPr>
          </w:pPr>
          <w:r>
            <w:rPr>
              <w:rFonts w:ascii="Palatino Linotype" w:hAnsi="Palatino Linotype" w:cs="Arial"/>
              <w:b/>
              <w:szCs w:val="20"/>
            </w:rPr>
            <w:t>José Martínez Vilchis</w:t>
          </w:r>
        </w:p>
      </w:tc>
    </w:tr>
  </w:tbl>
  <w:p w:rsidR="008F1A8F" w:rsidRPr="00C222C0" w:rsidRDefault="008F1A8F">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C34FBD"/>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4B1612"/>
    <w:multiLevelType w:val="hybridMultilevel"/>
    <w:tmpl w:val="D1F67A54"/>
    <w:lvl w:ilvl="0" w:tplc="83561B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230C67"/>
    <w:multiLevelType w:val="hybridMultilevel"/>
    <w:tmpl w:val="E4B0E4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27702D7D"/>
    <w:multiLevelType w:val="hybridMultilevel"/>
    <w:tmpl w:val="C17E9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822107D"/>
    <w:multiLevelType w:val="hybridMultilevel"/>
    <w:tmpl w:val="89420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1"/>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025"/>
    <w:rsid w:val="00005776"/>
    <w:rsid w:val="00021AEE"/>
    <w:rsid w:val="000476CF"/>
    <w:rsid w:val="001937E4"/>
    <w:rsid w:val="00292A9C"/>
    <w:rsid w:val="00361B30"/>
    <w:rsid w:val="004860F7"/>
    <w:rsid w:val="004A037E"/>
    <w:rsid w:val="00536131"/>
    <w:rsid w:val="005A3E5E"/>
    <w:rsid w:val="005F33C9"/>
    <w:rsid w:val="00675BAA"/>
    <w:rsid w:val="007078E0"/>
    <w:rsid w:val="00714D2D"/>
    <w:rsid w:val="007545D0"/>
    <w:rsid w:val="00836659"/>
    <w:rsid w:val="00847025"/>
    <w:rsid w:val="008A46C2"/>
    <w:rsid w:val="008F1A8F"/>
    <w:rsid w:val="009A599D"/>
    <w:rsid w:val="009B7DA2"/>
    <w:rsid w:val="00A20D09"/>
    <w:rsid w:val="00A2221E"/>
    <w:rsid w:val="00A5515D"/>
    <w:rsid w:val="00A607C9"/>
    <w:rsid w:val="00B0036A"/>
    <w:rsid w:val="00BF6662"/>
    <w:rsid w:val="00DC04E4"/>
    <w:rsid w:val="00DE1761"/>
    <w:rsid w:val="00E2652C"/>
    <w:rsid w:val="00FB40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ED60ADB-901F-4CFD-B469-A8E97D2A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0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702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4702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4702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4702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702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7025"/>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rsid w:val="00847025"/>
    <w:pPr>
      <w:spacing w:after="0" w:line="240" w:lineRule="auto"/>
    </w:pPr>
    <w:rPr>
      <w:sz w:val="20"/>
      <w:szCs w:val="20"/>
    </w:rPr>
  </w:style>
  <w:style w:type="character" w:customStyle="1" w:styleId="TextonotapieCar">
    <w:name w:val="Texto nota pie Car"/>
    <w:basedOn w:val="Fuentedeprrafopredeter"/>
    <w:link w:val="Textonotapie"/>
    <w:uiPriority w:val="99"/>
    <w:rsid w:val="00847025"/>
    <w:rPr>
      <w:sz w:val="20"/>
      <w:szCs w:val="20"/>
    </w:rPr>
  </w:style>
  <w:style w:type="character" w:styleId="Refdenotaalpie">
    <w:name w:val="footnote reference"/>
    <w:basedOn w:val="Fuentedeprrafopredeter"/>
    <w:uiPriority w:val="99"/>
    <w:semiHidden/>
    <w:unhideWhenUsed/>
    <w:rsid w:val="00847025"/>
    <w:rPr>
      <w:vertAlign w:val="superscript"/>
    </w:rPr>
  </w:style>
  <w:style w:type="character" w:styleId="Hipervnculo">
    <w:name w:val="Hyperlink"/>
    <w:basedOn w:val="Fuentedeprrafopredeter"/>
    <w:uiPriority w:val="99"/>
    <w:unhideWhenUsed/>
    <w:rsid w:val="00B003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pomex.org.mx/ipo3/lgt/indice/ZINACANTEPEC/art_92_xxxviii_a.web"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50</Pages>
  <Words>12417</Words>
  <Characters>68295</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11</cp:revision>
  <dcterms:created xsi:type="dcterms:W3CDTF">2023-03-21T16:49:00Z</dcterms:created>
  <dcterms:modified xsi:type="dcterms:W3CDTF">2023-05-11T22:48:00Z</dcterms:modified>
</cp:coreProperties>
</file>