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7EDB" w:rsidR="00C214B5" w:rsidP="00FD34A8" w:rsidRDefault="00C214B5" w14:paraId="7619901B" w14:textId="3F93F1DD">
      <w:pPr>
        <w:tabs>
          <w:tab w:val="left" w:pos="8931"/>
        </w:tabs>
        <w:spacing w:after="0" w:line="360" w:lineRule="auto"/>
        <w:contextualSpacing/>
        <w:rPr>
          <w:rFonts w:eastAsia="Calibri" w:cs="Tahoma"/>
          <w:lang w:val="es-ES"/>
        </w:rPr>
      </w:pPr>
      <w:r w:rsidRPr="009F7EDB">
        <w:rPr>
          <w:rFonts w:cs="Tahoma"/>
          <w:bCs/>
        </w:rPr>
        <w:t xml:space="preserve">Resolución del Pleno del Instituto de Transparencia, Acceso a la Información Pública y Protección de Datos Personales del Estado de México y Municipios, con domicilio en Metepec, </w:t>
      </w:r>
      <w:r w:rsidRPr="009F7EDB">
        <w:rPr>
          <w:rFonts w:eastAsia="Calibri" w:cs="Tahoma"/>
          <w:lang w:val="es-ES"/>
        </w:rPr>
        <w:t xml:space="preserve">Estado de México, de fecha </w:t>
      </w:r>
      <w:r w:rsidRPr="009F7EDB" w:rsidR="00E76E7B">
        <w:rPr>
          <w:rFonts w:eastAsia="Calibri" w:cs="Tahoma"/>
          <w:lang w:val="es-ES"/>
        </w:rPr>
        <w:t>quince</w:t>
      </w:r>
      <w:r w:rsidRPr="009F7EDB">
        <w:rPr>
          <w:rFonts w:eastAsia="Calibri" w:cs="Tahoma"/>
          <w:lang w:val="es-ES"/>
        </w:rPr>
        <w:t xml:space="preserve"> de marzo de dos mil veintitrés. </w:t>
      </w:r>
    </w:p>
    <w:p w:rsidRPr="009F7EDB" w:rsidR="00C214B5" w:rsidP="00FD34A8" w:rsidRDefault="00C214B5" w14:paraId="4DBA42E9" w14:textId="77777777">
      <w:pPr>
        <w:spacing w:after="0" w:line="360" w:lineRule="auto"/>
        <w:contextualSpacing/>
        <w:rPr>
          <w:rFonts w:eastAsia="Calibri" w:cs="Tahoma"/>
          <w:b/>
          <w:bCs/>
          <w:lang w:val="es-ES"/>
        </w:rPr>
      </w:pPr>
    </w:p>
    <w:p w:rsidRPr="009F7EDB" w:rsidR="00C214B5" w:rsidP="00FD34A8" w:rsidRDefault="00C214B5" w14:paraId="7DA5BC15" w14:textId="41E68E4B">
      <w:pPr>
        <w:spacing w:after="0" w:line="360" w:lineRule="auto"/>
        <w:contextualSpacing/>
        <w:rPr>
          <w:rFonts w:cs="Tahoma"/>
          <w:color w:val="0D0D0D" w:themeColor="text1" w:themeTint="F2"/>
        </w:rPr>
      </w:pPr>
      <w:r w:rsidRPr="23CFD16B" w:rsidR="23CFD16B">
        <w:rPr>
          <w:rFonts w:eastAsia="Calibri" w:cs="Tahoma"/>
          <w:b w:val="1"/>
          <w:bCs w:val="1"/>
          <w:lang w:val="es-ES"/>
        </w:rPr>
        <w:t xml:space="preserve">VISTO </w:t>
      </w:r>
      <w:r w:rsidRPr="23CFD16B" w:rsidR="23CFD16B">
        <w:rPr>
          <w:rFonts w:eastAsia="Calibri" w:cs="Tahoma"/>
          <w:lang w:val="es-ES"/>
        </w:rPr>
        <w:t xml:space="preserve">el expediente conformado con motivo del Recurso de Revisión </w:t>
      </w:r>
      <w:r w:rsidRPr="23CFD16B" w:rsidR="23CFD16B">
        <w:rPr>
          <w:rFonts w:eastAsia="Calibri" w:cs="Tahoma"/>
        </w:rPr>
        <w:t xml:space="preserve">00066/INFOEM/IP/RR/2022, interpuesto por </w:t>
      </w:r>
      <w:r w:rsidRPr="23CFD16B" w:rsidR="23CFD16B">
        <w:rPr>
          <w:rFonts w:eastAsia="Calibri" w:cs="Tahoma"/>
          <w:highlight w:val="black"/>
        </w:rPr>
        <w:t>XXXXXXXXXXXXXXXXXXX</w:t>
      </w:r>
      <w:r w:rsidRPr="23CFD16B" w:rsidR="23CFD16B">
        <w:rPr>
          <w:rFonts w:eastAsia="Calibri" w:cs="Tahoma"/>
        </w:rPr>
        <w:t>, en lo sucesivo el</w:t>
      </w:r>
      <w:r w:rsidRPr="23CFD16B" w:rsidR="23CFD16B">
        <w:rPr>
          <w:rFonts w:cs="Tahoma"/>
          <w:color w:val="0D0D0D" w:themeColor="text1" w:themeTint="F2" w:themeShade="FF"/>
        </w:rPr>
        <w:t xml:space="preserve"> Recurrente o Particular, en contra de la falta de respuesta del Sujeto Obligado, Ayuntamiento de Tequixquiac, a la solicitud de acceso a la información pública</w:t>
      </w:r>
      <w:r w:rsidRPr="23CFD16B" w:rsidR="23CFD16B">
        <w:rPr>
          <w:b w:val="1"/>
          <w:bCs w:val="1"/>
          <w:color w:val="FF0000"/>
        </w:rPr>
        <w:t> </w:t>
      </w:r>
      <w:r w:rsidR="23CFD16B">
        <w:rPr/>
        <w:t>00304/TEQUIXQU/IP/2022</w:t>
      </w:r>
      <w:r w:rsidRPr="23CFD16B" w:rsidR="23CFD16B">
        <w:rPr>
          <w:rFonts w:cs="Tahoma"/>
          <w:color w:val="0D0D0D" w:themeColor="text1" w:themeTint="F2" w:themeShade="FF"/>
        </w:rPr>
        <w:t>, se emite la presente Resolución, con base en los Antecedentes y Considerandos que se exponen a continuación:</w:t>
      </w:r>
    </w:p>
    <w:p w:rsidRPr="009F7EDB" w:rsidR="00C214B5" w:rsidP="00FD34A8" w:rsidRDefault="00C214B5" w14:paraId="5A2D70DB" w14:textId="77777777">
      <w:pPr>
        <w:spacing w:after="0" w:line="360" w:lineRule="auto"/>
        <w:contextualSpacing/>
        <w:rPr>
          <w:rFonts w:eastAsia="Calibri" w:cs="Tahoma"/>
          <w:b/>
          <w:bCs/>
          <w:lang w:val="es-ES"/>
        </w:rPr>
      </w:pPr>
    </w:p>
    <w:p w:rsidRPr="009F7EDB" w:rsidR="00C214B5" w:rsidP="00FD34A8" w:rsidRDefault="00C214B5" w14:paraId="1C4F6BE2" w14:textId="77777777">
      <w:pPr>
        <w:spacing w:after="0" w:line="360" w:lineRule="auto"/>
        <w:contextualSpacing/>
        <w:jc w:val="center"/>
        <w:rPr>
          <w:rFonts w:eastAsia="Calibri" w:cs="Tahoma"/>
          <w:b/>
          <w:bCs/>
          <w:lang w:val="es-ES"/>
        </w:rPr>
      </w:pPr>
      <w:r w:rsidRPr="009F7EDB">
        <w:rPr>
          <w:rFonts w:eastAsia="Calibri" w:cs="Tahoma"/>
          <w:b/>
          <w:bCs/>
          <w:lang w:val="es-ES"/>
        </w:rPr>
        <w:t>A N T E C E D E N T E S:</w:t>
      </w:r>
    </w:p>
    <w:p w:rsidRPr="009F7EDB" w:rsidR="00C214B5" w:rsidP="00FD34A8" w:rsidRDefault="00C214B5" w14:paraId="2DEA8D47" w14:textId="77777777">
      <w:pPr>
        <w:spacing w:after="0" w:line="360" w:lineRule="auto"/>
        <w:contextualSpacing/>
        <w:rPr>
          <w:lang w:val="es-ES"/>
        </w:rPr>
      </w:pPr>
    </w:p>
    <w:p w:rsidRPr="009F7EDB" w:rsidR="00C214B5" w:rsidP="00FD34A8" w:rsidRDefault="00C214B5" w14:paraId="1A3A9DE9" w14:textId="77777777">
      <w:pPr>
        <w:spacing w:after="0" w:line="360" w:lineRule="auto"/>
        <w:contextualSpacing/>
        <w:rPr>
          <w:rFonts w:eastAsia="Calibri" w:cs="Tahoma"/>
          <w:b/>
          <w:bCs/>
          <w:lang w:val="es-ES"/>
        </w:rPr>
      </w:pPr>
      <w:r w:rsidRPr="009F7EDB">
        <w:rPr>
          <w:rFonts w:eastAsia="Calibri" w:cs="Tahoma"/>
          <w:b/>
          <w:bCs/>
          <w:lang w:val="es-ES"/>
        </w:rPr>
        <w:t>I. Presentación de la solicitud de información.</w:t>
      </w:r>
    </w:p>
    <w:p w:rsidRPr="009F7EDB" w:rsidR="00C214B5" w:rsidP="00FD34A8" w:rsidRDefault="00C214B5" w14:paraId="55C8A133" w14:textId="77777777">
      <w:pPr>
        <w:spacing w:after="0" w:line="360" w:lineRule="auto"/>
        <w:contextualSpacing/>
        <w:rPr>
          <w:rFonts w:eastAsia="Calibri" w:cs="Tahoma"/>
          <w:b/>
          <w:bCs/>
          <w:lang w:val="es-ES"/>
        </w:rPr>
      </w:pPr>
    </w:p>
    <w:p w:rsidRPr="009F7EDB" w:rsidR="00C214B5" w:rsidP="00FD34A8" w:rsidRDefault="00C214B5" w14:paraId="0CDD0C27" w14:textId="3E52041B">
      <w:pPr>
        <w:spacing w:after="0" w:line="360" w:lineRule="auto"/>
        <w:contextualSpacing/>
        <w:rPr>
          <w:rFonts w:cs="Tahoma"/>
        </w:rPr>
      </w:pPr>
      <w:r w:rsidRPr="009F7EDB">
        <w:rPr>
          <w:rFonts w:eastAsia="Calibri" w:cs="Tahoma"/>
          <w:lang w:val="es-ES"/>
        </w:rPr>
        <w:t>Con fecha diecisiete de noviembre de dos mil veintidós, se presentó una solicitud de información del Particular, a través del Sistema de Acceso a la Información Mexiquense (SAIMEX), ante el</w:t>
      </w:r>
      <w:r w:rsidRPr="009F7EDB">
        <w:rPr>
          <w:color w:val="000000"/>
        </w:rPr>
        <w:t xml:space="preserve"> Ayuntamiento de Tequixquiac</w:t>
      </w:r>
      <w:r w:rsidRPr="009F7EDB">
        <w:rPr>
          <w:rFonts w:eastAsia="Calibri" w:cs="Tahoma"/>
        </w:rPr>
        <w:t xml:space="preserve">, </w:t>
      </w:r>
      <w:r w:rsidRPr="009F7EDB">
        <w:rPr>
          <w:rFonts w:cs="Tahoma"/>
        </w:rPr>
        <w:t>en los siguientes términos:</w:t>
      </w:r>
    </w:p>
    <w:p w:rsidRPr="009F7EDB" w:rsidR="00C214B5" w:rsidP="00FD34A8" w:rsidRDefault="00C214B5" w14:paraId="1727F9DB" w14:textId="77777777">
      <w:pPr>
        <w:spacing w:after="0" w:line="360" w:lineRule="auto"/>
        <w:contextualSpacing/>
        <w:rPr>
          <w:rFonts w:cs="Tahoma"/>
        </w:rPr>
      </w:pPr>
    </w:p>
    <w:p w:rsidRPr="009F7EDB" w:rsidR="00C214B5" w:rsidP="00FD34A8" w:rsidRDefault="00C214B5" w14:paraId="73A8F72F" w14:textId="77777777">
      <w:pPr>
        <w:tabs>
          <w:tab w:val="left" w:pos="4667"/>
        </w:tabs>
        <w:spacing w:after="0" w:line="360" w:lineRule="auto"/>
        <w:ind w:left="567" w:right="567"/>
        <w:contextualSpacing/>
        <w:rPr>
          <w:rFonts w:cs="Tahoma"/>
          <w:b/>
          <w:bCs/>
          <w:i/>
          <w:sz w:val="20"/>
          <w:szCs w:val="20"/>
        </w:rPr>
      </w:pPr>
      <w:r w:rsidRPr="009F7EDB">
        <w:rPr>
          <w:rFonts w:cs="Tahoma"/>
          <w:b/>
          <w:bCs/>
          <w:i/>
          <w:sz w:val="20"/>
          <w:szCs w:val="20"/>
        </w:rPr>
        <w:t>“DESCRIPCIÓN CLARA Y PRECISA DE LA INFORMACIÓN SOLICITADA</w:t>
      </w:r>
    </w:p>
    <w:p w:rsidRPr="009F7EDB" w:rsidR="00C214B5" w:rsidP="00FD34A8" w:rsidRDefault="00C214B5" w14:paraId="341FC1DB" w14:textId="2B92EB2E">
      <w:pPr>
        <w:spacing w:after="0" w:line="360" w:lineRule="auto"/>
        <w:ind w:left="567" w:right="567"/>
        <w:contextualSpacing/>
        <w:rPr>
          <w:rFonts w:eastAsia="Times New Roman" w:cs="Arial"/>
          <w:bCs/>
          <w:i/>
          <w:sz w:val="20"/>
          <w:szCs w:val="20"/>
          <w:lang w:eastAsia="es-ES"/>
        </w:rPr>
      </w:pPr>
      <w:r w:rsidRPr="009F7EDB">
        <w:rPr>
          <w:i/>
          <w:color w:val="000000"/>
          <w:sz w:val="20"/>
          <w:szCs w:val="20"/>
        </w:rPr>
        <w:t xml:space="preserve">El Municipio en su administración pública ¿cuenta o no con una unidad administrativa denominada “Secretaría Técnica” o equivalente Señalar el nombre oficial de la unidad administrativa. -¿Que jerarquía administrativa tiene la Secretaría Técnica ? (Dirección, Subdirección, coordinación, etc.) y ¿dónde se ubica en el organigrama municipal de gobierno? (de quien depende). -Señalar el nombre, grado de estudios, plaza nominal, puesto y sueldo bruto del secretario técnico o equivalente. Necesito todos los recibos de nómina desde que entro hasta el día </w:t>
      </w:r>
      <w:r w:rsidRPr="009F7EDB">
        <w:rPr>
          <w:i/>
          <w:color w:val="000000"/>
          <w:sz w:val="20"/>
          <w:szCs w:val="20"/>
        </w:rPr>
        <w:lastRenderedPageBreak/>
        <w:t>15 de noviembre del 2022 en versión publica, expediente completo que se encuentra en administración en versión publica.</w:t>
      </w:r>
      <w:r w:rsidRPr="009F7EDB">
        <w:rPr>
          <w:rFonts w:cs="Tahoma"/>
          <w:bCs/>
          <w:i/>
          <w:sz w:val="20"/>
          <w:szCs w:val="20"/>
        </w:rPr>
        <w:t xml:space="preserve">” </w:t>
      </w:r>
      <w:r w:rsidRPr="009F7EDB">
        <w:rPr>
          <w:rFonts w:eastAsia="Times New Roman" w:cs="Arial"/>
          <w:bCs/>
          <w:i/>
          <w:sz w:val="20"/>
          <w:szCs w:val="20"/>
          <w:lang w:eastAsia="es-ES"/>
        </w:rPr>
        <w:t>(Sic)</w:t>
      </w:r>
    </w:p>
    <w:p w:rsidRPr="009F7EDB" w:rsidR="00C214B5" w:rsidP="00FD34A8" w:rsidRDefault="00C214B5" w14:paraId="415CCB18" w14:textId="77777777">
      <w:pPr>
        <w:tabs>
          <w:tab w:val="left" w:pos="4667"/>
        </w:tabs>
        <w:spacing w:after="0" w:line="360" w:lineRule="auto"/>
        <w:ind w:left="567" w:right="567"/>
        <w:contextualSpacing/>
        <w:rPr>
          <w:rFonts w:cs="Tahoma"/>
          <w:bCs/>
          <w:i/>
          <w:sz w:val="20"/>
          <w:szCs w:val="20"/>
        </w:rPr>
      </w:pPr>
    </w:p>
    <w:p w:rsidRPr="009F7EDB" w:rsidR="00C214B5" w:rsidP="00FD34A8" w:rsidRDefault="00C214B5" w14:paraId="1FE83E13" w14:textId="77777777">
      <w:pPr>
        <w:tabs>
          <w:tab w:val="left" w:pos="4667"/>
        </w:tabs>
        <w:spacing w:after="0" w:line="360" w:lineRule="auto"/>
        <w:ind w:left="567" w:right="567"/>
        <w:contextualSpacing/>
        <w:rPr>
          <w:rFonts w:eastAsia="Times New Roman" w:cs="Tahoma"/>
          <w:b/>
          <w:bCs/>
          <w:i/>
          <w:iCs/>
          <w:color w:val="auto"/>
          <w:sz w:val="20"/>
          <w:szCs w:val="20"/>
          <w:lang w:eastAsia="es-ES"/>
        </w:rPr>
      </w:pPr>
      <w:r w:rsidRPr="009F7EDB">
        <w:rPr>
          <w:rFonts w:eastAsia="Times New Roman" w:cs="Tahoma"/>
          <w:b/>
          <w:bCs/>
          <w:i/>
          <w:iCs/>
          <w:color w:val="auto"/>
          <w:sz w:val="20"/>
          <w:szCs w:val="20"/>
          <w:lang w:eastAsia="es-ES"/>
        </w:rPr>
        <w:t>“MODALIDAD DE ENTREGA</w:t>
      </w:r>
    </w:p>
    <w:p w:rsidRPr="009F7EDB" w:rsidR="00C214B5" w:rsidP="00FD34A8" w:rsidRDefault="00C214B5" w14:paraId="2BA21706" w14:textId="77777777">
      <w:pPr>
        <w:spacing w:after="0" w:line="360" w:lineRule="auto"/>
        <w:ind w:left="567" w:right="567"/>
        <w:contextualSpacing/>
        <w:rPr>
          <w:rFonts w:eastAsia="Times New Roman" w:cs="Arial"/>
          <w:bCs/>
          <w:i/>
          <w:iCs/>
          <w:color w:val="auto"/>
          <w:sz w:val="20"/>
          <w:szCs w:val="20"/>
          <w:lang w:eastAsia="es-ES"/>
        </w:rPr>
      </w:pPr>
      <w:r w:rsidRPr="009F7EDB">
        <w:rPr>
          <w:rFonts w:eastAsia="Times New Roman" w:cs="Arial"/>
          <w:bCs/>
          <w:i/>
          <w:iCs/>
          <w:color w:val="auto"/>
          <w:sz w:val="20"/>
          <w:szCs w:val="20"/>
          <w:lang w:eastAsia="es-ES"/>
        </w:rPr>
        <w:t>A través del SAIMEX” (Sic)</w:t>
      </w:r>
    </w:p>
    <w:p w:rsidRPr="009F7EDB" w:rsidR="00C214B5" w:rsidP="00FD34A8" w:rsidRDefault="00C214B5" w14:paraId="10133D42" w14:textId="77777777">
      <w:pPr>
        <w:spacing w:after="0" w:line="360" w:lineRule="auto"/>
        <w:ind w:right="567"/>
        <w:contextualSpacing/>
        <w:rPr>
          <w:rFonts w:eastAsia="Times New Roman" w:cs="Arial"/>
          <w:bCs/>
          <w:i/>
          <w:iCs/>
          <w:color w:val="auto"/>
          <w:szCs w:val="20"/>
          <w:lang w:eastAsia="es-ES"/>
        </w:rPr>
      </w:pPr>
    </w:p>
    <w:p w:rsidRPr="009F7EDB" w:rsidR="00C214B5" w:rsidP="00FD34A8" w:rsidRDefault="00C214B5" w14:paraId="021C57FF" w14:textId="7781C79D">
      <w:pPr>
        <w:tabs>
          <w:tab w:val="left" w:pos="4667"/>
        </w:tabs>
        <w:spacing w:after="0" w:line="360" w:lineRule="auto"/>
        <w:ind w:right="567"/>
        <w:contextualSpacing/>
        <w:rPr>
          <w:rFonts w:cs="Tahoma"/>
          <w:b/>
          <w:bCs/>
        </w:rPr>
      </w:pPr>
      <w:r w:rsidRPr="009F7EDB">
        <w:rPr>
          <w:rStyle w:val="normaltextrun"/>
          <w:rFonts w:cs="Segoe UI"/>
          <w:b/>
          <w:bCs/>
        </w:rPr>
        <w:t xml:space="preserve">II. </w:t>
      </w:r>
      <w:r w:rsidRPr="009F7EDB">
        <w:rPr>
          <w:rFonts w:cs="Tahoma"/>
          <w:b/>
          <w:bCs/>
        </w:rPr>
        <w:t xml:space="preserve">Prórroga para atender su solicitud de información. </w:t>
      </w:r>
    </w:p>
    <w:p w:rsidRPr="009F7EDB" w:rsidR="00FD34A8" w:rsidP="00FD34A8" w:rsidRDefault="00FD34A8" w14:paraId="48D3D768" w14:textId="77777777">
      <w:pPr>
        <w:tabs>
          <w:tab w:val="left" w:pos="4667"/>
        </w:tabs>
        <w:spacing w:after="0" w:line="360" w:lineRule="auto"/>
        <w:ind w:right="567"/>
        <w:contextualSpacing/>
        <w:rPr>
          <w:rFonts w:cs="Tahoma"/>
          <w:b/>
          <w:bCs/>
        </w:rPr>
      </w:pPr>
    </w:p>
    <w:p w:rsidRPr="009F7EDB" w:rsidR="00C214B5" w:rsidP="00FD34A8" w:rsidRDefault="00C214B5" w14:paraId="0097D569" w14:textId="415CF3EC">
      <w:pPr>
        <w:tabs>
          <w:tab w:val="left" w:pos="4667"/>
        </w:tabs>
        <w:spacing w:after="0" w:line="360" w:lineRule="auto"/>
        <w:contextualSpacing/>
      </w:pPr>
      <w:r w:rsidRPr="009F7EDB">
        <w:rPr>
          <w:rFonts w:cs="Tahoma"/>
        </w:rPr>
        <w:t xml:space="preserve">Con fecha nueve de diciembre de mil veintidós, el Sujeto Obligado, a través del Sistema de Acceso a la Información Mexiquense (SAIMEX), notificó una prórroga, mediante la cual aprueba la ampliación de término para atender la solicitud de información, en términos del Acta de la </w:t>
      </w:r>
      <w:r w:rsidRPr="009F7EDB" w:rsidR="00FF3A39">
        <w:rPr>
          <w:rFonts w:cs="Tahoma"/>
        </w:rPr>
        <w:t>Décimo Octava</w:t>
      </w:r>
      <w:r w:rsidRPr="009F7EDB">
        <w:rPr>
          <w:rFonts w:cs="Tahoma"/>
        </w:rPr>
        <w:t xml:space="preserve"> Sesión Extraordinaria del Comité de Transparencia del Ayuntamiento de </w:t>
      </w:r>
      <w:r w:rsidRPr="009F7EDB" w:rsidR="00FF3A39">
        <w:rPr>
          <w:rFonts w:cs="Tahoma"/>
        </w:rPr>
        <w:t xml:space="preserve">Tequixquiac, </w:t>
      </w:r>
      <w:r w:rsidRPr="009F7EDB">
        <w:rPr>
          <w:rFonts w:cs="Tahoma"/>
        </w:rPr>
        <w:t xml:space="preserve">número </w:t>
      </w:r>
      <w:r w:rsidRPr="009F7EDB" w:rsidR="00FF3A39">
        <w:t>TRANSPARENCIA/ACTA-EXTRA-0018/2022</w:t>
      </w:r>
      <w:r w:rsidRPr="009F7EDB">
        <w:t>.</w:t>
      </w:r>
    </w:p>
    <w:p w:rsidRPr="009F7EDB" w:rsidR="00C214B5" w:rsidP="00FD34A8" w:rsidRDefault="00C214B5" w14:paraId="2528C38F" w14:textId="77777777">
      <w:pPr>
        <w:tabs>
          <w:tab w:val="left" w:pos="4667"/>
        </w:tabs>
        <w:spacing w:after="0" w:line="360" w:lineRule="auto"/>
        <w:contextualSpacing/>
      </w:pPr>
    </w:p>
    <w:p w:rsidRPr="009F7EDB" w:rsidR="00C214B5" w:rsidP="00FD34A8" w:rsidRDefault="00C214B5" w14:paraId="4B879C94" w14:textId="4E80044C">
      <w:pPr>
        <w:pStyle w:val="paragraph"/>
        <w:spacing w:before="0" w:beforeAutospacing="0" w:after="0" w:afterAutospacing="0" w:line="360" w:lineRule="auto"/>
        <w:contextualSpacing/>
        <w:jc w:val="both"/>
        <w:textAlignment w:val="baseline"/>
        <w:rPr>
          <w:rFonts w:ascii="Palatino Linotype" w:hAnsi="Palatino Linotype" w:cs="Segoe UI"/>
          <w:sz w:val="18"/>
          <w:szCs w:val="18"/>
          <w:lang w:val="es-MX"/>
        </w:rPr>
      </w:pPr>
      <w:r w:rsidRPr="009F7EDB">
        <w:rPr>
          <w:rStyle w:val="normaltextrun"/>
          <w:rFonts w:ascii="Palatino Linotype" w:hAnsi="Palatino Linotype" w:cs="Segoe UI"/>
          <w:b/>
          <w:bCs/>
          <w:sz w:val="20"/>
          <w:szCs w:val="20"/>
          <w:lang w:val="es-MX"/>
        </w:rPr>
        <w:t xml:space="preserve">III. </w:t>
      </w:r>
      <w:r w:rsidRPr="009F7EDB">
        <w:rPr>
          <w:rFonts w:ascii="Palatino Linotype" w:hAnsi="Palatino Linotype" w:cs="Tahoma"/>
          <w:b/>
          <w:lang w:val="es-MX" w:eastAsia="es-ES"/>
        </w:rPr>
        <w:t>Respuesta</w:t>
      </w:r>
      <w:r w:rsidRPr="009F7EDB">
        <w:rPr>
          <w:rFonts w:ascii="Palatino Linotype" w:hAnsi="Palatino Linotype" w:cs="Tahoma"/>
          <w:b/>
          <w:bCs/>
          <w:lang w:val="es-MX" w:eastAsia="es-ES"/>
        </w:rPr>
        <w:t xml:space="preserve"> del Sujeto Obligado.</w:t>
      </w:r>
    </w:p>
    <w:p w:rsidRPr="009F7EDB" w:rsidR="00C214B5" w:rsidP="00FD34A8" w:rsidRDefault="00C214B5" w14:paraId="2C8EC07E" w14:textId="77777777">
      <w:pPr>
        <w:spacing w:after="0" w:line="360" w:lineRule="auto"/>
        <w:contextualSpacing/>
        <w:rPr>
          <w:rFonts w:eastAsia="Calibri" w:cs="Tahoma"/>
          <w:b/>
          <w:bCs/>
        </w:rPr>
      </w:pPr>
    </w:p>
    <w:p w:rsidRPr="009F7EDB" w:rsidR="00C214B5" w:rsidP="00FD34A8" w:rsidRDefault="00C214B5" w14:paraId="7B7B7CBC" w14:textId="60DD4D3C">
      <w:pPr>
        <w:autoSpaceDE w:val="0"/>
        <w:autoSpaceDN w:val="0"/>
        <w:adjustRightInd w:val="0"/>
        <w:spacing w:after="0" w:line="360" w:lineRule="auto"/>
        <w:contextualSpacing/>
        <w:rPr>
          <w:rFonts w:eastAsia="Calibri" w:cs="Tahoma"/>
          <w:color w:val="000000"/>
          <w:lang w:val="es-ES"/>
        </w:rPr>
      </w:pPr>
      <w:r w:rsidRPr="009F7EDB">
        <w:rPr>
          <w:rFonts w:eastAsia="Calibri" w:cs="Tahoma"/>
          <w:color w:val="000000"/>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9F7EDB">
        <w:rPr>
          <w:rFonts w:eastAsia="Calibri" w:cs="Tahoma"/>
          <w:color w:val="000000"/>
          <w:lang w:val="es-ES"/>
        </w:rPr>
        <w:t xml:space="preserve">Sistema de Acceso a la Información Mexiquense (SAIMEX), se advierte que el </w:t>
      </w:r>
      <w:r w:rsidRPr="009F7EDB">
        <w:rPr>
          <w:color w:val="000000"/>
        </w:rPr>
        <w:t xml:space="preserve">Ayuntamiento de </w:t>
      </w:r>
      <w:r w:rsidRPr="009F7EDB" w:rsidR="00FF3A39">
        <w:rPr>
          <w:color w:val="000000"/>
        </w:rPr>
        <w:t>Tequixquiac</w:t>
      </w:r>
      <w:r w:rsidRPr="009F7EDB">
        <w:rPr>
          <w:rFonts w:eastAsia="Calibri" w:cs="Tahoma"/>
          <w:color w:val="000000"/>
        </w:rPr>
        <w:t>,</w:t>
      </w:r>
      <w:r w:rsidRPr="009F7EDB">
        <w:rPr>
          <w:rFonts w:eastAsia="Calibri" w:cs="Tahoma"/>
          <w:bCs/>
          <w:color w:val="000000"/>
        </w:rPr>
        <w:t xml:space="preserve"> omitió dar respuesta a la solicitud de información, por lo que </w:t>
      </w:r>
      <w:r w:rsidRPr="009F7EDB">
        <w:rPr>
          <w:rFonts w:eastAsia="Calibri" w:cs="Tahoma"/>
          <w:b/>
          <w:color w:val="000000"/>
        </w:rPr>
        <w:t xml:space="preserve">se configura la </w:t>
      </w:r>
      <w:r w:rsidRPr="009F7EDB">
        <w:rPr>
          <w:rFonts w:eastAsia="Calibri" w:cs="Tahoma"/>
          <w:b/>
          <w:color w:val="000000"/>
          <w:lang w:val="es-ES"/>
        </w:rPr>
        <w:t>negativa ficta</w:t>
      </w:r>
      <w:r w:rsidRPr="009F7EDB">
        <w:rPr>
          <w:rFonts w:eastAsia="Calibri" w:cs="Tahoma"/>
          <w:color w:val="000000"/>
          <w:lang w:val="es-ES"/>
        </w:rPr>
        <w:t xml:space="preserve"> a entregar información, prevista en los artículos 166, párrafo cuarto y 178, párrafo segundo, de la Ley de Transparencia y Acceso a la Información Pública del Estado de México y Municipios.</w:t>
      </w:r>
    </w:p>
    <w:p w:rsidRPr="009F7EDB" w:rsidR="00FF3A39" w:rsidP="00FD34A8" w:rsidRDefault="00FF3A39" w14:paraId="32A5C54F" w14:textId="77777777">
      <w:pPr>
        <w:autoSpaceDE w:val="0"/>
        <w:autoSpaceDN w:val="0"/>
        <w:adjustRightInd w:val="0"/>
        <w:spacing w:after="0" w:line="360" w:lineRule="auto"/>
        <w:contextualSpacing/>
        <w:rPr>
          <w:rFonts w:eastAsia="Calibri" w:cs="Tahoma"/>
          <w:b/>
          <w:color w:val="000000"/>
        </w:rPr>
      </w:pPr>
    </w:p>
    <w:p w:rsidRPr="009F7EDB" w:rsidR="00C214B5" w:rsidP="00FD34A8" w:rsidRDefault="00FF3A39" w14:paraId="354EB894" w14:textId="12A72E3E">
      <w:pPr>
        <w:autoSpaceDE w:val="0"/>
        <w:autoSpaceDN w:val="0"/>
        <w:adjustRightInd w:val="0"/>
        <w:spacing w:after="0" w:line="360" w:lineRule="auto"/>
        <w:contextualSpacing/>
        <w:rPr>
          <w:rFonts w:eastAsia="Calibri" w:cs="Tahoma"/>
          <w:b/>
          <w:color w:val="000000"/>
        </w:rPr>
      </w:pPr>
      <w:r w:rsidRPr="009F7EDB">
        <w:rPr>
          <w:rFonts w:eastAsia="Calibri" w:cs="Tahoma"/>
          <w:b/>
          <w:color w:val="000000"/>
        </w:rPr>
        <w:t>I</w:t>
      </w:r>
      <w:r w:rsidRPr="009F7EDB" w:rsidR="00C214B5">
        <w:rPr>
          <w:rFonts w:eastAsia="Calibri" w:cs="Tahoma"/>
          <w:b/>
          <w:color w:val="000000"/>
        </w:rPr>
        <w:t xml:space="preserve">V. Interposición del Recurso de Revisión. </w:t>
      </w:r>
    </w:p>
    <w:p w:rsidRPr="009F7EDB" w:rsidR="00C214B5" w:rsidP="00FD34A8" w:rsidRDefault="00C214B5" w14:paraId="280BE095" w14:textId="77777777">
      <w:pPr>
        <w:spacing w:after="0" w:line="360" w:lineRule="auto"/>
        <w:contextualSpacing/>
        <w:rPr>
          <w:rFonts w:eastAsia="Times New Roman" w:cs="Tahoma"/>
          <w:bCs/>
          <w:color w:val="auto"/>
          <w:lang w:eastAsia="es-ES"/>
        </w:rPr>
      </w:pPr>
    </w:p>
    <w:p w:rsidRPr="009F7EDB" w:rsidR="00C214B5" w:rsidP="00FD34A8" w:rsidRDefault="00C214B5" w14:paraId="6AB36D4C" w14:textId="0BE1BE6B">
      <w:pPr>
        <w:spacing w:after="0" w:line="360" w:lineRule="auto"/>
        <w:contextualSpacing/>
        <w:rPr>
          <w:bCs/>
        </w:rPr>
      </w:pPr>
      <w:r w:rsidRPr="009F7EDB">
        <w:rPr>
          <w:rFonts w:eastAsia="Times New Roman" w:cs="Tahoma"/>
          <w:bCs/>
          <w:color w:val="auto"/>
          <w:lang w:val="es-ES" w:eastAsia="es-ES"/>
        </w:rPr>
        <w:lastRenderedPageBreak/>
        <w:t xml:space="preserve">Con fecha </w:t>
      </w:r>
      <w:r w:rsidRPr="009F7EDB" w:rsidR="00FF3A39">
        <w:rPr>
          <w:rFonts w:eastAsia="Times New Roman" w:cs="Tahoma"/>
          <w:bCs/>
          <w:color w:val="auto"/>
          <w:lang w:val="es-ES" w:eastAsia="es-ES"/>
        </w:rPr>
        <w:t>nueve de enero</w:t>
      </w:r>
      <w:r w:rsidRPr="009F7EDB">
        <w:rPr>
          <w:rFonts w:eastAsia="Times New Roman" w:cs="Tahoma"/>
          <w:bCs/>
          <w:color w:val="auto"/>
          <w:lang w:val="es-ES" w:eastAsia="es-ES"/>
        </w:rPr>
        <w:t xml:space="preserve"> de dos mil veinti</w:t>
      </w:r>
      <w:r w:rsidRPr="009F7EDB" w:rsidR="00FF3A39">
        <w:rPr>
          <w:rFonts w:eastAsia="Times New Roman" w:cs="Tahoma"/>
          <w:bCs/>
          <w:color w:val="auto"/>
          <w:lang w:val="es-ES" w:eastAsia="es-ES"/>
        </w:rPr>
        <w:t>tré</w:t>
      </w:r>
      <w:r w:rsidRPr="009F7EDB">
        <w:rPr>
          <w:rFonts w:eastAsia="Times New Roman" w:cs="Tahoma"/>
          <w:bCs/>
          <w:color w:val="auto"/>
          <w:lang w:val="es-ES" w:eastAsia="es-ES"/>
        </w:rPr>
        <w:t xml:space="preserve">s, </w:t>
      </w:r>
      <w:r w:rsidRPr="009F7EDB">
        <w:rPr>
          <w:rFonts w:eastAsia="Times New Roman" w:cs="Tahoma"/>
          <w:bCs/>
          <w:color w:val="auto"/>
          <w:lang w:eastAsia="es-ES"/>
        </w:rPr>
        <w:t xml:space="preserve">se tuvo por recibido en este Instituto, a través del </w:t>
      </w:r>
      <w:r w:rsidRPr="009F7EDB">
        <w:rPr>
          <w:rFonts w:eastAsia="Times New Roman" w:cs="Tahoma"/>
          <w:bCs/>
          <w:color w:val="auto"/>
          <w:lang w:val="es-ES" w:eastAsia="es-ES"/>
        </w:rPr>
        <w:t>Sistema de Acceso a la Información Mexiquense (SAIMEX)</w:t>
      </w:r>
      <w:r w:rsidRPr="009F7EDB">
        <w:rPr>
          <w:rFonts w:eastAsia="Times New Roman" w:cs="Tahoma"/>
          <w:bCs/>
          <w:color w:val="auto"/>
          <w:lang w:eastAsia="es-ES"/>
        </w:rPr>
        <w:t>, el Recurso de Revisión interpuesto por la parte Recurrente, en contra de la falta de respuesta del Sujeto Obligado,</w:t>
      </w:r>
      <w:r w:rsidRPr="009F7EDB">
        <w:rPr>
          <w:rFonts w:cs="Tahoma"/>
          <w:b/>
          <w:lang w:eastAsia="es-ES"/>
        </w:rPr>
        <w:t xml:space="preserve"> </w:t>
      </w:r>
      <w:r w:rsidRPr="009F7EDB" w:rsidR="00FF3A39">
        <w:rPr>
          <w:rFonts w:eastAsia="Times New Roman" w:cs="Tahoma"/>
          <w:b/>
          <w:color w:val="auto"/>
          <w:lang w:eastAsia="es-ES"/>
        </w:rPr>
        <w:t xml:space="preserve">ya que si bien, se registró, el treinta de diciembre de dos mil veintidós,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tuvo por recibida el día hábil subsecuente, </w:t>
      </w:r>
      <w:r w:rsidRPr="009F7EDB">
        <w:rPr>
          <w:rFonts w:cs="Tahoma"/>
          <w:lang w:eastAsia="es-ES"/>
        </w:rPr>
        <w:t>en los siguientes términos:</w:t>
      </w:r>
    </w:p>
    <w:p w:rsidRPr="009F7EDB" w:rsidR="00C214B5" w:rsidP="00FD34A8" w:rsidRDefault="00C214B5" w14:paraId="0074ED28" w14:textId="77777777">
      <w:pPr>
        <w:spacing w:after="0" w:line="360" w:lineRule="auto"/>
        <w:contextualSpacing/>
        <w:rPr>
          <w:rFonts w:eastAsia="Times New Roman" w:cs="Tahoma"/>
          <w:bCs/>
          <w:color w:val="auto"/>
          <w:lang w:eastAsia="es-ES"/>
        </w:rPr>
      </w:pPr>
    </w:p>
    <w:p w:rsidRPr="009F7EDB" w:rsidR="00C214B5" w:rsidP="00FD34A8" w:rsidRDefault="00C214B5" w14:paraId="20BAC444" w14:textId="77777777">
      <w:pPr>
        <w:spacing w:after="0" w:line="360" w:lineRule="auto"/>
        <w:ind w:left="567" w:right="567"/>
        <w:contextualSpacing/>
        <w:rPr>
          <w:rFonts w:eastAsia="Times New Roman" w:cs="Tahoma"/>
          <w:b/>
          <w:bCs/>
          <w:i/>
          <w:color w:val="auto"/>
          <w:sz w:val="20"/>
          <w:szCs w:val="20"/>
          <w:lang w:eastAsia="es-ES"/>
        </w:rPr>
      </w:pPr>
      <w:r w:rsidRPr="009F7EDB">
        <w:rPr>
          <w:rFonts w:eastAsia="Times New Roman" w:cs="Tahoma"/>
          <w:b/>
          <w:bCs/>
          <w:i/>
          <w:color w:val="auto"/>
          <w:sz w:val="20"/>
          <w:szCs w:val="20"/>
          <w:lang w:eastAsia="es-ES"/>
        </w:rPr>
        <w:t>“ACTO IMPUGNADO</w:t>
      </w:r>
    </w:p>
    <w:p w:rsidRPr="009F7EDB" w:rsidR="00C214B5" w:rsidP="00FD34A8" w:rsidRDefault="00C214B5" w14:paraId="3808290A" w14:textId="591EF745">
      <w:pPr>
        <w:spacing w:after="0" w:line="360" w:lineRule="auto"/>
        <w:ind w:left="567" w:right="567"/>
        <w:contextualSpacing/>
        <w:rPr>
          <w:rFonts w:eastAsia="Times New Roman" w:cs="Tahoma"/>
          <w:bCs/>
          <w:i/>
          <w:iCs/>
          <w:color w:val="auto"/>
          <w:sz w:val="20"/>
          <w:szCs w:val="20"/>
          <w:lang w:eastAsia="es-ES"/>
        </w:rPr>
      </w:pPr>
      <w:r w:rsidRPr="009F7EDB">
        <w:rPr>
          <w:i/>
          <w:iCs/>
          <w:color w:val="000000"/>
          <w:sz w:val="20"/>
          <w:szCs w:val="20"/>
        </w:rPr>
        <w:t>No entrega</w:t>
      </w:r>
      <w:r w:rsidRPr="009F7EDB" w:rsidR="00FF3A39">
        <w:rPr>
          <w:i/>
          <w:iCs/>
          <w:color w:val="000000"/>
          <w:sz w:val="20"/>
          <w:szCs w:val="20"/>
        </w:rPr>
        <w:t>n</w:t>
      </w:r>
      <w:r w:rsidRPr="009F7EDB">
        <w:rPr>
          <w:i/>
          <w:iCs/>
          <w:color w:val="000000"/>
          <w:sz w:val="20"/>
          <w:szCs w:val="20"/>
        </w:rPr>
        <w:t xml:space="preserve"> información</w:t>
      </w:r>
      <w:r w:rsidRPr="009F7EDB">
        <w:rPr>
          <w:i/>
          <w:iCs/>
          <w:sz w:val="20"/>
          <w:szCs w:val="20"/>
        </w:rPr>
        <w:t>”</w:t>
      </w:r>
      <w:r w:rsidRPr="009F7EDB">
        <w:rPr>
          <w:bCs/>
          <w:i/>
          <w:iCs/>
          <w:sz w:val="20"/>
          <w:szCs w:val="20"/>
        </w:rPr>
        <w:t xml:space="preserve"> </w:t>
      </w:r>
      <w:r w:rsidRPr="009F7EDB">
        <w:rPr>
          <w:rFonts w:eastAsia="Times New Roman" w:cs="Tahoma"/>
          <w:bCs/>
          <w:i/>
          <w:iCs/>
          <w:color w:val="auto"/>
          <w:sz w:val="20"/>
          <w:szCs w:val="20"/>
          <w:lang w:eastAsia="es-ES"/>
        </w:rPr>
        <w:t>(Sic)</w:t>
      </w:r>
    </w:p>
    <w:p w:rsidRPr="009F7EDB" w:rsidR="00C214B5" w:rsidP="00FD34A8" w:rsidRDefault="00C214B5" w14:paraId="2C1B3CCA" w14:textId="77777777">
      <w:pPr>
        <w:spacing w:after="0" w:line="360" w:lineRule="auto"/>
        <w:ind w:left="567" w:right="567"/>
        <w:contextualSpacing/>
        <w:rPr>
          <w:rFonts w:eastAsia="Times New Roman" w:cs="Tahoma"/>
          <w:bCs/>
          <w:i/>
          <w:color w:val="auto"/>
          <w:sz w:val="20"/>
          <w:szCs w:val="20"/>
          <w:lang w:eastAsia="es-ES"/>
        </w:rPr>
      </w:pPr>
    </w:p>
    <w:p w:rsidRPr="009F7EDB" w:rsidR="00C214B5" w:rsidP="00FD34A8" w:rsidRDefault="00C214B5" w14:paraId="2BF7CC94" w14:textId="77777777">
      <w:pPr>
        <w:spacing w:after="0" w:line="360" w:lineRule="auto"/>
        <w:ind w:left="567" w:right="567"/>
        <w:contextualSpacing/>
        <w:rPr>
          <w:rFonts w:eastAsia="Times New Roman" w:cs="Tahoma"/>
          <w:b/>
          <w:bCs/>
          <w:i/>
          <w:color w:val="auto"/>
          <w:sz w:val="20"/>
          <w:szCs w:val="20"/>
          <w:lang w:eastAsia="es-ES"/>
        </w:rPr>
      </w:pPr>
      <w:r w:rsidRPr="009F7EDB">
        <w:rPr>
          <w:rFonts w:eastAsia="Times New Roman" w:cs="Tahoma"/>
          <w:b/>
          <w:bCs/>
          <w:i/>
          <w:color w:val="auto"/>
          <w:sz w:val="20"/>
          <w:szCs w:val="20"/>
          <w:lang w:eastAsia="es-ES"/>
        </w:rPr>
        <w:t>“RAZONES O MOTIVOS DE LA INCONFORMIDAD</w:t>
      </w:r>
    </w:p>
    <w:p w:rsidRPr="009F7EDB" w:rsidR="00C214B5" w:rsidP="00FD34A8" w:rsidRDefault="00C214B5" w14:paraId="5C701046" w14:textId="1400F799">
      <w:pPr>
        <w:spacing w:after="0" w:line="360" w:lineRule="auto"/>
        <w:ind w:left="567" w:right="567"/>
        <w:contextualSpacing/>
        <w:rPr>
          <w:rFonts w:eastAsia="Times New Roman" w:cs="Tahoma"/>
          <w:bCs/>
          <w:color w:val="auto"/>
          <w:sz w:val="20"/>
          <w:szCs w:val="20"/>
          <w:lang w:eastAsia="es-ES"/>
        </w:rPr>
      </w:pPr>
      <w:r w:rsidRPr="009F7EDB">
        <w:rPr>
          <w:i/>
          <w:iCs/>
          <w:color w:val="000000"/>
          <w:sz w:val="20"/>
          <w:szCs w:val="20"/>
        </w:rPr>
        <w:t>No entrega</w:t>
      </w:r>
      <w:r w:rsidRPr="009F7EDB" w:rsidR="00FF3A39">
        <w:rPr>
          <w:i/>
          <w:iCs/>
          <w:color w:val="000000"/>
          <w:sz w:val="20"/>
          <w:szCs w:val="20"/>
        </w:rPr>
        <w:t>n</w:t>
      </w:r>
      <w:r w:rsidRPr="009F7EDB">
        <w:rPr>
          <w:i/>
          <w:iCs/>
          <w:color w:val="000000"/>
          <w:sz w:val="20"/>
          <w:szCs w:val="20"/>
        </w:rPr>
        <w:t xml:space="preserve"> información</w:t>
      </w:r>
      <w:r w:rsidRPr="009F7EDB">
        <w:rPr>
          <w:i/>
          <w:color w:val="000000"/>
          <w:sz w:val="20"/>
          <w:szCs w:val="20"/>
        </w:rPr>
        <w:t>”</w:t>
      </w:r>
      <w:r w:rsidRPr="009F7EDB">
        <w:rPr>
          <w:bCs/>
          <w:i/>
          <w:color w:val="000000"/>
          <w:sz w:val="20"/>
          <w:szCs w:val="20"/>
        </w:rPr>
        <w:t xml:space="preserve"> </w:t>
      </w:r>
      <w:r w:rsidRPr="009F7EDB">
        <w:rPr>
          <w:rFonts w:eastAsia="Times New Roman" w:cs="Tahoma"/>
          <w:bCs/>
          <w:i/>
          <w:color w:val="auto"/>
          <w:sz w:val="20"/>
          <w:szCs w:val="20"/>
          <w:lang w:eastAsia="es-ES"/>
        </w:rPr>
        <w:t>(Sic)</w:t>
      </w:r>
    </w:p>
    <w:p w:rsidRPr="009F7EDB" w:rsidR="00C214B5" w:rsidP="00FD34A8" w:rsidRDefault="00C214B5" w14:paraId="522D2459" w14:textId="77777777">
      <w:pPr>
        <w:spacing w:after="0" w:line="360" w:lineRule="auto"/>
        <w:contextualSpacing/>
        <w:rPr>
          <w:rFonts w:eastAsia="Calibri" w:cs="Tahoma"/>
          <w:b/>
          <w:color w:val="000000"/>
        </w:rPr>
      </w:pPr>
    </w:p>
    <w:p w:rsidRPr="009F7EDB" w:rsidR="00C214B5" w:rsidP="00FD34A8" w:rsidRDefault="00C214B5" w14:paraId="28D838C9" w14:textId="220D17AD">
      <w:pPr>
        <w:spacing w:after="0" w:line="360" w:lineRule="auto"/>
        <w:contextualSpacing/>
        <w:rPr>
          <w:rFonts w:eastAsia="Batang" w:cs="Tahoma"/>
          <w:b/>
          <w:bCs/>
          <w:color w:val="000000"/>
        </w:rPr>
      </w:pPr>
      <w:r w:rsidRPr="009F7EDB">
        <w:rPr>
          <w:rFonts w:eastAsia="Calibri" w:cs="Tahoma"/>
          <w:b/>
          <w:color w:val="000000"/>
        </w:rPr>
        <w:t>V</w:t>
      </w:r>
      <w:r w:rsidRPr="009F7EDB" w:rsidR="00FD34A8">
        <w:rPr>
          <w:rFonts w:eastAsia="Calibri" w:cs="Tahoma"/>
          <w:b/>
          <w:color w:val="000000"/>
        </w:rPr>
        <w:t>.</w:t>
      </w:r>
      <w:r w:rsidRPr="009F7EDB">
        <w:rPr>
          <w:rFonts w:eastAsia="Calibri" w:cs="Tahoma"/>
          <w:b/>
          <w:color w:val="000000"/>
        </w:rPr>
        <w:t xml:space="preserve"> </w:t>
      </w:r>
      <w:r w:rsidRPr="009F7EDB">
        <w:rPr>
          <w:rFonts w:eastAsia="Batang" w:cs="Tahoma"/>
          <w:b/>
          <w:bCs/>
          <w:color w:val="000000"/>
        </w:rPr>
        <w:t>Trámite del Recurso de Revisión</w:t>
      </w:r>
      <w:r w:rsidRPr="009F7EDB">
        <w:rPr>
          <w:rFonts w:eastAsia="Calibri" w:cs="Tahoma"/>
          <w:b/>
          <w:color w:val="000000"/>
        </w:rPr>
        <w:t xml:space="preserve"> </w:t>
      </w:r>
      <w:r w:rsidRPr="009F7EDB">
        <w:rPr>
          <w:rFonts w:eastAsia="Batang" w:cs="Tahoma"/>
          <w:b/>
          <w:bCs/>
          <w:color w:val="000000"/>
        </w:rPr>
        <w:t>ante este Instituto.</w:t>
      </w:r>
    </w:p>
    <w:p w:rsidRPr="009F7EDB" w:rsidR="00C214B5" w:rsidP="00FD34A8" w:rsidRDefault="00C214B5" w14:paraId="0A073151" w14:textId="77777777">
      <w:pPr>
        <w:spacing w:after="0" w:line="360" w:lineRule="auto"/>
        <w:contextualSpacing/>
        <w:rPr>
          <w:rFonts w:eastAsia="Batang" w:cs="Tahoma"/>
          <w:bCs/>
          <w:color w:val="000000"/>
        </w:rPr>
      </w:pPr>
    </w:p>
    <w:p w:rsidRPr="009F7EDB" w:rsidR="00C214B5" w:rsidP="00FD34A8" w:rsidRDefault="00C214B5" w14:paraId="50FBB00A" w14:textId="714BE7E9">
      <w:pPr>
        <w:spacing w:after="0" w:line="360" w:lineRule="auto"/>
        <w:contextualSpacing/>
        <w:rPr>
          <w:rFonts w:eastAsia="Batang" w:cs="Tahoma"/>
          <w:b/>
          <w:bCs/>
          <w:color w:val="000000"/>
        </w:rPr>
      </w:pPr>
      <w:r w:rsidRPr="009F7EDB">
        <w:rPr>
          <w:rFonts w:eastAsia="Batang" w:cs="Tahoma"/>
          <w:b/>
          <w:bCs/>
          <w:color w:val="000000"/>
        </w:rPr>
        <w:t xml:space="preserve">a) Turno del Medio de Impugnación. </w:t>
      </w:r>
      <w:r w:rsidRPr="009F7EDB">
        <w:rPr>
          <w:rFonts w:eastAsia="Batang" w:cs="Tahoma"/>
          <w:bCs/>
          <w:color w:val="000000"/>
        </w:rPr>
        <w:t xml:space="preserve">El </w:t>
      </w:r>
      <w:r w:rsidRPr="009F7EDB" w:rsidR="00FF3A39">
        <w:rPr>
          <w:rFonts w:eastAsia="Batang" w:cs="Tahoma"/>
          <w:bCs/>
          <w:color w:val="000000"/>
        </w:rPr>
        <w:t>nueve de enero</w:t>
      </w:r>
      <w:r w:rsidRPr="009F7EDB">
        <w:rPr>
          <w:rFonts w:eastAsia="Batang" w:cs="Tahoma"/>
          <w:bCs/>
          <w:color w:val="000000"/>
        </w:rPr>
        <w:t xml:space="preserve"> </w:t>
      </w:r>
      <w:r w:rsidRPr="009F7EDB">
        <w:rPr>
          <w:rFonts w:eastAsia="Times New Roman" w:cs="Tahoma"/>
          <w:bCs/>
          <w:color w:val="auto"/>
          <w:lang w:eastAsia="es-ES"/>
        </w:rPr>
        <w:t>de dos mil veinti</w:t>
      </w:r>
      <w:r w:rsidRPr="009F7EDB" w:rsidR="00FF3A39">
        <w:rPr>
          <w:rFonts w:eastAsia="Times New Roman" w:cs="Tahoma"/>
          <w:bCs/>
          <w:color w:val="auto"/>
          <w:lang w:eastAsia="es-ES"/>
        </w:rPr>
        <w:t>tré</w:t>
      </w:r>
      <w:r w:rsidRPr="009F7EDB">
        <w:rPr>
          <w:rFonts w:eastAsia="Times New Roman" w:cs="Tahoma"/>
          <w:bCs/>
          <w:color w:val="auto"/>
          <w:lang w:eastAsia="es-ES"/>
        </w:rPr>
        <w:t>s</w:t>
      </w:r>
      <w:r w:rsidRPr="009F7EDB">
        <w:rPr>
          <w:rFonts w:eastAsia="Batang" w:cs="Tahoma"/>
          <w:bCs/>
          <w:color w:val="000000"/>
        </w:rPr>
        <w:t xml:space="preserve">, el </w:t>
      </w:r>
      <w:r w:rsidRPr="009F7EDB">
        <w:rPr>
          <w:rFonts w:eastAsia="Calibri" w:cs="Tahoma"/>
          <w:color w:val="000000"/>
          <w:lang w:val="es-ES"/>
        </w:rPr>
        <w:t>Sistema de Acceso a la Información Mexiquense (SAIMEX),</w:t>
      </w:r>
      <w:r w:rsidRPr="009F7EDB">
        <w:rPr>
          <w:rFonts w:eastAsia="Batang" w:cs="Tahoma"/>
          <w:bCs/>
          <w:color w:val="000000"/>
        </w:rPr>
        <w:t xml:space="preserve"> asignó el número de expediente </w:t>
      </w:r>
      <w:r w:rsidRPr="009F7EDB" w:rsidR="00FF3A39">
        <w:rPr>
          <w:rFonts w:eastAsia="Batang" w:cs="Tahoma"/>
          <w:color w:val="000000"/>
        </w:rPr>
        <w:t>00066</w:t>
      </w:r>
      <w:r w:rsidRPr="009F7EDB">
        <w:rPr>
          <w:rFonts w:eastAsia="Calibri" w:cs="Tahoma"/>
        </w:rPr>
        <w:t>/INFOEM/IP/RR/202</w:t>
      </w:r>
      <w:r w:rsidRPr="009F7EDB" w:rsidR="00FF3A39">
        <w:rPr>
          <w:rFonts w:eastAsia="Calibri" w:cs="Tahoma"/>
        </w:rPr>
        <w:t>3</w:t>
      </w:r>
      <w:r w:rsidRPr="009F7EDB">
        <w:rPr>
          <w:rFonts w:eastAsia="Batang" w:cs="Tahoma"/>
          <w:bCs/>
          <w:color w:val="000000"/>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F7EDB" w:rsidR="00C214B5" w:rsidP="00FD34A8" w:rsidRDefault="00C214B5" w14:paraId="629D51A3" w14:textId="77777777">
      <w:pPr>
        <w:spacing w:after="0" w:line="360" w:lineRule="auto"/>
        <w:contextualSpacing/>
        <w:rPr>
          <w:rFonts w:eastAsia="Batang" w:cs="Tahoma"/>
          <w:bCs/>
          <w:color w:val="000000"/>
        </w:rPr>
      </w:pPr>
    </w:p>
    <w:p w:rsidRPr="009F7EDB" w:rsidR="00C214B5" w:rsidP="00FD34A8" w:rsidRDefault="00C214B5" w14:paraId="4851CA88" w14:textId="3BD28A7F">
      <w:pPr>
        <w:spacing w:after="0" w:line="360" w:lineRule="auto"/>
        <w:contextualSpacing/>
        <w:rPr>
          <w:rFonts w:eastAsia="Times New Roman" w:cs="Tahoma"/>
          <w:b/>
          <w:bCs/>
          <w:color w:val="auto"/>
          <w:lang w:eastAsia="es-ES"/>
        </w:rPr>
      </w:pPr>
      <w:r w:rsidRPr="009F7EDB">
        <w:rPr>
          <w:rFonts w:eastAsia="Times New Roman" w:cs="Tahoma"/>
          <w:b/>
          <w:bCs/>
          <w:color w:val="auto"/>
          <w:lang w:eastAsia="es-ES"/>
        </w:rPr>
        <w:t>b) Admisión del Recurso de Revisión</w:t>
      </w:r>
      <w:r w:rsidRPr="009F7EDB">
        <w:rPr>
          <w:rFonts w:eastAsia="Times New Roman" w:cs="Tahoma"/>
          <w:b/>
          <w:bCs/>
          <w:color w:val="auto"/>
          <w:lang w:val="es-ES_tradnl" w:eastAsia="es-ES"/>
        </w:rPr>
        <w:t xml:space="preserve">. </w:t>
      </w:r>
      <w:r w:rsidRPr="009F7EDB">
        <w:rPr>
          <w:rFonts w:eastAsia="Batang" w:cs="Tahoma"/>
          <w:bCs/>
          <w:color w:val="000000"/>
        </w:rPr>
        <w:t xml:space="preserve">El </w:t>
      </w:r>
      <w:r w:rsidRPr="009F7EDB" w:rsidR="008E3BDC">
        <w:rPr>
          <w:rFonts w:eastAsia="Batang" w:cs="Tahoma"/>
          <w:bCs/>
          <w:color w:val="000000"/>
        </w:rPr>
        <w:t>doce de enero</w:t>
      </w:r>
      <w:r w:rsidRPr="009F7EDB">
        <w:rPr>
          <w:rFonts w:eastAsia="Batang" w:cs="Tahoma"/>
          <w:bCs/>
          <w:color w:val="000000"/>
        </w:rPr>
        <w:t xml:space="preserve"> de dos mil veinti</w:t>
      </w:r>
      <w:r w:rsidRPr="009F7EDB" w:rsidR="008E3BDC">
        <w:rPr>
          <w:rFonts w:eastAsia="Batang" w:cs="Tahoma"/>
          <w:bCs/>
          <w:color w:val="000000"/>
        </w:rPr>
        <w:t>tré</w:t>
      </w:r>
      <w:r w:rsidRPr="009F7EDB">
        <w:rPr>
          <w:rFonts w:eastAsia="Batang" w:cs="Tahoma"/>
          <w:bCs/>
          <w:color w:val="000000"/>
        </w:rPr>
        <w:t>s</w:t>
      </w:r>
      <w:r w:rsidRPr="009F7EDB">
        <w:rPr>
          <w:rFonts w:eastAsia="Times New Roman" w:cs="Tahoma"/>
          <w:bCs/>
          <w:color w:val="auto"/>
          <w:lang w:val="es-ES_tradnl" w:eastAsia="es-ES"/>
        </w:rPr>
        <w:t xml:space="preserve">, se acordó la admisión del Recurso de Revisión interpuesto por el Recurrente en contra del Sujeto </w:t>
      </w:r>
      <w:r w:rsidRPr="009F7EDB">
        <w:rPr>
          <w:rFonts w:eastAsia="Times New Roman" w:cs="Tahoma"/>
          <w:bCs/>
          <w:color w:val="auto"/>
          <w:lang w:val="es-ES_tradnl" w:eastAsia="es-ES"/>
        </w:rPr>
        <w:lastRenderedPageBreak/>
        <w:t xml:space="preserve">Obligado, en términos del artículo 185, fracciones I y II de la Ley de Transparencia y Acceso a la Información Pública del Estado de México y Municipios, el cual fue notificado a las partes el </w:t>
      </w:r>
      <w:r w:rsidRPr="009F7EDB" w:rsidR="008E3BDC">
        <w:rPr>
          <w:rFonts w:eastAsia="Times New Roman" w:cs="Tahoma"/>
          <w:bCs/>
          <w:color w:val="auto"/>
          <w:lang w:val="es-ES_tradnl" w:eastAsia="es-ES"/>
        </w:rPr>
        <w:t xml:space="preserve">dieciséis </w:t>
      </w:r>
      <w:r w:rsidRPr="009F7EDB">
        <w:rPr>
          <w:rFonts w:eastAsia="Times New Roman" w:cs="Tahoma"/>
          <w:bCs/>
          <w:color w:val="auto"/>
          <w:lang w:val="es-ES_tradnl" w:eastAsia="es-ES"/>
        </w:rPr>
        <w:t xml:space="preserve">de dicho mes y año, a través del Sistema de Acceso a la Información Mexiquense (SAIMEX), en el que se les otorgó un plazo de siete días hábiles posteriores a la misma, para que manifestaran lo que a su derecho conviniera y formularan alegatos. </w:t>
      </w:r>
    </w:p>
    <w:p w:rsidRPr="009F7EDB" w:rsidR="00C214B5" w:rsidP="00FD34A8" w:rsidRDefault="00C214B5" w14:paraId="04D3A7F7" w14:textId="77777777">
      <w:pPr>
        <w:spacing w:after="0" w:line="360" w:lineRule="auto"/>
        <w:contextualSpacing/>
        <w:rPr>
          <w:rFonts w:cs="Tahoma"/>
        </w:rPr>
      </w:pPr>
    </w:p>
    <w:p w:rsidRPr="009F7EDB" w:rsidR="008A235C" w:rsidP="00FD34A8" w:rsidRDefault="00C214B5" w14:paraId="78410B0E" w14:textId="39F135DB">
      <w:pPr>
        <w:spacing w:after="0" w:line="360" w:lineRule="auto"/>
        <w:contextualSpacing/>
        <w:rPr>
          <w:rFonts w:cs="Tahoma"/>
          <w:lang w:val="es-ES_tradnl"/>
        </w:rPr>
      </w:pPr>
      <w:r w:rsidRPr="009F7EDB">
        <w:rPr>
          <w:rFonts w:eastAsia="Times New Roman" w:cs="Tahoma"/>
          <w:b/>
          <w:bCs/>
          <w:color w:val="auto"/>
          <w:lang w:eastAsia="es-ES"/>
        </w:rPr>
        <w:t xml:space="preserve">c) </w:t>
      </w:r>
      <w:r w:rsidRPr="009F7EDB">
        <w:rPr>
          <w:rFonts w:cs="Tahoma"/>
          <w:b/>
          <w:lang w:val="es-ES_tradnl"/>
        </w:rPr>
        <w:t xml:space="preserve">Informe Justificado o Manifestaciones. </w:t>
      </w:r>
      <w:r w:rsidRPr="009F7EDB">
        <w:rPr>
          <w:rFonts w:cs="Tahoma"/>
          <w:lang w:val="es-ES_tradnl"/>
        </w:rPr>
        <w:t>Las partes fueron omisas en emitir manifestaciones o alegatos.</w:t>
      </w:r>
    </w:p>
    <w:p w:rsidRPr="009F7EDB" w:rsidR="00C214B5" w:rsidP="00FD34A8" w:rsidRDefault="00C214B5" w14:paraId="0168ACB5" w14:textId="77777777">
      <w:pPr>
        <w:widowControl w:val="0"/>
        <w:spacing w:after="0" w:line="360" w:lineRule="auto"/>
        <w:contextualSpacing/>
        <w:rPr>
          <w:rFonts w:eastAsia="Times New Roman" w:cs="Tahoma"/>
          <w:b/>
          <w:color w:val="auto"/>
          <w:lang w:eastAsia="es-ES"/>
        </w:rPr>
      </w:pPr>
    </w:p>
    <w:p w:rsidRPr="009F7EDB" w:rsidR="008A235C" w:rsidP="00FD34A8" w:rsidRDefault="00C214B5" w14:paraId="58816C21" w14:textId="6D26E8A7">
      <w:pPr>
        <w:spacing w:after="0" w:line="360" w:lineRule="auto"/>
        <w:contextualSpacing/>
        <w:rPr>
          <w:rFonts w:eastAsia="Palatino Linotype" w:cs="Palatino Linotype"/>
        </w:rPr>
      </w:pPr>
      <w:r w:rsidRPr="009F7EDB">
        <w:rPr>
          <w:rFonts w:eastAsia="Times New Roman" w:cs="Tahoma"/>
          <w:b/>
          <w:color w:val="auto"/>
          <w:lang w:eastAsia="es-ES"/>
        </w:rPr>
        <w:t xml:space="preserve">d) </w:t>
      </w:r>
      <w:r w:rsidRPr="009F7EDB" w:rsidR="008A235C">
        <w:rPr>
          <w:rFonts w:eastAsia="Palatino Linotype" w:cs="Palatino Linotype"/>
          <w:b/>
          <w:bCs/>
        </w:rPr>
        <w:t xml:space="preserve">Ampliación de plazo para resolver. </w:t>
      </w:r>
      <w:r w:rsidRPr="009F7EDB" w:rsidR="008A235C">
        <w:rPr>
          <w:rFonts w:eastAsia="Palatino Linotype" w:cs="Palatino Linotype"/>
        </w:rPr>
        <w:t>El veintiocho de febrero de dos mil veintitrés,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9F7EDB" w:rsidR="008A235C" w:rsidP="00FD34A8" w:rsidRDefault="008A235C" w14:paraId="781E2366" w14:textId="77777777">
      <w:pPr>
        <w:spacing w:after="0" w:line="360" w:lineRule="auto"/>
        <w:contextualSpacing/>
        <w:rPr>
          <w:rFonts w:eastAsia="Palatino Linotype" w:cs="Palatino Linotype"/>
        </w:rPr>
      </w:pPr>
    </w:p>
    <w:p w:rsidRPr="009F7EDB" w:rsidR="00C214B5" w:rsidP="00FD34A8" w:rsidRDefault="008A235C" w14:paraId="189455E7" w14:textId="08020EA0">
      <w:pPr>
        <w:widowControl w:val="0"/>
        <w:spacing w:after="0" w:line="360" w:lineRule="auto"/>
        <w:contextualSpacing/>
        <w:rPr>
          <w:rFonts w:eastAsia="Times New Roman" w:cs="Tahoma"/>
          <w:color w:val="auto"/>
          <w:lang w:eastAsia="es-ES"/>
        </w:rPr>
      </w:pPr>
      <w:r w:rsidRPr="009F7EDB">
        <w:rPr>
          <w:rFonts w:eastAsia="Times New Roman" w:cs="Tahoma"/>
          <w:b/>
          <w:color w:val="auto"/>
          <w:lang w:eastAsia="es-ES"/>
        </w:rPr>
        <w:t xml:space="preserve">e) </w:t>
      </w:r>
      <w:r w:rsidRPr="009F7EDB" w:rsidR="00C214B5">
        <w:rPr>
          <w:rFonts w:eastAsia="Times New Roman" w:cs="Tahoma"/>
          <w:b/>
          <w:color w:val="auto"/>
          <w:lang w:eastAsia="es-ES"/>
        </w:rPr>
        <w:t>Cierre de instrucción.</w:t>
      </w:r>
      <w:r w:rsidRPr="009F7EDB" w:rsidR="00C214B5">
        <w:rPr>
          <w:rFonts w:eastAsia="Times New Roman" w:cs="Tahoma"/>
          <w:color w:val="auto"/>
          <w:lang w:eastAsia="es-ES"/>
        </w:rPr>
        <w:t xml:space="preserve"> El </w:t>
      </w:r>
      <w:r w:rsidRPr="009F7EDB" w:rsidR="008E3BDC">
        <w:rPr>
          <w:rFonts w:eastAsia="Times New Roman" w:cs="Tahoma"/>
          <w:color w:val="auto"/>
          <w:lang w:eastAsia="es-ES"/>
        </w:rPr>
        <w:t>primero de marzo</w:t>
      </w:r>
      <w:r w:rsidRPr="009F7EDB" w:rsidR="00C214B5">
        <w:rPr>
          <w:rFonts w:eastAsia="Times New Roman" w:cs="Tahoma"/>
          <w:color w:val="auto"/>
          <w:lang w:eastAsia="es-ES"/>
        </w:rPr>
        <w:t xml:space="preserve"> de dos mil veinti</w:t>
      </w:r>
      <w:r w:rsidRPr="009F7EDB" w:rsidR="008E3BDC">
        <w:rPr>
          <w:rFonts w:eastAsia="Times New Roman" w:cs="Tahoma"/>
          <w:color w:val="auto"/>
          <w:lang w:eastAsia="es-ES"/>
        </w:rPr>
        <w:t>trés</w:t>
      </w:r>
      <w:r w:rsidRPr="009F7EDB" w:rsidR="00C214B5">
        <w:rPr>
          <w:rFonts w:eastAsia="Times New Roman" w:cs="Tahoma"/>
          <w:color w:val="auto"/>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9F7EDB" w:rsidR="00C214B5">
        <w:rPr>
          <w:rFonts w:eastAsia="Times New Roman" w:cs="Tahoma"/>
          <w:color w:val="auto"/>
          <w:lang w:val="es-ES" w:eastAsia="es-ES"/>
        </w:rPr>
        <w:t>Sistema de Acceso a la Información Mexiquense (SAIMEX)</w:t>
      </w:r>
      <w:r w:rsidRPr="009F7EDB" w:rsidR="00C214B5">
        <w:rPr>
          <w:rFonts w:eastAsia="Times New Roman" w:cs="Tahoma"/>
          <w:color w:val="auto"/>
          <w:lang w:eastAsia="es-ES"/>
        </w:rPr>
        <w:t xml:space="preserve">. </w:t>
      </w:r>
    </w:p>
    <w:p w:rsidRPr="009F7EDB" w:rsidR="00C214B5" w:rsidP="00FD34A8" w:rsidRDefault="00C214B5" w14:paraId="0DB03774" w14:textId="77777777">
      <w:pPr>
        <w:spacing w:after="0" w:line="360" w:lineRule="auto"/>
        <w:contextualSpacing/>
        <w:rPr>
          <w:rFonts w:eastAsia="Times New Roman" w:cs="Tahoma"/>
          <w:color w:val="auto"/>
          <w:lang w:eastAsia="es-ES"/>
        </w:rPr>
      </w:pPr>
    </w:p>
    <w:p w:rsidRPr="009F7EDB" w:rsidR="00C214B5" w:rsidP="00FD34A8" w:rsidRDefault="00C214B5" w14:paraId="3C4C25A2" w14:textId="77777777">
      <w:pPr>
        <w:spacing w:after="0" w:line="360" w:lineRule="auto"/>
        <w:contextualSpacing/>
        <w:rPr>
          <w:rFonts w:eastAsia="Times New Roman" w:cs="Tahoma"/>
          <w:color w:val="000000"/>
          <w:lang w:eastAsia="es-ES"/>
        </w:rPr>
      </w:pPr>
      <w:r w:rsidRPr="009F7EDB">
        <w:rPr>
          <w:rFonts w:eastAsia="Times New Roman" w:cs="Tahoma"/>
          <w:color w:val="000000"/>
          <w:lang w:eastAsia="es-ES"/>
        </w:rPr>
        <w:t>En razón de que fue debidamente sustanciado e integrado el expediente electrónico y no existe diligencia pendiente de desahogo, se emite la resolución que conforme a Derecho proceda, de acuerdo a los siguientes:</w:t>
      </w:r>
    </w:p>
    <w:p w:rsidRPr="009F7EDB" w:rsidR="00C214B5" w:rsidP="00FD34A8" w:rsidRDefault="00C214B5" w14:paraId="504C9ACB" w14:textId="77777777">
      <w:pPr>
        <w:spacing w:after="0" w:line="360" w:lineRule="auto"/>
        <w:contextualSpacing/>
        <w:rPr>
          <w:rFonts w:eastAsia="Times New Roman" w:cs="Tahoma"/>
          <w:bCs/>
          <w:iCs/>
          <w:color w:val="auto"/>
          <w:lang w:val="es-ES" w:eastAsia="es-ES"/>
        </w:rPr>
      </w:pPr>
    </w:p>
    <w:p w:rsidRPr="009F7EDB" w:rsidR="00C214B5" w:rsidP="00FD34A8" w:rsidRDefault="00C214B5" w14:paraId="25DB454D" w14:textId="77777777">
      <w:pPr>
        <w:spacing w:after="0" w:line="360" w:lineRule="auto"/>
        <w:contextualSpacing/>
        <w:jc w:val="center"/>
        <w:rPr>
          <w:rFonts w:eastAsia="Times New Roman" w:cs="Tahoma"/>
          <w:b/>
          <w:color w:val="auto"/>
          <w:lang w:val="es-ES" w:eastAsia="es-ES"/>
        </w:rPr>
      </w:pPr>
      <w:r w:rsidRPr="009F7EDB">
        <w:rPr>
          <w:rFonts w:eastAsia="Times New Roman" w:cs="Tahoma"/>
          <w:b/>
          <w:color w:val="auto"/>
          <w:lang w:val="es-ES" w:eastAsia="es-ES"/>
        </w:rPr>
        <w:lastRenderedPageBreak/>
        <w:t>C O N S I D E R A N D O S:</w:t>
      </w:r>
    </w:p>
    <w:p w:rsidRPr="009F7EDB" w:rsidR="00C214B5" w:rsidP="00FD34A8" w:rsidRDefault="00C214B5" w14:paraId="67FE4F7F" w14:textId="77777777">
      <w:pPr>
        <w:spacing w:after="0" w:line="360" w:lineRule="auto"/>
        <w:contextualSpacing/>
        <w:jc w:val="center"/>
        <w:rPr>
          <w:rFonts w:eastAsia="Times New Roman" w:cs="Tahoma"/>
          <w:b/>
          <w:color w:val="auto"/>
          <w:lang w:val="es-ES" w:eastAsia="es-ES"/>
        </w:rPr>
      </w:pPr>
    </w:p>
    <w:p w:rsidRPr="009F7EDB" w:rsidR="00C214B5" w:rsidP="00FD34A8" w:rsidRDefault="00C214B5" w14:paraId="223CA1A4" w14:textId="77777777">
      <w:pPr>
        <w:autoSpaceDE w:val="0"/>
        <w:autoSpaceDN w:val="0"/>
        <w:adjustRightInd w:val="0"/>
        <w:spacing w:after="0" w:line="360" w:lineRule="auto"/>
        <w:contextualSpacing/>
        <w:rPr>
          <w:rFonts w:eastAsia="Times New Roman" w:cs="Tahoma"/>
          <w:b/>
          <w:color w:val="auto"/>
          <w:lang w:val="es-ES" w:eastAsia="es-ES"/>
        </w:rPr>
      </w:pPr>
      <w:r w:rsidRPr="009F7EDB">
        <w:rPr>
          <w:rFonts w:eastAsia="Calibri" w:cs="Tahoma"/>
          <w:b/>
          <w:color w:val="000000"/>
          <w:lang w:val="es-ES" w:eastAsia="es-MX"/>
        </w:rPr>
        <w:t>PRIMERO</w:t>
      </w:r>
      <w:r w:rsidRPr="009F7EDB">
        <w:rPr>
          <w:rFonts w:eastAsia="Calibri" w:cs="Tahoma"/>
          <w:color w:val="000000"/>
          <w:lang w:val="es-ES" w:eastAsia="es-MX"/>
        </w:rPr>
        <w:t xml:space="preserve">. </w:t>
      </w:r>
      <w:r w:rsidRPr="009F7EDB">
        <w:rPr>
          <w:rFonts w:eastAsia="Times New Roman" w:cs="Tahoma"/>
          <w:b/>
          <w:color w:val="auto"/>
          <w:lang w:val="es-ES" w:eastAsia="es-ES"/>
        </w:rPr>
        <w:t>Competencia.</w:t>
      </w:r>
    </w:p>
    <w:p w:rsidRPr="009F7EDB" w:rsidR="00C214B5" w:rsidP="00FD34A8" w:rsidRDefault="00C214B5" w14:paraId="0B11D6A4" w14:textId="77777777">
      <w:pPr>
        <w:autoSpaceDE w:val="0"/>
        <w:autoSpaceDN w:val="0"/>
        <w:adjustRightInd w:val="0"/>
        <w:spacing w:after="0" w:line="360" w:lineRule="auto"/>
        <w:contextualSpacing/>
        <w:rPr>
          <w:rFonts w:eastAsia="Times New Roman" w:cs="Tahoma"/>
          <w:b/>
          <w:color w:val="auto"/>
          <w:lang w:val="es-ES" w:eastAsia="es-ES"/>
        </w:rPr>
      </w:pPr>
    </w:p>
    <w:p w:rsidRPr="009F7EDB" w:rsidR="00C214B5" w:rsidP="00FD34A8" w:rsidRDefault="00C214B5" w14:paraId="4663FEAF" w14:textId="4ED5B3E2">
      <w:pPr>
        <w:spacing w:after="0" w:line="360" w:lineRule="auto"/>
        <w:contextualSpacing/>
        <w:rPr>
          <w:rFonts w:eastAsia="Times New Roman" w:cs="Tahoma"/>
          <w:bCs/>
          <w:color w:val="auto"/>
          <w:lang w:eastAsia="es-ES"/>
        </w:rPr>
      </w:pPr>
      <w:bookmarkStart w:name="_Hlk63334754" w:id="0"/>
      <w:r w:rsidRPr="009F7EDB">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F7EDB">
        <w:rPr>
          <w:rFonts w:eastAsia="Times New Roman" w:cs="Times New Roman"/>
          <w:bCs/>
          <w:color w:val="auto"/>
          <w:lang w:eastAsia="es-ES"/>
        </w:rPr>
        <w:t xml:space="preserve"> 7°, </w:t>
      </w:r>
      <w:r w:rsidRPr="009F7EDB">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bookmarkEnd w:id="0"/>
    </w:p>
    <w:p w:rsidRPr="009F7EDB" w:rsidR="00C214B5" w:rsidP="00FD34A8" w:rsidRDefault="00C214B5" w14:paraId="052E66C1" w14:textId="77777777">
      <w:pPr>
        <w:spacing w:after="0" w:line="360" w:lineRule="auto"/>
        <w:contextualSpacing/>
      </w:pPr>
    </w:p>
    <w:p w:rsidRPr="009F7EDB" w:rsidR="00C214B5" w:rsidP="00FD34A8" w:rsidRDefault="00C214B5" w14:paraId="6028B228" w14:textId="77777777">
      <w:pPr>
        <w:autoSpaceDE w:val="0"/>
        <w:autoSpaceDN w:val="0"/>
        <w:adjustRightInd w:val="0"/>
        <w:spacing w:after="0" w:line="360" w:lineRule="auto"/>
        <w:contextualSpacing/>
        <w:rPr>
          <w:rFonts w:eastAsia="Times New Roman" w:cs="Tahoma"/>
          <w:color w:val="auto"/>
          <w:lang w:val="es-ES" w:eastAsia="es-ES"/>
        </w:rPr>
      </w:pPr>
      <w:r w:rsidRPr="009F7EDB">
        <w:rPr>
          <w:rFonts w:eastAsia="Calibri" w:cs="Tahoma"/>
          <w:b/>
          <w:color w:val="000000"/>
          <w:lang w:val="es-ES" w:eastAsia="es-MX"/>
        </w:rPr>
        <w:t>SEGUNDO</w:t>
      </w:r>
      <w:r w:rsidRPr="009F7EDB">
        <w:rPr>
          <w:rFonts w:eastAsia="Calibri" w:cs="Tahoma"/>
          <w:color w:val="000000"/>
          <w:lang w:val="es-ES" w:eastAsia="es-MX"/>
        </w:rPr>
        <w:t xml:space="preserve">. </w:t>
      </w:r>
      <w:r w:rsidRPr="009F7EDB">
        <w:rPr>
          <w:rFonts w:eastAsia="Times New Roman" w:cs="Tahoma"/>
          <w:b/>
          <w:color w:val="auto"/>
          <w:lang w:val="es-ES" w:eastAsia="es-ES"/>
        </w:rPr>
        <w:t>Causales de improcedencia y sobreseimiento.</w:t>
      </w:r>
      <w:r w:rsidRPr="009F7EDB">
        <w:rPr>
          <w:rFonts w:eastAsia="Times New Roman" w:cs="Tahoma"/>
          <w:color w:val="auto"/>
          <w:lang w:val="es-ES" w:eastAsia="es-ES"/>
        </w:rPr>
        <w:t xml:space="preserve"> </w:t>
      </w:r>
    </w:p>
    <w:p w:rsidRPr="009F7EDB" w:rsidR="00C214B5" w:rsidP="00FD34A8" w:rsidRDefault="00C214B5" w14:paraId="1447A3A4" w14:textId="77777777">
      <w:pPr>
        <w:autoSpaceDE w:val="0"/>
        <w:autoSpaceDN w:val="0"/>
        <w:adjustRightInd w:val="0"/>
        <w:spacing w:after="0" w:line="360" w:lineRule="auto"/>
        <w:contextualSpacing/>
        <w:rPr>
          <w:rFonts w:eastAsia="Times New Roman" w:cs="Tahoma"/>
          <w:color w:val="auto"/>
          <w:lang w:val="es-ES" w:eastAsia="es-ES"/>
        </w:rPr>
      </w:pPr>
    </w:p>
    <w:p w:rsidRPr="009F7EDB" w:rsidR="00C214B5" w:rsidP="00FD34A8" w:rsidRDefault="00C214B5" w14:paraId="1B5D8EC4" w14:textId="77777777">
      <w:pPr>
        <w:autoSpaceDE w:val="0"/>
        <w:autoSpaceDN w:val="0"/>
        <w:adjustRightInd w:val="0"/>
        <w:spacing w:after="0" w:line="360" w:lineRule="auto"/>
        <w:contextualSpacing/>
        <w:rPr>
          <w:rFonts w:eastAsia="Times New Roman" w:cs="Tahoma"/>
          <w:color w:val="auto"/>
          <w:lang w:val="es-ES" w:eastAsia="es-ES"/>
        </w:rPr>
      </w:pPr>
      <w:r w:rsidRPr="009F7EDB">
        <w:rPr>
          <w:rFonts w:eastAsia="Times New Roman" w:cs="Tahoma"/>
          <w:color w:val="auto"/>
          <w:lang w:val="es-ES" w:eastAsia="es-ES"/>
        </w:rPr>
        <w:t xml:space="preserve">De las constancias que forma parte del Recurso de Revisión que se analiza, se advierte que previo al estudio del fondo de la </w:t>
      </w:r>
      <w:r w:rsidRPr="009F7EDB">
        <w:rPr>
          <w:rFonts w:eastAsia="Times New Roman" w:cs="Tahoma"/>
          <w:i/>
          <w:color w:val="auto"/>
          <w:lang w:val="es-ES" w:eastAsia="es-ES"/>
        </w:rPr>
        <w:t>litis</w:t>
      </w:r>
      <w:r w:rsidRPr="009F7EDB">
        <w:rPr>
          <w:rFonts w:eastAsia="Times New Roman" w:cs="Tahoma"/>
          <w:color w:val="auto"/>
          <w:lang w:val="es-ES" w:eastAsia="es-ES"/>
        </w:rPr>
        <w:t>, es necesario estudiar las causales de improcedencia y sobreseimiento que se adviertan, para determinar lo que en Derecho proceda.</w:t>
      </w:r>
    </w:p>
    <w:p w:rsidRPr="009F7EDB" w:rsidR="00C214B5" w:rsidP="00FD34A8" w:rsidRDefault="00C214B5" w14:paraId="6F3AB3EA" w14:textId="77777777">
      <w:pPr>
        <w:autoSpaceDE w:val="0"/>
        <w:autoSpaceDN w:val="0"/>
        <w:adjustRightInd w:val="0"/>
        <w:spacing w:after="0" w:line="360" w:lineRule="auto"/>
        <w:contextualSpacing/>
        <w:rPr>
          <w:rFonts w:eastAsia="Times New Roman" w:cs="Tahoma"/>
          <w:color w:val="auto"/>
          <w:lang w:val="es-ES" w:eastAsia="es-ES"/>
        </w:rPr>
      </w:pPr>
    </w:p>
    <w:p w:rsidRPr="009F7EDB" w:rsidR="00C214B5" w:rsidP="00FD34A8" w:rsidRDefault="00C214B5" w14:paraId="3A15197C" w14:textId="77777777">
      <w:pPr>
        <w:spacing w:after="0" w:line="360" w:lineRule="auto"/>
        <w:contextualSpacing/>
        <w:rPr>
          <w:b/>
          <w:lang w:val="es-ES"/>
        </w:rPr>
      </w:pPr>
      <w:r w:rsidRPr="009F7EDB">
        <w:rPr>
          <w:b/>
          <w:lang w:val="es-ES"/>
        </w:rPr>
        <w:t>Causales de improcedencia</w:t>
      </w:r>
    </w:p>
    <w:p w:rsidRPr="009F7EDB" w:rsidR="00C214B5" w:rsidP="00FD34A8" w:rsidRDefault="00C214B5" w14:paraId="567F7F17" w14:textId="77777777">
      <w:pPr>
        <w:spacing w:after="0" w:line="360" w:lineRule="auto"/>
        <w:contextualSpacing/>
      </w:pPr>
    </w:p>
    <w:p w:rsidRPr="009F7EDB" w:rsidR="00C214B5" w:rsidP="00FD34A8" w:rsidRDefault="00C214B5" w14:paraId="743B7569" w14:textId="77777777">
      <w:pPr>
        <w:spacing w:after="0" w:line="360" w:lineRule="auto"/>
        <w:contextualSpacing/>
        <w:rPr>
          <w:rFonts w:eastAsia="Times New Roman" w:cs="Tahoma"/>
          <w:color w:val="auto"/>
          <w:lang w:eastAsia="es-ES"/>
        </w:rPr>
      </w:pPr>
      <w:r w:rsidRPr="009F7EDB">
        <w:rPr>
          <w:rFonts w:eastAsia="Times New Roman" w:cs="Tahoma"/>
          <w:color w:val="auto"/>
          <w:lang w:eastAsia="es-ES"/>
        </w:rPr>
        <w:t xml:space="preserve">Este Instituto realiza el estudio oficioso de las causales de improcedencia, por tratarse de una cuestión de orden público y de estudio preferente (acorde con el Criterio orientador en la </w:t>
      </w:r>
      <w:r w:rsidRPr="009F7EDB">
        <w:rPr>
          <w:rFonts w:eastAsia="Times New Roman" w:cs="Tahoma"/>
          <w:color w:val="auto"/>
          <w:lang w:eastAsia="es-ES"/>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F7EDB" w:rsidR="00C214B5" w:rsidP="00FD34A8" w:rsidRDefault="00C214B5" w14:paraId="2814381B" w14:textId="77777777">
      <w:pPr>
        <w:spacing w:after="0" w:line="360" w:lineRule="auto"/>
        <w:contextualSpacing/>
        <w:rPr>
          <w:rFonts w:eastAsia="Times New Roman" w:cs="Tahoma"/>
          <w:color w:val="auto"/>
          <w:lang w:eastAsia="es-ES"/>
        </w:rPr>
      </w:pPr>
    </w:p>
    <w:p w:rsidRPr="009F7EDB" w:rsidR="00C214B5" w:rsidP="00FD34A8" w:rsidRDefault="00C214B5" w14:paraId="2AB91A22" w14:textId="77777777">
      <w:pPr>
        <w:spacing w:after="0" w:line="360" w:lineRule="auto"/>
        <w:contextualSpacing/>
        <w:rPr>
          <w:rFonts w:eastAsia="Times New Roman" w:cs="Tahoma"/>
          <w:color w:val="auto"/>
          <w:lang w:eastAsia="es-ES"/>
        </w:rPr>
      </w:pPr>
      <w:r w:rsidRPr="009F7EDB">
        <w:rPr>
          <w:rFonts w:eastAsia="Times New Roman" w:cs="Tahoma"/>
          <w:color w:val="auto"/>
          <w:lang w:eastAsia="es-ES"/>
        </w:rPr>
        <w:t>En el presente caso, </w:t>
      </w:r>
      <w:r w:rsidRPr="009F7EDB">
        <w:rPr>
          <w:rFonts w:eastAsia="Times New Roman" w:cs="Tahoma"/>
          <w:b/>
          <w:bCs/>
          <w:color w:val="auto"/>
          <w:lang w:eastAsia="es-ES"/>
        </w:rPr>
        <w:t>no se actualiza ninguna de las causales de improcedencia</w:t>
      </w:r>
      <w:r w:rsidRPr="009F7EDB">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parte Recurrente ante otra instancia; no existió prevención alguna; la veracidad de la respuesta no formó parte del agravio; ni se realizó una consulta o ampliación a los alcances del requerimiento informativo.</w:t>
      </w:r>
    </w:p>
    <w:p w:rsidRPr="009F7EDB" w:rsidR="00C214B5" w:rsidP="00FD34A8" w:rsidRDefault="00C214B5" w14:paraId="1A2C5848" w14:textId="77777777">
      <w:pPr>
        <w:spacing w:after="0" w:line="360" w:lineRule="auto"/>
        <w:contextualSpacing/>
        <w:rPr>
          <w:rFonts w:eastAsia="Times New Roman" w:cs="Tahoma"/>
          <w:color w:val="auto"/>
          <w:lang w:eastAsia="es-ES"/>
        </w:rPr>
      </w:pPr>
    </w:p>
    <w:p w:rsidRPr="009F7EDB" w:rsidR="00C214B5" w:rsidP="00FD34A8" w:rsidRDefault="00C214B5" w14:paraId="32437209" w14:textId="77777777">
      <w:pPr>
        <w:spacing w:after="0" w:line="360" w:lineRule="auto"/>
        <w:contextualSpacing/>
        <w:rPr>
          <w:rFonts w:eastAsia="Times New Roman" w:cs="Tahoma"/>
          <w:color w:val="auto"/>
          <w:lang w:val="es-ES" w:eastAsia="es-ES"/>
        </w:rPr>
      </w:pPr>
      <w:r w:rsidRPr="009F7EDB">
        <w:rPr>
          <w:rFonts w:eastAsia="Times New Roman" w:cs="Tahoma"/>
          <w:color w:val="auto"/>
          <w:lang w:val="es-ES" w:eastAsia="es-ES"/>
        </w:rPr>
        <w:t xml:space="preserve">Además, de que el Medios de Impugnación fue presentado en tiempo, toda vez que ante la ausencia de la respuesta del Ente Recurrido, se constituyó la </w:t>
      </w:r>
      <w:r w:rsidRPr="009F7EDB">
        <w:rPr>
          <w:rFonts w:eastAsia="Times New Roman" w:cs="Tahoma"/>
          <w:b/>
          <w:color w:val="auto"/>
          <w:lang w:val="es-ES" w:eastAsia="es-ES"/>
        </w:rPr>
        <w:t>negativa ficta</w:t>
      </w:r>
      <w:r w:rsidRPr="009F7EDB">
        <w:rPr>
          <w:rFonts w:eastAsia="Times New Roman" w:cs="Tahoma"/>
          <w:color w:val="auto"/>
          <w:lang w:val="es-ES" w:eastAsia="es-ES"/>
        </w:rPr>
        <w:t xml:space="preserve">, que genera la posibilidad de los particulares de interponer un recurso de revisión ante tal omisión, </w:t>
      </w:r>
      <w:r w:rsidRPr="009F7EDB">
        <w:rPr>
          <w:rFonts w:eastAsia="Times New Roman" w:cs="Tahoma"/>
          <w:color w:val="auto"/>
          <w:u w:val="single"/>
          <w:lang w:val="es-ES" w:eastAsia="es-ES"/>
        </w:rPr>
        <w:t>en cualquier momento</w:t>
      </w:r>
      <w:r w:rsidRPr="009F7EDB">
        <w:rPr>
          <w:rFonts w:eastAsia="Times New Roman" w:cs="Tahoma"/>
          <w:color w:val="auto"/>
          <w:lang w:val="es-ES" w:eastAsia="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Pr="009F7EDB" w:rsidR="00C214B5" w:rsidP="00FD34A8" w:rsidRDefault="00C214B5" w14:paraId="607A9FBB" w14:textId="77777777">
      <w:pPr>
        <w:spacing w:after="0" w:line="360" w:lineRule="auto"/>
        <w:contextualSpacing/>
        <w:rPr>
          <w:rFonts w:eastAsia="Times New Roman" w:cs="Tahoma"/>
          <w:color w:val="auto"/>
          <w:lang w:val="es-ES" w:eastAsia="es-ES"/>
        </w:rPr>
      </w:pPr>
    </w:p>
    <w:p w:rsidRPr="009F7EDB" w:rsidR="00C214B5" w:rsidP="00FD34A8" w:rsidRDefault="00C214B5" w14:paraId="5B4EA851" w14:textId="77777777">
      <w:pPr>
        <w:spacing w:after="0" w:line="360" w:lineRule="auto"/>
        <w:contextualSpacing/>
        <w:rPr>
          <w:rFonts w:eastAsia="Times New Roman" w:cs="Tahoma"/>
          <w:bCs/>
          <w:color w:val="auto"/>
          <w:lang w:val="es-ES" w:eastAsia="es-ES"/>
        </w:rPr>
      </w:pPr>
      <w:r w:rsidRPr="009F7EDB">
        <w:rPr>
          <w:rFonts w:eastAsia="Times New Roman" w:cs="Tahoma"/>
          <w:color w:val="auto"/>
          <w:lang w:val="es-ES" w:eastAsia="es-ES"/>
        </w:rPr>
        <w:t>Conforme a lo anterior, se actualiza la causal de procedencia señalada en el artículo 179, fracción VII, de la Ley de la materia</w:t>
      </w:r>
      <w:r w:rsidRPr="009F7EDB">
        <w:rPr>
          <w:rFonts w:eastAsia="Times New Roman" w:cs="Tahoma"/>
          <w:bCs/>
          <w:color w:val="auto"/>
          <w:lang w:val="es-ES" w:eastAsia="es-ES"/>
        </w:rPr>
        <w:t>, toda vez que el Solicitante se inconformó con la falta de respuesta a su solicitud de acceso a información pública.</w:t>
      </w:r>
    </w:p>
    <w:p w:rsidRPr="009F7EDB" w:rsidR="00C214B5" w:rsidP="00FD34A8" w:rsidRDefault="00C214B5" w14:paraId="739C0E07" w14:textId="77777777">
      <w:pPr>
        <w:spacing w:after="0" w:line="360" w:lineRule="auto"/>
        <w:contextualSpacing/>
        <w:rPr>
          <w:rFonts w:eastAsia="Times New Roman" w:cs="Tahoma"/>
          <w:bCs/>
          <w:color w:val="auto"/>
          <w:lang w:val="es-ES" w:eastAsia="es-ES"/>
        </w:rPr>
      </w:pPr>
    </w:p>
    <w:p w:rsidRPr="009F7EDB" w:rsidR="00C214B5" w:rsidP="00FD34A8" w:rsidRDefault="00C214B5" w14:paraId="44D3243E" w14:textId="77777777">
      <w:pPr>
        <w:spacing w:after="0" w:line="360" w:lineRule="auto"/>
        <w:contextualSpacing/>
        <w:rPr>
          <w:rFonts w:eastAsia="Times New Roman" w:cs="Tahoma"/>
          <w:b/>
          <w:bCs/>
          <w:color w:val="0D0D0D" w:themeColor="text1" w:themeTint="F2"/>
          <w:lang w:eastAsia="es-ES"/>
        </w:rPr>
      </w:pPr>
      <w:r w:rsidRPr="009F7EDB">
        <w:rPr>
          <w:rFonts w:eastAsia="Times New Roman" w:cs="Tahoma"/>
          <w:b/>
          <w:bCs/>
          <w:color w:val="0D0D0D" w:themeColor="text1" w:themeTint="F2"/>
          <w:lang w:eastAsia="es-ES"/>
        </w:rPr>
        <w:t>Causales de sobreseimiento.</w:t>
      </w:r>
    </w:p>
    <w:p w:rsidRPr="009F7EDB" w:rsidR="00C214B5" w:rsidP="00FD34A8" w:rsidRDefault="00C214B5" w14:paraId="0545FD87" w14:textId="77777777">
      <w:pPr>
        <w:spacing w:after="0" w:line="360" w:lineRule="auto"/>
        <w:contextualSpacing/>
        <w:rPr>
          <w:rFonts w:eastAsia="Times New Roman" w:cs="Tahoma"/>
          <w:bCs/>
          <w:color w:val="0D0D0D" w:themeColor="text1" w:themeTint="F2"/>
          <w:lang w:eastAsia="es-ES"/>
        </w:rPr>
      </w:pPr>
      <w:r w:rsidRPr="009F7EDB">
        <w:rPr>
          <w:rFonts w:eastAsia="Times New Roman" w:cs="Tahoma"/>
          <w:bCs/>
          <w:color w:val="0D0D0D" w:themeColor="text1" w:themeTint="F2"/>
          <w:lang w:eastAsia="es-ES"/>
        </w:rPr>
        <w:lastRenderedPageBreak/>
        <w:t xml:space="preserve">Por ser de previo y especial pronunciamiento, este Instituto analiza si se actualiza alguna causal de sobreseimiento. </w:t>
      </w:r>
    </w:p>
    <w:p w:rsidRPr="009F7EDB" w:rsidR="00C214B5" w:rsidP="00FD34A8" w:rsidRDefault="00C214B5" w14:paraId="691BCF6D" w14:textId="77777777">
      <w:pPr>
        <w:spacing w:after="0" w:line="360" w:lineRule="auto"/>
        <w:contextualSpacing/>
        <w:rPr>
          <w:rFonts w:eastAsia="Times New Roman" w:cs="Tahoma"/>
          <w:bCs/>
          <w:color w:val="0D0D0D" w:themeColor="text1" w:themeTint="F2"/>
          <w:lang w:eastAsia="es-ES"/>
        </w:rPr>
      </w:pPr>
    </w:p>
    <w:p w:rsidRPr="009F7EDB" w:rsidR="00C214B5" w:rsidP="00FD34A8" w:rsidRDefault="00C214B5" w14:paraId="6AF168F4" w14:textId="77777777">
      <w:pPr>
        <w:spacing w:after="0" w:line="360" w:lineRule="auto"/>
        <w:contextualSpacing/>
        <w:rPr>
          <w:rFonts w:eastAsia="Times New Roman" w:cs="Tahoma"/>
          <w:color w:val="auto"/>
          <w:lang w:eastAsia="es-ES"/>
        </w:rPr>
      </w:pPr>
      <w:r w:rsidRPr="009F7EDB">
        <w:rPr>
          <w:rFonts w:eastAsia="Times New Roman" w:cs="Tahoma"/>
          <w:bCs/>
          <w:color w:val="0D0D0D" w:themeColor="text1" w:themeTint="F2"/>
          <w:lang w:eastAsia="es-ES"/>
        </w:rPr>
        <w:t>Sobre el tema, e</w:t>
      </w:r>
      <w:r w:rsidRPr="009F7EDB">
        <w:rPr>
          <w:rFonts w:eastAsia="Times New Roman" w:cs="Tahoma"/>
          <w:color w:val="auto"/>
          <w:lang w:eastAsia="es-ES"/>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Pr="009F7EDB" w:rsidR="00C214B5" w:rsidP="00FD34A8" w:rsidRDefault="00C214B5" w14:paraId="4A54491C" w14:textId="77777777">
      <w:pPr>
        <w:spacing w:after="0" w:line="360" w:lineRule="auto"/>
        <w:contextualSpacing/>
        <w:rPr>
          <w:rFonts w:eastAsia="Times New Roman" w:cs="Tahoma"/>
          <w:color w:val="auto"/>
          <w:lang w:eastAsia="es-ES"/>
        </w:rPr>
      </w:pPr>
    </w:p>
    <w:p w:rsidRPr="009F7EDB" w:rsidR="00C214B5" w:rsidP="00FD34A8" w:rsidRDefault="00C214B5" w14:paraId="1E858360" w14:textId="77777777">
      <w:pPr>
        <w:spacing w:after="0" w:line="360" w:lineRule="auto"/>
        <w:contextualSpacing/>
        <w:rPr>
          <w:rFonts w:eastAsia="Times New Roman" w:cs="Tahoma"/>
          <w:bCs/>
          <w:color w:val="0D0D0D" w:themeColor="text1" w:themeTint="F2"/>
          <w:lang w:eastAsia="es-ES"/>
        </w:rPr>
      </w:pPr>
      <w:r w:rsidRPr="009F7EDB">
        <w:rPr>
          <w:rFonts w:eastAsia="Times New Roman" w:cs="Tahoma"/>
          <w:bCs/>
          <w:color w:val="0D0D0D" w:themeColor="text1" w:themeTint="F2"/>
          <w:lang w:eastAsia="es-ES"/>
        </w:rPr>
        <w:t xml:space="preserve">Por tales motivos, se considera procedente entrar al fondo del presente asunto. </w:t>
      </w:r>
    </w:p>
    <w:p w:rsidRPr="009F7EDB" w:rsidR="00C214B5" w:rsidP="00FD34A8" w:rsidRDefault="00C214B5" w14:paraId="030DC94E" w14:textId="77777777">
      <w:pPr>
        <w:spacing w:after="0" w:line="360" w:lineRule="auto"/>
        <w:contextualSpacing/>
        <w:rPr>
          <w:rFonts w:eastAsia="Times New Roman" w:cs="Tahoma"/>
          <w:bCs/>
          <w:color w:val="0D0D0D" w:themeColor="text1" w:themeTint="F2"/>
          <w:lang w:eastAsia="es-ES"/>
        </w:rPr>
      </w:pPr>
    </w:p>
    <w:p w:rsidRPr="009F7EDB" w:rsidR="00C214B5" w:rsidP="00FD34A8" w:rsidRDefault="00C214B5" w14:paraId="42F05721" w14:textId="77777777">
      <w:pPr>
        <w:spacing w:after="0" w:line="360" w:lineRule="auto"/>
        <w:contextualSpacing/>
        <w:rPr>
          <w:rFonts w:eastAsia="Times New Roman" w:cs="Tahoma"/>
          <w:b/>
          <w:bCs/>
          <w:iCs/>
          <w:color w:val="auto"/>
          <w:lang w:val="es-ES" w:eastAsia="es-ES"/>
        </w:rPr>
      </w:pPr>
      <w:r w:rsidRPr="009F7EDB">
        <w:rPr>
          <w:rFonts w:eastAsia="Times New Roman" w:cs="Tahoma"/>
          <w:b/>
          <w:bCs/>
          <w:iCs/>
          <w:color w:val="auto"/>
          <w:lang w:val="es-ES" w:eastAsia="es-ES"/>
        </w:rPr>
        <w:t xml:space="preserve">TERCERO. Determinación de la Controversia. </w:t>
      </w:r>
    </w:p>
    <w:p w:rsidRPr="009F7EDB" w:rsidR="00C214B5" w:rsidP="00FD34A8" w:rsidRDefault="00C214B5" w14:paraId="194B63C3" w14:textId="77777777">
      <w:pPr>
        <w:spacing w:after="0" w:line="360" w:lineRule="auto"/>
        <w:contextualSpacing/>
        <w:rPr>
          <w:rFonts w:eastAsia="Times New Roman" w:cs="Tahoma"/>
          <w:b/>
          <w:bCs/>
          <w:iCs/>
          <w:color w:val="auto"/>
          <w:lang w:val="es-ES" w:eastAsia="es-ES"/>
        </w:rPr>
      </w:pPr>
    </w:p>
    <w:p w:rsidRPr="009F7EDB" w:rsidR="00AF33DC" w:rsidP="00FD34A8" w:rsidRDefault="00C214B5" w14:paraId="3B61AA5B" w14:textId="644E73E3">
      <w:pPr>
        <w:spacing w:after="0" w:line="360" w:lineRule="auto"/>
        <w:contextualSpacing/>
        <w:rPr>
          <w:rFonts w:cs="Tahoma"/>
        </w:rPr>
      </w:pPr>
      <w:r w:rsidRPr="009F7EDB">
        <w:rPr>
          <w:rFonts w:cs="Tahoma"/>
        </w:rPr>
        <w:t>Con el objetivo de ilustrar la controversia planteada, resulta conveniente precisar, que una vez realizado el estudio de las constancias que integran el expediente en el que se actúa, se desprende que el Particular requirió</w:t>
      </w:r>
      <w:r w:rsidRPr="009F7EDB" w:rsidR="00FD34A8">
        <w:rPr>
          <w:rFonts w:cs="Tahoma"/>
        </w:rPr>
        <w:t xml:space="preserve">, respecto a la unidad administrativa “Secretaría Técnica” o equivalente, </w:t>
      </w:r>
      <w:r w:rsidRPr="009F7EDB" w:rsidR="00AF33DC">
        <w:rPr>
          <w:rFonts w:cs="Tahoma"/>
        </w:rPr>
        <w:t xml:space="preserve">lo siguiente: </w:t>
      </w:r>
    </w:p>
    <w:p w:rsidRPr="009F7EDB" w:rsidR="00C214B5" w:rsidP="00FD34A8" w:rsidRDefault="00C214B5" w14:paraId="134A501C" w14:textId="30C0B989">
      <w:pPr>
        <w:spacing w:after="0" w:line="360" w:lineRule="auto"/>
        <w:contextualSpacing/>
        <w:rPr>
          <w:rFonts w:cs="Tahoma"/>
        </w:rPr>
      </w:pPr>
    </w:p>
    <w:p w:rsidRPr="009F7EDB" w:rsidR="00FD34A8" w:rsidP="00FD34A8" w:rsidRDefault="00FD34A8" w14:paraId="6C9A9016" w14:textId="4CCF709F">
      <w:pPr>
        <w:pStyle w:val="Prrafodelista"/>
        <w:numPr>
          <w:ilvl w:val="0"/>
          <w:numId w:val="5"/>
        </w:numPr>
        <w:spacing w:after="0" w:line="360" w:lineRule="auto"/>
        <w:rPr>
          <w:rFonts w:cs="Tahoma"/>
        </w:rPr>
      </w:pPr>
      <w:r w:rsidRPr="009F7EDB">
        <w:rPr>
          <w:rFonts w:cs="Tahoma"/>
        </w:rPr>
        <w:t>Nombre del área;</w:t>
      </w:r>
    </w:p>
    <w:p w:rsidRPr="009F7EDB" w:rsidR="00FD34A8" w:rsidP="00FD34A8" w:rsidRDefault="00FD34A8" w14:paraId="4D207521" w14:textId="259AA454">
      <w:pPr>
        <w:pStyle w:val="Prrafodelista"/>
        <w:numPr>
          <w:ilvl w:val="0"/>
          <w:numId w:val="5"/>
        </w:numPr>
        <w:spacing w:after="0" w:line="360" w:lineRule="auto"/>
        <w:rPr>
          <w:rFonts w:cs="Tahoma"/>
        </w:rPr>
      </w:pPr>
      <w:r w:rsidRPr="009F7EDB">
        <w:rPr>
          <w:rFonts w:cs="Tahoma"/>
        </w:rPr>
        <w:t>Jerarquía administrativa;</w:t>
      </w:r>
    </w:p>
    <w:p w:rsidRPr="009F7EDB" w:rsidR="00FD34A8" w:rsidP="00FD34A8" w:rsidRDefault="00FD34A8" w14:paraId="389EE7A8" w14:textId="1B994FF2">
      <w:pPr>
        <w:pStyle w:val="Prrafodelista"/>
        <w:numPr>
          <w:ilvl w:val="0"/>
          <w:numId w:val="5"/>
        </w:numPr>
        <w:spacing w:after="0" w:line="360" w:lineRule="auto"/>
        <w:rPr>
          <w:rFonts w:cs="Tahoma"/>
        </w:rPr>
      </w:pPr>
      <w:r w:rsidRPr="009F7EDB">
        <w:rPr>
          <w:rFonts w:cs="Tahoma"/>
        </w:rPr>
        <w:t>Lugar dentro del Organigrama;</w:t>
      </w:r>
    </w:p>
    <w:p w:rsidRPr="009F7EDB" w:rsidR="00FD34A8" w:rsidP="00FD34A8" w:rsidRDefault="00FD34A8" w14:paraId="639CB9D3" w14:textId="370C6C75">
      <w:pPr>
        <w:pStyle w:val="Prrafodelista"/>
        <w:numPr>
          <w:ilvl w:val="0"/>
          <w:numId w:val="5"/>
        </w:numPr>
        <w:spacing w:after="0" w:line="360" w:lineRule="auto"/>
        <w:rPr>
          <w:rFonts w:cs="Tahoma"/>
        </w:rPr>
      </w:pPr>
      <w:r w:rsidRPr="009F7EDB">
        <w:rPr>
          <w:rFonts w:cs="Tahoma"/>
        </w:rPr>
        <w:t>Nombre, grado de estudios, puesto y sueldo del titular del área;</w:t>
      </w:r>
    </w:p>
    <w:p w:rsidRPr="009F7EDB" w:rsidR="00FD34A8" w:rsidP="00FD34A8" w:rsidRDefault="00FD34A8" w14:paraId="72A9A097" w14:textId="348D2E73">
      <w:pPr>
        <w:pStyle w:val="Prrafodelista"/>
        <w:numPr>
          <w:ilvl w:val="0"/>
          <w:numId w:val="5"/>
        </w:numPr>
        <w:spacing w:after="0" w:line="360" w:lineRule="auto"/>
        <w:rPr>
          <w:rFonts w:cs="Tahoma"/>
        </w:rPr>
      </w:pPr>
      <w:r w:rsidRPr="009F7EDB">
        <w:rPr>
          <w:rFonts w:cs="Tahoma"/>
        </w:rPr>
        <w:t>Recibos de nómina, desde el inició de sus funciones, y</w:t>
      </w:r>
    </w:p>
    <w:p w:rsidRPr="009F7EDB" w:rsidR="00FD34A8" w:rsidP="00FD34A8" w:rsidRDefault="00FD34A8" w14:paraId="07CC8212" w14:textId="2461EA49">
      <w:pPr>
        <w:pStyle w:val="Prrafodelista"/>
        <w:numPr>
          <w:ilvl w:val="0"/>
          <w:numId w:val="5"/>
        </w:numPr>
        <w:spacing w:after="0" w:line="360" w:lineRule="auto"/>
        <w:rPr>
          <w:rFonts w:cs="Tahoma"/>
        </w:rPr>
      </w:pPr>
      <w:r w:rsidRPr="009F7EDB">
        <w:rPr>
          <w:rFonts w:cs="Tahoma"/>
        </w:rPr>
        <w:t>Expediente laboral de dicho servidor público.</w:t>
      </w:r>
    </w:p>
    <w:p w:rsidRPr="009F7EDB" w:rsidR="000D6CD7" w:rsidP="00FD34A8" w:rsidRDefault="000D6CD7" w14:paraId="071FF3FD" w14:textId="6FDFE00A">
      <w:pPr>
        <w:spacing w:after="0" w:line="360" w:lineRule="auto"/>
        <w:contextualSpacing/>
        <w:rPr>
          <w:color w:val="000000"/>
        </w:rPr>
      </w:pPr>
    </w:p>
    <w:p w:rsidRPr="009F7EDB" w:rsidR="00C214B5" w:rsidP="00FD34A8" w:rsidRDefault="00C214B5" w14:paraId="24F001F0" w14:textId="77777777">
      <w:pPr>
        <w:pStyle w:val="NormalWeb"/>
        <w:spacing w:after="0" w:line="360" w:lineRule="auto"/>
        <w:ind w:right="-28"/>
        <w:contextualSpacing/>
        <w:rPr>
          <w:rFonts w:ascii="Palatino Linotype" w:hAnsi="Palatino Linotype" w:cs="Tahoma"/>
          <w:bCs/>
          <w:iCs/>
          <w:color w:val="auto"/>
          <w:sz w:val="22"/>
          <w:szCs w:val="22"/>
          <w:lang w:val="es-ES" w:eastAsia="es-ES"/>
        </w:rPr>
      </w:pPr>
      <w:r w:rsidRPr="009F7EDB">
        <w:rPr>
          <w:rFonts w:ascii="Palatino Linotype" w:hAnsi="Palatino Linotype" w:cs="Tahoma"/>
          <w:bCs/>
          <w:iCs/>
          <w:sz w:val="22"/>
          <w:szCs w:val="22"/>
          <w:lang w:val="es-ES"/>
        </w:rPr>
        <w:lastRenderedPageBreak/>
        <w:t>Ante la falta de respuesta del Ente Recurrido, el Particular, justamente se inconformó porque no le dieron contestación a su requerimiento de información, lo cual se actualiza el supuesto previsto en el artículo 179, fracción VII, de la Ley de Transparencia y Acceso a la Información Pública del Estado de México y Municipios</w:t>
      </w:r>
      <w:r w:rsidRPr="009F7EDB">
        <w:rPr>
          <w:rFonts w:ascii="Palatino Linotype" w:hAnsi="Palatino Linotype" w:cs="Tahoma"/>
          <w:bCs/>
          <w:iCs/>
          <w:sz w:val="22"/>
          <w:szCs w:val="22"/>
          <w:shd w:val="clear" w:color="auto" w:fill="FFFFFF"/>
        </w:rPr>
        <w:t xml:space="preserve">. </w:t>
      </w:r>
      <w:r w:rsidRPr="009F7EDB">
        <w:rPr>
          <w:rFonts w:ascii="Palatino Linotype" w:hAnsi="Palatino Linotype" w:cs="Tahoma"/>
          <w:sz w:val="22"/>
          <w:szCs w:val="22"/>
          <w:lang w:val="es-ES"/>
        </w:rPr>
        <w:t>Así las cosas, una vez admitido y notificado el Recurso de Revisión a las partes, estas</w:t>
      </w:r>
      <w:r w:rsidRPr="009F7EDB">
        <w:rPr>
          <w:rFonts w:ascii="Palatino Linotype" w:hAnsi="Palatino Linotype" w:cs="Tahoma"/>
          <w:bCs/>
          <w:iCs/>
          <w:sz w:val="22"/>
          <w:szCs w:val="22"/>
          <w:lang w:val="es-ES" w:eastAsia="es-ES"/>
        </w:rPr>
        <w:t xml:space="preserve"> fueron omisas en realizar manifestaciones o alegatos.</w:t>
      </w:r>
    </w:p>
    <w:p w:rsidRPr="009F7EDB" w:rsidR="00C214B5" w:rsidP="00FD34A8" w:rsidRDefault="00C214B5" w14:paraId="26871DC5" w14:textId="77777777">
      <w:pPr>
        <w:tabs>
          <w:tab w:val="left" w:pos="4962"/>
        </w:tabs>
        <w:spacing w:after="0" w:line="360" w:lineRule="auto"/>
        <w:contextualSpacing/>
        <w:rPr>
          <w:rFonts w:eastAsia="Calibri" w:cs="Tahoma"/>
          <w:iCs/>
          <w:lang w:val="es-ES"/>
        </w:rPr>
      </w:pPr>
    </w:p>
    <w:p w:rsidRPr="009F7EDB" w:rsidR="00C214B5" w:rsidP="00FD34A8" w:rsidRDefault="00C214B5" w14:paraId="288DD048" w14:textId="77777777">
      <w:pPr>
        <w:tabs>
          <w:tab w:val="left" w:pos="4962"/>
        </w:tabs>
        <w:spacing w:after="0" w:line="360" w:lineRule="auto"/>
        <w:contextualSpacing/>
        <w:rPr>
          <w:rFonts w:eastAsia="Calibri" w:cs="Tahoma"/>
          <w:bCs/>
        </w:rPr>
      </w:pPr>
      <w:r w:rsidRPr="009F7EDB">
        <w:rPr>
          <w:rFonts w:eastAsia="Calibri" w:cs="Tahoma"/>
          <w:iCs/>
          <w:lang w:val="es-ES" w:eastAsia="es-ES_tradnl"/>
        </w:rPr>
        <w:t xml:space="preserve">Lo anterior, se desprende de las documentales que obran en el expediente de referencia, materia de la presente resolución, consistente en: la solicitud de acceso a la información </w:t>
      </w:r>
      <w:r w:rsidRPr="009F7EDB">
        <w:rPr>
          <w:rFonts w:eastAsia="Calibri" w:cs="Tahoma"/>
          <w:iCs/>
          <w:lang w:eastAsia="es-ES_tradnl"/>
        </w:rPr>
        <w:t xml:space="preserve">y el escrito recursal; </w:t>
      </w:r>
      <w:r w:rsidRPr="009F7EDB">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rsidRPr="009F7EDB" w:rsidR="00C214B5" w:rsidP="00FD34A8" w:rsidRDefault="00C214B5" w14:paraId="637C1918" w14:textId="77777777">
      <w:pPr>
        <w:spacing w:after="0" w:line="360" w:lineRule="auto"/>
        <w:contextualSpacing/>
        <w:rPr>
          <w:rFonts w:eastAsia="Calibri" w:cs="Tahoma"/>
          <w:color w:val="auto"/>
          <w:lang w:eastAsia="es-ES_tradnl"/>
        </w:rPr>
      </w:pPr>
    </w:p>
    <w:p w:rsidRPr="009F7EDB" w:rsidR="00C214B5" w:rsidP="00FD34A8" w:rsidRDefault="00C214B5" w14:paraId="2ADB9DBD" w14:textId="77777777">
      <w:pPr>
        <w:spacing w:after="0" w:line="360" w:lineRule="auto"/>
        <w:contextualSpacing/>
        <w:rPr>
          <w:rFonts w:eastAsia="Times New Roman" w:cs="Tahoma"/>
          <w:b/>
          <w:bCs/>
          <w:iCs/>
          <w:color w:val="auto"/>
          <w:lang w:eastAsia="es-ES"/>
        </w:rPr>
      </w:pPr>
      <w:r w:rsidRPr="009F7EDB">
        <w:rPr>
          <w:rFonts w:eastAsia="Times New Roman" w:cs="Tahoma"/>
          <w:b/>
          <w:bCs/>
          <w:iCs/>
          <w:color w:val="auto"/>
          <w:lang w:val="es-ES" w:eastAsia="es-ES"/>
        </w:rPr>
        <w:t xml:space="preserve">CUARTO. </w:t>
      </w:r>
      <w:r w:rsidRPr="009F7EDB">
        <w:rPr>
          <w:rFonts w:eastAsia="Times New Roman" w:cs="Tahoma"/>
          <w:b/>
          <w:bCs/>
          <w:iCs/>
          <w:color w:val="auto"/>
          <w:lang w:eastAsia="es-ES"/>
        </w:rPr>
        <w:t>Marco normativo aplicable en materia de transparencia y acceso a la información pública.</w:t>
      </w:r>
    </w:p>
    <w:p w:rsidRPr="009F7EDB" w:rsidR="00C214B5" w:rsidP="00FD34A8" w:rsidRDefault="00C214B5" w14:paraId="463F2457" w14:textId="77777777">
      <w:pPr>
        <w:autoSpaceDE w:val="0"/>
        <w:autoSpaceDN w:val="0"/>
        <w:adjustRightInd w:val="0"/>
        <w:spacing w:after="0" w:line="360" w:lineRule="auto"/>
        <w:contextualSpacing/>
        <w:rPr>
          <w:rFonts w:eastAsia="Times New Roman" w:cs="Tahoma"/>
          <w:bCs/>
          <w:iCs/>
          <w:color w:val="auto"/>
          <w:lang w:val="es-ES" w:eastAsia="es-ES"/>
        </w:rPr>
      </w:pPr>
    </w:p>
    <w:p w:rsidRPr="009F7EDB" w:rsidR="00C214B5" w:rsidP="00FD34A8" w:rsidRDefault="00C214B5" w14:paraId="7F61FEC9"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9F7EDB" w:rsidR="00C214B5" w:rsidP="00FD34A8" w:rsidRDefault="00C214B5" w14:paraId="6D785569" w14:textId="77777777">
      <w:pPr>
        <w:spacing w:after="0" w:line="360" w:lineRule="auto"/>
        <w:contextualSpacing/>
        <w:rPr>
          <w:rFonts w:eastAsia="Times New Roman" w:cs="Tahoma"/>
          <w:bCs/>
          <w:iCs/>
          <w:color w:val="auto"/>
          <w:lang w:eastAsia="es-ES"/>
        </w:rPr>
      </w:pPr>
    </w:p>
    <w:p w:rsidRPr="009F7EDB" w:rsidR="00C214B5" w:rsidP="00FD34A8" w:rsidRDefault="00C214B5" w14:paraId="3C7188AB"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9F7EDB" w:rsidR="00C214B5" w:rsidP="00FD34A8" w:rsidRDefault="00C214B5" w14:paraId="6A94D4C5" w14:textId="77777777">
      <w:pPr>
        <w:spacing w:after="0" w:line="360" w:lineRule="auto"/>
        <w:contextualSpacing/>
        <w:rPr>
          <w:rFonts w:eastAsia="Times New Roman" w:cs="Tahoma"/>
          <w:bCs/>
          <w:iCs/>
          <w:color w:val="auto"/>
          <w:lang w:eastAsia="es-ES"/>
        </w:rPr>
      </w:pPr>
    </w:p>
    <w:p w:rsidRPr="009F7EDB" w:rsidR="00C214B5" w:rsidP="00FD34A8" w:rsidRDefault="00C214B5" w14:paraId="6AB382CC"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9F7EDB">
        <w:rPr>
          <w:rFonts w:eastAsia="Times New Roman" w:cs="Tahoma"/>
          <w:bCs/>
          <w:iCs/>
          <w:color w:val="auto"/>
          <w:lang w:eastAsia="es-ES"/>
        </w:rPr>
        <w:lastRenderedPageBreak/>
        <w:t>como la información referente a la intimidad de la vida privada y la imagen de las personas, con las excepciones que establezca la ley reglamentaria.</w:t>
      </w:r>
    </w:p>
    <w:p w:rsidRPr="009F7EDB" w:rsidR="00C214B5" w:rsidP="00FD34A8" w:rsidRDefault="00C214B5" w14:paraId="03ADC845" w14:textId="77777777">
      <w:pPr>
        <w:spacing w:after="0" w:line="360" w:lineRule="auto"/>
        <w:contextualSpacing/>
        <w:rPr>
          <w:rFonts w:eastAsia="Times New Roman" w:cs="Tahoma"/>
          <w:bCs/>
          <w:iCs/>
          <w:color w:val="auto"/>
          <w:lang w:eastAsia="es-ES"/>
        </w:rPr>
      </w:pPr>
    </w:p>
    <w:p w:rsidRPr="009F7EDB" w:rsidR="00C214B5" w:rsidP="00FD34A8" w:rsidRDefault="00C214B5" w14:paraId="3CE8B1B8"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9F7EDB" w:rsidR="00C214B5" w:rsidP="00FD34A8" w:rsidRDefault="00C214B5" w14:paraId="45F6B197" w14:textId="77777777">
      <w:pPr>
        <w:spacing w:after="0" w:line="360" w:lineRule="auto"/>
        <w:contextualSpacing/>
        <w:rPr>
          <w:rFonts w:eastAsia="Times New Roman" w:cs="Tahoma"/>
          <w:bCs/>
          <w:iCs/>
          <w:color w:val="auto"/>
          <w:lang w:eastAsia="es-ES"/>
        </w:rPr>
      </w:pPr>
    </w:p>
    <w:p w:rsidRPr="009F7EDB" w:rsidR="00C214B5" w:rsidP="00FD34A8" w:rsidRDefault="00C214B5" w14:paraId="2407CE37"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El artículo 12, que, quienes generen, recopilen, administren, manejen, procesen, archiven o conserven información pública serán responsables de la misma.</w:t>
      </w:r>
    </w:p>
    <w:p w:rsidRPr="009F7EDB" w:rsidR="00C214B5" w:rsidP="00FD34A8" w:rsidRDefault="00C214B5" w14:paraId="5A7EDE15" w14:textId="77777777">
      <w:pPr>
        <w:spacing w:after="0" w:line="360" w:lineRule="auto"/>
        <w:contextualSpacing/>
        <w:rPr>
          <w:rFonts w:eastAsia="Times New Roman" w:cs="Tahoma"/>
          <w:bCs/>
          <w:iCs/>
          <w:color w:val="auto"/>
          <w:lang w:eastAsia="es-ES"/>
        </w:rPr>
      </w:pPr>
    </w:p>
    <w:p w:rsidRPr="009F7EDB" w:rsidR="00C214B5" w:rsidP="00FD34A8" w:rsidRDefault="00C214B5" w14:paraId="501ABE1E" w14:textId="77777777">
      <w:pPr>
        <w:widowControl w:val="0"/>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rsidRPr="009F7EDB" w:rsidR="00C214B5" w:rsidP="00FD34A8" w:rsidRDefault="00C214B5" w14:paraId="2CFC73B8" w14:textId="77777777">
      <w:pPr>
        <w:spacing w:after="0" w:line="360" w:lineRule="auto"/>
        <w:contextualSpacing/>
        <w:rPr>
          <w:rFonts w:eastAsia="Times New Roman" w:cs="Tahoma"/>
          <w:bCs/>
          <w:iCs/>
          <w:color w:val="auto"/>
          <w:lang w:eastAsia="es-ES"/>
        </w:rPr>
      </w:pPr>
    </w:p>
    <w:p w:rsidRPr="009F7EDB" w:rsidR="00C214B5" w:rsidP="00FD34A8" w:rsidRDefault="00C214B5" w14:paraId="6BF0261E"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9F7EDB" w:rsidR="00C214B5" w:rsidP="00FD34A8" w:rsidRDefault="00C214B5" w14:paraId="76F349A7" w14:textId="77777777">
      <w:pPr>
        <w:spacing w:after="0" w:line="360" w:lineRule="auto"/>
        <w:contextualSpacing/>
        <w:rPr>
          <w:rFonts w:eastAsia="Times New Roman" w:cs="Tahoma"/>
          <w:bCs/>
          <w:iCs/>
          <w:color w:val="auto"/>
          <w:lang w:eastAsia="es-ES"/>
        </w:rPr>
      </w:pPr>
    </w:p>
    <w:p w:rsidRPr="009F7EDB" w:rsidR="00C214B5" w:rsidP="00FD34A8" w:rsidRDefault="00C214B5" w14:paraId="6E5D7623" w14:textId="77777777">
      <w:pPr>
        <w:spacing w:after="0" w:line="360" w:lineRule="auto"/>
        <w:contextualSpacing/>
        <w:rPr>
          <w:rFonts w:eastAsia="Times New Roman" w:cs="Tahoma"/>
          <w:b/>
          <w:bCs/>
          <w:iCs/>
          <w:color w:val="auto"/>
          <w:lang w:val="es-ES" w:eastAsia="es-ES"/>
        </w:rPr>
      </w:pPr>
      <w:r w:rsidRPr="009F7EDB">
        <w:rPr>
          <w:rFonts w:eastAsia="Times New Roman" w:cs="Tahoma"/>
          <w:b/>
          <w:bCs/>
          <w:iCs/>
          <w:color w:val="auto"/>
          <w:lang w:val="es-ES" w:eastAsia="es-ES"/>
        </w:rPr>
        <w:t>QUINTO. Estudio de Fondo.</w:t>
      </w:r>
    </w:p>
    <w:p w:rsidRPr="009F7EDB" w:rsidR="00C214B5" w:rsidP="00FD34A8" w:rsidRDefault="00C214B5" w14:paraId="128A2144" w14:textId="77777777">
      <w:pPr>
        <w:spacing w:after="0" w:line="360" w:lineRule="auto"/>
        <w:contextualSpacing/>
        <w:rPr>
          <w:rFonts w:eastAsia="Times New Roman" w:cs="Tahoma"/>
          <w:b/>
          <w:bCs/>
          <w:iCs/>
          <w:color w:val="auto"/>
          <w:lang w:val="es-ES" w:eastAsia="es-ES"/>
        </w:rPr>
      </w:pPr>
    </w:p>
    <w:p w:rsidRPr="009F7EDB" w:rsidR="00C214B5" w:rsidP="00FD34A8" w:rsidRDefault="00C214B5" w14:paraId="582AED9E" w14:textId="6AC6B176">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 xml:space="preserve">Expuestas las posturas de las partes, se procede al análisis del agravio hecho valer por el ahora Recurrente, concerniente a la falta de respuesta del </w:t>
      </w:r>
      <w:r w:rsidRPr="009F7EDB">
        <w:rPr>
          <w:color w:val="000000"/>
        </w:rPr>
        <w:t xml:space="preserve">Ayuntamiento de </w:t>
      </w:r>
      <w:r w:rsidRPr="009F7EDB" w:rsidR="00172377">
        <w:rPr>
          <w:color w:val="000000"/>
        </w:rPr>
        <w:t>Tequixquia</w:t>
      </w:r>
      <w:r w:rsidRPr="009F7EDB">
        <w:rPr>
          <w:color w:val="000000"/>
        </w:rPr>
        <w:t>c</w:t>
      </w:r>
      <w:r w:rsidRPr="009F7EDB">
        <w:rPr>
          <w:rFonts w:eastAsia="Times New Roman" w:cs="Tahoma"/>
          <w:iCs/>
          <w:color w:val="auto"/>
          <w:lang w:eastAsia="es-ES"/>
        </w:rPr>
        <w:t>, a</w:t>
      </w:r>
      <w:r w:rsidRPr="009F7EDB">
        <w:rPr>
          <w:rFonts w:eastAsia="Times New Roman" w:cs="Tahoma"/>
          <w:bCs/>
          <w:iCs/>
          <w:color w:val="auto"/>
          <w:lang w:eastAsia="es-ES"/>
        </w:rPr>
        <w:t xml:space="preserve"> la solicitud de información presentada. </w:t>
      </w:r>
    </w:p>
    <w:p w:rsidRPr="009F7EDB" w:rsidR="00C214B5" w:rsidP="00FD34A8" w:rsidRDefault="00C214B5" w14:paraId="01EA9DEB" w14:textId="77777777">
      <w:pPr>
        <w:spacing w:after="0" w:line="360" w:lineRule="auto"/>
        <w:contextualSpacing/>
        <w:rPr>
          <w:rFonts w:eastAsia="Times New Roman" w:cs="Tahoma"/>
          <w:bCs/>
          <w:iCs/>
          <w:color w:val="auto"/>
          <w:lang w:eastAsia="es-ES"/>
        </w:rPr>
      </w:pPr>
    </w:p>
    <w:p w:rsidRPr="009F7EDB" w:rsidR="00C214B5" w:rsidP="00FD34A8" w:rsidRDefault="00C214B5" w14:paraId="20B8F9D8"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 xml:space="preserve">En principio, es de suma importancia señalar los objetivos de la Ley de Transparencia y Acceso a la Información Pública del Estado de México y Municipios, en relación con la </w:t>
      </w:r>
      <w:r w:rsidRPr="009F7EDB">
        <w:rPr>
          <w:rFonts w:eastAsia="Times New Roman" w:cs="Tahoma"/>
          <w:bCs/>
          <w:iCs/>
          <w:color w:val="auto"/>
          <w:lang w:eastAsia="es-ES"/>
        </w:rPr>
        <w:lastRenderedPageBreak/>
        <w:t>obligación de acceso por parte de los Sujetos Obligados, lo cuales se encuentran establecidos en el artículo 2° de dicho ordenamiento jurídico y son los siguientes:</w:t>
      </w:r>
    </w:p>
    <w:p w:rsidRPr="009F7EDB" w:rsidR="00C214B5" w:rsidP="00FD34A8" w:rsidRDefault="00C214B5" w14:paraId="73559328" w14:textId="77777777">
      <w:pPr>
        <w:spacing w:after="0" w:line="360" w:lineRule="auto"/>
        <w:contextualSpacing/>
        <w:rPr>
          <w:rFonts w:eastAsia="Times New Roman" w:cs="Tahoma"/>
          <w:bCs/>
          <w:iCs/>
          <w:color w:val="auto"/>
          <w:lang w:eastAsia="es-ES"/>
        </w:rPr>
      </w:pPr>
    </w:p>
    <w:p w:rsidRPr="009F7EDB" w:rsidR="00C214B5" w:rsidP="00FD34A8" w:rsidRDefault="00C214B5" w14:paraId="34FB6583" w14:textId="77777777">
      <w:pPr>
        <w:numPr>
          <w:ilvl w:val="0"/>
          <w:numId w:val="1"/>
        </w:num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rsidRPr="009F7EDB" w:rsidR="00C214B5" w:rsidP="00FD34A8" w:rsidRDefault="00C214B5" w14:paraId="2B720F5C" w14:textId="77777777">
      <w:pPr>
        <w:spacing w:after="0" w:line="360" w:lineRule="auto"/>
        <w:ind w:left="720"/>
        <w:contextualSpacing/>
        <w:rPr>
          <w:rFonts w:eastAsia="Times New Roman" w:cs="Tahoma"/>
          <w:bCs/>
          <w:iCs/>
          <w:color w:val="auto"/>
          <w:lang w:eastAsia="es-ES"/>
        </w:rPr>
      </w:pPr>
    </w:p>
    <w:p w:rsidRPr="009F7EDB" w:rsidR="00C214B5" w:rsidP="00FD34A8" w:rsidRDefault="00C214B5" w14:paraId="51C3FBCF" w14:textId="77777777">
      <w:pPr>
        <w:numPr>
          <w:ilvl w:val="0"/>
          <w:numId w:val="1"/>
        </w:num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Transparentar la gestión pública, mediante la difusión de la información generada por los Sujetos Obligados, y</w:t>
      </w:r>
    </w:p>
    <w:p w:rsidRPr="009F7EDB" w:rsidR="00C214B5" w:rsidP="00FD34A8" w:rsidRDefault="00C214B5" w14:paraId="66A027A9" w14:textId="77777777">
      <w:pPr>
        <w:spacing w:after="0" w:line="360" w:lineRule="auto"/>
        <w:ind w:left="720"/>
        <w:contextualSpacing/>
        <w:rPr>
          <w:rFonts w:eastAsia="Times New Roman" w:cs="Tahoma"/>
          <w:bCs/>
          <w:iCs/>
          <w:color w:val="auto"/>
          <w:lang w:eastAsia="es-ES"/>
        </w:rPr>
      </w:pPr>
    </w:p>
    <w:p w:rsidRPr="009F7EDB" w:rsidR="00C214B5" w:rsidP="00FD34A8" w:rsidRDefault="00C214B5" w14:paraId="291E7B14" w14:textId="77777777">
      <w:pPr>
        <w:numPr>
          <w:ilvl w:val="0"/>
          <w:numId w:val="1"/>
        </w:num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rsidRPr="009F7EDB" w:rsidR="00C214B5" w:rsidP="00FD34A8" w:rsidRDefault="00C214B5" w14:paraId="11646B56" w14:textId="77777777">
      <w:pPr>
        <w:spacing w:after="0" w:line="360" w:lineRule="auto"/>
        <w:contextualSpacing/>
        <w:rPr>
          <w:rFonts w:eastAsia="Times New Roman" w:cs="Tahoma"/>
          <w:bCs/>
          <w:iCs/>
          <w:color w:val="auto"/>
          <w:lang w:eastAsia="es-ES"/>
        </w:rPr>
      </w:pPr>
    </w:p>
    <w:p w:rsidRPr="009F7EDB" w:rsidR="00C214B5" w:rsidP="00FD34A8" w:rsidRDefault="00C214B5" w14:paraId="54767724"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 xml:space="preserve">Conforme a lo anterior, se deprende que </w:t>
      </w:r>
      <w:r w:rsidRPr="009F7EDB">
        <w:rPr>
          <w:rFonts w:eastAsia="Times New Roman" w:cs="Tahoma"/>
          <w:b/>
          <w:bCs/>
          <w:iCs/>
          <w:color w:val="auto"/>
          <w:lang w:eastAsia="es-ES"/>
        </w:rPr>
        <w:t>los objetivos de la Ley de la materia,</w:t>
      </w:r>
      <w:r w:rsidRPr="009F7EDB">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9F7EDB" w:rsidR="00C214B5" w:rsidP="00FD34A8" w:rsidRDefault="00C214B5" w14:paraId="5FC5830F" w14:textId="77777777">
      <w:pPr>
        <w:spacing w:after="0" w:line="360" w:lineRule="auto"/>
        <w:contextualSpacing/>
        <w:rPr>
          <w:rFonts w:eastAsia="Times New Roman" w:cs="Tahoma"/>
          <w:bCs/>
          <w:iCs/>
          <w:color w:val="auto"/>
          <w:lang w:eastAsia="es-ES"/>
        </w:rPr>
      </w:pPr>
    </w:p>
    <w:p w:rsidRPr="009F7EDB" w:rsidR="00C214B5" w:rsidP="00FD34A8" w:rsidRDefault="00C214B5" w14:paraId="3741AE44"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 xml:space="preserve">En ese orden de ideas, para la atención de las solicitudes de acceso a la información, debe privilegiarse el </w:t>
      </w:r>
      <w:r w:rsidRPr="009F7EDB">
        <w:rPr>
          <w:rFonts w:eastAsia="Times New Roman" w:cs="Tahoma"/>
          <w:b/>
          <w:bCs/>
          <w:iCs/>
          <w:color w:val="auto"/>
          <w:lang w:eastAsia="es-ES"/>
        </w:rPr>
        <w:t>principio de máxima publicidad</w:t>
      </w:r>
      <w:r w:rsidRPr="009F7EDB">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F7EDB" w:rsidR="00C214B5" w:rsidP="00FD34A8" w:rsidRDefault="00C214B5" w14:paraId="6DC73C0B" w14:textId="77777777">
      <w:pPr>
        <w:spacing w:after="0" w:line="360" w:lineRule="auto"/>
        <w:contextualSpacing/>
        <w:rPr>
          <w:rFonts w:eastAsia="Times New Roman" w:cs="Tahoma"/>
          <w:bCs/>
          <w:iCs/>
          <w:color w:val="auto"/>
          <w:lang w:eastAsia="es-ES"/>
        </w:rPr>
      </w:pPr>
    </w:p>
    <w:p w:rsidRPr="009F7EDB" w:rsidR="00C214B5" w:rsidP="00FD34A8" w:rsidRDefault="00C214B5" w14:paraId="0F576DEE" w14:textId="77777777">
      <w:p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lastRenderedPageBreak/>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Pr="009F7EDB" w:rsidR="00C214B5" w:rsidP="00FD34A8" w:rsidRDefault="00C214B5" w14:paraId="282107B9" w14:textId="77777777">
      <w:pPr>
        <w:spacing w:after="0" w:line="360" w:lineRule="auto"/>
        <w:contextualSpacing/>
        <w:rPr>
          <w:rFonts w:eastAsia="Times New Roman" w:cs="Tahoma"/>
          <w:bCs/>
          <w:iCs/>
          <w:color w:val="auto"/>
          <w:lang w:eastAsia="es-ES"/>
        </w:rPr>
      </w:pPr>
    </w:p>
    <w:p w:rsidRPr="009F7EDB" w:rsidR="00C214B5" w:rsidP="00FD34A8" w:rsidRDefault="00C214B5" w14:paraId="163209E5" w14:textId="77777777">
      <w:pPr>
        <w:numPr>
          <w:ilvl w:val="0"/>
          <w:numId w:val="2"/>
        </w:num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F7EDB" w:rsidR="00C214B5" w:rsidP="00FD34A8" w:rsidRDefault="00C214B5" w14:paraId="18B246D3" w14:textId="77777777">
      <w:pPr>
        <w:spacing w:after="0" w:line="360" w:lineRule="auto"/>
        <w:contextualSpacing/>
        <w:rPr>
          <w:rFonts w:eastAsia="Times New Roman" w:cs="Tahoma"/>
          <w:bCs/>
          <w:iCs/>
          <w:color w:val="auto"/>
          <w:lang w:eastAsia="es-ES"/>
        </w:rPr>
      </w:pPr>
    </w:p>
    <w:p w:rsidRPr="009F7EDB" w:rsidR="00C214B5" w:rsidP="00FD34A8" w:rsidRDefault="00C214B5" w14:paraId="0A53BBB6" w14:textId="77777777">
      <w:pPr>
        <w:numPr>
          <w:ilvl w:val="0"/>
          <w:numId w:val="2"/>
        </w:num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Pr="009F7EDB" w:rsidR="00C214B5" w:rsidP="00FD34A8" w:rsidRDefault="00C214B5" w14:paraId="4954EB4A" w14:textId="77777777">
      <w:pPr>
        <w:spacing w:after="0" w:line="360" w:lineRule="auto"/>
        <w:ind w:left="720"/>
        <w:contextualSpacing/>
        <w:rPr>
          <w:rFonts w:eastAsia="Times New Roman" w:cs="Tahoma"/>
          <w:bCs/>
          <w:iCs/>
          <w:color w:val="auto"/>
          <w:lang w:eastAsia="es-ES"/>
        </w:rPr>
      </w:pPr>
    </w:p>
    <w:p w:rsidRPr="009F7EDB" w:rsidR="00C214B5" w:rsidP="00FD34A8" w:rsidRDefault="00C214B5" w14:paraId="59D35C3C" w14:textId="77777777">
      <w:pPr>
        <w:numPr>
          <w:ilvl w:val="0"/>
          <w:numId w:val="2"/>
        </w:numPr>
        <w:spacing w:after="0" w:line="360" w:lineRule="auto"/>
        <w:contextualSpacing/>
        <w:rPr>
          <w:rFonts w:eastAsia="Times New Roman" w:cs="Tahoma"/>
          <w:bCs/>
          <w:iCs/>
          <w:color w:val="auto"/>
          <w:lang w:eastAsia="es-ES"/>
        </w:rPr>
      </w:pPr>
      <w:r w:rsidRPr="009F7EDB">
        <w:rPr>
          <w:rFonts w:eastAsia="Times New Roman" w:cs="Tahoma"/>
          <w:bCs/>
          <w:iCs/>
          <w:color w:val="auto"/>
          <w:lang w:eastAsia="es-ES"/>
        </w:rPr>
        <w:t xml:space="preserve">Las respuestas a los requerimientos informativos deberán notificarse al interesado en el menor tiempo posible, que no podrá exceder </w:t>
      </w:r>
      <w:r w:rsidRPr="009F7EDB">
        <w:rPr>
          <w:rFonts w:eastAsia="Times New Roman" w:cs="Tahoma"/>
          <w:b/>
          <w:bCs/>
          <w:iCs/>
          <w:color w:val="auto"/>
          <w:lang w:eastAsia="es-ES"/>
        </w:rPr>
        <w:t>quince días, contados a partir del día siguiente a la presentación de ésta.</w:t>
      </w:r>
      <w:r w:rsidRPr="009F7EDB">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rsidRPr="009F7EDB" w:rsidR="00C214B5" w:rsidP="00FD34A8" w:rsidRDefault="00C214B5" w14:paraId="1C864849" w14:textId="77777777">
      <w:pPr>
        <w:spacing w:after="0" w:line="360" w:lineRule="auto"/>
        <w:contextualSpacing/>
        <w:rPr>
          <w:rFonts w:eastAsia="Times New Roman" w:cs="Tahoma"/>
          <w:bCs/>
          <w:iCs/>
          <w:color w:val="auto"/>
          <w:lang w:eastAsia="es-ES"/>
        </w:rPr>
      </w:pPr>
    </w:p>
    <w:p w:rsidRPr="009F7EDB" w:rsidR="00C214B5" w:rsidP="00FD34A8" w:rsidRDefault="00C214B5" w14:paraId="668FCDDE" w14:textId="77777777">
      <w:pPr>
        <w:numPr>
          <w:ilvl w:val="0"/>
          <w:numId w:val="2"/>
        </w:numPr>
        <w:spacing w:after="0" w:line="360" w:lineRule="auto"/>
        <w:contextualSpacing/>
        <w:rPr>
          <w:rFonts w:eastAsia="Times New Roman" w:cs="Tahoma"/>
          <w:b/>
          <w:bCs/>
          <w:iCs/>
          <w:color w:val="auto"/>
          <w:lang w:eastAsia="es-ES"/>
        </w:rPr>
      </w:pPr>
      <w:r w:rsidRPr="009F7EDB">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9F7EDB">
        <w:rPr>
          <w:rFonts w:eastAsia="Times New Roman" w:cs="Tahoma"/>
          <w:bCs/>
          <w:iCs/>
          <w:color w:val="auto"/>
          <w:lang w:eastAsia="es-ES"/>
        </w:rPr>
        <w:lastRenderedPageBreak/>
        <w:t xml:space="preserve">expresiones documentales </w:t>
      </w:r>
      <w:r w:rsidRPr="009F7EDB">
        <w:rPr>
          <w:rFonts w:eastAsia="Times New Roman" w:cs="Tahoma"/>
          <w:b/>
          <w:bCs/>
          <w:iCs/>
          <w:color w:val="auto"/>
          <w:lang w:eastAsia="es-ES"/>
        </w:rPr>
        <w:t>que se encuentren en sus archivos o que estén constreñidos a elaborar;</w:t>
      </w:r>
    </w:p>
    <w:p w:rsidRPr="009F7EDB" w:rsidR="00C214B5" w:rsidP="00FD34A8" w:rsidRDefault="00C214B5" w14:paraId="35D9A414" w14:textId="77777777">
      <w:pPr>
        <w:spacing w:after="0" w:line="360" w:lineRule="auto"/>
        <w:contextualSpacing/>
        <w:rPr>
          <w:rFonts w:eastAsia="Times New Roman" w:cs="Tahoma"/>
          <w:b/>
          <w:bCs/>
          <w:iCs/>
          <w:color w:val="auto"/>
          <w:lang w:eastAsia="es-ES"/>
        </w:rPr>
      </w:pPr>
    </w:p>
    <w:p w:rsidRPr="009F7EDB" w:rsidR="00C214B5" w:rsidP="00FD34A8" w:rsidRDefault="00C214B5" w14:paraId="7978525A" w14:textId="77777777">
      <w:pPr>
        <w:numPr>
          <w:ilvl w:val="0"/>
          <w:numId w:val="2"/>
        </w:numPr>
        <w:spacing w:after="0" w:line="360" w:lineRule="auto"/>
        <w:contextualSpacing/>
        <w:rPr>
          <w:rFonts w:eastAsia="Times New Roman" w:cs="Tahoma"/>
          <w:b/>
          <w:bCs/>
          <w:iCs/>
          <w:color w:val="auto"/>
          <w:lang w:eastAsia="es-ES"/>
        </w:rPr>
      </w:pPr>
      <w:r w:rsidRPr="009F7EDB">
        <w:rPr>
          <w:rFonts w:eastAsia="Times New Roman" w:cs="Tahoma"/>
          <w:bCs/>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9F7EDB" w:rsidR="00C214B5" w:rsidP="00FD34A8" w:rsidRDefault="00C214B5" w14:paraId="17FC44A7" w14:textId="77777777">
      <w:pPr>
        <w:spacing w:after="0" w:line="360" w:lineRule="auto"/>
        <w:contextualSpacing/>
        <w:rPr>
          <w:rFonts w:eastAsia="Times New Roman" w:cs="Tahoma"/>
          <w:b/>
          <w:bCs/>
          <w:iCs/>
          <w:color w:val="auto"/>
          <w:lang w:eastAsia="es-ES"/>
        </w:rPr>
      </w:pPr>
    </w:p>
    <w:p w:rsidRPr="009F7EDB" w:rsidR="00C214B5" w:rsidP="00FD34A8" w:rsidRDefault="00C214B5" w14:paraId="43E27B2E" w14:textId="77777777">
      <w:pPr>
        <w:numPr>
          <w:ilvl w:val="0"/>
          <w:numId w:val="2"/>
        </w:numPr>
        <w:spacing w:after="0" w:line="360" w:lineRule="auto"/>
        <w:contextualSpacing/>
        <w:rPr>
          <w:rFonts w:eastAsia="Times New Roman" w:cs="Tahoma"/>
          <w:b/>
          <w:bCs/>
          <w:iCs/>
          <w:color w:val="auto"/>
          <w:lang w:eastAsia="es-ES"/>
        </w:rPr>
      </w:pPr>
      <w:r w:rsidRPr="009F7EDB">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9F7EDB" w:rsidR="00C214B5" w:rsidP="00FD34A8" w:rsidRDefault="00C214B5" w14:paraId="629C7C9C" w14:textId="77777777">
      <w:pPr>
        <w:spacing w:after="0" w:line="360" w:lineRule="auto"/>
        <w:contextualSpacing/>
        <w:rPr>
          <w:rFonts w:eastAsia="Calibri" w:cs="Tahoma"/>
        </w:rPr>
      </w:pPr>
    </w:p>
    <w:p w:rsidRPr="009F7EDB" w:rsidR="00C214B5" w:rsidP="00FD34A8" w:rsidRDefault="00C214B5" w14:paraId="286551E7" w14:textId="0A63651F">
      <w:pPr>
        <w:spacing w:after="0" w:line="360" w:lineRule="auto"/>
        <w:contextualSpacing/>
        <w:rPr>
          <w:rFonts w:eastAsia="Calibri" w:cs="Tahoma"/>
        </w:rPr>
      </w:pPr>
      <w:r w:rsidRPr="009F7EDB">
        <w:rPr>
          <w:rFonts w:eastAsia="Calibri" w:cs="Tahoma"/>
        </w:rPr>
        <w:t xml:space="preserve">Una vez establecido lo anterior, es de indicar que el agravio del Particular consistió en que, a la fecha de interposición del Recurso de Revisión, </w:t>
      </w:r>
      <w:r w:rsidRPr="009F7EDB">
        <w:rPr>
          <w:rFonts w:eastAsia="Calibri" w:cs="Tahoma"/>
          <w:bCs/>
        </w:rPr>
        <w:t xml:space="preserve">el </w:t>
      </w:r>
      <w:r w:rsidRPr="009F7EDB">
        <w:rPr>
          <w:bCs/>
          <w:color w:val="000000"/>
        </w:rPr>
        <w:t xml:space="preserve">Ayuntamiento de </w:t>
      </w:r>
      <w:r w:rsidRPr="009F7EDB" w:rsidR="00172377">
        <w:rPr>
          <w:bCs/>
          <w:color w:val="000000"/>
        </w:rPr>
        <w:t>Tequixquia</w:t>
      </w:r>
      <w:r w:rsidRPr="009F7EDB">
        <w:rPr>
          <w:bCs/>
          <w:color w:val="000000"/>
        </w:rPr>
        <w:t>c</w:t>
      </w:r>
      <w:r w:rsidRPr="009F7EDB">
        <w:rPr>
          <w:rFonts w:eastAsia="Calibri" w:cs="Tahoma"/>
          <w:bCs/>
        </w:rPr>
        <w:t>, no había registrado respuesta al requerimiento</w:t>
      </w:r>
      <w:r w:rsidRPr="009F7EDB">
        <w:rPr>
          <w:rFonts w:eastAsia="Calibri" w:cs="Tahoma"/>
        </w:rPr>
        <w:t xml:space="preserve"> de acceso a la información, el cual se presentó, el </w:t>
      </w:r>
      <w:r w:rsidRPr="009F7EDB" w:rsidR="00172377">
        <w:rPr>
          <w:rFonts w:eastAsia="Calibri" w:cs="Tahoma"/>
        </w:rPr>
        <w:t>diecisiete de noviembre</w:t>
      </w:r>
      <w:r w:rsidRPr="009F7EDB">
        <w:rPr>
          <w:rFonts w:eastAsia="Calibri" w:cs="Tahoma"/>
        </w:rPr>
        <w:t xml:space="preserve"> de dos mil veintidós.</w:t>
      </w:r>
    </w:p>
    <w:p w:rsidRPr="009F7EDB" w:rsidR="00C214B5" w:rsidP="00FD34A8" w:rsidRDefault="00C214B5" w14:paraId="5203CD9A" w14:textId="77777777">
      <w:pPr>
        <w:spacing w:after="0" w:line="360" w:lineRule="auto"/>
        <w:contextualSpacing/>
        <w:rPr>
          <w:rFonts w:eastAsia="Calibri" w:cs="Tahoma"/>
        </w:rPr>
      </w:pPr>
    </w:p>
    <w:p w:rsidRPr="009F7EDB" w:rsidR="00FD34A8" w:rsidP="00FD34A8" w:rsidRDefault="00C214B5" w14:paraId="543A34E3" w14:textId="59E17133">
      <w:pPr>
        <w:spacing w:after="0" w:line="360" w:lineRule="auto"/>
        <w:contextualSpacing/>
        <w:rPr>
          <w:rFonts w:eastAsia="Calibri" w:cs="Tahoma"/>
          <w:lang w:val="es-ES"/>
        </w:rPr>
      </w:pPr>
      <w:r w:rsidRPr="009F7EDB">
        <w:rPr>
          <w:rFonts w:eastAsia="Calibri" w:cs="Tahoma"/>
          <w:lang w:val="es-ES"/>
        </w:rPr>
        <w:t>Además, que se</w:t>
      </w:r>
      <w:r w:rsidRPr="009F7EDB" w:rsidR="00172377">
        <w:rPr>
          <w:rFonts w:eastAsia="Calibri" w:cs="Tahoma"/>
          <w:lang w:val="es-ES"/>
        </w:rPr>
        <w:t xml:space="preserve"> notificó una prórroga para atender la solicitud mediante la Décimo Octava Sesión Extraordinaria aprobada por el Comité de Transparencia del Municipio de Tequixquiac</w:t>
      </w:r>
      <w:r w:rsidRPr="009F7EDB">
        <w:rPr>
          <w:rFonts w:eastAsia="Calibri" w:cs="Tahoma"/>
          <w:lang w:val="es-ES"/>
        </w:rPr>
        <w:t>, e</w:t>
      </w:r>
      <w:r w:rsidRPr="009F7EDB" w:rsidR="00172377">
        <w:rPr>
          <w:rFonts w:eastAsia="Calibri" w:cs="Tahoma"/>
          <w:lang w:val="es-ES"/>
        </w:rPr>
        <w:t>l nueve de diciembre de</w:t>
      </w:r>
      <w:r w:rsidRPr="009F7EDB" w:rsidR="00BF3895">
        <w:rPr>
          <w:rFonts w:eastAsia="Calibri" w:cs="Tahoma"/>
          <w:lang w:val="es-ES"/>
        </w:rPr>
        <w:t xml:space="preserve"> dos mil veintidós</w:t>
      </w:r>
      <w:r w:rsidRPr="009F7EDB" w:rsidR="00FD34A8">
        <w:rPr>
          <w:rFonts w:eastAsia="Calibri" w:cs="Tahoma"/>
          <w:lang w:val="es-ES"/>
        </w:rPr>
        <w:t>.</w:t>
      </w:r>
    </w:p>
    <w:p w:rsidRPr="009F7EDB" w:rsidR="00C214B5" w:rsidP="00FD34A8" w:rsidRDefault="00C214B5" w14:paraId="768692FA" w14:textId="77777777">
      <w:pPr>
        <w:spacing w:after="0" w:line="360" w:lineRule="auto"/>
        <w:contextualSpacing/>
        <w:rPr>
          <w:rFonts w:eastAsia="Calibri" w:cs="Tahoma"/>
          <w:lang w:val="es-ES"/>
        </w:rPr>
      </w:pPr>
    </w:p>
    <w:p w:rsidRPr="009F7EDB" w:rsidR="00C214B5" w:rsidP="00FD34A8" w:rsidRDefault="00C214B5" w14:paraId="23C174BD" w14:textId="562717E1">
      <w:pPr>
        <w:spacing w:after="0" w:line="360" w:lineRule="auto"/>
        <w:contextualSpacing/>
        <w:rPr>
          <w:rFonts w:eastAsia="Calibri" w:cs="Tahoma"/>
          <w:b/>
          <w:bCs/>
          <w:color w:val="000000"/>
        </w:rPr>
      </w:pPr>
      <w:r w:rsidRPr="009F7EDB">
        <w:rPr>
          <w:rFonts w:eastAsia="Calibri" w:cs="Tahoma"/>
          <w:bCs/>
          <w:color w:val="000000"/>
        </w:rPr>
        <w:t xml:space="preserve">En ese orden de ideas, el plazo con el que contaba el Sujeto Obligado para emitir contestación al requerimiento informativo, </w:t>
      </w:r>
      <w:r w:rsidRPr="009F7EDB">
        <w:rPr>
          <w:rFonts w:eastAsia="Calibri" w:cs="Tahoma"/>
          <w:b/>
          <w:bCs/>
          <w:color w:val="000000"/>
        </w:rPr>
        <w:t xml:space="preserve">comenzó a correr el </w:t>
      </w:r>
      <w:r w:rsidRPr="009F7EDB" w:rsidR="00BF3895">
        <w:rPr>
          <w:rFonts w:eastAsia="Calibri" w:cs="Tahoma"/>
          <w:b/>
          <w:bCs/>
          <w:color w:val="000000"/>
        </w:rPr>
        <w:t>dieciocho de noviembre</w:t>
      </w:r>
      <w:r w:rsidRPr="009F7EDB">
        <w:rPr>
          <w:rFonts w:eastAsia="Calibri" w:cs="Tahoma"/>
          <w:b/>
          <w:bCs/>
          <w:color w:val="000000"/>
        </w:rPr>
        <w:t xml:space="preserve"> y feneció el</w:t>
      </w:r>
      <w:r w:rsidRPr="009F7EDB" w:rsidR="00BF3895">
        <w:rPr>
          <w:rFonts w:eastAsia="Calibri" w:cs="Tahoma"/>
          <w:b/>
          <w:bCs/>
          <w:color w:val="000000"/>
        </w:rPr>
        <w:t xml:space="preserve"> </w:t>
      </w:r>
      <w:r w:rsidRPr="009F7EDB" w:rsidR="00FD34A8">
        <w:rPr>
          <w:rFonts w:eastAsia="Calibri" w:cs="Tahoma"/>
          <w:b/>
          <w:bCs/>
          <w:color w:val="000000"/>
        </w:rPr>
        <w:t>veinte</w:t>
      </w:r>
      <w:r w:rsidRPr="009F7EDB" w:rsidR="00BF3895">
        <w:rPr>
          <w:rFonts w:eastAsia="Calibri" w:cs="Tahoma"/>
          <w:b/>
          <w:bCs/>
          <w:color w:val="000000"/>
        </w:rPr>
        <w:t xml:space="preserve"> de d</w:t>
      </w:r>
      <w:r w:rsidRPr="009F7EDB">
        <w:rPr>
          <w:rFonts w:eastAsia="Calibri" w:cs="Tahoma"/>
          <w:b/>
          <w:bCs/>
          <w:color w:val="000000"/>
        </w:rPr>
        <w:t>i</w:t>
      </w:r>
      <w:r w:rsidRPr="009F7EDB" w:rsidR="00BF3895">
        <w:rPr>
          <w:rFonts w:eastAsia="Calibri" w:cs="Tahoma"/>
          <w:b/>
          <w:bCs/>
          <w:color w:val="000000"/>
        </w:rPr>
        <w:t>ci</w:t>
      </w:r>
      <w:r w:rsidRPr="009F7EDB">
        <w:rPr>
          <w:rFonts w:eastAsia="Calibri" w:cs="Tahoma"/>
          <w:b/>
          <w:bCs/>
          <w:color w:val="000000"/>
        </w:rPr>
        <w:t xml:space="preserve">embre, </w:t>
      </w:r>
      <w:r w:rsidRPr="009F7EDB">
        <w:rPr>
          <w:rFonts w:eastAsia="Calibri" w:cs="Tahoma"/>
          <w:color w:val="000000"/>
        </w:rPr>
        <w:t xml:space="preserve">ambos dos mil veintidós; lo anterior, sin contar los días, </w:t>
      </w:r>
      <w:r w:rsidRPr="009F7EDB" w:rsidR="00BF3895">
        <w:rPr>
          <w:rFonts w:eastAsia="Calibri" w:cs="Tahoma"/>
          <w:color w:val="000000"/>
        </w:rPr>
        <w:t xml:space="preserve">diecinueve, </w:t>
      </w:r>
      <w:r w:rsidRPr="009F7EDB" w:rsidR="00BF3895">
        <w:rPr>
          <w:rFonts w:eastAsia="Calibri" w:cs="Tahoma"/>
          <w:color w:val="000000"/>
        </w:rPr>
        <w:lastRenderedPageBreak/>
        <w:t xml:space="preserve">veinte, </w:t>
      </w:r>
      <w:r w:rsidRPr="009F7EDB">
        <w:rPr>
          <w:rFonts w:eastAsia="Calibri" w:cs="Tahoma"/>
          <w:color w:val="000000"/>
        </w:rPr>
        <w:t>veinti</w:t>
      </w:r>
      <w:r w:rsidRPr="009F7EDB" w:rsidR="00BF3895">
        <w:rPr>
          <w:rFonts w:eastAsia="Calibri" w:cs="Tahoma"/>
          <w:color w:val="000000"/>
        </w:rPr>
        <w:t>uno, veintiséis y veintisiete de noviembre</w:t>
      </w:r>
      <w:r w:rsidRPr="009F7EDB">
        <w:rPr>
          <w:rFonts w:eastAsia="Calibri" w:cs="Tahoma"/>
          <w:color w:val="000000"/>
        </w:rPr>
        <w:t xml:space="preserve">, así como, </w:t>
      </w:r>
      <w:r w:rsidRPr="009F7EDB" w:rsidR="00BF3895">
        <w:rPr>
          <w:rFonts w:eastAsia="Calibri" w:cs="Tahoma"/>
          <w:color w:val="000000"/>
        </w:rPr>
        <w:t>tres</w:t>
      </w:r>
      <w:r w:rsidRPr="009F7EDB" w:rsidR="00FD34A8">
        <w:rPr>
          <w:rFonts w:eastAsia="Calibri" w:cs="Tahoma"/>
          <w:color w:val="000000"/>
        </w:rPr>
        <w:t xml:space="preserve">, cuatro, diez, once, diecisiete y dieciocho </w:t>
      </w:r>
      <w:r w:rsidRPr="009F7EDB" w:rsidR="00BF3895">
        <w:rPr>
          <w:rFonts w:eastAsia="Calibri" w:cs="Tahoma"/>
          <w:color w:val="000000"/>
        </w:rPr>
        <w:t xml:space="preserve">de diciembre </w:t>
      </w:r>
      <w:r w:rsidRPr="009F7EDB">
        <w:rPr>
          <w:rFonts w:eastAsia="Calibri" w:cs="Tahoma"/>
          <w:color w:val="000000"/>
        </w:rPr>
        <w:t xml:space="preserve">del año mencionado, al ser inhábiles, </w:t>
      </w:r>
      <w:r w:rsidRPr="009F7EDB">
        <w:rPr>
          <w:rFonts w:eastAsia="Batang" w:cs="Tahoma"/>
          <w:bCs/>
        </w:rPr>
        <w:t xml:space="preserve">de conformidad con los artículos 3°, fracción X, y 159 de la Ley de Transparencia y Acceso a la Información Pública del Estado de México y Municipios y </w:t>
      </w:r>
      <w:bookmarkStart w:name="_Hlk65786947" w:id="1"/>
      <w:r w:rsidRPr="009F7EDB">
        <w:rPr>
          <w:rFonts w:eastAsia="Batang" w:cs="Tahoma"/>
          <w:bCs/>
        </w:rPr>
        <w:t xml:space="preserve">el </w:t>
      </w:r>
      <w:r w:rsidRPr="009F7EDB">
        <w:rPr>
          <w:rFonts w:eastAsia="Batang" w:cs="Tahoma"/>
          <w:lang w:val="es-ES"/>
        </w:rPr>
        <w:t xml:space="preserve">Calendario Oficial en Materia de Transparencia, Acceso a la Información Pública y Protección de Datos Personales del Estado de México y Municipios, así como de laborales de este Instituto, para el año dos mil veintidós y enero dos </w:t>
      </w:r>
      <w:bookmarkEnd w:id="1"/>
      <w:r w:rsidRPr="009F7EDB">
        <w:rPr>
          <w:rFonts w:eastAsia="Batang" w:cs="Tahoma"/>
          <w:lang w:val="es-ES"/>
        </w:rPr>
        <w:t>mil veintitrés.</w:t>
      </w:r>
    </w:p>
    <w:p w:rsidRPr="009F7EDB" w:rsidR="00C214B5" w:rsidP="00FD34A8" w:rsidRDefault="00C214B5" w14:paraId="4FA82A23" w14:textId="77777777">
      <w:pPr>
        <w:spacing w:after="0" w:line="360" w:lineRule="auto"/>
        <w:contextualSpacing/>
        <w:rPr>
          <w:rFonts w:eastAsia="Calibri" w:cs="Tahoma"/>
        </w:rPr>
      </w:pPr>
    </w:p>
    <w:p w:rsidRPr="009F7EDB" w:rsidR="00C214B5" w:rsidP="00FD34A8" w:rsidRDefault="00C214B5" w14:paraId="01655264" w14:textId="77777777">
      <w:pPr>
        <w:spacing w:after="0" w:line="360" w:lineRule="auto"/>
        <w:contextualSpacing/>
        <w:rPr>
          <w:rFonts w:eastAsia="Calibri" w:cs="Tahoma"/>
          <w:lang w:val="es-ES"/>
        </w:rPr>
      </w:pPr>
      <w:r w:rsidRPr="009F7EDB">
        <w:rPr>
          <w:rFonts w:eastAsia="Calibri" w:cs="Tahoma"/>
        </w:rPr>
        <w:t xml:space="preserve">Conforme a lo anterior, este Instituto verificó que, en efecto, no se registró una respuesta a la solicitud del ahora Recurrente, en el </w:t>
      </w:r>
      <w:r w:rsidRPr="009F7EDB">
        <w:rPr>
          <w:rFonts w:eastAsia="Calibri" w:cs="Tahoma"/>
          <w:lang w:val="es-ES"/>
        </w:rPr>
        <w:t>Sistema de Acceso a la Información Mexiquense (SAIMEX), sistema utilizado para presentar el requerimiento informativo, tal como se observa a continuación:</w:t>
      </w:r>
    </w:p>
    <w:p w:rsidRPr="009F7EDB" w:rsidR="00C214B5" w:rsidP="00FD34A8" w:rsidRDefault="00C214B5" w14:paraId="2716795B" w14:textId="77777777">
      <w:pPr>
        <w:spacing w:after="0" w:line="360" w:lineRule="auto"/>
        <w:contextualSpacing/>
        <w:rPr>
          <w:rFonts w:eastAsia="Calibri" w:cs="Tahoma"/>
          <w:bCs/>
        </w:rPr>
      </w:pPr>
    </w:p>
    <w:p w:rsidRPr="009F7EDB" w:rsidR="00C214B5" w:rsidP="00FD34A8" w:rsidRDefault="00BF3895" w14:paraId="243A6649" w14:textId="106429B3">
      <w:pPr>
        <w:spacing w:after="0" w:line="360" w:lineRule="auto"/>
        <w:contextualSpacing/>
        <w:jc w:val="center"/>
        <w:rPr>
          <w:rFonts w:eastAsia="Calibri" w:cs="Tahoma"/>
          <w:bCs/>
        </w:rPr>
      </w:pPr>
      <w:r w:rsidRPr="009F7EDB">
        <w:rPr>
          <w:noProof/>
        </w:rPr>
        <w:drawing>
          <wp:inline distT="0" distB="0" distL="0" distR="0" wp14:anchorId="70BFBAC8" wp14:editId="4A0AEDDF">
            <wp:extent cx="2381250" cy="2361436"/>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976" t="26992" r="60348" b="36536"/>
                    <a:stretch/>
                  </pic:blipFill>
                  <pic:spPr bwMode="auto">
                    <a:xfrm>
                      <a:off x="0" y="0"/>
                      <a:ext cx="2431280" cy="2411050"/>
                    </a:xfrm>
                    <a:prstGeom prst="rect">
                      <a:avLst/>
                    </a:prstGeom>
                    <a:ln>
                      <a:noFill/>
                    </a:ln>
                    <a:extLst>
                      <a:ext uri="{53640926-AAD7-44D8-BBD7-CCE9431645EC}">
                        <a14:shadowObscured xmlns:a14="http://schemas.microsoft.com/office/drawing/2010/main"/>
                      </a:ext>
                    </a:extLst>
                  </pic:spPr>
                </pic:pic>
              </a:graphicData>
            </a:graphic>
          </wp:inline>
        </w:drawing>
      </w:r>
    </w:p>
    <w:p w:rsidRPr="009F7EDB" w:rsidR="00C214B5" w:rsidP="00FD34A8" w:rsidRDefault="00C214B5" w14:paraId="6F72D5C5" w14:textId="77777777">
      <w:pPr>
        <w:spacing w:after="0" w:line="360" w:lineRule="auto"/>
        <w:contextualSpacing/>
        <w:jc w:val="center"/>
        <w:rPr>
          <w:rFonts w:eastAsia="Calibri" w:cs="Tahoma"/>
          <w:bCs/>
        </w:rPr>
      </w:pPr>
    </w:p>
    <w:p w:rsidRPr="009F7EDB" w:rsidR="00C214B5" w:rsidP="00FD34A8" w:rsidRDefault="00C214B5" w14:paraId="237FE78F" w14:textId="205458D5">
      <w:pPr>
        <w:spacing w:after="0" w:line="360" w:lineRule="auto"/>
        <w:contextualSpacing/>
        <w:rPr>
          <w:rFonts w:eastAsia="Calibri" w:cs="Tahoma"/>
          <w:b/>
          <w:bCs/>
        </w:rPr>
      </w:pPr>
      <w:r w:rsidRPr="009F7EDB">
        <w:rPr>
          <w:rFonts w:eastAsia="Calibri" w:cs="Tahoma"/>
          <w:bCs/>
        </w:rPr>
        <w:t xml:space="preserve">Así, se colige que, tal como lo precisó el Particular, </w:t>
      </w:r>
      <w:r w:rsidRPr="009F7EDB">
        <w:rPr>
          <w:rFonts w:eastAsia="Calibri" w:cs="Tahoma"/>
        </w:rPr>
        <w:t xml:space="preserve">el </w:t>
      </w:r>
      <w:r w:rsidRPr="009F7EDB">
        <w:rPr>
          <w:color w:val="000000"/>
        </w:rPr>
        <w:t xml:space="preserve">Ayuntamiento de </w:t>
      </w:r>
      <w:r w:rsidRPr="009F7EDB" w:rsidR="00BF3895">
        <w:rPr>
          <w:color w:val="000000"/>
        </w:rPr>
        <w:t>Tequixquia</w:t>
      </w:r>
      <w:r w:rsidRPr="009F7EDB">
        <w:rPr>
          <w:color w:val="000000"/>
        </w:rPr>
        <w:t>c</w:t>
      </w:r>
      <w:r w:rsidRPr="009F7EDB">
        <w:rPr>
          <w:rFonts w:eastAsia="Calibri" w:cs="Tahoma"/>
        </w:rPr>
        <w:t xml:space="preserve">, no emitió respuesta para dar contestación a la solicitud de información, dentro de los plazos establecidos en el artículo 163, de la Ley de la materia, pues tenía hasta el </w:t>
      </w:r>
      <w:r w:rsidRPr="009F7EDB" w:rsidR="00BF3895">
        <w:rPr>
          <w:rFonts w:eastAsia="Calibri" w:cs="Tahoma"/>
        </w:rPr>
        <w:t>nueve de diciembre</w:t>
      </w:r>
      <w:r w:rsidRPr="009F7EDB">
        <w:rPr>
          <w:rFonts w:eastAsia="Calibri" w:cs="Tahoma"/>
        </w:rPr>
        <w:t xml:space="preserve"> de dos mil veintidós, para realizar dicha situación, inclusive a la presente fecha, dicho ente </w:t>
      </w:r>
      <w:r w:rsidRPr="009F7EDB">
        <w:rPr>
          <w:rFonts w:eastAsia="Calibri" w:cs="Tahoma"/>
        </w:rPr>
        <w:lastRenderedPageBreak/>
        <w:t xml:space="preserve">no ha emitido contestación alguna; por lo que, resulta evidente que el agravio hecho valer por el Recurrente resulta </w:t>
      </w:r>
      <w:r w:rsidRPr="009F7EDB">
        <w:rPr>
          <w:rFonts w:eastAsia="Calibri" w:cs="Tahoma"/>
          <w:b/>
          <w:bCs/>
        </w:rPr>
        <w:t>FUNDADO.</w:t>
      </w:r>
    </w:p>
    <w:p w:rsidRPr="009F7EDB" w:rsidR="00FD34A8" w:rsidP="00FD34A8" w:rsidRDefault="00FD34A8" w14:paraId="5EE0AE88" w14:textId="77777777">
      <w:pPr>
        <w:spacing w:after="0" w:line="360" w:lineRule="auto"/>
        <w:contextualSpacing/>
        <w:rPr>
          <w:rFonts w:eastAsia="Calibri" w:cs="Tahoma"/>
        </w:rPr>
      </w:pPr>
    </w:p>
    <w:p w:rsidRPr="009F7EDB" w:rsidR="00BF3895" w:rsidP="00FD34A8" w:rsidRDefault="00C214B5" w14:paraId="3B2E591A" w14:textId="77777777">
      <w:pPr>
        <w:spacing w:after="0" w:line="360" w:lineRule="auto"/>
        <w:contextualSpacing/>
        <w:rPr>
          <w:rFonts w:eastAsia="Calibri" w:cs="Tahoma"/>
          <w:bCs/>
        </w:rPr>
      </w:pPr>
      <w:r w:rsidRPr="009F7EDB">
        <w:rPr>
          <w:rFonts w:eastAsia="Calibri" w:cs="Tahoma"/>
          <w:bCs/>
        </w:rPr>
        <w:t xml:space="preserve">Con base en lo expuesto, es procedente </w:t>
      </w:r>
      <w:r w:rsidRPr="009F7EDB">
        <w:rPr>
          <w:rFonts w:eastAsia="Calibri" w:cs="Tahoma"/>
          <w:b/>
          <w:bCs/>
        </w:rPr>
        <w:t>ORDENAR</w:t>
      </w:r>
      <w:r w:rsidRPr="009F7EDB">
        <w:rPr>
          <w:rFonts w:eastAsia="Calibri" w:cs="Tahoma"/>
          <w:bCs/>
        </w:rPr>
        <w:t xml:space="preserve"> al Sujeto Obligado, que emita respuesta que a derecho corresponda, al requerimiento de información; no obstante, para tal circunstancia es necesario analizar si cuenta con competencia para conocer de lo peticionado. </w:t>
      </w:r>
    </w:p>
    <w:p w:rsidRPr="009F7EDB" w:rsidR="00835272" w:rsidP="00FD34A8" w:rsidRDefault="00835272" w14:paraId="4C515419" w14:textId="77777777">
      <w:pPr>
        <w:spacing w:after="0" w:line="360" w:lineRule="auto"/>
        <w:contextualSpacing/>
        <w:rPr>
          <w:rFonts w:eastAsia="Times New Roman" w:cs="Tahoma"/>
          <w:iCs/>
          <w:color w:val="auto"/>
          <w:lang w:eastAsia="es-ES"/>
        </w:rPr>
      </w:pPr>
    </w:p>
    <w:p w:rsidRPr="009F7EDB" w:rsidR="000A1767" w:rsidP="00FD34A8" w:rsidRDefault="00BF3895" w14:paraId="021406F9" w14:textId="250E44C5">
      <w:pPr>
        <w:spacing w:after="0" w:line="360" w:lineRule="auto"/>
        <w:contextualSpacing/>
        <w:rPr>
          <w:rFonts w:eastAsia="Times New Roman" w:cs="Tahoma"/>
          <w:iCs/>
          <w:color w:val="auto"/>
          <w:lang w:eastAsia="es-ES"/>
        </w:rPr>
      </w:pPr>
      <w:r w:rsidRPr="009F7EDB">
        <w:rPr>
          <w:rFonts w:eastAsia="Times New Roman" w:cs="Tahoma"/>
          <w:iCs/>
          <w:color w:val="auto"/>
          <w:lang w:eastAsia="es-ES"/>
        </w:rPr>
        <w:t>Al respecto</w:t>
      </w:r>
      <w:r w:rsidRPr="009F7EDB" w:rsidR="000A1767">
        <w:rPr>
          <w:rFonts w:eastAsia="Times New Roman" w:cs="Tahoma"/>
          <w:iCs/>
          <w:color w:val="auto"/>
          <w:lang w:eastAsia="es-ES"/>
        </w:rPr>
        <w:t>, el artículo 40 y 41 fracción V inciso a), del Bando Municipal de Tequixquiac</w:t>
      </w:r>
      <w:r w:rsidRPr="009F7EDB" w:rsidR="00046F84">
        <w:rPr>
          <w:rFonts w:eastAsia="Times New Roman" w:cs="Tahoma"/>
          <w:iCs/>
          <w:color w:val="auto"/>
          <w:lang w:eastAsia="es-ES"/>
        </w:rPr>
        <w:t>,</w:t>
      </w:r>
      <w:r w:rsidRPr="009F7EDB" w:rsidR="000A1767">
        <w:rPr>
          <w:rFonts w:eastAsia="Times New Roman" w:cs="Tahoma"/>
          <w:iCs/>
          <w:color w:val="auto"/>
          <w:lang w:eastAsia="es-ES"/>
        </w:rPr>
        <w:t xml:space="preserve"> dos mil veintidós, establece que, para el ejercicio de las atribuciones y ejecución de las responsabilidades del presidente municipal, el Ayuntamiento cuenta con las dependencias que integran la administración pública municipal, la administración pública centralizada se constituye por las dependencias que señala la Ley Orgánica Municipal del Estado de México, así como aquellas que sean creadas mediante acuerdo de </w:t>
      </w:r>
      <w:r w:rsidRPr="009F7EDB" w:rsidR="00046F84">
        <w:rPr>
          <w:rFonts w:eastAsia="Times New Roman" w:cs="Tahoma"/>
          <w:iCs/>
          <w:color w:val="auto"/>
          <w:lang w:eastAsia="es-ES"/>
        </w:rPr>
        <w:t>C</w:t>
      </w:r>
      <w:r w:rsidRPr="009F7EDB" w:rsidR="000A1767">
        <w:rPr>
          <w:rFonts w:eastAsia="Times New Roman" w:cs="Tahoma"/>
          <w:iCs/>
          <w:color w:val="auto"/>
          <w:lang w:eastAsia="es-ES"/>
        </w:rPr>
        <w:t>abildo, las cuales dependerán del Ayuntamiento y están subordinadas jerárquicamente al Presidente Municipal, entre las cuales se localiza la Secretaría Técnica del Consejo Municipal de Seguridad Pública, quien es la encargada de atender los aspectos normativos, administrativos y de planeación necesarios para la prestación del servicio de seguridad pública en el ámbito municipal.</w:t>
      </w:r>
    </w:p>
    <w:p w:rsidRPr="009F7EDB" w:rsidR="000A1767" w:rsidP="00FD34A8" w:rsidRDefault="000A1767" w14:paraId="66B3C42F" w14:textId="197A19F7">
      <w:pPr>
        <w:spacing w:after="0" w:line="360" w:lineRule="auto"/>
        <w:contextualSpacing/>
        <w:rPr>
          <w:rFonts w:eastAsia="Times New Roman" w:cs="Tahoma"/>
          <w:iCs/>
          <w:color w:val="auto"/>
          <w:lang w:eastAsia="es-ES"/>
        </w:rPr>
      </w:pPr>
    </w:p>
    <w:p w:rsidRPr="009F7EDB" w:rsidR="000A1767" w:rsidP="00FD34A8" w:rsidRDefault="000A1767" w14:paraId="7C42D8DE" w14:textId="7B9070DF">
      <w:pPr>
        <w:spacing w:after="0" w:line="360" w:lineRule="auto"/>
        <w:contextualSpacing/>
        <w:rPr>
          <w:rFonts w:eastAsia="Times New Roman" w:cs="Tahoma"/>
          <w:iCs/>
          <w:color w:val="auto"/>
          <w:lang w:eastAsia="es-ES"/>
        </w:rPr>
      </w:pPr>
      <w:r w:rsidRPr="009F7EDB">
        <w:rPr>
          <w:rFonts w:eastAsia="Times New Roman" w:cs="Tahoma"/>
          <w:iCs/>
          <w:color w:val="auto"/>
          <w:lang w:eastAsia="es-ES"/>
        </w:rPr>
        <w:t xml:space="preserve">Lo anterior toma sustento en el portal de Información Pública de Oficio Mexiquense del Sujeto Obligado visible en el siguiente enlace: </w:t>
      </w:r>
      <w:hyperlink w:history="1" r:id="rId8">
        <w:r w:rsidRPr="009F7EDB">
          <w:rPr>
            <w:rStyle w:val="Hipervnculo"/>
            <w:rFonts w:eastAsia="Times New Roman" w:cs="Tahoma"/>
            <w:iCs/>
            <w:lang w:eastAsia="es-ES"/>
          </w:rPr>
          <w:t>https://ipomex.org.mx/ipo3/lgt/indice/TEQUIXQUIAC/organigramas.web?token=03AFY_a8XqRCc-CN-k8Duk088bHKn33TBla7Mm0K8dPjvGDoqhSZw5qnGv17l08Fg210FzMZ6sseGsX_KwOoHV8Qj_lPS1H14CVzafWu4HGo6ru-xyNROBJRXkPMOd7T4haI4hcQGJusEtDDO2qC0-kxkoUs5wFtmb4jKMRmnyhbuNrH3rYl1dDeW05LBKBeXfnxtIqBaAkwFju8mlQrk0n6mGcrwxlxYZeYvQ4crZ3aC7VGXkXGyMlLnZpFTRobjRDMUwndw4XmUjb6paTqBIolKVPldOKpyd1JXPYywrlfPVRrWq4OrZRLRBWZDLJGLlVskv6s5cmhsNgyPufDjnwcqGettrmlXgB</w:t>
        </w:r>
        <w:r w:rsidRPr="009F7EDB">
          <w:rPr>
            <w:rStyle w:val="Hipervnculo"/>
            <w:rFonts w:eastAsia="Times New Roman" w:cs="Tahoma"/>
            <w:iCs/>
            <w:lang w:eastAsia="es-ES"/>
          </w:rPr>
          <w:lastRenderedPageBreak/>
          <w:t>wJGIPZjP1JLnT5ElFNcTvWCTXseC-WACyEctagg3Z8tA56I-pL9JkqR47kXRw4PnxO1KOkewqiHdd4fHKDHR6zWLRbSBbi7Tv8PxmXhk50OTq7rWFKYTjTm1r9nCxjWzfJp2ghcb3GzYb0YCAFKUDiP1pwrINq-vlkx_ZTelp5oscgcfP_V4OaWx9hu_z3hbg</w:t>
        </w:r>
      </w:hyperlink>
      <w:r w:rsidRPr="009F7EDB">
        <w:rPr>
          <w:rFonts w:eastAsia="Times New Roman" w:cs="Tahoma"/>
          <w:iCs/>
          <w:color w:val="auto"/>
          <w:lang w:eastAsia="es-ES"/>
        </w:rPr>
        <w:t>, (Consultado el primero de mazo de dos mil veintidós), en el cual se logró vislumbrar que, el Ayuntamiento de Tequixquiac cuenta con la unidad administrativa denominada; Secretaría Técnica del Consejo Municipal de Seguridad Pública, como a continuación se muestra:</w:t>
      </w:r>
    </w:p>
    <w:p w:rsidRPr="009F7EDB" w:rsidR="000A1767" w:rsidP="00FD34A8" w:rsidRDefault="000A1767" w14:paraId="6F472148" w14:textId="16D4B42E">
      <w:pPr>
        <w:spacing w:after="0" w:line="360" w:lineRule="auto"/>
        <w:contextualSpacing/>
        <w:rPr>
          <w:rFonts w:eastAsia="Times New Roman" w:cs="Tahoma"/>
          <w:iCs/>
          <w:color w:val="auto"/>
          <w:lang w:eastAsia="es-ES"/>
        </w:rPr>
      </w:pPr>
    </w:p>
    <w:p w:rsidRPr="009F7EDB" w:rsidR="000A1767" w:rsidP="00FD34A8" w:rsidRDefault="00835272" w14:paraId="79110746" w14:textId="5B425B3D">
      <w:pPr>
        <w:spacing w:after="0" w:line="360" w:lineRule="auto"/>
        <w:contextualSpacing/>
        <w:jc w:val="center"/>
        <w:rPr>
          <w:rFonts w:eastAsia="Times New Roman" w:cs="Tahoma"/>
          <w:iCs/>
          <w:color w:val="auto"/>
          <w:lang w:eastAsia="es-ES"/>
        </w:rPr>
      </w:pPr>
      <w:r w:rsidRPr="009F7EDB">
        <w:rPr>
          <w:noProof/>
        </w:rPr>
        <w:drawing>
          <wp:inline distT="0" distB="0" distL="0" distR="0" wp14:anchorId="65635CBE" wp14:editId="7533B913">
            <wp:extent cx="5296008" cy="7243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96" t="12664" r="20597" b="72809"/>
                    <a:stretch/>
                  </pic:blipFill>
                  <pic:spPr bwMode="auto">
                    <a:xfrm>
                      <a:off x="0" y="0"/>
                      <a:ext cx="5366022" cy="733972"/>
                    </a:xfrm>
                    <a:prstGeom prst="rect">
                      <a:avLst/>
                    </a:prstGeom>
                    <a:ln>
                      <a:noFill/>
                    </a:ln>
                    <a:extLst>
                      <a:ext uri="{53640926-AAD7-44D8-BBD7-CCE9431645EC}">
                        <a14:shadowObscured xmlns:a14="http://schemas.microsoft.com/office/drawing/2010/main"/>
                      </a:ext>
                    </a:extLst>
                  </pic:spPr>
                </pic:pic>
              </a:graphicData>
            </a:graphic>
          </wp:inline>
        </w:drawing>
      </w:r>
    </w:p>
    <w:p w:rsidRPr="009F7EDB" w:rsidR="00835272" w:rsidP="00FD34A8" w:rsidRDefault="00835272" w14:paraId="2AE34268" w14:textId="6577FB9C">
      <w:pPr>
        <w:spacing w:after="0" w:line="360" w:lineRule="auto"/>
        <w:contextualSpacing/>
        <w:jc w:val="center"/>
        <w:rPr>
          <w:rFonts w:eastAsia="Times New Roman" w:cs="Tahoma"/>
          <w:iCs/>
          <w:color w:val="auto"/>
          <w:lang w:eastAsia="es-ES"/>
        </w:rPr>
      </w:pPr>
      <w:r w:rsidRPr="009F7EDB">
        <w:rPr>
          <w:rFonts w:eastAsia="Times New Roman" w:cs="Tahoma"/>
          <w:iCs/>
          <w:color w:val="auto"/>
          <w:lang w:eastAsia="es-ES"/>
        </w:rPr>
        <w:t>…</w:t>
      </w:r>
    </w:p>
    <w:p w:rsidRPr="009F7EDB" w:rsidR="00835272" w:rsidP="00FD34A8" w:rsidRDefault="00835272" w14:paraId="040F2C98" w14:textId="7B14EC6A">
      <w:pPr>
        <w:spacing w:after="0" w:line="360" w:lineRule="auto"/>
        <w:contextualSpacing/>
        <w:jc w:val="center"/>
        <w:rPr>
          <w:rFonts w:eastAsia="Times New Roman" w:cs="Tahoma"/>
          <w:iCs/>
          <w:color w:val="auto"/>
          <w:lang w:eastAsia="es-ES"/>
        </w:rPr>
      </w:pPr>
      <w:r w:rsidRPr="009F7EDB">
        <w:rPr>
          <w:noProof/>
        </w:rPr>
        <w:drawing>
          <wp:inline distT="0" distB="0" distL="0" distR="0" wp14:anchorId="235C31E8" wp14:editId="686F65F5">
            <wp:extent cx="4726379" cy="340985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85" t="33521" r="47060" b="26242"/>
                    <a:stretch/>
                  </pic:blipFill>
                  <pic:spPr bwMode="auto">
                    <a:xfrm>
                      <a:off x="0" y="0"/>
                      <a:ext cx="4822810" cy="3479420"/>
                    </a:xfrm>
                    <a:prstGeom prst="rect">
                      <a:avLst/>
                    </a:prstGeom>
                    <a:ln>
                      <a:noFill/>
                    </a:ln>
                    <a:extLst>
                      <a:ext uri="{53640926-AAD7-44D8-BBD7-CCE9431645EC}">
                        <a14:shadowObscured xmlns:a14="http://schemas.microsoft.com/office/drawing/2010/main"/>
                      </a:ext>
                    </a:extLst>
                  </pic:spPr>
                </pic:pic>
              </a:graphicData>
            </a:graphic>
          </wp:inline>
        </w:drawing>
      </w:r>
    </w:p>
    <w:p w:rsidRPr="009F7EDB" w:rsidR="00835272" w:rsidP="00FD34A8" w:rsidRDefault="00835272" w14:paraId="70566479" w14:textId="2D7D4D39">
      <w:pPr>
        <w:spacing w:after="0" w:line="360" w:lineRule="auto"/>
        <w:contextualSpacing/>
        <w:jc w:val="center"/>
        <w:rPr>
          <w:rFonts w:eastAsia="Times New Roman" w:cs="Tahoma"/>
          <w:iCs/>
          <w:color w:val="auto"/>
          <w:lang w:eastAsia="es-ES"/>
        </w:rPr>
      </w:pPr>
      <w:r w:rsidRPr="009F7EDB">
        <w:rPr>
          <w:rFonts w:eastAsia="Times New Roman" w:cs="Tahoma"/>
          <w:iCs/>
          <w:color w:val="auto"/>
          <w:lang w:eastAsia="es-ES"/>
        </w:rPr>
        <w:t>…</w:t>
      </w:r>
    </w:p>
    <w:p w:rsidRPr="009F7EDB" w:rsidR="00835272" w:rsidP="00FD34A8" w:rsidRDefault="00835272" w14:paraId="3B085F32" w14:textId="2DB3382C">
      <w:pPr>
        <w:spacing w:after="0" w:line="360" w:lineRule="auto"/>
        <w:contextualSpacing/>
        <w:jc w:val="center"/>
        <w:rPr>
          <w:rFonts w:eastAsia="Times New Roman" w:cs="Tahoma"/>
          <w:iCs/>
          <w:color w:val="auto"/>
          <w:lang w:eastAsia="es-ES"/>
        </w:rPr>
      </w:pPr>
      <w:r w:rsidRPr="009F7EDB">
        <w:rPr>
          <w:noProof/>
        </w:rPr>
        <w:lastRenderedPageBreak/>
        <w:drawing>
          <wp:inline distT="0" distB="0" distL="0" distR="0" wp14:anchorId="083E72BD" wp14:editId="487F3A28">
            <wp:extent cx="4904509" cy="14566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33" t="33894" r="38404" b="46737"/>
                    <a:stretch/>
                  </pic:blipFill>
                  <pic:spPr bwMode="auto">
                    <a:xfrm>
                      <a:off x="0" y="0"/>
                      <a:ext cx="5050999" cy="1500180"/>
                    </a:xfrm>
                    <a:prstGeom prst="rect">
                      <a:avLst/>
                    </a:prstGeom>
                    <a:ln>
                      <a:noFill/>
                    </a:ln>
                    <a:extLst>
                      <a:ext uri="{53640926-AAD7-44D8-BBD7-CCE9431645EC}">
                        <a14:shadowObscured xmlns:a14="http://schemas.microsoft.com/office/drawing/2010/main"/>
                      </a:ext>
                    </a:extLst>
                  </pic:spPr>
                </pic:pic>
              </a:graphicData>
            </a:graphic>
          </wp:inline>
        </w:drawing>
      </w:r>
    </w:p>
    <w:p w:rsidRPr="009F7EDB" w:rsidR="00C214B5" w:rsidP="00FD34A8" w:rsidRDefault="000A1767" w14:paraId="6B9E9CA0" w14:textId="706C3401">
      <w:pPr>
        <w:spacing w:after="0" w:line="360" w:lineRule="auto"/>
        <w:contextualSpacing/>
        <w:rPr>
          <w:rFonts w:eastAsia="Times New Roman" w:cs="Tahoma"/>
          <w:iCs/>
          <w:color w:val="auto"/>
          <w:lang w:eastAsia="es-ES"/>
        </w:rPr>
      </w:pPr>
      <w:r w:rsidRPr="009F7EDB">
        <w:rPr>
          <w:rFonts w:eastAsia="Times New Roman" w:cs="Tahoma"/>
          <w:iCs/>
          <w:color w:val="auto"/>
          <w:lang w:eastAsia="es-ES"/>
        </w:rPr>
        <w:t xml:space="preserve"> </w:t>
      </w:r>
    </w:p>
    <w:p w:rsidRPr="009F7EDB" w:rsidR="00C214B5" w:rsidP="00FD34A8" w:rsidRDefault="00C214B5" w14:paraId="3EEBA1D5" w14:textId="521B33CD">
      <w:pPr>
        <w:spacing w:after="0" w:line="360" w:lineRule="auto"/>
        <w:contextualSpacing/>
        <w:rPr>
          <w:rFonts w:eastAsia="Times New Roman" w:cs="Tahoma"/>
          <w:iCs/>
          <w:color w:val="auto"/>
          <w:lang w:eastAsia="es-ES"/>
        </w:rPr>
      </w:pPr>
      <w:r w:rsidRPr="009F7EDB">
        <w:rPr>
          <w:rFonts w:eastAsia="Times New Roman" w:cs="Tahoma"/>
          <w:iCs/>
          <w:color w:val="auto"/>
          <w:lang w:eastAsia="es-ES"/>
        </w:rPr>
        <w:t>Conforme a lo anterior, se advierte que</w:t>
      </w:r>
      <w:r w:rsidRPr="009F7EDB" w:rsidR="004906A4">
        <w:rPr>
          <w:rFonts w:eastAsia="Times New Roman" w:cs="Tahoma"/>
          <w:iCs/>
          <w:color w:val="auto"/>
          <w:lang w:eastAsia="es-ES"/>
        </w:rPr>
        <w:t>,</w:t>
      </w:r>
      <w:r w:rsidRPr="009F7EDB" w:rsidR="00835272">
        <w:rPr>
          <w:rFonts w:eastAsia="Times New Roman" w:cs="Tahoma"/>
          <w:iCs/>
          <w:color w:val="auto"/>
          <w:lang w:eastAsia="es-ES"/>
        </w:rPr>
        <w:t xml:space="preserve"> de la normatividad municipal aplicable, el Sujeto Obligado cuenta con la unidad administrativa denominada Secretaría Técnica del Consejo de Seguridad Pública, además que dicha dependencia municipal se localiza integrada dentro de la estructura orgánica del Ayuntamiento, </w:t>
      </w:r>
      <w:r w:rsidRPr="009F7EDB" w:rsidR="004906A4">
        <w:rPr>
          <w:rFonts w:eastAsia="Times New Roman" w:cs="Tahoma"/>
          <w:iCs/>
          <w:color w:val="auto"/>
          <w:lang w:eastAsia="es-ES"/>
        </w:rPr>
        <w:t>en términos</w:t>
      </w:r>
      <w:r w:rsidRPr="009F7EDB" w:rsidR="00835272">
        <w:rPr>
          <w:rFonts w:eastAsia="Times New Roman" w:cs="Tahoma"/>
          <w:iCs/>
          <w:color w:val="auto"/>
          <w:lang w:eastAsia="es-ES"/>
        </w:rPr>
        <w:t xml:space="preserve"> </w:t>
      </w:r>
      <w:r w:rsidRPr="009F7EDB" w:rsidR="004906A4">
        <w:rPr>
          <w:rFonts w:eastAsia="Times New Roman" w:cs="Tahoma"/>
          <w:iCs/>
          <w:color w:val="auto"/>
          <w:lang w:eastAsia="es-ES"/>
        </w:rPr>
        <w:t>d</w:t>
      </w:r>
      <w:r w:rsidRPr="009F7EDB" w:rsidR="00835272">
        <w:rPr>
          <w:rFonts w:eastAsia="Times New Roman" w:cs="Tahoma"/>
          <w:iCs/>
          <w:color w:val="auto"/>
          <w:lang w:eastAsia="es-ES"/>
        </w:rPr>
        <w:t>el artículo 92 fracción II</w:t>
      </w:r>
      <w:r w:rsidRPr="009F7EDB" w:rsidR="004906A4">
        <w:rPr>
          <w:rFonts w:eastAsia="Times New Roman" w:cs="Tahoma"/>
          <w:iCs/>
          <w:color w:val="auto"/>
          <w:lang w:eastAsia="es-ES"/>
        </w:rPr>
        <w:t>,</w:t>
      </w:r>
      <w:r w:rsidRPr="009F7EDB" w:rsidR="00835272">
        <w:rPr>
          <w:rFonts w:eastAsia="Times New Roman" w:cs="Tahoma"/>
          <w:iCs/>
          <w:color w:val="auto"/>
          <w:lang w:eastAsia="es-ES"/>
        </w:rPr>
        <w:t xml:space="preserve"> de la </w:t>
      </w:r>
      <w:r w:rsidRPr="009F7EDB" w:rsidR="00835272">
        <w:rPr>
          <w:rFonts w:eastAsia="Times New Roman" w:cs="Tahoma"/>
          <w:bCs/>
          <w:iCs/>
          <w:color w:val="auto"/>
          <w:lang w:eastAsia="es-ES"/>
        </w:rPr>
        <w:t>Ley de Transparencia y Acceso a la Información Pública del Estado de México y Municipios</w:t>
      </w:r>
      <w:r w:rsidRPr="009F7EDB" w:rsidR="004906A4">
        <w:rPr>
          <w:rFonts w:eastAsia="Times New Roman" w:cs="Tahoma"/>
          <w:bCs/>
          <w:iCs/>
          <w:color w:val="auto"/>
          <w:lang w:eastAsia="es-ES"/>
        </w:rPr>
        <w:t>.</w:t>
      </w:r>
    </w:p>
    <w:p w:rsidRPr="009F7EDB" w:rsidR="00C214B5" w:rsidP="00FD34A8" w:rsidRDefault="00C214B5" w14:paraId="70AC3E05" w14:textId="77777777">
      <w:pPr>
        <w:spacing w:after="0" w:line="360" w:lineRule="auto"/>
        <w:contextualSpacing/>
        <w:rPr>
          <w:rFonts w:eastAsia="Times New Roman" w:cs="Tahoma"/>
          <w:iCs/>
          <w:color w:val="auto"/>
          <w:lang w:eastAsia="es-ES"/>
        </w:rPr>
      </w:pPr>
    </w:p>
    <w:p w:rsidRPr="009F7EDB" w:rsidR="00C214B5" w:rsidP="00FD34A8" w:rsidRDefault="00C214B5" w14:paraId="3FBFABE3" w14:textId="04168D06">
      <w:pPr>
        <w:spacing w:after="0" w:line="360" w:lineRule="auto"/>
        <w:ind w:right="-91"/>
        <w:contextualSpacing/>
        <w:rPr>
          <w:rFonts w:eastAsia="Times New Roman" w:cs="Tahoma"/>
          <w:iCs/>
          <w:color w:val="auto"/>
          <w:lang w:eastAsia="es-ES"/>
        </w:rPr>
      </w:pPr>
      <w:r w:rsidRPr="009F7EDB">
        <w:rPr>
          <w:rFonts w:eastAsia="Times New Roman" w:cs="Tahoma"/>
          <w:iCs/>
          <w:color w:val="auto"/>
          <w:lang w:eastAsia="es-ES"/>
        </w:rPr>
        <w:t>Conforme a lo anterior,</w:t>
      </w:r>
      <w:r w:rsidRPr="009F7EDB" w:rsidR="004906A4">
        <w:rPr>
          <w:rFonts w:eastAsia="Times New Roman" w:cs="Tahoma"/>
          <w:iCs/>
          <w:color w:val="auto"/>
          <w:lang w:eastAsia="es-ES"/>
        </w:rPr>
        <w:t xml:space="preserve"> el Sujeto Obligado es </w:t>
      </w:r>
      <w:r w:rsidRPr="009F7EDB">
        <w:rPr>
          <w:rFonts w:eastAsia="Times New Roman" w:cs="Tahoma"/>
          <w:iCs/>
          <w:color w:val="auto"/>
          <w:lang w:eastAsia="es-ES"/>
        </w:rPr>
        <w:t>competente para conocer de la información peticionada; así</w:t>
      </w:r>
      <w:r w:rsidRPr="009F7EDB">
        <w:rPr>
          <w:rFonts w:eastAsia="Times New Roman" w:cs="Tahoma"/>
          <w:bCs/>
          <w:iCs/>
          <w:color w:val="auto"/>
          <w:lang w:eastAsia="es-ES"/>
        </w:rPr>
        <w:t>, para atender al requerimiento en análisis, el Sujeto Obligado, deberá realizar una búsqueda exhaustiva y razonable en todas sus áreas competentes, en términos del artículo 162 de la Ley de Transparencia y Acceso a la Información Pública del Estado de México y Municipios,</w:t>
      </w:r>
      <w:r w:rsidRPr="009F7EDB">
        <w:rPr>
          <w:rFonts w:eastAsia="Calibri" w:cs="Tahoma"/>
          <w:bCs/>
        </w:rPr>
        <w:t xml:space="preserve"> a efecto de que dé la respuesta que a derecho corresponda y, en su caso, proporcione los documentos que den cuenta de la información solicitada</w:t>
      </w:r>
      <w:r w:rsidRPr="009F7EDB">
        <w:rPr>
          <w:rFonts w:eastAsia="Calibri" w:cs="Tahoma"/>
          <w:bCs/>
          <w:color w:val="000000"/>
        </w:rPr>
        <w:t>.</w:t>
      </w:r>
    </w:p>
    <w:p w:rsidRPr="009F7EDB" w:rsidR="00C214B5" w:rsidP="00FD34A8" w:rsidRDefault="00C214B5" w14:paraId="3731F0DE" w14:textId="77777777">
      <w:pPr>
        <w:spacing w:after="0" w:line="360" w:lineRule="auto"/>
        <w:contextualSpacing/>
        <w:rPr>
          <w:rFonts w:eastAsia="Calibri" w:cs="Tahoma"/>
          <w:bCs/>
          <w:color w:val="000000"/>
        </w:rPr>
      </w:pPr>
    </w:p>
    <w:p w:rsidRPr="009F7EDB" w:rsidR="00C214B5" w:rsidP="00FD34A8" w:rsidRDefault="00C214B5" w14:paraId="11F2407B" w14:textId="77777777">
      <w:pPr>
        <w:spacing w:after="0" w:line="360" w:lineRule="auto"/>
        <w:contextualSpacing/>
        <w:rPr>
          <w:rFonts w:eastAsia="Times New Roman" w:cs="Tahoma"/>
          <w:bCs/>
          <w:iCs/>
          <w:lang w:val="es-ES" w:eastAsia="es-ES"/>
        </w:rPr>
      </w:pPr>
      <w:bookmarkStart w:name="_Hlk76480431" w:id="2"/>
      <w:r w:rsidRPr="009F7EDB">
        <w:rPr>
          <w:rFonts w:eastAsia="Times New Roman" w:cs="Tahoma"/>
          <w:bCs/>
          <w:iCs/>
          <w:lang w:val="es-ES_tradnl" w:eastAsia="es-ES"/>
        </w:rPr>
        <w:t>No pasa desapercibido para este Instituto que los documentos que den cuenta de lo solicitado, pudieran contener datos o información clasificada; a</w:t>
      </w:r>
      <w:r w:rsidRPr="009F7EDB">
        <w:rPr>
          <w:rFonts w:eastAsia="Times New Roman" w:cs="Tahoma"/>
          <w:bCs/>
          <w:iCs/>
          <w:lang w:val="es-ES" w:eastAsia="es-ES"/>
        </w:rPr>
        <w:t xml:space="preserve">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Pr="009F7EDB" w:rsidR="00C214B5" w:rsidP="00FD34A8" w:rsidRDefault="00C214B5" w14:paraId="15A05B45" w14:textId="77777777">
      <w:pPr>
        <w:spacing w:after="0" w:line="360" w:lineRule="auto"/>
        <w:contextualSpacing/>
        <w:rPr>
          <w:rFonts w:eastAsia="Times New Roman" w:cs="Tahoma"/>
          <w:bCs/>
          <w:iCs/>
          <w:lang w:val="es-ES" w:eastAsia="es-ES"/>
        </w:rPr>
      </w:pPr>
    </w:p>
    <w:p w:rsidRPr="009F7EDB" w:rsidR="00C214B5" w:rsidP="00FD34A8" w:rsidRDefault="00C214B5" w14:paraId="43DA1C77" w14:textId="327FFE29">
      <w:pPr>
        <w:spacing w:after="0" w:line="360" w:lineRule="auto"/>
        <w:contextualSpacing/>
        <w:rPr>
          <w:rFonts w:eastAsia="Times New Roman" w:cs="Tahoma"/>
          <w:bCs/>
          <w:iCs/>
          <w:lang w:val="es-ES" w:eastAsia="es-ES"/>
        </w:rPr>
      </w:pPr>
      <w:r w:rsidRPr="009F7EDB">
        <w:rPr>
          <w:rFonts w:eastAsia="Times New Roman" w:cs="Tahoma"/>
          <w:bCs/>
          <w:iCs/>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bookmarkEnd w:id="2"/>
    </w:p>
    <w:p w:rsidRPr="009F7EDB" w:rsidR="00C214B5" w:rsidP="00FD34A8" w:rsidRDefault="00C214B5" w14:paraId="2182D620" w14:textId="77777777">
      <w:pPr>
        <w:spacing w:after="0" w:line="360" w:lineRule="auto"/>
        <w:contextualSpacing/>
        <w:rPr>
          <w:rFonts w:eastAsia="Calibri" w:cs="Tahoma"/>
          <w:b/>
          <w:color w:val="000000"/>
        </w:rPr>
      </w:pPr>
    </w:p>
    <w:p w:rsidRPr="009F7EDB" w:rsidR="00C214B5" w:rsidP="00FD34A8" w:rsidRDefault="00C214B5" w14:paraId="335D5BBF" w14:textId="77777777">
      <w:pPr>
        <w:spacing w:after="0" w:line="360" w:lineRule="auto"/>
        <w:contextualSpacing/>
        <w:rPr>
          <w:rFonts w:eastAsia="Calibri" w:cs="Tahoma"/>
          <w:b/>
          <w:color w:val="000000"/>
        </w:rPr>
      </w:pPr>
      <w:r w:rsidRPr="009F7EDB">
        <w:rPr>
          <w:rFonts w:eastAsia="Calibri" w:cs="Tahoma"/>
          <w:b/>
          <w:color w:val="000000"/>
        </w:rPr>
        <w:t xml:space="preserve">SEXTO. Decisión. </w:t>
      </w:r>
    </w:p>
    <w:p w:rsidRPr="009F7EDB" w:rsidR="00C214B5" w:rsidP="00FD34A8" w:rsidRDefault="00C214B5" w14:paraId="1F958B3A" w14:textId="77777777">
      <w:pPr>
        <w:spacing w:after="0" w:line="360" w:lineRule="auto"/>
        <w:contextualSpacing/>
        <w:rPr>
          <w:rFonts w:eastAsia="Times New Roman" w:cs="Tahoma"/>
          <w:color w:val="auto"/>
          <w:lang w:eastAsia="es-ES"/>
        </w:rPr>
      </w:pPr>
    </w:p>
    <w:p w:rsidRPr="009F7EDB" w:rsidR="00C214B5" w:rsidP="00FD34A8" w:rsidRDefault="00C214B5" w14:paraId="470AE592" w14:textId="67A8CDDB">
      <w:pPr>
        <w:spacing w:after="0" w:line="360" w:lineRule="auto"/>
        <w:contextualSpacing/>
        <w:rPr>
          <w:rFonts w:eastAsia="Times New Roman" w:cs="Tahoma"/>
          <w:color w:val="auto"/>
          <w:lang w:eastAsia="es-ES"/>
        </w:rPr>
      </w:pPr>
      <w:r w:rsidRPr="009F7EDB">
        <w:rPr>
          <w:rFonts w:eastAsia="Times New Roman" w:cs="Tahoma"/>
          <w:color w:val="auto"/>
          <w:lang w:eastAsia="es-ES"/>
        </w:rPr>
        <w:t xml:space="preserve">Con fundamento en el artículo 186, fracción IV, de la Ley de Transparencia y Acceso a la Información Pública del Estado de México y Municipios, este Instituto considera procedente </w:t>
      </w:r>
      <w:r w:rsidRPr="009F7EDB">
        <w:rPr>
          <w:rFonts w:eastAsia="Times New Roman" w:cs="Tahoma"/>
          <w:b/>
          <w:bCs/>
          <w:color w:val="auto"/>
          <w:lang w:eastAsia="es-ES"/>
        </w:rPr>
        <w:t>ORDENAR</w:t>
      </w:r>
      <w:r w:rsidRPr="009F7EDB">
        <w:rPr>
          <w:rFonts w:eastAsia="Times New Roman" w:cs="Tahoma"/>
          <w:color w:val="auto"/>
          <w:lang w:eastAsia="es-ES"/>
        </w:rPr>
        <w:t xml:space="preserve"> al Sujeto Obligado,</w:t>
      </w:r>
      <w:r w:rsidRPr="009F7EDB">
        <w:rPr>
          <w:rFonts w:eastAsia="Calibri" w:cs="Tahoma"/>
          <w:color w:val="auto"/>
        </w:rPr>
        <w:t xml:space="preserve"> a que dé trámite y </w:t>
      </w:r>
      <w:r w:rsidRPr="009F7EDB">
        <w:rPr>
          <w:rFonts w:eastAsia="Times New Roman" w:cs="Tahoma"/>
          <w:color w:val="auto"/>
          <w:lang w:eastAsia="es-ES"/>
        </w:rPr>
        <w:t xml:space="preserve">respuesta a la solicitud de información pública con número </w:t>
      </w:r>
      <w:r w:rsidRPr="009F7EDB" w:rsidR="004906A4">
        <w:t>00304/TEQUIXQU/IP/2022</w:t>
      </w:r>
      <w:r w:rsidRPr="009F7EDB">
        <w:rPr>
          <w:rFonts w:eastAsia="Times New Roman" w:cs="Tahoma"/>
          <w:b/>
          <w:bCs/>
          <w:iCs/>
          <w:color w:val="auto"/>
          <w:lang w:eastAsia="es-ES"/>
        </w:rPr>
        <w:t>.</w:t>
      </w:r>
    </w:p>
    <w:p w:rsidRPr="009F7EDB" w:rsidR="00C214B5" w:rsidP="00FD34A8" w:rsidRDefault="00C214B5" w14:paraId="0815E00B" w14:textId="77777777">
      <w:pPr>
        <w:spacing w:after="0" w:line="360" w:lineRule="auto"/>
        <w:contextualSpacing/>
        <w:rPr>
          <w:rFonts w:eastAsia="Times New Roman" w:cs="Tahoma"/>
          <w:b/>
          <w:bCs/>
          <w:iCs/>
          <w:color w:val="auto"/>
          <w:lang w:eastAsia="es-ES"/>
        </w:rPr>
      </w:pPr>
    </w:p>
    <w:p w:rsidRPr="009F7EDB" w:rsidR="00C214B5" w:rsidP="00FD34A8" w:rsidRDefault="00C214B5" w14:paraId="4A40BCD8" w14:textId="77777777">
      <w:pPr>
        <w:autoSpaceDE w:val="0"/>
        <w:autoSpaceDN w:val="0"/>
        <w:adjustRightInd w:val="0"/>
        <w:spacing w:after="0" w:line="360" w:lineRule="auto"/>
        <w:contextualSpacing/>
        <w:rPr>
          <w:rFonts w:eastAsia="Calibri" w:cs="Tahoma"/>
          <w:b/>
          <w:bCs/>
          <w:iCs/>
          <w:color w:val="auto"/>
          <w:lang w:val="es-ES"/>
        </w:rPr>
      </w:pPr>
      <w:r w:rsidRPr="009F7EDB">
        <w:rPr>
          <w:rFonts w:eastAsia="Calibri" w:cs="Tahoma"/>
          <w:b/>
          <w:bCs/>
          <w:iCs/>
          <w:color w:val="auto"/>
          <w:lang w:val="es-ES"/>
        </w:rPr>
        <w:t>Términos de la Resolución para conocimiento del Particular.</w:t>
      </w:r>
    </w:p>
    <w:p w:rsidRPr="009F7EDB" w:rsidR="00C214B5" w:rsidP="00FD34A8" w:rsidRDefault="00C214B5" w14:paraId="309982CF" w14:textId="77777777">
      <w:pPr>
        <w:autoSpaceDE w:val="0"/>
        <w:autoSpaceDN w:val="0"/>
        <w:adjustRightInd w:val="0"/>
        <w:spacing w:after="0" w:line="360" w:lineRule="auto"/>
        <w:contextualSpacing/>
        <w:rPr>
          <w:rFonts w:eastAsia="Calibri" w:cs="Tahoma"/>
          <w:b/>
          <w:bCs/>
          <w:iCs/>
          <w:color w:val="auto"/>
          <w:lang w:val="es-ES"/>
        </w:rPr>
      </w:pPr>
    </w:p>
    <w:p w:rsidRPr="009F7EDB" w:rsidR="00046F84" w:rsidP="00FD34A8" w:rsidRDefault="00C214B5" w14:paraId="1BC77F35" w14:textId="77777777">
      <w:pPr>
        <w:widowControl w:val="0"/>
        <w:autoSpaceDE w:val="0"/>
        <w:autoSpaceDN w:val="0"/>
        <w:adjustRightInd w:val="0"/>
        <w:spacing w:after="0" w:line="360" w:lineRule="auto"/>
        <w:contextualSpacing/>
        <w:rPr>
          <w:rFonts w:eastAsia="Calibri" w:cs="Tahoma"/>
          <w:bCs/>
          <w:iCs/>
          <w:color w:val="auto"/>
          <w:lang w:val="es-ES"/>
        </w:rPr>
      </w:pPr>
      <w:r w:rsidRPr="009F7EDB">
        <w:rPr>
          <w:rFonts w:eastAsia="Calibri" w:cs="Tahoma"/>
          <w:bCs/>
          <w:iCs/>
          <w:color w:val="auto"/>
          <w:lang w:val="es-ES"/>
        </w:rPr>
        <w:t xml:space="preserve">Se le hace del conocimiento al Particular, que, en el presente caso, se le da la razón, pues el </w:t>
      </w:r>
      <w:r w:rsidRPr="009F7EDB">
        <w:rPr>
          <w:color w:val="000000"/>
          <w:lang w:val="es-ES"/>
        </w:rPr>
        <w:t xml:space="preserve">Ayuntamiento de </w:t>
      </w:r>
      <w:r w:rsidRPr="009F7EDB" w:rsidR="004906A4">
        <w:rPr>
          <w:color w:val="000000"/>
          <w:lang w:val="es-ES"/>
        </w:rPr>
        <w:t>Tequixquiac,</w:t>
      </w:r>
      <w:r w:rsidRPr="009F7EDB">
        <w:rPr>
          <w:rFonts w:eastAsia="Calibri" w:cs="Tahoma"/>
          <w:bCs/>
          <w:iCs/>
          <w:color w:val="auto"/>
          <w:lang w:val="es-ES"/>
        </w:rPr>
        <w:t xml:space="preserve"> no emitió contestación alguna, por lo que, deberá dar trámite al requerimiento de información y en su caso, entregarle la documentación que corresponda. </w:t>
      </w:r>
    </w:p>
    <w:p w:rsidRPr="009F7EDB" w:rsidR="00046F84" w:rsidP="00FD34A8" w:rsidRDefault="00046F84" w14:paraId="5D1DEED1" w14:textId="77777777">
      <w:pPr>
        <w:widowControl w:val="0"/>
        <w:autoSpaceDE w:val="0"/>
        <w:autoSpaceDN w:val="0"/>
        <w:adjustRightInd w:val="0"/>
        <w:spacing w:after="0" w:line="360" w:lineRule="auto"/>
        <w:contextualSpacing/>
        <w:rPr>
          <w:rFonts w:eastAsia="Calibri" w:cs="Tahoma"/>
          <w:bCs/>
          <w:iCs/>
          <w:color w:val="auto"/>
          <w:lang w:val="es-ES"/>
        </w:rPr>
      </w:pPr>
    </w:p>
    <w:p w:rsidRPr="009F7EDB" w:rsidR="004906A4" w:rsidP="00FD34A8" w:rsidRDefault="00C214B5" w14:paraId="414D5B28" w14:textId="4F67D331">
      <w:pPr>
        <w:widowControl w:val="0"/>
        <w:autoSpaceDE w:val="0"/>
        <w:autoSpaceDN w:val="0"/>
        <w:adjustRightInd w:val="0"/>
        <w:spacing w:after="0" w:line="360" w:lineRule="auto"/>
        <w:contextualSpacing/>
        <w:rPr>
          <w:rFonts w:eastAsia="Calibri" w:cs="Tahoma"/>
          <w:bCs/>
          <w:iCs/>
          <w:color w:val="auto"/>
          <w:lang w:val="es-ES" w:eastAsia="es-ES_tradnl"/>
        </w:rPr>
      </w:pPr>
      <w:r w:rsidRPr="009F7EDB">
        <w:rPr>
          <w:rFonts w:eastAsia="Calibri" w:cs="Tahoma"/>
          <w:bCs/>
          <w:iCs/>
          <w:color w:val="auto"/>
          <w:lang w:val="es-ES" w:eastAsia="es-ES_tradnl"/>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Pr="009F7EDB" w:rsidR="004906A4" w:rsidP="00FD34A8" w:rsidRDefault="004906A4" w14:paraId="03763E9F" w14:textId="77777777">
      <w:pPr>
        <w:widowControl w:val="0"/>
        <w:autoSpaceDE w:val="0"/>
        <w:autoSpaceDN w:val="0"/>
        <w:adjustRightInd w:val="0"/>
        <w:spacing w:after="0" w:line="360" w:lineRule="auto"/>
        <w:contextualSpacing/>
        <w:rPr>
          <w:rFonts w:eastAsia="Calibri" w:cs="Tahoma"/>
          <w:bCs/>
          <w:iCs/>
          <w:color w:val="auto"/>
          <w:lang w:val="es-ES" w:eastAsia="es-ES_tradnl"/>
        </w:rPr>
      </w:pPr>
    </w:p>
    <w:p w:rsidRPr="009F7EDB" w:rsidR="00C214B5" w:rsidP="00FD34A8" w:rsidRDefault="00C214B5" w14:paraId="0C3C1EF6" w14:textId="4FAEE439">
      <w:pPr>
        <w:widowControl w:val="0"/>
        <w:autoSpaceDE w:val="0"/>
        <w:autoSpaceDN w:val="0"/>
        <w:adjustRightInd w:val="0"/>
        <w:spacing w:after="0" w:line="360" w:lineRule="auto"/>
        <w:contextualSpacing/>
        <w:rPr>
          <w:rFonts w:eastAsia="Calibri" w:cs="Tahoma"/>
          <w:bCs/>
          <w:iCs/>
          <w:color w:val="auto"/>
        </w:rPr>
      </w:pPr>
      <w:r w:rsidRPr="009F7EDB">
        <w:rPr>
          <w:rFonts w:eastAsia="Calibri" w:cs="Tahoma"/>
          <w:bCs/>
          <w:iCs/>
          <w:color w:val="auto"/>
        </w:rPr>
        <w:t>Finalmente, la labor del Instituto, es apoyar a la población a acceder a la información pública y garantizar la protección de los datos personales.</w:t>
      </w:r>
    </w:p>
    <w:p w:rsidRPr="009F7EDB" w:rsidR="00C214B5" w:rsidP="00FD34A8" w:rsidRDefault="00C214B5" w14:paraId="797C7C16" w14:textId="605FB6F8">
      <w:pPr>
        <w:spacing w:after="0" w:line="360" w:lineRule="auto"/>
        <w:contextualSpacing/>
        <w:rPr>
          <w:rFonts w:eastAsia="Times New Roman" w:cs="Tahoma"/>
          <w:bCs/>
          <w:iCs/>
          <w:color w:val="auto"/>
          <w:lang w:eastAsia="es-ES"/>
        </w:rPr>
      </w:pPr>
    </w:p>
    <w:p w:rsidRPr="009F7EDB" w:rsidR="00046F84" w:rsidP="00FD34A8" w:rsidRDefault="00046F84" w14:paraId="52FB2946" w14:textId="77777777">
      <w:pPr>
        <w:spacing w:after="0" w:line="360" w:lineRule="auto"/>
        <w:contextualSpacing/>
        <w:rPr>
          <w:rFonts w:eastAsia="Times New Roman" w:cs="Tahoma"/>
          <w:bCs/>
          <w:iCs/>
          <w:color w:val="auto"/>
          <w:lang w:eastAsia="es-ES"/>
        </w:rPr>
      </w:pPr>
    </w:p>
    <w:p w:rsidRPr="009F7EDB" w:rsidR="00C214B5" w:rsidP="00FD34A8" w:rsidRDefault="00C214B5" w14:paraId="37B14517" w14:textId="086B52D3">
      <w:pPr>
        <w:spacing w:after="0" w:line="360" w:lineRule="auto"/>
        <w:contextualSpacing/>
        <w:rPr>
          <w:rFonts w:eastAsia="Times New Roman" w:cs="Tahoma"/>
          <w:b/>
          <w:bCs/>
          <w:iCs/>
          <w:color w:val="auto"/>
          <w:lang w:eastAsia="es-ES"/>
        </w:rPr>
      </w:pPr>
      <w:r w:rsidRPr="009F7EDB">
        <w:rPr>
          <w:rFonts w:eastAsia="Times New Roman" w:cs="Tahoma"/>
          <w:b/>
          <w:bCs/>
          <w:iCs/>
          <w:color w:val="auto"/>
          <w:lang w:eastAsia="es-ES"/>
        </w:rPr>
        <w:t xml:space="preserve">SÉPTIMO. Vista a la Contraloría Interna y Órgano de Control y Vigilancia. </w:t>
      </w:r>
    </w:p>
    <w:p w:rsidRPr="009F7EDB" w:rsidR="00046F84" w:rsidP="00FD34A8" w:rsidRDefault="00046F84" w14:paraId="18552DD0" w14:textId="77777777">
      <w:pPr>
        <w:spacing w:after="0" w:line="360" w:lineRule="auto"/>
        <w:contextualSpacing/>
        <w:rPr>
          <w:rFonts w:eastAsia="Times New Roman" w:cs="Tahoma"/>
          <w:b/>
          <w:bCs/>
          <w:iCs/>
          <w:color w:val="auto"/>
          <w:lang w:eastAsia="es-ES"/>
        </w:rPr>
      </w:pPr>
    </w:p>
    <w:p w:rsidRPr="009F7EDB" w:rsidR="00046F84" w:rsidP="00FD34A8" w:rsidRDefault="00C214B5" w14:paraId="1BDABE4E" w14:textId="77777777">
      <w:pPr>
        <w:spacing w:after="0" w:line="360" w:lineRule="auto"/>
        <w:contextualSpacing/>
        <w:rPr>
          <w:rFonts w:eastAsia="Times New Roman" w:cs="Tahoma"/>
          <w:bCs/>
          <w:color w:val="auto"/>
          <w:lang w:eastAsia="es-ES"/>
        </w:rPr>
      </w:pPr>
      <w:r w:rsidRPr="009F7EDB">
        <w:rPr>
          <w:rFonts w:eastAsia="Times New Roman" w:cs="Tahoma"/>
          <w:bCs/>
          <w:color w:val="auto"/>
          <w:lang w:eastAsia="es-ES"/>
        </w:rPr>
        <w:t xml:space="preserve">En el caso en estudio, ha quedado acreditado que el </w:t>
      </w:r>
      <w:r w:rsidRPr="009F7EDB">
        <w:rPr>
          <w:color w:val="000000"/>
        </w:rPr>
        <w:t xml:space="preserve">Ayuntamiento de </w:t>
      </w:r>
      <w:r w:rsidRPr="009F7EDB" w:rsidR="004906A4">
        <w:rPr>
          <w:color w:val="000000"/>
        </w:rPr>
        <w:t>Tequixquiac</w:t>
      </w:r>
      <w:r w:rsidRPr="009F7EDB">
        <w:rPr>
          <w:rFonts w:eastAsia="Times New Roman" w:cs="Tahoma"/>
          <w:bCs/>
          <w:color w:val="auto"/>
          <w:lang w:eastAsia="es-ES"/>
        </w:rPr>
        <w:t xml:space="preserve"> omitió dar respuesta en el plazo señalado en el artículo 163 de la Ley de Transparencia y Acceso a la Información Pública del Estado de México y Municipios. </w:t>
      </w:r>
    </w:p>
    <w:p w:rsidRPr="009F7EDB" w:rsidR="00046F84" w:rsidP="00FD34A8" w:rsidRDefault="00046F84" w14:paraId="34F7F19C" w14:textId="77777777">
      <w:pPr>
        <w:spacing w:after="0" w:line="360" w:lineRule="auto"/>
        <w:contextualSpacing/>
        <w:rPr>
          <w:rFonts w:eastAsia="Times New Roman" w:cs="Tahoma"/>
          <w:bCs/>
          <w:color w:val="auto"/>
          <w:lang w:eastAsia="es-ES"/>
        </w:rPr>
      </w:pPr>
    </w:p>
    <w:p w:rsidRPr="009F7EDB" w:rsidR="00C214B5" w:rsidP="00FD34A8" w:rsidRDefault="00C214B5" w14:paraId="6D5A3C03" w14:textId="31C385FC">
      <w:pPr>
        <w:spacing w:after="0" w:line="360" w:lineRule="auto"/>
        <w:contextualSpacing/>
        <w:rPr>
          <w:rFonts w:eastAsia="Times New Roman" w:cs="Tahoma"/>
          <w:bCs/>
          <w:color w:val="auto"/>
          <w:lang w:eastAsia="es-ES"/>
        </w:rPr>
      </w:pPr>
      <w:r w:rsidRPr="009F7EDB">
        <w:rPr>
          <w:rFonts w:eastAsia="Times New Roman" w:cs="Tahoma"/>
          <w:bCs/>
          <w:color w:val="auto"/>
          <w:lang w:eastAsia="es-ES"/>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rsidRPr="009F7EDB" w:rsidR="00C214B5" w:rsidP="00FD34A8" w:rsidRDefault="00C214B5" w14:paraId="39BD20DF" w14:textId="77777777">
      <w:pPr>
        <w:spacing w:after="0" w:line="360" w:lineRule="auto"/>
        <w:contextualSpacing/>
        <w:rPr>
          <w:rFonts w:eastAsia="Times New Roman" w:cs="Tahoma"/>
          <w:bCs/>
          <w:color w:val="auto"/>
          <w:lang w:eastAsia="es-ES"/>
        </w:rPr>
      </w:pPr>
    </w:p>
    <w:p w:rsidRPr="009F7EDB" w:rsidR="00046F84" w:rsidP="00FD34A8" w:rsidRDefault="00C214B5" w14:paraId="482E98E7" w14:textId="77777777">
      <w:pPr>
        <w:spacing w:after="0" w:line="360" w:lineRule="auto"/>
        <w:contextualSpacing/>
        <w:rPr>
          <w:rFonts w:eastAsia="Times New Roman" w:cs="Tahoma"/>
          <w:bCs/>
          <w:color w:val="auto"/>
          <w:lang w:eastAsia="es-ES"/>
        </w:rPr>
      </w:pPr>
      <w:r w:rsidRPr="009F7EDB">
        <w:rPr>
          <w:rFonts w:eastAsia="Times New Roman" w:cs="Tahoma"/>
          <w:bCs/>
          <w:color w:val="auto"/>
          <w:lang w:eastAsia="es-E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Pr="009F7EDB" w:rsidR="00046F84" w:rsidP="00FD34A8" w:rsidRDefault="00046F84" w14:paraId="028BEF65" w14:textId="77777777">
      <w:pPr>
        <w:spacing w:after="0" w:line="360" w:lineRule="auto"/>
        <w:contextualSpacing/>
        <w:rPr>
          <w:rFonts w:eastAsia="Times New Roman" w:cs="Tahoma"/>
          <w:bCs/>
          <w:color w:val="auto"/>
          <w:lang w:eastAsia="es-ES"/>
        </w:rPr>
      </w:pPr>
    </w:p>
    <w:p w:rsidRPr="009F7EDB" w:rsidR="00046F84" w:rsidP="00FD34A8" w:rsidRDefault="00C214B5" w14:paraId="33A5068F" w14:textId="77777777">
      <w:pPr>
        <w:spacing w:after="0" w:line="360" w:lineRule="auto"/>
        <w:contextualSpacing/>
        <w:rPr>
          <w:rFonts w:eastAsia="Times New Roman" w:cs="Tahoma"/>
          <w:bCs/>
          <w:color w:val="auto"/>
          <w:lang w:eastAsia="es-ES"/>
        </w:rPr>
      </w:pPr>
      <w:r w:rsidRPr="009F7EDB">
        <w:rPr>
          <w:rFonts w:eastAsia="Times New Roman" w:cs="Tahoma"/>
          <w:bCs/>
          <w:color w:val="auto"/>
          <w:lang w:eastAsia="es-ES"/>
        </w:rPr>
        <w:t xml:space="preserve">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 </w:t>
      </w:r>
    </w:p>
    <w:p w:rsidRPr="009F7EDB" w:rsidR="00046F84" w:rsidP="00FD34A8" w:rsidRDefault="00046F84" w14:paraId="67934A4A" w14:textId="77777777">
      <w:pPr>
        <w:spacing w:after="0" w:line="360" w:lineRule="auto"/>
        <w:contextualSpacing/>
        <w:rPr>
          <w:rFonts w:eastAsia="Times New Roman" w:cs="Tahoma"/>
          <w:bCs/>
          <w:color w:val="auto"/>
          <w:lang w:eastAsia="es-ES"/>
        </w:rPr>
      </w:pPr>
    </w:p>
    <w:p w:rsidRPr="009F7EDB" w:rsidR="00C214B5" w:rsidP="00FD34A8" w:rsidRDefault="00C214B5" w14:paraId="27A2E680" w14:textId="5CF96B39">
      <w:pPr>
        <w:spacing w:after="0" w:line="360" w:lineRule="auto"/>
        <w:contextualSpacing/>
        <w:rPr>
          <w:rFonts w:eastAsia="Times New Roman" w:cs="Tahoma"/>
          <w:bCs/>
          <w:color w:val="auto"/>
          <w:lang w:eastAsia="es-ES"/>
        </w:rPr>
      </w:pPr>
      <w:r w:rsidRPr="009F7EDB">
        <w:rPr>
          <w:rFonts w:eastAsia="Times New Roman" w:cs="Tahoma"/>
          <w:bCs/>
          <w:color w:val="auto"/>
          <w:lang w:eastAsia="es-E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9F7EDB">
        <w:rPr>
          <w:rFonts w:eastAsia="Times New Roman" w:cs="Tahoma"/>
          <w:bCs/>
          <w:color w:val="auto"/>
          <w:lang w:val="es-ES_tradnl" w:eastAsia="es-ES"/>
        </w:rPr>
        <w:t>al Contralor Interno y Titular del Órgano de Control y Vigilancia de este Instituto</w:t>
      </w:r>
      <w:r w:rsidRPr="009F7EDB">
        <w:rPr>
          <w:rFonts w:eastAsia="Times New Roman" w:cs="Tahoma"/>
          <w:bCs/>
          <w:color w:val="auto"/>
          <w:lang w:eastAsia="es-ES"/>
        </w:rPr>
        <w:t>.</w:t>
      </w:r>
    </w:p>
    <w:p w:rsidRPr="009F7EDB" w:rsidR="00C214B5" w:rsidP="00FD34A8" w:rsidRDefault="00C214B5" w14:paraId="2F718E06" w14:textId="77777777">
      <w:pPr>
        <w:spacing w:after="0" w:line="360" w:lineRule="auto"/>
        <w:contextualSpacing/>
        <w:rPr>
          <w:rFonts w:eastAsia="Times New Roman" w:cs="Tahoma"/>
          <w:bCs/>
          <w:color w:val="auto"/>
          <w:lang w:eastAsia="es-ES"/>
        </w:rPr>
      </w:pPr>
    </w:p>
    <w:p w:rsidRPr="009F7EDB" w:rsidR="00C214B5" w:rsidP="00FD34A8" w:rsidRDefault="00C214B5" w14:paraId="326247A2" w14:textId="77777777">
      <w:pPr>
        <w:spacing w:after="0" w:line="360" w:lineRule="auto"/>
        <w:contextualSpacing/>
        <w:rPr>
          <w:rFonts w:eastAsia="Times New Roman" w:cs="Tahoma"/>
          <w:bCs/>
          <w:color w:val="auto"/>
          <w:lang w:eastAsia="es-ES"/>
        </w:rPr>
      </w:pPr>
      <w:r w:rsidRPr="009F7EDB">
        <w:rPr>
          <w:rFonts w:eastAsia="Times New Roman" w:cs="Tahoma"/>
          <w:bCs/>
          <w:color w:val="auto"/>
          <w:lang w:eastAsia="es-ES"/>
        </w:rPr>
        <w:t>Por lo expuesto y fundado, este Pleno:</w:t>
      </w:r>
    </w:p>
    <w:p w:rsidRPr="009F7EDB" w:rsidR="00C214B5" w:rsidP="00FD34A8" w:rsidRDefault="00C214B5" w14:paraId="7F62E851" w14:textId="1895D7E5">
      <w:pPr>
        <w:spacing w:after="0" w:line="360" w:lineRule="auto"/>
        <w:contextualSpacing/>
        <w:jc w:val="center"/>
        <w:rPr>
          <w:rFonts w:eastAsia="Times New Roman" w:cs="Tahoma"/>
          <w:b/>
          <w:bCs/>
          <w:color w:val="auto"/>
          <w:lang w:eastAsia="es-ES"/>
        </w:rPr>
      </w:pPr>
    </w:p>
    <w:p w:rsidRPr="009F7EDB" w:rsidR="00C214B5" w:rsidP="00FD34A8" w:rsidRDefault="00C214B5" w14:paraId="10775CCC" w14:textId="77777777">
      <w:pPr>
        <w:spacing w:after="0" w:line="360" w:lineRule="auto"/>
        <w:contextualSpacing/>
        <w:jc w:val="center"/>
        <w:rPr>
          <w:rFonts w:eastAsia="Times New Roman" w:cs="Tahoma"/>
          <w:b/>
          <w:bCs/>
          <w:color w:val="auto"/>
          <w:lang w:eastAsia="es-ES"/>
        </w:rPr>
      </w:pPr>
      <w:r w:rsidRPr="009F7EDB">
        <w:rPr>
          <w:rFonts w:eastAsia="Times New Roman" w:cs="Tahoma"/>
          <w:b/>
          <w:bCs/>
          <w:color w:val="auto"/>
          <w:lang w:eastAsia="es-ES"/>
        </w:rPr>
        <w:t>R E S U E L V E:</w:t>
      </w:r>
    </w:p>
    <w:p w:rsidRPr="009F7EDB" w:rsidR="00C214B5" w:rsidP="00FD34A8" w:rsidRDefault="00C214B5" w14:paraId="4E2FAAD7" w14:textId="77777777">
      <w:pPr>
        <w:spacing w:after="0" w:line="360" w:lineRule="auto"/>
        <w:ind w:right="113"/>
        <w:contextualSpacing/>
        <w:rPr>
          <w:rFonts w:eastAsia="Times New Roman" w:cs="Arial"/>
          <w:b/>
          <w:color w:val="auto"/>
          <w:lang w:eastAsia="es-ES"/>
        </w:rPr>
      </w:pPr>
    </w:p>
    <w:p w:rsidRPr="009F7EDB" w:rsidR="00C214B5" w:rsidP="00FD34A8" w:rsidRDefault="00C214B5" w14:paraId="178B7F7E" w14:textId="2621CFF1">
      <w:pPr>
        <w:widowControl w:val="0"/>
        <w:spacing w:after="0" w:line="360" w:lineRule="auto"/>
        <w:contextualSpacing/>
        <w:rPr>
          <w:rFonts w:eastAsia="Calibri" w:cs="Tahoma"/>
          <w:bCs/>
          <w:color w:val="auto"/>
        </w:rPr>
      </w:pPr>
      <w:r w:rsidRPr="009F7EDB">
        <w:rPr>
          <w:rFonts w:eastAsia="Times New Roman" w:cs="Tahoma"/>
          <w:b/>
          <w:bCs/>
          <w:color w:val="auto"/>
          <w:lang w:eastAsia="es-ES"/>
        </w:rPr>
        <w:t xml:space="preserve">PRIMERO. </w:t>
      </w:r>
      <w:r w:rsidRPr="009F7EDB">
        <w:rPr>
          <w:rFonts w:eastAsia="Calibri" w:cs="Tahoma"/>
          <w:bCs/>
          <w:color w:val="auto"/>
        </w:rPr>
        <w:t xml:space="preserve">Resultan </w:t>
      </w:r>
      <w:r w:rsidRPr="009F7EDB">
        <w:rPr>
          <w:rFonts w:eastAsia="Calibri" w:cs="Tahoma"/>
          <w:b/>
          <w:bCs/>
          <w:color w:val="auto"/>
        </w:rPr>
        <w:t>FUNDADAS</w:t>
      </w:r>
      <w:r w:rsidRPr="009F7EDB">
        <w:rPr>
          <w:rFonts w:eastAsia="Calibri" w:cs="Tahoma"/>
          <w:bCs/>
          <w:color w:val="auto"/>
        </w:rPr>
        <w:t xml:space="preserve"> las razones o motivos de inconformidad hechos valer por el Particular en el Recurso de Revisión </w:t>
      </w:r>
      <w:r w:rsidRPr="009F7EDB" w:rsidR="004906A4">
        <w:rPr>
          <w:rFonts w:eastAsia="Calibri" w:cs="Tahoma"/>
        </w:rPr>
        <w:t>00066</w:t>
      </w:r>
      <w:r w:rsidRPr="009F7EDB">
        <w:rPr>
          <w:rFonts w:eastAsia="Calibri" w:cs="Tahoma"/>
        </w:rPr>
        <w:t>/INFOEM/IP/RR/202</w:t>
      </w:r>
      <w:r w:rsidRPr="009F7EDB" w:rsidR="004906A4">
        <w:rPr>
          <w:rFonts w:eastAsia="Calibri" w:cs="Tahoma"/>
        </w:rPr>
        <w:t>3</w:t>
      </w:r>
      <w:r w:rsidRPr="009F7EDB">
        <w:rPr>
          <w:rFonts w:eastAsia="Calibri" w:cs="Tahoma"/>
          <w:bCs/>
          <w:color w:val="auto"/>
        </w:rPr>
        <w:t>,</w:t>
      </w:r>
      <w:r w:rsidRPr="009F7EDB">
        <w:rPr>
          <w:rFonts w:eastAsia="Times New Roman" w:cs="Tahoma"/>
          <w:b/>
          <w:color w:val="0D0D0D"/>
          <w:lang w:eastAsia="es-ES"/>
        </w:rPr>
        <w:t xml:space="preserve"> </w:t>
      </w:r>
      <w:r w:rsidRPr="009F7EDB">
        <w:rPr>
          <w:rFonts w:eastAsia="Calibri" w:cs="Tahoma"/>
          <w:bCs/>
          <w:color w:val="auto"/>
        </w:rPr>
        <w:t>en términos del considerando QUINTO y SEXTO de la presente Resolución.</w:t>
      </w:r>
    </w:p>
    <w:p w:rsidRPr="009F7EDB" w:rsidR="004906A4" w:rsidP="00FD34A8" w:rsidRDefault="004906A4" w14:paraId="7A3316C1" w14:textId="77777777">
      <w:pPr>
        <w:widowControl w:val="0"/>
        <w:spacing w:after="0" w:line="360" w:lineRule="auto"/>
        <w:contextualSpacing/>
        <w:rPr>
          <w:rFonts w:eastAsia="Calibri" w:cs="Tahoma"/>
          <w:bCs/>
          <w:color w:val="auto"/>
        </w:rPr>
      </w:pPr>
    </w:p>
    <w:p w:rsidRPr="009F7EDB" w:rsidR="00C214B5" w:rsidP="00FD34A8" w:rsidRDefault="00C214B5" w14:paraId="5DA6B148" w14:textId="062B1272">
      <w:pPr>
        <w:spacing w:after="0" w:line="360" w:lineRule="auto"/>
        <w:ind w:right="-93"/>
        <w:contextualSpacing/>
        <w:rPr>
          <w:rFonts w:eastAsia="Calibri" w:cs="Tahoma"/>
          <w:bCs/>
          <w:color w:val="auto"/>
        </w:rPr>
      </w:pPr>
      <w:r w:rsidRPr="009F7EDB">
        <w:rPr>
          <w:rFonts w:eastAsia="Calibri" w:cs="Tahoma"/>
          <w:b/>
          <w:bCs/>
          <w:color w:val="auto"/>
        </w:rPr>
        <w:t>SEGUNDO.</w:t>
      </w:r>
      <w:r w:rsidRPr="009F7EDB">
        <w:rPr>
          <w:rFonts w:eastAsia="Calibri" w:cs="Tahoma"/>
          <w:color w:val="auto"/>
          <w:lang w:eastAsia="es-MX"/>
        </w:rPr>
        <w:t xml:space="preserve"> Se </w:t>
      </w:r>
      <w:r w:rsidRPr="009F7EDB">
        <w:rPr>
          <w:rFonts w:eastAsia="Calibri" w:cs="Tahoma"/>
          <w:b/>
          <w:color w:val="auto"/>
          <w:lang w:eastAsia="es-MX"/>
        </w:rPr>
        <w:t xml:space="preserve">ORDENA </w:t>
      </w:r>
      <w:r w:rsidRPr="009F7EDB">
        <w:rPr>
          <w:rFonts w:eastAsia="Calibri" w:cs="Tahoma"/>
          <w:color w:val="auto"/>
          <w:lang w:eastAsia="es-MX"/>
        </w:rPr>
        <w:t xml:space="preserve">al Sujeto Obligado, </w:t>
      </w:r>
      <w:r w:rsidRPr="009F7EDB">
        <w:rPr>
          <w:rFonts w:eastAsia="Calibri" w:cs="Tahoma"/>
          <w:bCs/>
          <w:color w:val="auto"/>
        </w:rPr>
        <w:t xml:space="preserve">a efecto de que dé trámite a la solicitud de acceso a la información </w:t>
      </w:r>
      <w:r w:rsidRPr="009F7EDB" w:rsidR="004906A4">
        <w:t xml:space="preserve">00304/TEQUIXQU/IP/2022 </w:t>
      </w:r>
      <w:r w:rsidRPr="009F7EDB">
        <w:rPr>
          <w:rFonts w:eastAsia="Times New Roman" w:cs="Tahoma"/>
          <w:color w:val="auto"/>
          <w:lang w:eastAsia="es-ES"/>
        </w:rPr>
        <w:t>y,</w:t>
      </w:r>
      <w:r w:rsidRPr="009F7EDB">
        <w:rPr>
          <w:rFonts w:eastAsia="Times New Roman" w:cs="Tahoma"/>
          <w:b/>
          <w:color w:val="auto"/>
          <w:lang w:eastAsia="es-ES"/>
        </w:rPr>
        <w:t xml:space="preserve"> </w:t>
      </w:r>
      <w:r w:rsidRPr="009F7EDB">
        <w:rPr>
          <w:rFonts w:eastAsia="Times New Roman" w:cs="Tahoma"/>
          <w:color w:val="auto"/>
          <w:lang w:eastAsia="es-ES"/>
        </w:rPr>
        <w:t xml:space="preserve">a través del </w:t>
      </w:r>
      <w:r w:rsidRPr="009F7EDB">
        <w:rPr>
          <w:rFonts w:eastAsia="Times New Roman" w:cs="Tahoma"/>
          <w:color w:val="auto"/>
          <w:lang w:val="es-ES" w:eastAsia="es-ES"/>
        </w:rPr>
        <w:t>Sistema de Acceso a la Información Mexiquense (SAIMEX), dé la respuesta que conforme a derecho corresponda.</w:t>
      </w:r>
    </w:p>
    <w:p w:rsidRPr="009F7EDB" w:rsidR="00C214B5" w:rsidP="00FD34A8" w:rsidRDefault="00C214B5" w14:paraId="5EEBECF3" w14:textId="77777777">
      <w:pPr>
        <w:spacing w:after="0" w:line="360" w:lineRule="auto"/>
        <w:ind w:right="-93"/>
        <w:contextualSpacing/>
        <w:rPr>
          <w:rFonts w:eastAsia="Calibri" w:cs="Tahoma"/>
          <w:bCs/>
          <w:color w:val="auto"/>
        </w:rPr>
      </w:pPr>
    </w:p>
    <w:p w:rsidRPr="009F7EDB" w:rsidR="00C214B5" w:rsidP="00FD34A8" w:rsidRDefault="00C214B5" w14:paraId="1BEDFF4B" w14:textId="77777777">
      <w:pPr>
        <w:spacing w:after="0" w:line="360" w:lineRule="auto"/>
        <w:contextualSpacing/>
        <w:rPr>
          <w:rFonts w:eastAsia="Calibri" w:cs="Tahoma"/>
          <w:bCs/>
          <w:iCs/>
          <w:color w:val="auto"/>
          <w:lang w:eastAsia="es-ES"/>
        </w:rPr>
      </w:pPr>
      <w:r w:rsidRPr="009F7EDB">
        <w:rPr>
          <w:rFonts w:eastAsia="Calibri" w:cs="Tahoma"/>
          <w:b/>
          <w:bCs/>
          <w:iCs/>
          <w:color w:val="auto"/>
          <w:lang w:val="es-ES" w:eastAsia="es-ES"/>
        </w:rPr>
        <w:t>TERCERO</w:t>
      </w:r>
      <w:r w:rsidRPr="009F7EDB">
        <w:rPr>
          <w:rFonts w:eastAsia="Calibri" w:cs="Tahoma"/>
          <w:b/>
          <w:bCs/>
          <w:color w:val="auto"/>
        </w:rPr>
        <w:t xml:space="preserve">. </w:t>
      </w:r>
      <w:r w:rsidRPr="009F7EDB">
        <w:rPr>
          <w:rFonts w:eastAsia="Calibri" w:cs="Tahoma"/>
          <w:bCs/>
          <w:iCs/>
          <w:color w:val="auto"/>
          <w:lang w:val="es-ES_tradnl" w:eastAsia="es-ES"/>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rsidRPr="009F7EDB" w:rsidR="00C214B5" w:rsidP="00FD34A8" w:rsidRDefault="00C214B5" w14:paraId="1467B1FF" w14:textId="77777777">
      <w:pPr>
        <w:spacing w:after="0" w:line="360" w:lineRule="auto"/>
        <w:contextualSpacing/>
        <w:rPr>
          <w:rFonts w:eastAsia="Calibri" w:cs="Tahoma"/>
          <w:b/>
          <w:bCs/>
          <w:color w:val="auto"/>
        </w:rPr>
      </w:pPr>
    </w:p>
    <w:p w:rsidRPr="009F7EDB" w:rsidR="00C214B5" w:rsidP="00FD34A8" w:rsidRDefault="00C214B5" w14:paraId="69243DA1" w14:textId="77777777">
      <w:pPr>
        <w:spacing w:after="0" w:line="360" w:lineRule="auto"/>
        <w:contextualSpacing/>
        <w:rPr>
          <w:rFonts w:eastAsia="Times New Roman" w:cs="Tahoma"/>
          <w:color w:val="auto"/>
          <w:lang w:eastAsia="es-ES"/>
        </w:rPr>
      </w:pPr>
      <w:r w:rsidRPr="009F7EDB">
        <w:rPr>
          <w:rFonts w:eastAsia="Calibri" w:cs="Tahoma"/>
          <w:b/>
          <w:color w:val="auto"/>
          <w:lang w:eastAsia="es-MX"/>
        </w:rPr>
        <w:t>CUARTO</w:t>
      </w:r>
      <w:r w:rsidRPr="009F7EDB">
        <w:rPr>
          <w:rFonts w:eastAsia="Calibri" w:cs="Tahoma"/>
          <w:b/>
          <w:bCs/>
          <w:color w:val="auto"/>
        </w:rPr>
        <w:t xml:space="preserve">. </w:t>
      </w:r>
      <w:r w:rsidRPr="009F7EDB">
        <w:rPr>
          <w:rFonts w:eastAsia="Times New Roman" w:cs="Tahoma"/>
          <w:b/>
          <w:color w:val="auto"/>
          <w:lang w:eastAsia="es-ES"/>
        </w:rPr>
        <w:t xml:space="preserve">NOTIFÍQUESE </w:t>
      </w:r>
      <w:r w:rsidRPr="009F7EDB">
        <w:rPr>
          <w:rFonts w:eastAsia="Times New Roman" w:cs="Tahoma"/>
          <w:color w:val="auto"/>
          <w:lang w:eastAsia="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9F7EDB" w:rsidR="00C214B5" w:rsidP="00FD34A8" w:rsidRDefault="00C214B5" w14:paraId="2E5D39F5" w14:textId="77777777">
      <w:pPr>
        <w:spacing w:after="0" w:line="360" w:lineRule="auto"/>
        <w:contextualSpacing/>
        <w:rPr>
          <w:rFonts w:eastAsia="Calibri" w:cs="Tahoma"/>
          <w:color w:val="auto"/>
          <w:lang w:eastAsia="es-MX"/>
        </w:rPr>
      </w:pPr>
    </w:p>
    <w:p w:rsidRPr="009F7EDB" w:rsidR="00C214B5" w:rsidP="00FD34A8" w:rsidRDefault="00C214B5" w14:paraId="49853821" w14:textId="77777777">
      <w:pPr>
        <w:spacing w:after="0" w:line="360" w:lineRule="auto"/>
        <w:contextualSpacing/>
        <w:rPr>
          <w:rFonts w:eastAsia="Times New Roman" w:cs="Tahoma"/>
          <w:b/>
          <w:color w:val="auto"/>
          <w:lang w:eastAsia="es-ES"/>
        </w:rPr>
      </w:pPr>
      <w:r w:rsidRPr="009F7EDB">
        <w:rPr>
          <w:rFonts w:eastAsia="Calibri" w:cs="Tahoma"/>
          <w:b/>
          <w:bCs/>
          <w:iCs/>
          <w:color w:val="auto"/>
          <w:lang w:val="es-ES" w:eastAsia="es-ES"/>
        </w:rPr>
        <w:lastRenderedPageBreak/>
        <w:t>QUINTO</w:t>
      </w:r>
      <w:r w:rsidRPr="009F7EDB">
        <w:rPr>
          <w:rFonts w:eastAsia="Calibri" w:cs="Tahoma"/>
          <w:bCs/>
          <w:iCs/>
          <w:color w:val="auto"/>
          <w:lang w:val="es-ES" w:eastAsia="es-ES"/>
        </w:rPr>
        <w:t>.</w:t>
      </w:r>
      <w:r w:rsidRPr="009F7EDB">
        <w:rPr>
          <w:rFonts w:eastAsia="Times New Roman" w:cs="Tahoma"/>
          <w:b/>
          <w:color w:val="auto"/>
          <w:lang w:eastAsia="es-ES"/>
        </w:rPr>
        <w:t xml:space="preserve"> NOTIFÍQUESE </w:t>
      </w:r>
      <w:r w:rsidRPr="009F7EDB">
        <w:rPr>
          <w:rFonts w:eastAsia="Times New Roman" w:cs="Tahoma"/>
          <w:bCs/>
          <w:color w:val="auto"/>
          <w:lang w:eastAsia="es-ES"/>
        </w:rPr>
        <w:t xml:space="preserve">al Recurrente la presente Resolución, </w:t>
      </w:r>
      <w:r w:rsidRPr="009F7EDB">
        <w:rPr>
          <w:rFonts w:eastAsia="Times New Roman" w:cs="Tahoma"/>
          <w:bCs/>
          <w:color w:val="auto"/>
          <w:lang w:val="es-ES" w:eastAsia="es-ES"/>
        </w:rPr>
        <w:t>a través del Sistema de Acceso a la Información Mexiquense (SAIMEX);</w:t>
      </w:r>
      <w:r w:rsidRPr="009F7EDB">
        <w:rPr>
          <w:rFonts w:eastAsia="Times New Roman" w:cs="Tahoma"/>
          <w:bCs/>
          <w:color w:val="auto"/>
          <w:lang w:eastAsia="es-ES"/>
        </w:rPr>
        <w:t xml:space="preserve"> asimismo, se hace de su conocimiento que de conformidad con lo establecido en el artículo 196 de la Ley de Transparencia y Acceso a la Información Pública del Estado de México y Municipios, podrá promover el Municipios, podrá promover el Juicio de Amparo en los términos de las leyes aplicables.</w:t>
      </w:r>
    </w:p>
    <w:p w:rsidRPr="009F7EDB" w:rsidR="00C214B5" w:rsidP="00FD34A8" w:rsidRDefault="00C214B5" w14:paraId="16C738CF" w14:textId="77777777">
      <w:pPr>
        <w:spacing w:after="0" w:line="360" w:lineRule="auto"/>
        <w:contextualSpacing/>
        <w:rPr>
          <w:rFonts w:eastAsia="Times New Roman" w:cs="Tahoma"/>
          <w:color w:val="auto"/>
          <w:lang w:eastAsia="es-ES"/>
        </w:rPr>
      </w:pPr>
    </w:p>
    <w:p w:rsidRPr="009F7EDB" w:rsidR="00C214B5" w:rsidP="00FD34A8" w:rsidRDefault="00C214B5" w14:paraId="73DB2979" w14:textId="77777777">
      <w:pPr>
        <w:spacing w:after="0" w:line="360" w:lineRule="auto"/>
        <w:contextualSpacing/>
      </w:pPr>
      <w:r w:rsidRPr="009F7EDB">
        <w:rPr>
          <w:b/>
          <w:bCs/>
        </w:rPr>
        <w:t>SEXTO.</w:t>
      </w:r>
      <w:r w:rsidRPr="009F7EDB">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rsidRPr="009F7EDB" w:rsidR="00C214B5" w:rsidP="00FD34A8" w:rsidRDefault="00C214B5" w14:paraId="39D303B7" w14:textId="77777777">
      <w:pPr>
        <w:spacing w:after="0" w:line="360" w:lineRule="auto"/>
        <w:ind w:right="-93"/>
        <w:contextualSpacing/>
        <w:rPr>
          <w:rFonts w:eastAsia="Times New Roman" w:cs="Times New Roman"/>
          <w:color w:val="000000"/>
          <w:shd w:val="clear" w:color="auto" w:fill="FFFFFF"/>
          <w:lang w:eastAsia="es-ES"/>
        </w:rPr>
      </w:pPr>
    </w:p>
    <w:p w:rsidRPr="009F7EDB" w:rsidR="00C214B5" w:rsidP="00FD34A8" w:rsidRDefault="00C214B5" w14:paraId="6F424796" w14:textId="77777777">
      <w:pPr>
        <w:spacing w:after="0" w:line="360" w:lineRule="auto"/>
        <w:ind w:right="-93"/>
        <w:contextualSpacing/>
        <w:rPr>
          <w:rFonts w:eastAsia="Calibri" w:cs="Tahoma"/>
          <w:bCs/>
          <w:color w:val="auto"/>
        </w:rPr>
      </w:pPr>
      <w:r w:rsidRPr="009F7EDB">
        <w:rPr>
          <w:rFonts w:eastAsia="Times New Roman" w:cs="Tahoma"/>
          <w:b/>
          <w:color w:val="000000"/>
          <w:lang w:eastAsia="es-ES"/>
        </w:rPr>
        <w:t xml:space="preserve">SÉPTIMO. </w:t>
      </w:r>
      <w:r w:rsidRPr="009F7EDB">
        <w:rPr>
          <w:rFonts w:eastAsia="Calibri" w:cs="Tahoma"/>
          <w:bCs/>
          <w:color w:val="auto"/>
        </w:rPr>
        <w:t xml:space="preserve">Con fundamento en lo dispuesto en los artículos 190 de la </w:t>
      </w:r>
      <w:r w:rsidRPr="009F7EDB">
        <w:rPr>
          <w:rFonts w:eastAsia="Times New Roman" w:cs="Tahoma"/>
          <w:color w:val="auto"/>
          <w:lang w:eastAsia="es-ES"/>
        </w:rPr>
        <w:t xml:space="preserve">Ley de Transparencia y Acceso a la Información Pública del Estado de México y Municipios, gírese </w:t>
      </w:r>
      <w:r w:rsidRPr="009F7EDB">
        <w:rPr>
          <w:rFonts w:eastAsia="Calibri" w:cs="Tahoma"/>
          <w:bCs/>
          <w:color w:val="auto"/>
        </w:rPr>
        <w:t xml:space="preserve">oficio al Contralor Interno y Titular del Órgano de Control y Vigilancia de este Instituto con la finalidad de que actúe en razón de su competencia, en términos de lo dispuesto en el Considerando </w:t>
      </w:r>
      <w:r w:rsidRPr="009F7EDB">
        <w:rPr>
          <w:rFonts w:eastAsia="Calibri" w:cs="Tahoma"/>
          <w:color w:val="auto"/>
        </w:rPr>
        <w:t xml:space="preserve">SÉPTIMO </w:t>
      </w:r>
      <w:r w:rsidRPr="009F7EDB">
        <w:rPr>
          <w:rFonts w:eastAsia="Calibri" w:cs="Tahoma"/>
          <w:bCs/>
          <w:color w:val="auto"/>
        </w:rPr>
        <w:t>de la presente Resolución.</w:t>
      </w:r>
    </w:p>
    <w:p w:rsidRPr="009F7EDB" w:rsidR="00C214B5" w:rsidP="00FD34A8" w:rsidRDefault="00C214B5" w14:paraId="5CC149F7" w14:textId="77777777">
      <w:pPr>
        <w:spacing w:after="0" w:line="360" w:lineRule="auto"/>
        <w:ind w:right="-93"/>
        <w:contextualSpacing/>
        <w:rPr>
          <w:rFonts w:eastAsia="Calibri" w:cs="Tahoma"/>
          <w:bCs/>
          <w:color w:val="auto"/>
        </w:rPr>
      </w:pPr>
    </w:p>
    <w:p w:rsidRPr="004906A4" w:rsidR="00C214B5" w:rsidP="00FD34A8" w:rsidRDefault="00026E02" w14:paraId="7E3F67F6" w14:textId="2E827346">
      <w:pPr>
        <w:spacing w:after="0" w:line="360" w:lineRule="auto"/>
        <w:contextualSpacing/>
      </w:pPr>
      <w:r w:rsidRPr="009F7EDB">
        <w:rPr>
          <w:rFonts w:eastAsia="Calibri" w:cs="Tahoma"/>
          <w:lang w:val="es-ES" w:eastAsia="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QUINCE DE MARZO DE DOS MIL VEINTITRÉS, ANTE EL SECRETARIO TÉCNICO DEL PLENO, ALEXIS TAPIA RAMÍREZ</w:t>
      </w:r>
      <w:r w:rsidRPr="004906A4" w:rsidR="00C214B5">
        <w:br w:type="page"/>
      </w:r>
    </w:p>
    <w:p w:rsidRPr="004906A4" w:rsidR="00C214B5" w:rsidP="00FD34A8" w:rsidRDefault="00C214B5" w14:paraId="61844366" w14:textId="77777777">
      <w:pPr>
        <w:spacing w:after="0" w:line="360" w:lineRule="auto"/>
        <w:contextualSpacing/>
      </w:pPr>
    </w:p>
    <w:p w:rsidRPr="004906A4" w:rsidR="00C214B5" w:rsidP="00FD34A8" w:rsidRDefault="00C214B5" w14:paraId="2A1A83C9" w14:textId="77777777">
      <w:pPr>
        <w:spacing w:after="0" w:line="360" w:lineRule="auto"/>
        <w:contextualSpacing/>
      </w:pPr>
    </w:p>
    <w:p w:rsidRPr="004906A4" w:rsidR="00E434E1" w:rsidP="00FD34A8" w:rsidRDefault="00E434E1" w14:paraId="0DBCC621" w14:textId="77777777">
      <w:pPr>
        <w:spacing w:after="0" w:line="360" w:lineRule="auto"/>
        <w:contextualSpacing/>
      </w:pPr>
    </w:p>
    <w:sectPr w:rsidRPr="004906A4" w:rsidR="00E434E1" w:rsidSect="001963CE">
      <w:headerReference w:type="even" r:id="rId12"/>
      <w:headerReference w:type="default" r:id="rId13"/>
      <w:footerReference w:type="even" r:id="rId14"/>
      <w:footerReference w:type="default" r:id="rId15"/>
      <w:headerReference w:type="first" r:id="rId16"/>
      <w:footerReference w:type="first" r:id="rId17"/>
      <w:pgSz w:w="12240" w:h="15840" w:orient="portrait"/>
      <w:pgMar w:top="1418" w:right="1608" w:bottom="1560"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5B21" w:rsidP="00C214B5" w:rsidRDefault="00C25B21" w14:paraId="5442581A" w14:textId="77777777">
      <w:pPr>
        <w:spacing w:after="0" w:line="240" w:lineRule="auto"/>
      </w:pPr>
      <w:r>
        <w:separator/>
      </w:r>
    </w:p>
  </w:endnote>
  <w:endnote w:type="continuationSeparator" w:id="0">
    <w:p w:rsidR="00C25B21" w:rsidP="00C214B5" w:rsidRDefault="00C25B21" w14:paraId="37B8BB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3CE" w:rsidRDefault="004906A4" w14:paraId="16A48201"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p w:rsidR="001963CE" w:rsidRDefault="009F7EDB" w14:paraId="401C1E7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rsidR="001963CE" w:rsidRDefault="004906A4" w14:paraId="11FD982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23</w:t>
            </w:r>
            <w:r>
              <w:rPr>
                <w:b/>
                <w:bCs/>
                <w:sz w:val="24"/>
                <w:szCs w:val="24"/>
              </w:rPr>
              <w:fldChar w:fldCharType="end"/>
            </w:r>
          </w:p>
        </w:sdtContent>
      </w:sdt>
    </w:sdtContent>
  </w:sdt>
  <w:p w:rsidR="001963CE" w:rsidRDefault="009F7EDB" w14:paraId="48C313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3CE" w:rsidRDefault="004906A4" w14:paraId="71BA404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w:t>
    </w:r>
    <w:r>
      <w:rPr>
        <w:b/>
        <w:bCs/>
        <w:sz w:val="24"/>
        <w:szCs w:val="24"/>
      </w:rPr>
      <w:fldChar w:fldCharType="end"/>
    </w:r>
  </w:p>
  <w:p w:rsidR="001963CE" w:rsidRDefault="009F7EDB" w14:paraId="114200F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5B21" w:rsidP="00C214B5" w:rsidRDefault="00C25B21" w14:paraId="43A22A74" w14:textId="77777777">
      <w:pPr>
        <w:spacing w:after="0" w:line="240" w:lineRule="auto"/>
      </w:pPr>
      <w:r>
        <w:separator/>
      </w:r>
    </w:p>
  </w:footnote>
  <w:footnote w:type="continuationSeparator" w:id="0">
    <w:p w:rsidR="00C25B21" w:rsidP="00C214B5" w:rsidRDefault="00C25B21" w14:paraId="1C13CE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691"/>
      <w:gridCol w:w="3405"/>
    </w:tblGrid>
    <w:tr w:rsidRPr="00E152D8" w:rsidR="001963CE" w:rsidTr="001963CE" w14:paraId="6B0E22C1" w14:textId="77777777">
      <w:trPr>
        <w:trHeight w:val="132"/>
      </w:trPr>
      <w:tc>
        <w:tcPr>
          <w:tcW w:w="2691" w:type="dxa"/>
        </w:tcPr>
        <w:p w:rsidRPr="00E152D8" w:rsidR="001963CE" w:rsidP="001963CE" w:rsidRDefault="004906A4" w14:paraId="121F1400" w14:textId="77777777">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rsidRPr="00EE1572" w:rsidR="001963CE" w:rsidP="001963CE" w:rsidRDefault="004906A4" w14:paraId="4D4F020A" w14:textId="77777777">
          <w:pPr>
            <w:tabs>
              <w:tab w:val="right" w:pos="8838"/>
            </w:tabs>
            <w:ind w:left="-28" w:right="-32"/>
            <w:rPr>
              <w:rFonts w:eastAsia="Calibri" w:cs="Tahoma"/>
            </w:rPr>
          </w:pPr>
          <w:r w:rsidRPr="00EE1572">
            <w:rPr>
              <w:rFonts w:eastAsia="Calibri" w:cs="Tahoma"/>
            </w:rPr>
            <w:t>03846/INFOEM/IP/RR/2020</w:t>
          </w:r>
        </w:p>
      </w:tc>
    </w:tr>
    <w:tr w:rsidRPr="00E152D8" w:rsidR="001963CE" w:rsidTr="001963CE" w14:paraId="463ACE12" w14:textId="77777777">
      <w:trPr>
        <w:trHeight w:val="261"/>
      </w:trPr>
      <w:tc>
        <w:tcPr>
          <w:tcW w:w="2691" w:type="dxa"/>
        </w:tcPr>
        <w:p w:rsidRPr="00E152D8" w:rsidR="001963CE" w:rsidP="001963CE" w:rsidRDefault="004906A4" w14:paraId="18584040"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rsidRPr="00EE1572" w:rsidR="001963CE" w:rsidP="001963CE" w:rsidRDefault="004906A4" w14:paraId="0CA58DBA" w14:textId="77777777">
          <w:pPr>
            <w:tabs>
              <w:tab w:val="right" w:pos="8838"/>
            </w:tabs>
            <w:ind w:right="-32"/>
            <w:rPr>
              <w:rFonts w:eastAsia="Calibri" w:cs="Tahoma"/>
              <w:lang w:val="es-MX"/>
            </w:rPr>
          </w:pPr>
          <w:r>
            <w:rPr>
              <w:rFonts w:eastAsia="Calibri" w:cs="Tahoma"/>
              <w:lang w:val="es-MX"/>
            </w:rPr>
            <w:t>Ayuntamiento de Valle de Chalco Solidaridad</w:t>
          </w:r>
        </w:p>
      </w:tc>
    </w:tr>
    <w:tr w:rsidRPr="00E152D8" w:rsidR="001963CE" w:rsidTr="001963CE" w14:paraId="3BAD0D4F" w14:textId="77777777">
      <w:trPr>
        <w:trHeight w:val="261"/>
      </w:trPr>
      <w:tc>
        <w:tcPr>
          <w:tcW w:w="2691" w:type="dxa"/>
        </w:tcPr>
        <w:p w:rsidRPr="00E152D8" w:rsidR="001963CE" w:rsidP="001963CE" w:rsidRDefault="004906A4" w14:paraId="5900568A" w14:textId="77777777">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rsidRPr="00E152D8" w:rsidR="001963CE" w:rsidP="001963CE" w:rsidRDefault="004906A4" w14:paraId="7D04C957" w14:textId="77777777">
          <w:pPr>
            <w:tabs>
              <w:tab w:val="right" w:pos="8838"/>
            </w:tabs>
            <w:ind w:right="-32"/>
            <w:rPr>
              <w:rFonts w:eastAsia="Calibri" w:cs="Tahoma"/>
              <w:b/>
              <w:lang w:val="es-MX"/>
            </w:rPr>
          </w:pPr>
          <w:r w:rsidRPr="00E152D8">
            <w:rPr>
              <w:rFonts w:eastAsia="Calibri" w:cs="Tahoma"/>
              <w:lang w:val="es-MX"/>
            </w:rPr>
            <w:t>Luis Gustavo Parra Noriega</w:t>
          </w:r>
        </w:p>
      </w:tc>
    </w:tr>
  </w:tbl>
  <w:p w:rsidR="001963CE" w:rsidRDefault="009F7EDB" w14:paraId="78E46F88" w14:textId="77777777">
    <w:pPr>
      <w:pStyle w:val="Encabezado"/>
    </w:pPr>
    <w:r>
      <w:rPr>
        <w:noProof/>
      </w:rPr>
      <w:pict w14:anchorId="3F04DFD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60" style="position:absolute;left:0;text-align:left;margin-left:0;margin-top:0;width:663.5pt;height:12in;z-index:-251659776;mso-wrap-edited:f;mso-position-horizontal:center;mso-position-horizontal-relative:margin;mso-position-vertical:center;mso-position-vertical-relative:margi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552"/>
      <w:gridCol w:w="3544"/>
    </w:tblGrid>
    <w:tr w:rsidRPr="00E152D8" w:rsidR="001963CE" w:rsidTr="001756F2" w14:paraId="0E57FF89" w14:textId="77777777">
      <w:trPr>
        <w:trHeight w:val="138"/>
      </w:trPr>
      <w:tc>
        <w:tcPr>
          <w:tcW w:w="2552" w:type="dxa"/>
          <w:vAlign w:val="center"/>
        </w:tcPr>
        <w:p w:rsidRPr="00E152D8" w:rsidR="001963CE" w:rsidP="001963CE" w:rsidRDefault="004906A4" w14:paraId="490D63A1" w14:textId="77777777">
          <w:pPr>
            <w:tabs>
              <w:tab w:val="right" w:pos="8838"/>
            </w:tabs>
            <w:ind w:right="-105"/>
            <w:jc w:val="left"/>
            <w:rPr>
              <w:rFonts w:eastAsia="Calibri" w:cs="Tahoma"/>
              <w:b/>
              <w:lang w:val="es-MX"/>
            </w:rPr>
          </w:pPr>
          <w:r w:rsidRPr="00E152D8">
            <w:rPr>
              <w:rFonts w:eastAsia="Calibri" w:cs="Tahoma"/>
              <w:b/>
              <w:lang w:val="es-MX"/>
            </w:rPr>
            <w:t>Recurso de Revisión:</w:t>
          </w:r>
        </w:p>
      </w:tc>
      <w:tc>
        <w:tcPr>
          <w:tcW w:w="3544" w:type="dxa"/>
        </w:tcPr>
        <w:p w:rsidRPr="00051642" w:rsidR="001963CE" w:rsidP="001963CE" w:rsidRDefault="00C214B5" w14:paraId="21B3EB56" w14:textId="1F3206B2">
          <w:pPr>
            <w:tabs>
              <w:tab w:val="right" w:pos="8838"/>
            </w:tabs>
            <w:ind w:right="-32"/>
            <w:rPr>
              <w:rFonts w:eastAsia="Calibri" w:cs="Tahoma"/>
            </w:rPr>
          </w:pPr>
          <w:r>
            <w:rPr>
              <w:rFonts w:eastAsia="Calibri" w:cs="Tahoma"/>
              <w:lang w:val="es-MX"/>
            </w:rPr>
            <w:t>00066</w:t>
          </w:r>
          <w:r w:rsidR="004906A4">
            <w:rPr>
              <w:rFonts w:eastAsia="Calibri" w:cs="Tahoma"/>
              <w:lang w:val="es-MX"/>
            </w:rPr>
            <w:t>/INFOEM/IP/RR/202</w:t>
          </w:r>
          <w:r>
            <w:rPr>
              <w:rFonts w:eastAsia="Calibri" w:cs="Tahoma"/>
              <w:lang w:val="es-MX"/>
            </w:rPr>
            <w:t>3</w:t>
          </w:r>
        </w:p>
      </w:tc>
    </w:tr>
    <w:tr w:rsidRPr="00E152D8" w:rsidR="009E6F8A" w:rsidTr="001756F2" w14:paraId="2C91D2C2" w14:textId="77777777">
      <w:trPr>
        <w:trHeight w:val="273"/>
      </w:trPr>
      <w:tc>
        <w:tcPr>
          <w:tcW w:w="2552" w:type="dxa"/>
        </w:tcPr>
        <w:p w:rsidRPr="00E152D8" w:rsidR="009E6F8A" w:rsidP="009E6F8A" w:rsidRDefault="004906A4" w14:paraId="60F2F492"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544" w:type="dxa"/>
        </w:tcPr>
        <w:p w:rsidRPr="00051642" w:rsidR="009E6F8A" w:rsidP="009E6F8A" w:rsidRDefault="004906A4" w14:paraId="639D8205" w14:textId="1103C55E">
          <w:pPr>
            <w:tabs>
              <w:tab w:val="right" w:pos="8838"/>
            </w:tabs>
            <w:ind w:left="-28" w:right="-32"/>
            <w:rPr>
              <w:rFonts w:eastAsia="Calibri" w:cs="Tahoma"/>
              <w:lang w:val="es-MX"/>
            </w:rPr>
          </w:pPr>
          <w:r>
            <w:rPr>
              <w:color w:val="000000"/>
            </w:rPr>
            <w:t xml:space="preserve">Ayuntamiento de </w:t>
          </w:r>
          <w:r w:rsidR="00C214B5">
            <w:rPr>
              <w:color w:val="000000"/>
            </w:rPr>
            <w:t>Tequixquiac</w:t>
          </w:r>
        </w:p>
      </w:tc>
    </w:tr>
    <w:tr w:rsidRPr="00E152D8" w:rsidR="009E6F8A" w:rsidTr="001756F2" w14:paraId="4E45DB86" w14:textId="77777777">
      <w:trPr>
        <w:trHeight w:val="273"/>
      </w:trPr>
      <w:tc>
        <w:tcPr>
          <w:tcW w:w="2552" w:type="dxa"/>
        </w:tcPr>
        <w:p w:rsidRPr="00E152D8" w:rsidR="009E6F8A" w:rsidP="009E6F8A" w:rsidRDefault="004906A4" w14:paraId="714F2741" w14:textId="77777777">
          <w:pPr>
            <w:tabs>
              <w:tab w:val="right" w:pos="8838"/>
            </w:tabs>
            <w:ind w:right="-105"/>
            <w:rPr>
              <w:rFonts w:eastAsia="Calibri" w:cs="Tahoma"/>
              <w:b/>
              <w:lang w:val="es-MX"/>
            </w:rPr>
          </w:pPr>
          <w:r w:rsidRPr="00E152D8">
            <w:rPr>
              <w:rFonts w:eastAsia="Calibri" w:cs="Tahoma"/>
              <w:b/>
              <w:lang w:val="es-MX"/>
            </w:rPr>
            <w:t>Comisionado Ponente:</w:t>
          </w:r>
        </w:p>
      </w:tc>
      <w:tc>
        <w:tcPr>
          <w:tcW w:w="3544" w:type="dxa"/>
        </w:tcPr>
        <w:p w:rsidRPr="00E152D8" w:rsidR="009E6F8A" w:rsidP="009E6F8A" w:rsidRDefault="004906A4" w14:paraId="04A1CD19" w14:textId="77777777">
          <w:pPr>
            <w:tabs>
              <w:tab w:val="right" w:pos="8838"/>
            </w:tabs>
            <w:ind w:left="-28" w:right="-32"/>
            <w:rPr>
              <w:rFonts w:eastAsia="Calibri" w:cs="Tahoma"/>
              <w:b/>
              <w:lang w:val="es-MX"/>
            </w:rPr>
          </w:pPr>
          <w:r w:rsidRPr="00E152D8">
            <w:rPr>
              <w:rFonts w:eastAsia="Calibri" w:cs="Tahoma"/>
              <w:lang w:val="es-MX"/>
            </w:rPr>
            <w:t>Luis Gustavo Parra Noriega</w:t>
          </w:r>
        </w:p>
      </w:tc>
    </w:tr>
  </w:tbl>
  <w:p w:rsidR="001963CE" w:rsidP="001963CE" w:rsidRDefault="009F7EDB" w14:paraId="69037A4B" w14:textId="77777777">
    <w:pPr>
      <w:pStyle w:val="Encabezado"/>
    </w:pPr>
    <w:r>
      <w:rPr>
        <w:noProof/>
      </w:rPr>
      <w:pict w14:anchorId="390C02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61" style="position:absolute;left:0;text-align:left;margin-left:-84.6pt;margin-top:-122.95pt;width:663.5pt;height:12in;z-index:-251658752;mso-wrap-edited:f;mso-position-horizontal-relative:margin;mso-position-vertical-relative:margi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671" w:type="dxa"/>
      <w:tblInd w:w="34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552"/>
      <w:gridCol w:w="3119"/>
    </w:tblGrid>
    <w:tr w:rsidRPr="00E152D8" w:rsidR="001963CE" w:rsidTr="23CFD16B" w14:paraId="438F1220" w14:textId="77777777">
      <w:trPr>
        <w:trHeight w:val="132"/>
      </w:trPr>
      <w:tc>
        <w:tcPr>
          <w:tcW w:w="2552" w:type="dxa"/>
          <w:tcMar/>
        </w:tcPr>
        <w:p w:rsidRPr="00E152D8" w:rsidR="001963CE" w:rsidP="001963CE" w:rsidRDefault="004906A4" w14:paraId="11C753C4" w14:textId="77777777">
          <w:pPr>
            <w:tabs>
              <w:tab w:val="right" w:pos="8838"/>
            </w:tabs>
            <w:ind w:right="-105"/>
            <w:rPr>
              <w:rFonts w:eastAsia="Calibri" w:cs="Tahoma"/>
              <w:b/>
              <w:lang w:val="es-MX"/>
            </w:rPr>
          </w:pPr>
          <w:r>
            <w:rPr>
              <w:rFonts w:eastAsia="Calibri" w:cs="Tahoma"/>
              <w:b/>
              <w:lang w:val="es-MX"/>
            </w:rPr>
            <w:t>R</w:t>
          </w:r>
          <w:r w:rsidRPr="00E152D8">
            <w:rPr>
              <w:rFonts w:eastAsia="Calibri" w:cs="Tahoma"/>
              <w:b/>
              <w:lang w:val="es-MX"/>
            </w:rPr>
            <w:t>ecurso de Revisión:</w:t>
          </w:r>
        </w:p>
      </w:tc>
      <w:tc>
        <w:tcPr>
          <w:tcW w:w="3119" w:type="dxa"/>
          <w:tcMar/>
        </w:tcPr>
        <w:p w:rsidRPr="00051642" w:rsidR="001963CE" w:rsidP="001963CE" w:rsidRDefault="00C214B5" w14:paraId="26E53E2D" w14:textId="40EB6776">
          <w:pPr>
            <w:tabs>
              <w:tab w:val="right" w:pos="8838"/>
            </w:tabs>
            <w:ind w:left="-111" w:right="-32"/>
            <w:rPr>
              <w:rFonts w:eastAsia="Calibri" w:cs="Tahoma"/>
            </w:rPr>
          </w:pPr>
          <w:r>
            <w:rPr>
              <w:rFonts w:eastAsia="Calibri" w:cs="Tahoma"/>
              <w:lang w:val="es-MX"/>
            </w:rPr>
            <w:t>00066</w:t>
          </w:r>
          <w:r w:rsidR="004906A4">
            <w:rPr>
              <w:rFonts w:eastAsia="Calibri" w:cs="Tahoma"/>
              <w:lang w:val="es-MX"/>
            </w:rPr>
            <w:t>/INFOEM/IP/RR/202</w:t>
          </w:r>
          <w:r>
            <w:rPr>
              <w:rFonts w:eastAsia="Calibri" w:cs="Tahoma"/>
              <w:lang w:val="es-MX"/>
            </w:rPr>
            <w:t>3</w:t>
          </w:r>
        </w:p>
      </w:tc>
    </w:tr>
    <w:tr w:rsidRPr="00E152D8" w:rsidR="001963CE" w:rsidTr="23CFD16B" w14:paraId="061FE1E5" w14:textId="77777777">
      <w:trPr>
        <w:trHeight w:val="132"/>
      </w:trPr>
      <w:tc>
        <w:tcPr>
          <w:tcW w:w="2552" w:type="dxa"/>
          <w:tcMar/>
        </w:tcPr>
        <w:p w:rsidRPr="00E152D8" w:rsidR="001963CE" w:rsidP="001963CE" w:rsidRDefault="004906A4" w14:paraId="62B71DEE" w14:textId="77777777">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3119" w:type="dxa"/>
          <w:tcMar/>
        </w:tcPr>
        <w:p w:rsidRPr="00E152D8" w:rsidR="001963CE" w:rsidP="23CFD16B" w:rsidRDefault="00C214B5" w14:paraId="2604182B" w14:textId="4F21B67E">
          <w:pPr>
            <w:tabs>
              <w:tab w:val="right" w:pos="8838"/>
            </w:tabs>
            <w:ind w:left="-111" w:right="-109"/>
            <w:rPr>
              <w:rFonts w:eastAsia="Calibri" w:cs="Tahoma"/>
              <w:highlight w:val="black"/>
              <w:lang w:val="es-MX"/>
            </w:rPr>
          </w:pPr>
          <w:r w:rsidRPr="23CFD16B" w:rsidR="23CFD16B">
            <w:rPr>
              <w:rFonts w:eastAsia="Calibri" w:cs="Tahoma"/>
              <w:highlight w:val="black"/>
              <w:lang w:val="es-MX"/>
            </w:rPr>
            <w:t>XXXXXXXXXXXXXXXXXX</w:t>
          </w:r>
        </w:p>
      </w:tc>
    </w:tr>
    <w:tr w:rsidRPr="00E152D8" w:rsidR="001963CE" w:rsidTr="23CFD16B" w14:paraId="14372212" w14:textId="77777777">
      <w:trPr>
        <w:trHeight w:val="261"/>
      </w:trPr>
      <w:tc>
        <w:tcPr>
          <w:tcW w:w="2552" w:type="dxa"/>
          <w:tcMar/>
        </w:tcPr>
        <w:p w:rsidRPr="00E152D8" w:rsidR="001963CE" w:rsidP="001963CE" w:rsidRDefault="004906A4" w14:paraId="1029D17B" w14:textId="77777777">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119" w:type="dxa"/>
          <w:tcMar/>
        </w:tcPr>
        <w:p w:rsidRPr="00463532" w:rsidR="001963CE" w:rsidP="001963CE" w:rsidRDefault="004906A4" w14:paraId="2F561382" w14:textId="50F5B933">
          <w:pPr>
            <w:tabs>
              <w:tab w:val="right" w:pos="8838"/>
            </w:tabs>
            <w:ind w:left="-111" w:right="-32"/>
            <w:rPr>
              <w:rFonts w:eastAsia="Calibri" w:cs="Tahoma"/>
              <w:lang w:val="es-MX"/>
            </w:rPr>
          </w:pPr>
          <w:r>
            <w:rPr>
              <w:color w:val="000000"/>
            </w:rPr>
            <w:t xml:space="preserve">Ayuntamiento de </w:t>
          </w:r>
          <w:r w:rsidR="00C214B5">
            <w:rPr>
              <w:color w:val="000000"/>
            </w:rPr>
            <w:t>Tequixquiac</w:t>
          </w:r>
        </w:p>
      </w:tc>
    </w:tr>
    <w:tr w:rsidRPr="00E152D8" w:rsidR="001963CE" w:rsidTr="23CFD16B" w14:paraId="37C0F993" w14:textId="77777777">
      <w:trPr>
        <w:trHeight w:val="261"/>
      </w:trPr>
      <w:tc>
        <w:tcPr>
          <w:tcW w:w="2552" w:type="dxa"/>
          <w:tcMar/>
        </w:tcPr>
        <w:p w:rsidRPr="00E152D8" w:rsidR="001963CE" w:rsidP="001963CE" w:rsidRDefault="004906A4" w14:paraId="2222B6BA" w14:textId="77777777">
          <w:pPr>
            <w:tabs>
              <w:tab w:val="right" w:pos="8838"/>
            </w:tabs>
            <w:ind w:right="-105"/>
            <w:rPr>
              <w:rFonts w:eastAsia="Calibri" w:cs="Tahoma"/>
              <w:b/>
              <w:lang w:val="es-MX"/>
            </w:rPr>
          </w:pPr>
          <w:r w:rsidRPr="00E152D8">
            <w:rPr>
              <w:rFonts w:eastAsia="Calibri" w:cs="Tahoma"/>
              <w:b/>
              <w:lang w:val="es-MX"/>
            </w:rPr>
            <w:t>Comisionado Ponente:</w:t>
          </w:r>
        </w:p>
      </w:tc>
      <w:tc>
        <w:tcPr>
          <w:tcW w:w="3119" w:type="dxa"/>
          <w:tcMar/>
        </w:tcPr>
        <w:p w:rsidRPr="00E152D8" w:rsidR="001963CE" w:rsidP="001963CE" w:rsidRDefault="004906A4" w14:paraId="28C8BB2A" w14:textId="77777777">
          <w:pPr>
            <w:tabs>
              <w:tab w:val="right" w:pos="8838"/>
            </w:tabs>
            <w:ind w:left="-111" w:right="-32"/>
            <w:rPr>
              <w:rFonts w:eastAsia="Calibri" w:cs="Tahoma"/>
              <w:b/>
              <w:lang w:val="es-MX"/>
            </w:rPr>
          </w:pPr>
          <w:r w:rsidRPr="00E152D8">
            <w:rPr>
              <w:rFonts w:eastAsia="Calibri" w:cs="Tahoma"/>
              <w:lang w:val="es-MX"/>
            </w:rPr>
            <w:t>Luis Gustavo Parra Noriega</w:t>
          </w:r>
        </w:p>
      </w:tc>
    </w:tr>
  </w:tbl>
  <w:p w:rsidR="001963CE" w:rsidP="001963CE" w:rsidRDefault="009F7EDB" w14:paraId="0133428A" w14:textId="77777777">
    <w:pPr>
      <w:pStyle w:val="Encabezado"/>
      <w:tabs>
        <w:tab w:val="left" w:pos="5812"/>
      </w:tabs>
    </w:pPr>
    <w:r>
      <w:rPr>
        <w:noProof/>
      </w:rPr>
      <w:pict w14:anchorId="1CC379A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99046359" style="position:absolute;left:0;text-align:left;margin-left:-84.3pt;margin-top:-120.95pt;width:663.5pt;height:12in;z-index:-251657728;mso-wrap-edited:f;mso-position-horizontal-relative:margin;mso-position-vertical-relative:margi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6AD9"/>
    <w:multiLevelType w:val="hybridMultilevel"/>
    <w:tmpl w:val="B48265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16cid:durableId="1200169848">
    <w:abstractNumId w:val="1"/>
  </w:num>
  <w:num w:numId="2" w16cid:durableId="2030791031">
    <w:abstractNumId w:val="3"/>
  </w:num>
  <w:num w:numId="3" w16cid:durableId="12305803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3493950">
    <w:abstractNumId w:val="2"/>
  </w:num>
  <w:num w:numId="5" w16cid:durableId="1819808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4B5"/>
    <w:rsid w:val="00026E02"/>
    <w:rsid w:val="00046F84"/>
    <w:rsid w:val="000A1767"/>
    <w:rsid w:val="000D6CD7"/>
    <w:rsid w:val="00172377"/>
    <w:rsid w:val="004906A4"/>
    <w:rsid w:val="00835272"/>
    <w:rsid w:val="008A235C"/>
    <w:rsid w:val="008E3BDC"/>
    <w:rsid w:val="009F7EDB"/>
    <w:rsid w:val="00AF33DC"/>
    <w:rsid w:val="00BF3895"/>
    <w:rsid w:val="00C214B5"/>
    <w:rsid w:val="00C25B21"/>
    <w:rsid w:val="00E434E1"/>
    <w:rsid w:val="00E76E7B"/>
    <w:rsid w:val="00FD34A8"/>
    <w:rsid w:val="00FF3A39"/>
    <w:rsid w:val="23CFD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2C54F"/>
  <w15:chartTrackingRefBased/>
  <w15:docId w15:val="{D1CA0B8A-D083-4C5B-AA28-B2817AAE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214B5"/>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214B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214B5"/>
    <w:rPr>
      <w:rFonts w:ascii="Palatino Linotype" w:hAnsi="Palatino Linotype"/>
      <w:color w:val="000000" w:themeColor="text1"/>
    </w:rPr>
  </w:style>
  <w:style w:type="paragraph" w:styleId="Piedepgina">
    <w:name w:val="footer"/>
    <w:basedOn w:val="Normal"/>
    <w:link w:val="PiedepginaCar"/>
    <w:uiPriority w:val="99"/>
    <w:unhideWhenUsed/>
    <w:rsid w:val="00C214B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214B5"/>
    <w:rPr>
      <w:rFonts w:ascii="Palatino Linotype" w:hAnsi="Palatino Linotype"/>
      <w:color w:val="000000" w:themeColor="text1"/>
    </w:rPr>
  </w:style>
  <w:style w:type="table" w:styleId="Tablaconcuadrcula">
    <w:name w:val="Table Grid"/>
    <w:basedOn w:val="Tablanormal"/>
    <w:uiPriority w:val="39"/>
    <w:qFormat/>
    <w:rsid w:val="00C214B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C214B5"/>
    <w:rPr>
      <w:rFonts w:ascii="Times New Roman" w:hAnsi="Times New Roman" w:cs="Times New Roman"/>
      <w:sz w:val="24"/>
      <w:szCs w:val="24"/>
    </w:rPr>
  </w:style>
  <w:style w:type="character" w:styleId="normaltextrun" w:customStyle="1">
    <w:name w:val="normaltextrun"/>
    <w:basedOn w:val="Fuentedeprrafopredeter"/>
    <w:rsid w:val="00C214B5"/>
  </w:style>
  <w:style w:type="paragraph" w:styleId="paragraph" w:customStyle="1">
    <w:name w:val="paragraph"/>
    <w:basedOn w:val="Normal"/>
    <w:rsid w:val="00C214B5"/>
    <w:pPr>
      <w:spacing w:before="100" w:beforeAutospacing="1" w:after="100" w:afterAutospacing="1" w:line="240" w:lineRule="auto"/>
      <w:jc w:val="left"/>
    </w:pPr>
    <w:rPr>
      <w:rFonts w:ascii="Times New Roman" w:hAnsi="Times New Roman" w:eastAsia="Times New Roman" w:cs="Times New Roman"/>
      <w:color w:val="auto"/>
      <w:sz w:val="24"/>
      <w:szCs w:val="24"/>
      <w:lang w:val="en-US"/>
    </w:rPr>
  </w:style>
  <w:style w:type="character" w:styleId="eop" w:customStyle="1">
    <w:name w:val="eop"/>
    <w:basedOn w:val="Fuentedeprrafopredeter"/>
    <w:rsid w:val="00C214B5"/>
  </w:style>
  <w:style w:type="character" w:styleId="Hipervnculo">
    <w:name w:val="Hyperlink"/>
    <w:basedOn w:val="Fuentedeprrafopredeter"/>
    <w:uiPriority w:val="99"/>
    <w:unhideWhenUsed/>
    <w:rsid w:val="000A1767"/>
    <w:rPr>
      <w:color w:val="0563C1" w:themeColor="hyperlink"/>
      <w:u w:val="single"/>
    </w:rPr>
  </w:style>
  <w:style w:type="character" w:styleId="Mencinsinresolver">
    <w:name w:val="Unresolved Mention"/>
    <w:basedOn w:val="Fuentedeprrafopredeter"/>
    <w:uiPriority w:val="99"/>
    <w:semiHidden/>
    <w:unhideWhenUsed/>
    <w:rsid w:val="000A1767"/>
    <w:rPr>
      <w:color w:val="605E5C"/>
      <w:shd w:val="clear" w:color="auto" w:fill="E1DFDD"/>
    </w:rPr>
  </w:style>
  <w:style w:type="paragraph" w:styleId="Prrafodelista">
    <w:name w:val="List Paragraph"/>
    <w:basedOn w:val="Normal"/>
    <w:uiPriority w:val="34"/>
    <w:qFormat/>
    <w:rsid w:val="00FD34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25471">
      <w:bodyDiv w:val="1"/>
      <w:marLeft w:val="0"/>
      <w:marRight w:val="0"/>
      <w:marTop w:val="0"/>
      <w:marBottom w:val="0"/>
      <w:divBdr>
        <w:top w:val="none" w:sz="0" w:space="0" w:color="auto"/>
        <w:left w:val="none" w:sz="0" w:space="0" w:color="auto"/>
        <w:bottom w:val="none" w:sz="0" w:space="0" w:color="auto"/>
        <w:right w:val="none" w:sz="0" w:space="0" w:color="auto"/>
      </w:divBdr>
    </w:div>
    <w:div w:id="76665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pomex.org.mx/ipo3/lgt/indice/TEQUIXQUIAC/organigramas.web?token=03AFY_a8XqRCc-CN-k8Duk088bHKn33TBla7Mm0K8dPjvGDoqhSZw5qnGv17l08Fg210FzMZ6sseGsX_KwOoHV8Qj_lPS1H14CVzafWu4HGo6ru-xyNROBJRXkPMOd7T4haI4hcQGJusEtDDO2qC0-kxkoUs5wFtmb4jKMRmnyhbuNrH3rYl1dDeW05LBKBeXfnxtIqBaAkwFju8mlQrk0n6mGcrwxlxYZeYvQ4crZ3aC7VGXkXGyMlLnZpFTRobjRDMUwndw4XmUjb6paTqBIolKVPldOKpyd1JXPYywrlfPVRrWq4OrZRLRBWZDLJGLlVskv6s5cmhsNgyPufDjnwcqGettrmlXgBwJGIPZjP1JLnT5ElFNcTvWCTXseC-WACyEctagg3Z8tA56I-pL9JkqR47kXRw4PnxO1KOkewqiHdd4fHKDHR6zWLRbSBbi7Tv8PxmXhk50OTq7rWFKYTjTm1r9nCxjWzfJp2ghcb3GzYb0YCAFKUDiP1pwrINq-vlkx_ZTelp5oscgcfP_V4OaWx9hu_z3hbg" TargetMode="Externa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5907f15c8d384e25"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539611-9a16-47b3-b8c4-a2f76e2730dc}"/>
      </w:docPartPr>
      <w:docPartBody>
        <w:p w14:paraId="38C153D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IVAN PEÑA VARA</dc:creator>
  <keywords/>
  <dc:description/>
  <lastModifiedBy>Denisse Eduarte</lastModifiedBy>
  <revision>6</revision>
  <dcterms:created xsi:type="dcterms:W3CDTF">2023-03-08T02:16:00.0000000Z</dcterms:created>
  <dcterms:modified xsi:type="dcterms:W3CDTF">2023-04-14T17:56:10.9808236Z</dcterms:modified>
</coreProperties>
</file>