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860DB8" w:rsidR="00643CB5" w:rsidP="00057880" w:rsidRDefault="00643CB5" w14:paraId="3428A9F2" w14:textId="4508C371">
      <w:pPr>
        <w:tabs>
          <w:tab w:val="left" w:pos="8931"/>
        </w:tabs>
        <w:spacing w:after="0" w:line="360" w:lineRule="auto"/>
        <w:contextualSpacing/>
        <w:rPr>
          <w:rFonts w:eastAsia="Calibri" w:cs="Tahoma"/>
          <w:lang w:val="es-ES"/>
        </w:rPr>
      </w:pPr>
      <w:r w:rsidRPr="00860DB8">
        <w:rPr>
          <w:rFonts w:cs="Tahoma"/>
          <w:bCs/>
        </w:rPr>
        <w:t xml:space="preserve">Resolución del Pleno del Instituto de Transparencia, Acceso a la Información Pública y Protección de Datos Personales del Estado de México y Municipios, con domicilio en Metepec, </w:t>
      </w:r>
      <w:r w:rsidRPr="00860DB8">
        <w:rPr>
          <w:rFonts w:eastAsia="Calibri" w:cs="Tahoma"/>
          <w:lang w:val="es-ES"/>
        </w:rPr>
        <w:t xml:space="preserve">Estado de México, de fecha </w:t>
      </w:r>
      <w:r w:rsidRPr="00860DB8" w:rsidR="00A92383">
        <w:rPr>
          <w:rFonts w:eastAsia="Calibri" w:cs="Tahoma"/>
          <w:lang w:val="es-ES"/>
        </w:rPr>
        <w:t>nueve de febrero</w:t>
      </w:r>
      <w:r w:rsidRPr="00860DB8">
        <w:rPr>
          <w:rFonts w:eastAsia="Calibri" w:cs="Tahoma"/>
          <w:lang w:val="es-ES"/>
        </w:rPr>
        <w:t xml:space="preserve"> de dos mil veinti</w:t>
      </w:r>
      <w:r w:rsidRPr="00860DB8" w:rsidR="00A92383">
        <w:rPr>
          <w:rFonts w:eastAsia="Calibri" w:cs="Tahoma"/>
          <w:lang w:val="es-ES"/>
        </w:rPr>
        <w:t>tré</w:t>
      </w:r>
      <w:r w:rsidRPr="00860DB8">
        <w:rPr>
          <w:rFonts w:eastAsia="Calibri" w:cs="Tahoma"/>
          <w:lang w:val="es-ES"/>
        </w:rPr>
        <w:t xml:space="preserve">s. </w:t>
      </w:r>
    </w:p>
    <w:p w:rsidRPr="00860DB8" w:rsidR="00643CB5" w:rsidP="00057880" w:rsidRDefault="00643CB5" w14:paraId="170C7C76" w14:textId="77777777">
      <w:pPr>
        <w:spacing w:after="0" w:line="360" w:lineRule="auto"/>
        <w:contextualSpacing/>
        <w:rPr>
          <w:rFonts w:eastAsia="Calibri" w:cs="Tahoma"/>
          <w:lang w:val="es-ES"/>
        </w:rPr>
      </w:pPr>
    </w:p>
    <w:p w:rsidRPr="00860DB8" w:rsidR="00643CB5" w:rsidP="00057880" w:rsidRDefault="00643CB5" w14:paraId="550F82A6" w14:textId="2C96D8E0">
      <w:pPr>
        <w:tabs>
          <w:tab w:val="right" w:pos="8838"/>
        </w:tabs>
        <w:spacing w:after="0" w:line="360" w:lineRule="auto"/>
        <w:contextualSpacing/>
        <w:rPr>
          <w:color w:val="000000"/>
        </w:rPr>
      </w:pPr>
      <w:r w:rsidRPr="46148810" w:rsidR="46148810">
        <w:rPr>
          <w:rFonts w:eastAsia="Calibri" w:cs="Tahoma"/>
          <w:b w:val="1"/>
          <w:bCs w:val="1"/>
          <w:lang w:val="es-ES"/>
        </w:rPr>
        <w:t xml:space="preserve">VISTO </w:t>
      </w:r>
      <w:r w:rsidRPr="46148810" w:rsidR="46148810">
        <w:rPr>
          <w:rFonts w:eastAsia="Calibri" w:cs="Tahoma"/>
          <w:lang w:val="es-ES"/>
        </w:rPr>
        <w:t xml:space="preserve">el expediente conformado con motivo de los Recursos de Revisión </w:t>
      </w:r>
      <w:r w:rsidRPr="46148810" w:rsidR="46148810">
        <w:rPr>
          <w:rFonts w:eastAsia="Calibri" w:cs="Tahoma"/>
        </w:rPr>
        <w:t xml:space="preserve">15701/INFOEM/IP/RR/2022 y 16249/INFOEM/IP/RR/2022, interpuestos por </w:t>
      </w:r>
      <w:r w:rsidRPr="46148810" w:rsidR="46148810">
        <w:rPr>
          <w:rFonts w:eastAsia="Calibri" w:cs="Tahoma"/>
          <w:highlight w:val="black"/>
          <w:lang w:val="es-ES"/>
        </w:rPr>
        <w:t>XXXXXXXX</w:t>
      </w:r>
      <w:r w:rsidRPr="46148810" w:rsidR="46148810">
        <w:rPr>
          <w:rFonts w:eastAsia="Calibri" w:cs="Tahoma"/>
        </w:rPr>
        <w:t xml:space="preserve"> en lo sucesivo,</w:t>
      </w:r>
      <w:r w:rsidRPr="46148810" w:rsidR="46148810">
        <w:rPr>
          <w:rFonts w:cs="Tahoma"/>
          <w:color w:val="0D0D0D" w:themeColor="text1" w:themeTint="F2" w:themeShade="FF"/>
        </w:rPr>
        <w:t xml:space="preserve"> Recurrente o Particular, en contra de la respuesta del Sujeto Obligado, </w:t>
      </w:r>
      <w:r w:rsidRPr="46148810" w:rsidR="46148810">
        <w:rPr>
          <w:color w:val="000000" w:themeColor="text1" w:themeTint="FF" w:themeShade="FF"/>
        </w:rPr>
        <w:t xml:space="preserve">Ayuntamiento de </w:t>
      </w:r>
      <w:r w:rsidRPr="46148810" w:rsidR="46148810">
        <w:rPr>
          <w:color w:val="000000" w:themeColor="text1" w:themeTint="FF" w:themeShade="FF"/>
        </w:rPr>
        <w:t>Jilotzingo</w:t>
      </w:r>
      <w:r w:rsidRPr="46148810" w:rsidR="46148810">
        <w:rPr>
          <w:rFonts w:cs="Tahoma"/>
          <w:color w:val="0D0D0D" w:themeColor="text1" w:themeTint="F2" w:themeShade="FF"/>
        </w:rPr>
        <w:t>, a las solicitudes de acceso a la información pública</w:t>
      </w:r>
      <w:r w:rsidRPr="46148810" w:rsidR="46148810">
        <w:rPr>
          <w:b w:val="1"/>
          <w:bCs w:val="1"/>
          <w:color w:val="FF0000"/>
        </w:rPr>
        <w:t> </w:t>
      </w:r>
      <w:r w:rsidR="46148810">
        <w:rPr/>
        <w:t>00119/JILOTZIN/IP/2022 y 00125/JILOTZIN/IP/2022</w:t>
      </w:r>
      <w:r w:rsidRPr="46148810" w:rsidR="46148810">
        <w:rPr>
          <w:rFonts w:cs="Tahoma"/>
        </w:rPr>
        <w:t>,</w:t>
      </w:r>
      <w:r w:rsidRPr="46148810" w:rsidR="46148810">
        <w:rPr>
          <w:rFonts w:cs="Tahoma"/>
          <w:color w:val="0D0D0D" w:themeColor="text1" w:themeTint="F2" w:themeShade="FF"/>
        </w:rPr>
        <w:t xml:space="preserve"> se emite la presente Resolución, con base en los Antecedentes y Considerandos que se exponen a continuación:</w:t>
      </w:r>
    </w:p>
    <w:p w:rsidRPr="00860DB8" w:rsidR="00643CB5" w:rsidP="00057880" w:rsidRDefault="00643CB5" w14:paraId="4F13F498" w14:textId="77777777">
      <w:pPr>
        <w:spacing w:after="0" w:line="360" w:lineRule="auto"/>
        <w:contextualSpacing/>
        <w:jc w:val="center"/>
        <w:rPr>
          <w:rFonts w:eastAsia="Calibri" w:cs="Tahoma"/>
          <w:b/>
          <w:bCs/>
          <w:lang w:val="es-ES"/>
        </w:rPr>
      </w:pPr>
    </w:p>
    <w:p w:rsidRPr="00860DB8" w:rsidR="00643CB5" w:rsidP="00057880" w:rsidRDefault="00643CB5" w14:paraId="4B9B4056" w14:textId="77777777">
      <w:pPr>
        <w:spacing w:after="0" w:line="360" w:lineRule="auto"/>
        <w:contextualSpacing/>
        <w:jc w:val="center"/>
        <w:rPr>
          <w:rFonts w:eastAsia="Calibri" w:cs="Tahoma"/>
          <w:b/>
          <w:bCs/>
          <w:lang w:val="es-ES"/>
        </w:rPr>
      </w:pPr>
      <w:r w:rsidRPr="00860DB8">
        <w:rPr>
          <w:rFonts w:eastAsia="Calibri" w:cs="Tahoma"/>
          <w:b/>
          <w:bCs/>
          <w:lang w:val="es-ES"/>
        </w:rPr>
        <w:t>A N T E C E D E N T E S:</w:t>
      </w:r>
    </w:p>
    <w:p w:rsidRPr="00860DB8" w:rsidR="00643CB5" w:rsidP="00057880" w:rsidRDefault="00643CB5" w14:paraId="1E000A45" w14:textId="77777777">
      <w:pPr>
        <w:spacing w:after="0" w:line="360" w:lineRule="auto"/>
        <w:contextualSpacing/>
        <w:jc w:val="center"/>
        <w:rPr>
          <w:lang w:val="es-ES"/>
        </w:rPr>
      </w:pPr>
    </w:p>
    <w:p w:rsidRPr="00860DB8" w:rsidR="00643CB5" w:rsidP="00057880" w:rsidRDefault="00643CB5" w14:paraId="0296C98B" w14:textId="77777777">
      <w:pPr>
        <w:spacing w:after="0" w:line="360" w:lineRule="auto"/>
        <w:contextualSpacing/>
        <w:rPr>
          <w:rFonts w:eastAsia="Calibri" w:cs="Tahoma"/>
          <w:b/>
          <w:bCs/>
          <w:lang w:val="es-ES"/>
        </w:rPr>
      </w:pPr>
      <w:r w:rsidRPr="00860DB8">
        <w:rPr>
          <w:rFonts w:eastAsia="Calibri" w:cs="Tahoma"/>
          <w:b/>
          <w:bCs/>
          <w:lang w:val="es-ES"/>
        </w:rPr>
        <w:t>I. Presentación de la solicitud de información.</w:t>
      </w:r>
    </w:p>
    <w:p w:rsidRPr="00860DB8" w:rsidR="00643CB5" w:rsidP="00057880" w:rsidRDefault="00643CB5" w14:paraId="6DBE901E" w14:textId="77777777">
      <w:pPr>
        <w:spacing w:after="0" w:line="360" w:lineRule="auto"/>
        <w:contextualSpacing/>
        <w:rPr>
          <w:rFonts w:eastAsia="Calibri" w:cs="Tahoma"/>
          <w:b/>
          <w:bCs/>
          <w:lang w:val="es-ES"/>
        </w:rPr>
      </w:pPr>
    </w:p>
    <w:p w:rsidRPr="00860DB8" w:rsidR="00643CB5" w:rsidP="00057880" w:rsidRDefault="00643CB5" w14:paraId="42ABB8B3" w14:textId="7ED1A032">
      <w:pPr>
        <w:tabs>
          <w:tab w:val="right" w:pos="8838"/>
        </w:tabs>
        <w:spacing w:after="0" w:line="360" w:lineRule="auto"/>
        <w:contextualSpacing/>
        <w:rPr>
          <w:rFonts w:eastAsia="Calibri" w:cs="Tahoma"/>
          <w:bCs/>
          <w:lang w:val="es-ES"/>
        </w:rPr>
      </w:pPr>
      <w:r w:rsidRPr="00860DB8">
        <w:rPr>
          <w:rFonts w:eastAsia="Calibri" w:cs="Tahoma"/>
          <w:bCs/>
          <w:lang w:val="es-ES"/>
        </w:rPr>
        <w:t xml:space="preserve">Con fechas </w:t>
      </w:r>
      <w:r w:rsidRPr="00860DB8" w:rsidR="00A92383">
        <w:rPr>
          <w:rFonts w:eastAsia="Calibri" w:cs="Tahoma"/>
          <w:bCs/>
          <w:lang w:val="es-ES"/>
        </w:rPr>
        <w:t>veinte de septiembre y diez de octubre</w:t>
      </w:r>
      <w:r w:rsidRPr="00860DB8">
        <w:rPr>
          <w:rFonts w:eastAsia="Calibri" w:cs="Tahoma"/>
          <w:bCs/>
          <w:lang w:val="es-ES"/>
        </w:rPr>
        <w:t xml:space="preserve"> de dos mil veintidós, se presentaron dos solicitudes de información del Particular, a través del Sistema de Acceso a la Información Mexiquense (SAIMEX), ante el Ayuntamiento de </w:t>
      </w:r>
      <w:proofErr w:type="spellStart"/>
      <w:r w:rsidRPr="00860DB8" w:rsidR="00A92383">
        <w:rPr>
          <w:rFonts w:eastAsia="Calibri" w:cs="Tahoma"/>
          <w:bCs/>
          <w:lang w:val="es-ES"/>
        </w:rPr>
        <w:t>Jilotzing</w:t>
      </w:r>
      <w:r w:rsidRPr="00860DB8">
        <w:rPr>
          <w:rFonts w:eastAsia="Calibri" w:cs="Tahoma"/>
          <w:bCs/>
          <w:lang w:val="es-ES"/>
        </w:rPr>
        <w:t>o</w:t>
      </w:r>
      <w:proofErr w:type="spellEnd"/>
      <w:r w:rsidRPr="00860DB8">
        <w:rPr>
          <w:rFonts w:eastAsia="Calibri" w:cs="Tahoma"/>
          <w:bCs/>
          <w:lang w:val="es-ES"/>
        </w:rPr>
        <w:t>, en los siguientes términos:</w:t>
      </w:r>
    </w:p>
    <w:p w:rsidRPr="00860DB8" w:rsidR="00643CB5" w:rsidP="00057880" w:rsidRDefault="00643CB5" w14:paraId="50D987DD" w14:textId="77777777">
      <w:pPr>
        <w:tabs>
          <w:tab w:val="right" w:pos="8838"/>
        </w:tabs>
        <w:spacing w:after="0" w:line="360" w:lineRule="auto"/>
        <w:contextualSpacing/>
        <w:rPr>
          <w:b/>
          <w:bCs/>
          <w:color w:val="auto"/>
        </w:rPr>
      </w:pPr>
    </w:p>
    <w:p w:rsidRPr="00860DB8" w:rsidR="00643CB5" w:rsidP="00057880" w:rsidRDefault="00643CB5" w14:paraId="443E0526" w14:textId="1701D59E">
      <w:pPr>
        <w:tabs>
          <w:tab w:val="left" w:pos="4667"/>
        </w:tabs>
        <w:spacing w:after="0" w:line="360" w:lineRule="auto"/>
        <w:ind w:left="567" w:right="567"/>
        <w:contextualSpacing/>
        <w:jc w:val="left"/>
        <w:rPr>
          <w:b/>
          <w:bCs/>
          <w:i/>
          <w:iCs/>
          <w:color w:val="auto"/>
          <w:sz w:val="20"/>
          <w:szCs w:val="20"/>
        </w:rPr>
      </w:pPr>
      <w:r w:rsidRPr="00860DB8">
        <w:rPr>
          <w:b/>
          <w:bCs/>
          <w:i/>
          <w:iCs/>
          <w:color w:val="auto"/>
          <w:sz w:val="20"/>
          <w:szCs w:val="20"/>
        </w:rPr>
        <w:t xml:space="preserve">SOLICITUD </w:t>
      </w:r>
      <w:r w:rsidRPr="00860DB8" w:rsidR="00A92383">
        <w:rPr>
          <w:b/>
          <w:bCs/>
          <w:i/>
          <w:iCs/>
          <w:sz w:val="20"/>
          <w:szCs w:val="20"/>
        </w:rPr>
        <w:t>00119/JILOTZIN/IP/2022</w:t>
      </w:r>
    </w:p>
    <w:p w:rsidRPr="00860DB8" w:rsidR="00643CB5" w:rsidP="00057880" w:rsidRDefault="00643CB5" w14:paraId="1A5850CF" w14:textId="77777777">
      <w:pPr>
        <w:tabs>
          <w:tab w:val="left" w:pos="4667"/>
        </w:tabs>
        <w:spacing w:after="0" w:line="360" w:lineRule="auto"/>
        <w:ind w:left="567" w:right="567"/>
        <w:contextualSpacing/>
        <w:rPr>
          <w:rFonts w:cs="Tahoma"/>
          <w:b/>
          <w:bCs/>
          <w:i/>
          <w:iCs/>
          <w:sz w:val="20"/>
          <w:szCs w:val="20"/>
        </w:rPr>
      </w:pPr>
      <w:r w:rsidRPr="00860DB8">
        <w:rPr>
          <w:rFonts w:cs="Tahoma"/>
          <w:b/>
          <w:bCs/>
          <w:i/>
          <w:iCs/>
          <w:sz w:val="20"/>
          <w:szCs w:val="20"/>
        </w:rPr>
        <w:t>“DESCRIPCIÓN CLARA Y PRECISA DE LA INFORMACIÓN SOLICITADA</w:t>
      </w:r>
    </w:p>
    <w:p w:rsidRPr="00860DB8" w:rsidR="00643CB5" w:rsidP="00057880" w:rsidRDefault="00A92383" w14:paraId="4920CC0C" w14:textId="6CFACAE4">
      <w:pPr>
        <w:spacing w:after="0" w:line="360" w:lineRule="auto"/>
        <w:ind w:left="567" w:right="567"/>
        <w:contextualSpacing/>
        <w:rPr>
          <w:rFonts w:eastAsia="Times New Roman" w:cs="Arial"/>
          <w:bCs/>
          <w:i/>
          <w:iCs/>
          <w:sz w:val="20"/>
          <w:szCs w:val="20"/>
          <w:lang w:eastAsia="es-ES"/>
        </w:rPr>
      </w:pPr>
      <w:proofErr w:type="gramStart"/>
      <w:r w:rsidRPr="00860DB8">
        <w:rPr>
          <w:i/>
          <w:iCs/>
          <w:color w:val="000000"/>
          <w:sz w:val="20"/>
          <w:szCs w:val="20"/>
        </w:rPr>
        <w:t>se</w:t>
      </w:r>
      <w:proofErr w:type="gramEnd"/>
      <w:r w:rsidRPr="00860DB8">
        <w:rPr>
          <w:i/>
          <w:iCs/>
          <w:color w:val="000000"/>
          <w:sz w:val="20"/>
          <w:szCs w:val="20"/>
        </w:rPr>
        <w:t xml:space="preserve"> solicitan recibos de nomina con firma de la presidenta Evelin Mayen </w:t>
      </w:r>
      <w:proofErr w:type="spellStart"/>
      <w:r w:rsidRPr="00860DB8">
        <w:rPr>
          <w:i/>
          <w:iCs/>
          <w:color w:val="000000"/>
          <w:sz w:val="20"/>
          <w:szCs w:val="20"/>
        </w:rPr>
        <w:t>Gonzalez</w:t>
      </w:r>
      <w:proofErr w:type="spellEnd"/>
      <w:r w:rsidRPr="00860DB8">
        <w:rPr>
          <w:i/>
          <w:iCs/>
          <w:color w:val="000000"/>
          <w:sz w:val="20"/>
          <w:szCs w:val="20"/>
        </w:rPr>
        <w:t xml:space="preserve"> de julio de 2021 a diciembre 31 de 2021 con firma de recibidos por la anterior presidente municipal</w:t>
      </w:r>
      <w:r w:rsidRPr="00860DB8" w:rsidR="00643CB5">
        <w:rPr>
          <w:i/>
          <w:iCs/>
          <w:color w:val="000000"/>
          <w:sz w:val="20"/>
          <w:szCs w:val="20"/>
        </w:rPr>
        <w:t>.</w:t>
      </w:r>
      <w:r w:rsidRPr="00860DB8" w:rsidR="00643CB5">
        <w:rPr>
          <w:rFonts w:eastAsia="Times New Roman" w:cs="Arial"/>
          <w:bCs/>
          <w:i/>
          <w:iCs/>
          <w:sz w:val="20"/>
          <w:szCs w:val="20"/>
          <w:lang w:eastAsia="es-ES"/>
        </w:rPr>
        <w:t>” (Sic)</w:t>
      </w:r>
    </w:p>
    <w:p w:rsidRPr="00860DB8" w:rsidR="00643CB5" w:rsidP="00057880" w:rsidRDefault="00643CB5" w14:paraId="0A40C0B4" w14:textId="77777777">
      <w:pPr>
        <w:spacing w:after="0" w:line="360" w:lineRule="auto"/>
        <w:ind w:left="567" w:right="567"/>
        <w:contextualSpacing/>
        <w:rPr>
          <w:rFonts w:eastAsia="Times New Roman" w:cs="Arial"/>
          <w:bCs/>
          <w:i/>
          <w:iCs/>
          <w:sz w:val="20"/>
          <w:szCs w:val="20"/>
          <w:lang w:eastAsia="es-ES"/>
        </w:rPr>
      </w:pPr>
    </w:p>
    <w:p w:rsidRPr="00860DB8" w:rsidR="00643CB5" w:rsidP="00057880" w:rsidRDefault="00A92383" w14:paraId="712D72C8" w14:textId="421232D0">
      <w:pPr>
        <w:tabs>
          <w:tab w:val="left" w:pos="4667"/>
        </w:tabs>
        <w:spacing w:after="0" w:line="360" w:lineRule="auto"/>
        <w:ind w:left="567" w:right="567"/>
        <w:contextualSpacing/>
        <w:jc w:val="left"/>
        <w:rPr>
          <w:b/>
          <w:bCs/>
          <w:i/>
          <w:iCs/>
          <w:color w:val="auto"/>
          <w:sz w:val="20"/>
          <w:szCs w:val="20"/>
        </w:rPr>
      </w:pPr>
      <w:r w:rsidRPr="00860DB8">
        <w:rPr>
          <w:b/>
          <w:bCs/>
          <w:i/>
          <w:iCs/>
          <w:color w:val="auto"/>
          <w:sz w:val="20"/>
          <w:szCs w:val="20"/>
        </w:rPr>
        <w:t xml:space="preserve">SOLICITUD </w:t>
      </w:r>
      <w:r w:rsidRPr="00860DB8">
        <w:rPr>
          <w:b/>
          <w:bCs/>
          <w:i/>
          <w:iCs/>
          <w:sz w:val="20"/>
          <w:szCs w:val="20"/>
        </w:rPr>
        <w:t>00125/JILOTZIN/IP/2022</w:t>
      </w:r>
    </w:p>
    <w:p w:rsidRPr="00860DB8" w:rsidR="00643CB5" w:rsidP="00057880" w:rsidRDefault="00643CB5" w14:paraId="7799681A" w14:textId="77777777">
      <w:pPr>
        <w:tabs>
          <w:tab w:val="left" w:pos="4667"/>
        </w:tabs>
        <w:spacing w:after="0" w:line="360" w:lineRule="auto"/>
        <w:ind w:left="567" w:right="567"/>
        <w:contextualSpacing/>
        <w:rPr>
          <w:rFonts w:cs="Tahoma"/>
          <w:b/>
          <w:bCs/>
          <w:i/>
          <w:iCs/>
          <w:sz w:val="20"/>
          <w:szCs w:val="20"/>
        </w:rPr>
      </w:pPr>
      <w:r w:rsidRPr="00860DB8">
        <w:rPr>
          <w:rFonts w:cs="Tahoma"/>
          <w:b/>
          <w:bCs/>
          <w:i/>
          <w:iCs/>
          <w:sz w:val="20"/>
          <w:szCs w:val="20"/>
        </w:rPr>
        <w:t>“DESCRIPCIÓN CLARA Y PRECISA DE LA INFORMACIÓN SOLICITADA</w:t>
      </w:r>
    </w:p>
    <w:p w:rsidRPr="00860DB8" w:rsidR="00643CB5" w:rsidP="00057880" w:rsidRDefault="00A92383" w14:paraId="533B9A9D" w14:textId="194D1382">
      <w:pPr>
        <w:spacing w:after="0" w:line="360" w:lineRule="auto"/>
        <w:ind w:left="567" w:right="567"/>
        <w:contextualSpacing/>
        <w:rPr>
          <w:rFonts w:eastAsia="Times New Roman" w:cs="Times New Roman"/>
          <w:i/>
          <w:iCs/>
          <w:color w:val="auto"/>
          <w:sz w:val="20"/>
          <w:szCs w:val="20"/>
          <w:lang w:eastAsia="es-MX"/>
        </w:rPr>
      </w:pPr>
      <w:proofErr w:type="gramStart"/>
      <w:r w:rsidRPr="00860DB8">
        <w:rPr>
          <w:i/>
          <w:iCs/>
          <w:color w:val="000000"/>
          <w:sz w:val="20"/>
          <w:szCs w:val="20"/>
        </w:rPr>
        <w:lastRenderedPageBreak/>
        <w:t>solicito</w:t>
      </w:r>
      <w:proofErr w:type="gramEnd"/>
      <w:r w:rsidRPr="00860DB8">
        <w:rPr>
          <w:i/>
          <w:iCs/>
          <w:color w:val="000000"/>
          <w:sz w:val="20"/>
          <w:szCs w:val="20"/>
        </w:rPr>
        <w:t xml:space="preserve"> copia simple </w:t>
      </w:r>
      <w:proofErr w:type="spellStart"/>
      <w:r w:rsidRPr="00860DB8">
        <w:rPr>
          <w:i/>
          <w:iCs/>
          <w:color w:val="000000"/>
          <w:sz w:val="20"/>
          <w:szCs w:val="20"/>
        </w:rPr>
        <w:t>via</w:t>
      </w:r>
      <w:proofErr w:type="spellEnd"/>
      <w:r w:rsidRPr="00860DB8">
        <w:rPr>
          <w:i/>
          <w:iCs/>
          <w:color w:val="000000"/>
          <w:sz w:val="20"/>
          <w:szCs w:val="20"/>
        </w:rPr>
        <w:t xml:space="preserve"> </w:t>
      </w:r>
      <w:proofErr w:type="spellStart"/>
      <w:r w:rsidRPr="00860DB8">
        <w:rPr>
          <w:i/>
          <w:iCs/>
          <w:color w:val="000000"/>
          <w:sz w:val="20"/>
          <w:szCs w:val="20"/>
        </w:rPr>
        <w:t>saimex</w:t>
      </w:r>
      <w:proofErr w:type="spellEnd"/>
      <w:r w:rsidRPr="00860DB8">
        <w:rPr>
          <w:i/>
          <w:iCs/>
          <w:color w:val="000000"/>
          <w:sz w:val="20"/>
          <w:szCs w:val="20"/>
        </w:rPr>
        <w:t xml:space="preserve"> de todos los recibos de </w:t>
      </w:r>
      <w:proofErr w:type="spellStart"/>
      <w:r w:rsidRPr="00860DB8">
        <w:rPr>
          <w:i/>
          <w:iCs/>
          <w:color w:val="000000"/>
          <w:sz w:val="20"/>
          <w:szCs w:val="20"/>
        </w:rPr>
        <w:t>nomina</w:t>
      </w:r>
      <w:proofErr w:type="spellEnd"/>
      <w:r w:rsidRPr="00860DB8">
        <w:rPr>
          <w:i/>
          <w:iCs/>
          <w:color w:val="000000"/>
          <w:sz w:val="20"/>
          <w:szCs w:val="20"/>
        </w:rPr>
        <w:t xml:space="preserve"> del presidente municipal, sindico y regidores , </w:t>
      </w:r>
      <w:proofErr w:type="spellStart"/>
      <w:r w:rsidRPr="00860DB8">
        <w:rPr>
          <w:i/>
          <w:iCs/>
          <w:color w:val="000000"/>
          <w:sz w:val="20"/>
          <w:szCs w:val="20"/>
        </w:rPr>
        <w:t>asi</w:t>
      </w:r>
      <w:proofErr w:type="spellEnd"/>
      <w:r w:rsidRPr="00860DB8">
        <w:rPr>
          <w:i/>
          <w:iCs/>
          <w:color w:val="000000"/>
          <w:sz w:val="20"/>
          <w:szCs w:val="20"/>
        </w:rPr>
        <w:t xml:space="preserve"> como documento de </w:t>
      </w:r>
      <w:proofErr w:type="spellStart"/>
      <w:r w:rsidRPr="00860DB8">
        <w:rPr>
          <w:i/>
          <w:iCs/>
          <w:color w:val="000000"/>
          <w:sz w:val="20"/>
          <w:szCs w:val="20"/>
        </w:rPr>
        <w:t>dispersion</w:t>
      </w:r>
      <w:proofErr w:type="spellEnd"/>
      <w:r w:rsidRPr="00860DB8">
        <w:rPr>
          <w:i/>
          <w:iCs/>
          <w:color w:val="000000"/>
          <w:sz w:val="20"/>
          <w:szCs w:val="20"/>
        </w:rPr>
        <w:t xml:space="preserve"> de </w:t>
      </w:r>
      <w:proofErr w:type="spellStart"/>
      <w:r w:rsidRPr="00860DB8">
        <w:rPr>
          <w:i/>
          <w:iCs/>
          <w:color w:val="000000"/>
          <w:sz w:val="20"/>
          <w:szCs w:val="20"/>
        </w:rPr>
        <w:t>nomina</w:t>
      </w:r>
      <w:proofErr w:type="spellEnd"/>
      <w:r w:rsidRPr="00860DB8">
        <w:rPr>
          <w:i/>
          <w:iCs/>
          <w:color w:val="000000"/>
          <w:sz w:val="20"/>
          <w:szCs w:val="20"/>
        </w:rPr>
        <w:t xml:space="preserve"> de la </w:t>
      </w:r>
      <w:proofErr w:type="spellStart"/>
      <w:r w:rsidRPr="00860DB8">
        <w:rPr>
          <w:i/>
          <w:iCs/>
          <w:color w:val="000000"/>
          <w:sz w:val="20"/>
          <w:szCs w:val="20"/>
        </w:rPr>
        <w:t>tesoreria</w:t>
      </w:r>
      <w:proofErr w:type="spellEnd"/>
      <w:r w:rsidRPr="00860DB8">
        <w:rPr>
          <w:i/>
          <w:iCs/>
          <w:color w:val="000000"/>
          <w:sz w:val="20"/>
          <w:szCs w:val="20"/>
        </w:rPr>
        <w:t xml:space="preserve"> </w:t>
      </w:r>
      <w:proofErr w:type="spellStart"/>
      <w:r w:rsidRPr="00860DB8">
        <w:rPr>
          <w:i/>
          <w:iCs/>
          <w:color w:val="000000"/>
          <w:sz w:val="20"/>
          <w:szCs w:val="20"/>
        </w:rPr>
        <w:t>muncipal</w:t>
      </w:r>
      <w:proofErr w:type="spellEnd"/>
      <w:r w:rsidRPr="00860DB8">
        <w:rPr>
          <w:i/>
          <w:iCs/>
          <w:color w:val="000000"/>
          <w:sz w:val="20"/>
          <w:szCs w:val="20"/>
        </w:rPr>
        <w:t xml:space="preserve"> donde refiera el nombre del banco de donde se realiza la transferencia y el deposito correspondiente a cada servidor </w:t>
      </w:r>
      <w:proofErr w:type="spellStart"/>
      <w:r w:rsidRPr="00860DB8">
        <w:rPr>
          <w:i/>
          <w:iCs/>
          <w:color w:val="000000"/>
          <w:sz w:val="20"/>
          <w:szCs w:val="20"/>
        </w:rPr>
        <w:t>publico</w:t>
      </w:r>
      <w:proofErr w:type="spellEnd"/>
      <w:r w:rsidRPr="00860DB8">
        <w:rPr>
          <w:i/>
          <w:iCs/>
          <w:color w:val="000000"/>
          <w:sz w:val="20"/>
          <w:szCs w:val="20"/>
        </w:rPr>
        <w:t xml:space="preserve"> mencionado de la quincena del 15 al 30 de septiembre de 2022..</w:t>
      </w:r>
      <w:r w:rsidRPr="00860DB8">
        <w:rPr>
          <w:rFonts w:eastAsia="Times New Roman" w:cs="Arial"/>
          <w:bCs/>
          <w:i/>
          <w:iCs/>
          <w:sz w:val="20"/>
          <w:szCs w:val="20"/>
          <w:lang w:eastAsia="es-ES"/>
        </w:rPr>
        <w:t xml:space="preserve"> </w:t>
      </w:r>
      <w:r w:rsidRPr="00860DB8" w:rsidR="00643CB5">
        <w:rPr>
          <w:rFonts w:eastAsia="Times New Roman" w:cs="Arial"/>
          <w:bCs/>
          <w:i/>
          <w:iCs/>
          <w:sz w:val="20"/>
          <w:szCs w:val="20"/>
          <w:lang w:eastAsia="es-ES"/>
        </w:rPr>
        <w:t>(Sic)</w:t>
      </w:r>
    </w:p>
    <w:p w:rsidRPr="00860DB8" w:rsidR="00643CB5" w:rsidP="00057880" w:rsidRDefault="00643CB5" w14:paraId="30A76BE7" w14:textId="77777777">
      <w:pPr>
        <w:spacing w:after="0" w:line="360" w:lineRule="auto"/>
        <w:ind w:right="567"/>
        <w:contextualSpacing/>
        <w:rPr>
          <w:rFonts w:eastAsia="Times New Roman" w:cs="Tahoma"/>
          <w:b/>
          <w:bCs/>
          <w:i/>
          <w:color w:val="auto"/>
          <w:sz w:val="20"/>
          <w:szCs w:val="20"/>
          <w:lang w:eastAsia="es-ES"/>
        </w:rPr>
      </w:pPr>
    </w:p>
    <w:p w:rsidRPr="00860DB8" w:rsidR="00643CB5" w:rsidP="00057880" w:rsidRDefault="00643CB5" w14:paraId="21E341DB" w14:textId="77777777">
      <w:pPr>
        <w:tabs>
          <w:tab w:val="left" w:pos="4667"/>
        </w:tabs>
        <w:spacing w:after="0" w:line="360" w:lineRule="auto"/>
        <w:rPr>
          <w:rFonts w:eastAsia="Times New Roman" w:cs="Tahoma"/>
          <w:bCs/>
          <w:i/>
          <w:color w:val="auto"/>
          <w:lang w:eastAsia="es-ES"/>
        </w:rPr>
      </w:pPr>
      <w:r w:rsidRPr="00860DB8">
        <w:rPr>
          <w:rFonts w:eastAsia="Times New Roman" w:cs="Tahoma"/>
          <w:bCs/>
          <w:iCs/>
          <w:color w:val="auto"/>
          <w:lang w:eastAsia="es-ES"/>
        </w:rPr>
        <w:t xml:space="preserve">Es de señalar que en las dos solicitudes de acceso a la información la ahora Recurrente eligió como modalidad de entrega de la información </w:t>
      </w:r>
      <w:r w:rsidRPr="00860DB8">
        <w:rPr>
          <w:rFonts w:eastAsia="Times New Roman" w:cs="Tahoma"/>
          <w:bCs/>
          <w:i/>
          <w:color w:val="auto"/>
          <w:lang w:eastAsia="es-ES"/>
        </w:rPr>
        <w:t>“A través del SAIMEX”.</w:t>
      </w:r>
    </w:p>
    <w:p w:rsidRPr="00860DB8" w:rsidR="00643CB5" w:rsidP="00057880" w:rsidRDefault="00643CB5" w14:paraId="2662263B" w14:textId="77777777">
      <w:pPr>
        <w:spacing w:after="0" w:line="360" w:lineRule="auto"/>
        <w:contextualSpacing/>
        <w:rPr>
          <w:rFonts w:eastAsia="Times New Roman" w:cs="Arial"/>
          <w:bCs/>
          <w:iCs/>
          <w:color w:val="auto"/>
          <w:lang w:eastAsia="es-ES"/>
        </w:rPr>
      </w:pPr>
    </w:p>
    <w:p w:rsidRPr="00860DB8" w:rsidR="00643CB5" w:rsidP="00057880" w:rsidRDefault="00643CB5" w14:paraId="1E617DB4" w14:textId="77777777">
      <w:pPr>
        <w:tabs>
          <w:tab w:val="left" w:pos="4667"/>
        </w:tabs>
        <w:spacing w:after="0" w:line="360" w:lineRule="auto"/>
        <w:contextualSpacing/>
        <w:rPr>
          <w:rFonts w:eastAsia="Calibri" w:cs="Tahoma"/>
          <w:b/>
          <w:bCs/>
        </w:rPr>
      </w:pPr>
      <w:r w:rsidRPr="00860DB8">
        <w:rPr>
          <w:rFonts w:eastAsia="Calibri" w:cs="Tahoma"/>
          <w:b/>
          <w:bCs/>
        </w:rPr>
        <w:t xml:space="preserve">II. </w:t>
      </w:r>
      <w:r w:rsidRPr="00860DB8">
        <w:rPr>
          <w:rFonts w:eastAsia="Calibri" w:cs="Tahoma"/>
          <w:b/>
        </w:rPr>
        <w:t>Respuestas</w:t>
      </w:r>
      <w:r w:rsidRPr="00860DB8">
        <w:rPr>
          <w:rFonts w:eastAsia="Calibri" w:cs="Tahoma"/>
          <w:b/>
          <w:bCs/>
        </w:rPr>
        <w:t xml:space="preserve"> del Sujeto Obligado.</w:t>
      </w:r>
    </w:p>
    <w:p w:rsidRPr="00860DB8" w:rsidR="00643CB5" w:rsidP="00057880" w:rsidRDefault="00643CB5" w14:paraId="1D2014D2" w14:textId="77777777">
      <w:pPr>
        <w:spacing w:after="0" w:line="360" w:lineRule="auto"/>
        <w:contextualSpacing/>
        <w:rPr>
          <w:rFonts w:eastAsia="Calibri" w:cs="Tahoma"/>
          <w:b/>
          <w:bCs/>
        </w:rPr>
      </w:pPr>
    </w:p>
    <w:p w:rsidRPr="00860DB8" w:rsidR="00A92383" w:rsidP="00057880" w:rsidRDefault="00643CB5" w14:paraId="7E01AD3B" w14:textId="06B80C41">
      <w:pPr>
        <w:tabs>
          <w:tab w:val="right" w:pos="8838"/>
        </w:tabs>
        <w:spacing w:after="0" w:line="360" w:lineRule="auto"/>
        <w:contextualSpacing/>
        <w:rPr>
          <w:rFonts w:cs="Tahoma"/>
        </w:rPr>
      </w:pPr>
      <w:r w:rsidRPr="00860DB8">
        <w:rPr>
          <w:rFonts w:cs="Tahoma"/>
          <w:bCs/>
        </w:rPr>
        <w:t xml:space="preserve">Con fechas </w:t>
      </w:r>
      <w:r w:rsidRPr="00860DB8" w:rsidR="00A92383">
        <w:rPr>
          <w:rFonts w:cs="Tahoma"/>
          <w:bCs/>
        </w:rPr>
        <w:t>diez y veintiocho de octubre</w:t>
      </w:r>
      <w:r w:rsidRPr="00860DB8">
        <w:rPr>
          <w:rFonts w:cs="Tahoma"/>
          <w:bCs/>
        </w:rPr>
        <w:t xml:space="preserve"> dos mil veintidós,</w:t>
      </w:r>
      <w:r w:rsidRPr="00860DB8">
        <w:rPr>
          <w:rFonts w:cs="Tahoma"/>
        </w:rPr>
        <w:t xml:space="preserve"> </w:t>
      </w:r>
      <w:r w:rsidRPr="00860DB8">
        <w:rPr>
          <w:rFonts w:eastAsia="Calibri" w:cs="Tahoma"/>
          <w:lang w:val="es-ES"/>
        </w:rPr>
        <w:t xml:space="preserve">el Ayuntamiento de </w:t>
      </w:r>
      <w:proofErr w:type="spellStart"/>
      <w:r w:rsidRPr="00860DB8" w:rsidR="00A92383">
        <w:rPr>
          <w:rFonts w:eastAsia="Calibri" w:cs="Tahoma"/>
          <w:lang w:val="es-ES"/>
        </w:rPr>
        <w:t>Jilotzingo</w:t>
      </w:r>
      <w:proofErr w:type="spellEnd"/>
      <w:r w:rsidRPr="00860DB8">
        <w:rPr>
          <w:rFonts w:cs="Tahoma"/>
        </w:rPr>
        <w:t xml:space="preserve"> notificó </w:t>
      </w:r>
      <w:r w:rsidRPr="00860DB8">
        <w:rPr>
          <w:rFonts w:eastAsia="Calibri" w:cs="Tahoma"/>
          <w:bCs/>
          <w:lang w:val="es-ES"/>
        </w:rPr>
        <w:t>al</w:t>
      </w:r>
      <w:r w:rsidRPr="00860DB8">
        <w:rPr>
          <w:rFonts w:cs="Tahoma"/>
        </w:rPr>
        <w:t xml:space="preserve"> Solicitante, mediante el Sistema de Acceso a la Información Mexiquense (SAIMEX), la respuesta a las solicitudes de acceso a la información, </w:t>
      </w:r>
      <w:r w:rsidRPr="00860DB8" w:rsidR="00A92383">
        <w:rPr>
          <w:rFonts w:cs="Tahoma"/>
        </w:rPr>
        <w:t>conforme a lo siguiente:</w:t>
      </w:r>
    </w:p>
    <w:p w:rsidRPr="00860DB8" w:rsidR="00A92383" w:rsidP="00057880" w:rsidRDefault="00A92383" w14:paraId="5DBABF27" w14:textId="60441515">
      <w:pPr>
        <w:pStyle w:val="Prrafodelista"/>
        <w:tabs>
          <w:tab w:val="left" w:pos="567"/>
        </w:tabs>
        <w:spacing w:after="0" w:line="360" w:lineRule="auto"/>
        <w:ind w:left="0"/>
        <w:rPr>
          <w:rFonts w:cs="Tahoma"/>
        </w:rPr>
      </w:pPr>
    </w:p>
    <w:p w:rsidRPr="00860DB8" w:rsidR="00A92383" w:rsidP="00057880" w:rsidRDefault="00A92383" w14:paraId="538FEF55" w14:textId="77777777">
      <w:pPr>
        <w:tabs>
          <w:tab w:val="left" w:pos="4667"/>
        </w:tabs>
        <w:spacing w:after="0" w:line="360" w:lineRule="auto"/>
        <w:contextualSpacing/>
        <w:jc w:val="left"/>
        <w:rPr>
          <w:b/>
          <w:bCs/>
          <w:color w:val="auto"/>
        </w:rPr>
      </w:pPr>
      <w:r w:rsidRPr="00860DB8">
        <w:rPr>
          <w:b/>
          <w:bCs/>
          <w:color w:val="auto"/>
        </w:rPr>
        <w:t xml:space="preserve">SOLICITUD </w:t>
      </w:r>
      <w:r w:rsidRPr="00860DB8">
        <w:rPr>
          <w:b/>
          <w:bCs/>
        </w:rPr>
        <w:t>00119/JILOTZIN/IP/2022</w:t>
      </w:r>
    </w:p>
    <w:p w:rsidRPr="00860DB8" w:rsidR="00A92383" w:rsidP="00057880" w:rsidRDefault="00A92383" w14:paraId="2EE99F45" w14:textId="75CE92E4">
      <w:pPr>
        <w:pStyle w:val="Prrafodelista"/>
        <w:tabs>
          <w:tab w:val="left" w:pos="567"/>
        </w:tabs>
        <w:spacing w:after="0" w:line="360" w:lineRule="auto"/>
        <w:ind w:left="0"/>
        <w:rPr>
          <w:rFonts w:cs="Tahoma"/>
        </w:rPr>
      </w:pPr>
    </w:p>
    <w:p w:rsidRPr="00860DB8" w:rsidR="007F2349" w:rsidP="00057880" w:rsidRDefault="00EE4003" w14:paraId="10E638DB" w14:textId="778B1E4F">
      <w:pPr>
        <w:tabs>
          <w:tab w:val="left" w:pos="567"/>
        </w:tabs>
        <w:spacing w:after="0" w:line="360" w:lineRule="auto"/>
        <w:rPr>
          <w:rFonts w:cs="Tahoma"/>
        </w:rPr>
      </w:pPr>
      <w:r w:rsidRPr="00860DB8">
        <w:rPr>
          <w:rFonts w:cs="Tahoma"/>
        </w:rPr>
        <w:t xml:space="preserve">i) </w:t>
      </w:r>
      <w:proofErr w:type="spellStart"/>
      <w:r w:rsidRPr="00860DB8" w:rsidR="00143140">
        <w:rPr>
          <w:rFonts w:cs="Tahoma"/>
        </w:rPr>
        <w:t>Versi</w:t>
      </w:r>
      <w:r w:rsidRPr="00860DB8" w:rsidR="00143140">
        <w:rPr>
          <w:rFonts w:cs="Tahoma"/>
          <w:lang w:val="x-none"/>
        </w:rPr>
        <w:t>ón</w:t>
      </w:r>
      <w:proofErr w:type="spellEnd"/>
      <w:r w:rsidRPr="00860DB8" w:rsidR="00143140">
        <w:rPr>
          <w:rFonts w:cs="Tahoma"/>
          <w:lang w:val="x-none"/>
        </w:rPr>
        <w:t xml:space="preserve"> pública de d</w:t>
      </w:r>
      <w:r w:rsidRPr="00860DB8" w:rsidR="007F2349">
        <w:rPr>
          <w:rFonts w:cs="Tahoma"/>
        </w:rPr>
        <w:t>oce recibos de nómina</w:t>
      </w:r>
      <w:r w:rsidRPr="00860DB8">
        <w:rPr>
          <w:rFonts w:cs="Tahoma"/>
        </w:rPr>
        <w:t>,</w:t>
      </w:r>
      <w:r w:rsidRPr="00860DB8" w:rsidR="007F2349">
        <w:rPr>
          <w:rFonts w:cs="Tahoma"/>
        </w:rPr>
        <w:t xml:space="preserve"> </w:t>
      </w:r>
      <w:r w:rsidRPr="00860DB8">
        <w:rPr>
          <w:rFonts w:cs="Tahoma"/>
        </w:rPr>
        <w:t xml:space="preserve">de la primera </w:t>
      </w:r>
      <w:r w:rsidRPr="00860DB8" w:rsidR="00143140">
        <w:rPr>
          <w:rFonts w:cs="Tahoma"/>
        </w:rPr>
        <w:t xml:space="preserve">quincena de julio a la segunda de diciembre de dos mil </w:t>
      </w:r>
      <w:proofErr w:type="spellStart"/>
      <w:r w:rsidRPr="00860DB8" w:rsidR="00143140">
        <w:rPr>
          <w:rFonts w:cs="Tahoma"/>
        </w:rPr>
        <w:t>veintuno</w:t>
      </w:r>
      <w:proofErr w:type="spellEnd"/>
      <w:r w:rsidRPr="00860DB8" w:rsidR="00143140">
        <w:rPr>
          <w:rFonts w:cs="Tahoma"/>
        </w:rPr>
        <w:t>, de la entonces Presidente Municipal.</w:t>
      </w:r>
    </w:p>
    <w:p w:rsidRPr="00860DB8" w:rsidR="00A92383" w:rsidP="00057880" w:rsidRDefault="00A92383" w14:paraId="6F61BADA" w14:textId="7754535A">
      <w:pPr>
        <w:pStyle w:val="Prrafodelista"/>
        <w:tabs>
          <w:tab w:val="left" w:pos="567"/>
        </w:tabs>
        <w:spacing w:after="0" w:line="360" w:lineRule="auto"/>
        <w:ind w:left="0"/>
        <w:rPr>
          <w:rFonts w:cs="Tahoma"/>
        </w:rPr>
      </w:pPr>
    </w:p>
    <w:p w:rsidRPr="00860DB8" w:rsidR="007F2349" w:rsidP="00057880" w:rsidRDefault="007F2349" w14:paraId="41D4FEC0" w14:textId="5BFCCA13">
      <w:pPr>
        <w:tabs>
          <w:tab w:val="left" w:pos="4667"/>
        </w:tabs>
        <w:spacing w:after="0" w:line="360" w:lineRule="auto"/>
        <w:contextualSpacing/>
        <w:jc w:val="left"/>
        <w:rPr>
          <w:b/>
          <w:bCs/>
        </w:rPr>
      </w:pPr>
      <w:r w:rsidRPr="00860DB8">
        <w:rPr>
          <w:b/>
          <w:bCs/>
          <w:color w:val="auto"/>
        </w:rPr>
        <w:t xml:space="preserve">SOLICITUD </w:t>
      </w:r>
      <w:r w:rsidRPr="00860DB8">
        <w:rPr>
          <w:b/>
          <w:bCs/>
        </w:rPr>
        <w:t>00125/JILOTZIN/IP/2022</w:t>
      </w:r>
    </w:p>
    <w:p w:rsidRPr="00860DB8" w:rsidR="009D64E8" w:rsidP="00057880" w:rsidRDefault="009D64E8" w14:paraId="0BE11139" w14:textId="545E74C6">
      <w:pPr>
        <w:tabs>
          <w:tab w:val="left" w:pos="4667"/>
        </w:tabs>
        <w:spacing w:after="0" w:line="360" w:lineRule="auto"/>
        <w:contextualSpacing/>
        <w:jc w:val="left"/>
        <w:rPr>
          <w:b/>
          <w:bCs/>
        </w:rPr>
      </w:pPr>
    </w:p>
    <w:p w:rsidRPr="00860DB8" w:rsidR="009D64E8" w:rsidP="00057880" w:rsidRDefault="00E0376E" w14:paraId="46B2AB31" w14:textId="3D6DD1A7">
      <w:pPr>
        <w:tabs>
          <w:tab w:val="left" w:pos="4667"/>
        </w:tabs>
        <w:spacing w:after="0" w:line="360" w:lineRule="auto"/>
        <w:contextualSpacing/>
      </w:pPr>
      <w:r w:rsidRPr="00860DB8">
        <w:t xml:space="preserve">i) Acta de la Séptima Sesión Ordinaria del Comité de Transparencia, número HAJ/COM-TRA/07-ORD/2022 de fecha veintiséis de octubre de dos mil veintidós, por la que se aprueba la clasificación de la </w:t>
      </w:r>
      <w:r w:rsidRPr="00860DB8" w:rsidR="00A51F07">
        <w:t>información como confidencial</w:t>
      </w:r>
    </w:p>
    <w:p w:rsidRPr="00860DB8" w:rsidR="00A51F07" w:rsidP="00057880" w:rsidRDefault="00A51F07" w14:paraId="3910D7A0" w14:textId="562CD470">
      <w:pPr>
        <w:tabs>
          <w:tab w:val="left" w:pos="4667"/>
        </w:tabs>
        <w:spacing w:after="0" w:line="360" w:lineRule="auto"/>
        <w:contextualSpacing/>
      </w:pPr>
    </w:p>
    <w:p w:rsidRPr="00860DB8" w:rsidR="00024070" w:rsidP="00057880" w:rsidRDefault="00A51F07" w14:paraId="2ACDF8F9" w14:textId="28BDAC97">
      <w:pPr>
        <w:tabs>
          <w:tab w:val="left" w:pos="4667"/>
        </w:tabs>
        <w:spacing w:after="0" w:line="360" w:lineRule="auto"/>
        <w:contextualSpacing/>
      </w:pPr>
      <w:r w:rsidRPr="00860DB8">
        <w:t xml:space="preserve">ii) </w:t>
      </w:r>
      <w:proofErr w:type="spellStart"/>
      <w:r w:rsidRPr="00860DB8" w:rsidR="0047381F">
        <w:t>Versi</w:t>
      </w:r>
      <w:r w:rsidRPr="00860DB8" w:rsidR="0047381F">
        <w:rPr>
          <w:lang w:val="x-none"/>
        </w:rPr>
        <w:t>ón</w:t>
      </w:r>
      <w:proofErr w:type="spellEnd"/>
      <w:r w:rsidRPr="00860DB8" w:rsidR="0047381F">
        <w:rPr>
          <w:lang w:val="x-none"/>
        </w:rPr>
        <w:t xml:space="preserve"> Pública del E</w:t>
      </w:r>
      <w:r w:rsidRPr="00860DB8">
        <w:t xml:space="preserve">stado de movimientos, de la segunda quincena de septiembre de dos mil veintidós del </w:t>
      </w:r>
      <w:r w:rsidRPr="00860DB8" w:rsidR="0047381F">
        <w:t>Ayuntamiento</w:t>
      </w:r>
      <w:r w:rsidRPr="00860DB8">
        <w:t xml:space="preserve"> de </w:t>
      </w:r>
      <w:proofErr w:type="spellStart"/>
      <w:r w:rsidRPr="00860DB8">
        <w:t>Jilotzingo</w:t>
      </w:r>
      <w:proofErr w:type="spellEnd"/>
      <w:r w:rsidRPr="00860DB8">
        <w:t>.</w:t>
      </w:r>
    </w:p>
    <w:p w:rsidRPr="00860DB8" w:rsidR="00A51F07" w:rsidP="00057880" w:rsidRDefault="00A51F07" w14:paraId="026C7817" w14:textId="04907685">
      <w:pPr>
        <w:tabs>
          <w:tab w:val="left" w:pos="4667"/>
        </w:tabs>
        <w:spacing w:after="0" w:line="360" w:lineRule="auto"/>
        <w:contextualSpacing/>
        <w:rPr>
          <w:color w:val="auto"/>
        </w:rPr>
      </w:pPr>
      <w:r w:rsidRPr="00860DB8">
        <w:lastRenderedPageBreak/>
        <w:t xml:space="preserve">iii) </w:t>
      </w:r>
      <w:proofErr w:type="spellStart"/>
      <w:r w:rsidRPr="00860DB8" w:rsidR="0047381F">
        <w:t>Versi</w:t>
      </w:r>
      <w:r w:rsidRPr="00860DB8" w:rsidR="0047381F">
        <w:rPr>
          <w:lang w:val="x-none"/>
        </w:rPr>
        <w:t>ón</w:t>
      </w:r>
      <w:proofErr w:type="spellEnd"/>
      <w:r w:rsidRPr="00860DB8" w:rsidR="0047381F">
        <w:rPr>
          <w:lang w:val="x-none"/>
        </w:rPr>
        <w:t xml:space="preserve"> pública de n</w:t>
      </w:r>
      <w:r w:rsidRPr="00860DB8">
        <w:t>ueve recibos de nómina</w:t>
      </w:r>
      <w:r w:rsidRPr="00860DB8" w:rsidR="00EE4003">
        <w:t>,</w:t>
      </w:r>
      <w:r w:rsidRPr="00860DB8">
        <w:t xml:space="preserve"> de la segunda quincena de septiembre de dos mil veintidós</w:t>
      </w:r>
      <w:r w:rsidRPr="00860DB8" w:rsidR="00EE4003">
        <w:t xml:space="preserve">, de la </w:t>
      </w:r>
      <w:r w:rsidRPr="00860DB8" w:rsidR="0047381F">
        <w:t>P</w:t>
      </w:r>
      <w:r w:rsidRPr="00860DB8" w:rsidR="00EE4003">
        <w:t xml:space="preserve">residenta municipal, </w:t>
      </w:r>
      <w:r w:rsidRPr="00860DB8" w:rsidR="0047381F">
        <w:t>S</w:t>
      </w:r>
      <w:r w:rsidRPr="00860DB8" w:rsidR="00EE4003">
        <w:t>índico</w:t>
      </w:r>
      <w:r w:rsidRPr="00860DB8" w:rsidR="0047381F">
        <w:t xml:space="preserve"> Municipal</w:t>
      </w:r>
      <w:r w:rsidRPr="00860DB8" w:rsidR="00EE4003">
        <w:t xml:space="preserve"> y </w:t>
      </w:r>
      <w:r w:rsidRPr="00860DB8" w:rsidR="0047381F">
        <w:t>Siete</w:t>
      </w:r>
      <w:r w:rsidRPr="00860DB8" w:rsidR="00EE4003">
        <w:t xml:space="preserve"> </w:t>
      </w:r>
      <w:r w:rsidRPr="00860DB8" w:rsidR="0047381F">
        <w:t>R</w:t>
      </w:r>
      <w:r w:rsidRPr="00860DB8" w:rsidR="00EE4003">
        <w:t>egidor</w:t>
      </w:r>
      <w:r w:rsidRPr="00860DB8" w:rsidR="0047381F">
        <w:t>es.</w:t>
      </w:r>
    </w:p>
    <w:p w:rsidRPr="00860DB8" w:rsidR="00643CB5" w:rsidP="00057880" w:rsidRDefault="00643CB5" w14:paraId="25ABD144" w14:textId="77777777">
      <w:pPr>
        <w:pStyle w:val="Prrafodelista"/>
        <w:tabs>
          <w:tab w:val="left" w:pos="567"/>
        </w:tabs>
        <w:spacing w:after="0" w:line="360" w:lineRule="auto"/>
        <w:ind w:left="0"/>
        <w:rPr>
          <w:rFonts w:cs="Tahoma"/>
          <w:i/>
          <w:iCs/>
          <w:sz w:val="20"/>
          <w:szCs w:val="20"/>
        </w:rPr>
      </w:pPr>
    </w:p>
    <w:p w:rsidRPr="00860DB8" w:rsidR="00643CB5" w:rsidP="00057880" w:rsidRDefault="00643CB5" w14:paraId="4B87D97F" w14:textId="77777777">
      <w:pPr>
        <w:autoSpaceDE w:val="0"/>
        <w:autoSpaceDN w:val="0"/>
        <w:adjustRightInd w:val="0"/>
        <w:spacing w:after="0" w:line="360" w:lineRule="auto"/>
        <w:contextualSpacing/>
        <w:rPr>
          <w:rFonts w:eastAsia="Calibri" w:cs="Tahoma"/>
          <w:b/>
          <w:color w:val="000000"/>
        </w:rPr>
      </w:pPr>
      <w:r w:rsidRPr="00860DB8">
        <w:rPr>
          <w:rFonts w:eastAsia="Calibri" w:cs="Tahoma"/>
          <w:b/>
          <w:color w:val="000000"/>
        </w:rPr>
        <w:t xml:space="preserve">III. Interposición de los Recursos de Revisión. </w:t>
      </w:r>
    </w:p>
    <w:p w:rsidRPr="00860DB8" w:rsidR="00643CB5" w:rsidP="00057880" w:rsidRDefault="00643CB5" w14:paraId="35AFB507" w14:textId="77777777">
      <w:pPr>
        <w:spacing w:after="0" w:line="360" w:lineRule="auto"/>
        <w:contextualSpacing/>
        <w:rPr>
          <w:rFonts w:eastAsia="Times New Roman" w:cs="Tahoma"/>
          <w:bCs/>
          <w:color w:val="auto"/>
          <w:lang w:eastAsia="es-ES"/>
        </w:rPr>
      </w:pPr>
    </w:p>
    <w:p w:rsidRPr="00860DB8" w:rsidR="00643CB5" w:rsidP="00057880" w:rsidRDefault="00643CB5" w14:paraId="30C0A9DB" w14:textId="51DB6FE4">
      <w:pPr>
        <w:spacing w:after="0" w:line="360" w:lineRule="auto"/>
        <w:contextualSpacing/>
        <w:rPr>
          <w:rFonts w:cs="Tahoma"/>
          <w:lang w:eastAsia="es-ES"/>
        </w:rPr>
      </w:pPr>
      <w:r w:rsidRPr="00860DB8">
        <w:rPr>
          <w:rFonts w:eastAsia="Times New Roman" w:cs="Tahoma"/>
          <w:bCs/>
          <w:color w:val="auto"/>
          <w:lang w:val="es-ES" w:eastAsia="es-ES"/>
        </w:rPr>
        <w:t xml:space="preserve">Con fechas </w:t>
      </w:r>
      <w:r w:rsidRPr="00860DB8" w:rsidR="00024070">
        <w:rPr>
          <w:rFonts w:eastAsia="Times New Roman" w:cs="Tahoma"/>
          <w:bCs/>
          <w:color w:val="auto"/>
          <w:lang w:val="es-ES" w:eastAsia="es-ES"/>
        </w:rPr>
        <w:t xml:space="preserve">diecinueve de octubre y </w:t>
      </w:r>
      <w:r w:rsidRPr="00860DB8" w:rsidR="00F37C86">
        <w:rPr>
          <w:rFonts w:eastAsia="Times New Roman" w:cs="Tahoma"/>
          <w:bCs/>
          <w:color w:val="auto"/>
          <w:lang w:val="es-ES" w:eastAsia="es-ES"/>
        </w:rPr>
        <w:t>siete</w:t>
      </w:r>
      <w:r w:rsidRPr="00860DB8" w:rsidR="00024070">
        <w:rPr>
          <w:rFonts w:eastAsia="Times New Roman" w:cs="Tahoma"/>
          <w:bCs/>
          <w:color w:val="auto"/>
          <w:lang w:val="es-ES" w:eastAsia="es-ES"/>
        </w:rPr>
        <w:t xml:space="preserve"> de noviembre</w:t>
      </w:r>
      <w:r w:rsidRPr="00860DB8">
        <w:rPr>
          <w:rFonts w:eastAsia="Times New Roman" w:cs="Tahoma"/>
          <w:bCs/>
          <w:color w:val="auto"/>
          <w:lang w:val="es-ES" w:eastAsia="es-ES"/>
        </w:rPr>
        <w:t xml:space="preserve"> de dos mil veintidós, </w:t>
      </w:r>
      <w:r w:rsidRPr="00860DB8">
        <w:rPr>
          <w:rFonts w:eastAsia="Times New Roman" w:cs="Tahoma"/>
          <w:bCs/>
          <w:color w:val="auto"/>
          <w:lang w:eastAsia="es-ES"/>
        </w:rPr>
        <w:t xml:space="preserve">se tuvieron por recibidos en este Instituto, a través del </w:t>
      </w:r>
      <w:r w:rsidRPr="00860DB8">
        <w:rPr>
          <w:rFonts w:eastAsia="Times New Roman" w:cs="Tahoma"/>
          <w:bCs/>
          <w:color w:val="auto"/>
          <w:lang w:val="es-ES" w:eastAsia="es-ES"/>
        </w:rPr>
        <w:t>Sistema de Acceso a la Información Mexiquense (SAIMEX)</w:t>
      </w:r>
      <w:r w:rsidRPr="00860DB8">
        <w:rPr>
          <w:rFonts w:eastAsia="Times New Roman" w:cs="Tahoma"/>
          <w:bCs/>
          <w:color w:val="auto"/>
          <w:lang w:eastAsia="es-ES"/>
        </w:rPr>
        <w:t>, los Recursos de Revisión interpuestos por la parte Recurrente, en contra de las respuestas del Sujeto Obligado,</w:t>
      </w:r>
      <w:r w:rsidRPr="00860DB8">
        <w:rPr>
          <w:rFonts w:cs="Tahoma"/>
          <w:b/>
          <w:lang w:eastAsia="es-ES"/>
        </w:rPr>
        <w:t xml:space="preserve"> </w:t>
      </w:r>
      <w:r w:rsidRPr="00860DB8">
        <w:rPr>
          <w:rFonts w:cs="Tahoma"/>
          <w:lang w:eastAsia="es-ES"/>
        </w:rPr>
        <w:t>en los siguientes términos:</w:t>
      </w:r>
    </w:p>
    <w:p w:rsidRPr="00860DB8" w:rsidR="00643CB5" w:rsidP="00057880" w:rsidRDefault="00643CB5" w14:paraId="6A410801" w14:textId="77777777">
      <w:pPr>
        <w:spacing w:after="0" w:line="360" w:lineRule="auto"/>
        <w:contextualSpacing/>
        <w:rPr>
          <w:bCs/>
        </w:rPr>
      </w:pPr>
    </w:p>
    <w:p w:rsidRPr="00860DB8" w:rsidR="00643CB5" w:rsidP="00057880" w:rsidRDefault="00643CB5" w14:paraId="5BDCF936" w14:textId="042E1B9C">
      <w:pPr>
        <w:spacing w:after="0" w:line="360" w:lineRule="auto"/>
        <w:ind w:right="567" w:firstLine="567"/>
        <w:contextualSpacing/>
        <w:rPr>
          <w:rFonts w:eastAsia="Times New Roman" w:cs="Tahoma"/>
          <w:b/>
          <w:bCs/>
          <w:i/>
          <w:color w:val="auto"/>
          <w:sz w:val="20"/>
          <w:szCs w:val="20"/>
          <w:lang w:eastAsia="es-ES"/>
        </w:rPr>
      </w:pPr>
      <w:r w:rsidRPr="00860DB8">
        <w:rPr>
          <w:rFonts w:eastAsia="Times New Roman" w:cs="Tahoma"/>
          <w:b/>
          <w:bCs/>
          <w:i/>
          <w:color w:val="auto"/>
          <w:sz w:val="20"/>
          <w:szCs w:val="20"/>
          <w:lang w:eastAsia="es-ES"/>
        </w:rPr>
        <w:t>RECURSO DE REVISIÓN 15</w:t>
      </w:r>
      <w:r w:rsidRPr="00860DB8" w:rsidR="00024070">
        <w:rPr>
          <w:rFonts w:eastAsia="Times New Roman" w:cs="Tahoma"/>
          <w:b/>
          <w:bCs/>
          <w:i/>
          <w:color w:val="auto"/>
          <w:sz w:val="20"/>
          <w:szCs w:val="20"/>
          <w:lang w:eastAsia="es-ES"/>
        </w:rPr>
        <w:t>70</w:t>
      </w:r>
      <w:r w:rsidRPr="00860DB8">
        <w:rPr>
          <w:rFonts w:eastAsia="Times New Roman" w:cs="Tahoma"/>
          <w:b/>
          <w:bCs/>
          <w:i/>
          <w:color w:val="auto"/>
          <w:sz w:val="20"/>
          <w:szCs w:val="20"/>
          <w:lang w:eastAsia="es-ES"/>
        </w:rPr>
        <w:t>1/INFOEM/IP/RR/2022</w:t>
      </w:r>
    </w:p>
    <w:p w:rsidRPr="00860DB8" w:rsidR="00643CB5" w:rsidP="00057880" w:rsidRDefault="00643CB5" w14:paraId="47516735" w14:textId="77777777">
      <w:pPr>
        <w:spacing w:after="0" w:line="360" w:lineRule="auto"/>
        <w:ind w:right="567" w:firstLine="567"/>
        <w:contextualSpacing/>
        <w:rPr>
          <w:rFonts w:eastAsia="Times New Roman" w:cs="Tahoma"/>
          <w:b/>
          <w:bCs/>
          <w:i/>
          <w:color w:val="auto"/>
          <w:sz w:val="20"/>
          <w:szCs w:val="20"/>
          <w:lang w:eastAsia="es-ES"/>
        </w:rPr>
      </w:pPr>
      <w:r w:rsidRPr="00860DB8">
        <w:rPr>
          <w:rFonts w:eastAsia="Times New Roman" w:cs="Tahoma"/>
          <w:b/>
          <w:bCs/>
          <w:i/>
          <w:color w:val="auto"/>
          <w:sz w:val="20"/>
          <w:szCs w:val="20"/>
          <w:lang w:eastAsia="es-ES"/>
        </w:rPr>
        <w:t>“ACTO IMPUGNADO</w:t>
      </w:r>
    </w:p>
    <w:p w:rsidRPr="00860DB8" w:rsidR="00643CB5" w:rsidP="00057880" w:rsidRDefault="00024070" w14:paraId="18F126E3" w14:textId="48B12EC9">
      <w:pPr>
        <w:spacing w:after="0" w:line="360" w:lineRule="auto"/>
        <w:ind w:left="567" w:right="567"/>
        <w:contextualSpacing/>
        <w:rPr>
          <w:rFonts w:eastAsia="Times New Roman" w:cs="Times New Roman"/>
          <w:i/>
          <w:color w:val="auto"/>
          <w:sz w:val="20"/>
          <w:szCs w:val="20"/>
          <w:lang w:eastAsia="es-MX"/>
        </w:rPr>
      </w:pPr>
      <w:proofErr w:type="gramStart"/>
      <w:r w:rsidRPr="00860DB8">
        <w:rPr>
          <w:rFonts w:eastAsia="Times New Roman" w:cs="Times New Roman"/>
          <w:i/>
          <w:color w:val="auto"/>
          <w:sz w:val="20"/>
          <w:szCs w:val="20"/>
          <w:lang w:eastAsia="es-MX"/>
        </w:rPr>
        <w:t>la</w:t>
      </w:r>
      <w:proofErr w:type="gramEnd"/>
      <w:r w:rsidRPr="00860DB8">
        <w:rPr>
          <w:rFonts w:eastAsia="Times New Roman" w:cs="Times New Roman"/>
          <w:i/>
          <w:color w:val="auto"/>
          <w:sz w:val="20"/>
          <w:szCs w:val="20"/>
          <w:lang w:eastAsia="es-MX"/>
        </w:rPr>
        <w:t xml:space="preserve"> respuesta emitida por el ayuntamiento de </w:t>
      </w:r>
      <w:proofErr w:type="spellStart"/>
      <w:r w:rsidRPr="00860DB8">
        <w:rPr>
          <w:rFonts w:eastAsia="Times New Roman" w:cs="Times New Roman"/>
          <w:i/>
          <w:color w:val="auto"/>
          <w:sz w:val="20"/>
          <w:szCs w:val="20"/>
          <w:lang w:eastAsia="es-MX"/>
        </w:rPr>
        <w:t>jilotzingo</w:t>
      </w:r>
      <w:proofErr w:type="spellEnd"/>
      <w:r w:rsidRPr="00860DB8">
        <w:rPr>
          <w:rFonts w:eastAsia="Times New Roman" w:cs="Times New Roman"/>
          <w:i/>
          <w:color w:val="auto"/>
          <w:sz w:val="20"/>
          <w:szCs w:val="20"/>
          <w:lang w:eastAsia="es-MX"/>
        </w:rPr>
        <w:t xml:space="preserve"> testando </w:t>
      </w:r>
      <w:proofErr w:type="spellStart"/>
      <w:r w:rsidRPr="00860DB8">
        <w:rPr>
          <w:rFonts w:eastAsia="Times New Roman" w:cs="Times New Roman"/>
          <w:i/>
          <w:color w:val="auto"/>
          <w:sz w:val="20"/>
          <w:szCs w:val="20"/>
          <w:lang w:eastAsia="es-MX"/>
        </w:rPr>
        <w:t>informaciòn</w:t>
      </w:r>
      <w:proofErr w:type="spellEnd"/>
      <w:r w:rsidRPr="00860DB8">
        <w:rPr>
          <w:rFonts w:eastAsia="Times New Roman" w:cs="Times New Roman"/>
          <w:i/>
          <w:color w:val="auto"/>
          <w:sz w:val="20"/>
          <w:szCs w:val="20"/>
          <w:lang w:eastAsia="es-MX"/>
        </w:rPr>
        <w:t xml:space="preserve"> como gratificaciones, compensaciones etc. que deben ser </w:t>
      </w:r>
      <w:proofErr w:type="spellStart"/>
      <w:r w:rsidRPr="00860DB8">
        <w:rPr>
          <w:rFonts w:eastAsia="Times New Roman" w:cs="Times New Roman"/>
          <w:i/>
          <w:color w:val="auto"/>
          <w:sz w:val="20"/>
          <w:szCs w:val="20"/>
          <w:lang w:eastAsia="es-MX"/>
        </w:rPr>
        <w:t>publicas</w:t>
      </w:r>
      <w:proofErr w:type="spellEnd"/>
      <w:r w:rsidRPr="00860DB8">
        <w:rPr>
          <w:rFonts w:eastAsia="Times New Roman" w:cs="Times New Roman"/>
          <w:i/>
          <w:color w:val="auto"/>
          <w:sz w:val="20"/>
          <w:szCs w:val="20"/>
          <w:lang w:eastAsia="es-MX"/>
        </w:rPr>
        <w:t xml:space="preserve">, pues son recursos públicos, asimismo no se justifica la forma en que diversos apartados del documento adjunto </w:t>
      </w:r>
      <w:proofErr w:type="spellStart"/>
      <w:r w:rsidRPr="00860DB8">
        <w:rPr>
          <w:rFonts w:eastAsia="Times New Roman" w:cs="Times New Roman"/>
          <w:i/>
          <w:color w:val="auto"/>
          <w:sz w:val="20"/>
          <w:szCs w:val="20"/>
          <w:lang w:eastAsia="es-MX"/>
        </w:rPr>
        <w:t>esten</w:t>
      </w:r>
      <w:proofErr w:type="spellEnd"/>
      <w:r w:rsidRPr="00860DB8">
        <w:rPr>
          <w:rFonts w:eastAsia="Times New Roman" w:cs="Times New Roman"/>
          <w:i/>
          <w:color w:val="auto"/>
          <w:sz w:val="20"/>
          <w:szCs w:val="20"/>
          <w:lang w:eastAsia="es-MX"/>
        </w:rPr>
        <w:t xml:space="preserve"> sombreados.</w:t>
      </w:r>
      <w:r w:rsidRPr="00860DB8" w:rsidR="00643CB5">
        <w:rPr>
          <w:i/>
          <w:sz w:val="20"/>
          <w:szCs w:val="20"/>
        </w:rPr>
        <w:t>”</w:t>
      </w:r>
      <w:r w:rsidRPr="00860DB8" w:rsidR="00643CB5">
        <w:rPr>
          <w:bCs/>
          <w:i/>
          <w:sz w:val="20"/>
          <w:szCs w:val="20"/>
        </w:rPr>
        <w:t xml:space="preserve"> </w:t>
      </w:r>
      <w:r w:rsidRPr="00860DB8" w:rsidR="00643CB5">
        <w:rPr>
          <w:rFonts w:eastAsia="Times New Roman" w:cs="Tahoma"/>
          <w:bCs/>
          <w:i/>
          <w:color w:val="auto"/>
          <w:sz w:val="20"/>
          <w:szCs w:val="20"/>
          <w:lang w:eastAsia="es-ES"/>
        </w:rPr>
        <w:t>(Sic)</w:t>
      </w:r>
    </w:p>
    <w:p w:rsidRPr="00860DB8" w:rsidR="00643CB5" w:rsidP="00057880" w:rsidRDefault="00643CB5" w14:paraId="766D82A4" w14:textId="77777777">
      <w:pPr>
        <w:spacing w:after="0" w:line="360" w:lineRule="auto"/>
        <w:ind w:left="567" w:right="567"/>
        <w:contextualSpacing/>
        <w:rPr>
          <w:rFonts w:eastAsia="Times New Roman" w:cs="Tahoma"/>
          <w:bCs/>
          <w:i/>
          <w:color w:val="auto"/>
          <w:sz w:val="20"/>
          <w:szCs w:val="20"/>
          <w:lang w:eastAsia="es-ES"/>
        </w:rPr>
      </w:pPr>
    </w:p>
    <w:p w:rsidRPr="00860DB8" w:rsidR="00643CB5" w:rsidP="00057880" w:rsidRDefault="00643CB5" w14:paraId="6239C5E9" w14:textId="77777777">
      <w:pPr>
        <w:spacing w:after="0" w:line="360" w:lineRule="auto"/>
        <w:ind w:left="567" w:right="567"/>
        <w:contextualSpacing/>
        <w:rPr>
          <w:rFonts w:eastAsia="Times New Roman" w:cs="Tahoma"/>
          <w:b/>
          <w:bCs/>
          <w:i/>
          <w:color w:val="auto"/>
          <w:sz w:val="20"/>
          <w:szCs w:val="20"/>
          <w:lang w:eastAsia="es-ES"/>
        </w:rPr>
      </w:pPr>
      <w:r w:rsidRPr="00860DB8">
        <w:rPr>
          <w:rFonts w:eastAsia="Times New Roman" w:cs="Tahoma"/>
          <w:b/>
          <w:bCs/>
          <w:i/>
          <w:color w:val="auto"/>
          <w:sz w:val="20"/>
          <w:szCs w:val="20"/>
          <w:lang w:eastAsia="es-ES"/>
        </w:rPr>
        <w:t>“RAZONES O MOTIVOS DE LA INCONFORMIDAD</w:t>
      </w:r>
    </w:p>
    <w:p w:rsidRPr="00860DB8" w:rsidR="00643CB5" w:rsidP="00057880" w:rsidRDefault="00024070" w14:paraId="5D6A710E" w14:textId="7A62BB9A">
      <w:pPr>
        <w:spacing w:after="0" w:line="360" w:lineRule="auto"/>
        <w:ind w:left="567" w:right="567"/>
        <w:contextualSpacing/>
        <w:rPr>
          <w:rFonts w:eastAsia="Times New Roman" w:cs="Tahoma"/>
          <w:bCs/>
          <w:i/>
          <w:color w:val="auto"/>
          <w:sz w:val="20"/>
          <w:szCs w:val="20"/>
          <w:lang w:eastAsia="es-ES"/>
        </w:rPr>
      </w:pPr>
      <w:proofErr w:type="gramStart"/>
      <w:r w:rsidRPr="00860DB8">
        <w:rPr>
          <w:i/>
          <w:color w:val="000000"/>
          <w:sz w:val="20"/>
          <w:szCs w:val="20"/>
        </w:rPr>
        <w:t>si</w:t>
      </w:r>
      <w:proofErr w:type="gramEnd"/>
      <w:r w:rsidRPr="00860DB8">
        <w:rPr>
          <w:i/>
          <w:color w:val="000000"/>
          <w:sz w:val="20"/>
          <w:szCs w:val="20"/>
        </w:rPr>
        <w:t xml:space="preserve"> bien en su respuesta el ayuntamiento refiere " Sirva el presente para enviarle un cordial saludo y al mismo tiempo, haciendo referencia a su solicitud de transparencia con número de folio 00119/JILOTZIN/IP/2022 ingresada en el sistema SAIMEX, en la cual se cita “se solicitan recibos de nómina con firma de la presidenta Evelin Mayen González de julio de 2021 a diciembre 31 de 2021 con firma de recibidos por la anterior presidente municipal.”(SIC), envío a usted la información solicitada en versión pública con la confidencialidad de los siguientes datos la Clave Única de Registro de Población(de acuerdo con el Criterio 18/17, emitido por el Instituto Nacional de Transparencia, Acceso a la Información y Protección de Datos Personales), el Registro Federal de Contribuyentes(esto con el Criterio 19/17 emitido por el Instituto Nacional de Transparencia, Acceso a la Información y Protección de Datos Personales), clave de seguridad social del Instituto de Seguridad Social del Estado de México y Municipios, el código bidimensional o QR, las </w:t>
      </w:r>
      <w:r w:rsidRPr="00860DB8">
        <w:rPr>
          <w:i/>
          <w:color w:val="000000"/>
          <w:sz w:val="20"/>
          <w:szCs w:val="20"/>
        </w:rPr>
        <w:lastRenderedPageBreak/>
        <w:t xml:space="preserve">deducciones personales, mismos que se encuentran contenidos en los recibos de nómina, esto para dar seguimiento a la solicitud de transparencia antes mencionada; con fundamento al artículo 143, fracción I, artículo 3°, fracción IX de la Ley de Transparencia y Acceso a la Información Pública del Estado de México y Municipios; con relación el diverso 4°, fracciones XI y XII, los artículos 6°,7°,8° y 14 de la ley de Protección de Datos Personales en Posesión de Sujetos Obligados del Estado de México y Municipios. Sin otro particular y para cualquier duda o aclaración quedo a sus órdenes" </w:t>
      </w:r>
      <w:proofErr w:type="spellStart"/>
      <w:r w:rsidRPr="00860DB8">
        <w:rPr>
          <w:i/>
          <w:color w:val="000000"/>
          <w:sz w:val="20"/>
          <w:szCs w:val="20"/>
        </w:rPr>
        <w:t>hce</w:t>
      </w:r>
      <w:proofErr w:type="spellEnd"/>
      <w:r w:rsidRPr="00860DB8">
        <w:rPr>
          <w:i/>
          <w:color w:val="000000"/>
          <w:sz w:val="20"/>
          <w:szCs w:val="20"/>
        </w:rPr>
        <w:t xml:space="preserve"> referencia a una </w:t>
      </w:r>
      <w:proofErr w:type="spellStart"/>
      <w:r w:rsidRPr="00860DB8">
        <w:rPr>
          <w:i/>
          <w:color w:val="000000"/>
          <w:sz w:val="20"/>
          <w:szCs w:val="20"/>
        </w:rPr>
        <w:t>version</w:t>
      </w:r>
      <w:proofErr w:type="spellEnd"/>
      <w:r w:rsidRPr="00860DB8">
        <w:rPr>
          <w:i/>
          <w:color w:val="000000"/>
          <w:sz w:val="20"/>
          <w:szCs w:val="20"/>
        </w:rPr>
        <w:t xml:space="preserve"> publica sin que mediante documento alguno exponga los motivos y </w:t>
      </w:r>
      <w:proofErr w:type="spellStart"/>
      <w:r w:rsidRPr="00860DB8">
        <w:rPr>
          <w:i/>
          <w:color w:val="000000"/>
          <w:sz w:val="20"/>
          <w:szCs w:val="20"/>
        </w:rPr>
        <w:t>fundamentaciòn</w:t>
      </w:r>
      <w:proofErr w:type="spellEnd"/>
      <w:r w:rsidRPr="00860DB8">
        <w:rPr>
          <w:i/>
          <w:color w:val="000000"/>
          <w:sz w:val="20"/>
          <w:szCs w:val="20"/>
        </w:rPr>
        <w:t xml:space="preserve"> de porque diversos apartados que deberían ser </w:t>
      </w:r>
      <w:proofErr w:type="spellStart"/>
      <w:r w:rsidRPr="00860DB8">
        <w:rPr>
          <w:i/>
          <w:color w:val="000000"/>
          <w:sz w:val="20"/>
          <w:szCs w:val="20"/>
        </w:rPr>
        <w:t>publicos</w:t>
      </w:r>
      <w:proofErr w:type="spellEnd"/>
      <w:r w:rsidRPr="00860DB8">
        <w:rPr>
          <w:i/>
          <w:color w:val="000000"/>
          <w:sz w:val="20"/>
          <w:szCs w:val="20"/>
        </w:rPr>
        <w:t xml:space="preserve"> son testados por el responsable de atender mi solicitud</w:t>
      </w:r>
      <w:proofErr w:type="gramStart"/>
      <w:r w:rsidRPr="00860DB8">
        <w:rPr>
          <w:i/>
          <w:color w:val="000000"/>
          <w:sz w:val="20"/>
          <w:szCs w:val="20"/>
        </w:rPr>
        <w:t>.</w:t>
      </w:r>
      <w:r w:rsidRPr="00860DB8" w:rsidR="00643CB5">
        <w:rPr>
          <w:i/>
          <w:color w:val="000000"/>
          <w:sz w:val="20"/>
          <w:szCs w:val="20"/>
        </w:rPr>
        <w:t>.”</w:t>
      </w:r>
      <w:proofErr w:type="gramEnd"/>
      <w:r w:rsidRPr="00860DB8" w:rsidR="00643CB5">
        <w:rPr>
          <w:bCs/>
          <w:i/>
          <w:color w:val="000000"/>
          <w:sz w:val="20"/>
          <w:szCs w:val="20"/>
        </w:rPr>
        <w:t xml:space="preserve"> </w:t>
      </w:r>
      <w:r w:rsidRPr="00860DB8" w:rsidR="00643CB5">
        <w:rPr>
          <w:rFonts w:eastAsia="Times New Roman" w:cs="Tahoma"/>
          <w:bCs/>
          <w:i/>
          <w:color w:val="auto"/>
          <w:sz w:val="20"/>
          <w:szCs w:val="20"/>
          <w:lang w:eastAsia="es-ES"/>
        </w:rPr>
        <w:t>(Sic)</w:t>
      </w:r>
    </w:p>
    <w:p w:rsidRPr="00860DB8" w:rsidR="00643CB5" w:rsidP="00057880" w:rsidRDefault="00643CB5" w14:paraId="57801820" w14:textId="77777777">
      <w:pPr>
        <w:spacing w:after="0" w:line="360" w:lineRule="auto"/>
        <w:ind w:left="567" w:right="567"/>
        <w:contextualSpacing/>
        <w:rPr>
          <w:rFonts w:eastAsia="Calibri" w:cs="Tahoma"/>
          <w:b/>
          <w:bCs/>
          <w:i/>
          <w:sz w:val="20"/>
          <w:szCs w:val="20"/>
        </w:rPr>
      </w:pPr>
    </w:p>
    <w:p w:rsidRPr="00860DB8" w:rsidR="00643CB5" w:rsidP="00057880" w:rsidRDefault="00643CB5" w14:paraId="682A6EFF" w14:textId="6056EBE1">
      <w:pPr>
        <w:spacing w:after="0" w:line="360" w:lineRule="auto"/>
        <w:ind w:right="567" w:firstLine="567"/>
        <w:contextualSpacing/>
        <w:rPr>
          <w:rFonts w:eastAsia="Times New Roman" w:cs="Tahoma"/>
          <w:b/>
          <w:bCs/>
          <w:i/>
          <w:color w:val="auto"/>
          <w:sz w:val="20"/>
          <w:szCs w:val="20"/>
          <w:lang w:eastAsia="es-ES"/>
        </w:rPr>
      </w:pPr>
      <w:r w:rsidRPr="00860DB8">
        <w:rPr>
          <w:rFonts w:eastAsia="Times New Roman" w:cs="Tahoma"/>
          <w:b/>
          <w:bCs/>
          <w:i/>
          <w:color w:val="auto"/>
          <w:sz w:val="20"/>
          <w:szCs w:val="20"/>
          <w:lang w:eastAsia="es-ES"/>
        </w:rPr>
        <w:t>RECURSO DE REVISIÓN 1</w:t>
      </w:r>
      <w:r w:rsidRPr="00860DB8" w:rsidR="00024070">
        <w:rPr>
          <w:rFonts w:eastAsia="Times New Roman" w:cs="Tahoma"/>
          <w:b/>
          <w:bCs/>
          <w:i/>
          <w:color w:val="auto"/>
          <w:sz w:val="20"/>
          <w:szCs w:val="20"/>
          <w:lang w:eastAsia="es-ES"/>
        </w:rPr>
        <w:t>6249</w:t>
      </w:r>
      <w:r w:rsidRPr="00860DB8">
        <w:rPr>
          <w:rFonts w:eastAsia="Times New Roman" w:cs="Tahoma"/>
          <w:b/>
          <w:bCs/>
          <w:i/>
          <w:color w:val="auto"/>
          <w:sz w:val="20"/>
          <w:szCs w:val="20"/>
          <w:lang w:eastAsia="es-ES"/>
        </w:rPr>
        <w:t>/INFOEM/IP/RR/2022</w:t>
      </w:r>
    </w:p>
    <w:p w:rsidRPr="00860DB8" w:rsidR="00643CB5" w:rsidP="00057880" w:rsidRDefault="00643CB5" w14:paraId="3EF111A4" w14:textId="77777777">
      <w:pPr>
        <w:spacing w:after="0" w:line="360" w:lineRule="auto"/>
        <w:ind w:right="567" w:firstLine="567"/>
        <w:contextualSpacing/>
        <w:rPr>
          <w:rFonts w:eastAsia="Times New Roman" w:cs="Tahoma"/>
          <w:b/>
          <w:bCs/>
          <w:i/>
          <w:color w:val="auto"/>
          <w:sz w:val="20"/>
          <w:szCs w:val="20"/>
          <w:lang w:eastAsia="es-ES"/>
        </w:rPr>
      </w:pPr>
      <w:r w:rsidRPr="00860DB8">
        <w:rPr>
          <w:rFonts w:eastAsia="Times New Roman" w:cs="Tahoma"/>
          <w:b/>
          <w:bCs/>
          <w:i/>
          <w:color w:val="auto"/>
          <w:sz w:val="20"/>
          <w:szCs w:val="20"/>
          <w:lang w:eastAsia="es-ES"/>
        </w:rPr>
        <w:t>“ACTO IMPUGNADO</w:t>
      </w:r>
    </w:p>
    <w:p w:rsidRPr="00860DB8" w:rsidR="00643CB5" w:rsidP="00057880" w:rsidRDefault="00024070" w14:paraId="413E94B9" w14:textId="541D913C">
      <w:pPr>
        <w:spacing w:after="0" w:line="360" w:lineRule="auto"/>
        <w:ind w:left="567" w:right="567"/>
        <w:contextualSpacing/>
        <w:rPr>
          <w:rFonts w:eastAsia="Times New Roman" w:cs="Times New Roman"/>
          <w:i/>
          <w:color w:val="auto"/>
          <w:sz w:val="20"/>
          <w:szCs w:val="20"/>
          <w:lang w:eastAsia="es-MX"/>
        </w:rPr>
      </w:pPr>
      <w:r w:rsidRPr="00860DB8">
        <w:rPr>
          <w:i/>
          <w:color w:val="000000"/>
          <w:sz w:val="20"/>
          <w:szCs w:val="20"/>
        </w:rPr>
        <w:t xml:space="preserve">La respuesta con datos testados e infundada a mi solicitud así como el testado de percepciones como dietas y compensaciones y el documento de </w:t>
      </w:r>
      <w:proofErr w:type="spellStart"/>
      <w:r w:rsidRPr="00860DB8">
        <w:rPr>
          <w:i/>
          <w:color w:val="000000"/>
          <w:sz w:val="20"/>
          <w:szCs w:val="20"/>
        </w:rPr>
        <w:t>dispersion</w:t>
      </w:r>
      <w:proofErr w:type="spellEnd"/>
      <w:r w:rsidRPr="00860DB8">
        <w:rPr>
          <w:i/>
          <w:color w:val="000000"/>
          <w:sz w:val="20"/>
          <w:szCs w:val="20"/>
        </w:rPr>
        <w:t xml:space="preserve"> el cual presenta datos ocultos que parecen estar alterados ya que se solicita el documento de dispersión de nomina el cual es generado al momento de realizar la transferencia y no </w:t>
      </w:r>
      <w:proofErr w:type="spellStart"/>
      <w:r w:rsidRPr="00860DB8">
        <w:rPr>
          <w:i/>
          <w:color w:val="000000"/>
          <w:sz w:val="20"/>
          <w:szCs w:val="20"/>
        </w:rPr>
        <w:t>asi</w:t>
      </w:r>
      <w:proofErr w:type="spellEnd"/>
      <w:r w:rsidRPr="00860DB8">
        <w:rPr>
          <w:i/>
          <w:color w:val="000000"/>
          <w:sz w:val="20"/>
          <w:szCs w:val="20"/>
        </w:rPr>
        <w:t xml:space="preserve"> una mera consulta como el mismo documento refiere. Asimismo el acta que se adjunta refiere en su texto la atención a múltiples solicitudes sin referir el folio de la solicitud a la cual doy seguimiento mediante la interposición del presente recurso para garantizar mi derecho a conocer el uso y destino de los recursos públicos</w:t>
      </w:r>
      <w:r w:rsidRPr="00860DB8" w:rsidR="00643CB5">
        <w:rPr>
          <w:i/>
          <w:color w:val="000000"/>
          <w:sz w:val="20"/>
          <w:szCs w:val="20"/>
        </w:rPr>
        <w:t>.</w:t>
      </w:r>
      <w:r w:rsidRPr="00860DB8" w:rsidR="00643CB5">
        <w:rPr>
          <w:i/>
          <w:sz w:val="20"/>
          <w:szCs w:val="20"/>
        </w:rPr>
        <w:t>”</w:t>
      </w:r>
      <w:r w:rsidRPr="00860DB8" w:rsidR="00643CB5">
        <w:rPr>
          <w:bCs/>
          <w:i/>
          <w:sz w:val="20"/>
          <w:szCs w:val="20"/>
        </w:rPr>
        <w:t xml:space="preserve"> </w:t>
      </w:r>
      <w:r w:rsidRPr="00860DB8" w:rsidR="00643CB5">
        <w:rPr>
          <w:rFonts w:eastAsia="Times New Roman" w:cs="Tahoma"/>
          <w:bCs/>
          <w:i/>
          <w:color w:val="auto"/>
          <w:sz w:val="20"/>
          <w:szCs w:val="20"/>
          <w:lang w:eastAsia="es-ES"/>
        </w:rPr>
        <w:t>(Sic)</w:t>
      </w:r>
    </w:p>
    <w:p w:rsidRPr="00860DB8" w:rsidR="00643CB5" w:rsidP="00057880" w:rsidRDefault="00643CB5" w14:paraId="18DC5660" w14:textId="77777777">
      <w:pPr>
        <w:spacing w:after="0" w:line="360" w:lineRule="auto"/>
        <w:ind w:left="567" w:right="567"/>
        <w:contextualSpacing/>
        <w:rPr>
          <w:rFonts w:eastAsia="Times New Roman" w:cs="Tahoma"/>
          <w:bCs/>
          <w:i/>
          <w:color w:val="auto"/>
          <w:sz w:val="20"/>
          <w:szCs w:val="20"/>
          <w:lang w:eastAsia="es-ES"/>
        </w:rPr>
      </w:pPr>
    </w:p>
    <w:p w:rsidRPr="00860DB8" w:rsidR="00643CB5" w:rsidP="00057880" w:rsidRDefault="00643CB5" w14:paraId="57EA5A32" w14:textId="77777777">
      <w:pPr>
        <w:spacing w:after="0" w:line="360" w:lineRule="auto"/>
        <w:ind w:left="567" w:right="567"/>
        <w:contextualSpacing/>
        <w:rPr>
          <w:rFonts w:eastAsia="Times New Roman" w:cs="Tahoma"/>
          <w:b/>
          <w:bCs/>
          <w:i/>
          <w:color w:val="auto"/>
          <w:sz w:val="20"/>
          <w:szCs w:val="20"/>
          <w:lang w:eastAsia="es-ES"/>
        </w:rPr>
      </w:pPr>
      <w:r w:rsidRPr="00860DB8">
        <w:rPr>
          <w:rFonts w:eastAsia="Times New Roman" w:cs="Tahoma"/>
          <w:b/>
          <w:bCs/>
          <w:i/>
          <w:color w:val="auto"/>
          <w:sz w:val="20"/>
          <w:szCs w:val="20"/>
          <w:lang w:eastAsia="es-ES"/>
        </w:rPr>
        <w:t>“RAZONES O MOTIVOS DE LA INCONFORMIDAD</w:t>
      </w:r>
    </w:p>
    <w:p w:rsidRPr="00860DB8" w:rsidR="00643CB5" w:rsidP="00057880" w:rsidRDefault="00024070" w14:paraId="54930847" w14:textId="6CE3F821">
      <w:pPr>
        <w:spacing w:after="0" w:line="360" w:lineRule="auto"/>
        <w:ind w:left="567" w:right="567"/>
        <w:contextualSpacing/>
        <w:rPr>
          <w:rFonts w:eastAsia="Times New Roman" w:cs="Times New Roman"/>
          <w:i/>
          <w:color w:val="auto"/>
          <w:sz w:val="20"/>
          <w:szCs w:val="20"/>
          <w:lang w:eastAsia="es-MX"/>
        </w:rPr>
      </w:pPr>
      <w:r w:rsidRPr="00860DB8">
        <w:rPr>
          <w:i/>
          <w:color w:val="000000"/>
          <w:sz w:val="20"/>
          <w:szCs w:val="20"/>
        </w:rPr>
        <w:t xml:space="preserve">si bien mi solicitud es clara al requerir al sujeto obligado "solicito copia simple </w:t>
      </w:r>
      <w:proofErr w:type="spellStart"/>
      <w:r w:rsidRPr="00860DB8">
        <w:rPr>
          <w:i/>
          <w:color w:val="000000"/>
          <w:sz w:val="20"/>
          <w:szCs w:val="20"/>
        </w:rPr>
        <w:t>via</w:t>
      </w:r>
      <w:proofErr w:type="spellEnd"/>
      <w:r w:rsidRPr="00860DB8">
        <w:rPr>
          <w:i/>
          <w:color w:val="000000"/>
          <w:sz w:val="20"/>
          <w:szCs w:val="20"/>
        </w:rPr>
        <w:t xml:space="preserve"> </w:t>
      </w:r>
      <w:proofErr w:type="spellStart"/>
      <w:r w:rsidRPr="00860DB8">
        <w:rPr>
          <w:i/>
          <w:color w:val="000000"/>
          <w:sz w:val="20"/>
          <w:szCs w:val="20"/>
        </w:rPr>
        <w:t>saimex</w:t>
      </w:r>
      <w:proofErr w:type="spellEnd"/>
      <w:r w:rsidRPr="00860DB8">
        <w:rPr>
          <w:i/>
          <w:color w:val="000000"/>
          <w:sz w:val="20"/>
          <w:szCs w:val="20"/>
        </w:rPr>
        <w:t xml:space="preserve"> de todos los recibos de </w:t>
      </w:r>
      <w:proofErr w:type="spellStart"/>
      <w:r w:rsidRPr="00860DB8">
        <w:rPr>
          <w:i/>
          <w:color w:val="000000"/>
          <w:sz w:val="20"/>
          <w:szCs w:val="20"/>
        </w:rPr>
        <w:t>nomina</w:t>
      </w:r>
      <w:proofErr w:type="spellEnd"/>
      <w:r w:rsidRPr="00860DB8">
        <w:rPr>
          <w:i/>
          <w:color w:val="000000"/>
          <w:sz w:val="20"/>
          <w:szCs w:val="20"/>
        </w:rPr>
        <w:t xml:space="preserve"> del presidente municipal, sindico y regidores , </w:t>
      </w:r>
      <w:proofErr w:type="spellStart"/>
      <w:r w:rsidRPr="00860DB8">
        <w:rPr>
          <w:i/>
          <w:color w:val="000000"/>
          <w:sz w:val="20"/>
          <w:szCs w:val="20"/>
        </w:rPr>
        <w:t>asi</w:t>
      </w:r>
      <w:proofErr w:type="spellEnd"/>
      <w:r w:rsidRPr="00860DB8">
        <w:rPr>
          <w:i/>
          <w:color w:val="000000"/>
          <w:sz w:val="20"/>
          <w:szCs w:val="20"/>
        </w:rPr>
        <w:t xml:space="preserve"> como documento de </w:t>
      </w:r>
      <w:proofErr w:type="spellStart"/>
      <w:r w:rsidRPr="00860DB8">
        <w:rPr>
          <w:i/>
          <w:color w:val="000000"/>
          <w:sz w:val="20"/>
          <w:szCs w:val="20"/>
        </w:rPr>
        <w:t>dispersion</w:t>
      </w:r>
      <w:proofErr w:type="spellEnd"/>
      <w:r w:rsidRPr="00860DB8">
        <w:rPr>
          <w:i/>
          <w:color w:val="000000"/>
          <w:sz w:val="20"/>
          <w:szCs w:val="20"/>
        </w:rPr>
        <w:t xml:space="preserve"> de </w:t>
      </w:r>
      <w:proofErr w:type="spellStart"/>
      <w:r w:rsidRPr="00860DB8">
        <w:rPr>
          <w:i/>
          <w:color w:val="000000"/>
          <w:sz w:val="20"/>
          <w:szCs w:val="20"/>
        </w:rPr>
        <w:t>nomina</w:t>
      </w:r>
      <w:proofErr w:type="spellEnd"/>
      <w:r w:rsidRPr="00860DB8">
        <w:rPr>
          <w:i/>
          <w:color w:val="000000"/>
          <w:sz w:val="20"/>
          <w:szCs w:val="20"/>
        </w:rPr>
        <w:t xml:space="preserve"> de la </w:t>
      </w:r>
      <w:proofErr w:type="spellStart"/>
      <w:r w:rsidRPr="00860DB8">
        <w:rPr>
          <w:i/>
          <w:color w:val="000000"/>
          <w:sz w:val="20"/>
          <w:szCs w:val="20"/>
        </w:rPr>
        <w:t>tesoreria</w:t>
      </w:r>
      <w:proofErr w:type="spellEnd"/>
      <w:r w:rsidRPr="00860DB8">
        <w:rPr>
          <w:i/>
          <w:color w:val="000000"/>
          <w:sz w:val="20"/>
          <w:szCs w:val="20"/>
        </w:rPr>
        <w:t xml:space="preserve"> municipal donde refiera el nombre del banco de donde se realiza la transferencia y el deposito correspondiente a cada servidor </w:t>
      </w:r>
      <w:proofErr w:type="spellStart"/>
      <w:r w:rsidRPr="00860DB8">
        <w:rPr>
          <w:i/>
          <w:color w:val="000000"/>
          <w:sz w:val="20"/>
          <w:szCs w:val="20"/>
        </w:rPr>
        <w:t>publico</w:t>
      </w:r>
      <w:proofErr w:type="spellEnd"/>
      <w:r w:rsidRPr="00860DB8">
        <w:rPr>
          <w:i/>
          <w:color w:val="000000"/>
          <w:sz w:val="20"/>
          <w:szCs w:val="20"/>
        </w:rPr>
        <w:t xml:space="preserve"> mencionado de la quincena del 15 al 30 de septiembre de 2022." en primer lugar de los recibos se testan datos sin referir el fundamento correspondiente, y al realizar la consulta del acta que adjunta el responsable de transparencia hace referencia que es para atender diversas solicitudes de </w:t>
      </w:r>
      <w:proofErr w:type="spellStart"/>
      <w:r w:rsidRPr="00860DB8">
        <w:rPr>
          <w:i/>
          <w:color w:val="000000"/>
          <w:sz w:val="20"/>
          <w:szCs w:val="20"/>
        </w:rPr>
        <w:t>informacion</w:t>
      </w:r>
      <w:proofErr w:type="spellEnd"/>
      <w:r w:rsidRPr="00860DB8">
        <w:rPr>
          <w:i/>
          <w:color w:val="000000"/>
          <w:sz w:val="20"/>
          <w:szCs w:val="20"/>
        </w:rPr>
        <w:t xml:space="preserve"> del ejercicio 2022 lo que genera incertidumbre en la forma que pretenden justificar y fundamentar los </w:t>
      </w:r>
      <w:r w:rsidRPr="00860DB8">
        <w:rPr>
          <w:i/>
          <w:color w:val="000000"/>
          <w:sz w:val="20"/>
          <w:szCs w:val="20"/>
        </w:rPr>
        <w:lastRenderedPageBreak/>
        <w:t xml:space="preserve">motivos para testar los datos que aparecen en los documentos solicitados, careciendo la misma de </w:t>
      </w:r>
      <w:proofErr w:type="spellStart"/>
      <w:r w:rsidRPr="00860DB8">
        <w:rPr>
          <w:i/>
          <w:color w:val="000000"/>
          <w:sz w:val="20"/>
          <w:szCs w:val="20"/>
        </w:rPr>
        <w:t>fundamentacion</w:t>
      </w:r>
      <w:proofErr w:type="spellEnd"/>
      <w:r w:rsidRPr="00860DB8">
        <w:rPr>
          <w:i/>
          <w:color w:val="000000"/>
          <w:sz w:val="20"/>
          <w:szCs w:val="20"/>
        </w:rPr>
        <w:t xml:space="preserve"> y </w:t>
      </w:r>
      <w:proofErr w:type="spellStart"/>
      <w:r w:rsidRPr="00860DB8">
        <w:rPr>
          <w:i/>
          <w:color w:val="000000"/>
          <w:sz w:val="20"/>
          <w:szCs w:val="20"/>
        </w:rPr>
        <w:t>motivacion</w:t>
      </w:r>
      <w:proofErr w:type="spellEnd"/>
      <w:r w:rsidRPr="00860DB8">
        <w:rPr>
          <w:i/>
          <w:color w:val="000000"/>
          <w:sz w:val="20"/>
          <w:szCs w:val="20"/>
        </w:rPr>
        <w:t xml:space="preserve"> para el testado de los datos en supuestas versiones </w:t>
      </w:r>
      <w:proofErr w:type="spellStart"/>
      <w:r w:rsidRPr="00860DB8">
        <w:rPr>
          <w:i/>
          <w:color w:val="000000"/>
          <w:sz w:val="20"/>
          <w:szCs w:val="20"/>
        </w:rPr>
        <w:t>publicas</w:t>
      </w:r>
      <w:proofErr w:type="spellEnd"/>
      <w:r w:rsidRPr="00860DB8">
        <w:rPr>
          <w:i/>
          <w:color w:val="000000"/>
          <w:sz w:val="20"/>
          <w:szCs w:val="20"/>
        </w:rPr>
        <w:t xml:space="preserve">, sin dejar de referir que el recibo del sexto regidor no </w:t>
      </w:r>
      <w:proofErr w:type="spellStart"/>
      <w:r w:rsidRPr="00860DB8">
        <w:rPr>
          <w:i/>
          <w:color w:val="000000"/>
          <w:sz w:val="20"/>
          <w:szCs w:val="20"/>
        </w:rPr>
        <w:t>esta</w:t>
      </w:r>
      <w:proofErr w:type="spellEnd"/>
      <w:r w:rsidRPr="00860DB8">
        <w:rPr>
          <w:i/>
          <w:color w:val="000000"/>
          <w:sz w:val="20"/>
          <w:szCs w:val="20"/>
        </w:rPr>
        <w:t xml:space="preserve"> firmado en el apartado </w:t>
      </w:r>
      <w:proofErr w:type="spellStart"/>
      <w:r w:rsidRPr="00860DB8">
        <w:rPr>
          <w:i/>
          <w:color w:val="000000"/>
          <w:sz w:val="20"/>
          <w:szCs w:val="20"/>
        </w:rPr>
        <w:t>correspodiente</w:t>
      </w:r>
      <w:proofErr w:type="spellEnd"/>
      <w:r w:rsidRPr="00860DB8">
        <w:rPr>
          <w:i/>
          <w:color w:val="000000"/>
          <w:sz w:val="20"/>
          <w:szCs w:val="20"/>
        </w:rPr>
        <w:t xml:space="preserve"> firmado en fecha posterior como se logra ver 19/10/2022 es decir, genera duda en que la </w:t>
      </w:r>
      <w:proofErr w:type="spellStart"/>
      <w:r w:rsidRPr="00860DB8">
        <w:rPr>
          <w:i/>
          <w:color w:val="000000"/>
          <w:sz w:val="20"/>
          <w:szCs w:val="20"/>
        </w:rPr>
        <w:t>documentacion</w:t>
      </w:r>
      <w:proofErr w:type="spellEnd"/>
      <w:r w:rsidRPr="00860DB8">
        <w:rPr>
          <w:i/>
          <w:color w:val="000000"/>
          <w:sz w:val="20"/>
          <w:szCs w:val="20"/>
        </w:rPr>
        <w:t xml:space="preserve"> recibos de nomina sea </w:t>
      </w:r>
      <w:proofErr w:type="spellStart"/>
      <w:r w:rsidRPr="00860DB8">
        <w:rPr>
          <w:i/>
          <w:color w:val="000000"/>
          <w:sz w:val="20"/>
          <w:szCs w:val="20"/>
        </w:rPr>
        <w:t>informacion</w:t>
      </w:r>
      <w:proofErr w:type="spellEnd"/>
      <w:r w:rsidRPr="00860DB8">
        <w:rPr>
          <w:i/>
          <w:color w:val="000000"/>
          <w:sz w:val="20"/>
          <w:szCs w:val="20"/>
        </w:rPr>
        <w:t xml:space="preserve"> </w:t>
      </w:r>
      <w:proofErr w:type="spellStart"/>
      <w:r w:rsidRPr="00860DB8">
        <w:rPr>
          <w:i/>
          <w:color w:val="000000"/>
          <w:sz w:val="20"/>
          <w:szCs w:val="20"/>
        </w:rPr>
        <w:t>veridica</w:t>
      </w:r>
      <w:proofErr w:type="spellEnd"/>
      <w:r w:rsidRPr="00860DB8">
        <w:rPr>
          <w:i/>
          <w:color w:val="000000"/>
          <w:sz w:val="20"/>
          <w:szCs w:val="20"/>
        </w:rPr>
        <w:t xml:space="preserve"> </w:t>
      </w:r>
      <w:proofErr w:type="spellStart"/>
      <w:r w:rsidRPr="00860DB8">
        <w:rPr>
          <w:i/>
          <w:color w:val="000000"/>
          <w:sz w:val="20"/>
          <w:szCs w:val="20"/>
        </w:rPr>
        <w:t>asi</w:t>
      </w:r>
      <w:proofErr w:type="spellEnd"/>
      <w:r w:rsidRPr="00860DB8">
        <w:rPr>
          <w:i/>
          <w:color w:val="000000"/>
          <w:sz w:val="20"/>
          <w:szCs w:val="20"/>
        </w:rPr>
        <w:t xml:space="preserve"> como el documento que refiere consulta de dispersión de </w:t>
      </w:r>
      <w:proofErr w:type="spellStart"/>
      <w:r w:rsidRPr="00860DB8">
        <w:rPr>
          <w:i/>
          <w:color w:val="000000"/>
          <w:sz w:val="20"/>
          <w:szCs w:val="20"/>
        </w:rPr>
        <w:t>nomina</w:t>
      </w:r>
      <w:proofErr w:type="spellEnd"/>
      <w:r w:rsidRPr="00860DB8">
        <w:rPr>
          <w:i/>
          <w:color w:val="000000"/>
          <w:sz w:val="20"/>
          <w:szCs w:val="20"/>
        </w:rPr>
        <w:t xml:space="preserve"> de fecha 12/10/2022 cuando la </w:t>
      </w:r>
      <w:proofErr w:type="spellStart"/>
      <w:r w:rsidRPr="00860DB8">
        <w:rPr>
          <w:i/>
          <w:color w:val="000000"/>
          <w:sz w:val="20"/>
          <w:szCs w:val="20"/>
        </w:rPr>
        <w:t>dispersion</w:t>
      </w:r>
      <w:proofErr w:type="spellEnd"/>
      <w:r w:rsidRPr="00860DB8">
        <w:rPr>
          <w:i/>
          <w:color w:val="000000"/>
          <w:sz w:val="20"/>
          <w:szCs w:val="20"/>
        </w:rPr>
        <w:t xml:space="preserve"> se realiza el </w:t>
      </w:r>
      <w:proofErr w:type="spellStart"/>
      <w:r w:rsidRPr="00860DB8">
        <w:rPr>
          <w:i/>
          <w:color w:val="000000"/>
          <w:sz w:val="20"/>
          <w:szCs w:val="20"/>
        </w:rPr>
        <w:t>dia</w:t>
      </w:r>
      <w:proofErr w:type="spellEnd"/>
      <w:r w:rsidRPr="00860DB8">
        <w:rPr>
          <w:i/>
          <w:color w:val="000000"/>
          <w:sz w:val="20"/>
          <w:szCs w:val="20"/>
        </w:rPr>
        <w:t xml:space="preserve"> 30 de septiembre de 2022. por lo anterior se violenta mi derecho de acceso al no ser claro en dar </w:t>
      </w:r>
      <w:proofErr w:type="spellStart"/>
      <w:r w:rsidRPr="00860DB8">
        <w:rPr>
          <w:i/>
          <w:color w:val="000000"/>
          <w:sz w:val="20"/>
          <w:szCs w:val="20"/>
        </w:rPr>
        <w:t>atencion</w:t>
      </w:r>
      <w:proofErr w:type="spellEnd"/>
      <w:r w:rsidRPr="00860DB8">
        <w:rPr>
          <w:i/>
          <w:color w:val="000000"/>
          <w:sz w:val="20"/>
          <w:szCs w:val="20"/>
        </w:rPr>
        <w:t xml:space="preserve"> debidamente fundada, motivada y real a mi solicitud de información solicitando al INFOEM ordene al ayuntamiento de </w:t>
      </w:r>
      <w:proofErr w:type="spellStart"/>
      <w:r w:rsidRPr="00860DB8">
        <w:rPr>
          <w:i/>
          <w:color w:val="000000"/>
          <w:sz w:val="20"/>
          <w:szCs w:val="20"/>
        </w:rPr>
        <w:t>Jilotzingo</w:t>
      </w:r>
      <w:proofErr w:type="spellEnd"/>
      <w:r w:rsidRPr="00860DB8">
        <w:rPr>
          <w:i/>
          <w:color w:val="000000"/>
          <w:sz w:val="20"/>
          <w:szCs w:val="20"/>
        </w:rPr>
        <w:t xml:space="preserve"> hacer entrega de la información solicitada real y debidamente fundada y motivada.,</w:t>
      </w:r>
      <w:r w:rsidRPr="00860DB8" w:rsidR="00643CB5">
        <w:rPr>
          <w:i/>
          <w:color w:val="000000"/>
          <w:sz w:val="20"/>
          <w:szCs w:val="20"/>
        </w:rPr>
        <w:t>”</w:t>
      </w:r>
      <w:r w:rsidRPr="00860DB8" w:rsidR="00643CB5">
        <w:rPr>
          <w:bCs/>
          <w:i/>
          <w:color w:val="000000"/>
          <w:sz w:val="20"/>
          <w:szCs w:val="20"/>
        </w:rPr>
        <w:t xml:space="preserve"> </w:t>
      </w:r>
      <w:r w:rsidRPr="00860DB8" w:rsidR="00643CB5">
        <w:rPr>
          <w:rFonts w:eastAsia="Times New Roman" w:cs="Tahoma"/>
          <w:bCs/>
          <w:i/>
          <w:color w:val="auto"/>
          <w:sz w:val="20"/>
          <w:szCs w:val="20"/>
          <w:lang w:eastAsia="es-ES"/>
        </w:rPr>
        <w:t>(Sic)</w:t>
      </w:r>
    </w:p>
    <w:p w:rsidRPr="00860DB8" w:rsidR="00643CB5" w:rsidP="00057880" w:rsidRDefault="00643CB5" w14:paraId="27B17D03" w14:textId="77777777">
      <w:pPr>
        <w:spacing w:after="0" w:line="360" w:lineRule="auto"/>
        <w:contextualSpacing/>
        <w:rPr>
          <w:rFonts w:eastAsia="Calibri" w:cs="Tahoma"/>
          <w:b/>
          <w:color w:val="000000"/>
        </w:rPr>
      </w:pPr>
    </w:p>
    <w:p w:rsidRPr="00860DB8" w:rsidR="00643CB5" w:rsidP="00057880" w:rsidRDefault="00643CB5" w14:paraId="5F15A12C" w14:textId="77777777">
      <w:pPr>
        <w:spacing w:after="0" w:line="360" w:lineRule="auto"/>
        <w:contextualSpacing/>
        <w:rPr>
          <w:rFonts w:eastAsia="Batang" w:cs="Tahoma"/>
          <w:b/>
          <w:bCs/>
          <w:color w:val="000000"/>
        </w:rPr>
      </w:pPr>
      <w:r w:rsidRPr="00860DB8">
        <w:rPr>
          <w:rFonts w:eastAsia="Calibri" w:cs="Tahoma"/>
          <w:b/>
          <w:color w:val="000000"/>
        </w:rPr>
        <w:t xml:space="preserve">IV. </w:t>
      </w:r>
      <w:r w:rsidRPr="00860DB8">
        <w:rPr>
          <w:rFonts w:eastAsia="Batang" w:cs="Tahoma"/>
          <w:b/>
          <w:bCs/>
          <w:color w:val="000000"/>
        </w:rPr>
        <w:t>Trámite de los Recursos de Revisión</w:t>
      </w:r>
      <w:r w:rsidRPr="00860DB8">
        <w:rPr>
          <w:rFonts w:eastAsia="Calibri" w:cs="Tahoma"/>
          <w:b/>
          <w:color w:val="000000"/>
        </w:rPr>
        <w:t xml:space="preserve"> </w:t>
      </w:r>
      <w:r w:rsidRPr="00860DB8">
        <w:rPr>
          <w:rFonts w:eastAsia="Batang" w:cs="Tahoma"/>
          <w:b/>
          <w:bCs/>
          <w:color w:val="000000"/>
        </w:rPr>
        <w:t>ante este Instituto.</w:t>
      </w:r>
    </w:p>
    <w:p w:rsidRPr="00860DB8" w:rsidR="00643CB5" w:rsidP="00057880" w:rsidRDefault="00643CB5" w14:paraId="5BD500F4" w14:textId="77777777">
      <w:pPr>
        <w:spacing w:after="0" w:line="360" w:lineRule="auto"/>
        <w:contextualSpacing/>
        <w:rPr>
          <w:rFonts w:eastAsia="Batang" w:cs="Tahoma"/>
          <w:bCs/>
          <w:color w:val="000000"/>
        </w:rPr>
      </w:pPr>
    </w:p>
    <w:p w:rsidRPr="00860DB8" w:rsidR="00643CB5" w:rsidP="00057880" w:rsidRDefault="00643CB5" w14:paraId="15928708" w14:textId="1AC942D0">
      <w:pPr>
        <w:spacing w:after="0" w:line="360" w:lineRule="auto"/>
        <w:contextualSpacing/>
        <w:rPr>
          <w:rFonts w:eastAsia="Batang" w:cs="Tahoma"/>
          <w:b/>
          <w:bCs/>
          <w:color w:val="000000"/>
        </w:rPr>
      </w:pPr>
      <w:r w:rsidRPr="00860DB8">
        <w:rPr>
          <w:rFonts w:eastAsia="Batang" w:cs="Tahoma"/>
          <w:b/>
          <w:bCs/>
          <w:color w:val="000000"/>
        </w:rPr>
        <w:t xml:space="preserve">a) Turno de los Medios de Impugnación. </w:t>
      </w:r>
      <w:r w:rsidRPr="00860DB8">
        <w:rPr>
          <w:rFonts w:eastAsia="Batang" w:cs="Tahoma"/>
          <w:color w:val="000000"/>
        </w:rPr>
        <w:t xml:space="preserve">Con fechas </w:t>
      </w:r>
      <w:r w:rsidRPr="00860DB8" w:rsidR="00DE3082">
        <w:rPr>
          <w:rFonts w:eastAsia="Batang" w:cs="Tahoma"/>
          <w:color w:val="000000"/>
        </w:rPr>
        <w:t>diecinueve de octubre y once de noviembre</w:t>
      </w:r>
      <w:r w:rsidRPr="00860DB8">
        <w:rPr>
          <w:rFonts w:eastAsia="Batang" w:cs="Tahoma"/>
          <w:bCs/>
          <w:color w:val="000000"/>
        </w:rPr>
        <w:t xml:space="preserve"> </w:t>
      </w:r>
      <w:r w:rsidRPr="00860DB8">
        <w:rPr>
          <w:rFonts w:eastAsia="Times New Roman" w:cs="Tahoma"/>
          <w:bCs/>
          <w:color w:val="auto"/>
          <w:lang w:eastAsia="es-ES"/>
        </w:rPr>
        <w:t>de dos mil veintidós</w:t>
      </w:r>
      <w:r w:rsidRPr="00860DB8">
        <w:rPr>
          <w:rFonts w:eastAsia="Batang" w:cs="Tahoma"/>
          <w:bCs/>
          <w:color w:val="000000"/>
        </w:rPr>
        <w:t xml:space="preserve">, el </w:t>
      </w:r>
      <w:r w:rsidRPr="00860DB8">
        <w:rPr>
          <w:rFonts w:eastAsia="Calibri" w:cs="Tahoma"/>
          <w:color w:val="000000"/>
          <w:lang w:val="es-ES"/>
        </w:rPr>
        <w:t>Sistema de Acceso a la Información Mexiquense (SAIMEX),</w:t>
      </w:r>
      <w:r w:rsidRPr="00860DB8">
        <w:rPr>
          <w:rFonts w:eastAsia="Batang" w:cs="Tahoma"/>
          <w:bCs/>
          <w:color w:val="000000"/>
        </w:rPr>
        <w:t xml:space="preserve"> asignó los números de expediente </w:t>
      </w:r>
      <w:r w:rsidRPr="00860DB8">
        <w:rPr>
          <w:rFonts w:eastAsia="Batang" w:cs="Tahoma"/>
          <w:color w:val="000000"/>
        </w:rPr>
        <w:t>1</w:t>
      </w:r>
      <w:r w:rsidRPr="00860DB8" w:rsidR="00DE3082">
        <w:rPr>
          <w:rFonts w:eastAsia="Batang" w:cs="Tahoma"/>
          <w:color w:val="000000"/>
        </w:rPr>
        <w:t>5701</w:t>
      </w:r>
      <w:r w:rsidRPr="00860DB8">
        <w:rPr>
          <w:rFonts w:eastAsia="Calibri" w:cs="Tahoma"/>
        </w:rPr>
        <w:t xml:space="preserve">/INFOEM/IP/RR/2022 y </w:t>
      </w:r>
      <w:r w:rsidRPr="00860DB8">
        <w:rPr>
          <w:rFonts w:eastAsia="Batang" w:cs="Tahoma"/>
          <w:color w:val="000000"/>
        </w:rPr>
        <w:t>1</w:t>
      </w:r>
      <w:r w:rsidRPr="00860DB8" w:rsidR="00DE3082">
        <w:rPr>
          <w:rFonts w:eastAsia="Batang" w:cs="Tahoma"/>
          <w:color w:val="000000"/>
        </w:rPr>
        <w:t>6</w:t>
      </w:r>
      <w:r w:rsidRPr="00860DB8">
        <w:rPr>
          <w:rFonts w:eastAsia="Batang" w:cs="Tahoma"/>
          <w:color w:val="000000"/>
        </w:rPr>
        <w:t>2</w:t>
      </w:r>
      <w:r w:rsidRPr="00860DB8" w:rsidR="00DE3082">
        <w:rPr>
          <w:rFonts w:eastAsia="Batang" w:cs="Tahoma"/>
          <w:color w:val="000000"/>
        </w:rPr>
        <w:t>49</w:t>
      </w:r>
      <w:r w:rsidRPr="00860DB8">
        <w:rPr>
          <w:rFonts w:eastAsia="Calibri" w:cs="Tahoma"/>
        </w:rPr>
        <w:t>/INFOEM/IP/RR/2022</w:t>
      </w:r>
      <w:r w:rsidRPr="00860DB8">
        <w:rPr>
          <w:rFonts w:eastAsia="Batang" w:cs="Tahoma"/>
          <w:bCs/>
          <w:color w:val="000000"/>
        </w:rPr>
        <w:t xml:space="preserve">, a los Medios de Impugnación que nos ocupan, con base en el sistema aprobado por el Pleno de este Órgano Garante y los turnó a los Comisionados Luis Gustavo Parra Noriega y </w:t>
      </w:r>
      <w:r w:rsidRPr="00860DB8" w:rsidR="00DE3082">
        <w:rPr>
          <w:rFonts w:eastAsia="Batang" w:cs="Tahoma"/>
          <w:bCs/>
          <w:color w:val="000000"/>
        </w:rPr>
        <w:t>Guadalupe Ramírez Peña</w:t>
      </w:r>
      <w:r w:rsidRPr="00860DB8">
        <w:rPr>
          <w:rFonts w:eastAsia="Batang" w:cs="Tahoma"/>
          <w:bCs/>
          <w:color w:val="000000"/>
        </w:rPr>
        <w:t>, para los efectos del artículo 185, fracción I de la Ley de Transparencia y Acceso a la Información Pública del Estado de México y Municipios.</w:t>
      </w:r>
    </w:p>
    <w:p w:rsidRPr="00860DB8" w:rsidR="00643CB5" w:rsidP="00057880" w:rsidRDefault="00643CB5" w14:paraId="3152F115" w14:textId="77777777">
      <w:pPr>
        <w:spacing w:after="0" w:line="360" w:lineRule="auto"/>
        <w:contextualSpacing/>
        <w:rPr>
          <w:rFonts w:eastAsia="Batang" w:cs="Tahoma"/>
          <w:bCs/>
          <w:color w:val="000000"/>
        </w:rPr>
      </w:pPr>
    </w:p>
    <w:p w:rsidRPr="00860DB8" w:rsidR="00643CB5" w:rsidP="00057880" w:rsidRDefault="00643CB5" w14:paraId="55F78ECA" w14:textId="4A26FEF6">
      <w:pPr>
        <w:spacing w:after="0" w:line="360" w:lineRule="auto"/>
        <w:contextualSpacing/>
        <w:rPr>
          <w:rFonts w:eastAsia="Times New Roman" w:cs="Tahoma"/>
          <w:b/>
          <w:bCs/>
          <w:color w:val="auto"/>
          <w:lang w:eastAsia="es-ES"/>
        </w:rPr>
      </w:pPr>
      <w:r w:rsidRPr="00860DB8">
        <w:rPr>
          <w:rFonts w:eastAsia="Times New Roman" w:cs="Tahoma"/>
          <w:b/>
          <w:bCs/>
          <w:color w:val="auto"/>
          <w:lang w:eastAsia="es-ES"/>
        </w:rPr>
        <w:t>b) Admisión de los Recursos de Revisión</w:t>
      </w:r>
      <w:r w:rsidRPr="00860DB8">
        <w:rPr>
          <w:rFonts w:eastAsia="Times New Roman" w:cs="Tahoma"/>
          <w:b/>
          <w:bCs/>
          <w:color w:val="auto"/>
          <w:lang w:val="es-ES_tradnl" w:eastAsia="es-ES"/>
        </w:rPr>
        <w:t xml:space="preserve">. </w:t>
      </w:r>
      <w:r w:rsidRPr="00860DB8">
        <w:rPr>
          <w:rFonts w:eastAsia="Batang" w:cs="Tahoma"/>
          <w:bCs/>
          <w:color w:val="000000"/>
        </w:rPr>
        <w:t xml:space="preserve">El </w:t>
      </w:r>
      <w:r w:rsidRPr="00860DB8" w:rsidR="00CE79C3">
        <w:rPr>
          <w:rFonts w:eastAsia="Batang" w:cs="Tahoma"/>
          <w:bCs/>
          <w:color w:val="000000"/>
        </w:rPr>
        <w:t>veinticuatro de octubre y diez de noviembre</w:t>
      </w:r>
      <w:r w:rsidRPr="00860DB8">
        <w:rPr>
          <w:rFonts w:eastAsia="Batang" w:cs="Tahoma"/>
          <w:bCs/>
          <w:color w:val="000000"/>
        </w:rPr>
        <w:t xml:space="preserve"> de dos mil veintidós</w:t>
      </w:r>
      <w:r w:rsidRPr="00860DB8">
        <w:rPr>
          <w:rFonts w:eastAsia="Times New Roman" w:cs="Tahoma"/>
          <w:bCs/>
          <w:color w:val="auto"/>
          <w:lang w:val="es-ES_tradnl" w:eastAsia="es-ES"/>
        </w:rPr>
        <w:t xml:space="preserve">, se acordó la admisión de los Recursos de Revisión interpuestos por el Recurrente en contra del Sujeto Obligado, en términos del artículo 185, fracciones I y II de la Ley de Transparencia y Acceso a la Información Pública del Estado de México y Municipios, las cuáles fueron debidamente notificados a las partes, a través del Sistema de Acceso a la Información Mexiquense (SAIMEX), en el que se les otorgó un plazo de siete días hábiles </w:t>
      </w:r>
      <w:r w:rsidRPr="00860DB8">
        <w:rPr>
          <w:rFonts w:eastAsia="Times New Roman" w:cs="Tahoma"/>
          <w:bCs/>
          <w:color w:val="auto"/>
          <w:lang w:val="es-ES_tradnl" w:eastAsia="es-ES"/>
        </w:rPr>
        <w:lastRenderedPageBreak/>
        <w:t xml:space="preserve">posteriores a la misma, para que manifestaran lo que a su derecho conviniera y formularan alegatos. </w:t>
      </w:r>
    </w:p>
    <w:p w:rsidRPr="00860DB8" w:rsidR="00643CB5" w:rsidP="00057880" w:rsidRDefault="00643CB5" w14:paraId="152DC542" w14:textId="77777777">
      <w:pPr>
        <w:spacing w:after="0" w:line="360" w:lineRule="auto"/>
        <w:contextualSpacing/>
        <w:rPr>
          <w:rFonts w:cs="Tahoma"/>
        </w:rPr>
      </w:pPr>
    </w:p>
    <w:p w:rsidRPr="00860DB8" w:rsidR="00643CB5" w:rsidP="00057880" w:rsidRDefault="00643CB5" w14:paraId="17F541B5" w14:textId="77777777">
      <w:pPr>
        <w:autoSpaceDE w:val="0"/>
        <w:autoSpaceDN w:val="0"/>
        <w:adjustRightInd w:val="0"/>
        <w:spacing w:after="0" w:line="360" w:lineRule="auto"/>
        <w:contextualSpacing/>
        <w:rPr>
          <w:rFonts w:cs="Tahoma"/>
          <w:i/>
          <w:iCs/>
          <w:sz w:val="20"/>
          <w:szCs w:val="20"/>
          <w:lang w:val="es-ES_tradnl"/>
        </w:rPr>
      </w:pPr>
      <w:r w:rsidRPr="00860DB8">
        <w:rPr>
          <w:rFonts w:eastAsia="Times New Roman" w:cs="Tahoma"/>
          <w:b/>
          <w:bCs/>
          <w:color w:val="auto"/>
          <w:lang w:eastAsia="es-ES"/>
        </w:rPr>
        <w:t xml:space="preserve">c) </w:t>
      </w:r>
      <w:r w:rsidRPr="00860DB8">
        <w:rPr>
          <w:rFonts w:eastAsia="Batang" w:cs="Tahoma"/>
          <w:b/>
          <w:bCs/>
        </w:rPr>
        <w:t xml:space="preserve">Informe Justificado o Manifestaciones.  </w:t>
      </w:r>
      <w:r w:rsidRPr="00860DB8">
        <w:rPr>
          <w:rFonts w:eastAsia="Batang" w:cs="Tahoma"/>
        </w:rPr>
        <w:t>Las partes fueron omisas en emitir manifestaciones o alegatos.</w:t>
      </w:r>
      <w:r w:rsidRPr="00860DB8">
        <w:rPr>
          <w:rStyle w:val="eop"/>
          <w:color w:val="000000"/>
          <w:shd w:val="clear" w:color="auto" w:fill="FFFFFF"/>
        </w:rPr>
        <w:t> </w:t>
      </w:r>
      <w:r w:rsidRPr="00860DB8">
        <w:rPr>
          <w:rFonts w:cs="Tahoma"/>
          <w:i/>
          <w:iCs/>
          <w:sz w:val="20"/>
          <w:szCs w:val="20"/>
          <w:lang w:val="es-ES_tradnl"/>
        </w:rPr>
        <w:t xml:space="preserve"> </w:t>
      </w:r>
    </w:p>
    <w:p w:rsidRPr="00860DB8" w:rsidR="00643CB5" w:rsidP="00057880" w:rsidRDefault="00643CB5" w14:paraId="36E6703B" w14:textId="77777777">
      <w:pPr>
        <w:autoSpaceDE w:val="0"/>
        <w:autoSpaceDN w:val="0"/>
        <w:adjustRightInd w:val="0"/>
        <w:spacing w:after="0" w:line="360" w:lineRule="auto"/>
        <w:contextualSpacing/>
        <w:rPr>
          <w:rFonts w:cs="Tahoma"/>
          <w:i/>
          <w:iCs/>
          <w:sz w:val="20"/>
          <w:szCs w:val="20"/>
          <w:lang w:val="es-ES_tradnl"/>
        </w:rPr>
      </w:pPr>
    </w:p>
    <w:p w:rsidRPr="00860DB8" w:rsidR="00643CB5" w:rsidP="00057880" w:rsidRDefault="00643CB5" w14:paraId="416C591B" w14:textId="0B65A745">
      <w:pPr>
        <w:spacing w:after="0" w:line="360" w:lineRule="auto"/>
        <w:contextualSpacing/>
        <w:rPr>
          <w:rFonts w:cs="Tahoma"/>
          <w:b/>
          <w:lang w:val="es-ES_tradnl"/>
        </w:rPr>
      </w:pPr>
      <w:r w:rsidRPr="00860DB8">
        <w:rPr>
          <w:rFonts w:eastAsia="Palatino Linotype" w:cs="Palatino Linotype"/>
          <w:b/>
          <w:bCs/>
          <w:lang w:val="es-ES"/>
        </w:rPr>
        <w:t xml:space="preserve">d) </w:t>
      </w:r>
      <w:r w:rsidRPr="00860DB8">
        <w:rPr>
          <w:rFonts w:eastAsia="Times New Roman" w:cs="Tahoma"/>
          <w:b/>
          <w:color w:val="auto"/>
          <w:lang w:eastAsia="es-ES"/>
        </w:rPr>
        <w:t xml:space="preserve">Acumulación de los asuntos. </w:t>
      </w:r>
      <w:r w:rsidRPr="00860DB8">
        <w:rPr>
          <w:rFonts w:eastAsia="Times New Roman" w:cs="Tahoma"/>
          <w:color w:val="auto"/>
          <w:lang w:eastAsia="es-ES"/>
        </w:rPr>
        <w:t>El</w:t>
      </w:r>
      <w:r w:rsidRPr="00860DB8">
        <w:rPr>
          <w:rFonts w:eastAsia="Times New Roman" w:cs="Tahoma"/>
          <w:b/>
          <w:color w:val="auto"/>
          <w:lang w:eastAsia="es-ES"/>
        </w:rPr>
        <w:t xml:space="preserve"> </w:t>
      </w:r>
      <w:r w:rsidRPr="00860DB8" w:rsidR="00CE79C3">
        <w:rPr>
          <w:rFonts w:eastAsia="Times New Roman" w:cs="Tahoma"/>
          <w:bCs/>
          <w:color w:val="auto"/>
          <w:lang w:eastAsia="es-ES"/>
        </w:rPr>
        <w:t>dieciséis de noviembre</w:t>
      </w:r>
      <w:r w:rsidRPr="00860DB8">
        <w:rPr>
          <w:rFonts w:eastAsia="Times New Roman" w:cs="Tahoma"/>
          <w:bCs/>
          <w:color w:val="auto"/>
          <w:lang w:eastAsia="es-ES"/>
        </w:rPr>
        <w:t xml:space="preserve"> de dos mil veintidós, el Pleno del Instituto de Transparencia, Acceso a la Información Pública y Protección de Datos Personales del Estado de México y Municipios, durante la </w:t>
      </w:r>
      <w:r w:rsidRPr="00860DB8" w:rsidR="00CE79C3">
        <w:rPr>
          <w:rFonts w:eastAsia="Times New Roman" w:cs="Tahoma"/>
          <w:bCs/>
          <w:color w:val="auto"/>
          <w:lang w:eastAsia="es-ES"/>
        </w:rPr>
        <w:t>Cuadragésima Primera</w:t>
      </w:r>
      <w:r w:rsidRPr="00860DB8">
        <w:rPr>
          <w:rFonts w:eastAsia="Times New Roman" w:cs="Tahoma"/>
          <w:bCs/>
          <w:color w:val="auto"/>
          <w:lang w:eastAsia="es-ES"/>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860DB8">
        <w:rPr>
          <w:rFonts w:eastAsia="Times New Roman" w:cs="Tahoma"/>
          <w:b/>
          <w:bCs/>
          <w:color w:val="auto"/>
          <w:lang w:eastAsia="es-ES"/>
        </w:rPr>
        <w:t>acordó</w:t>
      </w:r>
      <w:r w:rsidRPr="00860DB8">
        <w:rPr>
          <w:rFonts w:eastAsia="Times New Roman" w:cs="Tahoma"/>
          <w:bCs/>
          <w:color w:val="auto"/>
          <w:lang w:eastAsia="es-ES"/>
        </w:rPr>
        <w:t xml:space="preserve"> la acumulación del Recurso de Revisión </w:t>
      </w:r>
      <w:r w:rsidRPr="00860DB8">
        <w:rPr>
          <w:bCs/>
        </w:rPr>
        <w:t>1</w:t>
      </w:r>
      <w:r w:rsidRPr="00860DB8" w:rsidR="00CE79C3">
        <w:rPr>
          <w:bCs/>
        </w:rPr>
        <w:t>6249</w:t>
      </w:r>
      <w:r w:rsidRPr="00860DB8">
        <w:t xml:space="preserve">/INFOEM/IP/RR/2022 </w:t>
      </w:r>
      <w:r w:rsidRPr="00860DB8">
        <w:rPr>
          <w:rFonts w:eastAsia="Times New Roman" w:cs="Tahoma"/>
          <w:color w:val="auto"/>
          <w:lang w:eastAsia="es-ES"/>
        </w:rPr>
        <w:t>al</w:t>
      </w:r>
      <w:r w:rsidRPr="00860DB8">
        <w:rPr>
          <w:rFonts w:eastAsia="Times New Roman" w:cs="Tahoma"/>
          <w:bCs/>
          <w:color w:val="auto"/>
          <w:lang w:eastAsia="es-ES"/>
        </w:rPr>
        <w:t xml:space="preserve"> diverso </w:t>
      </w:r>
      <w:r w:rsidRPr="00860DB8">
        <w:rPr>
          <w:bCs/>
        </w:rPr>
        <w:t>1</w:t>
      </w:r>
      <w:r w:rsidRPr="00860DB8" w:rsidR="00CE79C3">
        <w:rPr>
          <w:bCs/>
        </w:rPr>
        <w:t>5701</w:t>
      </w:r>
      <w:r w:rsidRPr="00860DB8">
        <w:rPr>
          <w:bCs/>
        </w:rPr>
        <w:t>/INFOEM/IP/RR/2022,</w:t>
      </w:r>
      <w:r w:rsidRPr="00860DB8">
        <w:rPr>
          <w:b/>
          <w:bCs/>
        </w:rPr>
        <w:t xml:space="preserve"> </w:t>
      </w:r>
      <w:r w:rsidRPr="00860DB8">
        <w:rPr>
          <w:rFonts w:eastAsia="Times New Roman" w:cs="Tahoma"/>
          <w:bCs/>
          <w:color w:val="auto"/>
          <w:lang w:eastAsia="es-ES"/>
        </w:rPr>
        <w:t>por ser este último el más antiguo, sustanciado bajo el índice de esta Ponencia.</w:t>
      </w:r>
    </w:p>
    <w:p w:rsidRPr="00860DB8" w:rsidR="00643CB5" w:rsidP="00057880" w:rsidRDefault="00643CB5" w14:paraId="74A33A32" w14:textId="77777777">
      <w:pPr>
        <w:spacing w:after="0" w:line="360" w:lineRule="auto"/>
        <w:contextualSpacing/>
        <w:rPr>
          <w:rFonts w:cs="Tahoma"/>
          <w:b/>
          <w:bCs/>
          <w:sz w:val="20"/>
          <w:szCs w:val="20"/>
          <w:lang w:val="es-ES_tradnl"/>
        </w:rPr>
      </w:pPr>
    </w:p>
    <w:p w:rsidRPr="00860DB8" w:rsidR="00643CB5" w:rsidP="00057880" w:rsidRDefault="00643CB5" w14:paraId="34FC84C1" w14:textId="6AD72C3A">
      <w:pPr>
        <w:spacing w:after="0" w:line="360" w:lineRule="auto"/>
        <w:contextualSpacing/>
        <w:rPr>
          <w:rFonts w:eastAsia="Palatino Linotype" w:cs="Palatino Linotype"/>
          <w:lang w:val="es-ES"/>
        </w:rPr>
      </w:pPr>
      <w:r w:rsidRPr="00860DB8">
        <w:rPr>
          <w:rFonts w:eastAsia="Palatino Linotype" w:cs="Palatino Linotype"/>
          <w:b/>
          <w:bCs/>
          <w:lang w:val="es-ES"/>
        </w:rPr>
        <w:t xml:space="preserve">e) Ampliación de plazo para resolver. </w:t>
      </w:r>
      <w:r w:rsidRPr="00860DB8">
        <w:rPr>
          <w:rFonts w:eastAsia="Palatino Linotype" w:cs="Palatino Linotype"/>
          <w:lang w:val="es-ES"/>
        </w:rPr>
        <w:t xml:space="preserve">El </w:t>
      </w:r>
      <w:r w:rsidRPr="00860DB8" w:rsidR="00CE79C3">
        <w:rPr>
          <w:rFonts w:eastAsia="Palatino Linotype" w:cs="Palatino Linotype"/>
          <w:lang w:val="es-ES"/>
        </w:rPr>
        <w:t>nueve de diciembre</w:t>
      </w:r>
      <w:r w:rsidRPr="00860DB8">
        <w:rPr>
          <w:rFonts w:eastAsia="Palatino Linotype" w:cs="Palatino Linotype"/>
          <w:lang w:val="es-E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860DB8" w:rsidR="00643CB5" w:rsidP="00057880" w:rsidRDefault="00643CB5" w14:paraId="567DABDD" w14:textId="77777777">
      <w:pPr>
        <w:spacing w:after="0" w:line="360" w:lineRule="auto"/>
        <w:contextualSpacing/>
        <w:rPr>
          <w:rFonts w:eastAsia="Palatino Linotype" w:cs="Palatino Linotype"/>
          <w:lang w:val="es-ES"/>
        </w:rPr>
      </w:pPr>
    </w:p>
    <w:p w:rsidRPr="00860DB8" w:rsidR="00643CB5" w:rsidP="00057880" w:rsidRDefault="00643CB5" w14:paraId="2E372FA1" w14:textId="77777777">
      <w:pPr>
        <w:spacing w:after="0" w:line="360" w:lineRule="auto"/>
        <w:contextualSpacing/>
        <w:rPr>
          <w:rFonts w:cs="Tahoma"/>
        </w:rPr>
      </w:pPr>
      <w:r w:rsidRPr="00860DB8">
        <w:rPr>
          <w:rFonts w:cs="Tahoma"/>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Pr="00860DB8">
        <w:rPr>
          <w:rFonts w:cs="Tahoma"/>
        </w:rPr>
        <w:lastRenderedPageBreak/>
        <w:t>el año pasado dentro del mismo periodo, se ha incrementado aproximadamente un 400%, circunstancia atípica que ha rebasado las capacidades técnicas y humanas del personal encargado de la proyección de las resoluciones a dichos medios de impugnación.</w:t>
      </w:r>
    </w:p>
    <w:p w:rsidRPr="00860DB8" w:rsidR="00643CB5" w:rsidP="00057880" w:rsidRDefault="00643CB5" w14:paraId="162AEE03" w14:textId="77777777">
      <w:pPr>
        <w:spacing w:after="0" w:line="360" w:lineRule="auto"/>
        <w:contextualSpacing/>
        <w:rPr>
          <w:rFonts w:cs="Tahoma"/>
        </w:rPr>
      </w:pPr>
    </w:p>
    <w:p w:rsidRPr="00860DB8" w:rsidR="00643CB5" w:rsidP="00057880" w:rsidRDefault="00643CB5" w14:paraId="07F99740" w14:textId="77777777">
      <w:pPr>
        <w:spacing w:after="0" w:line="360" w:lineRule="auto"/>
        <w:contextualSpacing/>
        <w:rPr>
          <w:rFonts w:cs="Tahoma"/>
        </w:rPr>
      </w:pPr>
      <w:r w:rsidRPr="00860DB8">
        <w:rPr>
          <w:rFonts w:cs="Tahoma"/>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860DB8" w:rsidR="00643CB5" w:rsidP="00057880" w:rsidRDefault="00643CB5" w14:paraId="0D2C2188" w14:textId="77777777">
      <w:pPr>
        <w:spacing w:after="0" w:line="360" w:lineRule="auto"/>
        <w:contextualSpacing/>
        <w:rPr>
          <w:rFonts w:cs="Tahoma"/>
        </w:rPr>
      </w:pPr>
    </w:p>
    <w:p w:rsidRPr="00860DB8" w:rsidR="00643CB5" w:rsidP="00057880" w:rsidRDefault="00643CB5" w14:paraId="710F297B" w14:textId="77777777">
      <w:pPr>
        <w:spacing w:after="0" w:line="360" w:lineRule="auto"/>
        <w:contextualSpacing/>
        <w:rPr>
          <w:rFonts w:cs="Tahoma"/>
        </w:rPr>
      </w:pPr>
      <w:r w:rsidRPr="00860DB8">
        <w:rPr>
          <w:rFonts w:cs="Tahoma"/>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860DB8" w:rsidR="00643CB5" w:rsidP="00057880" w:rsidRDefault="00643CB5" w14:paraId="6DB75409" w14:textId="77777777">
      <w:pPr>
        <w:spacing w:after="0" w:line="360" w:lineRule="auto"/>
        <w:contextualSpacing/>
        <w:rPr>
          <w:rFonts w:cs="Tahoma"/>
        </w:rPr>
      </w:pPr>
      <w:r w:rsidRPr="00860DB8">
        <w:rPr>
          <w:rFonts w:cs="Tahoma"/>
        </w:rPr>
        <w:t xml:space="preserve"> </w:t>
      </w:r>
    </w:p>
    <w:p w:rsidRPr="00860DB8" w:rsidR="00643CB5" w:rsidP="00057880" w:rsidRDefault="00643CB5" w14:paraId="2D1FBCF4" w14:textId="77777777">
      <w:pPr>
        <w:spacing w:after="0" w:line="360" w:lineRule="auto"/>
        <w:contextualSpacing/>
        <w:rPr>
          <w:rFonts w:eastAsia="Calibri" w:cs="Tahoma"/>
          <w:bCs/>
        </w:rPr>
      </w:pPr>
      <w:r w:rsidRPr="00860DB8">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rsidRPr="00860DB8" w:rsidR="00643CB5" w:rsidP="00057880" w:rsidRDefault="00643CB5" w14:paraId="35A0B4D5" w14:textId="77777777">
      <w:pPr>
        <w:spacing w:after="0" w:line="360" w:lineRule="auto"/>
        <w:contextualSpacing/>
        <w:rPr>
          <w:rFonts w:eastAsia="Calibri" w:cs="Tahoma"/>
          <w:bCs/>
        </w:rPr>
      </w:pPr>
      <w:r w:rsidRPr="00860DB8">
        <w:rPr>
          <w:rFonts w:eastAsia="Calibri" w:cs="Tahoma"/>
          <w:bCs/>
        </w:rPr>
        <w:t xml:space="preserve"> </w:t>
      </w:r>
    </w:p>
    <w:p w:rsidRPr="00860DB8" w:rsidR="00643CB5" w:rsidP="00057880" w:rsidRDefault="00643CB5" w14:paraId="71462133" w14:textId="77777777">
      <w:pPr>
        <w:numPr>
          <w:ilvl w:val="0"/>
          <w:numId w:val="1"/>
        </w:numPr>
        <w:spacing w:after="0" w:line="360" w:lineRule="auto"/>
        <w:contextualSpacing/>
        <w:rPr>
          <w:rFonts w:eastAsia="Palatino Linotype" w:cs="Palatino Linotype"/>
          <w:szCs w:val="24"/>
          <w:lang w:eastAsia="es-ES"/>
        </w:rPr>
      </w:pPr>
      <w:r w:rsidRPr="00860DB8">
        <w:rPr>
          <w:rFonts w:eastAsia="Palatino Linotype" w:cs="Palatino Linotype"/>
          <w:b/>
          <w:bCs/>
          <w:szCs w:val="24"/>
          <w:lang w:eastAsia="es-ES"/>
        </w:rPr>
        <w:t>Complejidad del asunto:</w:t>
      </w:r>
      <w:r w:rsidRPr="00860DB8">
        <w:rPr>
          <w:rFonts w:eastAsia="Palatino Linotype" w:cs="Palatino Linotype"/>
          <w:szCs w:val="24"/>
          <w:lang w:eastAsia="es-ES"/>
        </w:rPr>
        <w:t xml:space="preserve"> La complejidad de la prueba, la pluralidad de sujetos procesales, el tiempo transcurrido, las características y contexto del recurso.</w:t>
      </w:r>
    </w:p>
    <w:p w:rsidRPr="00860DB8" w:rsidR="00643CB5" w:rsidP="00057880" w:rsidRDefault="00643CB5" w14:paraId="2A7488DB" w14:textId="77777777">
      <w:pPr>
        <w:spacing w:after="0" w:line="360" w:lineRule="auto"/>
        <w:ind w:left="720"/>
        <w:contextualSpacing/>
        <w:rPr>
          <w:rFonts w:eastAsia="Palatino Linotype" w:cs="Palatino Linotype"/>
          <w:szCs w:val="24"/>
          <w:lang w:eastAsia="es-ES"/>
        </w:rPr>
      </w:pPr>
    </w:p>
    <w:p w:rsidRPr="00860DB8" w:rsidR="00643CB5" w:rsidP="00057880" w:rsidRDefault="00643CB5" w14:paraId="53B2FF9E" w14:textId="77777777">
      <w:pPr>
        <w:numPr>
          <w:ilvl w:val="0"/>
          <w:numId w:val="1"/>
        </w:numPr>
        <w:spacing w:after="0" w:line="360" w:lineRule="auto"/>
        <w:contextualSpacing/>
        <w:rPr>
          <w:rFonts w:eastAsia="Palatino Linotype" w:cs="Palatino Linotype"/>
          <w:szCs w:val="24"/>
          <w:lang w:eastAsia="es-ES"/>
        </w:rPr>
      </w:pPr>
      <w:r w:rsidRPr="00860DB8">
        <w:rPr>
          <w:rFonts w:eastAsia="Palatino Linotype" w:cs="Palatino Linotype"/>
          <w:b/>
          <w:bCs/>
          <w:szCs w:val="24"/>
          <w:lang w:eastAsia="es-ES"/>
        </w:rPr>
        <w:t>Actividad Procesal del interesado:</w:t>
      </w:r>
      <w:r w:rsidRPr="00860DB8">
        <w:rPr>
          <w:rFonts w:eastAsia="Palatino Linotype" w:cs="Palatino Linotype"/>
          <w:szCs w:val="24"/>
          <w:lang w:eastAsia="es-ES"/>
        </w:rPr>
        <w:t xml:space="preserve"> Acciones u omisiones del interesado.</w:t>
      </w:r>
    </w:p>
    <w:p w:rsidRPr="00860DB8" w:rsidR="00643CB5" w:rsidP="00057880" w:rsidRDefault="00643CB5" w14:paraId="150523DF" w14:textId="77777777">
      <w:pPr>
        <w:spacing w:after="0" w:line="360" w:lineRule="auto"/>
        <w:ind w:left="720"/>
        <w:contextualSpacing/>
        <w:rPr>
          <w:rFonts w:eastAsia="Palatino Linotype" w:cs="Palatino Linotype"/>
          <w:szCs w:val="24"/>
          <w:lang w:eastAsia="es-ES"/>
        </w:rPr>
      </w:pPr>
    </w:p>
    <w:p w:rsidRPr="00860DB8" w:rsidR="00643CB5" w:rsidP="00057880" w:rsidRDefault="00643CB5" w14:paraId="013DE2D4" w14:textId="77777777">
      <w:pPr>
        <w:numPr>
          <w:ilvl w:val="0"/>
          <w:numId w:val="1"/>
        </w:numPr>
        <w:spacing w:after="0" w:line="360" w:lineRule="auto"/>
        <w:contextualSpacing/>
        <w:rPr>
          <w:rFonts w:eastAsia="Palatino Linotype" w:cs="Palatino Linotype"/>
          <w:szCs w:val="24"/>
          <w:lang w:eastAsia="es-ES"/>
        </w:rPr>
      </w:pPr>
      <w:r w:rsidRPr="00860DB8">
        <w:rPr>
          <w:rFonts w:eastAsia="Palatino Linotype" w:cs="Palatino Linotype"/>
          <w:b/>
          <w:bCs/>
          <w:szCs w:val="24"/>
          <w:lang w:eastAsia="es-ES"/>
        </w:rPr>
        <w:lastRenderedPageBreak/>
        <w:t>Conducta de la Autoridad:</w:t>
      </w:r>
      <w:r w:rsidRPr="00860DB8">
        <w:rPr>
          <w:rFonts w:eastAsia="Palatino Linotype" w:cs="Palatino Linotype"/>
          <w:szCs w:val="24"/>
          <w:lang w:eastAsia="es-ES"/>
        </w:rPr>
        <w:t xml:space="preserve"> Las Acciones u omisiones realizadas en el procedimiento. Así como si la autoridad actuó con la debida diligencia.</w:t>
      </w:r>
    </w:p>
    <w:p w:rsidRPr="00860DB8" w:rsidR="00643CB5" w:rsidP="00057880" w:rsidRDefault="00643CB5" w14:paraId="3E339710" w14:textId="77777777">
      <w:pPr>
        <w:spacing w:after="0" w:line="360" w:lineRule="auto"/>
        <w:ind w:left="720"/>
        <w:contextualSpacing/>
        <w:rPr>
          <w:rFonts w:eastAsia="Palatino Linotype" w:cs="Palatino Linotype"/>
          <w:szCs w:val="24"/>
          <w:lang w:eastAsia="es-ES"/>
        </w:rPr>
      </w:pPr>
    </w:p>
    <w:p w:rsidRPr="00860DB8" w:rsidR="00643CB5" w:rsidP="00057880" w:rsidRDefault="00643CB5" w14:paraId="5C37158E" w14:textId="77777777">
      <w:pPr>
        <w:numPr>
          <w:ilvl w:val="0"/>
          <w:numId w:val="1"/>
        </w:numPr>
        <w:spacing w:after="0" w:line="360" w:lineRule="auto"/>
        <w:contextualSpacing/>
        <w:rPr>
          <w:rFonts w:eastAsia="Palatino Linotype" w:cs="Palatino Linotype"/>
          <w:szCs w:val="24"/>
          <w:lang w:eastAsia="es-ES"/>
        </w:rPr>
      </w:pPr>
      <w:r w:rsidRPr="00860DB8">
        <w:rPr>
          <w:rFonts w:eastAsia="Palatino Linotype" w:cs="Palatino Linotype"/>
          <w:b/>
          <w:bCs/>
          <w:szCs w:val="24"/>
          <w:lang w:eastAsia="es-ES"/>
        </w:rPr>
        <w:t xml:space="preserve">La afectación generada en la situación jurídica de la persona involucrada en el proceso: </w:t>
      </w:r>
      <w:r w:rsidRPr="00860DB8">
        <w:rPr>
          <w:rFonts w:eastAsia="Palatino Linotype" w:cs="Palatino Linotype"/>
          <w:szCs w:val="24"/>
          <w:lang w:eastAsia="es-ES"/>
        </w:rPr>
        <w:t>Violación a sus derechos humanos.</w:t>
      </w:r>
    </w:p>
    <w:p w:rsidRPr="00860DB8" w:rsidR="00643CB5" w:rsidP="00057880" w:rsidRDefault="00643CB5" w14:paraId="4842DE99" w14:textId="77777777">
      <w:pPr>
        <w:spacing w:after="0" w:line="360" w:lineRule="auto"/>
        <w:contextualSpacing/>
        <w:rPr>
          <w:rFonts w:eastAsia="Calibri" w:cs="Tahoma"/>
          <w:bCs/>
        </w:rPr>
      </w:pPr>
    </w:p>
    <w:p w:rsidRPr="00860DB8" w:rsidR="00643CB5" w:rsidP="00057880" w:rsidRDefault="00643CB5" w14:paraId="486270A5" w14:textId="77777777">
      <w:pPr>
        <w:spacing w:after="0" w:line="360" w:lineRule="auto"/>
        <w:contextualSpacing/>
        <w:rPr>
          <w:rFonts w:eastAsia="Calibri" w:cs="Tahoma"/>
          <w:bCs/>
        </w:rPr>
      </w:pPr>
      <w:r w:rsidRPr="00860DB8">
        <w:rPr>
          <w:rFonts w:eastAsia="Calibri"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860DB8" w:rsidR="00643CB5" w:rsidP="00057880" w:rsidRDefault="00643CB5" w14:paraId="03883459" w14:textId="77777777">
      <w:pPr>
        <w:spacing w:after="0" w:line="360" w:lineRule="auto"/>
        <w:contextualSpacing/>
        <w:rPr>
          <w:rFonts w:eastAsia="Calibri" w:cs="Tahoma"/>
          <w:bCs/>
        </w:rPr>
      </w:pPr>
      <w:r w:rsidRPr="00860DB8">
        <w:rPr>
          <w:rFonts w:eastAsia="Calibri" w:cs="Tahoma"/>
          <w:bCs/>
        </w:rPr>
        <w:t xml:space="preserve"> </w:t>
      </w:r>
    </w:p>
    <w:p w:rsidRPr="00860DB8" w:rsidR="00643CB5" w:rsidP="00057880" w:rsidRDefault="00643CB5" w14:paraId="1B4CFBF9" w14:textId="77777777">
      <w:pPr>
        <w:spacing w:after="0" w:line="360" w:lineRule="auto"/>
        <w:contextualSpacing/>
        <w:rPr>
          <w:rFonts w:eastAsia="Calibri" w:cs="Tahoma"/>
          <w:bCs/>
        </w:rPr>
      </w:pPr>
      <w:r w:rsidRPr="00860DB8">
        <w:rPr>
          <w:rFonts w:eastAsia="Calibri" w:cs="Tahoma"/>
          <w:bCs/>
        </w:rPr>
        <w:t>Argumento que encuentra sustento en la jurisprudencia P</w:t>
      </w:r>
      <w:proofErr w:type="gramStart"/>
      <w:r w:rsidRPr="00860DB8">
        <w:rPr>
          <w:rFonts w:eastAsia="Calibri" w:cs="Tahoma"/>
          <w:bCs/>
        </w:rPr>
        <w:t>./</w:t>
      </w:r>
      <w:proofErr w:type="gramEnd"/>
      <w:r w:rsidRPr="00860DB8">
        <w:rPr>
          <w:rFonts w:eastAsia="Calibri" w:cs="Tahoma"/>
          <w:bCs/>
        </w:rPr>
        <w:t xml:space="preserve">J. 32/92 emitida por el Pleno de la Suprema Corte de Justicia de la Nación de rubro </w:t>
      </w:r>
      <w:r w:rsidRPr="00860DB8">
        <w:rPr>
          <w:rFonts w:eastAsia="Calibri" w:cs="Tahoma"/>
          <w:b/>
        </w:rPr>
        <w:t>“TÉRMINOS PROCESALES. PARA DETERMINAR SI UN FUNCIONARIO JUDICIAL ACTUÓ INDEBIDAMENTE POR NO RESPETARLOS SE DEBE ATENDER AL PRESUPUESTO QUE CONSIDERÓ EL LEGISLADOR AL FIJARLOS Y LAS CARACTERÍSTICAS DEL CASO.”</w:t>
      </w:r>
      <w:r w:rsidRPr="00860DB8">
        <w:rPr>
          <w:rFonts w:eastAsia="Calibri" w:cs="Tahoma"/>
          <w:bCs/>
        </w:rPr>
        <w:t>, visible en la Gaceta del Seminario Judicial de la Federación con el registro digital 205635.</w:t>
      </w:r>
    </w:p>
    <w:p w:rsidRPr="00860DB8" w:rsidR="00643CB5" w:rsidP="00057880" w:rsidRDefault="00643CB5" w14:paraId="736B376D" w14:textId="77777777">
      <w:pPr>
        <w:spacing w:after="0" w:line="360" w:lineRule="auto"/>
        <w:contextualSpacing/>
        <w:rPr>
          <w:rFonts w:eastAsia="Calibri" w:cs="Tahoma"/>
          <w:bCs/>
        </w:rPr>
      </w:pPr>
      <w:r w:rsidRPr="00860DB8">
        <w:rPr>
          <w:rFonts w:eastAsia="Calibri" w:cs="Tahoma"/>
          <w:bCs/>
        </w:rPr>
        <w:t xml:space="preserve"> </w:t>
      </w:r>
    </w:p>
    <w:p w:rsidRPr="00860DB8" w:rsidR="00643CB5" w:rsidP="00057880" w:rsidRDefault="00643CB5" w14:paraId="733A44BC" w14:textId="77777777">
      <w:pPr>
        <w:spacing w:after="0" w:line="360" w:lineRule="auto"/>
        <w:contextualSpacing/>
        <w:rPr>
          <w:rFonts w:eastAsia="Calibri" w:cs="Tahoma"/>
          <w:bCs/>
        </w:rPr>
      </w:pPr>
      <w:r w:rsidRPr="00860DB8">
        <w:rPr>
          <w:rFonts w:eastAsia="Calibri" w:cs="Tahoma"/>
          <w:bC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w:t>
      </w:r>
      <w:r w:rsidRPr="00860DB8">
        <w:rPr>
          <w:rFonts w:eastAsia="Calibri" w:cs="Tahoma"/>
          <w:bCs/>
        </w:rPr>
        <w:lastRenderedPageBreak/>
        <w:t>dentro de los términos legales previamente establecidos por la Ley, por tratarse de causas de fuerza mayor.</w:t>
      </w:r>
    </w:p>
    <w:p w:rsidRPr="00860DB8" w:rsidR="00643CB5" w:rsidP="00057880" w:rsidRDefault="00643CB5" w14:paraId="1D6BCF1E" w14:textId="77777777">
      <w:pPr>
        <w:spacing w:after="0" w:line="360" w:lineRule="auto"/>
        <w:contextualSpacing/>
        <w:rPr>
          <w:rFonts w:eastAsia="Calibri" w:cs="Tahoma"/>
          <w:bCs/>
        </w:rPr>
      </w:pPr>
    </w:p>
    <w:p w:rsidRPr="00860DB8" w:rsidR="00643CB5" w:rsidP="00057880" w:rsidRDefault="00643CB5" w14:paraId="4BF57E40" w14:textId="77777777">
      <w:pPr>
        <w:spacing w:after="0" w:line="360" w:lineRule="auto"/>
        <w:contextualSpacing/>
        <w:rPr>
          <w:rFonts w:eastAsia="Calibri" w:cs="Tahoma"/>
          <w:bCs/>
        </w:rPr>
      </w:pPr>
      <w:r w:rsidRPr="00860DB8">
        <w:rPr>
          <w:rFonts w:eastAsia="Calibri" w:cs="Tahoma"/>
          <w:bCs/>
        </w:rPr>
        <w:t>Al respecto, también son de considerar los criterios sostenidos por el Cuarto Tribunal Colegiado en Materia Administrativa del Primer Circuito, cuyos rubros y datos de identificación son los siguientes:</w:t>
      </w:r>
    </w:p>
    <w:p w:rsidRPr="00860DB8" w:rsidR="00643CB5" w:rsidP="00057880" w:rsidRDefault="00643CB5" w14:paraId="23F93A9D" w14:textId="77777777">
      <w:pPr>
        <w:spacing w:after="0" w:line="360" w:lineRule="auto"/>
        <w:contextualSpacing/>
        <w:rPr>
          <w:rFonts w:eastAsia="Calibri" w:cs="Tahoma"/>
          <w:bCs/>
        </w:rPr>
      </w:pPr>
      <w:r w:rsidRPr="00860DB8">
        <w:rPr>
          <w:rFonts w:eastAsia="Calibri" w:cs="Tahoma"/>
          <w:bCs/>
        </w:rPr>
        <w:t xml:space="preserve"> </w:t>
      </w:r>
    </w:p>
    <w:p w:rsidRPr="00860DB8" w:rsidR="00643CB5" w:rsidP="00057880" w:rsidRDefault="00643CB5" w14:paraId="2B4A58F3" w14:textId="77777777">
      <w:pPr>
        <w:spacing w:after="0" w:line="360" w:lineRule="auto"/>
        <w:contextualSpacing/>
        <w:rPr>
          <w:rFonts w:eastAsia="Calibri" w:cs="Tahoma"/>
          <w:bCs/>
        </w:rPr>
      </w:pPr>
      <w:r w:rsidRPr="00860DB8">
        <w:rPr>
          <w:rFonts w:eastAsia="Calibri" w:cs="Tahoma"/>
          <w:b/>
        </w:rPr>
        <w:t>“PLAZO RAZONABLE PARA RESOLVER. DIMENSIÓN Y EFECTOS DE ESTE CONCEPTO CUANDO SE ADUCE EXCESIVA CARGA DE TRABAJO.”</w:t>
      </w:r>
      <w:r w:rsidRPr="00860DB8">
        <w:rPr>
          <w:rFonts w:eastAsia="Calibri" w:cs="Tahoma"/>
          <w:bCs/>
        </w:rPr>
        <w:t xml:space="preserve"> consultable en el Seminario Judicial de la Federación y su gaceta, con el registro digital 2002351.</w:t>
      </w:r>
    </w:p>
    <w:p w:rsidRPr="00860DB8" w:rsidR="00643CB5" w:rsidP="00057880" w:rsidRDefault="00643CB5" w14:paraId="5E4339CB" w14:textId="77777777">
      <w:pPr>
        <w:spacing w:after="0" w:line="360" w:lineRule="auto"/>
        <w:contextualSpacing/>
        <w:rPr>
          <w:rFonts w:eastAsia="Calibri" w:cs="Tahoma"/>
          <w:bCs/>
        </w:rPr>
      </w:pPr>
      <w:r w:rsidRPr="00860DB8">
        <w:rPr>
          <w:rFonts w:eastAsia="Calibri" w:cs="Tahoma"/>
          <w:bCs/>
        </w:rPr>
        <w:t xml:space="preserve"> </w:t>
      </w:r>
    </w:p>
    <w:p w:rsidRPr="00860DB8" w:rsidR="00643CB5" w:rsidP="00057880" w:rsidRDefault="00643CB5" w14:paraId="540D0094" w14:textId="77777777">
      <w:pPr>
        <w:spacing w:after="0" w:line="360" w:lineRule="auto"/>
        <w:contextualSpacing/>
        <w:rPr>
          <w:rFonts w:eastAsia="Calibri" w:cs="Tahoma"/>
          <w:bCs/>
        </w:rPr>
      </w:pPr>
      <w:r w:rsidRPr="00860DB8">
        <w:rPr>
          <w:rFonts w:eastAsia="Calibri" w:cs="Tahoma"/>
          <w:b/>
        </w:rPr>
        <w:t>“PLAZO RAZONABLE PARA RESOLVER. CONCEPTO Y ELEMENTOS QUE LO INTEGRAN A LA LUZ DEL DERECHO INTERNACIONAL DE LOS DERECHOS HUMANOS.”</w:t>
      </w:r>
      <w:r w:rsidRPr="00860DB8">
        <w:rPr>
          <w:rFonts w:eastAsia="Calibri" w:cs="Tahoma"/>
          <w:bCs/>
        </w:rPr>
        <w:t>, visible en el Seminario Judicial de la Federación y su gaceta, con el registro digital 2002350.</w:t>
      </w:r>
    </w:p>
    <w:p w:rsidRPr="00860DB8" w:rsidR="00643CB5" w:rsidP="00057880" w:rsidRDefault="00643CB5" w14:paraId="11DC13D2" w14:textId="77777777">
      <w:pPr>
        <w:spacing w:after="0" w:line="360" w:lineRule="auto"/>
        <w:contextualSpacing/>
        <w:rPr>
          <w:rFonts w:eastAsia="Calibri" w:cs="Tahoma"/>
          <w:bCs/>
        </w:rPr>
      </w:pPr>
    </w:p>
    <w:p w:rsidRPr="00860DB8" w:rsidR="00643CB5" w:rsidP="00057880" w:rsidRDefault="00643CB5" w14:paraId="42F121E7" w14:textId="77777777">
      <w:pPr>
        <w:spacing w:after="0" w:line="360" w:lineRule="auto"/>
        <w:contextualSpacing/>
        <w:rPr>
          <w:rFonts w:eastAsia="Calibri" w:cs="Tahoma"/>
          <w:bCs/>
        </w:rPr>
      </w:pPr>
      <w:r w:rsidRPr="00860DB8">
        <w:rPr>
          <w:rFonts w:eastAsia="Calibri" w:cs="Tahoma"/>
          <w:bCs/>
        </w:rPr>
        <w:t>Por ello, este organismo garante comprometido con la tutela de los derechos humanos confiados, señala que este exceso del plazo legal para resolver el presente asunto, resulta de carácter excepcional.</w:t>
      </w:r>
    </w:p>
    <w:p w:rsidRPr="00860DB8" w:rsidR="00643CB5" w:rsidP="00057880" w:rsidRDefault="00643CB5" w14:paraId="37AE60C1" w14:textId="77777777">
      <w:pPr>
        <w:widowControl w:val="0"/>
        <w:spacing w:after="0" w:line="360" w:lineRule="auto"/>
        <w:contextualSpacing/>
        <w:rPr>
          <w:rFonts w:eastAsia="Times New Roman" w:cs="Tahoma"/>
          <w:b/>
          <w:color w:val="auto"/>
          <w:lang w:eastAsia="es-ES"/>
        </w:rPr>
      </w:pPr>
    </w:p>
    <w:p w:rsidRPr="00860DB8" w:rsidR="00643CB5" w:rsidP="00057880" w:rsidRDefault="00643CB5" w14:paraId="3D4F0263" w14:textId="23701562">
      <w:pPr>
        <w:widowControl w:val="0"/>
        <w:spacing w:after="0" w:line="360" w:lineRule="auto"/>
        <w:contextualSpacing/>
        <w:rPr>
          <w:rFonts w:eastAsia="Times New Roman" w:cs="Tahoma"/>
          <w:color w:val="auto"/>
          <w:lang w:val="es-ES" w:eastAsia="es-ES"/>
        </w:rPr>
      </w:pPr>
      <w:r w:rsidRPr="00860DB8">
        <w:rPr>
          <w:rFonts w:eastAsia="Times New Roman" w:cs="Tahoma"/>
          <w:b/>
          <w:color w:val="auto"/>
          <w:lang w:eastAsia="es-ES"/>
        </w:rPr>
        <w:t>d) Cierre de instrucción.</w:t>
      </w:r>
      <w:r w:rsidRPr="00860DB8">
        <w:rPr>
          <w:rFonts w:eastAsia="Times New Roman" w:cs="Tahoma"/>
          <w:color w:val="auto"/>
          <w:lang w:eastAsia="es-ES"/>
        </w:rPr>
        <w:t xml:space="preserve"> El </w:t>
      </w:r>
      <w:r w:rsidRPr="00860DB8" w:rsidR="007D015D">
        <w:rPr>
          <w:rFonts w:eastAsia="Times New Roman" w:cs="Tahoma"/>
          <w:color w:val="auto"/>
          <w:lang w:eastAsia="es-ES"/>
        </w:rPr>
        <w:t>veintiuno de diciembre</w:t>
      </w:r>
      <w:r w:rsidRPr="00860DB8">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treinta de dicho mes y año, a través del </w:t>
      </w:r>
      <w:r w:rsidRPr="00860DB8">
        <w:rPr>
          <w:rFonts w:eastAsia="Times New Roman" w:cs="Tahoma"/>
          <w:color w:val="auto"/>
          <w:lang w:val="es-ES" w:eastAsia="es-ES"/>
        </w:rPr>
        <w:t>Sistema de Acceso a la Información Mexiquense (SAIMEX)</w:t>
      </w:r>
      <w:r w:rsidRPr="00860DB8">
        <w:rPr>
          <w:rFonts w:eastAsia="Times New Roman" w:cs="Tahoma"/>
          <w:color w:val="auto"/>
          <w:lang w:eastAsia="es-ES"/>
        </w:rPr>
        <w:t xml:space="preserve">. </w:t>
      </w:r>
    </w:p>
    <w:p w:rsidRPr="00860DB8" w:rsidR="00643CB5" w:rsidP="00057880" w:rsidRDefault="00643CB5" w14:paraId="1B1B6D41" w14:textId="77777777">
      <w:pPr>
        <w:spacing w:after="0" w:line="360" w:lineRule="auto"/>
        <w:contextualSpacing/>
        <w:rPr>
          <w:rFonts w:eastAsia="Times New Roman" w:cs="Tahoma"/>
          <w:color w:val="000000"/>
          <w:lang w:eastAsia="es-ES"/>
        </w:rPr>
      </w:pPr>
      <w:r w:rsidRPr="00860DB8">
        <w:rPr>
          <w:rFonts w:eastAsia="Times New Roman" w:cs="Tahoma"/>
          <w:color w:val="000000"/>
          <w:lang w:eastAsia="es-ES"/>
        </w:rPr>
        <w:lastRenderedPageBreak/>
        <w:t>En razón de que fue debidamente sustanciado e integrado el expediente electrónico y no existe diligencia pendiente de desahogo, se emite la resolución que conforme a Derecho proceda, de acuerdo a los siguientes:</w:t>
      </w:r>
    </w:p>
    <w:p w:rsidRPr="00860DB8" w:rsidR="00643CB5" w:rsidP="00057880" w:rsidRDefault="00643CB5" w14:paraId="063B0F90" w14:textId="77777777">
      <w:pPr>
        <w:spacing w:after="0" w:line="360" w:lineRule="auto"/>
        <w:contextualSpacing/>
        <w:rPr>
          <w:rFonts w:eastAsia="Times New Roman" w:cs="Tahoma"/>
          <w:bCs/>
          <w:iCs/>
          <w:color w:val="auto"/>
          <w:lang w:val="es-ES" w:eastAsia="es-ES"/>
        </w:rPr>
      </w:pPr>
    </w:p>
    <w:p w:rsidRPr="00860DB8" w:rsidR="00643CB5" w:rsidP="00057880" w:rsidRDefault="00643CB5" w14:paraId="22D0BC97" w14:textId="77777777">
      <w:pPr>
        <w:spacing w:after="0" w:line="360" w:lineRule="auto"/>
        <w:contextualSpacing/>
        <w:jc w:val="center"/>
        <w:rPr>
          <w:rFonts w:eastAsia="Times New Roman" w:cs="Tahoma"/>
          <w:b/>
          <w:color w:val="auto"/>
          <w:lang w:val="es-ES" w:eastAsia="es-ES"/>
        </w:rPr>
      </w:pPr>
      <w:r w:rsidRPr="00860DB8">
        <w:rPr>
          <w:rFonts w:eastAsia="Times New Roman" w:cs="Tahoma"/>
          <w:b/>
          <w:color w:val="auto"/>
          <w:lang w:val="es-ES" w:eastAsia="es-ES"/>
        </w:rPr>
        <w:t>C O N S I D E R A N D O S:</w:t>
      </w:r>
    </w:p>
    <w:p w:rsidRPr="00860DB8" w:rsidR="00643CB5" w:rsidP="00057880" w:rsidRDefault="00643CB5" w14:paraId="3CDFA5F4" w14:textId="77777777">
      <w:pPr>
        <w:spacing w:after="0" w:line="360" w:lineRule="auto"/>
        <w:contextualSpacing/>
        <w:jc w:val="center"/>
        <w:rPr>
          <w:rFonts w:eastAsia="Times New Roman" w:cs="Tahoma"/>
          <w:b/>
          <w:color w:val="auto"/>
          <w:lang w:val="es-ES" w:eastAsia="es-ES"/>
        </w:rPr>
      </w:pPr>
    </w:p>
    <w:p w:rsidRPr="00860DB8" w:rsidR="00643CB5" w:rsidP="00057880" w:rsidRDefault="00643CB5" w14:paraId="6AEE44D9" w14:textId="77777777">
      <w:pPr>
        <w:autoSpaceDE w:val="0"/>
        <w:autoSpaceDN w:val="0"/>
        <w:adjustRightInd w:val="0"/>
        <w:spacing w:after="0" w:line="360" w:lineRule="auto"/>
        <w:contextualSpacing/>
        <w:rPr>
          <w:rFonts w:eastAsia="Times New Roman" w:cs="Tahoma"/>
          <w:b/>
          <w:color w:val="auto"/>
          <w:lang w:val="es-ES" w:eastAsia="es-ES"/>
        </w:rPr>
      </w:pPr>
      <w:r w:rsidRPr="00860DB8">
        <w:rPr>
          <w:rFonts w:eastAsia="Calibri" w:cs="Tahoma"/>
          <w:b/>
          <w:color w:val="000000"/>
          <w:lang w:val="es-ES" w:eastAsia="es-MX"/>
        </w:rPr>
        <w:t>PRIMERO</w:t>
      </w:r>
      <w:r w:rsidRPr="00860DB8">
        <w:rPr>
          <w:rFonts w:eastAsia="Calibri" w:cs="Tahoma"/>
          <w:color w:val="000000"/>
          <w:lang w:val="es-ES" w:eastAsia="es-MX"/>
        </w:rPr>
        <w:t xml:space="preserve">. </w:t>
      </w:r>
      <w:r w:rsidRPr="00860DB8">
        <w:rPr>
          <w:rFonts w:eastAsia="Times New Roman" w:cs="Tahoma"/>
          <w:b/>
          <w:color w:val="auto"/>
          <w:lang w:val="es-ES" w:eastAsia="es-ES"/>
        </w:rPr>
        <w:t>Competencia.</w:t>
      </w:r>
    </w:p>
    <w:p w:rsidRPr="00860DB8" w:rsidR="00643CB5" w:rsidP="00057880" w:rsidRDefault="00643CB5" w14:paraId="51D43669" w14:textId="77777777">
      <w:pPr>
        <w:autoSpaceDE w:val="0"/>
        <w:autoSpaceDN w:val="0"/>
        <w:adjustRightInd w:val="0"/>
        <w:spacing w:after="0" w:line="360" w:lineRule="auto"/>
        <w:contextualSpacing/>
        <w:rPr>
          <w:rFonts w:eastAsia="Times New Roman" w:cs="Tahoma"/>
          <w:b/>
          <w:color w:val="auto"/>
          <w:lang w:val="es-ES" w:eastAsia="es-ES"/>
        </w:rPr>
      </w:pPr>
    </w:p>
    <w:p w:rsidRPr="00860DB8" w:rsidR="00643CB5" w:rsidP="00057880" w:rsidRDefault="00643CB5" w14:paraId="55384478" w14:textId="77777777">
      <w:pPr>
        <w:spacing w:after="0" w:line="360" w:lineRule="auto"/>
        <w:contextualSpacing/>
        <w:rPr>
          <w:rFonts w:eastAsia="Times New Roman" w:cs="Tahoma"/>
          <w:bCs/>
          <w:color w:val="auto"/>
          <w:lang w:eastAsia="es-ES"/>
        </w:rPr>
      </w:pPr>
      <w:bookmarkStart w:name="_Hlk63334754" w:id="0"/>
      <w:r w:rsidRPr="00860DB8">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60DB8">
        <w:rPr>
          <w:rFonts w:eastAsia="Times New Roman" w:cs="Times New Roman"/>
          <w:bCs/>
          <w:color w:val="auto"/>
          <w:lang w:eastAsia="es-ES"/>
        </w:rPr>
        <w:t xml:space="preserve"> 7°, </w:t>
      </w:r>
      <w:r w:rsidRPr="00860DB8">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860DB8" w:rsidR="00643CB5" w:rsidP="00057880" w:rsidRDefault="00643CB5" w14:paraId="6AA77FC4" w14:textId="77777777">
      <w:pPr>
        <w:spacing w:after="0" w:line="360" w:lineRule="auto"/>
        <w:contextualSpacing/>
      </w:pPr>
    </w:p>
    <w:p w:rsidRPr="00860DB8" w:rsidR="00643CB5" w:rsidP="00057880" w:rsidRDefault="00643CB5" w14:paraId="36DD69AE" w14:textId="77777777">
      <w:pPr>
        <w:autoSpaceDE w:val="0"/>
        <w:autoSpaceDN w:val="0"/>
        <w:adjustRightInd w:val="0"/>
        <w:spacing w:after="0" w:line="360" w:lineRule="auto"/>
        <w:contextualSpacing/>
        <w:rPr>
          <w:rFonts w:eastAsia="Times New Roman" w:cs="Tahoma"/>
          <w:color w:val="auto"/>
          <w:lang w:val="es-ES" w:eastAsia="es-ES"/>
        </w:rPr>
      </w:pPr>
      <w:r w:rsidRPr="00860DB8">
        <w:rPr>
          <w:rFonts w:eastAsia="Calibri" w:cs="Tahoma"/>
          <w:b/>
          <w:color w:val="000000"/>
          <w:lang w:val="es-ES" w:eastAsia="es-MX"/>
        </w:rPr>
        <w:t>SEGUNDO</w:t>
      </w:r>
      <w:r w:rsidRPr="00860DB8">
        <w:rPr>
          <w:rFonts w:eastAsia="Calibri" w:cs="Tahoma"/>
          <w:color w:val="000000"/>
          <w:lang w:val="es-ES" w:eastAsia="es-MX"/>
        </w:rPr>
        <w:t xml:space="preserve">. </w:t>
      </w:r>
      <w:r w:rsidRPr="00860DB8">
        <w:rPr>
          <w:rFonts w:eastAsia="Times New Roman" w:cs="Tahoma"/>
          <w:b/>
          <w:color w:val="auto"/>
          <w:lang w:val="es-ES" w:eastAsia="es-ES"/>
        </w:rPr>
        <w:t>Causales de improcedencia y sobreseimiento.</w:t>
      </w:r>
      <w:r w:rsidRPr="00860DB8">
        <w:rPr>
          <w:rFonts w:eastAsia="Times New Roman" w:cs="Tahoma"/>
          <w:color w:val="auto"/>
          <w:lang w:val="es-ES" w:eastAsia="es-ES"/>
        </w:rPr>
        <w:t xml:space="preserve"> </w:t>
      </w:r>
    </w:p>
    <w:p w:rsidRPr="00860DB8" w:rsidR="00643CB5" w:rsidP="00057880" w:rsidRDefault="00643CB5" w14:paraId="672C0C21" w14:textId="77777777">
      <w:pPr>
        <w:autoSpaceDE w:val="0"/>
        <w:autoSpaceDN w:val="0"/>
        <w:adjustRightInd w:val="0"/>
        <w:spacing w:after="0" w:line="360" w:lineRule="auto"/>
        <w:contextualSpacing/>
        <w:rPr>
          <w:rFonts w:eastAsia="Times New Roman" w:cs="Tahoma"/>
          <w:color w:val="auto"/>
          <w:lang w:val="es-ES" w:eastAsia="es-ES"/>
        </w:rPr>
      </w:pPr>
    </w:p>
    <w:p w:rsidRPr="00860DB8" w:rsidR="00643CB5" w:rsidP="00057880" w:rsidRDefault="00643CB5" w14:paraId="1FDA389D" w14:textId="77777777">
      <w:pPr>
        <w:autoSpaceDE w:val="0"/>
        <w:autoSpaceDN w:val="0"/>
        <w:adjustRightInd w:val="0"/>
        <w:spacing w:after="0" w:line="360" w:lineRule="auto"/>
        <w:contextualSpacing/>
        <w:rPr>
          <w:rFonts w:eastAsia="Times New Roman" w:cs="Tahoma"/>
          <w:color w:val="auto"/>
          <w:lang w:val="es-ES" w:eastAsia="es-ES"/>
        </w:rPr>
      </w:pPr>
      <w:r w:rsidRPr="00860DB8">
        <w:rPr>
          <w:rFonts w:eastAsia="Times New Roman" w:cs="Tahoma"/>
          <w:color w:val="auto"/>
          <w:lang w:val="es-ES" w:eastAsia="es-ES"/>
        </w:rPr>
        <w:t xml:space="preserve">De las constancias que forma parte del Recurso de Revisión que se analiza, se advierte que previo al estudio del fondo de la </w:t>
      </w:r>
      <w:proofErr w:type="spellStart"/>
      <w:r w:rsidRPr="00860DB8">
        <w:rPr>
          <w:rFonts w:eastAsia="Times New Roman" w:cs="Tahoma"/>
          <w:i/>
          <w:color w:val="auto"/>
          <w:lang w:val="es-ES" w:eastAsia="es-ES"/>
        </w:rPr>
        <w:t>litis</w:t>
      </w:r>
      <w:proofErr w:type="spellEnd"/>
      <w:r w:rsidRPr="00860DB8">
        <w:rPr>
          <w:rFonts w:eastAsia="Times New Roman" w:cs="Tahoma"/>
          <w:color w:val="auto"/>
          <w:lang w:val="es-ES" w:eastAsia="es-ES"/>
        </w:rPr>
        <w:t>, es necesario estudiar las causales de improcedencia y sobreseimiento que se adviertan, para determinar lo que en Derecho proceda.</w:t>
      </w:r>
    </w:p>
    <w:p w:rsidRPr="00860DB8" w:rsidR="00643CB5" w:rsidP="00057880" w:rsidRDefault="00643CB5" w14:paraId="11BAA4B9" w14:textId="77777777">
      <w:pPr>
        <w:autoSpaceDE w:val="0"/>
        <w:autoSpaceDN w:val="0"/>
        <w:adjustRightInd w:val="0"/>
        <w:spacing w:after="0" w:line="360" w:lineRule="auto"/>
        <w:contextualSpacing/>
        <w:rPr>
          <w:rFonts w:eastAsia="Times New Roman" w:cs="Tahoma"/>
          <w:color w:val="auto"/>
          <w:lang w:val="es-ES" w:eastAsia="es-ES"/>
        </w:rPr>
      </w:pPr>
    </w:p>
    <w:p w:rsidRPr="00860DB8" w:rsidR="00643CB5" w:rsidP="00057880" w:rsidRDefault="00643CB5" w14:paraId="404DFDD6" w14:textId="77777777">
      <w:pPr>
        <w:spacing w:after="0" w:line="360" w:lineRule="auto"/>
        <w:contextualSpacing/>
        <w:rPr>
          <w:b/>
          <w:lang w:val="es-ES"/>
        </w:rPr>
      </w:pPr>
      <w:r w:rsidRPr="00860DB8">
        <w:rPr>
          <w:b/>
          <w:lang w:val="es-ES"/>
        </w:rPr>
        <w:lastRenderedPageBreak/>
        <w:t>Causales de improcedencia</w:t>
      </w:r>
    </w:p>
    <w:p w:rsidRPr="00860DB8" w:rsidR="00643CB5" w:rsidP="00057880" w:rsidRDefault="00643CB5" w14:paraId="0B0FD02A" w14:textId="77777777">
      <w:pPr>
        <w:spacing w:after="0" w:line="360" w:lineRule="auto"/>
        <w:contextualSpacing/>
      </w:pPr>
    </w:p>
    <w:p w:rsidRPr="00860DB8" w:rsidR="00643CB5" w:rsidP="00057880" w:rsidRDefault="00643CB5" w14:paraId="78B1916E" w14:textId="77777777">
      <w:pPr>
        <w:spacing w:after="0" w:line="360" w:lineRule="auto"/>
        <w:contextualSpacing/>
        <w:rPr>
          <w:rFonts w:eastAsia="Times New Roman" w:cs="Tahoma"/>
          <w:color w:val="auto"/>
          <w:lang w:eastAsia="es-ES"/>
        </w:rPr>
      </w:pPr>
      <w:r w:rsidRPr="00860DB8">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60DB8" w:rsidR="00643CB5" w:rsidP="00057880" w:rsidRDefault="00643CB5" w14:paraId="4F250F50" w14:textId="77777777">
      <w:pPr>
        <w:spacing w:after="0" w:line="360" w:lineRule="auto"/>
        <w:contextualSpacing/>
        <w:rPr>
          <w:rFonts w:eastAsia="Times New Roman" w:cs="Tahoma"/>
          <w:color w:val="auto"/>
          <w:lang w:eastAsia="es-ES"/>
        </w:rPr>
      </w:pPr>
    </w:p>
    <w:p w:rsidRPr="00860DB8" w:rsidR="00643CB5" w:rsidP="00057880" w:rsidRDefault="00643CB5" w14:paraId="5BC94EB2" w14:textId="77777777">
      <w:pPr>
        <w:spacing w:after="0" w:line="360" w:lineRule="auto"/>
        <w:contextualSpacing/>
        <w:rPr>
          <w:rFonts w:eastAsia="Times New Roman" w:cs="Tahoma"/>
          <w:color w:val="auto"/>
          <w:lang w:eastAsia="es-ES"/>
        </w:rPr>
      </w:pPr>
      <w:r w:rsidRPr="00860DB8">
        <w:rPr>
          <w:rFonts w:eastAsia="Times New Roman" w:cs="Tahoma"/>
          <w:color w:val="auto"/>
          <w:lang w:eastAsia="es-ES"/>
        </w:rPr>
        <w:t>En el presente caso, </w:t>
      </w:r>
      <w:r w:rsidRPr="00860DB8">
        <w:rPr>
          <w:rFonts w:eastAsia="Times New Roman" w:cs="Tahoma"/>
          <w:b/>
          <w:bCs/>
          <w:color w:val="auto"/>
          <w:lang w:eastAsia="es-ES"/>
        </w:rPr>
        <w:t>no se actualiza ninguna de las causales de improcedencia</w:t>
      </w:r>
      <w:r w:rsidRPr="00860DB8">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parte Recurrente ante otra instancia; no existió prevención alguna; la veracidad de la respuesta no formó parte del agravio; ni se realizó una consulta o ampliación a los alcances del requerimiento informativo.</w:t>
      </w:r>
    </w:p>
    <w:p w:rsidRPr="00860DB8" w:rsidR="00643CB5" w:rsidP="00057880" w:rsidRDefault="00643CB5" w14:paraId="54DCEC50" w14:textId="77777777">
      <w:pPr>
        <w:spacing w:after="0" w:line="360" w:lineRule="auto"/>
        <w:contextualSpacing/>
        <w:rPr>
          <w:rFonts w:eastAsia="Times New Roman" w:cs="Tahoma"/>
          <w:color w:val="auto"/>
          <w:lang w:val="es-ES" w:eastAsia="es-ES"/>
        </w:rPr>
      </w:pPr>
    </w:p>
    <w:p w:rsidRPr="00860DB8" w:rsidR="00643CB5" w:rsidP="00057880" w:rsidRDefault="00643CB5" w14:paraId="3A62973F" w14:textId="0E3AF772">
      <w:pPr>
        <w:spacing w:after="0" w:line="360" w:lineRule="auto"/>
        <w:contextualSpacing/>
        <w:rPr>
          <w:rFonts w:eastAsia="Times New Roman" w:cs="Tahoma"/>
          <w:bCs/>
          <w:color w:val="auto"/>
          <w:lang w:val="es-ES" w:eastAsia="es-ES"/>
        </w:rPr>
      </w:pPr>
      <w:r w:rsidRPr="00860DB8">
        <w:rPr>
          <w:rFonts w:eastAsia="Times New Roman" w:cs="Tahoma"/>
          <w:color w:val="auto"/>
          <w:lang w:val="es-ES" w:eastAsia="es-ES"/>
        </w:rPr>
        <w:t>Conforme a lo anterior, se actualiza la</w:t>
      </w:r>
      <w:r w:rsidRPr="00860DB8" w:rsidR="0006651C">
        <w:rPr>
          <w:rFonts w:eastAsia="Times New Roman" w:cs="Tahoma"/>
          <w:color w:val="auto"/>
          <w:lang w:val="es-ES" w:eastAsia="es-ES"/>
        </w:rPr>
        <w:t>s</w:t>
      </w:r>
      <w:r w:rsidRPr="00860DB8">
        <w:rPr>
          <w:rFonts w:eastAsia="Times New Roman" w:cs="Tahoma"/>
          <w:color w:val="auto"/>
          <w:lang w:val="es-ES" w:eastAsia="es-ES"/>
        </w:rPr>
        <w:t xml:space="preserve"> causale</w:t>
      </w:r>
      <w:r w:rsidRPr="00860DB8" w:rsidR="0006651C">
        <w:rPr>
          <w:rFonts w:eastAsia="Times New Roman" w:cs="Tahoma"/>
          <w:color w:val="auto"/>
          <w:lang w:val="es-ES" w:eastAsia="es-ES"/>
        </w:rPr>
        <w:t>s</w:t>
      </w:r>
      <w:r w:rsidRPr="00860DB8">
        <w:rPr>
          <w:rFonts w:eastAsia="Times New Roman" w:cs="Tahoma"/>
          <w:color w:val="auto"/>
          <w:lang w:val="es-ES" w:eastAsia="es-ES"/>
        </w:rPr>
        <w:t xml:space="preserve"> de procedencia señaladas en el artículo 179 fracci</w:t>
      </w:r>
      <w:r w:rsidRPr="00860DB8" w:rsidR="0006651C">
        <w:rPr>
          <w:rFonts w:eastAsia="Times New Roman" w:cs="Tahoma"/>
          <w:color w:val="auto"/>
          <w:lang w:val="es-ES" w:eastAsia="es-ES"/>
        </w:rPr>
        <w:t>o</w:t>
      </w:r>
      <w:r w:rsidRPr="00860DB8">
        <w:rPr>
          <w:rFonts w:eastAsia="Times New Roman" w:cs="Tahoma"/>
          <w:color w:val="auto"/>
          <w:lang w:val="es-ES" w:eastAsia="es-ES"/>
        </w:rPr>
        <w:t>n</w:t>
      </w:r>
      <w:r w:rsidRPr="00860DB8" w:rsidR="0006651C">
        <w:rPr>
          <w:rFonts w:eastAsia="Times New Roman" w:cs="Tahoma"/>
          <w:color w:val="auto"/>
          <w:lang w:val="es-ES" w:eastAsia="es-ES"/>
        </w:rPr>
        <w:t>es</w:t>
      </w:r>
      <w:r w:rsidRPr="00860DB8">
        <w:rPr>
          <w:rFonts w:eastAsia="Times New Roman" w:cs="Tahoma"/>
          <w:color w:val="auto"/>
          <w:lang w:val="es-ES" w:eastAsia="es-ES"/>
        </w:rPr>
        <w:t xml:space="preserve"> </w:t>
      </w:r>
      <w:r w:rsidRPr="00860DB8" w:rsidR="0006651C">
        <w:rPr>
          <w:rFonts w:eastAsia="Times New Roman" w:cs="Tahoma"/>
          <w:color w:val="auto"/>
          <w:lang w:val="es-ES" w:eastAsia="es-ES"/>
        </w:rPr>
        <w:t xml:space="preserve">II y </w:t>
      </w:r>
      <w:r w:rsidRPr="00860DB8">
        <w:rPr>
          <w:rFonts w:eastAsia="Times New Roman" w:cs="Tahoma"/>
          <w:color w:val="auto"/>
          <w:lang w:val="es-ES" w:eastAsia="es-ES"/>
        </w:rPr>
        <w:t>VI, de la Ley de la materia</w:t>
      </w:r>
      <w:r w:rsidRPr="00860DB8">
        <w:rPr>
          <w:rFonts w:eastAsia="Times New Roman" w:cs="Tahoma"/>
          <w:bCs/>
          <w:color w:val="auto"/>
          <w:lang w:val="es-ES" w:eastAsia="es-ES"/>
        </w:rPr>
        <w:t xml:space="preserve">, toda vez que el Solicitante se inconformó con </w:t>
      </w:r>
      <w:r w:rsidRPr="00860DB8">
        <w:t>la</w:t>
      </w:r>
      <w:r w:rsidRPr="00860DB8" w:rsidR="0006651C">
        <w:t xml:space="preserve"> clasificación y</w:t>
      </w:r>
      <w:r w:rsidRPr="00860DB8">
        <w:t xml:space="preserve"> </w:t>
      </w:r>
      <w:r w:rsidRPr="00860DB8" w:rsidR="0006651C">
        <w:t xml:space="preserve">entrega de la información </w:t>
      </w:r>
      <w:r w:rsidRPr="00860DB8" w:rsidR="00F37C86">
        <w:t xml:space="preserve">que no corresponde con </w:t>
      </w:r>
      <w:r w:rsidRPr="00860DB8">
        <w:t>l</w:t>
      </w:r>
      <w:r w:rsidRPr="00860DB8" w:rsidR="00F37C86">
        <w:t>o</w:t>
      </w:r>
      <w:r w:rsidRPr="00860DB8">
        <w:t xml:space="preserve"> solicitad</w:t>
      </w:r>
      <w:r w:rsidRPr="00860DB8" w:rsidR="00F37C86">
        <w:t>o</w:t>
      </w:r>
      <w:r w:rsidRPr="00860DB8">
        <w:rPr>
          <w:rFonts w:eastAsia="Times New Roman" w:cs="Tahoma"/>
          <w:bCs/>
          <w:color w:val="auto"/>
          <w:lang w:val="es-ES" w:eastAsia="es-ES"/>
        </w:rPr>
        <w:t xml:space="preserve">. </w:t>
      </w:r>
    </w:p>
    <w:p w:rsidRPr="00860DB8" w:rsidR="00643CB5" w:rsidP="00057880" w:rsidRDefault="00643CB5" w14:paraId="73513216" w14:textId="77777777">
      <w:pPr>
        <w:spacing w:after="0" w:line="360" w:lineRule="auto"/>
        <w:contextualSpacing/>
        <w:rPr>
          <w:rFonts w:eastAsia="Times New Roman" w:cs="Tahoma"/>
          <w:bCs/>
          <w:color w:val="auto"/>
          <w:lang w:val="es-ES" w:eastAsia="es-ES"/>
        </w:rPr>
      </w:pPr>
    </w:p>
    <w:p w:rsidRPr="00860DB8" w:rsidR="00643CB5" w:rsidP="00057880" w:rsidRDefault="00643CB5" w14:paraId="0CFB6CE8" w14:textId="77777777">
      <w:pPr>
        <w:spacing w:after="0" w:line="360" w:lineRule="auto"/>
        <w:contextualSpacing/>
        <w:rPr>
          <w:rFonts w:eastAsia="Times New Roman" w:cs="Tahoma"/>
          <w:b/>
          <w:bCs/>
          <w:color w:val="0D0D0D" w:themeColor="text1" w:themeTint="F2"/>
          <w:lang w:eastAsia="es-ES"/>
        </w:rPr>
      </w:pPr>
      <w:r w:rsidRPr="00860DB8">
        <w:rPr>
          <w:rFonts w:eastAsia="Times New Roman" w:cs="Tahoma"/>
          <w:b/>
          <w:bCs/>
          <w:color w:val="0D0D0D" w:themeColor="text1" w:themeTint="F2"/>
          <w:lang w:eastAsia="es-ES"/>
        </w:rPr>
        <w:t>Causales de sobreseimiento.</w:t>
      </w:r>
    </w:p>
    <w:p w:rsidRPr="00860DB8" w:rsidR="00643CB5" w:rsidP="00057880" w:rsidRDefault="00643CB5" w14:paraId="248DBDF3" w14:textId="77777777">
      <w:pPr>
        <w:spacing w:after="0" w:line="360" w:lineRule="auto"/>
        <w:contextualSpacing/>
        <w:rPr>
          <w:rFonts w:eastAsia="Times New Roman" w:cs="Tahoma"/>
          <w:bCs/>
          <w:color w:val="0D0D0D" w:themeColor="text1" w:themeTint="F2"/>
          <w:lang w:eastAsia="es-ES"/>
        </w:rPr>
      </w:pPr>
    </w:p>
    <w:p w:rsidRPr="00860DB8" w:rsidR="00643CB5" w:rsidP="00057880" w:rsidRDefault="00643CB5" w14:paraId="6CBCD98F" w14:textId="77777777">
      <w:pPr>
        <w:spacing w:after="0" w:line="360" w:lineRule="auto"/>
        <w:contextualSpacing/>
        <w:rPr>
          <w:rFonts w:eastAsia="Times New Roman" w:cs="Tahoma"/>
          <w:bCs/>
          <w:color w:val="0D0D0D" w:themeColor="text1" w:themeTint="F2"/>
          <w:lang w:eastAsia="es-ES"/>
        </w:rPr>
      </w:pPr>
      <w:r w:rsidRPr="00860DB8">
        <w:rPr>
          <w:rFonts w:eastAsia="Times New Roman" w:cs="Tahoma"/>
          <w:bCs/>
          <w:color w:val="0D0D0D" w:themeColor="text1" w:themeTint="F2"/>
          <w:lang w:eastAsia="es-ES"/>
        </w:rPr>
        <w:t xml:space="preserve">Por ser de previo y especial pronunciamiento, este Instituto analiza si se actualiza alguna causal de sobreseimiento. </w:t>
      </w:r>
    </w:p>
    <w:p w:rsidRPr="00860DB8" w:rsidR="00643CB5" w:rsidP="00057880" w:rsidRDefault="00643CB5" w14:paraId="23F32B54" w14:textId="77777777">
      <w:pPr>
        <w:spacing w:after="0" w:line="360" w:lineRule="auto"/>
        <w:contextualSpacing/>
        <w:rPr>
          <w:rFonts w:eastAsia="Times New Roman" w:cs="Tahoma"/>
          <w:bCs/>
          <w:color w:val="0D0D0D" w:themeColor="text1" w:themeTint="F2"/>
          <w:lang w:eastAsia="es-ES"/>
        </w:rPr>
      </w:pPr>
    </w:p>
    <w:p w:rsidRPr="00860DB8" w:rsidR="00643CB5" w:rsidP="00057880" w:rsidRDefault="00643CB5" w14:paraId="42D1EA0A" w14:textId="77777777">
      <w:pPr>
        <w:spacing w:after="0" w:line="360" w:lineRule="auto"/>
        <w:contextualSpacing/>
        <w:rPr>
          <w:rFonts w:eastAsia="Times New Roman" w:cs="Tahoma"/>
          <w:color w:val="auto"/>
          <w:lang w:eastAsia="es-ES"/>
        </w:rPr>
      </w:pPr>
      <w:r w:rsidRPr="00860DB8">
        <w:rPr>
          <w:rFonts w:eastAsia="Times New Roman" w:cs="Tahoma"/>
          <w:bCs/>
          <w:color w:val="0D0D0D" w:themeColor="text1" w:themeTint="F2"/>
          <w:lang w:eastAsia="es-ES"/>
        </w:rPr>
        <w:lastRenderedPageBreak/>
        <w:t>Sobre el tema, e</w:t>
      </w:r>
      <w:r w:rsidRPr="00860DB8">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860DB8" w:rsidR="00643CB5" w:rsidP="00057880" w:rsidRDefault="00643CB5" w14:paraId="0A0C6823" w14:textId="77777777">
      <w:pPr>
        <w:spacing w:after="0" w:line="360" w:lineRule="auto"/>
        <w:contextualSpacing/>
        <w:rPr>
          <w:rFonts w:eastAsia="Times New Roman" w:cs="Tahoma"/>
          <w:color w:val="auto"/>
          <w:lang w:eastAsia="es-ES"/>
        </w:rPr>
      </w:pPr>
    </w:p>
    <w:p w:rsidRPr="00860DB8" w:rsidR="00643CB5" w:rsidP="00057880" w:rsidRDefault="00643CB5" w14:paraId="1903CCC7" w14:textId="77777777">
      <w:pPr>
        <w:spacing w:after="0" w:line="360" w:lineRule="auto"/>
        <w:contextualSpacing/>
        <w:rPr>
          <w:rFonts w:eastAsia="Times New Roman" w:cs="Tahoma"/>
          <w:bCs/>
          <w:color w:val="0D0D0D" w:themeColor="text1" w:themeTint="F2"/>
          <w:lang w:eastAsia="es-ES"/>
        </w:rPr>
      </w:pPr>
      <w:r w:rsidRPr="00860DB8">
        <w:rPr>
          <w:rFonts w:eastAsia="Times New Roman" w:cs="Tahoma"/>
          <w:bCs/>
          <w:color w:val="0D0D0D" w:themeColor="text1" w:themeTint="F2"/>
          <w:lang w:eastAsia="es-ES"/>
        </w:rPr>
        <w:t xml:space="preserve">Por tales motivos, se considera procedente entrar al fondo del presente asunto. </w:t>
      </w:r>
    </w:p>
    <w:p w:rsidRPr="00860DB8" w:rsidR="00643CB5" w:rsidP="00057880" w:rsidRDefault="00643CB5" w14:paraId="41D39B66" w14:textId="77777777">
      <w:pPr>
        <w:spacing w:after="0" w:line="360" w:lineRule="auto"/>
        <w:contextualSpacing/>
        <w:rPr>
          <w:rFonts w:eastAsia="Times New Roman" w:cs="Tahoma"/>
          <w:bCs/>
          <w:color w:val="0D0D0D" w:themeColor="text1" w:themeTint="F2"/>
          <w:lang w:eastAsia="es-ES"/>
        </w:rPr>
      </w:pPr>
    </w:p>
    <w:p w:rsidRPr="00860DB8" w:rsidR="00643CB5" w:rsidP="00057880" w:rsidRDefault="00643CB5" w14:paraId="6DFD7F3A" w14:textId="77777777">
      <w:pPr>
        <w:spacing w:after="0" w:line="360" w:lineRule="auto"/>
        <w:contextualSpacing/>
        <w:rPr>
          <w:rFonts w:eastAsia="Times New Roman" w:cs="Tahoma"/>
          <w:b/>
          <w:bCs/>
          <w:iCs/>
          <w:color w:val="auto"/>
          <w:lang w:val="es-ES" w:eastAsia="es-ES"/>
        </w:rPr>
      </w:pPr>
      <w:r w:rsidRPr="00860DB8">
        <w:rPr>
          <w:rFonts w:eastAsia="Times New Roman" w:cs="Tahoma"/>
          <w:b/>
          <w:bCs/>
          <w:iCs/>
          <w:color w:val="auto"/>
          <w:lang w:val="es-ES" w:eastAsia="es-ES"/>
        </w:rPr>
        <w:t xml:space="preserve">TERCERO. Determinación de la Controversia. </w:t>
      </w:r>
    </w:p>
    <w:p w:rsidRPr="00860DB8" w:rsidR="00643CB5" w:rsidP="00057880" w:rsidRDefault="00643CB5" w14:paraId="3106D8D8" w14:textId="77777777">
      <w:pPr>
        <w:autoSpaceDE w:val="0"/>
        <w:autoSpaceDN w:val="0"/>
        <w:adjustRightInd w:val="0"/>
        <w:spacing w:after="0" w:line="360" w:lineRule="auto"/>
        <w:contextualSpacing/>
        <w:rPr>
          <w:rFonts w:eastAsia="Calibri" w:cs="Tahoma"/>
          <w:color w:val="000000"/>
          <w:lang w:val="es-ES" w:eastAsia="es-MX"/>
        </w:rPr>
      </w:pPr>
    </w:p>
    <w:p w:rsidRPr="00860DB8" w:rsidR="00643CB5" w:rsidP="00057880" w:rsidRDefault="00643CB5" w14:paraId="6EB9AB36" w14:textId="20341E34">
      <w:pPr>
        <w:autoSpaceDE w:val="0"/>
        <w:autoSpaceDN w:val="0"/>
        <w:adjustRightInd w:val="0"/>
        <w:spacing w:after="0" w:line="360" w:lineRule="auto"/>
        <w:contextualSpacing/>
        <w:rPr>
          <w:rFonts w:eastAsia="Calibri" w:cs="Tahoma"/>
          <w:color w:val="000000"/>
          <w:lang w:val="x-none" w:eastAsia="es-MX"/>
        </w:rPr>
      </w:pPr>
      <w:r w:rsidRPr="00860DB8">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w:t>
      </w:r>
      <w:bookmarkStart w:name="_Hlk118915853" w:id="1"/>
      <w:r w:rsidRPr="00860DB8" w:rsidR="006D2B59">
        <w:rPr>
          <w:rFonts w:eastAsia="Calibri" w:cs="Tahoma"/>
          <w:color w:val="000000"/>
          <w:lang w:val="es-ES" w:eastAsia="es-MX"/>
        </w:rPr>
        <w:t>se realiza un cuadro, con la solicitud de información</w:t>
      </w:r>
      <w:r w:rsidRPr="00860DB8" w:rsidR="006D2B59">
        <w:rPr>
          <w:rFonts w:eastAsia="Calibri" w:cs="Tahoma"/>
          <w:color w:val="000000"/>
          <w:lang w:val="x-none" w:eastAsia="es-MX"/>
        </w:rPr>
        <w:t>, la respuesta entregada y el Recurso de Revisión, conforme a lo siguiente:</w:t>
      </w:r>
    </w:p>
    <w:p w:rsidRPr="00860DB8" w:rsidR="006D2B59" w:rsidP="00057880" w:rsidRDefault="006D2B59" w14:paraId="0A777FA5" w14:textId="42E409F9">
      <w:pPr>
        <w:autoSpaceDE w:val="0"/>
        <w:autoSpaceDN w:val="0"/>
        <w:adjustRightInd w:val="0"/>
        <w:spacing w:after="0" w:line="360" w:lineRule="auto"/>
        <w:contextualSpacing/>
        <w:rPr>
          <w:rFonts w:eastAsia="Calibri" w:cs="Tahoma"/>
          <w:color w:val="000000"/>
          <w:lang w:val="es-ES" w:eastAsia="es-MX"/>
        </w:rPr>
      </w:pPr>
    </w:p>
    <w:tbl>
      <w:tblPr>
        <w:tblStyle w:val="Tablaconcuadrcula"/>
        <w:tblW w:w="0" w:type="auto"/>
        <w:tblLook w:val="04A0" w:firstRow="1" w:lastRow="0" w:firstColumn="1" w:lastColumn="0" w:noHBand="0" w:noVBand="1"/>
      </w:tblPr>
      <w:tblGrid>
        <w:gridCol w:w="2973"/>
        <w:gridCol w:w="2974"/>
        <w:gridCol w:w="2974"/>
      </w:tblGrid>
      <w:tr w:rsidRPr="00860DB8" w:rsidR="006D2B59" w:rsidTr="006D2B59" w14:paraId="1A9E36C3" w14:textId="77777777">
        <w:tc>
          <w:tcPr>
            <w:tcW w:w="2973" w:type="dxa"/>
            <w:shd w:val="clear" w:color="auto" w:fill="BFBFBF" w:themeFill="background1" w:themeFillShade="BF"/>
          </w:tcPr>
          <w:p w:rsidRPr="00860DB8" w:rsidR="006D2B59" w:rsidP="00057880" w:rsidRDefault="006D2B59" w14:paraId="67462345" w14:textId="309AD710">
            <w:pPr>
              <w:autoSpaceDE w:val="0"/>
              <w:autoSpaceDN w:val="0"/>
              <w:adjustRightInd w:val="0"/>
              <w:spacing w:line="360" w:lineRule="auto"/>
              <w:contextualSpacing/>
              <w:jc w:val="center"/>
              <w:rPr>
                <w:rFonts w:eastAsia="Calibri" w:cs="Tahoma"/>
                <w:b/>
                <w:color w:val="000000"/>
                <w:lang w:eastAsia="es-MX"/>
              </w:rPr>
            </w:pPr>
            <w:r w:rsidRPr="00860DB8">
              <w:rPr>
                <w:rFonts w:eastAsia="Calibri" w:cs="Tahoma"/>
                <w:b/>
                <w:color w:val="000000"/>
                <w:lang w:eastAsia="es-MX"/>
              </w:rPr>
              <w:t>Solicitud de información</w:t>
            </w:r>
          </w:p>
        </w:tc>
        <w:tc>
          <w:tcPr>
            <w:tcW w:w="2974" w:type="dxa"/>
            <w:shd w:val="clear" w:color="auto" w:fill="BFBFBF" w:themeFill="background1" w:themeFillShade="BF"/>
          </w:tcPr>
          <w:p w:rsidRPr="00860DB8" w:rsidR="006D2B59" w:rsidP="00057880" w:rsidRDefault="006D2B59" w14:paraId="08C3FD57" w14:textId="52D7A140">
            <w:pPr>
              <w:autoSpaceDE w:val="0"/>
              <w:autoSpaceDN w:val="0"/>
              <w:adjustRightInd w:val="0"/>
              <w:spacing w:line="360" w:lineRule="auto"/>
              <w:contextualSpacing/>
              <w:jc w:val="center"/>
              <w:rPr>
                <w:rFonts w:eastAsia="Calibri" w:cs="Tahoma"/>
                <w:b/>
                <w:color w:val="000000"/>
                <w:lang w:eastAsia="es-MX"/>
              </w:rPr>
            </w:pPr>
            <w:r w:rsidRPr="00860DB8">
              <w:rPr>
                <w:rFonts w:eastAsia="Calibri" w:cs="Tahoma"/>
                <w:b/>
                <w:color w:val="000000"/>
                <w:lang w:eastAsia="es-MX"/>
              </w:rPr>
              <w:t>Respuesta</w:t>
            </w:r>
          </w:p>
        </w:tc>
        <w:tc>
          <w:tcPr>
            <w:tcW w:w="2974" w:type="dxa"/>
            <w:shd w:val="clear" w:color="auto" w:fill="BFBFBF" w:themeFill="background1" w:themeFillShade="BF"/>
          </w:tcPr>
          <w:p w:rsidRPr="00860DB8" w:rsidR="006D2B59" w:rsidP="00057880" w:rsidRDefault="006D2B59" w14:paraId="61DA9BF7" w14:textId="604C5C44">
            <w:pPr>
              <w:autoSpaceDE w:val="0"/>
              <w:autoSpaceDN w:val="0"/>
              <w:adjustRightInd w:val="0"/>
              <w:spacing w:line="360" w:lineRule="auto"/>
              <w:contextualSpacing/>
              <w:jc w:val="center"/>
              <w:rPr>
                <w:rFonts w:eastAsia="Calibri" w:cs="Tahoma"/>
                <w:b/>
                <w:color w:val="000000"/>
                <w:lang w:eastAsia="es-MX"/>
              </w:rPr>
            </w:pPr>
            <w:r w:rsidRPr="00860DB8">
              <w:rPr>
                <w:rFonts w:eastAsia="Calibri" w:cs="Tahoma"/>
                <w:b/>
                <w:color w:val="000000"/>
                <w:lang w:eastAsia="es-MX"/>
              </w:rPr>
              <w:t>Agravios</w:t>
            </w:r>
          </w:p>
        </w:tc>
      </w:tr>
      <w:tr w:rsidRPr="00860DB8" w:rsidR="006D2B59" w:rsidTr="006D2B59" w14:paraId="1017DA14" w14:textId="77777777">
        <w:tc>
          <w:tcPr>
            <w:tcW w:w="2973" w:type="dxa"/>
          </w:tcPr>
          <w:p w:rsidRPr="00860DB8" w:rsidR="006D2B59" w:rsidP="00057880" w:rsidRDefault="006D2B59" w14:paraId="42A79D1F" w14:textId="4D4E12FE">
            <w:pPr>
              <w:autoSpaceDE w:val="0"/>
              <w:autoSpaceDN w:val="0"/>
              <w:adjustRightInd w:val="0"/>
              <w:spacing w:line="360" w:lineRule="auto"/>
              <w:contextualSpacing/>
              <w:rPr>
                <w:rFonts w:eastAsia="Calibri" w:cs="Tahoma"/>
                <w:color w:val="000000"/>
                <w:lang w:eastAsia="es-MX"/>
              </w:rPr>
            </w:pPr>
            <w:r w:rsidRPr="00860DB8">
              <w:rPr>
                <w:color w:val="000000"/>
              </w:rPr>
              <w:t>1. Recibos de nómina con firma, de la Expresidenta Municipal, Evelyn Mayen González, de la primera quincena de julio a la segunda de diciembre de dos mil veintiuno</w:t>
            </w:r>
          </w:p>
        </w:tc>
        <w:tc>
          <w:tcPr>
            <w:tcW w:w="2974" w:type="dxa"/>
          </w:tcPr>
          <w:p w:rsidRPr="00860DB8" w:rsidR="006D2B59" w:rsidP="00057880" w:rsidRDefault="006D2B59" w14:paraId="334396A3" w14:textId="3CF80B78">
            <w:pPr>
              <w:autoSpaceDE w:val="0"/>
              <w:autoSpaceDN w:val="0"/>
              <w:adjustRightInd w:val="0"/>
              <w:spacing w:line="360" w:lineRule="auto"/>
              <w:contextualSpacing/>
              <w:rPr>
                <w:rFonts w:eastAsia="Calibri" w:cs="Tahoma"/>
                <w:color w:val="000000"/>
                <w:lang w:eastAsia="es-MX"/>
              </w:rPr>
            </w:pPr>
            <w:proofErr w:type="spellStart"/>
            <w:r w:rsidRPr="00860DB8">
              <w:rPr>
                <w:rFonts w:eastAsia="Calibri" w:cs="Tahoma"/>
                <w:color w:val="000000"/>
                <w:lang w:eastAsia="es-MX"/>
              </w:rPr>
              <w:t>Entreg</w:t>
            </w:r>
            <w:r w:rsidRPr="00860DB8">
              <w:rPr>
                <w:rFonts w:eastAsia="Calibri" w:cs="Tahoma"/>
                <w:color w:val="000000"/>
                <w:lang w:val="x-none" w:eastAsia="es-MX"/>
              </w:rPr>
              <w:t>ó</w:t>
            </w:r>
            <w:proofErr w:type="spellEnd"/>
            <w:r w:rsidRPr="00860DB8">
              <w:rPr>
                <w:rFonts w:eastAsia="Calibri" w:cs="Tahoma"/>
                <w:color w:val="000000"/>
                <w:lang w:val="x-none" w:eastAsia="es-MX"/>
              </w:rPr>
              <w:t xml:space="preserve"> doce recibos de nómina de la Expresidente Municipal, del periodo solicitado.</w:t>
            </w:r>
          </w:p>
        </w:tc>
        <w:tc>
          <w:tcPr>
            <w:tcW w:w="2974" w:type="dxa"/>
          </w:tcPr>
          <w:p w:rsidRPr="00860DB8" w:rsidR="006D2B59" w:rsidP="00057880" w:rsidRDefault="006D2B59" w14:paraId="42F6C607" w14:textId="69A28C7C">
            <w:pPr>
              <w:autoSpaceDE w:val="0"/>
              <w:autoSpaceDN w:val="0"/>
              <w:adjustRightInd w:val="0"/>
              <w:spacing w:line="360" w:lineRule="auto"/>
              <w:contextualSpacing/>
              <w:rPr>
                <w:rFonts w:eastAsia="Calibri" w:cs="Tahoma"/>
                <w:color w:val="000000"/>
                <w:lang w:eastAsia="es-MX"/>
              </w:rPr>
            </w:pPr>
            <w:r w:rsidRPr="00860DB8">
              <w:rPr>
                <w:rFonts w:eastAsia="Calibri" w:cs="Tahoma"/>
                <w:color w:val="000000"/>
                <w:lang w:eastAsia="es-MX"/>
              </w:rPr>
              <w:t xml:space="preserve">Se </w:t>
            </w:r>
            <w:proofErr w:type="spellStart"/>
            <w:r w:rsidRPr="00860DB8">
              <w:rPr>
                <w:rFonts w:eastAsia="Calibri" w:cs="Tahoma"/>
                <w:color w:val="000000"/>
                <w:lang w:eastAsia="es-MX"/>
              </w:rPr>
              <w:t>inconform</w:t>
            </w:r>
            <w:r w:rsidRPr="00860DB8">
              <w:rPr>
                <w:rFonts w:eastAsia="Calibri" w:cs="Tahoma"/>
                <w:color w:val="000000"/>
                <w:lang w:val="x-none" w:eastAsia="es-MX"/>
              </w:rPr>
              <w:t>ó</w:t>
            </w:r>
            <w:proofErr w:type="spellEnd"/>
            <w:r w:rsidRPr="00860DB8">
              <w:rPr>
                <w:rFonts w:eastAsia="Calibri" w:cs="Tahoma"/>
                <w:color w:val="000000"/>
                <w:lang w:val="x-none" w:eastAsia="es-MX"/>
              </w:rPr>
              <w:t xml:space="preserve"> de la clasificación de datos de naturaleza pública, lo cual actualiza la causal de procedencia establecida en el artículo 179, fracción II, de la Ley de Transparencia y Acceso a la Información </w:t>
            </w:r>
            <w:r w:rsidRPr="00860DB8">
              <w:rPr>
                <w:rFonts w:eastAsia="Calibri" w:cs="Tahoma"/>
                <w:color w:val="000000"/>
                <w:lang w:val="x-none" w:eastAsia="es-MX"/>
              </w:rPr>
              <w:lastRenderedPageBreak/>
              <w:t>Pública del Estado de México y Municipios.</w:t>
            </w:r>
          </w:p>
        </w:tc>
      </w:tr>
      <w:tr w:rsidRPr="00860DB8" w:rsidR="006D2B59" w:rsidTr="006D2B59" w14:paraId="3F3EF09F" w14:textId="77777777">
        <w:tc>
          <w:tcPr>
            <w:tcW w:w="2973" w:type="dxa"/>
          </w:tcPr>
          <w:p w:rsidRPr="00860DB8" w:rsidR="006D2B59" w:rsidP="00057880" w:rsidRDefault="006D2B59" w14:paraId="7E15FB71" w14:textId="270CEE7B">
            <w:pPr>
              <w:autoSpaceDE w:val="0"/>
              <w:autoSpaceDN w:val="0"/>
              <w:adjustRightInd w:val="0"/>
              <w:spacing w:line="360" w:lineRule="auto"/>
              <w:contextualSpacing/>
              <w:rPr>
                <w:rFonts w:eastAsia="Calibri" w:cs="Tahoma"/>
                <w:color w:val="000000"/>
                <w:lang w:eastAsia="es-MX"/>
              </w:rPr>
            </w:pPr>
            <w:r w:rsidRPr="00860DB8">
              <w:rPr>
                <w:rFonts w:eastAsia="Calibri" w:cs="Tahoma"/>
                <w:color w:val="000000"/>
                <w:lang w:eastAsia="es-MX"/>
              </w:rPr>
              <w:lastRenderedPageBreak/>
              <w:t>2. Recibos de nómina del Presidente Municipal, el Síndico Municipal y Regidores de la segunda quincena de septiembre de dos mil veintidós</w:t>
            </w:r>
          </w:p>
        </w:tc>
        <w:tc>
          <w:tcPr>
            <w:tcW w:w="2974" w:type="dxa"/>
          </w:tcPr>
          <w:p w:rsidRPr="00860DB8" w:rsidR="006D2B59" w:rsidP="00057880" w:rsidRDefault="006D2B59" w14:paraId="2C5C1783" w14:textId="70A264BA">
            <w:pPr>
              <w:autoSpaceDE w:val="0"/>
              <w:autoSpaceDN w:val="0"/>
              <w:adjustRightInd w:val="0"/>
              <w:spacing w:line="360" w:lineRule="auto"/>
              <w:contextualSpacing/>
              <w:rPr>
                <w:rFonts w:eastAsia="Calibri" w:cs="Tahoma"/>
                <w:color w:val="000000"/>
                <w:lang w:eastAsia="es-MX"/>
              </w:rPr>
            </w:pPr>
            <w:r w:rsidRPr="00860DB8">
              <w:rPr>
                <w:rFonts w:eastAsia="Calibri" w:cs="Tahoma"/>
                <w:color w:val="000000"/>
                <w:lang w:eastAsia="es-MX"/>
              </w:rPr>
              <w:t>Dio acceso a los recibos de n</w:t>
            </w:r>
            <w:proofErr w:type="spellStart"/>
            <w:r w:rsidRPr="00860DB8">
              <w:rPr>
                <w:rFonts w:eastAsia="Calibri" w:cs="Tahoma"/>
                <w:color w:val="000000"/>
                <w:lang w:val="x-none" w:eastAsia="es-MX"/>
              </w:rPr>
              <w:t>ómina</w:t>
            </w:r>
            <w:proofErr w:type="spellEnd"/>
            <w:r w:rsidRPr="00860DB8">
              <w:rPr>
                <w:rFonts w:eastAsia="Calibri" w:cs="Tahoma"/>
                <w:color w:val="000000"/>
                <w:lang w:val="x-none" w:eastAsia="es-MX"/>
              </w:rPr>
              <w:t xml:space="preserve"> de los miembros del Cabildo, de la quincena solicitada, correspondiente a nueve.</w:t>
            </w:r>
          </w:p>
        </w:tc>
        <w:tc>
          <w:tcPr>
            <w:tcW w:w="2974" w:type="dxa"/>
          </w:tcPr>
          <w:p w:rsidRPr="00860DB8" w:rsidR="006D2B59" w:rsidP="00057880" w:rsidRDefault="006D2B59" w14:paraId="63FEC0FF" w14:textId="5F356017">
            <w:pPr>
              <w:autoSpaceDE w:val="0"/>
              <w:autoSpaceDN w:val="0"/>
              <w:adjustRightInd w:val="0"/>
              <w:spacing w:line="360" w:lineRule="auto"/>
              <w:contextualSpacing/>
              <w:rPr>
                <w:rFonts w:eastAsia="Calibri" w:cs="Tahoma"/>
                <w:color w:val="000000"/>
                <w:lang w:eastAsia="es-MX"/>
              </w:rPr>
            </w:pPr>
            <w:r w:rsidRPr="00860DB8">
              <w:rPr>
                <w:rFonts w:eastAsia="Calibri" w:cs="Tahoma"/>
                <w:color w:val="000000"/>
                <w:lang w:eastAsia="es-MX"/>
              </w:rPr>
              <w:t xml:space="preserve">Se </w:t>
            </w:r>
            <w:proofErr w:type="spellStart"/>
            <w:r w:rsidRPr="00860DB8">
              <w:rPr>
                <w:rFonts w:eastAsia="Calibri" w:cs="Tahoma"/>
                <w:color w:val="000000"/>
                <w:lang w:eastAsia="es-MX"/>
              </w:rPr>
              <w:t>agravi</w:t>
            </w:r>
            <w:r w:rsidRPr="00860DB8">
              <w:rPr>
                <w:rFonts w:eastAsia="Calibri" w:cs="Tahoma"/>
                <w:color w:val="000000"/>
                <w:lang w:val="x-none" w:eastAsia="es-MX"/>
              </w:rPr>
              <w:t>ó</w:t>
            </w:r>
            <w:proofErr w:type="spellEnd"/>
            <w:r w:rsidRPr="00860DB8">
              <w:rPr>
                <w:rFonts w:eastAsia="Calibri" w:cs="Tahoma"/>
                <w:color w:val="000000"/>
                <w:lang w:val="x-none" w:eastAsia="es-MX"/>
              </w:rPr>
              <w:t xml:space="preserve"> de los datos testados en los recibos de nómina y de la entrega de información que no corresponde con lo solicitado, por lo que hace al recibo de nómina del Sexto Regidor, lo cual actualiza la causal de procedencia establecida en el artículo 179, fracciones II y VI, de la Ley de la materia.</w:t>
            </w:r>
          </w:p>
        </w:tc>
      </w:tr>
      <w:tr w:rsidRPr="00860DB8" w:rsidR="006D2B59" w:rsidTr="006D2B59" w14:paraId="604C4157" w14:textId="77777777">
        <w:tc>
          <w:tcPr>
            <w:tcW w:w="2973" w:type="dxa"/>
          </w:tcPr>
          <w:p w:rsidRPr="00860DB8" w:rsidR="006D2B59" w:rsidP="00057880" w:rsidRDefault="006D2B59" w14:paraId="6CA1D282" w14:textId="7C1C7974">
            <w:pPr>
              <w:autoSpaceDE w:val="0"/>
              <w:autoSpaceDN w:val="0"/>
              <w:adjustRightInd w:val="0"/>
              <w:spacing w:line="360" w:lineRule="auto"/>
              <w:contextualSpacing/>
              <w:rPr>
                <w:rFonts w:eastAsia="Calibri" w:cs="Tahoma"/>
                <w:color w:val="000000"/>
                <w:lang w:eastAsia="es-MX"/>
              </w:rPr>
            </w:pPr>
            <w:r w:rsidRPr="00860DB8">
              <w:rPr>
                <w:rFonts w:eastAsia="Calibri" w:cs="Tahoma"/>
                <w:color w:val="000000"/>
                <w:lang w:eastAsia="es-MX"/>
              </w:rPr>
              <w:t>3. D</w:t>
            </w:r>
            <w:r w:rsidRPr="00860DB8">
              <w:rPr>
                <w:color w:val="000000"/>
              </w:rPr>
              <w:t xml:space="preserve">ispersión de nómina u documento </w:t>
            </w:r>
            <w:proofErr w:type="spellStart"/>
            <w:r w:rsidRPr="00860DB8">
              <w:rPr>
                <w:color w:val="000000"/>
              </w:rPr>
              <w:t>hom</w:t>
            </w:r>
            <w:r w:rsidRPr="00860DB8">
              <w:rPr>
                <w:color w:val="000000"/>
                <w:lang w:val="x-none"/>
              </w:rPr>
              <w:t>ólogo</w:t>
            </w:r>
            <w:proofErr w:type="spellEnd"/>
            <w:r w:rsidRPr="00860DB8">
              <w:rPr>
                <w:color w:val="000000"/>
                <w:lang w:val="x-none"/>
              </w:rPr>
              <w:t xml:space="preserve"> que acredite el depósito realizado por el Sujeto Obligado, para acreditar el pago, referente al punto número 2.</w:t>
            </w:r>
          </w:p>
        </w:tc>
        <w:tc>
          <w:tcPr>
            <w:tcW w:w="2974" w:type="dxa"/>
          </w:tcPr>
          <w:p w:rsidRPr="00860DB8" w:rsidR="006D2B59" w:rsidP="00057880" w:rsidRDefault="006D2B59" w14:paraId="1715C1C3" w14:textId="18435788">
            <w:pPr>
              <w:autoSpaceDE w:val="0"/>
              <w:autoSpaceDN w:val="0"/>
              <w:adjustRightInd w:val="0"/>
              <w:spacing w:line="360" w:lineRule="auto"/>
              <w:contextualSpacing/>
              <w:rPr>
                <w:rFonts w:eastAsia="Calibri" w:cs="Tahoma"/>
                <w:color w:val="000000"/>
                <w:lang w:eastAsia="es-MX"/>
              </w:rPr>
            </w:pPr>
            <w:proofErr w:type="spellStart"/>
            <w:r w:rsidRPr="00860DB8">
              <w:rPr>
                <w:rFonts w:eastAsia="Calibri" w:cs="Tahoma"/>
                <w:color w:val="000000"/>
                <w:lang w:eastAsia="es-MX"/>
              </w:rPr>
              <w:t>Entreg</w:t>
            </w:r>
            <w:r w:rsidRPr="00860DB8">
              <w:rPr>
                <w:rFonts w:eastAsia="Calibri" w:cs="Tahoma"/>
                <w:color w:val="000000"/>
                <w:lang w:val="x-none" w:eastAsia="es-MX"/>
              </w:rPr>
              <w:t>ó</w:t>
            </w:r>
            <w:proofErr w:type="spellEnd"/>
            <w:r w:rsidRPr="00860DB8">
              <w:rPr>
                <w:rFonts w:eastAsia="Calibri" w:cs="Tahoma"/>
                <w:color w:val="000000"/>
                <w:lang w:val="x-none" w:eastAsia="es-MX"/>
              </w:rPr>
              <w:t xml:space="preserve"> el documento denominado Consulta de Dispersión.</w:t>
            </w:r>
          </w:p>
        </w:tc>
        <w:tc>
          <w:tcPr>
            <w:tcW w:w="2974" w:type="dxa"/>
          </w:tcPr>
          <w:p w:rsidRPr="00860DB8" w:rsidR="006D2B59" w:rsidP="00057880" w:rsidRDefault="000369D0" w14:paraId="38B7051F" w14:textId="00ABDF7B">
            <w:pPr>
              <w:autoSpaceDE w:val="0"/>
              <w:autoSpaceDN w:val="0"/>
              <w:adjustRightInd w:val="0"/>
              <w:spacing w:line="360" w:lineRule="auto"/>
              <w:contextualSpacing/>
              <w:rPr>
                <w:rFonts w:eastAsia="Calibri" w:cs="Tahoma"/>
                <w:color w:val="000000"/>
                <w:lang w:eastAsia="es-MX"/>
              </w:rPr>
            </w:pPr>
            <w:r w:rsidRPr="00860DB8">
              <w:rPr>
                <w:rFonts w:eastAsia="Calibri" w:cs="Tahoma"/>
                <w:color w:val="000000"/>
                <w:lang w:eastAsia="es-MX"/>
              </w:rPr>
              <w:t xml:space="preserve">Se </w:t>
            </w:r>
            <w:proofErr w:type="spellStart"/>
            <w:r w:rsidRPr="00860DB8">
              <w:rPr>
                <w:rFonts w:eastAsia="Calibri" w:cs="Tahoma"/>
                <w:color w:val="000000"/>
                <w:lang w:eastAsia="es-MX"/>
              </w:rPr>
              <w:t>inconform</w:t>
            </w:r>
            <w:r w:rsidRPr="00860DB8">
              <w:rPr>
                <w:rFonts w:eastAsia="Calibri" w:cs="Tahoma"/>
                <w:color w:val="000000"/>
                <w:lang w:val="x-none" w:eastAsia="es-MX"/>
              </w:rPr>
              <w:t>ó</w:t>
            </w:r>
            <w:proofErr w:type="spellEnd"/>
            <w:r w:rsidRPr="00860DB8">
              <w:rPr>
                <w:rFonts w:eastAsia="Calibri" w:cs="Tahoma"/>
                <w:color w:val="000000"/>
                <w:lang w:val="x-none" w:eastAsia="es-MX"/>
              </w:rPr>
              <w:t xml:space="preserve"> del testado de datos y de la entrega de información que no corresponde con lo solicitado, lo cual actualiza la causal de procedencia establecida en el artículo 179, fracciones II y VI, de la Ley de la materia.</w:t>
            </w:r>
          </w:p>
        </w:tc>
      </w:tr>
    </w:tbl>
    <w:p w:rsidRPr="00860DB8" w:rsidR="006D2B59" w:rsidP="00057880" w:rsidRDefault="006D2B59" w14:paraId="415F6DA6" w14:textId="77777777">
      <w:pPr>
        <w:autoSpaceDE w:val="0"/>
        <w:autoSpaceDN w:val="0"/>
        <w:adjustRightInd w:val="0"/>
        <w:spacing w:after="0" w:line="360" w:lineRule="auto"/>
        <w:contextualSpacing/>
        <w:rPr>
          <w:rFonts w:eastAsia="Calibri" w:cs="Tahoma"/>
          <w:color w:val="000000"/>
          <w:lang w:val="es-ES" w:eastAsia="es-MX"/>
        </w:rPr>
      </w:pPr>
    </w:p>
    <w:bookmarkEnd w:id="1"/>
    <w:p w:rsidRPr="00860DB8" w:rsidR="00E5021C" w:rsidP="00057880" w:rsidRDefault="00E5021C" w14:paraId="08B8E034" w14:textId="7CB10C6B">
      <w:pPr>
        <w:spacing w:after="0" w:line="360" w:lineRule="auto"/>
        <w:contextualSpacing/>
        <w:rPr>
          <w:rFonts w:eastAsia="Times New Roman" w:cs="Times New Roman"/>
          <w:color w:val="000000"/>
          <w:lang w:eastAsia="es-ES_tradnl"/>
        </w:rPr>
      </w:pPr>
      <w:r w:rsidRPr="00860DB8">
        <w:rPr>
          <w:rFonts w:eastAsia="Times New Roman" w:cs="Times New Roman"/>
          <w:color w:val="000000"/>
          <w:lang w:eastAsia="es-ES_tradnl"/>
        </w:rPr>
        <w:t>Conforme a lo anterior, se logra vislumbrar que el Particular</w:t>
      </w:r>
      <w:r w:rsidRPr="00860DB8" w:rsidR="006D5A79">
        <w:rPr>
          <w:rFonts w:eastAsia="Times New Roman" w:cs="Times New Roman"/>
          <w:color w:val="000000"/>
          <w:lang w:eastAsia="es-ES_tradnl"/>
        </w:rPr>
        <w:t xml:space="preserve"> </w:t>
      </w:r>
      <w:r w:rsidRPr="00860DB8" w:rsidR="006D5A79">
        <w:rPr>
          <w:rFonts w:eastAsia="Times New Roman" w:cs="Times New Roman"/>
          <w:color w:val="000000"/>
          <w:lang w:val="x-none" w:eastAsia="es-ES_tradnl"/>
        </w:rPr>
        <w:t xml:space="preserve">únicamente se agravió de los datos testados en los recibos de nómina proporcionados </w:t>
      </w:r>
      <w:r w:rsidRPr="00860DB8">
        <w:rPr>
          <w:rFonts w:eastAsia="Times New Roman" w:cs="Times New Roman"/>
          <w:color w:val="000000"/>
          <w:lang w:eastAsia="es-ES_tradnl"/>
        </w:rPr>
        <w:t xml:space="preserve"> </w:t>
      </w:r>
      <w:r w:rsidRPr="00860DB8" w:rsidR="006D5A79">
        <w:rPr>
          <w:rFonts w:eastAsia="Times New Roman" w:cs="Times New Roman"/>
          <w:color w:val="000000"/>
          <w:lang w:eastAsia="es-ES_tradnl"/>
        </w:rPr>
        <w:t xml:space="preserve">para atender los puntos 1 y 2 (con </w:t>
      </w:r>
      <w:proofErr w:type="spellStart"/>
      <w:r w:rsidRPr="00860DB8" w:rsidR="006D5A79">
        <w:rPr>
          <w:rFonts w:eastAsia="Times New Roman" w:cs="Times New Roman"/>
          <w:color w:val="000000"/>
          <w:lang w:eastAsia="es-ES_tradnl"/>
        </w:rPr>
        <w:t>excepci</w:t>
      </w:r>
      <w:r w:rsidRPr="00860DB8" w:rsidR="006D5A79">
        <w:rPr>
          <w:rFonts w:eastAsia="Times New Roman" w:cs="Times New Roman"/>
          <w:color w:val="000000"/>
          <w:lang w:val="x-none" w:eastAsia="es-ES_tradnl"/>
        </w:rPr>
        <w:t>ón</w:t>
      </w:r>
      <w:proofErr w:type="spellEnd"/>
      <w:r w:rsidRPr="00860DB8" w:rsidR="006D5A79">
        <w:rPr>
          <w:rFonts w:eastAsia="Times New Roman" w:cs="Times New Roman"/>
          <w:color w:val="000000"/>
          <w:lang w:val="x-none" w:eastAsia="es-ES_tradnl"/>
        </w:rPr>
        <w:t xml:space="preserve"> del Sexto Regidor</w:t>
      </w:r>
      <w:r w:rsidRPr="00860DB8" w:rsidR="006D5A79">
        <w:rPr>
          <w:rFonts w:eastAsia="Times New Roman" w:cs="Times New Roman"/>
          <w:color w:val="000000"/>
          <w:lang w:eastAsia="es-ES_tradnl"/>
        </w:rPr>
        <w:t>) y no de su contenido</w:t>
      </w:r>
      <w:r w:rsidRPr="00860DB8">
        <w:rPr>
          <w:rFonts w:eastAsia="Times New Roman" w:cs="Times New Roman"/>
          <w:color w:val="000000"/>
          <w:lang w:eastAsia="es-ES_tradnl"/>
        </w:rPr>
        <w:t>,</w:t>
      </w:r>
      <w:r w:rsidRPr="00860DB8">
        <w:rPr>
          <w:rFonts w:eastAsia="Calibri" w:cs="Tahoma"/>
          <w:color w:val="000000"/>
          <w:szCs w:val="24"/>
          <w:lang w:val="es-ES" w:eastAsia="es-MX"/>
        </w:rPr>
        <w:t xml:space="preserve"> p</w:t>
      </w:r>
      <w:proofErr w:type="spellStart"/>
      <w:r w:rsidRPr="00860DB8">
        <w:rPr>
          <w:rFonts w:eastAsia="Times New Roman" w:cs="Times New Roman"/>
          <w:color w:val="000000"/>
          <w:lang w:eastAsia="es-ES_tradnl"/>
        </w:rPr>
        <w:t>or</w:t>
      </w:r>
      <w:proofErr w:type="spellEnd"/>
      <w:r w:rsidRPr="00860DB8">
        <w:rPr>
          <w:rFonts w:eastAsia="Times New Roman" w:cs="Times New Roman"/>
          <w:color w:val="000000"/>
          <w:lang w:eastAsia="es-ES_tradnl"/>
        </w:rPr>
        <w:t xml:space="preserve"> lo que no se hará pronunciamiento </w:t>
      </w:r>
      <w:r w:rsidRPr="00860DB8">
        <w:rPr>
          <w:rFonts w:eastAsia="Times New Roman" w:cs="Times New Roman"/>
          <w:color w:val="000000"/>
          <w:lang w:eastAsia="es-ES_tradnl"/>
        </w:rPr>
        <w:lastRenderedPageBreak/>
        <w:t>alguno, respecto a dicha información,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860DB8">
        <w:rPr>
          <w:rFonts w:eastAsia="Times New Roman" w:cs="Times New Roman"/>
          <w:b/>
          <w:bCs/>
          <w:color w:val="000000"/>
          <w:lang w:eastAsia="es-ES_tradnl"/>
        </w:rPr>
        <w:t>los actos que se hayan consentido tácitamente,</w:t>
      </w:r>
      <w:r w:rsidRPr="00860DB8">
        <w:rPr>
          <w:rFonts w:eastAsia="Times New Roman" w:cs="Times New Roman"/>
          <w:color w:val="000000"/>
          <w:lang w:eastAsia="es-ES_tradnl"/>
        </w:rPr>
        <w:t> entendiéndose por estos cuando el agravio no se haya promovido en el plazo señalado para el efecto.</w:t>
      </w:r>
    </w:p>
    <w:p w:rsidRPr="00860DB8" w:rsidR="00E5021C" w:rsidP="00057880" w:rsidRDefault="00E5021C" w14:paraId="377DD0E1" w14:textId="77777777">
      <w:pPr>
        <w:autoSpaceDE w:val="0"/>
        <w:autoSpaceDN w:val="0"/>
        <w:adjustRightInd w:val="0"/>
        <w:spacing w:after="0" w:line="360" w:lineRule="auto"/>
        <w:contextualSpacing/>
        <w:rPr>
          <w:rFonts w:cs="Tahoma"/>
          <w:bCs/>
          <w:iCs/>
          <w:lang w:val="es-ES" w:eastAsia="es-ES"/>
        </w:rPr>
      </w:pPr>
    </w:p>
    <w:p w:rsidRPr="00860DB8" w:rsidR="00E5021C" w:rsidP="00057880" w:rsidRDefault="00E5021C" w14:paraId="70C32519" w14:textId="77777777">
      <w:pPr>
        <w:spacing w:after="0" w:line="360" w:lineRule="auto"/>
        <w:contextualSpacing/>
        <w:rPr>
          <w:rFonts w:eastAsia="Times New Roman" w:cs="Times New Roman"/>
          <w:color w:val="000000"/>
          <w:lang w:eastAsia="es-ES_tradnl"/>
        </w:rPr>
      </w:pPr>
      <w:r w:rsidRPr="00860DB8">
        <w:rPr>
          <w:rFonts w:eastAsia="Times New Roman" w:cs="Times New Roman"/>
          <w:color w:val="000000"/>
          <w:lang w:eastAsia="es-ES_tradnl"/>
        </w:rPr>
        <w:t>De la misma manera resulta aplicable el criterio sostenido por el Poder Judicial de la Federación de rubro </w:t>
      </w:r>
      <w:r w:rsidRPr="00860DB8">
        <w:rPr>
          <w:rFonts w:eastAsia="Times New Roman" w:cs="Times New Roman"/>
          <w:b/>
          <w:bCs/>
          <w:color w:val="000000"/>
          <w:lang w:eastAsia="es-ES_tradnl"/>
        </w:rPr>
        <w:t>ACTOS CONSENTIDOS TÁCITAMENTE</w:t>
      </w:r>
      <w:r w:rsidRPr="00860DB8">
        <w:rPr>
          <w:rFonts w:eastAsia="Times New Roman" w:cs="Times New Roman"/>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860DB8" w:rsidR="00E5021C" w:rsidP="00057880" w:rsidRDefault="00E5021C" w14:paraId="0973165D" w14:textId="77777777">
      <w:pPr>
        <w:spacing w:after="0" w:line="360" w:lineRule="auto"/>
        <w:contextualSpacing/>
        <w:rPr>
          <w:rFonts w:eastAsia="Times New Roman" w:cs="Times New Roman"/>
          <w:color w:val="000000"/>
          <w:lang w:eastAsia="es-ES_tradnl"/>
        </w:rPr>
      </w:pPr>
      <w:r w:rsidRPr="00860DB8">
        <w:rPr>
          <w:rFonts w:eastAsia="Times New Roman" w:cs="Times New Roman"/>
          <w:color w:val="000000"/>
          <w:lang w:eastAsia="es-ES_tradnl"/>
        </w:rPr>
        <w:t> </w:t>
      </w:r>
    </w:p>
    <w:p w:rsidRPr="00860DB8" w:rsidR="00E5021C" w:rsidP="00057880" w:rsidRDefault="00E5021C" w14:paraId="1F2D9F04" w14:textId="77777777">
      <w:pPr>
        <w:spacing w:after="0" w:line="360" w:lineRule="auto"/>
        <w:contextualSpacing/>
        <w:rPr>
          <w:rFonts w:eastAsia="Times New Roman" w:cs="Tahoma"/>
          <w:bCs/>
          <w:color w:val="auto"/>
          <w:lang w:eastAsia="es-ES"/>
        </w:rPr>
      </w:pPr>
      <w:r w:rsidRPr="00860DB8">
        <w:rPr>
          <w:rFonts w:eastAsia="Times New Roman" w:cs="Times New Roman"/>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r w:rsidRPr="00860DB8">
        <w:rPr>
          <w:rFonts w:eastAsia="Times New Roman" w:cs="Tahoma"/>
          <w:bCs/>
          <w:color w:val="auto"/>
          <w:lang w:eastAsia="es-ES"/>
        </w:rPr>
        <w:t>Asimismo, resulta relevante traer a colación el Criterio de Interpretación, con clave de control SO/001/2020, de la Segunda Época, emitido por el Instituto Nacional de Transparencia, Acceso a la Información y Protección de Datos Personales, que establece lo siguiente:</w:t>
      </w:r>
    </w:p>
    <w:p w:rsidRPr="00860DB8" w:rsidR="00E5021C" w:rsidP="00057880" w:rsidRDefault="00E5021C" w14:paraId="343A1CE4" w14:textId="77777777">
      <w:pPr>
        <w:spacing w:after="0" w:line="360" w:lineRule="auto"/>
        <w:contextualSpacing/>
        <w:rPr>
          <w:rFonts w:eastAsia="Times New Roman" w:cs="Times New Roman"/>
          <w:color w:val="000000"/>
          <w:lang w:eastAsia="es-ES_tradnl"/>
        </w:rPr>
      </w:pPr>
      <w:r w:rsidRPr="00860DB8">
        <w:rPr>
          <w:rFonts w:eastAsia="Times New Roman" w:cs="Times New Roman"/>
          <w:color w:val="000000"/>
          <w:lang w:eastAsia="es-ES_tradnl"/>
        </w:rPr>
        <w:t> </w:t>
      </w:r>
    </w:p>
    <w:p w:rsidRPr="00860DB8" w:rsidR="00E5021C" w:rsidP="00057880" w:rsidRDefault="00E5021C" w14:paraId="347338C3" w14:textId="77777777">
      <w:pPr>
        <w:spacing w:after="0" w:line="360" w:lineRule="auto"/>
        <w:ind w:left="567" w:right="567"/>
        <w:contextualSpacing/>
        <w:rPr>
          <w:rFonts w:eastAsia="Times New Roman" w:cs="Times New Roman"/>
          <w:color w:val="000000"/>
          <w:lang w:eastAsia="es-ES_tradnl"/>
        </w:rPr>
      </w:pPr>
      <w:r w:rsidRPr="00860DB8">
        <w:rPr>
          <w:rFonts w:eastAsia="Times New Roman" w:cs="Times New Roman"/>
          <w:b/>
          <w:bCs/>
          <w:i/>
          <w:iCs/>
          <w:color w:val="000000"/>
          <w:sz w:val="20"/>
          <w:szCs w:val="20"/>
          <w:lang w:eastAsia="es-ES_tradnl"/>
        </w:rPr>
        <w:t>“Actos consentidos tácitamente. Improcedencia de su análisis. </w:t>
      </w:r>
      <w:r w:rsidRPr="00860DB8">
        <w:rPr>
          <w:rFonts w:eastAsia="Times New Roman" w:cs="Times New Roman"/>
          <w:i/>
          <w:iCs/>
          <w:color w:val="000000"/>
          <w:sz w:val="20"/>
          <w:szCs w:val="20"/>
          <w:lang w:eastAsia="es-ES_tradnl"/>
        </w:rPr>
        <w:t xml:space="preserve">Si en su recurso de revisión, la persona recurrente no expresó inconformidad alguna con ciertas partes de la respuesta otorgada, </w:t>
      </w:r>
      <w:r w:rsidRPr="00860DB8">
        <w:rPr>
          <w:rFonts w:eastAsia="Times New Roman" w:cs="Times New Roman"/>
          <w:i/>
          <w:iCs/>
          <w:color w:val="000000"/>
          <w:sz w:val="20"/>
          <w:szCs w:val="20"/>
          <w:lang w:eastAsia="es-ES_tradnl"/>
        </w:rPr>
        <w:lastRenderedPageBreak/>
        <w:t>se entienden tácitamente consentidas, por ende, no deben formar parte del estudio de fondo de la resolución que emite el Instituto.”</w:t>
      </w:r>
    </w:p>
    <w:p w:rsidRPr="00860DB8" w:rsidR="00E5021C" w:rsidP="00057880" w:rsidRDefault="00E5021C" w14:paraId="435553D3" w14:textId="77777777">
      <w:pPr>
        <w:spacing w:after="0" w:line="360" w:lineRule="auto"/>
        <w:contextualSpacing/>
        <w:rPr>
          <w:rFonts w:eastAsia="Times New Roman" w:cs="Times New Roman"/>
          <w:color w:val="000000"/>
          <w:lang w:eastAsia="es-ES_tradnl"/>
        </w:rPr>
      </w:pPr>
    </w:p>
    <w:p w:rsidRPr="00860DB8" w:rsidR="006D5A79" w:rsidP="00057880" w:rsidRDefault="00E5021C" w14:paraId="476BCE4C" w14:textId="77777777">
      <w:pPr>
        <w:spacing w:after="0" w:line="360" w:lineRule="auto"/>
        <w:contextualSpacing/>
        <w:rPr>
          <w:rFonts w:eastAsia="Times New Roman" w:cs="Times New Roman"/>
          <w:color w:val="000000"/>
          <w:lang w:eastAsia="es-ES_tradnl"/>
        </w:rPr>
      </w:pPr>
      <w:r w:rsidRPr="00860DB8">
        <w:rPr>
          <w:rFonts w:eastAsia="Times New Roman" w:cs="Times New Roman"/>
          <w:color w:val="000000"/>
          <w:lang w:eastAsia="es-ES_tradnl"/>
        </w:rPr>
        <w:t xml:space="preserve">Conforme al Criterio establecido, es improcedente entrar al análisis de las partes de la respuesta del Sujeto Obligado que no fueron impugnadas por la Recurrente; por lo que, en el presente caso, se tiene por consentida </w:t>
      </w:r>
      <w:r w:rsidRPr="00860DB8" w:rsidR="006D5A79">
        <w:rPr>
          <w:rFonts w:eastAsia="Times New Roman" w:cs="Times New Roman"/>
          <w:color w:val="000000"/>
          <w:lang w:eastAsia="es-ES_tradnl"/>
        </w:rPr>
        <w:t>los documentos entregados en los puntos 1 y 2</w:t>
      </w:r>
      <w:r w:rsidRPr="00860DB8">
        <w:rPr>
          <w:rFonts w:eastAsia="Times New Roman" w:cs="Times New Roman"/>
          <w:color w:val="000000"/>
          <w:lang w:eastAsia="es-ES_tradnl"/>
        </w:rPr>
        <w:t xml:space="preserve"> y únicamente se entrará al análisis </w:t>
      </w:r>
      <w:r w:rsidRPr="00860DB8" w:rsidR="006D5A79">
        <w:rPr>
          <w:rFonts w:eastAsia="Times New Roman" w:cs="Times New Roman"/>
          <w:color w:val="000000"/>
          <w:lang w:eastAsia="es-ES_tradnl"/>
        </w:rPr>
        <w:t>de lo siguiente:</w:t>
      </w:r>
    </w:p>
    <w:p w:rsidRPr="00860DB8" w:rsidR="006D5A79" w:rsidP="00057880" w:rsidRDefault="006D5A79" w14:paraId="69A66995" w14:textId="77777777">
      <w:pPr>
        <w:spacing w:after="0" w:line="360" w:lineRule="auto"/>
        <w:contextualSpacing/>
        <w:rPr>
          <w:rFonts w:cs="Tahoma"/>
          <w:bCs/>
          <w:lang w:val="es-ES"/>
        </w:rPr>
      </w:pPr>
    </w:p>
    <w:p w:rsidRPr="00860DB8" w:rsidR="006D5A79" w:rsidP="00057880" w:rsidRDefault="006D5A79" w14:paraId="762121C1" w14:textId="1D17A3B1">
      <w:pPr>
        <w:pStyle w:val="Prrafodelista"/>
        <w:numPr>
          <w:ilvl w:val="0"/>
          <w:numId w:val="17"/>
        </w:numPr>
        <w:spacing w:after="0" w:line="360" w:lineRule="auto"/>
        <w:rPr>
          <w:rFonts w:cs="Tahoma"/>
          <w:bCs/>
          <w:lang w:val="es-ES"/>
        </w:rPr>
      </w:pPr>
      <w:r w:rsidRPr="00860DB8">
        <w:rPr>
          <w:rFonts w:cs="Tahoma"/>
          <w:bCs/>
          <w:lang w:val="es-ES"/>
        </w:rPr>
        <w:t>Datos testados en los recibos de n</w:t>
      </w:r>
      <w:proofErr w:type="spellStart"/>
      <w:r w:rsidRPr="00860DB8">
        <w:rPr>
          <w:rFonts w:cs="Tahoma"/>
          <w:bCs/>
          <w:lang w:val="x-none"/>
        </w:rPr>
        <w:t>ómina</w:t>
      </w:r>
      <w:proofErr w:type="spellEnd"/>
      <w:r w:rsidRPr="00860DB8">
        <w:rPr>
          <w:rFonts w:cs="Tahoma"/>
          <w:bCs/>
          <w:lang w:val="x-none"/>
        </w:rPr>
        <w:t>;</w:t>
      </w:r>
    </w:p>
    <w:p w:rsidRPr="00860DB8" w:rsidR="006D5A79" w:rsidP="00057880" w:rsidRDefault="006D5A79" w14:paraId="2EEF6F48" w14:textId="77777777">
      <w:pPr>
        <w:pStyle w:val="Prrafodelista"/>
        <w:spacing w:after="0" w:line="360" w:lineRule="auto"/>
        <w:ind w:left="780"/>
        <w:rPr>
          <w:rFonts w:cs="Tahoma"/>
          <w:bCs/>
          <w:lang w:val="es-ES"/>
        </w:rPr>
      </w:pPr>
    </w:p>
    <w:p w:rsidRPr="00860DB8" w:rsidR="006D5A79" w:rsidP="00057880" w:rsidRDefault="006D5A79" w14:paraId="7A8D62E3" w14:textId="67279B85">
      <w:pPr>
        <w:pStyle w:val="Prrafodelista"/>
        <w:numPr>
          <w:ilvl w:val="0"/>
          <w:numId w:val="17"/>
        </w:numPr>
        <w:spacing w:after="0" w:line="360" w:lineRule="auto"/>
        <w:rPr>
          <w:rFonts w:cs="Tahoma"/>
          <w:bCs/>
          <w:lang w:val="es-ES"/>
        </w:rPr>
      </w:pPr>
      <w:r w:rsidRPr="00860DB8">
        <w:rPr>
          <w:rFonts w:cs="Tahoma"/>
          <w:bCs/>
          <w:lang w:val="es-ES"/>
        </w:rPr>
        <w:t>Recibo</w:t>
      </w:r>
      <w:r w:rsidRPr="00860DB8">
        <w:rPr>
          <w:rFonts w:cs="Tahoma"/>
          <w:bCs/>
          <w:lang w:val="x-none"/>
        </w:rPr>
        <w:t xml:space="preserve"> de nómina del Sexto Regidor, y</w:t>
      </w:r>
    </w:p>
    <w:p w:rsidRPr="00860DB8" w:rsidR="006D5A79" w:rsidP="00057880" w:rsidRDefault="006D5A79" w14:paraId="38B0F779" w14:textId="77777777">
      <w:pPr>
        <w:pStyle w:val="Prrafodelista"/>
        <w:spacing w:after="0" w:line="360" w:lineRule="auto"/>
        <w:rPr>
          <w:rFonts w:cs="Tahoma"/>
          <w:bCs/>
          <w:lang w:val="es-ES"/>
        </w:rPr>
      </w:pPr>
    </w:p>
    <w:p w:rsidRPr="00860DB8" w:rsidR="006D5A79" w:rsidP="00057880" w:rsidRDefault="006D5A79" w14:paraId="75863520" w14:textId="2E664DE7">
      <w:pPr>
        <w:pStyle w:val="Prrafodelista"/>
        <w:numPr>
          <w:ilvl w:val="0"/>
          <w:numId w:val="17"/>
        </w:numPr>
        <w:spacing w:after="0" w:line="360" w:lineRule="auto"/>
        <w:rPr>
          <w:rFonts w:cs="Tahoma"/>
          <w:bCs/>
          <w:lang w:val="es-ES"/>
        </w:rPr>
      </w:pPr>
      <w:proofErr w:type="spellStart"/>
      <w:r w:rsidRPr="00860DB8">
        <w:rPr>
          <w:rFonts w:cs="Tahoma"/>
          <w:bCs/>
          <w:lang w:val="es-ES"/>
        </w:rPr>
        <w:t>Dispersi</w:t>
      </w:r>
      <w:r w:rsidRPr="00860DB8">
        <w:rPr>
          <w:rFonts w:cs="Tahoma"/>
          <w:bCs/>
          <w:lang w:val="x-none"/>
        </w:rPr>
        <w:t>ón</w:t>
      </w:r>
      <w:proofErr w:type="spellEnd"/>
      <w:r w:rsidRPr="00860DB8">
        <w:rPr>
          <w:rFonts w:cs="Tahoma"/>
          <w:bCs/>
          <w:lang w:val="x-none"/>
        </w:rPr>
        <w:t xml:space="preserve"> de nómina de las remuneraciones pagadas en la segunda quincena de septiembre de dos mil veintidós, al Presidente Municipal, el Síndico y los Regidores.</w:t>
      </w:r>
    </w:p>
    <w:p w:rsidRPr="00860DB8" w:rsidR="006D5A79" w:rsidP="00057880" w:rsidRDefault="006D5A79" w14:paraId="6D722B47" w14:textId="77777777">
      <w:pPr>
        <w:spacing w:after="0" w:line="360" w:lineRule="auto"/>
        <w:contextualSpacing/>
        <w:rPr>
          <w:rFonts w:cs="Tahoma"/>
          <w:bCs/>
          <w:lang w:val="es-ES"/>
        </w:rPr>
      </w:pPr>
    </w:p>
    <w:p w:rsidRPr="00860DB8" w:rsidR="008B1285" w:rsidP="00057880" w:rsidRDefault="00E5021C" w14:paraId="3B3FC09C" w14:textId="041324A9">
      <w:pPr>
        <w:spacing w:after="0" w:line="360" w:lineRule="auto"/>
        <w:contextualSpacing/>
        <w:rPr>
          <w:rFonts w:cs="Tahoma"/>
          <w:bCs/>
          <w:iCs/>
          <w:lang w:val="es-ES" w:eastAsia="es-ES"/>
        </w:rPr>
      </w:pPr>
      <w:r w:rsidRPr="00860DB8">
        <w:rPr>
          <w:rFonts w:cs="Tahoma"/>
          <w:bCs/>
          <w:lang w:val="es-ES"/>
        </w:rPr>
        <w:t>Así las cosas, una vez admitido y notificado el Recurso de Revisión, las partes, el Sujeto Obligado ratificó su respuesta.</w:t>
      </w:r>
    </w:p>
    <w:p w:rsidRPr="00860DB8" w:rsidR="00E5021C" w:rsidP="00057880" w:rsidRDefault="00E5021C" w14:paraId="2159AFC5" w14:textId="77777777">
      <w:pPr>
        <w:tabs>
          <w:tab w:val="left" w:pos="4962"/>
        </w:tabs>
        <w:spacing w:after="0" w:line="360" w:lineRule="auto"/>
        <w:contextualSpacing/>
        <w:rPr>
          <w:rFonts w:eastAsia="Calibri" w:cs="Tahoma"/>
          <w:iCs/>
          <w:lang w:val="es-ES" w:eastAsia="es-ES_tradnl"/>
        </w:rPr>
      </w:pPr>
    </w:p>
    <w:p w:rsidRPr="00860DB8" w:rsidR="00643CB5" w:rsidP="00057880" w:rsidRDefault="00643CB5" w14:paraId="3668D719" w14:textId="6BABDCBA">
      <w:pPr>
        <w:tabs>
          <w:tab w:val="left" w:pos="4962"/>
        </w:tabs>
        <w:spacing w:after="0" w:line="360" w:lineRule="auto"/>
        <w:contextualSpacing/>
        <w:rPr>
          <w:rFonts w:eastAsia="Calibri" w:cs="Tahoma"/>
          <w:bCs/>
        </w:rPr>
      </w:pPr>
      <w:r w:rsidRPr="00860DB8">
        <w:rPr>
          <w:rFonts w:eastAsia="Calibri" w:cs="Tahoma"/>
          <w:iCs/>
          <w:lang w:val="es-ES" w:eastAsia="es-ES_tradnl"/>
        </w:rPr>
        <w:t xml:space="preserve">Lo anterior, se desprende de las documentales que obran en los expedientes de referencia, materia de la presente resolución, consistentes en: las solicitudes de acceso a la información, las respuestas proporcionadas y </w:t>
      </w:r>
      <w:r w:rsidRPr="00860DB8">
        <w:rPr>
          <w:rFonts w:eastAsia="Calibri" w:cs="Tahoma"/>
          <w:iCs/>
          <w:lang w:eastAsia="es-ES_tradnl"/>
        </w:rPr>
        <w:t xml:space="preserve">los escritos </w:t>
      </w:r>
      <w:proofErr w:type="spellStart"/>
      <w:r w:rsidRPr="00860DB8">
        <w:rPr>
          <w:rFonts w:eastAsia="Calibri" w:cs="Tahoma"/>
          <w:iCs/>
          <w:lang w:eastAsia="es-ES_tradnl"/>
        </w:rPr>
        <w:t>recursales</w:t>
      </w:r>
      <w:proofErr w:type="spellEnd"/>
      <w:r w:rsidRPr="00860DB8">
        <w:rPr>
          <w:rFonts w:eastAsia="Calibri" w:cs="Tahoma"/>
          <w:iCs/>
          <w:lang w:eastAsia="es-ES_tradnl"/>
        </w:rPr>
        <w:t xml:space="preserve">, </w:t>
      </w:r>
      <w:r w:rsidRPr="00860DB8">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860DB8" w:rsidR="00643CB5" w:rsidP="00057880" w:rsidRDefault="00643CB5" w14:paraId="6F10A6E2" w14:textId="77777777">
      <w:pPr>
        <w:spacing w:after="0" w:line="360" w:lineRule="auto"/>
        <w:contextualSpacing/>
        <w:rPr>
          <w:rFonts w:eastAsia="Times New Roman" w:cs="Tahoma"/>
          <w:b/>
          <w:bCs/>
          <w:iCs/>
          <w:color w:val="auto"/>
          <w:lang w:val="es-ES" w:eastAsia="es-ES"/>
        </w:rPr>
      </w:pPr>
    </w:p>
    <w:p w:rsidRPr="00860DB8" w:rsidR="00643CB5" w:rsidP="00057880" w:rsidRDefault="00643CB5" w14:paraId="6CDF0CE8" w14:textId="77777777">
      <w:pPr>
        <w:spacing w:after="0" w:line="360" w:lineRule="auto"/>
        <w:contextualSpacing/>
        <w:rPr>
          <w:rFonts w:eastAsia="Times New Roman" w:cs="Tahoma"/>
          <w:b/>
          <w:bCs/>
          <w:iCs/>
          <w:color w:val="auto"/>
          <w:lang w:eastAsia="es-ES"/>
        </w:rPr>
      </w:pPr>
      <w:r w:rsidRPr="00860DB8">
        <w:rPr>
          <w:rFonts w:eastAsia="Times New Roman" w:cs="Tahoma"/>
          <w:b/>
          <w:bCs/>
          <w:iCs/>
          <w:color w:val="auto"/>
          <w:lang w:val="es-ES" w:eastAsia="es-ES"/>
        </w:rPr>
        <w:t xml:space="preserve">CUARTO. </w:t>
      </w:r>
      <w:r w:rsidRPr="00860DB8">
        <w:rPr>
          <w:rFonts w:eastAsia="Times New Roman" w:cs="Tahoma"/>
          <w:b/>
          <w:bCs/>
          <w:iCs/>
          <w:color w:val="auto"/>
          <w:lang w:eastAsia="es-ES"/>
        </w:rPr>
        <w:t>Marco normativo aplicable en materia de transparencia y acceso a la información pública.</w:t>
      </w:r>
    </w:p>
    <w:p w:rsidRPr="00860DB8" w:rsidR="00643CB5" w:rsidP="00057880" w:rsidRDefault="00643CB5" w14:paraId="43FF1432" w14:textId="77777777">
      <w:pPr>
        <w:autoSpaceDE w:val="0"/>
        <w:autoSpaceDN w:val="0"/>
        <w:adjustRightInd w:val="0"/>
        <w:spacing w:after="0" w:line="360" w:lineRule="auto"/>
        <w:contextualSpacing/>
        <w:rPr>
          <w:rFonts w:eastAsia="Times New Roman" w:cs="Tahoma"/>
          <w:bCs/>
          <w:iCs/>
          <w:color w:val="auto"/>
          <w:lang w:val="es-ES" w:eastAsia="es-ES"/>
        </w:rPr>
      </w:pPr>
    </w:p>
    <w:p w:rsidRPr="00860DB8" w:rsidR="00643CB5" w:rsidP="00057880" w:rsidRDefault="00643CB5" w14:paraId="2BB69C01" w14:textId="77777777">
      <w:pPr>
        <w:spacing w:after="0" w:line="360" w:lineRule="auto"/>
        <w:contextualSpacing/>
        <w:rPr>
          <w:rFonts w:eastAsia="Times New Roman" w:cs="Tahoma"/>
          <w:bCs/>
          <w:iCs/>
          <w:color w:val="auto"/>
          <w:lang w:eastAsia="es-ES"/>
        </w:rPr>
      </w:pPr>
      <w:r w:rsidRPr="00860DB8">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60DB8" w:rsidR="00643CB5" w:rsidP="00057880" w:rsidRDefault="00643CB5" w14:paraId="178BA40A" w14:textId="77777777">
      <w:pPr>
        <w:spacing w:after="0" w:line="360" w:lineRule="auto"/>
        <w:contextualSpacing/>
        <w:rPr>
          <w:rFonts w:eastAsia="Times New Roman" w:cs="Tahoma"/>
          <w:bCs/>
          <w:iCs/>
          <w:color w:val="auto"/>
          <w:lang w:eastAsia="es-ES"/>
        </w:rPr>
      </w:pPr>
    </w:p>
    <w:p w:rsidRPr="00860DB8" w:rsidR="00643CB5" w:rsidP="00057880" w:rsidRDefault="00643CB5" w14:paraId="6320C6A8" w14:textId="77777777">
      <w:pPr>
        <w:spacing w:after="0" w:line="360" w:lineRule="auto"/>
        <w:contextualSpacing/>
        <w:rPr>
          <w:rFonts w:eastAsia="Times New Roman" w:cs="Tahoma"/>
          <w:bCs/>
          <w:iCs/>
          <w:color w:val="auto"/>
          <w:lang w:eastAsia="es-ES"/>
        </w:rPr>
      </w:pPr>
      <w:r w:rsidRPr="00860DB8">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860DB8" w:rsidR="00643CB5" w:rsidP="00057880" w:rsidRDefault="00643CB5" w14:paraId="7B720F9E" w14:textId="77777777">
      <w:pPr>
        <w:spacing w:after="0" w:line="360" w:lineRule="auto"/>
        <w:contextualSpacing/>
        <w:rPr>
          <w:rFonts w:eastAsia="Times New Roman" w:cs="Tahoma"/>
          <w:bCs/>
          <w:iCs/>
          <w:color w:val="auto"/>
          <w:lang w:eastAsia="es-ES"/>
        </w:rPr>
      </w:pPr>
    </w:p>
    <w:p w:rsidRPr="00860DB8" w:rsidR="00643CB5" w:rsidP="00057880" w:rsidRDefault="00643CB5" w14:paraId="61CE1283" w14:textId="77777777">
      <w:pPr>
        <w:spacing w:after="0" w:line="360" w:lineRule="auto"/>
        <w:contextualSpacing/>
        <w:rPr>
          <w:rFonts w:eastAsia="Times New Roman" w:cs="Tahoma"/>
          <w:bCs/>
          <w:iCs/>
          <w:color w:val="auto"/>
          <w:lang w:eastAsia="es-ES"/>
        </w:rPr>
      </w:pPr>
      <w:r w:rsidRPr="00860DB8">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60DB8" w:rsidR="00643CB5" w:rsidP="00057880" w:rsidRDefault="00643CB5" w14:paraId="39A91E02" w14:textId="77777777">
      <w:pPr>
        <w:spacing w:after="0" w:line="360" w:lineRule="auto"/>
        <w:contextualSpacing/>
        <w:rPr>
          <w:rFonts w:eastAsia="Times New Roman" w:cs="Tahoma"/>
          <w:bCs/>
          <w:iCs/>
          <w:color w:val="auto"/>
          <w:lang w:eastAsia="es-ES"/>
        </w:rPr>
      </w:pPr>
    </w:p>
    <w:p w:rsidRPr="00860DB8" w:rsidR="00643CB5" w:rsidP="00057880" w:rsidRDefault="00643CB5" w14:paraId="27F0F437" w14:textId="77777777">
      <w:pPr>
        <w:spacing w:after="0" w:line="360" w:lineRule="auto"/>
        <w:contextualSpacing/>
        <w:rPr>
          <w:rFonts w:eastAsia="Times New Roman" w:cs="Tahoma"/>
          <w:bCs/>
          <w:iCs/>
          <w:color w:val="auto"/>
          <w:lang w:eastAsia="es-ES"/>
        </w:rPr>
      </w:pPr>
      <w:r w:rsidRPr="00860DB8">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860DB8" w:rsidR="00643CB5" w:rsidP="00057880" w:rsidRDefault="00643CB5" w14:paraId="61D5B260" w14:textId="77777777">
      <w:pPr>
        <w:spacing w:after="0" w:line="360" w:lineRule="auto"/>
        <w:contextualSpacing/>
        <w:rPr>
          <w:rFonts w:eastAsia="Times New Roman" w:cs="Tahoma"/>
          <w:bCs/>
          <w:iCs/>
          <w:color w:val="auto"/>
          <w:lang w:eastAsia="es-ES"/>
        </w:rPr>
      </w:pPr>
    </w:p>
    <w:p w:rsidRPr="00860DB8" w:rsidR="00643CB5" w:rsidP="00057880" w:rsidRDefault="00643CB5" w14:paraId="5E290941" w14:textId="77777777">
      <w:pPr>
        <w:spacing w:after="0" w:line="360" w:lineRule="auto"/>
        <w:contextualSpacing/>
        <w:rPr>
          <w:rFonts w:eastAsia="Times New Roman" w:cs="Tahoma"/>
          <w:bCs/>
          <w:iCs/>
          <w:color w:val="auto"/>
          <w:lang w:eastAsia="es-ES"/>
        </w:rPr>
      </w:pPr>
      <w:r w:rsidRPr="00860DB8">
        <w:rPr>
          <w:rFonts w:eastAsia="Times New Roman" w:cs="Tahoma"/>
          <w:bCs/>
          <w:iCs/>
          <w:color w:val="auto"/>
          <w:lang w:eastAsia="es-ES"/>
        </w:rPr>
        <w:t>El artículo 12, que, quienes generen, recopilen, administren, manejen, procesen, archiven o conserven información pública serán responsables de la misma.</w:t>
      </w:r>
    </w:p>
    <w:p w:rsidRPr="00860DB8" w:rsidR="00643CB5" w:rsidP="00057880" w:rsidRDefault="00643CB5" w14:paraId="6754F088" w14:textId="77777777">
      <w:pPr>
        <w:spacing w:after="0" w:line="360" w:lineRule="auto"/>
        <w:contextualSpacing/>
        <w:rPr>
          <w:rFonts w:eastAsia="Times New Roman" w:cs="Tahoma"/>
          <w:bCs/>
          <w:iCs/>
          <w:color w:val="auto"/>
          <w:lang w:eastAsia="es-ES"/>
        </w:rPr>
      </w:pPr>
    </w:p>
    <w:p w:rsidRPr="00860DB8" w:rsidR="00643CB5" w:rsidP="00057880" w:rsidRDefault="00643CB5" w14:paraId="409C7D27" w14:textId="77777777">
      <w:pPr>
        <w:widowControl w:val="0"/>
        <w:spacing w:after="0" w:line="360" w:lineRule="auto"/>
        <w:contextualSpacing/>
        <w:rPr>
          <w:rFonts w:eastAsia="Times New Roman" w:cs="Tahoma"/>
          <w:bCs/>
          <w:iCs/>
          <w:color w:val="auto"/>
          <w:lang w:eastAsia="es-ES"/>
        </w:rPr>
      </w:pPr>
      <w:r w:rsidRPr="00860DB8">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860DB8" w:rsidR="00643CB5" w:rsidP="00057880" w:rsidRDefault="00643CB5" w14:paraId="4E7A22A6" w14:textId="77777777">
      <w:pPr>
        <w:spacing w:after="0" w:line="360" w:lineRule="auto"/>
        <w:contextualSpacing/>
        <w:rPr>
          <w:rFonts w:eastAsia="Times New Roman" w:cs="Tahoma"/>
          <w:bCs/>
          <w:iCs/>
          <w:color w:val="auto"/>
          <w:lang w:eastAsia="es-ES"/>
        </w:rPr>
      </w:pPr>
    </w:p>
    <w:p w:rsidRPr="00860DB8" w:rsidR="00643CB5" w:rsidP="00057880" w:rsidRDefault="00643CB5" w14:paraId="3E902035" w14:textId="77777777">
      <w:pPr>
        <w:spacing w:after="0" w:line="360" w:lineRule="auto"/>
        <w:contextualSpacing/>
        <w:rPr>
          <w:rFonts w:eastAsia="Times New Roman" w:cs="Tahoma"/>
          <w:bCs/>
          <w:iCs/>
          <w:color w:val="auto"/>
          <w:lang w:eastAsia="es-ES"/>
        </w:rPr>
      </w:pPr>
      <w:r w:rsidRPr="00860DB8">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860DB8">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rsidRPr="00860DB8" w:rsidR="00643CB5" w:rsidP="00057880" w:rsidRDefault="00643CB5" w14:paraId="3A306C4B" w14:textId="77777777">
      <w:pPr>
        <w:spacing w:after="0" w:line="360" w:lineRule="auto"/>
        <w:contextualSpacing/>
        <w:rPr>
          <w:rFonts w:eastAsia="Times New Roman" w:cs="Tahoma"/>
          <w:bCs/>
          <w:iCs/>
          <w:color w:val="auto"/>
          <w:lang w:eastAsia="es-ES"/>
        </w:rPr>
      </w:pPr>
    </w:p>
    <w:p w:rsidRPr="00860DB8" w:rsidR="00643CB5" w:rsidP="00057880" w:rsidRDefault="00643CB5" w14:paraId="6EB74752" w14:textId="77777777">
      <w:pPr>
        <w:spacing w:after="0" w:line="360" w:lineRule="auto"/>
        <w:contextualSpacing/>
        <w:rPr>
          <w:rFonts w:cs="Tahoma"/>
          <w:bCs/>
          <w:iCs/>
          <w:lang w:val="es-ES"/>
        </w:rPr>
      </w:pPr>
      <w:r w:rsidRPr="00860DB8">
        <w:rPr>
          <w:rFonts w:cs="Tahoma"/>
          <w:bCs/>
          <w:iCs/>
        </w:rPr>
        <w:t xml:space="preserve">El artículo 92, fracción VIII, </w:t>
      </w:r>
      <w:r w:rsidRPr="00860DB8">
        <w:rPr>
          <w:rFonts w:cs="Tahoma"/>
          <w:bCs/>
          <w:iCs/>
          <w:lang w:val="es-ES"/>
        </w:rPr>
        <w:t>que, la información sobre las remuneraciones de todos los servidores públicos de base o de confianza, corresponde a una Obligación Común de Transparencia para los Sujetos Obligados.</w:t>
      </w:r>
    </w:p>
    <w:p w:rsidRPr="00860DB8" w:rsidR="00643CB5" w:rsidP="00057880" w:rsidRDefault="00643CB5" w14:paraId="0837F8F9" w14:textId="77777777">
      <w:pPr>
        <w:spacing w:after="0" w:line="360" w:lineRule="auto"/>
        <w:contextualSpacing/>
        <w:rPr>
          <w:rFonts w:eastAsia="Times New Roman" w:cs="Tahoma"/>
          <w:bCs/>
          <w:iCs/>
          <w:color w:val="auto"/>
          <w:lang w:eastAsia="es-ES"/>
        </w:rPr>
      </w:pPr>
    </w:p>
    <w:p w:rsidRPr="00860DB8" w:rsidR="00643CB5" w:rsidP="00057880" w:rsidRDefault="00643CB5" w14:paraId="66571663" w14:textId="77777777">
      <w:pPr>
        <w:spacing w:after="0" w:line="360" w:lineRule="auto"/>
        <w:contextualSpacing/>
        <w:rPr>
          <w:rFonts w:eastAsia="Times New Roman" w:cs="Tahoma"/>
          <w:b/>
          <w:bCs/>
          <w:iCs/>
          <w:color w:val="auto"/>
          <w:lang w:val="es-ES" w:eastAsia="es-ES"/>
        </w:rPr>
      </w:pPr>
      <w:r w:rsidRPr="00860DB8">
        <w:rPr>
          <w:rFonts w:eastAsia="Times New Roman" w:cs="Tahoma"/>
          <w:b/>
          <w:bCs/>
          <w:iCs/>
          <w:color w:val="auto"/>
          <w:lang w:val="es-ES" w:eastAsia="es-ES"/>
        </w:rPr>
        <w:t>QUINTO. Estudio de Fondo.</w:t>
      </w:r>
    </w:p>
    <w:p w:rsidRPr="00860DB8" w:rsidR="00643CB5" w:rsidP="00057880" w:rsidRDefault="00643CB5" w14:paraId="3602BB11" w14:textId="77777777">
      <w:pPr>
        <w:spacing w:after="0" w:line="360" w:lineRule="auto"/>
        <w:contextualSpacing/>
        <w:rPr>
          <w:rFonts w:eastAsia="Times New Roman" w:cs="Tahoma"/>
          <w:b/>
          <w:bCs/>
          <w:iCs/>
          <w:color w:val="auto"/>
          <w:lang w:val="es-ES" w:eastAsia="es-ES"/>
        </w:rPr>
      </w:pPr>
    </w:p>
    <w:p w:rsidRPr="00860DB8" w:rsidR="00057880" w:rsidP="00057880" w:rsidRDefault="00057880" w14:paraId="291D19B7" w14:textId="77777777">
      <w:pPr>
        <w:spacing w:after="0" w:line="360" w:lineRule="auto"/>
        <w:contextualSpacing/>
        <w:rPr>
          <w:rFonts w:eastAsia="Times New Roman" w:cs="Tahoma"/>
          <w:bCs/>
          <w:iCs/>
          <w:color w:val="auto"/>
          <w:lang w:eastAsia="es-ES"/>
        </w:rPr>
      </w:pPr>
      <w:r w:rsidRPr="00860DB8">
        <w:rPr>
          <w:rFonts w:eastAsia="Times New Roman" w:cs="Tahoma"/>
          <w:bCs/>
          <w:iCs/>
          <w:color w:val="auto"/>
          <w:lang w:eastAsia="es-ES"/>
        </w:rPr>
        <w:t>Expuestas las posturas de las partes, se procede al análisis de los agravios hechos valer por el ahora Recurrente, el cual se realizará de la siguiente manera:</w:t>
      </w:r>
    </w:p>
    <w:p w:rsidRPr="00860DB8" w:rsidR="00057880" w:rsidP="00057880" w:rsidRDefault="00057880" w14:paraId="5C705732" w14:textId="77777777">
      <w:pPr>
        <w:spacing w:after="0" w:line="360" w:lineRule="auto"/>
        <w:contextualSpacing/>
        <w:rPr>
          <w:rFonts w:eastAsia="Times New Roman" w:cs="Tahoma"/>
          <w:bCs/>
          <w:iCs/>
          <w:color w:val="auto"/>
          <w:lang w:eastAsia="es-ES"/>
        </w:rPr>
      </w:pPr>
    </w:p>
    <w:p w:rsidRPr="00860DB8" w:rsidR="00057880" w:rsidP="00057880" w:rsidRDefault="00057880" w14:paraId="5CCE1193" w14:textId="77777777">
      <w:pPr>
        <w:pStyle w:val="Prrafodelista"/>
        <w:numPr>
          <w:ilvl w:val="0"/>
          <w:numId w:val="18"/>
        </w:numPr>
        <w:spacing w:after="0" w:line="360" w:lineRule="auto"/>
        <w:rPr>
          <w:rFonts w:eastAsia="Times New Roman" w:cs="Tahoma"/>
          <w:bCs/>
          <w:iCs/>
          <w:color w:val="auto"/>
          <w:lang w:eastAsia="es-ES"/>
        </w:rPr>
      </w:pPr>
      <w:r w:rsidRPr="00860DB8">
        <w:rPr>
          <w:rFonts w:eastAsia="Times New Roman" w:cs="Tahoma"/>
          <w:bCs/>
          <w:iCs/>
          <w:color w:val="auto"/>
          <w:lang w:eastAsia="es-ES"/>
        </w:rPr>
        <w:t>Recibo de nómina del Sexto Regidor;</w:t>
      </w:r>
    </w:p>
    <w:p w:rsidRPr="00860DB8" w:rsidR="00057880" w:rsidP="00057880" w:rsidRDefault="00057880" w14:paraId="68850A45" w14:textId="77777777">
      <w:pPr>
        <w:pStyle w:val="Prrafodelista"/>
        <w:spacing w:after="0" w:line="360" w:lineRule="auto"/>
        <w:rPr>
          <w:rFonts w:eastAsia="Times New Roman" w:cs="Tahoma"/>
          <w:bCs/>
          <w:iCs/>
          <w:color w:val="auto"/>
          <w:lang w:eastAsia="es-ES"/>
        </w:rPr>
      </w:pPr>
    </w:p>
    <w:p w:rsidRPr="00860DB8" w:rsidR="00057880" w:rsidP="00057880" w:rsidRDefault="00057880" w14:paraId="52E7D90C" w14:textId="77777777">
      <w:pPr>
        <w:pStyle w:val="Prrafodelista"/>
        <w:numPr>
          <w:ilvl w:val="0"/>
          <w:numId w:val="18"/>
        </w:numPr>
        <w:spacing w:after="0" w:line="360" w:lineRule="auto"/>
        <w:rPr>
          <w:rFonts w:eastAsia="Times New Roman" w:cs="Tahoma"/>
          <w:bCs/>
          <w:iCs/>
          <w:color w:val="auto"/>
          <w:lang w:eastAsia="es-ES"/>
        </w:rPr>
      </w:pPr>
      <w:r w:rsidRPr="00860DB8">
        <w:rPr>
          <w:rFonts w:eastAsia="Times New Roman" w:cs="Tahoma"/>
          <w:bCs/>
          <w:iCs/>
          <w:color w:val="auto"/>
          <w:lang w:eastAsia="es-ES"/>
        </w:rPr>
        <w:t>Comprobante bancario de dispersión de nómina, y</w:t>
      </w:r>
    </w:p>
    <w:p w:rsidRPr="00860DB8" w:rsidR="00057880" w:rsidP="00057880" w:rsidRDefault="00057880" w14:paraId="237E955A" w14:textId="77777777">
      <w:pPr>
        <w:pStyle w:val="Prrafodelista"/>
        <w:spacing w:after="0" w:line="360" w:lineRule="auto"/>
        <w:rPr>
          <w:rFonts w:eastAsia="Times New Roman" w:cs="Tahoma"/>
          <w:bCs/>
          <w:iCs/>
          <w:color w:val="auto"/>
          <w:lang w:eastAsia="es-ES"/>
        </w:rPr>
      </w:pPr>
    </w:p>
    <w:p w:rsidRPr="00860DB8" w:rsidR="00057880" w:rsidP="00057880" w:rsidRDefault="00057880" w14:paraId="4A345810" w14:textId="77777777">
      <w:pPr>
        <w:pStyle w:val="Prrafodelista"/>
        <w:numPr>
          <w:ilvl w:val="0"/>
          <w:numId w:val="18"/>
        </w:numPr>
        <w:spacing w:after="0" w:line="360" w:lineRule="auto"/>
        <w:rPr>
          <w:rFonts w:eastAsia="Times New Roman" w:cs="Tahoma"/>
          <w:bCs/>
          <w:iCs/>
          <w:color w:val="auto"/>
          <w:lang w:eastAsia="es-ES"/>
        </w:rPr>
      </w:pPr>
      <w:r w:rsidRPr="00860DB8">
        <w:rPr>
          <w:rFonts w:eastAsia="Times New Roman" w:cs="Tahoma"/>
          <w:bCs/>
          <w:iCs/>
          <w:color w:val="auto"/>
          <w:lang w:eastAsia="es-ES"/>
        </w:rPr>
        <w:t>Datos testados en los documentos entregados.</w:t>
      </w:r>
    </w:p>
    <w:p w:rsidRPr="00860DB8" w:rsidR="00057880" w:rsidP="00057880" w:rsidRDefault="00057880" w14:paraId="55234AC2" w14:textId="77777777">
      <w:pPr>
        <w:spacing w:after="0" w:line="360" w:lineRule="auto"/>
        <w:contextualSpacing/>
        <w:rPr>
          <w:rFonts w:eastAsia="Calibri" w:cs="Times New Roman"/>
          <w:bCs/>
          <w:color w:val="000000"/>
        </w:rPr>
      </w:pPr>
    </w:p>
    <w:p w:rsidRPr="00860DB8" w:rsidR="00057880" w:rsidP="00057880" w:rsidRDefault="00057880" w14:paraId="45F7D25D" w14:textId="77777777">
      <w:pPr>
        <w:spacing w:after="0" w:line="360" w:lineRule="auto"/>
        <w:contextualSpacing/>
        <w:rPr>
          <w:rFonts w:eastAsia="Calibri" w:cs="Times New Roman"/>
          <w:bCs/>
          <w:color w:val="000000"/>
        </w:rPr>
      </w:pPr>
      <w:r w:rsidRPr="00860DB8">
        <w:rPr>
          <w:rFonts w:eastAsia="Calibri" w:cs="Times New Roman"/>
          <w:bCs/>
          <w:color w:val="000000"/>
        </w:rPr>
        <w:t xml:space="preserve">En principio resulta necesario contextualizar los documentos requeridos por el Particular, sobre los recibos de nómina y prestaciones pagadas,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860DB8" w:rsidR="00057880" w:rsidP="00057880" w:rsidRDefault="00057880" w14:paraId="4F4E041D" w14:textId="77777777">
      <w:pPr>
        <w:spacing w:after="0" w:line="360" w:lineRule="auto"/>
        <w:contextualSpacing/>
        <w:rPr>
          <w:rFonts w:eastAsia="Times New Roman" w:cs="Tahoma"/>
          <w:bCs/>
          <w:iCs/>
          <w:color w:val="auto"/>
          <w:lang w:eastAsia="es-ES"/>
        </w:rPr>
      </w:pPr>
    </w:p>
    <w:p w:rsidRPr="00860DB8" w:rsidR="00057880" w:rsidP="00057880" w:rsidRDefault="00057880" w14:paraId="7F00AD90" w14:textId="77777777">
      <w:pPr>
        <w:spacing w:after="0" w:line="360" w:lineRule="auto"/>
        <w:contextualSpacing/>
        <w:rPr>
          <w:rFonts w:eastAsia="Calibri" w:cs="Times New Roman"/>
          <w:bCs/>
          <w:color w:val="000000"/>
        </w:rPr>
      </w:pPr>
      <w:r w:rsidRPr="00860DB8">
        <w:rPr>
          <w:rFonts w:eastAsia="Calibri" w:cs="Times New Roman"/>
          <w:bCs/>
          <w:color w:val="000000"/>
        </w:rPr>
        <w:t xml:space="preserve">En orden de ideas, el artículo 3°, fracción XXXII, del Código Financiero del Estado de México y Municipios establece que la remuneración consiste en los pagos hechos por concepto de </w:t>
      </w:r>
      <w:r w:rsidRPr="00860DB8">
        <w:rPr>
          <w:rFonts w:eastAsia="Calibri" w:cs="Times New Roman"/>
          <w:bCs/>
          <w:color w:val="000000"/>
        </w:rPr>
        <w:lastRenderedPageBreak/>
        <w:t>sueldo, compensaciones, gratificaciones, habitación, primas, comisiones, prestaciones, en especie y cualquier otra percepción o prestación que se entregue al servidor por su trabajo.</w:t>
      </w:r>
    </w:p>
    <w:p w:rsidRPr="00860DB8" w:rsidR="00057880" w:rsidP="00057880" w:rsidRDefault="00057880" w14:paraId="580F7621" w14:textId="77777777">
      <w:pPr>
        <w:spacing w:after="0" w:line="360" w:lineRule="auto"/>
        <w:contextualSpacing/>
        <w:rPr>
          <w:rFonts w:eastAsia="Times New Roman" w:cs="Tahoma"/>
          <w:bCs/>
          <w:iCs/>
          <w:color w:val="auto"/>
          <w:lang w:eastAsia="es-ES"/>
        </w:rPr>
      </w:pPr>
    </w:p>
    <w:p w:rsidRPr="00860DB8" w:rsidR="00057880" w:rsidP="00057880" w:rsidRDefault="00057880" w14:paraId="6433C3E7" w14:textId="77777777">
      <w:pPr>
        <w:spacing w:after="0" w:line="360" w:lineRule="auto"/>
        <w:contextualSpacing/>
        <w:rPr>
          <w:rFonts w:eastAsia="Calibri" w:cs="Times New Roman"/>
          <w:bCs/>
          <w:color w:val="000000"/>
        </w:rPr>
      </w:pPr>
      <w:r w:rsidRPr="00860DB8">
        <w:rPr>
          <w:rFonts w:eastAsia="Calibri" w:cs="Times New Roman"/>
          <w:bCs/>
          <w:color w:val="000000"/>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860DB8" w:rsidR="00057880" w:rsidP="00057880" w:rsidRDefault="00057880" w14:paraId="30EF4EAF" w14:textId="77777777">
      <w:pPr>
        <w:spacing w:after="0" w:line="360" w:lineRule="auto"/>
        <w:contextualSpacing/>
        <w:rPr>
          <w:rFonts w:eastAsia="Calibri" w:cs="Times New Roman"/>
          <w:bCs/>
          <w:color w:val="000000"/>
        </w:rPr>
      </w:pPr>
    </w:p>
    <w:p w:rsidRPr="00860DB8" w:rsidR="00057880" w:rsidP="00057880" w:rsidRDefault="00057880" w14:paraId="67AA5A47" w14:textId="77777777">
      <w:pPr>
        <w:spacing w:after="0" w:line="360" w:lineRule="auto"/>
        <w:contextualSpacing/>
        <w:rPr>
          <w:rFonts w:eastAsia="Calibri" w:cs="Times New Roman"/>
          <w:b/>
          <w:bCs/>
          <w:iCs/>
          <w:color w:val="000000"/>
          <w:lang w:val="es-ES"/>
        </w:rPr>
      </w:pPr>
      <w:r w:rsidRPr="00860DB8">
        <w:rPr>
          <w:rFonts w:eastAsia="Calibri" w:cs="Times New Roman"/>
          <w:bCs/>
          <w:iCs/>
          <w:color w:val="000000"/>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860DB8">
        <w:rPr>
          <w:rFonts w:eastAsia="Calibri" w:cs="Times New Roman"/>
          <w:b/>
          <w:bCs/>
          <w:iCs/>
          <w:color w:val="000000"/>
          <w:lang w:val="es-ES"/>
        </w:rPr>
        <w:t>las remuneraciones brutas y netas de todos los servidores públicos, que incluya todas las percepciones, entre las cuales, se encuentran los sueldos, prestaciones, gratificaciones, primas, comisiones, dietas, bonos, estímulos, ingresos, entre otros.</w:t>
      </w:r>
    </w:p>
    <w:p w:rsidRPr="00860DB8" w:rsidR="00057880" w:rsidP="00057880" w:rsidRDefault="00057880" w14:paraId="0D56334F" w14:textId="77777777">
      <w:pPr>
        <w:spacing w:after="0" w:line="360" w:lineRule="auto"/>
        <w:contextualSpacing/>
        <w:rPr>
          <w:rFonts w:eastAsia="Times New Roman" w:cs="Tahoma"/>
          <w:bCs/>
          <w:iCs/>
          <w:color w:val="auto"/>
          <w:lang w:eastAsia="es-ES"/>
        </w:rPr>
      </w:pPr>
    </w:p>
    <w:p w:rsidRPr="00860DB8" w:rsidR="00057880" w:rsidP="00057880" w:rsidRDefault="00057880" w14:paraId="3EFB0530" w14:textId="77777777">
      <w:pPr>
        <w:spacing w:after="0" w:line="360" w:lineRule="auto"/>
        <w:contextualSpacing/>
        <w:rPr>
          <w:rFonts w:eastAsia="Calibri" w:cs="Times New Roman"/>
          <w:b/>
          <w:bCs/>
          <w:iCs/>
          <w:color w:val="000000"/>
          <w:lang w:val="es-ES"/>
        </w:rPr>
      </w:pPr>
      <w:r w:rsidRPr="00860DB8">
        <w:rPr>
          <w:rFonts w:eastAsia="Calibri" w:cs="Times New Roman"/>
          <w:bCs/>
          <w:iCs/>
          <w:color w:val="000000"/>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860DB8">
        <w:rPr>
          <w:rFonts w:eastAsia="Calibri" w:cs="Times New Roman"/>
          <w:b/>
          <w:bCs/>
          <w:iCs/>
          <w:color w:val="000000"/>
          <w:lang w:val="es-ES"/>
        </w:rPr>
        <w:t>1000 Servicios Personales</w:t>
      </w:r>
      <w:r w:rsidRPr="00860DB8">
        <w:rPr>
          <w:rFonts w:eastAsia="Calibri" w:cs="Times New Roman"/>
          <w:bCs/>
          <w:iCs/>
          <w:color w:val="000000"/>
          <w:lang w:val="es-ES"/>
        </w:rPr>
        <w:t>,</w:t>
      </w:r>
      <w:r w:rsidRPr="00860DB8">
        <w:rPr>
          <w:rFonts w:eastAsia="Calibri"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rsidRPr="00860DB8" w:rsidR="00057880" w:rsidP="00057880" w:rsidRDefault="00057880" w14:paraId="3F02D1B6" w14:textId="77777777">
      <w:pPr>
        <w:spacing w:after="0" w:line="360" w:lineRule="auto"/>
        <w:contextualSpacing/>
        <w:rPr>
          <w:rFonts w:eastAsia="Times New Roman" w:cs="Tahoma"/>
          <w:bCs/>
          <w:iCs/>
          <w:color w:val="auto"/>
          <w:lang w:eastAsia="es-ES"/>
        </w:rPr>
      </w:pPr>
    </w:p>
    <w:p w:rsidRPr="00860DB8" w:rsidR="00057880" w:rsidP="00057880" w:rsidRDefault="00057880" w14:paraId="6A3413B3" w14:textId="77777777">
      <w:pPr>
        <w:spacing w:after="0" w:line="360" w:lineRule="auto"/>
        <w:contextualSpacing/>
        <w:rPr>
          <w:rFonts w:eastAsia="Times New Roman" w:cs="Tahoma"/>
          <w:bCs/>
          <w:iCs/>
          <w:color w:val="auto"/>
          <w:lang w:eastAsia="es-ES"/>
        </w:rPr>
      </w:pPr>
      <w:r w:rsidRPr="00860DB8">
        <w:rPr>
          <w:rFonts w:eastAsia="Calibri" w:cs="Tahoma"/>
          <w:bCs/>
          <w:color w:val="000000"/>
        </w:rPr>
        <w:t>En ese orden de ideas, respecto a la nómina</w:t>
      </w:r>
      <w:r w:rsidRPr="00860DB8">
        <w:rPr>
          <w:rFonts w:eastAsia="Calibri" w:cs="Tahoma"/>
          <w:b/>
          <w:bCs/>
          <w:color w:val="000000"/>
        </w:rPr>
        <w:t xml:space="preserve">, </w:t>
      </w:r>
      <w:r w:rsidRPr="00860DB8">
        <w:rPr>
          <w:rFonts w:eastAsia="Calibri" w:cs="Tahoma"/>
          <w:bCs/>
          <w:color w:val="000000"/>
        </w:rPr>
        <w:t>el Glosario localizado en la página de Transparencia Presupuestaria de la Secretaría de Hacienda y Crédito Público (</w:t>
      </w:r>
      <w:hyperlink w:history="1" r:id="rId7">
        <w:r w:rsidRPr="00860DB8">
          <w:rPr>
            <w:rFonts w:eastAsia="Calibri" w:cs="Tahoma"/>
            <w:bCs/>
            <w:color w:val="000000"/>
            <w:u w:val="single"/>
          </w:rPr>
          <w:t>http://www.transparenciapresupuestaria.gob.mx/es/PTP/Glosario</w:t>
        </w:r>
      </w:hyperlink>
      <w:r w:rsidRPr="00860DB8">
        <w:rPr>
          <w:rFonts w:eastAsia="Calibri" w:cs="Tahoma"/>
          <w:bCs/>
          <w:color w:val="000000"/>
        </w:rPr>
        <w:t xml:space="preserve">, consultado el dieciocho </w:t>
      </w:r>
      <w:r w:rsidRPr="00860DB8">
        <w:rPr>
          <w:rFonts w:eastAsia="Calibri" w:cs="Tahoma"/>
          <w:bCs/>
          <w:color w:val="000000"/>
        </w:rPr>
        <w:lastRenderedPageBreak/>
        <w:t xml:space="preserve">de mayo de dos mil veintidós, a las dieciséis horas), establece que </w:t>
      </w:r>
      <w:r w:rsidRPr="00860DB8">
        <w:rPr>
          <w:rFonts w:eastAsia="Calibri" w:cs="Tahoma"/>
          <w:b/>
          <w:bCs/>
          <w:color w:val="000000"/>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860DB8" w:rsidR="00057880" w:rsidP="00057880" w:rsidRDefault="00057880" w14:paraId="6AE49909" w14:textId="77777777">
      <w:pPr>
        <w:spacing w:after="0" w:line="360" w:lineRule="auto"/>
        <w:contextualSpacing/>
        <w:rPr>
          <w:rFonts w:eastAsia="Times New Roman" w:cs="Tahoma"/>
          <w:bCs/>
          <w:iCs/>
          <w:color w:val="auto"/>
          <w:lang w:eastAsia="es-ES"/>
        </w:rPr>
      </w:pPr>
    </w:p>
    <w:p w:rsidRPr="00860DB8" w:rsidR="00057880" w:rsidP="00057880" w:rsidRDefault="00057880" w14:paraId="5ECFD465" w14:textId="77777777">
      <w:pPr>
        <w:spacing w:after="0" w:line="360" w:lineRule="auto"/>
        <w:contextualSpacing/>
        <w:rPr>
          <w:rFonts w:eastAsia="Calibri"/>
          <w:bCs/>
        </w:rPr>
      </w:pPr>
      <w:r w:rsidRPr="00860DB8">
        <w:rPr>
          <w:rFonts w:eastAsia="Calibri"/>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860DB8">
        <w:rPr>
          <w:rFonts w:eastAsia="Calibri"/>
          <w:b/>
          <w:bCs/>
        </w:rPr>
        <w:t>recibos de pago de salarios o las</w:t>
      </w:r>
      <w:r w:rsidRPr="00860DB8">
        <w:rPr>
          <w:rFonts w:eastAsia="Calibri"/>
          <w:bCs/>
        </w:rPr>
        <w:t xml:space="preserve"> </w:t>
      </w:r>
      <w:r w:rsidRPr="00860DB8">
        <w:rPr>
          <w:rFonts w:eastAsia="Calibri"/>
          <w:b/>
          <w:bCs/>
        </w:rPr>
        <w:t xml:space="preserve">constancias documentales del pago de sueldos, </w:t>
      </w:r>
      <w:r w:rsidRPr="00860DB8">
        <w:rPr>
          <w:rFonts w:eastAsia="Calibri"/>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860DB8" w:rsidR="00057880" w:rsidP="00057880" w:rsidRDefault="00057880" w14:paraId="661416B5" w14:textId="77777777">
      <w:pPr>
        <w:spacing w:after="0" w:line="360" w:lineRule="auto"/>
        <w:contextualSpacing/>
        <w:rPr>
          <w:rFonts w:eastAsia="Calibri"/>
          <w:bCs/>
        </w:rPr>
      </w:pPr>
    </w:p>
    <w:p w:rsidRPr="00860DB8" w:rsidR="00057880" w:rsidP="00057880" w:rsidRDefault="00057880" w14:paraId="2BB80CCD" w14:textId="77777777">
      <w:pPr>
        <w:spacing w:after="0" w:line="360" w:lineRule="auto"/>
        <w:contextualSpacing/>
        <w:rPr>
          <w:rFonts w:eastAsia="Calibri"/>
          <w:bCs/>
        </w:rPr>
      </w:pPr>
      <w:r w:rsidRPr="00860DB8">
        <w:rPr>
          <w:rFonts w:eastAsia="Calibri"/>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Pr="00860DB8" w:rsidR="00057880" w:rsidP="00057880" w:rsidRDefault="00057880" w14:paraId="4ECFCF4A" w14:textId="77777777">
      <w:pPr>
        <w:spacing w:after="0" w:line="360" w:lineRule="auto"/>
        <w:contextualSpacing/>
        <w:rPr>
          <w:rFonts w:eastAsia="Calibri"/>
          <w:bCs/>
        </w:rPr>
      </w:pPr>
    </w:p>
    <w:p w:rsidRPr="00860DB8" w:rsidR="00057880" w:rsidP="00057880" w:rsidRDefault="00057880" w14:paraId="15503A47" w14:textId="77777777">
      <w:pPr>
        <w:spacing w:after="0" w:line="360" w:lineRule="auto"/>
        <w:ind w:left="567" w:right="567"/>
        <w:contextualSpacing/>
        <w:rPr>
          <w:rFonts w:eastAsia="Calibri"/>
          <w:bCs/>
          <w:i/>
          <w:iCs/>
          <w:sz w:val="20"/>
          <w:szCs w:val="20"/>
          <w:lang w:val="es-ES"/>
        </w:rPr>
      </w:pPr>
      <w:r w:rsidRPr="00860DB8">
        <w:rPr>
          <w:rFonts w:eastAsia="Calibri"/>
          <w:b/>
          <w:bCs/>
          <w:i/>
          <w:iCs/>
          <w:sz w:val="20"/>
          <w:szCs w:val="20"/>
          <w:lang w:val="es-ES"/>
        </w:rPr>
        <w:t>“RECIBOS DE PAGO</w:t>
      </w:r>
      <w:r w:rsidRPr="00860DB8">
        <w:rPr>
          <w:rFonts w:eastAsia="Calibri"/>
          <w:bCs/>
          <w:i/>
          <w:iCs/>
          <w:sz w:val="20"/>
          <w:szCs w:val="20"/>
          <w:lang w:val="es-ES"/>
        </w:rPr>
        <w:t xml:space="preserve"> </w:t>
      </w:r>
      <w:r w:rsidRPr="00860DB8">
        <w:rPr>
          <w:rFonts w:eastAsia="Calibri"/>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860DB8">
        <w:rPr>
          <w:rFonts w:eastAsia="Calibri"/>
          <w:bCs/>
          <w:i/>
          <w:iCs/>
          <w:sz w:val="20"/>
          <w:szCs w:val="20"/>
          <w:lang w:val="es-ES"/>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w:t>
      </w:r>
      <w:r w:rsidRPr="00860DB8">
        <w:rPr>
          <w:rFonts w:eastAsia="Calibri"/>
          <w:bCs/>
          <w:i/>
          <w:iCs/>
          <w:sz w:val="20"/>
          <w:szCs w:val="20"/>
          <w:lang w:val="es-ES"/>
        </w:rPr>
        <w:lastRenderedPageBreak/>
        <w:t>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860DB8" w:rsidR="00057880" w:rsidP="00057880" w:rsidRDefault="00057880" w14:paraId="41D87AF4" w14:textId="77777777">
      <w:pPr>
        <w:spacing w:after="0" w:line="360" w:lineRule="auto"/>
        <w:contextualSpacing/>
        <w:rPr>
          <w:rFonts w:eastAsia="Calibri"/>
          <w:bCs/>
          <w:lang w:val="es-ES"/>
        </w:rPr>
      </w:pPr>
    </w:p>
    <w:p w:rsidRPr="00860DB8" w:rsidR="00057880" w:rsidP="00057880" w:rsidRDefault="00057880" w14:paraId="28F1AF38" w14:textId="77777777">
      <w:pPr>
        <w:spacing w:after="0" w:line="360" w:lineRule="auto"/>
        <w:contextualSpacing/>
        <w:rPr>
          <w:rFonts w:eastAsia="Calibri"/>
          <w:bCs/>
          <w:lang w:val="es-ES"/>
        </w:rPr>
      </w:pPr>
      <w:r w:rsidRPr="00860DB8">
        <w:rPr>
          <w:rFonts w:eastAsia="Calibri"/>
          <w:bCs/>
          <w:lang w:val="es-ES"/>
        </w:rPr>
        <w:t xml:space="preserve">De la tesis transcrita, se desprende que </w:t>
      </w:r>
      <w:r w:rsidRPr="00860DB8">
        <w:rPr>
          <w:rFonts w:eastAsia="Calibri"/>
          <w:b/>
          <w:bCs/>
          <w:lang w:val="es-ES"/>
        </w:rPr>
        <w:t>en materia burocrática</w:t>
      </w:r>
      <w:r w:rsidRPr="00860DB8">
        <w:rPr>
          <w:rFonts w:eastAsia="Calibri"/>
          <w:bCs/>
          <w:lang w:val="es-ES"/>
        </w:rPr>
        <w:t xml:space="preserve"> </w:t>
      </w:r>
      <w:r w:rsidRPr="00860DB8">
        <w:rPr>
          <w:rFonts w:eastAsia="Calibri"/>
          <w:b/>
          <w:bCs/>
          <w:lang w:val="es-ES"/>
        </w:rPr>
        <w:t>los recibos de pago acreditan los conceptos y montos que en ellos se insertan</w:t>
      </w:r>
      <w:r w:rsidRPr="00860DB8">
        <w:rPr>
          <w:rFonts w:eastAsia="Calibri"/>
          <w:bCs/>
          <w:lang w:val="es-ES"/>
        </w:rPr>
        <w:t xml:space="preserve">, y constituyen prueba para demostrar las percepciones y montos que reciben los servidores públicos. </w:t>
      </w:r>
    </w:p>
    <w:p w:rsidRPr="00860DB8" w:rsidR="00057880" w:rsidP="00057880" w:rsidRDefault="00057880" w14:paraId="5ADBC33F" w14:textId="77777777">
      <w:pPr>
        <w:spacing w:after="0" w:line="360" w:lineRule="auto"/>
        <w:contextualSpacing/>
        <w:rPr>
          <w:rFonts w:eastAsia="Calibri"/>
          <w:bCs/>
          <w:lang w:val="es-ES"/>
        </w:rPr>
      </w:pPr>
    </w:p>
    <w:p w:rsidRPr="00860DB8" w:rsidR="00057880" w:rsidP="00057880" w:rsidRDefault="00057880" w14:paraId="3BDE21CD" w14:textId="77777777">
      <w:pPr>
        <w:spacing w:after="0" w:line="360" w:lineRule="auto"/>
        <w:contextualSpacing/>
        <w:rPr>
          <w:rFonts w:eastAsia="Times New Roman" w:cs="Tahoma"/>
          <w:bCs/>
          <w:iCs/>
          <w:color w:val="auto"/>
          <w:lang w:val="es-ES" w:eastAsia="es-ES"/>
        </w:rPr>
      </w:pPr>
      <w:r w:rsidRPr="00860DB8">
        <w:rPr>
          <w:rFonts w:eastAsia="Times New Roman" w:cs="Tahoma"/>
          <w:bCs/>
          <w:iCs/>
          <w:color w:val="auto"/>
          <w:lang w:val="es-ES" w:eastAsia="es-ES"/>
        </w:rPr>
        <w:t xml:space="preserve">De la tesis transcrita, se desprende que </w:t>
      </w:r>
      <w:r w:rsidRPr="00860DB8">
        <w:rPr>
          <w:rFonts w:eastAsia="Times New Roman" w:cs="Tahoma"/>
          <w:b/>
          <w:bCs/>
          <w:iCs/>
          <w:color w:val="auto"/>
          <w:lang w:val="es-ES" w:eastAsia="es-ES"/>
        </w:rPr>
        <w:t>en materia burocrática</w:t>
      </w:r>
      <w:r w:rsidRPr="00860DB8">
        <w:rPr>
          <w:rFonts w:eastAsia="Times New Roman" w:cs="Tahoma"/>
          <w:bCs/>
          <w:iCs/>
          <w:color w:val="auto"/>
          <w:lang w:val="es-ES" w:eastAsia="es-ES"/>
        </w:rPr>
        <w:t xml:space="preserve"> </w:t>
      </w:r>
      <w:r w:rsidRPr="00860DB8">
        <w:rPr>
          <w:rFonts w:eastAsia="Times New Roman" w:cs="Tahoma"/>
          <w:b/>
          <w:bCs/>
          <w:iCs/>
          <w:color w:val="auto"/>
          <w:lang w:val="es-ES" w:eastAsia="es-ES"/>
        </w:rPr>
        <w:t>los recibos de pago acreditan los conceptos y montos que en ellos se insertan</w:t>
      </w:r>
      <w:r w:rsidRPr="00860DB8">
        <w:rPr>
          <w:rFonts w:eastAsia="Times New Roman" w:cs="Tahoma"/>
          <w:bCs/>
          <w:iCs/>
          <w:color w:val="auto"/>
          <w:lang w:val="es-ES" w:eastAsia="es-ES"/>
        </w:rPr>
        <w:t xml:space="preserve">, y constituyen prueba para demostrar las percepciones y montos que reciben los servidores públicos. </w:t>
      </w:r>
    </w:p>
    <w:p w:rsidRPr="00860DB8" w:rsidR="00057880" w:rsidP="00057880" w:rsidRDefault="00057880" w14:paraId="53C38E1D" w14:textId="77777777">
      <w:pPr>
        <w:spacing w:after="0" w:line="360" w:lineRule="auto"/>
        <w:contextualSpacing/>
        <w:rPr>
          <w:rFonts w:eastAsia="Times New Roman" w:cs="Tahoma"/>
          <w:iCs/>
          <w:color w:val="auto"/>
          <w:lang w:val="es-ES" w:eastAsia="es-ES"/>
        </w:rPr>
      </w:pPr>
    </w:p>
    <w:p w:rsidRPr="00860DB8" w:rsidR="00057880" w:rsidP="00057880" w:rsidRDefault="00057880" w14:paraId="102FC3CF" w14:textId="77777777">
      <w:pPr>
        <w:spacing w:after="0" w:line="360" w:lineRule="auto"/>
        <w:rPr>
          <w:rFonts w:eastAsia="Times New Roman" w:cs="Tahoma"/>
          <w:bCs/>
          <w:color w:val="auto"/>
          <w:lang w:eastAsia="es-ES"/>
        </w:rPr>
      </w:pPr>
      <w:r w:rsidRPr="00860DB8">
        <w:rPr>
          <w:rFonts w:eastAsia="Times New Roman" w:cs="Tahoma"/>
          <w:bCs/>
          <w:color w:val="auto"/>
          <w:lang w:eastAsia="es-ES"/>
        </w:rPr>
        <w:t xml:space="preserve">En ese orden de ideas, los Lineamientos para la Integración y Entrega del Informe Trimestral Municipal, dos mil veintidós, entre los formatos que maneja en el </w:t>
      </w:r>
      <w:r w:rsidRPr="00860DB8">
        <w:rPr>
          <w:rFonts w:eastAsia="Times New Roman" w:cs="Tahoma"/>
          <w:b/>
          <w:color w:val="auto"/>
          <w:lang w:eastAsia="es-ES"/>
        </w:rPr>
        <w:t>Módulo 4</w:t>
      </w:r>
      <w:r w:rsidRPr="00860DB8">
        <w:rPr>
          <w:rFonts w:eastAsia="Times New Roman" w:cs="Tahoma"/>
          <w:bCs/>
          <w:color w:val="auto"/>
          <w:lang w:eastAsia="es-ES"/>
        </w:rPr>
        <w:t xml:space="preserve">, se advierten tanto el </w:t>
      </w:r>
      <w:r w:rsidRPr="00860DB8">
        <w:rPr>
          <w:rFonts w:cs="Tahoma"/>
          <w:bCs/>
          <w:color w:val="auto"/>
        </w:rPr>
        <w:t xml:space="preserve">Comprobantes Fiscales Digitales por Internet por concepto de Nómina y el Comprobante Bancario de la Dispersión de Nómina, lo cuales son entregados al </w:t>
      </w:r>
      <w:r w:rsidRPr="00860DB8">
        <w:rPr>
          <w:rFonts w:eastAsia="Times New Roman" w:cs="Tahoma"/>
          <w:bCs/>
          <w:color w:val="auto"/>
          <w:lang w:eastAsia="es-ES"/>
        </w:rPr>
        <w:t xml:space="preserve">Órgano Superior de Fiscalización del Estado de México, que contienen a su vez todas las percepciones y deducciones que recibe cada servidor público y el </w:t>
      </w:r>
      <w:r w:rsidRPr="00860DB8">
        <w:rPr>
          <w:rFonts w:eastAsia="Times New Roman" w:cs="Tahoma"/>
          <w:iCs/>
          <w:color w:val="auto"/>
          <w:lang w:eastAsia="es-ES"/>
        </w:rPr>
        <w:t xml:space="preserve">comprobante que emite la institución bancaria por la transferencia realizada del pago de las remuneraciones de cada servidor del Ente Público por cada quincena. </w:t>
      </w:r>
    </w:p>
    <w:p w:rsidRPr="00860DB8" w:rsidR="00057880" w:rsidP="00057880" w:rsidRDefault="00057880" w14:paraId="13778470" w14:textId="77777777">
      <w:pPr>
        <w:spacing w:after="0" w:line="360" w:lineRule="auto"/>
        <w:contextualSpacing/>
        <w:rPr>
          <w:rFonts w:eastAsia="Calibri" w:cs="Times New Roman"/>
          <w:bCs/>
        </w:rPr>
      </w:pPr>
    </w:p>
    <w:p w:rsidRPr="00860DB8" w:rsidR="00057880" w:rsidP="00057880" w:rsidRDefault="00057880" w14:paraId="6B2084EB" w14:textId="77777777">
      <w:pPr>
        <w:spacing w:after="0" w:line="360" w:lineRule="auto"/>
        <w:rPr>
          <w:rFonts w:eastAsia="Times New Roman" w:cs="Tahoma"/>
          <w:iCs/>
          <w:color w:val="auto"/>
          <w:lang w:eastAsia="es-ES"/>
        </w:rPr>
      </w:pPr>
      <w:r w:rsidRPr="00860DB8">
        <w:rPr>
          <w:rFonts w:eastAsia="Times New Roman" w:cs="Tahoma"/>
          <w:iCs/>
          <w:color w:val="auto"/>
          <w:lang w:eastAsia="es-ES"/>
        </w:rPr>
        <w:t>Conforme a lo anterior, se logra vislumbrar que la pretensión del ahora Recurrente, es obtener los recibos de nómina (</w:t>
      </w:r>
      <w:r w:rsidRPr="00860DB8">
        <w:rPr>
          <w:rFonts w:cs="Tahoma"/>
          <w:bCs/>
          <w:color w:val="auto"/>
        </w:rPr>
        <w:t>Comprobantes Fiscales Digitales por Internet</w:t>
      </w:r>
      <w:r w:rsidRPr="00860DB8">
        <w:rPr>
          <w:rFonts w:eastAsia="Times New Roman" w:cs="Tahoma"/>
          <w:iCs/>
          <w:color w:val="auto"/>
          <w:lang w:eastAsia="es-ES"/>
        </w:rPr>
        <w:t>) y el Comprobante Bancario de la Dispersión de la Nómina, de determinados servidores públicos; así, se procede al análisis de cada uno de los agravios del Particular.</w:t>
      </w:r>
    </w:p>
    <w:p w:rsidRPr="00860DB8" w:rsidR="00057880" w:rsidP="00057880" w:rsidRDefault="00057880" w14:paraId="5998091B" w14:textId="77777777">
      <w:pPr>
        <w:spacing w:after="0" w:line="360" w:lineRule="auto"/>
        <w:contextualSpacing/>
        <w:rPr>
          <w:rFonts w:eastAsia="Calibri" w:cs="Times New Roman"/>
          <w:bCs/>
        </w:rPr>
      </w:pPr>
    </w:p>
    <w:p w:rsidRPr="00860DB8" w:rsidR="00057880" w:rsidP="00057880" w:rsidRDefault="00057880" w14:paraId="38A233A4" w14:textId="77777777">
      <w:pPr>
        <w:spacing w:after="0" w:line="360" w:lineRule="auto"/>
        <w:contextualSpacing/>
        <w:rPr>
          <w:rFonts w:eastAsia="Calibri" w:cs="Times New Roman"/>
          <w:b/>
          <w:bCs/>
        </w:rPr>
      </w:pPr>
      <w:r w:rsidRPr="00860DB8">
        <w:rPr>
          <w:rFonts w:eastAsia="Calibri" w:cs="Times New Roman"/>
          <w:b/>
          <w:bCs/>
        </w:rPr>
        <w:lastRenderedPageBreak/>
        <w:t>Recibo de nómina del Sexto Regidor.</w:t>
      </w:r>
    </w:p>
    <w:p w:rsidRPr="00860DB8" w:rsidR="00057880" w:rsidP="00057880" w:rsidRDefault="00057880" w14:paraId="41A3E475" w14:textId="77777777">
      <w:pPr>
        <w:spacing w:after="0" w:line="360" w:lineRule="auto"/>
        <w:contextualSpacing/>
        <w:rPr>
          <w:rFonts w:eastAsia="Calibri" w:cs="Times New Roman"/>
          <w:b/>
          <w:bCs/>
        </w:rPr>
      </w:pPr>
    </w:p>
    <w:p w:rsidRPr="00860DB8" w:rsidR="00057880" w:rsidP="00057880" w:rsidRDefault="00057880" w14:paraId="47803A17" w14:textId="77777777">
      <w:pPr>
        <w:spacing w:after="0" w:line="360" w:lineRule="auto"/>
        <w:contextualSpacing/>
        <w:rPr>
          <w:rFonts w:eastAsia="Calibri" w:cs="Times New Roman"/>
          <w:bCs/>
        </w:rPr>
      </w:pPr>
      <w:r w:rsidRPr="00860DB8">
        <w:rPr>
          <w:rFonts w:eastAsia="Calibri" w:cs="Times New Roman"/>
          <w:bCs/>
        </w:rPr>
        <w:t>Al respecto, es necesario Recordar que la pretensión del ahora Recurrente, en atención de la solicitud de información, es obtener el recibo de nómina de la segunda quincena de septiembre de dos mil veintidós, del Sexto Regidor. Al respecto, el Sujeto Obligado proporcionó dicha documental, tal como se muestra a continuación:</w:t>
      </w:r>
    </w:p>
    <w:p w:rsidRPr="00860DB8" w:rsidR="00057880" w:rsidP="00057880" w:rsidRDefault="00057880" w14:paraId="1D41592D" w14:textId="77777777">
      <w:pPr>
        <w:spacing w:after="0" w:line="360" w:lineRule="auto"/>
        <w:contextualSpacing/>
        <w:rPr>
          <w:rFonts w:eastAsia="Calibri" w:cs="Times New Roman"/>
          <w:bCs/>
        </w:rPr>
      </w:pPr>
    </w:p>
    <w:p w:rsidRPr="00860DB8" w:rsidR="00057880" w:rsidP="00057880" w:rsidRDefault="00057880" w14:paraId="6F06DE80" w14:textId="77777777">
      <w:pPr>
        <w:spacing w:after="0" w:line="360" w:lineRule="auto"/>
        <w:contextualSpacing/>
        <w:rPr>
          <w:rFonts w:eastAsia="Calibri" w:cs="Times New Roman"/>
          <w:bCs/>
        </w:rPr>
      </w:pPr>
      <w:r w:rsidRPr="00860DB8">
        <w:rPr>
          <w:rFonts w:eastAsia="Calibri" w:cs="Times New Roman"/>
          <w:bCs/>
          <w:noProof/>
          <w:lang w:eastAsia="es-MX"/>
        </w:rPr>
        <w:drawing>
          <wp:inline distT="0" distB="0" distL="0" distR="0" wp14:anchorId="13C5C390" wp14:editId="24EC2289">
            <wp:extent cx="5671185" cy="1470660"/>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1185" cy="1470660"/>
                    </a:xfrm>
                    <a:prstGeom prst="rect">
                      <a:avLst/>
                    </a:prstGeom>
                  </pic:spPr>
                </pic:pic>
              </a:graphicData>
            </a:graphic>
          </wp:inline>
        </w:drawing>
      </w:r>
    </w:p>
    <w:p w:rsidRPr="00860DB8" w:rsidR="00057880" w:rsidP="00057880" w:rsidRDefault="00057880" w14:paraId="7592B574" w14:textId="77777777">
      <w:pPr>
        <w:spacing w:after="0" w:line="360" w:lineRule="auto"/>
        <w:contextualSpacing/>
        <w:rPr>
          <w:rFonts w:eastAsia="Calibri" w:cs="Times New Roman"/>
          <w:bCs/>
        </w:rPr>
      </w:pPr>
    </w:p>
    <w:p w:rsidRPr="00860DB8" w:rsidR="00057880" w:rsidP="00057880" w:rsidRDefault="00057880" w14:paraId="18482525" w14:textId="77777777">
      <w:pPr>
        <w:spacing w:after="0" w:line="360" w:lineRule="auto"/>
        <w:contextualSpacing/>
        <w:rPr>
          <w:rFonts w:eastAsia="Times New Roman" w:cs="Tahoma"/>
          <w:bCs/>
          <w:iCs/>
          <w:color w:val="auto"/>
          <w:lang w:eastAsia="es-ES"/>
        </w:rPr>
      </w:pPr>
      <w:r w:rsidRPr="00860DB8">
        <w:rPr>
          <w:rFonts w:eastAsia="Times New Roman" w:cs="Tahoma"/>
          <w:bCs/>
          <w:color w:val="auto"/>
          <w:lang w:eastAsia="es-ES"/>
        </w:rPr>
        <w:t xml:space="preserve">Sobre dicha situación, </w:t>
      </w:r>
      <w:r w:rsidRPr="00860DB8">
        <w:rPr>
          <w:rFonts w:eastAsia="Times New Roman" w:cs="Tahoma"/>
          <w:bCs/>
          <w:iCs/>
          <w:color w:val="auto"/>
          <w:lang w:eastAsia="es-ES"/>
        </w:rPr>
        <w:t xml:space="preserve">cabe precisar que este Instituto, no tiene atribuciones para pronunciarse sobre la veracidad de la información. Apoya lo anterior, el </w:t>
      </w:r>
      <w:r w:rsidRPr="00860DB8">
        <w:rPr>
          <w:rFonts w:eastAsia="Calibri" w:cs="Tahoma"/>
          <w:bCs/>
          <w:color w:val="auto"/>
          <w:lang w:val="es-ES"/>
        </w:rPr>
        <w:t xml:space="preserve">Criterio de Interpretación, de la Primera Época, con número de registro </w:t>
      </w:r>
      <w:r w:rsidRPr="00860DB8">
        <w:rPr>
          <w:rFonts w:eastAsia="Calibri" w:cs="Tahoma"/>
          <w:bCs/>
          <w:color w:val="auto"/>
        </w:rPr>
        <w:t>SO/031/2010,</w:t>
      </w:r>
      <w:r w:rsidRPr="00860DB8">
        <w:rPr>
          <w:rFonts w:eastAsia="Times New Roman" w:cs="Tahoma"/>
          <w:bCs/>
          <w:iCs/>
          <w:color w:val="auto"/>
          <w:lang w:eastAsia="es-ES"/>
        </w:rPr>
        <w:t xml:space="preserve"> emitido por el Pleno del entonces Instituto Federal de Acceso a la Información y Protección de Datos, que a continuación se cita:</w:t>
      </w:r>
    </w:p>
    <w:p w:rsidRPr="00860DB8" w:rsidR="00057880" w:rsidP="00057880" w:rsidRDefault="00057880" w14:paraId="22C5B59D" w14:textId="77777777">
      <w:pPr>
        <w:spacing w:after="0" w:line="360" w:lineRule="auto"/>
        <w:contextualSpacing/>
        <w:rPr>
          <w:rFonts w:eastAsia="Times New Roman" w:cs="Tahoma"/>
          <w:bCs/>
          <w:color w:val="auto"/>
          <w:lang w:eastAsia="es-ES"/>
        </w:rPr>
      </w:pPr>
    </w:p>
    <w:p w:rsidRPr="00860DB8" w:rsidR="00057880" w:rsidP="00057880" w:rsidRDefault="00057880" w14:paraId="15D51238" w14:textId="77777777">
      <w:pPr>
        <w:spacing w:after="0" w:line="360" w:lineRule="auto"/>
        <w:ind w:left="567" w:right="567"/>
        <w:contextualSpacing/>
        <w:rPr>
          <w:rFonts w:eastAsia="Times New Roman" w:cs="Tahoma"/>
          <w:bCs/>
          <w:i/>
          <w:color w:val="auto"/>
          <w:sz w:val="20"/>
          <w:szCs w:val="20"/>
          <w:lang w:eastAsia="es-ES"/>
        </w:rPr>
      </w:pPr>
      <w:r w:rsidRPr="00860DB8">
        <w:rPr>
          <w:rFonts w:eastAsia="Times New Roman" w:cs="Tahoma"/>
          <w:b/>
          <w:bCs/>
          <w:i/>
          <w:color w:val="auto"/>
          <w:sz w:val="20"/>
          <w:szCs w:val="20"/>
          <w:lang w:eastAsia="es-ES"/>
        </w:rPr>
        <w:t xml:space="preserve">“El Instituto Federal de Acceso a la Información y Protección de Datos </w:t>
      </w:r>
      <w:r w:rsidRPr="00860DB8">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sidRPr="00860DB8">
        <w:rPr>
          <w:rFonts w:eastAsia="Times New Roman" w:cs="Tahoma"/>
          <w:bCs/>
          <w:i/>
          <w:color w:val="auto"/>
          <w:sz w:val="20"/>
          <w:szCs w:val="20"/>
          <w:lang w:eastAsia="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w:t>
      </w:r>
      <w:r w:rsidRPr="00860DB8">
        <w:rPr>
          <w:rFonts w:eastAsia="Times New Roman" w:cs="Tahoma"/>
          <w:bCs/>
          <w:i/>
          <w:color w:val="auto"/>
          <w:sz w:val="20"/>
          <w:szCs w:val="20"/>
          <w:lang w:eastAsia="es-ES"/>
        </w:rPr>
        <w:lastRenderedPageBreak/>
        <w:t>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860DB8" w:rsidR="00057880" w:rsidP="00057880" w:rsidRDefault="00057880" w14:paraId="2A289B14" w14:textId="77777777">
      <w:pPr>
        <w:spacing w:after="0" w:line="360" w:lineRule="auto"/>
        <w:contextualSpacing/>
        <w:rPr>
          <w:rFonts w:cs="Tahoma"/>
          <w:bCs/>
          <w:iCs/>
          <w:lang w:val="es-ES"/>
        </w:rPr>
      </w:pPr>
    </w:p>
    <w:p w:rsidRPr="00860DB8" w:rsidR="00057880" w:rsidP="00057880" w:rsidRDefault="00057880" w14:paraId="72D21299" w14:textId="77777777">
      <w:pPr>
        <w:spacing w:after="0" w:line="360" w:lineRule="auto"/>
        <w:contextualSpacing/>
        <w:rPr>
          <w:rFonts w:cs="Tahoma"/>
          <w:bCs/>
          <w:iCs/>
          <w:lang w:val="es-ES"/>
        </w:rPr>
      </w:pPr>
      <w:r w:rsidRPr="00860DB8">
        <w:rPr>
          <w:rFonts w:cs="Tahoma"/>
          <w:bCs/>
          <w:iCs/>
          <w:lang w:val="es-ES"/>
        </w:rPr>
        <w:t xml:space="preserve">En ese orden de ideas, este Instituto revisó el documento y corresponde al servidor público y periodo requerido; además, si bien este contiene la firma y fecha de recibido, en otro apartado, también lo es, que los Sujetos Obligado únicamente se encuentran constreñidos a proporcionar los documentos tal y como obran en sus archivos. </w:t>
      </w:r>
    </w:p>
    <w:p w:rsidRPr="00860DB8" w:rsidR="00057880" w:rsidP="00057880" w:rsidRDefault="00057880" w14:paraId="00206A9A" w14:textId="77777777">
      <w:pPr>
        <w:spacing w:after="0" w:line="360" w:lineRule="auto"/>
        <w:contextualSpacing/>
        <w:rPr>
          <w:rFonts w:cs="Tahoma"/>
          <w:bCs/>
          <w:iCs/>
          <w:lang w:val="es-ES"/>
        </w:rPr>
      </w:pPr>
    </w:p>
    <w:p w:rsidRPr="00860DB8" w:rsidR="00057880" w:rsidP="00057880" w:rsidRDefault="00057880" w14:paraId="76A64286" w14:textId="77777777">
      <w:pPr>
        <w:tabs>
          <w:tab w:val="left" w:pos="4962"/>
        </w:tabs>
        <w:spacing w:after="0" w:line="360" w:lineRule="auto"/>
        <w:contextualSpacing/>
        <w:rPr>
          <w:rFonts w:eastAsia="Calibri" w:cs="Tahoma"/>
        </w:rPr>
      </w:pPr>
      <w:r w:rsidRPr="00860DB8">
        <w:rPr>
          <w:rFonts w:eastAsia="Times New Roman" w:cs="Tahoma"/>
          <w:bCs/>
          <w:color w:val="auto"/>
          <w:lang w:val="es-ES" w:eastAsia="es-ES"/>
        </w:rPr>
        <w:t>D</w:t>
      </w:r>
      <w:proofErr w:type="spellStart"/>
      <w:r w:rsidRPr="00860DB8">
        <w:rPr>
          <w:rFonts w:eastAsia="Calibri" w:cs="Tahoma"/>
          <w:bCs/>
          <w:iCs/>
        </w:rPr>
        <w:t>icha</w:t>
      </w:r>
      <w:proofErr w:type="spellEnd"/>
      <w:r w:rsidRPr="00860DB8">
        <w:rPr>
          <w:rFonts w:eastAsia="Calibri" w:cs="Tahoma"/>
          <w:bCs/>
          <w:iCs/>
        </w:rPr>
        <w:t xml:space="preserve"> situación toma sustento en</w:t>
      </w:r>
      <w:r w:rsidRPr="00860DB8">
        <w:rPr>
          <w:rFonts w:eastAsia="Calibri" w:cs="Tahoma"/>
          <w:bCs/>
        </w:rPr>
        <w:t xml:space="preserve"> el</w:t>
      </w:r>
      <w:r w:rsidRPr="00860DB8">
        <w:rPr>
          <w:rFonts w:eastAsia="Calibri"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860DB8" w:rsidR="00057880" w:rsidP="00057880" w:rsidRDefault="00057880" w14:paraId="635311CE" w14:textId="77777777">
      <w:pPr>
        <w:spacing w:after="0" w:line="360" w:lineRule="auto"/>
        <w:contextualSpacing/>
        <w:rPr>
          <w:rFonts w:eastAsia="Calibri" w:cs="Tahoma"/>
          <w:bCs/>
          <w:iCs/>
          <w:lang w:val="es-ES_tradnl"/>
        </w:rPr>
      </w:pPr>
    </w:p>
    <w:p w:rsidRPr="00860DB8" w:rsidR="00057880" w:rsidP="00057880" w:rsidRDefault="00057880" w14:paraId="04DEEF1F" w14:textId="77777777">
      <w:pPr>
        <w:tabs>
          <w:tab w:val="left" w:pos="4962"/>
        </w:tabs>
        <w:spacing w:after="0" w:line="360" w:lineRule="auto"/>
        <w:contextualSpacing/>
        <w:rPr>
          <w:rFonts w:eastAsia="Calibri" w:cs="Tahoma"/>
        </w:rPr>
      </w:pPr>
      <w:r w:rsidRPr="00860DB8">
        <w:rPr>
          <w:rFonts w:eastAsia="Calibri" w:cs="Tahoma"/>
        </w:rPr>
        <w:t xml:space="preserve">De esta manera, </w:t>
      </w:r>
      <w:r w:rsidRPr="00860DB8">
        <w:rPr>
          <w:rFonts w:eastAsia="Calibri" w:cs="Tahoma"/>
          <w:szCs w:val="24"/>
          <w:lang w:val="es-ES"/>
        </w:rPr>
        <w:t xml:space="preserve">el derecho de acceso a la información pública se satisface en aquellos casos en que se entregue el soporte documental en el que conste la información solicitada, sin necesidad de elaborar documentos </w:t>
      </w:r>
      <w:r w:rsidRPr="00860DB8">
        <w:rPr>
          <w:rFonts w:eastAsia="Calibri" w:cs="Tahoma"/>
          <w:i/>
        </w:rPr>
        <w:t>ad hoc</w:t>
      </w:r>
      <w:r w:rsidRPr="00860DB8">
        <w:rPr>
          <w:rFonts w:eastAsia="Calibri" w:cs="Tahoma"/>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860DB8" w:rsidR="00057880" w:rsidP="00057880" w:rsidRDefault="00057880" w14:paraId="77881F39" w14:textId="77777777">
      <w:pPr>
        <w:tabs>
          <w:tab w:val="left" w:pos="4962"/>
        </w:tabs>
        <w:spacing w:after="0" w:line="360" w:lineRule="auto"/>
        <w:contextualSpacing/>
        <w:rPr>
          <w:rFonts w:eastAsia="Calibri" w:cs="Tahoma"/>
        </w:rPr>
      </w:pPr>
    </w:p>
    <w:p w:rsidRPr="00860DB8" w:rsidR="00057880" w:rsidP="00057880" w:rsidRDefault="00057880" w14:paraId="3C22B8EE" w14:textId="77777777">
      <w:pPr>
        <w:spacing w:after="0" w:line="360" w:lineRule="auto"/>
        <w:contextualSpacing/>
        <w:rPr>
          <w:rFonts w:eastAsia="Calibri" w:cs="Tahoma"/>
          <w:b/>
          <w:bCs/>
          <w:lang w:val="es-ES" w:eastAsia="es-MX"/>
        </w:rPr>
      </w:pPr>
      <w:r w:rsidRPr="00860DB8">
        <w:rPr>
          <w:rFonts w:eastAsia="Calibri" w:cs="Tahoma"/>
          <w:lang w:val="es-ES"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w:t>
      </w:r>
      <w:r w:rsidRPr="00860DB8">
        <w:rPr>
          <w:rFonts w:eastAsia="Calibri" w:cs="Tahoma"/>
          <w:lang w:val="es-ES" w:eastAsia="es-MX"/>
        </w:rPr>
        <w:lastRenderedPageBreak/>
        <w:t xml:space="preserve">cual, aconteció, pues </w:t>
      </w:r>
      <w:r w:rsidRPr="00860DB8">
        <w:rPr>
          <w:rFonts w:eastAsia="Calibri" w:cs="Tahoma"/>
          <w:color w:val="000000"/>
          <w:szCs w:val="24"/>
          <w:lang w:val="es-ES" w:eastAsia="es-MX"/>
        </w:rPr>
        <w:t xml:space="preserve">se entregó el recibo de nómina tal y como obraba en sus archivos, lo cual da como resultado que el agravio sea </w:t>
      </w:r>
      <w:r w:rsidRPr="00860DB8">
        <w:rPr>
          <w:rFonts w:eastAsia="Calibri" w:cs="Tahoma"/>
          <w:b/>
          <w:color w:val="000000"/>
          <w:szCs w:val="24"/>
          <w:lang w:val="es-ES" w:eastAsia="es-MX"/>
        </w:rPr>
        <w:t>INFUNDADO.</w:t>
      </w:r>
    </w:p>
    <w:p w:rsidRPr="00860DB8" w:rsidR="00057880" w:rsidP="00057880" w:rsidRDefault="00057880" w14:paraId="1B1D599B" w14:textId="77777777">
      <w:pPr>
        <w:spacing w:after="0" w:line="360" w:lineRule="auto"/>
        <w:contextualSpacing/>
        <w:rPr>
          <w:rFonts w:eastAsia="Calibri" w:cs="Times New Roman"/>
          <w:bCs/>
        </w:rPr>
      </w:pPr>
    </w:p>
    <w:p w:rsidRPr="00860DB8" w:rsidR="00057880" w:rsidP="00057880" w:rsidRDefault="00057880" w14:paraId="50034C4D" w14:textId="77777777">
      <w:pPr>
        <w:spacing w:after="0" w:line="360" w:lineRule="auto"/>
        <w:contextualSpacing/>
        <w:rPr>
          <w:rFonts w:eastAsia="Calibri" w:cs="Times New Roman"/>
          <w:b/>
          <w:bCs/>
        </w:rPr>
      </w:pPr>
      <w:r w:rsidRPr="00860DB8">
        <w:rPr>
          <w:rFonts w:eastAsia="Times New Roman" w:cs="Tahoma"/>
          <w:b/>
          <w:bCs/>
          <w:iCs/>
          <w:color w:val="auto"/>
          <w:lang w:eastAsia="es-ES"/>
        </w:rPr>
        <w:t>Comprobante bancario de dispersión de nómina.</w:t>
      </w:r>
    </w:p>
    <w:p w:rsidRPr="00860DB8" w:rsidR="00057880" w:rsidP="00057880" w:rsidRDefault="00057880" w14:paraId="2992FA45" w14:textId="77777777">
      <w:pPr>
        <w:spacing w:after="0" w:line="360" w:lineRule="auto"/>
        <w:contextualSpacing/>
        <w:rPr>
          <w:rFonts w:eastAsia="Calibri" w:cs="Tahoma"/>
          <w:bCs/>
          <w:color w:val="000000"/>
          <w:szCs w:val="24"/>
          <w:lang w:eastAsia="es-MX"/>
        </w:rPr>
      </w:pPr>
    </w:p>
    <w:p w:rsidRPr="00860DB8" w:rsidR="00057880" w:rsidP="00057880" w:rsidRDefault="00057880" w14:paraId="0697E9CF" w14:textId="77777777">
      <w:pPr>
        <w:spacing w:after="0" w:line="360" w:lineRule="auto"/>
        <w:contextualSpacing/>
        <w:rPr>
          <w:rFonts w:eastAsia="Calibri" w:cs="Tahoma"/>
          <w:bCs/>
          <w:color w:val="000000"/>
          <w:szCs w:val="24"/>
          <w:lang w:eastAsia="es-MX"/>
        </w:rPr>
      </w:pPr>
      <w:r w:rsidRPr="00860DB8">
        <w:rPr>
          <w:rFonts w:eastAsia="Calibri" w:cs="Tahoma"/>
          <w:bCs/>
          <w:color w:val="000000"/>
          <w:szCs w:val="24"/>
          <w:lang w:eastAsia="es-MX"/>
        </w:rPr>
        <w:t xml:space="preserve">Al respecto, cabe recordar que la pretensión del ahora Recurrente es obtener </w:t>
      </w:r>
      <w:r w:rsidRPr="00860DB8">
        <w:rPr>
          <w:rFonts w:eastAsia="Times New Roman" w:cs="Tahoma"/>
          <w:bCs/>
          <w:color w:val="auto"/>
          <w:lang w:eastAsia="es-ES"/>
        </w:rPr>
        <w:t xml:space="preserve">el </w:t>
      </w:r>
      <w:r w:rsidRPr="00860DB8">
        <w:rPr>
          <w:rFonts w:eastAsia="Times New Roman" w:cs="Tahoma"/>
          <w:iCs/>
          <w:color w:val="auto"/>
          <w:lang w:eastAsia="es-ES"/>
        </w:rPr>
        <w:t>comprobante emitido por la institución bancaria por la transferencia realizada del pago de las remuneraciones a la Presidenta Municipal, Síndico Municipal y Regidores, de la segunda quincena de septiembre de dos mil veintidós.</w:t>
      </w:r>
    </w:p>
    <w:p w:rsidRPr="00860DB8" w:rsidR="00057880" w:rsidP="00057880" w:rsidRDefault="00057880" w14:paraId="0CF15B48" w14:textId="77777777">
      <w:pPr>
        <w:spacing w:after="0" w:line="360" w:lineRule="auto"/>
        <w:contextualSpacing/>
        <w:rPr>
          <w:rFonts w:eastAsia="Calibri" w:cs="Tahoma"/>
          <w:bCs/>
          <w:color w:val="000000"/>
          <w:szCs w:val="24"/>
          <w:lang w:eastAsia="es-MX"/>
        </w:rPr>
      </w:pPr>
    </w:p>
    <w:p w:rsidRPr="00860DB8" w:rsidR="00057880" w:rsidP="00057880" w:rsidRDefault="00057880" w14:paraId="22478BA9" w14:textId="77777777">
      <w:pPr>
        <w:spacing w:after="0" w:line="360" w:lineRule="auto"/>
        <w:contextualSpacing/>
        <w:rPr>
          <w:rFonts w:eastAsia="Calibri" w:cs="Tahoma"/>
          <w:bCs/>
          <w:color w:val="000000"/>
          <w:szCs w:val="24"/>
          <w:lang w:eastAsia="es-MX"/>
        </w:rPr>
      </w:pPr>
      <w:r w:rsidRPr="00860DB8">
        <w:rPr>
          <w:rFonts w:eastAsia="Calibri" w:cs="Tahoma"/>
          <w:bCs/>
          <w:color w:val="000000"/>
          <w:szCs w:val="24"/>
          <w:lang w:eastAsia="es-MX"/>
        </w:rPr>
        <w:t xml:space="preserve">Al respecto, el Sujeto Obligado proporcionó el documento denominado Consulta de Dispersión, el cual contiene el importe abonado por concepto de nómina de la Presidenta Municipal y los Siete Regidores con los que cuenta el Ayuntamiento, de la segunda quincena de septiembre de dos mil veintidós, tal como se muestra a continuación </w:t>
      </w:r>
    </w:p>
    <w:p w:rsidRPr="00860DB8" w:rsidR="00057880" w:rsidP="00057880" w:rsidRDefault="00057880" w14:paraId="2DC59635" w14:textId="77777777">
      <w:pPr>
        <w:spacing w:after="0" w:line="360" w:lineRule="auto"/>
        <w:contextualSpacing/>
        <w:rPr>
          <w:rFonts w:eastAsia="Calibri" w:cs="Tahoma"/>
          <w:bCs/>
          <w:color w:val="000000"/>
          <w:szCs w:val="24"/>
          <w:lang w:eastAsia="es-MX"/>
        </w:rPr>
      </w:pPr>
    </w:p>
    <w:p w:rsidRPr="00860DB8" w:rsidR="00057880" w:rsidP="00057880" w:rsidRDefault="00057880" w14:paraId="1020317E" w14:textId="77777777">
      <w:pPr>
        <w:spacing w:after="0" w:line="360" w:lineRule="auto"/>
        <w:contextualSpacing/>
        <w:jc w:val="center"/>
        <w:rPr>
          <w:rFonts w:eastAsia="Calibri" w:cs="Tahoma"/>
          <w:bCs/>
          <w:color w:val="000000"/>
          <w:szCs w:val="24"/>
          <w:lang w:eastAsia="es-MX"/>
        </w:rPr>
      </w:pPr>
      <w:r w:rsidRPr="00860DB8">
        <w:rPr>
          <w:rFonts w:eastAsia="Calibri" w:cs="Tahoma"/>
          <w:bCs/>
          <w:noProof/>
          <w:color w:val="000000"/>
          <w:szCs w:val="24"/>
          <w:lang w:eastAsia="es-MX"/>
        </w:rPr>
        <w:drawing>
          <wp:inline distT="0" distB="0" distL="0" distR="0" wp14:anchorId="11F5B697" wp14:editId="1A6A8A03">
            <wp:extent cx="5671185" cy="2450465"/>
            <wp:effectExtent l="0" t="0" r="5715"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2450465"/>
                    </a:xfrm>
                    <a:prstGeom prst="rect">
                      <a:avLst/>
                    </a:prstGeom>
                  </pic:spPr>
                </pic:pic>
              </a:graphicData>
            </a:graphic>
          </wp:inline>
        </w:drawing>
      </w:r>
    </w:p>
    <w:p w:rsidRPr="00860DB8" w:rsidR="00057880" w:rsidP="00057880" w:rsidRDefault="00057880" w14:paraId="3E177821" w14:textId="77777777">
      <w:pPr>
        <w:spacing w:after="0" w:line="360" w:lineRule="auto"/>
        <w:contextualSpacing/>
        <w:rPr>
          <w:rFonts w:eastAsia="Calibri" w:cs="Tahoma"/>
          <w:bCs/>
          <w:color w:val="000000"/>
          <w:szCs w:val="24"/>
          <w:lang w:eastAsia="es-MX"/>
        </w:rPr>
      </w:pPr>
    </w:p>
    <w:p w:rsidRPr="00860DB8" w:rsidR="00057880" w:rsidP="00057880" w:rsidRDefault="00057880" w14:paraId="25685D29" w14:textId="77777777">
      <w:pPr>
        <w:spacing w:after="0" w:line="360" w:lineRule="auto"/>
        <w:contextualSpacing/>
        <w:rPr>
          <w:rFonts w:eastAsia="Calibri" w:cs="Tahoma"/>
          <w:bCs/>
          <w:color w:val="000000"/>
          <w:szCs w:val="24"/>
          <w:lang w:eastAsia="es-MX"/>
        </w:rPr>
      </w:pPr>
      <w:r w:rsidRPr="00860DB8">
        <w:rPr>
          <w:rFonts w:eastAsia="Calibri" w:cs="Tahoma"/>
          <w:bCs/>
          <w:color w:val="000000"/>
          <w:szCs w:val="24"/>
          <w:lang w:eastAsia="es-MX"/>
        </w:rPr>
        <w:t xml:space="preserve">Al respecto, cabe recordar que los Sujetos Obligados únicamente están obligados a proporcionar los documentos que obran en sus archivos, en términos de los artículos 12 y </w:t>
      </w:r>
      <w:r w:rsidRPr="00860DB8">
        <w:rPr>
          <w:rFonts w:eastAsia="Calibri" w:cs="Tahoma"/>
          <w:bCs/>
          <w:color w:val="000000"/>
          <w:szCs w:val="24"/>
          <w:lang w:eastAsia="es-MX"/>
        </w:rPr>
        <w:lastRenderedPageBreak/>
        <w:t>160 de la Ley de Transparencia y Acceso a la Información Pública del Estado de México y Municipios; por lo que, en el presente caso, este Instituto considera que el Ayuntamiento proporcionó el documento que contiene la información solicitada, pues da cuenta de la operación exitosa, es decir, de la transferencia de recursos públicos realizada por la cuenta bancaria del Ente Recurrido a ocho servidores públicos, por concepto de pago de nómina de la segunda quincena de septiembre de dos mil veintidós.</w:t>
      </w:r>
    </w:p>
    <w:p w:rsidRPr="00860DB8" w:rsidR="00057880" w:rsidP="00057880" w:rsidRDefault="00057880" w14:paraId="2FCAB933" w14:textId="77777777">
      <w:pPr>
        <w:spacing w:after="0" w:line="360" w:lineRule="auto"/>
        <w:contextualSpacing/>
        <w:rPr>
          <w:rFonts w:eastAsia="Calibri" w:cs="Tahoma"/>
          <w:bCs/>
          <w:color w:val="000000"/>
          <w:szCs w:val="24"/>
          <w:lang w:eastAsia="es-MX"/>
        </w:rPr>
      </w:pPr>
    </w:p>
    <w:p w:rsidRPr="00860DB8" w:rsidR="00057880" w:rsidP="00057880" w:rsidRDefault="00057880" w14:paraId="0F2FA210" w14:textId="77777777">
      <w:pPr>
        <w:spacing w:after="0" w:line="360" w:lineRule="auto"/>
        <w:contextualSpacing/>
        <w:rPr>
          <w:rFonts w:eastAsia="Calibri" w:cs="Tahoma"/>
          <w:bCs/>
          <w:color w:val="000000"/>
          <w:szCs w:val="24"/>
          <w:lang w:eastAsia="es-MX"/>
        </w:rPr>
      </w:pPr>
      <w:r w:rsidRPr="00860DB8">
        <w:rPr>
          <w:rFonts w:eastAsia="Calibri" w:cs="Tahoma"/>
          <w:bCs/>
          <w:color w:val="000000"/>
          <w:szCs w:val="24"/>
          <w:lang w:eastAsia="es-MX"/>
        </w:rPr>
        <w:t xml:space="preserve">Sin embargo, de la revisión de dicho documento, se logra vislumbrar que se encuentra incompleto, pues se omitió la información del Síndico Municipal, Víctor Rojas </w:t>
      </w:r>
      <w:proofErr w:type="spellStart"/>
      <w:r w:rsidRPr="00860DB8">
        <w:rPr>
          <w:rFonts w:eastAsia="Calibri" w:cs="Tahoma"/>
          <w:bCs/>
          <w:color w:val="000000"/>
          <w:szCs w:val="24"/>
          <w:lang w:eastAsia="es-MX"/>
        </w:rPr>
        <w:t>Solis</w:t>
      </w:r>
      <w:proofErr w:type="spellEnd"/>
      <w:r w:rsidRPr="00860DB8">
        <w:rPr>
          <w:rFonts w:eastAsia="Calibri" w:cs="Tahoma"/>
          <w:bCs/>
          <w:color w:val="000000"/>
          <w:szCs w:val="24"/>
          <w:lang w:eastAsia="es-MX"/>
        </w:rPr>
        <w:t xml:space="preserve">, es decir, no contiene la transferencia realizada a dicho servidor público; de tal circunstancia, si bien se proporcionó el documento que daba cuenta de lo solicitado, también lo es que no contiene la información completa, lo cual da como resultado que el agravio sea </w:t>
      </w:r>
      <w:r w:rsidRPr="00860DB8">
        <w:rPr>
          <w:rFonts w:eastAsia="Calibri" w:cs="Tahoma"/>
          <w:b/>
          <w:bCs/>
          <w:color w:val="000000"/>
          <w:szCs w:val="24"/>
          <w:lang w:eastAsia="es-MX"/>
        </w:rPr>
        <w:t>PARCIALMENTE FUNDADO.</w:t>
      </w:r>
      <w:r w:rsidRPr="00860DB8">
        <w:rPr>
          <w:rFonts w:eastAsia="Calibri" w:cs="Tahoma"/>
          <w:bCs/>
          <w:color w:val="000000"/>
          <w:szCs w:val="24"/>
          <w:lang w:eastAsia="es-MX"/>
        </w:rPr>
        <w:t xml:space="preserve"> </w:t>
      </w:r>
    </w:p>
    <w:p w:rsidRPr="00860DB8" w:rsidR="00057880" w:rsidP="00057880" w:rsidRDefault="00057880" w14:paraId="3168ECB2" w14:textId="77777777">
      <w:pPr>
        <w:spacing w:after="0" w:line="360" w:lineRule="auto"/>
        <w:contextualSpacing/>
        <w:rPr>
          <w:rFonts w:eastAsia="Calibri" w:cs="Tahoma"/>
          <w:bCs/>
          <w:color w:val="000000"/>
          <w:szCs w:val="24"/>
          <w:lang w:eastAsia="es-MX"/>
        </w:rPr>
      </w:pPr>
    </w:p>
    <w:p w:rsidRPr="00860DB8" w:rsidR="00057880" w:rsidP="00057880" w:rsidRDefault="00057880" w14:paraId="214D3AF0" w14:textId="77777777">
      <w:pPr>
        <w:spacing w:after="0" w:line="360" w:lineRule="auto"/>
        <w:contextualSpacing/>
        <w:rPr>
          <w:rFonts w:eastAsia="Calibri" w:cs="Tahoma"/>
          <w:bCs/>
          <w:color w:val="000000"/>
          <w:szCs w:val="24"/>
          <w:lang w:eastAsia="es-MX"/>
        </w:rPr>
      </w:pPr>
      <w:r w:rsidRPr="00860DB8">
        <w:rPr>
          <w:rFonts w:eastAsia="Calibri" w:cs="Tahoma"/>
          <w:bCs/>
          <w:color w:val="000000"/>
          <w:szCs w:val="24"/>
          <w:lang w:eastAsia="es-MX"/>
        </w:rPr>
        <w:t xml:space="preserve">En ese contexto, para atender el requerimiento de información, el Sujeto Obligado deberá realizar una búsqueda exhaustiva y razonable en los archivos de la Tesorería Municipal, que conforme a los artículos 78, numeral 2 y 86 del Bando Municipal de </w:t>
      </w:r>
      <w:proofErr w:type="spellStart"/>
      <w:r w:rsidRPr="00860DB8">
        <w:rPr>
          <w:rFonts w:eastAsia="Calibri" w:cs="Tahoma"/>
          <w:bCs/>
          <w:color w:val="000000"/>
          <w:szCs w:val="24"/>
          <w:lang w:eastAsia="es-MX"/>
        </w:rPr>
        <w:t>Jilotzingo</w:t>
      </w:r>
      <w:proofErr w:type="spellEnd"/>
      <w:r w:rsidRPr="00860DB8">
        <w:rPr>
          <w:rFonts w:eastAsia="Calibri" w:cs="Tahoma"/>
          <w:bCs/>
          <w:color w:val="000000"/>
          <w:szCs w:val="24"/>
          <w:lang w:eastAsia="es-MX"/>
        </w:rPr>
        <w:t>, es la responsable de realizar las erogaciones que haga el Ayuntamiento.</w:t>
      </w:r>
    </w:p>
    <w:p w:rsidRPr="00860DB8" w:rsidR="00057880" w:rsidP="00057880" w:rsidRDefault="00057880" w14:paraId="2ADACD99" w14:textId="77777777">
      <w:pPr>
        <w:spacing w:after="0" w:line="360" w:lineRule="auto"/>
        <w:contextualSpacing/>
        <w:rPr>
          <w:rFonts w:eastAsia="Calibri" w:cs="Tahoma"/>
          <w:bCs/>
          <w:color w:val="000000"/>
          <w:szCs w:val="24"/>
          <w:lang w:eastAsia="es-MX"/>
        </w:rPr>
      </w:pPr>
    </w:p>
    <w:p w:rsidRPr="00860DB8" w:rsidR="00057880" w:rsidP="00057880" w:rsidRDefault="00057880" w14:paraId="270E3A34" w14:textId="77777777">
      <w:pPr>
        <w:spacing w:after="0" w:line="360" w:lineRule="auto"/>
        <w:contextualSpacing/>
        <w:rPr>
          <w:rFonts w:eastAsia="Calibri" w:cs="Tahoma"/>
          <w:color w:val="auto"/>
        </w:rPr>
      </w:pPr>
      <w:r w:rsidRPr="00860DB8">
        <w:rPr>
          <w:rFonts w:eastAsia="Calibri" w:cs="Tahoma"/>
          <w:bCs/>
          <w:color w:val="000000"/>
          <w:szCs w:val="24"/>
          <w:lang w:eastAsia="es-MX"/>
        </w:rPr>
        <w:t xml:space="preserve">Lo anterior, con el fin de proporcionar el </w:t>
      </w:r>
      <w:r w:rsidRPr="00860DB8">
        <w:rPr>
          <w:rFonts w:eastAsia="Calibri" w:cs="Tahoma"/>
          <w:bCs/>
          <w:iCs/>
          <w:lang w:eastAsia="es-ES_tradnl"/>
        </w:rPr>
        <w:t>Comprobante Bancario de la Dispersión de Nómina, de la segunda quincena de septiembre de dos mil veintidós, de la Presidenta Municipal, la Síndico Municipal y los siete Regidores, con el fin de dar cumplimiento a los artículos 12 y 160 de la Ley de Transparencia y Acceso a la Información Pública del Estado de México y Municipios.</w:t>
      </w:r>
    </w:p>
    <w:p w:rsidRPr="00860DB8" w:rsidR="00057880" w:rsidP="00057880" w:rsidRDefault="00057880" w14:paraId="67DBABA3" w14:textId="77777777">
      <w:pPr>
        <w:spacing w:after="0" w:line="360" w:lineRule="auto"/>
        <w:contextualSpacing/>
        <w:rPr>
          <w:rFonts w:eastAsia="Calibri" w:cs="Tahoma"/>
          <w:color w:val="auto"/>
        </w:rPr>
      </w:pPr>
    </w:p>
    <w:p w:rsidRPr="00860DB8" w:rsidR="00057880" w:rsidP="00057880" w:rsidRDefault="00057880" w14:paraId="715488BE" w14:textId="77777777">
      <w:pPr>
        <w:tabs>
          <w:tab w:val="left" w:pos="4962"/>
        </w:tabs>
        <w:spacing w:after="0" w:line="360" w:lineRule="auto"/>
        <w:rPr>
          <w:rFonts w:eastAsia="Calibri" w:cs="Tahoma"/>
          <w:bCs/>
          <w:iCs/>
          <w:color w:val="000000"/>
          <w:szCs w:val="24"/>
          <w:lang w:eastAsia="es-MX"/>
        </w:rPr>
      </w:pPr>
      <w:r w:rsidRPr="00860DB8">
        <w:rPr>
          <w:rFonts w:eastAsia="Calibri" w:cs="Tahoma"/>
          <w:b/>
          <w:bCs/>
          <w:iCs/>
          <w:color w:val="000000"/>
          <w:szCs w:val="24"/>
          <w:lang w:eastAsia="es-MX"/>
        </w:rPr>
        <w:t>Datos testados en los documentos entregados.</w:t>
      </w:r>
    </w:p>
    <w:p w:rsidRPr="00860DB8" w:rsidR="00057880" w:rsidP="00057880" w:rsidRDefault="00057880" w14:paraId="530EDCE1" w14:textId="77777777">
      <w:pPr>
        <w:tabs>
          <w:tab w:val="left" w:pos="4962"/>
        </w:tabs>
        <w:spacing w:after="0" w:line="360" w:lineRule="auto"/>
        <w:rPr>
          <w:rFonts w:cs="Tahoma"/>
          <w:bCs/>
          <w:iCs/>
        </w:rPr>
      </w:pPr>
      <w:r w:rsidRPr="00860DB8">
        <w:rPr>
          <w:rFonts w:cs="Tahoma"/>
          <w:bCs/>
          <w:iCs/>
        </w:rPr>
        <w:lastRenderedPageBreak/>
        <w:t>Al respecto, de la revisión de los documentos entregados, se logra vislumbrar que fueron proporcionados, en versión pública, en donde se clasificaron lo siguientes datos:</w:t>
      </w:r>
    </w:p>
    <w:p w:rsidRPr="00860DB8" w:rsidR="00057880" w:rsidP="00057880" w:rsidRDefault="00057880" w14:paraId="7C3C8751" w14:textId="77777777">
      <w:pPr>
        <w:tabs>
          <w:tab w:val="left" w:pos="4962"/>
        </w:tabs>
        <w:spacing w:after="0" w:line="360" w:lineRule="auto"/>
        <w:rPr>
          <w:rFonts w:cs="Tahoma"/>
          <w:bCs/>
          <w:iCs/>
        </w:rPr>
      </w:pPr>
    </w:p>
    <w:p w:rsidRPr="00860DB8" w:rsidR="00057880" w:rsidP="00057880" w:rsidRDefault="00057880" w14:paraId="392017A0" w14:textId="77777777">
      <w:pPr>
        <w:pStyle w:val="Prrafodelista"/>
        <w:numPr>
          <w:ilvl w:val="0"/>
          <w:numId w:val="10"/>
        </w:numPr>
        <w:tabs>
          <w:tab w:val="left" w:pos="4962"/>
        </w:tabs>
        <w:spacing w:after="0" w:line="360" w:lineRule="auto"/>
        <w:jc w:val="left"/>
        <w:rPr>
          <w:rFonts w:cs="Tahoma"/>
          <w:bCs/>
          <w:iCs/>
        </w:rPr>
      </w:pPr>
      <w:r w:rsidRPr="00860DB8">
        <w:rPr>
          <w:rFonts w:cs="Tahoma"/>
          <w:bCs/>
          <w:iCs/>
        </w:rPr>
        <w:t>Clave Única de Registro de Población;</w:t>
      </w:r>
    </w:p>
    <w:p w:rsidRPr="00860DB8" w:rsidR="00057880" w:rsidP="00057880" w:rsidRDefault="00057880" w14:paraId="1F372FDE" w14:textId="77777777">
      <w:pPr>
        <w:pStyle w:val="Prrafodelista"/>
        <w:numPr>
          <w:ilvl w:val="0"/>
          <w:numId w:val="10"/>
        </w:numPr>
        <w:tabs>
          <w:tab w:val="left" w:pos="4962"/>
        </w:tabs>
        <w:spacing w:after="0" w:line="360" w:lineRule="auto"/>
        <w:jc w:val="left"/>
        <w:rPr>
          <w:rFonts w:cs="Tahoma"/>
          <w:bCs/>
          <w:iCs/>
        </w:rPr>
      </w:pPr>
      <w:r w:rsidRPr="00860DB8">
        <w:rPr>
          <w:rFonts w:cs="Tahoma"/>
          <w:bCs/>
          <w:iCs/>
        </w:rPr>
        <w:t>Registro Federal de Contribuyentes del servidor público y Sujeto Obligado;</w:t>
      </w:r>
    </w:p>
    <w:p w:rsidRPr="00860DB8" w:rsidR="00057880" w:rsidP="00057880" w:rsidRDefault="00057880" w14:paraId="233409DA" w14:textId="77777777">
      <w:pPr>
        <w:numPr>
          <w:ilvl w:val="0"/>
          <w:numId w:val="10"/>
        </w:numPr>
        <w:spacing w:after="0" w:line="360" w:lineRule="auto"/>
        <w:jc w:val="left"/>
        <w:rPr>
          <w:rFonts w:eastAsia="Times New Roman" w:cs="Tahoma"/>
          <w:bCs/>
          <w:iCs/>
          <w:color w:val="auto"/>
          <w:lang w:eastAsia="es-ES"/>
        </w:rPr>
      </w:pPr>
      <w:r w:rsidRPr="00860DB8">
        <w:rPr>
          <w:rFonts w:eastAsia="Times New Roman" w:cs="Tahoma"/>
          <w:bCs/>
          <w:iCs/>
          <w:color w:val="auto"/>
          <w:lang w:val="es-ES" w:eastAsia="es-ES"/>
        </w:rPr>
        <w:t>Código bidimensional o QR</w:t>
      </w:r>
      <w:r w:rsidRPr="00860DB8">
        <w:rPr>
          <w:rFonts w:eastAsia="Times New Roman" w:cs="Tahoma"/>
          <w:bCs/>
          <w:iCs/>
          <w:color w:val="auto"/>
          <w:lang w:eastAsia="es-ES"/>
        </w:rPr>
        <w:t>.</w:t>
      </w:r>
    </w:p>
    <w:p w:rsidRPr="00860DB8" w:rsidR="00057880" w:rsidP="00057880" w:rsidRDefault="00057880" w14:paraId="1E6ABE7F" w14:textId="77777777">
      <w:pPr>
        <w:numPr>
          <w:ilvl w:val="0"/>
          <w:numId w:val="10"/>
        </w:numPr>
        <w:spacing w:after="0" w:line="360" w:lineRule="auto"/>
        <w:jc w:val="left"/>
        <w:rPr>
          <w:rFonts w:eastAsia="Times New Roman" w:cs="Tahoma"/>
          <w:bCs/>
          <w:iCs/>
          <w:color w:val="auto"/>
          <w:lang w:eastAsia="es-ES"/>
        </w:rPr>
      </w:pPr>
      <w:r w:rsidRPr="00860DB8">
        <w:rPr>
          <w:rFonts w:eastAsia="Times New Roman" w:cs="Tahoma"/>
          <w:bCs/>
          <w:iCs/>
          <w:color w:val="auto"/>
          <w:lang w:eastAsia="es-ES"/>
        </w:rPr>
        <w:t>Número de seguridad social del Instituto de Seguridad Social del Estado de México y Municipios;</w:t>
      </w:r>
    </w:p>
    <w:p w:rsidRPr="00860DB8" w:rsidR="00057880" w:rsidP="00057880" w:rsidRDefault="00057880" w14:paraId="001AE0DD" w14:textId="77777777">
      <w:pPr>
        <w:numPr>
          <w:ilvl w:val="0"/>
          <w:numId w:val="10"/>
        </w:numPr>
        <w:spacing w:after="0" w:line="360" w:lineRule="auto"/>
        <w:jc w:val="left"/>
        <w:rPr>
          <w:rFonts w:eastAsia="Times New Roman" w:cs="Tahoma"/>
          <w:bCs/>
          <w:iCs/>
          <w:color w:val="auto"/>
          <w:lang w:eastAsia="es-ES"/>
        </w:rPr>
      </w:pPr>
      <w:r w:rsidRPr="00860DB8">
        <w:rPr>
          <w:rFonts w:eastAsia="Times New Roman" w:cs="Tahoma"/>
          <w:bCs/>
          <w:iCs/>
          <w:color w:val="auto"/>
          <w:lang w:eastAsia="es-ES"/>
        </w:rPr>
        <w:t>Sueldos y percepciones;</w:t>
      </w:r>
    </w:p>
    <w:p w:rsidRPr="00860DB8" w:rsidR="00057880" w:rsidP="00057880" w:rsidRDefault="00057880" w14:paraId="22311FC8" w14:textId="77777777">
      <w:pPr>
        <w:numPr>
          <w:ilvl w:val="0"/>
          <w:numId w:val="10"/>
        </w:numPr>
        <w:spacing w:after="0" w:line="360" w:lineRule="auto"/>
        <w:jc w:val="left"/>
        <w:rPr>
          <w:rFonts w:eastAsia="Times New Roman" w:cs="Tahoma"/>
          <w:bCs/>
          <w:iCs/>
          <w:color w:val="auto"/>
          <w:lang w:eastAsia="es-ES"/>
        </w:rPr>
      </w:pPr>
      <w:r w:rsidRPr="00860DB8">
        <w:rPr>
          <w:rFonts w:eastAsia="Times New Roman" w:cs="Tahoma"/>
          <w:bCs/>
          <w:iCs/>
          <w:color w:val="auto"/>
          <w:lang w:eastAsia="es-ES"/>
        </w:rPr>
        <w:t>Deducciones por Ley;</w:t>
      </w:r>
    </w:p>
    <w:p w:rsidRPr="00860DB8" w:rsidR="00057880" w:rsidP="00057880" w:rsidRDefault="00057880" w14:paraId="519CF68D" w14:textId="77777777">
      <w:pPr>
        <w:numPr>
          <w:ilvl w:val="0"/>
          <w:numId w:val="10"/>
        </w:numPr>
        <w:spacing w:after="0" w:line="360" w:lineRule="auto"/>
        <w:jc w:val="left"/>
        <w:rPr>
          <w:rFonts w:eastAsia="Times New Roman" w:cs="Tahoma"/>
          <w:bCs/>
          <w:iCs/>
          <w:color w:val="auto"/>
          <w:lang w:eastAsia="es-ES"/>
        </w:rPr>
      </w:pPr>
      <w:r w:rsidRPr="00860DB8">
        <w:rPr>
          <w:rFonts w:eastAsia="Times New Roman" w:cs="Tahoma"/>
          <w:bCs/>
          <w:iCs/>
          <w:color w:val="auto"/>
          <w:lang w:val="es-ES" w:eastAsia="es-ES"/>
        </w:rPr>
        <w:t>Deducciones personales;</w:t>
      </w:r>
    </w:p>
    <w:p w:rsidRPr="00860DB8" w:rsidR="00057880" w:rsidP="00057880" w:rsidRDefault="00057880" w14:paraId="0DAB5E9C" w14:textId="77777777">
      <w:pPr>
        <w:pStyle w:val="Prrafodelista"/>
        <w:numPr>
          <w:ilvl w:val="0"/>
          <w:numId w:val="11"/>
        </w:numPr>
        <w:spacing w:after="0" w:line="360" w:lineRule="auto"/>
        <w:rPr>
          <w:iCs/>
          <w:lang w:val="es-ES"/>
        </w:rPr>
      </w:pPr>
      <w:r w:rsidRPr="00860DB8">
        <w:rPr>
          <w:iCs/>
          <w:lang w:val="es-ES"/>
        </w:rPr>
        <w:t xml:space="preserve">Sellos digitales del emisor y del Servicio de Administración Tributaria; </w:t>
      </w:r>
    </w:p>
    <w:p w:rsidRPr="00860DB8" w:rsidR="00057880" w:rsidP="00057880" w:rsidRDefault="00057880" w14:paraId="025942EB" w14:textId="77777777">
      <w:pPr>
        <w:pStyle w:val="Prrafodelista"/>
        <w:numPr>
          <w:ilvl w:val="0"/>
          <w:numId w:val="11"/>
        </w:numPr>
        <w:spacing w:after="0" w:line="360" w:lineRule="auto"/>
        <w:rPr>
          <w:iCs/>
          <w:lang w:val="es-ES"/>
        </w:rPr>
      </w:pPr>
      <w:r w:rsidRPr="00860DB8">
        <w:rPr>
          <w:iCs/>
          <w:lang w:val="es-ES"/>
        </w:rPr>
        <w:t>Cadena original del complemento de certificación digital del órgano previamente señalado, y</w:t>
      </w:r>
    </w:p>
    <w:p w:rsidRPr="00860DB8" w:rsidR="00057880" w:rsidP="00057880" w:rsidRDefault="00057880" w14:paraId="3568E659" w14:textId="77777777">
      <w:pPr>
        <w:pStyle w:val="Prrafodelista"/>
        <w:numPr>
          <w:ilvl w:val="0"/>
          <w:numId w:val="11"/>
        </w:numPr>
        <w:spacing w:after="0" w:line="360" w:lineRule="auto"/>
        <w:rPr>
          <w:iCs/>
          <w:lang w:val="es-ES"/>
        </w:rPr>
      </w:pPr>
      <w:r w:rsidRPr="00860DB8">
        <w:rPr>
          <w:iCs/>
          <w:lang w:val="es-ES"/>
        </w:rPr>
        <w:t>Números de serie de los certificados de sellos digitales;</w:t>
      </w:r>
    </w:p>
    <w:p w:rsidRPr="00860DB8" w:rsidR="00057880" w:rsidP="00057880" w:rsidRDefault="00057880" w14:paraId="1459A7EC" w14:textId="77777777">
      <w:pPr>
        <w:pStyle w:val="Prrafodelista"/>
        <w:numPr>
          <w:ilvl w:val="0"/>
          <w:numId w:val="11"/>
        </w:numPr>
        <w:spacing w:after="0" w:line="360" w:lineRule="auto"/>
        <w:rPr>
          <w:rFonts w:cs="Tahoma"/>
          <w:lang w:val="es-ES"/>
        </w:rPr>
      </w:pPr>
      <w:r w:rsidRPr="00860DB8">
        <w:rPr>
          <w:rFonts w:cs="Tahoma"/>
          <w:lang w:val="es-ES"/>
        </w:rPr>
        <w:t>Folio fiscal;</w:t>
      </w:r>
    </w:p>
    <w:p w:rsidRPr="00860DB8" w:rsidR="00057880" w:rsidP="00057880" w:rsidRDefault="00057880" w14:paraId="4E8BCD12" w14:textId="77777777">
      <w:pPr>
        <w:pStyle w:val="Prrafodelista"/>
        <w:numPr>
          <w:ilvl w:val="0"/>
          <w:numId w:val="11"/>
        </w:numPr>
        <w:spacing w:after="0" w:line="360" w:lineRule="auto"/>
        <w:jc w:val="left"/>
        <w:rPr>
          <w:iCs/>
          <w:lang w:val="es-ES"/>
        </w:rPr>
      </w:pPr>
      <w:r w:rsidRPr="00860DB8">
        <w:rPr>
          <w:iCs/>
          <w:lang w:val="es-ES"/>
        </w:rPr>
        <w:t>Registro Patronal del Instituto de Seguridad y Servicios Sociales del Estado de México y Municipios, y</w:t>
      </w:r>
    </w:p>
    <w:p w:rsidRPr="00860DB8" w:rsidR="00057880" w:rsidP="00057880" w:rsidRDefault="00057880" w14:paraId="6446F830" w14:textId="77777777">
      <w:pPr>
        <w:pStyle w:val="Prrafodelista"/>
        <w:numPr>
          <w:ilvl w:val="0"/>
          <w:numId w:val="11"/>
        </w:numPr>
        <w:spacing w:after="0" w:line="360" w:lineRule="auto"/>
        <w:jc w:val="left"/>
        <w:rPr>
          <w:iCs/>
          <w:lang w:val="es-ES"/>
        </w:rPr>
      </w:pPr>
      <w:r w:rsidRPr="00860DB8">
        <w:rPr>
          <w:iCs/>
          <w:lang w:val="es-ES"/>
        </w:rPr>
        <w:t>Número de cuenta de servidores públicos y del Sujeto Obligado (contrato).</w:t>
      </w:r>
    </w:p>
    <w:p w:rsidRPr="00860DB8" w:rsidR="00057880" w:rsidP="00057880" w:rsidRDefault="00057880" w14:paraId="11AC42AD" w14:textId="77777777">
      <w:pPr>
        <w:pStyle w:val="Prrafodelista"/>
        <w:numPr>
          <w:ilvl w:val="0"/>
          <w:numId w:val="11"/>
        </w:numPr>
        <w:spacing w:after="0" w:line="360" w:lineRule="auto"/>
        <w:rPr>
          <w:iCs/>
          <w:lang w:val="es-ES"/>
        </w:rPr>
      </w:pPr>
      <w:r w:rsidRPr="00860DB8">
        <w:rPr>
          <w:iCs/>
          <w:lang w:val="es-ES"/>
        </w:rPr>
        <w:t>Nombre de la institución bancaria de las cuentas de los trabajadores gubernamentales.</w:t>
      </w:r>
    </w:p>
    <w:p w:rsidRPr="00860DB8" w:rsidR="00057880" w:rsidP="00057880" w:rsidRDefault="00057880" w14:paraId="18869648" w14:textId="77777777">
      <w:pPr>
        <w:tabs>
          <w:tab w:val="left" w:pos="4962"/>
        </w:tabs>
        <w:spacing w:after="0" w:line="360" w:lineRule="auto"/>
        <w:rPr>
          <w:rFonts w:cs="Tahoma"/>
          <w:bCs/>
          <w:iCs/>
        </w:rPr>
      </w:pPr>
    </w:p>
    <w:p w:rsidRPr="00860DB8" w:rsidR="00057880" w:rsidP="00057880" w:rsidRDefault="00057880" w14:paraId="7E3FFACE" w14:textId="77777777">
      <w:pPr>
        <w:spacing w:after="0" w:line="360" w:lineRule="auto"/>
        <w:rPr>
          <w:rFonts w:eastAsia="Times New Roman" w:cs="Tahoma"/>
          <w:bCs/>
          <w:iCs/>
          <w:color w:val="auto"/>
          <w:lang w:eastAsia="es-MX"/>
        </w:rPr>
      </w:pPr>
      <w:r w:rsidRPr="00860DB8">
        <w:rPr>
          <w:rFonts w:eastAsia="Times New Roman" w:cs="Tahoma"/>
          <w:bCs/>
          <w:iCs/>
          <w:color w:val="auto"/>
          <w:lang w:val="es-ES" w:eastAsia="es-MX"/>
        </w:rPr>
        <w:t>Al respecto</w:t>
      </w:r>
      <w:r w:rsidRPr="00860DB8">
        <w:rPr>
          <w:rFonts w:eastAsia="Times New Roman" w:cs="Tahoma"/>
          <w:bCs/>
          <w:iCs/>
          <w:color w:val="auto"/>
          <w:lang w:eastAsia="es-MX"/>
        </w:rPr>
        <w:t xml:space="preserve">,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w:t>
      </w:r>
      <w:r w:rsidRPr="00860DB8">
        <w:rPr>
          <w:rFonts w:eastAsia="Times New Roman" w:cs="Tahoma"/>
          <w:bCs/>
          <w:iCs/>
          <w:color w:val="auto"/>
          <w:lang w:eastAsia="es-MX"/>
        </w:rPr>
        <w:lastRenderedPageBreak/>
        <w:t>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860DB8" w:rsidR="00057880" w:rsidP="00057880" w:rsidRDefault="00057880" w14:paraId="7785A8F1" w14:textId="77777777">
      <w:pPr>
        <w:spacing w:after="0" w:line="360" w:lineRule="auto"/>
        <w:rPr>
          <w:rFonts w:eastAsia="Times New Roman" w:cs="Tahoma"/>
          <w:bCs/>
          <w:iCs/>
          <w:color w:val="auto"/>
          <w:lang w:eastAsia="es-MX"/>
        </w:rPr>
      </w:pPr>
    </w:p>
    <w:p w:rsidRPr="00860DB8" w:rsidR="00057880" w:rsidP="00057880" w:rsidRDefault="00057880" w14:paraId="5DAF2C58"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860DB8" w:rsidR="00057880" w:rsidP="00057880" w:rsidRDefault="00057880" w14:paraId="2445237B" w14:textId="77777777">
      <w:pPr>
        <w:spacing w:after="0" w:line="360" w:lineRule="auto"/>
        <w:rPr>
          <w:rFonts w:eastAsia="Times New Roman" w:cs="Tahoma"/>
          <w:bCs/>
          <w:iCs/>
          <w:color w:val="auto"/>
          <w:lang w:eastAsia="es-MX"/>
        </w:rPr>
      </w:pPr>
    </w:p>
    <w:p w:rsidRPr="00860DB8" w:rsidR="00057880" w:rsidP="00057880" w:rsidRDefault="00057880" w14:paraId="0B6EF4A9"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860DB8" w:rsidR="00057880" w:rsidP="00057880" w:rsidRDefault="00057880" w14:paraId="3AACBC1B" w14:textId="77777777">
      <w:pPr>
        <w:spacing w:after="0" w:line="360" w:lineRule="auto"/>
        <w:rPr>
          <w:rFonts w:eastAsia="Times New Roman" w:cs="Tahoma"/>
          <w:bCs/>
          <w:iCs/>
          <w:color w:val="auto"/>
          <w:lang w:eastAsia="es-MX"/>
        </w:rPr>
      </w:pPr>
    </w:p>
    <w:p w:rsidRPr="00860DB8" w:rsidR="00057880" w:rsidP="00057880" w:rsidRDefault="00057880" w14:paraId="0FB920F1"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860DB8" w:rsidR="00057880" w:rsidP="00057880" w:rsidRDefault="00057880" w14:paraId="4C317BD1" w14:textId="77777777">
      <w:pPr>
        <w:spacing w:after="0" w:line="360" w:lineRule="auto"/>
        <w:rPr>
          <w:rFonts w:eastAsia="Times New Roman" w:cs="Tahoma"/>
          <w:bCs/>
          <w:iCs/>
          <w:color w:val="auto"/>
          <w:lang w:eastAsia="es-MX"/>
        </w:rPr>
      </w:pPr>
    </w:p>
    <w:p w:rsidRPr="00860DB8" w:rsidR="00057880" w:rsidP="00057880" w:rsidRDefault="00057880" w14:paraId="2167D898"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860DB8" w:rsidR="00057880" w:rsidP="00057880" w:rsidRDefault="00057880" w14:paraId="27ED06A1" w14:textId="77777777">
      <w:pPr>
        <w:spacing w:after="0" w:line="360" w:lineRule="auto"/>
        <w:rPr>
          <w:rFonts w:eastAsia="Times New Roman" w:cs="Tahoma"/>
          <w:bCs/>
          <w:iCs/>
          <w:color w:val="auto"/>
          <w:lang w:eastAsia="es-MX"/>
        </w:rPr>
      </w:pPr>
    </w:p>
    <w:p w:rsidRPr="00860DB8" w:rsidR="00057880" w:rsidP="00057880" w:rsidRDefault="00057880" w14:paraId="4B2405EF"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 xml:space="preserve">Asimismo, el artículo 145 de la Ley de Transparencia y Acceso a la Información Pública del Estado de México y Municipios, prevé que para que los Sujetos Obligados puedan permitir </w:t>
      </w:r>
      <w:r w:rsidRPr="00860DB8">
        <w:rPr>
          <w:rFonts w:eastAsia="Times New Roman" w:cs="Tahoma"/>
          <w:bCs/>
          <w:iCs/>
          <w:color w:val="auto"/>
          <w:lang w:eastAsia="es-MX"/>
        </w:rPr>
        <w:lastRenderedPageBreak/>
        <w:t>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860DB8" w:rsidR="00057880" w:rsidP="00057880" w:rsidRDefault="00057880" w14:paraId="40048B8C" w14:textId="77777777">
      <w:pPr>
        <w:spacing w:after="0" w:line="360" w:lineRule="auto"/>
        <w:rPr>
          <w:rFonts w:eastAsia="Times New Roman" w:cs="Tahoma"/>
          <w:bCs/>
          <w:iCs/>
          <w:color w:val="auto"/>
          <w:lang w:eastAsia="es-MX"/>
        </w:rPr>
      </w:pPr>
    </w:p>
    <w:p w:rsidRPr="00860DB8" w:rsidR="00057880" w:rsidP="00057880" w:rsidRDefault="00057880" w14:paraId="096A5F04"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En términos de lo expuesto, la documentación y aquellos datos que se consideren confidenciales, serán una limitante del derecho de acceso a la información, siempre y cuando:</w:t>
      </w:r>
    </w:p>
    <w:p w:rsidRPr="00860DB8" w:rsidR="00057880" w:rsidP="00057880" w:rsidRDefault="00057880" w14:paraId="50CBD82C" w14:textId="77777777">
      <w:pPr>
        <w:spacing w:after="0" w:line="360" w:lineRule="auto"/>
        <w:rPr>
          <w:rFonts w:eastAsia="Times New Roman" w:cs="Tahoma"/>
          <w:bCs/>
          <w:iCs/>
          <w:color w:val="auto"/>
          <w:lang w:eastAsia="es-MX"/>
        </w:rPr>
      </w:pPr>
    </w:p>
    <w:p w:rsidRPr="00860DB8" w:rsidR="00057880" w:rsidP="00057880" w:rsidRDefault="00057880" w14:paraId="3730E0E8" w14:textId="77777777">
      <w:pPr>
        <w:numPr>
          <w:ilvl w:val="0"/>
          <w:numId w:val="12"/>
        </w:numPr>
        <w:spacing w:after="0" w:line="360" w:lineRule="auto"/>
        <w:jc w:val="left"/>
        <w:rPr>
          <w:rFonts w:eastAsia="Times New Roman" w:cs="Tahoma"/>
          <w:bCs/>
          <w:iCs/>
          <w:color w:val="auto"/>
          <w:lang w:eastAsia="es-MX"/>
        </w:rPr>
      </w:pPr>
      <w:r w:rsidRPr="00860DB8">
        <w:rPr>
          <w:rFonts w:eastAsia="Times New Roman" w:cs="Tahoma"/>
          <w:bCs/>
          <w:iCs/>
          <w:color w:val="auto"/>
          <w:lang w:eastAsia="es-MX"/>
        </w:rPr>
        <w:t xml:space="preserve">Se trate de datos personales o información privada; esto es, información concerniente a una persona física o jurídico colectiva y que esta sea identificada o identificable. </w:t>
      </w:r>
    </w:p>
    <w:p w:rsidRPr="00860DB8" w:rsidR="00057880" w:rsidP="00057880" w:rsidRDefault="00057880" w14:paraId="693104B6" w14:textId="77777777">
      <w:pPr>
        <w:spacing w:after="0" w:line="360" w:lineRule="auto"/>
        <w:ind w:left="720"/>
        <w:jc w:val="left"/>
        <w:rPr>
          <w:rFonts w:eastAsia="Times New Roman" w:cs="Tahoma"/>
          <w:bCs/>
          <w:iCs/>
          <w:color w:val="auto"/>
          <w:lang w:eastAsia="es-MX"/>
        </w:rPr>
      </w:pPr>
    </w:p>
    <w:p w:rsidRPr="00860DB8" w:rsidR="00057880" w:rsidP="00057880" w:rsidRDefault="00057880" w14:paraId="188EB18E" w14:textId="77777777">
      <w:pPr>
        <w:numPr>
          <w:ilvl w:val="0"/>
          <w:numId w:val="12"/>
        </w:numPr>
        <w:spacing w:after="0" w:line="360" w:lineRule="auto"/>
        <w:jc w:val="left"/>
        <w:rPr>
          <w:rFonts w:eastAsia="Times New Roman" w:cs="Tahoma"/>
          <w:bCs/>
          <w:iCs/>
          <w:color w:val="auto"/>
          <w:lang w:eastAsia="es-MX"/>
        </w:rPr>
      </w:pPr>
      <w:r w:rsidRPr="00860DB8">
        <w:rPr>
          <w:rFonts w:eastAsia="Times New Roman" w:cs="Tahoma"/>
          <w:bCs/>
          <w:iCs/>
          <w:color w:val="auto"/>
          <w:lang w:eastAsia="es-MX"/>
        </w:rPr>
        <w:t xml:space="preserve">Para la difusión de los datos, se requiera el consentimiento del titular. </w:t>
      </w:r>
    </w:p>
    <w:p w:rsidRPr="00860DB8" w:rsidR="00057880" w:rsidP="00057880" w:rsidRDefault="00057880" w14:paraId="353E5C98" w14:textId="77777777">
      <w:pPr>
        <w:spacing w:after="0" w:line="360" w:lineRule="auto"/>
        <w:rPr>
          <w:rFonts w:eastAsia="Times New Roman" w:cs="Tahoma"/>
          <w:bCs/>
          <w:iCs/>
          <w:color w:val="auto"/>
          <w:lang w:eastAsia="es-MX"/>
        </w:rPr>
      </w:pPr>
    </w:p>
    <w:p w:rsidRPr="00860DB8" w:rsidR="00057880" w:rsidP="00057880" w:rsidRDefault="00057880" w14:paraId="3472FC0D"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860DB8" w:rsidR="00057880" w:rsidP="00057880" w:rsidRDefault="00057880" w14:paraId="3A3C477B" w14:textId="77777777">
      <w:pPr>
        <w:spacing w:after="0" w:line="360" w:lineRule="auto"/>
        <w:rPr>
          <w:rFonts w:eastAsia="Times New Roman" w:cs="Tahoma"/>
          <w:bCs/>
          <w:iCs/>
          <w:color w:val="auto"/>
          <w:lang w:eastAsia="es-MX"/>
        </w:rPr>
      </w:pPr>
    </w:p>
    <w:p w:rsidRPr="00860DB8" w:rsidR="00057880" w:rsidP="00057880" w:rsidRDefault="00057880" w14:paraId="358EFB79"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Además, en el artículo 5° de dicho ordenamiento jurídico, establece que es la Ley aplicable para todo tratamiento de datos personales.</w:t>
      </w:r>
    </w:p>
    <w:p w:rsidRPr="00860DB8" w:rsidR="00057880" w:rsidP="00057880" w:rsidRDefault="00057880" w14:paraId="495216DD"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860DB8" w:rsidR="00057880" w:rsidP="00057880" w:rsidRDefault="00057880" w14:paraId="6D44082E" w14:textId="77777777">
      <w:pPr>
        <w:spacing w:after="0" w:line="360" w:lineRule="auto"/>
        <w:rPr>
          <w:rFonts w:eastAsia="Times New Roman" w:cs="Tahoma"/>
          <w:bCs/>
          <w:iCs/>
          <w:color w:val="auto"/>
          <w:lang w:eastAsia="es-MX"/>
        </w:rPr>
      </w:pPr>
    </w:p>
    <w:p w:rsidRPr="00860DB8" w:rsidR="00057880" w:rsidP="00057880" w:rsidRDefault="00057880" w14:paraId="65FABC21"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860DB8" w:rsidR="00057880" w:rsidP="00057880" w:rsidRDefault="00057880" w14:paraId="5F101BB9" w14:textId="77777777">
      <w:pPr>
        <w:spacing w:after="0" w:line="360" w:lineRule="auto"/>
        <w:rPr>
          <w:rFonts w:eastAsia="Times New Roman" w:cs="Tahoma"/>
          <w:bCs/>
          <w:iCs/>
          <w:color w:val="auto"/>
          <w:lang w:eastAsia="es-MX"/>
        </w:rPr>
      </w:pPr>
    </w:p>
    <w:p w:rsidRPr="00860DB8" w:rsidR="00057880" w:rsidP="00057880" w:rsidRDefault="00057880" w14:paraId="08046AF7"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860DB8" w:rsidR="00057880" w:rsidP="00057880" w:rsidRDefault="00057880" w14:paraId="2C8848A5" w14:textId="77777777">
      <w:pPr>
        <w:spacing w:after="0" w:line="360" w:lineRule="auto"/>
        <w:rPr>
          <w:rFonts w:eastAsia="Times New Roman" w:cs="Tahoma"/>
          <w:bCs/>
          <w:iCs/>
          <w:color w:val="auto"/>
          <w:lang w:eastAsia="es-MX"/>
        </w:rPr>
      </w:pPr>
    </w:p>
    <w:p w:rsidRPr="00860DB8" w:rsidR="00057880" w:rsidP="00057880" w:rsidRDefault="00057880" w14:paraId="03579D4A"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De tal suerte, las instituciones públicas tienen la doble responsabilidad, por un lado, de proteger los datos personales y por otro, darles publicidad cuando la relevancia de esos datos sea de interés público.</w:t>
      </w:r>
    </w:p>
    <w:p w:rsidRPr="00860DB8" w:rsidR="00057880" w:rsidP="00057880" w:rsidRDefault="00057880" w14:paraId="5339CDF6" w14:textId="77777777">
      <w:pPr>
        <w:spacing w:after="0" w:line="360" w:lineRule="auto"/>
        <w:rPr>
          <w:rFonts w:eastAsia="Times New Roman" w:cs="Tahoma"/>
          <w:bCs/>
          <w:iCs/>
          <w:color w:val="auto"/>
          <w:lang w:eastAsia="es-MX"/>
        </w:rPr>
      </w:pPr>
    </w:p>
    <w:p w:rsidRPr="00860DB8" w:rsidR="00057880" w:rsidP="00057880" w:rsidRDefault="00057880" w14:paraId="6B9F4B67"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860DB8" w:rsidR="00057880" w:rsidP="00057880" w:rsidRDefault="00057880" w14:paraId="591CA3FB" w14:textId="77777777">
      <w:pPr>
        <w:spacing w:after="0" w:line="360" w:lineRule="auto"/>
        <w:rPr>
          <w:rFonts w:eastAsia="Times New Roman" w:cs="Tahoma"/>
          <w:bCs/>
          <w:iCs/>
          <w:color w:val="auto"/>
          <w:lang w:eastAsia="es-MX"/>
        </w:rPr>
      </w:pPr>
    </w:p>
    <w:p w:rsidRPr="00860DB8" w:rsidR="00057880" w:rsidP="00057880" w:rsidRDefault="00057880" w14:paraId="3ACBADE0"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860DB8" w:rsidR="00057880" w:rsidP="00057880" w:rsidRDefault="00057880" w14:paraId="32DA2E1C" w14:textId="77777777">
      <w:pPr>
        <w:spacing w:after="0" w:line="360" w:lineRule="auto"/>
        <w:rPr>
          <w:rFonts w:eastAsia="Times New Roman" w:cs="Tahoma"/>
          <w:bCs/>
          <w:iCs/>
          <w:color w:val="auto"/>
          <w:lang w:eastAsia="es-MX"/>
        </w:rPr>
      </w:pPr>
    </w:p>
    <w:p w:rsidRPr="00860DB8" w:rsidR="00057880" w:rsidP="00057880" w:rsidRDefault="00057880" w14:paraId="7727C9CD"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w:t>
      </w:r>
      <w:r w:rsidRPr="00860DB8">
        <w:rPr>
          <w:rFonts w:eastAsia="Times New Roman" w:cs="Tahoma"/>
          <w:bCs/>
          <w:iCs/>
          <w:color w:val="auto"/>
          <w:lang w:eastAsia="es-MX"/>
        </w:rPr>
        <w:lastRenderedPageBreak/>
        <w:t>de las personas. Bajo ese contexto, se analizarán si los datos mencionados de manera enunciativa, son confidenciales o públicos.</w:t>
      </w:r>
    </w:p>
    <w:p w:rsidRPr="00860DB8" w:rsidR="00057880" w:rsidP="00057880" w:rsidRDefault="00057880" w14:paraId="4C75B150" w14:textId="77777777">
      <w:pPr>
        <w:spacing w:after="0" w:line="360" w:lineRule="auto"/>
        <w:rPr>
          <w:rFonts w:eastAsia="Times New Roman" w:cs="Tahoma"/>
          <w:bCs/>
          <w:iCs/>
          <w:color w:val="auto"/>
          <w:lang w:val="es-ES" w:eastAsia="es-MX"/>
        </w:rPr>
      </w:pPr>
    </w:p>
    <w:p w:rsidRPr="00860DB8" w:rsidR="00057880" w:rsidP="00057880" w:rsidRDefault="00057880" w14:paraId="5A201D02" w14:textId="77777777">
      <w:pPr>
        <w:numPr>
          <w:ilvl w:val="0"/>
          <w:numId w:val="13"/>
        </w:numPr>
        <w:spacing w:after="0" w:line="360" w:lineRule="auto"/>
        <w:jc w:val="left"/>
        <w:rPr>
          <w:rFonts w:eastAsia="Times New Roman" w:cs="Tahoma"/>
          <w:b/>
          <w:bCs/>
          <w:iCs/>
          <w:color w:val="auto"/>
          <w:lang w:val="es-ES_tradnl" w:eastAsia="es-MX"/>
        </w:rPr>
      </w:pPr>
      <w:r w:rsidRPr="00860DB8">
        <w:rPr>
          <w:rFonts w:eastAsia="Times New Roman" w:cs="Tahoma"/>
          <w:b/>
          <w:bCs/>
          <w:iCs/>
          <w:color w:val="auto"/>
          <w:lang w:eastAsia="es-MX"/>
        </w:rPr>
        <w:t>C</w:t>
      </w:r>
      <w:r w:rsidRPr="00860DB8">
        <w:rPr>
          <w:rFonts w:eastAsia="Times New Roman" w:cs="Tahoma"/>
          <w:b/>
          <w:bCs/>
          <w:iCs/>
          <w:color w:val="auto"/>
          <w:lang w:val="es-ES_tradnl" w:eastAsia="es-MX"/>
        </w:rPr>
        <w:t>lave Única de Registro de Población (CURP).</w:t>
      </w:r>
    </w:p>
    <w:p w:rsidRPr="00860DB8" w:rsidR="00057880" w:rsidP="00057880" w:rsidRDefault="00057880" w14:paraId="1D05B27E" w14:textId="77777777">
      <w:pPr>
        <w:spacing w:after="0" w:line="360" w:lineRule="auto"/>
        <w:rPr>
          <w:rFonts w:eastAsia="Times New Roman" w:cs="Tahoma"/>
          <w:bCs/>
          <w:iCs/>
          <w:color w:val="auto"/>
          <w:lang w:eastAsia="es-MX"/>
        </w:rPr>
      </w:pPr>
    </w:p>
    <w:p w:rsidRPr="00860DB8" w:rsidR="00057880" w:rsidP="00057880" w:rsidRDefault="00057880" w14:paraId="7E9D3A4D"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860DB8" w:rsidR="00057880" w:rsidP="00057880" w:rsidRDefault="00057880" w14:paraId="70D29474" w14:textId="77777777">
      <w:pPr>
        <w:spacing w:after="0" w:line="360" w:lineRule="auto"/>
        <w:rPr>
          <w:rFonts w:eastAsia="Times New Roman" w:cs="Tahoma"/>
          <w:bCs/>
          <w:iCs/>
          <w:color w:val="auto"/>
          <w:lang w:eastAsia="es-MX"/>
        </w:rPr>
      </w:pPr>
    </w:p>
    <w:p w:rsidRPr="00860DB8" w:rsidR="00057880" w:rsidP="00057880" w:rsidRDefault="00057880" w14:paraId="59962957"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860DB8" w:rsidR="00057880" w:rsidP="00057880" w:rsidRDefault="00057880" w14:paraId="70BCCA8A" w14:textId="77777777">
      <w:pPr>
        <w:spacing w:after="0" w:line="360" w:lineRule="auto"/>
        <w:rPr>
          <w:rFonts w:eastAsia="Times New Roman" w:cs="Tahoma"/>
          <w:bCs/>
          <w:iCs/>
          <w:color w:val="auto"/>
          <w:lang w:eastAsia="es-MX"/>
        </w:rPr>
      </w:pPr>
    </w:p>
    <w:p w:rsidRPr="00860DB8" w:rsidR="00057880" w:rsidP="00057880" w:rsidRDefault="00057880" w14:paraId="15B30B78"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 xml:space="preserve">En ese orden de ideas, la Secretaría de Gobernación en las direcciones </w:t>
      </w:r>
      <w:hyperlink w:history="1" r:id="rId10">
        <w:r w:rsidRPr="00860DB8">
          <w:rPr>
            <w:rFonts w:eastAsia="Times New Roman" w:cs="Tahoma"/>
            <w:bCs/>
            <w:iCs/>
            <w:color w:val="0000FF"/>
            <w:u w:val="single"/>
            <w:lang w:eastAsia="es-MX"/>
          </w:rPr>
          <w:t>https://consultas.curp.gob.mx/CurpSP/html/informacionecurpPS.html</w:t>
        </w:r>
      </w:hyperlink>
      <w:r w:rsidRPr="00860DB8">
        <w:rPr>
          <w:rFonts w:eastAsia="Times New Roman" w:cs="Tahoma"/>
          <w:bCs/>
          <w:iCs/>
          <w:color w:val="auto"/>
          <w:lang w:eastAsia="es-MX"/>
        </w:rPr>
        <w:t xml:space="preserve"> y </w:t>
      </w:r>
      <w:hyperlink w:history="1" r:id="rId11">
        <w:r w:rsidRPr="00860DB8">
          <w:rPr>
            <w:rFonts w:eastAsia="Times New Roman" w:cs="Tahoma"/>
            <w:bCs/>
            <w:iCs/>
            <w:color w:val="0000FF"/>
            <w:u w:val="single"/>
            <w:lang w:eastAsia="es-MX"/>
          </w:rPr>
          <w:t>https://www.gob.mx/segob/renapo/acciones-y-programas/clave-unica-de-registro-de-poblacion-curp-142226</w:t>
        </w:r>
      </w:hyperlink>
      <w:r w:rsidRPr="00860DB8">
        <w:rPr>
          <w:rFonts w:eastAsia="Times New Roman" w:cs="Tahoma"/>
          <w:bCs/>
          <w:iCs/>
          <w:color w:val="auto"/>
          <w:lang w:eastAsia="es-MX"/>
        </w:rPr>
        <w:t xml:space="preserve"> (consultadas el diecinueve de agosto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860DB8">
        <w:rPr>
          <w:rFonts w:eastAsia="Times New Roman" w:cs="Tahoma"/>
          <w:b/>
          <w:bCs/>
          <w:iCs/>
          <w:color w:val="auto"/>
          <w:lang w:eastAsia="es-MX"/>
        </w:rPr>
        <w:t>se generan a partir de los datos contenidos en el documento probatorio de la identidad</w:t>
      </w:r>
      <w:r w:rsidRPr="00860DB8">
        <w:rPr>
          <w:rFonts w:eastAsia="Times New Roman" w:cs="Tahoma"/>
          <w:bCs/>
          <w:iCs/>
          <w:color w:val="auto"/>
          <w:lang w:eastAsia="es-MX"/>
        </w:rPr>
        <w:t xml:space="preserve"> </w:t>
      </w:r>
      <w:r w:rsidRPr="00860DB8">
        <w:rPr>
          <w:rFonts w:eastAsia="Times New Roman" w:cs="Tahoma"/>
          <w:b/>
          <w:bCs/>
          <w:iCs/>
          <w:color w:val="auto"/>
          <w:lang w:eastAsia="es-MX"/>
        </w:rPr>
        <w:t xml:space="preserve">del interesado </w:t>
      </w:r>
      <w:r w:rsidRPr="00860DB8">
        <w:rPr>
          <w:rFonts w:eastAsia="Times New Roman" w:cs="Tahoma"/>
          <w:bCs/>
          <w:iCs/>
          <w:color w:val="auto"/>
          <w:lang w:eastAsia="es-MX"/>
        </w:rPr>
        <w:t>(acta de nacimiento, carta de naturalización o documento migratorio) de la siguiente forma:</w:t>
      </w:r>
    </w:p>
    <w:p w:rsidRPr="00860DB8" w:rsidR="00057880" w:rsidP="00057880" w:rsidRDefault="00057880" w14:paraId="10CBAD79" w14:textId="77777777">
      <w:pPr>
        <w:spacing w:after="0" w:line="360" w:lineRule="auto"/>
        <w:rPr>
          <w:rFonts w:eastAsia="Times New Roman" w:cs="Tahoma"/>
          <w:bCs/>
          <w:iCs/>
          <w:color w:val="auto"/>
          <w:lang w:eastAsia="es-MX"/>
        </w:rPr>
      </w:pPr>
    </w:p>
    <w:p w:rsidRPr="00860DB8" w:rsidR="00057880" w:rsidP="00057880" w:rsidRDefault="00057880" w14:paraId="70CABB3E" w14:textId="77777777">
      <w:pPr>
        <w:numPr>
          <w:ilvl w:val="0"/>
          <w:numId w:val="14"/>
        </w:numPr>
        <w:spacing w:after="0" w:line="360" w:lineRule="auto"/>
        <w:jc w:val="left"/>
        <w:rPr>
          <w:rFonts w:eastAsia="Times New Roman" w:cs="Tahoma"/>
          <w:bCs/>
          <w:iCs/>
          <w:color w:val="auto"/>
          <w:lang w:eastAsia="es-MX"/>
        </w:rPr>
      </w:pPr>
      <w:r w:rsidRPr="00860DB8">
        <w:rPr>
          <w:rFonts w:eastAsia="Times New Roman" w:cs="Tahoma"/>
          <w:bCs/>
          <w:iCs/>
          <w:color w:val="auto"/>
          <w:lang w:eastAsia="es-MX"/>
        </w:rPr>
        <w:t>El primero y segundo apellidos, así como al nombre de pila;</w:t>
      </w:r>
    </w:p>
    <w:p w:rsidRPr="00860DB8" w:rsidR="00057880" w:rsidP="00057880" w:rsidRDefault="00057880" w14:paraId="2C7E33E2" w14:textId="77777777">
      <w:pPr>
        <w:numPr>
          <w:ilvl w:val="0"/>
          <w:numId w:val="14"/>
        </w:numPr>
        <w:spacing w:after="0" w:line="360" w:lineRule="auto"/>
        <w:jc w:val="left"/>
        <w:rPr>
          <w:rFonts w:eastAsia="Times New Roman" w:cs="Tahoma"/>
          <w:bCs/>
          <w:iCs/>
          <w:color w:val="auto"/>
          <w:lang w:eastAsia="es-MX"/>
        </w:rPr>
      </w:pPr>
      <w:r w:rsidRPr="00860DB8">
        <w:rPr>
          <w:rFonts w:eastAsia="Times New Roman" w:cs="Tahoma"/>
          <w:bCs/>
          <w:iCs/>
          <w:color w:val="auto"/>
          <w:lang w:eastAsia="es-MX"/>
        </w:rPr>
        <w:t>La fecha de nacimiento;</w:t>
      </w:r>
    </w:p>
    <w:p w:rsidRPr="00860DB8" w:rsidR="00057880" w:rsidP="00057880" w:rsidRDefault="00057880" w14:paraId="00993069" w14:textId="77777777">
      <w:pPr>
        <w:numPr>
          <w:ilvl w:val="0"/>
          <w:numId w:val="14"/>
        </w:numPr>
        <w:spacing w:after="0" w:line="360" w:lineRule="auto"/>
        <w:jc w:val="left"/>
        <w:rPr>
          <w:rFonts w:eastAsia="Times New Roman" w:cs="Tahoma"/>
          <w:bCs/>
          <w:iCs/>
          <w:color w:val="auto"/>
          <w:lang w:eastAsia="es-MX"/>
        </w:rPr>
      </w:pPr>
      <w:r w:rsidRPr="00860DB8">
        <w:rPr>
          <w:rFonts w:eastAsia="Times New Roman" w:cs="Tahoma"/>
          <w:bCs/>
          <w:iCs/>
          <w:color w:val="auto"/>
          <w:lang w:eastAsia="es-MX"/>
        </w:rPr>
        <w:t>El sexo, y</w:t>
      </w:r>
    </w:p>
    <w:p w:rsidRPr="00860DB8" w:rsidR="00057880" w:rsidP="00057880" w:rsidRDefault="00057880" w14:paraId="0FE2CE51" w14:textId="77777777">
      <w:pPr>
        <w:numPr>
          <w:ilvl w:val="0"/>
          <w:numId w:val="14"/>
        </w:numPr>
        <w:spacing w:after="0" w:line="360" w:lineRule="auto"/>
        <w:jc w:val="left"/>
        <w:rPr>
          <w:rFonts w:eastAsia="Times New Roman" w:cs="Tahoma"/>
          <w:bCs/>
          <w:iCs/>
          <w:color w:val="auto"/>
          <w:lang w:eastAsia="es-MX"/>
        </w:rPr>
      </w:pPr>
      <w:r w:rsidRPr="00860DB8">
        <w:rPr>
          <w:rFonts w:eastAsia="Times New Roman" w:cs="Tahoma"/>
          <w:bCs/>
          <w:iCs/>
          <w:color w:val="auto"/>
          <w:lang w:eastAsia="es-MX"/>
        </w:rPr>
        <w:t>La entidad federativa de nacimiento.</w:t>
      </w:r>
    </w:p>
    <w:p w:rsidRPr="00860DB8" w:rsidR="00057880" w:rsidP="00057880" w:rsidRDefault="00057880" w14:paraId="0B11A650" w14:textId="77777777">
      <w:pPr>
        <w:spacing w:after="0" w:line="360" w:lineRule="auto"/>
        <w:rPr>
          <w:rFonts w:eastAsia="Times New Roman" w:cs="Tahoma"/>
          <w:bCs/>
          <w:iCs/>
          <w:color w:val="auto"/>
          <w:lang w:eastAsia="es-MX"/>
        </w:rPr>
      </w:pPr>
    </w:p>
    <w:p w:rsidRPr="00860DB8" w:rsidR="00057880" w:rsidP="00057880" w:rsidRDefault="00057880" w14:paraId="3F260279"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Los dos últimos elementos de la Clave Única de Registro de Población evitan la duplicidad de la Clave y garantizan su correcta integración.</w:t>
      </w:r>
    </w:p>
    <w:p w:rsidRPr="00860DB8" w:rsidR="00057880" w:rsidP="00057880" w:rsidRDefault="00057880" w14:paraId="3039AF04" w14:textId="77777777">
      <w:pPr>
        <w:spacing w:after="0" w:line="360" w:lineRule="auto"/>
        <w:rPr>
          <w:rFonts w:eastAsia="Times New Roman" w:cs="Tahoma"/>
          <w:bCs/>
          <w:iCs/>
          <w:color w:val="auto"/>
          <w:lang w:eastAsia="es-MX"/>
        </w:rPr>
      </w:pPr>
    </w:p>
    <w:p w:rsidRPr="00860DB8" w:rsidR="00057880" w:rsidP="00057880" w:rsidRDefault="00057880" w14:paraId="2FFC0086"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860DB8" w:rsidR="00057880" w:rsidP="00057880" w:rsidRDefault="00057880" w14:paraId="71ACE6E0" w14:textId="77777777">
      <w:pPr>
        <w:spacing w:after="0" w:line="360" w:lineRule="auto"/>
        <w:rPr>
          <w:rFonts w:eastAsia="Times New Roman" w:cs="Tahoma"/>
          <w:bCs/>
          <w:iCs/>
          <w:color w:val="auto"/>
          <w:lang w:eastAsia="es-MX"/>
        </w:rPr>
      </w:pPr>
    </w:p>
    <w:p w:rsidRPr="00860DB8" w:rsidR="00057880" w:rsidP="00057880" w:rsidRDefault="00057880" w14:paraId="1122032F"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 xml:space="preserve">Situación que se robustece, con el Criterio </w:t>
      </w:r>
      <w:r w:rsidRPr="00860DB8">
        <w:rPr>
          <w:rFonts w:eastAsia="Calibri" w:cs="Tahoma"/>
          <w:bCs/>
          <w:color w:val="auto"/>
        </w:rPr>
        <w:t>SO/018/2017</w:t>
      </w:r>
      <w:r w:rsidRPr="00860DB8">
        <w:rPr>
          <w:rFonts w:eastAsia="Times New Roman" w:cs="Tahoma"/>
          <w:bCs/>
          <w:iCs/>
          <w:color w:val="auto"/>
          <w:lang w:eastAsia="es-MX"/>
        </w:rPr>
        <w:t>, emitido por el Instituto Nacional de Transparencia, Acceso a la Información y Protección de Datos Personales, que establece lo siguiente:</w:t>
      </w:r>
    </w:p>
    <w:p w:rsidRPr="00860DB8" w:rsidR="00057880" w:rsidP="00057880" w:rsidRDefault="00057880" w14:paraId="60E0D373" w14:textId="77777777">
      <w:pPr>
        <w:spacing w:after="0" w:line="360" w:lineRule="auto"/>
        <w:rPr>
          <w:rFonts w:eastAsia="Times New Roman" w:cs="Tahoma"/>
          <w:bCs/>
          <w:iCs/>
          <w:color w:val="auto"/>
          <w:lang w:eastAsia="es-MX"/>
        </w:rPr>
      </w:pPr>
    </w:p>
    <w:p w:rsidRPr="00860DB8" w:rsidR="00057880" w:rsidP="00057880" w:rsidRDefault="00057880" w14:paraId="2C1CD784" w14:textId="77777777">
      <w:pPr>
        <w:spacing w:after="0" w:line="360" w:lineRule="auto"/>
        <w:ind w:left="567" w:right="567"/>
        <w:rPr>
          <w:rFonts w:eastAsia="Times New Roman" w:cs="Tahoma"/>
          <w:bCs/>
          <w:i/>
          <w:iCs/>
          <w:color w:val="auto"/>
          <w:sz w:val="20"/>
          <w:szCs w:val="20"/>
          <w:lang w:eastAsia="es-MX"/>
        </w:rPr>
      </w:pPr>
      <w:r w:rsidRPr="00860DB8">
        <w:rPr>
          <w:rFonts w:eastAsia="Times New Roman" w:cs="Tahoma"/>
          <w:b/>
          <w:bCs/>
          <w:i/>
          <w:iCs/>
          <w:color w:val="auto"/>
          <w:sz w:val="20"/>
          <w:szCs w:val="20"/>
          <w:lang w:eastAsia="es-MX"/>
        </w:rPr>
        <w:t xml:space="preserve">“Clave Única de Registro de Población (CURP). </w:t>
      </w:r>
      <w:r w:rsidRPr="00860DB8">
        <w:rPr>
          <w:rFonts w:eastAsia="Times New Roman" w:cs="Tahoma"/>
          <w:bCs/>
          <w:i/>
          <w:iCs/>
          <w:color w:val="auto"/>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860DB8" w:rsidR="00057880" w:rsidP="00057880" w:rsidRDefault="00057880" w14:paraId="6984BCA4" w14:textId="77777777">
      <w:pPr>
        <w:spacing w:after="0" w:line="360" w:lineRule="auto"/>
        <w:rPr>
          <w:rFonts w:eastAsia="Times New Roman" w:cs="Tahoma"/>
          <w:bCs/>
          <w:i/>
          <w:iCs/>
          <w:color w:val="auto"/>
          <w:lang w:eastAsia="es-MX"/>
        </w:rPr>
      </w:pPr>
    </w:p>
    <w:p w:rsidRPr="00860DB8" w:rsidR="00057880" w:rsidP="00057880" w:rsidRDefault="00057880" w14:paraId="2445C9AE"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lastRenderedPageBreak/>
        <w:t xml:space="preserve">De acuerdo con lo anterior, resulta procedente la clasificación de </w:t>
      </w:r>
      <w:r w:rsidRPr="00860DB8">
        <w:rPr>
          <w:rFonts w:eastAsia="Times New Roman" w:cs="Tahoma"/>
          <w:b/>
          <w:bCs/>
          <w:iCs/>
          <w:color w:val="auto"/>
          <w:lang w:eastAsia="es-MX"/>
        </w:rPr>
        <w:t>la Clave Única de Registro de Población</w:t>
      </w:r>
      <w:r w:rsidRPr="00860DB8">
        <w:rPr>
          <w:rFonts w:eastAsia="Times New Roman" w:cs="Tahoma"/>
          <w:bCs/>
          <w:iCs/>
          <w:color w:val="auto"/>
          <w:lang w:eastAsia="es-MX"/>
        </w:rPr>
        <w:t xml:space="preserve">, por tratarse de un dato personal confidencial, en términos del artículo 143, fracción I, de la Ley de Transparencia y Acceso a la Información Pública del Estado de México y Municipios. </w:t>
      </w:r>
    </w:p>
    <w:p w:rsidRPr="00860DB8" w:rsidR="00057880" w:rsidP="00057880" w:rsidRDefault="00057880" w14:paraId="2456D37B" w14:textId="77777777">
      <w:pPr>
        <w:spacing w:after="0" w:line="360" w:lineRule="auto"/>
        <w:rPr>
          <w:rFonts w:eastAsia="Times New Roman" w:cs="Tahoma"/>
          <w:bCs/>
          <w:iCs/>
          <w:color w:val="auto"/>
          <w:lang w:val="es-ES" w:eastAsia="es-MX"/>
        </w:rPr>
      </w:pPr>
    </w:p>
    <w:p w:rsidRPr="00860DB8" w:rsidR="00057880" w:rsidP="00057880" w:rsidRDefault="00057880" w14:paraId="31FBE329" w14:textId="77777777">
      <w:pPr>
        <w:numPr>
          <w:ilvl w:val="0"/>
          <w:numId w:val="13"/>
        </w:numPr>
        <w:spacing w:after="0" w:line="360" w:lineRule="auto"/>
        <w:jc w:val="left"/>
        <w:rPr>
          <w:rFonts w:eastAsia="Times New Roman" w:cs="Tahoma"/>
          <w:b/>
          <w:bCs/>
          <w:iCs/>
          <w:color w:val="auto"/>
          <w:lang w:val="es-ES_tradnl" w:eastAsia="es-MX"/>
        </w:rPr>
      </w:pPr>
      <w:r w:rsidRPr="00860DB8">
        <w:rPr>
          <w:rFonts w:eastAsia="Times New Roman" w:cs="Tahoma"/>
          <w:b/>
          <w:bCs/>
          <w:iCs/>
          <w:color w:val="auto"/>
          <w:lang w:val="es-ES_tradnl" w:eastAsia="es-MX"/>
        </w:rPr>
        <w:t>Registro Federal de Contribuyentes (RFC).</w:t>
      </w:r>
    </w:p>
    <w:p w:rsidRPr="00860DB8" w:rsidR="00057880" w:rsidP="00057880" w:rsidRDefault="00057880" w14:paraId="27466EB1" w14:textId="77777777">
      <w:pPr>
        <w:spacing w:after="0" w:line="360" w:lineRule="auto"/>
        <w:rPr>
          <w:rFonts w:eastAsia="Times New Roman" w:cs="Tahoma"/>
          <w:bCs/>
          <w:iCs/>
          <w:color w:val="auto"/>
          <w:lang w:eastAsia="es-MX"/>
        </w:rPr>
      </w:pPr>
    </w:p>
    <w:p w:rsidRPr="00860DB8" w:rsidR="00057880" w:rsidP="00057880" w:rsidRDefault="00057880" w14:paraId="54114B20" w14:textId="77777777">
      <w:pPr>
        <w:spacing w:after="0" w:line="360" w:lineRule="auto"/>
        <w:rPr>
          <w:rFonts w:eastAsia="Times New Roman" w:cs="Tahoma"/>
          <w:b/>
          <w:iCs/>
          <w:color w:val="auto"/>
          <w:lang w:eastAsia="es-MX"/>
        </w:rPr>
      </w:pPr>
      <w:r w:rsidRPr="00860DB8">
        <w:rPr>
          <w:rFonts w:eastAsia="Times New Roman" w:cs="Tahoma"/>
          <w:b/>
          <w:iCs/>
          <w:color w:val="auto"/>
          <w:lang w:eastAsia="es-MX"/>
        </w:rPr>
        <w:t>Servidor Público.</w:t>
      </w:r>
    </w:p>
    <w:p w:rsidRPr="00860DB8" w:rsidR="00057880" w:rsidP="00057880" w:rsidRDefault="00057880" w14:paraId="367BE7C3" w14:textId="77777777">
      <w:pPr>
        <w:spacing w:after="0" w:line="360" w:lineRule="auto"/>
        <w:rPr>
          <w:rFonts w:eastAsia="Times New Roman" w:cs="Tahoma"/>
          <w:bCs/>
          <w:iCs/>
          <w:color w:val="auto"/>
          <w:lang w:eastAsia="es-MX"/>
        </w:rPr>
      </w:pPr>
    </w:p>
    <w:p w:rsidRPr="00860DB8" w:rsidR="00057880" w:rsidP="00057880" w:rsidRDefault="00057880" w14:paraId="4A76F536"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860DB8" w:rsidR="00057880" w:rsidP="00057880" w:rsidRDefault="00057880" w14:paraId="50A9FC7F" w14:textId="77777777">
      <w:pPr>
        <w:spacing w:after="0" w:line="360" w:lineRule="auto"/>
        <w:rPr>
          <w:rFonts w:eastAsia="Times New Roman" w:cs="Tahoma"/>
          <w:bCs/>
          <w:iCs/>
          <w:color w:val="auto"/>
          <w:lang w:eastAsia="es-MX"/>
        </w:rPr>
      </w:pPr>
    </w:p>
    <w:p w:rsidRPr="00860DB8" w:rsidR="00057880" w:rsidP="00057880" w:rsidRDefault="00057880" w14:paraId="244872D9"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860DB8" w:rsidR="00057880" w:rsidP="00057880" w:rsidRDefault="00057880" w14:paraId="0A6AB917" w14:textId="77777777">
      <w:pPr>
        <w:spacing w:after="0" w:line="360" w:lineRule="auto"/>
        <w:rPr>
          <w:rFonts w:eastAsia="Times New Roman" w:cs="Tahoma"/>
          <w:bCs/>
          <w:iCs/>
          <w:color w:val="auto"/>
          <w:lang w:eastAsia="es-MX"/>
        </w:rPr>
      </w:pPr>
    </w:p>
    <w:p w:rsidRPr="00860DB8" w:rsidR="00057880" w:rsidP="00057880" w:rsidRDefault="00057880" w14:paraId="3B4B5B0E"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860DB8" w:rsidR="00057880" w:rsidP="00057880" w:rsidRDefault="00057880" w14:paraId="54F10EA9" w14:textId="77777777">
      <w:pPr>
        <w:spacing w:after="0" w:line="360" w:lineRule="auto"/>
        <w:rPr>
          <w:rFonts w:eastAsia="Times New Roman" w:cs="Tahoma"/>
          <w:bCs/>
          <w:iCs/>
          <w:color w:val="auto"/>
          <w:lang w:eastAsia="es-MX"/>
        </w:rPr>
      </w:pPr>
    </w:p>
    <w:p w:rsidRPr="00860DB8" w:rsidR="00057880" w:rsidP="00057880" w:rsidRDefault="00057880" w14:paraId="3ECC5CC9"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lastRenderedPageBreak/>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860DB8" w:rsidR="00057880" w:rsidP="00057880" w:rsidRDefault="00057880" w14:paraId="41105A5E" w14:textId="77777777">
      <w:pPr>
        <w:spacing w:after="0" w:line="360" w:lineRule="auto"/>
        <w:rPr>
          <w:rFonts w:eastAsia="Times New Roman" w:cs="Tahoma"/>
          <w:bCs/>
          <w:iCs/>
          <w:color w:val="auto"/>
          <w:lang w:eastAsia="es-MX"/>
        </w:rPr>
      </w:pPr>
    </w:p>
    <w:p w:rsidRPr="00860DB8" w:rsidR="00057880" w:rsidP="00057880" w:rsidRDefault="00057880" w14:paraId="2B67AFB3"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 xml:space="preserve">Lo anterior, resulta congruente con el Criterio </w:t>
      </w:r>
      <w:r w:rsidRPr="00860DB8">
        <w:rPr>
          <w:rFonts w:eastAsia="Calibri" w:cs="Tahoma"/>
          <w:bCs/>
          <w:color w:val="auto"/>
        </w:rPr>
        <w:t xml:space="preserve">SO/019/2017, </w:t>
      </w:r>
      <w:r w:rsidRPr="00860DB8">
        <w:rPr>
          <w:rFonts w:eastAsia="Times New Roman" w:cs="Tahoma"/>
          <w:bCs/>
          <w:iCs/>
          <w:color w:val="auto"/>
          <w:lang w:eastAsia="es-MX"/>
        </w:rPr>
        <w:t>emitido por el Instituto Nacional de Transparencia, Acceso a la Información y Protección de Datos Personales, en el cual se señala lo siguiente:</w:t>
      </w:r>
    </w:p>
    <w:p w:rsidRPr="00860DB8" w:rsidR="00057880" w:rsidP="00057880" w:rsidRDefault="00057880" w14:paraId="43CC40EA" w14:textId="77777777">
      <w:pPr>
        <w:spacing w:after="0" w:line="360" w:lineRule="auto"/>
        <w:rPr>
          <w:rFonts w:eastAsia="Times New Roman" w:cs="Tahoma"/>
          <w:bCs/>
          <w:iCs/>
          <w:color w:val="auto"/>
          <w:lang w:eastAsia="es-MX"/>
        </w:rPr>
      </w:pPr>
    </w:p>
    <w:p w:rsidRPr="00860DB8" w:rsidR="00057880" w:rsidP="00057880" w:rsidRDefault="00057880" w14:paraId="0DE33783" w14:textId="77777777">
      <w:pPr>
        <w:spacing w:after="0" w:line="360" w:lineRule="auto"/>
        <w:ind w:left="567" w:right="567"/>
        <w:rPr>
          <w:rFonts w:eastAsia="Times New Roman" w:cs="Tahoma"/>
          <w:bCs/>
          <w:i/>
          <w:iCs/>
          <w:color w:val="auto"/>
          <w:sz w:val="20"/>
          <w:szCs w:val="20"/>
          <w:lang w:eastAsia="es-MX"/>
        </w:rPr>
      </w:pPr>
      <w:r w:rsidRPr="00860DB8">
        <w:rPr>
          <w:rFonts w:eastAsia="Times New Roman" w:cs="Tahoma"/>
          <w:b/>
          <w:bCs/>
          <w:i/>
          <w:iCs/>
          <w:color w:val="auto"/>
          <w:sz w:val="20"/>
          <w:szCs w:val="20"/>
          <w:lang w:eastAsia="es-MX"/>
        </w:rPr>
        <w:t>“Registro Federal de Contribuyentes (RFC) de personas físicas.</w:t>
      </w:r>
      <w:r w:rsidRPr="00860DB8">
        <w:rPr>
          <w:rFonts w:eastAsia="Times New Roman" w:cs="Tahoma"/>
          <w:bCs/>
          <w:i/>
          <w:iCs/>
          <w:color w:val="auto"/>
          <w:sz w:val="20"/>
          <w:szCs w:val="20"/>
          <w:lang w:eastAsia="es-MX"/>
        </w:rPr>
        <w:t xml:space="preserve"> El RFC es una clave de carácter fiscal, única e irrepetible, que permite identificar al titular, su edad y fecha de nacimiento, por lo que es un dato personal de carácter confidencial.”</w:t>
      </w:r>
    </w:p>
    <w:p w:rsidRPr="00860DB8" w:rsidR="00057880" w:rsidP="00057880" w:rsidRDefault="00057880" w14:paraId="60D562A5" w14:textId="77777777">
      <w:pPr>
        <w:spacing w:after="0" w:line="360" w:lineRule="auto"/>
        <w:rPr>
          <w:rFonts w:eastAsia="Times New Roman" w:cs="Tahoma"/>
          <w:bCs/>
          <w:iCs/>
          <w:color w:val="auto"/>
          <w:lang w:eastAsia="es-MX"/>
        </w:rPr>
      </w:pPr>
    </w:p>
    <w:p w:rsidRPr="00860DB8" w:rsidR="00057880" w:rsidP="00057880" w:rsidRDefault="00057880" w14:paraId="75364DC6"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860DB8" w:rsidR="00057880" w:rsidP="00057880" w:rsidRDefault="00057880" w14:paraId="3F528C1B" w14:textId="77777777">
      <w:pPr>
        <w:spacing w:after="0" w:line="360" w:lineRule="auto"/>
        <w:rPr>
          <w:rFonts w:eastAsia="Times New Roman" w:cs="Tahoma"/>
          <w:bCs/>
          <w:iCs/>
          <w:color w:val="auto"/>
          <w:lang w:eastAsia="es-MX"/>
        </w:rPr>
      </w:pPr>
    </w:p>
    <w:p w:rsidRPr="00860DB8" w:rsidR="00057880" w:rsidP="00057880" w:rsidRDefault="00057880" w14:paraId="5CD5C64B" w14:textId="77777777">
      <w:pPr>
        <w:spacing w:after="0" w:line="360" w:lineRule="auto"/>
        <w:rPr>
          <w:rFonts w:eastAsia="Times New Roman" w:cs="Tahoma"/>
          <w:b/>
          <w:iCs/>
          <w:color w:val="auto"/>
          <w:lang w:eastAsia="es-MX"/>
        </w:rPr>
      </w:pPr>
      <w:r w:rsidRPr="00860DB8">
        <w:rPr>
          <w:rFonts w:eastAsia="Times New Roman" w:cs="Tahoma"/>
          <w:b/>
          <w:iCs/>
          <w:color w:val="auto"/>
          <w:lang w:eastAsia="es-MX"/>
        </w:rPr>
        <w:t>Sujeto Obligado.</w:t>
      </w:r>
    </w:p>
    <w:p w:rsidRPr="00860DB8" w:rsidR="00057880" w:rsidP="00057880" w:rsidRDefault="00057880" w14:paraId="102506F6" w14:textId="77777777">
      <w:pPr>
        <w:spacing w:after="0" w:line="360" w:lineRule="auto"/>
        <w:rPr>
          <w:rFonts w:eastAsia="Times New Roman" w:cs="Tahoma"/>
          <w:bCs/>
          <w:iCs/>
          <w:color w:val="auto"/>
          <w:lang w:eastAsia="es-MX"/>
        </w:rPr>
      </w:pPr>
    </w:p>
    <w:p w:rsidRPr="00860DB8" w:rsidR="00057880" w:rsidP="00057880" w:rsidRDefault="00057880" w14:paraId="7788CB6E" w14:textId="03F02F41">
      <w:pPr>
        <w:spacing w:after="0" w:line="360" w:lineRule="auto"/>
        <w:rPr>
          <w:rFonts w:eastAsia="Times New Roman" w:cs="Tahoma"/>
          <w:bCs/>
          <w:color w:val="auto"/>
          <w:szCs w:val="24"/>
          <w:lang w:eastAsia="es-ES"/>
        </w:rPr>
      </w:pPr>
      <w:r w:rsidRPr="00860DB8">
        <w:rPr>
          <w:rFonts w:eastAsia="Times New Roman" w:cs="Tahoma"/>
          <w:bCs/>
          <w:color w:val="auto"/>
          <w:szCs w:val="24"/>
          <w:lang w:eastAsia="es-ES"/>
        </w:rPr>
        <w:t xml:space="preserve">En principio, debe considerarse que el </w:t>
      </w:r>
      <w:r w:rsidRPr="00860DB8" w:rsidR="0051317D">
        <w:rPr>
          <w:rFonts w:eastAsia="Times New Roman" w:cs="Tahoma"/>
          <w:bCs/>
          <w:color w:val="auto"/>
          <w:szCs w:val="24"/>
          <w:lang w:eastAsia="es-ES"/>
        </w:rPr>
        <w:t xml:space="preserve">Ayuntamiento de </w:t>
      </w:r>
      <w:proofErr w:type="spellStart"/>
      <w:r w:rsidRPr="00860DB8" w:rsidR="0051317D">
        <w:rPr>
          <w:rFonts w:eastAsia="Times New Roman" w:cs="Tahoma"/>
          <w:bCs/>
          <w:color w:val="auto"/>
          <w:szCs w:val="24"/>
          <w:lang w:eastAsia="es-ES"/>
        </w:rPr>
        <w:t>Jilotzingo</w:t>
      </w:r>
      <w:proofErr w:type="spellEnd"/>
      <w:r w:rsidRPr="00860DB8">
        <w:rPr>
          <w:rFonts w:eastAsia="Times New Roman" w:cs="Tahoma"/>
          <w:bCs/>
          <w:color w:val="auto"/>
          <w:szCs w:val="24"/>
          <w:lang w:eastAsia="es-ES"/>
        </w:rPr>
        <w:t xml:space="preserve"> es una institución pública que opera con recursos de dicha naturaleza; por lo que, </w:t>
      </w:r>
      <w:r w:rsidRPr="00860DB8">
        <w:rPr>
          <w:rFonts w:eastAsia="Times New Roman" w:cs="Tahoma"/>
          <w:b/>
          <w:bCs/>
          <w:color w:val="auto"/>
          <w:szCs w:val="24"/>
          <w:lang w:eastAsia="es-ES"/>
        </w:rPr>
        <w:t>su Registro Federal del Contribuyente no es susceptible de ser clasificado</w:t>
      </w:r>
      <w:r w:rsidRPr="00860DB8">
        <w:rPr>
          <w:rFonts w:eastAsia="Times New Roman" w:cs="Tahoma"/>
          <w:bCs/>
          <w:color w:val="auto"/>
          <w:szCs w:val="24"/>
          <w:lang w:eastAsia="es-ES"/>
        </w:rPr>
        <w:t xml:space="preserve">, pues constituye la clave con la que efectúa operaciones fiscales para el buen desempeño de las funciones normativas que tiene </w:t>
      </w:r>
      <w:r w:rsidRPr="00860DB8">
        <w:rPr>
          <w:rFonts w:eastAsia="Times New Roman" w:cs="Tahoma"/>
          <w:bCs/>
          <w:color w:val="auto"/>
          <w:szCs w:val="24"/>
          <w:lang w:eastAsia="es-ES"/>
        </w:rPr>
        <w:lastRenderedPageBreak/>
        <w:t>encomendadas, aunado a que estas no se realizan en el ámbito de lo privado, sino que deben someterse al escrutinio público, con la finalidad de que la ciudadanía en general pueda ejercer su derecho fiscalizador sobre dichas instituciones.</w:t>
      </w:r>
    </w:p>
    <w:p w:rsidRPr="00860DB8" w:rsidR="00057880" w:rsidP="00057880" w:rsidRDefault="00057880" w14:paraId="55F1206A" w14:textId="77777777">
      <w:pPr>
        <w:spacing w:after="0" w:line="360" w:lineRule="auto"/>
        <w:rPr>
          <w:rFonts w:eastAsia="Times New Roman" w:cs="Tahoma"/>
          <w:bCs/>
          <w:color w:val="auto"/>
          <w:szCs w:val="24"/>
          <w:lang w:eastAsia="es-ES"/>
        </w:rPr>
      </w:pPr>
    </w:p>
    <w:p w:rsidRPr="00860DB8" w:rsidR="00057880" w:rsidP="00057880" w:rsidRDefault="00057880" w14:paraId="1E755A40" w14:textId="77777777">
      <w:pPr>
        <w:spacing w:after="0" w:line="360" w:lineRule="auto"/>
        <w:rPr>
          <w:rFonts w:eastAsia="Times New Roman" w:cs="Tahoma"/>
          <w:bCs/>
          <w:color w:val="auto"/>
          <w:szCs w:val="24"/>
          <w:lang w:eastAsia="es-ES"/>
        </w:rPr>
      </w:pPr>
      <w:r w:rsidRPr="00860DB8">
        <w:rPr>
          <w:rFonts w:eastAsia="Times New Roman" w:cs="Tahoma"/>
          <w:bCs/>
          <w:color w:val="auto"/>
          <w:szCs w:val="24"/>
          <w:lang w:eastAsia="es-ES"/>
        </w:rPr>
        <w:t xml:space="preserve">Además, dicha situación se robustece, con el Criterio </w:t>
      </w:r>
      <w:r w:rsidRPr="00860DB8">
        <w:rPr>
          <w:rFonts w:eastAsia="Calibri" w:cs="Tahoma"/>
          <w:bCs/>
          <w:color w:val="auto"/>
        </w:rPr>
        <w:t xml:space="preserve">SO/011/2017, </w:t>
      </w:r>
      <w:r w:rsidRPr="00860DB8">
        <w:rPr>
          <w:rFonts w:eastAsia="Times New Roman" w:cs="Tahoma"/>
          <w:bCs/>
          <w:color w:val="auto"/>
          <w:szCs w:val="24"/>
          <w:lang w:eastAsia="es-ES"/>
        </w:rPr>
        <w:t>del Instituto Nacional de Transparencia, Acceso a la Información y Protección de Datos Personales, que establece que la información que dé cuenta de la forma en que se administran los recursos públicos de los Sujetos Obligados, favorece a la rendición de cuentas de dichas instituciones; por lo que,</w:t>
      </w:r>
      <w:r w:rsidRPr="00860DB8">
        <w:rPr>
          <w:rFonts w:eastAsia="Times New Roman" w:cs="Tahoma"/>
          <w:color w:val="auto"/>
          <w:szCs w:val="24"/>
          <w:lang w:eastAsia="es-ES"/>
        </w:rPr>
        <w:t xml:space="preserve"> toda vez que el Ente Recurrido utiliza el dato en análisis, para acreditar ante el Servicio de Administración Tributaria, la utilización de recursos públicos, se concluye que no procede su clasificación, en términos del artículo 143, fracción I de la Ley de la materia.</w:t>
      </w:r>
    </w:p>
    <w:p w:rsidRPr="00860DB8" w:rsidR="00057880" w:rsidP="00057880" w:rsidRDefault="00057880" w14:paraId="171417A1" w14:textId="77777777">
      <w:pPr>
        <w:spacing w:after="0" w:line="360" w:lineRule="auto"/>
        <w:rPr>
          <w:rFonts w:eastAsia="Times New Roman" w:cs="Tahoma"/>
          <w:bCs/>
          <w:iCs/>
          <w:color w:val="auto"/>
          <w:lang w:eastAsia="es-MX"/>
        </w:rPr>
      </w:pPr>
    </w:p>
    <w:p w:rsidRPr="00860DB8" w:rsidR="00057880" w:rsidP="00057880" w:rsidRDefault="00057880" w14:paraId="78DB2ED0" w14:textId="77777777">
      <w:pPr>
        <w:numPr>
          <w:ilvl w:val="0"/>
          <w:numId w:val="13"/>
        </w:numPr>
        <w:spacing w:after="0" w:line="360" w:lineRule="auto"/>
        <w:jc w:val="left"/>
        <w:rPr>
          <w:rFonts w:eastAsia="Calibri" w:cs="Tahoma"/>
          <w:b/>
          <w:bCs/>
          <w:iCs/>
          <w:color w:val="auto"/>
        </w:rPr>
      </w:pPr>
      <w:r w:rsidRPr="00860DB8">
        <w:rPr>
          <w:rFonts w:eastAsia="Calibri" w:cs="Tahoma"/>
          <w:b/>
          <w:bCs/>
          <w:iCs/>
          <w:color w:val="auto"/>
        </w:rPr>
        <w:t xml:space="preserve">Código bidimensional o </w:t>
      </w:r>
      <w:proofErr w:type="spellStart"/>
      <w:r w:rsidRPr="00860DB8">
        <w:rPr>
          <w:rFonts w:eastAsia="Calibri" w:cs="Tahoma"/>
          <w:b/>
          <w:bCs/>
          <w:iCs/>
          <w:color w:val="auto"/>
        </w:rPr>
        <w:t>Qr</w:t>
      </w:r>
      <w:proofErr w:type="spellEnd"/>
      <w:r w:rsidRPr="00860DB8">
        <w:rPr>
          <w:rFonts w:eastAsia="Calibri" w:cs="Tahoma"/>
          <w:b/>
          <w:bCs/>
          <w:iCs/>
          <w:color w:val="auto"/>
        </w:rPr>
        <w:t>.</w:t>
      </w:r>
    </w:p>
    <w:p w:rsidRPr="00860DB8" w:rsidR="00057880" w:rsidP="00057880" w:rsidRDefault="00057880" w14:paraId="0B9FCBAA" w14:textId="77777777">
      <w:pPr>
        <w:spacing w:after="0" w:line="360" w:lineRule="auto"/>
        <w:rPr>
          <w:rFonts w:eastAsia="Calibri" w:cs="Tahoma"/>
          <w:b/>
          <w:bCs/>
          <w:iCs/>
          <w:color w:val="auto"/>
        </w:rPr>
      </w:pPr>
    </w:p>
    <w:p w:rsidRPr="00860DB8" w:rsidR="00057880" w:rsidP="00057880" w:rsidRDefault="00057880" w14:paraId="0C54F408" w14:textId="77777777">
      <w:pPr>
        <w:spacing w:after="0" w:line="360" w:lineRule="auto"/>
        <w:rPr>
          <w:rFonts w:eastAsia="Calibri" w:cs="Tahoma"/>
          <w:bCs/>
          <w:color w:val="auto"/>
        </w:rPr>
      </w:pPr>
      <w:r w:rsidRPr="00860DB8">
        <w:rPr>
          <w:rFonts w:eastAsia="Calibri" w:cs="Tahoma"/>
          <w:bCs/>
          <w:color w:val="auto"/>
        </w:rPr>
        <w:t xml:space="preserve">En principio, resulta necesario señalar que los comprobantes fiscales digitales por Internet, deben de incluir un código bidimensional conforme al formato </w:t>
      </w:r>
      <w:r w:rsidRPr="00860DB8">
        <w:rPr>
          <w:rFonts w:eastAsia="Calibri" w:cs="Tahoma"/>
          <w:bCs/>
          <w:i/>
          <w:color w:val="auto"/>
        </w:rPr>
        <w:t xml:space="preserve">QR </w:t>
      </w:r>
      <w:proofErr w:type="spellStart"/>
      <w:r w:rsidRPr="00860DB8">
        <w:rPr>
          <w:rFonts w:eastAsia="Calibri" w:cs="Tahoma"/>
          <w:bCs/>
          <w:i/>
          <w:color w:val="auto"/>
        </w:rPr>
        <w:t>Code</w:t>
      </w:r>
      <w:proofErr w:type="spellEnd"/>
      <w:r w:rsidRPr="00860DB8">
        <w:rPr>
          <w:rFonts w:eastAsia="Calibri" w:cs="Tahoma"/>
          <w:bCs/>
          <w:i/>
          <w:color w:val="auto"/>
        </w:rPr>
        <w:t xml:space="preserve"> (Quick Response </w:t>
      </w:r>
      <w:proofErr w:type="spellStart"/>
      <w:r w:rsidRPr="00860DB8">
        <w:rPr>
          <w:rFonts w:eastAsia="Calibri" w:cs="Tahoma"/>
          <w:bCs/>
          <w:i/>
          <w:color w:val="auto"/>
        </w:rPr>
        <w:t>Code</w:t>
      </w:r>
      <w:proofErr w:type="spellEnd"/>
      <w:r w:rsidRPr="00860DB8">
        <w:rPr>
          <w:rFonts w:eastAsia="Calibri" w:cs="Tahoma"/>
          <w:bCs/>
          <w:i/>
          <w:color w:val="auto"/>
        </w:rPr>
        <w:t>)</w:t>
      </w:r>
      <w:r w:rsidRPr="00860DB8">
        <w:rPr>
          <w:rFonts w:eastAsia="Calibri" w:cs="Tahoma"/>
          <w:bCs/>
          <w:color w:val="auto"/>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w:history="1" r:id="rId12">
        <w:r w:rsidRPr="00860DB8">
          <w:rPr>
            <w:rFonts w:eastAsia="Calibri" w:cs="Tahoma"/>
            <w:bCs/>
            <w:color w:val="0563C1"/>
            <w:u w:val="single"/>
          </w:rPr>
          <w:t>http://dof.gob.mx/nota_detalle.php?codigo=5492254&amp;fecha=28/07/2017</w:t>
        </w:r>
      </w:hyperlink>
      <w:r w:rsidRPr="00860DB8">
        <w:rPr>
          <w:rFonts w:eastAsia="Calibri" w:cs="Tahoma"/>
          <w:bCs/>
          <w:color w:val="auto"/>
        </w:rPr>
        <w:t>. Incluso con la captura de dicho código, a través de la aplicación móvil del Servicio de Administración Tributaria, permite el acceso al Registro Federal de Contribuyentes, como del Sujeto Obligado, como de los servidores públicos.</w:t>
      </w:r>
    </w:p>
    <w:p w:rsidRPr="00860DB8" w:rsidR="00057880" w:rsidP="00057880" w:rsidRDefault="00057880" w14:paraId="32227E05" w14:textId="77777777">
      <w:pPr>
        <w:spacing w:after="0" w:line="360" w:lineRule="auto"/>
        <w:rPr>
          <w:rFonts w:eastAsia="Calibri" w:cs="Tahoma"/>
          <w:bCs/>
          <w:color w:val="auto"/>
        </w:rPr>
      </w:pPr>
    </w:p>
    <w:p w:rsidRPr="00860DB8" w:rsidR="00057880" w:rsidP="00057880" w:rsidRDefault="00057880" w14:paraId="7049589C" w14:textId="77777777">
      <w:pPr>
        <w:spacing w:after="0" w:line="360" w:lineRule="auto"/>
        <w:rPr>
          <w:rFonts w:eastAsia="Calibri" w:cs="Tahoma"/>
          <w:bCs/>
          <w:color w:val="auto"/>
        </w:rPr>
      </w:pPr>
      <w:r w:rsidRPr="00860DB8">
        <w:rPr>
          <w:rFonts w:eastAsia="Calibri" w:cs="Tahoma"/>
          <w:bCs/>
          <w:color w:val="auto"/>
        </w:rPr>
        <w:t xml:space="preserve">De tales circunstancias, se considera que dicho dato actualiza la causal de clasificación prevista en el artículo 143, fracción I de la Ley de la materia, toda vez que da acceso al </w:t>
      </w:r>
      <w:r w:rsidRPr="00860DB8">
        <w:rPr>
          <w:rFonts w:eastAsia="Calibri" w:cs="Tahoma"/>
          <w:bCs/>
          <w:color w:val="auto"/>
        </w:rPr>
        <w:lastRenderedPageBreak/>
        <w:t>Registro Federal de Contribuyentes de los servidores públicos del Sujeto Obligado, datos que tal como se señaló previamente, son clasificados.</w:t>
      </w:r>
    </w:p>
    <w:p w:rsidRPr="00860DB8" w:rsidR="00057880" w:rsidP="00057880" w:rsidRDefault="00057880" w14:paraId="48D94DDC" w14:textId="77777777">
      <w:pPr>
        <w:spacing w:after="0" w:line="360" w:lineRule="auto"/>
        <w:rPr>
          <w:rFonts w:eastAsia="Calibri" w:cs="Tahoma"/>
          <w:bCs/>
          <w:color w:val="auto"/>
        </w:rPr>
      </w:pPr>
    </w:p>
    <w:p w:rsidRPr="00860DB8" w:rsidR="00057880" w:rsidP="00057880" w:rsidRDefault="00057880" w14:paraId="538CCE0F" w14:textId="77777777">
      <w:pPr>
        <w:numPr>
          <w:ilvl w:val="0"/>
          <w:numId w:val="13"/>
        </w:numPr>
        <w:spacing w:after="0" w:line="360" w:lineRule="auto"/>
        <w:rPr>
          <w:rFonts w:eastAsia="Times New Roman" w:cs="Tahoma"/>
          <w:b/>
          <w:bCs/>
          <w:iCs/>
          <w:color w:val="auto"/>
          <w:lang w:eastAsia="es-MX"/>
        </w:rPr>
      </w:pPr>
      <w:r w:rsidRPr="00860DB8">
        <w:rPr>
          <w:rFonts w:eastAsia="Times New Roman" w:cs="Tahoma"/>
          <w:b/>
          <w:bCs/>
          <w:iCs/>
          <w:color w:val="auto"/>
          <w:lang w:eastAsia="es-MX"/>
        </w:rPr>
        <w:t>Número de seguridad social del Instituto de Seguridad Social del Estado de México y Municipios.</w:t>
      </w:r>
    </w:p>
    <w:p w:rsidRPr="00860DB8" w:rsidR="00057880" w:rsidP="00057880" w:rsidRDefault="00057880" w14:paraId="5BC9E6D2" w14:textId="77777777">
      <w:pPr>
        <w:spacing w:after="0" w:line="360" w:lineRule="auto"/>
        <w:rPr>
          <w:rFonts w:eastAsia="Times New Roman" w:cs="Tahoma"/>
          <w:b/>
          <w:bCs/>
          <w:iCs/>
          <w:color w:val="auto"/>
          <w:lang w:eastAsia="es-MX"/>
        </w:rPr>
      </w:pPr>
    </w:p>
    <w:p w:rsidRPr="00860DB8" w:rsidR="00057880" w:rsidP="00057880" w:rsidRDefault="00057880" w14:paraId="6BA8EA2B"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860DB8" w:rsidR="00057880" w:rsidP="00057880" w:rsidRDefault="00057880" w14:paraId="4A2C5255" w14:textId="77777777">
      <w:pPr>
        <w:spacing w:after="0" w:line="360" w:lineRule="auto"/>
        <w:rPr>
          <w:rFonts w:eastAsia="Times New Roman" w:cs="Tahoma"/>
          <w:bCs/>
          <w:iCs/>
          <w:color w:val="auto"/>
          <w:lang w:eastAsia="es-MX"/>
        </w:rPr>
      </w:pPr>
    </w:p>
    <w:p w:rsidRPr="00860DB8" w:rsidR="00057880" w:rsidP="00057880" w:rsidRDefault="00057880" w14:paraId="215F5123"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860DB8">
        <w:rPr>
          <w:rFonts w:eastAsia="Times New Roman" w:cs="Tahoma"/>
          <w:b/>
          <w:bCs/>
          <w:iCs/>
          <w:color w:val="auto"/>
          <w:lang w:eastAsia="es-MX"/>
        </w:rPr>
        <w:t>y se le asigna una clave para hacer identificable al trabajador con el objetivo de poder proporcionar los servicios que brinda el Instituto de Seguridad Social del Estado de México y Municipios.</w:t>
      </w:r>
    </w:p>
    <w:p w:rsidRPr="00860DB8" w:rsidR="00057880" w:rsidP="00057880" w:rsidRDefault="00057880" w14:paraId="60B85F6A" w14:textId="77777777">
      <w:pPr>
        <w:spacing w:after="0" w:line="360" w:lineRule="auto"/>
        <w:rPr>
          <w:rFonts w:eastAsia="Times New Roman" w:cs="Tahoma"/>
          <w:bCs/>
          <w:iCs/>
          <w:color w:val="auto"/>
          <w:lang w:eastAsia="es-MX"/>
        </w:rPr>
      </w:pPr>
    </w:p>
    <w:p w:rsidRPr="00860DB8" w:rsidR="00057880" w:rsidP="00057880" w:rsidRDefault="00057880" w14:paraId="1C314C16"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w:t>
      </w:r>
      <w:r w:rsidRPr="00860DB8">
        <w:rPr>
          <w:rFonts w:eastAsia="Times New Roman" w:cs="Tahoma"/>
          <w:bCs/>
          <w:iCs/>
          <w:color w:val="auto"/>
          <w:lang w:eastAsia="es-MX"/>
        </w:rPr>
        <w:lastRenderedPageBreak/>
        <w:t>cambia, aunque el trabajador se dé de baja y alta en diversas ocasiones, con motivo de haber trabajado en diferentes instituciones gubernamentales de la Entidad.</w:t>
      </w:r>
    </w:p>
    <w:p w:rsidRPr="00860DB8" w:rsidR="00057880" w:rsidP="00057880" w:rsidRDefault="00057880" w14:paraId="2A40B505" w14:textId="77777777">
      <w:pPr>
        <w:spacing w:after="0" w:line="360" w:lineRule="auto"/>
        <w:rPr>
          <w:rFonts w:eastAsia="Times New Roman" w:cs="Tahoma"/>
          <w:bCs/>
          <w:iCs/>
          <w:color w:val="auto"/>
          <w:lang w:eastAsia="es-MX"/>
        </w:rPr>
      </w:pPr>
    </w:p>
    <w:p w:rsidRPr="00860DB8" w:rsidR="00057880" w:rsidP="00057880" w:rsidRDefault="00057880" w14:paraId="0F6D502B" w14:textId="77777777">
      <w:pPr>
        <w:spacing w:after="0" w:line="360" w:lineRule="auto"/>
        <w:rPr>
          <w:rFonts w:eastAsia="Times New Roman" w:cs="Tahoma"/>
          <w:bCs/>
          <w:iCs/>
          <w:color w:val="auto"/>
          <w:lang w:eastAsia="es-MX"/>
        </w:rPr>
      </w:pPr>
      <w:r w:rsidRPr="00860DB8">
        <w:rPr>
          <w:rFonts w:eastAsia="Times New Roman" w:cs="Tahoma"/>
          <w:bCs/>
          <w:iCs/>
          <w:color w:val="auto"/>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Pr="00860DB8" w:rsidR="00057880" w:rsidP="00057880" w:rsidRDefault="00057880" w14:paraId="6FA942CE" w14:textId="77777777">
      <w:pPr>
        <w:spacing w:after="0" w:line="360" w:lineRule="auto"/>
        <w:rPr>
          <w:rFonts w:eastAsia="Calibri" w:cs="Tahoma"/>
          <w:bCs/>
          <w:iCs/>
          <w:color w:val="auto"/>
        </w:rPr>
      </w:pPr>
    </w:p>
    <w:p w:rsidRPr="00860DB8" w:rsidR="00057880" w:rsidP="00057880" w:rsidRDefault="00057880" w14:paraId="4B74DA16" w14:textId="77777777">
      <w:pPr>
        <w:numPr>
          <w:ilvl w:val="0"/>
          <w:numId w:val="13"/>
        </w:numPr>
        <w:spacing w:after="0" w:line="360" w:lineRule="auto"/>
        <w:jc w:val="left"/>
        <w:rPr>
          <w:rFonts w:eastAsia="Times New Roman" w:cs="Tahoma"/>
          <w:bCs/>
          <w:iCs/>
          <w:color w:val="auto"/>
          <w:lang w:eastAsia="es-MX"/>
        </w:rPr>
      </w:pPr>
      <w:r w:rsidRPr="00860DB8">
        <w:rPr>
          <w:rFonts w:eastAsia="Times New Roman" w:cs="Tahoma"/>
          <w:b/>
          <w:iCs/>
          <w:color w:val="auto"/>
          <w:lang w:eastAsia="es-MX"/>
        </w:rPr>
        <w:t>Sueldos y percepciones.</w:t>
      </w:r>
    </w:p>
    <w:p w:rsidRPr="00860DB8" w:rsidR="00057880" w:rsidP="00057880" w:rsidRDefault="00057880" w14:paraId="5CDF6491" w14:textId="77777777">
      <w:pPr>
        <w:spacing w:after="0" w:line="360" w:lineRule="auto"/>
        <w:jc w:val="left"/>
        <w:rPr>
          <w:rFonts w:eastAsia="Times New Roman" w:cs="Tahoma"/>
          <w:b/>
          <w:iCs/>
          <w:color w:val="auto"/>
          <w:lang w:eastAsia="es-MX"/>
        </w:rPr>
      </w:pPr>
    </w:p>
    <w:p w:rsidRPr="00860DB8" w:rsidR="00057880" w:rsidP="00057880" w:rsidRDefault="00057880" w14:paraId="01220212" w14:textId="77777777">
      <w:pPr>
        <w:spacing w:after="0" w:line="360" w:lineRule="auto"/>
        <w:rPr>
          <w:rFonts w:eastAsia="Times New Roman" w:cs="Tahoma"/>
          <w:bCs/>
          <w:iCs/>
          <w:color w:val="auto"/>
          <w:lang w:val="es-ES" w:eastAsia="es-ES"/>
        </w:rPr>
      </w:pPr>
      <w:r w:rsidRPr="00860DB8">
        <w:rPr>
          <w:rFonts w:eastAsia="Times New Roman" w:cs="Tahoma"/>
          <w:bCs/>
          <w:iCs/>
          <w:color w:val="auto"/>
          <w:lang w:eastAsia="es-MX"/>
        </w:rPr>
        <w:t xml:space="preserve">Al respecto, caber recordar </w:t>
      </w:r>
      <w:r w:rsidRPr="00860DB8">
        <w:rPr>
          <w:rFonts w:eastAsia="Times New Roman" w:cs="Tahoma"/>
          <w:bCs/>
          <w:iCs/>
          <w:color w:val="auto"/>
          <w:lang w:val="es-ES" w:eastAsia="es-ES"/>
        </w:rPr>
        <w:t>que conforme al artículo 70, fracción VIII, de la Ley General de Transparencia y Acceso a la Información Pública y 92, fracción VIII, de la Ley de Transparencia y Acceso a la Información Pública del Estado de México y Municipios, las remuneraciones que reciben los servidores públicos, guardan la naturaleza de publicas tanto los sueldos, como las prestaciones (gratificaciones, primas, comisiones, dietas, bonos, estímulos, entre otros).</w:t>
      </w:r>
    </w:p>
    <w:p w:rsidRPr="00860DB8" w:rsidR="00057880" w:rsidP="00057880" w:rsidRDefault="00057880" w14:paraId="10B61587" w14:textId="77777777">
      <w:pPr>
        <w:spacing w:after="0" w:line="360" w:lineRule="auto"/>
        <w:rPr>
          <w:rFonts w:eastAsia="Times New Roman" w:cs="Tahoma"/>
          <w:bCs/>
          <w:iCs/>
          <w:color w:val="auto"/>
          <w:lang w:val="es-ES" w:eastAsia="es-ES"/>
        </w:rPr>
      </w:pPr>
    </w:p>
    <w:p w:rsidRPr="00860DB8" w:rsidR="00057880" w:rsidP="00057880" w:rsidRDefault="00057880" w14:paraId="34649D3C" w14:textId="77777777">
      <w:pPr>
        <w:spacing w:after="0" w:line="360" w:lineRule="auto"/>
        <w:rPr>
          <w:rFonts w:eastAsia="Times New Roman" w:cs="Arial"/>
          <w:bCs/>
          <w:color w:val="auto"/>
          <w:lang w:eastAsia="es-ES"/>
        </w:rPr>
      </w:pPr>
      <w:r w:rsidRPr="00860DB8">
        <w:rPr>
          <w:rFonts w:eastAsia="Times New Roman" w:cs="Tahoma"/>
          <w:color w:val="auto"/>
          <w:lang w:val="es-ES" w:eastAsia="es-ES"/>
        </w:rPr>
        <w:t xml:space="preserve">Como se logra observar que, mediante los recibos de pago, el Sujeto Obligado busca acreditar la manera en que se ejercieron determinados recursos públicos; sobre el tema, </w:t>
      </w:r>
      <w:r w:rsidRPr="00860DB8">
        <w:rPr>
          <w:rFonts w:eastAsia="Times New Roman" w:cs="Arial"/>
          <w:bCs/>
          <w:color w:val="auto"/>
          <w:lang w:eastAsia="es-ES"/>
        </w:rPr>
        <w:t>según Arizmendi, Guillermo (2016), en la “Ley General de Transparencia y Acceso a la Información Pública Comentada” (p. 240 y 241), los recursos públicos, deber ser administrados con responsabilidad y transparencia.</w:t>
      </w:r>
    </w:p>
    <w:p w:rsidRPr="00860DB8" w:rsidR="00057880" w:rsidP="00057880" w:rsidRDefault="00057880" w14:paraId="12F0C6D4" w14:textId="77777777">
      <w:pPr>
        <w:shd w:val="clear" w:color="auto" w:fill="FFFFFF" w:themeFill="background1"/>
        <w:spacing w:after="0" w:line="360" w:lineRule="auto"/>
        <w:rPr>
          <w:rFonts w:eastAsia="Times New Roman" w:cs="Tahoma"/>
          <w:color w:val="auto"/>
          <w:lang w:val="es-ES" w:eastAsia="es-ES"/>
        </w:rPr>
      </w:pPr>
    </w:p>
    <w:p w:rsidRPr="00860DB8" w:rsidR="00057880" w:rsidP="00057880" w:rsidRDefault="00057880" w14:paraId="3A085B71" w14:textId="77777777">
      <w:pPr>
        <w:spacing w:after="0" w:line="360" w:lineRule="auto"/>
        <w:rPr>
          <w:rFonts w:eastAsia="Times New Roman" w:cs="Tahoma"/>
          <w:b/>
          <w:color w:val="auto"/>
          <w:lang w:val="es-ES" w:eastAsia="es-ES"/>
        </w:rPr>
      </w:pPr>
      <w:r w:rsidRPr="00860DB8">
        <w:rPr>
          <w:rFonts w:eastAsia="Times New Roman" w:cs="Tahoma"/>
          <w:color w:val="auto"/>
          <w:lang w:val="es-ES" w:eastAsia="es-ES"/>
        </w:rPr>
        <w:t xml:space="preserve">En ese orden de ideas, según Trujillo, Humberto (2019), en el “Diccionario de Transparencia y Acceso a la Información Pública” (p. 276), </w:t>
      </w:r>
      <w:r w:rsidRPr="00860DB8">
        <w:rPr>
          <w:rFonts w:eastAsia="Times New Roman" w:cs="Tahoma"/>
          <w:b/>
          <w:color w:val="auto"/>
          <w:lang w:val="es-ES" w:eastAsia="es-ES"/>
        </w:rPr>
        <w:t xml:space="preserve">los recursos públicos son los ingresos </w:t>
      </w:r>
      <w:r w:rsidRPr="00860DB8">
        <w:rPr>
          <w:rFonts w:eastAsia="Times New Roman" w:cs="Tahoma"/>
          <w:b/>
          <w:color w:val="auto"/>
          <w:lang w:val="es-ES" w:eastAsia="es-ES"/>
        </w:rPr>
        <w:lastRenderedPageBreak/>
        <w:t>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rsidRPr="00860DB8" w:rsidR="00057880" w:rsidP="00057880" w:rsidRDefault="00057880" w14:paraId="6DA8C485" w14:textId="77777777">
      <w:pPr>
        <w:spacing w:after="0" w:line="360" w:lineRule="auto"/>
        <w:rPr>
          <w:rFonts w:eastAsia="Times New Roman" w:cs="Tahoma"/>
          <w:b/>
          <w:color w:val="auto"/>
          <w:lang w:val="es-ES" w:eastAsia="es-ES"/>
        </w:rPr>
      </w:pPr>
    </w:p>
    <w:p w:rsidRPr="00860DB8" w:rsidR="00057880" w:rsidP="00057880" w:rsidRDefault="00057880" w14:paraId="7E8808F7" w14:textId="77777777">
      <w:pPr>
        <w:spacing w:after="0" w:line="360" w:lineRule="auto"/>
        <w:rPr>
          <w:rFonts w:eastAsia="Times New Roman" w:cs="Tahoma"/>
          <w:color w:val="auto"/>
          <w:lang w:eastAsia="es-ES"/>
        </w:rPr>
      </w:pPr>
      <w:r w:rsidRPr="00860DB8">
        <w:rPr>
          <w:rFonts w:eastAsia="Times New Roman" w:cs="Tahoma"/>
          <w:color w:val="auto"/>
          <w:lang w:val="es-ES" w:eastAsia="es-ES"/>
        </w:rPr>
        <w:t xml:space="preserve">En ese orden de ideas,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860DB8">
        <w:rPr>
          <w:rFonts w:eastAsia="Times New Roman" w:cs="Tahoma"/>
          <w:b/>
          <w:color w:val="auto"/>
          <w:lang w:val="es-ES" w:eastAsia="es-ES"/>
        </w:rPr>
        <w:t xml:space="preserve">transparencia </w:t>
      </w:r>
      <w:r w:rsidRPr="00860DB8">
        <w:rPr>
          <w:rFonts w:eastAsia="Times New Roman" w:cs="Tahoma"/>
          <w:color w:val="auto"/>
          <w:lang w:val="es-ES" w:eastAsia="es-ES"/>
        </w:rPr>
        <w:t xml:space="preserve">y honradez; sobre lo referido,  </w:t>
      </w:r>
      <w:r w:rsidRPr="00860DB8">
        <w:rPr>
          <w:rFonts w:eastAsia="Times New Roman" w:cs="Tahoma"/>
          <w:color w:val="auto"/>
          <w:lang w:eastAsia="es-ES"/>
        </w:rPr>
        <w:t>la Tesis número 1a.CXLV/2009, Novena Época, publicada en el Semanario Judicial de la Federación, Tomo XXX, de septiembre de dos mil nueve, (p. 2712), establece lo siguiente:</w:t>
      </w:r>
    </w:p>
    <w:p w:rsidRPr="00860DB8" w:rsidR="00057880" w:rsidP="00057880" w:rsidRDefault="00057880" w14:paraId="43CCE63D" w14:textId="77777777">
      <w:pPr>
        <w:spacing w:after="0" w:line="360" w:lineRule="auto"/>
        <w:rPr>
          <w:rFonts w:eastAsia="Times New Roman" w:cs="Tahoma"/>
          <w:color w:val="auto"/>
          <w:lang w:val="es-ES" w:eastAsia="es-ES"/>
        </w:rPr>
      </w:pPr>
    </w:p>
    <w:p w:rsidRPr="00860DB8" w:rsidR="00057880" w:rsidP="00057880" w:rsidRDefault="00057880" w14:paraId="26A98B67" w14:textId="77777777">
      <w:pPr>
        <w:spacing w:after="0" w:line="360" w:lineRule="auto"/>
        <w:ind w:left="567" w:right="567"/>
        <w:rPr>
          <w:rFonts w:eastAsia="Times New Roman" w:cs="Tahoma"/>
          <w:bCs/>
          <w:i/>
          <w:iCs/>
          <w:color w:val="auto"/>
          <w:sz w:val="20"/>
          <w:szCs w:val="20"/>
          <w:lang w:val="es-ES" w:eastAsia="es-ES"/>
        </w:rPr>
      </w:pPr>
      <w:r w:rsidRPr="00860DB8">
        <w:rPr>
          <w:rFonts w:eastAsia="Times New Roman" w:cs="Tahoma"/>
          <w:b/>
          <w:bCs/>
          <w:i/>
          <w:iCs/>
          <w:color w:val="auto"/>
          <w:sz w:val="20"/>
          <w:szCs w:val="20"/>
          <w:lang w:val="es-ES" w:eastAsia="es-ES"/>
        </w:rPr>
        <w:t>“</w:t>
      </w:r>
      <w:r w:rsidRPr="00860DB8">
        <w:rPr>
          <w:rFonts w:eastAsia="Times New Roman" w:cs="Tahoma"/>
          <w:b/>
          <w:bCs/>
          <w:i/>
          <w:iCs/>
          <w:color w:val="auto"/>
          <w:sz w:val="20"/>
          <w:szCs w:val="20"/>
          <w:lang w:eastAsia="es-ES"/>
        </w:rPr>
        <w:t xml:space="preserve">GASTO PÚBLICO. EL ARTÍCULO 134 DE LA CONSTITUCIÓN POLÍTICA DE LOS ESTADOS UNIDOS MEXICANOS ELEVA A RANGO CONSTITUCIONAL LOS PRINCIPIOS DE LEGALIDAD, EFICIENCIA, EFICACIA, ECONOMÍA, TRANSPARENCIA Y HONRADEZ EN ESTA MATERIA. </w:t>
      </w:r>
      <w:r w:rsidRPr="00860DB8">
        <w:rPr>
          <w:rFonts w:eastAsia="Times New Roman" w:cs="Tahoma"/>
          <w:bCs/>
          <w:i/>
          <w:iCs/>
          <w:color w:val="auto"/>
          <w:sz w:val="20"/>
          <w:szCs w:val="20"/>
          <w:lang w:eastAsia="es-ES"/>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860DB8">
        <w:rPr>
          <w:rFonts w:eastAsia="Times New Roman" w:cs="Tahoma"/>
          <w:bCs/>
          <w:i/>
          <w:iCs/>
          <w:color w:val="auto"/>
          <w:sz w:val="20"/>
          <w:szCs w:val="20"/>
          <w:lang w:val="es-ES" w:eastAsia="es-ES"/>
        </w:rPr>
        <w:t>”</w:t>
      </w:r>
    </w:p>
    <w:p w:rsidRPr="00860DB8" w:rsidR="00057880" w:rsidP="00057880" w:rsidRDefault="00057880" w14:paraId="5155AEB5" w14:textId="77777777">
      <w:pPr>
        <w:spacing w:after="0" w:line="360" w:lineRule="auto"/>
        <w:rPr>
          <w:rFonts w:eastAsia="Times New Roman" w:cs="Tahoma"/>
          <w:bCs/>
          <w:iCs/>
          <w:color w:val="auto"/>
          <w:lang w:val="es-ES" w:eastAsia="es-ES"/>
        </w:rPr>
      </w:pPr>
    </w:p>
    <w:p w:rsidRPr="00860DB8" w:rsidR="00057880" w:rsidP="00057880" w:rsidRDefault="00057880" w14:paraId="5F1C29BF" w14:textId="77777777">
      <w:pPr>
        <w:spacing w:after="0" w:line="360" w:lineRule="auto"/>
        <w:rPr>
          <w:rFonts w:eastAsia="Times New Roman" w:cs="Tahoma"/>
          <w:bCs/>
          <w:iCs/>
          <w:color w:val="auto"/>
          <w:lang w:val="es-ES" w:eastAsia="es-ES"/>
        </w:rPr>
      </w:pPr>
      <w:r w:rsidRPr="00860DB8">
        <w:rPr>
          <w:rFonts w:eastAsia="Times New Roman" w:cs="Tahoma"/>
          <w:bCs/>
          <w:iCs/>
          <w:color w:val="auto"/>
          <w:lang w:val="es-ES" w:eastAsia="es-ES"/>
        </w:rPr>
        <w:lastRenderedPageBreak/>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rsidRPr="00860DB8" w:rsidR="00057880" w:rsidP="00057880" w:rsidRDefault="00057880" w14:paraId="567A75FA" w14:textId="77777777">
      <w:pPr>
        <w:spacing w:after="0" w:line="360" w:lineRule="auto"/>
        <w:rPr>
          <w:rFonts w:eastAsia="Times New Roman" w:cs="Tahoma"/>
          <w:bCs/>
          <w:iCs/>
          <w:color w:val="auto"/>
          <w:lang w:val="es-ES" w:eastAsia="es-ES"/>
        </w:rPr>
      </w:pPr>
    </w:p>
    <w:p w:rsidRPr="00860DB8" w:rsidR="00057880" w:rsidP="00057880" w:rsidRDefault="00057880" w14:paraId="330CDFBF" w14:textId="77777777">
      <w:pPr>
        <w:spacing w:after="0" w:line="360" w:lineRule="auto"/>
        <w:rPr>
          <w:rFonts w:eastAsia="Times New Roman" w:cs="Tahoma"/>
          <w:color w:val="auto"/>
          <w:lang w:val="es-ES" w:eastAsia="es-ES"/>
        </w:rPr>
      </w:pPr>
      <w:r w:rsidRPr="00860DB8">
        <w:rPr>
          <w:rFonts w:eastAsia="Times New Roman" w:cs="Tahoma"/>
          <w:bCs/>
          <w:iCs/>
          <w:color w:val="auto"/>
          <w:lang w:val="es-ES" w:eastAsia="es-ES"/>
        </w:rPr>
        <w:t xml:space="preserve">Al respecto, </w:t>
      </w:r>
      <w:r w:rsidRPr="00860DB8">
        <w:rPr>
          <w:rFonts w:eastAsia="Times New Roman" w:cs="Tahoma"/>
          <w:color w:val="auto"/>
          <w:lang w:val="es-ES" w:eastAsia="es-ES"/>
        </w:rPr>
        <w:t xml:space="preserve">según Merino, Mauricio (2019), en el “Diccionario de Transparencia y Acceso a la Información Pública” (p. 276), </w:t>
      </w:r>
      <w:r w:rsidRPr="00860DB8">
        <w:rPr>
          <w:rFonts w:eastAsia="Times New Roman" w:cs="Tahoma"/>
          <w:b/>
          <w:color w:val="auto"/>
          <w:lang w:val="es-ES" w:eastAsia="es-ES"/>
        </w:rPr>
        <w:t xml:space="preserve">la rendición de cuentas, </w:t>
      </w:r>
      <w:r w:rsidRPr="00860DB8">
        <w:rPr>
          <w:rFonts w:eastAsia="Times New Roman" w:cs="Tahoma"/>
          <w:color w:val="auto"/>
          <w:lang w:val="es-ES" w:eastAsia="es-ES"/>
        </w:rPr>
        <w:t xml:space="preserve">es un ejercicio de transparencia e información pública; es un medio a través del cual los gobiernos informan al público de sus actividades, </w:t>
      </w:r>
      <w:r w:rsidRPr="00860DB8">
        <w:rPr>
          <w:rFonts w:eastAsia="Times New Roman" w:cs="Tahoma"/>
          <w:b/>
          <w:color w:val="auto"/>
          <w:lang w:val="es-ES" w:eastAsia="es-ES"/>
        </w:rPr>
        <w:t>de los recursos que han ejercido</w:t>
      </w:r>
      <w:r w:rsidRPr="00860DB8">
        <w:rPr>
          <w:rFonts w:eastAsia="Times New Roman" w:cs="Tahoma"/>
          <w:color w:val="auto"/>
          <w:lang w:val="es-ES" w:eastAsia="es-ES"/>
        </w:rPr>
        <w:t xml:space="preserve"> y de los resultados obtenidos.</w:t>
      </w:r>
    </w:p>
    <w:p w:rsidRPr="00860DB8" w:rsidR="00057880" w:rsidP="00057880" w:rsidRDefault="00057880" w14:paraId="0FF079C2" w14:textId="77777777">
      <w:pPr>
        <w:spacing w:after="0" w:line="360" w:lineRule="auto"/>
        <w:rPr>
          <w:rFonts w:eastAsia="Times New Roman" w:cs="Tahoma"/>
          <w:color w:val="auto"/>
          <w:lang w:val="es-ES" w:eastAsia="es-ES"/>
        </w:rPr>
      </w:pPr>
    </w:p>
    <w:p w:rsidRPr="00860DB8" w:rsidR="00057880" w:rsidP="00057880" w:rsidRDefault="00057880" w14:paraId="177BB303" w14:textId="77777777">
      <w:pPr>
        <w:spacing w:after="0" w:line="360" w:lineRule="auto"/>
        <w:rPr>
          <w:rFonts w:eastAsia="Times New Roman" w:cs="Tahoma"/>
          <w:color w:val="auto"/>
          <w:lang w:val="es-ES" w:eastAsia="es-ES"/>
        </w:rPr>
      </w:pPr>
      <w:r w:rsidRPr="00860DB8">
        <w:rPr>
          <w:rFonts w:eastAsia="Times New Roman" w:cs="Tahoma"/>
          <w:color w:val="auto"/>
          <w:lang w:val="es-ES" w:eastAsia="es-ES"/>
        </w:rPr>
        <w:t>Conforme a lo anterior, se logra vislumbrar que cualquier tipo de erogación de recursos por parte de las instituciones públicas, guarda la naturaleza de pública; por lo que, las remuneraciones, sueldos y prestaciones de los servidores públicos, rinde cuentas de los recursos utilizados por el Ayuntamiento, para el pago de personal; por lo que, no resulta procedente la clasificación de dichos datos, en términos del artículo 143, fracción I, de la Ley de la materia.</w:t>
      </w:r>
    </w:p>
    <w:p w:rsidRPr="00860DB8" w:rsidR="00057880" w:rsidP="00057880" w:rsidRDefault="00057880" w14:paraId="7F8F4204" w14:textId="77777777">
      <w:pPr>
        <w:spacing w:after="0" w:line="360" w:lineRule="auto"/>
        <w:rPr>
          <w:rFonts w:eastAsia="Times New Roman" w:cs="Tahoma"/>
          <w:bCs/>
          <w:iCs/>
          <w:color w:val="auto"/>
          <w:lang w:eastAsia="es-MX"/>
        </w:rPr>
      </w:pPr>
    </w:p>
    <w:p w:rsidRPr="00860DB8" w:rsidR="00057880" w:rsidP="00057880" w:rsidRDefault="00057880" w14:paraId="35E4A20B" w14:textId="77777777">
      <w:pPr>
        <w:numPr>
          <w:ilvl w:val="0"/>
          <w:numId w:val="13"/>
        </w:numPr>
        <w:spacing w:after="0" w:line="360" w:lineRule="auto"/>
        <w:jc w:val="left"/>
        <w:rPr>
          <w:rFonts w:eastAsia="Calibri" w:cs="Times New Roman"/>
          <w:b/>
          <w:bCs/>
          <w:color w:val="auto"/>
          <w:lang w:eastAsia="es-ES"/>
        </w:rPr>
      </w:pPr>
      <w:r w:rsidRPr="00860DB8">
        <w:rPr>
          <w:rFonts w:eastAsia="Calibri" w:cs="Times New Roman"/>
          <w:b/>
          <w:bCs/>
          <w:color w:val="auto"/>
          <w:lang w:eastAsia="es-ES"/>
        </w:rPr>
        <w:t>Deducciones por Ley.</w:t>
      </w:r>
    </w:p>
    <w:p w:rsidRPr="00860DB8" w:rsidR="00057880" w:rsidP="00057880" w:rsidRDefault="00057880" w14:paraId="1F294CF3" w14:textId="77777777">
      <w:pPr>
        <w:spacing w:after="0" w:line="360" w:lineRule="auto"/>
        <w:rPr>
          <w:rFonts w:eastAsia="Calibri" w:cs="Times New Roman"/>
          <w:color w:val="auto"/>
          <w:lang w:eastAsia="es-ES"/>
        </w:rPr>
      </w:pPr>
    </w:p>
    <w:p w:rsidRPr="00860DB8" w:rsidR="00057880" w:rsidP="00057880" w:rsidRDefault="00057880" w14:paraId="0E79CEA9" w14:textId="77777777">
      <w:pPr>
        <w:spacing w:after="0" w:line="360" w:lineRule="auto"/>
        <w:rPr>
          <w:rFonts w:eastAsia="Calibri" w:cs="Times New Roman"/>
          <w:color w:val="auto"/>
          <w:lang w:eastAsia="es-ES"/>
        </w:rPr>
      </w:pPr>
      <w:r w:rsidRPr="00860DB8">
        <w:rPr>
          <w:rFonts w:eastAsia="Calibri" w:cs="Times New Roman"/>
          <w:color w:val="auto"/>
          <w:lang w:eastAsia="es-ES"/>
        </w:rPr>
        <w:t>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rsidRPr="00860DB8" w:rsidR="00057880" w:rsidP="00057880" w:rsidRDefault="00057880" w14:paraId="71F9EEB3" w14:textId="77777777">
      <w:pPr>
        <w:spacing w:after="0" w:line="360" w:lineRule="auto"/>
        <w:rPr>
          <w:rFonts w:eastAsia="Calibri" w:cs="Times New Roman"/>
          <w:color w:val="auto"/>
          <w:lang w:eastAsia="es-ES"/>
        </w:rPr>
      </w:pPr>
    </w:p>
    <w:p w:rsidRPr="00860DB8" w:rsidR="00057880" w:rsidP="00057880" w:rsidRDefault="00057880" w14:paraId="1C4749E8" w14:textId="77777777">
      <w:pPr>
        <w:spacing w:after="0" w:line="360" w:lineRule="auto"/>
        <w:rPr>
          <w:rFonts w:eastAsia="Calibri" w:cs="Times New Roman"/>
          <w:color w:val="auto"/>
          <w:lang w:eastAsia="es-ES"/>
        </w:rPr>
      </w:pPr>
      <w:r w:rsidRPr="00860DB8">
        <w:rPr>
          <w:rFonts w:eastAsia="Calibri" w:cs="Times New Roman"/>
          <w:color w:val="auto"/>
          <w:lang w:eastAsia="es-ES"/>
        </w:rPr>
        <w:lastRenderedPageBreak/>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rsidRPr="00860DB8" w:rsidR="00057880" w:rsidP="00057880" w:rsidRDefault="00057880" w14:paraId="75EB0CF0" w14:textId="77777777">
      <w:pPr>
        <w:spacing w:after="0" w:line="360" w:lineRule="auto"/>
        <w:rPr>
          <w:rFonts w:eastAsia="Calibri" w:cs="Times New Roman"/>
          <w:color w:val="auto"/>
          <w:lang w:eastAsia="es-ES"/>
        </w:rPr>
      </w:pPr>
    </w:p>
    <w:p w:rsidRPr="00860DB8" w:rsidR="00057880" w:rsidP="00057880" w:rsidRDefault="00057880" w14:paraId="555C5437" w14:textId="77777777">
      <w:pPr>
        <w:spacing w:after="0" w:line="360" w:lineRule="auto"/>
        <w:rPr>
          <w:rFonts w:eastAsia="Calibri" w:cs="Times New Roman"/>
          <w:color w:val="auto"/>
          <w:lang w:eastAsia="es-ES"/>
        </w:rPr>
      </w:pPr>
      <w:r w:rsidRPr="00860DB8">
        <w:rPr>
          <w:rFonts w:eastAsia="Calibri" w:cs="Times New Roman"/>
          <w:color w:val="auto"/>
          <w:lang w:eastAsia="es-ES"/>
        </w:rPr>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rsidRPr="00860DB8" w:rsidR="00057880" w:rsidP="00057880" w:rsidRDefault="00057880" w14:paraId="521793BA" w14:textId="77777777">
      <w:pPr>
        <w:spacing w:after="0" w:line="360" w:lineRule="auto"/>
        <w:rPr>
          <w:rFonts w:eastAsia="Calibri" w:cs="Times New Roman"/>
          <w:color w:val="auto"/>
          <w:lang w:eastAsia="es-ES"/>
        </w:rPr>
      </w:pPr>
    </w:p>
    <w:p w:rsidRPr="00860DB8" w:rsidR="00057880" w:rsidP="00057880" w:rsidRDefault="00057880" w14:paraId="6D8B26ED" w14:textId="77777777">
      <w:pPr>
        <w:spacing w:after="0" w:line="360" w:lineRule="auto"/>
        <w:rPr>
          <w:rFonts w:eastAsia="Calibri" w:cs="Times New Roman"/>
          <w:color w:val="auto"/>
          <w:lang w:eastAsia="es-ES"/>
        </w:rPr>
      </w:pPr>
      <w:r w:rsidRPr="00860DB8">
        <w:rPr>
          <w:rFonts w:eastAsia="Calibri" w:cs="Times New Roman"/>
          <w:color w:val="auto"/>
          <w:lang w:eastAsia="es-ES"/>
        </w:rPr>
        <w:t>Además, se advierte en el presente caso, que la servidora pública si cuenta con estas deducciones, pues el Sujeto Obligado, clasificó de manera correcta, su número de seguridad social (régimen de trabajo).</w:t>
      </w:r>
    </w:p>
    <w:p w:rsidRPr="00860DB8" w:rsidR="00057880" w:rsidP="00057880" w:rsidRDefault="00057880" w14:paraId="0E614292" w14:textId="77777777">
      <w:pPr>
        <w:spacing w:after="0" w:line="360" w:lineRule="auto"/>
        <w:rPr>
          <w:rFonts w:eastAsia="Calibri" w:cs="Times New Roman"/>
          <w:color w:val="auto"/>
          <w:lang w:eastAsia="es-ES"/>
        </w:rPr>
      </w:pPr>
    </w:p>
    <w:p w:rsidRPr="00860DB8" w:rsidR="00057880" w:rsidP="00057880" w:rsidRDefault="00057880" w14:paraId="444380E1" w14:textId="77777777">
      <w:pPr>
        <w:spacing w:after="0" w:line="360" w:lineRule="auto"/>
        <w:rPr>
          <w:rFonts w:eastAsia="Calibri" w:cs="Times New Roman"/>
          <w:color w:val="auto"/>
          <w:lang w:eastAsia="es-ES"/>
        </w:rPr>
      </w:pPr>
      <w:r w:rsidRPr="00860DB8">
        <w:rPr>
          <w:rFonts w:eastAsia="Calibri" w:cs="Times New Roman"/>
          <w:color w:val="auto"/>
          <w:lang w:eastAsia="es-ES"/>
        </w:rPr>
        <w:t>Por tal circunstancia y toda vez, que las deducciones por Ley, son de carácter obligatorio y ayuda a rendir cuentas, de que el Ayuntamiento de Teotihuacán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rsidRPr="00860DB8" w:rsidR="00057880" w:rsidP="00057880" w:rsidRDefault="00057880" w14:paraId="6CB40729" w14:textId="77777777">
      <w:pPr>
        <w:spacing w:after="0" w:line="360" w:lineRule="auto"/>
        <w:rPr>
          <w:rFonts w:eastAsia="Calibri" w:cs="Times New Roman"/>
          <w:color w:val="auto"/>
          <w:lang w:eastAsia="es-ES"/>
        </w:rPr>
      </w:pPr>
    </w:p>
    <w:p w:rsidRPr="00860DB8" w:rsidR="00057880" w:rsidP="00057880" w:rsidRDefault="00057880" w14:paraId="51839E6A" w14:textId="77777777">
      <w:pPr>
        <w:numPr>
          <w:ilvl w:val="0"/>
          <w:numId w:val="13"/>
        </w:numPr>
        <w:spacing w:after="0" w:line="360" w:lineRule="auto"/>
        <w:jc w:val="left"/>
        <w:rPr>
          <w:rFonts w:eastAsia="Calibri" w:cs="Tahoma"/>
          <w:b/>
          <w:color w:val="auto"/>
        </w:rPr>
      </w:pPr>
      <w:r w:rsidRPr="00860DB8">
        <w:rPr>
          <w:rFonts w:eastAsia="Calibri" w:cs="Tahoma"/>
          <w:b/>
          <w:color w:val="auto"/>
        </w:rPr>
        <w:t>Descuentos personales.</w:t>
      </w:r>
    </w:p>
    <w:p w:rsidRPr="00860DB8" w:rsidR="00057880" w:rsidP="00057880" w:rsidRDefault="00057880" w14:paraId="41611F5A" w14:textId="77777777">
      <w:pPr>
        <w:spacing w:after="0" w:line="360" w:lineRule="auto"/>
        <w:ind w:left="720"/>
        <w:contextualSpacing/>
        <w:rPr>
          <w:rFonts w:eastAsia="Calibri" w:cs="Tahoma"/>
          <w:b/>
          <w:bCs/>
          <w:iCs/>
          <w:color w:val="auto"/>
        </w:rPr>
      </w:pPr>
    </w:p>
    <w:p w:rsidRPr="00860DB8" w:rsidR="00057880" w:rsidP="00057880" w:rsidRDefault="00057880" w14:paraId="45FC872D" w14:textId="77777777">
      <w:pPr>
        <w:spacing w:after="0" w:line="360" w:lineRule="auto"/>
        <w:rPr>
          <w:rFonts w:eastAsia="Calibri" w:cs="Tahoma"/>
          <w:bCs/>
          <w:color w:val="auto"/>
        </w:rPr>
      </w:pPr>
      <w:r w:rsidRPr="00860DB8">
        <w:rPr>
          <w:rFonts w:eastAsia="Calibri" w:cs="Tahoma"/>
          <w:bCs/>
          <w:color w:val="auto"/>
        </w:rPr>
        <w:t xml:space="preserve">Es necesario precisar que existen deducciones que se generan con motivo de una decisión libre y voluntaria de los servidores públicos, como son: créditos personales, cuotas sindicales y fondo de resistencia del Sindicato Único de Trabajadores de los Poderes, Municipios e </w:t>
      </w:r>
      <w:r w:rsidRPr="00860DB8">
        <w:rPr>
          <w:rFonts w:eastAsia="Calibri" w:cs="Tahoma"/>
          <w:bCs/>
          <w:color w:val="auto"/>
        </w:rPr>
        <w:lastRenderedPageBreak/>
        <w:t>Institución Descentralizadas del Estado de México, seguro de vida, accidentes y enfermedades.</w:t>
      </w:r>
    </w:p>
    <w:p w:rsidRPr="00860DB8" w:rsidR="00057880" w:rsidP="00057880" w:rsidRDefault="00057880" w14:paraId="03DAAE21" w14:textId="77777777">
      <w:pPr>
        <w:spacing w:after="0" w:line="360" w:lineRule="auto"/>
        <w:rPr>
          <w:rFonts w:eastAsia="Calibri" w:cs="Tahoma"/>
          <w:bCs/>
          <w:color w:val="auto"/>
        </w:rPr>
      </w:pPr>
    </w:p>
    <w:p w:rsidRPr="00860DB8" w:rsidR="00057880" w:rsidP="00057880" w:rsidRDefault="00057880" w14:paraId="7756E73A" w14:textId="77777777">
      <w:pPr>
        <w:spacing w:after="0" w:line="360" w:lineRule="auto"/>
        <w:rPr>
          <w:rFonts w:eastAsia="Calibri" w:cs="Tahoma"/>
          <w:bCs/>
          <w:color w:val="auto"/>
        </w:rPr>
      </w:pPr>
      <w:r w:rsidRPr="00860DB8">
        <w:rPr>
          <w:rFonts w:eastAsia="Calibri" w:cs="Tahoma"/>
          <w:bCs/>
          <w:color w:val="auto"/>
        </w:rPr>
        <w:t xml:space="preserve">Asimismo, hay otras que se generan con motivo de una sentencia judicial, como es la pensión alimenticia que periódicamente se retira de la cuenta de un empleado, a efecto de que sea entregado a un tercero.  </w:t>
      </w:r>
    </w:p>
    <w:p w:rsidRPr="00860DB8" w:rsidR="00057880" w:rsidP="00057880" w:rsidRDefault="00057880" w14:paraId="5BF18199" w14:textId="77777777">
      <w:pPr>
        <w:spacing w:after="0" w:line="360" w:lineRule="auto"/>
        <w:rPr>
          <w:rFonts w:eastAsia="Calibri" w:cs="Tahoma"/>
          <w:bCs/>
          <w:color w:val="auto"/>
        </w:rPr>
      </w:pPr>
    </w:p>
    <w:p w:rsidRPr="00860DB8" w:rsidR="00057880" w:rsidP="00057880" w:rsidRDefault="00057880" w14:paraId="5B05A937" w14:textId="77777777">
      <w:pPr>
        <w:spacing w:after="0" w:line="360" w:lineRule="auto"/>
        <w:rPr>
          <w:rFonts w:eastAsia="Calibri" w:cs="Tahoma"/>
          <w:bCs/>
          <w:color w:val="auto"/>
        </w:rPr>
      </w:pPr>
      <w:r w:rsidRPr="00860DB8">
        <w:rPr>
          <w:rFonts w:eastAsia="Calibri" w:cs="Tahoma"/>
          <w:bCs/>
          <w:color w:val="auto"/>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Pr="00860DB8" w:rsidR="00057880" w:rsidP="00057880" w:rsidRDefault="00057880" w14:paraId="03398CA2" w14:textId="77777777">
      <w:pPr>
        <w:spacing w:after="0" w:line="360" w:lineRule="auto"/>
        <w:rPr>
          <w:rFonts w:eastAsia="Calibri" w:cs="Tahoma"/>
          <w:bCs/>
          <w:color w:val="auto"/>
        </w:rPr>
      </w:pPr>
    </w:p>
    <w:p w:rsidRPr="00860DB8" w:rsidR="00057880" w:rsidP="00057880" w:rsidRDefault="00057880" w14:paraId="51D4DAAC" w14:textId="77777777">
      <w:pPr>
        <w:spacing w:after="0" w:line="360" w:lineRule="auto"/>
        <w:rPr>
          <w:rFonts w:eastAsia="Calibri" w:cs="Tahoma"/>
          <w:bCs/>
          <w:color w:val="auto"/>
        </w:rPr>
      </w:pPr>
      <w:r w:rsidRPr="00860DB8">
        <w:rPr>
          <w:rFonts w:eastAsia="Calibri" w:cs="Tahoma"/>
          <w:bCs/>
          <w:color w:val="auto"/>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rsidRPr="00860DB8" w:rsidR="00057880" w:rsidP="00057880" w:rsidRDefault="00057880" w14:paraId="6DD5DEB0" w14:textId="77777777">
      <w:pPr>
        <w:spacing w:after="0" w:line="360" w:lineRule="auto"/>
        <w:rPr>
          <w:rFonts w:eastAsia="Times New Roman" w:cs="Tahoma"/>
          <w:b/>
          <w:bCs/>
          <w:color w:val="auto"/>
          <w:szCs w:val="24"/>
          <w:lang w:eastAsia="es-ES"/>
        </w:rPr>
      </w:pPr>
    </w:p>
    <w:p w:rsidRPr="00860DB8" w:rsidR="00057880" w:rsidP="00057880" w:rsidRDefault="00057880" w14:paraId="40CCED7D" w14:textId="77777777">
      <w:pPr>
        <w:numPr>
          <w:ilvl w:val="0"/>
          <w:numId w:val="13"/>
        </w:numPr>
        <w:spacing w:after="0" w:line="360" w:lineRule="auto"/>
        <w:rPr>
          <w:rFonts w:eastAsia="Times New Roman" w:cs="Tahoma"/>
          <w:bCs/>
          <w:color w:val="auto"/>
          <w:lang w:eastAsia="es-ES"/>
        </w:rPr>
      </w:pPr>
      <w:r w:rsidRPr="00860DB8">
        <w:rPr>
          <w:rFonts w:eastAsia="Times New Roman" w:cs="Tahoma"/>
          <w:b/>
          <w:bCs/>
          <w:color w:val="auto"/>
          <w:szCs w:val="24"/>
          <w:lang w:eastAsia="es-ES"/>
        </w:rPr>
        <w:t>Sellos digitales del emisor y del Servicio de Administración Tributaria y cadena original del complemento de certificación digital del órgano previamente señalado; así como sus respectivos números de serie de los certificados de sellos digitales, folio fiscal y número de serie del emisor.</w:t>
      </w:r>
    </w:p>
    <w:p w:rsidRPr="00860DB8" w:rsidR="00057880" w:rsidP="00057880" w:rsidRDefault="00057880" w14:paraId="10BFAF74" w14:textId="77777777">
      <w:pPr>
        <w:spacing w:after="0" w:line="360" w:lineRule="auto"/>
        <w:ind w:left="720"/>
        <w:rPr>
          <w:rFonts w:eastAsia="Times New Roman" w:cs="Tahoma"/>
          <w:bCs/>
          <w:color w:val="auto"/>
          <w:lang w:eastAsia="es-ES"/>
        </w:rPr>
      </w:pPr>
    </w:p>
    <w:p w:rsidRPr="00860DB8" w:rsidR="00057880" w:rsidP="00057880" w:rsidRDefault="00057880" w14:paraId="24BA9CDB" w14:textId="77777777">
      <w:pPr>
        <w:spacing w:after="0" w:line="360" w:lineRule="auto"/>
        <w:rPr>
          <w:rFonts w:eastAsia="Times New Roman" w:cs="Tahoma"/>
          <w:bCs/>
          <w:color w:val="auto"/>
          <w:lang w:val="es-ES" w:eastAsia="es-ES"/>
        </w:rPr>
      </w:pPr>
      <w:r w:rsidRPr="00860DB8">
        <w:rPr>
          <w:rFonts w:eastAsia="Times New Roman" w:cs="Tahoma"/>
          <w:bCs/>
          <w:color w:val="auto"/>
          <w:lang w:val="es-ES" w:eastAsia="es-E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w:t>
      </w:r>
      <w:r w:rsidRPr="00860DB8">
        <w:rPr>
          <w:rFonts w:eastAsia="Times New Roman" w:cs="Tahoma"/>
          <w:bCs/>
          <w:color w:val="auto"/>
          <w:lang w:val="es-ES" w:eastAsia="es-ES"/>
        </w:rPr>
        <w:lastRenderedPageBreak/>
        <w:t>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Pr="00860DB8" w:rsidR="00057880" w:rsidP="00057880" w:rsidRDefault="00057880" w14:paraId="26203B60" w14:textId="77777777">
      <w:pPr>
        <w:spacing w:after="0" w:line="360" w:lineRule="auto"/>
        <w:rPr>
          <w:rFonts w:eastAsia="Times New Roman" w:cs="Tahoma"/>
          <w:bCs/>
          <w:color w:val="auto"/>
          <w:lang w:val="es-ES" w:eastAsia="es-ES"/>
        </w:rPr>
      </w:pPr>
      <w:r w:rsidRPr="00860DB8">
        <w:rPr>
          <w:rFonts w:eastAsia="Times New Roman" w:cs="Tahoma"/>
          <w:bCs/>
          <w:color w:val="auto"/>
          <w:lang w:val="es-ES" w:eastAsia="es-ES"/>
        </w:rPr>
        <w:t> </w:t>
      </w:r>
    </w:p>
    <w:p w:rsidRPr="00860DB8" w:rsidR="00057880" w:rsidP="00057880" w:rsidRDefault="00057880" w14:paraId="3D92A618" w14:textId="77777777">
      <w:pPr>
        <w:spacing w:after="0" w:line="360" w:lineRule="auto"/>
        <w:rPr>
          <w:rFonts w:eastAsia="Times New Roman" w:cs="Tahoma"/>
          <w:bCs/>
          <w:color w:val="auto"/>
          <w:lang w:val="es-ES" w:eastAsia="es-ES"/>
        </w:rPr>
      </w:pPr>
      <w:r w:rsidRPr="00860DB8">
        <w:rPr>
          <w:rFonts w:eastAsia="Times New Roman" w:cs="Tahoma"/>
          <w:color w:val="auto"/>
          <w:lang w:val="es-ES" w:eastAsia="es-ES"/>
        </w:rPr>
        <w:t>Las cadenas originales y sellos que se agregan a las facturas</w:t>
      </w:r>
      <w:r w:rsidRPr="00860DB8">
        <w:rPr>
          <w:rFonts w:eastAsia="Times New Roman" w:cs="Tahoma"/>
          <w:b/>
          <w:bCs/>
          <w:color w:val="auto"/>
          <w:lang w:val="es-ES" w:eastAsia="es-ES"/>
        </w:rPr>
        <w:t>,</w:t>
      </w:r>
      <w:r w:rsidRPr="00860DB8">
        <w:rPr>
          <w:rFonts w:eastAsia="Times New Roman" w:cs="Tahoma"/>
          <w:bCs/>
          <w:color w:val="auto"/>
          <w:lang w:val="es-ES" w:eastAsia="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Pr="00860DB8" w:rsidR="00057880" w:rsidP="00057880" w:rsidRDefault="00057880" w14:paraId="3DFAC6DA" w14:textId="77777777">
      <w:pPr>
        <w:spacing w:after="0" w:line="360" w:lineRule="auto"/>
        <w:rPr>
          <w:rFonts w:eastAsia="Times New Roman" w:cs="Tahoma"/>
          <w:bCs/>
          <w:color w:val="auto"/>
          <w:lang w:val="es-ES" w:eastAsia="es-ES"/>
        </w:rPr>
      </w:pPr>
      <w:r w:rsidRPr="00860DB8">
        <w:rPr>
          <w:rFonts w:eastAsia="Times New Roman" w:cs="Tahoma"/>
          <w:bCs/>
          <w:color w:val="auto"/>
          <w:lang w:val="es-ES" w:eastAsia="es-ES"/>
        </w:rPr>
        <w:t> </w:t>
      </w:r>
    </w:p>
    <w:p w:rsidRPr="00860DB8" w:rsidR="00057880" w:rsidP="00057880" w:rsidRDefault="00057880" w14:paraId="58AB74C2" w14:textId="77777777">
      <w:pPr>
        <w:spacing w:after="0" w:line="360" w:lineRule="auto"/>
        <w:ind w:left="567" w:right="539"/>
        <w:rPr>
          <w:rFonts w:eastAsia="Calibri" w:cs="Tahoma"/>
          <w:bCs/>
          <w:i/>
          <w:color w:val="auto"/>
          <w:sz w:val="20"/>
          <w:szCs w:val="20"/>
          <w:lang w:val="es-ES"/>
        </w:rPr>
      </w:pPr>
      <w:r w:rsidRPr="00860DB8">
        <w:rPr>
          <w:rFonts w:eastAsia="Calibri" w:cs="Tahoma"/>
          <w:bCs/>
          <w:i/>
          <w:color w:val="auto"/>
          <w:sz w:val="20"/>
          <w:szCs w:val="20"/>
          <w:lang w:val="es-ES"/>
        </w:rPr>
        <w:t>“…</w:t>
      </w:r>
    </w:p>
    <w:p w:rsidRPr="00860DB8" w:rsidR="00057880" w:rsidP="00057880" w:rsidRDefault="00057880" w14:paraId="44AB0EF8" w14:textId="77777777">
      <w:pPr>
        <w:spacing w:after="0" w:line="360" w:lineRule="auto"/>
        <w:ind w:left="567" w:right="539"/>
        <w:rPr>
          <w:rFonts w:eastAsia="Calibri" w:cs="Tahoma"/>
          <w:bCs/>
          <w:i/>
          <w:color w:val="auto"/>
          <w:sz w:val="20"/>
          <w:szCs w:val="20"/>
          <w:lang w:val="es-ES"/>
        </w:rPr>
      </w:pPr>
      <w:r w:rsidRPr="00860DB8">
        <w:rPr>
          <w:rFonts w:eastAsia="Calibri" w:cs="Tahoma"/>
          <w:bCs/>
          <w:i/>
          <w:color w:val="auto"/>
          <w:sz w:val="20"/>
          <w:szCs w:val="20"/>
          <w:lang w:val="es-ES"/>
        </w:rPr>
        <w:t>Elementos utilizados en la generación de Sellos Digitales:</w:t>
      </w:r>
    </w:p>
    <w:p w:rsidRPr="00860DB8" w:rsidR="00057880" w:rsidP="00057880" w:rsidRDefault="00057880" w14:paraId="716A076C" w14:textId="77777777">
      <w:pPr>
        <w:spacing w:after="0" w:line="360" w:lineRule="auto"/>
        <w:ind w:left="567" w:right="539"/>
        <w:rPr>
          <w:rFonts w:eastAsia="Calibri" w:cs="Tahoma"/>
          <w:bCs/>
          <w:i/>
          <w:color w:val="auto"/>
          <w:sz w:val="20"/>
          <w:szCs w:val="20"/>
          <w:lang w:val="es-ES"/>
        </w:rPr>
      </w:pPr>
      <w:r w:rsidRPr="00860DB8">
        <w:rPr>
          <w:rFonts w:eastAsia="Calibri" w:cs="Tahoma"/>
          <w:bCs/>
          <w:i/>
          <w:color w:val="auto"/>
          <w:sz w:val="20"/>
          <w:szCs w:val="20"/>
          <w:lang w:val="es-ES"/>
        </w:rPr>
        <w:t>•</w:t>
      </w:r>
      <w:r w:rsidRPr="00860DB8">
        <w:rPr>
          <w:rFonts w:eastAsia="Calibri" w:cs="Tahoma"/>
          <w:bCs/>
          <w:i/>
          <w:color w:val="auto"/>
          <w:sz w:val="20"/>
          <w:szCs w:val="20"/>
          <w:lang w:val="es-ES"/>
        </w:rPr>
        <w:tab/>
      </w:r>
      <w:r w:rsidRPr="00860DB8">
        <w:rPr>
          <w:rFonts w:eastAsia="Calibri" w:cs="Tahoma"/>
          <w:bCs/>
          <w:i/>
          <w:color w:val="auto"/>
          <w:sz w:val="20"/>
          <w:szCs w:val="20"/>
          <w:lang w:val="es-ES"/>
        </w:rPr>
        <w:t>Cadena Original, el elemento a sellar, en este caso de un comprobante fiscal digital a través de Internet.</w:t>
      </w:r>
    </w:p>
    <w:p w:rsidRPr="00860DB8" w:rsidR="00057880" w:rsidP="00057880" w:rsidRDefault="00057880" w14:paraId="0BABB771" w14:textId="77777777">
      <w:pPr>
        <w:spacing w:after="0" w:line="360" w:lineRule="auto"/>
        <w:ind w:left="567" w:right="539"/>
        <w:rPr>
          <w:rFonts w:eastAsia="Calibri" w:cs="Tahoma"/>
          <w:bCs/>
          <w:i/>
          <w:color w:val="auto"/>
          <w:sz w:val="20"/>
          <w:szCs w:val="20"/>
          <w:lang w:val="es-ES"/>
        </w:rPr>
      </w:pPr>
      <w:r w:rsidRPr="00860DB8">
        <w:rPr>
          <w:rFonts w:eastAsia="Calibri" w:cs="Tahoma"/>
          <w:bCs/>
          <w:i/>
          <w:color w:val="auto"/>
          <w:sz w:val="20"/>
          <w:szCs w:val="20"/>
          <w:lang w:val="es-ES"/>
        </w:rPr>
        <w:t>•</w:t>
      </w:r>
      <w:r w:rsidRPr="00860DB8">
        <w:rPr>
          <w:rFonts w:eastAsia="Calibri" w:cs="Tahoma"/>
          <w:bCs/>
          <w:i/>
          <w:color w:val="auto"/>
          <w:sz w:val="20"/>
          <w:szCs w:val="20"/>
          <w:lang w:val="es-ES"/>
        </w:rPr>
        <w:tab/>
      </w:r>
      <w:r w:rsidRPr="00860DB8">
        <w:rPr>
          <w:rFonts w:eastAsia="Calibri" w:cs="Tahoma"/>
          <w:bCs/>
          <w:i/>
          <w:color w:val="auto"/>
          <w:sz w:val="20"/>
          <w:szCs w:val="20"/>
          <w:lang w:val="es-ES"/>
        </w:rPr>
        <w:t>Certificado de Sello Digital y su correspondiente clave privada.</w:t>
      </w:r>
    </w:p>
    <w:p w:rsidRPr="00860DB8" w:rsidR="00057880" w:rsidP="00057880" w:rsidRDefault="00057880" w14:paraId="55A9319B" w14:textId="77777777">
      <w:pPr>
        <w:spacing w:after="0" w:line="360" w:lineRule="auto"/>
        <w:ind w:left="567" w:right="539"/>
        <w:rPr>
          <w:rFonts w:eastAsia="Calibri" w:cs="Tahoma"/>
          <w:bCs/>
          <w:i/>
          <w:color w:val="auto"/>
          <w:sz w:val="20"/>
          <w:szCs w:val="20"/>
          <w:lang w:val="es-ES"/>
        </w:rPr>
      </w:pPr>
      <w:r w:rsidRPr="00860DB8">
        <w:rPr>
          <w:rFonts w:eastAsia="Calibri" w:cs="Tahoma"/>
          <w:bCs/>
          <w:i/>
          <w:color w:val="auto"/>
          <w:sz w:val="20"/>
          <w:szCs w:val="20"/>
          <w:lang w:val="es-ES"/>
        </w:rPr>
        <w:t>•</w:t>
      </w:r>
      <w:r w:rsidRPr="00860DB8">
        <w:rPr>
          <w:rFonts w:eastAsia="Calibri" w:cs="Tahoma"/>
          <w:bCs/>
          <w:i/>
          <w:color w:val="auto"/>
          <w:sz w:val="20"/>
          <w:szCs w:val="20"/>
          <w:lang w:val="es-ES"/>
        </w:rPr>
        <w:tab/>
      </w:r>
      <w:r w:rsidRPr="00860DB8">
        <w:rPr>
          <w:rFonts w:eastAsia="Calibri" w:cs="Tahoma"/>
          <w:bCs/>
          <w:i/>
          <w:color w:val="auto"/>
          <w:sz w:val="20"/>
          <w:szCs w:val="20"/>
          <w:lang w:val="es-ES"/>
        </w:rPr>
        <w:t>Algoritmos de criptografía de clave pública para firma electrónica avanzada.</w:t>
      </w:r>
    </w:p>
    <w:p w:rsidRPr="00860DB8" w:rsidR="00057880" w:rsidP="00057880" w:rsidRDefault="00057880" w14:paraId="56E0F30E" w14:textId="77777777">
      <w:pPr>
        <w:spacing w:after="0" w:line="360" w:lineRule="auto"/>
        <w:ind w:left="567" w:right="539"/>
        <w:rPr>
          <w:rFonts w:eastAsia="Calibri" w:cs="Tahoma"/>
          <w:bCs/>
          <w:i/>
          <w:color w:val="auto"/>
          <w:sz w:val="20"/>
          <w:szCs w:val="20"/>
          <w:lang w:val="es-ES"/>
        </w:rPr>
      </w:pPr>
      <w:r w:rsidRPr="00860DB8">
        <w:rPr>
          <w:rFonts w:eastAsia="Calibri" w:cs="Tahoma"/>
          <w:bCs/>
          <w:i/>
          <w:color w:val="auto"/>
          <w:sz w:val="20"/>
          <w:szCs w:val="20"/>
          <w:lang w:val="es-ES"/>
        </w:rPr>
        <w:t>•</w:t>
      </w:r>
      <w:r w:rsidRPr="00860DB8">
        <w:rPr>
          <w:rFonts w:eastAsia="Calibri" w:cs="Tahoma"/>
          <w:bCs/>
          <w:i/>
          <w:color w:val="auto"/>
          <w:sz w:val="20"/>
          <w:szCs w:val="20"/>
          <w:lang w:val="es-ES"/>
        </w:rPr>
        <w:tab/>
      </w:r>
      <w:r w:rsidRPr="00860DB8">
        <w:rPr>
          <w:rFonts w:eastAsia="Calibri" w:cs="Tahoma"/>
          <w:bCs/>
          <w:i/>
          <w:color w:val="auto"/>
          <w:sz w:val="20"/>
          <w:szCs w:val="20"/>
          <w:lang w:val="es-ES"/>
        </w:rPr>
        <w:t>Especificaciones de conversión de la firma electrónica avanzada a Base 64.</w:t>
      </w:r>
    </w:p>
    <w:p w:rsidRPr="00860DB8" w:rsidR="00057880" w:rsidP="00057880" w:rsidRDefault="00057880" w14:paraId="0ED94192" w14:textId="77777777">
      <w:pPr>
        <w:spacing w:after="0" w:line="360" w:lineRule="auto"/>
        <w:ind w:left="567" w:right="539"/>
        <w:rPr>
          <w:rFonts w:eastAsia="Calibri" w:cs="Tahoma"/>
          <w:bCs/>
          <w:i/>
          <w:color w:val="auto"/>
          <w:sz w:val="20"/>
          <w:szCs w:val="20"/>
          <w:lang w:val="es-ES"/>
        </w:rPr>
      </w:pPr>
      <w:r w:rsidRPr="00860DB8">
        <w:rPr>
          <w:rFonts w:eastAsia="Calibri" w:cs="Tahoma"/>
          <w:bCs/>
          <w:i/>
          <w:color w:val="auto"/>
          <w:sz w:val="20"/>
          <w:szCs w:val="20"/>
          <w:lang w:val="es-ES"/>
        </w:rPr>
        <w:t>Para la generación de sellos digitales se utiliza criptografía de clave pública aplicada a una cadena original.</w:t>
      </w:r>
    </w:p>
    <w:p w:rsidRPr="00860DB8" w:rsidR="00057880" w:rsidP="00057880" w:rsidRDefault="00057880" w14:paraId="3FB53D94" w14:textId="77777777">
      <w:pPr>
        <w:spacing w:after="0" w:line="360" w:lineRule="auto"/>
        <w:ind w:left="567" w:right="539"/>
        <w:rPr>
          <w:rFonts w:eastAsia="Calibri" w:cs="Tahoma"/>
          <w:bCs/>
          <w:i/>
          <w:color w:val="auto"/>
          <w:sz w:val="20"/>
          <w:szCs w:val="20"/>
          <w:lang w:val="es-ES"/>
        </w:rPr>
      </w:pPr>
      <w:r w:rsidRPr="00860DB8">
        <w:rPr>
          <w:rFonts w:eastAsia="Calibri" w:cs="Tahoma"/>
          <w:bCs/>
          <w:i/>
          <w:color w:val="auto"/>
          <w:sz w:val="20"/>
          <w:szCs w:val="20"/>
          <w:lang w:val="es-ES"/>
        </w:rPr>
        <w:t>Criptografía de la Clave Pública</w:t>
      </w:r>
    </w:p>
    <w:p w:rsidRPr="00860DB8" w:rsidR="00057880" w:rsidP="00057880" w:rsidRDefault="00057880" w14:paraId="270831CE" w14:textId="77777777">
      <w:pPr>
        <w:spacing w:after="0" w:line="360" w:lineRule="auto"/>
        <w:ind w:left="567" w:right="539"/>
        <w:rPr>
          <w:rFonts w:eastAsia="Calibri" w:cs="Tahoma"/>
          <w:bCs/>
          <w:i/>
          <w:color w:val="auto"/>
          <w:sz w:val="20"/>
          <w:szCs w:val="20"/>
          <w:lang w:val="es-ES"/>
        </w:rPr>
      </w:pPr>
      <w:r w:rsidRPr="00860DB8">
        <w:rPr>
          <w:rFonts w:eastAsia="Calibri" w:cs="Tahoma"/>
          <w:bCs/>
          <w:i/>
          <w:color w:val="auto"/>
          <w:sz w:val="20"/>
          <w:szCs w:val="20"/>
          <w:lang w:val="es-ES"/>
        </w:rPr>
        <w:t xml:space="preserve">La criptografía de Clave Pública se basa en la generación de una pareja de números muy grandes relacionados íntimamente entre sí, de tal manera que una operación de </w:t>
      </w:r>
      <w:proofErr w:type="spellStart"/>
      <w:r w:rsidRPr="00860DB8">
        <w:rPr>
          <w:rFonts w:eastAsia="Calibri" w:cs="Tahoma"/>
          <w:bCs/>
          <w:i/>
          <w:color w:val="auto"/>
          <w:sz w:val="20"/>
          <w:szCs w:val="20"/>
          <w:lang w:val="es-ES"/>
        </w:rPr>
        <w:t>encripción</w:t>
      </w:r>
      <w:proofErr w:type="spellEnd"/>
      <w:r w:rsidRPr="00860DB8">
        <w:rPr>
          <w:rFonts w:eastAsia="Calibri" w:cs="Tahoma"/>
          <w:bCs/>
          <w:i/>
          <w:color w:val="auto"/>
          <w:sz w:val="20"/>
          <w:szCs w:val="20"/>
          <w:lang w:val="es-ES"/>
        </w:rPr>
        <w:t xml:space="preserve"> sobre un mensaje </w:t>
      </w:r>
      <w:r w:rsidRPr="00860DB8">
        <w:rPr>
          <w:rFonts w:eastAsia="Calibri" w:cs="Tahoma"/>
          <w:bCs/>
          <w:i/>
          <w:color w:val="auto"/>
          <w:sz w:val="20"/>
          <w:szCs w:val="20"/>
          <w:lang w:val="es-ES"/>
        </w:rPr>
        <w:lastRenderedPageBreak/>
        <w:t xml:space="preserve">tomando como clave de </w:t>
      </w:r>
      <w:proofErr w:type="spellStart"/>
      <w:r w:rsidRPr="00860DB8">
        <w:rPr>
          <w:rFonts w:eastAsia="Calibri" w:cs="Tahoma"/>
          <w:bCs/>
          <w:i/>
          <w:color w:val="auto"/>
          <w:sz w:val="20"/>
          <w:szCs w:val="20"/>
          <w:lang w:val="es-ES"/>
        </w:rPr>
        <w:t>encripción</w:t>
      </w:r>
      <w:proofErr w:type="spellEnd"/>
      <w:r w:rsidRPr="00860DB8">
        <w:rPr>
          <w:rFonts w:eastAsia="Calibri" w:cs="Tahoma"/>
          <w:bCs/>
          <w:i/>
          <w:color w:val="auto"/>
          <w:sz w:val="20"/>
          <w:szCs w:val="20"/>
          <w:lang w:val="es-ES"/>
        </w:rPr>
        <w:t xml:space="preserve"> a uno de los dos números, produce un mensaje alterado en su significado que solo puede ser devuelto a su estado original mediante la operación de </w:t>
      </w:r>
      <w:proofErr w:type="spellStart"/>
      <w:r w:rsidRPr="00860DB8">
        <w:rPr>
          <w:rFonts w:eastAsia="Calibri" w:cs="Tahoma"/>
          <w:bCs/>
          <w:i/>
          <w:color w:val="auto"/>
          <w:sz w:val="20"/>
          <w:szCs w:val="20"/>
          <w:lang w:val="es-ES"/>
        </w:rPr>
        <w:t>desencripción</w:t>
      </w:r>
      <w:proofErr w:type="spellEnd"/>
      <w:r w:rsidRPr="00860DB8">
        <w:rPr>
          <w:rFonts w:eastAsia="Calibri" w:cs="Tahoma"/>
          <w:bCs/>
          <w:i/>
          <w:color w:val="auto"/>
          <w:sz w:val="20"/>
          <w:szCs w:val="20"/>
          <w:lang w:val="es-ES"/>
        </w:rPr>
        <w:t xml:space="preserve"> correspondiente tomando como clave de </w:t>
      </w:r>
      <w:proofErr w:type="spellStart"/>
      <w:r w:rsidRPr="00860DB8">
        <w:rPr>
          <w:rFonts w:eastAsia="Calibri" w:cs="Tahoma"/>
          <w:bCs/>
          <w:i/>
          <w:color w:val="auto"/>
          <w:sz w:val="20"/>
          <w:szCs w:val="20"/>
          <w:lang w:val="es-ES"/>
        </w:rPr>
        <w:t>desencripción</w:t>
      </w:r>
      <w:proofErr w:type="spellEnd"/>
      <w:r w:rsidRPr="00860DB8">
        <w:rPr>
          <w:rFonts w:eastAsia="Calibri" w:cs="Tahoma"/>
          <w:bCs/>
          <w:i/>
          <w:color w:val="auto"/>
          <w:sz w:val="20"/>
          <w:szCs w:val="20"/>
          <w:lang w:val="es-ES"/>
        </w:rPr>
        <w:t xml:space="preserve"> al otro número de la pareja.</w:t>
      </w:r>
    </w:p>
    <w:p w:rsidRPr="00860DB8" w:rsidR="00057880" w:rsidP="00057880" w:rsidRDefault="00057880" w14:paraId="006B79EA" w14:textId="77777777">
      <w:pPr>
        <w:spacing w:after="0" w:line="360" w:lineRule="auto"/>
        <w:ind w:left="567" w:right="539"/>
        <w:rPr>
          <w:rFonts w:eastAsia="Calibri" w:cs="Tahoma"/>
          <w:bCs/>
          <w:i/>
          <w:color w:val="auto"/>
          <w:sz w:val="20"/>
          <w:szCs w:val="20"/>
          <w:lang w:val="es-ES"/>
        </w:rPr>
      </w:pPr>
      <w:r w:rsidRPr="00860DB8">
        <w:rPr>
          <w:rFonts w:eastAsia="Calibri" w:cs="Tahoma"/>
          <w:bCs/>
          <w:i/>
          <w:color w:val="auto"/>
          <w:sz w:val="20"/>
          <w:szCs w:val="20"/>
          <w:lang w:val="es-ES"/>
        </w:rPr>
        <w:t>…”</w:t>
      </w:r>
    </w:p>
    <w:p w:rsidRPr="00860DB8" w:rsidR="00057880" w:rsidP="00057880" w:rsidRDefault="00057880" w14:paraId="3630C3D3" w14:textId="77777777">
      <w:pPr>
        <w:spacing w:after="0" w:line="360" w:lineRule="auto"/>
        <w:rPr>
          <w:rFonts w:eastAsia="Times New Roman" w:cs="Tahoma"/>
          <w:bCs/>
          <w:color w:val="auto"/>
          <w:lang w:val="es-ES" w:eastAsia="es-ES"/>
        </w:rPr>
      </w:pPr>
      <w:r w:rsidRPr="00860DB8">
        <w:rPr>
          <w:rFonts w:eastAsia="Times New Roman" w:cs="Tahoma"/>
          <w:bCs/>
          <w:color w:val="auto"/>
          <w:lang w:val="es-ES" w:eastAsia="es-ES"/>
        </w:rPr>
        <w:t> </w:t>
      </w:r>
    </w:p>
    <w:p w:rsidRPr="00860DB8" w:rsidR="00057880" w:rsidP="00057880" w:rsidRDefault="00057880" w14:paraId="07D549E0" w14:textId="77777777">
      <w:pPr>
        <w:spacing w:after="0" w:line="360" w:lineRule="auto"/>
        <w:rPr>
          <w:rFonts w:eastAsia="Times New Roman" w:cs="Tahoma"/>
          <w:bCs/>
          <w:color w:val="auto"/>
          <w:lang w:val="es-ES" w:eastAsia="es-ES"/>
        </w:rPr>
      </w:pPr>
      <w:r w:rsidRPr="00860DB8">
        <w:rPr>
          <w:rFonts w:eastAsia="Times New Roman" w:cs="Tahoma"/>
          <w:bCs/>
          <w:color w:val="auto"/>
          <w:lang w:val="es-ES" w:eastAsia="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Pr="00860DB8" w:rsidR="00057880" w:rsidP="00057880" w:rsidRDefault="00057880" w14:paraId="1C7FDB9C" w14:textId="77777777">
      <w:pPr>
        <w:spacing w:after="0" w:line="360" w:lineRule="auto"/>
        <w:rPr>
          <w:rFonts w:eastAsia="Times New Roman" w:cs="Tahoma"/>
          <w:bCs/>
          <w:color w:val="auto"/>
          <w:lang w:val="es-ES" w:eastAsia="es-ES"/>
        </w:rPr>
      </w:pPr>
    </w:p>
    <w:p w:rsidRPr="00860DB8" w:rsidR="00057880" w:rsidP="00057880" w:rsidRDefault="00057880" w14:paraId="7018C337" w14:textId="77777777">
      <w:pPr>
        <w:spacing w:after="0" w:line="360" w:lineRule="auto"/>
        <w:rPr>
          <w:rFonts w:eastAsia="Times New Roman" w:cs="Tahoma"/>
          <w:bCs/>
          <w:color w:val="auto"/>
          <w:lang w:eastAsia="es-ES"/>
        </w:rPr>
      </w:pPr>
      <w:r w:rsidRPr="00860DB8">
        <w:rPr>
          <w:rFonts w:eastAsia="Times New Roman" w:cs="Tahoma"/>
          <w:bCs/>
          <w:color w:val="auto"/>
          <w:lang w:val="es-ES" w:eastAsia="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diecinueve de mayo de dos mil veintidós, a las once horas con diez minutos, en la página electrónica </w:t>
      </w:r>
      <w:hyperlink w:history="1" r:id="rId13">
        <w:r w:rsidRPr="00860DB8">
          <w:rPr>
            <w:rFonts w:eastAsia="Yu Gothic Light" w:cs="Tahoma"/>
            <w:bCs/>
            <w:color w:val="0563C1"/>
            <w:u w:val="single"/>
            <w:lang w:eastAsia="es-ES"/>
          </w:rPr>
          <w:t>https://portalanterior.ine.mx/archivos2/tutoriales/sistemas/ApoyoInstitucional/SIF/docs/candidatos/folioFiscalFactura.pdf</w:t>
        </w:r>
      </w:hyperlink>
      <w:r w:rsidRPr="00860DB8">
        <w:rPr>
          <w:rFonts w:eastAsia="Times New Roman" w:cs="Tahoma"/>
          <w:bCs/>
          <w:color w:val="auto"/>
          <w:lang w:val="es-ES" w:eastAsia="es-ES"/>
        </w:rPr>
        <w:t>), en la cual se advierte que únicamente se encuentra conformado por números, se muestra a continuación:</w:t>
      </w:r>
    </w:p>
    <w:p w:rsidRPr="00860DB8" w:rsidR="00057880" w:rsidP="00057880" w:rsidRDefault="00057880" w14:paraId="01060321" w14:textId="77777777">
      <w:pPr>
        <w:spacing w:after="0" w:line="360" w:lineRule="auto"/>
        <w:rPr>
          <w:rFonts w:eastAsia="Times New Roman" w:cs="Tahoma"/>
          <w:bCs/>
          <w:color w:val="auto"/>
          <w:lang w:val="es-ES" w:eastAsia="es-ES"/>
        </w:rPr>
      </w:pPr>
      <w:r w:rsidRPr="00860DB8">
        <w:rPr>
          <w:rFonts w:eastAsia="Times New Roman" w:cs="Tahoma"/>
          <w:bCs/>
          <w:color w:val="auto"/>
          <w:lang w:val="es-ES" w:eastAsia="es-ES"/>
        </w:rPr>
        <w:t> </w:t>
      </w:r>
    </w:p>
    <w:p w:rsidRPr="00860DB8" w:rsidR="00057880" w:rsidP="00057880" w:rsidRDefault="00057880" w14:paraId="5EB2BD10" w14:textId="77777777">
      <w:pPr>
        <w:spacing w:after="0" w:line="360" w:lineRule="auto"/>
        <w:jc w:val="center"/>
        <w:rPr>
          <w:rFonts w:eastAsia="Times New Roman" w:cs="Tahoma"/>
          <w:bCs/>
          <w:color w:val="auto"/>
          <w:lang w:eastAsia="es-ES"/>
        </w:rPr>
      </w:pPr>
      <w:r w:rsidRPr="00860DB8">
        <w:rPr>
          <w:rFonts w:eastAsia="Calibri" w:cs="Times New Roman"/>
          <w:noProof/>
          <w:lang w:eastAsia="es-MX"/>
        </w:rPr>
        <mc:AlternateContent>
          <mc:Choice Requires="wps">
            <w:drawing>
              <wp:anchor distT="0" distB="0" distL="114300" distR="114300" simplePos="0" relativeHeight="251659264" behindDoc="0" locked="0" layoutInCell="1" allowOverlap="1" wp14:anchorId="043D4FB0" wp14:editId="3F26C810">
                <wp:simplePos x="0" y="0"/>
                <wp:positionH relativeFrom="column">
                  <wp:posOffset>163195</wp:posOffset>
                </wp:positionH>
                <wp:positionV relativeFrom="paragraph">
                  <wp:posOffset>859155</wp:posOffset>
                </wp:positionV>
                <wp:extent cx="3648075" cy="228600"/>
                <wp:effectExtent l="19050" t="19050" r="28575" b="19050"/>
                <wp:wrapNone/>
                <wp:docPr id="39" name="Rectángulo 20"/>
                <wp:cNvGraphicFramePr/>
                <a:graphic xmlns:a="http://schemas.openxmlformats.org/drawingml/2006/main">
                  <a:graphicData uri="http://schemas.microsoft.com/office/word/2010/wordprocessingShape">
                    <wps:wsp>
                      <wps:cNvSpPr/>
                      <wps:spPr>
                        <a:xfrm>
                          <a:off x="0" y="0"/>
                          <a:ext cx="3648075" cy="22860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w14:anchorId="5BD9F96E">
              <v:rect id="Rectángulo 20" style="position:absolute;margin-left:12.85pt;margin-top:67.65pt;width:28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10285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"/>
            </w:pict>
          </mc:Fallback>
        </mc:AlternateContent>
      </w:r>
      <w:r w:rsidRPr="00860DB8">
        <w:rPr>
          <w:rFonts w:eastAsia="Times New Roman" w:cs="Tahoma"/>
          <w:noProof/>
          <w:color w:val="auto"/>
          <w:lang w:eastAsia="es-MX"/>
        </w:rPr>
        <w:drawing>
          <wp:inline distT="0" distB="0" distL="0" distR="0" wp14:anchorId="4DD5DF55" wp14:editId="20E5B1B2">
            <wp:extent cx="5753100" cy="1114425"/>
            <wp:effectExtent l="0" t="0" r="0" b="952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1114425"/>
                    </a:xfrm>
                    <a:prstGeom prst="rect">
                      <a:avLst/>
                    </a:prstGeom>
                    <a:noFill/>
                    <a:ln>
                      <a:noFill/>
                    </a:ln>
                  </pic:spPr>
                </pic:pic>
              </a:graphicData>
            </a:graphic>
          </wp:inline>
        </w:drawing>
      </w:r>
    </w:p>
    <w:p w:rsidRPr="00860DB8" w:rsidR="00057880" w:rsidP="00057880" w:rsidRDefault="00057880" w14:paraId="0A0BF1DF" w14:textId="77777777">
      <w:pPr>
        <w:spacing w:after="0" w:line="360" w:lineRule="auto"/>
        <w:rPr>
          <w:rFonts w:eastAsia="Times New Roman" w:cs="Tahoma"/>
          <w:bCs/>
          <w:color w:val="auto"/>
          <w:lang w:val="es-ES" w:eastAsia="es-ES"/>
        </w:rPr>
      </w:pPr>
      <w:r w:rsidRPr="00860DB8">
        <w:rPr>
          <w:rFonts w:eastAsia="Times New Roman" w:cs="Tahoma"/>
          <w:bCs/>
          <w:color w:val="auto"/>
          <w:lang w:val="es-ES" w:eastAsia="es-ES"/>
        </w:rPr>
        <w:lastRenderedPageBreak/>
        <w:t> </w:t>
      </w:r>
    </w:p>
    <w:p w:rsidRPr="00860DB8" w:rsidR="00057880" w:rsidP="00057880" w:rsidRDefault="00057880" w14:paraId="074ABBE7" w14:textId="77777777">
      <w:pPr>
        <w:spacing w:after="0" w:line="360" w:lineRule="auto"/>
        <w:rPr>
          <w:rFonts w:eastAsia="Times New Roman" w:cs="Tahoma"/>
          <w:color w:val="auto"/>
          <w:lang w:val="es-ES" w:eastAsia="es-ES"/>
        </w:rPr>
      </w:pPr>
      <w:r w:rsidRPr="00860DB8">
        <w:rPr>
          <w:rFonts w:eastAsia="Times New Roman" w:cs="Tahoma"/>
          <w:bCs/>
          <w:color w:val="auto"/>
          <w:lang w:val="es-ES" w:eastAsia="es-ES"/>
        </w:rPr>
        <w:t>Como se logra observar, los números de serie del certificado de sello digital no contiene datos personales y con dichos dígitos tampoco se puede obtener información de carácter confidencial,</w:t>
      </w:r>
      <w:r w:rsidRPr="00860DB8">
        <w:rPr>
          <w:rFonts w:eastAsia="Times New Roman" w:cs="Tahoma"/>
          <w:b/>
          <w:bCs/>
          <w:color w:val="auto"/>
          <w:lang w:val="es-ES" w:eastAsia="es-ES"/>
        </w:rPr>
        <w:t xml:space="preserve"> </w:t>
      </w:r>
      <w:r w:rsidRPr="00860DB8">
        <w:rPr>
          <w:rFonts w:eastAsia="Times New Roman" w:cs="Tahoma"/>
          <w:color w:val="auto"/>
          <w:lang w:val="es-ES" w:eastAsia="es-ES"/>
        </w:rPr>
        <w:t>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Pr="00860DB8" w:rsidR="00057880" w:rsidP="00057880" w:rsidRDefault="00057880" w14:paraId="59172FC2" w14:textId="77777777">
      <w:pPr>
        <w:spacing w:after="0" w:line="360" w:lineRule="auto"/>
        <w:rPr>
          <w:rFonts w:eastAsia="Times New Roman" w:cs="Tahoma"/>
          <w:bCs/>
          <w:color w:val="auto"/>
          <w:lang w:val="es-ES" w:eastAsia="es-ES"/>
        </w:rPr>
      </w:pPr>
      <w:r w:rsidRPr="00860DB8">
        <w:rPr>
          <w:rFonts w:eastAsia="Times New Roman" w:cs="Tahoma"/>
          <w:bCs/>
          <w:color w:val="auto"/>
          <w:lang w:val="es-ES" w:eastAsia="es-ES"/>
        </w:rPr>
        <w:t> </w:t>
      </w:r>
    </w:p>
    <w:p w:rsidRPr="00860DB8" w:rsidR="00057880" w:rsidP="00057880" w:rsidRDefault="00057880" w14:paraId="69901112" w14:textId="77777777">
      <w:pPr>
        <w:spacing w:after="0" w:line="360" w:lineRule="auto"/>
        <w:rPr>
          <w:rFonts w:eastAsia="Times New Roman" w:cs="Tahoma"/>
          <w:bCs/>
          <w:color w:val="auto"/>
          <w:lang w:val="es-ES" w:eastAsia="es-ES"/>
        </w:rPr>
      </w:pPr>
      <w:r w:rsidRPr="00860DB8">
        <w:rPr>
          <w:rFonts w:eastAsia="Times New Roman" w:cs="Tahoma"/>
          <w:bCs/>
          <w:color w:val="auto"/>
          <w:lang w:val="es-ES" w:eastAsia="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Pr="00860DB8" w:rsidR="00057880" w:rsidP="00057880" w:rsidRDefault="00057880" w14:paraId="56EBD972" w14:textId="77777777">
      <w:pPr>
        <w:spacing w:after="0" w:line="360" w:lineRule="auto"/>
        <w:rPr>
          <w:rFonts w:eastAsia="Times New Roman" w:cs="Tahoma"/>
          <w:bCs/>
          <w:color w:val="auto"/>
          <w:lang w:val="es-ES" w:eastAsia="es-ES"/>
        </w:rPr>
      </w:pPr>
      <w:r w:rsidRPr="00860DB8">
        <w:rPr>
          <w:rFonts w:eastAsia="Times New Roman" w:cs="Tahoma"/>
          <w:bCs/>
          <w:color w:val="auto"/>
          <w:lang w:val="es-ES" w:eastAsia="es-ES"/>
        </w:rPr>
        <w:t> </w:t>
      </w:r>
    </w:p>
    <w:p w:rsidRPr="00860DB8" w:rsidR="00057880" w:rsidP="00057880" w:rsidRDefault="00057880" w14:paraId="3101D88F" w14:textId="77777777">
      <w:pPr>
        <w:spacing w:after="0" w:line="360" w:lineRule="auto"/>
        <w:jc w:val="center"/>
        <w:rPr>
          <w:rFonts w:eastAsia="Times New Roman" w:cs="Tahoma"/>
          <w:bCs/>
          <w:color w:val="auto"/>
          <w:lang w:eastAsia="es-ES"/>
        </w:rPr>
      </w:pPr>
      <w:r w:rsidRPr="00860DB8">
        <w:rPr>
          <w:rFonts w:eastAsia="Times New Roman" w:cs="Tahoma"/>
          <w:noProof/>
          <w:color w:val="auto"/>
          <w:lang w:eastAsia="es-MX"/>
        </w:rPr>
        <w:drawing>
          <wp:inline distT="0" distB="0" distL="0" distR="0" wp14:anchorId="26DED022" wp14:editId="4CE3735B">
            <wp:extent cx="5467350" cy="1228725"/>
            <wp:effectExtent l="0" t="0" r="0" b="952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b="47096"/>
                    <a:stretch>
                      <a:fillRect/>
                    </a:stretch>
                  </pic:blipFill>
                  <pic:spPr bwMode="auto">
                    <a:xfrm>
                      <a:off x="0" y="0"/>
                      <a:ext cx="5467350" cy="1228725"/>
                    </a:xfrm>
                    <a:prstGeom prst="rect">
                      <a:avLst/>
                    </a:prstGeom>
                    <a:noFill/>
                    <a:ln>
                      <a:noFill/>
                    </a:ln>
                  </pic:spPr>
                </pic:pic>
              </a:graphicData>
            </a:graphic>
          </wp:inline>
        </w:drawing>
      </w:r>
    </w:p>
    <w:p w:rsidRPr="00860DB8" w:rsidR="00057880" w:rsidP="00057880" w:rsidRDefault="00057880" w14:paraId="2EDDC03D" w14:textId="77777777">
      <w:pPr>
        <w:spacing w:after="0" w:line="360" w:lineRule="auto"/>
        <w:jc w:val="center"/>
        <w:rPr>
          <w:rFonts w:eastAsia="Times New Roman" w:cs="Tahoma"/>
          <w:bCs/>
          <w:color w:val="auto"/>
          <w:lang w:eastAsia="es-ES"/>
        </w:rPr>
      </w:pPr>
    </w:p>
    <w:p w:rsidRPr="00860DB8" w:rsidR="00057880" w:rsidP="00057880" w:rsidRDefault="00057880" w14:paraId="0C24B948" w14:textId="77777777">
      <w:pPr>
        <w:spacing w:after="0" w:line="360" w:lineRule="auto"/>
        <w:rPr>
          <w:rFonts w:eastAsia="Times New Roman" w:cs="Tahoma"/>
          <w:bCs/>
          <w:color w:val="auto"/>
          <w:lang w:val="es-ES" w:eastAsia="es-ES"/>
        </w:rPr>
      </w:pPr>
      <w:r w:rsidRPr="00860DB8">
        <w:rPr>
          <w:rFonts w:eastAsia="Times New Roman" w:cs="Tahoma"/>
          <w:bCs/>
          <w:color w:val="auto"/>
          <w:lang w:val="es-ES" w:eastAsia="es-ES"/>
        </w:rPr>
        <w:t xml:space="preserve">En ese contexto, de la misma manera que en los casos previamente analizados, </w:t>
      </w:r>
      <w:r w:rsidRPr="00860DB8">
        <w:rPr>
          <w:rFonts w:eastAsia="Times New Roman" w:cs="Tahoma"/>
          <w:color w:val="auto"/>
          <w:lang w:val="es-ES" w:eastAsia="es-ES"/>
        </w:rPr>
        <w:t xml:space="preserve">el folio fiscal, no contiene datos personales del emisor y tampoco se puede obtener información confidencial con el mismo, pues solamente es un identificador del emisor, del cual su transparencia ayuda a legitimar que el documento cumple con todos los requisitos </w:t>
      </w:r>
      <w:r w:rsidRPr="00860DB8">
        <w:rPr>
          <w:rFonts w:eastAsia="Times New Roman" w:cs="Tahoma"/>
          <w:color w:val="auto"/>
          <w:lang w:val="es-ES" w:eastAsia="es-ES"/>
        </w:rPr>
        <w:lastRenderedPageBreak/>
        <w:t>establecidos en la normatividad aplicable, sin necesidad algún dato personal, por lo que, tampoco actualiza la clasificación, en términos del artículo 143, fracción I de la Ley de la materia.</w:t>
      </w:r>
    </w:p>
    <w:p w:rsidRPr="00860DB8" w:rsidR="00057880" w:rsidP="00057880" w:rsidRDefault="00057880" w14:paraId="77E4BFD1" w14:textId="77777777">
      <w:pPr>
        <w:tabs>
          <w:tab w:val="left" w:pos="4962"/>
        </w:tabs>
        <w:spacing w:after="0" w:line="360" w:lineRule="auto"/>
        <w:rPr>
          <w:rFonts w:cs="Tahoma"/>
          <w:bCs/>
          <w:iCs/>
        </w:rPr>
      </w:pPr>
    </w:p>
    <w:p w:rsidRPr="00860DB8" w:rsidR="00057880" w:rsidP="00057880" w:rsidRDefault="00057880" w14:paraId="1D9FABC4" w14:textId="77777777">
      <w:pPr>
        <w:spacing w:after="0" w:line="360" w:lineRule="auto"/>
        <w:rPr>
          <w:rFonts w:eastAsia="Times New Roman" w:cs="Tahoma"/>
          <w:color w:val="auto"/>
          <w:lang w:eastAsia="es-ES"/>
        </w:rPr>
      </w:pPr>
      <w:r w:rsidRPr="00860DB8">
        <w:rPr>
          <w:rFonts w:eastAsia="Times New Roman" w:cs="Tahoma"/>
          <w:color w:val="auto"/>
          <w:lang w:eastAsia="es-ES"/>
        </w:rPr>
        <w:t xml:space="preserve">Ahora bien, por lo que hace al número de serie y folio interno, </w:t>
      </w:r>
      <w:r w:rsidRPr="00860DB8">
        <w:rPr>
          <w:rFonts w:eastAsia="Times New Roman" w:cs="Tahoma"/>
          <w:bCs/>
          <w:color w:val="auto"/>
          <w:lang w:val="es-ES" w:eastAsia="es-ES"/>
        </w:rPr>
        <w:t xml:space="preserve">la Guía de llenado del CFDI global Versión 3.3 del CFDI, emitida por el Servicio de Administración Tributaria (consultada el dieciséis de febrero de dos mil veintiuno, a las dieciocho horas, en la página electrónica </w:t>
      </w:r>
      <w:hyperlink w:history="1" r:id="rId16">
        <w:r w:rsidRPr="00860DB8">
          <w:rPr>
            <w:rFonts w:eastAsia="Times New Roman" w:cs="Tahoma"/>
            <w:bCs/>
            <w:color w:val="0563C1" w:themeColor="hyperlink"/>
            <w:u w:val="single"/>
            <w:lang w:val="es-ES" w:eastAsia="es-ES"/>
          </w:rPr>
          <w:t>http://omawww.sat.gob.mx/factura/Paginas/documentos/GuiaAnexo20Global.pdf</w:t>
        </w:r>
      </w:hyperlink>
      <w:r w:rsidRPr="00860DB8">
        <w:rPr>
          <w:rFonts w:eastAsia="Times New Roman" w:cs="Tahoma"/>
          <w:bCs/>
          <w:color w:val="auto"/>
          <w:lang w:val="es-ES" w:eastAsia="es-ES"/>
        </w:rPr>
        <w:t>), prevé que es el número que utiliza el contribuyente para control interno de su información; mientras que el segundo es el número de control que se le asigna al comprobante; por lo que, ambos corresponden a dígitos que si bien determina el Ayuntamiento de Toluca,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rsidRPr="00860DB8" w:rsidR="00057880" w:rsidP="00057880" w:rsidRDefault="00057880" w14:paraId="118D34FB" w14:textId="77777777">
      <w:pPr>
        <w:spacing w:after="0" w:line="360" w:lineRule="auto"/>
        <w:rPr>
          <w:rFonts w:eastAsia="Times New Roman" w:cs="Tahoma"/>
          <w:color w:val="auto"/>
          <w:lang w:eastAsia="es-ES"/>
        </w:rPr>
      </w:pPr>
    </w:p>
    <w:p w:rsidRPr="00860DB8" w:rsidR="00057880" w:rsidP="00057880" w:rsidRDefault="00057880" w14:paraId="71362C31" w14:textId="77777777">
      <w:pPr>
        <w:spacing w:after="0" w:line="360" w:lineRule="auto"/>
        <w:rPr>
          <w:rFonts w:eastAsia="Times New Roman" w:cs="Tahoma"/>
          <w:bCs/>
          <w:color w:val="auto"/>
          <w:lang w:eastAsia="es-MX"/>
        </w:rPr>
      </w:pPr>
      <w:r w:rsidRPr="00860DB8">
        <w:rPr>
          <w:rFonts w:eastAsia="Times New Roman" w:cs="Tahoma"/>
          <w:bCs/>
          <w:color w:val="auto"/>
          <w:lang w:eastAsia="es-MX"/>
        </w:rPr>
        <w:t>Ahora bien, como se mencionó en párrafos anteriores, para el caso que los datos analizados en el presente caso, contenga datos como la Clave Única de Registro de Población, el Registro Federal de Contribuyentes o Cuenta Bancaria de servidores públicos, deberá clasificarlos en términos del artículo 143, fracción I, de la Ley de Transparencia y Acceso a la Información Pública del Estado de México y Municipios.</w:t>
      </w:r>
    </w:p>
    <w:p w:rsidRPr="00860DB8" w:rsidR="00057880" w:rsidP="00057880" w:rsidRDefault="00057880" w14:paraId="464A37AE" w14:textId="77777777">
      <w:pPr>
        <w:spacing w:after="0" w:line="360" w:lineRule="auto"/>
        <w:rPr>
          <w:rFonts w:cs="Tahoma"/>
          <w:bCs/>
          <w:iCs/>
        </w:rPr>
      </w:pPr>
    </w:p>
    <w:p w:rsidRPr="00860DB8" w:rsidR="00057880" w:rsidP="00057880" w:rsidRDefault="00057880" w14:paraId="2846ECFF" w14:textId="77777777">
      <w:pPr>
        <w:numPr>
          <w:ilvl w:val="0"/>
          <w:numId w:val="13"/>
        </w:numPr>
        <w:spacing w:after="0" w:line="360" w:lineRule="auto"/>
        <w:rPr>
          <w:rFonts w:eastAsia="Calibri" w:cs="Tahoma"/>
          <w:b/>
          <w:bCs/>
          <w:iCs/>
          <w:color w:val="auto"/>
          <w:lang w:val="es-ES_tradnl"/>
        </w:rPr>
      </w:pPr>
      <w:r w:rsidRPr="00860DB8">
        <w:rPr>
          <w:rFonts w:eastAsia="Calibri" w:cs="Tahoma"/>
          <w:b/>
          <w:bCs/>
          <w:iCs/>
          <w:color w:val="auto"/>
        </w:rPr>
        <w:t>Registro Patronal del Instituto de Seguridad y Servicios Sociales del Estado de México y Municipios.</w:t>
      </w:r>
    </w:p>
    <w:p w:rsidRPr="00860DB8" w:rsidR="00057880" w:rsidP="00057880" w:rsidRDefault="00057880" w14:paraId="43FEC3DC" w14:textId="77777777">
      <w:pPr>
        <w:spacing w:after="0" w:line="360" w:lineRule="auto"/>
        <w:rPr>
          <w:rFonts w:eastAsia="Calibri" w:cs="Tahoma"/>
          <w:b/>
          <w:bCs/>
          <w:iCs/>
          <w:color w:val="auto"/>
        </w:rPr>
      </w:pPr>
    </w:p>
    <w:p w:rsidRPr="00860DB8" w:rsidR="00057880" w:rsidP="00057880" w:rsidRDefault="00057880" w14:paraId="1FACA4DE" w14:textId="6F72FE91">
      <w:pPr>
        <w:spacing w:after="0" w:line="360" w:lineRule="auto"/>
        <w:rPr>
          <w:rFonts w:eastAsia="Times New Roman" w:cs="Tahoma"/>
          <w:color w:val="auto"/>
          <w:lang w:eastAsia="es-ES"/>
        </w:rPr>
      </w:pPr>
      <w:r w:rsidRPr="00860DB8">
        <w:rPr>
          <w:rFonts w:eastAsia="Times New Roman" w:cs="Tahoma"/>
          <w:color w:val="auto"/>
          <w:lang w:eastAsia="es-ES"/>
        </w:rPr>
        <w:t xml:space="preserve">En principio, es de precisar que se trata del número de registro patronal otorgado por el Instituto de Seguridad Social del Estado de México y Municipios (ISSEMYM) al </w:t>
      </w:r>
      <w:r w:rsidRPr="00860DB8" w:rsidR="0051317D">
        <w:rPr>
          <w:rFonts w:eastAsia="Times New Roman" w:cs="Tahoma"/>
          <w:color w:val="auto"/>
          <w:lang w:eastAsia="es-ES"/>
        </w:rPr>
        <w:t xml:space="preserve">Ayuntamiento de </w:t>
      </w:r>
      <w:proofErr w:type="spellStart"/>
      <w:r w:rsidRPr="00860DB8" w:rsidR="0051317D">
        <w:rPr>
          <w:rFonts w:eastAsia="Times New Roman" w:cs="Tahoma"/>
          <w:color w:val="auto"/>
          <w:lang w:eastAsia="es-ES"/>
        </w:rPr>
        <w:t>Jilotzingo</w:t>
      </w:r>
      <w:proofErr w:type="spellEnd"/>
      <w:r w:rsidRPr="00860DB8">
        <w:rPr>
          <w:rFonts w:eastAsia="Times New Roman" w:cs="Tahoma"/>
          <w:color w:val="auto"/>
          <w:lang w:eastAsia="es-ES"/>
        </w:rPr>
        <w:t>, en su calidad de patrón.</w:t>
      </w:r>
    </w:p>
    <w:p w:rsidRPr="00860DB8" w:rsidR="00057880" w:rsidP="00057880" w:rsidRDefault="00057880" w14:paraId="3D3D993D" w14:textId="77777777">
      <w:pPr>
        <w:spacing w:after="0" w:line="360" w:lineRule="auto"/>
        <w:rPr>
          <w:rFonts w:eastAsia="Times New Roman" w:cs="Tahoma"/>
          <w:color w:val="auto"/>
          <w:lang w:eastAsia="es-ES"/>
        </w:rPr>
      </w:pPr>
      <w:r w:rsidRPr="00860DB8">
        <w:rPr>
          <w:rFonts w:eastAsia="Times New Roman" w:cs="Tahoma"/>
          <w:color w:val="auto"/>
          <w:lang w:eastAsia="es-ES"/>
        </w:rPr>
        <w:lastRenderedPageBreak/>
        <w:t>Ahora bien, el número de registro patronal es el número que se otorga a las instituciones públicas que solicitan su inscripción ante el Instituto de Seguridad Social del Estado de México y Municipios y que tengan contratados trabajadores; por lo que, el mismo identifica individualmente a cada entidad gubernamental o municipal.</w:t>
      </w:r>
    </w:p>
    <w:p w:rsidRPr="00860DB8" w:rsidR="00057880" w:rsidP="00057880" w:rsidRDefault="00057880" w14:paraId="7F2C82A9" w14:textId="77777777">
      <w:pPr>
        <w:spacing w:after="0" w:line="360" w:lineRule="auto"/>
        <w:rPr>
          <w:rFonts w:eastAsia="Times New Roman" w:cs="Tahoma"/>
          <w:color w:val="auto"/>
          <w:lang w:eastAsia="es-ES"/>
        </w:rPr>
      </w:pPr>
    </w:p>
    <w:p w:rsidRPr="00860DB8" w:rsidR="00057880" w:rsidP="00057880" w:rsidRDefault="00057880" w14:paraId="699D94DD" w14:textId="77777777">
      <w:pPr>
        <w:spacing w:after="0" w:line="360" w:lineRule="auto"/>
        <w:rPr>
          <w:rFonts w:eastAsia="Times New Roman" w:cs="Tahoma"/>
          <w:color w:val="auto"/>
          <w:lang w:eastAsia="es-ES"/>
        </w:rPr>
      </w:pPr>
      <w:r w:rsidRPr="00860DB8">
        <w:rPr>
          <w:rFonts w:eastAsia="Times New Roman" w:cs="Tahoma"/>
          <w:color w:val="auto"/>
          <w:lang w:eastAsia="es-ES"/>
        </w:rPr>
        <w:t>En ese contexto, el número de registro del Ayuntamiento de Tultitlán, no se considera un dato confidencial, pues corresponde al número otorgado por dicho Instituto al Sujeto Obligado, como medio de identificación; además, se considera que dicho dato favorece la rendición de cuentas pues da cuenta de que el Municipio se encuentra debidamente registrado ante este, para cumplir con sus obligaciones, mismas que se pagan con recursos públicos.</w:t>
      </w:r>
    </w:p>
    <w:p w:rsidRPr="00860DB8" w:rsidR="00057880" w:rsidP="00057880" w:rsidRDefault="00057880" w14:paraId="5D64CBB5" w14:textId="77777777">
      <w:pPr>
        <w:spacing w:after="0" w:line="360" w:lineRule="auto"/>
        <w:rPr>
          <w:rFonts w:eastAsia="Times New Roman" w:cs="Tahoma"/>
          <w:bCs/>
          <w:color w:val="auto"/>
          <w:lang w:eastAsia="es-MX"/>
        </w:rPr>
      </w:pPr>
    </w:p>
    <w:p w:rsidRPr="00860DB8" w:rsidR="00057880" w:rsidP="00057880" w:rsidRDefault="00057880" w14:paraId="7EE7CE65" w14:textId="77777777">
      <w:pPr>
        <w:spacing w:after="0" w:line="360" w:lineRule="auto"/>
        <w:rPr>
          <w:rFonts w:eastAsia="Times New Roman" w:cs="Tahoma"/>
          <w:color w:val="auto"/>
          <w:lang w:eastAsia="es-ES"/>
        </w:rPr>
      </w:pPr>
      <w:r w:rsidRPr="00860DB8">
        <w:rPr>
          <w:rFonts w:eastAsia="Times New Roman" w:cs="Tahoma"/>
          <w:color w:val="auto"/>
          <w:lang w:eastAsia="es-ES"/>
        </w:rPr>
        <w:t xml:space="preserve">Así, se considera que el Registro Patronal del Ayuntamiento, está conformado únicamente por una serie de números, de los cuales no se logra advertir la forma en que dicho dato puede ser considerado confidencial; inclusive, resulta aplicable la excepción establecida en el artículo 143, último párrafo, de la Ley de la materia, </w:t>
      </w:r>
      <w:r w:rsidRPr="00860DB8">
        <w:rPr>
          <w:rFonts w:eastAsia="Times New Roman" w:cs="Tahoma"/>
          <w:b/>
          <w:color w:val="auto"/>
          <w:lang w:eastAsia="es-ES"/>
        </w:rPr>
        <w:t>que precisa que no se considerara confidencial  la información que se encuentra en registros públicos o fuentes de acceso público,</w:t>
      </w:r>
      <w:r w:rsidRPr="00860DB8">
        <w:rPr>
          <w:rFonts w:eastAsia="Times New Roman" w:cs="Tahoma"/>
          <w:color w:val="auto"/>
          <w:lang w:eastAsia="es-ES"/>
        </w:rPr>
        <w:t xml:space="preserve"> que aplica en el caso en concreto y por lo tanto, resulta improcedente la clasificación de dicho dato.</w:t>
      </w:r>
    </w:p>
    <w:p w:rsidRPr="00860DB8" w:rsidR="00057880" w:rsidP="00057880" w:rsidRDefault="00057880" w14:paraId="1DE5EB42" w14:textId="77777777">
      <w:pPr>
        <w:spacing w:after="0" w:line="360" w:lineRule="auto"/>
        <w:rPr>
          <w:rFonts w:cs="Tahoma"/>
          <w:bCs/>
          <w:iCs/>
        </w:rPr>
      </w:pPr>
    </w:p>
    <w:p w:rsidRPr="00860DB8" w:rsidR="00057880" w:rsidP="00057880" w:rsidRDefault="00057880" w14:paraId="187F127A" w14:textId="77777777">
      <w:pPr>
        <w:numPr>
          <w:ilvl w:val="0"/>
          <w:numId w:val="13"/>
        </w:numPr>
        <w:spacing w:after="0" w:line="360" w:lineRule="auto"/>
        <w:rPr>
          <w:b/>
          <w:bCs/>
          <w:iCs/>
        </w:rPr>
      </w:pPr>
      <w:r w:rsidRPr="00860DB8">
        <w:rPr>
          <w:b/>
          <w:bCs/>
          <w:iCs/>
        </w:rPr>
        <w:t>Nombre de institución bancaria.</w:t>
      </w:r>
    </w:p>
    <w:p w:rsidRPr="00860DB8" w:rsidR="00057880" w:rsidP="00057880" w:rsidRDefault="00057880" w14:paraId="5DF4A171" w14:textId="77777777">
      <w:pPr>
        <w:spacing w:after="0" w:line="360" w:lineRule="auto"/>
        <w:rPr>
          <w:bCs/>
        </w:rPr>
      </w:pPr>
    </w:p>
    <w:p w:rsidRPr="00860DB8" w:rsidR="00057880" w:rsidP="00057880" w:rsidRDefault="00057880" w14:paraId="0CE26510" w14:textId="77777777">
      <w:pPr>
        <w:spacing w:after="0" w:line="360" w:lineRule="auto"/>
        <w:rPr>
          <w:bCs/>
        </w:rPr>
      </w:pPr>
      <w:r w:rsidRPr="00860DB8">
        <w:rPr>
          <w:bCs/>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w:t>
      </w:r>
      <w:r w:rsidRPr="00860DB8">
        <w:rPr>
          <w:bCs/>
        </w:rPr>
        <w:lastRenderedPageBreak/>
        <w:t>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rsidRPr="00860DB8" w:rsidR="00057880" w:rsidP="00057880" w:rsidRDefault="00057880" w14:paraId="644BD7B3" w14:textId="77777777">
      <w:pPr>
        <w:spacing w:after="0" w:line="360" w:lineRule="auto"/>
        <w:rPr>
          <w:bCs/>
        </w:rPr>
      </w:pPr>
    </w:p>
    <w:p w:rsidRPr="00860DB8" w:rsidR="00057880" w:rsidP="00057880" w:rsidRDefault="00057880" w14:paraId="4C9ED368" w14:textId="77777777">
      <w:pPr>
        <w:spacing w:after="0" w:line="360" w:lineRule="auto"/>
        <w:rPr>
          <w:bCs/>
        </w:rPr>
      </w:pPr>
      <w:r w:rsidRPr="00860DB8">
        <w:rPr>
          <w:bCs/>
        </w:rPr>
        <w:t>En ese orden de ideas, en el portal de la Comisión Nacional para la Protección y Defensa de los Usuarios de Servicios Financieros (</w:t>
      </w:r>
      <w:r w:rsidRPr="00860DB8">
        <w:rPr>
          <w:bCs/>
          <w:iCs/>
        </w:rPr>
        <w:t>consultadas el dieciocho de enero de dos mil veintitrés),</w:t>
      </w:r>
      <w:r w:rsidRPr="00860DB8">
        <w:rPr>
          <w:bCs/>
        </w:rPr>
        <w:t xml:space="preserve">en </w:t>
      </w:r>
      <w:hyperlink w:history="1" r:id="rId17">
        <w:r w:rsidRPr="00860DB8">
          <w:rPr>
            <w:rStyle w:val="Hipervnculo"/>
            <w:bCs/>
          </w:rPr>
          <w:t>https://www.condusef.gob.mx/Revista/index.php/usuario-inteligente/condusef-responde/777-la-condusef-te-puede-ayudar</w:t>
        </w:r>
      </w:hyperlink>
      <w:r w:rsidRPr="00860DB8">
        <w:rPr>
          <w:bCs/>
        </w:rPr>
        <w:t>), se establece que los bancos son instituciones financieras; conforme a lo anterior, se puede advertir que las instituciones bancarias, son personas morales.</w:t>
      </w:r>
    </w:p>
    <w:p w:rsidRPr="00860DB8" w:rsidR="00057880" w:rsidP="00057880" w:rsidRDefault="00057880" w14:paraId="04210D68" w14:textId="77777777">
      <w:pPr>
        <w:spacing w:after="0" w:line="360" w:lineRule="auto"/>
        <w:rPr>
          <w:bCs/>
        </w:rPr>
      </w:pPr>
    </w:p>
    <w:p w:rsidRPr="00860DB8" w:rsidR="00057880" w:rsidP="00057880" w:rsidRDefault="00057880" w14:paraId="030C1358" w14:textId="77777777">
      <w:pPr>
        <w:spacing w:after="0" w:line="360" w:lineRule="auto"/>
        <w:rPr>
          <w:bCs/>
        </w:rPr>
      </w:pPr>
      <w:r w:rsidRPr="00860DB8">
        <w:rPr>
          <w:bCs/>
        </w:rPr>
        <w:t>En ese orden de ideas, se considera que la denominación o razón social de una persona moral, es pública, pues dichos datos se encuentran inscritos en el Registro Público del Comercio; lo anterior, toma sustento en el Criterio 08/19 emitido por el Instituto Nacional de Transparencia, Acceso a la Información y Protección de Datos Personales previamente referido.</w:t>
      </w:r>
    </w:p>
    <w:p w:rsidRPr="00860DB8" w:rsidR="00057880" w:rsidP="00057880" w:rsidRDefault="00057880" w14:paraId="014ED22B" w14:textId="77777777">
      <w:pPr>
        <w:spacing w:after="0" w:line="360" w:lineRule="auto"/>
        <w:rPr>
          <w:bCs/>
        </w:rPr>
      </w:pPr>
    </w:p>
    <w:p w:rsidRPr="00860DB8" w:rsidR="00057880" w:rsidP="00057880" w:rsidRDefault="00057880" w14:paraId="47E15BC4" w14:textId="77777777">
      <w:pPr>
        <w:spacing w:after="0" w:line="360" w:lineRule="auto"/>
        <w:rPr>
          <w:bCs/>
        </w:rPr>
      </w:pPr>
      <w:r w:rsidRPr="00860DB8">
        <w:rPr>
          <w:bCs/>
        </w:rPr>
        <w:t>Lo anterior, se robustece con el hecho de que existe el Sistema de Registro de Prestadores de Servicios Financieros (</w:t>
      </w:r>
      <w:r w:rsidRPr="00860DB8">
        <w:rPr>
          <w:bCs/>
          <w:iCs/>
        </w:rPr>
        <w:t>consultadas el dieciocho de enero de dos mil veintitrés)</w:t>
      </w:r>
      <w:r w:rsidRPr="00860DB8">
        <w:rPr>
          <w:bCs/>
        </w:rPr>
        <w:t xml:space="preserve">, a las trece horas, en la liga </w:t>
      </w:r>
      <w:hyperlink w:history="1" r:id="rId18">
        <w:r w:rsidRPr="00860DB8">
          <w:rPr>
            <w:rStyle w:val="Hipervnculo"/>
            <w:bCs/>
          </w:rPr>
          <w:t>https://webapps.condusef.gob.mx/SIPRES/jsp/pub/index.jsp</w:t>
        </w:r>
      </w:hyperlink>
      <w:r w:rsidRPr="00860DB8">
        <w:rPr>
          <w:bCs/>
        </w:rPr>
        <w:t xml:space="preserve">), que es un registro de </w:t>
      </w:r>
      <w:r w:rsidRPr="00860DB8">
        <w:rPr>
          <w:b/>
          <w:bCs/>
        </w:rPr>
        <w:t xml:space="preserve">carácter público, </w:t>
      </w:r>
      <w:r w:rsidRPr="00860DB8">
        <w:rPr>
          <w:bCs/>
        </w:rPr>
        <w:t xml:space="preserve">cuyo objetivo principal, consiste en proporcionar información </w:t>
      </w:r>
      <w:r w:rsidRPr="00860DB8">
        <w:rPr>
          <w:bCs/>
        </w:rPr>
        <w:lastRenderedPageBreak/>
        <w:t>corporativa y general de las instituciones financieras</w:t>
      </w:r>
      <w:r w:rsidRPr="00860DB8">
        <w:rPr>
          <w:b/>
          <w:bCs/>
        </w:rPr>
        <w:t xml:space="preserve">; además, que permite conocer al público general, información de dichos entes, </w:t>
      </w:r>
      <w:r w:rsidRPr="00860DB8">
        <w:rPr>
          <w:bCs/>
        </w:rPr>
        <w:t xml:space="preserve">se muestra un ejemplo a continuación: </w:t>
      </w:r>
    </w:p>
    <w:p w:rsidRPr="00860DB8" w:rsidR="00057880" w:rsidP="00057880" w:rsidRDefault="00057880" w14:paraId="2B8A5C1E" w14:textId="77777777">
      <w:pPr>
        <w:spacing w:after="0" w:line="360" w:lineRule="auto"/>
        <w:rPr>
          <w:bCs/>
        </w:rPr>
      </w:pPr>
    </w:p>
    <w:p w:rsidRPr="00860DB8" w:rsidR="00057880" w:rsidP="00057880" w:rsidRDefault="00057880" w14:paraId="75FCC389" w14:textId="77777777">
      <w:pPr>
        <w:spacing w:after="0" w:line="360" w:lineRule="auto"/>
        <w:jc w:val="center"/>
        <w:rPr>
          <w:bCs/>
        </w:rPr>
      </w:pPr>
      <w:r w:rsidRPr="00860DB8">
        <w:rPr>
          <w:bCs/>
          <w:noProof/>
          <w:lang w:eastAsia="es-MX"/>
        </w:rPr>
        <w:drawing>
          <wp:inline distT="0" distB="0" distL="0" distR="0" wp14:anchorId="4CCD3D14" wp14:editId="63BB8C62">
            <wp:extent cx="4229100" cy="2193599"/>
            <wp:effectExtent l="0" t="0" r="0" b="3810"/>
            <wp:docPr id="15" name="Imagen 15"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Escala de tiempo&#10;&#10;Descripción generada automáticament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 b="381"/>
                    <a:stretch/>
                  </pic:blipFill>
                  <pic:spPr bwMode="auto">
                    <a:xfrm>
                      <a:off x="0" y="0"/>
                      <a:ext cx="4251822" cy="2205385"/>
                    </a:xfrm>
                    <a:prstGeom prst="rect">
                      <a:avLst/>
                    </a:prstGeom>
                    <a:noFill/>
                    <a:ln>
                      <a:noFill/>
                    </a:ln>
                    <a:extLst>
                      <a:ext uri="{53640926-AAD7-44D8-BBD7-CCE9431645EC}">
                        <a14:shadowObscured xmlns:a14="http://schemas.microsoft.com/office/drawing/2010/main"/>
                      </a:ext>
                    </a:extLst>
                  </pic:spPr>
                </pic:pic>
              </a:graphicData>
            </a:graphic>
          </wp:inline>
        </w:drawing>
      </w:r>
    </w:p>
    <w:p w:rsidRPr="00860DB8" w:rsidR="00057880" w:rsidP="00057880" w:rsidRDefault="00057880" w14:paraId="7CE65A66" w14:textId="77777777">
      <w:pPr>
        <w:spacing w:after="0" w:line="360" w:lineRule="auto"/>
        <w:rPr>
          <w:bCs/>
        </w:rPr>
      </w:pPr>
    </w:p>
    <w:p w:rsidRPr="00860DB8" w:rsidR="00057880" w:rsidP="00057880" w:rsidRDefault="00057880" w14:paraId="2C26F02B" w14:textId="77777777">
      <w:pPr>
        <w:spacing w:after="0" w:line="360" w:lineRule="auto"/>
        <w:rPr>
          <w:bCs/>
        </w:rPr>
      </w:pPr>
      <w:r w:rsidRPr="00860DB8">
        <w:rPr>
          <w:bCs/>
        </w:rPr>
        <w:t>Conforme a lo anterior, se logra vislumbrar que el nombre de las instituciones bancarias es de naturaleza pública; además que, en el presente caso, proporcionar dicho dato, ayuda a transparentar que los recursos públicos erogados, están siendo depositados, en una cuenta localizada en una institución financiera existente y debidamente registrada.</w:t>
      </w:r>
    </w:p>
    <w:p w:rsidRPr="00860DB8" w:rsidR="00057880" w:rsidP="00057880" w:rsidRDefault="00057880" w14:paraId="6CD877DC" w14:textId="77777777">
      <w:pPr>
        <w:spacing w:after="0" w:line="360" w:lineRule="auto"/>
        <w:rPr>
          <w:bCs/>
        </w:rPr>
      </w:pPr>
    </w:p>
    <w:p w:rsidRPr="00860DB8" w:rsidR="00057880" w:rsidP="00057880" w:rsidRDefault="00057880" w14:paraId="477B35BF" w14:textId="77777777">
      <w:pPr>
        <w:spacing w:after="0" w:line="360" w:lineRule="auto"/>
        <w:rPr>
          <w:bCs/>
        </w:rPr>
      </w:pPr>
      <w:r w:rsidRPr="00860DB8">
        <w:rPr>
          <w:bCs/>
        </w:rPr>
        <w:t>Conforme a lo anterior, este Instituto considera que el nombre de la institución bancaria, no actualiza la causal de clasificación prevista en el artículo 143, fracción I de la Ley de Transparencia y Acceso a la Información Pública del Estado de México y Municipios.</w:t>
      </w:r>
    </w:p>
    <w:p w:rsidRPr="00860DB8" w:rsidR="00057880" w:rsidP="00057880" w:rsidRDefault="00057880" w14:paraId="5CC9BFEB" w14:textId="77777777">
      <w:pPr>
        <w:spacing w:after="0" w:line="360" w:lineRule="auto"/>
        <w:rPr>
          <w:b/>
          <w:bCs/>
          <w:iCs/>
        </w:rPr>
      </w:pPr>
    </w:p>
    <w:p w:rsidRPr="00860DB8" w:rsidR="00057880" w:rsidP="00057880" w:rsidRDefault="00057880" w14:paraId="42D48AEA" w14:textId="77777777">
      <w:pPr>
        <w:numPr>
          <w:ilvl w:val="0"/>
          <w:numId w:val="19"/>
        </w:numPr>
        <w:spacing w:after="0" w:line="360" w:lineRule="auto"/>
        <w:rPr>
          <w:b/>
          <w:bCs/>
        </w:rPr>
      </w:pPr>
      <w:r w:rsidRPr="00860DB8">
        <w:rPr>
          <w:b/>
          <w:bCs/>
        </w:rPr>
        <w:t xml:space="preserve">Cuenta bancaria de servidores públicos. </w:t>
      </w:r>
    </w:p>
    <w:p w:rsidRPr="00860DB8" w:rsidR="00057880" w:rsidP="00057880" w:rsidRDefault="00057880" w14:paraId="6EE2061A" w14:textId="77777777">
      <w:pPr>
        <w:spacing w:after="0" w:line="360" w:lineRule="auto"/>
        <w:rPr>
          <w:bCs/>
        </w:rPr>
      </w:pPr>
    </w:p>
    <w:p w:rsidRPr="00860DB8" w:rsidR="00057880" w:rsidP="00057880" w:rsidRDefault="00057880" w14:paraId="7010FE24" w14:textId="77777777">
      <w:pPr>
        <w:spacing w:after="0" w:line="360" w:lineRule="auto"/>
        <w:rPr>
          <w:bCs/>
        </w:rPr>
      </w:pPr>
      <w:r w:rsidRPr="00860DB8">
        <w:rPr>
          <w:bCs/>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w:t>
      </w:r>
      <w:r w:rsidRPr="00860DB8">
        <w:rPr>
          <w:bCs/>
        </w:rPr>
        <w:lastRenderedPageBreak/>
        <w:t>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rsidRPr="00860DB8" w:rsidR="00057880" w:rsidP="00057880" w:rsidRDefault="00057880" w14:paraId="56F29E18" w14:textId="77777777">
      <w:pPr>
        <w:spacing w:after="0" w:line="360" w:lineRule="auto"/>
        <w:rPr>
          <w:bCs/>
        </w:rPr>
      </w:pPr>
      <w:r w:rsidRPr="00860DB8">
        <w:rPr>
          <w:bCs/>
        </w:rPr>
        <w:t> </w:t>
      </w:r>
    </w:p>
    <w:p w:rsidRPr="00860DB8" w:rsidR="00057880" w:rsidP="00057880" w:rsidRDefault="00057880" w14:paraId="34A7D1AA" w14:textId="77777777">
      <w:pPr>
        <w:spacing w:after="0" w:line="360" w:lineRule="auto"/>
        <w:rPr>
          <w:bCs/>
        </w:rPr>
      </w:pPr>
      <w:r w:rsidRPr="00860DB8">
        <w:rPr>
          <w:bCs/>
        </w:rPr>
        <w:t xml:space="preserve">A mayor abundamiento, resulta necesario traer a colación el Criterio </w:t>
      </w:r>
      <w:r w:rsidRPr="00860DB8">
        <w:rPr>
          <w:rFonts w:eastAsia="Calibri" w:cs="Tahoma"/>
          <w:bCs/>
          <w:color w:val="auto"/>
        </w:rPr>
        <w:t xml:space="preserve">SO/010/2017, </w:t>
      </w:r>
      <w:r w:rsidRPr="00860DB8">
        <w:rPr>
          <w:bCs/>
        </w:rPr>
        <w:t>emitido por el Instituto Nacional de Transparencia, Acceso a la Información y Protección de Datos Personales, mismo que establece lo siguiente:</w:t>
      </w:r>
    </w:p>
    <w:p w:rsidRPr="00860DB8" w:rsidR="00057880" w:rsidP="00057880" w:rsidRDefault="00057880" w14:paraId="25234385" w14:textId="77777777">
      <w:pPr>
        <w:spacing w:after="0" w:line="360" w:lineRule="auto"/>
        <w:rPr>
          <w:bCs/>
        </w:rPr>
      </w:pPr>
    </w:p>
    <w:p w:rsidRPr="00860DB8" w:rsidR="00057880" w:rsidP="00057880" w:rsidRDefault="00057880" w14:paraId="54E21A36" w14:textId="77777777">
      <w:pPr>
        <w:spacing w:after="0" w:line="360" w:lineRule="auto"/>
        <w:ind w:left="567" w:right="567"/>
        <w:rPr>
          <w:bCs/>
          <w:i/>
          <w:sz w:val="20"/>
          <w:szCs w:val="20"/>
        </w:rPr>
      </w:pPr>
      <w:r w:rsidRPr="00860DB8">
        <w:rPr>
          <w:bCs/>
          <w:i/>
          <w:sz w:val="20"/>
          <w:szCs w:val="20"/>
        </w:rPr>
        <w:t>“</w:t>
      </w:r>
      <w:r w:rsidRPr="00860DB8">
        <w:rPr>
          <w:b/>
          <w:bCs/>
          <w:i/>
          <w:sz w:val="20"/>
          <w:szCs w:val="20"/>
        </w:rPr>
        <w:t>Cuentas bancarias y/o CLABE interbancaria de personas físicas y morales privadas.</w:t>
      </w:r>
      <w:r w:rsidRPr="00860DB8">
        <w:rPr>
          <w:bCs/>
          <w:i/>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Pr="00860DB8" w:rsidR="00057880" w:rsidP="00057880" w:rsidRDefault="00057880" w14:paraId="01145BBE" w14:textId="77777777">
      <w:pPr>
        <w:spacing w:after="0" w:line="360" w:lineRule="auto"/>
        <w:rPr>
          <w:bCs/>
        </w:rPr>
      </w:pPr>
    </w:p>
    <w:p w:rsidRPr="00860DB8" w:rsidR="00057880" w:rsidP="00057880" w:rsidRDefault="00057880" w14:paraId="05103E80" w14:textId="77777777">
      <w:pPr>
        <w:spacing w:after="0" w:line="360" w:lineRule="auto"/>
        <w:rPr>
          <w:bCs/>
        </w:rPr>
      </w:pPr>
      <w:r w:rsidRPr="00860DB8">
        <w:rPr>
          <w:bCs/>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Pr="00860DB8" w:rsidR="00057880" w:rsidP="00057880" w:rsidRDefault="00057880" w14:paraId="5B3A6A00" w14:textId="77777777">
      <w:pPr>
        <w:spacing w:after="0" w:line="360" w:lineRule="auto"/>
        <w:rPr>
          <w:rFonts w:cs="Tahoma"/>
          <w:bCs/>
          <w:iCs/>
        </w:rPr>
      </w:pPr>
    </w:p>
    <w:p w:rsidRPr="00860DB8" w:rsidR="00057880" w:rsidP="00057880" w:rsidRDefault="00057880" w14:paraId="6B015B7F" w14:textId="77777777">
      <w:pPr>
        <w:numPr>
          <w:ilvl w:val="0"/>
          <w:numId w:val="19"/>
        </w:numPr>
        <w:spacing w:after="0" w:line="360" w:lineRule="auto"/>
        <w:rPr>
          <w:b/>
          <w:bCs/>
        </w:rPr>
      </w:pPr>
      <w:r w:rsidRPr="00860DB8">
        <w:rPr>
          <w:b/>
          <w:bCs/>
        </w:rPr>
        <w:t>Cuenta bancaria del Sujeto Obligado y datos bancarios.</w:t>
      </w:r>
    </w:p>
    <w:p w:rsidRPr="00860DB8" w:rsidR="00057880" w:rsidP="00057880" w:rsidRDefault="00057880" w14:paraId="2E1FFB64" w14:textId="77777777">
      <w:pPr>
        <w:spacing w:after="0" w:line="360" w:lineRule="auto"/>
        <w:rPr>
          <w:rFonts w:cs="Tahoma"/>
          <w:bCs/>
          <w:iCs/>
        </w:rPr>
      </w:pPr>
    </w:p>
    <w:p w:rsidRPr="00860DB8" w:rsidR="00057880" w:rsidP="00057880" w:rsidRDefault="00057880" w14:paraId="1BFC06AB" w14:textId="76D138F2">
      <w:pPr>
        <w:spacing w:after="0" w:line="360" w:lineRule="auto"/>
        <w:rPr>
          <w:rFonts w:eastAsia="Calibri" w:cs="Tahoma"/>
          <w:bCs/>
          <w:color w:val="auto"/>
        </w:rPr>
      </w:pPr>
      <w:r w:rsidRPr="00860DB8">
        <w:rPr>
          <w:rFonts w:eastAsia="Calibri" w:cs="Tahoma"/>
          <w:bCs/>
          <w:color w:val="auto"/>
        </w:rPr>
        <w:lastRenderedPageBreak/>
        <w:t xml:space="preserve">En relación con el número de cuenta del </w:t>
      </w:r>
      <w:r w:rsidRPr="00860DB8" w:rsidR="0051317D">
        <w:rPr>
          <w:rFonts w:eastAsia="Calibri" w:cs="Tahoma"/>
          <w:bCs/>
          <w:color w:val="auto"/>
        </w:rPr>
        <w:t xml:space="preserve">Ayuntamiento de </w:t>
      </w:r>
      <w:proofErr w:type="spellStart"/>
      <w:r w:rsidRPr="00860DB8" w:rsidR="0051317D">
        <w:rPr>
          <w:rFonts w:eastAsia="Calibri" w:cs="Tahoma"/>
          <w:bCs/>
          <w:color w:val="auto"/>
        </w:rPr>
        <w:t>Jilotzingo</w:t>
      </w:r>
      <w:proofErr w:type="spellEnd"/>
      <w:r w:rsidRPr="00860DB8">
        <w:rPr>
          <w:rFonts w:eastAsia="Calibri" w:cs="Tahoma"/>
          <w:bCs/>
          <w:color w:val="auto"/>
        </w:rPr>
        <w:t>, en donde reciben o transfieren recursos públicos, debe señalarse que la misma es considerada como información pública, pues su difusión favorece la rendición de cuentas al transparentar la forma en que se administran los recursos públicos, razón por la cual no pueden considerarse como información clasificada. Lo anterior se robustece con el Criterio SO/011/2017, emitido por el Instituto Nacional de Transparencia, Acceso a la Información y Protección de Datos Personales, mismo que a la letra señala:</w:t>
      </w:r>
    </w:p>
    <w:p w:rsidRPr="00860DB8" w:rsidR="00057880" w:rsidP="00057880" w:rsidRDefault="00057880" w14:paraId="2E9891B5" w14:textId="77777777">
      <w:pPr>
        <w:spacing w:after="0" w:line="360" w:lineRule="auto"/>
        <w:rPr>
          <w:rFonts w:eastAsia="Calibri" w:cs="Tahoma"/>
          <w:bCs/>
          <w:i/>
          <w:color w:val="auto"/>
        </w:rPr>
      </w:pPr>
    </w:p>
    <w:p w:rsidRPr="00860DB8" w:rsidR="00057880" w:rsidP="00057880" w:rsidRDefault="00057880" w14:paraId="2E1AA073" w14:textId="77777777">
      <w:pPr>
        <w:spacing w:after="0" w:line="360" w:lineRule="auto"/>
        <w:ind w:left="567" w:right="567"/>
        <w:rPr>
          <w:rFonts w:eastAsia="Calibri" w:cs="Tahoma"/>
          <w:bCs/>
          <w:i/>
          <w:color w:val="auto"/>
          <w:sz w:val="20"/>
        </w:rPr>
      </w:pPr>
      <w:r w:rsidRPr="00860DB8">
        <w:rPr>
          <w:rFonts w:eastAsia="Calibri" w:cs="Tahoma"/>
          <w:b/>
          <w:bCs/>
          <w:i/>
          <w:color w:val="auto"/>
          <w:sz w:val="20"/>
        </w:rPr>
        <w:t>“Cuentas bancarias y/o CLABE interbancaria de sujetos obligados que reciben y/o transfieren recursos públicos, son información pública.</w:t>
      </w:r>
      <w:r w:rsidRPr="00860DB8">
        <w:rPr>
          <w:rFonts w:eastAsia="Calibri" w:cs="Tahoma"/>
          <w:bCs/>
          <w:i/>
          <w:color w:val="auto"/>
          <w:sz w:val="20"/>
        </w:rPr>
        <w:t xml:space="preserve"> La difusión de las cuentas bancarias y claves interbancarias pertenecientes a un sujeto obligado favorece la rendición de cuentas al transparentar la forma en que se administran los recursos públicos, </w:t>
      </w:r>
      <w:r w:rsidRPr="00860DB8">
        <w:rPr>
          <w:rFonts w:eastAsia="Calibri" w:cs="Tahoma"/>
          <w:bCs/>
          <w:i/>
          <w:color w:val="auto"/>
          <w:sz w:val="20"/>
          <w:u w:val="single"/>
        </w:rPr>
        <w:t>razón por la cual no pueden considerarse como información clasificada.</w:t>
      </w:r>
      <w:r w:rsidRPr="00860DB8">
        <w:rPr>
          <w:rFonts w:eastAsia="Calibri" w:cs="Tahoma"/>
          <w:bCs/>
          <w:i/>
          <w:color w:val="auto"/>
          <w:sz w:val="20"/>
        </w:rPr>
        <w:t>”</w:t>
      </w:r>
    </w:p>
    <w:p w:rsidRPr="00860DB8" w:rsidR="00057880" w:rsidP="00057880" w:rsidRDefault="00057880" w14:paraId="4E8A317F" w14:textId="77777777">
      <w:pPr>
        <w:spacing w:after="0" w:line="360" w:lineRule="auto"/>
        <w:rPr>
          <w:rFonts w:eastAsia="Calibri" w:cs="Tahoma"/>
          <w:b/>
          <w:bCs/>
          <w:color w:val="auto"/>
        </w:rPr>
      </w:pPr>
    </w:p>
    <w:p w:rsidRPr="00860DB8" w:rsidR="00057880" w:rsidP="00057880" w:rsidRDefault="00057880" w14:paraId="2699A72F" w14:textId="77777777">
      <w:pPr>
        <w:spacing w:after="0" w:line="360" w:lineRule="auto"/>
        <w:rPr>
          <w:rFonts w:eastAsia="Calibri" w:cs="Tahoma"/>
          <w:bCs/>
          <w:color w:val="auto"/>
        </w:rPr>
      </w:pPr>
      <w:r w:rsidRPr="00860DB8">
        <w:rPr>
          <w:rFonts w:eastAsia="Calibri" w:cs="Tahoma"/>
          <w:bCs/>
          <w:color w:val="auto"/>
        </w:rPr>
        <w:t>Por tales circunstancias, no puede ser considera como información confidencial el número de cuenta del Sujeto Obligado y por lo tanto, no procede su clasificación en términos del artículo 143, fracción I de la Ley de Transparencia y Acceso a la Información Pública del Estado de México y Municipios; en los mismos términos corren los datos correspondientes al número de contrato, folio del lote y el importe total de la transacción (pues corresponde al total de recursos públicos erogados por el Sujeto Obligado para el pago de nómina), tal como se muestra a continuación:</w:t>
      </w:r>
    </w:p>
    <w:p w:rsidRPr="00860DB8" w:rsidR="00057880" w:rsidP="00057880" w:rsidRDefault="00057880" w14:paraId="6FAF8BF1" w14:textId="77777777">
      <w:pPr>
        <w:spacing w:after="0" w:line="360" w:lineRule="auto"/>
        <w:rPr>
          <w:rFonts w:eastAsia="Calibri" w:cs="Tahoma"/>
          <w:bCs/>
          <w:color w:val="auto"/>
        </w:rPr>
      </w:pPr>
    </w:p>
    <w:p w:rsidRPr="00860DB8" w:rsidR="00057880" w:rsidP="00057880" w:rsidRDefault="00057880" w14:paraId="3C987C89" w14:textId="77777777">
      <w:pPr>
        <w:spacing w:after="0" w:line="360" w:lineRule="auto"/>
        <w:rPr>
          <w:rFonts w:eastAsia="Calibri" w:cs="Tahoma"/>
          <w:bCs/>
          <w:color w:val="auto"/>
        </w:rPr>
      </w:pPr>
      <w:r w:rsidRPr="00860DB8">
        <w:rPr>
          <w:rFonts w:eastAsia="Calibri" w:cs="Tahoma"/>
          <w:bCs/>
          <w:noProof/>
          <w:color w:val="auto"/>
          <w:lang w:eastAsia="es-MX"/>
        </w:rPr>
        <w:drawing>
          <wp:inline distT="0" distB="0" distL="0" distR="0" wp14:anchorId="21B20669" wp14:editId="45ACBCCA">
            <wp:extent cx="5667375" cy="1162050"/>
            <wp:effectExtent l="0" t="0" r="9525" b="0"/>
            <wp:docPr id="12" name="Imagen 12" descr="C:\Users\USUARIO\Downloads\Captura de Pantalla 2023-02-01 a la(s) 13.2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Captura de Pantalla 2023-02-01 a la(s) 13.23.5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7375" cy="1162050"/>
                    </a:xfrm>
                    <a:prstGeom prst="rect">
                      <a:avLst/>
                    </a:prstGeom>
                    <a:noFill/>
                    <a:ln>
                      <a:noFill/>
                    </a:ln>
                  </pic:spPr>
                </pic:pic>
              </a:graphicData>
            </a:graphic>
          </wp:inline>
        </w:drawing>
      </w:r>
    </w:p>
    <w:p w:rsidRPr="00860DB8" w:rsidR="00057880" w:rsidP="00057880" w:rsidRDefault="00057880" w14:paraId="40EE6178" w14:textId="77777777">
      <w:pPr>
        <w:spacing w:after="0" w:line="360" w:lineRule="auto"/>
        <w:rPr>
          <w:rFonts w:cs="Tahoma"/>
          <w:bCs/>
          <w:iCs/>
        </w:rPr>
      </w:pPr>
    </w:p>
    <w:p w:rsidRPr="00860DB8" w:rsidR="00057880" w:rsidP="00057880" w:rsidRDefault="00057880" w14:paraId="141E204C" w14:textId="77777777">
      <w:pPr>
        <w:spacing w:after="0" w:line="360" w:lineRule="auto"/>
        <w:rPr>
          <w:rFonts w:cs="Tahoma"/>
          <w:b/>
          <w:bCs/>
          <w:iCs/>
        </w:rPr>
      </w:pPr>
      <w:r w:rsidRPr="00860DB8">
        <w:rPr>
          <w:rFonts w:cs="Tahoma"/>
          <w:bCs/>
          <w:iCs/>
        </w:rPr>
        <w:lastRenderedPageBreak/>
        <w:t xml:space="preserve">Conforme a lo anterior, se logra vislumbrar que el Sujeto Obligado clasificó datos de naturaleza pública, por lo que, se considera, que el agravio es </w:t>
      </w:r>
      <w:r w:rsidRPr="00860DB8">
        <w:rPr>
          <w:rFonts w:cs="Tahoma"/>
          <w:b/>
          <w:bCs/>
          <w:iCs/>
        </w:rPr>
        <w:t xml:space="preserve">PARCIALMENTE FUNDADO, </w:t>
      </w:r>
      <w:r w:rsidRPr="00860DB8">
        <w:rPr>
          <w:rFonts w:cs="Tahoma"/>
          <w:bCs/>
          <w:iCs/>
        </w:rPr>
        <w:t xml:space="preserve">por lo que, para atender el requerimiento deberá proporcionar los recibos de nómina y el comprobante de dispersión de nómina, en versión pública, en donde únicamente podrá clasificar en términos del artículo 143, fracción I, de la Ley de Transparencia y Acceso a la Información Pública del Estado de México y Municipios, la Clave Única de Registro de Población, el Registro Federal de Contribuyentes del servidor público, el Código Bidimensional, el número de seguridad social del Instituto de Seguridad Social del Estado de México y Municipios, las deducciones personales, </w:t>
      </w:r>
      <w:r w:rsidRPr="00860DB8">
        <w:rPr>
          <w:rFonts w:eastAsia="Times New Roman" w:cs="Tahoma"/>
          <w:bCs/>
          <w:color w:val="auto"/>
          <w:szCs w:val="24"/>
          <w:lang w:eastAsia="es-ES"/>
        </w:rPr>
        <w:t>sellos digitales del emisor y del Servicio de Administración Tributaria y cadena original del complemento de certificación digital del órgano previamente señalado; así como sus respectivos números de serie de los certificados de sellos digitales, folio fiscal y número de serie del emisor (en el caso que contengan datos personales), nombre de la institución bancaria y número de cuenta de servidores públicos.</w:t>
      </w:r>
    </w:p>
    <w:p w:rsidRPr="00860DB8" w:rsidR="00057880" w:rsidP="00057880" w:rsidRDefault="00057880" w14:paraId="62C9C612" w14:textId="77777777">
      <w:pPr>
        <w:spacing w:after="0" w:line="360" w:lineRule="auto"/>
        <w:rPr>
          <w:rFonts w:eastAsia="Times New Roman" w:cs="Tahoma"/>
          <w:bCs/>
          <w:color w:val="auto"/>
          <w:lang w:eastAsia="es-MX"/>
        </w:rPr>
      </w:pPr>
    </w:p>
    <w:p w:rsidRPr="00860DB8" w:rsidR="00057880" w:rsidP="00057880" w:rsidRDefault="00057880" w14:paraId="71C07ECC" w14:textId="77777777">
      <w:pPr>
        <w:spacing w:after="0" w:line="360" w:lineRule="auto"/>
        <w:rPr>
          <w:rFonts w:eastAsia="Times New Roman" w:cs="Tahoma"/>
          <w:bCs/>
          <w:color w:val="auto"/>
          <w:lang w:eastAsia="es-MX"/>
        </w:rPr>
      </w:pPr>
      <w:r w:rsidRPr="00860DB8">
        <w:rPr>
          <w:rFonts w:eastAsia="Times New Roman" w:cs="Tahoma"/>
          <w:bCs/>
          <w:color w:val="auto"/>
          <w:lang w:eastAsia="es-MX"/>
        </w:rPr>
        <w:t xml:space="preserve">Además, se le aclara al Sujeto Obligado que no podrá clasificar en los documentos, el número de contrato, folio del lote, importe total y aceptado, número de cuenta del Ayuntamiento, banco utilizado por el Ayuntamiento, el Registro Patronal del Instituto de Seguridad Social del Estado de México y Municipios, montos y conceptos de las percepciones pagadas y deducciones por Ley realizadas, así como, de los </w:t>
      </w:r>
      <w:r w:rsidRPr="00860DB8">
        <w:rPr>
          <w:rFonts w:eastAsia="Times New Roman" w:cs="Tahoma"/>
          <w:bCs/>
          <w:color w:val="auto"/>
          <w:szCs w:val="24"/>
          <w:lang w:eastAsia="es-ES"/>
        </w:rPr>
        <w:t>sellos digitales del emisor y del Servicio de Administración Tributaria y cadena original del complemento de certificación digital del órgano previamente señalado; así como sus respectivos números de serie de los certificados de sellos digitales, folio fiscal y número de serie del emisor (en el caso que no contengan datos personales).</w:t>
      </w:r>
    </w:p>
    <w:p w:rsidRPr="00860DB8" w:rsidR="00057880" w:rsidP="00057880" w:rsidRDefault="00057880" w14:paraId="00CD4549" w14:textId="77777777">
      <w:pPr>
        <w:spacing w:after="0" w:line="360" w:lineRule="auto"/>
        <w:rPr>
          <w:rFonts w:eastAsia="Times New Roman" w:cs="Tahoma"/>
          <w:bCs/>
          <w:color w:val="auto"/>
          <w:lang w:eastAsia="es-MX"/>
        </w:rPr>
      </w:pPr>
    </w:p>
    <w:p w:rsidRPr="00860DB8" w:rsidR="00057880" w:rsidP="00057880" w:rsidRDefault="00057880" w14:paraId="5DE7A7A8" w14:textId="77777777">
      <w:pPr>
        <w:spacing w:after="0" w:line="360" w:lineRule="auto"/>
        <w:ind w:right="-93"/>
        <w:rPr>
          <w:rFonts w:eastAsia="Times New Roman" w:cs="Tahoma"/>
          <w:color w:val="auto"/>
          <w:lang w:eastAsia="es-ES"/>
        </w:rPr>
      </w:pPr>
      <w:r w:rsidRPr="00860DB8">
        <w:rPr>
          <w:rFonts w:eastAsia="Times New Roman" w:cs="Tahoma"/>
          <w:color w:val="auto"/>
          <w:lang w:eastAsia="es-ES"/>
        </w:rPr>
        <w:t xml:space="preserve">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w:t>
      </w:r>
      <w:r w:rsidRPr="00860DB8">
        <w:rPr>
          <w:rFonts w:eastAsia="Times New Roman" w:cs="Tahoma"/>
          <w:color w:val="auto"/>
          <w:lang w:eastAsia="es-ES"/>
        </w:rPr>
        <w:lastRenderedPageBreak/>
        <w:t>parte del Comité de Transparencia, donde confirme la clasificación de los datos previamente señalados, fundando y motivando la clasificación.</w:t>
      </w:r>
    </w:p>
    <w:p w:rsidRPr="00860DB8" w:rsidR="00057880" w:rsidP="00057880" w:rsidRDefault="00057880" w14:paraId="1B17C355" w14:textId="77777777">
      <w:pPr>
        <w:spacing w:after="0" w:line="360" w:lineRule="auto"/>
        <w:contextualSpacing/>
        <w:rPr>
          <w:rFonts w:cs="Tahoma"/>
          <w:bCs/>
          <w:iCs/>
        </w:rPr>
      </w:pPr>
    </w:p>
    <w:p w:rsidRPr="00860DB8" w:rsidR="00057880" w:rsidP="00057880" w:rsidRDefault="00057880" w14:paraId="79AD5703" w14:textId="77777777">
      <w:pPr>
        <w:spacing w:after="0" w:line="360" w:lineRule="auto"/>
        <w:contextualSpacing/>
        <w:rPr>
          <w:rFonts w:eastAsia="Calibri" w:cs="Tahoma"/>
          <w:b/>
          <w:color w:val="000000"/>
        </w:rPr>
      </w:pPr>
      <w:r w:rsidRPr="00860DB8">
        <w:rPr>
          <w:rFonts w:eastAsia="Calibri" w:cs="Tahoma"/>
          <w:b/>
          <w:color w:val="000000"/>
        </w:rPr>
        <w:t xml:space="preserve">SEXTO. Decisión. </w:t>
      </w:r>
    </w:p>
    <w:p w:rsidRPr="00860DB8" w:rsidR="00057880" w:rsidP="00057880" w:rsidRDefault="00057880" w14:paraId="09F004B4" w14:textId="77777777">
      <w:pPr>
        <w:spacing w:after="0" w:line="360" w:lineRule="auto"/>
        <w:contextualSpacing/>
        <w:rPr>
          <w:rFonts w:eastAsia="Times New Roman" w:cs="Tahoma"/>
          <w:color w:val="auto"/>
          <w:lang w:eastAsia="es-ES"/>
        </w:rPr>
      </w:pPr>
    </w:p>
    <w:p w:rsidRPr="00860DB8" w:rsidR="00057880" w:rsidP="00057880" w:rsidRDefault="00057880" w14:paraId="57F1358C" w14:textId="77777777">
      <w:pPr>
        <w:spacing w:after="0" w:line="360" w:lineRule="auto"/>
        <w:contextualSpacing/>
        <w:rPr>
          <w:rFonts w:cs="Tahoma"/>
          <w:iCs/>
        </w:rPr>
      </w:pPr>
      <w:r w:rsidRPr="00860DB8">
        <w:rPr>
          <w:rFonts w:cs="Tahoma"/>
          <w:bCs/>
          <w:iCs/>
        </w:rPr>
        <w:t xml:space="preserve">Con fundamento en el artículo 186, fracción III, de la Ley de Transparencia y Acceso a la Información Pública del Estado de México y Municipios, este Instituto considera procedente </w:t>
      </w:r>
      <w:r w:rsidRPr="00860DB8">
        <w:rPr>
          <w:rFonts w:cs="Tahoma"/>
          <w:b/>
          <w:bCs/>
          <w:iCs/>
        </w:rPr>
        <w:t xml:space="preserve">MODIFICAR </w:t>
      </w:r>
      <w:r w:rsidRPr="00860DB8">
        <w:rPr>
          <w:rFonts w:cs="Tahoma"/>
          <w:bCs/>
          <w:iCs/>
        </w:rPr>
        <w:t xml:space="preserve">la respuesta otorgada por el Ayuntamiento de </w:t>
      </w:r>
      <w:proofErr w:type="spellStart"/>
      <w:r w:rsidRPr="00860DB8">
        <w:rPr>
          <w:rFonts w:cs="Tahoma"/>
          <w:bCs/>
          <w:iCs/>
        </w:rPr>
        <w:t>Jilotzingo</w:t>
      </w:r>
      <w:proofErr w:type="spellEnd"/>
      <w:r w:rsidRPr="00860DB8">
        <w:rPr>
          <w:rFonts w:cs="Tahoma"/>
          <w:bCs/>
          <w:iCs/>
        </w:rPr>
        <w:t xml:space="preserve">, a las solicitudes de acceso a la información pública con números </w:t>
      </w:r>
      <w:r w:rsidRPr="00860DB8">
        <w:t>00119/JILOTZIN/IP/2022 y 00125/JILOTZIN/IP/2022</w:t>
      </w:r>
      <w:r w:rsidRPr="00860DB8">
        <w:rPr>
          <w:rFonts w:cs="Tahoma"/>
          <w:iCs/>
        </w:rPr>
        <w:t>,</w:t>
      </w:r>
      <w:r w:rsidRPr="00860DB8">
        <w:rPr>
          <w:rFonts w:cs="Tahoma"/>
          <w:b/>
          <w:iCs/>
        </w:rPr>
        <w:t xml:space="preserve"> </w:t>
      </w:r>
      <w:r w:rsidRPr="00860DB8">
        <w:rPr>
          <w:rFonts w:cs="Tahoma"/>
          <w:iCs/>
        </w:rPr>
        <w:t>a efecto de que entregue, en versión pública, lo siguiente:</w:t>
      </w:r>
    </w:p>
    <w:p w:rsidRPr="00860DB8" w:rsidR="00057880" w:rsidP="00057880" w:rsidRDefault="00057880" w14:paraId="5BA012A0" w14:textId="77777777">
      <w:pPr>
        <w:spacing w:after="0" w:line="360" w:lineRule="auto"/>
        <w:contextualSpacing/>
        <w:rPr>
          <w:rFonts w:cs="Tahoma"/>
          <w:iCs/>
        </w:rPr>
      </w:pPr>
    </w:p>
    <w:p w:rsidRPr="00860DB8" w:rsidR="00057880" w:rsidP="00057880" w:rsidRDefault="00057880" w14:paraId="26F76B01" w14:textId="77777777">
      <w:pPr>
        <w:pStyle w:val="Prrafodelista"/>
        <w:numPr>
          <w:ilvl w:val="0"/>
          <w:numId w:val="20"/>
        </w:numPr>
        <w:autoSpaceDE w:val="0"/>
        <w:autoSpaceDN w:val="0"/>
        <w:adjustRightInd w:val="0"/>
        <w:spacing w:after="0" w:line="360" w:lineRule="auto"/>
        <w:rPr>
          <w:color w:val="000000"/>
        </w:rPr>
      </w:pPr>
      <w:r w:rsidRPr="00860DB8">
        <w:rPr>
          <w:color w:val="000000"/>
        </w:rPr>
        <w:t>Los recibos de nómina entregados en respuesta a las solicitudes.</w:t>
      </w:r>
    </w:p>
    <w:p w:rsidRPr="00860DB8" w:rsidR="00057880" w:rsidP="00057880" w:rsidRDefault="00057880" w14:paraId="7CD0C7E5" w14:textId="77777777">
      <w:pPr>
        <w:pStyle w:val="Prrafodelista"/>
        <w:spacing w:after="0" w:line="360" w:lineRule="auto"/>
        <w:rPr>
          <w:color w:val="000000"/>
        </w:rPr>
      </w:pPr>
    </w:p>
    <w:p w:rsidRPr="00860DB8" w:rsidR="00057880" w:rsidP="00057880" w:rsidRDefault="00057880" w14:paraId="7091A7C8" w14:textId="77777777">
      <w:pPr>
        <w:pStyle w:val="Prrafodelista"/>
        <w:widowControl w:val="0"/>
        <w:numPr>
          <w:ilvl w:val="0"/>
          <w:numId w:val="20"/>
        </w:numPr>
        <w:spacing w:after="0" w:line="360" w:lineRule="auto"/>
        <w:rPr>
          <w:rFonts w:eastAsia="Calibri" w:cs="Tahoma"/>
          <w:iCs/>
          <w:lang w:eastAsia="es-ES_tradnl"/>
        </w:rPr>
      </w:pPr>
      <w:r w:rsidRPr="00860DB8">
        <w:rPr>
          <w:rFonts w:eastAsia="Calibri" w:cs="Tahoma"/>
          <w:bCs/>
          <w:iCs/>
          <w:lang w:eastAsia="es-ES_tradnl"/>
        </w:rPr>
        <w:t>El Comprobante Bancario de la Dispersión de Nómina, de la segunda quincena de septiembre de dos mil veintidós, de la Presidenta Municipal, el Síndico Municipal y siete Regidores.</w:t>
      </w:r>
    </w:p>
    <w:p w:rsidRPr="00860DB8" w:rsidR="00057880" w:rsidP="00057880" w:rsidRDefault="00057880" w14:paraId="1EDE8CC8" w14:textId="77777777">
      <w:pPr>
        <w:spacing w:after="0" w:line="360" w:lineRule="auto"/>
        <w:contextualSpacing/>
        <w:rPr>
          <w:rFonts w:cs="Tahoma"/>
          <w:bCs/>
          <w:lang w:eastAsia="es-ES"/>
        </w:rPr>
      </w:pPr>
    </w:p>
    <w:p w:rsidRPr="00860DB8" w:rsidR="00057880" w:rsidP="00057880" w:rsidRDefault="00057880" w14:paraId="5ACBA880" w14:textId="77777777">
      <w:pPr>
        <w:spacing w:after="0" w:line="360" w:lineRule="auto"/>
        <w:rPr>
          <w:rFonts w:eastAsia="Times New Roman" w:cs="Tahoma"/>
          <w:bCs/>
          <w:color w:val="auto"/>
          <w:szCs w:val="24"/>
          <w:lang w:eastAsia="es-ES"/>
        </w:rPr>
      </w:pPr>
      <w:r w:rsidRPr="00860DB8">
        <w:rPr>
          <w:rFonts w:cs="Tahoma"/>
          <w:bCs/>
          <w:iCs/>
          <w:lang w:val="es-ES" w:eastAsia="es-ES"/>
        </w:rPr>
        <w:t xml:space="preserve">Además, deberá proporcionar el Acuerdo de Clasificación donde el Comité de Transparencia, confirme la eliminación, en términos del artículo 143, fracción I, de la Ley de Transparencia y Acceso a la Información Pública del Estado de México y Municipios, de la </w:t>
      </w:r>
      <w:r w:rsidRPr="00860DB8">
        <w:rPr>
          <w:rFonts w:cs="Tahoma"/>
          <w:bCs/>
          <w:iCs/>
        </w:rPr>
        <w:t xml:space="preserve">la Clave Única de Registro de Población, el Registro Federal de Contribuyentes del servidor público, el Código Bidimensional, el número de seguridad social del Instituto de Seguridad Social del Estado de México y Municipios, las deducciones personales, </w:t>
      </w:r>
      <w:r w:rsidRPr="00860DB8">
        <w:rPr>
          <w:rFonts w:eastAsia="Times New Roman" w:cs="Tahoma"/>
          <w:bCs/>
          <w:color w:val="auto"/>
          <w:szCs w:val="24"/>
          <w:lang w:eastAsia="es-ES"/>
        </w:rPr>
        <w:t xml:space="preserve">sellos digitales del emisor y del Servicio de Administración Tributaria y cadena original del complemento de certificación digital del órgano previamente señalado, así como sus respectivos números de serie de los certificados de sellos digitales, folio fiscal y número de serie del emisor (en el caso </w:t>
      </w:r>
      <w:r w:rsidRPr="00860DB8">
        <w:rPr>
          <w:rFonts w:eastAsia="Times New Roman" w:cs="Tahoma"/>
          <w:bCs/>
          <w:color w:val="auto"/>
          <w:szCs w:val="24"/>
          <w:lang w:eastAsia="es-ES"/>
        </w:rPr>
        <w:lastRenderedPageBreak/>
        <w:t>que contengan datos personales), nombre de la institución bancaria y número de cuenta de servidores públicos.</w:t>
      </w:r>
    </w:p>
    <w:p w:rsidRPr="00860DB8" w:rsidR="00057880" w:rsidP="00057880" w:rsidRDefault="00057880" w14:paraId="520C1A27" w14:textId="77777777">
      <w:pPr>
        <w:spacing w:after="0" w:line="360" w:lineRule="auto"/>
        <w:rPr>
          <w:rFonts w:eastAsia="Times New Roman" w:cs="Tahoma"/>
          <w:bCs/>
          <w:color w:val="auto"/>
          <w:szCs w:val="24"/>
          <w:lang w:eastAsia="es-ES"/>
        </w:rPr>
      </w:pPr>
    </w:p>
    <w:p w:rsidRPr="00860DB8" w:rsidR="00057880" w:rsidP="00057880" w:rsidRDefault="00057880" w14:paraId="35543A56" w14:textId="77777777">
      <w:pPr>
        <w:spacing w:after="0" w:line="360" w:lineRule="auto"/>
        <w:rPr>
          <w:rFonts w:cs="Tahoma"/>
          <w:b/>
          <w:bCs/>
          <w:iCs/>
        </w:rPr>
      </w:pPr>
      <w:r w:rsidRPr="00860DB8">
        <w:rPr>
          <w:rFonts w:cs="Tahoma"/>
          <w:bCs/>
          <w:iCs/>
        </w:rPr>
        <w:t xml:space="preserve">Asimismo, se le informa que no podrá clasificar </w:t>
      </w:r>
      <w:r w:rsidRPr="00860DB8">
        <w:rPr>
          <w:rFonts w:eastAsia="Times New Roman" w:cs="Tahoma"/>
          <w:b/>
          <w:bCs/>
          <w:color w:val="auto"/>
          <w:lang w:eastAsia="es-MX"/>
        </w:rPr>
        <w:t xml:space="preserve">el número de contrato, folio del lote, importe total y aceptado, número de cuenta del Ayuntamiento, banco utilizado por el Ayuntamiento, el Registro Patronal del Instituto de Seguridad Social del Estado de México y Municipios, montos y conceptos de las percepciones pagadas y deducciones por Ley realizadas, así como, de los </w:t>
      </w:r>
      <w:r w:rsidRPr="00860DB8">
        <w:rPr>
          <w:rFonts w:eastAsia="Times New Roman" w:cs="Tahoma"/>
          <w:b/>
          <w:bCs/>
          <w:color w:val="auto"/>
          <w:szCs w:val="24"/>
          <w:lang w:eastAsia="es-ES"/>
        </w:rPr>
        <w:t>sellos digitales del emisor y del Servicio de Administración Tributaria y cadena original del complemento de certificación digital del órgano previamente señalado; así como sus respectivos números de serie de los certificados de sellos digitales, folio fiscal y número de serie del emisor (en el caso que no contengan datos personales).</w:t>
      </w:r>
    </w:p>
    <w:p w:rsidRPr="00860DB8" w:rsidR="00057880" w:rsidP="00057880" w:rsidRDefault="00057880" w14:paraId="7B4ECBDB" w14:textId="77777777">
      <w:pPr>
        <w:spacing w:after="0" w:line="360" w:lineRule="auto"/>
        <w:contextualSpacing/>
        <w:rPr>
          <w:rFonts w:cs="Tahoma"/>
          <w:bCs/>
          <w:iCs/>
          <w:lang w:val="es-ES" w:eastAsia="es-ES"/>
        </w:rPr>
      </w:pPr>
    </w:p>
    <w:p w:rsidRPr="00860DB8" w:rsidR="00057880" w:rsidP="00057880" w:rsidRDefault="00057880" w14:paraId="18EF8FDD" w14:textId="77777777">
      <w:pPr>
        <w:spacing w:after="0" w:line="360" w:lineRule="auto"/>
        <w:contextualSpacing/>
        <w:rPr>
          <w:rFonts w:eastAsia="Calibri" w:cs="Tahoma"/>
          <w:b/>
          <w:bCs/>
          <w:color w:val="000000"/>
        </w:rPr>
      </w:pPr>
      <w:r w:rsidRPr="00860DB8">
        <w:rPr>
          <w:rFonts w:eastAsia="Calibri" w:cs="Tahoma"/>
          <w:b/>
          <w:bCs/>
          <w:color w:val="000000"/>
        </w:rPr>
        <w:t>Términos de la Resolución para conocimiento del Particular.</w:t>
      </w:r>
    </w:p>
    <w:p w:rsidRPr="00860DB8" w:rsidR="00057880" w:rsidP="00057880" w:rsidRDefault="00057880" w14:paraId="396EDC24" w14:textId="77777777">
      <w:pPr>
        <w:spacing w:after="0" w:line="360" w:lineRule="auto"/>
        <w:contextualSpacing/>
        <w:rPr>
          <w:rFonts w:eastAsia="Calibri" w:cs="Tahoma"/>
          <w:b/>
          <w:bCs/>
          <w:color w:val="000000"/>
        </w:rPr>
      </w:pPr>
    </w:p>
    <w:p w:rsidRPr="00860DB8" w:rsidR="00057880" w:rsidP="00057880" w:rsidRDefault="00057880" w14:paraId="6D001629" w14:textId="77777777">
      <w:pPr>
        <w:spacing w:after="0" w:line="360" w:lineRule="auto"/>
        <w:contextualSpacing/>
        <w:rPr>
          <w:rFonts w:eastAsia="Calibri" w:cs="Tahoma"/>
          <w:bCs/>
          <w:iCs/>
          <w:color w:val="auto"/>
          <w:lang w:val="es-ES"/>
        </w:rPr>
      </w:pPr>
      <w:r w:rsidRPr="00860DB8">
        <w:rPr>
          <w:rFonts w:eastAsia="Calibri" w:cs="Tahoma"/>
          <w:bCs/>
          <w:iCs/>
          <w:lang w:val="es-ES"/>
        </w:rPr>
        <w:t>Se</w:t>
      </w:r>
      <w:r w:rsidRPr="00860DB8">
        <w:rPr>
          <w:rFonts w:eastAsia="Calibri" w:cs="Tahoma"/>
          <w:bCs/>
        </w:rPr>
        <w:t xml:space="preserve"> le hace del conocimiento a la ahora Recurrente, que, en el presente caso, se le da parcialmente la razón, pues el Ente Recurrido no entregó la documentación de manera completa y clasificó datos de naturaleza pública; por lo que, deberá entregar lo solicitado en una correcta versión pública.</w:t>
      </w:r>
    </w:p>
    <w:p w:rsidRPr="00860DB8" w:rsidR="00057880" w:rsidP="00057880" w:rsidRDefault="00057880" w14:paraId="375F0EDE" w14:textId="77777777">
      <w:pPr>
        <w:autoSpaceDE w:val="0"/>
        <w:autoSpaceDN w:val="0"/>
        <w:adjustRightInd w:val="0"/>
        <w:spacing w:after="0" w:line="360" w:lineRule="auto"/>
        <w:contextualSpacing/>
        <w:rPr>
          <w:rFonts w:eastAsia="Calibri" w:cs="Tahoma"/>
          <w:bCs/>
          <w:iCs/>
          <w:lang w:val="es-ES_tradnl"/>
        </w:rPr>
      </w:pPr>
    </w:p>
    <w:p w:rsidRPr="00860DB8" w:rsidR="00057880" w:rsidP="00057880" w:rsidRDefault="00057880" w14:paraId="54CA2ABF" w14:textId="77777777">
      <w:pPr>
        <w:autoSpaceDE w:val="0"/>
        <w:autoSpaceDN w:val="0"/>
        <w:adjustRightInd w:val="0"/>
        <w:spacing w:after="0" w:line="360" w:lineRule="auto"/>
        <w:contextualSpacing/>
        <w:rPr>
          <w:rFonts w:eastAsia="Calibri" w:cs="Tahoma"/>
          <w:bCs/>
          <w:iCs/>
          <w:lang w:val="es-ES_tradnl"/>
        </w:rPr>
      </w:pPr>
      <w:r w:rsidRPr="00860DB8">
        <w:rPr>
          <w:rFonts w:eastAsia="Calibri" w:cs="Tahoma"/>
          <w:bCs/>
          <w:iCs/>
          <w:lang w:val="es-ES_tradnl"/>
        </w:rPr>
        <w:t>Finalmente, se le informa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860DB8" w:rsidR="00057880" w:rsidP="00057880" w:rsidRDefault="00057880" w14:paraId="6AD6C1E4" w14:textId="77777777">
      <w:pPr>
        <w:autoSpaceDE w:val="0"/>
        <w:autoSpaceDN w:val="0"/>
        <w:adjustRightInd w:val="0"/>
        <w:spacing w:after="0" w:line="360" w:lineRule="auto"/>
        <w:contextualSpacing/>
        <w:rPr>
          <w:rFonts w:eastAsia="Calibri" w:cs="Tahoma"/>
          <w:bCs/>
          <w:iCs/>
          <w:color w:val="auto"/>
          <w:lang w:val="es-ES_tradnl"/>
        </w:rPr>
      </w:pPr>
    </w:p>
    <w:p w:rsidRPr="00860DB8" w:rsidR="00057880" w:rsidP="00057880" w:rsidRDefault="00057880" w14:paraId="4BD9463B" w14:textId="77777777">
      <w:pPr>
        <w:autoSpaceDE w:val="0"/>
        <w:autoSpaceDN w:val="0"/>
        <w:adjustRightInd w:val="0"/>
        <w:spacing w:after="0" w:line="360" w:lineRule="auto"/>
        <w:contextualSpacing/>
        <w:rPr>
          <w:rFonts w:eastAsia="Calibri" w:cs="Tahoma"/>
          <w:b/>
          <w:bCs/>
          <w:iCs/>
          <w:lang w:val="es-ES_tradnl"/>
        </w:rPr>
      </w:pPr>
      <w:r w:rsidRPr="00860DB8">
        <w:rPr>
          <w:rFonts w:eastAsia="Calibri" w:cs="Tahoma"/>
          <w:b/>
          <w:bCs/>
          <w:iCs/>
          <w:lang w:val="es-ES_tradnl"/>
        </w:rPr>
        <w:t>SÉPTIMO. Vista la Dirección General de Protección de Datos Personales.</w:t>
      </w:r>
    </w:p>
    <w:p w:rsidRPr="00860DB8" w:rsidR="00057880" w:rsidP="00057880" w:rsidRDefault="00057880" w14:paraId="69682FC1" w14:textId="2D05848A">
      <w:pPr>
        <w:autoSpaceDE w:val="0"/>
        <w:autoSpaceDN w:val="0"/>
        <w:adjustRightInd w:val="0"/>
        <w:spacing w:after="0" w:line="360" w:lineRule="auto"/>
        <w:contextualSpacing/>
        <w:rPr>
          <w:rFonts w:eastAsia="Calibri" w:cs="Tahoma"/>
          <w:bCs/>
          <w:iCs/>
          <w:lang w:val="es-ES_tradnl"/>
        </w:rPr>
      </w:pPr>
      <w:r w:rsidRPr="00860DB8">
        <w:rPr>
          <w:rFonts w:eastAsia="Calibri" w:cs="Tahoma"/>
          <w:bCs/>
          <w:iCs/>
          <w:lang w:val="es-ES_tradnl"/>
        </w:rPr>
        <w:t> </w:t>
      </w:r>
    </w:p>
    <w:p w:rsidRPr="00860DB8" w:rsidR="00057880" w:rsidP="00057880" w:rsidRDefault="00057880" w14:paraId="47BA5C0D" w14:textId="77777777">
      <w:pPr>
        <w:autoSpaceDE w:val="0"/>
        <w:autoSpaceDN w:val="0"/>
        <w:adjustRightInd w:val="0"/>
        <w:spacing w:after="0" w:line="360" w:lineRule="auto"/>
        <w:contextualSpacing/>
        <w:rPr>
          <w:rFonts w:eastAsia="Calibri" w:cs="Tahoma"/>
          <w:bCs/>
          <w:iCs/>
          <w:lang w:val="es-ES_tradnl"/>
        </w:rPr>
      </w:pPr>
    </w:p>
    <w:p w:rsidRPr="00860DB8" w:rsidR="00057880" w:rsidP="00057880" w:rsidRDefault="00057880" w14:paraId="5CFCF5A6" w14:textId="77777777">
      <w:pPr>
        <w:autoSpaceDE w:val="0"/>
        <w:autoSpaceDN w:val="0"/>
        <w:adjustRightInd w:val="0"/>
        <w:spacing w:after="0" w:line="360" w:lineRule="auto"/>
        <w:contextualSpacing/>
        <w:rPr>
          <w:rFonts w:eastAsia="Calibri" w:cs="Tahoma"/>
          <w:bCs/>
          <w:iCs/>
          <w:lang w:val="es-ES_tradnl"/>
        </w:rPr>
      </w:pPr>
      <w:r w:rsidRPr="00860DB8">
        <w:rPr>
          <w:rFonts w:eastAsia="Calibri" w:cs="Tahoma"/>
          <w:bCs/>
          <w:iCs/>
          <w:lang w:val="es-ES_tradnl"/>
        </w:rPr>
        <w:t>Ahora bien, de la información proporcionada, se logra advertir que el Sujeto Obligado testó de manera inadecuada el número de cuenta bancaria de los servidores públicos y dio acceso a la institución bancaria en donde reciben la nómina, por lo que, dejo parcialmente visibles datos personales, 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rsidRPr="00860DB8" w:rsidR="00057880" w:rsidP="00057880" w:rsidRDefault="00057880" w14:paraId="6F68C8C7" w14:textId="77777777">
      <w:pPr>
        <w:autoSpaceDE w:val="0"/>
        <w:autoSpaceDN w:val="0"/>
        <w:adjustRightInd w:val="0"/>
        <w:spacing w:after="0" w:line="360" w:lineRule="auto"/>
        <w:contextualSpacing/>
        <w:rPr>
          <w:rFonts w:eastAsia="Calibri" w:cs="Tahoma"/>
          <w:bCs/>
          <w:iCs/>
          <w:lang w:val="es-ES_tradnl"/>
        </w:rPr>
      </w:pPr>
      <w:r w:rsidRPr="00860DB8">
        <w:rPr>
          <w:rFonts w:eastAsia="Calibri" w:cs="Tahoma"/>
          <w:bCs/>
          <w:iCs/>
          <w:lang w:val="es-ES_tradnl"/>
        </w:rPr>
        <w:t> </w:t>
      </w:r>
    </w:p>
    <w:p w:rsidRPr="00860DB8" w:rsidR="00057880" w:rsidP="00057880" w:rsidRDefault="00057880" w14:paraId="21EB7494" w14:textId="77777777">
      <w:pPr>
        <w:autoSpaceDE w:val="0"/>
        <w:autoSpaceDN w:val="0"/>
        <w:adjustRightInd w:val="0"/>
        <w:spacing w:after="0" w:line="360" w:lineRule="auto"/>
        <w:contextualSpacing/>
        <w:rPr>
          <w:rFonts w:eastAsia="Calibri" w:cs="Tahoma"/>
          <w:bCs/>
          <w:iCs/>
          <w:lang w:val="es-ES_tradnl"/>
        </w:rPr>
      </w:pPr>
      <w:r w:rsidRPr="00860DB8">
        <w:rPr>
          <w:rFonts w:eastAsia="Calibri" w:cs="Tahoma"/>
          <w:bCs/>
          <w:iCs/>
          <w:lang w:val="es-ES_tradnl"/>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rsidRPr="00860DB8" w:rsidR="00057880" w:rsidP="00057880" w:rsidRDefault="00057880" w14:paraId="60E41606" w14:textId="77777777">
      <w:pPr>
        <w:autoSpaceDE w:val="0"/>
        <w:autoSpaceDN w:val="0"/>
        <w:adjustRightInd w:val="0"/>
        <w:spacing w:after="0" w:line="360" w:lineRule="auto"/>
        <w:contextualSpacing/>
        <w:rPr>
          <w:rFonts w:eastAsia="Calibri" w:cs="Tahoma"/>
          <w:bCs/>
          <w:iCs/>
          <w:color w:val="auto"/>
          <w:lang w:val="es-ES_tradnl"/>
        </w:rPr>
      </w:pPr>
    </w:p>
    <w:p w:rsidRPr="00860DB8" w:rsidR="00057880" w:rsidP="00057880" w:rsidRDefault="00057880" w14:paraId="292DD03A" w14:textId="77777777">
      <w:pPr>
        <w:autoSpaceDE w:val="0"/>
        <w:autoSpaceDN w:val="0"/>
        <w:adjustRightInd w:val="0"/>
        <w:spacing w:after="0" w:line="360" w:lineRule="auto"/>
        <w:contextualSpacing/>
        <w:rPr>
          <w:rFonts w:eastAsia="Calibri" w:cs="Tahoma"/>
          <w:bCs/>
          <w:iCs/>
        </w:rPr>
      </w:pPr>
      <w:r w:rsidRPr="00860DB8">
        <w:rPr>
          <w:rFonts w:eastAsia="Calibri" w:cs="Tahoma"/>
          <w:bCs/>
          <w:iCs/>
        </w:rPr>
        <w:t>Por lo expuesto y fundado, este Pleno:</w:t>
      </w:r>
    </w:p>
    <w:p w:rsidRPr="00860DB8" w:rsidR="00057880" w:rsidP="00057880" w:rsidRDefault="00057880" w14:paraId="5D9A1810" w14:textId="77777777">
      <w:pPr>
        <w:spacing w:after="0" w:line="360" w:lineRule="auto"/>
        <w:ind w:right="-28"/>
        <w:contextualSpacing/>
        <w:jc w:val="center"/>
        <w:rPr>
          <w:rFonts w:eastAsia="Calibri" w:cs="Tahoma"/>
          <w:b/>
          <w:bCs/>
        </w:rPr>
      </w:pPr>
    </w:p>
    <w:p w:rsidRPr="00860DB8" w:rsidR="00057880" w:rsidP="00057880" w:rsidRDefault="00057880" w14:paraId="7B99F33A" w14:textId="77777777">
      <w:pPr>
        <w:spacing w:after="0" w:line="360" w:lineRule="auto"/>
        <w:ind w:right="-28"/>
        <w:contextualSpacing/>
        <w:jc w:val="center"/>
        <w:rPr>
          <w:rFonts w:eastAsia="Calibri" w:cs="Tahoma"/>
          <w:b/>
          <w:bCs/>
        </w:rPr>
      </w:pPr>
      <w:r w:rsidRPr="00860DB8">
        <w:rPr>
          <w:rFonts w:eastAsia="Calibri" w:cs="Tahoma"/>
          <w:b/>
          <w:bCs/>
        </w:rPr>
        <w:t>R E S U E L V E:</w:t>
      </w:r>
    </w:p>
    <w:p w:rsidRPr="00860DB8" w:rsidR="00057880" w:rsidP="00057880" w:rsidRDefault="00057880" w14:paraId="2BECE286" w14:textId="77777777">
      <w:pPr>
        <w:spacing w:after="0" w:line="360" w:lineRule="auto"/>
        <w:contextualSpacing/>
        <w:rPr>
          <w:rFonts w:cs="Times New Roman"/>
          <w:b/>
          <w:bCs/>
          <w:lang w:eastAsia="es-ES"/>
        </w:rPr>
      </w:pPr>
      <w:r w:rsidRPr="00860DB8">
        <w:rPr>
          <w:rFonts w:cs="Tahoma"/>
          <w:b/>
          <w:bCs/>
          <w:lang w:eastAsia="es-ES"/>
        </w:rPr>
        <w:t xml:space="preserve">PRIMERO. </w:t>
      </w:r>
      <w:r w:rsidRPr="00860DB8">
        <w:rPr>
          <w:rFonts w:cs="Tahoma"/>
          <w:bCs/>
          <w:lang w:eastAsia="es-ES"/>
        </w:rPr>
        <w:t xml:space="preserve">Se </w:t>
      </w:r>
      <w:r w:rsidRPr="00860DB8">
        <w:rPr>
          <w:rFonts w:cs="Tahoma"/>
          <w:b/>
          <w:bCs/>
          <w:lang w:eastAsia="es-ES"/>
        </w:rPr>
        <w:t xml:space="preserve">MODIFICA </w:t>
      </w:r>
      <w:r w:rsidRPr="00860DB8">
        <w:rPr>
          <w:rFonts w:cs="Tahoma"/>
          <w:bCs/>
          <w:lang w:eastAsia="es-ES"/>
        </w:rPr>
        <w:t>la respuesta entregada por el</w:t>
      </w:r>
      <w:r w:rsidRPr="00860DB8">
        <w:rPr>
          <w:rFonts w:cs="Tahoma"/>
          <w:lang w:eastAsia="es-ES"/>
        </w:rPr>
        <w:t xml:space="preserve"> Ayuntamiento de </w:t>
      </w:r>
      <w:proofErr w:type="spellStart"/>
      <w:r w:rsidRPr="00860DB8">
        <w:rPr>
          <w:rFonts w:cs="Tahoma"/>
          <w:lang w:eastAsia="es-ES"/>
        </w:rPr>
        <w:t>Jilotzingo</w:t>
      </w:r>
      <w:proofErr w:type="spellEnd"/>
      <w:r w:rsidRPr="00860DB8">
        <w:rPr>
          <w:rFonts w:cs="Tahoma"/>
          <w:lang w:eastAsia="es-ES"/>
        </w:rPr>
        <w:t>,</w:t>
      </w:r>
      <w:r w:rsidRPr="00860DB8">
        <w:rPr>
          <w:rFonts w:cs="Tahoma"/>
          <w:b/>
          <w:bCs/>
          <w:lang w:eastAsia="es-ES"/>
        </w:rPr>
        <w:t xml:space="preserve"> </w:t>
      </w:r>
      <w:r w:rsidRPr="00860DB8">
        <w:rPr>
          <w:rFonts w:cs="Tahoma"/>
          <w:bCs/>
          <w:lang w:eastAsia="es-ES"/>
        </w:rPr>
        <w:t>a las solicitudes de información</w:t>
      </w:r>
      <w:r w:rsidRPr="00860DB8">
        <w:rPr>
          <w:b/>
          <w:bCs/>
          <w:lang w:eastAsia="es-ES"/>
        </w:rPr>
        <w:t xml:space="preserve"> </w:t>
      </w:r>
      <w:r w:rsidRPr="00860DB8">
        <w:t>00119/JILOTZIN/IP/2022 y 00125/JILOTZIN/IP/2022</w:t>
      </w:r>
      <w:r w:rsidRPr="00860DB8">
        <w:rPr>
          <w:lang w:eastAsia="es-ES"/>
        </w:rPr>
        <w:t>,</w:t>
      </w:r>
      <w:r w:rsidRPr="00860DB8">
        <w:rPr>
          <w:b/>
          <w:bCs/>
          <w:lang w:eastAsia="es-ES"/>
        </w:rPr>
        <w:t xml:space="preserve"> </w:t>
      </w:r>
      <w:r w:rsidRPr="00860DB8">
        <w:rPr>
          <w:bCs/>
          <w:lang w:eastAsia="es-ES"/>
        </w:rPr>
        <w:t xml:space="preserve">por resultar </w:t>
      </w:r>
      <w:r w:rsidRPr="00860DB8">
        <w:rPr>
          <w:b/>
          <w:bCs/>
          <w:lang w:eastAsia="es-ES"/>
        </w:rPr>
        <w:t>PARCIALMENTE</w:t>
      </w:r>
      <w:r w:rsidRPr="00860DB8">
        <w:rPr>
          <w:bCs/>
          <w:lang w:eastAsia="es-ES"/>
        </w:rPr>
        <w:t xml:space="preserve"> </w:t>
      </w:r>
      <w:r w:rsidRPr="00860DB8">
        <w:rPr>
          <w:b/>
          <w:bCs/>
          <w:lang w:eastAsia="es-ES"/>
        </w:rPr>
        <w:t>FUNDADAS</w:t>
      </w:r>
      <w:r w:rsidRPr="00860DB8">
        <w:rPr>
          <w:rFonts w:cs="Tahoma"/>
          <w:bCs/>
          <w:lang w:eastAsia="es-ES"/>
        </w:rPr>
        <w:t xml:space="preserve"> </w:t>
      </w:r>
      <w:r w:rsidRPr="00860DB8">
        <w:rPr>
          <w:rFonts w:eastAsia="Calibri" w:cs="Tahoma"/>
          <w:bCs/>
        </w:rPr>
        <w:t xml:space="preserve">las razones o motivos de inconformidad hechos valer por el Recurrente, en términos de los considerandos </w:t>
      </w:r>
      <w:r w:rsidRPr="00860DB8">
        <w:rPr>
          <w:rFonts w:eastAsia="Calibri" w:cs="Tahoma"/>
        </w:rPr>
        <w:t>QUINTO</w:t>
      </w:r>
      <w:r w:rsidRPr="00860DB8">
        <w:rPr>
          <w:rFonts w:eastAsia="Calibri" w:cs="Tahoma"/>
          <w:bCs/>
        </w:rPr>
        <w:t xml:space="preserve"> y </w:t>
      </w:r>
      <w:r w:rsidRPr="00860DB8">
        <w:rPr>
          <w:rFonts w:eastAsia="Calibri" w:cs="Tahoma"/>
        </w:rPr>
        <w:t>SEXTO</w:t>
      </w:r>
      <w:r w:rsidRPr="00860DB8">
        <w:rPr>
          <w:rFonts w:eastAsia="Calibri" w:cs="Tahoma"/>
          <w:b/>
        </w:rPr>
        <w:t xml:space="preserve"> </w:t>
      </w:r>
      <w:r w:rsidRPr="00860DB8">
        <w:rPr>
          <w:rFonts w:eastAsia="Calibri" w:cs="Tahoma"/>
          <w:bCs/>
        </w:rPr>
        <w:t>de la presente Resolución.</w:t>
      </w:r>
    </w:p>
    <w:p w:rsidRPr="00860DB8" w:rsidR="00057880" w:rsidP="00057880" w:rsidRDefault="00057880" w14:paraId="39BAEDC5" w14:textId="77777777">
      <w:pPr>
        <w:spacing w:after="0" w:line="360" w:lineRule="auto"/>
        <w:contextualSpacing/>
        <w:rPr>
          <w:rFonts w:cs="Times New Roman"/>
          <w:b/>
          <w:bCs/>
          <w:lang w:eastAsia="es-ES"/>
        </w:rPr>
      </w:pPr>
    </w:p>
    <w:p w:rsidRPr="00860DB8" w:rsidR="00057880" w:rsidP="00057880" w:rsidRDefault="00057880" w14:paraId="53407628" w14:textId="77777777">
      <w:pPr>
        <w:spacing w:after="0" w:line="360" w:lineRule="auto"/>
        <w:contextualSpacing/>
        <w:rPr>
          <w:rFonts w:cs="Tahoma"/>
          <w:iCs/>
        </w:rPr>
      </w:pPr>
      <w:r w:rsidRPr="00860DB8">
        <w:rPr>
          <w:rFonts w:cs="Tahoma"/>
          <w:b/>
          <w:bCs/>
          <w:lang w:eastAsia="es-ES"/>
        </w:rPr>
        <w:t xml:space="preserve">SEGUNDO. </w:t>
      </w:r>
      <w:r w:rsidRPr="00860DB8">
        <w:rPr>
          <w:rFonts w:cs="Tahoma"/>
          <w:lang w:eastAsia="es-ES"/>
        </w:rPr>
        <w:t xml:space="preserve">Se </w:t>
      </w:r>
      <w:r w:rsidRPr="00860DB8">
        <w:rPr>
          <w:rFonts w:cs="Tahoma"/>
          <w:b/>
          <w:lang w:eastAsia="es-ES"/>
        </w:rPr>
        <w:t>ORDENA</w:t>
      </w:r>
      <w:r w:rsidRPr="00860DB8">
        <w:rPr>
          <w:rFonts w:cs="Tahoma"/>
          <w:bCs/>
          <w:lang w:eastAsia="es-ES"/>
        </w:rPr>
        <w:t xml:space="preserve"> al</w:t>
      </w:r>
      <w:r w:rsidRPr="00860DB8">
        <w:rPr>
          <w:rFonts w:cs="Tahoma"/>
          <w:lang w:eastAsia="es-ES"/>
        </w:rPr>
        <w:t xml:space="preserve"> </w:t>
      </w:r>
      <w:r w:rsidRPr="00860DB8">
        <w:rPr>
          <w:rFonts w:eastAsia="Calibri" w:cs="Tahoma"/>
        </w:rPr>
        <w:t>Sujeto Obligado,</w:t>
      </w:r>
      <w:r w:rsidRPr="00860DB8">
        <w:rPr>
          <w:rFonts w:cs="Tahoma"/>
          <w:b/>
          <w:lang w:eastAsia="es-ES"/>
        </w:rPr>
        <w:t xml:space="preserve"> </w:t>
      </w:r>
      <w:r w:rsidRPr="00860DB8">
        <w:rPr>
          <w:rFonts w:cs="Tahoma"/>
          <w:lang w:eastAsia="es-ES"/>
        </w:rPr>
        <w:t xml:space="preserve">a efecto de que, previa búsqueda exhaustiva y razonable en todas las unidades administrativas competentes, entregue </w:t>
      </w:r>
      <w:r w:rsidRPr="00860DB8">
        <w:rPr>
          <w:rFonts w:cs="Tahoma"/>
          <w:bCs/>
          <w:iCs/>
          <w:lang w:eastAsia="es-ES"/>
        </w:rPr>
        <w:t>a través del Sistema de Acceso a la Información Mexiquense (SAIMEX), en versión pública</w:t>
      </w:r>
      <w:r w:rsidRPr="00860DB8">
        <w:rPr>
          <w:rFonts w:cs="Tahoma"/>
          <w:lang w:val="es-ES" w:eastAsia="es-ES"/>
        </w:rPr>
        <w:t>, lo</w:t>
      </w:r>
      <w:r w:rsidRPr="00860DB8">
        <w:rPr>
          <w:rFonts w:cs="Tahoma"/>
          <w:iCs/>
        </w:rPr>
        <w:t xml:space="preserve"> siguiente:</w:t>
      </w:r>
    </w:p>
    <w:p w:rsidRPr="00860DB8" w:rsidR="00057880" w:rsidP="00057880" w:rsidRDefault="00057880" w14:paraId="6B01C355" w14:textId="77777777">
      <w:pPr>
        <w:spacing w:after="0" w:line="360" w:lineRule="auto"/>
        <w:contextualSpacing/>
        <w:jc w:val="center"/>
        <w:rPr>
          <w:rFonts w:cs="Tahoma"/>
          <w:iCs/>
        </w:rPr>
      </w:pPr>
    </w:p>
    <w:p w:rsidRPr="00860DB8" w:rsidR="00057880" w:rsidP="00057880" w:rsidRDefault="00057880" w14:paraId="3DAF75D0" w14:textId="77777777">
      <w:pPr>
        <w:pStyle w:val="Prrafodelista"/>
        <w:numPr>
          <w:ilvl w:val="0"/>
          <w:numId w:val="21"/>
        </w:numPr>
        <w:autoSpaceDE w:val="0"/>
        <w:autoSpaceDN w:val="0"/>
        <w:adjustRightInd w:val="0"/>
        <w:spacing w:after="0" w:line="360" w:lineRule="auto"/>
        <w:rPr>
          <w:color w:val="000000"/>
        </w:rPr>
      </w:pPr>
      <w:r w:rsidRPr="00860DB8">
        <w:rPr>
          <w:color w:val="000000"/>
        </w:rPr>
        <w:t>Los recibos de nómina entregados en respuesta a las solicitudes.</w:t>
      </w:r>
    </w:p>
    <w:p w:rsidRPr="00860DB8" w:rsidR="00057880" w:rsidP="00057880" w:rsidRDefault="00057880" w14:paraId="0F476FA0" w14:textId="77777777">
      <w:pPr>
        <w:pStyle w:val="Prrafodelista"/>
        <w:spacing w:after="0" w:line="360" w:lineRule="auto"/>
        <w:rPr>
          <w:color w:val="000000"/>
        </w:rPr>
      </w:pPr>
    </w:p>
    <w:p w:rsidRPr="00860DB8" w:rsidR="00057880" w:rsidP="00057880" w:rsidRDefault="00057880" w14:paraId="42921668" w14:textId="77777777">
      <w:pPr>
        <w:pStyle w:val="Prrafodelista"/>
        <w:widowControl w:val="0"/>
        <w:numPr>
          <w:ilvl w:val="0"/>
          <w:numId w:val="21"/>
        </w:numPr>
        <w:spacing w:after="0" w:line="360" w:lineRule="auto"/>
        <w:rPr>
          <w:rFonts w:eastAsia="Calibri" w:cs="Tahoma"/>
          <w:iCs/>
          <w:lang w:eastAsia="es-ES_tradnl"/>
        </w:rPr>
      </w:pPr>
      <w:r w:rsidRPr="00860DB8">
        <w:rPr>
          <w:rFonts w:eastAsia="Calibri" w:cs="Tahoma"/>
          <w:bCs/>
          <w:iCs/>
          <w:lang w:eastAsia="es-ES_tradnl"/>
        </w:rPr>
        <w:t>El Comprobante Bancario de la Dispersión de Nómina, de la segunda quincena de septiembre de dos mil veintidós, de la Presidenta Municipal, el Síndico Municipal y siete Regidores.</w:t>
      </w:r>
    </w:p>
    <w:p w:rsidRPr="00860DB8" w:rsidR="00057880" w:rsidP="00057880" w:rsidRDefault="00057880" w14:paraId="79725FFB" w14:textId="77777777">
      <w:pPr>
        <w:spacing w:after="0" w:line="360" w:lineRule="auto"/>
        <w:contextualSpacing/>
        <w:rPr>
          <w:rFonts w:cs="Tahoma"/>
          <w:bCs/>
          <w:iCs/>
          <w:lang w:val="es-ES" w:eastAsia="es-ES"/>
        </w:rPr>
      </w:pPr>
    </w:p>
    <w:p w:rsidRPr="00860DB8" w:rsidR="00057880" w:rsidP="00057880" w:rsidRDefault="00057880" w14:paraId="33D915F9" w14:textId="77777777">
      <w:pPr>
        <w:spacing w:after="0" w:line="360" w:lineRule="auto"/>
        <w:contextualSpacing/>
        <w:rPr>
          <w:rFonts w:cs="Tahoma"/>
          <w:bCs/>
          <w:iCs/>
          <w:lang w:val="es-ES" w:eastAsia="es-ES"/>
        </w:rPr>
      </w:pPr>
      <w:r w:rsidRPr="00860DB8">
        <w:rPr>
          <w:rFonts w:cs="Tahoma"/>
          <w:bCs/>
          <w:iCs/>
          <w:lang w:val="es-ES" w:eastAsia="es-ES"/>
        </w:rPr>
        <w:t>Además, deberá proporcionar el Acuerdo de Clasificación donde el Comité de Transparencia, confirme la eliminación de los datos establecidos en el Considerando SEXTO, en la versión pública, de conformidad con los artículos 49, fracciones II y VIII y 132, fracción II de la Ley de Transparencia y Acceso a la Información Pública del Estado de México y Municipios.</w:t>
      </w:r>
    </w:p>
    <w:p w:rsidRPr="00860DB8" w:rsidR="00057880" w:rsidP="00057880" w:rsidRDefault="00057880" w14:paraId="2A2CB99D" w14:textId="77777777">
      <w:pPr>
        <w:spacing w:after="0" w:line="360" w:lineRule="auto"/>
        <w:contextualSpacing/>
        <w:rPr>
          <w:rFonts w:cs="Tahoma"/>
          <w:lang w:val="es-ES" w:eastAsia="es-ES"/>
        </w:rPr>
      </w:pPr>
    </w:p>
    <w:p w:rsidRPr="00860DB8" w:rsidR="00057880" w:rsidP="00057880" w:rsidRDefault="00057880" w14:paraId="10D992CE" w14:textId="77777777">
      <w:pPr>
        <w:spacing w:after="0" w:line="360" w:lineRule="auto"/>
        <w:contextualSpacing/>
        <w:rPr>
          <w:rFonts w:cs="Tahoma"/>
          <w:lang w:eastAsia="es-ES"/>
        </w:rPr>
      </w:pPr>
      <w:r w:rsidRPr="00860DB8">
        <w:rPr>
          <w:rFonts w:eastAsia="Calibri" w:cs="Tahoma"/>
          <w:b/>
          <w:bCs/>
        </w:rPr>
        <w:t xml:space="preserve">TERCERO. </w:t>
      </w:r>
      <w:r w:rsidRPr="00860DB8">
        <w:rPr>
          <w:rFonts w:cs="Tahoma"/>
          <w:b/>
          <w:lang w:eastAsia="es-ES"/>
        </w:rPr>
        <w:t xml:space="preserve">NOTIFÍQUESE </w:t>
      </w:r>
      <w:r w:rsidRPr="00860DB8">
        <w:rPr>
          <w:rFonts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860DB8" w:rsidR="00057880" w:rsidP="00057880" w:rsidRDefault="00057880" w14:paraId="05E1A95A" w14:textId="77777777">
      <w:pPr>
        <w:spacing w:after="0" w:line="360" w:lineRule="auto"/>
        <w:contextualSpacing/>
        <w:rPr>
          <w:rFonts w:cs="Tahoma"/>
          <w:lang w:eastAsia="es-ES"/>
        </w:rPr>
      </w:pPr>
    </w:p>
    <w:p w:rsidRPr="00860DB8" w:rsidR="00057880" w:rsidP="00057880" w:rsidRDefault="00057880" w14:paraId="3D2AA43B" w14:textId="77777777">
      <w:pPr>
        <w:spacing w:after="0" w:line="360" w:lineRule="auto"/>
        <w:contextualSpacing/>
        <w:rPr>
          <w:rFonts w:cs="Tahoma"/>
          <w:iCs/>
          <w:lang w:eastAsia="es-ES"/>
        </w:rPr>
      </w:pPr>
      <w:r w:rsidRPr="00860DB8">
        <w:rPr>
          <w:rFonts w:cs="Tahoma"/>
          <w:iCs/>
          <w:lang w:eastAsia="es-ES"/>
        </w:rPr>
        <w:t xml:space="preserve">De conformidad con el artículo 198 de la Ley de Transparencia y Acceso a la Información Pública del Estado de México y Municipios, de considerarlo procedente, el Sujeto Obligado </w:t>
      </w:r>
      <w:r w:rsidRPr="00860DB8">
        <w:rPr>
          <w:rFonts w:cs="Tahoma"/>
          <w:iCs/>
          <w:lang w:eastAsia="es-ES"/>
        </w:rPr>
        <w:lastRenderedPageBreak/>
        <w:t>de manera fundada y motivada, podrá solicitar una ampliación de plazo para el cumplimiento de la presente resolución.</w:t>
      </w:r>
    </w:p>
    <w:p w:rsidRPr="00860DB8" w:rsidR="00057880" w:rsidP="00057880" w:rsidRDefault="00057880" w14:paraId="27EB50AA" w14:textId="77777777">
      <w:pPr>
        <w:spacing w:after="0" w:line="360" w:lineRule="auto"/>
        <w:contextualSpacing/>
        <w:rPr>
          <w:rFonts w:eastAsia="Calibri" w:cs="Tahoma"/>
          <w:b/>
        </w:rPr>
      </w:pPr>
    </w:p>
    <w:p w:rsidRPr="00860DB8" w:rsidR="00057880" w:rsidP="00057880" w:rsidRDefault="00057880" w14:paraId="09824C73" w14:textId="77777777">
      <w:pPr>
        <w:spacing w:after="0" w:line="360" w:lineRule="auto"/>
        <w:contextualSpacing/>
        <w:rPr>
          <w:rFonts w:eastAsia="Times New Roman" w:cs="Tahoma"/>
          <w:lang w:eastAsia="es-ES"/>
        </w:rPr>
      </w:pPr>
      <w:r w:rsidRPr="00860DB8">
        <w:rPr>
          <w:rFonts w:eastAsia="Calibri" w:cs="Tahoma"/>
          <w:b/>
        </w:rPr>
        <w:t>CUARTO</w:t>
      </w:r>
      <w:r w:rsidRPr="00860DB8">
        <w:rPr>
          <w:rFonts w:eastAsia="Calibri" w:cs="Tahoma"/>
          <w:b/>
          <w:bCs/>
        </w:rPr>
        <w:t xml:space="preserve">. </w:t>
      </w:r>
      <w:r w:rsidRPr="00860DB8">
        <w:rPr>
          <w:rFonts w:cs="Tahoma"/>
          <w:b/>
          <w:lang w:eastAsia="es-ES"/>
        </w:rPr>
        <w:t>NOTIFÍQUESE</w:t>
      </w:r>
      <w:r w:rsidRPr="00860DB8">
        <w:rPr>
          <w:rFonts w:cs="Tahoma"/>
          <w:lang w:eastAsia="es-ES"/>
        </w:rPr>
        <w:t xml:space="preserve"> al Recurrente la presente Resolución a través del </w:t>
      </w:r>
      <w:r w:rsidRPr="00860DB8">
        <w:rPr>
          <w:rFonts w:eastAsia="Calibri" w:cs="Tahoma"/>
          <w:bCs/>
        </w:rPr>
        <w:t>Sistema de Acceso a la Información Mexiquense (SAIMEX)</w:t>
      </w:r>
      <w:r w:rsidRPr="00860DB8">
        <w:rPr>
          <w:rFonts w:cs="Tahoma"/>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60DB8" w:rsidR="00057880" w:rsidP="00057880" w:rsidRDefault="00057880" w14:paraId="66BB7E37" w14:textId="77777777">
      <w:pPr>
        <w:spacing w:after="0" w:line="360" w:lineRule="auto"/>
        <w:contextualSpacing/>
        <w:rPr>
          <w:rFonts w:eastAsia="Times New Roman" w:cs="Tahoma"/>
          <w:lang w:eastAsia="es-ES"/>
        </w:rPr>
      </w:pPr>
    </w:p>
    <w:p w:rsidRPr="00860DB8" w:rsidR="00057880" w:rsidP="00057880" w:rsidRDefault="00057880" w14:paraId="41E5E4CA" w14:textId="77777777">
      <w:pPr>
        <w:spacing w:after="0" w:line="360" w:lineRule="auto"/>
        <w:contextualSpacing/>
        <w:rPr>
          <w:rFonts w:eastAsia="Times New Roman" w:cs="Tahoma"/>
          <w:lang w:eastAsia="es-ES"/>
        </w:rPr>
      </w:pPr>
      <w:r w:rsidRPr="00860DB8">
        <w:rPr>
          <w:rFonts w:eastAsia="Times New Roman" w:cs="Tahoma"/>
          <w:b/>
          <w:lang w:eastAsia="es-ES"/>
        </w:rPr>
        <w:t xml:space="preserve">QUINTO. </w:t>
      </w:r>
      <w:r w:rsidRPr="00860DB8">
        <w:rPr>
          <w:rFonts w:eastAsia="Times New Roman" w:cs="Tahoma"/>
          <w:lang w:eastAsia="es-ES"/>
        </w:rPr>
        <w:t>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SÉPTIMO de la presente Resolución.</w:t>
      </w:r>
    </w:p>
    <w:p w:rsidRPr="00860DB8" w:rsidR="00057880" w:rsidP="00057880" w:rsidRDefault="00057880" w14:paraId="2B86E6EF" w14:textId="77777777">
      <w:pPr>
        <w:spacing w:after="0" w:line="360" w:lineRule="auto"/>
        <w:contextualSpacing/>
        <w:rPr>
          <w:rFonts w:eastAsia="Times New Roman" w:cs="Tahoma"/>
          <w:lang w:eastAsia="es-ES"/>
        </w:rPr>
      </w:pPr>
    </w:p>
    <w:p w:rsidRPr="00717A3B" w:rsidR="00057880" w:rsidP="00057880" w:rsidRDefault="00057880" w14:paraId="71563896" w14:textId="24B4310B">
      <w:pPr>
        <w:spacing w:after="0" w:line="360" w:lineRule="auto"/>
        <w:contextualSpacing/>
        <w:rPr>
          <w:rFonts w:cs="Arial"/>
        </w:rPr>
      </w:pPr>
      <w:r w:rsidRPr="00860DB8">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860DB8" w:rsidR="00D32E0B">
        <w:t>QUINTA</w:t>
      </w:r>
      <w:r w:rsidRPr="00860DB8">
        <w:t xml:space="preserve"> SESIÓN ORDINARIA CELEBRADA EL NUEVE DE FEBRERO DE DOS MIL VEINTITRÉS, ANTE EL SECRETARIO TÉCNICO DEL PLENO, ALEXIS TAPIA RAMÍREZ.</w:t>
      </w:r>
      <w:bookmarkStart w:name="_GoBack" w:id="2"/>
      <w:bookmarkEnd w:id="2"/>
    </w:p>
    <w:p w:rsidR="003F6B81" w:rsidRDefault="003F6B81" w14:paraId="3128B580" w14:textId="1A558A33">
      <w:pPr>
        <w:jc w:val="left"/>
        <w:rPr>
          <w:rFonts w:eastAsia="Times New Roman" w:cs="Tahoma"/>
          <w:lang w:eastAsia="es-ES"/>
        </w:rPr>
      </w:pPr>
      <w:r>
        <w:rPr>
          <w:rFonts w:eastAsia="Times New Roman" w:cs="Tahoma"/>
          <w:lang w:eastAsia="es-ES"/>
        </w:rPr>
        <w:br w:type="page"/>
      </w:r>
    </w:p>
    <w:p w:rsidR="00643CB5" w:rsidP="00057880" w:rsidRDefault="00643CB5" w14:paraId="5EA3908E" w14:textId="77777777">
      <w:pPr>
        <w:spacing w:after="0" w:line="360" w:lineRule="auto"/>
        <w:contextualSpacing/>
      </w:pPr>
    </w:p>
    <w:sectPr w:rsidR="00643CB5" w:rsidSect="0047381F">
      <w:headerReference w:type="even" r:id="rId21"/>
      <w:headerReference w:type="default" r:id="rId22"/>
      <w:footerReference w:type="even" r:id="rId23"/>
      <w:footerReference w:type="default" r:id="rId24"/>
      <w:headerReference w:type="first" r:id="rId25"/>
      <w:footerReference w:type="first" r:id="rId26"/>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4F5" w:rsidP="00643CB5" w:rsidRDefault="000754F5" w14:paraId="3C6AE6FB" w14:textId="77777777">
      <w:pPr>
        <w:spacing w:after="0" w:line="240" w:lineRule="auto"/>
      </w:pPr>
      <w:r>
        <w:separator/>
      </w:r>
    </w:p>
  </w:endnote>
  <w:endnote w:type="continuationSeparator" w:id="0">
    <w:p w:rsidR="000754F5" w:rsidP="00643CB5" w:rsidRDefault="000754F5" w14:paraId="6C73CF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21C" w:rsidRDefault="00E5021C" w14:paraId="4DFA983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E5021C" w:rsidRDefault="00E5021C" w14:paraId="21AF5698"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E5021C" w:rsidRDefault="00E5021C" w14:paraId="4EE9E150"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60DB8">
              <w:rPr>
                <w:b/>
                <w:bCs/>
                <w:noProof/>
              </w:rPr>
              <w:t>56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60DB8">
              <w:rPr>
                <w:b/>
                <w:bCs/>
                <w:noProof/>
              </w:rPr>
              <w:t>56</w:t>
            </w:r>
            <w:r>
              <w:rPr>
                <w:b/>
                <w:bCs/>
                <w:sz w:val="24"/>
                <w:szCs w:val="24"/>
              </w:rPr>
              <w:fldChar w:fldCharType="end"/>
            </w:r>
          </w:p>
        </w:sdtContent>
      </w:sdt>
    </w:sdtContent>
  </w:sdt>
  <w:p w:rsidR="00E5021C" w:rsidRDefault="00E5021C" w14:paraId="7D7591CD"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21C" w:rsidRDefault="00E5021C" w14:paraId="367292D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60DB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60DB8">
      <w:rPr>
        <w:b/>
        <w:bCs/>
        <w:noProof/>
      </w:rPr>
      <w:t>56</w:t>
    </w:r>
    <w:r>
      <w:rPr>
        <w:b/>
        <w:bCs/>
        <w:sz w:val="24"/>
        <w:szCs w:val="24"/>
      </w:rPr>
      <w:fldChar w:fldCharType="end"/>
    </w:r>
  </w:p>
  <w:p w:rsidR="00E5021C" w:rsidRDefault="00E5021C" w14:paraId="6477F61B"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4F5" w:rsidP="00643CB5" w:rsidRDefault="000754F5" w14:paraId="7BF74315" w14:textId="77777777">
      <w:pPr>
        <w:spacing w:after="0" w:line="240" w:lineRule="auto"/>
      </w:pPr>
      <w:r>
        <w:separator/>
      </w:r>
    </w:p>
  </w:footnote>
  <w:footnote w:type="continuationSeparator" w:id="0">
    <w:p w:rsidR="000754F5" w:rsidP="00643CB5" w:rsidRDefault="000754F5" w14:paraId="34A7032D"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E5021C" w:rsidTr="0047381F" w14:paraId="3706BE5D" w14:textId="77777777">
      <w:trPr>
        <w:trHeight w:val="132"/>
      </w:trPr>
      <w:tc>
        <w:tcPr>
          <w:tcW w:w="2691" w:type="dxa"/>
        </w:tcPr>
        <w:p w:rsidRPr="00E152D8" w:rsidR="00E5021C" w:rsidP="0047381F" w:rsidRDefault="00E5021C" w14:paraId="6760354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E5021C" w:rsidP="0047381F" w:rsidRDefault="00E5021C" w14:paraId="70E908E2" w14:textId="77777777">
          <w:pPr>
            <w:tabs>
              <w:tab w:val="right" w:pos="8838"/>
            </w:tabs>
            <w:ind w:left="-28" w:right="-32"/>
            <w:rPr>
              <w:rFonts w:eastAsia="Calibri" w:cs="Tahoma"/>
            </w:rPr>
          </w:pPr>
          <w:r w:rsidRPr="00EE1572">
            <w:rPr>
              <w:rFonts w:eastAsia="Calibri" w:cs="Tahoma"/>
            </w:rPr>
            <w:t>03846/INFOEM/IP/RR/2020</w:t>
          </w:r>
        </w:p>
      </w:tc>
    </w:tr>
    <w:tr w:rsidRPr="00E152D8" w:rsidR="00E5021C" w:rsidTr="0047381F" w14:paraId="5F333F85" w14:textId="77777777">
      <w:trPr>
        <w:trHeight w:val="261"/>
      </w:trPr>
      <w:tc>
        <w:tcPr>
          <w:tcW w:w="2691" w:type="dxa"/>
        </w:tcPr>
        <w:p w:rsidRPr="00E152D8" w:rsidR="00E5021C" w:rsidP="0047381F" w:rsidRDefault="00E5021C" w14:paraId="18C1BDCB"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E5021C" w:rsidP="0047381F" w:rsidRDefault="00E5021C" w14:paraId="5B9ADD93" w14:textId="182F6B07">
          <w:pPr>
            <w:tabs>
              <w:tab w:val="right" w:pos="8838"/>
            </w:tabs>
            <w:ind w:right="-32"/>
            <w:rPr>
              <w:rFonts w:eastAsia="Calibri" w:cs="Tahoma"/>
              <w:lang w:val="es-MX"/>
            </w:rPr>
          </w:pPr>
          <w:r w:rsidRPr="00EE1572">
            <w:rPr>
              <w:rFonts w:eastAsia="Calibri" w:cs="Tahoma"/>
              <w:lang w:val="es-MX"/>
            </w:rPr>
            <w:t xml:space="preserve">Ayuntamiento de </w:t>
          </w:r>
          <w:proofErr w:type="spellStart"/>
          <w:r w:rsidR="00EE1235">
            <w:rPr>
              <w:rFonts w:eastAsia="Calibri" w:cs="Tahoma"/>
              <w:lang w:val="es-MX"/>
            </w:rPr>
            <w:t>Jilotzingo</w:t>
          </w:r>
          <w:proofErr w:type="spellEnd"/>
        </w:p>
      </w:tc>
    </w:tr>
    <w:tr w:rsidRPr="00E152D8" w:rsidR="00E5021C" w:rsidTr="0047381F" w14:paraId="0CF07866" w14:textId="77777777">
      <w:trPr>
        <w:trHeight w:val="261"/>
      </w:trPr>
      <w:tc>
        <w:tcPr>
          <w:tcW w:w="2691" w:type="dxa"/>
        </w:tcPr>
        <w:p w:rsidRPr="00E152D8" w:rsidR="00E5021C" w:rsidP="0047381F" w:rsidRDefault="00E5021C" w14:paraId="4C18B977"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E5021C" w:rsidP="0047381F" w:rsidRDefault="00E5021C" w14:paraId="6B8FF680"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5021C" w:rsidRDefault="000754F5" w14:paraId="0047AA1D" w14:textId="77777777">
    <w:pPr>
      <w:pStyle w:val="Encabezado"/>
    </w:pPr>
    <w:r>
      <w:rPr>
        <w:noProof/>
      </w:rPr>
      <w:pict w14:anchorId="1B879F0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29"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119"/>
    </w:tblGrid>
    <w:tr w:rsidRPr="00E152D8" w:rsidR="00E5021C" w:rsidTr="0047381F" w14:paraId="33A17B2C" w14:textId="77777777">
      <w:trPr>
        <w:trHeight w:val="138"/>
      </w:trPr>
      <w:tc>
        <w:tcPr>
          <w:tcW w:w="2410" w:type="dxa"/>
        </w:tcPr>
        <w:p w:rsidRPr="00E152D8" w:rsidR="00E5021C" w:rsidP="0047381F" w:rsidRDefault="00E5021C" w14:paraId="6F5FB42A"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119" w:type="dxa"/>
        </w:tcPr>
        <w:p w:rsidRPr="00051642" w:rsidR="00E5021C" w:rsidP="0047381F" w:rsidRDefault="00E5021C" w14:paraId="458FAB0A" w14:textId="009458D4">
          <w:pPr>
            <w:tabs>
              <w:tab w:val="right" w:pos="8838"/>
            </w:tabs>
            <w:ind w:right="-32"/>
            <w:rPr>
              <w:rFonts w:eastAsia="Calibri" w:cs="Tahoma"/>
            </w:rPr>
          </w:pPr>
          <w:r>
            <w:rPr>
              <w:rFonts w:eastAsia="Calibri" w:cs="Tahoma"/>
              <w:lang w:val="es-MX"/>
            </w:rPr>
            <w:t>15701/INFOEM/IP/RR/2022 y acumulado</w:t>
          </w:r>
        </w:p>
      </w:tc>
    </w:tr>
    <w:tr w:rsidRPr="00E152D8" w:rsidR="00E5021C" w:rsidTr="0047381F" w14:paraId="6CE96543" w14:textId="77777777">
      <w:trPr>
        <w:trHeight w:val="273"/>
      </w:trPr>
      <w:tc>
        <w:tcPr>
          <w:tcW w:w="2410" w:type="dxa"/>
        </w:tcPr>
        <w:p w:rsidRPr="00E152D8" w:rsidR="00E5021C" w:rsidP="0047381F" w:rsidRDefault="00E5021C" w14:paraId="54FF06F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19" w:type="dxa"/>
        </w:tcPr>
        <w:p w:rsidRPr="00B217AC" w:rsidR="00E5021C" w:rsidP="0047381F" w:rsidRDefault="00E5021C" w14:paraId="56BB5CF1" w14:textId="6A754B37">
          <w:pPr>
            <w:tabs>
              <w:tab w:val="right" w:pos="8838"/>
            </w:tabs>
            <w:ind w:left="-28" w:right="-32"/>
            <w:rPr>
              <w:color w:val="000000"/>
            </w:rPr>
          </w:pPr>
          <w:r>
            <w:rPr>
              <w:color w:val="000000"/>
            </w:rPr>
            <w:t xml:space="preserve">Ayuntamiento de </w:t>
          </w:r>
          <w:proofErr w:type="spellStart"/>
          <w:r>
            <w:rPr>
              <w:color w:val="000000"/>
            </w:rPr>
            <w:t>Jilotzingo</w:t>
          </w:r>
          <w:proofErr w:type="spellEnd"/>
        </w:p>
      </w:tc>
    </w:tr>
    <w:tr w:rsidRPr="00E152D8" w:rsidR="00E5021C" w:rsidTr="0047381F" w14:paraId="3A45017E" w14:textId="77777777">
      <w:trPr>
        <w:trHeight w:val="273"/>
      </w:trPr>
      <w:tc>
        <w:tcPr>
          <w:tcW w:w="2410" w:type="dxa"/>
        </w:tcPr>
        <w:p w:rsidRPr="00E152D8" w:rsidR="00E5021C" w:rsidP="0047381F" w:rsidRDefault="00E5021C" w14:paraId="50DEA1C4" w14:textId="77777777">
          <w:pPr>
            <w:tabs>
              <w:tab w:val="right" w:pos="8838"/>
            </w:tabs>
            <w:ind w:right="-105"/>
            <w:rPr>
              <w:rFonts w:eastAsia="Calibri" w:cs="Tahoma"/>
              <w:b/>
              <w:lang w:val="es-MX"/>
            </w:rPr>
          </w:pPr>
          <w:r w:rsidRPr="00E152D8">
            <w:rPr>
              <w:rFonts w:eastAsia="Calibri" w:cs="Tahoma"/>
              <w:b/>
              <w:lang w:val="es-MX"/>
            </w:rPr>
            <w:t>Comisionado Ponente:</w:t>
          </w:r>
        </w:p>
      </w:tc>
      <w:tc>
        <w:tcPr>
          <w:tcW w:w="3119" w:type="dxa"/>
        </w:tcPr>
        <w:p w:rsidRPr="00E152D8" w:rsidR="00E5021C" w:rsidP="0047381F" w:rsidRDefault="00E5021C" w14:paraId="07F0C1BC"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E5021C" w:rsidP="0047381F" w:rsidRDefault="000754F5" w14:paraId="04572175" w14:textId="77777777">
    <w:pPr>
      <w:pStyle w:val="Encabezado"/>
    </w:pPr>
    <w:r>
      <w:rPr>
        <w:noProof/>
      </w:rPr>
      <w:pict w14:anchorId="7A95E38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4.6pt;margin-top:-122.95pt;width:663.5pt;height:12in;z-index:-251656192;mso-wrap-edited:f;mso-width-percent:0;mso-height-percent:0;mso-position-horizontal-relative:margin;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53"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90"/>
      <w:gridCol w:w="3463"/>
    </w:tblGrid>
    <w:tr w:rsidRPr="00E152D8" w:rsidR="00E5021C" w:rsidTr="46148810" w14:paraId="254494A1" w14:textId="77777777">
      <w:tc>
        <w:tcPr>
          <w:tcW w:w="0" w:type="auto"/>
          <w:tcMar/>
        </w:tcPr>
        <w:p w:rsidRPr="00E152D8" w:rsidR="00E5021C" w:rsidP="0047381F" w:rsidRDefault="00E5021C" w14:paraId="71FCA374"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63" w:type="dxa"/>
          <w:tcMar/>
        </w:tcPr>
        <w:p w:rsidR="00E5021C" w:rsidP="0047381F" w:rsidRDefault="00E5021C" w14:paraId="0417912E" w14:textId="75CF041F">
          <w:pPr>
            <w:tabs>
              <w:tab w:val="right" w:pos="8838"/>
            </w:tabs>
            <w:ind w:left="-111" w:right="-32"/>
            <w:rPr>
              <w:rFonts w:eastAsia="Calibri" w:cs="Tahoma"/>
              <w:lang w:val="es-MX"/>
            </w:rPr>
          </w:pPr>
          <w:r>
            <w:rPr>
              <w:rFonts w:eastAsia="Calibri" w:cs="Tahoma"/>
              <w:lang w:val="es-MX"/>
            </w:rPr>
            <w:t xml:space="preserve">15701/INFOEM/IP/RR/2022 y </w:t>
          </w:r>
        </w:p>
        <w:p w:rsidRPr="00051642" w:rsidR="00E5021C" w:rsidP="0047381F" w:rsidRDefault="00E5021C" w14:paraId="172944E4" w14:textId="77777777">
          <w:pPr>
            <w:tabs>
              <w:tab w:val="right" w:pos="8838"/>
            </w:tabs>
            <w:ind w:left="-111" w:right="-32"/>
            <w:rPr>
              <w:rFonts w:eastAsia="Calibri" w:cs="Tahoma"/>
            </w:rPr>
          </w:pPr>
          <w:r>
            <w:rPr>
              <w:rFonts w:eastAsia="Calibri" w:cs="Tahoma"/>
              <w:lang w:val="es-MX"/>
            </w:rPr>
            <w:t>acumulado</w:t>
          </w:r>
        </w:p>
      </w:tc>
    </w:tr>
    <w:tr w:rsidRPr="00E152D8" w:rsidR="00E5021C" w:rsidTr="46148810" w14:paraId="4758BD69" w14:textId="77777777">
      <w:trPr>
        <w:trHeight w:val="115"/>
      </w:trPr>
      <w:tc>
        <w:tcPr>
          <w:tcW w:w="0" w:type="auto"/>
          <w:tcMar/>
        </w:tcPr>
        <w:p w:rsidRPr="00E152D8" w:rsidR="00E5021C" w:rsidP="0047381F" w:rsidRDefault="00E5021C" w14:paraId="5306A7FF" w14:textId="778645E6">
          <w:pPr>
            <w:tabs>
              <w:tab w:val="left" w:pos="1875"/>
            </w:tabs>
            <w:rPr>
              <w:rFonts w:eastAsia="Calibri" w:cs="Tahoma"/>
              <w:b/>
              <w:lang w:val="es-MX"/>
            </w:rPr>
          </w:pPr>
          <w:r w:rsidRPr="00E152D8">
            <w:rPr>
              <w:rFonts w:eastAsia="Calibri" w:cs="Tahoma"/>
              <w:b/>
              <w:lang w:val="es-MX"/>
            </w:rPr>
            <w:t>Recurrente</w:t>
          </w:r>
          <w:r>
            <w:rPr>
              <w:rFonts w:eastAsia="Calibri" w:cs="Tahoma"/>
              <w:b/>
              <w:lang w:val="es-MX"/>
            </w:rPr>
            <w:t>:</w:t>
          </w:r>
        </w:p>
      </w:tc>
      <w:tc>
        <w:tcPr>
          <w:tcW w:w="3463" w:type="dxa"/>
          <w:tcMar/>
        </w:tcPr>
        <w:p w:rsidRPr="00542661" w:rsidR="00E5021C" w:rsidP="46148810" w:rsidRDefault="00E5021C" w14:paraId="4167D4BA" w14:textId="157E55D6">
          <w:pPr>
            <w:pStyle w:val="Normal"/>
            <w:bidi w:val="0"/>
            <w:spacing w:before="0" w:beforeAutospacing="off" w:after="0" w:afterAutospacing="off" w:line="259" w:lineRule="auto"/>
            <w:ind w:left="-113" w:right="0"/>
            <w:jc w:val="both"/>
          </w:pPr>
          <w:r w:rsidRPr="46148810" w:rsidR="46148810">
            <w:rPr>
              <w:rFonts w:eastAsia="Calibri" w:cs="Tahoma"/>
            </w:rPr>
            <w:t>XXXXXXX</w:t>
          </w:r>
        </w:p>
      </w:tc>
    </w:tr>
    <w:tr w:rsidRPr="00E152D8" w:rsidR="00E5021C" w:rsidTr="46148810" w14:paraId="186DF6A7" w14:textId="77777777">
      <w:tc>
        <w:tcPr>
          <w:tcW w:w="0" w:type="auto"/>
          <w:tcMar/>
        </w:tcPr>
        <w:p w:rsidRPr="00E152D8" w:rsidR="00E5021C" w:rsidP="0047381F" w:rsidRDefault="00E5021C" w14:paraId="326736D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63" w:type="dxa"/>
          <w:tcMar/>
        </w:tcPr>
        <w:p w:rsidRPr="00D8418E" w:rsidR="00E5021C" w:rsidP="0047381F" w:rsidRDefault="00E5021C" w14:paraId="3CAEC951" w14:textId="20355DAC">
          <w:pPr>
            <w:tabs>
              <w:tab w:val="right" w:pos="8838"/>
            </w:tabs>
            <w:ind w:left="-111" w:right="-32"/>
            <w:rPr>
              <w:color w:val="000000"/>
            </w:rPr>
          </w:pPr>
          <w:r>
            <w:rPr>
              <w:color w:val="000000"/>
            </w:rPr>
            <w:t xml:space="preserve">Ayuntamiento de </w:t>
          </w:r>
          <w:proofErr w:type="spellStart"/>
          <w:r>
            <w:rPr>
              <w:color w:val="000000"/>
            </w:rPr>
            <w:t>Jilotzingo</w:t>
          </w:r>
          <w:proofErr w:type="spellEnd"/>
        </w:p>
      </w:tc>
    </w:tr>
    <w:tr w:rsidRPr="00E152D8" w:rsidR="00E5021C" w:rsidTr="46148810" w14:paraId="50EFD780" w14:textId="77777777">
      <w:tc>
        <w:tcPr>
          <w:tcW w:w="0" w:type="auto"/>
          <w:tcMar/>
        </w:tcPr>
        <w:p w:rsidRPr="00E152D8" w:rsidR="00E5021C" w:rsidP="0047381F" w:rsidRDefault="00E5021C" w14:paraId="4D9C306C" w14:textId="77777777">
          <w:pPr>
            <w:tabs>
              <w:tab w:val="right" w:pos="8838"/>
            </w:tabs>
            <w:ind w:right="-105"/>
            <w:rPr>
              <w:rFonts w:eastAsia="Calibri" w:cs="Tahoma"/>
              <w:b/>
              <w:lang w:val="es-MX"/>
            </w:rPr>
          </w:pPr>
          <w:r w:rsidRPr="00E152D8">
            <w:rPr>
              <w:rFonts w:eastAsia="Calibri" w:cs="Tahoma"/>
              <w:b/>
              <w:lang w:val="es-MX"/>
            </w:rPr>
            <w:t>Comisionado Ponente:</w:t>
          </w:r>
        </w:p>
      </w:tc>
      <w:tc>
        <w:tcPr>
          <w:tcW w:w="3463" w:type="dxa"/>
          <w:tcMar/>
        </w:tcPr>
        <w:p w:rsidRPr="00E152D8" w:rsidR="00E5021C" w:rsidP="0047381F" w:rsidRDefault="00E5021C" w14:paraId="7BFA6B35"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E5021C" w:rsidP="0047381F" w:rsidRDefault="000754F5" w14:paraId="1C2B1E19" w14:textId="77777777">
    <w:pPr>
      <w:pStyle w:val="Encabezado"/>
      <w:tabs>
        <w:tab w:val="left" w:pos="5812"/>
      </w:tabs>
    </w:pPr>
    <w:r>
      <w:rPr>
        <w:noProof/>
      </w:rPr>
      <w:pict w14:anchorId="5C35C9A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5.45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BB71DF8"/>
    <w:multiLevelType w:val="hybridMultilevel"/>
    <w:tmpl w:val="DE645B4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0E01A56"/>
    <w:multiLevelType w:val="hybridMultilevel"/>
    <w:tmpl w:val="3BE08C36"/>
    <w:lvl w:ilvl="0" w:tplc="04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1DD7246"/>
    <w:multiLevelType w:val="hybridMultilevel"/>
    <w:tmpl w:val="E2AA3D0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start w:val="1"/>
      <w:numFmt w:val="bullet"/>
      <w:lvlText w:val="o"/>
      <w:lvlJc w:val="left"/>
      <w:pPr>
        <w:ind w:left="1500" w:hanging="360"/>
      </w:pPr>
      <w:rPr>
        <w:rFonts w:hint="default" w:ascii="Courier New" w:hAnsi="Courier New" w:cs="Courier New"/>
      </w:rPr>
    </w:lvl>
    <w:lvl w:ilvl="2" w:tplc="080A0005">
      <w:start w:val="1"/>
      <w:numFmt w:val="bullet"/>
      <w:lvlText w:val=""/>
      <w:lvlJc w:val="left"/>
      <w:pPr>
        <w:ind w:left="2220" w:hanging="360"/>
      </w:pPr>
      <w:rPr>
        <w:rFonts w:hint="default" w:ascii="Wingdings" w:hAnsi="Wingdings"/>
      </w:rPr>
    </w:lvl>
    <w:lvl w:ilvl="3" w:tplc="080A0001">
      <w:start w:val="1"/>
      <w:numFmt w:val="bullet"/>
      <w:lvlText w:val=""/>
      <w:lvlJc w:val="left"/>
      <w:pPr>
        <w:ind w:left="2940" w:hanging="360"/>
      </w:pPr>
      <w:rPr>
        <w:rFonts w:hint="default" w:ascii="Symbol" w:hAnsi="Symbol"/>
      </w:rPr>
    </w:lvl>
    <w:lvl w:ilvl="4" w:tplc="080A0003">
      <w:start w:val="1"/>
      <w:numFmt w:val="bullet"/>
      <w:lvlText w:val="o"/>
      <w:lvlJc w:val="left"/>
      <w:pPr>
        <w:ind w:left="3660" w:hanging="360"/>
      </w:pPr>
      <w:rPr>
        <w:rFonts w:hint="default" w:ascii="Courier New" w:hAnsi="Courier New" w:cs="Courier New"/>
      </w:rPr>
    </w:lvl>
    <w:lvl w:ilvl="5" w:tplc="080A0005">
      <w:start w:val="1"/>
      <w:numFmt w:val="bullet"/>
      <w:lvlText w:val=""/>
      <w:lvlJc w:val="left"/>
      <w:pPr>
        <w:ind w:left="4380" w:hanging="360"/>
      </w:pPr>
      <w:rPr>
        <w:rFonts w:hint="default" w:ascii="Wingdings" w:hAnsi="Wingdings"/>
      </w:rPr>
    </w:lvl>
    <w:lvl w:ilvl="6" w:tplc="080A0001">
      <w:start w:val="1"/>
      <w:numFmt w:val="bullet"/>
      <w:lvlText w:val=""/>
      <w:lvlJc w:val="left"/>
      <w:pPr>
        <w:ind w:left="5100" w:hanging="360"/>
      </w:pPr>
      <w:rPr>
        <w:rFonts w:hint="default" w:ascii="Symbol" w:hAnsi="Symbol"/>
      </w:rPr>
    </w:lvl>
    <w:lvl w:ilvl="7" w:tplc="080A0003">
      <w:start w:val="1"/>
      <w:numFmt w:val="bullet"/>
      <w:lvlText w:val="o"/>
      <w:lvlJc w:val="left"/>
      <w:pPr>
        <w:ind w:left="5820" w:hanging="360"/>
      </w:pPr>
      <w:rPr>
        <w:rFonts w:hint="default" w:ascii="Courier New" w:hAnsi="Courier New" w:cs="Courier New"/>
      </w:rPr>
    </w:lvl>
    <w:lvl w:ilvl="8" w:tplc="080A0005">
      <w:start w:val="1"/>
      <w:numFmt w:val="bullet"/>
      <w:lvlText w:val=""/>
      <w:lvlJc w:val="left"/>
      <w:pPr>
        <w:ind w:left="6540" w:hanging="360"/>
      </w:pPr>
      <w:rPr>
        <w:rFonts w:hint="default" w:ascii="Wingdings" w:hAnsi="Wingdings"/>
      </w:rPr>
    </w:lvl>
  </w:abstractNum>
  <w:abstractNum w:abstractNumId="5" w15:restartNumberingAfterBreak="0">
    <w:nsid w:val="1D1B4F13"/>
    <w:multiLevelType w:val="hybridMultilevel"/>
    <w:tmpl w:val="A9E8DB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52547C1"/>
    <w:multiLevelType w:val="hybridMultilevel"/>
    <w:tmpl w:val="7F684C2E"/>
    <w:lvl w:ilvl="0" w:tplc="AD24E6D8">
      <w:start w:val="2"/>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8A444A1"/>
    <w:multiLevelType w:val="hybridMultilevel"/>
    <w:tmpl w:val="3A680B3C"/>
    <w:lvl w:ilvl="0" w:tplc="AD24E6D8">
      <w:start w:val="2"/>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02D5B60"/>
    <w:multiLevelType w:val="hybridMultilevel"/>
    <w:tmpl w:val="55261F18"/>
    <w:lvl w:ilvl="0" w:tplc="040A0001">
      <w:start w:val="1"/>
      <w:numFmt w:val="bullet"/>
      <w:lvlText w:val=""/>
      <w:lvlJc w:val="left"/>
      <w:pPr>
        <w:ind w:left="780" w:hanging="360"/>
      </w:pPr>
      <w:rPr>
        <w:rFonts w:hint="default" w:ascii="Symbol" w:hAnsi="Symbol"/>
      </w:rPr>
    </w:lvl>
    <w:lvl w:ilvl="1" w:tplc="040A0003" w:tentative="1">
      <w:start w:val="1"/>
      <w:numFmt w:val="bullet"/>
      <w:lvlText w:val="o"/>
      <w:lvlJc w:val="left"/>
      <w:pPr>
        <w:ind w:left="1500" w:hanging="360"/>
      </w:pPr>
      <w:rPr>
        <w:rFonts w:hint="default" w:ascii="Courier New" w:hAnsi="Courier New" w:cs="Courier New"/>
      </w:rPr>
    </w:lvl>
    <w:lvl w:ilvl="2" w:tplc="040A0005" w:tentative="1">
      <w:start w:val="1"/>
      <w:numFmt w:val="bullet"/>
      <w:lvlText w:val=""/>
      <w:lvlJc w:val="left"/>
      <w:pPr>
        <w:ind w:left="2220" w:hanging="360"/>
      </w:pPr>
      <w:rPr>
        <w:rFonts w:hint="default" w:ascii="Wingdings" w:hAnsi="Wingdings"/>
      </w:rPr>
    </w:lvl>
    <w:lvl w:ilvl="3" w:tplc="040A0001" w:tentative="1">
      <w:start w:val="1"/>
      <w:numFmt w:val="bullet"/>
      <w:lvlText w:val=""/>
      <w:lvlJc w:val="left"/>
      <w:pPr>
        <w:ind w:left="2940" w:hanging="360"/>
      </w:pPr>
      <w:rPr>
        <w:rFonts w:hint="default" w:ascii="Symbol" w:hAnsi="Symbol"/>
      </w:rPr>
    </w:lvl>
    <w:lvl w:ilvl="4" w:tplc="040A0003" w:tentative="1">
      <w:start w:val="1"/>
      <w:numFmt w:val="bullet"/>
      <w:lvlText w:val="o"/>
      <w:lvlJc w:val="left"/>
      <w:pPr>
        <w:ind w:left="3660" w:hanging="360"/>
      </w:pPr>
      <w:rPr>
        <w:rFonts w:hint="default" w:ascii="Courier New" w:hAnsi="Courier New" w:cs="Courier New"/>
      </w:rPr>
    </w:lvl>
    <w:lvl w:ilvl="5" w:tplc="040A0005" w:tentative="1">
      <w:start w:val="1"/>
      <w:numFmt w:val="bullet"/>
      <w:lvlText w:val=""/>
      <w:lvlJc w:val="left"/>
      <w:pPr>
        <w:ind w:left="4380" w:hanging="360"/>
      </w:pPr>
      <w:rPr>
        <w:rFonts w:hint="default" w:ascii="Wingdings" w:hAnsi="Wingdings"/>
      </w:rPr>
    </w:lvl>
    <w:lvl w:ilvl="6" w:tplc="040A0001" w:tentative="1">
      <w:start w:val="1"/>
      <w:numFmt w:val="bullet"/>
      <w:lvlText w:val=""/>
      <w:lvlJc w:val="left"/>
      <w:pPr>
        <w:ind w:left="5100" w:hanging="360"/>
      </w:pPr>
      <w:rPr>
        <w:rFonts w:hint="default" w:ascii="Symbol" w:hAnsi="Symbol"/>
      </w:rPr>
    </w:lvl>
    <w:lvl w:ilvl="7" w:tplc="040A0003" w:tentative="1">
      <w:start w:val="1"/>
      <w:numFmt w:val="bullet"/>
      <w:lvlText w:val="o"/>
      <w:lvlJc w:val="left"/>
      <w:pPr>
        <w:ind w:left="5820" w:hanging="360"/>
      </w:pPr>
      <w:rPr>
        <w:rFonts w:hint="default" w:ascii="Courier New" w:hAnsi="Courier New" w:cs="Courier New"/>
      </w:rPr>
    </w:lvl>
    <w:lvl w:ilvl="8" w:tplc="040A0005" w:tentative="1">
      <w:start w:val="1"/>
      <w:numFmt w:val="bullet"/>
      <w:lvlText w:val=""/>
      <w:lvlJc w:val="left"/>
      <w:pPr>
        <w:ind w:left="6540" w:hanging="360"/>
      </w:pPr>
      <w:rPr>
        <w:rFonts w:hint="default" w:ascii="Wingdings" w:hAnsi="Wingdings"/>
      </w:rPr>
    </w:lvl>
  </w:abstractNum>
  <w:abstractNum w:abstractNumId="10" w15:restartNumberingAfterBreak="0">
    <w:nsid w:val="369949C1"/>
    <w:multiLevelType w:val="hybridMultilevel"/>
    <w:tmpl w:val="8B1E92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BEC0343"/>
    <w:multiLevelType w:val="hybridMultilevel"/>
    <w:tmpl w:val="9E42C95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75F46A4"/>
    <w:multiLevelType w:val="hybridMultilevel"/>
    <w:tmpl w:val="69FA2F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BAC5A28"/>
    <w:multiLevelType w:val="hybridMultilevel"/>
    <w:tmpl w:val="92FA0B7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6EBD0AB3"/>
    <w:multiLevelType w:val="hybridMultilevel"/>
    <w:tmpl w:val="D21AA6A2"/>
    <w:lvl w:ilvl="0" w:tplc="04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9" w15:restartNumberingAfterBreak="0">
    <w:nsid w:val="790E5828"/>
    <w:multiLevelType w:val="hybridMultilevel"/>
    <w:tmpl w:val="E2AA3D0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
  </w:num>
  <w:num w:numId="5">
    <w:abstractNumId w:val="5"/>
  </w:num>
  <w:num w:numId="6">
    <w:abstractNumId w:val="7"/>
  </w:num>
  <w:num w:numId="7">
    <w:abstractNumId w:val="15"/>
  </w:num>
  <w:num w:numId="8">
    <w:abstractNumId w:val="8"/>
  </w:num>
  <w:num w:numId="9">
    <w:abstractNumId w:val="2"/>
  </w:num>
  <w:num w:numId="10">
    <w:abstractNumId w:val="12"/>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10"/>
  </w:num>
  <w:num w:numId="19">
    <w:abstractNumId w:val="1"/>
  </w:num>
  <w:num w:numId="20">
    <w:abstractNumId w:val="19"/>
  </w:num>
  <w:num w:numId="2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2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B5"/>
    <w:rsid w:val="00024070"/>
    <w:rsid w:val="000369D0"/>
    <w:rsid w:val="00057880"/>
    <w:rsid w:val="0006651C"/>
    <w:rsid w:val="000754F5"/>
    <w:rsid w:val="00143140"/>
    <w:rsid w:val="001D3598"/>
    <w:rsid w:val="00261136"/>
    <w:rsid w:val="00290B96"/>
    <w:rsid w:val="002E7776"/>
    <w:rsid w:val="003B3D63"/>
    <w:rsid w:val="003F6B81"/>
    <w:rsid w:val="00454811"/>
    <w:rsid w:val="0047381F"/>
    <w:rsid w:val="00512F3C"/>
    <w:rsid w:val="0051317D"/>
    <w:rsid w:val="00643CB5"/>
    <w:rsid w:val="006901EB"/>
    <w:rsid w:val="006D2B59"/>
    <w:rsid w:val="006D5A79"/>
    <w:rsid w:val="00717A3B"/>
    <w:rsid w:val="00721BCE"/>
    <w:rsid w:val="00741452"/>
    <w:rsid w:val="007D015D"/>
    <w:rsid w:val="007F2349"/>
    <w:rsid w:val="00852B64"/>
    <w:rsid w:val="00860DB8"/>
    <w:rsid w:val="008B1285"/>
    <w:rsid w:val="008D6A40"/>
    <w:rsid w:val="0097349F"/>
    <w:rsid w:val="009913C2"/>
    <w:rsid w:val="009D64E8"/>
    <w:rsid w:val="009D6DF0"/>
    <w:rsid w:val="00A51F07"/>
    <w:rsid w:val="00A92383"/>
    <w:rsid w:val="00BA7D2C"/>
    <w:rsid w:val="00C75FF8"/>
    <w:rsid w:val="00CA7977"/>
    <w:rsid w:val="00CC1072"/>
    <w:rsid w:val="00CC2473"/>
    <w:rsid w:val="00CE79C3"/>
    <w:rsid w:val="00D32E0B"/>
    <w:rsid w:val="00DE3082"/>
    <w:rsid w:val="00E0376E"/>
    <w:rsid w:val="00E5021C"/>
    <w:rsid w:val="00E926EE"/>
    <w:rsid w:val="00EA35AD"/>
    <w:rsid w:val="00EE1235"/>
    <w:rsid w:val="00EE4003"/>
    <w:rsid w:val="00EF7A68"/>
    <w:rsid w:val="00F37C86"/>
    <w:rsid w:val="461488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43E847"/>
  <w15:chartTrackingRefBased/>
  <w15:docId w15:val="{B101B86F-0854-455F-8B15-BD0F21E253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43CB5"/>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643CB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43CB5"/>
    <w:rPr>
      <w:rFonts w:ascii="Palatino Linotype" w:hAnsi="Palatino Linotype"/>
      <w:color w:val="000000" w:themeColor="text1"/>
    </w:rPr>
  </w:style>
  <w:style w:type="paragraph" w:styleId="Piedepgina">
    <w:name w:val="footer"/>
    <w:basedOn w:val="Normal"/>
    <w:link w:val="PiedepginaCar"/>
    <w:uiPriority w:val="99"/>
    <w:unhideWhenUsed/>
    <w:rsid w:val="00643CB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43CB5"/>
    <w:rPr>
      <w:rFonts w:ascii="Palatino Linotype" w:hAnsi="Palatino Linotype"/>
      <w:color w:val="000000" w:themeColor="text1"/>
    </w:rPr>
  </w:style>
  <w:style w:type="table" w:styleId="Tablaconcuadrcula">
    <w:name w:val="Table Grid"/>
    <w:basedOn w:val="Tablanormal"/>
    <w:uiPriority w:val="39"/>
    <w:qFormat/>
    <w:rsid w:val="00643CB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643CB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43CB5"/>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43CB5"/>
    <w:rPr>
      <w:rFonts w:ascii="Palatino Linotype" w:hAnsi="Palatino Linotype"/>
      <w:color w:val="000000" w:themeColor="text1"/>
    </w:rPr>
  </w:style>
  <w:style w:type="character" w:styleId="eop" w:customStyle="1">
    <w:name w:val="eop"/>
    <w:basedOn w:val="Fuentedeprrafopredeter"/>
    <w:rsid w:val="00643CB5"/>
  </w:style>
  <w:style w:type="character" w:styleId="Hipervnculo">
    <w:name w:val="Hyperlink"/>
    <w:aliases w:val="Hipervínculo1,Hipervínculo11,Hipervínculo12,Hipervínculo13,Hipervínculo14,Hipervínculo15"/>
    <w:basedOn w:val="Fuentedeprrafopredeter"/>
    <w:uiPriority w:val="99"/>
    <w:unhideWhenUsed/>
    <w:rsid w:val="00EF7A68"/>
    <w:rPr>
      <w:color w:val="0563C1" w:themeColor="hyperlink"/>
      <w:u w:val="single"/>
    </w:rPr>
  </w:style>
  <w:style w:type="character" w:styleId="Mencinsinresolver1" w:customStyle="1">
    <w:name w:val="Mención sin resolver1"/>
    <w:basedOn w:val="Fuentedeprrafopredeter"/>
    <w:uiPriority w:val="99"/>
    <w:semiHidden/>
    <w:unhideWhenUsed/>
    <w:rsid w:val="00EF7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9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portalanterior.ine.mx/archivos2/tutoriales/sistemas/ApoyoInstitucional/SIF/docs/candidatos/folioFiscalFactura.pdf" TargetMode="External" Id="rId13" /><Relationship Type="http://schemas.openxmlformats.org/officeDocument/2006/relationships/hyperlink" Target="https://webapps.condusef.gob.mx/SIPRES/jsp/pub/index.jsp" TargetMode="External" Id="rId18" /><Relationship Type="http://schemas.openxmlformats.org/officeDocument/2006/relationships/footer" Target="footer3.xml" Id="rId26" /><Relationship Type="http://schemas.openxmlformats.org/officeDocument/2006/relationships/settings" Target="settings.xml" Id="rId3" /><Relationship Type="http://schemas.openxmlformats.org/officeDocument/2006/relationships/header" Target="header1.xml" Id="rId21" /><Relationship Type="http://schemas.openxmlformats.org/officeDocument/2006/relationships/hyperlink" Target="http://www.transparenciapresupuestaria.gob.mx/es/PTP/Glosario" TargetMode="External" Id="rId7" /><Relationship Type="http://schemas.openxmlformats.org/officeDocument/2006/relationships/hyperlink" Target="http://dof.gob.mx/nota_detalle.php?codigo=5492254&amp;fecha=28/07/2017" TargetMode="External" Id="rId12" /><Relationship Type="http://schemas.openxmlformats.org/officeDocument/2006/relationships/hyperlink" Target="https://www.condusef.gob.mx/Revista/index.php/usuario-inteligente/condusef-responde/777-la-condusef-te-puede-ayudar" TargetMode="External" Id="rId17" /><Relationship Type="http://schemas.openxmlformats.org/officeDocument/2006/relationships/header" Target="header3.xml" Id="rId25" /><Relationship Type="http://schemas.openxmlformats.org/officeDocument/2006/relationships/styles" Target="styles.xml" Id="rId2" /><Relationship Type="http://schemas.openxmlformats.org/officeDocument/2006/relationships/hyperlink" Target="http://omawww.sat.gob.mx/factura/Paginas/documentos/GuiaAnexo20Global.pdf" TargetMode="External" Id="rId16" /><Relationship Type="http://schemas.openxmlformats.org/officeDocument/2006/relationships/image" Target="media/image6.png"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gob.mx/segob/renapo/acciones-y-programas/clave-unica-de-registro-de-poblacion-curp-142226" TargetMode="External" Id="rId11" /><Relationship Type="http://schemas.openxmlformats.org/officeDocument/2006/relationships/footer" Target="footer2.xml" Id="rId24" /><Relationship Type="http://schemas.openxmlformats.org/officeDocument/2006/relationships/footnotes" Target="footnotes.xml" Id="rId5" /><Relationship Type="http://schemas.openxmlformats.org/officeDocument/2006/relationships/image" Target="media/image4.png"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hyperlink" Target="https://consultas.curp.gob.mx/CurpSP/html/informacionecurpPS.html" TargetMode="External" Id="rId10" /><Relationship Type="http://schemas.openxmlformats.org/officeDocument/2006/relationships/image" Target="media/image5.png"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image" Target="media/image3.png"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glossaryDocument" Target="glossary/document.xml" Id="R1234d2fc39634066" /></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7692f43-dbee-4022-b719-7eaabbe7e95f}"/>
      </w:docPartPr>
      <w:docPartBody>
        <w:p w14:paraId="4614881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6</revision>
  <dcterms:created xsi:type="dcterms:W3CDTF">2023-02-07T20:38:00.0000000Z</dcterms:created>
  <dcterms:modified xsi:type="dcterms:W3CDTF">2023-03-09T18:24:05.1556910Z</dcterms:modified>
</coreProperties>
</file>