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09BC" w:rsidRPr="00A726DA" w:rsidRDefault="009F09BC" w:rsidP="00376C57">
      <w:pPr>
        <w:tabs>
          <w:tab w:val="left" w:pos="3465"/>
        </w:tabs>
        <w:spacing w:line="360" w:lineRule="auto"/>
        <w:jc w:val="both"/>
        <w:rPr>
          <w:rFonts w:ascii="Palatino Linotype" w:hAnsi="Palatino Linotype"/>
          <w:color w:val="000000" w:themeColor="text1"/>
        </w:rPr>
      </w:pPr>
      <w:r w:rsidRPr="00A726DA">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w:t>
      </w:r>
      <w:r w:rsidR="00F475A6">
        <w:rPr>
          <w:rFonts w:ascii="Palatino Linotype" w:hAnsi="Palatino Linotype"/>
          <w:color w:val="000000" w:themeColor="text1"/>
        </w:rPr>
        <w:t xml:space="preserve">pec, Estado de México; de </w:t>
      </w:r>
      <w:r w:rsidR="001C7D9C" w:rsidRPr="00A726DA">
        <w:rPr>
          <w:rFonts w:ascii="Palatino Linotype" w:hAnsi="Palatino Linotype"/>
          <w:color w:val="000000" w:themeColor="text1"/>
        </w:rPr>
        <w:t>veintinueve</w:t>
      </w:r>
      <w:r w:rsidRPr="00A726DA">
        <w:rPr>
          <w:rFonts w:ascii="Palatino Linotype" w:hAnsi="Palatino Linotype"/>
          <w:color w:val="000000" w:themeColor="text1"/>
        </w:rPr>
        <w:t xml:space="preserve"> </w:t>
      </w:r>
      <w:r w:rsidR="00A726DA">
        <w:rPr>
          <w:rFonts w:ascii="Palatino Linotype" w:hAnsi="Palatino Linotype"/>
          <w:color w:val="000000" w:themeColor="text1"/>
        </w:rPr>
        <w:t xml:space="preserve">(29) </w:t>
      </w:r>
      <w:r w:rsidRPr="00A726DA">
        <w:rPr>
          <w:rFonts w:ascii="Palatino Linotype" w:hAnsi="Palatino Linotype"/>
          <w:color w:val="000000" w:themeColor="text1"/>
        </w:rPr>
        <w:t xml:space="preserve">de </w:t>
      </w:r>
      <w:r w:rsidR="00077AAD" w:rsidRPr="00A726DA">
        <w:rPr>
          <w:rFonts w:ascii="Palatino Linotype" w:hAnsi="Palatino Linotype"/>
          <w:color w:val="000000" w:themeColor="text1"/>
        </w:rPr>
        <w:t>noviembre</w:t>
      </w:r>
      <w:r w:rsidR="00E61C13" w:rsidRPr="00A726DA">
        <w:rPr>
          <w:rFonts w:ascii="Palatino Linotype" w:hAnsi="Palatino Linotype"/>
          <w:color w:val="000000" w:themeColor="text1"/>
        </w:rPr>
        <w:t xml:space="preserve"> de dos mil </w:t>
      </w:r>
      <w:r w:rsidR="004D465B" w:rsidRPr="00A726DA">
        <w:rPr>
          <w:rFonts w:ascii="Palatino Linotype" w:hAnsi="Palatino Linotype"/>
          <w:color w:val="000000" w:themeColor="text1"/>
        </w:rPr>
        <w:t>veintitrés</w:t>
      </w:r>
      <w:r w:rsidRPr="00A726DA">
        <w:rPr>
          <w:rFonts w:ascii="Palatino Linotype" w:hAnsi="Palatino Linotype"/>
          <w:color w:val="000000" w:themeColor="text1"/>
        </w:rPr>
        <w:t>.</w:t>
      </w:r>
    </w:p>
    <w:p w:rsidR="00247898" w:rsidRPr="00A726DA" w:rsidRDefault="00247898" w:rsidP="00376C57">
      <w:pPr>
        <w:tabs>
          <w:tab w:val="left" w:pos="3465"/>
        </w:tabs>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r w:rsidRPr="00A726DA">
        <w:rPr>
          <w:rFonts w:ascii="Palatino Linotype" w:hAnsi="Palatino Linotype"/>
          <w:b/>
          <w:color w:val="000000" w:themeColor="text1"/>
        </w:rPr>
        <w:t>VISTO</w:t>
      </w:r>
      <w:r w:rsidRPr="00A726DA">
        <w:rPr>
          <w:rFonts w:ascii="Palatino Linotype" w:hAnsi="Palatino Linotype"/>
          <w:color w:val="000000" w:themeColor="text1"/>
        </w:rPr>
        <w:t xml:space="preserve"> </w:t>
      </w:r>
      <w:r w:rsidR="008A699B" w:rsidRPr="00A726DA">
        <w:rPr>
          <w:rFonts w:ascii="Palatino Linotype" w:hAnsi="Palatino Linotype"/>
          <w:color w:val="000000" w:themeColor="text1"/>
        </w:rPr>
        <w:t>e</w:t>
      </w:r>
      <w:r w:rsidRPr="00A726DA">
        <w:rPr>
          <w:rFonts w:ascii="Palatino Linotype" w:hAnsi="Palatino Linotype"/>
          <w:color w:val="000000" w:themeColor="text1"/>
        </w:rPr>
        <w:t xml:space="preserve">l expediente electrónico formado con motivo del recurso de revisión </w:t>
      </w:r>
      <w:r w:rsidR="001C7D9C" w:rsidRPr="00A726DA">
        <w:rPr>
          <w:rFonts w:ascii="Palatino Linotype" w:hAnsi="Palatino Linotype"/>
          <w:b/>
          <w:color w:val="000000" w:themeColor="text1"/>
        </w:rPr>
        <w:t>06633/INFOEM/IP/RR/2023</w:t>
      </w:r>
      <w:r w:rsidRPr="00A726DA">
        <w:rPr>
          <w:rFonts w:ascii="Palatino Linotype" w:hAnsi="Palatino Linotype"/>
          <w:color w:val="000000" w:themeColor="text1"/>
        </w:rPr>
        <w:t>,</w:t>
      </w:r>
      <w:r w:rsidRPr="00A726DA">
        <w:rPr>
          <w:rFonts w:ascii="Palatino Linotype" w:hAnsi="Palatino Linotype" w:cs="Arial"/>
          <w:b/>
          <w:bCs/>
          <w:color w:val="000000" w:themeColor="text1"/>
        </w:rPr>
        <w:t xml:space="preserve"> </w:t>
      </w:r>
      <w:r w:rsidRPr="00A726DA">
        <w:rPr>
          <w:rFonts w:ascii="Palatino Linotype" w:hAnsi="Palatino Linotype"/>
          <w:color w:val="000000" w:themeColor="text1"/>
        </w:rPr>
        <w:t xml:space="preserve">promovido por </w:t>
      </w:r>
      <w:r w:rsidR="0022518F">
        <w:rPr>
          <w:rFonts w:ascii="Palatino Linotype" w:hAnsi="Palatino Linotype"/>
          <w:b/>
          <w:color w:val="000000" w:themeColor="text1"/>
        </w:rPr>
        <w:t xml:space="preserve">XXX </w:t>
      </w:r>
      <w:proofErr w:type="spellStart"/>
      <w:r w:rsidR="0022518F">
        <w:rPr>
          <w:rFonts w:ascii="Palatino Linotype" w:hAnsi="Palatino Linotype"/>
          <w:b/>
          <w:color w:val="000000" w:themeColor="text1"/>
        </w:rPr>
        <w:t>XXX</w:t>
      </w:r>
      <w:proofErr w:type="spellEnd"/>
      <w:r w:rsidR="0022518F">
        <w:rPr>
          <w:rFonts w:ascii="Palatino Linotype" w:hAnsi="Palatino Linotype"/>
          <w:b/>
          <w:color w:val="000000" w:themeColor="text1"/>
        </w:rPr>
        <w:t xml:space="preserve"> XXX</w:t>
      </w:r>
      <w:bookmarkStart w:id="0" w:name="_GoBack"/>
      <w:bookmarkEnd w:id="0"/>
      <w:r w:rsidRPr="00A726DA">
        <w:rPr>
          <w:rFonts w:ascii="Palatino Linotype" w:hAnsi="Palatino Linotype"/>
          <w:color w:val="000000" w:themeColor="text1"/>
        </w:rPr>
        <w:t xml:space="preserve">, a quien en lo sucesivo se le identificará como </w:t>
      </w:r>
      <w:r w:rsidR="00C860B1" w:rsidRPr="00A726DA">
        <w:rPr>
          <w:rFonts w:ascii="Palatino Linotype" w:hAnsi="Palatino Linotype"/>
          <w:b/>
          <w:color w:val="000000" w:themeColor="text1"/>
        </w:rPr>
        <w:t>EL RECURRENTE</w:t>
      </w:r>
      <w:r w:rsidRPr="00A726DA">
        <w:rPr>
          <w:rFonts w:ascii="Palatino Linotype" w:hAnsi="Palatino Linotype" w:cs="Arial"/>
          <w:color w:val="000000" w:themeColor="text1"/>
        </w:rPr>
        <w:t xml:space="preserve">, en contra de la respuesta del </w:t>
      </w:r>
      <w:r w:rsidR="001C7D9C" w:rsidRPr="00A726DA">
        <w:rPr>
          <w:rFonts w:ascii="Palatino Linotype" w:hAnsi="Palatino Linotype"/>
          <w:b/>
          <w:bCs/>
          <w:color w:val="000000"/>
        </w:rPr>
        <w:t>Organismo Público Descentralizado Municipal para la Prestación de Los Servicios de Agua Potable Alcantarillado y Saneamiento de Cuautitlán Izcalli denominado OPERAGUA, O.P.D.M.</w:t>
      </w:r>
      <w:r w:rsidRPr="00A726DA">
        <w:rPr>
          <w:rFonts w:ascii="Palatino Linotype" w:hAnsi="Palatino Linotype" w:cs="Arial"/>
          <w:b/>
          <w:color w:val="000000" w:themeColor="text1"/>
        </w:rPr>
        <w:t>,</w:t>
      </w:r>
      <w:r w:rsidRPr="00A726DA">
        <w:rPr>
          <w:rFonts w:ascii="Palatino Linotype" w:hAnsi="Palatino Linotype"/>
          <w:b/>
          <w:color w:val="000000" w:themeColor="text1"/>
        </w:rPr>
        <w:t xml:space="preserve"> </w:t>
      </w:r>
      <w:r w:rsidRPr="00A726DA">
        <w:rPr>
          <w:rFonts w:ascii="Palatino Linotype" w:hAnsi="Palatino Linotype"/>
          <w:color w:val="000000" w:themeColor="text1"/>
        </w:rPr>
        <w:t xml:space="preserve">en </w:t>
      </w:r>
      <w:r w:rsidR="00A726DA">
        <w:rPr>
          <w:rFonts w:ascii="Palatino Linotype" w:hAnsi="Palatino Linotype"/>
          <w:color w:val="000000" w:themeColor="text1"/>
        </w:rPr>
        <w:t>adelante</w:t>
      </w:r>
      <w:r w:rsidRPr="00A726DA">
        <w:rPr>
          <w:rFonts w:ascii="Palatino Linotype" w:hAnsi="Palatino Linotype"/>
          <w:color w:val="000000" w:themeColor="text1"/>
        </w:rPr>
        <w:t xml:space="preserve"> el</w:t>
      </w:r>
      <w:r w:rsidRPr="00A726DA">
        <w:rPr>
          <w:rFonts w:ascii="Palatino Linotype" w:hAnsi="Palatino Linotype"/>
          <w:b/>
          <w:color w:val="000000" w:themeColor="text1"/>
        </w:rPr>
        <w:t xml:space="preserve"> SUJETO OBLIGADO</w:t>
      </w:r>
      <w:r w:rsidRPr="00A726DA">
        <w:rPr>
          <w:rFonts w:ascii="Palatino Linotype" w:hAnsi="Palatino Linotype"/>
          <w:color w:val="000000" w:themeColor="text1"/>
        </w:rPr>
        <w:t>, se procede a dictar la presente resolución, con base en los siguientes:</w:t>
      </w:r>
    </w:p>
    <w:p w:rsidR="001C7D9C" w:rsidRPr="00A726DA" w:rsidRDefault="001C7D9C" w:rsidP="00376C57">
      <w:pPr>
        <w:spacing w:line="360" w:lineRule="auto"/>
        <w:jc w:val="both"/>
        <w:rPr>
          <w:rFonts w:ascii="Palatino Linotype" w:hAnsi="Palatino Linotype"/>
          <w:color w:val="000000" w:themeColor="text1"/>
        </w:rPr>
      </w:pPr>
    </w:p>
    <w:p w:rsidR="009F09BC" w:rsidRPr="00A726DA" w:rsidRDefault="009F09BC" w:rsidP="00376C57">
      <w:pPr>
        <w:pStyle w:val="Ttulo1"/>
        <w:spacing w:before="0" w:line="360" w:lineRule="auto"/>
        <w:jc w:val="center"/>
        <w:rPr>
          <w:rFonts w:ascii="Palatino Linotype" w:hAnsi="Palatino Linotype"/>
          <w:b/>
          <w:color w:val="000000" w:themeColor="text1"/>
          <w:sz w:val="24"/>
          <w:szCs w:val="24"/>
        </w:rPr>
      </w:pPr>
      <w:bookmarkStart w:id="1" w:name="_Toc461555884"/>
      <w:bookmarkStart w:id="2" w:name="_Toc466371847"/>
      <w:bookmarkStart w:id="3" w:name="_Toc83128575"/>
      <w:r w:rsidRPr="00A726DA">
        <w:rPr>
          <w:rFonts w:ascii="Palatino Linotype" w:hAnsi="Palatino Linotype"/>
          <w:b/>
          <w:color w:val="000000" w:themeColor="text1"/>
          <w:sz w:val="24"/>
          <w:szCs w:val="24"/>
        </w:rPr>
        <w:t>ANTECEDENTES</w:t>
      </w:r>
      <w:bookmarkEnd w:id="1"/>
      <w:bookmarkEnd w:id="2"/>
      <w:bookmarkEnd w:id="3"/>
    </w:p>
    <w:p w:rsidR="00247898" w:rsidRPr="00A726DA" w:rsidRDefault="00247898" w:rsidP="00376C57">
      <w:pPr>
        <w:spacing w:line="360" w:lineRule="auto"/>
        <w:rPr>
          <w:rFonts w:ascii="Palatino Linotype" w:hAnsi="Palatino Linotype"/>
        </w:rPr>
      </w:pPr>
    </w:p>
    <w:p w:rsidR="009F09BC" w:rsidRPr="00A726DA" w:rsidRDefault="009F09BC" w:rsidP="00376C57">
      <w:pPr>
        <w:pStyle w:val="Prrafodelista"/>
        <w:numPr>
          <w:ilvl w:val="0"/>
          <w:numId w:val="15"/>
        </w:numPr>
        <w:spacing w:line="360" w:lineRule="auto"/>
        <w:ind w:left="0" w:firstLine="0"/>
        <w:jc w:val="both"/>
        <w:rPr>
          <w:rFonts w:ascii="Palatino Linotype" w:eastAsia="Calibri" w:hAnsi="Palatino Linotype" w:cs="Arial"/>
          <w:color w:val="000000" w:themeColor="text1"/>
          <w:lang w:val="es-ES"/>
        </w:rPr>
      </w:pPr>
      <w:r w:rsidRPr="00A726DA">
        <w:rPr>
          <w:rFonts w:ascii="Palatino Linotype" w:eastAsia="Calibri" w:hAnsi="Palatino Linotype" w:cs="Arial"/>
          <w:color w:val="000000" w:themeColor="text1"/>
          <w:lang w:val="es-ES"/>
        </w:rPr>
        <w:t xml:space="preserve">El día </w:t>
      </w:r>
      <w:r w:rsidR="001C7D9C" w:rsidRPr="00A726DA">
        <w:rPr>
          <w:rFonts w:ascii="Palatino Linotype" w:eastAsia="Calibri" w:hAnsi="Palatino Linotype" w:cs="Arial"/>
          <w:color w:val="000000" w:themeColor="text1"/>
          <w:lang w:val="es-ES"/>
        </w:rPr>
        <w:t>veintiuno de septiembre</w:t>
      </w:r>
      <w:r w:rsidR="00E61C13" w:rsidRPr="00A726DA">
        <w:rPr>
          <w:rFonts w:ascii="Palatino Linotype" w:eastAsia="Calibri" w:hAnsi="Palatino Linotype" w:cs="Arial"/>
          <w:color w:val="000000" w:themeColor="text1"/>
          <w:lang w:val="es-ES"/>
        </w:rPr>
        <w:t xml:space="preserve"> de dos mil </w:t>
      </w:r>
      <w:r w:rsidR="004D465B" w:rsidRPr="00A726DA">
        <w:rPr>
          <w:rFonts w:ascii="Palatino Linotype" w:eastAsia="Calibri" w:hAnsi="Palatino Linotype" w:cs="Arial"/>
          <w:color w:val="000000" w:themeColor="text1"/>
          <w:lang w:val="es-ES"/>
        </w:rPr>
        <w:t>veintitrés</w:t>
      </w:r>
      <w:r w:rsidRPr="00A726DA">
        <w:rPr>
          <w:rFonts w:ascii="Palatino Linotype" w:hAnsi="Palatino Linotype"/>
          <w:b/>
          <w:color w:val="000000" w:themeColor="text1"/>
        </w:rPr>
        <w:t xml:space="preserve">, </w:t>
      </w:r>
      <w:r w:rsidRPr="00A726DA">
        <w:rPr>
          <w:rFonts w:ascii="Palatino Linotype" w:eastAsia="Calibri" w:hAnsi="Palatino Linotype" w:cs="Arial"/>
          <w:color w:val="000000" w:themeColor="text1"/>
          <w:lang w:val="es-ES"/>
        </w:rPr>
        <w:t xml:space="preserve">se presentó ante el </w:t>
      </w:r>
      <w:r w:rsidRPr="00A726DA">
        <w:rPr>
          <w:rFonts w:ascii="Palatino Linotype" w:eastAsia="Calibri" w:hAnsi="Palatino Linotype" w:cs="Arial"/>
          <w:b/>
          <w:color w:val="000000" w:themeColor="text1"/>
          <w:lang w:val="es-ES"/>
        </w:rPr>
        <w:t>SUJETO OBLIGADO</w:t>
      </w:r>
      <w:r w:rsidRPr="00A726DA">
        <w:rPr>
          <w:rFonts w:ascii="Palatino Linotype" w:eastAsia="Calibri" w:hAnsi="Palatino Linotype" w:cs="Arial"/>
          <w:color w:val="000000" w:themeColor="text1"/>
        </w:rPr>
        <w:t xml:space="preserve"> vía </w:t>
      </w:r>
      <w:r w:rsidR="008A699B" w:rsidRPr="00A726DA">
        <w:rPr>
          <w:rFonts w:ascii="Palatino Linotype" w:eastAsia="Calibri" w:hAnsi="Palatino Linotype" w:cs="Arial"/>
          <w:color w:val="000000" w:themeColor="text1"/>
          <w:lang w:val="es-ES"/>
        </w:rPr>
        <w:t>SAIMEX, la solicitud</w:t>
      </w:r>
      <w:r w:rsidRPr="00A726DA">
        <w:rPr>
          <w:rFonts w:ascii="Palatino Linotype" w:eastAsia="Calibri" w:hAnsi="Palatino Linotype" w:cs="Arial"/>
          <w:color w:val="000000" w:themeColor="text1"/>
          <w:lang w:val="es-ES"/>
        </w:rPr>
        <w:t xml:space="preserve"> de información pública</w:t>
      </w:r>
      <w:r w:rsidR="008A699B" w:rsidRPr="00A726DA">
        <w:rPr>
          <w:rFonts w:ascii="Palatino Linotype" w:eastAsia="Calibri" w:hAnsi="Palatino Linotype" w:cs="Arial"/>
          <w:color w:val="000000" w:themeColor="text1"/>
          <w:lang w:val="es-ES"/>
        </w:rPr>
        <w:t xml:space="preserve"> registrada</w:t>
      </w:r>
      <w:r w:rsidRPr="00A726DA">
        <w:rPr>
          <w:rFonts w:ascii="Palatino Linotype" w:eastAsia="Calibri" w:hAnsi="Palatino Linotype" w:cs="Arial"/>
          <w:color w:val="000000" w:themeColor="text1"/>
          <w:lang w:val="es-ES"/>
        </w:rPr>
        <w:t xml:space="preserve"> con </w:t>
      </w:r>
      <w:r w:rsidR="008A699B" w:rsidRPr="00A726DA">
        <w:rPr>
          <w:rFonts w:ascii="Palatino Linotype" w:eastAsia="Calibri" w:hAnsi="Palatino Linotype" w:cs="Arial"/>
          <w:color w:val="000000" w:themeColor="text1"/>
          <w:lang w:val="es-ES"/>
        </w:rPr>
        <w:t xml:space="preserve">el </w:t>
      </w:r>
      <w:r w:rsidRPr="00A726DA">
        <w:rPr>
          <w:rFonts w:ascii="Palatino Linotype" w:eastAsia="Calibri" w:hAnsi="Palatino Linotype" w:cs="Arial"/>
          <w:color w:val="000000" w:themeColor="text1"/>
          <w:lang w:val="es-ES"/>
        </w:rPr>
        <w:t>número</w:t>
      </w:r>
      <w:r w:rsidRPr="00A726DA">
        <w:rPr>
          <w:rFonts w:ascii="Palatino Linotype" w:hAnsi="Palatino Linotype"/>
          <w:b/>
          <w:bCs/>
          <w:color w:val="000000" w:themeColor="text1"/>
        </w:rPr>
        <w:t xml:space="preserve"> </w:t>
      </w:r>
      <w:r w:rsidR="001C7D9C" w:rsidRPr="00A726DA">
        <w:rPr>
          <w:rFonts w:ascii="Palatino Linotype" w:hAnsi="Palatino Linotype"/>
          <w:b/>
          <w:bCs/>
          <w:color w:val="000000" w:themeColor="text1"/>
        </w:rPr>
        <w:t>00209/OASCUATIZC/IP/2023</w:t>
      </w:r>
      <w:r w:rsidRPr="00A726DA">
        <w:rPr>
          <w:rFonts w:ascii="Palatino Linotype" w:hAnsi="Palatino Linotype"/>
          <w:b/>
          <w:bCs/>
          <w:color w:val="000000" w:themeColor="text1"/>
        </w:rPr>
        <w:t xml:space="preserve">; </w:t>
      </w:r>
      <w:r w:rsidR="00A726DA">
        <w:rPr>
          <w:rFonts w:ascii="Palatino Linotype" w:eastAsia="Calibri" w:hAnsi="Palatino Linotype" w:cs="Arial"/>
          <w:color w:val="000000" w:themeColor="text1"/>
          <w:lang w:val="es-ES"/>
        </w:rPr>
        <w:t>en la que</w:t>
      </w:r>
      <w:r w:rsidRPr="00A726DA">
        <w:rPr>
          <w:rFonts w:ascii="Palatino Linotype" w:eastAsia="Calibri" w:hAnsi="Palatino Linotype" w:cs="Arial"/>
          <w:color w:val="000000" w:themeColor="text1"/>
          <w:lang w:val="es-ES"/>
        </w:rPr>
        <w:t xml:space="preserve"> solicitó la siguiente información:</w:t>
      </w:r>
    </w:p>
    <w:p w:rsidR="008A699B" w:rsidRPr="00A726DA" w:rsidRDefault="008A699B" w:rsidP="00376C57">
      <w:pPr>
        <w:pStyle w:val="Prrafodelista"/>
        <w:spacing w:line="360" w:lineRule="auto"/>
        <w:ind w:left="0"/>
        <w:jc w:val="both"/>
        <w:rPr>
          <w:rFonts w:ascii="Palatino Linotype" w:eastAsia="Calibri" w:hAnsi="Palatino Linotype" w:cs="Arial"/>
          <w:color w:val="000000" w:themeColor="text1"/>
          <w:lang w:val="es-ES"/>
        </w:rPr>
      </w:pPr>
    </w:p>
    <w:p w:rsidR="009F09BC" w:rsidRPr="00A726DA" w:rsidRDefault="00EB1CE2" w:rsidP="00376C57">
      <w:pPr>
        <w:pStyle w:val="Prrafodelista"/>
        <w:spacing w:line="360" w:lineRule="auto"/>
        <w:ind w:left="425" w:right="476"/>
        <w:jc w:val="both"/>
        <w:rPr>
          <w:rFonts w:ascii="Palatino Linotype" w:hAnsi="Palatino Linotype"/>
          <w:i/>
          <w:color w:val="000000" w:themeColor="text1"/>
        </w:rPr>
      </w:pPr>
      <w:r w:rsidRPr="00A726DA">
        <w:rPr>
          <w:rFonts w:ascii="Palatino Linotype" w:hAnsi="Palatino Linotype"/>
          <w:i/>
          <w:color w:val="000000" w:themeColor="text1"/>
        </w:rPr>
        <w:t>“</w:t>
      </w:r>
      <w:r w:rsidR="001C7D9C" w:rsidRPr="00A726DA">
        <w:rPr>
          <w:rFonts w:ascii="Palatino Linotype" w:hAnsi="Palatino Linotype"/>
          <w:i/>
          <w:color w:val="000000" w:themeColor="text1"/>
        </w:rPr>
        <w:t xml:space="preserve">Solicito </w:t>
      </w:r>
      <w:r w:rsidR="001C7D9C" w:rsidRPr="00A726DA">
        <w:rPr>
          <w:rFonts w:ascii="Palatino Linotype" w:hAnsi="Palatino Linotype"/>
          <w:b/>
          <w:i/>
          <w:color w:val="000000" w:themeColor="text1"/>
        </w:rPr>
        <w:t>los 821 trípticos firmados</w:t>
      </w:r>
      <w:r w:rsidR="001C7D9C" w:rsidRPr="00A726DA">
        <w:rPr>
          <w:rFonts w:ascii="Palatino Linotype" w:hAnsi="Palatino Linotype"/>
          <w:i/>
          <w:color w:val="000000" w:themeColor="text1"/>
        </w:rPr>
        <w:t xml:space="preserve"> por los 821 servidores públicos aprox que cuenta el sujeto obligado. Se adjunta documento de referencia</w:t>
      </w:r>
      <w:r w:rsidR="008A699B" w:rsidRPr="00A726DA">
        <w:rPr>
          <w:rFonts w:ascii="Palatino Linotype" w:hAnsi="Palatino Linotype"/>
          <w:i/>
          <w:color w:val="000000" w:themeColor="text1"/>
        </w:rPr>
        <w:t>”</w:t>
      </w:r>
    </w:p>
    <w:p w:rsidR="00376C57" w:rsidRPr="00A726DA" w:rsidRDefault="00376C57" w:rsidP="00376C57">
      <w:pPr>
        <w:pStyle w:val="Prrafodelista"/>
        <w:spacing w:line="360" w:lineRule="auto"/>
        <w:ind w:left="425" w:right="476"/>
        <w:jc w:val="both"/>
        <w:rPr>
          <w:rFonts w:ascii="Palatino Linotype" w:hAnsi="Palatino Linotype"/>
          <w:color w:val="000000" w:themeColor="text1"/>
        </w:rPr>
      </w:pPr>
      <w:r w:rsidRPr="00A726DA">
        <w:rPr>
          <w:rFonts w:ascii="Palatino Linotype" w:hAnsi="Palatino Linotype"/>
          <w:color w:val="000000" w:themeColor="text1"/>
        </w:rPr>
        <w:lastRenderedPageBreak/>
        <w:t>Énfasis añadido</w:t>
      </w:r>
    </w:p>
    <w:p w:rsidR="008A699B" w:rsidRPr="00A726DA" w:rsidRDefault="008A699B" w:rsidP="00376C57">
      <w:pPr>
        <w:spacing w:line="360" w:lineRule="auto"/>
        <w:ind w:right="34"/>
        <w:jc w:val="both"/>
        <w:rPr>
          <w:rFonts w:ascii="Palatino Linotype" w:hAnsi="Palatino Linotype"/>
          <w:color w:val="000000" w:themeColor="text1"/>
        </w:rPr>
      </w:pPr>
    </w:p>
    <w:p w:rsidR="009F09BC" w:rsidRPr="00A726DA" w:rsidRDefault="009F09BC" w:rsidP="00376C57">
      <w:pPr>
        <w:pStyle w:val="Prrafodelista"/>
        <w:numPr>
          <w:ilvl w:val="0"/>
          <w:numId w:val="23"/>
        </w:numPr>
        <w:spacing w:line="360" w:lineRule="auto"/>
        <w:ind w:left="709" w:right="34" w:hanging="283"/>
        <w:jc w:val="both"/>
        <w:rPr>
          <w:rFonts w:ascii="Palatino Linotype" w:hAnsi="Palatino Linotype"/>
          <w:color w:val="000000" w:themeColor="text1"/>
        </w:rPr>
      </w:pPr>
      <w:r w:rsidRPr="00A726DA">
        <w:rPr>
          <w:rFonts w:ascii="Palatino Linotype" w:eastAsia="Times New Roman" w:hAnsi="Palatino Linotype" w:cs="Arial"/>
          <w:color w:val="000000" w:themeColor="text1"/>
          <w:lang w:val="es-ES"/>
        </w:rPr>
        <w:t>Se eligió como modalidad de entrega de la información</w:t>
      </w:r>
      <w:r w:rsidRPr="00A726DA">
        <w:rPr>
          <w:rFonts w:ascii="Palatino Linotype" w:hAnsi="Palatino Linotype"/>
          <w:color w:val="000000" w:themeColor="text1"/>
        </w:rPr>
        <w:t xml:space="preserve">: A través del </w:t>
      </w:r>
      <w:r w:rsidRPr="00A726DA">
        <w:rPr>
          <w:rFonts w:ascii="Palatino Linotype" w:hAnsi="Palatino Linotype"/>
          <w:b/>
          <w:color w:val="000000" w:themeColor="text1"/>
        </w:rPr>
        <w:t>SAIMEX</w:t>
      </w:r>
      <w:r w:rsidR="0069487D" w:rsidRPr="00A726DA">
        <w:rPr>
          <w:rFonts w:ascii="Palatino Linotype" w:hAnsi="Palatino Linotype"/>
          <w:b/>
          <w:color w:val="000000" w:themeColor="text1"/>
        </w:rPr>
        <w:t>.</w:t>
      </w:r>
    </w:p>
    <w:p w:rsidR="00F54259" w:rsidRPr="00A726DA" w:rsidRDefault="00F54259" w:rsidP="00376C57">
      <w:pPr>
        <w:pStyle w:val="Prrafodelista"/>
        <w:tabs>
          <w:tab w:val="left" w:pos="0"/>
        </w:tabs>
        <w:spacing w:line="360" w:lineRule="auto"/>
        <w:ind w:left="0" w:right="49"/>
        <w:jc w:val="both"/>
        <w:rPr>
          <w:rFonts w:ascii="Palatino Linotype" w:hAnsi="Palatino Linotype" w:cs="Arial"/>
          <w:i/>
          <w:color w:val="000000" w:themeColor="text1"/>
        </w:rPr>
      </w:pPr>
    </w:p>
    <w:p w:rsidR="00E61C13" w:rsidRPr="00A726DA" w:rsidRDefault="00C860B1" w:rsidP="00376C57">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726DA">
        <w:rPr>
          <w:rFonts w:ascii="Palatino Linotype" w:hAnsi="Palatino Linotype" w:cs="Arial"/>
          <w:color w:val="000000" w:themeColor="text1"/>
        </w:rPr>
        <w:t xml:space="preserve">El </w:t>
      </w:r>
      <w:r w:rsidR="001C7D9C" w:rsidRPr="00A726DA">
        <w:rPr>
          <w:rFonts w:ascii="Palatino Linotype" w:hAnsi="Palatino Linotype" w:cs="Arial"/>
          <w:color w:val="000000" w:themeColor="text1"/>
        </w:rPr>
        <w:t>veintinueve</w:t>
      </w:r>
      <w:r w:rsidR="00032DD8" w:rsidRPr="00A726DA">
        <w:rPr>
          <w:rFonts w:ascii="Palatino Linotype" w:hAnsi="Palatino Linotype" w:cs="Arial"/>
          <w:color w:val="000000" w:themeColor="text1"/>
        </w:rPr>
        <w:t xml:space="preserve"> de septiembre</w:t>
      </w:r>
      <w:r w:rsidR="002C4997" w:rsidRPr="00A726DA">
        <w:rPr>
          <w:rFonts w:ascii="Palatino Linotype" w:hAnsi="Palatino Linotype" w:cs="Arial"/>
          <w:color w:val="000000" w:themeColor="text1"/>
        </w:rPr>
        <w:t xml:space="preserve"> de dos mil </w:t>
      </w:r>
      <w:r w:rsidR="004D465B" w:rsidRPr="00A726DA">
        <w:rPr>
          <w:rFonts w:ascii="Palatino Linotype" w:hAnsi="Palatino Linotype" w:cs="Arial"/>
          <w:color w:val="000000" w:themeColor="text1"/>
        </w:rPr>
        <w:t>veintitrés</w:t>
      </w:r>
      <w:r w:rsidR="009F09BC" w:rsidRPr="00A726DA">
        <w:rPr>
          <w:rFonts w:ascii="Palatino Linotype" w:hAnsi="Palatino Linotype" w:cs="Arial"/>
          <w:color w:val="000000" w:themeColor="text1"/>
        </w:rPr>
        <w:t xml:space="preserve">, el </w:t>
      </w:r>
      <w:r w:rsidR="009F09BC" w:rsidRPr="00A726DA">
        <w:rPr>
          <w:rFonts w:ascii="Palatino Linotype" w:hAnsi="Palatino Linotype" w:cs="Arial"/>
          <w:b/>
          <w:color w:val="000000" w:themeColor="text1"/>
        </w:rPr>
        <w:t>SUJETO OBLIGADO,</w:t>
      </w:r>
      <w:r w:rsidR="00EB1CE2" w:rsidRPr="00A726DA">
        <w:rPr>
          <w:rFonts w:ascii="Palatino Linotype" w:hAnsi="Palatino Linotype" w:cs="Arial"/>
          <w:color w:val="000000" w:themeColor="text1"/>
        </w:rPr>
        <w:t xml:space="preserve"> dio respuesta a través del </w:t>
      </w:r>
      <w:r w:rsidR="001C7D9C" w:rsidRPr="00A726DA">
        <w:rPr>
          <w:rFonts w:ascii="Palatino Linotype" w:hAnsi="Palatino Linotype" w:cs="Arial"/>
          <w:color w:val="000000" w:themeColor="text1"/>
        </w:rPr>
        <w:t>archivo denominado CONTESTACIÓN SAIMEX 209.pdf, cuyo contenido general es el siguiente</w:t>
      </w:r>
      <w:r w:rsidR="003A06E6" w:rsidRPr="00A726DA">
        <w:rPr>
          <w:rFonts w:ascii="Palatino Linotype" w:hAnsi="Palatino Linotype" w:cs="Arial"/>
          <w:color w:val="000000" w:themeColor="text1"/>
        </w:rPr>
        <w:t>:</w:t>
      </w:r>
    </w:p>
    <w:p w:rsidR="001C7D9C" w:rsidRPr="00A726DA" w:rsidRDefault="001C7D9C" w:rsidP="00376C57">
      <w:pPr>
        <w:tabs>
          <w:tab w:val="left" w:pos="0"/>
        </w:tabs>
        <w:spacing w:line="360" w:lineRule="auto"/>
        <w:ind w:right="49"/>
        <w:jc w:val="both"/>
        <w:rPr>
          <w:rFonts w:ascii="Palatino Linotype" w:hAnsi="Palatino Linotype" w:cs="Arial"/>
          <w:i/>
          <w:color w:val="000000" w:themeColor="text1"/>
        </w:rPr>
      </w:pPr>
    </w:p>
    <w:p w:rsidR="001C7D9C" w:rsidRPr="00A726DA" w:rsidRDefault="001C7D9C" w:rsidP="00376C57">
      <w:pPr>
        <w:tabs>
          <w:tab w:val="left" w:pos="0"/>
        </w:tabs>
        <w:spacing w:line="360" w:lineRule="auto"/>
        <w:ind w:right="49"/>
        <w:jc w:val="both"/>
        <w:rPr>
          <w:rFonts w:ascii="Palatino Linotype" w:hAnsi="Palatino Linotype" w:cs="Arial"/>
          <w:i/>
          <w:color w:val="000000" w:themeColor="text1"/>
        </w:rPr>
      </w:pPr>
    </w:p>
    <w:p w:rsidR="00EB1CE2" w:rsidRPr="00A726DA" w:rsidRDefault="001C7D9C" w:rsidP="00376C57">
      <w:pPr>
        <w:pStyle w:val="Prrafodelista"/>
        <w:tabs>
          <w:tab w:val="left" w:pos="0"/>
        </w:tabs>
        <w:spacing w:line="360" w:lineRule="auto"/>
        <w:ind w:left="0" w:right="49"/>
        <w:jc w:val="center"/>
        <w:rPr>
          <w:rFonts w:ascii="Palatino Linotype" w:hAnsi="Palatino Linotype" w:cs="Arial"/>
          <w:i/>
          <w:noProof/>
          <w:color w:val="000000" w:themeColor="text1"/>
          <w:lang w:val="es-MX" w:eastAsia="es-MX"/>
        </w:rPr>
      </w:pPr>
      <w:r w:rsidRPr="00A726DA">
        <w:rPr>
          <w:rFonts w:ascii="Palatino Linotype" w:hAnsi="Palatino Linotype" w:cs="Arial"/>
          <w:i/>
          <w:noProof/>
          <w:color w:val="000000" w:themeColor="text1"/>
          <w:lang w:val="es-MX" w:eastAsia="es-MX"/>
        </w:rPr>
        <w:lastRenderedPageBreak/>
        <w:drawing>
          <wp:inline distT="0" distB="0" distL="0" distR="0" wp14:anchorId="013C5B34" wp14:editId="7E1472E1">
            <wp:extent cx="5612130" cy="6017895"/>
            <wp:effectExtent l="19050" t="19050" r="26670" b="209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612130" cy="6017895"/>
                    </a:xfrm>
                    <a:prstGeom prst="rect">
                      <a:avLst/>
                    </a:prstGeom>
                    <a:ln>
                      <a:solidFill>
                        <a:schemeClr val="tx1"/>
                      </a:solidFill>
                    </a:ln>
                  </pic:spPr>
                </pic:pic>
              </a:graphicData>
            </a:graphic>
          </wp:inline>
        </w:drawing>
      </w:r>
    </w:p>
    <w:p w:rsidR="00423410" w:rsidRPr="00A726DA" w:rsidRDefault="00423410" w:rsidP="00376C57">
      <w:pPr>
        <w:pStyle w:val="Prrafodelista"/>
        <w:tabs>
          <w:tab w:val="left" w:pos="0"/>
        </w:tabs>
        <w:spacing w:line="360" w:lineRule="auto"/>
        <w:ind w:left="0" w:right="49"/>
        <w:jc w:val="center"/>
        <w:rPr>
          <w:rFonts w:ascii="Palatino Linotype" w:hAnsi="Palatino Linotype" w:cs="Arial"/>
          <w:i/>
          <w:color w:val="000000" w:themeColor="text1"/>
        </w:rPr>
      </w:pPr>
    </w:p>
    <w:p w:rsidR="009F09BC" w:rsidRPr="00A726DA" w:rsidRDefault="009F09BC" w:rsidP="00376C57">
      <w:pPr>
        <w:pStyle w:val="Prrafodelista"/>
        <w:numPr>
          <w:ilvl w:val="0"/>
          <w:numId w:val="15"/>
        </w:numPr>
        <w:tabs>
          <w:tab w:val="left" w:pos="0"/>
        </w:tabs>
        <w:spacing w:line="360" w:lineRule="auto"/>
        <w:ind w:left="0" w:right="49" w:firstLine="0"/>
        <w:jc w:val="both"/>
        <w:rPr>
          <w:rFonts w:ascii="Palatino Linotype" w:hAnsi="Palatino Linotype" w:cs="Arial"/>
          <w:i/>
          <w:color w:val="000000" w:themeColor="text1"/>
        </w:rPr>
      </w:pPr>
      <w:r w:rsidRPr="00A726DA">
        <w:rPr>
          <w:rFonts w:ascii="Palatino Linotype" w:eastAsia="Times New Roman" w:hAnsi="Palatino Linotype" w:cs="Arial"/>
          <w:color w:val="000000" w:themeColor="text1"/>
          <w:lang w:val="es-ES"/>
        </w:rPr>
        <w:lastRenderedPageBreak/>
        <w:t>E</w:t>
      </w:r>
      <w:r w:rsidR="002C4997" w:rsidRPr="00A726DA">
        <w:rPr>
          <w:rFonts w:ascii="Palatino Linotype" w:eastAsia="Times New Roman" w:hAnsi="Palatino Linotype" w:cs="Arial"/>
          <w:color w:val="000000" w:themeColor="text1"/>
          <w:lang w:val="es-ES"/>
        </w:rPr>
        <w:t xml:space="preserve">l </w:t>
      </w:r>
      <w:r w:rsidR="001C7D9C" w:rsidRPr="00A726DA">
        <w:rPr>
          <w:rFonts w:ascii="Palatino Linotype" w:eastAsia="Times New Roman" w:hAnsi="Palatino Linotype" w:cs="Arial"/>
          <w:color w:val="000000" w:themeColor="text1"/>
          <w:lang w:val="es-ES"/>
        </w:rPr>
        <w:t>veintinueve</w:t>
      </w:r>
      <w:r w:rsidR="00423410" w:rsidRPr="00A726DA">
        <w:rPr>
          <w:rFonts w:ascii="Palatino Linotype" w:eastAsia="Times New Roman" w:hAnsi="Palatino Linotype" w:cs="Arial"/>
          <w:color w:val="000000" w:themeColor="text1"/>
          <w:lang w:val="es-ES"/>
        </w:rPr>
        <w:t xml:space="preserve"> de septiembre</w:t>
      </w:r>
      <w:r w:rsidRPr="00A726DA">
        <w:rPr>
          <w:rFonts w:ascii="Palatino Linotype" w:eastAsia="Times New Roman" w:hAnsi="Palatino Linotype" w:cs="Arial"/>
          <w:color w:val="000000" w:themeColor="text1"/>
          <w:lang w:val="es-ES"/>
        </w:rPr>
        <w:t xml:space="preserve"> de </w:t>
      </w:r>
      <w:r w:rsidR="00025C53" w:rsidRPr="00A726DA">
        <w:rPr>
          <w:rFonts w:ascii="Palatino Linotype" w:eastAsia="Times New Roman" w:hAnsi="Palatino Linotype" w:cs="Arial"/>
          <w:color w:val="000000" w:themeColor="text1"/>
          <w:lang w:val="es-ES"/>
        </w:rPr>
        <w:t xml:space="preserve">dos mil </w:t>
      </w:r>
      <w:r w:rsidR="004D465B" w:rsidRPr="00A726DA">
        <w:rPr>
          <w:rFonts w:ascii="Palatino Linotype" w:eastAsia="Times New Roman" w:hAnsi="Palatino Linotype" w:cs="Arial"/>
          <w:color w:val="000000" w:themeColor="text1"/>
          <w:lang w:val="es-ES"/>
        </w:rPr>
        <w:t>veintitrés</w:t>
      </w:r>
      <w:r w:rsidRPr="00A726DA">
        <w:rPr>
          <w:rFonts w:ascii="Palatino Linotype" w:eastAsia="Times New Roman" w:hAnsi="Palatino Linotype" w:cs="Arial"/>
          <w:color w:val="000000" w:themeColor="text1"/>
          <w:lang w:val="es-ES"/>
        </w:rPr>
        <w:t xml:space="preserve">, el particular interpuso </w:t>
      </w:r>
      <w:r w:rsidR="002C4997" w:rsidRPr="00A726DA">
        <w:rPr>
          <w:rFonts w:ascii="Palatino Linotype" w:eastAsia="Times New Roman" w:hAnsi="Palatino Linotype" w:cs="Arial"/>
          <w:color w:val="000000" w:themeColor="text1"/>
          <w:lang w:val="es-ES"/>
        </w:rPr>
        <w:t>e</w:t>
      </w:r>
      <w:r w:rsidRPr="00A726DA">
        <w:rPr>
          <w:rFonts w:ascii="Palatino Linotype" w:eastAsia="Times New Roman" w:hAnsi="Palatino Linotype" w:cs="Arial"/>
          <w:color w:val="000000" w:themeColor="text1"/>
          <w:lang w:val="es-ES"/>
        </w:rPr>
        <w:t>l recurso de revisión en contra de la respuesta, manifestando l</w:t>
      </w:r>
      <w:r w:rsidR="002C4997" w:rsidRPr="00A726DA">
        <w:rPr>
          <w:rFonts w:ascii="Palatino Linotype" w:eastAsia="Times New Roman" w:hAnsi="Palatino Linotype" w:cs="Arial"/>
          <w:color w:val="000000" w:themeColor="text1"/>
          <w:lang w:val="es-ES"/>
        </w:rPr>
        <w:t>a</w:t>
      </w:r>
      <w:r w:rsidRPr="00A726DA">
        <w:rPr>
          <w:rFonts w:ascii="Palatino Linotype" w:eastAsia="Times New Roman" w:hAnsi="Palatino Linotype" w:cs="Arial"/>
          <w:color w:val="000000" w:themeColor="text1"/>
          <w:lang w:val="es-ES"/>
        </w:rPr>
        <w:t xml:space="preserve">s </w:t>
      </w:r>
      <w:r w:rsidR="002C4997" w:rsidRPr="00A726DA">
        <w:rPr>
          <w:rFonts w:ascii="Palatino Linotype" w:eastAsia="Times New Roman" w:hAnsi="Palatino Linotype" w:cs="Arial"/>
          <w:color w:val="000000" w:themeColor="text1"/>
          <w:lang w:val="es-ES"/>
        </w:rPr>
        <w:t>siguientes</w:t>
      </w:r>
      <w:r w:rsidRPr="00A726DA">
        <w:rPr>
          <w:rFonts w:ascii="Palatino Linotype" w:eastAsia="Times New Roman" w:hAnsi="Palatino Linotype" w:cs="Arial"/>
          <w:color w:val="000000" w:themeColor="text1"/>
          <w:lang w:val="es-ES"/>
        </w:rPr>
        <w:t xml:space="preserve"> razones o motivos de inconformidad:</w:t>
      </w:r>
    </w:p>
    <w:p w:rsidR="009F09BC" w:rsidRPr="00A726DA" w:rsidRDefault="009F09BC" w:rsidP="00376C57">
      <w:pPr>
        <w:pStyle w:val="Prrafodelista"/>
        <w:tabs>
          <w:tab w:val="left" w:pos="0"/>
        </w:tabs>
        <w:spacing w:line="360" w:lineRule="auto"/>
        <w:ind w:left="0" w:right="49"/>
        <w:jc w:val="both"/>
        <w:rPr>
          <w:rFonts w:ascii="Palatino Linotype" w:hAnsi="Palatino Linotype" w:cs="Arial"/>
          <w:i/>
          <w:color w:val="000000" w:themeColor="text1"/>
          <w:sz w:val="22"/>
        </w:rPr>
      </w:pPr>
    </w:p>
    <w:p w:rsidR="009F09BC" w:rsidRPr="00A726DA" w:rsidRDefault="009F09BC" w:rsidP="00376C57">
      <w:pPr>
        <w:pStyle w:val="Prrafodelista"/>
        <w:numPr>
          <w:ilvl w:val="0"/>
          <w:numId w:val="23"/>
        </w:numPr>
        <w:spacing w:line="360" w:lineRule="auto"/>
        <w:ind w:left="709" w:right="474" w:hanging="283"/>
        <w:jc w:val="both"/>
        <w:rPr>
          <w:rFonts w:ascii="Palatino Linotype" w:hAnsi="Palatino Linotype"/>
          <w:i/>
          <w:color w:val="000000" w:themeColor="text1"/>
          <w:sz w:val="22"/>
        </w:rPr>
      </w:pPr>
      <w:bookmarkStart w:id="4" w:name="_Toc466982514"/>
      <w:bookmarkStart w:id="5" w:name="_Toc51854302"/>
      <w:bookmarkStart w:id="6" w:name="_Toc53584976"/>
      <w:bookmarkStart w:id="7" w:name="_Toc60925403"/>
      <w:bookmarkStart w:id="8" w:name="_Toc81364833"/>
      <w:bookmarkStart w:id="9" w:name="_Toc81390610"/>
      <w:bookmarkStart w:id="10" w:name="_Toc82611033"/>
      <w:bookmarkStart w:id="11" w:name="_Toc83128576"/>
      <w:bookmarkStart w:id="12" w:name="_Toc27589208"/>
      <w:bookmarkStart w:id="13" w:name="_Toc29395022"/>
      <w:bookmarkStart w:id="14" w:name="_Toc29481467"/>
      <w:bookmarkStart w:id="15" w:name="_Toc33113911"/>
      <w:bookmarkStart w:id="16" w:name="_Toc33643059"/>
      <w:bookmarkStart w:id="17" w:name="_Toc33724991"/>
      <w:bookmarkStart w:id="18" w:name="_Toc33726434"/>
      <w:bookmarkStart w:id="19" w:name="_Toc34157662"/>
      <w:bookmarkStart w:id="20" w:name="_Toc35003615"/>
      <w:bookmarkStart w:id="21" w:name="_Toc35535691"/>
      <w:bookmarkStart w:id="22" w:name="_Toc51262525"/>
      <w:bookmarkStart w:id="23" w:name="_Toc471908126"/>
      <w:bookmarkStart w:id="24" w:name="_Toc491791300"/>
      <w:bookmarkStart w:id="25" w:name="_Toc496726170"/>
      <w:bookmarkStart w:id="26" w:name="_Toc497242134"/>
      <w:bookmarkStart w:id="27" w:name="_Toc497292517"/>
      <w:bookmarkStart w:id="28" w:name="_Toc498503716"/>
      <w:bookmarkStart w:id="29" w:name="_Toc499568660"/>
      <w:bookmarkStart w:id="30" w:name="_Toc499568693"/>
      <w:bookmarkStart w:id="31" w:name="_Toc499665452"/>
      <w:bookmarkStart w:id="32" w:name="_Toc499729819"/>
      <w:bookmarkStart w:id="33" w:name="_Toc499835024"/>
      <w:bookmarkStart w:id="34" w:name="_Toc499835835"/>
      <w:bookmarkStart w:id="35" w:name="_Toc499835858"/>
      <w:bookmarkStart w:id="36" w:name="_Toc500264537"/>
      <w:bookmarkStart w:id="37" w:name="_Toc503290275"/>
      <w:bookmarkStart w:id="38" w:name="_Toc524009637"/>
      <w:bookmarkStart w:id="39" w:name="_Toc524009672"/>
      <w:bookmarkStart w:id="40" w:name="_Toc524602720"/>
      <w:bookmarkStart w:id="41" w:name="_Toc526365279"/>
      <w:bookmarkStart w:id="42" w:name="_Toc526365337"/>
      <w:bookmarkStart w:id="43" w:name="_Toc530067664"/>
      <w:bookmarkStart w:id="44" w:name="_Toc530067692"/>
      <w:bookmarkStart w:id="45" w:name="_Toc530067939"/>
      <w:bookmarkStart w:id="46" w:name="_Toc530590420"/>
      <w:bookmarkStart w:id="47" w:name="_Toc530593951"/>
      <w:bookmarkStart w:id="48" w:name="_Toc531190248"/>
      <w:bookmarkStart w:id="49" w:name="_Toc531190295"/>
      <w:bookmarkStart w:id="50" w:name="_Toc534908208"/>
      <w:bookmarkStart w:id="51" w:name="_Toc534909344"/>
      <w:bookmarkStart w:id="52" w:name="_Toc535353305"/>
      <w:bookmarkStart w:id="53" w:name="_Toc535353791"/>
      <w:bookmarkStart w:id="54" w:name="_Toc18436351"/>
      <w:bookmarkStart w:id="55" w:name="_Toc18436385"/>
      <w:bookmarkStart w:id="56" w:name="_Toc18513477"/>
      <w:bookmarkStart w:id="57" w:name="_Toc18513503"/>
      <w:bookmarkStart w:id="58" w:name="_Toc18606801"/>
      <w:bookmarkStart w:id="59" w:name="_Toc19723536"/>
      <w:bookmarkStart w:id="60" w:name="_Toc20322795"/>
      <w:bookmarkStart w:id="61" w:name="_Toc20323052"/>
      <w:bookmarkStart w:id="62" w:name="_Toc20323181"/>
      <w:bookmarkStart w:id="63" w:name="_Toc20420591"/>
      <w:bookmarkStart w:id="64" w:name="_Toc20421579"/>
      <w:bookmarkStart w:id="65" w:name="_Toc21027316"/>
      <w:bookmarkStart w:id="66" w:name="_Toc22660652"/>
      <w:bookmarkStart w:id="67" w:name="_Toc22811623"/>
      <w:bookmarkStart w:id="68" w:name="_Toc26436015"/>
      <w:r w:rsidRPr="00A726DA">
        <w:rPr>
          <w:rStyle w:val="Ttulo2Car"/>
          <w:rFonts w:ascii="Palatino Linotype" w:hAnsi="Palatino Linotype"/>
          <w:b/>
          <w:color w:val="000000" w:themeColor="text1"/>
          <w:sz w:val="22"/>
          <w:szCs w:val="24"/>
        </w:rPr>
        <w:t>Acto impugnado</w:t>
      </w:r>
      <w:bookmarkEnd w:id="4"/>
      <w:r w:rsidRPr="00A726DA">
        <w:rPr>
          <w:rStyle w:val="Ttulo2Car"/>
          <w:rFonts w:ascii="Palatino Linotype" w:hAnsi="Palatino Linotype"/>
          <w:b/>
          <w:color w:val="000000" w:themeColor="text1"/>
          <w:sz w:val="22"/>
          <w:szCs w:val="24"/>
        </w:rPr>
        <w:t xml:space="preserve">: </w:t>
      </w:r>
      <w:r w:rsidRPr="00A726DA">
        <w:rPr>
          <w:rStyle w:val="Ttulo2Car"/>
          <w:rFonts w:ascii="Palatino Linotype" w:hAnsi="Palatino Linotype"/>
          <w:i/>
          <w:color w:val="000000" w:themeColor="text1"/>
          <w:sz w:val="22"/>
          <w:szCs w:val="24"/>
        </w:rPr>
        <w:t>“</w:t>
      </w:r>
      <w:bookmarkEnd w:id="5"/>
      <w:bookmarkEnd w:id="6"/>
      <w:bookmarkEnd w:id="7"/>
      <w:bookmarkEnd w:id="8"/>
      <w:bookmarkEnd w:id="9"/>
      <w:bookmarkEnd w:id="10"/>
      <w:bookmarkEnd w:id="11"/>
      <w:r w:rsidR="00423410" w:rsidRPr="00A726DA">
        <w:rPr>
          <w:rStyle w:val="Ttulo2Car"/>
          <w:rFonts w:ascii="Palatino Linotype" w:hAnsi="Palatino Linotype"/>
          <w:i/>
          <w:color w:val="000000" w:themeColor="text1"/>
          <w:sz w:val="22"/>
          <w:szCs w:val="24"/>
        </w:rPr>
        <w:t>R</w:t>
      </w:r>
      <w:r w:rsidR="001C7D9C" w:rsidRPr="00A726DA">
        <w:rPr>
          <w:rStyle w:val="Ttulo2Car"/>
          <w:rFonts w:ascii="Palatino Linotype" w:hAnsi="Palatino Linotype"/>
          <w:i/>
          <w:color w:val="000000" w:themeColor="text1"/>
          <w:sz w:val="22"/>
          <w:szCs w:val="24"/>
        </w:rPr>
        <w:t>espuesta</w:t>
      </w:r>
      <w:r w:rsidRPr="00A726DA">
        <w:rPr>
          <w:rFonts w:ascii="Palatino Linotype" w:hAnsi="Palatino Linotype"/>
          <w:color w:val="000000" w:themeColor="text1"/>
          <w:sz w:val="22"/>
        </w:rPr>
        <w:t>”</w:t>
      </w:r>
      <w:bookmarkStart w:id="69" w:name="_Toc466982515"/>
      <w:bookmarkStart w:id="70" w:name="_Toc27589209"/>
      <w:bookmarkStart w:id="71" w:name="_Toc29395023"/>
      <w:bookmarkStart w:id="72" w:name="_Toc29481468"/>
      <w:bookmarkStart w:id="73" w:name="_Toc33113912"/>
      <w:bookmarkStart w:id="74" w:name="_Toc33643060"/>
      <w:bookmarkStart w:id="75" w:name="_Toc33724992"/>
      <w:bookmarkStart w:id="76" w:name="_Toc33726435"/>
      <w:bookmarkStart w:id="77" w:name="_Toc34157663"/>
      <w:bookmarkStart w:id="78" w:name="_Toc35003616"/>
      <w:bookmarkStart w:id="79" w:name="_Toc35535692"/>
      <w:bookmarkStart w:id="80" w:name="_Toc51262526"/>
      <w:bookmarkStart w:id="81" w:name="_Toc471908127"/>
      <w:bookmarkStart w:id="82" w:name="_Toc491791301"/>
      <w:bookmarkStart w:id="83" w:name="_Toc496726171"/>
      <w:bookmarkStart w:id="84" w:name="_Toc497242135"/>
      <w:bookmarkStart w:id="85" w:name="_Toc497292518"/>
      <w:bookmarkStart w:id="86" w:name="_Toc498503717"/>
      <w:bookmarkStart w:id="87" w:name="_Toc499568661"/>
      <w:bookmarkStart w:id="88" w:name="_Toc499568694"/>
      <w:bookmarkStart w:id="89" w:name="_Toc499665453"/>
      <w:bookmarkStart w:id="90" w:name="_Toc499729820"/>
      <w:bookmarkStart w:id="91" w:name="_Toc499835025"/>
      <w:bookmarkStart w:id="92" w:name="_Toc499835836"/>
      <w:bookmarkStart w:id="93" w:name="_Toc499835859"/>
      <w:bookmarkStart w:id="94" w:name="_Toc500264538"/>
      <w:bookmarkStart w:id="95" w:name="_Toc503290276"/>
      <w:bookmarkStart w:id="96" w:name="_Toc524009638"/>
      <w:bookmarkStart w:id="97" w:name="_Toc524009673"/>
      <w:bookmarkStart w:id="98" w:name="_Toc524602721"/>
      <w:bookmarkStart w:id="99" w:name="_Toc526365280"/>
      <w:bookmarkStart w:id="100" w:name="_Toc526365338"/>
      <w:bookmarkStart w:id="101" w:name="_Toc530067665"/>
      <w:bookmarkStart w:id="102" w:name="_Toc530067693"/>
      <w:bookmarkStart w:id="103" w:name="_Toc530067940"/>
      <w:bookmarkStart w:id="104" w:name="_Toc530590421"/>
      <w:bookmarkStart w:id="105" w:name="_Toc530593952"/>
      <w:bookmarkStart w:id="106" w:name="_Toc531190249"/>
      <w:bookmarkStart w:id="107" w:name="_Toc531190296"/>
      <w:bookmarkStart w:id="108" w:name="_Toc534908209"/>
      <w:bookmarkStart w:id="109" w:name="_Toc534909345"/>
      <w:bookmarkStart w:id="110" w:name="_Toc535353306"/>
      <w:bookmarkStart w:id="111" w:name="_Toc535353792"/>
      <w:bookmarkStart w:id="112" w:name="_Toc18436352"/>
      <w:bookmarkStart w:id="113" w:name="_Toc18436386"/>
      <w:bookmarkStart w:id="114" w:name="_Toc18513478"/>
      <w:bookmarkStart w:id="115" w:name="_Toc18513504"/>
      <w:bookmarkStart w:id="116" w:name="_Toc18606802"/>
      <w:bookmarkStart w:id="117" w:name="_Toc19723537"/>
      <w:bookmarkStart w:id="118" w:name="_Toc20322796"/>
      <w:bookmarkStart w:id="119" w:name="_Toc20323053"/>
      <w:bookmarkStart w:id="120" w:name="_Toc20323182"/>
      <w:bookmarkStart w:id="121" w:name="_Toc20420592"/>
      <w:bookmarkStart w:id="122" w:name="_Toc20421580"/>
      <w:bookmarkStart w:id="123" w:name="_Toc21027317"/>
      <w:bookmarkStart w:id="124" w:name="_Toc22660653"/>
      <w:bookmarkStart w:id="125" w:name="_Toc22811624"/>
      <w:bookmarkStart w:id="126" w:name="_Toc26436016"/>
      <w:bookmarkStart w:id="127" w:name="_Toc51854303"/>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rsidR="009F09BC" w:rsidRPr="00A726DA" w:rsidRDefault="009F09BC" w:rsidP="00376C57">
      <w:pPr>
        <w:pStyle w:val="Prrafodelista"/>
        <w:numPr>
          <w:ilvl w:val="0"/>
          <w:numId w:val="23"/>
        </w:numPr>
        <w:spacing w:line="360" w:lineRule="auto"/>
        <w:ind w:left="709" w:right="474" w:hanging="283"/>
        <w:jc w:val="both"/>
        <w:rPr>
          <w:rFonts w:ascii="Palatino Linotype" w:hAnsi="Palatino Linotype"/>
          <w:i/>
          <w:color w:val="000000" w:themeColor="text1"/>
          <w:sz w:val="22"/>
        </w:rPr>
      </w:pPr>
      <w:bookmarkStart w:id="128" w:name="_Toc53584977"/>
      <w:bookmarkStart w:id="129" w:name="_Toc60925404"/>
      <w:bookmarkStart w:id="130" w:name="_Toc81364834"/>
      <w:bookmarkStart w:id="131" w:name="_Toc81390611"/>
      <w:bookmarkStart w:id="132" w:name="_Toc82611034"/>
      <w:bookmarkStart w:id="133" w:name="_Toc83128577"/>
      <w:r w:rsidRPr="00A726DA">
        <w:rPr>
          <w:rStyle w:val="Ttulo2Car"/>
          <w:rFonts w:ascii="Palatino Linotype" w:hAnsi="Palatino Linotype"/>
          <w:b/>
          <w:color w:val="000000" w:themeColor="text1"/>
          <w:sz w:val="22"/>
          <w:szCs w:val="24"/>
        </w:rPr>
        <w:t>Razones o Motivos de inconformidad:</w:t>
      </w:r>
      <w:bookmarkEnd w:id="69"/>
      <w:bookmarkEnd w:id="128"/>
      <w:bookmarkEnd w:id="129"/>
      <w:bookmarkEnd w:id="130"/>
      <w:bookmarkEnd w:id="131"/>
      <w:bookmarkEnd w:id="132"/>
      <w:bookmarkEnd w:id="133"/>
      <w:r w:rsidRPr="00A726DA">
        <w:rPr>
          <w:rFonts w:ascii="Palatino Linotype" w:hAnsi="Palatino Linotype"/>
          <w:b/>
          <w:color w:val="000000" w:themeColor="text1"/>
          <w:sz w:val="22"/>
        </w:rPr>
        <w:t xml:space="preserve"> </w:t>
      </w:r>
      <w:r w:rsidRPr="00A726DA">
        <w:rPr>
          <w:rFonts w:ascii="Palatino Linotype" w:hAnsi="Palatino Linotype"/>
          <w:i/>
          <w:color w:val="000000" w:themeColor="text1"/>
          <w:sz w:val="22"/>
        </w:rPr>
        <w:t>“</w:t>
      </w:r>
      <w:r w:rsidR="001C7D9C" w:rsidRPr="00A726DA">
        <w:rPr>
          <w:rFonts w:ascii="Palatino Linotype" w:hAnsi="Palatino Linotype"/>
          <w:i/>
          <w:color w:val="000000" w:themeColor="text1"/>
          <w:sz w:val="22"/>
        </w:rPr>
        <w:t>Falta información, en el documento adjunto mencionan que son todos los servidores públicos firmando un tríptico y mandan una lista con pocas firmas que no corresponde al total de la plantilla laboral. Solicito los más de 800 trípticos firmados tal y como lo señalaron que contaban en sus archivo</w:t>
      </w:r>
      <w:r w:rsidRPr="00A726DA">
        <w:rPr>
          <w:rFonts w:ascii="Palatino Linotype" w:hAnsi="Palatino Linotype"/>
          <w:i/>
          <w:color w:val="000000" w:themeColor="text1"/>
          <w:sz w:val="22"/>
        </w:rPr>
        <w:t>”</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rsidR="00EB1CE2" w:rsidRPr="00A726DA" w:rsidRDefault="00EB1CE2" w:rsidP="00376C57">
      <w:pPr>
        <w:spacing w:line="360" w:lineRule="auto"/>
        <w:jc w:val="both"/>
        <w:rPr>
          <w:rFonts w:ascii="Palatino Linotype" w:hAnsi="Palatino Linotype"/>
          <w:i/>
          <w:color w:val="000000" w:themeColor="text1"/>
        </w:rPr>
      </w:pPr>
    </w:p>
    <w:p w:rsidR="009F09BC" w:rsidRPr="00A726DA" w:rsidRDefault="00CC5B2F" w:rsidP="00376C57">
      <w:pPr>
        <w:pStyle w:val="Prrafodelista"/>
        <w:numPr>
          <w:ilvl w:val="0"/>
          <w:numId w:val="15"/>
        </w:numPr>
        <w:spacing w:line="360" w:lineRule="auto"/>
        <w:ind w:left="0" w:firstLine="0"/>
        <w:jc w:val="both"/>
        <w:rPr>
          <w:rFonts w:ascii="Palatino Linotype" w:hAnsi="Palatino Linotype"/>
          <w:i/>
          <w:color w:val="000000" w:themeColor="text1"/>
        </w:rPr>
      </w:pPr>
      <w:r w:rsidRPr="00A726DA">
        <w:rPr>
          <w:rFonts w:ascii="Palatino Linotype" w:eastAsia="Calibri" w:hAnsi="Palatino Linotype" w:cs="Arial"/>
          <w:color w:val="000000" w:themeColor="text1"/>
          <w:lang w:val="es-ES"/>
        </w:rPr>
        <w:t>La Comisionada</w:t>
      </w:r>
      <w:r w:rsidR="009F09BC" w:rsidRPr="00A726DA">
        <w:rPr>
          <w:rFonts w:ascii="Palatino Linotype" w:eastAsia="Calibri" w:hAnsi="Palatino Linotype" w:cs="Arial"/>
          <w:color w:val="000000" w:themeColor="text1"/>
          <w:lang w:val="es-ES"/>
        </w:rPr>
        <w:t xml:space="preserve"> Ponente</w:t>
      </w:r>
      <w:r w:rsidR="00A726DA">
        <w:rPr>
          <w:rFonts w:ascii="Palatino Linotype" w:eastAsia="Calibri" w:hAnsi="Palatino Linotype" w:cs="Arial"/>
          <w:color w:val="000000" w:themeColor="text1"/>
          <w:lang w:val="es-ES"/>
        </w:rPr>
        <w:t>,</w:t>
      </w:r>
      <w:r w:rsidR="009F09BC" w:rsidRPr="00A726DA">
        <w:rPr>
          <w:rFonts w:ascii="Palatino Linotype" w:eastAsia="Calibri" w:hAnsi="Palatino Linotype" w:cs="Arial"/>
          <w:color w:val="000000" w:themeColor="text1"/>
          <w:lang w:val="es-ES"/>
        </w:rPr>
        <w:t xml:space="preserve"> con fundamento en lo dispuesto por el artículo 185 fracción II de la ley de la materia, a través del acuerdo de admisión de fecha </w:t>
      </w:r>
      <w:r w:rsidR="00A95ADC" w:rsidRPr="00A726DA">
        <w:rPr>
          <w:rFonts w:ascii="Palatino Linotype" w:eastAsia="Calibri" w:hAnsi="Palatino Linotype" w:cs="Arial"/>
          <w:color w:val="000000" w:themeColor="text1"/>
          <w:lang w:val="es-ES"/>
        </w:rPr>
        <w:t>seis</w:t>
      </w:r>
      <w:r w:rsidR="006313B5" w:rsidRPr="00A726DA">
        <w:rPr>
          <w:rFonts w:ascii="Palatino Linotype" w:eastAsia="Calibri" w:hAnsi="Palatino Linotype" w:cs="Arial"/>
          <w:color w:val="000000" w:themeColor="text1"/>
          <w:lang w:val="es-ES"/>
        </w:rPr>
        <w:t xml:space="preserve"> </w:t>
      </w:r>
      <w:r w:rsidR="004D465B" w:rsidRPr="00A726DA">
        <w:rPr>
          <w:rFonts w:ascii="Palatino Linotype" w:eastAsia="Calibri" w:hAnsi="Palatino Linotype" w:cs="Arial"/>
          <w:color w:val="000000" w:themeColor="text1"/>
          <w:lang w:val="es-ES"/>
        </w:rPr>
        <w:t xml:space="preserve">de </w:t>
      </w:r>
      <w:r w:rsidR="00A95ADC" w:rsidRPr="00A726DA">
        <w:rPr>
          <w:rFonts w:ascii="Palatino Linotype" w:eastAsia="Calibri" w:hAnsi="Palatino Linotype" w:cs="Arial"/>
          <w:color w:val="000000" w:themeColor="text1"/>
          <w:lang w:val="es-ES"/>
        </w:rPr>
        <w:t>octu</w:t>
      </w:r>
      <w:r w:rsidR="00423410" w:rsidRPr="00A726DA">
        <w:rPr>
          <w:rFonts w:ascii="Palatino Linotype" w:eastAsia="Calibri" w:hAnsi="Palatino Linotype" w:cs="Arial"/>
          <w:color w:val="000000" w:themeColor="text1"/>
          <w:lang w:val="es-ES"/>
        </w:rPr>
        <w:t>bre</w:t>
      </w:r>
      <w:r w:rsidR="009F09BC" w:rsidRPr="00A726DA">
        <w:rPr>
          <w:rFonts w:ascii="Palatino Linotype" w:eastAsia="Calibri" w:hAnsi="Palatino Linotype" w:cs="Arial"/>
          <w:color w:val="000000" w:themeColor="text1"/>
          <w:lang w:val="es-ES"/>
        </w:rPr>
        <w:t xml:space="preserve"> del año en curso, puso a disposición de las partes el expediente electrónico </w:t>
      </w:r>
      <w:r w:rsidR="009F09BC" w:rsidRPr="00A726DA">
        <w:rPr>
          <w:rFonts w:ascii="Palatino Linotype" w:eastAsia="Calibri" w:hAnsi="Palatino Linotype" w:cs="Arial"/>
          <w:color w:val="000000" w:themeColor="text1"/>
        </w:rPr>
        <w:t xml:space="preserve">vía </w:t>
      </w:r>
      <w:r w:rsidR="009F09BC" w:rsidRPr="00A726DA">
        <w:rPr>
          <w:rFonts w:ascii="Palatino Linotype" w:eastAsia="Calibri" w:hAnsi="Palatino Linotype" w:cs="Arial"/>
          <w:b/>
          <w:color w:val="000000" w:themeColor="text1"/>
          <w:lang w:val="es-ES"/>
        </w:rPr>
        <w:t xml:space="preserve">SAIMEX </w:t>
      </w:r>
      <w:r w:rsidR="009F09BC" w:rsidRPr="00A726DA">
        <w:rPr>
          <w:rFonts w:ascii="Palatino Linotype" w:eastAsia="Calibri" w:hAnsi="Palatino Linotype" w:cs="Arial"/>
          <w:color w:val="000000" w:themeColor="text1"/>
          <w:lang w:val="es-ES"/>
        </w:rPr>
        <w:t xml:space="preserve">a efecto de que en un plazo máximo de siete días manifestaran lo que a su derecho conviniera, ofrecieran pruebas y alegatos según corresponda a los casos concretos, y el </w:t>
      </w:r>
      <w:r w:rsidR="009F09BC" w:rsidRPr="00A726DA">
        <w:rPr>
          <w:rFonts w:ascii="Palatino Linotype" w:eastAsia="Calibri" w:hAnsi="Palatino Linotype" w:cs="Arial"/>
          <w:b/>
          <w:color w:val="000000" w:themeColor="text1"/>
          <w:lang w:val="es-ES"/>
        </w:rPr>
        <w:t>SUJETO OBLIGADO</w:t>
      </w:r>
      <w:r w:rsidR="009F09BC" w:rsidRPr="00A726DA">
        <w:rPr>
          <w:rFonts w:ascii="Palatino Linotype" w:eastAsia="Calibri" w:hAnsi="Palatino Linotype" w:cs="Arial"/>
          <w:color w:val="000000" w:themeColor="text1"/>
          <w:lang w:val="es-ES"/>
        </w:rPr>
        <w:t xml:space="preserve"> presentará el Informe Justificado procedente.</w:t>
      </w:r>
    </w:p>
    <w:p w:rsidR="009F09BC" w:rsidRPr="00A726DA" w:rsidRDefault="009F09BC" w:rsidP="00376C57">
      <w:pPr>
        <w:pStyle w:val="Prrafodelista"/>
        <w:spacing w:line="360" w:lineRule="auto"/>
        <w:ind w:left="0"/>
        <w:jc w:val="both"/>
        <w:rPr>
          <w:rFonts w:ascii="Palatino Linotype" w:hAnsi="Palatino Linotype"/>
          <w:color w:val="000000" w:themeColor="text1"/>
        </w:rPr>
      </w:pPr>
    </w:p>
    <w:p w:rsidR="00E730F7" w:rsidRPr="00A726DA" w:rsidRDefault="009F09BC"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 xml:space="preserve">El </w:t>
      </w:r>
      <w:r w:rsidRPr="00A726DA">
        <w:rPr>
          <w:rFonts w:ascii="Palatino Linotype" w:hAnsi="Palatino Linotype"/>
          <w:b/>
          <w:color w:val="000000" w:themeColor="text1"/>
        </w:rPr>
        <w:t xml:space="preserve">SUJETO </w:t>
      </w:r>
      <w:r w:rsidRPr="00A726DA">
        <w:rPr>
          <w:rFonts w:ascii="Palatino Linotype" w:eastAsia="Calibri" w:hAnsi="Palatino Linotype" w:cs="Arial"/>
          <w:b/>
          <w:color w:val="000000" w:themeColor="text1"/>
          <w:lang w:val="es-ES"/>
        </w:rPr>
        <w:t>OBLIGADO</w:t>
      </w:r>
      <w:r w:rsidR="007A6A1A" w:rsidRPr="00A726DA">
        <w:rPr>
          <w:rFonts w:ascii="Palatino Linotype" w:hAnsi="Palatino Linotype"/>
          <w:color w:val="000000" w:themeColor="text1"/>
        </w:rPr>
        <w:t xml:space="preserve"> </w:t>
      </w:r>
      <w:r w:rsidR="00E730F7" w:rsidRPr="00A726DA">
        <w:rPr>
          <w:rFonts w:ascii="Palatino Linotype" w:hAnsi="Palatino Linotype"/>
          <w:color w:val="000000" w:themeColor="text1"/>
        </w:rPr>
        <w:t xml:space="preserve">el diez de octubre de dos mil veintitrés, rindió su informe justificado, mismo que fue hecho del conocimiento del particular mediante </w:t>
      </w:r>
      <w:r w:rsidR="001F458A" w:rsidRPr="00A726DA">
        <w:rPr>
          <w:rFonts w:ascii="Palatino Linotype" w:hAnsi="Palatino Linotype"/>
          <w:color w:val="000000" w:themeColor="text1"/>
        </w:rPr>
        <w:t>acuerdo de fecha diecisiete</w:t>
      </w:r>
      <w:r w:rsidR="00E730F7" w:rsidRPr="00A726DA">
        <w:rPr>
          <w:rFonts w:ascii="Palatino Linotype" w:hAnsi="Palatino Linotype"/>
          <w:color w:val="000000" w:themeColor="text1"/>
        </w:rPr>
        <w:t xml:space="preserve"> de noviembre del año en curso, cuyo contenido es el siguiente:</w:t>
      </w:r>
    </w:p>
    <w:p w:rsidR="00E730F7" w:rsidRPr="00A726DA" w:rsidRDefault="00E730F7" w:rsidP="00376C57">
      <w:pPr>
        <w:pStyle w:val="Prrafodelista"/>
        <w:spacing w:line="360" w:lineRule="auto"/>
        <w:rPr>
          <w:rFonts w:ascii="Palatino Linotype" w:hAnsi="Palatino Linotype"/>
          <w:color w:val="000000" w:themeColor="text1"/>
        </w:rPr>
      </w:pPr>
    </w:p>
    <w:p w:rsidR="00E730F7" w:rsidRPr="00A726DA" w:rsidRDefault="00E730F7" w:rsidP="00376C57">
      <w:pPr>
        <w:spacing w:line="360" w:lineRule="auto"/>
        <w:jc w:val="center"/>
        <w:rPr>
          <w:rFonts w:ascii="Palatino Linotype" w:hAnsi="Palatino Linotype"/>
          <w:color w:val="000000" w:themeColor="text1"/>
        </w:rPr>
      </w:pPr>
      <w:r w:rsidRPr="00A726DA">
        <w:rPr>
          <w:rFonts w:ascii="Palatino Linotype" w:hAnsi="Palatino Linotype"/>
          <w:noProof/>
          <w:color w:val="000000" w:themeColor="text1"/>
          <w:lang w:val="es-MX" w:eastAsia="es-MX"/>
        </w:rPr>
        <w:lastRenderedPageBreak/>
        <w:drawing>
          <wp:inline distT="0" distB="0" distL="0" distR="0" wp14:anchorId="53CB0F0D" wp14:editId="76811C44">
            <wp:extent cx="4213555" cy="5479814"/>
            <wp:effectExtent l="19050" t="19050" r="15875"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21518" cy="5490170"/>
                    </a:xfrm>
                    <a:prstGeom prst="rect">
                      <a:avLst/>
                    </a:prstGeom>
                    <a:ln>
                      <a:solidFill>
                        <a:schemeClr val="tx1"/>
                      </a:solidFill>
                    </a:ln>
                  </pic:spPr>
                </pic:pic>
              </a:graphicData>
            </a:graphic>
          </wp:inline>
        </w:drawing>
      </w:r>
    </w:p>
    <w:p w:rsidR="009F09BC" w:rsidRPr="00A726DA" w:rsidRDefault="009F09BC"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 xml:space="preserve">Por su parte </w:t>
      </w:r>
      <w:r w:rsidR="00A56791" w:rsidRPr="00A726DA">
        <w:rPr>
          <w:rFonts w:ascii="Palatino Linotype" w:hAnsi="Palatino Linotype"/>
          <w:b/>
          <w:color w:val="000000" w:themeColor="text1"/>
        </w:rPr>
        <w:t>EL</w:t>
      </w:r>
      <w:r w:rsidRPr="00A726DA">
        <w:rPr>
          <w:rFonts w:ascii="Palatino Linotype" w:hAnsi="Palatino Linotype"/>
          <w:b/>
          <w:color w:val="000000" w:themeColor="text1"/>
        </w:rPr>
        <w:t xml:space="preserve"> PARTICULAR </w:t>
      </w:r>
      <w:r w:rsidR="00D5729F" w:rsidRPr="00A726DA">
        <w:rPr>
          <w:rFonts w:ascii="Palatino Linotype" w:hAnsi="Palatino Linotype"/>
          <w:color w:val="000000" w:themeColor="text1"/>
        </w:rPr>
        <w:t>fue omiso</w:t>
      </w:r>
      <w:r w:rsidR="00267A08" w:rsidRPr="00A726DA">
        <w:rPr>
          <w:rFonts w:ascii="Palatino Linotype" w:hAnsi="Palatino Linotype"/>
          <w:color w:val="000000" w:themeColor="text1"/>
        </w:rPr>
        <w:t xml:space="preserve"> en realizar manifestaciones que a su derecho conviniera y asistiera</w:t>
      </w:r>
      <w:r w:rsidRPr="00A726DA">
        <w:rPr>
          <w:rFonts w:ascii="Palatino Linotype" w:hAnsi="Palatino Linotype"/>
          <w:color w:val="000000" w:themeColor="text1"/>
        </w:rPr>
        <w:t>.</w:t>
      </w:r>
    </w:p>
    <w:p w:rsidR="00ED6E75" w:rsidRPr="00A726DA" w:rsidRDefault="00ED6E75" w:rsidP="00376C57">
      <w:pPr>
        <w:pStyle w:val="Prrafodelista"/>
        <w:spacing w:line="360" w:lineRule="auto"/>
        <w:ind w:left="0"/>
        <w:rPr>
          <w:rFonts w:ascii="Palatino Linotype" w:hAnsi="Palatino Linotype"/>
          <w:color w:val="000000" w:themeColor="text1"/>
        </w:rPr>
      </w:pPr>
    </w:p>
    <w:p w:rsidR="00423410" w:rsidRPr="00A726DA" w:rsidRDefault="00423410" w:rsidP="00376C57">
      <w:pPr>
        <w:pStyle w:val="Prrafodelista"/>
        <w:numPr>
          <w:ilvl w:val="0"/>
          <w:numId w:val="15"/>
        </w:numPr>
        <w:spacing w:line="360" w:lineRule="auto"/>
        <w:ind w:left="0" w:firstLine="0"/>
        <w:contextualSpacing w:val="0"/>
        <w:jc w:val="both"/>
        <w:rPr>
          <w:rFonts w:ascii="Palatino Linotype" w:hAnsi="Palatino Linotype"/>
          <w:color w:val="000000" w:themeColor="text1"/>
        </w:rPr>
      </w:pPr>
      <w:r w:rsidRPr="00A726DA">
        <w:rPr>
          <w:rFonts w:ascii="Palatino Linotype" w:hAnsi="Palatino Linotype"/>
          <w:color w:val="000000" w:themeColor="text1"/>
        </w:rPr>
        <w:lastRenderedPageBreak/>
        <w:t xml:space="preserve">Posteriormente, mediante acuerdo de fecha </w:t>
      </w:r>
      <w:r w:rsidR="00376C57" w:rsidRPr="00A726DA">
        <w:rPr>
          <w:rFonts w:ascii="Palatino Linotype" w:hAnsi="Palatino Linotype"/>
          <w:color w:val="000000" w:themeColor="text1"/>
        </w:rPr>
        <w:t>diecisiete</w:t>
      </w:r>
      <w:r w:rsidR="00E730F7" w:rsidRPr="00A726DA">
        <w:rPr>
          <w:rFonts w:ascii="Palatino Linotype" w:hAnsi="Palatino Linotype"/>
          <w:color w:val="000000" w:themeColor="text1"/>
        </w:rPr>
        <w:t xml:space="preserve"> de noviembre de dos mil veintitrés</w:t>
      </w:r>
      <w:r w:rsidR="000B650B" w:rsidRPr="00A726DA">
        <w:rPr>
          <w:rFonts w:ascii="Palatino Linotype" w:hAnsi="Palatino Linotype"/>
          <w:color w:val="000000" w:themeColor="text1"/>
        </w:rPr>
        <w:t xml:space="preserve"> </w:t>
      </w:r>
      <w:r w:rsidR="00C640EA" w:rsidRPr="00A726DA">
        <w:rPr>
          <w:rFonts w:ascii="Palatino Linotype" w:hAnsi="Palatino Linotype"/>
          <w:color w:val="000000" w:themeColor="text1"/>
        </w:rPr>
        <w:t xml:space="preserve">se amplió el termino para resolver, al respecto es dable realizar las siguientes precisiones: </w:t>
      </w:r>
    </w:p>
    <w:p w:rsidR="00C640EA" w:rsidRPr="00A726DA" w:rsidRDefault="00C640EA" w:rsidP="00376C57">
      <w:pPr>
        <w:pStyle w:val="Prrafodelista"/>
        <w:spacing w:line="360" w:lineRule="auto"/>
        <w:rPr>
          <w:rFonts w:ascii="Palatino Linotype" w:hAnsi="Palatino Linotype"/>
          <w:color w:val="000000" w:themeColor="text1"/>
          <w:sz w:val="22"/>
        </w:rPr>
      </w:pPr>
    </w:p>
    <w:p w:rsidR="00C640EA" w:rsidRPr="00A726DA" w:rsidRDefault="00C640EA" w:rsidP="00376C57">
      <w:pPr>
        <w:pStyle w:val="Prrafodelista"/>
        <w:numPr>
          <w:ilvl w:val="0"/>
          <w:numId w:val="49"/>
        </w:numPr>
        <w:spacing w:line="360" w:lineRule="auto"/>
        <w:jc w:val="both"/>
        <w:rPr>
          <w:rFonts w:ascii="Palatino Linotype" w:hAnsi="Palatino Linotype"/>
          <w:b/>
          <w:color w:val="000000" w:themeColor="text1"/>
          <w:sz w:val="22"/>
        </w:rPr>
      </w:pPr>
      <w:r w:rsidRPr="00A726DA">
        <w:rPr>
          <w:rFonts w:ascii="Palatino Linotype" w:hAnsi="Palatino Linotype"/>
          <w:b/>
          <w:color w:val="000000" w:themeColor="text1"/>
          <w:sz w:val="22"/>
        </w:rPr>
        <w:t>De previo y especial pronunciamiento. Argumentos a considerar en las resoluciones a los recursos de revisión para justificar los fallos emitidos fuera del plazo legal de 45 días.</w:t>
      </w:r>
    </w:p>
    <w:p w:rsidR="00C640EA" w:rsidRPr="00A726DA" w:rsidRDefault="00C640EA" w:rsidP="00376C57">
      <w:pPr>
        <w:pStyle w:val="Prrafodelista"/>
        <w:spacing w:line="360" w:lineRule="auto"/>
        <w:ind w:left="0"/>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 xml:space="preserve">Este organismo garante no pasa por alto justificar, que la dilación en la resolución del </w:t>
      </w:r>
      <w:r w:rsidRPr="00A726DA">
        <w:rPr>
          <w:rFonts w:ascii="Palatino Linotype" w:hAnsi="Palatino Linotype"/>
          <w:color w:val="000000"/>
        </w:rPr>
        <w:t>presente</w:t>
      </w:r>
      <w:r w:rsidRPr="00A726DA">
        <w:rPr>
          <w:rFonts w:ascii="Palatino Linotype" w:hAnsi="Palatino Linotype"/>
        </w:rPr>
        <w:t xml:space="preserve"> asunto encuentra justificación en el alto número de recursos de revisión recibidos dentro del primer semestre del año dos mil veintitrés,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rsidR="00C640EA" w:rsidRPr="00A726DA" w:rsidRDefault="00C640EA" w:rsidP="00376C57">
      <w:pPr>
        <w:pStyle w:val="Prrafodelista"/>
        <w:spacing w:line="360" w:lineRule="auto"/>
        <w:ind w:left="0"/>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rsidR="00C640EA" w:rsidRPr="00A726DA" w:rsidRDefault="00C640EA" w:rsidP="00376C57">
      <w:pPr>
        <w:pStyle w:val="Prrafodelista"/>
        <w:spacing w:line="360" w:lineRule="auto"/>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E730F7" w:rsidRPr="00A726DA" w:rsidRDefault="00E730F7" w:rsidP="00376C57">
      <w:pPr>
        <w:pStyle w:val="Prrafodelista"/>
        <w:spacing w:line="360" w:lineRule="auto"/>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C640EA" w:rsidRPr="00A726DA" w:rsidRDefault="00C640EA" w:rsidP="00376C57">
      <w:pPr>
        <w:pStyle w:val="Prrafodelista"/>
        <w:spacing w:line="360" w:lineRule="auto"/>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rsidR="00C640EA" w:rsidRPr="00A726DA" w:rsidRDefault="00C640EA" w:rsidP="00376C57">
      <w:pPr>
        <w:spacing w:line="360" w:lineRule="auto"/>
        <w:jc w:val="both"/>
        <w:rPr>
          <w:rFonts w:ascii="Palatino Linotype" w:hAnsi="Palatino Linotype"/>
          <w:sz w:val="22"/>
        </w:rPr>
      </w:pPr>
    </w:p>
    <w:p w:rsidR="00C640EA" w:rsidRPr="00A726DA" w:rsidRDefault="00C640EA" w:rsidP="00376C57">
      <w:pPr>
        <w:pStyle w:val="Prrafodelista"/>
        <w:numPr>
          <w:ilvl w:val="0"/>
          <w:numId w:val="48"/>
        </w:numPr>
        <w:spacing w:line="360" w:lineRule="auto"/>
        <w:jc w:val="both"/>
        <w:rPr>
          <w:rFonts w:ascii="Palatino Linotype" w:hAnsi="Palatino Linotype"/>
          <w:sz w:val="22"/>
        </w:rPr>
      </w:pPr>
      <w:r w:rsidRPr="00A726DA">
        <w:rPr>
          <w:rFonts w:ascii="Palatino Linotype" w:hAnsi="Palatino Linotype"/>
          <w:sz w:val="22"/>
        </w:rPr>
        <w:t xml:space="preserve">Complejidad del Asunto: La complejidad de la prueba, la pluralidad de sujetos procesales, el tiempo transcurrido, las características y contexto del recurso. </w:t>
      </w:r>
    </w:p>
    <w:p w:rsidR="00C640EA" w:rsidRPr="00A726DA" w:rsidRDefault="00C640EA" w:rsidP="00376C57">
      <w:pPr>
        <w:pStyle w:val="Prrafodelista"/>
        <w:numPr>
          <w:ilvl w:val="0"/>
          <w:numId w:val="48"/>
        </w:numPr>
        <w:spacing w:line="360" w:lineRule="auto"/>
        <w:jc w:val="both"/>
        <w:rPr>
          <w:rFonts w:ascii="Palatino Linotype" w:hAnsi="Palatino Linotype"/>
          <w:sz w:val="22"/>
        </w:rPr>
      </w:pPr>
      <w:r w:rsidRPr="00A726DA">
        <w:rPr>
          <w:rFonts w:ascii="Palatino Linotype" w:hAnsi="Palatino Linotype"/>
          <w:sz w:val="22"/>
        </w:rPr>
        <w:t>Actividad Procesal del interesado. Acciones u omisiones del interesado.</w:t>
      </w:r>
    </w:p>
    <w:p w:rsidR="00C640EA" w:rsidRPr="00A726DA" w:rsidRDefault="00C640EA" w:rsidP="00376C57">
      <w:pPr>
        <w:pStyle w:val="Prrafodelista"/>
        <w:numPr>
          <w:ilvl w:val="0"/>
          <w:numId w:val="48"/>
        </w:numPr>
        <w:spacing w:line="360" w:lineRule="auto"/>
        <w:jc w:val="both"/>
        <w:rPr>
          <w:rFonts w:ascii="Palatino Linotype" w:hAnsi="Palatino Linotype"/>
          <w:sz w:val="22"/>
        </w:rPr>
      </w:pPr>
      <w:r w:rsidRPr="00A726DA">
        <w:rPr>
          <w:rFonts w:ascii="Palatino Linotype" w:hAnsi="Palatino Linotype"/>
          <w:sz w:val="22"/>
        </w:rPr>
        <w:t>Conducta de la Autoridad: Las Acciones u omisiones realizadas en el procedimiento. Así como si la autoridad actuó con la debida diligencia.</w:t>
      </w:r>
    </w:p>
    <w:p w:rsidR="00C640EA" w:rsidRPr="00A726DA" w:rsidRDefault="00C640EA" w:rsidP="00376C57">
      <w:pPr>
        <w:spacing w:line="360" w:lineRule="auto"/>
        <w:ind w:left="851" w:hanging="284"/>
        <w:jc w:val="both"/>
        <w:rPr>
          <w:rFonts w:ascii="Palatino Linotype" w:hAnsi="Palatino Linotype"/>
          <w:sz w:val="22"/>
        </w:rPr>
      </w:pPr>
      <w:r w:rsidRPr="00A726DA">
        <w:rPr>
          <w:rFonts w:ascii="Palatino Linotype" w:hAnsi="Palatino Linotype"/>
          <w:sz w:val="22"/>
        </w:rPr>
        <w:t>d) La afectación generada en la situación jurídica de la persona involucrada en el proceso: Violación a sus derechos humanos.</w:t>
      </w:r>
    </w:p>
    <w:p w:rsidR="00C640EA" w:rsidRPr="00A726DA" w:rsidRDefault="00C640EA" w:rsidP="00376C57">
      <w:pPr>
        <w:spacing w:line="360" w:lineRule="auto"/>
        <w:ind w:left="851" w:hanging="284"/>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rsidR="00C640EA" w:rsidRPr="00A726DA" w:rsidRDefault="00C640EA" w:rsidP="00376C57">
      <w:pPr>
        <w:pStyle w:val="Prrafodelista"/>
        <w:spacing w:line="360" w:lineRule="auto"/>
        <w:ind w:left="0"/>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b/>
        </w:rPr>
      </w:pPr>
      <w:r w:rsidRPr="00A726DA">
        <w:rPr>
          <w:rFonts w:ascii="Palatino Linotype" w:hAnsi="Palatino Linotype"/>
        </w:rPr>
        <w:t xml:space="preserve">Argumento que encuentra sustento en la jurisprudencia P./J. 32/92 emitida por el Pleno de la Suprema Corte de Justicia de la Nación de rubro </w:t>
      </w:r>
      <w:r w:rsidRPr="00A726DA">
        <w:rPr>
          <w:rFonts w:ascii="Palatino Linotype" w:hAnsi="Palatino Linotype"/>
          <w:i/>
        </w:rPr>
        <w:t xml:space="preserve">“TÉRMINOS PROCESALES. PARA DETERMINAR SI UN FUNCIONARIO JUDICIAL ACTUÓ </w:t>
      </w:r>
      <w:r w:rsidRPr="00A726DA">
        <w:rPr>
          <w:rFonts w:ascii="Palatino Linotype" w:hAnsi="Palatino Linotype"/>
        </w:rPr>
        <w:t>INDEBIDAMENTE</w:t>
      </w:r>
      <w:r w:rsidRPr="00A726DA">
        <w:rPr>
          <w:rFonts w:ascii="Palatino Linotype" w:hAnsi="Palatino Linotype"/>
          <w:i/>
        </w:rPr>
        <w:t xml:space="preserve"> POR NO RESPETARLOS SE DEBE ATENDER AL PRESUPUESTO QUE CONSIDERÓ EL LEGISLADOR AL FIJARLOS Y LAS CARACTERÍSTICAS DEL CASO.”</w:t>
      </w:r>
      <w:r w:rsidRPr="00A726DA">
        <w:rPr>
          <w:rFonts w:ascii="Palatino Linotype" w:hAnsi="Palatino Linotype"/>
        </w:rPr>
        <w:t>, visible en la Gaceta del Seminario Judicial de la Federación con el registro digital 205635.</w:t>
      </w:r>
    </w:p>
    <w:p w:rsidR="00C640EA" w:rsidRPr="00A726DA" w:rsidRDefault="00C640EA" w:rsidP="00376C57">
      <w:pPr>
        <w:spacing w:line="360" w:lineRule="auto"/>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w:t>
      </w:r>
      <w:r w:rsidRPr="00A726DA">
        <w:rPr>
          <w:rFonts w:ascii="Palatino Linotype" w:hAnsi="Palatino Linotype"/>
        </w:rPr>
        <w:lastRenderedPageBreak/>
        <w:t>desahogadas por las partes; lo que impide la tramitación de los recursos dentro de los términos legales previamente establecidos por la Ley, por tratarse de causas de fuerza mayor.</w:t>
      </w:r>
    </w:p>
    <w:p w:rsidR="00C640EA" w:rsidRPr="00A726DA" w:rsidRDefault="00C640EA" w:rsidP="00376C57">
      <w:pPr>
        <w:pStyle w:val="Prrafodelista"/>
        <w:spacing w:line="360" w:lineRule="auto"/>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rsidR="00C640EA" w:rsidRPr="00A726DA" w:rsidRDefault="00C640EA" w:rsidP="00376C57">
      <w:pPr>
        <w:spacing w:line="360" w:lineRule="auto"/>
        <w:jc w:val="both"/>
        <w:rPr>
          <w:rFonts w:ascii="Palatino Linotype" w:hAnsi="Palatino Linotype"/>
        </w:rPr>
      </w:pPr>
    </w:p>
    <w:p w:rsidR="00C640EA" w:rsidRPr="00A726DA" w:rsidRDefault="00C640EA"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rsidR="00C640EA" w:rsidRPr="00A726DA" w:rsidRDefault="00C640EA" w:rsidP="00376C57">
      <w:pPr>
        <w:spacing w:line="360" w:lineRule="auto"/>
        <w:ind w:left="425" w:right="476"/>
        <w:jc w:val="both"/>
        <w:rPr>
          <w:rFonts w:ascii="Palatino Linotype" w:hAnsi="Palatino Linotype"/>
          <w:sz w:val="22"/>
        </w:rPr>
      </w:pPr>
      <w:r w:rsidRPr="00A726DA">
        <w:rPr>
          <w:rFonts w:ascii="Palatino Linotype" w:hAnsi="Palatino Linotype"/>
          <w:sz w:val="22"/>
        </w:rPr>
        <w:t xml:space="preserve"> </w:t>
      </w:r>
      <w:r w:rsidRPr="00A726DA">
        <w:rPr>
          <w:rFonts w:ascii="Palatino Linotype" w:hAnsi="Palatino Linotype"/>
          <w:i/>
          <w:sz w:val="22"/>
        </w:rPr>
        <w:t>“PLAZO RAZONABLE PARA RESOLVER. DIMENSIÓN Y EFECTOS DE ESTE CONCEPTO CUANDO SE ADUCE EXCESIVA CARGA DE TRABAJO.”</w:t>
      </w:r>
      <w:r w:rsidRPr="00A726DA">
        <w:rPr>
          <w:rFonts w:ascii="Palatino Linotype" w:hAnsi="Palatino Linotype"/>
          <w:sz w:val="22"/>
        </w:rPr>
        <w:t xml:space="preserve"> consultable en el Seminario Judicial de la Federación y su gaceta, con el registro digital 2002351.</w:t>
      </w:r>
    </w:p>
    <w:p w:rsidR="00C640EA" w:rsidRPr="00A726DA" w:rsidRDefault="00C640EA" w:rsidP="00376C57">
      <w:pPr>
        <w:spacing w:line="360" w:lineRule="auto"/>
        <w:ind w:left="425" w:right="476"/>
        <w:jc w:val="both"/>
        <w:rPr>
          <w:rFonts w:ascii="Palatino Linotype" w:hAnsi="Palatino Linotype"/>
          <w:b/>
          <w:sz w:val="22"/>
        </w:rPr>
      </w:pPr>
    </w:p>
    <w:p w:rsidR="00C640EA" w:rsidRPr="00A726DA" w:rsidRDefault="00C640EA" w:rsidP="00376C57">
      <w:pPr>
        <w:spacing w:line="360" w:lineRule="auto"/>
        <w:ind w:left="425" w:right="476"/>
        <w:jc w:val="both"/>
        <w:rPr>
          <w:rFonts w:ascii="Palatino Linotype" w:hAnsi="Palatino Linotype"/>
          <w:sz w:val="22"/>
        </w:rPr>
      </w:pPr>
      <w:r w:rsidRPr="00A726DA">
        <w:rPr>
          <w:rFonts w:ascii="Palatino Linotype" w:hAnsi="Palatino Linotype"/>
          <w:i/>
          <w:sz w:val="22"/>
        </w:rPr>
        <w:t>“PLAZO RAZONABLE PARA RESOLVER. CONCEPTO Y ELEMENTOS QUE LO INTEGRAN A LA LUZ DEL DERECHO INTERNACIONAL DE LOS DERECHOS HUMANOS.”</w:t>
      </w:r>
      <w:r w:rsidRPr="00A726DA">
        <w:rPr>
          <w:rFonts w:ascii="Palatino Linotype" w:hAnsi="Palatino Linotype"/>
          <w:sz w:val="22"/>
        </w:rPr>
        <w:t>, visible en el Seminario Judicial de la Federación y su gaceta, con el registro digital 2002350.”</w:t>
      </w:r>
    </w:p>
    <w:p w:rsidR="00423410" w:rsidRPr="00A726DA" w:rsidRDefault="00423410" w:rsidP="00376C57">
      <w:pPr>
        <w:spacing w:line="360" w:lineRule="auto"/>
        <w:rPr>
          <w:rFonts w:ascii="Palatino Linotype" w:hAnsi="Palatino Linotype"/>
          <w:color w:val="000000" w:themeColor="text1"/>
        </w:rPr>
      </w:pPr>
    </w:p>
    <w:p w:rsidR="00A56791" w:rsidRPr="00A726DA" w:rsidRDefault="007601B1" w:rsidP="00376C57">
      <w:pPr>
        <w:pStyle w:val="Prrafodelista"/>
        <w:numPr>
          <w:ilvl w:val="0"/>
          <w:numId w:val="15"/>
        </w:numPr>
        <w:spacing w:line="360" w:lineRule="auto"/>
        <w:ind w:left="0" w:firstLine="0"/>
        <w:contextualSpacing w:val="0"/>
        <w:jc w:val="both"/>
        <w:rPr>
          <w:rFonts w:ascii="Palatino Linotype" w:hAnsi="Palatino Linotype"/>
          <w:b/>
          <w:color w:val="000000" w:themeColor="text1"/>
        </w:rPr>
      </w:pPr>
      <w:r w:rsidRPr="00A726DA">
        <w:rPr>
          <w:rFonts w:ascii="Palatino Linotype" w:hAnsi="Palatino Linotype"/>
          <w:color w:val="000000" w:themeColor="text1"/>
        </w:rPr>
        <w:lastRenderedPageBreak/>
        <w:t xml:space="preserve">Finalmente </w:t>
      </w:r>
      <w:r w:rsidR="00D367B4" w:rsidRPr="00A726DA">
        <w:rPr>
          <w:rFonts w:ascii="Palatino Linotype" w:hAnsi="Palatino Linotype"/>
          <w:color w:val="000000" w:themeColor="text1"/>
        </w:rPr>
        <w:t xml:space="preserve">mediante acuerdo de día </w:t>
      </w:r>
      <w:r w:rsidR="00E730F7" w:rsidRPr="00A726DA">
        <w:rPr>
          <w:rFonts w:ascii="Palatino Linotype" w:hAnsi="Palatino Linotype"/>
          <w:color w:val="000000" w:themeColor="text1"/>
        </w:rPr>
        <w:t>veinti</w:t>
      </w:r>
      <w:r w:rsidR="001F458A" w:rsidRPr="00A726DA">
        <w:rPr>
          <w:rFonts w:ascii="Palatino Linotype" w:hAnsi="Palatino Linotype"/>
          <w:color w:val="000000" w:themeColor="text1"/>
        </w:rPr>
        <w:t>tré</w:t>
      </w:r>
      <w:r w:rsidR="00E730F7" w:rsidRPr="00A726DA">
        <w:rPr>
          <w:rFonts w:ascii="Palatino Linotype" w:hAnsi="Palatino Linotype"/>
          <w:color w:val="000000" w:themeColor="text1"/>
        </w:rPr>
        <w:t>s</w:t>
      </w:r>
      <w:r w:rsidR="00C640EA" w:rsidRPr="00A726DA">
        <w:rPr>
          <w:rFonts w:ascii="Palatino Linotype" w:hAnsi="Palatino Linotype"/>
          <w:color w:val="000000" w:themeColor="text1"/>
        </w:rPr>
        <w:t xml:space="preserve"> </w:t>
      </w:r>
      <w:r w:rsidR="006313B5" w:rsidRPr="00A726DA">
        <w:rPr>
          <w:rFonts w:ascii="Palatino Linotype" w:hAnsi="Palatino Linotype"/>
          <w:color w:val="000000" w:themeColor="text1"/>
        </w:rPr>
        <w:t xml:space="preserve">de </w:t>
      </w:r>
      <w:r w:rsidR="00E730F7" w:rsidRPr="00A726DA">
        <w:rPr>
          <w:rFonts w:ascii="Palatino Linotype" w:hAnsi="Palatino Linotype"/>
          <w:color w:val="000000" w:themeColor="text1"/>
        </w:rPr>
        <w:t>noviem</w:t>
      </w:r>
      <w:r w:rsidR="006313B5" w:rsidRPr="00A726DA">
        <w:rPr>
          <w:rFonts w:ascii="Palatino Linotype" w:hAnsi="Palatino Linotype"/>
          <w:color w:val="000000" w:themeColor="text1"/>
        </w:rPr>
        <w:t>bre del año en curso, se</w:t>
      </w:r>
      <w:r w:rsidR="0001674C" w:rsidRPr="00A726DA">
        <w:rPr>
          <w:rFonts w:ascii="Palatino Linotype" w:hAnsi="Palatino Linotype"/>
          <w:color w:val="000000" w:themeColor="text1"/>
        </w:rPr>
        <w:t xml:space="preserve"> d</w:t>
      </w:r>
      <w:r w:rsidR="006672E1" w:rsidRPr="00A726DA">
        <w:rPr>
          <w:rFonts w:ascii="Palatino Linotype" w:hAnsi="Palatino Linotype"/>
          <w:color w:val="000000" w:themeColor="text1"/>
        </w:rPr>
        <w:t>ecretó el cierre de instrucción</w:t>
      </w:r>
      <w:r w:rsidR="0001674C" w:rsidRPr="00A726DA">
        <w:rPr>
          <w:rFonts w:ascii="Palatino Linotype" w:hAnsi="Palatino Linotype"/>
          <w:color w:val="000000" w:themeColor="text1"/>
        </w:rPr>
        <w:t xml:space="preserve">, </w:t>
      </w:r>
      <w:r w:rsidR="009F09BC" w:rsidRPr="00A726DA">
        <w:rPr>
          <w:rFonts w:ascii="Palatino Linotype" w:hAnsi="Palatino Linotype" w:cs="Arial"/>
          <w:color w:val="000000" w:themeColor="text1"/>
        </w:rPr>
        <w:t>por lo que no habie</w:t>
      </w:r>
      <w:r w:rsidR="00C640EA" w:rsidRPr="00A726DA">
        <w:rPr>
          <w:rFonts w:ascii="Palatino Linotype" w:hAnsi="Palatino Linotype" w:cs="Arial"/>
          <w:color w:val="000000" w:themeColor="text1"/>
        </w:rPr>
        <w:t>ndo más que hacer constar, y-</w:t>
      </w:r>
      <w:r w:rsidR="00E730F7" w:rsidRPr="00A726DA">
        <w:rPr>
          <w:rFonts w:ascii="Palatino Linotype" w:hAnsi="Palatino Linotype" w:cs="Arial"/>
          <w:color w:val="000000" w:themeColor="text1"/>
        </w:rPr>
        <w:t>------------------------------------------------------------------------------------------------</w:t>
      </w:r>
    </w:p>
    <w:p w:rsidR="007601B1" w:rsidRPr="00A726DA" w:rsidRDefault="007601B1" w:rsidP="00376C57">
      <w:pPr>
        <w:spacing w:line="360" w:lineRule="auto"/>
        <w:jc w:val="both"/>
        <w:rPr>
          <w:rFonts w:ascii="Palatino Linotype" w:hAnsi="Palatino Linotype"/>
          <w:b/>
          <w:color w:val="000000" w:themeColor="text1"/>
        </w:rPr>
      </w:pPr>
    </w:p>
    <w:p w:rsidR="009F09BC" w:rsidRPr="00A726DA" w:rsidRDefault="009F09BC" w:rsidP="00376C57">
      <w:pPr>
        <w:pStyle w:val="Ttulo1"/>
        <w:spacing w:before="0" w:line="360" w:lineRule="auto"/>
        <w:jc w:val="center"/>
        <w:rPr>
          <w:rFonts w:ascii="Palatino Linotype" w:hAnsi="Palatino Linotype"/>
          <w:b/>
          <w:color w:val="000000" w:themeColor="text1"/>
          <w:sz w:val="24"/>
          <w:szCs w:val="24"/>
        </w:rPr>
      </w:pPr>
      <w:bookmarkStart w:id="134" w:name="_Toc491791302"/>
      <w:bookmarkStart w:id="135" w:name="_Toc83128578"/>
      <w:r w:rsidRPr="00A726DA">
        <w:rPr>
          <w:rFonts w:ascii="Palatino Linotype" w:hAnsi="Palatino Linotype"/>
          <w:b/>
          <w:color w:val="000000" w:themeColor="text1"/>
          <w:sz w:val="24"/>
          <w:szCs w:val="24"/>
        </w:rPr>
        <w:t>CONSIDERANDO</w:t>
      </w:r>
      <w:bookmarkEnd w:id="134"/>
      <w:bookmarkEnd w:id="135"/>
    </w:p>
    <w:p w:rsidR="009F09BC" w:rsidRPr="00A726DA" w:rsidRDefault="009F09BC" w:rsidP="00376C57">
      <w:pPr>
        <w:spacing w:line="360" w:lineRule="auto"/>
        <w:rPr>
          <w:rFonts w:ascii="Palatino Linotype" w:hAnsi="Palatino Linotype"/>
          <w:color w:val="000000" w:themeColor="text1"/>
          <w:lang w:val="es-MX" w:eastAsia="en-US"/>
        </w:rPr>
      </w:pPr>
    </w:p>
    <w:p w:rsidR="009F09BC" w:rsidRPr="00A726DA" w:rsidRDefault="009F09BC" w:rsidP="00376C57">
      <w:pPr>
        <w:pStyle w:val="Ttulo2"/>
        <w:spacing w:before="0" w:line="360" w:lineRule="auto"/>
        <w:jc w:val="both"/>
        <w:rPr>
          <w:rFonts w:ascii="Palatino Linotype" w:hAnsi="Palatino Linotype"/>
          <w:b/>
          <w:color w:val="000000" w:themeColor="text1"/>
          <w:sz w:val="24"/>
          <w:szCs w:val="24"/>
        </w:rPr>
      </w:pPr>
      <w:bookmarkStart w:id="136" w:name="_Toc491791303"/>
      <w:bookmarkStart w:id="137" w:name="_Toc83128579"/>
      <w:r w:rsidRPr="00A726DA">
        <w:rPr>
          <w:rFonts w:ascii="Palatino Linotype" w:hAnsi="Palatino Linotype"/>
          <w:b/>
          <w:color w:val="000000" w:themeColor="text1"/>
          <w:sz w:val="24"/>
          <w:szCs w:val="24"/>
        </w:rPr>
        <w:t>PRIMERO. De la competencia</w:t>
      </w:r>
      <w:bookmarkEnd w:id="136"/>
      <w:bookmarkEnd w:id="137"/>
    </w:p>
    <w:p w:rsidR="00353F1D"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A726DA">
        <w:rPr>
          <w:rFonts w:ascii="Palatino Linotype" w:eastAsia="Calibri" w:hAnsi="Palatino Linotype" w:cs="Arial"/>
          <w:color w:val="000000" w:themeColor="text1"/>
        </w:rPr>
        <w:t>fracción</w:t>
      </w:r>
      <w:r w:rsidRPr="00A726DA">
        <w:rPr>
          <w:rFonts w:ascii="Palatino Linotype" w:hAnsi="Palatino Linotype"/>
        </w:rPr>
        <w:t xml:space="preserve"> IV de la Constitución Política de los Estados Unidos Mexicanos; 5, párrafos trigésimo segundo, trigésimo tercero y trigésimo cuarto,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rsidR="009F09BC" w:rsidRPr="00A726DA" w:rsidRDefault="009F09BC" w:rsidP="00376C57">
      <w:pPr>
        <w:pStyle w:val="Prrafodelista"/>
        <w:spacing w:line="360" w:lineRule="auto"/>
        <w:ind w:left="0"/>
        <w:jc w:val="both"/>
        <w:rPr>
          <w:rFonts w:ascii="Palatino Linotype" w:eastAsia="Calibri" w:hAnsi="Palatino Linotype" w:cs="Times New Roman"/>
          <w:b/>
          <w:color w:val="000000" w:themeColor="text1"/>
          <w:lang w:val="es-ES"/>
        </w:rPr>
      </w:pPr>
    </w:p>
    <w:p w:rsidR="009F09BC" w:rsidRPr="00A726DA" w:rsidRDefault="009F09BC" w:rsidP="00376C57">
      <w:pPr>
        <w:pStyle w:val="Ttulo2"/>
        <w:spacing w:before="0" w:line="360" w:lineRule="auto"/>
        <w:jc w:val="both"/>
        <w:rPr>
          <w:rFonts w:ascii="Palatino Linotype" w:hAnsi="Palatino Linotype"/>
          <w:b/>
          <w:color w:val="000000" w:themeColor="text1"/>
          <w:sz w:val="24"/>
          <w:szCs w:val="24"/>
        </w:rPr>
      </w:pPr>
      <w:bookmarkStart w:id="138" w:name="_Toc491791304"/>
      <w:bookmarkStart w:id="139" w:name="_Toc83128580"/>
      <w:r w:rsidRPr="00A726DA">
        <w:rPr>
          <w:rFonts w:ascii="Palatino Linotype" w:hAnsi="Palatino Linotype"/>
          <w:b/>
          <w:color w:val="000000" w:themeColor="text1"/>
          <w:sz w:val="24"/>
          <w:szCs w:val="24"/>
        </w:rPr>
        <w:t>SEGUNDO. De la oportunidad y procedencia.</w:t>
      </w:r>
      <w:bookmarkEnd w:id="138"/>
      <w:bookmarkEnd w:id="139"/>
    </w:p>
    <w:p w:rsidR="009F09BC" w:rsidRPr="00A726DA" w:rsidRDefault="00425842"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eastAsia="Calibri" w:hAnsi="Palatino Linotype" w:cs="Arial"/>
          <w:color w:val="000000" w:themeColor="text1"/>
        </w:rPr>
        <w:t>El</w:t>
      </w:r>
      <w:r w:rsidR="00AD63B4" w:rsidRPr="00A726DA">
        <w:rPr>
          <w:rFonts w:ascii="Palatino Linotype" w:eastAsia="Calibri" w:hAnsi="Palatino Linotype" w:cs="Arial"/>
          <w:color w:val="000000" w:themeColor="text1"/>
        </w:rPr>
        <w:t xml:space="preserve"> </w:t>
      </w:r>
      <w:r w:rsidR="009F09BC" w:rsidRPr="00A726DA">
        <w:rPr>
          <w:rFonts w:ascii="Palatino Linotype" w:eastAsia="Calibri" w:hAnsi="Palatino Linotype" w:cs="Arial"/>
          <w:color w:val="000000" w:themeColor="text1"/>
        </w:rPr>
        <w:t xml:space="preserve">medio de impugnación fue presentado a través del </w:t>
      </w:r>
      <w:r w:rsidR="009F09BC" w:rsidRPr="00A726DA">
        <w:rPr>
          <w:rFonts w:ascii="Palatino Linotype" w:eastAsia="Calibri" w:hAnsi="Palatino Linotype" w:cs="Arial"/>
          <w:b/>
          <w:color w:val="000000" w:themeColor="text1"/>
        </w:rPr>
        <w:t>SAIMEX,</w:t>
      </w:r>
      <w:r w:rsidR="009F09BC" w:rsidRPr="00A726DA">
        <w:rPr>
          <w:rFonts w:ascii="Palatino Linotype" w:eastAsia="Calibri" w:hAnsi="Palatino Linotype" w:cs="Arial"/>
          <w:color w:val="000000" w:themeColor="text1"/>
        </w:rPr>
        <w:t xml:space="preserve"> en el formato previamente aprobado para tal efecto y dentro del plazo legal de quince días hábiles </w:t>
      </w:r>
      <w:r w:rsidR="009F09BC" w:rsidRPr="00A726DA">
        <w:rPr>
          <w:rFonts w:ascii="Palatino Linotype" w:eastAsia="Calibri" w:hAnsi="Palatino Linotype" w:cs="Arial"/>
          <w:color w:val="000000" w:themeColor="text1"/>
        </w:rPr>
        <w:lastRenderedPageBreak/>
        <w:t xml:space="preserve">otorgados; para el caso en particular es de señalar que el </w:t>
      </w:r>
      <w:r w:rsidR="009F09BC" w:rsidRPr="00A726DA">
        <w:rPr>
          <w:rFonts w:ascii="Palatino Linotype" w:eastAsia="Calibri" w:hAnsi="Palatino Linotype" w:cs="Arial"/>
          <w:b/>
          <w:color w:val="000000" w:themeColor="text1"/>
        </w:rPr>
        <w:t>SUJETO OBLIGADO</w:t>
      </w:r>
      <w:r w:rsidRPr="00A726DA">
        <w:rPr>
          <w:rFonts w:ascii="Palatino Linotype" w:eastAsia="Calibri" w:hAnsi="Palatino Linotype" w:cs="Arial"/>
          <w:color w:val="000000" w:themeColor="text1"/>
        </w:rPr>
        <w:t xml:space="preserve"> entregó su</w:t>
      </w:r>
      <w:r w:rsidR="009F09BC" w:rsidRPr="00A726DA">
        <w:rPr>
          <w:rFonts w:ascii="Palatino Linotype" w:eastAsia="Calibri" w:hAnsi="Palatino Linotype" w:cs="Arial"/>
          <w:color w:val="000000" w:themeColor="text1"/>
        </w:rPr>
        <w:t xml:space="preserve"> respuesta </w:t>
      </w:r>
      <w:r w:rsidRPr="00A726DA">
        <w:rPr>
          <w:rFonts w:ascii="Palatino Linotype" w:eastAsia="Calibri" w:hAnsi="Palatino Linotype" w:cs="Arial"/>
          <w:color w:val="000000" w:themeColor="text1"/>
        </w:rPr>
        <w:t>e</w:t>
      </w:r>
      <w:r w:rsidR="00E55966" w:rsidRPr="00A726DA">
        <w:rPr>
          <w:rFonts w:ascii="Palatino Linotype" w:eastAsia="Calibri" w:hAnsi="Palatino Linotype" w:cs="Arial"/>
          <w:color w:val="000000" w:themeColor="text1"/>
        </w:rPr>
        <w:t xml:space="preserve">l </w:t>
      </w:r>
      <w:r w:rsidR="00E730F7" w:rsidRPr="00A726DA">
        <w:rPr>
          <w:rFonts w:ascii="Palatino Linotype" w:eastAsia="Calibri" w:hAnsi="Palatino Linotype" w:cs="Arial"/>
          <w:color w:val="000000" w:themeColor="text1"/>
        </w:rPr>
        <w:t>veintinueve</w:t>
      </w:r>
      <w:r w:rsidR="00C640EA" w:rsidRPr="00A726DA">
        <w:rPr>
          <w:rFonts w:ascii="Palatino Linotype" w:eastAsia="Calibri" w:hAnsi="Palatino Linotype" w:cs="Arial"/>
          <w:color w:val="000000" w:themeColor="text1"/>
        </w:rPr>
        <w:t xml:space="preserve"> de septiembre</w:t>
      </w:r>
      <w:r w:rsidRPr="00A726DA">
        <w:rPr>
          <w:rFonts w:ascii="Palatino Linotype" w:eastAsia="Calibri" w:hAnsi="Palatino Linotype" w:cs="Arial"/>
          <w:color w:val="000000" w:themeColor="text1"/>
        </w:rPr>
        <w:t xml:space="preserve"> de dos mil </w:t>
      </w:r>
      <w:r w:rsidR="004D465B" w:rsidRPr="00A726DA">
        <w:rPr>
          <w:rFonts w:ascii="Palatino Linotype" w:eastAsia="Calibri" w:hAnsi="Palatino Linotype" w:cs="Arial"/>
          <w:color w:val="000000" w:themeColor="text1"/>
        </w:rPr>
        <w:t>veintitrés</w:t>
      </w:r>
      <w:r w:rsidR="009F09BC" w:rsidRPr="00A726DA">
        <w:rPr>
          <w:rFonts w:ascii="Palatino Linotype" w:eastAsia="Calibri" w:hAnsi="Palatino Linotype" w:cs="Arial"/>
          <w:color w:val="000000" w:themeColor="text1"/>
        </w:rPr>
        <w:t xml:space="preserve">, </w:t>
      </w:r>
      <w:r w:rsidR="009F09BC" w:rsidRPr="00A726DA">
        <w:rPr>
          <w:rFonts w:ascii="Palatino Linotype" w:hAnsi="Palatino Linotype" w:cs="Arial"/>
          <w:color w:val="000000" w:themeColor="text1"/>
        </w:rPr>
        <w:t xml:space="preserve">de tal forma que </w:t>
      </w:r>
      <w:r w:rsidRPr="00A726DA">
        <w:rPr>
          <w:rFonts w:ascii="Palatino Linotype" w:hAnsi="Palatino Linotype" w:cs="Arial"/>
          <w:color w:val="000000" w:themeColor="text1"/>
        </w:rPr>
        <w:t>e</w:t>
      </w:r>
      <w:r w:rsidR="009F09BC" w:rsidRPr="00A726DA">
        <w:rPr>
          <w:rFonts w:ascii="Palatino Linotype" w:hAnsi="Palatino Linotype" w:cs="Arial"/>
          <w:color w:val="000000" w:themeColor="text1"/>
        </w:rPr>
        <w:t xml:space="preserve">l plazo para interponer </w:t>
      </w:r>
      <w:r w:rsidRPr="00A726DA">
        <w:rPr>
          <w:rFonts w:ascii="Palatino Linotype" w:hAnsi="Palatino Linotype" w:cs="Arial"/>
          <w:color w:val="000000" w:themeColor="text1"/>
        </w:rPr>
        <w:t>e</w:t>
      </w:r>
      <w:r w:rsidR="009F09BC" w:rsidRPr="00A726DA">
        <w:rPr>
          <w:rFonts w:ascii="Palatino Linotype" w:hAnsi="Palatino Linotype" w:cs="Arial"/>
          <w:color w:val="000000" w:themeColor="text1"/>
        </w:rPr>
        <w:t xml:space="preserve">l recurso de revisión </w:t>
      </w:r>
      <w:r w:rsidRPr="00A726DA">
        <w:rPr>
          <w:rFonts w:ascii="Palatino Linotype" w:hAnsi="Palatino Linotype" w:cs="Arial"/>
          <w:color w:val="000000" w:themeColor="text1"/>
        </w:rPr>
        <w:t>transcurrió</w:t>
      </w:r>
      <w:r w:rsidR="009F09BC" w:rsidRPr="00A726DA">
        <w:rPr>
          <w:rFonts w:ascii="Palatino Linotype" w:hAnsi="Palatino Linotype" w:cs="Arial"/>
          <w:color w:val="000000" w:themeColor="text1"/>
        </w:rPr>
        <w:t xml:space="preserve"> del día </w:t>
      </w:r>
      <w:r w:rsidR="00E730F7" w:rsidRPr="00A726DA">
        <w:rPr>
          <w:rFonts w:ascii="Palatino Linotype" w:hAnsi="Palatino Linotype" w:cs="Arial"/>
          <w:color w:val="000000" w:themeColor="text1"/>
        </w:rPr>
        <w:t>dos al veinte</w:t>
      </w:r>
      <w:r w:rsidR="00EB1CE2" w:rsidRPr="00A726DA">
        <w:rPr>
          <w:rFonts w:ascii="Palatino Linotype" w:hAnsi="Palatino Linotype" w:cs="Arial"/>
          <w:color w:val="000000" w:themeColor="text1"/>
        </w:rPr>
        <w:t xml:space="preserve"> de </w:t>
      </w:r>
      <w:r w:rsidR="00E730F7" w:rsidRPr="00A726DA">
        <w:rPr>
          <w:rFonts w:ascii="Palatino Linotype" w:hAnsi="Palatino Linotype" w:cs="Arial"/>
          <w:color w:val="000000" w:themeColor="text1"/>
        </w:rPr>
        <w:t>octu</w:t>
      </w:r>
      <w:r w:rsidR="00C640EA" w:rsidRPr="00A726DA">
        <w:rPr>
          <w:rFonts w:ascii="Palatino Linotype" w:hAnsi="Palatino Linotype" w:cs="Arial"/>
          <w:color w:val="000000" w:themeColor="text1"/>
        </w:rPr>
        <w:t>bre</w:t>
      </w:r>
      <w:r w:rsidR="00EB1CE2" w:rsidRPr="00A726DA">
        <w:rPr>
          <w:rFonts w:ascii="Palatino Linotype" w:hAnsi="Palatino Linotype" w:cs="Arial"/>
          <w:color w:val="000000" w:themeColor="text1"/>
        </w:rPr>
        <w:t xml:space="preserve"> </w:t>
      </w:r>
      <w:r w:rsidR="0001674C" w:rsidRPr="00A726DA">
        <w:rPr>
          <w:rFonts w:ascii="Palatino Linotype" w:hAnsi="Palatino Linotype" w:cs="Arial"/>
          <w:color w:val="000000" w:themeColor="text1"/>
        </w:rPr>
        <w:t xml:space="preserve">de dos mil </w:t>
      </w:r>
      <w:r w:rsidR="004D465B" w:rsidRPr="00A726DA">
        <w:rPr>
          <w:rFonts w:ascii="Palatino Linotype" w:hAnsi="Palatino Linotype" w:cs="Arial"/>
          <w:color w:val="000000" w:themeColor="text1"/>
        </w:rPr>
        <w:t>veintitrés</w:t>
      </w:r>
      <w:r w:rsidR="0001674C" w:rsidRPr="00A726DA">
        <w:rPr>
          <w:rFonts w:ascii="Palatino Linotype" w:hAnsi="Palatino Linotype" w:cs="Arial"/>
          <w:color w:val="000000" w:themeColor="text1"/>
        </w:rPr>
        <w:t>; e</w:t>
      </w:r>
      <w:r w:rsidR="009F09BC" w:rsidRPr="00A726DA">
        <w:rPr>
          <w:rFonts w:ascii="Palatino Linotype" w:hAnsi="Palatino Linotype" w:cs="Arial"/>
          <w:color w:val="000000" w:themeColor="text1"/>
        </w:rPr>
        <w:t xml:space="preserve">n consecuencia, </w:t>
      </w:r>
      <w:r w:rsidR="00D5729F" w:rsidRPr="00A726DA">
        <w:rPr>
          <w:rFonts w:ascii="Palatino Linotype" w:hAnsi="Palatino Linotype" w:cs="Arial"/>
          <w:color w:val="000000" w:themeColor="text1"/>
        </w:rPr>
        <w:t>e</w:t>
      </w:r>
      <w:r w:rsidR="009F09BC" w:rsidRPr="00A726DA">
        <w:rPr>
          <w:rFonts w:ascii="Palatino Linotype" w:hAnsi="Palatino Linotype" w:cs="Arial"/>
          <w:color w:val="000000" w:themeColor="text1"/>
        </w:rPr>
        <w:t xml:space="preserve">l ahora </w:t>
      </w:r>
      <w:r w:rsidR="009F09BC" w:rsidRPr="00A726DA">
        <w:rPr>
          <w:rFonts w:ascii="Palatino Linotype" w:hAnsi="Palatino Linotype" w:cs="Arial"/>
          <w:b/>
          <w:color w:val="000000" w:themeColor="text1"/>
        </w:rPr>
        <w:t>RECURRENTE</w:t>
      </w:r>
      <w:r w:rsidR="009F09BC" w:rsidRPr="00A726DA">
        <w:rPr>
          <w:rFonts w:ascii="Palatino Linotype" w:hAnsi="Palatino Linotype" w:cs="Arial"/>
          <w:color w:val="000000" w:themeColor="text1"/>
        </w:rPr>
        <w:t xml:space="preserve"> presentó </w:t>
      </w:r>
      <w:r w:rsidR="00CA1063" w:rsidRPr="00A726DA">
        <w:rPr>
          <w:rFonts w:ascii="Palatino Linotype" w:hAnsi="Palatino Linotype" w:cs="Arial"/>
          <w:color w:val="000000" w:themeColor="text1"/>
        </w:rPr>
        <w:t xml:space="preserve">su inconformidad el día </w:t>
      </w:r>
      <w:r w:rsidR="00E730F7" w:rsidRPr="00A726DA">
        <w:rPr>
          <w:rFonts w:ascii="Palatino Linotype" w:hAnsi="Palatino Linotype" w:cs="Arial"/>
          <w:color w:val="000000" w:themeColor="text1"/>
        </w:rPr>
        <w:t>dos</w:t>
      </w:r>
      <w:r w:rsidR="006313B5" w:rsidRPr="00A726DA">
        <w:rPr>
          <w:rFonts w:ascii="Palatino Linotype" w:hAnsi="Palatino Linotype" w:cs="Arial"/>
          <w:color w:val="000000" w:themeColor="text1"/>
        </w:rPr>
        <w:t xml:space="preserve"> de </w:t>
      </w:r>
      <w:r w:rsidR="00E730F7" w:rsidRPr="00A726DA">
        <w:rPr>
          <w:rFonts w:ascii="Palatino Linotype" w:hAnsi="Palatino Linotype" w:cs="Arial"/>
          <w:color w:val="000000" w:themeColor="text1"/>
        </w:rPr>
        <w:t>octu</w:t>
      </w:r>
      <w:r w:rsidR="00C640EA" w:rsidRPr="00A726DA">
        <w:rPr>
          <w:rFonts w:ascii="Palatino Linotype" w:hAnsi="Palatino Linotype" w:cs="Arial"/>
          <w:color w:val="000000" w:themeColor="text1"/>
        </w:rPr>
        <w:t>bre</w:t>
      </w:r>
      <w:r w:rsidR="007142D6" w:rsidRPr="00A726DA">
        <w:rPr>
          <w:rFonts w:ascii="Palatino Linotype" w:hAnsi="Palatino Linotype" w:cs="Arial"/>
          <w:color w:val="000000" w:themeColor="text1"/>
        </w:rPr>
        <w:t xml:space="preserve"> de dos mil </w:t>
      </w:r>
      <w:r w:rsidR="004D465B" w:rsidRPr="00A726DA">
        <w:rPr>
          <w:rFonts w:ascii="Palatino Linotype" w:hAnsi="Palatino Linotype" w:cs="Arial"/>
          <w:color w:val="000000" w:themeColor="text1"/>
        </w:rPr>
        <w:t>veintitrés</w:t>
      </w:r>
      <w:r w:rsidR="009F09BC" w:rsidRPr="00A726DA">
        <w:rPr>
          <w:rFonts w:ascii="Palatino Linotype" w:hAnsi="Palatino Linotype" w:cs="Arial"/>
          <w:color w:val="000000" w:themeColor="text1"/>
        </w:rPr>
        <w:t xml:space="preserve">; </w:t>
      </w:r>
      <w:r w:rsidR="0062406B" w:rsidRPr="00A726DA">
        <w:rPr>
          <w:rFonts w:ascii="Palatino Linotype" w:hAnsi="Palatino Linotype" w:cs="Arial"/>
          <w:color w:val="000000" w:themeColor="text1"/>
        </w:rPr>
        <w:t xml:space="preserve">es decir </w:t>
      </w:r>
      <w:r w:rsidR="00F54259" w:rsidRPr="00A726DA">
        <w:rPr>
          <w:rFonts w:ascii="Palatino Linotype" w:hAnsi="Palatino Linotype" w:cs="Arial"/>
          <w:color w:val="000000" w:themeColor="text1"/>
        </w:rPr>
        <w:t>dentro</w:t>
      </w:r>
      <w:r w:rsidR="0082142B" w:rsidRPr="00A726DA">
        <w:rPr>
          <w:rFonts w:ascii="Palatino Linotype" w:hAnsi="Palatino Linotype" w:cs="Arial"/>
          <w:color w:val="000000" w:themeColor="text1"/>
        </w:rPr>
        <w:t xml:space="preserve"> d</w:t>
      </w:r>
      <w:r w:rsidR="009F09BC" w:rsidRPr="00A726DA">
        <w:rPr>
          <w:rFonts w:ascii="Palatino Linotype" w:hAnsi="Palatino Linotype" w:cs="Arial"/>
          <w:color w:val="000000" w:themeColor="text1"/>
        </w:rPr>
        <w:t>el lapso legalmente establecido para tal efecto.</w:t>
      </w:r>
    </w:p>
    <w:p w:rsidR="00194C78" w:rsidRPr="00A726DA" w:rsidRDefault="00194C78" w:rsidP="00376C57">
      <w:pPr>
        <w:pStyle w:val="Prrafodelista"/>
        <w:spacing w:line="360" w:lineRule="auto"/>
        <w:ind w:left="0"/>
        <w:jc w:val="both"/>
        <w:rPr>
          <w:rFonts w:ascii="Palatino Linotype" w:hAnsi="Palatino Linotype"/>
          <w:color w:val="000000" w:themeColor="text1"/>
        </w:rPr>
      </w:pPr>
    </w:p>
    <w:p w:rsidR="006313B5"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 xml:space="preserve">Por otro lado, de la revisión al expediente electrónico del SAIMEX se desprende que la </w:t>
      </w:r>
      <w:r w:rsidRPr="00A726DA">
        <w:rPr>
          <w:rFonts w:ascii="Palatino Linotype" w:eastAsia="Calibri" w:hAnsi="Palatino Linotype" w:cs="Arial"/>
          <w:color w:val="000000" w:themeColor="text1"/>
        </w:rPr>
        <w:t>parte</w:t>
      </w:r>
      <w:r w:rsidRPr="00A726DA">
        <w:rPr>
          <w:rFonts w:ascii="Palatino Linotype" w:hAnsi="Palatino Linotype"/>
          <w:color w:val="000000" w:themeColor="text1"/>
        </w:rPr>
        <w:t xml:space="preserv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rsidR="00060552" w:rsidRPr="00A726DA" w:rsidRDefault="00060552" w:rsidP="00376C57">
      <w:pPr>
        <w:pStyle w:val="Prrafodelista"/>
        <w:spacing w:line="360" w:lineRule="auto"/>
        <w:jc w:val="both"/>
        <w:rPr>
          <w:rFonts w:ascii="Palatino Linotype" w:hAnsi="Palatino Linotype"/>
          <w:color w:val="000000" w:themeColor="text1"/>
        </w:rPr>
      </w:pPr>
    </w:p>
    <w:p w:rsidR="006313B5"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 xml:space="preserve">Esto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w:t>
      </w:r>
      <w:r w:rsidRPr="00A726DA">
        <w:rPr>
          <w:rFonts w:ascii="Palatino Linotype" w:hAnsi="Palatino Linotype"/>
          <w:color w:val="000000" w:themeColor="text1"/>
        </w:rPr>
        <w:lastRenderedPageBreak/>
        <w:t>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rsidR="006313B5" w:rsidRPr="00A726DA" w:rsidRDefault="006313B5" w:rsidP="00376C57">
      <w:pPr>
        <w:pStyle w:val="Prrafodelista"/>
        <w:spacing w:line="360" w:lineRule="auto"/>
        <w:jc w:val="both"/>
        <w:rPr>
          <w:rFonts w:ascii="Palatino Linotype" w:hAnsi="Palatino Linotype"/>
          <w:color w:val="000000" w:themeColor="text1"/>
        </w:rPr>
      </w:pPr>
    </w:p>
    <w:p w:rsidR="006313B5"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E730F7" w:rsidRPr="00A726DA" w:rsidRDefault="00E730F7" w:rsidP="00376C57">
      <w:pPr>
        <w:pStyle w:val="Prrafodelista"/>
        <w:spacing w:line="360" w:lineRule="auto"/>
        <w:rPr>
          <w:rFonts w:ascii="Palatino Linotype" w:hAnsi="Palatino Linotype"/>
          <w:color w:val="000000" w:themeColor="text1"/>
        </w:rPr>
      </w:pPr>
    </w:p>
    <w:p w:rsidR="006313B5"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rsidR="006313B5" w:rsidRPr="00A726DA" w:rsidRDefault="006313B5" w:rsidP="00376C57">
      <w:pPr>
        <w:pStyle w:val="Prrafodelista"/>
        <w:spacing w:line="360" w:lineRule="auto"/>
        <w:jc w:val="both"/>
        <w:rPr>
          <w:rFonts w:ascii="Palatino Linotype" w:hAnsi="Palatino Linotype"/>
          <w:color w:val="000000" w:themeColor="text1"/>
        </w:rPr>
      </w:pPr>
    </w:p>
    <w:p w:rsidR="006313B5" w:rsidRPr="00A726DA" w:rsidRDefault="006313B5"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 xml:space="preserve">Por </w:t>
      </w:r>
      <w:r w:rsidR="00060552" w:rsidRPr="00A726DA">
        <w:rPr>
          <w:rFonts w:ascii="Palatino Linotype" w:hAnsi="Palatino Linotype"/>
          <w:color w:val="000000" w:themeColor="text1"/>
        </w:rPr>
        <w:t>lo que el nombre del solicitante</w:t>
      </w:r>
      <w:r w:rsidRPr="00A726DA">
        <w:rPr>
          <w:rFonts w:ascii="Palatino Linotype" w:hAnsi="Palatino Linotype"/>
          <w:color w:val="000000" w:themeColor="text1"/>
        </w:rPr>
        <w:t xml:space="preserve"> y recurrente no puede ser considerado un requisito indispensable de procedibilidad del recurso de revisión que nos ocupa, ya que el acceso a la información no está condicionado a acreditar algún interés ya sea </w:t>
      </w:r>
      <w:r w:rsidRPr="00A726DA">
        <w:rPr>
          <w:rFonts w:ascii="Palatino Linotype" w:hAnsi="Palatino Linotype"/>
          <w:color w:val="000000" w:themeColor="text1"/>
        </w:rPr>
        <w:lastRenderedPageBreak/>
        <w:t>jurídico o legítimo, máxime que es un elemento subsanable por este Órgano Resolutor.</w:t>
      </w:r>
    </w:p>
    <w:p w:rsidR="00EB1CE2" w:rsidRPr="00A726DA" w:rsidRDefault="00EB1CE2" w:rsidP="00376C57">
      <w:pPr>
        <w:pStyle w:val="Prrafodelista"/>
        <w:spacing w:line="360" w:lineRule="auto"/>
        <w:jc w:val="both"/>
        <w:rPr>
          <w:rFonts w:ascii="Palatino Linotype" w:eastAsia="Calibri" w:hAnsi="Palatino Linotype" w:cs="Arial"/>
          <w:color w:val="000000" w:themeColor="text1"/>
        </w:rPr>
      </w:pPr>
    </w:p>
    <w:p w:rsidR="009F09BC" w:rsidRPr="00A726DA" w:rsidRDefault="008E32EE"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eastAsia="Calibri" w:hAnsi="Palatino Linotype" w:cs="Arial"/>
          <w:color w:val="000000" w:themeColor="text1"/>
        </w:rPr>
        <w:t>Por último</w:t>
      </w:r>
      <w:r w:rsidR="009F09BC" w:rsidRPr="00A726DA">
        <w:rPr>
          <w:rFonts w:ascii="Palatino Linotype" w:eastAsia="Calibri" w:hAnsi="Palatino Linotype" w:cs="Arial"/>
          <w:color w:val="000000" w:themeColor="text1"/>
        </w:rPr>
        <w:t xml:space="preserve">, </w:t>
      </w:r>
      <w:r w:rsidR="00CF0D2B" w:rsidRPr="00A726DA">
        <w:rPr>
          <w:rFonts w:ascii="Palatino Linotype" w:eastAsia="Calibri" w:hAnsi="Palatino Linotype" w:cs="Arial"/>
          <w:color w:val="000000" w:themeColor="text1"/>
        </w:rPr>
        <w:t>e</w:t>
      </w:r>
      <w:r w:rsidR="009F09BC" w:rsidRPr="00A726DA">
        <w:rPr>
          <w:rFonts w:ascii="Palatino Linotype" w:eastAsia="Calibri" w:hAnsi="Palatino Linotype" w:cs="Arial"/>
          <w:color w:val="000000" w:themeColor="text1"/>
        </w:rPr>
        <w:t>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060552" w:rsidRPr="00A726DA" w:rsidRDefault="00060552" w:rsidP="00376C57">
      <w:pPr>
        <w:pStyle w:val="Prrafodelista"/>
        <w:spacing w:line="360" w:lineRule="auto"/>
        <w:jc w:val="both"/>
        <w:rPr>
          <w:rFonts w:ascii="Palatino Linotype" w:hAnsi="Palatino Linotype"/>
          <w:color w:val="000000" w:themeColor="text1"/>
        </w:rPr>
      </w:pPr>
    </w:p>
    <w:p w:rsidR="009F09BC" w:rsidRPr="00A726DA" w:rsidRDefault="009F09BC" w:rsidP="00376C57">
      <w:pPr>
        <w:pStyle w:val="Ttulo1"/>
        <w:spacing w:before="0" w:line="360" w:lineRule="auto"/>
        <w:jc w:val="both"/>
        <w:rPr>
          <w:rFonts w:ascii="Palatino Linotype" w:hAnsi="Palatino Linotype"/>
          <w:b/>
          <w:color w:val="000000" w:themeColor="text1"/>
          <w:sz w:val="24"/>
          <w:szCs w:val="24"/>
        </w:rPr>
      </w:pPr>
      <w:bookmarkStart w:id="140" w:name="_Toc34246179"/>
      <w:bookmarkStart w:id="141" w:name="_Toc50033991"/>
      <w:bookmarkStart w:id="142" w:name="_Toc51259588"/>
      <w:bookmarkStart w:id="143" w:name="_Toc83128581"/>
      <w:r w:rsidRPr="00A726DA">
        <w:rPr>
          <w:rFonts w:ascii="Palatino Linotype" w:hAnsi="Palatino Linotype"/>
          <w:b/>
          <w:color w:val="000000" w:themeColor="text1"/>
          <w:sz w:val="24"/>
          <w:szCs w:val="24"/>
        </w:rPr>
        <w:t xml:space="preserve">TERCERO. </w:t>
      </w:r>
      <w:bookmarkStart w:id="144" w:name="_Toc501021589"/>
      <w:r w:rsidRPr="00A726DA">
        <w:rPr>
          <w:rFonts w:ascii="Palatino Linotype" w:hAnsi="Palatino Linotype"/>
          <w:b/>
          <w:color w:val="000000" w:themeColor="text1"/>
          <w:sz w:val="24"/>
          <w:szCs w:val="24"/>
        </w:rPr>
        <w:t>De</w:t>
      </w:r>
      <w:r w:rsidR="00EA660A" w:rsidRPr="00A726DA">
        <w:rPr>
          <w:rFonts w:ascii="Palatino Linotype" w:hAnsi="Palatino Linotype"/>
          <w:b/>
          <w:color w:val="000000" w:themeColor="text1"/>
          <w:sz w:val="24"/>
          <w:szCs w:val="24"/>
        </w:rPr>
        <w:t xml:space="preserve"> las causales de sobreseimiento</w:t>
      </w:r>
      <w:r w:rsidRPr="00A726DA">
        <w:rPr>
          <w:rFonts w:ascii="Palatino Linotype" w:hAnsi="Palatino Linotype"/>
          <w:b/>
          <w:color w:val="000000" w:themeColor="text1"/>
          <w:sz w:val="24"/>
          <w:szCs w:val="24"/>
        </w:rPr>
        <w:t>.</w:t>
      </w:r>
      <w:bookmarkEnd w:id="140"/>
      <w:bookmarkEnd w:id="141"/>
      <w:bookmarkEnd w:id="142"/>
      <w:bookmarkEnd w:id="143"/>
      <w:bookmarkEnd w:id="144"/>
    </w:p>
    <w:p w:rsidR="00134CE6" w:rsidRPr="00A726DA" w:rsidRDefault="00134CE6"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lang w:val="es-ES"/>
        </w:rPr>
        <w:t xml:space="preserve">La solicitud de información consistió en </w:t>
      </w:r>
      <w:r w:rsidRPr="00A726DA">
        <w:rPr>
          <w:rFonts w:ascii="Palatino Linotype" w:hAnsi="Palatino Linotype"/>
          <w:color w:val="000000" w:themeColor="text1"/>
        </w:rPr>
        <w:t xml:space="preserve">requerir la </w:t>
      </w:r>
      <w:r w:rsidR="008E32EE" w:rsidRPr="00A726DA">
        <w:rPr>
          <w:rFonts w:ascii="Palatino Linotype" w:hAnsi="Palatino Linotype"/>
          <w:color w:val="000000" w:themeColor="text1"/>
        </w:rPr>
        <w:t xml:space="preserve">información que ya se ha tenido a bien </w:t>
      </w:r>
      <w:r w:rsidR="008E32EE" w:rsidRPr="00A726DA">
        <w:rPr>
          <w:rFonts w:ascii="Palatino Linotype" w:eastAsia="Calibri" w:hAnsi="Palatino Linotype" w:cs="Arial"/>
          <w:color w:val="000000" w:themeColor="text1"/>
        </w:rPr>
        <w:t>transcribir</w:t>
      </w:r>
      <w:r w:rsidR="008E32EE" w:rsidRPr="00A726DA">
        <w:rPr>
          <w:rFonts w:ascii="Palatino Linotype" w:hAnsi="Palatino Linotype"/>
          <w:color w:val="000000" w:themeColor="text1"/>
        </w:rPr>
        <w:t xml:space="preserve"> en el anterior párrafo 1, en respuesta, el </w:t>
      </w:r>
      <w:r w:rsidR="008E32EE" w:rsidRPr="00A726DA">
        <w:rPr>
          <w:rFonts w:ascii="Palatino Linotype" w:hAnsi="Palatino Linotype"/>
          <w:b/>
          <w:color w:val="000000" w:themeColor="text1"/>
        </w:rPr>
        <w:t>SUJETO OBLIGADO</w:t>
      </w:r>
      <w:r w:rsidR="008E32EE" w:rsidRPr="00A726DA">
        <w:rPr>
          <w:rFonts w:ascii="Palatino Linotype" w:hAnsi="Palatino Linotype"/>
          <w:color w:val="000000" w:themeColor="text1"/>
        </w:rPr>
        <w:t xml:space="preserve"> </w:t>
      </w:r>
      <w:r w:rsidR="00EB1CE2" w:rsidRPr="00A726DA">
        <w:rPr>
          <w:rFonts w:ascii="Palatino Linotype" w:hAnsi="Palatino Linotype"/>
          <w:color w:val="000000" w:themeColor="text1"/>
        </w:rPr>
        <w:t xml:space="preserve">remitió un archivo de cuyo contenido se advierte </w:t>
      </w:r>
      <w:r w:rsidR="00E730F7" w:rsidRPr="00A726DA">
        <w:rPr>
          <w:rFonts w:ascii="Palatino Linotype" w:hAnsi="Palatino Linotype"/>
          <w:color w:val="000000" w:themeColor="text1"/>
        </w:rPr>
        <w:t>el listado de personas que firmaron de recibido, en relación al tríptico señalado; no obstante</w:t>
      </w:r>
      <w:r w:rsidRPr="00A726DA">
        <w:rPr>
          <w:rFonts w:ascii="Palatino Linotype" w:hAnsi="Palatino Linotype"/>
          <w:color w:val="000000" w:themeColor="text1"/>
        </w:rPr>
        <w:t xml:space="preserve"> el particular interpuso el recurso de revisión que hoy </w:t>
      </w:r>
      <w:r w:rsidR="00531473" w:rsidRPr="00A726DA">
        <w:rPr>
          <w:rFonts w:ascii="Palatino Linotype" w:hAnsi="Palatino Linotype"/>
          <w:color w:val="000000" w:themeColor="text1"/>
        </w:rPr>
        <w:t>nos ocupa señalando como motivo</w:t>
      </w:r>
      <w:r w:rsidRPr="00A726DA">
        <w:rPr>
          <w:rFonts w:ascii="Palatino Linotype" w:hAnsi="Palatino Linotype"/>
          <w:color w:val="000000" w:themeColor="text1"/>
        </w:rPr>
        <w:t xml:space="preserve"> de inconformidad</w:t>
      </w:r>
      <w:r w:rsidR="00E730F7" w:rsidRPr="00A726DA">
        <w:rPr>
          <w:rFonts w:ascii="Palatino Linotype" w:hAnsi="Palatino Linotype"/>
          <w:color w:val="000000" w:themeColor="text1"/>
        </w:rPr>
        <w:t xml:space="preserve"> </w:t>
      </w:r>
      <w:r w:rsidR="00E730F7" w:rsidRPr="00A726DA">
        <w:rPr>
          <w:rFonts w:ascii="Palatino Linotype" w:hAnsi="Palatino Linotype"/>
          <w:i/>
          <w:color w:val="000000" w:themeColor="text1"/>
        </w:rPr>
        <w:t>grosso modo</w:t>
      </w:r>
      <w:r w:rsidR="00E730F7" w:rsidRPr="00A726DA">
        <w:rPr>
          <w:rFonts w:ascii="Palatino Linotype" w:hAnsi="Palatino Linotype"/>
          <w:color w:val="000000" w:themeColor="text1"/>
        </w:rPr>
        <w:t>, que no corresponde con la totalidad de servidores públicos</w:t>
      </w:r>
      <w:r w:rsidR="00376C57" w:rsidRPr="00A726DA">
        <w:rPr>
          <w:rFonts w:ascii="Palatino Linotype" w:hAnsi="Palatino Linotype"/>
          <w:color w:val="000000" w:themeColor="text1"/>
        </w:rPr>
        <w:t xml:space="preserve"> y reitera que se deben entregar los trípticos firmados</w:t>
      </w:r>
      <w:r w:rsidR="00E730F7" w:rsidRPr="00A726DA">
        <w:rPr>
          <w:rFonts w:ascii="Palatino Linotype" w:hAnsi="Palatino Linotype"/>
          <w:color w:val="000000" w:themeColor="text1"/>
        </w:rPr>
        <w:t>.</w:t>
      </w:r>
    </w:p>
    <w:p w:rsidR="00134CE6" w:rsidRPr="00A726DA" w:rsidRDefault="00134CE6" w:rsidP="00376C57">
      <w:pPr>
        <w:pStyle w:val="Prrafodelista"/>
        <w:spacing w:line="360" w:lineRule="auto"/>
        <w:jc w:val="both"/>
        <w:rPr>
          <w:rFonts w:ascii="Palatino Linotype" w:hAnsi="Palatino Linotype"/>
          <w:color w:val="000000" w:themeColor="text1"/>
        </w:rPr>
      </w:pPr>
    </w:p>
    <w:p w:rsidR="007C4404" w:rsidRPr="00A726DA" w:rsidRDefault="00376C57" w:rsidP="00376C57">
      <w:pPr>
        <w:pStyle w:val="Prrafodelista"/>
        <w:numPr>
          <w:ilvl w:val="0"/>
          <w:numId w:val="15"/>
        </w:numPr>
        <w:spacing w:line="360" w:lineRule="auto"/>
        <w:ind w:left="0" w:firstLine="0"/>
        <w:jc w:val="both"/>
        <w:rPr>
          <w:rFonts w:ascii="Palatino Linotype" w:hAnsi="Palatino Linotype"/>
        </w:rPr>
      </w:pPr>
      <w:r w:rsidRPr="00A726DA">
        <w:rPr>
          <w:rFonts w:ascii="Palatino Linotype" w:hAnsi="Palatino Linotype"/>
          <w:color w:val="000000" w:themeColor="text1"/>
        </w:rPr>
        <w:t>De la respuesta entregada</w:t>
      </w:r>
      <w:r w:rsidR="00274AA4" w:rsidRPr="00A726DA">
        <w:rPr>
          <w:rFonts w:ascii="Palatino Linotype" w:hAnsi="Palatino Linotype"/>
          <w:color w:val="000000" w:themeColor="text1"/>
        </w:rPr>
        <w:t xml:space="preserve"> se advierten diversos aspectos, el primero de ellos </w:t>
      </w:r>
      <w:r w:rsidRPr="00A726DA">
        <w:rPr>
          <w:rFonts w:ascii="Palatino Linotype" w:hAnsi="Palatino Linotype"/>
          <w:color w:val="000000" w:themeColor="text1"/>
        </w:rPr>
        <w:t xml:space="preserve">que este Instituto </w:t>
      </w:r>
      <w:r w:rsidR="007C4404" w:rsidRPr="00A726DA">
        <w:rPr>
          <w:rFonts w:ascii="Palatino Linotype" w:hAnsi="Palatino Linotype"/>
          <w:color w:val="000000" w:themeColor="text1"/>
        </w:rPr>
        <w:t>no se encuentra facultado para dudar de su veracidad</w:t>
      </w:r>
      <w:r w:rsidR="007C4404" w:rsidRPr="00A726DA">
        <w:rPr>
          <w:rFonts w:ascii="Palatino Linotype" w:eastAsia="Palatino Linotype" w:hAnsi="Palatino Linotype" w:cs="Palatino Linotype"/>
          <w:color w:val="000000"/>
        </w:rPr>
        <w:t xml:space="preserve"> de la </w:t>
      </w:r>
      <w:r w:rsidR="007C4404" w:rsidRPr="00A726DA">
        <w:rPr>
          <w:rFonts w:ascii="Palatino Linotype" w:eastAsia="MS Mincho" w:hAnsi="Palatino Linotype" w:cs="Arial"/>
        </w:rPr>
        <w:t>información</w:t>
      </w:r>
      <w:r w:rsidR="007C4404" w:rsidRPr="00A726DA">
        <w:rPr>
          <w:rFonts w:ascii="Palatino Linotype" w:eastAsia="Palatino Linotype" w:hAnsi="Palatino Linotype" w:cs="Palatino Linotype"/>
          <w:color w:val="000000"/>
        </w:rPr>
        <w:t xml:space="preserve"> que le fue entregada al hoy </w:t>
      </w:r>
      <w:r w:rsidR="007C4404" w:rsidRPr="00A726DA">
        <w:rPr>
          <w:rFonts w:ascii="Palatino Linotype" w:eastAsia="Palatino Linotype" w:hAnsi="Palatino Linotype" w:cs="Palatino Linotype"/>
          <w:b/>
          <w:color w:val="000000"/>
        </w:rPr>
        <w:t>RECURRENTE</w:t>
      </w:r>
      <w:r w:rsidR="007C4404" w:rsidRPr="00A726DA">
        <w:rPr>
          <w:rFonts w:ascii="Palatino Linotype" w:eastAsia="Palatino Linotype" w:hAnsi="Palatino Linotype" w:cs="Palatino Linotype"/>
          <w:color w:val="000000"/>
        </w:rPr>
        <w:t xml:space="preserve"> en el presente asunto, ni de las respuestas, ni de las documentales que ponen a disposición de los solicitantes los </w:t>
      </w:r>
      <w:r w:rsidR="007C4404" w:rsidRPr="00A726DA">
        <w:rPr>
          <w:rFonts w:ascii="Palatino Linotype" w:eastAsia="Palatino Linotype" w:hAnsi="Palatino Linotype" w:cs="Palatino Linotype"/>
          <w:color w:val="000000"/>
        </w:rPr>
        <w:lastRenderedPageBreak/>
        <w:t xml:space="preserve">sujetos obligados, </w:t>
      </w:r>
      <w:r w:rsidR="007C4404" w:rsidRPr="00A726DA">
        <w:rPr>
          <w:rFonts w:ascii="Palatino Linotype" w:hAnsi="Palatino Linotype" w:cs="Arial"/>
        </w:rPr>
        <w:t xml:space="preserve">situación que se aleja de las atribuciones de este Instituto </w:t>
      </w:r>
      <w:r w:rsidR="007C4404" w:rsidRPr="00A726DA">
        <w:rPr>
          <w:rFonts w:ascii="Palatino Linotype" w:hAnsi="Palatino Linotype"/>
          <w:i/>
          <w:color w:val="000000"/>
        </w:rPr>
        <w:t>máxime</w:t>
      </w:r>
      <w:r w:rsidR="007C4404" w:rsidRPr="00A726DA">
        <w:rPr>
          <w:rFonts w:ascii="Palatino Linotype" w:hAnsi="Palatino Linotype"/>
          <w:color w:val="000000"/>
        </w:rPr>
        <w:t xml:space="preserve"> que al momento que ponen a disposición ésta, la misma tiene el carácter oficial y se presume veraz, tan es así que la misma queda registrada en el Sistema de Acceso a la Información Mexiquense (SAIMEX).</w:t>
      </w:r>
    </w:p>
    <w:p w:rsidR="007C4404" w:rsidRPr="00A726DA" w:rsidRDefault="007C4404" w:rsidP="00376C57">
      <w:pPr>
        <w:pStyle w:val="Prrafodelista"/>
        <w:spacing w:line="360" w:lineRule="auto"/>
        <w:rPr>
          <w:rFonts w:ascii="Palatino Linotype" w:hAnsi="Palatino Linotype"/>
        </w:rPr>
      </w:pPr>
    </w:p>
    <w:p w:rsidR="007C4404" w:rsidRPr="00A726DA" w:rsidRDefault="007C4404" w:rsidP="00376C57">
      <w:pPr>
        <w:pStyle w:val="Prrafodelista"/>
        <w:numPr>
          <w:ilvl w:val="0"/>
          <w:numId w:val="15"/>
        </w:numPr>
        <w:tabs>
          <w:tab w:val="left" w:pos="0"/>
          <w:tab w:val="left" w:pos="142"/>
        </w:tabs>
        <w:spacing w:line="360" w:lineRule="auto"/>
        <w:ind w:left="0" w:firstLine="0"/>
        <w:jc w:val="both"/>
        <w:rPr>
          <w:rFonts w:ascii="Palatino Linotype" w:hAnsi="Palatino Linotype"/>
        </w:rPr>
      </w:pPr>
      <w:r w:rsidRPr="00A726DA">
        <w:rPr>
          <w:rFonts w:ascii="Palatino Linotype" w:hAnsi="Palatino Linotype"/>
        </w:rPr>
        <w:t xml:space="preserve">Sirviendo de apoyo a lo anterior por analogía, el criterio 31-10 emitido por el ahora Instituto </w:t>
      </w:r>
      <w:r w:rsidRPr="00A726DA">
        <w:rPr>
          <w:rFonts w:ascii="Palatino Linotype" w:eastAsia="Palatino Linotype" w:hAnsi="Palatino Linotype" w:cs="Palatino Linotype"/>
          <w:color w:val="000000"/>
        </w:rPr>
        <w:t>Nacional</w:t>
      </w:r>
      <w:r w:rsidRPr="00A726DA">
        <w:rPr>
          <w:rFonts w:ascii="Palatino Linotype" w:hAnsi="Palatino Linotype"/>
        </w:rPr>
        <w:t xml:space="preserve"> de Transparencia, Acceso a la Información y Protección de Datos Personales, que a la letra dice:</w:t>
      </w:r>
    </w:p>
    <w:p w:rsidR="007C4404" w:rsidRPr="00A726DA" w:rsidRDefault="007C4404" w:rsidP="00376C57">
      <w:pPr>
        <w:pStyle w:val="Prrafodelista"/>
        <w:spacing w:line="360" w:lineRule="auto"/>
        <w:rPr>
          <w:rFonts w:ascii="Palatino Linotype" w:hAnsi="Palatino Linotype"/>
          <w:sz w:val="22"/>
        </w:rPr>
      </w:pPr>
    </w:p>
    <w:p w:rsidR="007C4404" w:rsidRPr="00A726DA" w:rsidRDefault="007C4404" w:rsidP="00376C57">
      <w:pPr>
        <w:pStyle w:val="Default"/>
        <w:spacing w:line="360" w:lineRule="auto"/>
        <w:ind w:left="567" w:right="616"/>
        <w:jc w:val="both"/>
        <w:rPr>
          <w:rFonts w:ascii="Palatino Linotype" w:hAnsi="Palatino Linotype"/>
          <w:i/>
          <w:sz w:val="22"/>
        </w:rPr>
      </w:pPr>
      <w:r w:rsidRPr="00A726DA">
        <w:rPr>
          <w:rFonts w:ascii="Palatino Linotype" w:hAnsi="Palatino Linotype"/>
          <w:i/>
          <w:sz w:val="22"/>
        </w:rPr>
        <w:t xml:space="preserve">“El Instituto Federal de Acceso a la Información y Protección de Datos </w:t>
      </w:r>
      <w:r w:rsidRPr="00A726DA">
        <w:rPr>
          <w:rFonts w:ascii="Palatino Linotype" w:hAnsi="Palatino Linotype"/>
          <w:b/>
          <w:i/>
          <w:sz w:val="22"/>
        </w:rPr>
        <w:t>no cuenta con facultades para pronunciarse respecto de la veracidad de los documentos proporcionados por los sujetos obligados.</w:t>
      </w:r>
      <w:r w:rsidRPr="00A726DA">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rsidR="007C4404" w:rsidRPr="00A726DA" w:rsidRDefault="007C4404" w:rsidP="00376C57">
      <w:pPr>
        <w:pStyle w:val="Default"/>
        <w:spacing w:line="360" w:lineRule="auto"/>
        <w:ind w:left="851" w:right="850"/>
        <w:jc w:val="both"/>
        <w:rPr>
          <w:rFonts w:ascii="Palatino Linotype" w:hAnsi="Palatino Linotype"/>
          <w:i/>
        </w:rPr>
      </w:pPr>
    </w:p>
    <w:p w:rsidR="007C4404" w:rsidRPr="00A726DA" w:rsidRDefault="007C4404" w:rsidP="00376C57">
      <w:pPr>
        <w:pStyle w:val="Prrafodelista"/>
        <w:numPr>
          <w:ilvl w:val="0"/>
          <w:numId w:val="15"/>
        </w:numPr>
        <w:tabs>
          <w:tab w:val="left" w:pos="0"/>
          <w:tab w:val="left" w:pos="142"/>
        </w:tabs>
        <w:spacing w:line="360" w:lineRule="auto"/>
        <w:ind w:left="0" w:firstLine="0"/>
        <w:jc w:val="both"/>
        <w:rPr>
          <w:rFonts w:ascii="Palatino Linotype" w:hAnsi="Palatino Linotype"/>
          <w:i/>
        </w:rPr>
      </w:pPr>
      <w:r w:rsidRPr="00A726DA">
        <w:rPr>
          <w:rFonts w:ascii="Palatino Linotype" w:hAnsi="Palatino Linotype" w:cs="Arial"/>
        </w:rPr>
        <w:lastRenderedPageBreak/>
        <w:t>Así como lo dispuesto por</w:t>
      </w:r>
      <w:r w:rsidRPr="00A726DA">
        <w:rPr>
          <w:rFonts w:ascii="Palatino Linotype" w:hAnsi="Palatino Linotype"/>
        </w:rPr>
        <w:t xml:space="preserve"> la </w:t>
      </w:r>
      <w:r w:rsidRPr="00A726DA">
        <w:rPr>
          <w:rFonts w:ascii="Palatino Linotype" w:hAnsi="Palatino Linotype"/>
          <w:b/>
        </w:rPr>
        <w:t xml:space="preserve">Ley de Transparencia y Acceso a la Información Pública del </w:t>
      </w:r>
      <w:r w:rsidRPr="00A726DA">
        <w:rPr>
          <w:rFonts w:ascii="Palatino Linotype" w:eastAsia="Palatino Linotype" w:hAnsi="Palatino Linotype" w:cs="Palatino Linotype"/>
          <w:color w:val="000000"/>
        </w:rPr>
        <w:t>Estado</w:t>
      </w:r>
      <w:r w:rsidRPr="00A726DA">
        <w:rPr>
          <w:rFonts w:ascii="Palatino Linotype" w:hAnsi="Palatino Linotype"/>
          <w:b/>
        </w:rPr>
        <w:t xml:space="preserve"> de México y Municipios</w:t>
      </w:r>
      <w:r w:rsidRPr="00A726DA">
        <w:rPr>
          <w:rFonts w:ascii="Palatino Linotype" w:hAnsi="Palatino Linotype"/>
        </w:rPr>
        <w:t xml:space="preserve"> en su artículo 3, el cual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rsidR="007C4404" w:rsidRPr="00A726DA" w:rsidRDefault="007C4404" w:rsidP="00376C57">
      <w:pPr>
        <w:pStyle w:val="Prrafodelista"/>
        <w:spacing w:line="360" w:lineRule="auto"/>
        <w:ind w:left="0"/>
        <w:jc w:val="both"/>
        <w:rPr>
          <w:rFonts w:ascii="Palatino Linotype" w:hAnsi="Palatino Linotype"/>
          <w:i/>
          <w:sz w:val="22"/>
        </w:rPr>
      </w:pPr>
    </w:p>
    <w:p w:rsidR="007C4404" w:rsidRPr="00A726DA" w:rsidRDefault="007C4404" w:rsidP="00376C57">
      <w:pPr>
        <w:pStyle w:val="Prrafodelista"/>
        <w:spacing w:line="360" w:lineRule="auto"/>
        <w:ind w:left="567" w:right="680"/>
        <w:jc w:val="both"/>
        <w:rPr>
          <w:rFonts w:ascii="Palatino Linotype" w:hAnsi="Palatino Linotype" w:cs="Arial"/>
          <w:b/>
          <w:i/>
          <w:sz w:val="22"/>
        </w:rPr>
      </w:pPr>
      <w:r w:rsidRPr="00A726DA">
        <w:rPr>
          <w:rFonts w:ascii="Palatino Linotype" w:hAnsi="Palatino Linotype" w:cs="Arial"/>
          <w:i/>
          <w:sz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A726DA">
        <w:rPr>
          <w:rFonts w:ascii="Palatino Linotype" w:hAnsi="Palatino Linotype" w:cs="Arial"/>
          <w:b/>
          <w:i/>
          <w:sz w:val="22"/>
        </w:rPr>
        <w:t>Los Sujetos Obligados deben poner en práctica, políticas y programas de acceso a la información que se apeguen a criterios de publicidad, veracidad, oportunidad, precisión y suficiencia en beneficio de los solicitantes.</w:t>
      </w:r>
    </w:p>
    <w:p w:rsidR="00376C57" w:rsidRPr="00A726DA" w:rsidRDefault="00376C57" w:rsidP="00376C57">
      <w:pPr>
        <w:pStyle w:val="Prrafodelista"/>
        <w:spacing w:line="360" w:lineRule="auto"/>
        <w:ind w:left="567" w:right="680"/>
        <w:jc w:val="both"/>
        <w:rPr>
          <w:rFonts w:ascii="Palatino Linotype" w:hAnsi="Palatino Linotype" w:cs="Arial"/>
          <w:b/>
          <w:i/>
        </w:rPr>
      </w:pPr>
    </w:p>
    <w:p w:rsidR="007C4404" w:rsidRPr="00A726DA" w:rsidRDefault="007C4404" w:rsidP="00376C57">
      <w:pPr>
        <w:pStyle w:val="Prrafodelista"/>
        <w:numPr>
          <w:ilvl w:val="0"/>
          <w:numId w:val="15"/>
        </w:numPr>
        <w:tabs>
          <w:tab w:val="left" w:pos="0"/>
          <w:tab w:val="left" w:pos="142"/>
        </w:tabs>
        <w:spacing w:line="360" w:lineRule="auto"/>
        <w:ind w:left="0" w:firstLine="0"/>
        <w:jc w:val="both"/>
        <w:rPr>
          <w:rFonts w:ascii="Palatino Linotype" w:eastAsia="Palatino Linotype" w:hAnsi="Palatino Linotype" w:cs="Palatino Linotype"/>
          <w:color w:val="000000"/>
        </w:rPr>
      </w:pPr>
      <w:r w:rsidRPr="00A726DA">
        <w:rPr>
          <w:rFonts w:ascii="Palatino Linotype" w:hAnsi="Palatino Linotype" w:cs="Arial"/>
        </w:rPr>
        <w:t>Numerales</w:t>
      </w:r>
      <w:r w:rsidRPr="00A726DA">
        <w:rPr>
          <w:rFonts w:ascii="Palatino Linotype" w:hAnsi="Palatino Linotype" w:cs="Arial"/>
          <w:noProof/>
          <w:lang w:eastAsia="es-MX"/>
        </w:rPr>
        <w:t xml:space="preserve"> que compelen al </w:t>
      </w:r>
      <w:r w:rsidRPr="00A726DA">
        <w:rPr>
          <w:rFonts w:ascii="Palatino Linotype" w:hAnsi="Palatino Linotype" w:cs="Arial"/>
          <w:b/>
          <w:noProof/>
          <w:lang w:eastAsia="es-MX"/>
        </w:rPr>
        <w:t>SUJETO OBLIGADO</w:t>
      </w:r>
      <w:r w:rsidRPr="00A726DA">
        <w:rPr>
          <w:rFonts w:ascii="Palatino Linotype" w:hAnsi="Palatino Linotype" w:cs="Arial"/>
          <w:noProof/>
          <w:lang w:eastAsia="es-MX"/>
        </w:rPr>
        <w:t xml:space="preserve"> apegarse en todo momento a los </w:t>
      </w:r>
      <w:r w:rsidRPr="00A726DA">
        <w:rPr>
          <w:rFonts w:ascii="Palatino Linotype" w:hAnsi="Palatino Linotype" w:cs="Arial"/>
        </w:rPr>
        <w:t>criterios</w:t>
      </w:r>
      <w:r w:rsidRPr="00A726DA">
        <w:rPr>
          <w:rFonts w:ascii="Palatino Linotype" w:hAnsi="Palatino Linotype" w:cs="Arial"/>
          <w:noProof/>
          <w:lang w:eastAsia="es-MX"/>
        </w:rPr>
        <w:t xml:space="preserve"> ya expuestos, impidiendo a este Órgano Colegiado cuestionar la veracidad de la información.</w:t>
      </w:r>
    </w:p>
    <w:p w:rsidR="007C4404" w:rsidRPr="00A726DA" w:rsidRDefault="007C4404" w:rsidP="00376C57">
      <w:pPr>
        <w:pStyle w:val="Prrafodelista"/>
        <w:tabs>
          <w:tab w:val="left" w:pos="0"/>
          <w:tab w:val="left" w:pos="142"/>
        </w:tabs>
        <w:spacing w:line="360" w:lineRule="auto"/>
        <w:ind w:left="0"/>
        <w:jc w:val="both"/>
        <w:rPr>
          <w:rFonts w:ascii="Palatino Linotype" w:eastAsia="Palatino Linotype" w:hAnsi="Palatino Linotype" w:cs="Palatino Linotype"/>
          <w:color w:val="000000"/>
        </w:rPr>
      </w:pPr>
    </w:p>
    <w:p w:rsidR="00F231FF" w:rsidRPr="00A726DA" w:rsidRDefault="00F231FF" w:rsidP="00376C57">
      <w:pPr>
        <w:pStyle w:val="Prrafodelista"/>
        <w:numPr>
          <w:ilvl w:val="0"/>
          <w:numId w:val="15"/>
        </w:numPr>
        <w:tabs>
          <w:tab w:val="left" w:pos="0"/>
          <w:tab w:val="left" w:pos="142"/>
        </w:tabs>
        <w:spacing w:line="360" w:lineRule="auto"/>
        <w:ind w:left="0" w:firstLine="0"/>
        <w:jc w:val="both"/>
        <w:rPr>
          <w:rFonts w:ascii="Palatino Linotype" w:hAnsi="Palatino Linotype"/>
          <w:b/>
          <w:color w:val="000000" w:themeColor="text1"/>
        </w:rPr>
      </w:pPr>
      <w:r w:rsidRPr="00A726DA">
        <w:rPr>
          <w:rFonts w:ascii="Palatino Linotype" w:hAnsi="Palatino Linotype"/>
          <w:color w:val="000000" w:themeColor="text1"/>
        </w:rPr>
        <w:t xml:space="preserve">No obstante si bien es cierto no se duda de la totalidad de personal firmante, también lo es que no se advierte que sea lo solicitado, </w:t>
      </w:r>
      <w:r w:rsidR="00376C57" w:rsidRPr="00A726DA">
        <w:rPr>
          <w:rFonts w:ascii="Palatino Linotype" w:hAnsi="Palatino Linotype"/>
          <w:color w:val="000000" w:themeColor="text1"/>
        </w:rPr>
        <w:t>toda vez</w:t>
      </w:r>
      <w:r w:rsidRPr="00A726DA">
        <w:rPr>
          <w:rFonts w:ascii="Palatino Linotype" w:hAnsi="Palatino Linotype"/>
          <w:color w:val="000000" w:themeColor="text1"/>
        </w:rPr>
        <w:t xml:space="preserve"> que en la solicitud de información se señala lo siguiente: “…</w:t>
      </w:r>
      <w:r w:rsidRPr="00A726DA">
        <w:rPr>
          <w:rFonts w:ascii="Palatino Linotype" w:hAnsi="Palatino Linotype"/>
          <w:i/>
          <w:color w:val="000000" w:themeColor="text1"/>
        </w:rPr>
        <w:t>los 821 trípticos firmados por los 821 servidores público</w:t>
      </w:r>
      <w:r w:rsidRPr="00A726DA">
        <w:rPr>
          <w:rFonts w:ascii="Palatino Linotype" w:hAnsi="Palatino Linotype"/>
          <w:color w:val="000000" w:themeColor="text1"/>
        </w:rPr>
        <w:t xml:space="preserve">s…”; es decir que de manera específica se </w:t>
      </w:r>
      <w:r w:rsidR="00376C57" w:rsidRPr="00A726DA">
        <w:rPr>
          <w:rFonts w:ascii="Palatino Linotype" w:hAnsi="Palatino Linotype"/>
          <w:color w:val="000000" w:themeColor="text1"/>
        </w:rPr>
        <w:t>requieren</w:t>
      </w:r>
      <w:r w:rsidRPr="00A726DA">
        <w:rPr>
          <w:rFonts w:ascii="Palatino Linotype" w:hAnsi="Palatino Linotype"/>
          <w:color w:val="000000" w:themeColor="text1"/>
        </w:rPr>
        <w:t xml:space="preserve"> </w:t>
      </w:r>
      <w:r w:rsidR="00376C57" w:rsidRPr="00A726DA">
        <w:rPr>
          <w:rFonts w:ascii="Palatino Linotype" w:hAnsi="Palatino Linotype"/>
          <w:color w:val="000000" w:themeColor="text1"/>
        </w:rPr>
        <w:t xml:space="preserve">los </w:t>
      </w:r>
      <w:r w:rsidRPr="00A726DA">
        <w:rPr>
          <w:rFonts w:ascii="Palatino Linotype" w:hAnsi="Palatino Linotype"/>
          <w:color w:val="000000" w:themeColor="text1"/>
        </w:rPr>
        <w:t>trípticos firmados.</w:t>
      </w:r>
    </w:p>
    <w:p w:rsidR="001F458A" w:rsidRPr="00A726DA" w:rsidRDefault="00883C6B" w:rsidP="00376C57">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lastRenderedPageBreak/>
        <w:t xml:space="preserve">Al respecto se colige que si bien de manera específica se piden trípticos firmados, lo requerido </w:t>
      </w:r>
      <w:r w:rsidR="001F458A" w:rsidRPr="00A726DA">
        <w:rPr>
          <w:rFonts w:ascii="Palatino Linotype" w:hAnsi="Palatino Linotype"/>
          <w:color w:val="000000" w:themeColor="text1"/>
        </w:rPr>
        <w:t>pudo ser</w:t>
      </w:r>
      <w:r w:rsidRPr="00A726DA">
        <w:rPr>
          <w:rFonts w:ascii="Palatino Linotype" w:hAnsi="Palatino Linotype"/>
          <w:color w:val="000000" w:themeColor="text1"/>
        </w:rPr>
        <w:t xml:space="preserve"> el documento donde conste o se adviertan las firmas de </w:t>
      </w:r>
      <w:r w:rsidR="001F458A" w:rsidRPr="00A726DA">
        <w:rPr>
          <w:rFonts w:ascii="Palatino Linotype" w:hAnsi="Palatino Linotype"/>
          <w:color w:val="000000" w:themeColor="text1"/>
        </w:rPr>
        <w:t xml:space="preserve">los servidores públicos que acusaron de recibido, luego de la entrega del documento informativo. </w:t>
      </w:r>
    </w:p>
    <w:p w:rsidR="001F458A" w:rsidRPr="00A726DA" w:rsidRDefault="001F458A" w:rsidP="00376C57">
      <w:pPr>
        <w:pStyle w:val="Prrafodelista"/>
        <w:spacing w:line="360" w:lineRule="auto"/>
        <w:rPr>
          <w:rFonts w:ascii="Palatino Linotype" w:hAnsi="Palatino Linotype"/>
          <w:color w:val="000000" w:themeColor="text1"/>
        </w:rPr>
      </w:pPr>
    </w:p>
    <w:p w:rsidR="00F231FF" w:rsidRPr="00A726DA" w:rsidRDefault="001F458A" w:rsidP="00376C57">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En esa tesitura este órgano garante podría estar en posibilidades de realizar una suplencia de la queja en favor del solicitante, señalando que el documento requerido es efectivamente el entregado en respuesta, pero de manera completa.</w:t>
      </w:r>
    </w:p>
    <w:p w:rsidR="001F458A" w:rsidRPr="00A726DA" w:rsidRDefault="001F458A" w:rsidP="00376C57">
      <w:pPr>
        <w:pStyle w:val="Prrafodelista"/>
        <w:spacing w:line="360" w:lineRule="auto"/>
        <w:rPr>
          <w:rFonts w:ascii="Palatino Linotype" w:hAnsi="Palatino Linotype"/>
          <w:color w:val="000000" w:themeColor="text1"/>
        </w:rPr>
      </w:pPr>
    </w:p>
    <w:p w:rsidR="001F458A" w:rsidRPr="00A726DA" w:rsidRDefault="001F458A" w:rsidP="00376C57">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t>No obstante al momento de interponer el solicitante su inconformidad</w:t>
      </w:r>
      <w:r w:rsidR="00DF768B" w:rsidRPr="00A726DA">
        <w:rPr>
          <w:rFonts w:ascii="Palatino Linotype" w:hAnsi="Palatino Linotype"/>
          <w:color w:val="000000" w:themeColor="text1"/>
        </w:rPr>
        <w:t xml:space="preserve">, confirma </w:t>
      </w:r>
      <w:r w:rsidRPr="00A726DA">
        <w:rPr>
          <w:rFonts w:ascii="Palatino Linotype" w:hAnsi="Palatino Linotype"/>
          <w:color w:val="000000" w:themeColor="text1"/>
        </w:rPr>
        <w:t>de manera puntual que lo requerido si son los trípticos firmados, como se observa: “</w:t>
      </w:r>
      <w:r w:rsidRPr="00A726DA">
        <w:rPr>
          <w:rFonts w:ascii="Palatino Linotype" w:hAnsi="Palatino Linotype"/>
          <w:i/>
          <w:color w:val="000000" w:themeColor="text1"/>
        </w:rPr>
        <w:t>Solicito los más de 800 trípticos firmados…</w:t>
      </w:r>
      <w:r w:rsidRPr="00A726DA">
        <w:rPr>
          <w:rFonts w:ascii="Palatino Linotype" w:hAnsi="Palatino Linotype"/>
          <w:color w:val="000000" w:themeColor="text1"/>
        </w:rPr>
        <w:t>”.</w:t>
      </w:r>
      <w:r w:rsidRPr="00A726DA">
        <w:rPr>
          <w:rFonts w:ascii="Palatino Linotype" w:hAnsi="Palatino Linotype"/>
          <w:i/>
          <w:color w:val="000000" w:themeColor="text1"/>
        </w:rPr>
        <w:t xml:space="preserve"> </w:t>
      </w:r>
      <w:r w:rsidRPr="00A726DA">
        <w:rPr>
          <w:rFonts w:ascii="Palatino Linotype" w:hAnsi="Palatino Linotype"/>
          <w:color w:val="000000" w:themeColor="text1"/>
        </w:rPr>
        <w:t>Luego entonces al identificar</w:t>
      </w:r>
      <w:r w:rsidR="00DF768B" w:rsidRPr="00A726DA">
        <w:rPr>
          <w:rFonts w:ascii="Palatino Linotype" w:hAnsi="Palatino Linotype"/>
          <w:color w:val="000000" w:themeColor="text1"/>
        </w:rPr>
        <w:t xml:space="preserve"> plenamente el documento que es de su interés, no se estima aplicable la suplencia de la queja en concatenación </w:t>
      </w:r>
      <w:r w:rsidR="00376C57" w:rsidRPr="00A726DA">
        <w:rPr>
          <w:rFonts w:ascii="Palatino Linotype" w:hAnsi="Palatino Linotype"/>
          <w:color w:val="000000" w:themeColor="text1"/>
        </w:rPr>
        <w:t>a</w:t>
      </w:r>
      <w:r w:rsidR="00DF768B" w:rsidRPr="00A726DA">
        <w:rPr>
          <w:rFonts w:ascii="Palatino Linotype" w:hAnsi="Palatino Linotype"/>
          <w:color w:val="000000" w:themeColor="text1"/>
        </w:rPr>
        <w:t>l Criterio 16/17 Expresión documental</w:t>
      </w:r>
      <w:r w:rsidR="00376C57" w:rsidRPr="00A726DA">
        <w:rPr>
          <w:rFonts w:ascii="Palatino Linotype" w:hAnsi="Palatino Linotype"/>
          <w:color w:val="000000" w:themeColor="text1"/>
        </w:rPr>
        <w:t>;</w:t>
      </w:r>
      <w:r w:rsidR="00DF768B" w:rsidRPr="00A726DA">
        <w:rPr>
          <w:rFonts w:ascii="Palatino Linotype" w:hAnsi="Palatino Linotype"/>
          <w:color w:val="000000" w:themeColor="text1"/>
        </w:rPr>
        <w:t xml:space="preserve"> emitido por el Instituto Nacional de Transparencia, Acceso a la Información y Protección de Datos Personales (INAI), que establece </w:t>
      </w:r>
      <w:r w:rsidR="00DF768B" w:rsidRPr="00A726DA">
        <w:rPr>
          <w:rFonts w:ascii="Palatino Linotype" w:hAnsi="Palatino Linotype"/>
        </w:rPr>
        <w:t>que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Contexto que como ya se señaló, no se actualiza al dar claridad el solicitante en su solicitud y escrito recursal.</w:t>
      </w:r>
    </w:p>
    <w:p w:rsidR="00DF768B" w:rsidRPr="00A726DA" w:rsidRDefault="00DF768B" w:rsidP="00376C57">
      <w:pPr>
        <w:pStyle w:val="Prrafodelista"/>
        <w:numPr>
          <w:ilvl w:val="0"/>
          <w:numId w:val="15"/>
        </w:numPr>
        <w:tabs>
          <w:tab w:val="left" w:pos="0"/>
          <w:tab w:val="left" w:pos="142"/>
        </w:tabs>
        <w:spacing w:line="360" w:lineRule="auto"/>
        <w:ind w:left="0" w:firstLine="0"/>
        <w:jc w:val="both"/>
        <w:rPr>
          <w:rFonts w:ascii="Palatino Linotype" w:hAnsi="Palatino Linotype"/>
          <w:color w:val="000000" w:themeColor="text1"/>
        </w:rPr>
      </w:pPr>
      <w:r w:rsidRPr="00A726DA">
        <w:rPr>
          <w:rFonts w:ascii="Palatino Linotype" w:hAnsi="Palatino Linotype"/>
          <w:color w:val="000000" w:themeColor="text1"/>
        </w:rPr>
        <w:lastRenderedPageBreak/>
        <w:t xml:space="preserve">Ahora bien, </w:t>
      </w:r>
      <w:r w:rsidR="00230B68" w:rsidRPr="00A726DA">
        <w:rPr>
          <w:rFonts w:ascii="Palatino Linotype" w:hAnsi="Palatino Linotype"/>
          <w:color w:val="000000" w:themeColor="text1"/>
        </w:rPr>
        <w:t xml:space="preserve">como se precisó, el </w:t>
      </w:r>
      <w:r w:rsidR="00230B68" w:rsidRPr="00A726DA">
        <w:rPr>
          <w:rFonts w:ascii="Palatino Linotype" w:hAnsi="Palatino Linotype"/>
          <w:b/>
          <w:color w:val="000000" w:themeColor="text1"/>
        </w:rPr>
        <w:t xml:space="preserve">SUJETO OBLIGADO </w:t>
      </w:r>
      <w:r w:rsidR="00230B68" w:rsidRPr="00A726DA">
        <w:rPr>
          <w:rFonts w:ascii="Palatino Linotype" w:hAnsi="Palatino Linotype"/>
          <w:color w:val="000000" w:themeColor="text1"/>
        </w:rPr>
        <w:t xml:space="preserve"> remitió un documento con aproximadamente 470 firmas de servidores públicos, no obstante ante</w:t>
      </w:r>
      <w:r w:rsidRPr="00A726DA">
        <w:rPr>
          <w:rFonts w:ascii="Palatino Linotype" w:hAnsi="Palatino Linotype"/>
          <w:color w:val="000000" w:themeColor="text1"/>
        </w:rPr>
        <w:t xml:space="preserve"> la insistencia del solicitante </w:t>
      </w:r>
      <w:r w:rsidR="00230B68" w:rsidRPr="00A726DA">
        <w:rPr>
          <w:rFonts w:ascii="Palatino Linotype" w:hAnsi="Palatino Linotype"/>
          <w:color w:val="000000" w:themeColor="text1"/>
        </w:rPr>
        <w:t xml:space="preserve">respecto de </w:t>
      </w:r>
      <w:r w:rsidRPr="00A726DA">
        <w:rPr>
          <w:rFonts w:ascii="Palatino Linotype" w:hAnsi="Palatino Linotype"/>
          <w:color w:val="000000" w:themeColor="text1"/>
        </w:rPr>
        <w:t>l</w:t>
      </w:r>
      <w:r w:rsidR="00230B68" w:rsidRPr="00A726DA">
        <w:rPr>
          <w:rFonts w:ascii="Palatino Linotype" w:hAnsi="Palatino Linotype"/>
          <w:color w:val="000000" w:themeColor="text1"/>
        </w:rPr>
        <w:t>a documentación que si es de su interés, el Organismo en un hecho posterior a la interposición del Recurso de Revisión, como es la etapa de manifestaciones, rindió su informe justificado correspondiente, en el que medularmente informó lo siguiente:</w:t>
      </w:r>
    </w:p>
    <w:p w:rsidR="00230B68" w:rsidRPr="00A726DA" w:rsidRDefault="00230B68" w:rsidP="00376C57">
      <w:pPr>
        <w:pStyle w:val="Prrafodelista"/>
        <w:spacing w:line="360" w:lineRule="auto"/>
        <w:rPr>
          <w:rFonts w:ascii="Palatino Linotype" w:hAnsi="Palatino Linotype"/>
          <w:color w:val="000000" w:themeColor="text1"/>
        </w:rPr>
      </w:pPr>
    </w:p>
    <w:p w:rsidR="00230B68" w:rsidRPr="00A726DA" w:rsidRDefault="00230B68" w:rsidP="00376C57">
      <w:pPr>
        <w:tabs>
          <w:tab w:val="left" w:pos="0"/>
          <w:tab w:val="left" w:pos="142"/>
        </w:tabs>
        <w:spacing w:line="360" w:lineRule="auto"/>
        <w:jc w:val="both"/>
        <w:rPr>
          <w:rFonts w:ascii="Palatino Linotype" w:hAnsi="Palatino Linotype"/>
          <w:color w:val="000000" w:themeColor="text1"/>
        </w:rPr>
      </w:pPr>
      <w:r w:rsidRPr="00A726DA">
        <w:rPr>
          <w:rFonts w:ascii="Palatino Linotype" w:hAnsi="Palatino Linotype"/>
          <w:noProof/>
          <w:color w:val="000000" w:themeColor="text1"/>
          <w:lang w:val="es-MX" w:eastAsia="es-MX"/>
        </w:rPr>
        <mc:AlternateContent>
          <mc:Choice Requires="wps">
            <w:drawing>
              <wp:anchor distT="0" distB="0" distL="114300" distR="114300" simplePos="0" relativeHeight="251664384" behindDoc="0" locked="0" layoutInCell="1" allowOverlap="1" wp14:anchorId="199AEA1D" wp14:editId="67141042">
                <wp:simplePos x="0" y="0"/>
                <wp:positionH relativeFrom="column">
                  <wp:posOffset>4812236</wp:posOffset>
                </wp:positionH>
                <wp:positionV relativeFrom="paragraph">
                  <wp:posOffset>741045</wp:posOffset>
                </wp:positionV>
                <wp:extent cx="671264" cy="10571"/>
                <wp:effectExtent l="0" t="0" r="33655" b="27940"/>
                <wp:wrapNone/>
                <wp:docPr id="8" name="Conector recto 8"/>
                <wp:cNvGraphicFramePr/>
                <a:graphic xmlns:a="http://schemas.openxmlformats.org/drawingml/2006/main">
                  <a:graphicData uri="http://schemas.microsoft.com/office/word/2010/wordprocessingShape">
                    <wps:wsp>
                      <wps:cNvCnPr/>
                      <wps:spPr>
                        <a:xfrm>
                          <a:off x="0" y="0"/>
                          <a:ext cx="671264" cy="10571"/>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2BCF02" id="Conector recto 8"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78.9pt,58.35pt" to="431.75pt,5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" strokecolor="red" strokeweight="1.5pt">
                <v:stroke joinstyle="miter"/>
              </v:line>
            </w:pict>
          </mc:Fallback>
        </mc:AlternateContent>
      </w:r>
      <w:r w:rsidRPr="00A726DA">
        <w:rPr>
          <w:rFonts w:ascii="Palatino Linotype" w:hAnsi="Palatino Linotype"/>
          <w:noProof/>
          <w:color w:val="000000" w:themeColor="text1"/>
          <w:lang w:val="es-MX" w:eastAsia="es-MX"/>
        </w:rPr>
        <mc:AlternateContent>
          <mc:Choice Requires="wps">
            <w:drawing>
              <wp:anchor distT="0" distB="0" distL="114300" distR="114300" simplePos="0" relativeHeight="251662336" behindDoc="0" locked="0" layoutInCell="1" allowOverlap="1" wp14:anchorId="68D7DCB0" wp14:editId="3C3A46E5">
                <wp:simplePos x="0" y="0"/>
                <wp:positionH relativeFrom="column">
                  <wp:posOffset>114400</wp:posOffset>
                </wp:positionH>
                <wp:positionV relativeFrom="paragraph">
                  <wp:posOffset>1043745</wp:posOffset>
                </wp:positionV>
                <wp:extent cx="491556" cy="0"/>
                <wp:effectExtent l="0" t="0" r="22860" b="19050"/>
                <wp:wrapNone/>
                <wp:docPr id="6" name="Conector recto 6"/>
                <wp:cNvGraphicFramePr/>
                <a:graphic xmlns:a="http://schemas.openxmlformats.org/drawingml/2006/main">
                  <a:graphicData uri="http://schemas.microsoft.com/office/word/2010/wordprocessingShape">
                    <wps:wsp>
                      <wps:cNvCnPr/>
                      <wps:spPr>
                        <a:xfrm>
                          <a:off x="0" y="0"/>
                          <a:ext cx="491556" cy="0"/>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72DEE9" id="Conector recto 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82.2pt" to="47.7pt,8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" strokecolor="red" strokeweight="1.5pt">
                <v:stroke joinstyle="miter"/>
              </v:line>
            </w:pict>
          </mc:Fallback>
        </mc:AlternateContent>
      </w:r>
      <w:r w:rsidRPr="00A726DA">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simplePos x="0" y="0"/>
                <wp:positionH relativeFrom="column">
                  <wp:posOffset>113665</wp:posOffset>
                </wp:positionH>
                <wp:positionV relativeFrom="paragraph">
                  <wp:posOffset>884761</wp:posOffset>
                </wp:positionV>
                <wp:extent cx="5375403" cy="42285"/>
                <wp:effectExtent l="0" t="0" r="34925" b="34290"/>
                <wp:wrapNone/>
                <wp:docPr id="5" name="Conector recto 5"/>
                <wp:cNvGraphicFramePr/>
                <a:graphic xmlns:a="http://schemas.openxmlformats.org/drawingml/2006/main">
                  <a:graphicData uri="http://schemas.microsoft.com/office/word/2010/wordprocessingShape">
                    <wps:wsp>
                      <wps:cNvCnPr/>
                      <wps:spPr>
                        <a:xfrm>
                          <a:off x="0" y="0"/>
                          <a:ext cx="5375403" cy="42285"/>
                        </a:xfrm>
                        <a:prstGeom prst="line">
                          <a:avLst/>
                        </a:prstGeom>
                        <a:ln>
                          <a:solidFill>
                            <a:srgbClr val="FF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w14:anchorId="3F2D0E64" id="Conector recto 5"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95pt,69.65pt" to="432.2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" strokecolor="red" strokeweight="1.5pt">
                <v:stroke joinstyle="miter"/>
              </v:line>
            </w:pict>
          </mc:Fallback>
        </mc:AlternateContent>
      </w:r>
      <w:r w:rsidRPr="00A726DA">
        <w:rPr>
          <w:rFonts w:ascii="Palatino Linotype" w:hAnsi="Palatino Linotype"/>
          <w:noProof/>
          <w:color w:val="000000" w:themeColor="text1"/>
          <w:lang w:val="es-MX" w:eastAsia="es-MX"/>
        </w:rPr>
        <w:drawing>
          <wp:inline distT="0" distB="0" distL="0" distR="0" wp14:anchorId="0641387A" wp14:editId="6AA7F4DE">
            <wp:extent cx="5612130" cy="1085850"/>
            <wp:effectExtent l="19050" t="19050" r="26670" b="190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612130" cy="1085850"/>
                    </a:xfrm>
                    <a:prstGeom prst="rect">
                      <a:avLst/>
                    </a:prstGeom>
                    <a:ln>
                      <a:solidFill>
                        <a:schemeClr val="tx1"/>
                      </a:solidFill>
                    </a:ln>
                  </pic:spPr>
                </pic:pic>
              </a:graphicData>
            </a:graphic>
          </wp:inline>
        </w:drawing>
      </w:r>
    </w:p>
    <w:p w:rsidR="00376C57" w:rsidRPr="00A726DA" w:rsidRDefault="00376C57" w:rsidP="00376C57">
      <w:pPr>
        <w:tabs>
          <w:tab w:val="left" w:pos="0"/>
          <w:tab w:val="left" w:pos="142"/>
        </w:tabs>
        <w:spacing w:line="360" w:lineRule="auto"/>
        <w:jc w:val="both"/>
        <w:rPr>
          <w:rFonts w:ascii="Palatino Linotype" w:hAnsi="Palatino Linotype"/>
          <w:color w:val="000000" w:themeColor="text1"/>
        </w:rPr>
      </w:pPr>
    </w:p>
    <w:p w:rsidR="00DF2698" w:rsidRPr="00A726DA" w:rsidRDefault="007C4404" w:rsidP="00376C57">
      <w:pPr>
        <w:pStyle w:val="Prrafodelista"/>
        <w:numPr>
          <w:ilvl w:val="0"/>
          <w:numId w:val="15"/>
        </w:numPr>
        <w:tabs>
          <w:tab w:val="left" w:pos="426"/>
        </w:tabs>
        <w:spacing w:line="360" w:lineRule="auto"/>
        <w:ind w:left="0" w:right="51" w:firstLine="0"/>
        <w:jc w:val="both"/>
        <w:rPr>
          <w:rFonts w:ascii="Palatino Linotype" w:hAnsi="Palatino Linotype" w:cs="Arial"/>
        </w:rPr>
      </w:pPr>
      <w:r w:rsidRPr="00A726DA">
        <w:rPr>
          <w:rFonts w:ascii="Palatino Linotype" w:hAnsi="Palatino Linotype"/>
          <w:color w:val="000000" w:themeColor="text1"/>
        </w:rPr>
        <w:t xml:space="preserve">En esa tesitura, se desprende que </w:t>
      </w:r>
      <w:r w:rsidR="00230B68" w:rsidRPr="00A726DA">
        <w:rPr>
          <w:rFonts w:ascii="Palatino Linotype" w:hAnsi="Palatino Linotype"/>
          <w:color w:val="000000" w:themeColor="text1"/>
        </w:rPr>
        <w:t xml:space="preserve">el </w:t>
      </w:r>
      <w:r w:rsidR="00230B68" w:rsidRPr="00A726DA">
        <w:rPr>
          <w:rFonts w:ascii="Palatino Linotype" w:hAnsi="Palatino Linotype"/>
          <w:b/>
          <w:color w:val="000000" w:themeColor="text1"/>
        </w:rPr>
        <w:t>SUJETO OBLIGADO</w:t>
      </w:r>
      <w:r w:rsidR="00230B68" w:rsidRPr="00A726DA">
        <w:rPr>
          <w:rFonts w:ascii="Palatino Linotype" w:hAnsi="Palatino Linotype"/>
          <w:color w:val="000000" w:themeColor="text1"/>
        </w:rPr>
        <w:t xml:space="preserve"> modificó su respuesta y la perfeccionó pronunciándose respecto de lo requerido toralmente por el particular, contestación que versó en un sentido negativo.</w:t>
      </w:r>
      <w:r w:rsidR="00DF2698" w:rsidRPr="00A726DA">
        <w:rPr>
          <w:rFonts w:ascii="Palatino Linotype" w:hAnsi="Palatino Linotype"/>
          <w:color w:val="000000" w:themeColor="text1"/>
        </w:rPr>
        <w:t xml:space="preserve"> Luego entonces resulta</w:t>
      </w:r>
      <w:r w:rsidR="00DF2698" w:rsidRPr="00A726DA">
        <w:rPr>
          <w:rFonts w:ascii="Palatino Linotype" w:hAnsi="Palatino Linotype" w:cs="Arial"/>
        </w:rPr>
        <w:t xml:space="preserve"> obvio que la información requerida no puede obrar fácticamente en los archivos del </w:t>
      </w:r>
      <w:r w:rsidR="00DF2698" w:rsidRPr="00A726DA">
        <w:rPr>
          <w:rFonts w:ascii="Palatino Linotype" w:hAnsi="Palatino Linotype" w:cs="Arial"/>
          <w:b/>
        </w:rPr>
        <w:t>SUJETO OBLIGADO</w:t>
      </w:r>
      <w:r w:rsidR="00DF2698" w:rsidRPr="00A726DA">
        <w:rPr>
          <w:rFonts w:ascii="Palatino Linotype" w:hAnsi="Palatino Linotype" w:cs="Arial"/>
        </w:rPr>
        <w:t>, ya que no puede probarse por ser lógica y materialmente imposible, en razón de que al no haber generado dicha información, no la posee, no administra, y no cuenta con la misma.</w:t>
      </w:r>
    </w:p>
    <w:p w:rsidR="00DF2698" w:rsidRPr="00A726DA" w:rsidRDefault="00DF2698" w:rsidP="00376C57">
      <w:pPr>
        <w:pStyle w:val="Prrafodelista"/>
        <w:tabs>
          <w:tab w:val="left" w:pos="426"/>
        </w:tabs>
        <w:spacing w:line="360" w:lineRule="auto"/>
        <w:ind w:left="0" w:right="51"/>
        <w:jc w:val="both"/>
        <w:rPr>
          <w:rFonts w:ascii="Palatino Linotype" w:eastAsia="MS Mincho" w:hAnsi="Palatino Linotype" w:cs="Arial"/>
          <w:color w:val="000000" w:themeColor="text1"/>
          <w:lang w:val="es-MX"/>
        </w:rPr>
      </w:pPr>
    </w:p>
    <w:p w:rsidR="00DF2698" w:rsidRPr="00A726DA" w:rsidRDefault="00DF2698" w:rsidP="00376C57">
      <w:pPr>
        <w:pStyle w:val="Prrafodelista"/>
        <w:numPr>
          <w:ilvl w:val="0"/>
          <w:numId w:val="15"/>
        </w:numPr>
        <w:tabs>
          <w:tab w:val="left" w:pos="426"/>
        </w:tabs>
        <w:spacing w:line="360" w:lineRule="auto"/>
        <w:ind w:left="0" w:right="51" w:firstLine="0"/>
        <w:jc w:val="both"/>
        <w:rPr>
          <w:rFonts w:ascii="Palatino Linotype" w:eastAsia="MS Mincho" w:hAnsi="Palatino Linotype" w:cs="Arial"/>
          <w:color w:val="000000" w:themeColor="text1"/>
          <w:lang w:val="es-MX"/>
        </w:rPr>
      </w:pPr>
      <w:r w:rsidRPr="00A726DA">
        <w:rPr>
          <w:rFonts w:ascii="Palatino Linotype" w:hAnsi="Palatino Linotype" w:cs="Arial"/>
        </w:rPr>
        <w:t xml:space="preserve">En este sentido, no se trata de un caso por el cual la negación del hecho implique la </w:t>
      </w:r>
      <w:r w:rsidRPr="00A726DA">
        <w:rPr>
          <w:rFonts w:ascii="Palatino Linotype" w:eastAsia="Calibri" w:hAnsi="Palatino Linotype"/>
        </w:rPr>
        <w:t>afirmación</w:t>
      </w:r>
      <w:r w:rsidRPr="00A726DA">
        <w:rPr>
          <w:rFonts w:ascii="Palatino Linotype" w:hAnsi="Palatino Linotype" w:cs="Arial"/>
        </w:rPr>
        <w:t xml:space="preserve"> del mismo, simplemente se está ante una notoria y evidente </w:t>
      </w:r>
      <w:r w:rsidRPr="00A726DA">
        <w:rPr>
          <w:rFonts w:ascii="Palatino Linotype" w:hAnsi="Palatino Linotype" w:cs="Arial"/>
        </w:rPr>
        <w:lastRenderedPageBreak/>
        <w:t>inexistencia fáctica de la información solicitada; por lo tanto, ante un hecho negativo resulta aplicable la siguiente tesis</w:t>
      </w:r>
      <w:r w:rsidRPr="00A726DA">
        <w:rPr>
          <w:rFonts w:ascii="Palatino Linotype" w:hAnsi="Palatino Linotype" w:cs="Arial"/>
          <w:color w:val="222222"/>
        </w:rPr>
        <w:t>:</w:t>
      </w:r>
    </w:p>
    <w:p w:rsidR="00DF2698" w:rsidRPr="00A726DA" w:rsidRDefault="00DF2698" w:rsidP="00376C57">
      <w:pPr>
        <w:pStyle w:val="Prrafodelista"/>
        <w:spacing w:line="360" w:lineRule="auto"/>
        <w:rPr>
          <w:rFonts w:ascii="Palatino Linotype" w:eastAsia="MS Mincho" w:hAnsi="Palatino Linotype" w:cs="Arial"/>
          <w:color w:val="000000" w:themeColor="text1"/>
          <w:sz w:val="22"/>
          <w:lang w:val="es-MX"/>
        </w:rPr>
      </w:pPr>
    </w:p>
    <w:p w:rsidR="00DF2698" w:rsidRPr="00A726DA" w:rsidRDefault="00DF2698" w:rsidP="00376C57">
      <w:pPr>
        <w:pStyle w:val="Prrafodelista"/>
        <w:spacing w:line="360" w:lineRule="auto"/>
        <w:ind w:left="425" w:right="476"/>
        <w:jc w:val="both"/>
        <w:rPr>
          <w:rFonts w:ascii="Palatino Linotype" w:hAnsi="Palatino Linotype" w:cs="Arial"/>
          <w:i/>
          <w:iCs/>
          <w:color w:val="222222"/>
          <w:sz w:val="22"/>
        </w:rPr>
      </w:pPr>
      <w:r w:rsidRPr="00A726DA">
        <w:rPr>
          <w:rFonts w:ascii="Palatino Linotype" w:hAnsi="Palatino Linotype" w:cs="Arial"/>
          <w:b/>
          <w:bCs/>
          <w:i/>
          <w:iCs/>
          <w:color w:val="222222"/>
          <w:sz w:val="22"/>
        </w:rPr>
        <w:t xml:space="preserve">“HECHOS NEGATIVOS, NO SON SUSCEPTIBLES DE DEMOSTRACIÓN. </w:t>
      </w:r>
      <w:r w:rsidRPr="00A726DA">
        <w:rPr>
          <w:rFonts w:ascii="Palatino Linotype" w:hAnsi="Palatino Linotype" w:cs="Arial"/>
          <w:i/>
          <w:iCs/>
          <w:color w:val="222222"/>
          <w:sz w:val="22"/>
        </w:rPr>
        <w:t>Tratándose de un hecho negativo, el Juez no tiene por qué invocar prueba alguna de la que se desprenda, ya que es bien sabido que esta clase de hechos no son susceptibles de demostración.</w:t>
      </w:r>
    </w:p>
    <w:p w:rsidR="00DF2698" w:rsidRPr="00A726DA" w:rsidRDefault="00DF2698" w:rsidP="00376C57">
      <w:pPr>
        <w:pStyle w:val="Prrafodelista"/>
        <w:spacing w:line="360" w:lineRule="auto"/>
        <w:ind w:left="425" w:right="476"/>
        <w:jc w:val="both"/>
        <w:rPr>
          <w:rFonts w:ascii="Palatino Linotype" w:eastAsia="MS Mincho" w:hAnsi="Palatino Linotype" w:cs="Arial"/>
          <w:color w:val="000000" w:themeColor="text1"/>
          <w:sz w:val="22"/>
          <w:lang w:val="es-MX"/>
        </w:rPr>
      </w:pPr>
    </w:p>
    <w:p w:rsidR="00DF2698" w:rsidRPr="00A726DA" w:rsidRDefault="00DF2698" w:rsidP="00376C57">
      <w:pPr>
        <w:pStyle w:val="Prrafodelista"/>
        <w:shd w:val="clear" w:color="auto" w:fill="FFFFFF"/>
        <w:spacing w:line="360" w:lineRule="auto"/>
        <w:ind w:left="425" w:right="476"/>
        <w:jc w:val="both"/>
        <w:rPr>
          <w:rFonts w:ascii="Palatino Linotype" w:hAnsi="Palatino Linotype" w:cs="Arial"/>
          <w:i/>
          <w:iCs/>
          <w:color w:val="222222"/>
          <w:sz w:val="22"/>
        </w:rPr>
      </w:pPr>
      <w:r w:rsidRPr="00A726DA">
        <w:rPr>
          <w:rFonts w:ascii="Palatino Linotype" w:hAnsi="Palatino Linotype" w:cs="Arial"/>
          <w:i/>
          <w:iCs/>
          <w:color w:val="222222"/>
          <w:sz w:val="22"/>
        </w:rPr>
        <w:t>Amparo en revisión 2022/61. José García Florín (Menor). 9 de octubre de 1961. Cinco votos. Ponente: José Rivera Pérez Campos.”</w:t>
      </w:r>
    </w:p>
    <w:p w:rsidR="00DF2698" w:rsidRPr="00A726DA" w:rsidRDefault="00DF2698" w:rsidP="00376C57">
      <w:pPr>
        <w:pStyle w:val="Prrafodelista"/>
        <w:shd w:val="clear" w:color="auto" w:fill="FFFFFF"/>
        <w:spacing w:line="360" w:lineRule="auto"/>
        <w:ind w:left="425" w:right="476"/>
        <w:jc w:val="both"/>
        <w:rPr>
          <w:rFonts w:ascii="Palatino Linotype" w:hAnsi="Palatino Linotype" w:cs="Arial"/>
          <w:i/>
          <w:iCs/>
          <w:color w:val="222222"/>
        </w:rPr>
      </w:pPr>
    </w:p>
    <w:p w:rsidR="00DF2698" w:rsidRPr="00A726DA" w:rsidRDefault="00DF2698" w:rsidP="00376C57">
      <w:pPr>
        <w:pStyle w:val="Prrafodelista"/>
        <w:numPr>
          <w:ilvl w:val="0"/>
          <w:numId w:val="15"/>
        </w:numPr>
        <w:tabs>
          <w:tab w:val="left" w:pos="426"/>
        </w:tabs>
        <w:spacing w:line="360" w:lineRule="auto"/>
        <w:ind w:left="0" w:right="51" w:firstLine="0"/>
        <w:jc w:val="both"/>
        <w:rPr>
          <w:rFonts w:ascii="Palatino Linotype" w:hAnsi="Palatino Linotype" w:cs="Arial"/>
          <w:iCs/>
          <w:color w:val="222222"/>
        </w:rPr>
      </w:pPr>
      <w:r w:rsidRPr="00A726DA">
        <w:rPr>
          <w:rFonts w:ascii="Palatino Linotype" w:hAnsi="Palatino Linotype" w:cs="Arial"/>
        </w:rPr>
        <w:t>De</w:t>
      </w:r>
      <w:r w:rsidRPr="00A726DA">
        <w:rPr>
          <w:rFonts w:ascii="Palatino Linotype" w:hAnsi="Palatino Linotype" w:cs="Arial"/>
          <w:iCs/>
          <w:color w:val="222222"/>
        </w:rPr>
        <w:t xml:space="preserve"> igual forma, es </w:t>
      </w:r>
      <w:r w:rsidRPr="00A726DA">
        <w:rPr>
          <w:rFonts w:ascii="Palatino Linotype" w:hAnsi="Palatino Linotype" w:cs="Arial"/>
        </w:rPr>
        <w:t>aplicable</w:t>
      </w:r>
      <w:r w:rsidRPr="00A726DA">
        <w:rPr>
          <w:rFonts w:ascii="Palatino Linotype" w:hAnsi="Palatino Linotype" w:cs="Arial"/>
          <w:iCs/>
          <w:color w:val="222222"/>
        </w:rPr>
        <w:t xml:space="preserve"> el Criterio 7/2017, emitido en la Segunda Época por el Instituto Nacional de Transparencia, Acceso a la Información y Protección de Datos Personales, el cual señala lo siguiente:</w:t>
      </w:r>
    </w:p>
    <w:p w:rsidR="00DF2698" w:rsidRPr="00A726DA" w:rsidRDefault="00DF2698" w:rsidP="00376C57">
      <w:pPr>
        <w:pStyle w:val="Prrafodelista"/>
        <w:spacing w:line="360" w:lineRule="auto"/>
        <w:ind w:left="0"/>
        <w:jc w:val="both"/>
        <w:rPr>
          <w:rFonts w:ascii="Palatino Linotype" w:hAnsi="Palatino Linotype" w:cs="Arial"/>
          <w:iCs/>
          <w:color w:val="222222"/>
          <w:sz w:val="22"/>
        </w:rPr>
      </w:pPr>
    </w:p>
    <w:p w:rsidR="00DF2698" w:rsidRPr="00A726DA" w:rsidRDefault="00DF2698" w:rsidP="00376C57">
      <w:pPr>
        <w:tabs>
          <w:tab w:val="left" w:pos="426"/>
        </w:tabs>
        <w:spacing w:line="360" w:lineRule="auto"/>
        <w:ind w:left="425" w:right="476"/>
        <w:contextualSpacing/>
        <w:jc w:val="both"/>
        <w:rPr>
          <w:rFonts w:ascii="Palatino Linotype" w:eastAsia="MS Mincho" w:hAnsi="Palatino Linotype" w:cs="Arial"/>
          <w:color w:val="000000" w:themeColor="text1"/>
          <w:sz w:val="22"/>
        </w:rPr>
      </w:pPr>
      <w:r w:rsidRPr="00A726DA">
        <w:rPr>
          <w:rFonts w:ascii="Palatino Linotype" w:eastAsia="MS Mincho" w:hAnsi="Palatino Linotype" w:cs="Arial"/>
          <w:color w:val="000000" w:themeColor="text1"/>
          <w:sz w:val="22"/>
        </w:rPr>
        <w:t xml:space="preserve"> “</w:t>
      </w:r>
      <w:r w:rsidRPr="00A726DA">
        <w:rPr>
          <w:rFonts w:ascii="Palatino Linotype" w:hAnsi="Palatino Linotype" w:cs="Arial"/>
          <w:b/>
          <w:i/>
          <w:color w:val="222222"/>
          <w:sz w:val="22"/>
        </w:rPr>
        <w:t xml:space="preserve">Casos en los que no es necesario que el Comité de Transparencia confirme formalmente la inexistencia de la información. </w:t>
      </w:r>
      <w:r w:rsidRPr="00A726DA">
        <w:rPr>
          <w:rFonts w:ascii="Palatino Linotype" w:hAnsi="Palatino Linotype" w:cs="Arial"/>
          <w:i/>
          <w:color w:val="222222"/>
          <w:sz w:val="22"/>
        </w:rPr>
        <w:t xml:space="preserve">La Ley General de Transparencia y Acceso a la Información Pública y la Ley Federal de Transparencia y Acceso a la Información Pública establecen el procedimiento 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en aquellos casos en que no se advierta obligación alguna de los sujetos obligados para contar con la información, derivado del análisis a la normativa aplicable a la materia </w:t>
      </w:r>
      <w:r w:rsidRPr="00A726DA">
        <w:rPr>
          <w:rFonts w:ascii="Palatino Linotype" w:hAnsi="Palatino Linotype" w:cs="Arial"/>
          <w:i/>
          <w:color w:val="222222"/>
          <w:sz w:val="22"/>
        </w:rPr>
        <w:lastRenderedPageBreak/>
        <w:t>de la solicitud; y además no se tengan elementos de convicción que permitan suponer que ésta debe obrar en sus archivos, no será necesario que el Comité de Transparencia emita una resolución que confirme la inexistencia de la información.</w:t>
      </w:r>
    </w:p>
    <w:p w:rsidR="00DF2698" w:rsidRPr="00A726DA" w:rsidRDefault="00DF2698" w:rsidP="00376C57">
      <w:pPr>
        <w:shd w:val="clear" w:color="auto" w:fill="FFFFFF"/>
        <w:spacing w:line="360" w:lineRule="auto"/>
        <w:ind w:left="425" w:right="476"/>
        <w:jc w:val="both"/>
        <w:rPr>
          <w:rFonts w:ascii="Palatino Linotype" w:hAnsi="Palatino Linotype" w:cs="Arial"/>
          <w:i/>
          <w:color w:val="222222"/>
          <w:sz w:val="22"/>
        </w:rPr>
      </w:pPr>
      <w:r w:rsidRPr="00A726DA">
        <w:rPr>
          <w:rFonts w:ascii="Palatino Linotype" w:hAnsi="Palatino Linotype" w:cs="Arial"/>
          <w:i/>
          <w:color w:val="222222"/>
          <w:sz w:val="22"/>
        </w:rPr>
        <w:t>Resoluciones:</w:t>
      </w:r>
    </w:p>
    <w:p w:rsidR="00DF2698" w:rsidRPr="00A726DA" w:rsidRDefault="00DF2698" w:rsidP="00376C57">
      <w:pPr>
        <w:shd w:val="clear" w:color="auto" w:fill="FFFFFF"/>
        <w:spacing w:line="360" w:lineRule="auto"/>
        <w:ind w:left="425" w:right="476"/>
        <w:jc w:val="both"/>
        <w:rPr>
          <w:rFonts w:ascii="Palatino Linotype" w:hAnsi="Palatino Linotype" w:cs="Arial"/>
          <w:i/>
          <w:color w:val="222222"/>
          <w:sz w:val="22"/>
        </w:rPr>
      </w:pPr>
    </w:p>
    <w:p w:rsidR="00DF2698" w:rsidRPr="00A726DA" w:rsidRDefault="00DF2698" w:rsidP="00376C57">
      <w:pPr>
        <w:shd w:val="clear" w:color="auto" w:fill="FFFFFF"/>
        <w:spacing w:line="360" w:lineRule="auto"/>
        <w:ind w:left="425" w:right="476"/>
        <w:jc w:val="both"/>
        <w:rPr>
          <w:rFonts w:ascii="Palatino Linotype" w:hAnsi="Palatino Linotype" w:cs="Arial"/>
          <w:i/>
          <w:color w:val="222222"/>
          <w:sz w:val="22"/>
        </w:rPr>
      </w:pPr>
      <w:r w:rsidRPr="00A726DA">
        <w:rPr>
          <w:rFonts w:ascii="Palatino Linotype" w:hAnsi="Palatino Linotype" w:cs="Arial"/>
          <w:i/>
          <w:color w:val="222222"/>
          <w:sz w:val="22"/>
        </w:rPr>
        <w:t>•</w:t>
      </w:r>
      <w:r w:rsidRPr="00A726DA">
        <w:rPr>
          <w:rFonts w:ascii="Palatino Linotype" w:hAnsi="Palatino Linotype" w:cs="Arial"/>
          <w:i/>
          <w:color w:val="222222"/>
          <w:sz w:val="22"/>
        </w:rPr>
        <w:tab/>
        <w:t>RRA 2959/16. Secretaría de Gobernación. 23 de noviembre de 2016. Por unanimidad. Comisionado Ponente Rosendoevgueni Monterrey Chepov.</w:t>
      </w:r>
    </w:p>
    <w:p w:rsidR="00DF2698" w:rsidRPr="00A726DA" w:rsidRDefault="00DF2698" w:rsidP="00376C57">
      <w:pPr>
        <w:shd w:val="clear" w:color="auto" w:fill="FFFFFF"/>
        <w:spacing w:line="360" w:lineRule="auto"/>
        <w:ind w:left="425" w:right="476"/>
        <w:jc w:val="both"/>
        <w:rPr>
          <w:rFonts w:ascii="Palatino Linotype" w:hAnsi="Palatino Linotype" w:cs="Arial"/>
          <w:i/>
          <w:color w:val="222222"/>
          <w:sz w:val="22"/>
        </w:rPr>
      </w:pPr>
      <w:r w:rsidRPr="00A726DA">
        <w:rPr>
          <w:rFonts w:ascii="Palatino Linotype" w:hAnsi="Palatino Linotype" w:cs="Arial"/>
          <w:i/>
          <w:color w:val="222222"/>
          <w:sz w:val="22"/>
        </w:rPr>
        <w:t>•</w:t>
      </w:r>
      <w:r w:rsidRPr="00A726DA">
        <w:rPr>
          <w:rFonts w:ascii="Palatino Linotype" w:hAnsi="Palatino Linotype" w:cs="Arial"/>
          <w:i/>
          <w:color w:val="222222"/>
          <w:sz w:val="22"/>
        </w:rPr>
        <w:tab/>
        <w:t>RRA 3186/16. Petróleos Mexicanos. 13 de diciembre de 2016. Por unanimidad. Comisionado Ponente Francisco Javier Acuña Llamas.</w:t>
      </w:r>
    </w:p>
    <w:p w:rsidR="00DF2698" w:rsidRPr="00A726DA" w:rsidRDefault="00DF2698" w:rsidP="00376C57">
      <w:pPr>
        <w:shd w:val="clear" w:color="auto" w:fill="FFFFFF"/>
        <w:spacing w:line="360" w:lineRule="auto"/>
        <w:ind w:left="425" w:right="476"/>
        <w:jc w:val="both"/>
        <w:rPr>
          <w:rFonts w:ascii="Palatino Linotype" w:hAnsi="Palatino Linotype" w:cs="Arial"/>
          <w:i/>
          <w:color w:val="222222"/>
          <w:sz w:val="22"/>
        </w:rPr>
      </w:pPr>
      <w:r w:rsidRPr="00A726DA">
        <w:rPr>
          <w:rFonts w:ascii="Palatino Linotype" w:hAnsi="Palatino Linotype" w:cs="Arial"/>
          <w:i/>
          <w:color w:val="222222"/>
          <w:sz w:val="22"/>
        </w:rPr>
        <w:t>•</w:t>
      </w:r>
      <w:r w:rsidRPr="00A726DA">
        <w:rPr>
          <w:rFonts w:ascii="Palatino Linotype" w:hAnsi="Palatino Linotype" w:cs="Arial"/>
          <w:i/>
          <w:color w:val="222222"/>
          <w:sz w:val="22"/>
        </w:rPr>
        <w:tab/>
        <w:t>RRA 4216/16. Cámara de Diputados. 05 de enero de 2017. Por unanimidad. Comisionada Ponente Areli Cano Guadiana.”</w:t>
      </w:r>
    </w:p>
    <w:p w:rsidR="00376C57" w:rsidRPr="00A726DA" w:rsidRDefault="00376C57" w:rsidP="00376C57">
      <w:pPr>
        <w:shd w:val="clear" w:color="auto" w:fill="FFFFFF"/>
        <w:spacing w:line="360" w:lineRule="auto"/>
        <w:ind w:left="425" w:right="476"/>
        <w:jc w:val="both"/>
        <w:rPr>
          <w:rFonts w:ascii="Palatino Linotype" w:hAnsi="Palatino Linotype" w:cs="Arial"/>
          <w:i/>
          <w:color w:val="222222"/>
        </w:rPr>
      </w:pPr>
    </w:p>
    <w:p w:rsidR="00DF2698" w:rsidRPr="00A726DA" w:rsidRDefault="00DF2698" w:rsidP="00376C57">
      <w:pPr>
        <w:pStyle w:val="Prrafodelista"/>
        <w:numPr>
          <w:ilvl w:val="0"/>
          <w:numId w:val="15"/>
        </w:numPr>
        <w:tabs>
          <w:tab w:val="left" w:pos="426"/>
        </w:tabs>
        <w:spacing w:line="360" w:lineRule="auto"/>
        <w:ind w:left="0" w:right="51" w:firstLine="0"/>
        <w:jc w:val="both"/>
        <w:rPr>
          <w:rFonts w:ascii="Palatino Linotype" w:hAnsi="Palatino Linotype"/>
          <w:color w:val="000000" w:themeColor="text1"/>
        </w:rPr>
      </w:pPr>
      <w:r w:rsidRPr="00A726DA">
        <w:rPr>
          <w:rFonts w:ascii="Palatino Linotype" w:hAnsi="Palatino Linotype" w:cs="Arial"/>
          <w:noProof/>
          <w:color w:val="000000" w:themeColor="text1"/>
          <w:lang w:eastAsia="es-MX"/>
        </w:rPr>
        <w:t xml:space="preserve">Así </w:t>
      </w:r>
      <w:r w:rsidRPr="00A726DA">
        <w:rPr>
          <w:rFonts w:ascii="Palatino Linotype" w:hAnsi="Palatino Linotype" w:cs="Arial"/>
        </w:rPr>
        <w:t>las</w:t>
      </w:r>
      <w:r w:rsidRPr="00A726DA">
        <w:rPr>
          <w:rFonts w:ascii="Palatino Linotype" w:hAnsi="Palatino Linotype" w:cs="Arial"/>
          <w:noProof/>
          <w:color w:val="000000" w:themeColor="text1"/>
          <w:lang w:eastAsia="es-MX"/>
        </w:rPr>
        <w:t xml:space="preserve"> </w:t>
      </w:r>
      <w:r w:rsidRPr="00A726DA">
        <w:rPr>
          <w:rFonts w:ascii="Palatino Linotype" w:eastAsia="Batang" w:hAnsi="Palatino Linotype" w:cs="Arial"/>
          <w:color w:val="000000" w:themeColor="text1"/>
        </w:rPr>
        <w:t>cosas</w:t>
      </w:r>
      <w:r w:rsidRPr="00A726DA">
        <w:rPr>
          <w:rFonts w:ascii="Palatino Linotype" w:hAnsi="Palatino Linotype" w:cs="Arial"/>
          <w:noProof/>
          <w:color w:val="000000" w:themeColor="text1"/>
          <w:lang w:eastAsia="es-MX"/>
        </w:rPr>
        <w:t xml:space="preserve">, como quedó demostrado, si bien es cierto se pretendio atender inicialmente la solicitud de información con un documento que se colige era el solicitado; también lo es que el solicitante si habia sido puntual y el </w:t>
      </w:r>
      <w:r w:rsidRPr="00A726DA">
        <w:rPr>
          <w:rFonts w:ascii="Palatino Linotype" w:hAnsi="Palatino Linotype" w:cs="Arial"/>
          <w:b/>
          <w:noProof/>
          <w:color w:val="000000" w:themeColor="text1"/>
          <w:lang w:eastAsia="es-MX"/>
        </w:rPr>
        <w:t xml:space="preserve">SUJETO OBLIGADO </w:t>
      </w:r>
      <w:r w:rsidRPr="00A726DA">
        <w:rPr>
          <w:rFonts w:ascii="Palatino Linotype" w:hAnsi="Palatino Linotype" w:cs="Arial"/>
          <w:noProof/>
          <w:color w:val="000000" w:themeColor="text1"/>
          <w:lang w:eastAsia="es-MX"/>
        </w:rPr>
        <w:t>v</w:t>
      </w:r>
      <w:r w:rsidR="00376C57" w:rsidRPr="00A726DA">
        <w:rPr>
          <w:rFonts w:ascii="Palatino Linotype" w:hAnsi="Palatino Linotype" w:cs="Arial"/>
          <w:noProof/>
          <w:color w:val="000000" w:themeColor="text1"/>
          <w:lang w:eastAsia="es-MX"/>
        </w:rPr>
        <w:t>ia informe justificado, modificó</w:t>
      </w:r>
      <w:r w:rsidRPr="00A726DA">
        <w:rPr>
          <w:rFonts w:ascii="Palatino Linotype" w:hAnsi="Palatino Linotype" w:cs="Arial"/>
          <w:noProof/>
          <w:color w:val="000000" w:themeColor="text1"/>
          <w:lang w:eastAsia="es-MX"/>
        </w:rPr>
        <w:t xml:space="preserve"> su respuesta en los terminos planteados por el solicitante, actualizandose </w:t>
      </w:r>
      <w:r w:rsidRPr="00A726DA">
        <w:rPr>
          <w:rFonts w:ascii="Palatino Linotype" w:hAnsi="Palatino Linotype" w:cs="Arial"/>
          <w:color w:val="000000" w:themeColor="text1"/>
        </w:rPr>
        <w:t xml:space="preserve">la fracción III del artículo 192 </w:t>
      </w:r>
      <w:r w:rsidRPr="00A726DA">
        <w:rPr>
          <w:rFonts w:ascii="Palatino Linotype" w:eastAsia="Batang" w:hAnsi="Palatino Linotype" w:cs="Arial"/>
          <w:color w:val="000000" w:themeColor="text1"/>
        </w:rPr>
        <w:t xml:space="preserve">de la </w:t>
      </w:r>
      <w:r w:rsidRPr="00A726DA">
        <w:rPr>
          <w:rFonts w:ascii="Palatino Linotype" w:eastAsia="Batang" w:hAnsi="Palatino Linotype" w:cs="Arial"/>
          <w:b/>
          <w:color w:val="000000" w:themeColor="text1"/>
        </w:rPr>
        <w:t>Ley de Transparencia y Acceso a la Información Pública del Estado de México y Municipios</w:t>
      </w:r>
      <w:r w:rsidRPr="00A726DA">
        <w:rPr>
          <w:rFonts w:ascii="Palatino Linotype" w:eastAsia="Batang" w:hAnsi="Palatino Linotype" w:cs="Arial"/>
          <w:color w:val="000000" w:themeColor="text1"/>
        </w:rPr>
        <w:t>, a saber:</w:t>
      </w:r>
    </w:p>
    <w:p w:rsidR="00376C57" w:rsidRPr="00A726DA" w:rsidRDefault="00376C57" w:rsidP="00376C57">
      <w:pPr>
        <w:pStyle w:val="Prrafodelista"/>
        <w:tabs>
          <w:tab w:val="left" w:pos="426"/>
        </w:tabs>
        <w:spacing w:line="360" w:lineRule="auto"/>
        <w:ind w:left="0" w:right="51"/>
        <w:jc w:val="both"/>
        <w:rPr>
          <w:rFonts w:ascii="Palatino Linotype" w:hAnsi="Palatino Linotype"/>
          <w:color w:val="000000" w:themeColor="text1"/>
          <w:sz w:val="22"/>
        </w:rPr>
      </w:pPr>
    </w:p>
    <w:p w:rsidR="00DF2698" w:rsidRPr="00A726DA" w:rsidRDefault="00DF2698" w:rsidP="00376C57">
      <w:pPr>
        <w:tabs>
          <w:tab w:val="left" w:pos="426"/>
        </w:tabs>
        <w:spacing w:line="360" w:lineRule="auto"/>
        <w:ind w:left="426" w:right="474"/>
        <w:jc w:val="both"/>
        <w:rPr>
          <w:rFonts w:ascii="Palatino Linotype" w:hAnsi="Palatino Linotype"/>
          <w:i/>
          <w:color w:val="000000" w:themeColor="text1"/>
          <w:sz w:val="22"/>
        </w:rPr>
      </w:pPr>
      <w:r w:rsidRPr="00A726DA">
        <w:rPr>
          <w:rFonts w:ascii="Palatino Linotype" w:hAnsi="Palatino Linotype"/>
          <w:i/>
          <w:color w:val="000000" w:themeColor="text1"/>
          <w:sz w:val="22"/>
        </w:rPr>
        <w:t>“Artículo 192. El recurso será sobreseído, en todo o en parte, cuando una vez admitido, se actualicen alguno de los siguientes supuestos:</w:t>
      </w:r>
    </w:p>
    <w:p w:rsidR="00DF2698" w:rsidRPr="00A726DA" w:rsidRDefault="00DF2698" w:rsidP="00376C57">
      <w:pPr>
        <w:tabs>
          <w:tab w:val="left" w:pos="426"/>
        </w:tabs>
        <w:spacing w:line="360" w:lineRule="auto"/>
        <w:ind w:left="426" w:right="474"/>
        <w:jc w:val="both"/>
        <w:rPr>
          <w:rFonts w:ascii="Palatino Linotype" w:hAnsi="Palatino Linotype"/>
          <w:i/>
          <w:color w:val="000000" w:themeColor="text1"/>
          <w:sz w:val="22"/>
        </w:rPr>
      </w:pPr>
      <w:r w:rsidRPr="00A726DA">
        <w:rPr>
          <w:rFonts w:ascii="Palatino Linotype" w:hAnsi="Palatino Linotype"/>
          <w:i/>
          <w:color w:val="000000" w:themeColor="text1"/>
          <w:sz w:val="22"/>
        </w:rPr>
        <w:t>...</w:t>
      </w:r>
    </w:p>
    <w:p w:rsidR="00DF2698" w:rsidRPr="00A726DA" w:rsidRDefault="00DF2698" w:rsidP="00376C57">
      <w:pPr>
        <w:tabs>
          <w:tab w:val="left" w:pos="426"/>
        </w:tabs>
        <w:spacing w:line="360" w:lineRule="auto"/>
        <w:ind w:left="426" w:right="474"/>
        <w:jc w:val="both"/>
        <w:rPr>
          <w:rFonts w:ascii="Palatino Linotype" w:hAnsi="Palatino Linotype"/>
          <w:i/>
          <w:color w:val="000000" w:themeColor="text1"/>
          <w:sz w:val="22"/>
        </w:rPr>
      </w:pPr>
      <w:r w:rsidRPr="00A726DA">
        <w:rPr>
          <w:rFonts w:ascii="Palatino Linotype" w:hAnsi="Palatino Linotype"/>
          <w:i/>
          <w:color w:val="000000" w:themeColor="text1"/>
          <w:sz w:val="22"/>
        </w:rPr>
        <w:lastRenderedPageBreak/>
        <w:t xml:space="preserve">III. </w:t>
      </w:r>
      <w:r w:rsidRPr="00A726DA">
        <w:rPr>
          <w:rFonts w:ascii="Palatino Linotype" w:hAnsi="Palatino Linotype"/>
          <w:b/>
          <w:i/>
          <w:color w:val="000000" w:themeColor="text1"/>
          <w:sz w:val="22"/>
        </w:rPr>
        <w:t>El sujeto obligado responsable del acto lo modifique o revoque de tal manera que el recurso de revisión quede sin materia</w:t>
      </w:r>
      <w:r w:rsidRPr="00A726DA">
        <w:rPr>
          <w:rFonts w:ascii="Palatino Linotype" w:hAnsi="Palatino Linotype"/>
          <w:i/>
          <w:color w:val="000000" w:themeColor="text1"/>
          <w:sz w:val="22"/>
        </w:rPr>
        <w:t>;</w:t>
      </w:r>
    </w:p>
    <w:p w:rsidR="00DF2698" w:rsidRPr="00A726DA" w:rsidRDefault="00DF2698" w:rsidP="00376C57">
      <w:pPr>
        <w:tabs>
          <w:tab w:val="left" w:pos="426"/>
        </w:tabs>
        <w:spacing w:line="360" w:lineRule="auto"/>
        <w:ind w:left="426" w:right="474"/>
        <w:jc w:val="both"/>
        <w:rPr>
          <w:rFonts w:ascii="Palatino Linotype" w:hAnsi="Palatino Linotype"/>
          <w:i/>
          <w:color w:val="000000" w:themeColor="text1"/>
          <w:sz w:val="22"/>
        </w:rPr>
      </w:pPr>
      <w:r w:rsidRPr="00A726DA">
        <w:rPr>
          <w:rFonts w:ascii="Palatino Linotype" w:hAnsi="Palatino Linotype"/>
          <w:i/>
          <w:color w:val="000000" w:themeColor="text1"/>
          <w:sz w:val="22"/>
        </w:rPr>
        <w:t>...”</w:t>
      </w:r>
    </w:p>
    <w:p w:rsidR="00DF2698" w:rsidRPr="00A726DA" w:rsidRDefault="00DF2698" w:rsidP="00376C57">
      <w:pPr>
        <w:tabs>
          <w:tab w:val="left" w:pos="426"/>
        </w:tabs>
        <w:spacing w:line="360" w:lineRule="auto"/>
        <w:ind w:right="51"/>
        <w:jc w:val="both"/>
        <w:rPr>
          <w:rFonts w:ascii="Palatino Linotype" w:hAnsi="Palatino Linotype"/>
          <w:color w:val="000000" w:themeColor="text1"/>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s="Arial"/>
        </w:rPr>
      </w:pPr>
      <w:r w:rsidRPr="00A726DA">
        <w:rPr>
          <w:rFonts w:ascii="Palatino Linotype" w:eastAsia="Calibri" w:hAnsi="Palatino Linotype" w:cs="Arial"/>
        </w:rPr>
        <w:t xml:space="preserve">Es así que se concluye, que el recurso de revisión actualizan la causal de </w:t>
      </w:r>
      <w:r w:rsidRPr="00A726DA">
        <w:rPr>
          <w:rFonts w:ascii="Palatino Linotype" w:hAnsi="Palatino Linotype" w:cs="Arial"/>
          <w:color w:val="000000"/>
        </w:rPr>
        <w:t>sobreseimiento</w:t>
      </w:r>
      <w:r w:rsidRPr="00A726DA">
        <w:rPr>
          <w:rFonts w:ascii="Palatino Linotype" w:eastAsia="Calibri" w:hAnsi="Palatino Linotype" w:cs="Arial"/>
        </w:rPr>
        <w:t xml:space="preserve"> establecida en la fracción III del artículo 192, por modificar la respuesta en un hecho posterior a través del informe justificado, contestación que además fue emitida por el servidor público habilitado del Órgano Interno de Control.</w:t>
      </w:r>
    </w:p>
    <w:p w:rsidR="00DF2698" w:rsidRPr="00A726DA" w:rsidRDefault="00DF2698" w:rsidP="00376C57">
      <w:pPr>
        <w:pStyle w:val="Prrafodelista"/>
        <w:spacing w:line="360" w:lineRule="auto"/>
        <w:ind w:left="0"/>
        <w:jc w:val="both"/>
        <w:rPr>
          <w:rFonts w:ascii="Palatino Linotype" w:hAnsi="Palatino Linotype" w:cs="Arial"/>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eastAsia="Batang" w:hAnsi="Palatino Linotype" w:cs="Arial"/>
          <w:color w:val="000000" w:themeColor="text1"/>
        </w:rPr>
        <w:t xml:space="preserve">Ahora bien, que de acuerdo con el procesalista Niceto Alcalá-Zamora y Castillo en su obra </w:t>
      </w:r>
      <w:r w:rsidRPr="00A726DA">
        <w:rPr>
          <w:rFonts w:ascii="Palatino Linotype" w:eastAsia="Batang" w:hAnsi="Palatino Linotype" w:cs="Arial"/>
          <w:i/>
          <w:color w:val="000000" w:themeColor="text1"/>
        </w:rPr>
        <w:t>“</w:t>
      </w:r>
      <w:r w:rsidRPr="00A726DA">
        <w:rPr>
          <w:rFonts w:ascii="Palatino Linotype" w:eastAsia="Calibri" w:hAnsi="Palatino Linotype" w:cs="Times New Roman"/>
          <w:color w:val="000000" w:themeColor="text1"/>
        </w:rPr>
        <w:t>Cuestiones</w:t>
      </w:r>
      <w:r w:rsidRPr="00A726DA">
        <w:rPr>
          <w:rFonts w:ascii="Palatino Linotype" w:eastAsia="Batang" w:hAnsi="Palatino Linotype" w:cs="Arial"/>
          <w:i/>
          <w:color w:val="000000" w:themeColor="text1"/>
        </w:rPr>
        <w:t xml:space="preserve"> de Terminología Procesal”</w:t>
      </w:r>
      <w:r w:rsidRPr="00A726DA">
        <w:rPr>
          <w:rFonts w:ascii="Palatino Linotype" w:eastAsia="Batang" w:hAnsi="Palatino Linotype" w:cs="Arial"/>
          <w:color w:val="000000" w:themeColor="text1"/>
        </w:rPr>
        <w:t xml:space="preserve">, el sobreseimiento es </w:t>
      </w:r>
      <w:r w:rsidRPr="00A726DA">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rsidR="00DF2698" w:rsidRPr="00A726DA" w:rsidRDefault="00DF2698" w:rsidP="00376C57">
      <w:pPr>
        <w:pStyle w:val="Prrafodelista"/>
        <w:spacing w:line="360" w:lineRule="auto"/>
        <w:ind w:left="0"/>
        <w:jc w:val="both"/>
        <w:rPr>
          <w:rFonts w:ascii="Palatino Linotype" w:hAnsi="Palatino Linotype"/>
          <w:color w:val="000000" w:themeColor="text1"/>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eastAsia="Batang" w:hAnsi="Palatino Linotype" w:cs="Arial"/>
          <w:color w:val="000000" w:themeColor="text1"/>
        </w:rPr>
        <w:t xml:space="preserve">Eduardo Pallares, en su artículo </w:t>
      </w:r>
      <w:r w:rsidRPr="00A726DA">
        <w:rPr>
          <w:rFonts w:ascii="Palatino Linotype" w:eastAsia="Batang" w:hAnsi="Palatino Linotype" w:cs="Arial"/>
          <w:i/>
          <w:color w:val="000000" w:themeColor="text1"/>
        </w:rPr>
        <w:t>“La caducidad y el sobreseimiento en el amparo”</w:t>
      </w:r>
      <w:r w:rsidRPr="00A726DA">
        <w:rPr>
          <w:rFonts w:ascii="Palatino Linotype" w:eastAsia="Batang" w:hAnsi="Palatino Linotype" w:cs="Arial"/>
          <w:color w:val="000000" w:themeColor="text1"/>
        </w:rPr>
        <w:t xml:space="preserve">, cita la definición de Aguilera Paz, aduciendo que se </w:t>
      </w:r>
      <w:r w:rsidRPr="00A726DA">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A726DA">
        <w:rPr>
          <w:rFonts w:ascii="Palatino Linotype" w:eastAsia="Batang" w:hAnsi="Palatino Linotype" w:cs="Arial"/>
          <w:color w:val="000000" w:themeColor="text1"/>
        </w:rPr>
        <w:t>. Asimismo señala que existe el sobreseimiento provisional y el definitivo</w:t>
      </w:r>
      <w:r w:rsidRPr="00A726DA">
        <w:rPr>
          <w:rFonts w:ascii="Palatino Linotype" w:eastAsia="Batang" w:hAnsi="Palatino Linotype" w:cs="Arial"/>
          <w:i/>
          <w:color w:val="000000" w:themeColor="text1"/>
        </w:rPr>
        <w:t xml:space="preserve">: “...el definitivo es una verdadera sentencia que pone fin al juicio, y que una vez </w:t>
      </w:r>
      <w:r w:rsidRPr="00A726DA">
        <w:rPr>
          <w:rFonts w:ascii="Palatino Linotype" w:eastAsia="Batang" w:hAnsi="Palatino Linotype" w:cs="Arial"/>
          <w:i/>
          <w:color w:val="000000" w:themeColor="text1"/>
        </w:rPr>
        <w:lastRenderedPageBreak/>
        <w:t>dictada, produce cosa juzgada, mientras que el provisorio tiene por efectos suspender la prosecución de la causa...”</w:t>
      </w:r>
    </w:p>
    <w:p w:rsidR="00DF2698" w:rsidRPr="00A726DA" w:rsidRDefault="00DF2698" w:rsidP="00376C57">
      <w:pPr>
        <w:pStyle w:val="Prrafodelista"/>
        <w:spacing w:line="360" w:lineRule="auto"/>
        <w:ind w:left="0"/>
        <w:jc w:val="both"/>
        <w:rPr>
          <w:rFonts w:ascii="Palatino Linotype" w:hAnsi="Palatino Linotype"/>
          <w:color w:val="000000" w:themeColor="text1"/>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eastAsia="Batang" w:hAnsi="Palatino Linotype" w:cs="Arial"/>
          <w:color w:val="000000" w:themeColor="text1"/>
        </w:rPr>
        <w:t xml:space="preserve">Así, para la doctrina el sobreseimiento provoca que un procedimiento se suspenda o se resuelva en definitiva </w:t>
      </w:r>
      <w:r w:rsidRPr="00A726DA">
        <w:rPr>
          <w:rFonts w:ascii="Palatino Linotype" w:eastAsia="Batang" w:hAnsi="Palatino Linotype" w:cs="Arial"/>
          <w:b/>
          <w:color w:val="000000" w:themeColor="text1"/>
          <w:u w:val="single"/>
        </w:rPr>
        <w:t>sin que se entre al estudio de los agravios o motivos de inconformidad.</w:t>
      </w:r>
      <w:r w:rsidRPr="00A726DA">
        <w:rPr>
          <w:rFonts w:ascii="Palatino Linotype" w:eastAsia="Batang" w:hAnsi="Palatino Linotype" w:cs="Arial"/>
          <w:b/>
          <w:color w:val="000000" w:themeColor="text1"/>
        </w:rPr>
        <w:t xml:space="preserve"> </w:t>
      </w:r>
      <w:r w:rsidRPr="00A726DA">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rsidR="00DF2698" w:rsidRPr="00A726DA" w:rsidRDefault="00DF2698" w:rsidP="00376C57">
      <w:pPr>
        <w:pStyle w:val="Prrafodelista"/>
        <w:spacing w:line="360" w:lineRule="auto"/>
        <w:ind w:left="0" w:right="49"/>
        <w:jc w:val="both"/>
        <w:rPr>
          <w:rFonts w:ascii="Palatino Linotype" w:hAnsi="Palatino Linotype"/>
          <w:color w:val="000000" w:themeColor="text1"/>
          <w:sz w:val="22"/>
        </w:rPr>
      </w:pPr>
    </w:p>
    <w:p w:rsidR="00DF2698" w:rsidRPr="00A726DA" w:rsidRDefault="00DF2698" w:rsidP="00376C57">
      <w:pPr>
        <w:pStyle w:val="Prrafodelista"/>
        <w:spacing w:line="360" w:lineRule="auto"/>
        <w:ind w:left="567" w:right="616"/>
        <w:jc w:val="both"/>
        <w:rPr>
          <w:rFonts w:ascii="Palatino Linotype" w:hAnsi="Palatino Linotype"/>
          <w:color w:val="000000" w:themeColor="text1"/>
          <w:sz w:val="22"/>
        </w:rPr>
      </w:pPr>
      <w:r w:rsidRPr="00A726DA">
        <w:rPr>
          <w:rFonts w:ascii="Palatino Linotype" w:eastAsia="Batang" w:hAnsi="Palatino Linotype" w:cs="Arial"/>
          <w:b/>
          <w:i/>
          <w:color w:val="000000" w:themeColor="text1"/>
          <w:sz w:val="22"/>
          <w:lang w:val="es-AR"/>
        </w:rPr>
        <w:t>SOBRESEIMIENTO EN EL JUICIO DE AMPARO DIRECTO. IMPIDE EL ESTUDIO DE LAS VIOLACIONES PROCESALES PLANTEADAS EN LOS CONCEPTOS DE VIOLACIÓN.</w:t>
      </w:r>
    </w:p>
    <w:p w:rsidR="00DF2698" w:rsidRPr="00A726DA" w:rsidRDefault="00DF2698" w:rsidP="00376C57">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A726DA">
        <w:rPr>
          <w:rFonts w:ascii="Palatino Linotype" w:eastAsia="Batang" w:hAnsi="Palatino Linotype" w:cs="Arial"/>
          <w:b/>
          <w:i/>
          <w:color w:val="000000" w:themeColor="text1"/>
          <w:sz w:val="22"/>
          <w:lang w:val="es-AR"/>
        </w:rPr>
        <w:t>El sobreseimiento</w:t>
      </w:r>
      <w:r w:rsidRPr="00A726DA">
        <w:rPr>
          <w:rFonts w:ascii="Palatino Linotype" w:eastAsia="Batang" w:hAnsi="Palatino Linotype" w:cs="Arial"/>
          <w:i/>
          <w:color w:val="000000" w:themeColor="text1"/>
          <w:sz w:val="22"/>
          <w:lang w:val="es-AR"/>
        </w:rPr>
        <w:t xml:space="preserve"> en el juicio de amparo directo </w:t>
      </w:r>
      <w:r w:rsidRPr="00A726DA">
        <w:rPr>
          <w:rFonts w:ascii="Palatino Linotype" w:eastAsia="Batang" w:hAnsi="Palatino Linotype" w:cs="Arial"/>
          <w:b/>
          <w:i/>
          <w:color w:val="000000" w:themeColor="text1"/>
          <w:sz w:val="22"/>
          <w:lang w:val="es-AR"/>
        </w:rPr>
        <w:t>provoca la terminación de la controversia planteada</w:t>
      </w:r>
      <w:r w:rsidRPr="00A726DA">
        <w:rPr>
          <w:rFonts w:ascii="Palatino Linotype" w:eastAsia="Batang" w:hAnsi="Palatino Linotype" w:cs="Arial"/>
          <w:i/>
          <w:color w:val="000000" w:themeColor="text1"/>
          <w:sz w:val="22"/>
          <w:lang w:val="es-AR"/>
        </w:rPr>
        <w:t xml:space="preserve"> por el quejoso en la demanda de amparo</w:t>
      </w:r>
      <w:r w:rsidRPr="00A726DA">
        <w:rPr>
          <w:rFonts w:ascii="Palatino Linotype" w:eastAsia="Batang" w:hAnsi="Palatino Linotype" w:cs="Arial"/>
          <w:b/>
          <w:i/>
          <w:color w:val="000000" w:themeColor="text1"/>
          <w:sz w:val="22"/>
          <w:lang w:val="es-AR"/>
        </w:rPr>
        <w:t>, sin hacer un pronunciamiento de fondo sobre la legalidad o ilegalidad de la sentencia reclamada</w:t>
      </w:r>
      <w:r w:rsidRPr="00A726DA">
        <w:rPr>
          <w:rFonts w:ascii="Palatino Linotype" w:eastAsia="Batang" w:hAnsi="Palatino Linotype" w:cs="Arial"/>
          <w:i/>
          <w:color w:val="000000" w:themeColor="text1"/>
          <w:sz w:val="22"/>
          <w:lang w:val="es-AR"/>
        </w:rPr>
        <w:t xml:space="preserve">. </w:t>
      </w:r>
      <w:r w:rsidRPr="00A726DA">
        <w:rPr>
          <w:rFonts w:ascii="Palatino Linotype" w:eastAsia="Batang" w:hAnsi="Palatino Linotype" w:cs="Arial"/>
          <w:b/>
          <w:i/>
          <w:color w:val="000000" w:themeColor="text1"/>
          <w:sz w:val="22"/>
          <w:lang w:val="es-AR"/>
        </w:rPr>
        <w:t xml:space="preserve">Por consiguiente, si al sobreseerse en el juicio de amparo </w:t>
      </w:r>
      <w:r w:rsidRPr="00A726DA">
        <w:rPr>
          <w:rFonts w:ascii="Palatino Linotype" w:eastAsia="Batang" w:hAnsi="Palatino Linotype" w:cs="Arial"/>
          <w:b/>
          <w:i/>
          <w:color w:val="000000" w:themeColor="text1"/>
          <w:sz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A726DA">
        <w:rPr>
          <w:rFonts w:ascii="Palatino Linotype" w:eastAsia="Batang" w:hAnsi="Palatino Linotype" w:cs="Arial"/>
          <w:i/>
          <w:color w:val="000000" w:themeColor="text1"/>
          <w:sz w:val="22"/>
          <w:lang w:val="es-AR"/>
        </w:rPr>
        <w:t>.</w:t>
      </w:r>
    </w:p>
    <w:p w:rsidR="00DF2698" w:rsidRPr="00A726DA" w:rsidRDefault="00DF2698" w:rsidP="00376C57">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A726DA">
        <w:rPr>
          <w:rFonts w:ascii="Palatino Linotype" w:eastAsia="Batang" w:hAnsi="Palatino Linotype" w:cs="Arial"/>
          <w:i/>
          <w:color w:val="000000" w:themeColor="text1"/>
          <w:sz w:val="22"/>
          <w:lang w:val="es-AR"/>
        </w:rPr>
        <w:t>SÉPTIMO TRIBUNAL COLEGIADO EN MATERIA CIVIL DEL PRIMER CIRCUITO.</w:t>
      </w:r>
    </w:p>
    <w:p w:rsidR="00DF2698" w:rsidRPr="00A726DA" w:rsidRDefault="00DF2698" w:rsidP="00376C57">
      <w:pPr>
        <w:pStyle w:val="Prrafodelista"/>
        <w:autoSpaceDE w:val="0"/>
        <w:autoSpaceDN w:val="0"/>
        <w:adjustRightInd w:val="0"/>
        <w:spacing w:line="360" w:lineRule="auto"/>
        <w:ind w:left="567" w:right="616"/>
        <w:jc w:val="both"/>
        <w:rPr>
          <w:rFonts w:ascii="Palatino Linotype" w:eastAsia="Batang" w:hAnsi="Palatino Linotype" w:cs="Arial"/>
          <w:i/>
          <w:color w:val="000000" w:themeColor="text1"/>
          <w:sz w:val="22"/>
          <w:lang w:val="es-AR"/>
        </w:rPr>
      </w:pPr>
      <w:r w:rsidRPr="00A726DA">
        <w:rPr>
          <w:rFonts w:ascii="Palatino Linotype" w:eastAsia="Batang" w:hAnsi="Palatino Linotype" w:cs="Arial"/>
          <w:i/>
          <w:color w:val="000000" w:themeColor="text1"/>
          <w:sz w:val="22"/>
          <w:lang w:val="es-AR"/>
        </w:rPr>
        <w:lastRenderedPageBreak/>
        <w:t>Amparo directo 699/2008. Mariana Leticia González Steele. 13 de noviembre de 2008. Unanimidad de votos. Ponente: Sara Judith Montalvo Trejo. Secretario: Arnulfo Mateos García.</w:t>
      </w:r>
    </w:p>
    <w:p w:rsidR="00DF2698" w:rsidRPr="00A726DA" w:rsidRDefault="00DF2698" w:rsidP="00376C57">
      <w:pPr>
        <w:pStyle w:val="Prrafodelista"/>
        <w:spacing w:line="360" w:lineRule="auto"/>
        <w:ind w:left="0" w:right="49"/>
        <w:jc w:val="both"/>
        <w:rPr>
          <w:rFonts w:ascii="Palatino Linotype" w:hAnsi="Palatino Linotype"/>
          <w:color w:val="000000" w:themeColor="text1"/>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s="Arial"/>
          <w:noProof/>
          <w:color w:val="000000" w:themeColor="text1"/>
          <w:lang w:eastAsia="es-MX"/>
        </w:rPr>
        <w:t xml:space="preserve">Así las cosas, como quedó demostrado, si bien es cierto el </w:t>
      </w:r>
      <w:r w:rsidRPr="00A726DA">
        <w:rPr>
          <w:rFonts w:ascii="Palatino Linotype" w:hAnsi="Palatino Linotype" w:cs="Arial"/>
          <w:b/>
          <w:noProof/>
          <w:color w:val="000000" w:themeColor="text1"/>
          <w:lang w:eastAsia="es-MX"/>
        </w:rPr>
        <w:t xml:space="preserve">SUJETO OBLIGADO </w:t>
      </w:r>
      <w:r w:rsidRPr="00A726DA">
        <w:rPr>
          <w:rFonts w:ascii="Palatino Linotype" w:hAnsi="Palatino Linotype" w:cs="Arial"/>
          <w:noProof/>
          <w:color w:val="000000" w:themeColor="text1"/>
          <w:lang w:eastAsia="es-MX"/>
        </w:rPr>
        <w:t xml:space="preserve">entregó un soporte documental relacionado con lo solicitado inicialmente; </w:t>
      </w:r>
      <w:r w:rsidRPr="00A726DA">
        <w:rPr>
          <w:rFonts w:ascii="Palatino Linotype" w:eastAsia="Batang" w:hAnsi="Palatino Linotype" w:cs="Arial"/>
          <w:color w:val="000000" w:themeColor="text1"/>
        </w:rPr>
        <w:t>también</w:t>
      </w:r>
      <w:r w:rsidRPr="00A726DA">
        <w:rPr>
          <w:rFonts w:ascii="Palatino Linotype" w:hAnsi="Palatino Linotype" w:cs="Arial"/>
          <w:noProof/>
          <w:color w:val="000000" w:themeColor="text1"/>
          <w:lang w:eastAsia="es-MX"/>
        </w:rPr>
        <w:t xml:space="preserve"> lo es que </w:t>
      </w:r>
      <w:r w:rsidR="00376C57" w:rsidRPr="00A726DA">
        <w:rPr>
          <w:rFonts w:ascii="Palatino Linotype" w:hAnsi="Palatino Linotype" w:cs="Arial"/>
          <w:noProof/>
          <w:color w:val="000000" w:themeColor="text1"/>
          <w:lang w:eastAsia="es-MX"/>
        </w:rPr>
        <w:t xml:space="preserve">en estricto sentido no correspondia a los documentos solicitados y, del cual existio un pronunciamiento en calidad de informe justificado actualizando </w:t>
      </w:r>
      <w:r w:rsidRPr="00A726DA">
        <w:rPr>
          <w:rFonts w:ascii="Palatino Linotype" w:hAnsi="Palatino Linotype" w:cs="Arial"/>
          <w:color w:val="000000" w:themeColor="text1"/>
        </w:rPr>
        <w:t xml:space="preserve">la </w:t>
      </w:r>
      <w:r w:rsidRPr="00A726DA">
        <w:rPr>
          <w:rFonts w:ascii="Palatino Linotype" w:hAnsi="Palatino Linotype" w:cs="Arial"/>
          <w:b/>
          <w:color w:val="000000" w:themeColor="text1"/>
        </w:rPr>
        <w:t>fracción III del artículo 192</w:t>
      </w:r>
      <w:r w:rsidRPr="00A726DA">
        <w:rPr>
          <w:rFonts w:ascii="Palatino Linotype" w:hAnsi="Palatino Linotype" w:cs="Arial"/>
          <w:color w:val="000000" w:themeColor="text1"/>
        </w:rPr>
        <w:t xml:space="preserve"> </w:t>
      </w:r>
      <w:r w:rsidRPr="00A726DA">
        <w:rPr>
          <w:rFonts w:ascii="Palatino Linotype" w:eastAsia="Batang" w:hAnsi="Palatino Linotype" w:cs="Arial"/>
          <w:color w:val="000000" w:themeColor="text1"/>
        </w:rPr>
        <w:t xml:space="preserve">de la </w:t>
      </w:r>
      <w:r w:rsidRPr="00A726DA">
        <w:rPr>
          <w:rFonts w:ascii="Palatino Linotype" w:eastAsia="Batang" w:hAnsi="Palatino Linotype" w:cs="Arial"/>
          <w:b/>
          <w:color w:val="000000" w:themeColor="text1"/>
        </w:rPr>
        <w:t>Ley de Transparencia y Acceso a la Información Pública del Estado de México y Municipios.</w:t>
      </w:r>
    </w:p>
    <w:p w:rsidR="00DF2698" w:rsidRPr="00A726DA" w:rsidRDefault="00DF2698" w:rsidP="00376C57">
      <w:pPr>
        <w:pStyle w:val="Prrafodelista"/>
        <w:spacing w:line="360" w:lineRule="auto"/>
        <w:ind w:left="0"/>
        <w:jc w:val="both"/>
        <w:rPr>
          <w:rFonts w:ascii="Palatino Linotype" w:hAnsi="Palatino Linotype"/>
          <w:color w:val="000000" w:themeColor="text1"/>
        </w:rPr>
      </w:pPr>
    </w:p>
    <w:p w:rsidR="00DF2698" w:rsidRPr="00A726DA" w:rsidRDefault="00DF2698" w:rsidP="00376C57">
      <w:pPr>
        <w:pStyle w:val="Prrafodelista"/>
        <w:numPr>
          <w:ilvl w:val="0"/>
          <w:numId w:val="15"/>
        </w:numPr>
        <w:spacing w:line="360" w:lineRule="auto"/>
        <w:ind w:left="0" w:firstLine="0"/>
        <w:jc w:val="both"/>
        <w:rPr>
          <w:rFonts w:ascii="Palatino Linotype" w:hAnsi="Palatino Linotype"/>
          <w:color w:val="000000" w:themeColor="text1"/>
        </w:rPr>
      </w:pPr>
      <w:r w:rsidRPr="00A726DA">
        <w:rPr>
          <w:rFonts w:ascii="Palatino Linotype" w:hAnsi="Palatino Linotype" w:cs="Arial"/>
          <w:noProof/>
          <w:color w:val="000000" w:themeColor="text1"/>
          <w:lang w:eastAsia="es-MX"/>
        </w:rPr>
        <w:t>Luego entonces, por lo que hace a los motivos de inconformidad, los mismos devienen inatendibles por actualizarse la figura del sobreseimiento, misma que impide el estudio de los agravios planteados.</w:t>
      </w:r>
    </w:p>
    <w:p w:rsidR="00DF2698" w:rsidRPr="00A726DA" w:rsidRDefault="00DF2698" w:rsidP="00376C57">
      <w:pPr>
        <w:spacing w:line="360" w:lineRule="auto"/>
        <w:jc w:val="both"/>
        <w:rPr>
          <w:rFonts w:ascii="Palatino Linotype" w:hAnsi="Palatino Linotype"/>
          <w:color w:val="000000" w:themeColor="text1"/>
        </w:rPr>
      </w:pPr>
    </w:p>
    <w:p w:rsidR="00230B68" w:rsidRPr="00A726DA" w:rsidRDefault="00DF2698" w:rsidP="00376C57">
      <w:pPr>
        <w:pStyle w:val="Prrafodelista"/>
        <w:numPr>
          <w:ilvl w:val="0"/>
          <w:numId w:val="15"/>
        </w:numPr>
        <w:spacing w:line="360" w:lineRule="auto"/>
        <w:ind w:left="0" w:right="51" w:firstLine="0"/>
        <w:jc w:val="both"/>
        <w:rPr>
          <w:rFonts w:ascii="Palatino Linotype" w:hAnsi="Palatino Linotype"/>
          <w:color w:val="000000" w:themeColor="text1"/>
        </w:rPr>
      </w:pPr>
      <w:r w:rsidRPr="00A726DA">
        <w:rPr>
          <w:rFonts w:ascii="Palatino Linotype" w:hAnsi="Palatino Linotype"/>
          <w:color w:val="000000" w:themeColor="text1"/>
        </w:rPr>
        <w:t xml:space="preserve">Atento a lo anterior, </w:t>
      </w:r>
      <w:r w:rsidRPr="00A726DA">
        <w:rPr>
          <w:rFonts w:ascii="Palatino Linotype" w:hAnsi="Palatino Linotype" w:cs="Arial"/>
          <w:color w:val="000000" w:themeColor="text1"/>
          <w:lang w:val="es-CO"/>
        </w:rPr>
        <w:t xml:space="preserve">y en términos del artículo 186 fracción I este Pleno determina el </w:t>
      </w:r>
      <w:r w:rsidRPr="00A726DA">
        <w:rPr>
          <w:rFonts w:ascii="Palatino Linotype" w:hAnsi="Palatino Linotype" w:cs="Arial"/>
          <w:b/>
          <w:color w:val="000000" w:themeColor="text1"/>
          <w:lang w:val="es-CO"/>
        </w:rPr>
        <w:t xml:space="preserve">SOBRESEIMIENTO </w:t>
      </w:r>
      <w:r w:rsidRPr="00A726DA">
        <w:rPr>
          <w:rFonts w:ascii="Palatino Linotype" w:hAnsi="Palatino Linotype" w:cs="Arial"/>
          <w:color w:val="000000" w:themeColor="text1"/>
          <w:lang w:val="es-CO"/>
        </w:rPr>
        <w:t xml:space="preserve">del presente recurso de revisión, toda vez que una vez admitido el recurso de revisión, apareció una causal de </w:t>
      </w:r>
      <w:r w:rsidR="00376C57" w:rsidRPr="00A726DA">
        <w:rPr>
          <w:rFonts w:ascii="Palatino Linotype" w:hAnsi="Palatino Linotype" w:cs="Arial"/>
          <w:color w:val="000000" w:themeColor="text1"/>
          <w:lang w:val="es-CO"/>
        </w:rPr>
        <w:t>sobreseimiento</w:t>
      </w:r>
      <w:r w:rsidRPr="00A726DA">
        <w:rPr>
          <w:rFonts w:ascii="Palatino Linotype" w:hAnsi="Palatino Linotype" w:cs="Arial"/>
          <w:color w:val="000000" w:themeColor="text1"/>
          <w:lang w:val="es-CO"/>
        </w:rPr>
        <w:t>.</w:t>
      </w:r>
      <w:r w:rsidR="00376C57" w:rsidRPr="00A726DA">
        <w:rPr>
          <w:rFonts w:ascii="Palatino Linotype" w:hAnsi="Palatino Linotype" w:cs="Arial"/>
          <w:color w:val="000000" w:themeColor="text1"/>
          <w:lang w:val="es-CO"/>
        </w:rPr>
        <w:t xml:space="preserve"> </w:t>
      </w:r>
      <w:r w:rsidRPr="00A726DA">
        <w:rPr>
          <w:rFonts w:ascii="Palatino Linotype" w:hAnsi="Palatino Linotype" w:cs="Arial"/>
          <w:color w:val="000000" w:themeColor="text1"/>
          <w:lang w:eastAsia="es-MX"/>
        </w:rPr>
        <w:t xml:space="preserve">Por lo anteriormente expuesto y fundado, este </w:t>
      </w:r>
      <w:r w:rsidRPr="00A726DA">
        <w:rPr>
          <w:rFonts w:ascii="Palatino Linotype" w:hAnsi="Palatino Linotype" w:cs="Arial"/>
          <w:b/>
          <w:bCs/>
          <w:color w:val="000000" w:themeColor="text1"/>
          <w:lang w:eastAsia="es-MX"/>
        </w:rPr>
        <w:t>ÓRGANO GARANTE</w:t>
      </w:r>
      <w:r w:rsidRPr="00A726DA">
        <w:rPr>
          <w:rFonts w:ascii="Palatino Linotype" w:hAnsi="Palatino Linotype" w:cs="Arial"/>
          <w:color w:val="000000" w:themeColor="text1"/>
          <w:lang w:eastAsia="es-MX"/>
        </w:rPr>
        <w:t xml:space="preserve"> emite los siguientes:</w:t>
      </w:r>
    </w:p>
    <w:p w:rsidR="00A726DA" w:rsidRPr="00A726DA" w:rsidRDefault="00A726DA" w:rsidP="00A726DA">
      <w:pPr>
        <w:pStyle w:val="Prrafodelista"/>
        <w:rPr>
          <w:rFonts w:ascii="Palatino Linotype" w:hAnsi="Palatino Linotype"/>
          <w:color w:val="000000" w:themeColor="text1"/>
        </w:rPr>
      </w:pPr>
    </w:p>
    <w:p w:rsidR="00A726DA" w:rsidRPr="00A726DA" w:rsidRDefault="00A726DA" w:rsidP="00A726DA">
      <w:pPr>
        <w:spacing w:line="360" w:lineRule="auto"/>
        <w:ind w:right="51"/>
        <w:jc w:val="both"/>
        <w:rPr>
          <w:rFonts w:ascii="Palatino Linotype" w:hAnsi="Palatino Linotype"/>
          <w:color w:val="000000" w:themeColor="text1"/>
        </w:rPr>
      </w:pPr>
    </w:p>
    <w:p w:rsidR="009F09BC" w:rsidRPr="00A726DA" w:rsidRDefault="009F09BC" w:rsidP="00376C57">
      <w:pPr>
        <w:pStyle w:val="Ttulo1"/>
        <w:spacing w:before="0" w:line="360" w:lineRule="auto"/>
        <w:jc w:val="center"/>
        <w:rPr>
          <w:rFonts w:ascii="Palatino Linotype" w:eastAsia="Calibri" w:hAnsi="Palatino Linotype"/>
          <w:b/>
          <w:color w:val="000000" w:themeColor="text1"/>
          <w:sz w:val="24"/>
          <w:szCs w:val="24"/>
          <w:lang w:val="es-ES"/>
        </w:rPr>
      </w:pPr>
      <w:bookmarkStart w:id="145" w:name="_Toc504500693"/>
      <w:bookmarkStart w:id="146" w:name="_Toc534742545"/>
      <w:bookmarkStart w:id="147" w:name="_Toc2248738"/>
      <w:bookmarkStart w:id="148" w:name="_Toc34819440"/>
      <w:bookmarkStart w:id="149" w:name="_Toc51259595"/>
      <w:bookmarkStart w:id="150" w:name="_Toc83128595"/>
      <w:r w:rsidRPr="00A726DA">
        <w:rPr>
          <w:rFonts w:ascii="Palatino Linotype" w:eastAsia="Calibri" w:hAnsi="Palatino Linotype"/>
          <w:b/>
          <w:color w:val="000000" w:themeColor="text1"/>
          <w:sz w:val="24"/>
          <w:szCs w:val="24"/>
          <w:lang w:val="es-ES"/>
        </w:rPr>
        <w:lastRenderedPageBreak/>
        <w:t>R E S O L U T I V O S</w:t>
      </w:r>
      <w:bookmarkEnd w:id="145"/>
      <w:bookmarkEnd w:id="146"/>
      <w:bookmarkEnd w:id="147"/>
      <w:bookmarkEnd w:id="148"/>
      <w:bookmarkEnd w:id="149"/>
      <w:bookmarkEnd w:id="150"/>
    </w:p>
    <w:p w:rsidR="00376C57" w:rsidRPr="00A726DA" w:rsidRDefault="00376C57" w:rsidP="00376C57">
      <w:pPr>
        <w:spacing w:line="360" w:lineRule="auto"/>
        <w:rPr>
          <w:rFonts w:ascii="Palatino Linotype" w:hAnsi="Palatino Linotype"/>
          <w:lang w:val="es-ES"/>
        </w:rPr>
      </w:pP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r w:rsidRPr="00A726DA">
        <w:rPr>
          <w:rFonts w:ascii="Palatino Linotype" w:hAnsi="Palatino Linotype"/>
          <w:b/>
          <w:bCs/>
        </w:rPr>
        <w:t xml:space="preserve">PRIMERO. </w:t>
      </w:r>
      <w:r w:rsidRPr="00A726DA">
        <w:rPr>
          <w:rFonts w:ascii="Palatino Linotype" w:hAnsi="Palatino Linotype"/>
        </w:rPr>
        <w:t>Se</w:t>
      </w:r>
      <w:r w:rsidRPr="00A726DA">
        <w:rPr>
          <w:rFonts w:ascii="Palatino Linotype" w:hAnsi="Palatino Linotype"/>
          <w:b/>
          <w:bCs/>
        </w:rPr>
        <w:t xml:space="preserve"> SOBRESEE </w:t>
      </w:r>
      <w:r w:rsidRPr="00A726DA">
        <w:rPr>
          <w:rFonts w:ascii="Palatino Linotype" w:hAnsi="Palatino Linotype"/>
          <w:bCs/>
        </w:rPr>
        <w:t>e</w:t>
      </w:r>
      <w:r w:rsidRPr="00A726DA">
        <w:rPr>
          <w:rFonts w:ascii="Palatino Linotype" w:hAnsi="Palatino Linotype"/>
        </w:rPr>
        <w:t xml:space="preserve">l Recurso de Revisión número </w:t>
      </w:r>
      <w:r w:rsidRPr="00A726DA">
        <w:rPr>
          <w:rFonts w:ascii="Palatino Linotype" w:hAnsi="Palatino Linotype"/>
          <w:b/>
        </w:rPr>
        <w:t>06633/INFOEM/IP/RR/2023</w:t>
      </w:r>
      <w:r w:rsidRPr="00A726DA">
        <w:rPr>
          <w:rFonts w:ascii="Palatino Linotype" w:hAnsi="Palatino Linotype"/>
          <w:b/>
          <w:bCs/>
        </w:rPr>
        <w:t xml:space="preserve">, </w:t>
      </w:r>
      <w:r w:rsidRPr="00A726DA">
        <w:rPr>
          <w:rFonts w:ascii="Palatino Linotype" w:hAnsi="Palatino Linotype"/>
        </w:rPr>
        <w:t xml:space="preserve">porque al </w:t>
      </w:r>
      <w:r w:rsidRPr="00A726DA">
        <w:rPr>
          <w:rFonts w:ascii="Palatino Linotype" w:hAnsi="Palatino Linotype"/>
          <w:b/>
          <w:bCs/>
        </w:rPr>
        <w:t>modificar la respuesta</w:t>
      </w:r>
      <w:r w:rsidRPr="00A726DA">
        <w:rPr>
          <w:rFonts w:ascii="Palatino Linotype" w:hAnsi="Palatino Linotype"/>
        </w:rPr>
        <w:t xml:space="preserve"> se actualizó la causal prevista en el artículo 192, fracción III, de la Ley de Transparencia y Acceso a la Información Pública del Estado de México y Municipios, quedando sin materia en términos del </w:t>
      </w:r>
      <w:r w:rsidR="00A726DA">
        <w:rPr>
          <w:rFonts w:ascii="Palatino Linotype" w:hAnsi="Palatino Linotype"/>
          <w:b/>
        </w:rPr>
        <w:t>c</w:t>
      </w:r>
      <w:r w:rsidRPr="00A726DA">
        <w:rPr>
          <w:rFonts w:ascii="Palatino Linotype" w:hAnsi="Palatino Linotype"/>
          <w:b/>
        </w:rPr>
        <w:t>onsiderando</w:t>
      </w:r>
      <w:r w:rsidRPr="00A726DA">
        <w:rPr>
          <w:rFonts w:ascii="Palatino Linotype" w:hAnsi="Palatino Linotype"/>
        </w:rPr>
        <w:t xml:space="preserve"> </w:t>
      </w:r>
      <w:r w:rsidR="00A726DA" w:rsidRPr="00A726DA">
        <w:rPr>
          <w:rFonts w:ascii="Palatino Linotype" w:hAnsi="Palatino Linotype"/>
          <w:b/>
          <w:bCs/>
        </w:rPr>
        <w:t>TERCERO</w:t>
      </w:r>
      <w:r w:rsidRPr="00A726DA">
        <w:rPr>
          <w:rFonts w:ascii="Palatino Linotype" w:hAnsi="Palatino Linotype"/>
          <w:b/>
          <w:bCs/>
        </w:rPr>
        <w:t xml:space="preserve"> </w:t>
      </w:r>
      <w:r w:rsidRPr="00A726DA">
        <w:rPr>
          <w:rFonts w:ascii="Palatino Linotype" w:hAnsi="Palatino Linotype"/>
        </w:rPr>
        <w:t>de la presente Resolución.</w:t>
      </w: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r w:rsidRPr="00A726DA">
        <w:rPr>
          <w:rFonts w:ascii="Palatino Linotype" w:hAnsi="Palatino Linotype"/>
          <w:b/>
          <w:bCs/>
        </w:rPr>
        <w:t xml:space="preserve">SEGUNDO. Notifíquese </w:t>
      </w:r>
      <w:r w:rsidRPr="00A726DA">
        <w:rPr>
          <w:rFonts w:ascii="Palatino Linotype" w:hAnsi="Palatino Linotype"/>
          <w:bCs/>
        </w:rPr>
        <w:t>vía</w:t>
      </w:r>
      <w:r w:rsidRPr="00A726DA">
        <w:rPr>
          <w:rFonts w:ascii="Palatino Linotype" w:hAnsi="Palatino Linotype"/>
          <w:b/>
          <w:bCs/>
        </w:rPr>
        <w:t xml:space="preserve"> </w:t>
      </w:r>
      <w:r w:rsidRPr="00A726DA">
        <w:rPr>
          <w:rFonts w:ascii="Palatino Linotype" w:hAnsi="Palatino Linotype"/>
        </w:rPr>
        <w:t>Sistema de Acceso a la Información Mexiquense (</w:t>
      </w:r>
      <w:r w:rsidRPr="00A726DA">
        <w:rPr>
          <w:rFonts w:ascii="Palatino Linotype" w:hAnsi="Palatino Linotype"/>
          <w:b/>
          <w:bCs/>
        </w:rPr>
        <w:t>SAIMEX)</w:t>
      </w:r>
      <w:r w:rsidRPr="00A726DA">
        <w:rPr>
          <w:rFonts w:ascii="Palatino Linotype" w:hAnsi="Palatino Linotype"/>
          <w:b/>
          <w:bCs/>
          <w:i/>
          <w:iCs/>
        </w:rPr>
        <w:t xml:space="preserve">, </w:t>
      </w:r>
      <w:r w:rsidRPr="00A726DA">
        <w:rPr>
          <w:rFonts w:ascii="Palatino Linotype" w:hAnsi="Palatino Linotype"/>
        </w:rPr>
        <w:t xml:space="preserve">al Titular de la Unidad de Transparencia del </w:t>
      </w:r>
      <w:r w:rsidRPr="00A726DA">
        <w:rPr>
          <w:rFonts w:ascii="Palatino Linotype" w:hAnsi="Palatino Linotype"/>
          <w:b/>
          <w:bCs/>
        </w:rPr>
        <w:t>SUJETO OBLIGADO</w:t>
      </w:r>
      <w:r w:rsidRPr="00A726DA">
        <w:rPr>
          <w:rFonts w:ascii="Palatino Linotype" w:hAnsi="Palatino Linotype"/>
        </w:rPr>
        <w:t xml:space="preserve"> la presente resolución, para su conocimiento.</w:t>
      </w: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r w:rsidRPr="00A726DA">
        <w:rPr>
          <w:rFonts w:ascii="Palatino Linotype" w:hAnsi="Palatino Linotype"/>
          <w:b/>
          <w:bCs/>
        </w:rPr>
        <w:t xml:space="preserve">TERCERO. Notifíquese, </w:t>
      </w:r>
      <w:r w:rsidRPr="00A726DA">
        <w:rPr>
          <w:rFonts w:ascii="Palatino Linotype" w:hAnsi="Palatino Linotype"/>
        </w:rPr>
        <w:t>vía</w:t>
      </w:r>
      <w:r w:rsidRPr="00A726DA">
        <w:rPr>
          <w:rFonts w:ascii="Palatino Linotype" w:hAnsi="Palatino Linotype"/>
          <w:b/>
          <w:bCs/>
        </w:rPr>
        <w:t xml:space="preserve"> SAIMEX</w:t>
      </w:r>
      <w:r w:rsidRPr="00A726DA">
        <w:rPr>
          <w:rFonts w:ascii="Palatino Linotype" w:hAnsi="Palatino Linotype"/>
        </w:rPr>
        <w:t>, a</w:t>
      </w:r>
      <w:r w:rsidRPr="00A726DA">
        <w:rPr>
          <w:rFonts w:ascii="Palatino Linotype" w:hAnsi="Palatino Linotype"/>
          <w:b/>
          <w:bCs/>
        </w:rPr>
        <w:t xml:space="preserve"> </w:t>
      </w:r>
      <w:r w:rsidRPr="00A726DA">
        <w:rPr>
          <w:rFonts w:ascii="Palatino Linotype" w:hAnsi="Palatino Linotype"/>
        </w:rPr>
        <w:t xml:space="preserve">la parte </w:t>
      </w:r>
      <w:r w:rsidRPr="00A726DA">
        <w:rPr>
          <w:rFonts w:ascii="Palatino Linotype" w:hAnsi="Palatino Linotype"/>
          <w:b/>
          <w:bCs/>
        </w:rPr>
        <w:t>Recurrente</w:t>
      </w:r>
      <w:r w:rsidRPr="00A726DA">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rsidR="00376C57" w:rsidRPr="00A726DA" w:rsidRDefault="00376C57" w:rsidP="00376C57">
      <w:pPr>
        <w:pStyle w:val="NormalWeb"/>
        <w:spacing w:before="0" w:beforeAutospacing="0" w:after="0" w:afterAutospacing="0" w:line="360" w:lineRule="auto"/>
        <w:contextualSpacing/>
        <w:jc w:val="both"/>
        <w:rPr>
          <w:rFonts w:ascii="Palatino Linotype" w:hAnsi="Palatino Linotype"/>
        </w:rPr>
      </w:pPr>
    </w:p>
    <w:p w:rsidR="00A726DA" w:rsidRPr="00A726DA" w:rsidRDefault="00A726DA" w:rsidP="00A726DA">
      <w:pPr>
        <w:spacing w:before="240" w:after="240" w:line="360" w:lineRule="auto"/>
        <w:ind w:firstLine="1"/>
        <w:jc w:val="both"/>
        <w:rPr>
          <w:rStyle w:val="Referenciasutil"/>
          <w:rFonts w:ascii="Palatino Linotype" w:hAnsi="Palatino Linotype"/>
          <w:color w:val="auto"/>
        </w:rPr>
      </w:pPr>
      <w:bookmarkStart w:id="151" w:name="_Hlk129792997"/>
      <w:r w:rsidRPr="00A726DA">
        <w:rPr>
          <w:rStyle w:val="Referenciasutil"/>
          <w:rFonts w:ascii="Palatino Linotype" w:hAnsi="Palatino Linotype"/>
          <w:color w:val="auto"/>
        </w:rPr>
        <w:t xml:space="preserve">ASÍ LO APROBÓ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w:t>
      </w:r>
      <w:r w:rsidRPr="00A726DA">
        <w:rPr>
          <w:rStyle w:val="Referenciasutil"/>
          <w:rFonts w:ascii="Palatino Linotype" w:hAnsi="Palatino Linotype"/>
          <w:color w:val="auto"/>
        </w:rPr>
        <w:lastRenderedPageBreak/>
        <w:t>GUSTAVO PARRA NORIEGA Y GUADALUPE RAMÍREZ PEÑA; EN LA CUADRAGÉSIMA TERCERA SESIÓN ORDINARIA CELEBRADA EL VEIN</w:t>
      </w:r>
      <w:r w:rsidR="00F475A6">
        <w:rPr>
          <w:rStyle w:val="Referenciasutil"/>
          <w:rFonts w:ascii="Palatino Linotype" w:hAnsi="Palatino Linotype"/>
          <w:color w:val="auto"/>
        </w:rPr>
        <w:t>T</w:t>
      </w:r>
      <w:r w:rsidRPr="00A726DA">
        <w:rPr>
          <w:rStyle w:val="Referenciasutil"/>
          <w:rFonts w:ascii="Palatino Linotype" w:hAnsi="Palatino Linotype"/>
          <w:color w:val="auto"/>
        </w:rPr>
        <w:t xml:space="preserve">INUEVE (29) DE NOVIEMBRE DE DOS MIL VEINTITRÉS, ANTE EL SECRETARIO TÉCNICO DEL PLENO ALEXIS TAPIA RAMÍREZ. </w:t>
      </w:r>
      <w:bookmarkEnd w:id="151"/>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spacing w:line="360" w:lineRule="auto"/>
        <w:jc w:val="both"/>
        <w:rPr>
          <w:rFonts w:ascii="Palatino Linotype" w:hAnsi="Palatino Linotype"/>
          <w:color w:val="000000" w:themeColor="text1"/>
        </w:rPr>
      </w:pPr>
    </w:p>
    <w:p w:rsidR="009F09BC" w:rsidRPr="00A726DA" w:rsidRDefault="009F09BC" w:rsidP="00376C57">
      <w:pPr>
        <w:tabs>
          <w:tab w:val="left" w:pos="3374"/>
        </w:tabs>
        <w:spacing w:line="360" w:lineRule="auto"/>
        <w:jc w:val="both"/>
        <w:rPr>
          <w:rFonts w:ascii="Palatino Linotype" w:hAnsi="Palatino Linotype"/>
          <w:color w:val="000000" w:themeColor="text1"/>
        </w:rPr>
      </w:pPr>
      <w:r w:rsidRPr="00A726DA">
        <w:rPr>
          <w:rFonts w:ascii="Palatino Linotype" w:hAnsi="Palatino Linotype"/>
          <w:color w:val="000000" w:themeColor="text1"/>
        </w:rPr>
        <w:tab/>
      </w: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74110E" w:rsidRPr="00A726DA" w:rsidRDefault="0074110E"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p w:rsidR="00053FB7" w:rsidRPr="00A726DA" w:rsidRDefault="00053FB7" w:rsidP="00376C57">
      <w:pPr>
        <w:tabs>
          <w:tab w:val="left" w:pos="3374"/>
        </w:tabs>
        <w:spacing w:line="360" w:lineRule="auto"/>
        <w:jc w:val="both"/>
        <w:rPr>
          <w:rFonts w:ascii="Palatino Linotype" w:hAnsi="Palatino Linotype"/>
          <w:color w:val="000000" w:themeColor="text1"/>
        </w:rPr>
      </w:pPr>
    </w:p>
    <w:sectPr w:rsidR="00053FB7" w:rsidRPr="00A726DA" w:rsidSect="004D465B">
      <w:headerReference w:type="even" r:id="rId11"/>
      <w:headerReference w:type="default" r:id="rId12"/>
      <w:footerReference w:type="default" r:id="rId13"/>
      <w:headerReference w:type="first" r:id="rId14"/>
      <w:footerReference w:type="first" r:id="rId15"/>
      <w:pgSz w:w="12240" w:h="15840"/>
      <w:pgMar w:top="2268" w:right="1701" w:bottom="1843" w:left="1701" w:header="85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0B0C" w:rsidRDefault="00320B0C" w:rsidP="003B7751">
      <w:r>
        <w:separator/>
      </w:r>
    </w:p>
  </w:endnote>
  <w:endnote w:type="continuationSeparator" w:id="0">
    <w:p w:rsidR="00320B0C" w:rsidRDefault="00320B0C" w:rsidP="003B77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Lucida Grande">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rsidR="00D46375" w:rsidRPr="002D6DD8"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518F">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518F">
              <w:rPr>
                <w:rFonts w:ascii="Palatino Linotype" w:hAnsi="Palatino Linotype"/>
                <w:bCs/>
                <w:noProof/>
                <w:sz w:val="20"/>
              </w:rPr>
              <w:t>25</w:t>
            </w:r>
            <w:r>
              <w:rPr>
                <w:rFonts w:ascii="Palatino Linotype" w:hAnsi="Palatino Linotype"/>
                <w:bCs/>
                <w:noProof/>
                <w:sz w:val="20"/>
              </w:rPr>
              <w:fldChar w:fldCharType="end"/>
            </w:r>
          </w:p>
        </w:sdtContent>
      </w:sdt>
    </w:sdtContent>
  </w:sdt>
  <w:p w:rsidR="00D46375" w:rsidRDefault="00D4637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Pr="000B69FA" w:rsidRDefault="00D46375" w:rsidP="003B7751">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22518F">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22518F">
      <w:rPr>
        <w:rFonts w:ascii="Palatino Linotype" w:hAnsi="Palatino Linotype"/>
        <w:bCs/>
        <w:noProof/>
        <w:sz w:val="20"/>
      </w:rPr>
      <w:t>25</w:t>
    </w:r>
    <w:r>
      <w:rPr>
        <w:rFonts w:ascii="Palatino Linotype" w:hAnsi="Palatino Linotype"/>
        <w:bCs/>
        <w:noProof/>
        <w:sz w:val="20"/>
      </w:rPr>
      <w:fldChar w:fldCharType="end"/>
    </w:r>
  </w:p>
  <w:p w:rsidR="00D46375" w:rsidRDefault="00D4637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0B0C" w:rsidRDefault="00320B0C" w:rsidP="003B7751">
      <w:r>
        <w:separator/>
      </w:r>
    </w:p>
  </w:footnote>
  <w:footnote w:type="continuationSeparator" w:id="0">
    <w:p w:rsidR="00320B0C" w:rsidRDefault="00320B0C" w:rsidP="003B77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6375" w:rsidRDefault="00320B0C">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8" o:spid="_x0000_s2049" type="#_x0000_t75" style="position:absolute;margin-left:0;margin-top:0;width:609.4pt;height:793.75pt;z-index:-25165977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654" w:type="dxa"/>
      <w:tblInd w:w="2127" w:type="dxa"/>
      <w:tblCellMar>
        <w:left w:w="70" w:type="dxa"/>
        <w:right w:w="70" w:type="dxa"/>
      </w:tblCellMar>
      <w:tblLook w:val="04A0" w:firstRow="1" w:lastRow="0" w:firstColumn="1" w:lastColumn="0" w:noHBand="0" w:noVBand="1"/>
    </w:tblPr>
    <w:tblGrid>
      <w:gridCol w:w="2976"/>
      <w:gridCol w:w="4678"/>
    </w:tblGrid>
    <w:tr w:rsidR="00D46375" w:rsidTr="00A726DA">
      <w:trPr>
        <w:trHeight w:val="227"/>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 xml:space="preserve">Recurso </w:t>
          </w:r>
          <w:r>
            <w:rPr>
              <w:rFonts w:ascii="Palatino Linotype" w:hAnsi="Palatino Linotype"/>
              <w:b/>
              <w:sz w:val="22"/>
              <w:szCs w:val="22"/>
            </w:rPr>
            <w:t>d</w:t>
          </w:r>
          <w:r w:rsidRPr="00674A46">
            <w:rPr>
              <w:rFonts w:ascii="Palatino Linotype" w:hAnsi="Palatino Linotype"/>
              <w:b/>
              <w:sz w:val="22"/>
              <w:szCs w:val="22"/>
            </w:rPr>
            <w:t>e Revisión:</w:t>
          </w:r>
        </w:p>
      </w:tc>
      <w:tc>
        <w:tcPr>
          <w:tcW w:w="4678" w:type="dxa"/>
          <w:vAlign w:val="center"/>
          <w:hideMark/>
        </w:tcPr>
        <w:p w:rsidR="00D46375" w:rsidRPr="00A726DA" w:rsidRDefault="001C7D9C" w:rsidP="00A726DA">
          <w:pPr>
            <w:pStyle w:val="Encabezado"/>
            <w:jc w:val="both"/>
            <w:rPr>
              <w:rFonts w:ascii="Palatino Linotype" w:hAnsi="Palatino Linotype"/>
              <w:sz w:val="22"/>
              <w:szCs w:val="22"/>
            </w:rPr>
          </w:pPr>
          <w:r w:rsidRPr="00A726DA">
            <w:rPr>
              <w:rFonts w:ascii="Palatino Linotype" w:hAnsi="Palatino Linotype" w:cs="Arial"/>
              <w:bCs/>
              <w:sz w:val="22"/>
              <w:szCs w:val="22"/>
              <w:lang w:eastAsia="es-MX"/>
            </w:rPr>
            <w:t>0663</w:t>
          </w:r>
          <w:r w:rsidR="00077AAD" w:rsidRPr="00A726DA">
            <w:rPr>
              <w:rFonts w:ascii="Palatino Linotype" w:hAnsi="Palatino Linotype" w:cs="Arial"/>
              <w:bCs/>
              <w:sz w:val="22"/>
              <w:szCs w:val="22"/>
              <w:lang w:eastAsia="es-MX"/>
            </w:rPr>
            <w:t>3/INFOEM/IP/RR/2023</w:t>
          </w:r>
        </w:p>
      </w:tc>
    </w:tr>
    <w:tr w:rsidR="00D46375" w:rsidTr="00A726DA">
      <w:trPr>
        <w:trHeight w:val="242"/>
      </w:trPr>
      <w:tc>
        <w:tcPr>
          <w:tcW w:w="2976" w:type="dxa"/>
          <w:vAlign w:val="center"/>
          <w:hideMark/>
        </w:tcPr>
        <w:p w:rsidR="00D46375" w:rsidRPr="00674A46" w:rsidRDefault="00D46375" w:rsidP="009F09BC">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678" w:type="dxa"/>
          <w:vAlign w:val="center"/>
          <w:hideMark/>
        </w:tcPr>
        <w:p w:rsidR="00D46375" w:rsidRPr="00A726DA" w:rsidRDefault="001C7D9C" w:rsidP="00A726DA">
          <w:pPr>
            <w:pStyle w:val="Encabezado"/>
            <w:jc w:val="both"/>
            <w:rPr>
              <w:rFonts w:ascii="Palatino Linotype" w:hAnsi="Palatino Linotype"/>
              <w:sz w:val="22"/>
              <w:szCs w:val="22"/>
            </w:rPr>
          </w:pPr>
          <w:r w:rsidRPr="00A726DA">
            <w:rPr>
              <w:rFonts w:ascii="Palatino Linotype" w:hAnsi="Palatino Linotype"/>
              <w:bCs/>
              <w:color w:val="000000"/>
              <w:sz w:val="22"/>
              <w:szCs w:val="22"/>
            </w:rPr>
            <w:t>Organismo Público Descentralizado Municipal para la Prestación de Los Servicios de Agua Potable Alcantarillado y Saneamiento de Cuautitlán Izcalli denominado OPERAGUA, O.P.D.M.</w:t>
          </w:r>
        </w:p>
      </w:tc>
    </w:tr>
    <w:tr w:rsidR="00D46375" w:rsidTr="00A726DA">
      <w:trPr>
        <w:trHeight w:val="342"/>
      </w:trPr>
      <w:tc>
        <w:tcPr>
          <w:tcW w:w="2976" w:type="dxa"/>
          <w:vAlign w:val="center"/>
          <w:hideMark/>
        </w:tcPr>
        <w:p w:rsidR="00D46375" w:rsidRPr="00674A46" w:rsidRDefault="00D46375" w:rsidP="00103414">
          <w:pPr>
            <w:ind w:right="34"/>
            <w:jc w:val="right"/>
            <w:rPr>
              <w:rFonts w:ascii="Palatino Linotype" w:hAnsi="Palatino Linotype"/>
              <w:b/>
              <w:sz w:val="22"/>
              <w:szCs w:val="22"/>
            </w:rPr>
          </w:pPr>
          <w:r w:rsidRPr="00674A46">
            <w:rPr>
              <w:rFonts w:ascii="Palatino Linotype" w:hAnsi="Palatino Linotype"/>
              <w:b/>
              <w:sz w:val="22"/>
              <w:szCs w:val="22"/>
            </w:rPr>
            <w:t>Comisionad</w:t>
          </w:r>
          <w:r w:rsidR="00103414">
            <w:rPr>
              <w:rFonts w:ascii="Palatino Linotype" w:hAnsi="Palatino Linotype"/>
              <w:b/>
              <w:sz w:val="22"/>
              <w:szCs w:val="22"/>
            </w:rPr>
            <w:t>a</w:t>
          </w:r>
          <w:r w:rsidRPr="00674A46">
            <w:rPr>
              <w:rFonts w:ascii="Palatino Linotype" w:hAnsi="Palatino Linotype"/>
              <w:b/>
              <w:sz w:val="22"/>
              <w:szCs w:val="22"/>
            </w:rPr>
            <w:t xml:space="preserve"> Ponente:</w:t>
          </w:r>
        </w:p>
      </w:tc>
      <w:tc>
        <w:tcPr>
          <w:tcW w:w="4678" w:type="dxa"/>
          <w:vAlign w:val="center"/>
          <w:hideMark/>
        </w:tcPr>
        <w:p w:rsidR="00D46375" w:rsidRPr="00A726DA" w:rsidRDefault="00D46375" w:rsidP="00A726DA">
          <w:pPr>
            <w:pStyle w:val="Encabezado"/>
            <w:jc w:val="both"/>
            <w:rPr>
              <w:rFonts w:ascii="Palatino Linotype" w:hAnsi="Palatino Linotype"/>
              <w:sz w:val="22"/>
              <w:szCs w:val="22"/>
            </w:rPr>
          </w:pPr>
          <w:r w:rsidRPr="00A726DA">
            <w:rPr>
              <w:rFonts w:ascii="Palatino Linotype" w:hAnsi="Palatino Linotype"/>
              <w:sz w:val="22"/>
              <w:szCs w:val="22"/>
            </w:rPr>
            <w:t>María del Rosario Mejía Ayala</w:t>
          </w:r>
        </w:p>
      </w:tc>
    </w:tr>
  </w:tbl>
  <w:p w:rsidR="00D46375" w:rsidRPr="00AE046A" w:rsidRDefault="00320B0C" w:rsidP="003B7751">
    <w:pPr>
      <w:pStyle w:val="Encabezado"/>
      <w:tabs>
        <w:tab w:val="clear" w:pos="4419"/>
        <w:tab w:val="clear" w:pos="8838"/>
        <w:tab w:val="left" w:pos="6005"/>
      </w:tabs>
      <w:rPr>
        <w:sz w:val="14"/>
      </w:rPr>
    </w:pPr>
    <w:r>
      <w:rPr>
        <w:noProof/>
        <w:sz w:val="1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9" o:spid="_x0000_s2050" type="#_x0000_t75" style="position:absolute;margin-left:-82.75pt;margin-top:-113.2pt;width:609.4pt;height:793.75pt;z-index:-25165875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7938" w:type="dxa"/>
      <w:tblInd w:w="1985" w:type="dxa"/>
      <w:tblCellMar>
        <w:left w:w="70" w:type="dxa"/>
        <w:right w:w="70" w:type="dxa"/>
      </w:tblCellMar>
      <w:tblLook w:val="04A0" w:firstRow="1" w:lastRow="0" w:firstColumn="1" w:lastColumn="0" w:noHBand="0" w:noVBand="1"/>
    </w:tblPr>
    <w:tblGrid>
      <w:gridCol w:w="2977"/>
      <w:gridCol w:w="4961"/>
    </w:tblGrid>
    <w:tr w:rsidR="00D46375" w:rsidRPr="00A726DA" w:rsidTr="00A726DA">
      <w:trPr>
        <w:trHeight w:val="227"/>
      </w:trPr>
      <w:tc>
        <w:tcPr>
          <w:tcW w:w="2977" w:type="dxa"/>
          <w:vAlign w:val="center"/>
          <w:hideMark/>
        </w:tcPr>
        <w:p w:rsidR="00D46375" w:rsidRPr="00A726DA" w:rsidRDefault="00D46375" w:rsidP="009F09BC">
          <w:pPr>
            <w:jc w:val="right"/>
            <w:rPr>
              <w:rFonts w:ascii="Palatino Linotype" w:hAnsi="Palatino Linotype"/>
              <w:b/>
              <w:sz w:val="22"/>
              <w:szCs w:val="22"/>
            </w:rPr>
          </w:pPr>
          <w:r w:rsidRPr="00A726DA">
            <w:rPr>
              <w:rFonts w:ascii="Palatino Linotype" w:hAnsi="Palatino Linotype"/>
              <w:b/>
              <w:sz w:val="22"/>
              <w:szCs w:val="22"/>
            </w:rPr>
            <w:t>Recurso de Revisión:</w:t>
          </w:r>
        </w:p>
      </w:tc>
      <w:tc>
        <w:tcPr>
          <w:tcW w:w="4961" w:type="dxa"/>
          <w:vAlign w:val="center"/>
          <w:hideMark/>
        </w:tcPr>
        <w:p w:rsidR="00D46375" w:rsidRPr="00A726DA" w:rsidRDefault="001C7D9C" w:rsidP="0069487D">
          <w:pPr>
            <w:pStyle w:val="Encabezado"/>
            <w:rPr>
              <w:rFonts w:ascii="Palatino Linotype" w:hAnsi="Palatino Linotype"/>
              <w:sz w:val="22"/>
              <w:szCs w:val="22"/>
            </w:rPr>
          </w:pPr>
          <w:r w:rsidRPr="00A726DA">
            <w:rPr>
              <w:rFonts w:ascii="Palatino Linotype" w:hAnsi="Palatino Linotype" w:cs="Arial"/>
              <w:bCs/>
              <w:sz w:val="22"/>
              <w:szCs w:val="22"/>
              <w:lang w:eastAsia="es-MX"/>
            </w:rPr>
            <w:t>0663</w:t>
          </w:r>
          <w:r w:rsidR="00077AAD" w:rsidRPr="00A726DA">
            <w:rPr>
              <w:rFonts w:ascii="Palatino Linotype" w:hAnsi="Palatino Linotype" w:cs="Arial"/>
              <w:bCs/>
              <w:sz w:val="22"/>
              <w:szCs w:val="22"/>
              <w:lang w:eastAsia="es-MX"/>
            </w:rPr>
            <w:t>3/INFOEM/IP/RR/2023</w:t>
          </w:r>
        </w:p>
      </w:tc>
    </w:tr>
    <w:tr w:rsidR="00D46375" w:rsidRPr="00A726DA" w:rsidTr="00A726DA">
      <w:trPr>
        <w:trHeight w:val="242"/>
      </w:trPr>
      <w:tc>
        <w:tcPr>
          <w:tcW w:w="2977" w:type="dxa"/>
          <w:vAlign w:val="center"/>
          <w:hideMark/>
        </w:tcPr>
        <w:p w:rsidR="00D46375" w:rsidRPr="00A726DA" w:rsidRDefault="00D46375" w:rsidP="009F09BC">
          <w:pPr>
            <w:jc w:val="right"/>
            <w:rPr>
              <w:rFonts w:ascii="Palatino Linotype" w:hAnsi="Palatino Linotype"/>
              <w:b/>
              <w:sz w:val="22"/>
              <w:szCs w:val="22"/>
            </w:rPr>
          </w:pPr>
          <w:r w:rsidRPr="00A726DA">
            <w:rPr>
              <w:rFonts w:ascii="Palatino Linotype" w:hAnsi="Palatino Linotype"/>
              <w:b/>
              <w:sz w:val="22"/>
              <w:szCs w:val="22"/>
            </w:rPr>
            <w:t>Recurrente:</w:t>
          </w:r>
        </w:p>
      </w:tc>
      <w:tc>
        <w:tcPr>
          <w:tcW w:w="4961" w:type="dxa"/>
          <w:hideMark/>
        </w:tcPr>
        <w:p w:rsidR="00D46375" w:rsidRPr="00A726DA" w:rsidRDefault="0022518F" w:rsidP="009F09BC">
          <w:pPr>
            <w:pStyle w:val="Encabezado"/>
            <w:tabs>
              <w:tab w:val="left" w:pos="521"/>
            </w:tabs>
            <w:rPr>
              <w:rFonts w:ascii="Palatino Linotype" w:hAnsi="Palatino Linotype"/>
              <w:sz w:val="22"/>
              <w:szCs w:val="22"/>
            </w:rPr>
          </w:pPr>
          <w:r>
            <w:rPr>
              <w:rFonts w:ascii="Palatino Linotype" w:hAnsi="Palatino Linotype"/>
              <w:color w:val="000000" w:themeColor="text1"/>
              <w:sz w:val="22"/>
              <w:szCs w:val="22"/>
            </w:rPr>
            <w:t xml:space="preserve">XXX </w:t>
          </w:r>
          <w:proofErr w:type="spellStart"/>
          <w:r>
            <w:rPr>
              <w:rFonts w:ascii="Palatino Linotype" w:hAnsi="Palatino Linotype"/>
              <w:color w:val="000000" w:themeColor="text1"/>
              <w:sz w:val="22"/>
              <w:szCs w:val="22"/>
            </w:rPr>
            <w:t>XXX</w:t>
          </w:r>
          <w:proofErr w:type="spellEnd"/>
          <w:r>
            <w:rPr>
              <w:rFonts w:ascii="Palatino Linotype" w:hAnsi="Palatino Linotype"/>
              <w:color w:val="000000" w:themeColor="text1"/>
              <w:sz w:val="22"/>
              <w:szCs w:val="22"/>
            </w:rPr>
            <w:t xml:space="preserve"> </w:t>
          </w:r>
          <w:proofErr w:type="spellStart"/>
          <w:r>
            <w:rPr>
              <w:rFonts w:ascii="Palatino Linotype" w:hAnsi="Palatino Linotype"/>
              <w:color w:val="000000" w:themeColor="text1"/>
              <w:sz w:val="22"/>
              <w:szCs w:val="22"/>
            </w:rPr>
            <w:t>XXX</w:t>
          </w:r>
          <w:proofErr w:type="spellEnd"/>
        </w:p>
      </w:tc>
    </w:tr>
    <w:tr w:rsidR="00D46375" w:rsidRPr="00A726DA" w:rsidTr="00A726DA">
      <w:trPr>
        <w:trHeight w:val="342"/>
      </w:trPr>
      <w:tc>
        <w:tcPr>
          <w:tcW w:w="2977" w:type="dxa"/>
          <w:vAlign w:val="center"/>
        </w:tcPr>
        <w:p w:rsidR="00D46375" w:rsidRPr="00A726DA" w:rsidRDefault="00D46375" w:rsidP="009F09BC">
          <w:pPr>
            <w:jc w:val="right"/>
            <w:rPr>
              <w:rFonts w:ascii="Palatino Linotype" w:hAnsi="Palatino Linotype"/>
              <w:b/>
              <w:sz w:val="22"/>
              <w:szCs w:val="22"/>
            </w:rPr>
          </w:pPr>
          <w:r w:rsidRPr="00A726DA">
            <w:rPr>
              <w:rFonts w:ascii="Palatino Linotype" w:hAnsi="Palatino Linotype"/>
              <w:b/>
              <w:sz w:val="22"/>
              <w:szCs w:val="22"/>
            </w:rPr>
            <w:t>Sujeto Obligado:</w:t>
          </w:r>
        </w:p>
      </w:tc>
      <w:tc>
        <w:tcPr>
          <w:tcW w:w="4961" w:type="dxa"/>
          <w:vAlign w:val="center"/>
        </w:tcPr>
        <w:p w:rsidR="00D46375" w:rsidRPr="00A726DA" w:rsidRDefault="001C7D9C" w:rsidP="009F09BC">
          <w:pPr>
            <w:pStyle w:val="Encabezado"/>
            <w:jc w:val="both"/>
            <w:rPr>
              <w:rFonts w:ascii="Palatino Linotype" w:hAnsi="Palatino Linotype"/>
              <w:sz w:val="22"/>
              <w:szCs w:val="22"/>
            </w:rPr>
          </w:pPr>
          <w:r w:rsidRPr="00A726DA">
            <w:rPr>
              <w:rFonts w:ascii="Palatino Linotype" w:hAnsi="Palatino Linotype"/>
              <w:bCs/>
              <w:color w:val="000000"/>
              <w:sz w:val="22"/>
              <w:szCs w:val="22"/>
            </w:rPr>
            <w:t>Organismo Público Descentralizado Municipal para la Prestación de Los Servicios de Agua Potable Alcantarillado y Saneamiento de Cuautitlán Izcalli denominado OPERAGUA, O.P.D.M.</w:t>
          </w:r>
        </w:p>
      </w:tc>
    </w:tr>
    <w:tr w:rsidR="00D46375" w:rsidRPr="00A726DA" w:rsidTr="00A726DA">
      <w:trPr>
        <w:trHeight w:val="342"/>
      </w:trPr>
      <w:tc>
        <w:tcPr>
          <w:tcW w:w="2977" w:type="dxa"/>
          <w:vAlign w:val="center"/>
        </w:tcPr>
        <w:p w:rsidR="00D46375" w:rsidRPr="00A726DA" w:rsidRDefault="00D46375" w:rsidP="009F09BC">
          <w:pPr>
            <w:jc w:val="right"/>
            <w:rPr>
              <w:rFonts w:ascii="Palatino Linotype" w:hAnsi="Palatino Linotype"/>
              <w:b/>
              <w:sz w:val="22"/>
              <w:szCs w:val="22"/>
            </w:rPr>
          </w:pPr>
          <w:r w:rsidRPr="00A726DA">
            <w:rPr>
              <w:rFonts w:ascii="Palatino Linotype" w:hAnsi="Palatino Linotype"/>
              <w:b/>
              <w:sz w:val="22"/>
              <w:szCs w:val="22"/>
            </w:rPr>
            <w:t>Comisionada Ponente:</w:t>
          </w:r>
        </w:p>
      </w:tc>
      <w:tc>
        <w:tcPr>
          <w:tcW w:w="4961" w:type="dxa"/>
          <w:vAlign w:val="center"/>
        </w:tcPr>
        <w:p w:rsidR="00D46375" w:rsidRPr="00A726DA" w:rsidRDefault="00D46375" w:rsidP="009F09BC">
          <w:pPr>
            <w:pStyle w:val="Encabezado"/>
            <w:rPr>
              <w:rFonts w:ascii="Palatino Linotype" w:hAnsi="Palatino Linotype"/>
              <w:sz w:val="22"/>
              <w:szCs w:val="22"/>
            </w:rPr>
          </w:pPr>
          <w:r w:rsidRPr="00A726DA">
            <w:rPr>
              <w:rFonts w:ascii="Palatino Linotype" w:hAnsi="Palatino Linotype"/>
              <w:sz w:val="22"/>
              <w:szCs w:val="22"/>
            </w:rPr>
            <w:t>María del Rosario Mejía Ayala</w:t>
          </w:r>
        </w:p>
      </w:tc>
    </w:tr>
  </w:tbl>
  <w:p w:rsidR="00D46375" w:rsidRPr="00C222C0" w:rsidRDefault="00320B0C">
    <w:pPr>
      <w:pStyle w:val="Encabezado"/>
      <w:rPr>
        <w:sz w:val="16"/>
      </w:rPr>
    </w:pPr>
    <w:r>
      <w:rPr>
        <w:noProof/>
        <w:sz w:val="16"/>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89434187" o:spid="_x0000_s2051" type="#_x0000_t75" style="position:absolute;margin-left:-84.55pt;margin-top:-132.2pt;width:609.4pt;height:793.75pt;z-index:-251657728;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A4AD5"/>
    <w:multiLevelType w:val="hybridMultilevel"/>
    <w:tmpl w:val="726AC07A"/>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FB0CB8"/>
    <w:multiLevelType w:val="hybridMultilevel"/>
    <w:tmpl w:val="3BB61124"/>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A316D"/>
    <w:multiLevelType w:val="hybridMultilevel"/>
    <w:tmpl w:val="4C2EF2EC"/>
    <w:lvl w:ilvl="0" w:tplc="05B421CE">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15:restartNumberingAfterBreak="0">
    <w:nsid w:val="15980B00"/>
    <w:multiLevelType w:val="hybridMultilevel"/>
    <w:tmpl w:val="2DD6B4C4"/>
    <w:lvl w:ilvl="0" w:tplc="6C28D96E">
      <w:start w:val="1"/>
      <w:numFmt w:val="decimal"/>
      <w:lvlText w:val="%1."/>
      <w:lvlJc w:val="left"/>
      <w:pPr>
        <w:ind w:left="720"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D72C93"/>
    <w:multiLevelType w:val="hybridMultilevel"/>
    <w:tmpl w:val="58ECD2DA"/>
    <w:lvl w:ilvl="0" w:tplc="080A0005">
      <w:start w:val="1"/>
      <w:numFmt w:val="bullet"/>
      <w:lvlText w:val=""/>
      <w:lvlJc w:val="left"/>
      <w:pPr>
        <w:ind w:left="720" w:hanging="360"/>
      </w:pPr>
      <w:rPr>
        <w:rFonts w:ascii="Wingdings" w:hAnsi="Wingdings" w:hint="default"/>
      </w:rPr>
    </w:lvl>
    <w:lvl w:ilvl="1" w:tplc="DB1C5A80">
      <w:start w:val="1"/>
      <w:numFmt w:val="lowerLetter"/>
      <w:lvlText w:val="%2)"/>
      <w:lvlJc w:val="left"/>
      <w:pPr>
        <w:ind w:left="1440" w:hanging="360"/>
      </w:pPr>
      <w:rPr>
        <w:rFonts w:eastAsia="Calibri" w:hint="default"/>
        <w:b/>
        <w:i w:val="0"/>
        <w:u w:val="none"/>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C71479F"/>
    <w:multiLevelType w:val="hybridMultilevel"/>
    <w:tmpl w:val="D59203CC"/>
    <w:lvl w:ilvl="0" w:tplc="DB1C5A80">
      <w:start w:val="1"/>
      <w:numFmt w:val="lowerLetter"/>
      <w:lvlText w:val="%1)"/>
      <w:lvlJc w:val="left"/>
      <w:pPr>
        <w:ind w:left="1440" w:hanging="360"/>
      </w:pPr>
      <w:rPr>
        <w:rFonts w:eastAsia="Calibri" w:hint="default"/>
        <w:b/>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28051F2"/>
    <w:multiLevelType w:val="hybridMultilevel"/>
    <w:tmpl w:val="F6E08B8C"/>
    <w:lvl w:ilvl="0" w:tplc="721633D0">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7A7760"/>
    <w:multiLevelType w:val="hybridMultilevel"/>
    <w:tmpl w:val="735282E8"/>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758025D"/>
    <w:multiLevelType w:val="hybridMultilevel"/>
    <w:tmpl w:val="0538B41E"/>
    <w:lvl w:ilvl="0" w:tplc="8CF2AE30">
      <w:start w:val="4"/>
      <w:numFmt w:val="bullet"/>
      <w:lvlText w:val=""/>
      <w:lvlJc w:val="left"/>
      <w:pPr>
        <w:ind w:left="720" w:hanging="360"/>
      </w:pPr>
      <w:rPr>
        <w:rFonts w:ascii="Symbol" w:eastAsia="Times New Roman" w:hAnsi="Symbol" w:cs="Times New Roman"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28673BF6"/>
    <w:multiLevelType w:val="hybridMultilevel"/>
    <w:tmpl w:val="2D487D00"/>
    <w:lvl w:ilvl="0" w:tplc="080A0005">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9FD14AE"/>
    <w:multiLevelType w:val="hybridMultilevel"/>
    <w:tmpl w:val="24F8AE10"/>
    <w:lvl w:ilvl="0" w:tplc="DB1C5A80">
      <w:start w:val="1"/>
      <w:numFmt w:val="lowerLetter"/>
      <w:lvlText w:val="%1)"/>
      <w:lvlJc w:val="left"/>
      <w:pPr>
        <w:ind w:left="720" w:hanging="360"/>
      </w:pPr>
      <w:rPr>
        <w:rFonts w:eastAsia="Calibri" w:hint="default"/>
        <w:i w:val="0"/>
        <w:u w:val="none"/>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A4C5947"/>
    <w:multiLevelType w:val="hybridMultilevel"/>
    <w:tmpl w:val="66542034"/>
    <w:lvl w:ilvl="0" w:tplc="DECAA0A0">
      <w:start w:val="1"/>
      <w:numFmt w:val="upperRoman"/>
      <w:lvlText w:val="%1."/>
      <w:lvlJc w:val="left"/>
      <w:pPr>
        <w:ind w:left="1422" w:hanging="855"/>
      </w:pPr>
      <w:rPr>
        <w:b/>
      </w:rPr>
    </w:lvl>
    <w:lvl w:ilvl="1" w:tplc="080A0019">
      <w:start w:val="1"/>
      <w:numFmt w:val="lowerLetter"/>
      <w:lvlText w:val="%2."/>
      <w:lvlJc w:val="left"/>
      <w:pPr>
        <w:ind w:left="1647" w:hanging="360"/>
      </w:pPr>
    </w:lvl>
    <w:lvl w:ilvl="2" w:tplc="080A001B">
      <w:start w:val="1"/>
      <w:numFmt w:val="lowerRoman"/>
      <w:lvlText w:val="%3."/>
      <w:lvlJc w:val="right"/>
      <w:pPr>
        <w:ind w:left="2367" w:hanging="180"/>
      </w:pPr>
    </w:lvl>
    <w:lvl w:ilvl="3" w:tplc="080A000F">
      <w:start w:val="1"/>
      <w:numFmt w:val="decimal"/>
      <w:lvlText w:val="%4."/>
      <w:lvlJc w:val="left"/>
      <w:pPr>
        <w:ind w:left="3087" w:hanging="360"/>
      </w:pPr>
    </w:lvl>
    <w:lvl w:ilvl="4" w:tplc="080A0019">
      <w:start w:val="1"/>
      <w:numFmt w:val="lowerLetter"/>
      <w:lvlText w:val="%5."/>
      <w:lvlJc w:val="left"/>
      <w:pPr>
        <w:ind w:left="3807" w:hanging="360"/>
      </w:pPr>
    </w:lvl>
    <w:lvl w:ilvl="5" w:tplc="080A001B">
      <w:start w:val="1"/>
      <w:numFmt w:val="lowerRoman"/>
      <w:lvlText w:val="%6."/>
      <w:lvlJc w:val="right"/>
      <w:pPr>
        <w:ind w:left="4527" w:hanging="180"/>
      </w:pPr>
    </w:lvl>
    <w:lvl w:ilvl="6" w:tplc="080A000F">
      <w:start w:val="1"/>
      <w:numFmt w:val="decimal"/>
      <w:lvlText w:val="%7."/>
      <w:lvlJc w:val="left"/>
      <w:pPr>
        <w:ind w:left="5247" w:hanging="360"/>
      </w:pPr>
    </w:lvl>
    <w:lvl w:ilvl="7" w:tplc="080A0019">
      <w:start w:val="1"/>
      <w:numFmt w:val="lowerLetter"/>
      <w:lvlText w:val="%8."/>
      <w:lvlJc w:val="left"/>
      <w:pPr>
        <w:ind w:left="5967" w:hanging="360"/>
      </w:pPr>
    </w:lvl>
    <w:lvl w:ilvl="8" w:tplc="080A001B">
      <w:start w:val="1"/>
      <w:numFmt w:val="lowerRoman"/>
      <w:lvlText w:val="%9."/>
      <w:lvlJc w:val="right"/>
      <w:pPr>
        <w:ind w:left="6687" w:hanging="180"/>
      </w:pPr>
    </w:lvl>
  </w:abstractNum>
  <w:abstractNum w:abstractNumId="14" w15:restartNumberingAfterBreak="0">
    <w:nsid w:val="2BF228C6"/>
    <w:multiLevelType w:val="hybridMultilevel"/>
    <w:tmpl w:val="C07AAA1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CD940A5"/>
    <w:multiLevelType w:val="hybridMultilevel"/>
    <w:tmpl w:val="92765BF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6" w15:restartNumberingAfterBreak="0">
    <w:nsid w:val="30863768"/>
    <w:multiLevelType w:val="hybridMultilevel"/>
    <w:tmpl w:val="089CAE0C"/>
    <w:lvl w:ilvl="0" w:tplc="BF189D7C">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0CF2C4D"/>
    <w:multiLevelType w:val="hybridMultilevel"/>
    <w:tmpl w:val="8834BD4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15:restartNumberingAfterBreak="0">
    <w:nsid w:val="34317490"/>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8665A84"/>
    <w:multiLevelType w:val="hybridMultilevel"/>
    <w:tmpl w:val="089A6AEE"/>
    <w:lvl w:ilvl="0" w:tplc="ADA07AB6">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0" w15:restartNumberingAfterBreak="0">
    <w:nsid w:val="38985675"/>
    <w:multiLevelType w:val="hybridMultilevel"/>
    <w:tmpl w:val="96F0E4D2"/>
    <w:lvl w:ilvl="0" w:tplc="721633D0">
      <w:start w:val="1"/>
      <w:numFmt w:val="lowerLetter"/>
      <w:lvlText w:val="%1)"/>
      <w:lvlJc w:val="left"/>
      <w:pPr>
        <w:ind w:left="720" w:hanging="360"/>
      </w:pPr>
      <w:rPr>
        <w:b/>
      </w:rPr>
    </w:lvl>
    <w:lvl w:ilvl="1" w:tplc="F33E2EC8">
      <w:start w:val="1"/>
      <w:numFmt w:val="lowerLetter"/>
      <w:lvlText w:val="%2."/>
      <w:lvlJc w:val="left"/>
      <w:pPr>
        <w:ind w:left="1440" w:hanging="360"/>
      </w:pPr>
      <w:rPr>
        <w:color w:val="auto"/>
      </w:r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1" w15:restartNumberingAfterBreak="0">
    <w:nsid w:val="39286CE1"/>
    <w:multiLevelType w:val="hybridMultilevel"/>
    <w:tmpl w:val="9B1E3934"/>
    <w:lvl w:ilvl="0" w:tplc="937A1876">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22" w15:restartNumberingAfterBreak="0">
    <w:nsid w:val="3B434BFE"/>
    <w:multiLevelType w:val="hybridMultilevel"/>
    <w:tmpl w:val="66DA59C0"/>
    <w:lvl w:ilvl="0" w:tplc="F5C4018E">
      <w:start w:val="1"/>
      <w:numFmt w:val="decimal"/>
      <w:lvlText w:val="%1."/>
      <w:lvlJc w:val="left"/>
      <w:pPr>
        <w:ind w:left="36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0012B0A"/>
    <w:multiLevelType w:val="hybridMultilevel"/>
    <w:tmpl w:val="3F0E5C42"/>
    <w:lvl w:ilvl="0" w:tplc="1666A052">
      <w:start w:val="1"/>
      <w:numFmt w:val="lowerLetter"/>
      <w:lvlText w:val="%1)"/>
      <w:lvlJc w:val="left"/>
      <w:pPr>
        <w:ind w:left="720" w:hanging="360"/>
      </w:pPr>
      <w:rPr>
        <w:b/>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737D29"/>
    <w:multiLevelType w:val="hybridMultilevel"/>
    <w:tmpl w:val="D58E6418"/>
    <w:lvl w:ilvl="0" w:tplc="5A306EFA">
      <w:start w:val="1"/>
      <w:numFmt w:val="upp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E9E38F5"/>
    <w:multiLevelType w:val="hybridMultilevel"/>
    <w:tmpl w:val="8E306CF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6" w15:restartNumberingAfterBreak="0">
    <w:nsid w:val="51E87A32"/>
    <w:multiLevelType w:val="hybridMultilevel"/>
    <w:tmpl w:val="EC3C5612"/>
    <w:lvl w:ilvl="0" w:tplc="F5C4018E">
      <w:start w:val="1"/>
      <w:numFmt w:val="decimal"/>
      <w:lvlText w:val="%1."/>
      <w:lvlJc w:val="left"/>
      <w:pPr>
        <w:ind w:left="644" w:hanging="360"/>
      </w:pPr>
      <w:rPr>
        <w:rFonts w:ascii="Palatino Linotype" w:hAnsi="Palatino Linotype" w:hint="default"/>
        <w:b/>
        <w:i w:val="0"/>
        <w:color w:val="auto"/>
        <w:sz w:val="24"/>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7" w15:restartNumberingAfterBreak="0">
    <w:nsid w:val="53F410A3"/>
    <w:multiLevelType w:val="hybridMultilevel"/>
    <w:tmpl w:val="785270FC"/>
    <w:lvl w:ilvl="0" w:tplc="E0827176">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541270B2"/>
    <w:multiLevelType w:val="hybridMultilevel"/>
    <w:tmpl w:val="B9B0281A"/>
    <w:lvl w:ilvl="0" w:tplc="A7A4B4B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9" w15:restartNumberingAfterBreak="0">
    <w:nsid w:val="55E165FE"/>
    <w:multiLevelType w:val="hybridMultilevel"/>
    <w:tmpl w:val="4232C3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0" w15:restartNumberingAfterBreak="0">
    <w:nsid w:val="560839D1"/>
    <w:multiLevelType w:val="hybridMultilevel"/>
    <w:tmpl w:val="85B60A3A"/>
    <w:lvl w:ilvl="0" w:tplc="92067BEA">
      <w:start w:val="1"/>
      <w:numFmt w:val="decimal"/>
      <w:lvlText w:val="%1."/>
      <w:lvlJc w:val="left"/>
      <w:pPr>
        <w:ind w:left="502" w:hanging="360"/>
      </w:pPr>
      <w:rPr>
        <w:rFonts w:ascii="Palatino Linotype" w:hAnsi="Palatino Linotype" w:hint="default"/>
        <w:b/>
        <w:i w:val="0"/>
        <w:color w:val="000000" w:themeColor="text1"/>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8476A34"/>
    <w:multiLevelType w:val="hybridMultilevel"/>
    <w:tmpl w:val="1EEE18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9623C8B"/>
    <w:multiLevelType w:val="hybridMultilevel"/>
    <w:tmpl w:val="C78A6FD0"/>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3" w15:restartNumberingAfterBreak="0">
    <w:nsid w:val="59F836B9"/>
    <w:multiLevelType w:val="hybridMultilevel"/>
    <w:tmpl w:val="65A01DB8"/>
    <w:lvl w:ilvl="0" w:tplc="CD48EA9E">
      <w:start w:val="1"/>
      <w:numFmt w:val="lowerLetter"/>
      <w:lvlText w:val="%1."/>
      <w:lvlJc w:val="left"/>
      <w:pPr>
        <w:ind w:left="720" w:hanging="360"/>
      </w:pPr>
      <w:rPr>
        <w:rFonts w:cs="Arial"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06E1E4E"/>
    <w:multiLevelType w:val="hybridMultilevel"/>
    <w:tmpl w:val="BBE4AB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73E70FA"/>
    <w:multiLevelType w:val="hybridMultilevel"/>
    <w:tmpl w:val="D6922D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6A7A111D"/>
    <w:multiLevelType w:val="hybridMultilevel"/>
    <w:tmpl w:val="41941BB8"/>
    <w:lvl w:ilvl="0" w:tplc="6144D836">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7" w15:restartNumberingAfterBreak="0">
    <w:nsid w:val="6E8F349B"/>
    <w:multiLevelType w:val="hybridMultilevel"/>
    <w:tmpl w:val="DCF426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7E7800"/>
    <w:multiLevelType w:val="hybridMultilevel"/>
    <w:tmpl w:val="F4FC1D2C"/>
    <w:lvl w:ilvl="0" w:tplc="F5C4018E">
      <w:start w:val="1"/>
      <w:numFmt w:val="decimal"/>
      <w:lvlText w:val="%1."/>
      <w:lvlJc w:val="left"/>
      <w:pPr>
        <w:ind w:left="720" w:hanging="360"/>
      </w:pPr>
      <w:rPr>
        <w:rFonts w:ascii="Palatino Linotype" w:hAnsi="Palatino Linotype"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05967CF"/>
    <w:multiLevelType w:val="hybridMultilevel"/>
    <w:tmpl w:val="95B236A6"/>
    <w:lvl w:ilvl="0" w:tplc="A1E6A738">
      <w:start w:val="6"/>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2073EA0"/>
    <w:multiLevelType w:val="hybridMultilevel"/>
    <w:tmpl w:val="9BF0B9F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15:restartNumberingAfterBreak="0">
    <w:nsid w:val="750217E6"/>
    <w:multiLevelType w:val="hybridMultilevel"/>
    <w:tmpl w:val="2FE6F77C"/>
    <w:lvl w:ilvl="0" w:tplc="C81A3A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70136A0"/>
    <w:multiLevelType w:val="hybridMultilevel"/>
    <w:tmpl w:val="E8964A2C"/>
    <w:lvl w:ilvl="0" w:tplc="0F74318E">
      <w:start w:val="1"/>
      <w:numFmt w:val="decimal"/>
      <w:lvlText w:val="%1."/>
      <w:lvlJc w:val="left"/>
      <w:pPr>
        <w:ind w:left="858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E5D851DA">
      <w:start w:val="1"/>
      <w:numFmt w:val="lowerLetter"/>
      <w:lvlText w:val="%4)"/>
      <w:lvlJc w:val="left"/>
      <w:pPr>
        <w:ind w:left="2895" w:hanging="375"/>
      </w:pPr>
      <w:rPr>
        <w:rFonts w:ascii="Palatino Linotype" w:eastAsiaTheme="minorEastAsia" w:hAnsi="Palatino Linotype" w:cstheme="minorBidi"/>
        <w:color w:val="auto"/>
        <w:sz w:val="24"/>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15:restartNumberingAfterBreak="0">
    <w:nsid w:val="7BAF3DB4"/>
    <w:multiLevelType w:val="hybridMultilevel"/>
    <w:tmpl w:val="309678C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45" w15:restartNumberingAfterBreak="0">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2"/>
  </w:num>
  <w:num w:numId="8">
    <w:abstractNumId w:val="0"/>
  </w:num>
  <w:num w:numId="9">
    <w:abstractNumId w:val="36"/>
  </w:num>
  <w:num w:numId="10">
    <w:abstractNumId w:val="21"/>
  </w:num>
  <w:num w:numId="11">
    <w:abstractNumId w:val="15"/>
  </w:num>
  <w:num w:numId="12">
    <w:abstractNumId w:val="26"/>
  </w:num>
  <w:num w:numId="13">
    <w:abstractNumId w:val="38"/>
  </w:num>
  <w:num w:numId="14">
    <w:abstractNumId w:val="4"/>
  </w:num>
  <w:num w:numId="15">
    <w:abstractNumId w:val="18"/>
  </w:num>
  <w:num w:numId="16">
    <w:abstractNumId w:val="33"/>
  </w:num>
  <w:num w:numId="17">
    <w:abstractNumId w:val="9"/>
  </w:num>
  <w:num w:numId="18">
    <w:abstractNumId w:val="28"/>
  </w:num>
  <w:num w:numId="19">
    <w:abstractNumId w:val="39"/>
  </w:num>
  <w:num w:numId="20">
    <w:abstractNumId w:val="19"/>
  </w:num>
  <w:num w:numId="21">
    <w:abstractNumId w:val="24"/>
  </w:num>
  <w:num w:numId="22">
    <w:abstractNumId w:val="16"/>
  </w:num>
  <w:num w:numId="23">
    <w:abstractNumId w:val="44"/>
  </w:num>
  <w:num w:numId="24">
    <w:abstractNumId w:val="7"/>
  </w:num>
  <w:num w:numId="25">
    <w:abstractNumId w:val="34"/>
  </w:num>
  <w:num w:numId="26">
    <w:abstractNumId w:val="23"/>
  </w:num>
  <w:num w:numId="27">
    <w:abstractNumId w:val="5"/>
  </w:num>
  <w:num w:numId="28">
    <w:abstractNumId w:val="35"/>
  </w:num>
  <w:num w:numId="29">
    <w:abstractNumId w:val="31"/>
  </w:num>
  <w:num w:numId="30">
    <w:abstractNumId w:val="27"/>
  </w:num>
  <w:num w:numId="31">
    <w:abstractNumId w:val="42"/>
  </w:num>
  <w:num w:numId="32">
    <w:abstractNumId w:val="20"/>
  </w:num>
  <w:num w:numId="33">
    <w:abstractNumId w:val="8"/>
  </w:num>
  <w:num w:numId="34">
    <w:abstractNumId w:val="13"/>
  </w:num>
  <w:num w:numId="35">
    <w:abstractNumId w:val="6"/>
  </w:num>
  <w:num w:numId="36">
    <w:abstractNumId w:val="40"/>
  </w:num>
  <w:num w:numId="37">
    <w:abstractNumId w:val="30"/>
  </w:num>
  <w:num w:numId="38">
    <w:abstractNumId w:val="22"/>
  </w:num>
  <w:num w:numId="39">
    <w:abstractNumId w:val="14"/>
  </w:num>
  <w:num w:numId="40">
    <w:abstractNumId w:val="32"/>
  </w:num>
  <w:num w:numId="41">
    <w:abstractNumId w:val="1"/>
  </w:num>
  <w:num w:numId="42">
    <w:abstractNumId w:val="11"/>
  </w:num>
  <w:num w:numId="43">
    <w:abstractNumId w:val="25"/>
  </w:num>
  <w:num w:numId="44">
    <w:abstractNumId w:val="43"/>
  </w:num>
  <w:num w:numId="45">
    <w:abstractNumId w:val="29"/>
  </w:num>
  <w:num w:numId="46">
    <w:abstractNumId w:val="45"/>
  </w:num>
  <w:num w:numId="47">
    <w:abstractNumId w:val="41"/>
  </w:num>
  <w:num w:numId="48">
    <w:abstractNumId w:val="46"/>
  </w:num>
  <w:num w:numId="49">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751"/>
    <w:rsid w:val="00002446"/>
    <w:rsid w:val="000067B3"/>
    <w:rsid w:val="00010C43"/>
    <w:rsid w:val="0001674C"/>
    <w:rsid w:val="00020780"/>
    <w:rsid w:val="000219E6"/>
    <w:rsid w:val="00025C53"/>
    <w:rsid w:val="00030FBC"/>
    <w:rsid w:val="00032DD8"/>
    <w:rsid w:val="000373F6"/>
    <w:rsid w:val="000504E5"/>
    <w:rsid w:val="00051287"/>
    <w:rsid w:val="00053FB7"/>
    <w:rsid w:val="00060552"/>
    <w:rsid w:val="00077AAD"/>
    <w:rsid w:val="0008243D"/>
    <w:rsid w:val="000835A9"/>
    <w:rsid w:val="000A6153"/>
    <w:rsid w:val="000B42EA"/>
    <w:rsid w:val="000B650B"/>
    <w:rsid w:val="000E1A02"/>
    <w:rsid w:val="000E31C4"/>
    <w:rsid w:val="000E4891"/>
    <w:rsid w:val="00103414"/>
    <w:rsid w:val="00114502"/>
    <w:rsid w:val="001310C6"/>
    <w:rsid w:val="00134CE6"/>
    <w:rsid w:val="001352F5"/>
    <w:rsid w:val="00166F3E"/>
    <w:rsid w:val="00194C78"/>
    <w:rsid w:val="001A18E7"/>
    <w:rsid w:val="001C3FED"/>
    <w:rsid w:val="001C4290"/>
    <w:rsid w:val="001C7D9C"/>
    <w:rsid w:val="001D23C1"/>
    <w:rsid w:val="001D373F"/>
    <w:rsid w:val="001D5404"/>
    <w:rsid w:val="001D630C"/>
    <w:rsid w:val="001E755B"/>
    <w:rsid w:val="001F458A"/>
    <w:rsid w:val="002204BF"/>
    <w:rsid w:val="00222E80"/>
    <w:rsid w:val="00223048"/>
    <w:rsid w:val="00223C06"/>
    <w:rsid w:val="0022518F"/>
    <w:rsid w:val="00230B68"/>
    <w:rsid w:val="00237FA4"/>
    <w:rsid w:val="00247898"/>
    <w:rsid w:val="00264C9A"/>
    <w:rsid w:val="002650A0"/>
    <w:rsid w:val="00267A08"/>
    <w:rsid w:val="00272CA2"/>
    <w:rsid w:val="00274AA4"/>
    <w:rsid w:val="00277FAC"/>
    <w:rsid w:val="002901F4"/>
    <w:rsid w:val="00291500"/>
    <w:rsid w:val="002A3B71"/>
    <w:rsid w:val="002C0D3C"/>
    <w:rsid w:val="002C4997"/>
    <w:rsid w:val="002C77D6"/>
    <w:rsid w:val="002D294C"/>
    <w:rsid w:val="0030094A"/>
    <w:rsid w:val="00312281"/>
    <w:rsid w:val="00320B0C"/>
    <w:rsid w:val="00321085"/>
    <w:rsid w:val="00323FFD"/>
    <w:rsid w:val="003437D9"/>
    <w:rsid w:val="00353F1D"/>
    <w:rsid w:val="0037157C"/>
    <w:rsid w:val="00376C57"/>
    <w:rsid w:val="003833B3"/>
    <w:rsid w:val="003933C4"/>
    <w:rsid w:val="003A06E6"/>
    <w:rsid w:val="003A15C8"/>
    <w:rsid w:val="003B7751"/>
    <w:rsid w:val="003C13F1"/>
    <w:rsid w:val="003E66D2"/>
    <w:rsid w:val="00403D64"/>
    <w:rsid w:val="00407FDA"/>
    <w:rsid w:val="004118FA"/>
    <w:rsid w:val="00423410"/>
    <w:rsid w:val="00425842"/>
    <w:rsid w:val="00427038"/>
    <w:rsid w:val="00437672"/>
    <w:rsid w:val="00456AEE"/>
    <w:rsid w:val="00456CFF"/>
    <w:rsid w:val="004D465B"/>
    <w:rsid w:val="004E4EE6"/>
    <w:rsid w:val="004E6CE4"/>
    <w:rsid w:val="004F34D1"/>
    <w:rsid w:val="00500BD7"/>
    <w:rsid w:val="00507B30"/>
    <w:rsid w:val="00531473"/>
    <w:rsid w:val="005331D8"/>
    <w:rsid w:val="00541549"/>
    <w:rsid w:val="005432D0"/>
    <w:rsid w:val="00546076"/>
    <w:rsid w:val="00547ACE"/>
    <w:rsid w:val="005507B0"/>
    <w:rsid w:val="00552D76"/>
    <w:rsid w:val="00554A21"/>
    <w:rsid w:val="00556E0A"/>
    <w:rsid w:val="00563F2E"/>
    <w:rsid w:val="0057514F"/>
    <w:rsid w:val="00575E75"/>
    <w:rsid w:val="00583A39"/>
    <w:rsid w:val="005B0088"/>
    <w:rsid w:val="005B076D"/>
    <w:rsid w:val="005B6702"/>
    <w:rsid w:val="005C5021"/>
    <w:rsid w:val="005D2F1C"/>
    <w:rsid w:val="005D4C57"/>
    <w:rsid w:val="0062406B"/>
    <w:rsid w:val="00624369"/>
    <w:rsid w:val="006313B5"/>
    <w:rsid w:val="00647F7C"/>
    <w:rsid w:val="00657639"/>
    <w:rsid w:val="006672E1"/>
    <w:rsid w:val="00680C93"/>
    <w:rsid w:val="0069487D"/>
    <w:rsid w:val="006A04B6"/>
    <w:rsid w:val="006A6390"/>
    <w:rsid w:val="006C5B2F"/>
    <w:rsid w:val="006C6E54"/>
    <w:rsid w:val="006D15D0"/>
    <w:rsid w:val="006D1CED"/>
    <w:rsid w:val="006D6CC1"/>
    <w:rsid w:val="006E7397"/>
    <w:rsid w:val="006E7C94"/>
    <w:rsid w:val="00707B87"/>
    <w:rsid w:val="00711062"/>
    <w:rsid w:val="007142AB"/>
    <w:rsid w:val="007142D6"/>
    <w:rsid w:val="00716BCA"/>
    <w:rsid w:val="00720371"/>
    <w:rsid w:val="00721C61"/>
    <w:rsid w:val="00730341"/>
    <w:rsid w:val="00736A4D"/>
    <w:rsid w:val="0074110E"/>
    <w:rsid w:val="00742823"/>
    <w:rsid w:val="007601B1"/>
    <w:rsid w:val="00775EB2"/>
    <w:rsid w:val="00782A12"/>
    <w:rsid w:val="007851DB"/>
    <w:rsid w:val="00792D6A"/>
    <w:rsid w:val="007A460E"/>
    <w:rsid w:val="007A6A1A"/>
    <w:rsid w:val="007B0745"/>
    <w:rsid w:val="007C16B9"/>
    <w:rsid w:val="007C3C29"/>
    <w:rsid w:val="007C4404"/>
    <w:rsid w:val="007E56E1"/>
    <w:rsid w:val="00804DAA"/>
    <w:rsid w:val="0082142B"/>
    <w:rsid w:val="008227A9"/>
    <w:rsid w:val="008526F4"/>
    <w:rsid w:val="008563C8"/>
    <w:rsid w:val="008573BF"/>
    <w:rsid w:val="0086792A"/>
    <w:rsid w:val="00873EB6"/>
    <w:rsid w:val="00883C6B"/>
    <w:rsid w:val="008A06F8"/>
    <w:rsid w:val="008A64D0"/>
    <w:rsid w:val="008A699B"/>
    <w:rsid w:val="008B0637"/>
    <w:rsid w:val="008B0B07"/>
    <w:rsid w:val="008C1ED7"/>
    <w:rsid w:val="008E12E3"/>
    <w:rsid w:val="008E32EE"/>
    <w:rsid w:val="008E330F"/>
    <w:rsid w:val="008E6574"/>
    <w:rsid w:val="008F6D18"/>
    <w:rsid w:val="00911A75"/>
    <w:rsid w:val="009126F1"/>
    <w:rsid w:val="00926716"/>
    <w:rsid w:val="009335F9"/>
    <w:rsid w:val="00945135"/>
    <w:rsid w:val="0095341F"/>
    <w:rsid w:val="009972BB"/>
    <w:rsid w:val="009A2251"/>
    <w:rsid w:val="009D0241"/>
    <w:rsid w:val="009D5A32"/>
    <w:rsid w:val="009F09BC"/>
    <w:rsid w:val="00A23E82"/>
    <w:rsid w:val="00A429D6"/>
    <w:rsid w:val="00A533B8"/>
    <w:rsid w:val="00A56791"/>
    <w:rsid w:val="00A626EB"/>
    <w:rsid w:val="00A726DA"/>
    <w:rsid w:val="00A95ADC"/>
    <w:rsid w:val="00AC006C"/>
    <w:rsid w:val="00AD316E"/>
    <w:rsid w:val="00AD63B4"/>
    <w:rsid w:val="00AF4BBC"/>
    <w:rsid w:val="00B07BF8"/>
    <w:rsid w:val="00B11CDD"/>
    <w:rsid w:val="00B5225F"/>
    <w:rsid w:val="00B530E8"/>
    <w:rsid w:val="00B86242"/>
    <w:rsid w:val="00BF3FB5"/>
    <w:rsid w:val="00C03BA3"/>
    <w:rsid w:val="00C0715F"/>
    <w:rsid w:val="00C105CC"/>
    <w:rsid w:val="00C1074F"/>
    <w:rsid w:val="00C14F2A"/>
    <w:rsid w:val="00C17852"/>
    <w:rsid w:val="00C21FAE"/>
    <w:rsid w:val="00C242A7"/>
    <w:rsid w:val="00C35712"/>
    <w:rsid w:val="00C41B2B"/>
    <w:rsid w:val="00C47C3D"/>
    <w:rsid w:val="00C524F8"/>
    <w:rsid w:val="00C54D99"/>
    <w:rsid w:val="00C640EA"/>
    <w:rsid w:val="00C85E64"/>
    <w:rsid w:val="00C860B1"/>
    <w:rsid w:val="00C87396"/>
    <w:rsid w:val="00C90814"/>
    <w:rsid w:val="00C91F0F"/>
    <w:rsid w:val="00CA1063"/>
    <w:rsid w:val="00CB757D"/>
    <w:rsid w:val="00CC5B2F"/>
    <w:rsid w:val="00CE7B83"/>
    <w:rsid w:val="00CF0D2B"/>
    <w:rsid w:val="00D021A5"/>
    <w:rsid w:val="00D16FC7"/>
    <w:rsid w:val="00D367B4"/>
    <w:rsid w:val="00D36EB5"/>
    <w:rsid w:val="00D46375"/>
    <w:rsid w:val="00D47231"/>
    <w:rsid w:val="00D5729F"/>
    <w:rsid w:val="00D6224B"/>
    <w:rsid w:val="00D81329"/>
    <w:rsid w:val="00D8320F"/>
    <w:rsid w:val="00D96104"/>
    <w:rsid w:val="00DA6D37"/>
    <w:rsid w:val="00DB17E1"/>
    <w:rsid w:val="00DB753F"/>
    <w:rsid w:val="00DC2611"/>
    <w:rsid w:val="00DD1021"/>
    <w:rsid w:val="00DE2F5A"/>
    <w:rsid w:val="00DF03A5"/>
    <w:rsid w:val="00DF2698"/>
    <w:rsid w:val="00DF768B"/>
    <w:rsid w:val="00E118BA"/>
    <w:rsid w:val="00E17429"/>
    <w:rsid w:val="00E55966"/>
    <w:rsid w:val="00E56172"/>
    <w:rsid w:val="00E5636B"/>
    <w:rsid w:val="00E566C9"/>
    <w:rsid w:val="00E61C13"/>
    <w:rsid w:val="00E61DA9"/>
    <w:rsid w:val="00E730F7"/>
    <w:rsid w:val="00E86E76"/>
    <w:rsid w:val="00E92E04"/>
    <w:rsid w:val="00EA660A"/>
    <w:rsid w:val="00EB1CE2"/>
    <w:rsid w:val="00ED1D6B"/>
    <w:rsid w:val="00ED3A35"/>
    <w:rsid w:val="00ED6E75"/>
    <w:rsid w:val="00EE4769"/>
    <w:rsid w:val="00EF45F9"/>
    <w:rsid w:val="00F05523"/>
    <w:rsid w:val="00F231FF"/>
    <w:rsid w:val="00F24A04"/>
    <w:rsid w:val="00F35B0C"/>
    <w:rsid w:val="00F42ADB"/>
    <w:rsid w:val="00F475A6"/>
    <w:rsid w:val="00F54259"/>
    <w:rsid w:val="00F72588"/>
    <w:rsid w:val="00F7371C"/>
    <w:rsid w:val="00F9013E"/>
    <w:rsid w:val="00F945A9"/>
    <w:rsid w:val="00F946B5"/>
    <w:rsid w:val="00FB6D42"/>
    <w:rsid w:val="00FC23E0"/>
    <w:rsid w:val="00FD2FA4"/>
    <w:rsid w:val="00FE3FBE"/>
    <w:rsid w:val="00FE676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630F7C0B-552C-4272-B7FD-FD0B3D8A7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9BC"/>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6D6CC1"/>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6D6CC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9F09BC"/>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9F09BC"/>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B7751"/>
    <w:pPr>
      <w:tabs>
        <w:tab w:val="center" w:pos="4419"/>
        <w:tab w:val="right" w:pos="8838"/>
      </w:tabs>
    </w:pPr>
  </w:style>
  <w:style w:type="character" w:customStyle="1" w:styleId="EncabezadoCar">
    <w:name w:val="Encabezado Car"/>
    <w:basedOn w:val="Fuentedeprrafopredeter"/>
    <w:link w:val="Encabezado"/>
    <w:uiPriority w:val="99"/>
    <w:rsid w:val="003B7751"/>
  </w:style>
  <w:style w:type="paragraph" w:styleId="Piedepgina">
    <w:name w:val="footer"/>
    <w:basedOn w:val="Normal"/>
    <w:link w:val="PiedepginaCar"/>
    <w:uiPriority w:val="99"/>
    <w:unhideWhenUsed/>
    <w:rsid w:val="003B7751"/>
    <w:pPr>
      <w:tabs>
        <w:tab w:val="center" w:pos="4419"/>
        <w:tab w:val="right" w:pos="8838"/>
      </w:tabs>
    </w:pPr>
  </w:style>
  <w:style w:type="character" w:customStyle="1" w:styleId="PiedepginaCar">
    <w:name w:val="Pie de página Car"/>
    <w:basedOn w:val="Fuentedeprrafopredeter"/>
    <w:link w:val="Piedepgina"/>
    <w:uiPriority w:val="99"/>
    <w:rsid w:val="003B7751"/>
  </w:style>
  <w:style w:type="character" w:styleId="Hipervnculo">
    <w:name w:val="Hyperlink"/>
    <w:aliases w:val="Hipervínculo1,Hipervínculo11,Hipervínculo12,Hipervínculo13,Hipervínculo14,Hipervínculo15"/>
    <w:basedOn w:val="Fuentedeprrafopredeter"/>
    <w:uiPriority w:val="99"/>
    <w:unhideWhenUsed/>
    <w:rsid w:val="003B7751"/>
    <w:rPr>
      <w:color w:val="0563C1" w:themeColor="hyperlink"/>
      <w:u w:val="single"/>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3B7751"/>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3B7751"/>
    <w:rPr>
      <w:sz w:val="20"/>
      <w:szCs w:val="20"/>
    </w:rPr>
  </w:style>
  <w:style w:type="character" w:customStyle="1" w:styleId="TextonotapieCar1">
    <w:name w:val="Texto nota pie Car1"/>
    <w:basedOn w:val="Fuentedeprrafopredeter"/>
    <w:uiPriority w:val="99"/>
    <w:semiHidden/>
    <w:rsid w:val="003B7751"/>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3B7751"/>
    <w:rPr>
      <w:vertAlign w:val="superscript"/>
    </w:rPr>
  </w:style>
  <w:style w:type="character" w:customStyle="1" w:styleId="apple-converted-space">
    <w:name w:val="apple-converted-space"/>
    <w:basedOn w:val="Fuentedeprrafopredeter"/>
    <w:rsid w:val="003B7751"/>
  </w:style>
  <w:style w:type="character" w:styleId="Hipervnculovisitado">
    <w:name w:val="FollowedHyperlink"/>
    <w:basedOn w:val="Fuentedeprrafopredeter"/>
    <w:uiPriority w:val="99"/>
    <w:semiHidden/>
    <w:unhideWhenUsed/>
    <w:rsid w:val="00F7371C"/>
    <w:rPr>
      <w:color w:val="954F72" w:themeColor="followedHyperlink"/>
      <w:u w:val="single"/>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D1D6B"/>
    <w:pPr>
      <w:ind w:left="720"/>
      <w:contextualSpacing/>
    </w:pPr>
  </w:style>
  <w:style w:type="character" w:customStyle="1" w:styleId="Ttulo1Car">
    <w:name w:val="Título 1 Car"/>
    <w:basedOn w:val="Fuentedeprrafopredeter"/>
    <w:link w:val="Ttulo1"/>
    <w:uiPriority w:val="9"/>
    <w:rsid w:val="006D6CC1"/>
    <w:rPr>
      <w:rFonts w:asciiTheme="majorHAnsi" w:eastAsiaTheme="majorEastAsia" w:hAnsiTheme="majorHAnsi" w:cstheme="majorBidi"/>
      <w:color w:val="2E74B5" w:themeColor="accent1" w:themeShade="BF"/>
      <w:sz w:val="32"/>
      <w:szCs w:val="32"/>
    </w:rPr>
  </w:style>
  <w:style w:type="paragraph" w:styleId="TtulodeTDC">
    <w:name w:val="TOC Heading"/>
    <w:basedOn w:val="Ttulo1"/>
    <w:next w:val="Normal"/>
    <w:uiPriority w:val="39"/>
    <w:unhideWhenUsed/>
    <w:qFormat/>
    <w:rsid w:val="006D6CC1"/>
    <w:pPr>
      <w:outlineLvl w:val="9"/>
    </w:pPr>
    <w:rPr>
      <w:lang w:eastAsia="es-MX"/>
    </w:rPr>
  </w:style>
  <w:style w:type="paragraph" w:styleId="TDC2">
    <w:name w:val="toc 2"/>
    <w:basedOn w:val="Normal"/>
    <w:next w:val="Normal"/>
    <w:autoRedefine/>
    <w:uiPriority w:val="39"/>
    <w:unhideWhenUsed/>
    <w:rsid w:val="006D6CC1"/>
    <w:pPr>
      <w:spacing w:after="100"/>
      <w:ind w:left="220"/>
    </w:pPr>
    <w:rPr>
      <w:rFonts w:cs="Times New Roman"/>
      <w:lang w:eastAsia="es-MX"/>
    </w:rPr>
  </w:style>
  <w:style w:type="paragraph" w:styleId="TDC1">
    <w:name w:val="toc 1"/>
    <w:basedOn w:val="Normal"/>
    <w:next w:val="Normal"/>
    <w:autoRedefine/>
    <w:uiPriority w:val="39"/>
    <w:unhideWhenUsed/>
    <w:rsid w:val="00CC5B2F"/>
    <w:pPr>
      <w:tabs>
        <w:tab w:val="left" w:pos="440"/>
        <w:tab w:val="right" w:leader="dot" w:pos="9062"/>
      </w:tabs>
      <w:spacing w:line="360" w:lineRule="auto"/>
      <w:ind w:firstLine="142"/>
    </w:pPr>
    <w:rPr>
      <w:rFonts w:cs="Times New Roman"/>
      <w:lang w:eastAsia="es-MX"/>
    </w:rPr>
  </w:style>
  <w:style w:type="paragraph" w:styleId="TDC3">
    <w:name w:val="toc 3"/>
    <w:basedOn w:val="Normal"/>
    <w:next w:val="Normal"/>
    <w:autoRedefine/>
    <w:uiPriority w:val="39"/>
    <w:unhideWhenUsed/>
    <w:rsid w:val="006D6CC1"/>
    <w:pPr>
      <w:spacing w:after="100"/>
      <w:ind w:left="440"/>
    </w:pPr>
    <w:rPr>
      <w:rFonts w:cs="Times New Roman"/>
      <w:lang w:eastAsia="es-MX"/>
    </w:rPr>
  </w:style>
  <w:style w:type="character" w:customStyle="1" w:styleId="Ttulo2Car">
    <w:name w:val="Título 2 Car"/>
    <w:basedOn w:val="Fuentedeprrafopredeter"/>
    <w:link w:val="Ttulo2"/>
    <w:uiPriority w:val="9"/>
    <w:rsid w:val="006D6CC1"/>
    <w:rPr>
      <w:rFonts w:asciiTheme="majorHAnsi" w:eastAsiaTheme="majorEastAsia" w:hAnsiTheme="majorHAnsi" w:cstheme="majorBidi"/>
      <w:color w:val="2E74B5" w:themeColor="accent1" w:themeShade="BF"/>
      <w:sz w:val="26"/>
      <w:szCs w:val="26"/>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12281"/>
  </w:style>
  <w:style w:type="character" w:customStyle="1" w:styleId="Ttulo3Car">
    <w:name w:val="Título 3 Car"/>
    <w:basedOn w:val="Fuentedeprrafopredeter"/>
    <w:link w:val="Ttulo3"/>
    <w:uiPriority w:val="9"/>
    <w:semiHidden/>
    <w:rsid w:val="009F09BC"/>
    <w:rPr>
      <w:rFonts w:asciiTheme="majorHAnsi" w:eastAsiaTheme="majorEastAsia" w:hAnsiTheme="majorHAnsi" w:cstheme="majorBidi"/>
      <w:color w:val="1F4D78" w:themeColor="accent1" w:themeShade="7F"/>
      <w:sz w:val="24"/>
      <w:szCs w:val="24"/>
      <w:lang w:val="es-ES_tradnl" w:eastAsia="es-ES"/>
    </w:rPr>
  </w:style>
  <w:style w:type="character" w:customStyle="1" w:styleId="Ttulo4Car">
    <w:name w:val="Título 4 Car"/>
    <w:basedOn w:val="Fuentedeprrafopredeter"/>
    <w:link w:val="Ttulo4"/>
    <w:uiPriority w:val="9"/>
    <w:rsid w:val="009F09BC"/>
    <w:rPr>
      <w:rFonts w:asciiTheme="majorHAnsi" w:eastAsiaTheme="majorEastAsia" w:hAnsiTheme="majorHAnsi" w:cstheme="majorBidi"/>
      <w:i/>
      <w:iCs/>
      <w:color w:val="2E74B5" w:themeColor="accent1" w:themeShade="BF"/>
      <w:sz w:val="24"/>
      <w:szCs w:val="24"/>
      <w:lang w:val="es-ES_tradnl" w:eastAsia="es-ES"/>
    </w:rPr>
  </w:style>
  <w:style w:type="table" w:styleId="Tablaconcuadrcula">
    <w:name w:val="Table Grid"/>
    <w:basedOn w:val="Tablanormal"/>
    <w:uiPriority w:val="59"/>
    <w:rsid w:val="009F09BC"/>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9F09BC"/>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9F09BC"/>
    <w:rPr>
      <w:rFonts w:ascii="Lucida Grande" w:eastAsiaTheme="minorEastAsia" w:hAnsi="Lucida Grande" w:cs="Lucida Grande"/>
      <w:sz w:val="18"/>
      <w:szCs w:val="18"/>
      <w:lang w:val="es-ES_tradnl" w:eastAsia="es-ES"/>
    </w:rPr>
  </w:style>
  <w:style w:type="paragraph" w:styleId="Sinespaciado">
    <w:name w:val="No Spacing"/>
    <w:aliases w:val="Francesa,INAI"/>
    <w:link w:val="SinespaciadoCar"/>
    <w:uiPriority w:val="1"/>
    <w:qFormat/>
    <w:rsid w:val="009F09BC"/>
    <w:pPr>
      <w:spacing w:after="0" w:line="240" w:lineRule="auto"/>
    </w:pPr>
    <w:rPr>
      <w:rFonts w:eastAsiaTheme="minorEastAsia"/>
      <w:sz w:val="24"/>
      <w:szCs w:val="24"/>
      <w:lang w:val="es-ES_tradnl" w:eastAsia="es-ES"/>
    </w:rPr>
  </w:style>
  <w:style w:type="character" w:styleId="Refdecomentario">
    <w:name w:val="annotation reference"/>
    <w:basedOn w:val="Fuentedeprrafopredeter"/>
    <w:uiPriority w:val="99"/>
    <w:semiHidden/>
    <w:unhideWhenUsed/>
    <w:rsid w:val="009F09BC"/>
    <w:rPr>
      <w:sz w:val="16"/>
      <w:szCs w:val="16"/>
    </w:rPr>
  </w:style>
  <w:style w:type="paragraph" w:styleId="Textocomentario">
    <w:name w:val="annotation text"/>
    <w:basedOn w:val="Normal"/>
    <w:link w:val="TextocomentarioCar"/>
    <w:uiPriority w:val="99"/>
    <w:semiHidden/>
    <w:unhideWhenUsed/>
    <w:rsid w:val="009F09BC"/>
    <w:rPr>
      <w:sz w:val="20"/>
      <w:szCs w:val="20"/>
    </w:rPr>
  </w:style>
  <w:style w:type="character" w:customStyle="1" w:styleId="TextocomentarioCar">
    <w:name w:val="Texto comentario Car"/>
    <w:basedOn w:val="Fuentedeprrafopredeter"/>
    <w:link w:val="Textocomentario"/>
    <w:uiPriority w:val="99"/>
    <w:semiHidden/>
    <w:rsid w:val="009F09BC"/>
    <w:rPr>
      <w:rFonts w:eastAsiaTheme="minorEastAsia"/>
      <w:sz w:val="20"/>
      <w:szCs w:val="20"/>
      <w:lang w:val="es-ES_tradnl" w:eastAsia="es-ES"/>
    </w:rPr>
  </w:style>
  <w:style w:type="paragraph" w:styleId="Asuntodelcomentario">
    <w:name w:val="annotation subject"/>
    <w:basedOn w:val="Textocomentario"/>
    <w:next w:val="Textocomentario"/>
    <w:link w:val="AsuntodelcomentarioCar"/>
    <w:uiPriority w:val="99"/>
    <w:semiHidden/>
    <w:unhideWhenUsed/>
    <w:rsid w:val="009F09BC"/>
    <w:rPr>
      <w:b/>
      <w:bCs/>
    </w:rPr>
  </w:style>
  <w:style w:type="character" w:customStyle="1" w:styleId="AsuntodelcomentarioCar">
    <w:name w:val="Asunto del comentario Car"/>
    <w:basedOn w:val="TextocomentarioCar"/>
    <w:link w:val="Asuntodelcomentario"/>
    <w:uiPriority w:val="99"/>
    <w:semiHidden/>
    <w:rsid w:val="009F09BC"/>
    <w:rPr>
      <w:rFonts w:eastAsiaTheme="minorEastAsia"/>
      <w:b/>
      <w:bCs/>
      <w:sz w:val="20"/>
      <w:szCs w:val="20"/>
      <w:lang w:val="es-ES_tradnl" w:eastAsia="es-ES"/>
    </w:rPr>
  </w:style>
  <w:style w:type="paragraph" w:styleId="Textoindependiente">
    <w:name w:val="Body Text"/>
    <w:basedOn w:val="Normal"/>
    <w:link w:val="TextoindependienteCar"/>
    <w:rsid w:val="009F09BC"/>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9F09BC"/>
    <w:rPr>
      <w:rFonts w:ascii="Arial" w:eastAsia="Times New Roman" w:hAnsi="Arial" w:cs="Times New Roman"/>
      <w:sz w:val="24"/>
      <w:szCs w:val="20"/>
      <w:lang w:val="es-ES_tradnl" w:eastAsia="es-ES"/>
    </w:rPr>
  </w:style>
  <w:style w:type="paragraph" w:customStyle="1" w:styleId="p">
    <w:name w:val="p"/>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customStyle="1" w:styleId="a">
    <w:name w:val="a"/>
    <w:basedOn w:val="Fuentedeprrafopredeter"/>
    <w:rsid w:val="009F09BC"/>
  </w:style>
  <w:style w:type="character" w:customStyle="1" w:styleId="d">
    <w:name w:val="d"/>
    <w:basedOn w:val="Fuentedeprrafopredeter"/>
    <w:rsid w:val="009F09BC"/>
  </w:style>
  <w:style w:type="character" w:customStyle="1" w:styleId="b">
    <w:name w:val="b"/>
    <w:basedOn w:val="Fuentedeprrafopredeter"/>
    <w:rsid w:val="009F09BC"/>
  </w:style>
  <w:style w:type="character" w:customStyle="1" w:styleId="g">
    <w:name w:val="g"/>
    <w:basedOn w:val="Fuentedeprrafopredeter"/>
    <w:rsid w:val="009F09BC"/>
  </w:style>
  <w:style w:type="table" w:customStyle="1" w:styleId="Tablaconcuadrcula1">
    <w:name w:val="Tabla con cuadrícula1"/>
    <w:basedOn w:val="Tablanormal"/>
    <w:next w:val="Tablaconcuadrcula"/>
    <w:uiPriority w:val="59"/>
    <w:rsid w:val="009F09BC"/>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9F09BC"/>
  </w:style>
  <w:style w:type="paragraph" w:styleId="NormalWeb">
    <w:name w:val="Normal (Web)"/>
    <w:basedOn w:val="Normal"/>
    <w:uiPriority w:val="99"/>
    <w:rsid w:val="009F09BC"/>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9F09BC"/>
    <w:rPr>
      <w:b/>
      <w:bCs/>
    </w:rPr>
  </w:style>
  <w:style w:type="paragraph" w:customStyle="1" w:styleId="Default">
    <w:name w:val="Default"/>
    <w:qFormat/>
    <w:rsid w:val="009F09BC"/>
    <w:pPr>
      <w:autoSpaceDE w:val="0"/>
      <w:autoSpaceDN w:val="0"/>
      <w:adjustRightInd w:val="0"/>
      <w:spacing w:after="0" w:line="240" w:lineRule="auto"/>
    </w:pPr>
    <w:rPr>
      <w:rFonts w:ascii="Arial" w:hAnsi="Arial" w:cs="Arial"/>
      <w:color w:val="000000"/>
      <w:sz w:val="24"/>
      <w:szCs w:val="24"/>
    </w:rPr>
  </w:style>
  <w:style w:type="character" w:customStyle="1" w:styleId="SinespaciadoCar">
    <w:name w:val="Sin espaciado Car"/>
    <w:aliases w:val="Francesa Car,INAI Car"/>
    <w:link w:val="Sinespaciado"/>
    <w:uiPriority w:val="1"/>
    <w:locked/>
    <w:rsid w:val="009F09BC"/>
    <w:rPr>
      <w:rFonts w:eastAsiaTheme="minorEastAsia"/>
      <w:sz w:val="24"/>
      <w:szCs w:val="24"/>
      <w:lang w:val="es-ES_tradnl" w:eastAsia="es-ES"/>
    </w:rPr>
  </w:style>
  <w:style w:type="table" w:customStyle="1" w:styleId="Tablanormal11">
    <w:name w:val="Tabla normal 11"/>
    <w:basedOn w:val="Tablanormal"/>
    <w:uiPriority w:val="41"/>
    <w:rsid w:val="009F09B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9F09BC"/>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9F09BC"/>
  </w:style>
  <w:style w:type="table" w:customStyle="1" w:styleId="Tabladecuadrcula1clara1">
    <w:name w:val="Tabla de cuadrícula 1 clara1"/>
    <w:basedOn w:val="Tablanormal"/>
    <w:uiPriority w:val="9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decuadrcula4-nfasis11">
    <w:name w:val="Tabla de cuadrícula 4 - Énfasis 11"/>
    <w:basedOn w:val="Tablanormal"/>
    <w:uiPriority w:val="49"/>
    <w:rsid w:val="009F09BC"/>
    <w:pPr>
      <w:spacing w:after="0" w:line="240" w:lineRule="auto"/>
    </w:pPr>
    <w:rPr>
      <w:rFonts w:eastAsiaTheme="minorEastAsia"/>
      <w:sz w:val="24"/>
      <w:szCs w:val="24"/>
      <w:lang w:val="es-ES_tradnl" w:eastAsia="es-E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m-698976158124685028gmail-msolistparagraph">
    <w:name w:val="m_-698976158124685028gmail-msolist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numbering" w:customStyle="1" w:styleId="Estiloimportado1">
    <w:name w:val="Estilo importado 1"/>
    <w:rsid w:val="009F09BC"/>
    <w:pPr>
      <w:numPr>
        <w:numId w:val="24"/>
      </w:numPr>
    </w:pPr>
  </w:style>
  <w:style w:type="paragraph" w:customStyle="1" w:styleId="FootnoteTextCharCharChar1">
    <w:name w:val="Footnote Text Char Char Char1"/>
    <w:basedOn w:val="Normal"/>
    <w:next w:val="Textonotapie"/>
    <w:unhideWhenUsed/>
    <w:rsid w:val="009F09BC"/>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9F09BC"/>
    <w:pPr>
      <w:spacing w:after="120" w:line="480" w:lineRule="auto"/>
    </w:pPr>
  </w:style>
  <w:style w:type="character" w:customStyle="1" w:styleId="Textoindependiente2Car">
    <w:name w:val="Texto independiente 2 Car"/>
    <w:basedOn w:val="Fuentedeprrafopredeter"/>
    <w:link w:val="Textoindependiente2"/>
    <w:uiPriority w:val="99"/>
    <w:semiHidden/>
    <w:rsid w:val="009F09BC"/>
    <w:rPr>
      <w:rFonts w:eastAsiaTheme="minorEastAsia"/>
      <w:sz w:val="24"/>
      <w:szCs w:val="24"/>
      <w:lang w:val="es-ES_tradnl" w:eastAsia="es-ES"/>
    </w:rPr>
  </w:style>
  <w:style w:type="paragraph" w:customStyle="1" w:styleId="ADB1">
    <w:name w:val="ADB1"/>
    <w:basedOn w:val="Normal"/>
    <w:next w:val="Textonotapie"/>
    <w:uiPriority w:val="99"/>
    <w:unhideWhenUsed/>
    <w:qFormat/>
    <w:rsid w:val="009F09BC"/>
    <w:rPr>
      <w:rFonts w:eastAsia="Cambria"/>
      <w:sz w:val="20"/>
      <w:szCs w:val="20"/>
      <w:lang w:val="es-MX" w:eastAsia="en-US"/>
    </w:rPr>
  </w:style>
  <w:style w:type="paragraph" w:customStyle="1" w:styleId="francesa">
    <w:name w:val="francesa"/>
    <w:basedOn w:val="Normal"/>
    <w:rsid w:val="009F09BC"/>
    <w:pPr>
      <w:spacing w:before="100" w:beforeAutospacing="1" w:after="100" w:afterAutospacing="1"/>
    </w:pPr>
    <w:rPr>
      <w:rFonts w:ascii="Times New Roman" w:eastAsia="Times New Roman" w:hAnsi="Times New Roman" w:cs="Times New Roman"/>
      <w:lang w:val="es-MX" w:eastAsia="es-MX"/>
    </w:rPr>
  </w:style>
  <w:style w:type="paragraph" w:customStyle="1" w:styleId="paragraph">
    <w:name w:val="paragraph"/>
    <w:basedOn w:val="Normal"/>
    <w:rsid w:val="009F09BC"/>
    <w:pPr>
      <w:spacing w:before="100" w:beforeAutospacing="1" w:after="100" w:afterAutospacing="1"/>
    </w:pPr>
    <w:rPr>
      <w:rFonts w:ascii="Times New Roman" w:eastAsia="Times New Roman" w:hAnsi="Times New Roman" w:cs="Times New Roman"/>
      <w:lang w:val="es-MX" w:eastAsia="es-MX"/>
    </w:rPr>
  </w:style>
  <w:style w:type="character" w:styleId="Referenciasutil">
    <w:name w:val="Subtle Reference"/>
    <w:basedOn w:val="Fuentedeprrafopredeter"/>
    <w:uiPriority w:val="31"/>
    <w:qFormat/>
    <w:rsid w:val="00A726DA"/>
    <w:rPr>
      <w:rFonts w:cs="Times New Roman"/>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2364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C8F659-AF50-4DBE-9E3A-E4580051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25</Pages>
  <Words>4229</Words>
  <Characters>23265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27440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Mig</dc:creator>
  <cp:keywords/>
  <dc:description/>
  <cp:lastModifiedBy>USUARIO</cp:lastModifiedBy>
  <cp:revision>5</cp:revision>
  <cp:lastPrinted>2023-08-03T17:58:00Z</cp:lastPrinted>
  <dcterms:created xsi:type="dcterms:W3CDTF">2023-11-17T18:14:00Z</dcterms:created>
  <dcterms:modified xsi:type="dcterms:W3CDTF">2023-12-05T17:51:00Z</dcterms:modified>
</cp:coreProperties>
</file>