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53519" w14:textId="77777777" w:rsidR="008D0F75" w:rsidRPr="00B54094" w:rsidRDefault="00B54094">
      <w:pPr>
        <w:spacing w:line="360" w:lineRule="auto"/>
        <w:jc w:val="both"/>
        <w:rPr>
          <w:rFonts w:ascii="Palatino Linotype" w:eastAsia="Palatino Linotype" w:hAnsi="Palatino Linotype" w:cs="Palatino Linotype"/>
        </w:rPr>
      </w:pPr>
      <w:bookmarkStart w:id="0" w:name="_heading=h.tyjcwt" w:colFirst="0" w:colLast="0"/>
      <w:bookmarkEnd w:id="0"/>
      <w:r w:rsidRPr="00B5409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treinta y uno de mayo de dos mil veintitrés. </w:t>
      </w:r>
    </w:p>
    <w:p w14:paraId="1422D8A6" w14:textId="77777777" w:rsidR="008D0F75" w:rsidRPr="00B54094" w:rsidRDefault="008D0F75">
      <w:pPr>
        <w:spacing w:line="360" w:lineRule="auto"/>
        <w:jc w:val="both"/>
        <w:rPr>
          <w:rFonts w:ascii="Palatino Linotype" w:eastAsia="Palatino Linotype" w:hAnsi="Palatino Linotype" w:cs="Palatino Linotype"/>
        </w:rPr>
      </w:pPr>
    </w:p>
    <w:p w14:paraId="17DE269C"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VISTO</w:t>
      </w:r>
      <w:r w:rsidRPr="00B54094">
        <w:rPr>
          <w:rFonts w:ascii="Palatino Linotype" w:eastAsia="Palatino Linotype" w:hAnsi="Palatino Linotype" w:cs="Palatino Linotype"/>
        </w:rPr>
        <w:t xml:space="preserve"> el expediente formado con motivo del recurso de revisión </w:t>
      </w:r>
      <w:r w:rsidRPr="00B54094">
        <w:rPr>
          <w:rFonts w:ascii="Palatino Linotype" w:eastAsia="Palatino Linotype" w:hAnsi="Palatino Linotype" w:cs="Palatino Linotype"/>
          <w:b/>
        </w:rPr>
        <w:t>16059/INFOEM/IP/RR/2022</w:t>
      </w:r>
      <w:r w:rsidRPr="00B54094">
        <w:rPr>
          <w:rFonts w:ascii="Palatino Linotype" w:eastAsia="Palatino Linotype" w:hAnsi="Palatino Linotype" w:cs="Palatino Linotype"/>
        </w:rPr>
        <w:t>, interpuesto por una persona que no señaló nombre o seudónimo a quien</w:t>
      </w:r>
      <w:r w:rsidRPr="00B54094">
        <w:rPr>
          <w:rFonts w:ascii="Palatino Linotype" w:eastAsia="Palatino Linotype" w:hAnsi="Palatino Linotype" w:cs="Palatino Linotype"/>
          <w:b/>
        </w:rPr>
        <w:t xml:space="preserve"> </w:t>
      </w:r>
      <w:r w:rsidRPr="00B54094">
        <w:rPr>
          <w:rFonts w:ascii="Palatino Linotype" w:eastAsia="Palatino Linotype" w:hAnsi="Palatino Linotype" w:cs="Palatino Linotype"/>
        </w:rPr>
        <w:t>en lo sucesivo se le denominará como</w:t>
      </w:r>
      <w:r w:rsidRPr="00B54094">
        <w:rPr>
          <w:rFonts w:ascii="Palatino Linotype" w:eastAsia="Palatino Linotype" w:hAnsi="Palatino Linotype" w:cs="Palatino Linotype"/>
          <w:b/>
        </w:rPr>
        <w:t xml:space="preserve"> LA PARTE RECURRENTE,</w:t>
      </w:r>
      <w:r w:rsidRPr="00B54094">
        <w:rPr>
          <w:rFonts w:ascii="Palatino Linotype" w:eastAsia="Palatino Linotype" w:hAnsi="Palatino Linotype" w:cs="Palatino Linotype"/>
        </w:rPr>
        <w:t xml:space="preserve"> en contra de la falta de respuesta a la solicitud </w:t>
      </w:r>
      <w:r w:rsidRPr="00B54094">
        <w:rPr>
          <w:rFonts w:ascii="Palatino Linotype" w:eastAsia="Palatino Linotype" w:hAnsi="Palatino Linotype" w:cs="Palatino Linotype"/>
          <w:b/>
        </w:rPr>
        <w:t>00845/ECATEPEC/IP/2022</w:t>
      </w:r>
      <w:r w:rsidRPr="00B54094">
        <w:rPr>
          <w:rFonts w:ascii="Palatino Linotype" w:eastAsia="Palatino Linotype" w:hAnsi="Palatino Linotype" w:cs="Palatino Linotype"/>
        </w:rPr>
        <w:t xml:space="preserve"> por parte del</w:t>
      </w:r>
      <w:r w:rsidRPr="00B54094">
        <w:rPr>
          <w:rFonts w:ascii="Palatino Linotype" w:eastAsia="Palatino Linotype" w:hAnsi="Palatino Linotype" w:cs="Palatino Linotype"/>
          <w:b/>
        </w:rPr>
        <w:t xml:space="preserve"> Ayuntamiento de Ecatepec de Morelos, </w:t>
      </w:r>
      <w:r w:rsidRPr="00B54094">
        <w:rPr>
          <w:rFonts w:ascii="Palatino Linotype" w:eastAsia="Palatino Linotype" w:hAnsi="Palatino Linotype" w:cs="Palatino Linotype"/>
        </w:rPr>
        <w:t xml:space="preserve">en lo sucesivo </w:t>
      </w:r>
      <w:r w:rsidRPr="00B54094">
        <w:rPr>
          <w:rFonts w:ascii="Palatino Linotype" w:eastAsia="Palatino Linotype" w:hAnsi="Palatino Linotype" w:cs="Palatino Linotype"/>
          <w:b/>
        </w:rPr>
        <w:t xml:space="preserve">EL SUJETO OBLIGADO, </w:t>
      </w:r>
      <w:r w:rsidRPr="00B54094">
        <w:rPr>
          <w:rFonts w:ascii="Palatino Linotype" w:eastAsia="Palatino Linotype" w:hAnsi="Palatino Linotype" w:cs="Palatino Linotype"/>
        </w:rPr>
        <w:t xml:space="preserve">se procede a dictar la presente resolución con base en los siguientes: </w:t>
      </w:r>
    </w:p>
    <w:p w14:paraId="407BDB08" w14:textId="77777777" w:rsidR="008D0F75" w:rsidRPr="00B54094" w:rsidRDefault="008D0F75">
      <w:pPr>
        <w:spacing w:line="360" w:lineRule="auto"/>
        <w:jc w:val="both"/>
        <w:rPr>
          <w:rFonts w:ascii="Palatino Linotype" w:eastAsia="Palatino Linotype" w:hAnsi="Palatino Linotype" w:cs="Palatino Linotype"/>
        </w:rPr>
      </w:pPr>
    </w:p>
    <w:p w14:paraId="6A8E89C3" w14:textId="77777777" w:rsidR="008D0F75" w:rsidRPr="00B54094" w:rsidRDefault="00B54094">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rPr>
      </w:pPr>
      <w:r w:rsidRPr="00B54094">
        <w:rPr>
          <w:rFonts w:ascii="Palatino Linotype" w:eastAsia="Palatino Linotype" w:hAnsi="Palatino Linotype" w:cs="Palatino Linotype"/>
          <w:b/>
        </w:rPr>
        <w:t>A N T E C E D E N T E S</w:t>
      </w:r>
    </w:p>
    <w:p w14:paraId="7947DF18" w14:textId="77777777" w:rsidR="008D0F75" w:rsidRPr="00B54094" w:rsidRDefault="008D0F75">
      <w:pPr>
        <w:pBdr>
          <w:top w:val="nil"/>
          <w:left w:val="nil"/>
          <w:bottom w:val="nil"/>
          <w:right w:val="nil"/>
          <w:between w:val="nil"/>
        </w:pBdr>
        <w:spacing w:line="360" w:lineRule="auto"/>
        <w:ind w:left="1080"/>
        <w:rPr>
          <w:rFonts w:ascii="Palatino Linotype" w:eastAsia="Palatino Linotype" w:hAnsi="Palatino Linotype" w:cs="Palatino Linotype"/>
          <w:b/>
        </w:rPr>
      </w:pPr>
    </w:p>
    <w:p w14:paraId="55469314" w14:textId="77777777" w:rsidR="008D0F75" w:rsidRPr="00B54094" w:rsidRDefault="00B54094">
      <w:pPr>
        <w:spacing w:line="360" w:lineRule="auto"/>
        <w:jc w:val="both"/>
        <w:rPr>
          <w:rFonts w:ascii="Palatino Linotype" w:eastAsia="Palatino Linotype" w:hAnsi="Palatino Linotype" w:cs="Palatino Linotype"/>
        </w:rPr>
      </w:pPr>
      <w:bookmarkStart w:id="1" w:name="_heading=h.gjdgxs" w:colFirst="0" w:colLast="0"/>
      <w:bookmarkEnd w:id="1"/>
      <w:r w:rsidRPr="00B54094">
        <w:rPr>
          <w:rFonts w:ascii="Palatino Linotype" w:eastAsia="Palatino Linotype" w:hAnsi="Palatino Linotype" w:cs="Palatino Linotype"/>
          <w:b/>
        </w:rPr>
        <w:t>1. Solicitud de acceso a la información.</w:t>
      </w:r>
      <w:r w:rsidRPr="00B54094">
        <w:rPr>
          <w:rFonts w:ascii="Palatino Linotype" w:eastAsia="Palatino Linotype" w:hAnsi="Palatino Linotype" w:cs="Palatino Linotype"/>
        </w:rPr>
        <w:t xml:space="preserve"> El </w:t>
      </w:r>
      <w:r w:rsidRPr="00B54094">
        <w:rPr>
          <w:rFonts w:ascii="Palatino Linotype" w:eastAsia="Palatino Linotype" w:hAnsi="Palatino Linotype" w:cs="Palatino Linotype"/>
          <w:b/>
        </w:rPr>
        <w:t>diez de octubre de dos mil veintidós,</w:t>
      </w:r>
      <w:r w:rsidRPr="00B54094">
        <w:rPr>
          <w:rFonts w:ascii="Palatino Linotype" w:eastAsia="Palatino Linotype" w:hAnsi="Palatino Linotype" w:cs="Palatino Linotype"/>
        </w:rPr>
        <w:t xml:space="preserve"> </w:t>
      </w:r>
      <w:r w:rsidRPr="00B54094">
        <w:rPr>
          <w:rFonts w:ascii="Palatino Linotype" w:eastAsia="Palatino Linotype" w:hAnsi="Palatino Linotype" w:cs="Palatino Linotype"/>
          <w:b/>
        </w:rPr>
        <w:t>LA PARTE</w:t>
      </w:r>
      <w:r w:rsidRPr="00B54094">
        <w:rPr>
          <w:rFonts w:ascii="Palatino Linotype" w:eastAsia="Palatino Linotype" w:hAnsi="Palatino Linotype" w:cs="Palatino Linotype"/>
        </w:rPr>
        <w:t xml:space="preserve"> </w:t>
      </w:r>
      <w:r w:rsidRPr="00B54094">
        <w:rPr>
          <w:rFonts w:ascii="Palatino Linotype" w:eastAsia="Palatino Linotype" w:hAnsi="Palatino Linotype" w:cs="Palatino Linotype"/>
          <w:b/>
        </w:rPr>
        <w:t xml:space="preserve">RECURRENTE </w:t>
      </w:r>
      <w:r w:rsidRPr="00B54094">
        <w:rPr>
          <w:rFonts w:ascii="Palatino Linotype" w:eastAsia="Palatino Linotype" w:hAnsi="Palatino Linotype" w:cs="Palatino Linotype"/>
        </w:rPr>
        <w:t>a través del Sistema de Acceso a la Información Mexiquense o SAIMEX</w:t>
      </w:r>
      <w:r w:rsidRPr="00B54094">
        <w:rPr>
          <w:rFonts w:ascii="Palatino Linotype" w:eastAsia="Palatino Linotype" w:hAnsi="Palatino Linotype" w:cs="Palatino Linotype"/>
          <w:b/>
        </w:rPr>
        <w:t>,</w:t>
      </w:r>
      <w:r w:rsidRPr="00B54094">
        <w:rPr>
          <w:rFonts w:ascii="Palatino Linotype" w:eastAsia="Palatino Linotype" w:hAnsi="Palatino Linotype" w:cs="Palatino Linotype"/>
        </w:rPr>
        <w:t xml:space="preserve"> realizó la solicitud de acceso a la información pública </w:t>
      </w:r>
      <w:r w:rsidRPr="00B54094">
        <w:rPr>
          <w:rFonts w:ascii="Palatino Linotype" w:eastAsia="Palatino Linotype" w:hAnsi="Palatino Linotype" w:cs="Palatino Linotype"/>
          <w:b/>
        </w:rPr>
        <w:t>00845/ECATEPEC/IP/2022</w:t>
      </w:r>
      <w:r w:rsidRPr="00B54094">
        <w:rPr>
          <w:rFonts w:ascii="Palatino Linotype" w:eastAsia="Palatino Linotype" w:hAnsi="Palatino Linotype" w:cs="Palatino Linotype"/>
        </w:rPr>
        <w:t>, en la cual requirió de:</w:t>
      </w:r>
    </w:p>
    <w:p w14:paraId="0F854DBF"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80445F2"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 xml:space="preserve"> “Es de mi interés conocer el gasto realizado por cada Regiduría y Sindicatura del Ayuntamiento de Ecatepec de Morelos, con un desglose específico de cada erogación.” (Sic)</w:t>
      </w:r>
    </w:p>
    <w:p w14:paraId="26FC192D"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05E9908"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Modalidad de Entrega:</w:t>
      </w:r>
      <w:r w:rsidRPr="00B54094">
        <w:rPr>
          <w:rFonts w:ascii="Palatino Linotype" w:eastAsia="Palatino Linotype" w:hAnsi="Palatino Linotype" w:cs="Palatino Linotype"/>
        </w:rPr>
        <w:t xml:space="preserve"> A través del SAIMEX.</w:t>
      </w:r>
    </w:p>
    <w:p w14:paraId="38219EE6" w14:textId="77777777" w:rsidR="008D0F75" w:rsidRPr="00B54094" w:rsidRDefault="008D0F75">
      <w:pPr>
        <w:spacing w:line="360" w:lineRule="auto"/>
        <w:jc w:val="both"/>
        <w:rPr>
          <w:rFonts w:ascii="Palatino Linotype" w:eastAsia="Palatino Linotype" w:hAnsi="Palatino Linotype" w:cs="Palatino Linotype"/>
        </w:rPr>
      </w:pPr>
    </w:p>
    <w:p w14:paraId="7CD9B2F8" w14:textId="77777777" w:rsidR="008D0F75" w:rsidRPr="00B54094" w:rsidRDefault="00B54094">
      <w:pPr>
        <w:spacing w:line="360" w:lineRule="auto"/>
        <w:jc w:val="both"/>
        <w:rPr>
          <w:rFonts w:ascii="Palatino Linotype" w:eastAsia="Palatino Linotype" w:hAnsi="Palatino Linotype" w:cs="Palatino Linotype"/>
          <w:b/>
        </w:rPr>
      </w:pPr>
      <w:r w:rsidRPr="00B54094">
        <w:rPr>
          <w:rFonts w:ascii="Palatino Linotype" w:eastAsia="Palatino Linotype" w:hAnsi="Palatino Linotype" w:cs="Palatino Linotype"/>
          <w:b/>
        </w:rPr>
        <w:lastRenderedPageBreak/>
        <w:t xml:space="preserve">2. Respuesta. </w:t>
      </w:r>
      <w:r w:rsidRPr="00B54094">
        <w:rPr>
          <w:rFonts w:ascii="Palatino Linotype" w:eastAsia="Palatino Linotype" w:hAnsi="Palatino Linotype" w:cs="Palatino Linotype"/>
        </w:rPr>
        <w:t xml:space="preserve">De las constancias que integran al expediente de este recurso de revisión, se advierte que no existe una respuesta emitida por parte del </w:t>
      </w:r>
      <w:r w:rsidRPr="00B54094">
        <w:rPr>
          <w:rFonts w:ascii="Palatino Linotype" w:eastAsia="Palatino Linotype" w:hAnsi="Palatino Linotype" w:cs="Palatino Linotype"/>
          <w:b/>
        </w:rPr>
        <w:t xml:space="preserve">SUJETO OBLIGADO. </w:t>
      </w:r>
    </w:p>
    <w:p w14:paraId="46B3D6FE" w14:textId="77777777" w:rsidR="008D0F75" w:rsidRPr="00B54094" w:rsidRDefault="008D0F75">
      <w:pPr>
        <w:spacing w:line="360" w:lineRule="auto"/>
        <w:jc w:val="both"/>
        <w:rPr>
          <w:rFonts w:ascii="Palatino Linotype" w:eastAsia="Palatino Linotype" w:hAnsi="Palatino Linotype" w:cs="Palatino Linotype"/>
          <w:b/>
        </w:rPr>
      </w:pPr>
    </w:p>
    <w:p w14:paraId="7C4BB4B2"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sz w:val="22"/>
          <w:szCs w:val="22"/>
        </w:rPr>
        <w:t>3.</w:t>
      </w:r>
      <w:r w:rsidRPr="00B54094">
        <w:rPr>
          <w:rFonts w:ascii="Palatino Linotype" w:eastAsia="Palatino Linotype" w:hAnsi="Palatino Linotype" w:cs="Palatino Linotype"/>
          <w:b/>
        </w:rPr>
        <w:t xml:space="preserve"> Interposición del recurso de revisión. </w:t>
      </w:r>
      <w:r w:rsidRPr="00B54094">
        <w:rPr>
          <w:rFonts w:ascii="Palatino Linotype" w:eastAsia="Palatino Linotype" w:hAnsi="Palatino Linotype" w:cs="Palatino Linotype"/>
        </w:rPr>
        <w:t xml:space="preserve">Inconforme la entonces persona solicitante con la omisión de la respuesta por parte del </w:t>
      </w:r>
      <w:r w:rsidRPr="00B54094">
        <w:rPr>
          <w:rFonts w:ascii="Palatino Linotype" w:eastAsia="Palatino Linotype" w:hAnsi="Palatino Linotype" w:cs="Palatino Linotype"/>
          <w:b/>
        </w:rPr>
        <w:t>SUJETO OBLIGADO</w:t>
      </w:r>
      <w:r w:rsidRPr="00B54094">
        <w:rPr>
          <w:rFonts w:ascii="Palatino Linotype" w:eastAsia="Palatino Linotype" w:hAnsi="Palatino Linotype" w:cs="Palatino Linotype"/>
        </w:rPr>
        <w:t>, el día</w:t>
      </w:r>
      <w:r w:rsidRPr="00B54094">
        <w:rPr>
          <w:rFonts w:ascii="Palatino Linotype" w:eastAsia="Palatino Linotype" w:hAnsi="Palatino Linotype" w:cs="Palatino Linotype"/>
          <w:b/>
        </w:rPr>
        <w:t xml:space="preserve"> dos de noviembre de dos mil veintidós,</w:t>
      </w:r>
      <w:r w:rsidRPr="00B54094">
        <w:rPr>
          <w:rFonts w:ascii="Palatino Linotype" w:eastAsia="Palatino Linotype" w:hAnsi="Palatino Linotype" w:cs="Palatino Linotype"/>
        </w:rPr>
        <w:t xml:space="preserve"> interpuso este recurso de revisión a través de SAIMEX, sin embargo, no se tuvo por presentado ante el </w:t>
      </w:r>
      <w:proofErr w:type="spellStart"/>
      <w:r w:rsidRPr="00B54094">
        <w:rPr>
          <w:rFonts w:ascii="Palatino Linotype" w:eastAsia="Palatino Linotype" w:hAnsi="Palatino Linotype" w:cs="Palatino Linotype"/>
        </w:rPr>
        <w:t>Infoem</w:t>
      </w:r>
      <w:proofErr w:type="spellEnd"/>
      <w:r w:rsidRPr="00B54094">
        <w:rPr>
          <w:rFonts w:ascii="Palatino Linotype" w:eastAsia="Palatino Linotype" w:hAnsi="Palatino Linotype" w:cs="Palatino Linotype"/>
        </w:rPr>
        <w:t xml:space="preserve"> hasta el día </w:t>
      </w:r>
      <w:r w:rsidRPr="00B54094">
        <w:rPr>
          <w:rFonts w:ascii="Palatino Linotype" w:eastAsia="Palatino Linotype" w:hAnsi="Palatino Linotype" w:cs="Palatino Linotype"/>
          <w:b/>
        </w:rPr>
        <w:t>tres de noviembre de dos mil veintidós</w:t>
      </w:r>
      <w:r w:rsidRPr="00B54094">
        <w:rPr>
          <w:rFonts w:ascii="Palatino Linotype" w:eastAsia="Palatino Linotype" w:hAnsi="Palatino Linotype" w:cs="Palatino Linotype"/>
        </w:rPr>
        <w:t>, conforme al calendario oficial del año dos mil veintidós en materia de Transparencia, Acceso a la Información Pública y Protección de Datos Personales del Estado de México y Municipios emitido por el Pleno de este Organismo Garante, y se manifestó de la siguiente manera:</w:t>
      </w:r>
    </w:p>
    <w:p w14:paraId="7F601C7A" w14:textId="77777777" w:rsidR="008D0F75" w:rsidRPr="00B54094" w:rsidRDefault="008D0F75">
      <w:pPr>
        <w:spacing w:line="360" w:lineRule="auto"/>
        <w:jc w:val="both"/>
        <w:rPr>
          <w:rFonts w:ascii="Palatino Linotype" w:eastAsia="Palatino Linotype" w:hAnsi="Palatino Linotype" w:cs="Palatino Linotype"/>
        </w:rPr>
      </w:pPr>
    </w:p>
    <w:p w14:paraId="2531726D" w14:textId="77777777" w:rsidR="008D0F75" w:rsidRPr="00B54094" w:rsidRDefault="00B54094">
      <w:pPr>
        <w:tabs>
          <w:tab w:val="left" w:pos="2745"/>
        </w:tabs>
        <w:spacing w:line="360" w:lineRule="auto"/>
        <w:jc w:val="both"/>
        <w:rPr>
          <w:rFonts w:ascii="Palatino Linotype" w:eastAsia="Palatino Linotype" w:hAnsi="Palatino Linotype" w:cs="Palatino Linotype"/>
          <w:b/>
        </w:rPr>
      </w:pPr>
      <w:r w:rsidRPr="00B54094">
        <w:rPr>
          <w:rFonts w:ascii="Palatino Linotype" w:eastAsia="Palatino Linotype" w:hAnsi="Palatino Linotype" w:cs="Palatino Linotype"/>
          <w:b/>
        </w:rPr>
        <w:t xml:space="preserve">Acto impugnado: </w:t>
      </w:r>
    </w:p>
    <w:p w14:paraId="74FF8E0B"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AF94305" w14:textId="77777777" w:rsidR="008D0F75" w:rsidRPr="00B54094" w:rsidRDefault="00B54094">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“El sujeto obligado omitió entregar la información requerida mediante el Sistema de Acceso a la Información” (Sic)</w:t>
      </w:r>
    </w:p>
    <w:p w14:paraId="178CD695"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110DBB6"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Razones o motivos de inconformidad</w:t>
      </w:r>
      <w:r w:rsidRPr="00B54094">
        <w:rPr>
          <w:rFonts w:ascii="Palatino Linotype" w:eastAsia="Palatino Linotype" w:hAnsi="Palatino Linotype" w:cs="Palatino Linotype"/>
        </w:rPr>
        <w:t>:</w:t>
      </w:r>
    </w:p>
    <w:p w14:paraId="4EC996D4"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6AC2852"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“No se recibió respuesta a la solicitud presentada” (Sic)</w:t>
      </w:r>
    </w:p>
    <w:p w14:paraId="35939B72"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bookmarkStart w:id="2" w:name="_heading=h.30j0zll" w:colFirst="0" w:colLast="0"/>
      <w:bookmarkEnd w:id="2"/>
    </w:p>
    <w:p w14:paraId="7ABF2D17" w14:textId="77777777" w:rsidR="008D0F75" w:rsidRPr="00B54094" w:rsidRDefault="00B54094">
      <w:pPr>
        <w:spacing w:line="360" w:lineRule="auto"/>
        <w:ind w:right="51"/>
        <w:jc w:val="both"/>
        <w:rPr>
          <w:rFonts w:ascii="Palatino Linotype" w:eastAsia="Palatino Linotype" w:hAnsi="Palatino Linotype" w:cs="Palatino Linotype"/>
        </w:rPr>
      </w:pPr>
      <w:r w:rsidRPr="00B54094">
        <w:rPr>
          <w:rFonts w:ascii="Palatino Linotype" w:eastAsia="Palatino Linotype" w:hAnsi="Palatino Linotype" w:cs="Palatino Linotype"/>
          <w:b/>
        </w:rPr>
        <w:t xml:space="preserve">4. Turno. </w:t>
      </w:r>
      <w:r w:rsidRPr="00B54094">
        <w:rPr>
          <w:rFonts w:ascii="Palatino Linotype" w:eastAsia="Palatino Linotype" w:hAnsi="Palatino Linotype" w:cs="Palatino Linotype"/>
        </w:rPr>
        <w:t xml:space="preserve">De conformidad con el artículo 185 fracción I de la Ley de Transparencia, el presente recurso de revisión se turnó por el sistema electrónico de este Instituto, a la </w:t>
      </w:r>
      <w:r w:rsidRPr="00B54094">
        <w:rPr>
          <w:rFonts w:ascii="Palatino Linotype" w:eastAsia="Palatino Linotype" w:hAnsi="Palatino Linotype" w:cs="Palatino Linotype"/>
          <w:b/>
        </w:rPr>
        <w:t xml:space="preserve">Comisionada Guadalupe Ramírez Peña, </w:t>
      </w:r>
      <w:r w:rsidRPr="00B54094">
        <w:rPr>
          <w:rFonts w:ascii="Palatino Linotype" w:eastAsia="Palatino Linotype" w:hAnsi="Palatino Linotype" w:cs="Palatino Linotype"/>
        </w:rPr>
        <w:t xml:space="preserve">a efecto de que analizara sobre su admisión o su </w:t>
      </w:r>
      <w:proofErr w:type="spellStart"/>
      <w:r w:rsidRPr="00B54094">
        <w:rPr>
          <w:rFonts w:ascii="Palatino Linotype" w:eastAsia="Palatino Linotype" w:hAnsi="Palatino Linotype" w:cs="Palatino Linotype"/>
        </w:rPr>
        <w:t>desechamiento</w:t>
      </w:r>
      <w:proofErr w:type="spellEnd"/>
      <w:r w:rsidRPr="00B54094">
        <w:rPr>
          <w:rFonts w:ascii="Palatino Linotype" w:eastAsia="Palatino Linotype" w:hAnsi="Palatino Linotype" w:cs="Palatino Linotype"/>
        </w:rPr>
        <w:t>.</w:t>
      </w:r>
    </w:p>
    <w:p w14:paraId="1331D2E7" w14:textId="77777777" w:rsidR="008D0F75" w:rsidRPr="00B54094" w:rsidRDefault="008D0F75">
      <w:pPr>
        <w:spacing w:line="360" w:lineRule="auto"/>
        <w:ind w:right="51"/>
        <w:jc w:val="both"/>
        <w:rPr>
          <w:rFonts w:ascii="Palatino Linotype" w:eastAsia="Palatino Linotype" w:hAnsi="Palatino Linotype" w:cs="Palatino Linotype"/>
        </w:rPr>
      </w:pPr>
    </w:p>
    <w:p w14:paraId="7974B205"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5. Admisión del Recurso de revisión.</w:t>
      </w:r>
      <w:r w:rsidRPr="00B54094">
        <w:rPr>
          <w:rFonts w:ascii="Palatino Linotype" w:eastAsia="Palatino Linotype" w:hAnsi="Palatino Linotype" w:cs="Palatino Linotype"/>
        </w:rPr>
        <w:t xml:space="preserve"> El</w:t>
      </w:r>
      <w:r w:rsidRPr="00B54094">
        <w:rPr>
          <w:rFonts w:ascii="Palatino Linotype" w:eastAsia="Palatino Linotype" w:hAnsi="Palatino Linotype" w:cs="Palatino Linotype"/>
          <w:b/>
        </w:rPr>
        <w:t xml:space="preserve"> ocho de noviembre de dos mil veintidós, </w:t>
      </w:r>
      <w:r w:rsidRPr="00B54094">
        <w:rPr>
          <w:rFonts w:ascii="Palatino Linotype" w:eastAsia="Palatino Linotype" w:hAnsi="Palatino Linotype" w:cs="Palatino Linotype"/>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sidRPr="00B54094">
        <w:rPr>
          <w:rFonts w:ascii="Palatino Linotype" w:eastAsia="Palatino Linotype" w:hAnsi="Palatino Linotype" w:cs="Palatino Linotype"/>
          <w:b/>
        </w:rPr>
        <w:t xml:space="preserve">EL SUJETO OBLIGADO </w:t>
      </w:r>
      <w:r w:rsidRPr="00B54094">
        <w:rPr>
          <w:rFonts w:ascii="Palatino Linotype" w:eastAsia="Palatino Linotype" w:hAnsi="Palatino Linotype" w:cs="Palatino Linotype"/>
        </w:rPr>
        <w:t>presentara su Informe Justificado.</w:t>
      </w:r>
    </w:p>
    <w:p w14:paraId="0CDE5C4F" w14:textId="77777777" w:rsidR="008D0F75" w:rsidRPr="00B54094" w:rsidRDefault="008D0F75">
      <w:pPr>
        <w:spacing w:line="360" w:lineRule="auto"/>
        <w:jc w:val="both"/>
        <w:rPr>
          <w:rFonts w:ascii="Palatino Linotype" w:eastAsia="Palatino Linotype" w:hAnsi="Palatino Linotype" w:cs="Palatino Linotype"/>
          <w:b/>
        </w:rPr>
      </w:pPr>
    </w:p>
    <w:p w14:paraId="49880B28" w14:textId="77777777" w:rsidR="008D0F75" w:rsidRPr="00B54094" w:rsidRDefault="00B54094">
      <w:pPr>
        <w:spacing w:line="360" w:lineRule="auto"/>
        <w:jc w:val="both"/>
        <w:rPr>
          <w:rFonts w:ascii="Palatino Linotype" w:eastAsia="Palatino Linotype" w:hAnsi="Palatino Linotype" w:cs="Palatino Linotype"/>
        </w:rPr>
      </w:pPr>
      <w:bookmarkStart w:id="3" w:name="_heading=h.2s8eyo1" w:colFirst="0" w:colLast="0"/>
      <w:bookmarkEnd w:id="3"/>
      <w:r w:rsidRPr="00B54094">
        <w:rPr>
          <w:rFonts w:ascii="Palatino Linotype" w:eastAsia="Palatino Linotype" w:hAnsi="Palatino Linotype" w:cs="Palatino Linotype"/>
          <w:b/>
        </w:rPr>
        <w:t>6. Manifestaciones</w:t>
      </w:r>
      <w:r w:rsidRPr="00B54094">
        <w:rPr>
          <w:rFonts w:ascii="Palatino Linotype" w:eastAsia="Palatino Linotype" w:hAnsi="Palatino Linotype" w:cs="Palatino Linotype"/>
        </w:rPr>
        <w:t xml:space="preserve">. En revisión de las actuaciones realizadas en este medio de impugnación, se advierte que el diez de noviembre de dos  mil veintidós  </w:t>
      </w:r>
      <w:r w:rsidRPr="00B54094">
        <w:rPr>
          <w:rFonts w:ascii="Palatino Linotype" w:eastAsia="Palatino Linotype" w:hAnsi="Palatino Linotype" w:cs="Palatino Linotype"/>
          <w:b/>
        </w:rPr>
        <w:t>EL SUJETO OBLIGADO</w:t>
      </w:r>
      <w:r w:rsidRPr="00B54094">
        <w:rPr>
          <w:rFonts w:ascii="Palatino Linotype" w:eastAsia="Palatino Linotype" w:hAnsi="Palatino Linotype" w:cs="Palatino Linotype"/>
        </w:rPr>
        <w:t xml:space="preserve"> remitió en la Etapa de Instrucción el archivo </w:t>
      </w:r>
      <w:hyperlink r:id="rId8">
        <w:r w:rsidRPr="00B54094">
          <w:rPr>
            <w:rFonts w:ascii="Palatino Linotype" w:eastAsia="Palatino Linotype" w:hAnsi="Palatino Linotype" w:cs="Palatino Linotype"/>
            <w:i/>
          </w:rPr>
          <w:t>16059-2022.pdf</w:t>
        </w:r>
      </w:hyperlink>
      <w:r w:rsidRPr="00B54094">
        <w:rPr>
          <w:rFonts w:ascii="Palatino Linotype" w:eastAsia="Palatino Linotype" w:hAnsi="Palatino Linotype" w:cs="Palatino Linotype"/>
          <w:i/>
        </w:rPr>
        <w:t xml:space="preserve">, </w:t>
      </w:r>
      <w:r w:rsidRPr="00B54094">
        <w:rPr>
          <w:rFonts w:ascii="Palatino Linotype" w:eastAsia="Palatino Linotype" w:hAnsi="Palatino Linotype" w:cs="Palatino Linotype"/>
        </w:rPr>
        <w:t xml:space="preserve">que contiene el escrito de fecha diez de noviembre de dos mil veintidós, emitido por la Unidad de Transparencia, mediante el cual se adjunta el oficio </w:t>
      </w:r>
      <w:r w:rsidRPr="00B54094">
        <w:rPr>
          <w:rFonts w:ascii="Palatino Linotype" w:eastAsia="Palatino Linotype" w:hAnsi="Palatino Linotype" w:cs="Palatino Linotype"/>
          <w:i/>
        </w:rPr>
        <w:t>TM/ECA/6489/2022</w:t>
      </w:r>
      <w:r w:rsidRPr="00B54094">
        <w:rPr>
          <w:rFonts w:ascii="Palatino Linotype" w:eastAsia="Palatino Linotype" w:hAnsi="Palatino Linotype" w:cs="Palatino Linotype"/>
        </w:rPr>
        <w:t xml:space="preserve"> de fecha ocho de noviembre de dos mil veintidós, en el que la Tesorería Municipal informó la cantidad correspondiente al presupuesto anual otorgado a las Sindicaturas del Ayuntamiento y el presupuesto ejercido en el mes de septiembre de dos mil veintidós, como se hace constar a continuación: </w:t>
      </w:r>
    </w:p>
    <w:p w14:paraId="0320C9D0" w14:textId="77777777" w:rsidR="008D0F75" w:rsidRPr="00B54094" w:rsidRDefault="00B54094">
      <w:pPr>
        <w:spacing w:line="360" w:lineRule="auto"/>
        <w:jc w:val="center"/>
        <w:rPr>
          <w:rFonts w:ascii="Palatino Linotype" w:eastAsia="Palatino Linotype" w:hAnsi="Palatino Linotype" w:cs="Palatino Linotype"/>
        </w:rPr>
      </w:pPr>
      <w:r w:rsidRPr="00B54094">
        <w:rPr>
          <w:noProof/>
        </w:rPr>
        <w:lastRenderedPageBreak/>
        <w:drawing>
          <wp:inline distT="0" distB="0" distL="0" distR="0" wp14:anchorId="34958414" wp14:editId="66F8BEF1">
            <wp:extent cx="5233861" cy="2687787"/>
            <wp:effectExtent l="0" t="0" r="0" b="0"/>
            <wp:docPr id="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18079" t="21195" r="14220" b="16993"/>
                    <a:stretch>
                      <a:fillRect/>
                    </a:stretch>
                  </pic:blipFill>
                  <pic:spPr>
                    <a:xfrm>
                      <a:off x="0" y="0"/>
                      <a:ext cx="5233861" cy="2687787"/>
                    </a:xfrm>
                    <a:prstGeom prst="rect">
                      <a:avLst/>
                    </a:prstGeom>
                    <a:ln/>
                  </pic:spPr>
                </pic:pic>
              </a:graphicData>
            </a:graphic>
          </wp:inline>
        </w:drawing>
      </w:r>
    </w:p>
    <w:p w14:paraId="1BEAE098" w14:textId="77777777" w:rsidR="008D0F75" w:rsidRPr="00B54094" w:rsidRDefault="008D0F75">
      <w:pPr>
        <w:spacing w:line="360" w:lineRule="auto"/>
        <w:ind w:right="49"/>
        <w:jc w:val="both"/>
        <w:rPr>
          <w:rFonts w:ascii="Palatino Linotype" w:eastAsia="Palatino Linotype" w:hAnsi="Palatino Linotype" w:cs="Palatino Linotype"/>
        </w:rPr>
      </w:pPr>
    </w:p>
    <w:p w14:paraId="1CB6EB42" w14:textId="77777777" w:rsidR="008D0F75" w:rsidRPr="00B54094" w:rsidRDefault="00B54094">
      <w:pPr>
        <w:spacing w:line="360" w:lineRule="auto"/>
        <w:ind w:right="49"/>
        <w:jc w:val="both"/>
        <w:rPr>
          <w:rFonts w:ascii="Palatino Linotype" w:eastAsia="Palatino Linotype" w:hAnsi="Palatino Linotype" w:cs="Palatino Linotype"/>
          <w:i/>
        </w:rPr>
      </w:pPr>
      <w:r w:rsidRPr="00B54094">
        <w:rPr>
          <w:rFonts w:ascii="Palatino Linotype" w:eastAsia="Palatino Linotype" w:hAnsi="Palatino Linotype" w:cs="Palatino Linotype"/>
        </w:rPr>
        <w:t xml:space="preserve">Aunado a la tabla, la Tesorería Municipal refirió que </w:t>
      </w:r>
      <w:r w:rsidRPr="00B54094">
        <w:rPr>
          <w:rFonts w:ascii="Palatino Linotype" w:eastAsia="Palatino Linotype" w:hAnsi="Palatino Linotype" w:cs="Palatino Linotype"/>
          <w:i/>
        </w:rPr>
        <w:t xml:space="preserve">“… dicho gasto y presupuesto solo comprende el capítulo 1000…” (Sic). </w:t>
      </w:r>
    </w:p>
    <w:p w14:paraId="306C0AC2" w14:textId="77777777" w:rsidR="008D0F75" w:rsidRPr="00B54094" w:rsidRDefault="008D0F75">
      <w:pPr>
        <w:spacing w:line="360" w:lineRule="auto"/>
        <w:ind w:right="49"/>
        <w:jc w:val="both"/>
        <w:rPr>
          <w:rFonts w:ascii="Palatino Linotype" w:eastAsia="Palatino Linotype" w:hAnsi="Palatino Linotype" w:cs="Palatino Linotype"/>
          <w:i/>
        </w:rPr>
      </w:pPr>
    </w:p>
    <w:p w14:paraId="3BE58EC4" w14:textId="77777777" w:rsidR="008D0F75" w:rsidRPr="00B54094" w:rsidRDefault="00B54094">
      <w:pPr>
        <w:spacing w:line="360" w:lineRule="auto"/>
        <w:ind w:right="49"/>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Dichas anotaciones novedosas fueron hechas del conocimiento de </w:t>
      </w:r>
      <w:r w:rsidRPr="00B54094">
        <w:rPr>
          <w:rFonts w:ascii="Palatino Linotype" w:eastAsia="Palatino Linotype" w:hAnsi="Palatino Linotype" w:cs="Palatino Linotype"/>
          <w:b/>
        </w:rPr>
        <w:t xml:space="preserve">LA PARTE RECURRENTE </w:t>
      </w:r>
      <w:r w:rsidRPr="00B54094">
        <w:rPr>
          <w:rFonts w:ascii="Palatino Linotype" w:eastAsia="Palatino Linotype" w:hAnsi="Palatino Linotype" w:cs="Palatino Linotype"/>
        </w:rPr>
        <w:t xml:space="preserve">mediante el acuerdo emitido por la </w:t>
      </w:r>
      <w:r w:rsidRPr="00B54094">
        <w:rPr>
          <w:rFonts w:ascii="Palatino Linotype" w:eastAsia="Palatino Linotype" w:hAnsi="Palatino Linotype" w:cs="Palatino Linotype"/>
          <w:b/>
        </w:rPr>
        <w:t>Comisionada Ponente,</w:t>
      </w:r>
      <w:r w:rsidRPr="00B54094">
        <w:rPr>
          <w:rFonts w:ascii="Palatino Linotype" w:eastAsia="Palatino Linotype" w:hAnsi="Palatino Linotype" w:cs="Palatino Linotype"/>
        </w:rPr>
        <w:t xml:space="preserve"> notificado el veintinueve de marzo de dos mil veintitrés, para que en el plazo de tres días hábiles manifestara lo que a su derecho conviniera, sin embargo, </w:t>
      </w:r>
      <w:r w:rsidRPr="00B54094">
        <w:rPr>
          <w:rFonts w:ascii="Palatino Linotype" w:eastAsia="Palatino Linotype" w:hAnsi="Palatino Linotype" w:cs="Palatino Linotype"/>
          <w:b/>
        </w:rPr>
        <w:t xml:space="preserve">LA PARTE RECURRENTE </w:t>
      </w:r>
      <w:r w:rsidRPr="00B54094">
        <w:rPr>
          <w:rFonts w:ascii="Palatino Linotype" w:eastAsia="Palatino Linotype" w:hAnsi="Palatino Linotype" w:cs="Palatino Linotype"/>
        </w:rPr>
        <w:t xml:space="preserve">decidió no realizar alguna manifestación. </w:t>
      </w:r>
    </w:p>
    <w:p w14:paraId="70A2CA52" w14:textId="77777777" w:rsidR="008D0F75" w:rsidRPr="00B54094" w:rsidRDefault="008D0F75">
      <w:pPr>
        <w:spacing w:line="360" w:lineRule="auto"/>
        <w:ind w:right="49"/>
        <w:jc w:val="both"/>
      </w:pPr>
    </w:p>
    <w:p w14:paraId="303892D1" w14:textId="77777777" w:rsidR="008D0F75" w:rsidRPr="00B54094" w:rsidRDefault="00B54094">
      <w:pPr>
        <w:spacing w:line="360" w:lineRule="auto"/>
        <w:ind w:right="49"/>
        <w:jc w:val="center"/>
        <w:rPr>
          <w:rFonts w:ascii="Palatino Linotype" w:eastAsia="Palatino Linotype" w:hAnsi="Palatino Linotype" w:cs="Palatino Linotype"/>
        </w:rPr>
      </w:pPr>
      <w:r w:rsidRPr="00B54094">
        <w:rPr>
          <w:noProof/>
        </w:rPr>
        <w:lastRenderedPageBreak/>
        <w:drawing>
          <wp:inline distT="0" distB="0" distL="0" distR="0" wp14:anchorId="6FC20EEC" wp14:editId="02C358BE">
            <wp:extent cx="4314825" cy="1800225"/>
            <wp:effectExtent l="0" t="0" r="0" b="0"/>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9166" t="29269" r="13951" b="13700"/>
                    <a:stretch>
                      <a:fillRect/>
                    </a:stretch>
                  </pic:blipFill>
                  <pic:spPr>
                    <a:xfrm>
                      <a:off x="0" y="0"/>
                      <a:ext cx="4314825" cy="1800225"/>
                    </a:xfrm>
                    <a:prstGeom prst="rect">
                      <a:avLst/>
                    </a:prstGeom>
                    <a:ln/>
                  </pic:spPr>
                </pic:pic>
              </a:graphicData>
            </a:graphic>
          </wp:inline>
        </w:drawing>
      </w:r>
    </w:p>
    <w:p w14:paraId="05652C7A" w14:textId="77777777" w:rsidR="008D0F75" w:rsidRPr="00B54094" w:rsidRDefault="008D0F75">
      <w:pPr>
        <w:spacing w:line="360" w:lineRule="auto"/>
        <w:ind w:right="49"/>
        <w:rPr>
          <w:rFonts w:ascii="Palatino Linotype" w:eastAsia="Palatino Linotype" w:hAnsi="Palatino Linotype" w:cs="Palatino Linotype"/>
        </w:rPr>
      </w:pPr>
    </w:p>
    <w:p w14:paraId="156801EA" w14:textId="77777777" w:rsidR="008D0F75" w:rsidRPr="00B54094" w:rsidRDefault="00B54094">
      <w:pPr>
        <w:widowControl w:val="0"/>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 xml:space="preserve">7. Ampliación del plazo para emitir resolución. </w:t>
      </w:r>
      <w:r w:rsidRPr="00B54094">
        <w:rPr>
          <w:rFonts w:ascii="Palatino Linotype" w:eastAsia="Palatino Linotype" w:hAnsi="Palatino Linotype" w:cs="Palatino Linotype"/>
        </w:rPr>
        <w:t>El</w:t>
      </w:r>
      <w:r w:rsidRPr="00B54094">
        <w:rPr>
          <w:rFonts w:ascii="Palatino Linotype" w:eastAsia="Palatino Linotype" w:hAnsi="Palatino Linotype" w:cs="Palatino Linotype"/>
          <w:b/>
        </w:rPr>
        <w:t xml:space="preserve"> veintinueve de marzo de dos mil veintitrés, </w:t>
      </w:r>
      <w:r w:rsidRPr="00B54094">
        <w:rPr>
          <w:rFonts w:ascii="Palatino Linotype" w:eastAsia="Palatino Linotype" w:hAnsi="Palatino Linotype" w:cs="Palatino Linotype"/>
        </w:rPr>
        <w:t>el Instituto de Transparencia, Acceso a la Información Pública y Protección de Datos Personales del Estado de México y Municipios, con fundamento en el artículo 181, párrafo tercero, de la Ley de Transparencia y Acceso a la Información Pública del Estado de México y Municipios, determinó ampliar el plazo para emitir la presente resolución.</w:t>
      </w:r>
    </w:p>
    <w:p w14:paraId="521E2D52" w14:textId="77777777" w:rsidR="008D0F75" w:rsidRPr="00B54094" w:rsidRDefault="008D0F75">
      <w:pPr>
        <w:widowControl w:val="0"/>
        <w:spacing w:line="360" w:lineRule="auto"/>
        <w:jc w:val="both"/>
        <w:rPr>
          <w:rFonts w:ascii="Palatino Linotype" w:eastAsia="Palatino Linotype" w:hAnsi="Palatino Linotype" w:cs="Palatino Linotype"/>
        </w:rPr>
      </w:pPr>
    </w:p>
    <w:p w14:paraId="6ABD8F48" w14:textId="77777777" w:rsidR="008D0F75" w:rsidRPr="00B54094" w:rsidRDefault="008D0F75">
      <w:pPr>
        <w:widowControl w:val="0"/>
        <w:spacing w:line="360" w:lineRule="auto"/>
        <w:jc w:val="both"/>
        <w:rPr>
          <w:rFonts w:ascii="Palatino Linotype" w:eastAsia="Palatino Linotype" w:hAnsi="Palatino Linotype" w:cs="Palatino Linotype"/>
        </w:rPr>
      </w:pPr>
    </w:p>
    <w:p w14:paraId="052EBDF6" w14:textId="77777777" w:rsidR="008D0F75" w:rsidRPr="00B54094" w:rsidRDefault="00B54094">
      <w:pPr>
        <w:widowControl w:val="0"/>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14:paraId="6D3A430F" w14:textId="77777777" w:rsidR="008D0F75" w:rsidRPr="00B54094" w:rsidRDefault="008D0F75">
      <w:pPr>
        <w:widowControl w:val="0"/>
        <w:spacing w:line="360" w:lineRule="auto"/>
        <w:jc w:val="both"/>
        <w:rPr>
          <w:rFonts w:ascii="Palatino Linotype" w:eastAsia="Palatino Linotype" w:hAnsi="Palatino Linotype" w:cs="Palatino Linotype"/>
        </w:rPr>
      </w:pPr>
    </w:p>
    <w:p w14:paraId="6F2B753B" w14:textId="77777777" w:rsidR="008D0F75" w:rsidRPr="00B54094" w:rsidRDefault="00B54094">
      <w:pPr>
        <w:widowControl w:val="0"/>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Por ello, es menester precisar que, si bien se ha excedido el plazo para resolver el </w:t>
      </w:r>
      <w:r w:rsidRPr="00B54094">
        <w:rPr>
          <w:rFonts w:ascii="Palatino Linotype" w:eastAsia="Palatino Linotype" w:hAnsi="Palatino Linotype" w:cs="Palatino Linotype"/>
        </w:rPr>
        <w:lastRenderedPageBreak/>
        <w:t>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13D5017" w14:textId="77777777" w:rsidR="008D0F75" w:rsidRPr="00B54094" w:rsidRDefault="008D0F75">
      <w:pPr>
        <w:widowControl w:val="0"/>
        <w:spacing w:line="360" w:lineRule="auto"/>
        <w:jc w:val="both"/>
        <w:rPr>
          <w:rFonts w:ascii="Palatino Linotype" w:eastAsia="Palatino Linotype" w:hAnsi="Palatino Linotype" w:cs="Palatino Linotype"/>
        </w:rPr>
      </w:pPr>
    </w:p>
    <w:p w14:paraId="583685B4" w14:textId="77777777" w:rsidR="008D0F75" w:rsidRPr="00B54094" w:rsidRDefault="00B54094">
      <w:pPr>
        <w:widowControl w:val="0"/>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EB43444" w14:textId="77777777" w:rsidR="008D0F75" w:rsidRPr="00B54094" w:rsidRDefault="008D0F75">
      <w:pPr>
        <w:widowControl w:val="0"/>
        <w:spacing w:line="360" w:lineRule="auto"/>
        <w:jc w:val="both"/>
        <w:rPr>
          <w:rFonts w:ascii="Palatino Linotype" w:eastAsia="Palatino Linotype" w:hAnsi="Palatino Linotype" w:cs="Palatino Linotype"/>
        </w:rPr>
      </w:pPr>
    </w:p>
    <w:p w14:paraId="2245E16F" w14:textId="77777777" w:rsidR="008D0F75" w:rsidRPr="00B54094" w:rsidRDefault="00B54094">
      <w:pPr>
        <w:widowControl w:val="0"/>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DE612CC" w14:textId="77777777" w:rsidR="008D0F75" w:rsidRPr="00B54094" w:rsidRDefault="008D0F75">
      <w:pPr>
        <w:widowControl w:val="0"/>
        <w:spacing w:line="360" w:lineRule="auto"/>
        <w:jc w:val="both"/>
        <w:rPr>
          <w:rFonts w:ascii="Palatino Linotype" w:eastAsia="Palatino Linotype" w:hAnsi="Palatino Linotype" w:cs="Palatino Linotype"/>
        </w:rPr>
      </w:pPr>
    </w:p>
    <w:p w14:paraId="2E6C1425" w14:textId="77777777" w:rsidR="008D0F75" w:rsidRPr="00B54094" w:rsidRDefault="00B54094">
      <w:pPr>
        <w:widowControl w:val="0"/>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34DA8FC" w14:textId="77777777" w:rsidR="008D0F75" w:rsidRPr="00B54094" w:rsidRDefault="008D0F75">
      <w:pPr>
        <w:widowControl w:val="0"/>
        <w:spacing w:line="360" w:lineRule="auto"/>
        <w:jc w:val="both"/>
        <w:rPr>
          <w:rFonts w:ascii="Palatino Linotype" w:eastAsia="Palatino Linotype" w:hAnsi="Palatino Linotype" w:cs="Palatino Linotype"/>
        </w:rPr>
      </w:pPr>
    </w:p>
    <w:p w14:paraId="55588158" w14:textId="77777777" w:rsidR="008D0F75" w:rsidRPr="00B54094" w:rsidRDefault="00B54094">
      <w:pPr>
        <w:widowControl w:val="0"/>
        <w:numPr>
          <w:ilvl w:val="0"/>
          <w:numId w:val="1"/>
        </w:num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 xml:space="preserve">Complejidad del Asunto: </w:t>
      </w:r>
      <w:r w:rsidRPr="00B54094">
        <w:rPr>
          <w:rFonts w:ascii="Palatino Linotype" w:eastAsia="Palatino Linotype" w:hAnsi="Palatino Linotype" w:cs="Palatino Linotype"/>
        </w:rPr>
        <w:t xml:space="preserve">La complejidad de la prueba, la pluralidad de sujetos procesales, el tiempo transcurrido, las características y contexto del recurso. </w:t>
      </w:r>
    </w:p>
    <w:p w14:paraId="3F66F6D8" w14:textId="77777777" w:rsidR="008D0F75" w:rsidRPr="00B54094" w:rsidRDefault="00B54094">
      <w:pPr>
        <w:widowControl w:val="0"/>
        <w:numPr>
          <w:ilvl w:val="0"/>
          <w:numId w:val="1"/>
        </w:num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Actividad Procesal del interesado:</w:t>
      </w:r>
      <w:r w:rsidRPr="00B54094">
        <w:rPr>
          <w:rFonts w:ascii="Palatino Linotype" w:eastAsia="Palatino Linotype" w:hAnsi="Palatino Linotype" w:cs="Palatino Linotype"/>
        </w:rPr>
        <w:t xml:space="preserve"> Acciones u omisiones del interesado.</w:t>
      </w:r>
    </w:p>
    <w:p w14:paraId="6C18A032" w14:textId="77777777" w:rsidR="008D0F75" w:rsidRPr="00B54094" w:rsidRDefault="00B54094">
      <w:pPr>
        <w:widowControl w:val="0"/>
        <w:numPr>
          <w:ilvl w:val="0"/>
          <w:numId w:val="1"/>
        </w:num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lastRenderedPageBreak/>
        <w:t>Conducta de la Autoridad:</w:t>
      </w:r>
      <w:r w:rsidRPr="00B54094">
        <w:rPr>
          <w:rFonts w:ascii="Palatino Linotype" w:eastAsia="Palatino Linotype" w:hAnsi="Palatino Linotype" w:cs="Palatino Linotype"/>
        </w:rPr>
        <w:t xml:space="preserve"> Las Acciones u omisiones realizadas en el procedimiento. Así como si la autoridad actuó con la debida diligencia.</w:t>
      </w:r>
    </w:p>
    <w:p w14:paraId="07C6954E" w14:textId="77777777" w:rsidR="008D0F75" w:rsidRPr="00B54094" w:rsidRDefault="00B54094">
      <w:pPr>
        <w:widowControl w:val="0"/>
        <w:numPr>
          <w:ilvl w:val="0"/>
          <w:numId w:val="1"/>
        </w:num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La afectación generada en la situación jurídica de la persona involucrada en el proceso:</w:t>
      </w:r>
      <w:r w:rsidRPr="00B54094">
        <w:rPr>
          <w:rFonts w:ascii="Palatino Linotype" w:eastAsia="Palatino Linotype" w:hAnsi="Palatino Linotype" w:cs="Palatino Linotype"/>
        </w:rPr>
        <w:t xml:space="preserve"> Violación a sus derechos humanos.</w:t>
      </w:r>
    </w:p>
    <w:p w14:paraId="685A7D9E" w14:textId="77777777" w:rsidR="008D0F75" w:rsidRPr="00B54094" w:rsidRDefault="008D0F75">
      <w:pPr>
        <w:widowControl w:val="0"/>
        <w:spacing w:line="360" w:lineRule="auto"/>
        <w:jc w:val="both"/>
        <w:rPr>
          <w:rFonts w:ascii="Palatino Linotype" w:eastAsia="Palatino Linotype" w:hAnsi="Palatino Linotype" w:cs="Palatino Linotype"/>
        </w:rPr>
      </w:pPr>
    </w:p>
    <w:p w14:paraId="7291FDA6" w14:textId="77777777" w:rsidR="008D0F75" w:rsidRPr="00B54094" w:rsidRDefault="00B54094">
      <w:pPr>
        <w:widowControl w:val="0"/>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5BCAEAE" w14:textId="77777777" w:rsidR="008D0F75" w:rsidRPr="00B54094" w:rsidRDefault="008D0F75">
      <w:pPr>
        <w:widowControl w:val="0"/>
        <w:spacing w:line="360" w:lineRule="auto"/>
        <w:jc w:val="both"/>
        <w:rPr>
          <w:rFonts w:ascii="Palatino Linotype" w:eastAsia="Palatino Linotype" w:hAnsi="Palatino Linotype" w:cs="Palatino Linotype"/>
        </w:rPr>
      </w:pPr>
    </w:p>
    <w:p w14:paraId="12864046" w14:textId="77777777" w:rsidR="008D0F75" w:rsidRPr="00B54094" w:rsidRDefault="00B54094">
      <w:pPr>
        <w:widowControl w:val="0"/>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54094">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B54094">
        <w:rPr>
          <w:rFonts w:ascii="Palatino Linotype" w:eastAsia="Palatino Linotype" w:hAnsi="Palatino Linotype" w:cs="Palatino Linotype"/>
          <w:b/>
        </w:rPr>
        <w:t>,</w:t>
      </w:r>
      <w:r w:rsidRPr="00B54094">
        <w:rPr>
          <w:rFonts w:ascii="Palatino Linotype" w:eastAsia="Palatino Linotype" w:hAnsi="Palatino Linotype" w:cs="Palatino Linotype"/>
        </w:rPr>
        <w:t xml:space="preserve"> visible en la Gaceta del Seminario Judicial de la Federación con el registro digital 205635.</w:t>
      </w:r>
    </w:p>
    <w:p w14:paraId="435C88F5" w14:textId="77777777" w:rsidR="008D0F75" w:rsidRPr="00B54094" w:rsidRDefault="008D0F75">
      <w:pPr>
        <w:widowControl w:val="0"/>
        <w:spacing w:line="360" w:lineRule="auto"/>
        <w:jc w:val="both"/>
        <w:rPr>
          <w:rFonts w:ascii="Palatino Linotype" w:eastAsia="Palatino Linotype" w:hAnsi="Palatino Linotype" w:cs="Palatino Linotype"/>
          <w:b/>
        </w:rPr>
      </w:pPr>
    </w:p>
    <w:p w14:paraId="4FFEFC70" w14:textId="77777777" w:rsidR="008D0F75" w:rsidRPr="00B54094" w:rsidRDefault="00B54094">
      <w:pPr>
        <w:widowControl w:val="0"/>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B54094">
        <w:rPr>
          <w:rFonts w:ascii="Palatino Linotype" w:eastAsia="Palatino Linotype" w:hAnsi="Palatino Linotype" w:cs="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42741F0" w14:textId="77777777" w:rsidR="008D0F75" w:rsidRPr="00B54094" w:rsidRDefault="008D0F75">
      <w:pPr>
        <w:widowControl w:val="0"/>
        <w:spacing w:line="360" w:lineRule="auto"/>
        <w:jc w:val="both"/>
        <w:rPr>
          <w:rFonts w:ascii="Palatino Linotype" w:eastAsia="Palatino Linotype" w:hAnsi="Palatino Linotype" w:cs="Palatino Linotype"/>
        </w:rPr>
      </w:pPr>
    </w:p>
    <w:p w14:paraId="71194137" w14:textId="77777777" w:rsidR="008D0F75" w:rsidRPr="00B54094" w:rsidRDefault="00B54094">
      <w:pPr>
        <w:widowControl w:val="0"/>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0E7E18D" w14:textId="77777777" w:rsidR="008D0F75" w:rsidRPr="00B54094" w:rsidRDefault="008D0F75">
      <w:pPr>
        <w:widowControl w:val="0"/>
        <w:spacing w:line="360" w:lineRule="auto"/>
        <w:jc w:val="both"/>
        <w:rPr>
          <w:rFonts w:ascii="Palatino Linotype" w:eastAsia="Palatino Linotype" w:hAnsi="Palatino Linotype" w:cs="Palatino Linotype"/>
        </w:rPr>
      </w:pPr>
    </w:p>
    <w:p w14:paraId="0AC4C0C2" w14:textId="77777777" w:rsidR="008D0F75" w:rsidRPr="00B54094" w:rsidRDefault="00B54094">
      <w:pPr>
        <w:widowControl w:val="0"/>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i/>
        </w:rPr>
        <w:t>“PLAZO RAZONABLE PARA RESOLVER. DIMENSIÓN Y EFECTOS DE ESTE CONCEPTO CUANDO SE ADUCE EXCESIVA CARGA DE TRABAJO.”</w:t>
      </w:r>
      <w:r w:rsidRPr="00B54094">
        <w:rPr>
          <w:rFonts w:ascii="Palatino Linotype" w:eastAsia="Palatino Linotype" w:hAnsi="Palatino Linotype" w:cs="Palatino Linotype"/>
        </w:rPr>
        <w:t xml:space="preserve"> consultable en el Seminario Judicial de la Federación y su gaceta, con el registro digital 2002351.</w:t>
      </w:r>
    </w:p>
    <w:p w14:paraId="3923808F" w14:textId="77777777" w:rsidR="008D0F75" w:rsidRPr="00B54094" w:rsidRDefault="00B54094">
      <w:pPr>
        <w:widowControl w:val="0"/>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i/>
        </w:rPr>
        <w:t>“PLAZO RAZONABLE PARA RESOLVER. CONCEPTO Y ELEMENTOS QUE LO INTEGRAN A LA LUZ DEL DERECHO INTERNACIONAL DE LOS DERECHOS HUMANOS.”</w:t>
      </w:r>
      <w:r w:rsidRPr="00B54094">
        <w:rPr>
          <w:rFonts w:ascii="Palatino Linotype" w:eastAsia="Palatino Linotype" w:hAnsi="Palatino Linotype" w:cs="Palatino Linotype"/>
          <w:b/>
        </w:rPr>
        <w:t>,</w:t>
      </w:r>
      <w:r w:rsidRPr="00B54094">
        <w:rPr>
          <w:rFonts w:ascii="Palatino Linotype" w:eastAsia="Palatino Linotype" w:hAnsi="Palatino Linotype" w:cs="Palatino Linotype"/>
        </w:rPr>
        <w:t xml:space="preserve"> visible en el Seminario Judicial de la Federación y su gaceta, con el registro digital 2002350.</w:t>
      </w:r>
    </w:p>
    <w:p w14:paraId="2207BCA0" w14:textId="77777777" w:rsidR="008D0F75" w:rsidRPr="00B54094" w:rsidRDefault="008D0F75">
      <w:pPr>
        <w:widowControl w:val="0"/>
        <w:spacing w:line="360" w:lineRule="auto"/>
        <w:jc w:val="both"/>
        <w:rPr>
          <w:rFonts w:ascii="Palatino Linotype" w:eastAsia="Palatino Linotype" w:hAnsi="Palatino Linotype" w:cs="Palatino Linotype"/>
        </w:rPr>
      </w:pPr>
    </w:p>
    <w:p w14:paraId="1DDC1554" w14:textId="77777777" w:rsidR="008D0F75" w:rsidRPr="00B54094" w:rsidRDefault="00B54094">
      <w:pPr>
        <w:widowControl w:val="0"/>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F2AEAC5" w14:textId="77777777" w:rsidR="008D0F75" w:rsidRPr="00B54094" w:rsidRDefault="008D0F75">
      <w:pPr>
        <w:widowControl w:val="0"/>
        <w:spacing w:line="360" w:lineRule="auto"/>
        <w:jc w:val="both"/>
        <w:rPr>
          <w:rFonts w:ascii="Palatino Linotype" w:eastAsia="Palatino Linotype" w:hAnsi="Palatino Linotype" w:cs="Palatino Linotype"/>
        </w:rPr>
      </w:pPr>
    </w:p>
    <w:p w14:paraId="4C7D4455"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lastRenderedPageBreak/>
        <w:t xml:space="preserve">8. Cierre de instrucción. </w:t>
      </w:r>
      <w:r w:rsidRPr="00B54094">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B54094">
        <w:rPr>
          <w:rFonts w:ascii="Palatino Linotype" w:eastAsia="Palatino Linotype" w:hAnsi="Palatino Linotype" w:cs="Palatino Linotype"/>
          <w:b/>
        </w:rPr>
        <w:t>nueve de mayo de dos mil veintitrés</w:t>
      </w:r>
      <w:r w:rsidRPr="00B54094">
        <w:rPr>
          <w:rFonts w:ascii="Palatino Linotype" w:eastAsia="Palatino Linotype" w:hAnsi="Palatino Linotype" w:cs="Palatino Linotype"/>
        </w:rPr>
        <w:t xml:space="preserve">, la </w:t>
      </w:r>
      <w:r w:rsidRPr="00B54094">
        <w:rPr>
          <w:rFonts w:ascii="Palatino Linotype" w:eastAsia="Palatino Linotype" w:hAnsi="Palatino Linotype" w:cs="Palatino Linotype"/>
          <w:b/>
        </w:rPr>
        <w:t>Comisionada Ponente</w:t>
      </w:r>
      <w:r w:rsidRPr="00B54094">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7CB356A1" w14:textId="77777777" w:rsidR="008D0F75" w:rsidRPr="00B54094" w:rsidRDefault="008D0F75">
      <w:pPr>
        <w:spacing w:line="360" w:lineRule="auto"/>
        <w:jc w:val="both"/>
        <w:rPr>
          <w:rFonts w:ascii="Palatino Linotype" w:eastAsia="Palatino Linotype" w:hAnsi="Palatino Linotype" w:cs="Palatino Linotype"/>
          <w:b/>
        </w:rPr>
      </w:pPr>
    </w:p>
    <w:p w14:paraId="070F51F5"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y</w:t>
      </w:r>
    </w:p>
    <w:p w14:paraId="71C7D408" w14:textId="77777777" w:rsidR="008D0F75" w:rsidRPr="00B54094" w:rsidRDefault="008D0F75">
      <w:pPr>
        <w:spacing w:line="360" w:lineRule="auto"/>
        <w:jc w:val="both"/>
        <w:rPr>
          <w:rFonts w:ascii="Palatino Linotype" w:eastAsia="Palatino Linotype" w:hAnsi="Palatino Linotype" w:cs="Palatino Linotype"/>
          <w:sz w:val="22"/>
          <w:szCs w:val="22"/>
        </w:rPr>
      </w:pPr>
    </w:p>
    <w:p w14:paraId="1A1E214F" w14:textId="77777777" w:rsidR="008D0F75" w:rsidRPr="00B54094" w:rsidRDefault="00B54094">
      <w:pPr>
        <w:widowControl w:val="0"/>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rPr>
      </w:pPr>
      <w:r w:rsidRPr="00B54094">
        <w:rPr>
          <w:rFonts w:ascii="Palatino Linotype" w:eastAsia="Palatino Linotype" w:hAnsi="Palatino Linotype" w:cs="Palatino Linotype"/>
          <w:b/>
        </w:rPr>
        <w:t xml:space="preserve">C O N S I D E R A N D O </w:t>
      </w:r>
    </w:p>
    <w:p w14:paraId="10F0847B" w14:textId="77777777" w:rsidR="008D0F75" w:rsidRPr="00B54094" w:rsidRDefault="008D0F75">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76171FAC"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PRIMERO. COMPETENCIA.</w:t>
      </w:r>
      <w:r w:rsidRPr="00B5409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B54094">
        <w:rPr>
          <w:rFonts w:ascii="Palatino Linotype" w:eastAsia="Palatino Linotype" w:hAnsi="Palatino Linotype" w:cs="Palatino Linotype"/>
          <w:b/>
        </w:rPr>
        <w:t>LA PARTE RECURRENTE</w:t>
      </w:r>
      <w:r w:rsidRPr="00B54094">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0270424" w14:textId="77777777" w:rsidR="008D0F75" w:rsidRPr="00B54094" w:rsidRDefault="008D0F75">
      <w:pPr>
        <w:spacing w:line="360" w:lineRule="auto"/>
        <w:jc w:val="both"/>
        <w:rPr>
          <w:rFonts w:ascii="Palatino Linotype" w:eastAsia="Palatino Linotype" w:hAnsi="Palatino Linotype" w:cs="Palatino Linotype"/>
        </w:rPr>
      </w:pPr>
    </w:p>
    <w:p w14:paraId="23D6C042"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SEGUNDO. OPORTUNIDAD Y PROCEDIBILIDAD DEL RECURSO DE REVISIÓN</w:t>
      </w:r>
      <w:r w:rsidRPr="00B54094">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09A5C1A" w14:textId="77777777" w:rsidR="008D0F75" w:rsidRPr="00B54094" w:rsidRDefault="008D0F75">
      <w:pPr>
        <w:spacing w:line="360" w:lineRule="auto"/>
        <w:jc w:val="both"/>
        <w:rPr>
          <w:rFonts w:ascii="Palatino Linotype" w:eastAsia="Palatino Linotype" w:hAnsi="Palatino Linotype" w:cs="Palatino Linotype"/>
        </w:rPr>
      </w:pPr>
    </w:p>
    <w:p w14:paraId="3CCC06CB"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El recurso de revisión fue interpuesto conforme a lo establecido por el segundo párrafo del artículo 178 de la Ley de Transparencia, pues, a falta de respuesta del </w:t>
      </w:r>
      <w:r w:rsidRPr="00B54094">
        <w:rPr>
          <w:rFonts w:ascii="Palatino Linotype" w:eastAsia="Palatino Linotype" w:hAnsi="Palatino Linotype" w:cs="Palatino Linotype"/>
          <w:b/>
        </w:rPr>
        <w:t>SUJETO OBLIGADO</w:t>
      </w:r>
      <w:r w:rsidRPr="00B54094">
        <w:rPr>
          <w:rFonts w:ascii="Palatino Linotype" w:eastAsia="Palatino Linotype" w:hAnsi="Palatino Linotype" w:cs="Palatino Linotype"/>
        </w:rPr>
        <w:t xml:space="preserve"> dentro de los plazos previstos para ello.</w:t>
      </w:r>
    </w:p>
    <w:p w14:paraId="7A2D802C" w14:textId="77777777" w:rsidR="008D0F75" w:rsidRPr="00B54094" w:rsidRDefault="008D0F75">
      <w:pPr>
        <w:spacing w:line="360" w:lineRule="auto"/>
        <w:jc w:val="both"/>
        <w:rPr>
          <w:rFonts w:ascii="Palatino Linotype" w:eastAsia="Palatino Linotype" w:hAnsi="Palatino Linotype" w:cs="Palatino Linotype"/>
        </w:rPr>
      </w:pPr>
    </w:p>
    <w:p w14:paraId="3E9B08E7"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En tal sentido, se constituye lo que en la doctrina se conoce como </w:t>
      </w:r>
      <w:r w:rsidRPr="00B54094">
        <w:rPr>
          <w:rFonts w:ascii="Palatino Linotype" w:eastAsia="Palatino Linotype" w:hAnsi="Palatino Linotype" w:cs="Palatino Linotype"/>
          <w:b/>
        </w:rPr>
        <w:t>negativa ficta,</w:t>
      </w:r>
      <w:r w:rsidRPr="00B54094">
        <w:rPr>
          <w:rFonts w:ascii="Palatino Linotype" w:eastAsia="Palatino Linotype" w:hAnsi="Palatino Linotype" w:cs="Palatino Linotype"/>
        </w:rPr>
        <w:t xml:space="preserve"> figura jurídica cuya esencia consiste en atribuir un efecto negativo al silencio de la autoridad administrativa frente a las instancias y solicitudes que hagan los particulares.</w:t>
      </w:r>
    </w:p>
    <w:p w14:paraId="5CB15591"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Por su parte, el artículo 178 de la Ley de Transparencia, establece:</w:t>
      </w:r>
    </w:p>
    <w:p w14:paraId="1A2C78BD"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0"/>
          <w:szCs w:val="20"/>
        </w:rPr>
      </w:pPr>
    </w:p>
    <w:p w14:paraId="3720B511" w14:textId="77777777" w:rsidR="008D0F75" w:rsidRPr="00B54094" w:rsidRDefault="00B54094">
      <w:pPr>
        <w:pBdr>
          <w:top w:val="nil"/>
          <w:left w:val="nil"/>
          <w:bottom w:val="nil"/>
          <w:right w:val="nil"/>
          <w:between w:val="nil"/>
        </w:pBdr>
        <w:spacing w:line="276" w:lineRule="auto"/>
        <w:ind w:left="864" w:right="864"/>
        <w:jc w:val="both"/>
        <w:rPr>
          <w:rFonts w:ascii="Palatino Linotype" w:eastAsia="Palatino Linotype" w:hAnsi="Palatino Linotype" w:cs="Palatino Linotype"/>
          <w:b/>
          <w:i/>
          <w:sz w:val="22"/>
          <w:szCs w:val="22"/>
        </w:rPr>
      </w:pPr>
      <w:r w:rsidRPr="00B54094">
        <w:rPr>
          <w:rFonts w:ascii="Palatino Linotype" w:eastAsia="Palatino Linotype" w:hAnsi="Palatino Linotype" w:cs="Palatino Linotype"/>
          <w:b/>
          <w:i/>
          <w:sz w:val="22"/>
          <w:szCs w:val="22"/>
        </w:rPr>
        <w:t xml:space="preserve">Artículo 178. </w:t>
      </w:r>
      <w:r w:rsidRPr="00B54094">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B54094">
        <w:rPr>
          <w:rFonts w:ascii="Palatino Linotype" w:eastAsia="Palatino Linotype" w:hAnsi="Palatino Linotype" w:cs="Palatino Linotype"/>
          <w:b/>
          <w:i/>
          <w:sz w:val="22"/>
          <w:szCs w:val="22"/>
        </w:rPr>
        <w:t>.</w:t>
      </w:r>
    </w:p>
    <w:p w14:paraId="7CCF0ECF" w14:textId="77777777" w:rsidR="008D0F75" w:rsidRPr="00B54094" w:rsidRDefault="008D0F75">
      <w:pPr>
        <w:pBdr>
          <w:top w:val="nil"/>
          <w:left w:val="nil"/>
          <w:bottom w:val="nil"/>
          <w:right w:val="nil"/>
          <w:between w:val="nil"/>
        </w:pBdr>
        <w:spacing w:line="276" w:lineRule="auto"/>
        <w:ind w:left="864" w:right="864"/>
        <w:jc w:val="both"/>
        <w:rPr>
          <w:rFonts w:ascii="Palatino Linotype" w:eastAsia="Palatino Linotype" w:hAnsi="Palatino Linotype" w:cs="Palatino Linotype"/>
          <w:b/>
          <w:i/>
          <w:sz w:val="22"/>
          <w:szCs w:val="22"/>
        </w:rPr>
      </w:pPr>
    </w:p>
    <w:p w14:paraId="2E781FE6" w14:textId="77777777" w:rsidR="008D0F75" w:rsidRPr="00B54094" w:rsidRDefault="00B54094">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 xml:space="preserve">A falta de respuesta del sujeto obligado, dentro de los plazos establecidos en esta Ley, a una solicitud de acceso a la información pública, </w:t>
      </w:r>
      <w:r w:rsidRPr="00B54094">
        <w:rPr>
          <w:rFonts w:ascii="Palatino Linotype" w:eastAsia="Palatino Linotype" w:hAnsi="Palatino Linotype" w:cs="Palatino Linotype"/>
          <w:b/>
          <w:i/>
          <w:sz w:val="22"/>
          <w:szCs w:val="22"/>
        </w:rPr>
        <w:t>el recurso podrá ser interpuesto en cualquier momento</w:t>
      </w:r>
      <w:r w:rsidRPr="00B54094">
        <w:rPr>
          <w:rFonts w:ascii="Palatino Linotype" w:eastAsia="Palatino Linotype" w:hAnsi="Palatino Linotype" w:cs="Palatino Linotype"/>
          <w:i/>
          <w:sz w:val="22"/>
          <w:szCs w:val="22"/>
        </w:rPr>
        <w:t>, acompañado con el documento que pruebe la fecha en que presento la solicitud.</w:t>
      </w:r>
    </w:p>
    <w:p w14:paraId="516C8868"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0"/>
          <w:szCs w:val="20"/>
        </w:rPr>
      </w:pPr>
    </w:p>
    <w:p w14:paraId="4BB9CD0E"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De lo anterior, se advierte que el recurso de revisión no se ha de interponer dentro del plazo de quince días hábiles, a partir de la fecha en que </w:t>
      </w:r>
      <w:r w:rsidRPr="00B54094">
        <w:rPr>
          <w:rFonts w:ascii="Palatino Linotype" w:eastAsia="Palatino Linotype" w:hAnsi="Palatino Linotype" w:cs="Palatino Linotype"/>
          <w:b/>
        </w:rPr>
        <w:t xml:space="preserve">EL SUJETO OBLIGADO </w:t>
      </w:r>
      <w:r w:rsidRPr="00B54094">
        <w:rPr>
          <w:rFonts w:ascii="Palatino Linotype" w:eastAsia="Palatino Linotype" w:hAnsi="Palatino Linotype" w:cs="Palatino Linotype"/>
        </w:rPr>
        <w:t xml:space="preserve">da respuesta a la solicitud de información; sin embargo, tratándose de negativa ficta no existe resolución que se haga del conocimiento de la persona solicitante a partir de la cual pueda computarse dicho plazo, por lo que se concluye que </w:t>
      </w:r>
      <w:r w:rsidRPr="00B54094">
        <w:rPr>
          <w:rFonts w:ascii="Palatino Linotype" w:eastAsia="Palatino Linotype" w:hAnsi="Palatino Linotype" w:cs="Palatino Linotype"/>
          <w:b/>
          <w:u w:val="single"/>
        </w:rPr>
        <w:t>la interposición del recurso de revisión puede ser en cualquier momento.</w:t>
      </w:r>
    </w:p>
    <w:p w14:paraId="31FC72AB" w14:textId="77777777" w:rsidR="008D0F75" w:rsidRPr="00B54094" w:rsidRDefault="008D0F75">
      <w:pPr>
        <w:spacing w:line="360" w:lineRule="auto"/>
        <w:jc w:val="both"/>
        <w:rPr>
          <w:rFonts w:ascii="Palatino Linotype" w:eastAsia="Palatino Linotype" w:hAnsi="Palatino Linotype" w:cs="Palatino Linotype"/>
        </w:rPr>
      </w:pPr>
    </w:p>
    <w:p w14:paraId="3CC7E921"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La negativa ficta constituye una presunción legal, en el entendido de que donde no hubo respuesta por parte del </w:t>
      </w:r>
      <w:r w:rsidRPr="00B54094">
        <w:rPr>
          <w:rFonts w:ascii="Palatino Linotype" w:eastAsia="Palatino Linotype" w:hAnsi="Palatino Linotype" w:cs="Palatino Linotype"/>
          <w:b/>
        </w:rPr>
        <w:t xml:space="preserve">SUJETO OBLIGADO </w:t>
      </w:r>
      <w:r w:rsidRPr="00B54094">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el artículo 8 de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5C477D1D" w14:textId="77777777" w:rsidR="008D0F75" w:rsidRPr="00B54094" w:rsidRDefault="008D0F75">
      <w:pPr>
        <w:spacing w:line="360" w:lineRule="auto"/>
        <w:jc w:val="both"/>
        <w:rPr>
          <w:rFonts w:ascii="Palatino Linotype" w:eastAsia="Palatino Linotype" w:hAnsi="Palatino Linotype" w:cs="Palatino Linotype"/>
        </w:rPr>
      </w:pPr>
    </w:p>
    <w:p w14:paraId="3D97B17A"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En el marco del Derecho de Acceso a la Información Pública, la figura de la </w:t>
      </w:r>
      <w:r w:rsidRPr="00B54094">
        <w:rPr>
          <w:rFonts w:ascii="Palatino Linotype" w:eastAsia="Palatino Linotype" w:hAnsi="Palatino Linotype" w:cs="Palatino Linotype"/>
          <w:b/>
        </w:rPr>
        <w:t xml:space="preserve">negativa ficta </w:t>
      </w:r>
      <w:r w:rsidRPr="00B54094">
        <w:rPr>
          <w:rFonts w:ascii="Palatino Linotype" w:eastAsia="Palatino Linotype" w:hAnsi="Palatino Linotype" w:cs="Palatino Linotype"/>
        </w:rPr>
        <w:t xml:space="preserve">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w:t>
      </w:r>
      <w:r w:rsidRPr="00B54094">
        <w:rPr>
          <w:rFonts w:ascii="Palatino Linotype" w:eastAsia="Palatino Linotype" w:hAnsi="Palatino Linotype" w:cs="Palatino Linotype"/>
          <w:b/>
        </w:rPr>
        <w:t xml:space="preserve">SUJETO OBLIGADO </w:t>
      </w:r>
      <w:r w:rsidRPr="00B54094">
        <w:rPr>
          <w:rFonts w:ascii="Palatino Linotype" w:eastAsia="Palatino Linotype" w:hAnsi="Palatino Linotype" w:cs="Palatino Linotype"/>
        </w:rPr>
        <w:t xml:space="preserve">de dar respuesta, por lo que este Órgano Garante del Derecho de Acceso a la Información y en aras de privilegiar el </w:t>
      </w:r>
      <w:r w:rsidRPr="00B54094">
        <w:rPr>
          <w:rFonts w:ascii="Palatino Linotype" w:eastAsia="Palatino Linotype" w:hAnsi="Palatino Linotype" w:cs="Palatino Linotype"/>
        </w:rPr>
        <w:lastRenderedPageBreak/>
        <w:t xml:space="preserve">principio de Máxima Publicidad deberá dar entrada al estudio del fondo del recurso interpuesto y no optar por el </w:t>
      </w:r>
      <w:proofErr w:type="spellStart"/>
      <w:r w:rsidRPr="00B54094">
        <w:rPr>
          <w:rFonts w:ascii="Palatino Linotype" w:eastAsia="Palatino Linotype" w:hAnsi="Palatino Linotype" w:cs="Palatino Linotype"/>
        </w:rPr>
        <w:t>desechamiento</w:t>
      </w:r>
      <w:proofErr w:type="spellEnd"/>
      <w:r w:rsidRPr="00B54094">
        <w:rPr>
          <w:rFonts w:ascii="Palatino Linotype" w:eastAsia="Palatino Linotype" w:hAnsi="Palatino Linotype" w:cs="Palatino Linotype"/>
        </w:rPr>
        <w:t xml:space="preserve"> del mismo.</w:t>
      </w:r>
    </w:p>
    <w:p w14:paraId="7F807D64" w14:textId="77777777" w:rsidR="008D0F75" w:rsidRPr="00B54094" w:rsidRDefault="008D0F75">
      <w:pPr>
        <w:spacing w:line="360" w:lineRule="auto"/>
        <w:jc w:val="both"/>
        <w:rPr>
          <w:rFonts w:ascii="Palatino Linotype" w:eastAsia="Palatino Linotype" w:hAnsi="Palatino Linotype" w:cs="Palatino Linotype"/>
        </w:rPr>
      </w:pPr>
    </w:p>
    <w:p w14:paraId="7F5770FE"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Por lo tanto, con la finalidad de no reducir ni limitar el Derecho de Acceso a la Información y concederle una protección más eficaz al solicitante para impugnar el silencio del Sujeto Obligado, este tiene la posibilidad de impugnar dicha omisión en cualquier tiempo mediante el recurso de revisión y con ello satisfacer su pretensión; postura que ha sido adoptada mediante criterio de la primera época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5896B04A" w14:textId="77777777" w:rsidR="008D0F75" w:rsidRPr="00B54094" w:rsidRDefault="008D0F75">
      <w:pPr>
        <w:spacing w:line="276" w:lineRule="auto"/>
        <w:jc w:val="both"/>
        <w:rPr>
          <w:rFonts w:ascii="Palatino Linotype" w:eastAsia="Palatino Linotype" w:hAnsi="Palatino Linotype" w:cs="Palatino Linotype"/>
          <w:i/>
        </w:rPr>
      </w:pPr>
    </w:p>
    <w:p w14:paraId="27F5F601" w14:textId="77777777" w:rsidR="008D0F75" w:rsidRPr="00B54094" w:rsidRDefault="00B54094">
      <w:pPr>
        <w:tabs>
          <w:tab w:val="left" w:pos="1276"/>
        </w:tabs>
        <w:spacing w:line="276" w:lineRule="auto"/>
        <w:ind w:left="567" w:right="616"/>
        <w:jc w:val="both"/>
        <w:rPr>
          <w:rFonts w:ascii="Palatino Linotype" w:eastAsia="Palatino Linotype" w:hAnsi="Palatino Linotype" w:cs="Palatino Linotype"/>
          <w:i/>
        </w:rPr>
      </w:pPr>
      <w:r w:rsidRPr="00B54094">
        <w:rPr>
          <w:rFonts w:ascii="Palatino Linotype" w:eastAsia="Palatino Linotype" w:hAnsi="Palatino Linotype" w:cs="Palatino Linotype"/>
          <w:b/>
          <w:i/>
          <w:sz w:val="22"/>
          <w:szCs w:val="22"/>
        </w:rPr>
        <w:t>CRITERIO 0001-15. NEGATIVA FICTA. PLAZO PARA INTERPONER EL RECURSO DE REVISIÓN TRATÁNDOSE DE</w:t>
      </w:r>
      <w:r w:rsidRPr="00B54094">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1EB4627" w14:textId="77777777" w:rsidR="008D0F75" w:rsidRPr="00B54094" w:rsidRDefault="008D0F75">
      <w:pPr>
        <w:spacing w:line="360" w:lineRule="auto"/>
        <w:jc w:val="both"/>
        <w:rPr>
          <w:rFonts w:ascii="Palatino Linotype" w:eastAsia="Palatino Linotype" w:hAnsi="Palatino Linotype" w:cs="Palatino Linotype"/>
        </w:rPr>
      </w:pPr>
    </w:p>
    <w:p w14:paraId="59EF0C13"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lastRenderedPageBreak/>
        <w:t xml:space="preserve">Por cuanto hace a la procedibilidad del recurso de revisión, es de suma importancia señalar que </w:t>
      </w:r>
      <w:r w:rsidRPr="00B54094">
        <w:rPr>
          <w:rFonts w:ascii="Palatino Linotype" w:eastAsia="Palatino Linotype" w:hAnsi="Palatino Linotype" w:cs="Palatino Linotype"/>
          <w:b/>
        </w:rPr>
        <w:t>LA PARTE</w:t>
      </w:r>
      <w:r w:rsidRPr="00B54094">
        <w:rPr>
          <w:rFonts w:ascii="Palatino Linotype" w:eastAsia="Palatino Linotype" w:hAnsi="Palatino Linotype" w:cs="Palatino Linotype"/>
        </w:rPr>
        <w:t xml:space="preserve"> </w:t>
      </w:r>
      <w:r w:rsidRPr="00B54094">
        <w:rPr>
          <w:rFonts w:ascii="Palatino Linotype" w:eastAsia="Palatino Linotype" w:hAnsi="Palatino Linotype" w:cs="Palatino Linotype"/>
          <w:b/>
        </w:rPr>
        <w:t>RECURRENTE</w:t>
      </w:r>
      <w:r w:rsidRPr="00B54094">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2AF20CD"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38A2187"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53515B3"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08E762E"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445889D1" w14:textId="77777777" w:rsidR="008D0F75" w:rsidRPr="00B54094" w:rsidRDefault="008D0F75">
      <w:pPr>
        <w:spacing w:line="360" w:lineRule="auto"/>
        <w:jc w:val="both"/>
        <w:rPr>
          <w:rFonts w:ascii="Palatino Linotype" w:eastAsia="Palatino Linotype" w:hAnsi="Palatino Linotype" w:cs="Palatino Linotype"/>
        </w:rPr>
      </w:pPr>
    </w:p>
    <w:p w14:paraId="13ABFF3B"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Finalmente, se advierte que resulta procedente la interposición del recurso, según lo manifestado por el recurrente en sus motivos de inconformidad, de acuerdo a la fracción VII del artículo 179 del ordenamiento legal citado, que a la letra dice: </w:t>
      </w:r>
    </w:p>
    <w:p w14:paraId="486B27EA" w14:textId="77777777" w:rsidR="008D0F75" w:rsidRPr="00B54094" w:rsidRDefault="008D0F75">
      <w:pPr>
        <w:jc w:val="both"/>
        <w:rPr>
          <w:rFonts w:ascii="Palatino Linotype" w:eastAsia="Palatino Linotype" w:hAnsi="Palatino Linotype" w:cs="Palatino Linotype"/>
        </w:rPr>
      </w:pPr>
    </w:p>
    <w:p w14:paraId="51E71FA9"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b/>
          <w:i/>
          <w:sz w:val="22"/>
          <w:szCs w:val="22"/>
        </w:rPr>
        <w:t>Artículo 179.</w:t>
      </w:r>
      <w:r w:rsidRPr="00B54094">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AB68690"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B54094">
        <w:rPr>
          <w:rFonts w:ascii="Palatino Linotype" w:eastAsia="Palatino Linotype" w:hAnsi="Palatino Linotype" w:cs="Palatino Linotype"/>
          <w:b/>
          <w:i/>
          <w:sz w:val="22"/>
          <w:szCs w:val="22"/>
        </w:rPr>
        <w:t>(…)</w:t>
      </w:r>
    </w:p>
    <w:p w14:paraId="375518EE"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B54094">
        <w:rPr>
          <w:rFonts w:ascii="Palatino Linotype" w:eastAsia="Palatino Linotype" w:hAnsi="Palatino Linotype" w:cs="Palatino Linotype"/>
          <w:b/>
          <w:i/>
          <w:sz w:val="22"/>
          <w:szCs w:val="22"/>
        </w:rPr>
        <w:t>VII. La falta de respuesta a una solicitud de acceso a la información;</w:t>
      </w:r>
    </w:p>
    <w:p w14:paraId="56AA3B66"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B54094">
        <w:rPr>
          <w:rFonts w:ascii="Palatino Linotype" w:eastAsia="Palatino Linotype" w:hAnsi="Palatino Linotype" w:cs="Palatino Linotype"/>
          <w:b/>
          <w:i/>
          <w:sz w:val="22"/>
          <w:szCs w:val="22"/>
        </w:rPr>
        <w:t>(…)</w:t>
      </w:r>
    </w:p>
    <w:p w14:paraId="5BB5A932" w14:textId="77777777" w:rsidR="008D0F75" w:rsidRPr="00B54094" w:rsidRDefault="008D0F75">
      <w:pPr>
        <w:pBdr>
          <w:top w:val="nil"/>
          <w:left w:val="nil"/>
          <w:bottom w:val="nil"/>
          <w:right w:val="nil"/>
          <w:between w:val="nil"/>
        </w:pBdr>
        <w:ind w:right="864"/>
        <w:jc w:val="both"/>
        <w:rPr>
          <w:rFonts w:ascii="Palatino Linotype" w:eastAsia="Palatino Linotype" w:hAnsi="Palatino Linotype" w:cs="Palatino Linotype"/>
          <w:i/>
          <w:sz w:val="22"/>
          <w:szCs w:val="22"/>
        </w:rPr>
      </w:pPr>
    </w:p>
    <w:p w14:paraId="6328C7A4" w14:textId="77777777" w:rsidR="008D0F75" w:rsidRPr="00B54094" w:rsidRDefault="00B54094">
      <w:pPr>
        <w:tabs>
          <w:tab w:val="left" w:pos="8647"/>
        </w:tabs>
        <w:spacing w:before="240" w:after="240" w:line="360" w:lineRule="auto"/>
        <w:jc w:val="both"/>
        <w:rPr>
          <w:rFonts w:ascii="Palatino Linotype" w:eastAsia="Palatino Linotype" w:hAnsi="Palatino Linotype" w:cs="Palatino Linotype"/>
          <w:b/>
        </w:rPr>
      </w:pPr>
      <w:r w:rsidRPr="00B54094">
        <w:rPr>
          <w:rFonts w:ascii="Palatino Linotype" w:eastAsia="Palatino Linotype" w:hAnsi="Palatino Linotype" w:cs="Palatino Linotype"/>
          <w:b/>
        </w:rPr>
        <w:t xml:space="preserve">TERCERO. MATERIA DE LA REVISIÓN. </w:t>
      </w:r>
      <w:r w:rsidRPr="00B54094">
        <w:rPr>
          <w:rFonts w:ascii="Palatino Linotype" w:eastAsia="Palatino Linotype" w:hAnsi="Palatino Linotype" w:cs="Palatino Linotype"/>
        </w:rPr>
        <w:t xml:space="preserve">Este Organismo Garante procede del análisis de los agravios hechos valer por la parte </w:t>
      </w:r>
      <w:r w:rsidRPr="00B54094">
        <w:rPr>
          <w:rFonts w:ascii="Palatino Linotype" w:eastAsia="Palatino Linotype" w:hAnsi="Palatino Linotype" w:cs="Palatino Linotype"/>
          <w:b/>
        </w:rPr>
        <w:t>Recurrente</w:t>
      </w:r>
      <w:r w:rsidRPr="00B54094">
        <w:rPr>
          <w:rFonts w:ascii="Palatino Linotype" w:eastAsia="Palatino Linotype" w:hAnsi="Palatino Linotype" w:cs="Palatino Linotype"/>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2E7FCEAC" w14:textId="77777777" w:rsidR="008D0F75" w:rsidRPr="00B54094" w:rsidRDefault="008D0F75">
      <w:pPr>
        <w:spacing w:line="360" w:lineRule="auto"/>
        <w:jc w:val="both"/>
        <w:rPr>
          <w:rFonts w:ascii="Palatino Linotype" w:eastAsia="Palatino Linotype" w:hAnsi="Palatino Linotype" w:cs="Palatino Linotype"/>
        </w:rPr>
      </w:pPr>
    </w:p>
    <w:p w14:paraId="78286C21" w14:textId="77777777" w:rsidR="008D0F75" w:rsidRPr="00B54094" w:rsidRDefault="00B54094">
      <w:pPr>
        <w:pBdr>
          <w:top w:val="nil"/>
          <w:left w:val="nil"/>
          <w:bottom w:val="nil"/>
          <w:right w:val="nil"/>
          <w:between w:val="nil"/>
        </w:pBd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 xml:space="preserve">CUARTO. ESTUDIO DEL ASUNTO. </w:t>
      </w:r>
      <w:r w:rsidRPr="00B54094">
        <w:rPr>
          <w:rFonts w:ascii="Palatino Linotype" w:eastAsia="Palatino Linotype" w:hAnsi="Palatino Linotype" w:cs="Palatino Linotype"/>
        </w:rPr>
        <w:t xml:space="preserve">Antes de entrar al análisis de los pronunciamientos del </w:t>
      </w:r>
      <w:r w:rsidRPr="00B54094">
        <w:rPr>
          <w:rFonts w:ascii="Palatino Linotype" w:eastAsia="Palatino Linotype" w:hAnsi="Palatino Linotype" w:cs="Palatino Linotype"/>
          <w:b/>
        </w:rPr>
        <w:t>SUJETO OBLIGADO</w:t>
      </w:r>
      <w:r w:rsidRPr="00B54094">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1C9316A"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rPr>
      </w:pPr>
    </w:p>
    <w:p w14:paraId="5E797A0F"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B54094">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54C8762" w14:textId="77777777" w:rsidR="008D0F75" w:rsidRPr="00B54094" w:rsidRDefault="008D0F75"/>
    <w:p w14:paraId="13F2B70F"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B54094">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165890C" w14:textId="77777777" w:rsidR="008D0F75" w:rsidRPr="00B54094" w:rsidRDefault="008D0F75"/>
    <w:p w14:paraId="0F477FF5"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rPr>
      </w:pPr>
      <w:r w:rsidRPr="00B54094">
        <w:rPr>
          <w:rFonts w:ascii="Palatino Linotype" w:eastAsia="Palatino Linotype" w:hAnsi="Palatino Linotype" w:cs="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B54094">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5049160"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w:t>
      </w:r>
    </w:p>
    <w:p w14:paraId="5B49F2A1" w14:textId="77777777" w:rsidR="008D0F75" w:rsidRPr="00B54094" w:rsidRDefault="008D0F75"/>
    <w:p w14:paraId="3EEDF3C3"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rPr>
      </w:pPr>
      <w:r w:rsidRPr="00B54094">
        <w:rPr>
          <w:rFonts w:ascii="Palatino Linotype" w:eastAsia="Palatino Linotype" w:hAnsi="Palatino Linotype" w:cs="Palatino Linotype"/>
          <w:b/>
          <w:i/>
          <w:sz w:val="22"/>
          <w:szCs w:val="22"/>
        </w:rPr>
        <w:t>Artículo 6o.</w:t>
      </w:r>
    </w:p>
    <w:p w14:paraId="49AD618C"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rPr>
      </w:pPr>
      <w:r w:rsidRPr="00B54094">
        <w:rPr>
          <w:rFonts w:ascii="Palatino Linotype" w:eastAsia="Palatino Linotype" w:hAnsi="Palatino Linotype" w:cs="Palatino Linotype"/>
          <w:i/>
          <w:sz w:val="22"/>
          <w:szCs w:val="22"/>
        </w:rPr>
        <w:t>[...]</w:t>
      </w:r>
    </w:p>
    <w:p w14:paraId="1B840C4E"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b/>
          <w:i/>
          <w:sz w:val="22"/>
          <w:szCs w:val="22"/>
        </w:rPr>
        <w:t xml:space="preserve">A. Para el ejercicio del derecho de acceso a la información, la Federación y </w:t>
      </w:r>
      <w:r w:rsidRPr="00B54094">
        <w:rPr>
          <w:rFonts w:ascii="Palatino Linotype" w:eastAsia="Palatino Linotype" w:hAnsi="Palatino Linotype" w:cs="Palatino Linotype"/>
          <w:b/>
          <w:i/>
          <w:sz w:val="22"/>
          <w:szCs w:val="22"/>
          <w:u w:val="single"/>
        </w:rPr>
        <w:t>las entidades federativas</w:t>
      </w:r>
      <w:r w:rsidRPr="00B54094">
        <w:rPr>
          <w:rFonts w:ascii="Palatino Linotype" w:eastAsia="Palatino Linotype" w:hAnsi="Palatino Linotype" w:cs="Palatino Linotype"/>
          <w:b/>
          <w:i/>
          <w:sz w:val="22"/>
          <w:szCs w:val="22"/>
        </w:rPr>
        <w:t>,</w:t>
      </w:r>
      <w:r w:rsidRPr="00B54094">
        <w:rPr>
          <w:rFonts w:ascii="Palatino Linotype" w:eastAsia="Palatino Linotype" w:hAnsi="Palatino Linotype" w:cs="Palatino Linotype"/>
          <w:i/>
          <w:sz w:val="22"/>
          <w:szCs w:val="22"/>
        </w:rPr>
        <w:t xml:space="preserve"> en el ámbito de sus respectivas competencias, se regirán por los siguientes principios y bases:</w:t>
      </w:r>
    </w:p>
    <w:p w14:paraId="33D8DB03" w14:textId="77777777" w:rsidR="008D0F75" w:rsidRPr="00B54094" w:rsidRDefault="008D0F75"/>
    <w:p w14:paraId="2156D14B"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 </w:t>
      </w:r>
      <w:r w:rsidRPr="00B54094">
        <w:rPr>
          <w:rFonts w:ascii="Palatino Linotype" w:eastAsia="Palatino Linotype" w:hAnsi="Palatino Linotype" w:cs="Palatino Linotype"/>
          <w:b/>
          <w:i/>
          <w:sz w:val="22"/>
          <w:szCs w:val="22"/>
        </w:rPr>
        <w:t xml:space="preserve">I. </w:t>
      </w:r>
      <w:r w:rsidRPr="00B54094">
        <w:rPr>
          <w:rFonts w:ascii="Palatino Linotype" w:eastAsia="Palatino Linotype" w:hAnsi="Palatino Linotype" w:cs="Palatino Linotype"/>
          <w:b/>
          <w:i/>
          <w:sz w:val="22"/>
          <w:szCs w:val="22"/>
          <w:u w:val="single"/>
        </w:rPr>
        <w:t>Toda la información en posesión de cualquier autoridad, entidad, órgano y organismo de los Poderes</w:t>
      </w:r>
      <w:r w:rsidRPr="00B54094">
        <w:rPr>
          <w:rFonts w:ascii="Palatino Linotype" w:eastAsia="Palatino Linotype" w:hAnsi="Palatino Linotype" w:cs="Palatino Linotype"/>
          <w:i/>
          <w:sz w:val="22"/>
          <w:szCs w:val="22"/>
        </w:rPr>
        <w:t xml:space="preserve"> Ejecutivo, Legislativo </w:t>
      </w:r>
      <w:r w:rsidRPr="00B54094">
        <w:rPr>
          <w:rFonts w:ascii="Palatino Linotype" w:eastAsia="Palatino Linotype" w:hAnsi="Palatino Linotype" w:cs="Palatino Linotype"/>
          <w:b/>
          <w:i/>
          <w:sz w:val="22"/>
          <w:szCs w:val="22"/>
          <w:u w:val="single"/>
        </w:rPr>
        <w:t>y Judicial</w:t>
      </w:r>
      <w:r w:rsidRPr="00B54094">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54094">
        <w:rPr>
          <w:rFonts w:ascii="Palatino Linotype" w:eastAsia="Palatino Linotype" w:hAnsi="Palatino Linotype" w:cs="Palatino Linotype"/>
          <w:b/>
          <w:i/>
          <w:sz w:val="22"/>
          <w:szCs w:val="22"/>
        </w:rPr>
        <w:t>es pública y sólo podrá ser reservada temporalmente por razones de interés público y seguridad nacional,</w:t>
      </w:r>
      <w:r w:rsidRPr="00B54094">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AA7DD80" w14:textId="77777777" w:rsidR="008D0F75" w:rsidRPr="00B54094" w:rsidRDefault="008D0F75"/>
    <w:p w14:paraId="34E93445"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B54094">
        <w:rPr>
          <w:rFonts w:ascii="Palatino Linotype" w:eastAsia="Palatino Linotype" w:hAnsi="Palatino Linotype" w:cs="Palatino Linotype"/>
          <w:i/>
          <w:sz w:val="22"/>
          <w:szCs w:val="22"/>
        </w:rPr>
        <w:t> </w:t>
      </w:r>
      <w:r w:rsidRPr="00B54094">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186FA74" w14:textId="77777777" w:rsidR="008D0F75" w:rsidRPr="00B54094" w:rsidRDefault="008D0F75"/>
    <w:p w14:paraId="6243279A"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 </w:t>
      </w:r>
      <w:r w:rsidRPr="00B54094">
        <w:rPr>
          <w:rFonts w:ascii="Palatino Linotype" w:eastAsia="Palatino Linotype" w:hAnsi="Palatino Linotype" w:cs="Palatino Linotype"/>
          <w:b/>
          <w:i/>
          <w:sz w:val="22"/>
          <w:szCs w:val="22"/>
        </w:rPr>
        <w:t xml:space="preserve">III. </w:t>
      </w:r>
      <w:r w:rsidRPr="00B54094">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B54094">
        <w:rPr>
          <w:rFonts w:ascii="Palatino Linotype" w:eastAsia="Palatino Linotype" w:hAnsi="Palatino Linotype" w:cs="Palatino Linotype"/>
          <w:i/>
          <w:sz w:val="22"/>
          <w:szCs w:val="22"/>
        </w:rPr>
        <w:t xml:space="preserve"> a sus datos personales o a la rectificación de éstos.</w:t>
      </w:r>
    </w:p>
    <w:p w14:paraId="45533BB3" w14:textId="77777777" w:rsidR="008D0F75" w:rsidRPr="00B54094" w:rsidRDefault="008D0F75"/>
    <w:p w14:paraId="25262C6D"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 </w:t>
      </w:r>
      <w:r w:rsidRPr="00B54094">
        <w:rPr>
          <w:rFonts w:ascii="Palatino Linotype" w:eastAsia="Palatino Linotype" w:hAnsi="Palatino Linotype" w:cs="Palatino Linotype"/>
          <w:b/>
          <w:i/>
          <w:sz w:val="22"/>
          <w:szCs w:val="22"/>
        </w:rPr>
        <w:t xml:space="preserve">IV. </w:t>
      </w:r>
      <w:r w:rsidRPr="00B54094">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48328BD" w14:textId="77777777" w:rsidR="008D0F75" w:rsidRPr="00B54094" w:rsidRDefault="008D0F75"/>
    <w:p w14:paraId="76BEBE03"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b/>
          <w:i/>
          <w:sz w:val="22"/>
          <w:szCs w:val="22"/>
        </w:rPr>
        <w:t xml:space="preserve">V. </w:t>
      </w:r>
      <w:r w:rsidRPr="00B54094">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w:t>
      </w:r>
      <w:r w:rsidRPr="00B54094">
        <w:rPr>
          <w:rFonts w:ascii="Palatino Linotype" w:eastAsia="Palatino Linotype" w:hAnsi="Palatino Linotype" w:cs="Palatino Linotype"/>
          <w:i/>
          <w:sz w:val="22"/>
          <w:szCs w:val="22"/>
        </w:rPr>
        <w:lastRenderedPageBreak/>
        <w:t>disponibles, la información completa y actualizada sobre el ejercicio de los recursos públicos y los indicadores que permitan rendir cuenta del cumplimiento de sus objetivos y de los resultados obtenidos.</w:t>
      </w:r>
    </w:p>
    <w:p w14:paraId="0E8C73C0" w14:textId="77777777" w:rsidR="008D0F75" w:rsidRPr="00B54094" w:rsidRDefault="008D0F75"/>
    <w:p w14:paraId="3D414D90"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 </w:t>
      </w:r>
      <w:r w:rsidRPr="00B54094">
        <w:rPr>
          <w:rFonts w:ascii="Palatino Linotype" w:eastAsia="Palatino Linotype" w:hAnsi="Palatino Linotype" w:cs="Palatino Linotype"/>
          <w:b/>
          <w:i/>
          <w:sz w:val="22"/>
          <w:szCs w:val="22"/>
        </w:rPr>
        <w:t xml:space="preserve">VI. </w:t>
      </w:r>
      <w:r w:rsidRPr="00B54094">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D496BBA" w14:textId="77777777" w:rsidR="008D0F75" w:rsidRPr="00B54094" w:rsidRDefault="008D0F75"/>
    <w:p w14:paraId="54B66CF3"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 </w:t>
      </w:r>
      <w:r w:rsidRPr="00B54094">
        <w:rPr>
          <w:rFonts w:ascii="Palatino Linotype" w:eastAsia="Palatino Linotype" w:hAnsi="Palatino Linotype" w:cs="Palatino Linotype"/>
          <w:b/>
          <w:i/>
          <w:sz w:val="22"/>
          <w:szCs w:val="22"/>
        </w:rPr>
        <w:t xml:space="preserve">VII. </w:t>
      </w:r>
      <w:r w:rsidRPr="00B54094">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14:paraId="757E90D3"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w:t>
      </w:r>
    </w:p>
    <w:p w14:paraId="1386D3BC" w14:textId="77777777" w:rsidR="008D0F75" w:rsidRPr="00B54094" w:rsidRDefault="008D0F75"/>
    <w:p w14:paraId="3675881F" w14:textId="77777777" w:rsidR="008D0F75" w:rsidRPr="00B54094" w:rsidRDefault="00B54094">
      <w:pPr>
        <w:pBdr>
          <w:top w:val="nil"/>
          <w:left w:val="nil"/>
          <w:bottom w:val="nil"/>
          <w:right w:val="nil"/>
          <w:between w:val="nil"/>
        </w:pBd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5F3E946"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b/>
          <w:i/>
          <w:sz w:val="22"/>
          <w:szCs w:val="22"/>
        </w:rPr>
        <w:t>Artículo 4</w:t>
      </w:r>
      <w:r w:rsidRPr="00B54094">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0948FE5F" w14:textId="77777777" w:rsidR="008D0F75" w:rsidRPr="00B54094" w:rsidRDefault="008D0F75"/>
    <w:p w14:paraId="5053311E"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B54094">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B54094">
        <w:rPr>
          <w:rFonts w:ascii="Palatino Linotype" w:eastAsia="Palatino Linotype" w:hAnsi="Palatino Linotype" w:cs="Palatino Linotype"/>
          <w:b/>
          <w:i/>
          <w:sz w:val="22"/>
          <w:szCs w:val="22"/>
        </w:rPr>
        <w:lastRenderedPageBreak/>
        <w:t>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29024FE" w14:textId="77777777" w:rsidR="008D0F75" w:rsidRPr="00B54094" w:rsidRDefault="008D0F75"/>
    <w:p w14:paraId="0EE7D6A1"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6F21945C" w14:textId="77777777" w:rsidR="008D0F75" w:rsidRPr="00B54094" w:rsidRDefault="008D0F75">
      <w:pPr>
        <w:pBdr>
          <w:top w:val="nil"/>
          <w:left w:val="nil"/>
          <w:bottom w:val="nil"/>
          <w:right w:val="nil"/>
          <w:between w:val="nil"/>
        </w:pBdr>
        <w:spacing w:line="360" w:lineRule="auto"/>
        <w:jc w:val="both"/>
        <w:rPr>
          <w:rFonts w:ascii="Palatino Linotype" w:eastAsia="Palatino Linotype" w:hAnsi="Palatino Linotype" w:cs="Palatino Linotype"/>
        </w:rPr>
      </w:pPr>
    </w:p>
    <w:p w14:paraId="76457E43" w14:textId="77777777" w:rsidR="008D0F75" w:rsidRPr="00B54094" w:rsidRDefault="00B54094">
      <w:pPr>
        <w:pBdr>
          <w:top w:val="nil"/>
          <w:left w:val="nil"/>
          <w:bottom w:val="nil"/>
          <w:right w:val="nil"/>
          <w:between w:val="nil"/>
        </w:pBd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309BF75" w14:textId="77777777" w:rsidR="008D0F75" w:rsidRPr="00B54094" w:rsidRDefault="008D0F75">
      <w:pPr>
        <w:pBdr>
          <w:top w:val="nil"/>
          <w:left w:val="nil"/>
          <w:bottom w:val="nil"/>
          <w:right w:val="nil"/>
          <w:between w:val="nil"/>
        </w:pBdr>
        <w:ind w:left="864" w:right="864"/>
        <w:jc w:val="both"/>
        <w:rPr>
          <w:i/>
        </w:rPr>
      </w:pPr>
    </w:p>
    <w:p w14:paraId="0802D3BC"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b/>
          <w:i/>
          <w:sz w:val="22"/>
          <w:szCs w:val="22"/>
        </w:rPr>
        <w:t>Artículo 12</w:t>
      </w:r>
      <w:r w:rsidRPr="00B54094">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6F8179CF" w14:textId="77777777" w:rsidR="008D0F75" w:rsidRPr="00B54094" w:rsidRDefault="008D0F75">
      <w:pPr>
        <w:pBdr>
          <w:top w:val="nil"/>
          <w:left w:val="nil"/>
          <w:bottom w:val="nil"/>
          <w:right w:val="nil"/>
          <w:between w:val="nil"/>
        </w:pBdr>
        <w:ind w:left="864" w:right="864"/>
        <w:jc w:val="both"/>
        <w:rPr>
          <w:i/>
        </w:rPr>
      </w:pPr>
    </w:p>
    <w:p w14:paraId="552AE1F9"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92BFD53" w14:textId="77777777" w:rsidR="008D0F75" w:rsidRPr="00B54094" w:rsidRDefault="008D0F75">
      <w:pPr>
        <w:pBdr>
          <w:top w:val="nil"/>
          <w:left w:val="nil"/>
          <w:bottom w:val="nil"/>
          <w:right w:val="nil"/>
          <w:between w:val="nil"/>
        </w:pBdr>
        <w:ind w:left="864" w:right="864"/>
        <w:jc w:val="both"/>
        <w:rPr>
          <w:i/>
        </w:rPr>
      </w:pPr>
    </w:p>
    <w:p w14:paraId="57A23A42" w14:textId="77777777" w:rsidR="008D0F75" w:rsidRPr="00B54094" w:rsidRDefault="00B54094">
      <w:pPr>
        <w:pBdr>
          <w:top w:val="nil"/>
          <w:left w:val="nil"/>
          <w:bottom w:val="nil"/>
          <w:right w:val="nil"/>
          <w:between w:val="nil"/>
        </w:pBd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B54094">
        <w:rPr>
          <w:rFonts w:ascii="Palatino Linotype" w:eastAsia="Palatino Linotype" w:hAnsi="Palatino Linotype" w:cs="Palatino Linotype"/>
          <w:b/>
        </w:rPr>
        <w:t xml:space="preserve"> </w:t>
      </w:r>
      <w:r w:rsidRPr="00B54094">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B54094">
        <w:rPr>
          <w:rFonts w:ascii="Palatino Linotype" w:eastAsia="Palatino Linotype" w:hAnsi="Palatino Linotype" w:cs="Palatino Linotype"/>
          <w:i/>
        </w:rPr>
        <w:t>ad hoc</w:t>
      </w:r>
      <w:r w:rsidRPr="00B54094">
        <w:rPr>
          <w:rFonts w:ascii="Palatino Linotype" w:eastAsia="Palatino Linotype" w:hAnsi="Palatino Linotype" w:cs="Palatino Linotype"/>
        </w:rPr>
        <w:t xml:space="preserve">, para satisfacer el derecho de acceso a la información pública, como así lo establece el criterio 03/17 emitido por el Instituto </w:t>
      </w:r>
      <w:r w:rsidRPr="00B54094">
        <w:rPr>
          <w:rFonts w:ascii="Palatino Linotype" w:eastAsia="Palatino Linotype" w:hAnsi="Palatino Linotype" w:cs="Palatino Linotype"/>
        </w:rPr>
        <w:lastRenderedPageBreak/>
        <w:t>Nacional de Transparencia, Acceso a la Información Pública y Protección de Datos Personales, el cual señala lo siguiente:</w:t>
      </w:r>
    </w:p>
    <w:p w14:paraId="05A1DF68" w14:textId="77777777" w:rsidR="008D0F75" w:rsidRPr="00B54094" w:rsidRDefault="008D0F75">
      <w:pPr>
        <w:pBdr>
          <w:top w:val="nil"/>
          <w:left w:val="nil"/>
          <w:bottom w:val="nil"/>
          <w:right w:val="nil"/>
          <w:between w:val="nil"/>
        </w:pBdr>
        <w:spacing w:line="360" w:lineRule="auto"/>
        <w:jc w:val="both"/>
        <w:rPr>
          <w:rFonts w:ascii="Palatino Linotype" w:eastAsia="Palatino Linotype" w:hAnsi="Palatino Linotype" w:cs="Palatino Linotype"/>
        </w:rPr>
      </w:pPr>
    </w:p>
    <w:p w14:paraId="2E043BB3"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03/17</w:t>
      </w:r>
    </w:p>
    <w:p w14:paraId="73730E3A"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NO EXISTE OBLIGACIÓN DE ELABORAR DOCUMENTOS AD HOC PARA ATENDER LAS SOLICITUDES DE ACCESO A LA INFORMACIÓN.</w:t>
      </w:r>
    </w:p>
    <w:p w14:paraId="1FF5BCDC"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15B0C14"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CEB3209" w14:textId="77777777" w:rsidR="008D0F75" w:rsidRPr="00B54094" w:rsidRDefault="00B54094">
      <w:pPr>
        <w:pBdr>
          <w:top w:val="nil"/>
          <w:left w:val="nil"/>
          <w:bottom w:val="nil"/>
          <w:right w:val="nil"/>
          <w:between w:val="nil"/>
        </w:pBd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5EB43C9" w14:textId="77777777" w:rsidR="008D0F75" w:rsidRPr="00B54094" w:rsidRDefault="008D0F75">
      <w:pPr>
        <w:pBdr>
          <w:top w:val="nil"/>
          <w:left w:val="nil"/>
          <w:bottom w:val="nil"/>
          <w:right w:val="nil"/>
          <w:between w:val="nil"/>
        </w:pBdr>
        <w:spacing w:line="360" w:lineRule="auto"/>
        <w:jc w:val="both"/>
      </w:pPr>
    </w:p>
    <w:p w14:paraId="1D94388F" w14:textId="77777777" w:rsidR="008D0F75" w:rsidRPr="00B54094" w:rsidRDefault="00B54094">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B54094">
        <w:rPr>
          <w:rFonts w:ascii="Palatino Linotype" w:eastAsia="Palatino Linotype" w:hAnsi="Palatino Linotype" w:cs="Palatino Linotype"/>
        </w:rPr>
        <w:lastRenderedPageBreak/>
        <w:t>Ley de Transparencia y Acceso a la Información Pública del Estado de México y Municipios.</w:t>
      </w:r>
    </w:p>
    <w:p w14:paraId="5A4A84D0" w14:textId="77777777" w:rsidR="008D0F75" w:rsidRPr="00B54094" w:rsidRDefault="008D0F75">
      <w:pPr>
        <w:pBdr>
          <w:top w:val="nil"/>
          <w:left w:val="nil"/>
          <w:bottom w:val="nil"/>
          <w:right w:val="nil"/>
          <w:between w:val="nil"/>
        </w:pBdr>
        <w:spacing w:line="360" w:lineRule="auto"/>
        <w:ind w:right="49"/>
        <w:jc w:val="both"/>
      </w:pPr>
    </w:p>
    <w:p w14:paraId="77D6089C" w14:textId="77777777" w:rsidR="008D0F75" w:rsidRPr="00B54094" w:rsidRDefault="00B54094">
      <w:pPr>
        <w:pBdr>
          <w:top w:val="nil"/>
          <w:left w:val="nil"/>
          <w:bottom w:val="nil"/>
          <w:right w:val="nil"/>
          <w:between w:val="nil"/>
        </w:pBd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9153BD6"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EA5619F"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Artículo 3. Para los efectos de la presente Ley se entenderá por:</w:t>
      </w:r>
    </w:p>
    <w:p w14:paraId="599F0BA5"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w:t>
      </w:r>
    </w:p>
    <w:p w14:paraId="458E8E96"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900DB93"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w:t>
      </w:r>
    </w:p>
    <w:p w14:paraId="00F44A08"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6C8CE27" w14:textId="77777777" w:rsidR="008D0F75" w:rsidRPr="00B54094" w:rsidRDefault="00B54094">
      <w:pPr>
        <w:pBdr>
          <w:top w:val="nil"/>
          <w:left w:val="nil"/>
          <w:bottom w:val="nil"/>
          <w:right w:val="nil"/>
          <w:between w:val="nil"/>
        </w:pBdr>
        <w:spacing w:line="360" w:lineRule="auto"/>
        <w:jc w:val="both"/>
      </w:pPr>
      <w:r w:rsidRPr="00B5409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0997F51"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BB620DE"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CRITERIO 0002-11</w:t>
      </w:r>
    </w:p>
    <w:p w14:paraId="0517A158"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6956563"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C5F7E8D"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686BD2A"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0A13DB37"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36CD701F" w14:textId="77777777" w:rsidR="008D0F75" w:rsidRPr="00B54094" w:rsidRDefault="008D0F75">
      <w:pPr>
        <w:pBdr>
          <w:top w:val="nil"/>
          <w:left w:val="nil"/>
          <w:bottom w:val="nil"/>
          <w:right w:val="nil"/>
          <w:between w:val="nil"/>
        </w:pBdr>
        <w:spacing w:line="360" w:lineRule="auto"/>
        <w:jc w:val="both"/>
        <w:rPr>
          <w:rFonts w:ascii="Palatino Linotype" w:eastAsia="Palatino Linotype" w:hAnsi="Palatino Linotype" w:cs="Palatino Linotype"/>
        </w:rPr>
      </w:pPr>
    </w:p>
    <w:p w14:paraId="0253365F" w14:textId="77777777" w:rsidR="008D0F75" w:rsidRPr="00B54094" w:rsidRDefault="00B54094">
      <w:pPr>
        <w:pBdr>
          <w:top w:val="nil"/>
          <w:left w:val="nil"/>
          <w:bottom w:val="nil"/>
          <w:right w:val="nil"/>
          <w:between w:val="nil"/>
        </w:pBd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De ahí que </w:t>
      </w:r>
      <w:r w:rsidRPr="00B54094">
        <w:rPr>
          <w:rFonts w:ascii="Palatino Linotype" w:eastAsia="Palatino Linotype" w:hAnsi="Palatino Linotype" w:cs="Palatino Linotype"/>
          <w:b/>
        </w:rPr>
        <w:t>EL SUJETO OBLIGADO</w:t>
      </w:r>
      <w:r w:rsidRPr="00B54094">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4D599D92" w14:textId="77777777" w:rsidR="008D0F75" w:rsidRPr="00B54094" w:rsidRDefault="008D0F75">
      <w:pPr>
        <w:pBdr>
          <w:top w:val="nil"/>
          <w:left w:val="nil"/>
          <w:bottom w:val="nil"/>
          <w:right w:val="nil"/>
          <w:between w:val="nil"/>
        </w:pBdr>
        <w:spacing w:line="360" w:lineRule="auto"/>
        <w:jc w:val="both"/>
        <w:rPr>
          <w:rFonts w:ascii="Palatino Linotype" w:eastAsia="Palatino Linotype" w:hAnsi="Palatino Linotype" w:cs="Palatino Linotype"/>
        </w:rPr>
      </w:pPr>
    </w:p>
    <w:p w14:paraId="01FED9B0" w14:textId="77777777" w:rsidR="008D0F75" w:rsidRPr="00B54094" w:rsidRDefault="00B54094">
      <w:pPr>
        <w:pBdr>
          <w:top w:val="nil"/>
          <w:left w:val="nil"/>
          <w:bottom w:val="nil"/>
          <w:right w:val="nil"/>
          <w:between w:val="nil"/>
        </w:pBd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Apuntado lo anterior y del análisis de la solicitud de información </w:t>
      </w:r>
      <w:r w:rsidRPr="00B54094">
        <w:rPr>
          <w:rFonts w:ascii="Palatino Linotype" w:eastAsia="Palatino Linotype" w:hAnsi="Palatino Linotype" w:cs="Palatino Linotype"/>
          <w:b/>
        </w:rPr>
        <w:t>00845/ECATEPEC/IP/2022</w:t>
      </w:r>
      <w:r w:rsidRPr="00B54094">
        <w:rPr>
          <w:rFonts w:ascii="Palatino Linotype" w:eastAsia="Palatino Linotype" w:hAnsi="Palatino Linotype" w:cs="Palatino Linotype"/>
        </w:rPr>
        <w:t xml:space="preserve">, motivo del recurso de revisión que ahora se resuelve, se </w:t>
      </w:r>
      <w:r w:rsidRPr="00B54094">
        <w:rPr>
          <w:rFonts w:ascii="Palatino Linotype" w:eastAsia="Palatino Linotype" w:hAnsi="Palatino Linotype" w:cs="Palatino Linotype"/>
        </w:rPr>
        <w:lastRenderedPageBreak/>
        <w:t xml:space="preserve">advierte que </w:t>
      </w:r>
      <w:r w:rsidRPr="00B54094">
        <w:rPr>
          <w:rFonts w:ascii="Palatino Linotype" w:eastAsia="Palatino Linotype" w:hAnsi="Palatino Linotype" w:cs="Palatino Linotype"/>
          <w:b/>
        </w:rPr>
        <w:t>LA PARTE RECURRENTE</w:t>
      </w:r>
      <w:r w:rsidRPr="00B54094">
        <w:rPr>
          <w:rFonts w:ascii="Palatino Linotype" w:eastAsia="Palatino Linotype" w:hAnsi="Palatino Linotype" w:cs="Palatino Linotype"/>
        </w:rPr>
        <w:t xml:space="preserve"> requirió al </w:t>
      </w:r>
      <w:r w:rsidRPr="00B54094">
        <w:rPr>
          <w:rFonts w:ascii="Palatino Linotype" w:eastAsia="Palatino Linotype" w:hAnsi="Palatino Linotype" w:cs="Palatino Linotype"/>
          <w:b/>
        </w:rPr>
        <w:t>SUJETO OBLIGADO</w:t>
      </w:r>
      <w:r w:rsidRPr="00B54094">
        <w:rPr>
          <w:rFonts w:ascii="Palatino Linotype" w:eastAsia="Palatino Linotype" w:hAnsi="Palatino Linotype" w:cs="Palatino Linotype"/>
        </w:rPr>
        <w:t xml:space="preserve"> le proporcionara información consistente en lo siguiente:</w:t>
      </w:r>
    </w:p>
    <w:p w14:paraId="28F1F1C8" w14:textId="77777777" w:rsidR="008D0F75" w:rsidRPr="00B54094" w:rsidRDefault="008D0F75">
      <w:pPr>
        <w:pBdr>
          <w:top w:val="nil"/>
          <w:left w:val="nil"/>
          <w:bottom w:val="nil"/>
          <w:right w:val="nil"/>
          <w:between w:val="nil"/>
        </w:pBdr>
        <w:spacing w:line="360" w:lineRule="auto"/>
        <w:jc w:val="both"/>
        <w:rPr>
          <w:rFonts w:ascii="Palatino Linotype" w:eastAsia="Palatino Linotype" w:hAnsi="Palatino Linotype" w:cs="Palatino Linotype"/>
        </w:rPr>
      </w:pPr>
    </w:p>
    <w:p w14:paraId="64D54C04" w14:textId="77777777" w:rsidR="008D0F75" w:rsidRPr="00B54094" w:rsidRDefault="00B5409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Gasto realizado por cada Regiduría y Sindicatura del Ayuntamiento de Ecatepec de Morelos, con un desglose específico de cada erogación.</w:t>
      </w:r>
    </w:p>
    <w:p w14:paraId="65D2156F" w14:textId="77777777" w:rsidR="008D0F75" w:rsidRPr="00B54094" w:rsidRDefault="008D0F75">
      <w:pPr>
        <w:pBdr>
          <w:top w:val="nil"/>
          <w:left w:val="nil"/>
          <w:bottom w:val="nil"/>
          <w:right w:val="nil"/>
          <w:between w:val="nil"/>
        </w:pBdr>
        <w:spacing w:line="360" w:lineRule="auto"/>
        <w:jc w:val="both"/>
        <w:rPr>
          <w:rFonts w:ascii="Palatino Linotype" w:eastAsia="Palatino Linotype" w:hAnsi="Palatino Linotype" w:cs="Palatino Linotype"/>
        </w:rPr>
      </w:pPr>
    </w:p>
    <w:p w14:paraId="478D3750" w14:textId="77777777" w:rsidR="008D0F75" w:rsidRPr="00B54094" w:rsidRDefault="00B54094">
      <w:pPr>
        <w:pBdr>
          <w:top w:val="nil"/>
          <w:left w:val="nil"/>
          <w:bottom w:val="nil"/>
          <w:right w:val="nil"/>
          <w:between w:val="nil"/>
        </w:pBd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 xml:space="preserve">EL SUJETO OBLIGADO </w:t>
      </w:r>
      <w:r w:rsidRPr="00B54094">
        <w:rPr>
          <w:rFonts w:ascii="Palatino Linotype" w:eastAsia="Palatino Linotype" w:hAnsi="Palatino Linotype" w:cs="Palatino Linotype"/>
        </w:rPr>
        <w:t xml:space="preserve">no respondió a la solicitud de información; no obstante, en ejercicio de su derecho, a través del informe justificado remitió la respuesta de la Tesorería Municipal, en la que se advierte el área, prepuesto anual y el presupuesto ejercido a septiembre de dos mil veintidós, y que para mayor referencia se inserta en el presente. </w:t>
      </w:r>
    </w:p>
    <w:p w14:paraId="0F8FD8CC" w14:textId="77777777" w:rsidR="008D0F75" w:rsidRPr="00B54094" w:rsidRDefault="008D0F75">
      <w:pPr>
        <w:pBdr>
          <w:top w:val="nil"/>
          <w:left w:val="nil"/>
          <w:bottom w:val="nil"/>
          <w:right w:val="nil"/>
          <w:between w:val="nil"/>
        </w:pBdr>
        <w:spacing w:line="360" w:lineRule="auto"/>
        <w:jc w:val="both"/>
        <w:rPr>
          <w:rFonts w:ascii="Palatino Linotype" w:eastAsia="Palatino Linotype" w:hAnsi="Palatino Linotype" w:cs="Palatino Linotype"/>
        </w:rPr>
      </w:pPr>
    </w:p>
    <w:p w14:paraId="1C7CD0B2" w14:textId="77777777" w:rsidR="008D0F75" w:rsidRPr="00B54094" w:rsidRDefault="00B54094">
      <w:pPr>
        <w:pBdr>
          <w:top w:val="nil"/>
          <w:left w:val="nil"/>
          <w:bottom w:val="nil"/>
          <w:right w:val="nil"/>
          <w:between w:val="nil"/>
        </w:pBdr>
        <w:spacing w:line="360" w:lineRule="auto"/>
        <w:jc w:val="center"/>
        <w:rPr>
          <w:rFonts w:ascii="Palatino Linotype" w:eastAsia="Palatino Linotype" w:hAnsi="Palatino Linotype" w:cs="Palatino Linotype"/>
        </w:rPr>
      </w:pPr>
      <w:r w:rsidRPr="00B54094">
        <w:rPr>
          <w:rFonts w:ascii="Palatino Linotype" w:eastAsia="Palatino Linotype" w:hAnsi="Palatino Linotype" w:cs="Palatino Linotype"/>
          <w:noProof/>
        </w:rPr>
        <w:drawing>
          <wp:inline distT="0" distB="0" distL="0" distR="0" wp14:anchorId="1B301ECF" wp14:editId="201A9E01">
            <wp:extent cx="3543514" cy="1560909"/>
            <wp:effectExtent l="0" t="0" r="0" b="0"/>
            <wp:docPr id="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543514" cy="1560909"/>
                    </a:xfrm>
                    <a:prstGeom prst="rect">
                      <a:avLst/>
                    </a:prstGeom>
                    <a:ln/>
                  </pic:spPr>
                </pic:pic>
              </a:graphicData>
            </a:graphic>
          </wp:inline>
        </w:drawing>
      </w:r>
    </w:p>
    <w:p w14:paraId="7B5EF42F" w14:textId="77777777" w:rsidR="008D0F75" w:rsidRPr="00B54094" w:rsidRDefault="008D0F75">
      <w:pPr>
        <w:pBdr>
          <w:top w:val="nil"/>
          <w:left w:val="nil"/>
          <w:bottom w:val="nil"/>
          <w:right w:val="nil"/>
          <w:between w:val="nil"/>
        </w:pBdr>
        <w:spacing w:line="360" w:lineRule="auto"/>
        <w:jc w:val="both"/>
        <w:rPr>
          <w:rFonts w:ascii="Palatino Linotype" w:eastAsia="Palatino Linotype" w:hAnsi="Palatino Linotype" w:cs="Palatino Linotype"/>
        </w:rPr>
      </w:pPr>
    </w:p>
    <w:p w14:paraId="04CA9FC5" w14:textId="77777777" w:rsidR="008D0F75" w:rsidRPr="00B54094" w:rsidRDefault="00B54094">
      <w:pPr>
        <w:pBdr>
          <w:top w:val="nil"/>
          <w:left w:val="nil"/>
          <w:bottom w:val="nil"/>
          <w:right w:val="nil"/>
          <w:between w:val="nil"/>
        </w:pBd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Asimismo, es importante referir que la Tesorera Municipal refirió que los gastos descritos en la tabla que antecede comprende únicamente el capítulo 1000. </w:t>
      </w:r>
    </w:p>
    <w:p w14:paraId="6C60033C" w14:textId="77777777" w:rsidR="008D0F75" w:rsidRPr="00B54094" w:rsidRDefault="008D0F75">
      <w:pPr>
        <w:pBdr>
          <w:top w:val="nil"/>
          <w:left w:val="nil"/>
          <w:bottom w:val="nil"/>
          <w:right w:val="nil"/>
          <w:between w:val="nil"/>
        </w:pBdr>
        <w:spacing w:line="360" w:lineRule="auto"/>
        <w:jc w:val="both"/>
        <w:rPr>
          <w:rFonts w:ascii="Palatino Linotype" w:eastAsia="Palatino Linotype" w:hAnsi="Palatino Linotype" w:cs="Palatino Linotype"/>
        </w:rPr>
      </w:pPr>
    </w:p>
    <w:p w14:paraId="3A68F741" w14:textId="77777777" w:rsidR="008D0F75" w:rsidRPr="00B54094" w:rsidRDefault="00B54094">
      <w:pPr>
        <w:spacing w:line="360" w:lineRule="auto"/>
        <w:ind w:right="-93"/>
        <w:jc w:val="both"/>
        <w:rPr>
          <w:rFonts w:ascii="Palatino Linotype" w:eastAsia="Palatino Linotype" w:hAnsi="Palatino Linotype" w:cs="Palatino Linotype"/>
        </w:rPr>
      </w:pPr>
      <w:r w:rsidRPr="00B54094">
        <w:rPr>
          <w:rFonts w:ascii="Palatino Linotype" w:eastAsia="Palatino Linotype" w:hAnsi="Palatino Linotype" w:cs="Palatino Linotype"/>
        </w:rPr>
        <w:lastRenderedPageBreak/>
        <w:t xml:space="preserve">Acotado lo anterior, se procede al análisis de la información remitida por la Servidora Pública Habilitada de la Tesorería Municipal a fin de determinar si la misma colma del Derecho Humano al Acceso a la Información de </w:t>
      </w:r>
      <w:r w:rsidRPr="00B54094">
        <w:rPr>
          <w:rFonts w:ascii="Palatino Linotype" w:eastAsia="Palatino Linotype" w:hAnsi="Palatino Linotype" w:cs="Palatino Linotype"/>
          <w:b/>
        </w:rPr>
        <w:t xml:space="preserve">LA PARTE RECURRENTE. </w:t>
      </w:r>
    </w:p>
    <w:p w14:paraId="67E24629" w14:textId="77777777" w:rsidR="008D0F75" w:rsidRPr="00B54094" w:rsidRDefault="00B54094">
      <w:pPr>
        <w:spacing w:line="360" w:lineRule="auto"/>
        <w:ind w:right="-93"/>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En primer término, cabe destacar que, en la primera columna de la tabla contenida en el oficio de respuesta, se advierte la denominación del área, observándose únicamente de la Sindicatura 01 a la Sindicatura 12, sin advertirse las regidurías; por lo que si bien contiene el presupuesto anual asignado y el presupuesto ejercido a septiembre de dos mil veintidós, también lo es que no atiende el requerimiento formulado por </w:t>
      </w:r>
      <w:r w:rsidRPr="00B54094">
        <w:rPr>
          <w:rFonts w:ascii="Palatino Linotype" w:eastAsia="Palatino Linotype" w:hAnsi="Palatino Linotype" w:cs="Palatino Linotype"/>
          <w:b/>
        </w:rPr>
        <w:t>LA PARTE RECURRENTE</w:t>
      </w:r>
      <w:r w:rsidRPr="00B54094">
        <w:rPr>
          <w:rFonts w:ascii="Palatino Linotype" w:eastAsia="Palatino Linotype" w:hAnsi="Palatino Linotype" w:cs="Palatino Linotype"/>
        </w:rPr>
        <w:t xml:space="preserve"> ya que no permite identificar a que área se asignó el recurso. </w:t>
      </w:r>
    </w:p>
    <w:p w14:paraId="6EAA9305" w14:textId="77777777" w:rsidR="008D0F75" w:rsidRPr="00B54094" w:rsidRDefault="008D0F75">
      <w:pPr>
        <w:spacing w:line="360" w:lineRule="auto"/>
        <w:ind w:right="-93"/>
        <w:jc w:val="both"/>
        <w:rPr>
          <w:rFonts w:ascii="Palatino Linotype" w:eastAsia="Palatino Linotype" w:hAnsi="Palatino Linotype" w:cs="Palatino Linotype"/>
        </w:rPr>
      </w:pPr>
    </w:p>
    <w:p w14:paraId="20D717E3" w14:textId="77777777" w:rsidR="008D0F75" w:rsidRPr="00B54094" w:rsidRDefault="00B54094">
      <w:pPr>
        <w:spacing w:line="360" w:lineRule="auto"/>
        <w:ind w:right="-93"/>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 En este sentido, con el objeto de determinar el número de sindicaturas y regidurías que integran el Ayuntamiento de Ecatepec de Morelos, es oportuno citar los dispuesto por el artículo 28 del </w:t>
      </w:r>
      <w:r w:rsidRPr="00B54094">
        <w:rPr>
          <w:rFonts w:ascii="Palatino Linotype" w:eastAsia="Palatino Linotype" w:hAnsi="Palatino Linotype" w:cs="Palatino Linotype"/>
          <w:b/>
        </w:rPr>
        <w:t>Bando Municipal de Ecatepec de Morelos, Estado de México 2022,</w:t>
      </w:r>
      <w:r w:rsidRPr="00B54094">
        <w:rPr>
          <w:rFonts w:ascii="Palatino Linotype" w:eastAsia="Palatino Linotype" w:hAnsi="Palatino Linotype" w:cs="Palatino Linotype"/>
        </w:rPr>
        <w:t xml:space="preserve"> señala lo siguiente: </w:t>
      </w:r>
    </w:p>
    <w:p w14:paraId="76BC16AF"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8BF32C2" w14:textId="77777777" w:rsidR="008D0F75" w:rsidRPr="00B54094" w:rsidRDefault="00B54094">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TÍTULO SÉPTIMO De la Organización y Funcionamiento del Gobierno Municipal</w:t>
      </w:r>
    </w:p>
    <w:p w14:paraId="4A0B07A1" w14:textId="77777777" w:rsidR="008D0F75" w:rsidRPr="00B54094" w:rsidRDefault="00B54094">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 xml:space="preserve">CAPÍTULO I Del H. Ayuntamiento </w:t>
      </w:r>
    </w:p>
    <w:p w14:paraId="24308C73" w14:textId="77777777" w:rsidR="008D0F75" w:rsidRPr="00B54094" w:rsidRDefault="00B54094">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 xml:space="preserve">Artículo 28. El Gobierno y la Administración del Municipio de Ecatepec de Morelos están depositados en un cuerpo colegiado y deliberante que se denomina H. Ayuntamiento, actualmente integrado por un presidente, </w:t>
      </w:r>
      <w:r w:rsidRPr="00B54094">
        <w:rPr>
          <w:rFonts w:ascii="Palatino Linotype" w:eastAsia="Palatino Linotype" w:hAnsi="Palatino Linotype" w:cs="Palatino Linotype"/>
          <w:b/>
          <w:i/>
          <w:sz w:val="22"/>
          <w:szCs w:val="22"/>
          <w:u w:val="single"/>
        </w:rPr>
        <w:t>un síndico y siete regidores, electos por planilla según el principio de mayoría relativa;</w:t>
      </w:r>
      <w:r w:rsidRPr="00B54094">
        <w:rPr>
          <w:rFonts w:ascii="Palatino Linotype" w:eastAsia="Palatino Linotype" w:hAnsi="Palatino Linotype" w:cs="Palatino Linotype"/>
          <w:i/>
          <w:sz w:val="22"/>
          <w:szCs w:val="22"/>
        </w:rPr>
        <w:t xml:space="preserve"> asimismo, de </w:t>
      </w:r>
      <w:r w:rsidRPr="00B54094">
        <w:rPr>
          <w:rFonts w:ascii="Palatino Linotype" w:eastAsia="Palatino Linotype" w:hAnsi="Palatino Linotype" w:cs="Palatino Linotype"/>
          <w:b/>
          <w:i/>
          <w:sz w:val="22"/>
          <w:szCs w:val="22"/>
          <w:u w:val="single"/>
        </w:rPr>
        <w:t>un síndico y cinco regidores designados según el principio de representación proporcional,</w:t>
      </w:r>
      <w:r w:rsidRPr="00B54094">
        <w:rPr>
          <w:rFonts w:ascii="Palatino Linotype" w:eastAsia="Palatino Linotype" w:hAnsi="Palatino Linotype" w:cs="Palatino Linotype"/>
          <w:i/>
          <w:sz w:val="22"/>
          <w:szCs w:val="22"/>
        </w:rPr>
        <w:t xml:space="preserve"> quienes cuentan con las facultades y obligaciones que les otorgan la Constitución Política de los Estados Unidos Mexicanos, la particular del Estado, la Ley Orgánica Municipal del Estado de México y demás disposiciones legales vigentes aplicables. </w:t>
      </w:r>
      <w:r w:rsidRPr="00B54094">
        <w:rPr>
          <w:rFonts w:ascii="Palatino Linotype" w:eastAsia="Palatino Linotype" w:hAnsi="Palatino Linotype" w:cs="Palatino Linotype"/>
          <w:b/>
          <w:i/>
          <w:sz w:val="22"/>
          <w:szCs w:val="22"/>
          <w:u w:val="single"/>
        </w:rPr>
        <w:t>Énfasis añadido</w:t>
      </w:r>
      <w:r w:rsidRPr="00B54094">
        <w:rPr>
          <w:rFonts w:ascii="Palatino Linotype" w:eastAsia="Palatino Linotype" w:hAnsi="Palatino Linotype" w:cs="Palatino Linotype"/>
          <w:i/>
          <w:sz w:val="22"/>
          <w:szCs w:val="22"/>
        </w:rPr>
        <w:t xml:space="preserve"> </w:t>
      </w:r>
    </w:p>
    <w:p w14:paraId="7588CCE6" w14:textId="77777777" w:rsidR="008D0F75" w:rsidRPr="00B54094" w:rsidRDefault="008D0F75">
      <w:pPr>
        <w:spacing w:line="276" w:lineRule="auto"/>
      </w:pPr>
    </w:p>
    <w:p w14:paraId="1C298B71" w14:textId="77777777" w:rsidR="008D0F75" w:rsidRPr="00B54094" w:rsidRDefault="008D0F75"/>
    <w:p w14:paraId="00D73982"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Precepto normativo que señala que el Ayuntamiento de Ecatepec de Morelos está integrado por dos Sindicaturas y por doce Regidurías y por lo tanto en la información proporcionada no es posible identificar a que área corresponden las cantidades descritas en las columnas de presupuesto anual y presupuesto ejercido a septiembre de dos mil veintidós. </w:t>
      </w:r>
    </w:p>
    <w:p w14:paraId="5BC5E054" w14:textId="77777777" w:rsidR="008D0F75" w:rsidRPr="00B54094" w:rsidRDefault="008D0F75">
      <w:pPr>
        <w:spacing w:line="360" w:lineRule="auto"/>
        <w:jc w:val="both"/>
        <w:rPr>
          <w:rFonts w:ascii="Palatino Linotype" w:eastAsia="Palatino Linotype" w:hAnsi="Palatino Linotype" w:cs="Palatino Linotype"/>
        </w:rPr>
      </w:pPr>
    </w:p>
    <w:p w14:paraId="513BE7E2" w14:textId="77777777" w:rsidR="008D0F75" w:rsidRPr="00B54094" w:rsidRDefault="00B54094">
      <w:pPr>
        <w:spacing w:line="360" w:lineRule="auto"/>
        <w:ind w:right="-93"/>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Ahora bien, no escapa de la óptica de este Organismo Garante que </w:t>
      </w:r>
      <w:r w:rsidRPr="00B54094">
        <w:rPr>
          <w:rFonts w:ascii="Palatino Linotype" w:eastAsia="Palatino Linotype" w:hAnsi="Palatino Linotype" w:cs="Palatino Linotype"/>
          <w:b/>
        </w:rPr>
        <w:t xml:space="preserve">LA PARTE RECURRENTE </w:t>
      </w:r>
      <w:r w:rsidRPr="00B54094">
        <w:rPr>
          <w:rFonts w:ascii="Palatino Linotype" w:eastAsia="Palatino Linotype" w:hAnsi="Palatino Linotype" w:cs="Palatino Linotype"/>
        </w:rPr>
        <w:t xml:space="preserve">solicitó el desglose especifico de cada gasto erogado; sin embargo, la Tesorera Municipal fue muy precisa en informar que el  gasto y presupuesto proporcionado  solo comprenden el capítulo 1000. </w:t>
      </w:r>
    </w:p>
    <w:p w14:paraId="023BA797" w14:textId="77777777" w:rsidR="008D0F75" w:rsidRPr="00B54094" w:rsidRDefault="008D0F75">
      <w:pPr>
        <w:spacing w:line="360" w:lineRule="auto"/>
        <w:ind w:right="-93"/>
        <w:jc w:val="both"/>
        <w:rPr>
          <w:rFonts w:ascii="Palatino Linotype" w:eastAsia="Palatino Linotype" w:hAnsi="Palatino Linotype" w:cs="Palatino Linotype"/>
        </w:rPr>
      </w:pPr>
    </w:p>
    <w:p w14:paraId="45990134"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En este tenor, es necesario insistir que es deber de los Sujetos Obligados atender las solicitudes de acceso a la información pública proporcionando la documentación que obre en sus archivos y en el estado en que esta se encuentre; de conformidad con lo dispuesto en el artículo 12 de la Ley de Transparencia y Acceso a la Información Pública del Estado de México y Municipios. </w:t>
      </w:r>
    </w:p>
    <w:p w14:paraId="19D00E53" w14:textId="77777777" w:rsidR="008D0F75" w:rsidRPr="00B54094" w:rsidRDefault="008D0F75">
      <w:pPr>
        <w:spacing w:line="360" w:lineRule="auto"/>
        <w:jc w:val="both"/>
        <w:rPr>
          <w:rFonts w:ascii="Palatino Linotype" w:eastAsia="Palatino Linotype" w:hAnsi="Palatino Linotype" w:cs="Palatino Linotype"/>
        </w:rPr>
      </w:pPr>
    </w:p>
    <w:p w14:paraId="5DC235E1"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7E99ED9F" w14:textId="77777777" w:rsidR="008D0F75" w:rsidRPr="00B54094" w:rsidRDefault="008D0F75">
      <w:pPr>
        <w:spacing w:line="360" w:lineRule="auto"/>
        <w:jc w:val="both"/>
        <w:rPr>
          <w:rFonts w:ascii="Palatino Linotype" w:eastAsia="Palatino Linotype" w:hAnsi="Palatino Linotype" w:cs="Palatino Linotype"/>
        </w:rPr>
      </w:pPr>
    </w:p>
    <w:p w14:paraId="723DFAC0"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Acotado lo anterior, resulta relevante traer a colación el Manual para la Planeación, Programación y Presupuesto de Egresos Municipal, el cual tiene como objetivo apoyar a los ayuntamientos y entidades públicas municipales a integrar el anteproyecto y proyecto de presupuesto de egresos municipal, esto en cumplimiento con lo establecido en los artículos 134 de la Constitución Política de los Estados Unidos Mexicanos, los artículos 128, fracción IX y 129 de la Constitución Política del Estado Libre y Soberano de México; el artículo 31 fracción IX, , 99, 100 y 101 de la Ley Orgánica Municipal del Estado de México y los artículos 285, 290, 293, 294 y 295 del Código Financiero del Estado de México y Municipios.</w:t>
      </w:r>
    </w:p>
    <w:p w14:paraId="4EC979AE" w14:textId="77777777" w:rsidR="008D0F75" w:rsidRPr="00B54094" w:rsidRDefault="008D0F75">
      <w:pPr>
        <w:spacing w:line="360" w:lineRule="auto"/>
        <w:jc w:val="both"/>
        <w:rPr>
          <w:rFonts w:ascii="Palatino Linotype" w:eastAsia="Palatino Linotype" w:hAnsi="Palatino Linotype" w:cs="Palatino Linotype"/>
        </w:rPr>
      </w:pPr>
    </w:p>
    <w:p w14:paraId="224DF1A3"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El Manual de referencia contempla lo relativo a la estructura del Clasificador por Objeto del Gasto, el cual constituye un elemento fundamental del sistema general de cuentas, donde cada componente destaca aspectos concretos del presupuesto y suministra información que atiende a necesidades diferentes, ahora bien, el Clasificador por Objeto del Gasto está diseñado con un nivel de desagregación que permite que sus cuentas faciliten el registro único de todas las transacciones con incidencia económica-financiera, como se observa a continuación:</w:t>
      </w:r>
    </w:p>
    <w:p w14:paraId="233BC37F" w14:textId="77777777" w:rsidR="008D0F75" w:rsidRPr="00B54094" w:rsidRDefault="008D0F75">
      <w:pPr>
        <w:spacing w:line="360" w:lineRule="auto"/>
        <w:jc w:val="both"/>
        <w:rPr>
          <w:rFonts w:ascii="Palatino Linotype" w:eastAsia="Palatino Linotype" w:hAnsi="Palatino Linotype" w:cs="Palatino Linotype"/>
        </w:rPr>
      </w:pPr>
    </w:p>
    <w:p w14:paraId="46C7AB57"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noProof/>
        </w:rPr>
        <w:drawing>
          <wp:inline distT="0" distB="0" distL="0" distR="0" wp14:anchorId="382C5CB0" wp14:editId="18EC9AFD">
            <wp:extent cx="5734853" cy="971686"/>
            <wp:effectExtent l="0" t="0" r="0" b="0"/>
            <wp:docPr id="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34853" cy="971686"/>
                    </a:xfrm>
                    <a:prstGeom prst="rect">
                      <a:avLst/>
                    </a:prstGeom>
                    <a:ln/>
                  </pic:spPr>
                </pic:pic>
              </a:graphicData>
            </a:graphic>
          </wp:inline>
        </w:drawing>
      </w:r>
    </w:p>
    <w:p w14:paraId="7504F807" w14:textId="77777777" w:rsidR="008D0F75" w:rsidRPr="00B54094" w:rsidRDefault="008D0F75">
      <w:pPr>
        <w:spacing w:line="360" w:lineRule="auto"/>
        <w:jc w:val="both"/>
        <w:rPr>
          <w:rFonts w:ascii="Palatino Linotype" w:eastAsia="Palatino Linotype" w:hAnsi="Palatino Linotype" w:cs="Palatino Linotype"/>
        </w:rPr>
      </w:pPr>
    </w:p>
    <w:p w14:paraId="5AAC1310"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lastRenderedPageBreak/>
        <w:t xml:space="preserve">De lo anterior, se tiene que el gasto consta de diversos niveles de desagregación y que relativo al asunto que ahora nos ocupa, de manera genérica los capítulos 2000 y 3000 tratan de lo siguiente: </w:t>
      </w:r>
    </w:p>
    <w:p w14:paraId="166423A8"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2000 MATERIALES Y SUMINISTROS.</w:t>
      </w:r>
      <w:r w:rsidRPr="00B54094">
        <w:rPr>
          <w:rFonts w:ascii="Palatino Linotype" w:eastAsia="Palatino Linotype" w:hAnsi="Palatino Linotype" w:cs="Palatino Linotype"/>
        </w:rPr>
        <w:t xml:space="preserve"> Agrupa las asignaciones destinadas a la adquisición de toda clase de insumos y suministros requeridos para la prestación de bienes y servicios públicos y para el desempeño de las actividades administrativas.</w:t>
      </w:r>
    </w:p>
    <w:p w14:paraId="1AB8AB84" w14:textId="77777777" w:rsidR="008D0F75" w:rsidRPr="00B54094" w:rsidRDefault="008D0F75">
      <w:pPr>
        <w:spacing w:line="360" w:lineRule="auto"/>
        <w:jc w:val="both"/>
        <w:rPr>
          <w:rFonts w:ascii="Palatino Linotype" w:eastAsia="Palatino Linotype" w:hAnsi="Palatino Linotype" w:cs="Palatino Linotype"/>
        </w:rPr>
      </w:pPr>
    </w:p>
    <w:p w14:paraId="3998A55E"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2200 ALIMENTOS Y UTENSILIOS</w:t>
      </w:r>
      <w:r w:rsidRPr="00B54094">
        <w:rPr>
          <w:rFonts w:ascii="Palatino Linotype" w:eastAsia="Palatino Linotype" w:hAnsi="Palatino Linotype" w:cs="Palatino Linotype"/>
        </w:rPr>
        <w:t>. Asignaciones destinadas a la adquisición de productos alimenticios y utensilios necesarios para el servicio de alimentación en apoyo de las actividades de los servidores públicos y los requeridos en la prestación de servicios públicos en unidades de salud, educación y readaptación social, entre otras. Excluye los gastos por alimentación previstos en los conceptos 3700 Servicios de Traslado y Viáticos y 3800 Servicios Oficiales.</w:t>
      </w:r>
    </w:p>
    <w:p w14:paraId="300CECC1" w14:textId="77777777" w:rsidR="008D0F75" w:rsidRPr="00B54094" w:rsidRDefault="008D0F75">
      <w:pPr>
        <w:spacing w:line="360" w:lineRule="auto"/>
        <w:jc w:val="both"/>
        <w:rPr>
          <w:rFonts w:ascii="Palatino Linotype" w:eastAsia="Palatino Linotype" w:hAnsi="Palatino Linotype" w:cs="Palatino Linotype"/>
        </w:rPr>
      </w:pPr>
    </w:p>
    <w:p w14:paraId="7AE36746"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2600 COMBUSTIBLES, LUBRICANTES Y ADITIVOS.</w:t>
      </w:r>
      <w:r w:rsidRPr="00B54094">
        <w:rPr>
          <w:rFonts w:ascii="Palatino Linotype" w:eastAsia="Palatino Linotype" w:hAnsi="Palatino Linotype" w:cs="Palatino Linotype"/>
        </w:rPr>
        <w:t xml:space="preserve"> Asignaciones destinadas a la adquisición de combustibles, lubricantes y aditivos de todo tipo, necesarios para el funcionamiento de vehículos de transporte terrestres, aéreos, marítimos, lacustres y fluviales; así como de maquinaria y equipo.</w:t>
      </w:r>
    </w:p>
    <w:p w14:paraId="00FDED5B" w14:textId="77777777" w:rsidR="008D0F75" w:rsidRPr="00B54094" w:rsidRDefault="008D0F75">
      <w:pPr>
        <w:spacing w:line="360" w:lineRule="auto"/>
        <w:jc w:val="both"/>
        <w:rPr>
          <w:rFonts w:ascii="Palatino Linotype" w:eastAsia="Palatino Linotype" w:hAnsi="Palatino Linotype" w:cs="Palatino Linotype"/>
        </w:rPr>
      </w:pPr>
    </w:p>
    <w:p w14:paraId="28877887"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3000 SERVICIOS GENERALES.</w:t>
      </w:r>
      <w:r w:rsidRPr="00B54094">
        <w:rPr>
          <w:rFonts w:ascii="Palatino Linotype" w:eastAsia="Palatino Linotype" w:hAnsi="Palatino Linotype" w:cs="Palatino Linotype"/>
        </w:rPr>
        <w:t xml:space="preserve"> Asignaciones destinadas a cubrir el costo de todo tipo de servicios que se contraten con particulares o instituciones del propio sector público; así como los servicios oficiales requeridos para el desempeño de actividades vinculadas con la función pública.</w:t>
      </w:r>
    </w:p>
    <w:p w14:paraId="70279CEC" w14:textId="77777777" w:rsidR="008D0F75" w:rsidRPr="00B54094" w:rsidRDefault="008D0F75">
      <w:pPr>
        <w:spacing w:line="360" w:lineRule="auto"/>
        <w:jc w:val="both"/>
        <w:rPr>
          <w:rFonts w:ascii="Palatino Linotype" w:eastAsia="Palatino Linotype" w:hAnsi="Palatino Linotype" w:cs="Palatino Linotype"/>
        </w:rPr>
      </w:pPr>
    </w:p>
    <w:p w14:paraId="3ABBF2D2"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lastRenderedPageBreak/>
        <w:t>3700 SERVICIOS DE TRASLADO Y VIÁTICOS.</w:t>
      </w:r>
      <w:r w:rsidRPr="00B54094">
        <w:rPr>
          <w:rFonts w:ascii="Palatino Linotype" w:eastAsia="Palatino Linotype" w:hAnsi="Palatino Linotype" w:cs="Palatino Linotype"/>
        </w:rPr>
        <w:t xml:space="preserve"> Asignaciones destinadas a cubrir los servicios de traslado, instalación y viáticos del personal, cuando por el desempeño de sus labores propias o comisiones de trabajo, requieran trasladarse a lugares distintos al de su adscripción</w:t>
      </w:r>
    </w:p>
    <w:p w14:paraId="575F45DE" w14:textId="77777777" w:rsidR="008D0F75" w:rsidRPr="00B54094" w:rsidRDefault="008D0F75">
      <w:pPr>
        <w:spacing w:line="360" w:lineRule="auto"/>
        <w:jc w:val="both"/>
        <w:rPr>
          <w:rFonts w:ascii="Palatino Linotype" w:eastAsia="Palatino Linotype" w:hAnsi="Palatino Linotype" w:cs="Palatino Linotype"/>
        </w:rPr>
      </w:pPr>
    </w:p>
    <w:p w14:paraId="7D083ED8"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3750 Viáticos en el país.</w:t>
      </w:r>
      <w:r w:rsidRPr="00B54094">
        <w:rPr>
          <w:rFonts w:ascii="Palatino Linotype" w:eastAsia="Palatino Linotype" w:hAnsi="Palatino Linotype" w:cs="Palatino Linotype"/>
        </w:rPr>
        <w:t xml:space="preserve"> Asignaciones destinadas a cubrir los gastos por concepto de alimentación, hospedaje y arrendamiento de vehículos en el desempeño de comisiones temporales dentro del país, derivado de la realización de labores en campo o de supervisión e inspección, en lugares distintos a los de su adscripción. Esta partida aplica las cuotas diferenciales que señalen los tabuladores respectivos. Excluye los gastos de pasajes.</w:t>
      </w:r>
    </w:p>
    <w:p w14:paraId="405FE592" w14:textId="77777777" w:rsidR="008D0F75" w:rsidRPr="00B54094" w:rsidRDefault="008D0F75">
      <w:pPr>
        <w:spacing w:line="360" w:lineRule="auto"/>
        <w:jc w:val="both"/>
        <w:rPr>
          <w:rFonts w:ascii="Palatino Linotype" w:eastAsia="Palatino Linotype" w:hAnsi="Palatino Linotype" w:cs="Palatino Linotype"/>
        </w:rPr>
      </w:pPr>
    </w:p>
    <w:p w14:paraId="39F6EAAE"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Aunado a lo anterior, es menester precisar que, de acuerdo con el Manual, dentro del sistema de evaluación de la gestión pública municipal, existen cuatro tipos de reportes que los ayuntamientos deben presentar: el Informe de Ejecución del Plan de Desarrollo Municipal, Informe de Gobierno, el Reporte de Avance Trimestral, y la Cuenta Pública, los cuales son instrumentos para el seguimiento, evaluación de avances y rendición de cuentas. </w:t>
      </w:r>
    </w:p>
    <w:p w14:paraId="5095EA7B" w14:textId="77777777" w:rsidR="008D0F75" w:rsidRPr="00B54094" w:rsidRDefault="008D0F75">
      <w:pPr>
        <w:spacing w:line="360" w:lineRule="auto"/>
        <w:jc w:val="both"/>
        <w:rPr>
          <w:rFonts w:ascii="Palatino Linotype" w:eastAsia="Palatino Linotype" w:hAnsi="Palatino Linotype" w:cs="Palatino Linotype"/>
        </w:rPr>
      </w:pPr>
    </w:p>
    <w:p w14:paraId="22513F49"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En ese sentido, cabe mencionar que para la integración del Informe de Gobierno, se servirá de soporte las fichas técnicas de los indicadores de evaluación del desempeño que integran la Matriz de Indicadores para Resultados (MIR) y los formatos de evaluación </w:t>
      </w:r>
      <w:proofErr w:type="spellStart"/>
      <w:r w:rsidRPr="00B54094">
        <w:rPr>
          <w:rFonts w:ascii="Palatino Linotype" w:eastAsia="Palatino Linotype" w:hAnsi="Palatino Linotype" w:cs="Palatino Linotype"/>
        </w:rPr>
        <w:t>PbRM</w:t>
      </w:r>
      <w:proofErr w:type="spellEnd"/>
      <w:r w:rsidRPr="00B54094">
        <w:rPr>
          <w:rFonts w:ascii="Palatino Linotype" w:eastAsia="Palatino Linotype" w:hAnsi="Palatino Linotype" w:cs="Palatino Linotype"/>
        </w:rPr>
        <w:t xml:space="preserve"> 08b; </w:t>
      </w:r>
      <w:proofErr w:type="spellStart"/>
      <w:r w:rsidRPr="00B54094">
        <w:rPr>
          <w:rFonts w:ascii="Palatino Linotype" w:eastAsia="Palatino Linotype" w:hAnsi="Palatino Linotype" w:cs="Palatino Linotype"/>
        </w:rPr>
        <w:t>PbRM</w:t>
      </w:r>
      <w:proofErr w:type="spellEnd"/>
      <w:r w:rsidRPr="00B54094">
        <w:rPr>
          <w:rFonts w:ascii="Palatino Linotype" w:eastAsia="Palatino Linotype" w:hAnsi="Palatino Linotype" w:cs="Palatino Linotype"/>
        </w:rPr>
        <w:t xml:space="preserve"> 08c; </w:t>
      </w:r>
      <w:proofErr w:type="spellStart"/>
      <w:r w:rsidRPr="00B54094">
        <w:rPr>
          <w:rFonts w:ascii="Palatino Linotype" w:eastAsia="Palatino Linotype" w:hAnsi="Palatino Linotype" w:cs="Palatino Linotype"/>
        </w:rPr>
        <w:t>PbRM</w:t>
      </w:r>
      <w:proofErr w:type="spellEnd"/>
      <w:r w:rsidRPr="00B54094">
        <w:rPr>
          <w:rFonts w:ascii="Palatino Linotype" w:eastAsia="Palatino Linotype" w:hAnsi="Palatino Linotype" w:cs="Palatino Linotype"/>
        </w:rPr>
        <w:t xml:space="preserve"> 09b; </w:t>
      </w:r>
      <w:proofErr w:type="spellStart"/>
      <w:r w:rsidRPr="00B54094">
        <w:rPr>
          <w:rFonts w:ascii="Palatino Linotype" w:eastAsia="Palatino Linotype" w:hAnsi="Palatino Linotype" w:cs="Palatino Linotype"/>
        </w:rPr>
        <w:t>PbRM</w:t>
      </w:r>
      <w:proofErr w:type="spellEnd"/>
      <w:r w:rsidRPr="00B54094">
        <w:rPr>
          <w:rFonts w:ascii="Palatino Linotype" w:eastAsia="Palatino Linotype" w:hAnsi="Palatino Linotype" w:cs="Palatino Linotype"/>
        </w:rPr>
        <w:t xml:space="preserve"> 10a; </w:t>
      </w:r>
      <w:proofErr w:type="spellStart"/>
      <w:r w:rsidRPr="00B54094">
        <w:rPr>
          <w:rFonts w:ascii="Palatino Linotype" w:eastAsia="Palatino Linotype" w:hAnsi="Palatino Linotype" w:cs="Palatino Linotype"/>
        </w:rPr>
        <w:t>PbRM</w:t>
      </w:r>
      <w:proofErr w:type="spellEnd"/>
      <w:r w:rsidRPr="00B54094">
        <w:rPr>
          <w:rFonts w:ascii="Palatino Linotype" w:eastAsia="Palatino Linotype" w:hAnsi="Palatino Linotype" w:cs="Palatino Linotype"/>
        </w:rPr>
        <w:t xml:space="preserve"> 10b; </w:t>
      </w:r>
      <w:proofErr w:type="spellStart"/>
      <w:r w:rsidRPr="00B54094">
        <w:rPr>
          <w:rFonts w:ascii="Palatino Linotype" w:eastAsia="Palatino Linotype" w:hAnsi="Palatino Linotype" w:cs="Palatino Linotype"/>
        </w:rPr>
        <w:t>PbRM</w:t>
      </w:r>
      <w:proofErr w:type="spellEnd"/>
      <w:r w:rsidRPr="00B54094">
        <w:rPr>
          <w:rFonts w:ascii="Palatino Linotype" w:eastAsia="Palatino Linotype" w:hAnsi="Palatino Linotype" w:cs="Palatino Linotype"/>
        </w:rPr>
        <w:t xml:space="preserve"> 10c; </w:t>
      </w:r>
      <w:proofErr w:type="spellStart"/>
      <w:r w:rsidRPr="00B54094">
        <w:rPr>
          <w:rFonts w:ascii="Palatino Linotype" w:eastAsia="Palatino Linotype" w:hAnsi="Palatino Linotype" w:cs="Palatino Linotype"/>
        </w:rPr>
        <w:t>PbRM</w:t>
      </w:r>
      <w:proofErr w:type="spellEnd"/>
      <w:r w:rsidRPr="00B54094">
        <w:rPr>
          <w:rFonts w:ascii="Palatino Linotype" w:eastAsia="Palatino Linotype" w:hAnsi="Palatino Linotype" w:cs="Palatino Linotype"/>
        </w:rPr>
        <w:t xml:space="preserve"> 11, de los cuales, </w:t>
      </w:r>
      <w:r w:rsidRPr="00B54094">
        <w:rPr>
          <w:rFonts w:ascii="Palatino Linotype" w:eastAsia="Palatino Linotype" w:hAnsi="Palatino Linotype" w:cs="Palatino Linotype"/>
          <w:b/>
          <w:u w:val="single"/>
        </w:rPr>
        <w:t xml:space="preserve">podemos destacar el </w:t>
      </w:r>
      <w:proofErr w:type="spellStart"/>
      <w:r w:rsidRPr="00B54094">
        <w:rPr>
          <w:rFonts w:ascii="Palatino Linotype" w:eastAsia="Palatino Linotype" w:hAnsi="Palatino Linotype" w:cs="Palatino Linotype"/>
          <w:b/>
          <w:u w:val="single"/>
        </w:rPr>
        <w:t>PbRM</w:t>
      </w:r>
      <w:proofErr w:type="spellEnd"/>
      <w:r w:rsidRPr="00B54094">
        <w:rPr>
          <w:rFonts w:ascii="Palatino Linotype" w:eastAsia="Palatino Linotype" w:hAnsi="Palatino Linotype" w:cs="Palatino Linotype"/>
          <w:b/>
          <w:u w:val="single"/>
        </w:rPr>
        <w:t xml:space="preserve"> 10a</w:t>
      </w:r>
      <w:r w:rsidRPr="00B54094">
        <w:rPr>
          <w:rFonts w:ascii="Palatino Linotype" w:eastAsia="Palatino Linotype" w:hAnsi="Palatino Linotype" w:cs="Palatino Linotype"/>
        </w:rPr>
        <w:t xml:space="preserve">, que de acuerdo </w:t>
      </w:r>
      <w:r w:rsidRPr="00B54094">
        <w:rPr>
          <w:rFonts w:ascii="Palatino Linotype" w:eastAsia="Palatino Linotype" w:hAnsi="Palatino Linotype" w:cs="Palatino Linotype"/>
        </w:rPr>
        <w:lastRenderedPageBreak/>
        <w:t xml:space="preserve">con el Instructivo de llenado este permite conocer el avance presupuestal de los egresos de forma completa, además de permitir visualizar el avance del presupuesto anual, así </w:t>
      </w:r>
      <w:r w:rsidRPr="00B54094">
        <w:rPr>
          <w:rFonts w:ascii="Palatino Linotype" w:eastAsia="Palatino Linotype" w:hAnsi="Palatino Linotype" w:cs="Palatino Linotype"/>
          <w:b/>
          <w:u w:val="single"/>
        </w:rPr>
        <w:t>como el presupuesto del mes (autorizado y ejercido)</w:t>
      </w:r>
      <w:r w:rsidRPr="00B54094">
        <w:rPr>
          <w:rFonts w:ascii="Palatino Linotype" w:eastAsia="Palatino Linotype" w:hAnsi="Palatino Linotype" w:cs="Palatino Linotype"/>
          <w:b/>
        </w:rPr>
        <w:t xml:space="preserve">; </w:t>
      </w:r>
      <w:r w:rsidRPr="00B54094">
        <w:rPr>
          <w:rFonts w:ascii="Palatino Linotype" w:eastAsia="Palatino Linotype" w:hAnsi="Palatino Linotype" w:cs="Palatino Linotype"/>
        </w:rPr>
        <w:t>y el presupuesto acumulado de dependencias generales (DG), dependencias auxiliares (DA).</w:t>
      </w:r>
    </w:p>
    <w:p w14:paraId="21F59BC1" w14:textId="77777777" w:rsidR="008D0F75" w:rsidRPr="00B54094" w:rsidRDefault="00B54094">
      <w:pPr>
        <w:spacing w:line="360" w:lineRule="auto"/>
        <w:jc w:val="center"/>
        <w:rPr>
          <w:rFonts w:ascii="Palatino Linotype" w:eastAsia="Palatino Linotype" w:hAnsi="Palatino Linotype" w:cs="Palatino Linotype"/>
        </w:rPr>
      </w:pPr>
      <w:r w:rsidRPr="00B54094">
        <w:rPr>
          <w:noProof/>
        </w:rPr>
        <w:drawing>
          <wp:inline distT="0" distB="0" distL="0" distR="0" wp14:anchorId="4802A796" wp14:editId="28E410DE">
            <wp:extent cx="4326956" cy="4530027"/>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33803" t="30265" r="32510" b="7033"/>
                    <a:stretch>
                      <a:fillRect/>
                    </a:stretch>
                  </pic:blipFill>
                  <pic:spPr>
                    <a:xfrm>
                      <a:off x="0" y="0"/>
                      <a:ext cx="4326956" cy="4530027"/>
                    </a:xfrm>
                    <a:prstGeom prst="rect">
                      <a:avLst/>
                    </a:prstGeom>
                    <a:ln/>
                  </pic:spPr>
                </pic:pic>
              </a:graphicData>
            </a:graphic>
          </wp:inline>
        </w:drawing>
      </w:r>
    </w:p>
    <w:p w14:paraId="6664F27C"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Por otro lado, de conformidad con los Lineamientos para la integración y entrega del Informe Trimestral Municipal 2022, estos se integran de un documento denominado </w:t>
      </w:r>
      <w:r w:rsidRPr="00B54094">
        <w:rPr>
          <w:rFonts w:ascii="Palatino Linotype" w:eastAsia="Palatino Linotype" w:hAnsi="Palatino Linotype" w:cs="Palatino Linotype"/>
          <w:b/>
        </w:rPr>
        <w:t>“Estado Analítico del Ejercicio del Presupuesto de Egresos Detallado”</w:t>
      </w:r>
      <w:r w:rsidRPr="00B54094">
        <w:rPr>
          <w:rFonts w:ascii="Palatino Linotype" w:eastAsia="Palatino Linotype" w:hAnsi="Palatino Linotype" w:cs="Palatino Linotype"/>
        </w:rPr>
        <w:t xml:space="preserve"> el cual si bien es entregado trimestralmente al Órgano Superior de </w:t>
      </w:r>
      <w:r w:rsidRPr="00B54094">
        <w:rPr>
          <w:rFonts w:ascii="Palatino Linotype" w:eastAsia="Palatino Linotype" w:hAnsi="Palatino Linotype" w:cs="Palatino Linotype"/>
        </w:rPr>
        <w:lastRenderedPageBreak/>
        <w:t xml:space="preserve">Fiscalización, es actualizado de manera mensual por parte del ente público y el cual también da cuenta del avance presupuestal de este. </w:t>
      </w:r>
    </w:p>
    <w:p w14:paraId="49B761CD" w14:textId="77777777" w:rsidR="008D0F75" w:rsidRPr="00B54094" w:rsidRDefault="00B54094">
      <w:pPr>
        <w:spacing w:line="360" w:lineRule="auto"/>
        <w:jc w:val="both"/>
      </w:pPr>
      <w:r w:rsidRPr="00B54094">
        <w:rPr>
          <w:noProof/>
        </w:rPr>
        <w:lastRenderedPageBreak/>
        <w:drawing>
          <wp:inline distT="0" distB="0" distL="0" distR="0" wp14:anchorId="5067D34A" wp14:editId="3A219207">
            <wp:extent cx="2681226" cy="3438127"/>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32077" t="13579" r="32451" b="5551"/>
                    <a:stretch>
                      <a:fillRect/>
                    </a:stretch>
                  </pic:blipFill>
                  <pic:spPr>
                    <a:xfrm>
                      <a:off x="0" y="0"/>
                      <a:ext cx="2681226" cy="3438127"/>
                    </a:xfrm>
                    <a:prstGeom prst="rect">
                      <a:avLst/>
                    </a:prstGeom>
                    <a:ln/>
                  </pic:spPr>
                </pic:pic>
              </a:graphicData>
            </a:graphic>
          </wp:inline>
        </w:drawing>
      </w:r>
      <w:r w:rsidRPr="00B54094">
        <w:t xml:space="preserve">      </w:t>
      </w:r>
      <w:r w:rsidRPr="00B54094">
        <w:rPr>
          <w:noProof/>
        </w:rPr>
        <w:drawing>
          <wp:inline distT="0" distB="0" distL="0" distR="0" wp14:anchorId="34EBEFB5" wp14:editId="5A57D270">
            <wp:extent cx="2768764" cy="3481101"/>
            <wp:effectExtent l="0" t="0" r="0" b="0"/>
            <wp:docPr id="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30719" t="12803" r="32620" b="5251"/>
                    <a:stretch>
                      <a:fillRect/>
                    </a:stretch>
                  </pic:blipFill>
                  <pic:spPr>
                    <a:xfrm>
                      <a:off x="0" y="0"/>
                      <a:ext cx="2768764" cy="3481101"/>
                    </a:xfrm>
                    <a:prstGeom prst="rect">
                      <a:avLst/>
                    </a:prstGeom>
                    <a:ln/>
                  </pic:spPr>
                </pic:pic>
              </a:graphicData>
            </a:graphic>
          </wp:inline>
        </w:drawing>
      </w:r>
    </w:p>
    <w:p w14:paraId="1B2FDEC0" w14:textId="77777777" w:rsidR="008D0F75" w:rsidRPr="00B54094" w:rsidRDefault="008D0F75">
      <w:pPr>
        <w:spacing w:line="360" w:lineRule="auto"/>
        <w:jc w:val="both"/>
      </w:pPr>
    </w:p>
    <w:p w14:paraId="16812719" w14:textId="77777777" w:rsidR="008D0F75" w:rsidRPr="00B54094" w:rsidRDefault="00B54094">
      <w:pPr>
        <w:spacing w:line="360" w:lineRule="auto"/>
        <w:jc w:val="center"/>
        <w:rPr>
          <w:rFonts w:ascii="Palatino Linotype" w:eastAsia="Palatino Linotype" w:hAnsi="Palatino Linotype" w:cs="Palatino Linotype"/>
        </w:rPr>
      </w:pPr>
      <w:r w:rsidRPr="00B54094">
        <w:rPr>
          <w:noProof/>
        </w:rPr>
        <w:lastRenderedPageBreak/>
        <w:drawing>
          <wp:inline distT="0" distB="0" distL="0" distR="0" wp14:anchorId="7630EACD" wp14:editId="4DACABB0">
            <wp:extent cx="4285225" cy="1648819"/>
            <wp:effectExtent l="0" t="0" r="0" b="0"/>
            <wp:docPr id="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30520" t="35576" r="31293" b="38301"/>
                    <a:stretch>
                      <a:fillRect/>
                    </a:stretch>
                  </pic:blipFill>
                  <pic:spPr>
                    <a:xfrm>
                      <a:off x="0" y="0"/>
                      <a:ext cx="4285225" cy="1648819"/>
                    </a:xfrm>
                    <a:prstGeom prst="rect">
                      <a:avLst/>
                    </a:prstGeom>
                    <a:ln/>
                  </pic:spPr>
                </pic:pic>
              </a:graphicData>
            </a:graphic>
          </wp:inline>
        </w:drawing>
      </w:r>
    </w:p>
    <w:p w14:paraId="73C59829"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Del mismo modo, es menester traer a colación las definiciones respecto a registro contable y registro presupuestario, las cuales de conformidad con el “Glosario de Términos Administrativos” emitido por el Instituto Nacional de la Administración Pública, A.C” y el “Glosario de Términos para el Proceso de Planeación, Programación, Presupuestación y Evaluación en la Administración Pública”, se establece lo siguiente: </w:t>
      </w:r>
    </w:p>
    <w:p w14:paraId="7E6B51EE" w14:textId="77777777" w:rsidR="008D0F75" w:rsidRPr="00B54094" w:rsidRDefault="008D0F75">
      <w:pPr>
        <w:spacing w:line="360" w:lineRule="auto"/>
        <w:jc w:val="both"/>
        <w:rPr>
          <w:rFonts w:ascii="Palatino Linotype" w:eastAsia="Palatino Linotype" w:hAnsi="Palatino Linotype" w:cs="Palatino Linotype"/>
        </w:rPr>
      </w:pPr>
    </w:p>
    <w:p w14:paraId="76330D2C"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Registro Contable:</w:t>
      </w:r>
      <w:r w:rsidRPr="00B54094">
        <w:rPr>
          <w:rFonts w:ascii="Palatino Linotype" w:eastAsia="Palatino Linotype" w:hAnsi="Palatino Linotype" w:cs="Palatino Linotype"/>
        </w:rPr>
        <w:t xml:space="preserve"> Asiento que se realiza en los libros de contabilidad de las actividades relacionadas con el ingreso y egresos de un ente económico.</w:t>
      </w:r>
    </w:p>
    <w:p w14:paraId="1F8D389D" w14:textId="77777777" w:rsidR="008D0F75" w:rsidRPr="00B54094" w:rsidRDefault="008D0F75">
      <w:pPr>
        <w:spacing w:line="360" w:lineRule="auto"/>
        <w:jc w:val="both"/>
        <w:rPr>
          <w:rFonts w:ascii="Palatino Linotype" w:eastAsia="Palatino Linotype" w:hAnsi="Palatino Linotype" w:cs="Palatino Linotype"/>
        </w:rPr>
      </w:pPr>
    </w:p>
    <w:p w14:paraId="07C19A9B"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Registro Presupuestario:</w:t>
      </w:r>
      <w:r w:rsidRPr="00B54094">
        <w:rPr>
          <w:rFonts w:ascii="Palatino Linotype" w:eastAsia="Palatino Linotype" w:hAnsi="Palatino Linotype" w:cs="Palatino Linotype"/>
        </w:rPr>
        <w:t xml:space="preserve"> Asiento contable de las erogaciones realizadas por las dependencias y entidades con relación a la asignación, modificación y ejercicio de recursos presupuestarios.</w:t>
      </w:r>
    </w:p>
    <w:p w14:paraId="2954EF4C" w14:textId="77777777" w:rsidR="008D0F75" w:rsidRPr="00B54094" w:rsidRDefault="008D0F75">
      <w:pPr>
        <w:spacing w:line="360" w:lineRule="auto"/>
        <w:jc w:val="both"/>
        <w:rPr>
          <w:rFonts w:ascii="Palatino Linotype" w:eastAsia="Palatino Linotype" w:hAnsi="Palatino Linotype" w:cs="Palatino Linotype"/>
        </w:rPr>
      </w:pPr>
    </w:p>
    <w:p w14:paraId="3A6CF8EC"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De igual manera, vale la pena señalar que, de conformidad con el artículo décimo primero de los Lineamientos de Control Financiero y Administrativo para las Entidades Fiscalizables Municipales del Estado de México, los servidores públicos municipales tendrán las siguientes obligaciones: </w:t>
      </w:r>
    </w:p>
    <w:p w14:paraId="01964610" w14:textId="77777777" w:rsidR="008D0F75" w:rsidRPr="00B54094" w:rsidRDefault="008D0F75">
      <w:pPr>
        <w:ind w:left="864" w:right="864"/>
        <w:jc w:val="both"/>
        <w:rPr>
          <w:i/>
        </w:rPr>
      </w:pPr>
    </w:p>
    <w:p w14:paraId="7D0A7C7F" w14:textId="77777777" w:rsidR="008D0F75" w:rsidRPr="00B54094" w:rsidRDefault="00B54094">
      <w:pP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CAPÍTULO V</w:t>
      </w:r>
    </w:p>
    <w:p w14:paraId="1657062E" w14:textId="77777777" w:rsidR="008D0F75" w:rsidRPr="00B54094" w:rsidRDefault="00B54094">
      <w:pP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DE LAS OBLIGACIONES</w:t>
      </w:r>
    </w:p>
    <w:p w14:paraId="2394E343" w14:textId="77777777" w:rsidR="008D0F75" w:rsidRPr="00B54094" w:rsidRDefault="008D0F75">
      <w:pPr>
        <w:ind w:left="864" w:right="864"/>
        <w:jc w:val="both"/>
        <w:rPr>
          <w:rFonts w:ascii="Palatino Linotype" w:eastAsia="Palatino Linotype" w:hAnsi="Palatino Linotype" w:cs="Palatino Linotype"/>
          <w:i/>
          <w:sz w:val="22"/>
          <w:szCs w:val="22"/>
        </w:rPr>
      </w:pPr>
    </w:p>
    <w:p w14:paraId="21DF3EEF" w14:textId="77777777" w:rsidR="008D0F75" w:rsidRPr="00B54094" w:rsidRDefault="00B54094">
      <w:pP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 xml:space="preserve">DÉCIMO PRIMERO: Los servidores públicos municipales, tendrán en el ámbito de su competencia, respecto de los presentes Lineamientos, las obligaciones siguientes: </w:t>
      </w:r>
    </w:p>
    <w:p w14:paraId="0C7E1624" w14:textId="77777777" w:rsidR="008D0F75" w:rsidRPr="00B54094" w:rsidRDefault="00B54094">
      <w:pP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 xml:space="preserve">… </w:t>
      </w:r>
    </w:p>
    <w:p w14:paraId="5C242936" w14:textId="77777777" w:rsidR="008D0F75" w:rsidRPr="00B54094" w:rsidRDefault="00B54094">
      <w:pP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 xml:space="preserve">IV. El tesorero deberá verificar que todas las pólizas de registro contable y presupuestal, se encuentren firmadas por quién las elaboró, revisó y autorizó, las cuales deberán estar soportadas con la documentación original, justificativa, comprobatoria, suficiente, competente, pertinente y relevante, las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p>
    <w:p w14:paraId="724DD70E" w14:textId="77777777" w:rsidR="008D0F75" w:rsidRPr="00B54094" w:rsidRDefault="008D0F75">
      <w:pPr>
        <w:ind w:left="864" w:right="864"/>
        <w:jc w:val="both"/>
        <w:rPr>
          <w:rFonts w:ascii="Palatino Linotype" w:eastAsia="Palatino Linotype" w:hAnsi="Palatino Linotype" w:cs="Palatino Linotype"/>
          <w:i/>
          <w:sz w:val="22"/>
          <w:szCs w:val="22"/>
        </w:rPr>
      </w:pPr>
    </w:p>
    <w:p w14:paraId="2F401724" w14:textId="77777777" w:rsidR="008D0F75" w:rsidRPr="00B54094" w:rsidRDefault="00B54094">
      <w:pP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V. El tesorero deberá integrar a la póliza de egresos, fotocopia del cheque original, para su debido cotejo. …</w:t>
      </w:r>
    </w:p>
    <w:p w14:paraId="48C49F03" w14:textId="77777777" w:rsidR="008D0F75" w:rsidRPr="00B54094" w:rsidRDefault="008D0F75">
      <w:pPr>
        <w:spacing w:line="360" w:lineRule="auto"/>
        <w:jc w:val="both"/>
        <w:rPr>
          <w:rFonts w:ascii="Palatino Linotype" w:eastAsia="Palatino Linotype" w:hAnsi="Palatino Linotype" w:cs="Palatino Linotype"/>
        </w:rPr>
      </w:pPr>
    </w:p>
    <w:p w14:paraId="3A151540"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Dicho esto y en relación con la respuesta enviada por la Tesorería Municipal, es de referir que de conformidad con la Ley Orgánica Municipal del Estado de México, confiere las siguientes atribuciones a dicha Unidad Administrativa: </w:t>
      </w:r>
    </w:p>
    <w:p w14:paraId="55DD05F3" w14:textId="77777777" w:rsidR="008D0F75" w:rsidRPr="00B54094" w:rsidRDefault="008D0F75">
      <w:pPr>
        <w:spacing w:line="360" w:lineRule="auto"/>
        <w:jc w:val="both"/>
        <w:rPr>
          <w:rFonts w:ascii="Palatino Linotype" w:eastAsia="Palatino Linotype" w:hAnsi="Palatino Linotype" w:cs="Palatino Linotype"/>
        </w:rPr>
      </w:pPr>
    </w:p>
    <w:p w14:paraId="1B3A22FB" w14:textId="77777777" w:rsidR="008D0F75" w:rsidRPr="00B54094" w:rsidRDefault="00B54094">
      <w:pP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TÍTULO IV</w:t>
      </w:r>
    </w:p>
    <w:p w14:paraId="205CB9A6" w14:textId="77777777" w:rsidR="008D0F75" w:rsidRPr="00B54094" w:rsidRDefault="00B54094">
      <w:pP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RÉGIMEN ADMINISTRATIVO</w:t>
      </w:r>
    </w:p>
    <w:p w14:paraId="204ACD34" w14:textId="77777777" w:rsidR="008D0F75" w:rsidRPr="00B54094" w:rsidRDefault="00B54094">
      <w:pP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CAPÍTULO SEGUNDO</w:t>
      </w:r>
    </w:p>
    <w:p w14:paraId="70AF0AB2" w14:textId="77777777" w:rsidR="008D0F75" w:rsidRPr="00B54094" w:rsidRDefault="00B54094">
      <w:pP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DE LA TESORERÍA MUNICIPAL</w:t>
      </w:r>
    </w:p>
    <w:p w14:paraId="063A4175" w14:textId="77777777" w:rsidR="008D0F75" w:rsidRPr="00B54094" w:rsidRDefault="00B54094">
      <w:pP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Artículo 93.- La tesorería municipal es el órgano encargado de la recaudación de los ingresos municipales y responsable de realizar las erogaciones que haga el ayuntamiento.</w:t>
      </w:r>
    </w:p>
    <w:p w14:paraId="03EDE379" w14:textId="77777777" w:rsidR="008D0F75" w:rsidRPr="00B54094" w:rsidRDefault="008D0F75">
      <w:pPr>
        <w:rPr>
          <w:rFonts w:ascii="Palatino Linotype" w:eastAsia="Palatino Linotype" w:hAnsi="Palatino Linotype" w:cs="Palatino Linotype"/>
          <w:sz w:val="22"/>
          <w:szCs w:val="22"/>
        </w:rPr>
      </w:pPr>
    </w:p>
    <w:p w14:paraId="583C54C0" w14:textId="77777777" w:rsidR="008D0F75" w:rsidRPr="00B54094" w:rsidRDefault="00B54094">
      <w:pP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Artículo 95.- Son atribuciones del tesorero municipal:</w:t>
      </w:r>
    </w:p>
    <w:p w14:paraId="1D8C21A5" w14:textId="77777777" w:rsidR="008D0F75" w:rsidRPr="00B54094" w:rsidRDefault="00B54094">
      <w:pP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I. Administrar la hacienda pública municipal, de conformidad con las disposiciones legales aplicables;</w:t>
      </w:r>
    </w:p>
    <w:p w14:paraId="23F36CE4" w14:textId="77777777" w:rsidR="008D0F75" w:rsidRPr="00B54094" w:rsidRDefault="00B54094">
      <w:pP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lastRenderedPageBreak/>
        <w:t>(…)</w:t>
      </w:r>
    </w:p>
    <w:p w14:paraId="4CA53846" w14:textId="77777777" w:rsidR="008D0F75" w:rsidRPr="00B54094" w:rsidRDefault="00B54094">
      <w:pP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IV. Llevar los registros contables, financieros y administrativos de los ingresos, egresos, e inventarios;</w:t>
      </w:r>
    </w:p>
    <w:p w14:paraId="796CC046" w14:textId="77777777" w:rsidR="008D0F75" w:rsidRPr="00B54094" w:rsidRDefault="00B54094">
      <w:pP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14:paraId="5C193E61" w14:textId="77777777" w:rsidR="008D0F75" w:rsidRPr="00B54094" w:rsidRDefault="00B54094">
      <w:pP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w:t>
      </w:r>
    </w:p>
    <w:p w14:paraId="4F7B004E" w14:textId="77777777" w:rsidR="008D0F75" w:rsidRPr="00B54094" w:rsidRDefault="008D0F75">
      <w:pPr>
        <w:spacing w:line="360" w:lineRule="auto"/>
        <w:jc w:val="both"/>
        <w:rPr>
          <w:rFonts w:ascii="Palatino Linotype" w:eastAsia="Palatino Linotype" w:hAnsi="Palatino Linotype" w:cs="Palatino Linotype"/>
        </w:rPr>
      </w:pPr>
    </w:p>
    <w:p w14:paraId="3CC78DD9" w14:textId="77777777" w:rsidR="008D0F75" w:rsidRPr="00B54094" w:rsidRDefault="00B54094">
      <w:pPr>
        <w:spacing w:line="360" w:lineRule="auto"/>
        <w:jc w:val="both"/>
        <w:rPr>
          <w:rFonts w:ascii="Palatino Linotype" w:eastAsia="Palatino Linotype" w:hAnsi="Palatino Linotype" w:cs="Palatino Linotype"/>
          <w:b/>
        </w:rPr>
      </w:pPr>
      <w:r w:rsidRPr="00B54094">
        <w:rPr>
          <w:rFonts w:ascii="Palatino Linotype" w:eastAsia="Palatino Linotype" w:hAnsi="Palatino Linotype" w:cs="Palatino Linotype"/>
        </w:rPr>
        <w:t xml:space="preserve">De ello, se puede apreciar que la Tesorería Municipal es el área con atribuciones administrar y generar la información relativa a las erogaciones de las Sindicaturas y Regidurías enlistadas por </w:t>
      </w:r>
      <w:r w:rsidRPr="00B54094">
        <w:rPr>
          <w:rFonts w:ascii="Palatino Linotype" w:eastAsia="Palatino Linotype" w:hAnsi="Palatino Linotype" w:cs="Palatino Linotype"/>
          <w:b/>
        </w:rPr>
        <w:t xml:space="preserve">LA PARTE RECURRENTE. </w:t>
      </w:r>
    </w:p>
    <w:p w14:paraId="4E998BAF" w14:textId="77777777" w:rsidR="008D0F75" w:rsidRPr="00B54094" w:rsidRDefault="008D0F75">
      <w:pPr>
        <w:spacing w:line="360" w:lineRule="auto"/>
        <w:jc w:val="both"/>
        <w:rPr>
          <w:rFonts w:ascii="Palatino Linotype" w:eastAsia="Palatino Linotype" w:hAnsi="Palatino Linotype" w:cs="Palatino Linotype"/>
          <w:b/>
        </w:rPr>
      </w:pPr>
    </w:p>
    <w:p w14:paraId="739087D8" w14:textId="77777777" w:rsidR="008D0F75" w:rsidRPr="00B54094" w:rsidRDefault="00B54094">
      <w:pPr>
        <w:spacing w:line="360" w:lineRule="auto"/>
        <w:jc w:val="both"/>
        <w:rPr>
          <w:rFonts w:ascii="Palatino Linotype" w:eastAsia="Palatino Linotype" w:hAnsi="Palatino Linotype" w:cs="Palatino Linotype"/>
          <w:b/>
        </w:rPr>
      </w:pPr>
      <w:r w:rsidRPr="00B54094">
        <w:rPr>
          <w:rFonts w:ascii="Palatino Linotype" w:eastAsia="Palatino Linotype" w:hAnsi="Palatino Linotype" w:cs="Palatino Linotype"/>
        </w:rPr>
        <w:t xml:space="preserve">No pasa por inadvertido para esta Autoridad señalar que </w:t>
      </w:r>
      <w:r w:rsidRPr="00B54094">
        <w:rPr>
          <w:rFonts w:ascii="Palatino Linotype" w:eastAsia="Palatino Linotype" w:hAnsi="Palatino Linotype" w:cs="Palatino Linotype"/>
          <w:b/>
        </w:rPr>
        <w:t>LA PARTE RECURRENTE</w:t>
      </w:r>
      <w:r w:rsidRPr="00B54094">
        <w:rPr>
          <w:rFonts w:ascii="Palatino Linotype" w:eastAsia="Palatino Linotype" w:hAnsi="Palatino Linotype" w:cs="Palatino Linotype"/>
        </w:rPr>
        <w:t xml:space="preserve"> en su solicitud </w:t>
      </w:r>
      <w:r w:rsidRPr="00B54094">
        <w:rPr>
          <w:rFonts w:ascii="Palatino Linotype" w:eastAsia="Palatino Linotype" w:hAnsi="Palatino Linotype" w:cs="Palatino Linotype"/>
          <w:b/>
        </w:rPr>
        <w:t xml:space="preserve">00845/ECATEPEC/IP/2022 </w:t>
      </w:r>
      <w:r w:rsidRPr="00B54094">
        <w:rPr>
          <w:rFonts w:ascii="Palatino Linotype" w:eastAsia="Palatino Linotype" w:hAnsi="Palatino Linotype" w:cs="Palatino Linotype"/>
        </w:rPr>
        <w:t xml:space="preserve">omitió referirse al periodo sobre el cual requería la información, sin embargo, no es óbice para el </w:t>
      </w:r>
      <w:proofErr w:type="spellStart"/>
      <w:r w:rsidRPr="00B54094">
        <w:rPr>
          <w:rFonts w:ascii="Palatino Linotype" w:eastAsia="Palatino Linotype" w:hAnsi="Palatino Linotype" w:cs="Palatino Linotype"/>
        </w:rPr>
        <w:t>Infoem</w:t>
      </w:r>
      <w:proofErr w:type="spellEnd"/>
      <w:r w:rsidRPr="00B54094">
        <w:rPr>
          <w:rFonts w:ascii="Palatino Linotype" w:eastAsia="Palatino Linotype" w:hAnsi="Palatino Linotype" w:cs="Palatino Linotype"/>
        </w:rPr>
        <w:t xml:space="preserve"> pues en ejercicio de su facultad de suplencia de la deficiencia en favor de </w:t>
      </w:r>
      <w:r w:rsidRPr="00B54094">
        <w:rPr>
          <w:rFonts w:ascii="Palatino Linotype" w:eastAsia="Palatino Linotype" w:hAnsi="Palatino Linotype" w:cs="Palatino Linotype"/>
          <w:b/>
        </w:rPr>
        <w:t xml:space="preserve">LA PARTE RECURRENTE </w:t>
      </w:r>
      <w:r w:rsidRPr="00B54094">
        <w:rPr>
          <w:rFonts w:ascii="Palatino Linotype" w:eastAsia="Palatino Linotype" w:hAnsi="Palatino Linotype" w:cs="Palatino Linotype"/>
        </w:rPr>
        <w:t xml:space="preserve">prevista en los artículos 13 y 181 párrafo cuarto de la Ley de Transparencia y Acceso a la Información Pública del Estado de México y Municipios, este Organismo Garante estima adecuado, ordenar la entrega, de ser el caso, del soporte documental generado en el año inmediato anterior contado a partir de la fecha de presentación de la solicitud, es decir, del </w:t>
      </w:r>
      <w:r w:rsidRPr="00B54094">
        <w:rPr>
          <w:rFonts w:ascii="Palatino Linotype" w:eastAsia="Palatino Linotype" w:hAnsi="Palatino Linotype" w:cs="Palatino Linotype"/>
          <w:b/>
        </w:rPr>
        <w:t xml:space="preserve">diez de octubre de dos mil veintiuno </w:t>
      </w:r>
      <w:r w:rsidRPr="00B54094">
        <w:rPr>
          <w:rFonts w:ascii="Palatino Linotype" w:eastAsia="Palatino Linotype" w:hAnsi="Palatino Linotype" w:cs="Palatino Linotype"/>
        </w:rPr>
        <w:t>al</w:t>
      </w:r>
      <w:r w:rsidRPr="00B54094">
        <w:rPr>
          <w:rFonts w:ascii="Palatino Linotype" w:eastAsia="Palatino Linotype" w:hAnsi="Palatino Linotype" w:cs="Palatino Linotype"/>
          <w:b/>
        </w:rPr>
        <w:t xml:space="preserve"> diez de octubre de dos mil veintidós.</w:t>
      </w:r>
    </w:p>
    <w:p w14:paraId="0AB8706B" w14:textId="77777777" w:rsidR="008D0F75" w:rsidRPr="00B54094" w:rsidRDefault="008D0F75">
      <w:pPr>
        <w:spacing w:line="360" w:lineRule="auto"/>
        <w:jc w:val="both"/>
        <w:rPr>
          <w:rFonts w:ascii="Palatino Linotype" w:eastAsia="Palatino Linotype" w:hAnsi="Palatino Linotype" w:cs="Palatino Linotype"/>
        </w:rPr>
      </w:pPr>
    </w:p>
    <w:p w14:paraId="60BD7197"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Lo anterior se robustece con el criterio de interpretación 03/19 emitido por el Instituto Nacional de Transparencia Acceso a la Información y Protección de Datos Personales, INAI, en el cual es del tenor literal siguiente:</w:t>
      </w:r>
    </w:p>
    <w:p w14:paraId="5EBB9AF3"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E344819"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16BECF89"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12C7630"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Así pues, en consecuencia, la Tesorería Municipal es el área con atribuciones para administrar y generar el documento o los documentos donde consten las erogaciones realizadas por las dos Sindicaturas y doce Regidurías del Ayuntamiento de Ecatepec de Morelos, del periodo que abarca del diez de octubre de dos mil veintiuno al diez de octubre de dos mil veintidós, en consecuencia el </w:t>
      </w:r>
      <w:proofErr w:type="spellStart"/>
      <w:r w:rsidRPr="00B54094">
        <w:rPr>
          <w:rFonts w:ascii="Palatino Linotype" w:eastAsia="Palatino Linotype" w:hAnsi="Palatino Linotype" w:cs="Palatino Linotype"/>
        </w:rPr>
        <w:t>Infoem</w:t>
      </w:r>
      <w:proofErr w:type="spellEnd"/>
      <w:r w:rsidRPr="00B54094">
        <w:rPr>
          <w:rFonts w:ascii="Palatino Linotype" w:eastAsia="Palatino Linotype" w:hAnsi="Palatino Linotype" w:cs="Palatino Linotype"/>
        </w:rPr>
        <w:t xml:space="preserve"> estima dable su entrega, atendiendo al Considerando: </w:t>
      </w:r>
    </w:p>
    <w:p w14:paraId="11BEEADA" w14:textId="77777777" w:rsidR="008D0F75" w:rsidRPr="00B54094" w:rsidRDefault="008D0F75">
      <w:pPr>
        <w:spacing w:line="360" w:lineRule="auto"/>
        <w:jc w:val="both"/>
        <w:rPr>
          <w:rFonts w:ascii="Palatino Linotype" w:eastAsia="Palatino Linotype" w:hAnsi="Palatino Linotype" w:cs="Palatino Linotype"/>
        </w:rPr>
      </w:pPr>
    </w:p>
    <w:p w14:paraId="644477BF"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 xml:space="preserve">QUINTO. VERSIÓN PÚBLICA. </w:t>
      </w:r>
      <w:r w:rsidRPr="00B54094">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w:t>
      </w:r>
      <w:r w:rsidRPr="00B54094">
        <w:rPr>
          <w:rFonts w:ascii="Palatino Linotype" w:eastAsia="Palatino Linotype" w:hAnsi="Palatino Linotype" w:cs="Palatino Linotype"/>
          <w:b/>
        </w:rPr>
        <w:t>EL SUJETO OBLIGADO</w:t>
      </w:r>
      <w:r w:rsidRPr="00B54094">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w:t>
      </w:r>
      <w:r w:rsidRPr="00B54094">
        <w:rPr>
          <w:rFonts w:ascii="Palatino Linotype" w:eastAsia="Palatino Linotype" w:hAnsi="Palatino Linotype" w:cs="Palatino Linotype"/>
          <w:b/>
        </w:rPr>
        <w:t>LA PARTE RECURRENTE</w:t>
      </w:r>
      <w:r w:rsidRPr="00B54094">
        <w:rPr>
          <w:rFonts w:ascii="Palatino Linotype" w:eastAsia="Palatino Linotype" w:hAnsi="Palatino Linotype" w:cs="Palatino Linotype"/>
        </w:rPr>
        <w:t xml:space="preserve"> sin menoscabar el derecho a la protección de los datos personales de terceros.</w:t>
      </w:r>
    </w:p>
    <w:p w14:paraId="31B2D053" w14:textId="77777777" w:rsidR="008D0F75" w:rsidRPr="00B54094" w:rsidRDefault="008D0F75">
      <w:pPr>
        <w:spacing w:line="360" w:lineRule="auto"/>
        <w:jc w:val="both"/>
        <w:rPr>
          <w:rFonts w:ascii="Palatino Linotype" w:eastAsia="Palatino Linotype" w:hAnsi="Palatino Linotype" w:cs="Palatino Linotype"/>
        </w:rPr>
      </w:pPr>
    </w:p>
    <w:p w14:paraId="33EED63F"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lastRenderedPageBreak/>
        <w:t>Lo anterior, de conformidad a lo que señalan los artículos 3, fracciones IX, XX, XXXII, XLV; 6, 137 y 143 fracción I, de la Ley de Transparencia y Acceso a la Información Pública del Estado de México y Municipios vigente, que se leen como sigue:</w:t>
      </w:r>
      <w:r w:rsidRPr="00B54094">
        <w:rPr>
          <w:rFonts w:ascii="Palatino Linotype" w:eastAsia="Palatino Linotype" w:hAnsi="Palatino Linotype" w:cs="Palatino Linotype"/>
          <w:i/>
        </w:rPr>
        <w:t xml:space="preserve"> </w:t>
      </w:r>
    </w:p>
    <w:p w14:paraId="6C9DFD69" w14:textId="77777777" w:rsidR="008D0F75" w:rsidRPr="00B54094" w:rsidRDefault="008D0F75"/>
    <w:p w14:paraId="040F8CC6"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Artículo 3. Para los efectos de la presente Ley se entenderá por:</w:t>
      </w:r>
    </w:p>
    <w:p w14:paraId="6398437F"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IX. Datos personales: La información concerniente a una persona, identificada o identificable según lo dispuesto por la Ley de Protección de Datos Personales del Estado de México;</w:t>
      </w:r>
    </w:p>
    <w:p w14:paraId="6362487C"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XX. Información clasificada: Aquella considerada por la presente Ley como reservada o confidencial;</w:t>
      </w:r>
    </w:p>
    <w:p w14:paraId="4C83A5B9"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XXXII. Protección de Datos Personales: Derecho humano que tutela la privacidad de datos personales en poder de los sujetos obligados y sujetos particulares;</w:t>
      </w:r>
    </w:p>
    <w:p w14:paraId="71797A87"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5C5E8274"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0BF8E42"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Artículo 6.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FC145F4"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4A58285"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C8D2334"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D8C312C"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Artículo 143. Para los efectos de esta Ley se considera información confidencial, la clasificada como tal, de manera permanente, por su naturaleza, cuando:</w:t>
      </w:r>
    </w:p>
    <w:p w14:paraId="26473010"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I. Se refiera a la información privada y los datos personales concernientes a una persona física o jurídica colectiva identificada o identificable;</w:t>
      </w:r>
    </w:p>
    <w:p w14:paraId="140BAFCE"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F642B15"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lastRenderedPageBreak/>
        <w:t>III. La que presenten los particulares a los sujetos obligados, de conformidad con lo dispuesto por las leyes o los tratados internacionales.</w:t>
      </w:r>
    </w:p>
    <w:p w14:paraId="60D595C6"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CDFC244" w14:textId="77777777" w:rsidR="008D0F75" w:rsidRPr="00B54094" w:rsidRDefault="00B54094">
      <w:pPr>
        <w:spacing w:line="360" w:lineRule="auto"/>
        <w:ind w:right="51"/>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B54094">
        <w:rPr>
          <w:rFonts w:ascii="Palatino Linotype" w:eastAsia="Palatino Linotype" w:hAnsi="Palatino Linotype" w:cs="Palatino Linotype"/>
          <w:b/>
        </w:rPr>
        <w:t>EL SUJETO OBLIGADO</w:t>
      </w:r>
      <w:r w:rsidRPr="00B54094">
        <w:rPr>
          <w:rFonts w:ascii="Palatino Linotype" w:eastAsia="Palatino Linotype" w:hAnsi="Palatino Linotype" w:cs="Palatino Linotype"/>
        </w:rPr>
        <w:t xml:space="preserve"> deberá proceder a testar los Datos Personales que se encuentren contenidos en los documentos a entregar por su parte para satisfacer el derecho de acceso a la información pública de </w:t>
      </w:r>
      <w:r w:rsidRPr="00B54094">
        <w:rPr>
          <w:rFonts w:ascii="Palatino Linotype" w:eastAsia="Palatino Linotype" w:hAnsi="Palatino Linotype" w:cs="Palatino Linotype"/>
          <w:b/>
        </w:rPr>
        <w:t>LA PARTE RECURRENTE,</w:t>
      </w:r>
      <w:r w:rsidRPr="00B54094">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F2C95C7" w14:textId="77777777" w:rsidR="008D0F75" w:rsidRPr="00B54094" w:rsidRDefault="008D0F75">
      <w:pPr>
        <w:spacing w:line="360" w:lineRule="auto"/>
        <w:ind w:right="51"/>
        <w:jc w:val="both"/>
        <w:rPr>
          <w:rFonts w:ascii="Palatino Linotype" w:eastAsia="Palatino Linotype" w:hAnsi="Palatino Linotype" w:cs="Palatino Linotype"/>
        </w:rPr>
      </w:pPr>
    </w:p>
    <w:p w14:paraId="5C7ABC7F" w14:textId="77777777" w:rsidR="008D0F75" w:rsidRPr="00B54094" w:rsidRDefault="00B54094">
      <w:pPr>
        <w:spacing w:line="360" w:lineRule="auto"/>
        <w:ind w:right="50"/>
        <w:jc w:val="both"/>
        <w:rPr>
          <w:rFonts w:ascii="Palatino Linotype" w:eastAsia="Palatino Linotype" w:hAnsi="Palatino Linotype" w:cs="Palatino Linotype"/>
        </w:rPr>
      </w:pPr>
      <w:r w:rsidRPr="00B54094">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B9E3FBB" w14:textId="77777777" w:rsidR="008D0F75" w:rsidRPr="00B54094" w:rsidRDefault="008D0F75">
      <w:pPr>
        <w:spacing w:line="360" w:lineRule="auto"/>
        <w:ind w:right="50"/>
        <w:jc w:val="both"/>
        <w:rPr>
          <w:rFonts w:ascii="Palatino Linotype" w:eastAsia="Palatino Linotype" w:hAnsi="Palatino Linotype" w:cs="Palatino Linotype"/>
        </w:rPr>
      </w:pPr>
    </w:p>
    <w:p w14:paraId="30FFE2D8" w14:textId="77777777" w:rsidR="008D0F75" w:rsidRPr="00B54094" w:rsidRDefault="00B54094">
      <w:pPr>
        <w:spacing w:line="360" w:lineRule="auto"/>
        <w:ind w:right="51"/>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w:t>
      </w:r>
      <w:r w:rsidRPr="00B54094">
        <w:rPr>
          <w:rFonts w:ascii="Palatino Linotype" w:eastAsia="Palatino Linotype" w:hAnsi="Palatino Linotype" w:cs="Palatino Linotype"/>
        </w:rPr>
        <w:lastRenderedPageBreak/>
        <w:t xml:space="preserve">Transparencia del </w:t>
      </w:r>
      <w:r w:rsidRPr="00B54094">
        <w:rPr>
          <w:rFonts w:ascii="Palatino Linotype" w:eastAsia="Palatino Linotype" w:hAnsi="Palatino Linotype" w:cs="Palatino Linotype"/>
          <w:b/>
        </w:rPr>
        <w:t>SUJETO OBLIGADO</w:t>
      </w:r>
      <w:r w:rsidRPr="00B54094">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63AE4053" w14:textId="77777777" w:rsidR="008D0F75" w:rsidRPr="00B54094" w:rsidRDefault="008D0F75">
      <w:pPr>
        <w:spacing w:line="360" w:lineRule="auto"/>
        <w:ind w:right="51"/>
        <w:jc w:val="both"/>
        <w:rPr>
          <w:rFonts w:ascii="Palatino Linotype" w:eastAsia="Palatino Linotype" w:hAnsi="Palatino Linotype" w:cs="Palatino Linotype"/>
        </w:rPr>
      </w:pPr>
    </w:p>
    <w:p w14:paraId="2EE69169" w14:textId="77777777" w:rsidR="008D0F75" w:rsidRPr="00B54094" w:rsidRDefault="00B54094">
      <w:pPr>
        <w:ind w:left="992" w:right="1043"/>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Artículo 49. Los Comités de Transparencia tendrán las siguientes atribuciones:</w:t>
      </w:r>
    </w:p>
    <w:p w14:paraId="5E653A24" w14:textId="77777777" w:rsidR="008D0F75" w:rsidRPr="00B54094" w:rsidRDefault="00B54094">
      <w:pPr>
        <w:ind w:left="992" w:right="1043"/>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w:t>
      </w:r>
    </w:p>
    <w:p w14:paraId="6C745E7A" w14:textId="77777777" w:rsidR="008D0F75" w:rsidRPr="00B54094" w:rsidRDefault="00B54094">
      <w:pPr>
        <w:ind w:left="992" w:right="1043"/>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VIII. Aprobar, modificar o revocar la clasificación de la información;</w:t>
      </w:r>
    </w:p>
    <w:p w14:paraId="475961A3" w14:textId="77777777" w:rsidR="008D0F75" w:rsidRPr="00B54094" w:rsidRDefault="00B54094">
      <w:pPr>
        <w:ind w:left="992" w:right="1043"/>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w:t>
      </w:r>
    </w:p>
    <w:p w14:paraId="4B0372AC" w14:textId="77777777" w:rsidR="008D0F75" w:rsidRPr="00B54094" w:rsidRDefault="008D0F75">
      <w:pPr>
        <w:ind w:left="992" w:right="1043"/>
        <w:jc w:val="both"/>
        <w:rPr>
          <w:rFonts w:ascii="Palatino Linotype" w:eastAsia="Palatino Linotype" w:hAnsi="Palatino Linotype" w:cs="Palatino Linotype"/>
          <w:i/>
          <w:sz w:val="22"/>
          <w:szCs w:val="22"/>
        </w:rPr>
      </w:pPr>
    </w:p>
    <w:p w14:paraId="5E52FCC3" w14:textId="77777777" w:rsidR="008D0F75" w:rsidRPr="00B54094" w:rsidRDefault="00B54094">
      <w:pPr>
        <w:ind w:left="992" w:right="1043"/>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Artículo 53. Las Unidades de Transparencia tendrán las siguientes funciones:</w:t>
      </w:r>
    </w:p>
    <w:p w14:paraId="30B79B3C" w14:textId="77777777" w:rsidR="008D0F75" w:rsidRPr="00B54094" w:rsidRDefault="00B54094">
      <w:pPr>
        <w:ind w:left="992" w:right="1043"/>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w:t>
      </w:r>
    </w:p>
    <w:p w14:paraId="0ECB10D6" w14:textId="77777777" w:rsidR="008D0F75" w:rsidRPr="00B54094" w:rsidRDefault="00B54094">
      <w:pPr>
        <w:ind w:left="992" w:right="1043"/>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X. Presentar ante el Comité, el proyecto de clasificación de información;</w:t>
      </w:r>
    </w:p>
    <w:p w14:paraId="1F519286" w14:textId="77777777" w:rsidR="008D0F75" w:rsidRPr="00B54094" w:rsidRDefault="00B54094">
      <w:pPr>
        <w:ind w:left="992" w:right="1043"/>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w:t>
      </w:r>
    </w:p>
    <w:p w14:paraId="176EDBAD" w14:textId="77777777" w:rsidR="008D0F75" w:rsidRPr="00B54094" w:rsidRDefault="008D0F75">
      <w:pPr>
        <w:ind w:left="992" w:right="1043"/>
        <w:jc w:val="both"/>
        <w:rPr>
          <w:rFonts w:ascii="Palatino Linotype" w:eastAsia="Palatino Linotype" w:hAnsi="Palatino Linotype" w:cs="Palatino Linotype"/>
          <w:i/>
          <w:sz w:val="22"/>
          <w:szCs w:val="22"/>
        </w:rPr>
      </w:pPr>
    </w:p>
    <w:p w14:paraId="12EE29C8" w14:textId="77777777" w:rsidR="008D0F75" w:rsidRPr="00B54094" w:rsidRDefault="00B54094">
      <w:pPr>
        <w:ind w:left="992" w:right="1043"/>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Artículo 59. Los servidores públicos habilitados tendrán las funciones siguientes:</w:t>
      </w:r>
    </w:p>
    <w:p w14:paraId="55C59E65" w14:textId="77777777" w:rsidR="008D0F75" w:rsidRPr="00B54094" w:rsidRDefault="00B54094">
      <w:pPr>
        <w:ind w:left="992" w:right="1043"/>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w:t>
      </w:r>
    </w:p>
    <w:p w14:paraId="195A6023" w14:textId="77777777" w:rsidR="008D0F75" w:rsidRPr="00B54094" w:rsidRDefault="00B54094">
      <w:pPr>
        <w:ind w:left="992" w:right="1043"/>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3B26D138" w14:textId="77777777" w:rsidR="008D0F75" w:rsidRPr="00B54094" w:rsidRDefault="00B54094">
      <w:pPr>
        <w:ind w:left="992" w:right="1043"/>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w:t>
      </w:r>
    </w:p>
    <w:p w14:paraId="5B351527" w14:textId="77777777" w:rsidR="008D0F75" w:rsidRPr="00B54094" w:rsidRDefault="008D0F75">
      <w:pPr>
        <w:ind w:left="992" w:right="1043"/>
        <w:jc w:val="both"/>
        <w:rPr>
          <w:rFonts w:ascii="Palatino Linotype" w:eastAsia="Palatino Linotype" w:hAnsi="Palatino Linotype" w:cs="Palatino Linotype"/>
          <w:i/>
        </w:rPr>
      </w:pPr>
    </w:p>
    <w:p w14:paraId="1E7961C5"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B54094">
        <w:rPr>
          <w:rFonts w:ascii="Palatino Linotype" w:eastAsia="Palatino Linotype" w:hAnsi="Palatino Linotype" w:cs="Palatino Linotype"/>
          <w:b/>
        </w:rPr>
        <w:t>SUJETO OBLIGADO,</w:t>
      </w:r>
      <w:r w:rsidRPr="00B54094">
        <w:rPr>
          <w:rFonts w:ascii="Palatino Linotype" w:eastAsia="Palatino Linotype" w:hAnsi="Palatino Linotype" w:cs="Palatino Linotype"/>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1A88BEC" w14:textId="77777777" w:rsidR="008D0F75" w:rsidRPr="00B54094" w:rsidRDefault="008D0F75">
      <w:pPr>
        <w:spacing w:line="360" w:lineRule="auto"/>
        <w:jc w:val="both"/>
        <w:rPr>
          <w:rFonts w:ascii="Palatino Linotype" w:eastAsia="Palatino Linotype" w:hAnsi="Palatino Linotype" w:cs="Palatino Linotype"/>
        </w:rPr>
      </w:pPr>
    </w:p>
    <w:p w14:paraId="2A0CAFE8"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43C52296"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CCC9D05"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Artículo 149. El acuerdo que clasifique la información como confidencial deberá contener un razonamiento lógico en el que demuestre que la información se encuentra en alguna o algunas de las hipótesis previstas en la presente Ley.</w:t>
      </w:r>
    </w:p>
    <w:p w14:paraId="50B0C26D"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81FA1F2" w14:textId="77777777" w:rsidR="008D0F75" w:rsidRPr="00B54094" w:rsidRDefault="00B54094">
      <w:pPr>
        <w:spacing w:line="360" w:lineRule="auto"/>
        <w:ind w:right="51"/>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Es decir, el </w:t>
      </w:r>
      <w:r w:rsidRPr="00B54094">
        <w:rPr>
          <w:rFonts w:ascii="Palatino Linotype" w:eastAsia="Palatino Linotype" w:hAnsi="Palatino Linotype" w:cs="Palatino Linotype"/>
          <w:b/>
        </w:rPr>
        <w:t>SUJETO OBLIGADO</w:t>
      </w:r>
      <w:r w:rsidRPr="00B54094">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0948C4A"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Es así, que por cuanto hace al número de cuenta bancaria de los particulares debe ser clasificado como confidencial con fundamento en las fracciones I y II del artículo 143 de la ley de la materia; en razón de que, con su difusión se estaría poniendo en riesgo la seguridad de su titular.</w:t>
      </w:r>
    </w:p>
    <w:p w14:paraId="3DD6E8BF" w14:textId="77777777" w:rsidR="008D0F75" w:rsidRPr="00B54094" w:rsidRDefault="008D0F75">
      <w:pPr>
        <w:spacing w:line="360" w:lineRule="auto"/>
        <w:ind w:right="50"/>
        <w:jc w:val="both"/>
        <w:rPr>
          <w:rFonts w:ascii="Palatino Linotype" w:eastAsia="Palatino Linotype" w:hAnsi="Palatino Linotype" w:cs="Palatino Linotype"/>
        </w:rPr>
      </w:pPr>
    </w:p>
    <w:p w14:paraId="78ABB682" w14:textId="77777777" w:rsidR="008D0F75" w:rsidRPr="00B54094" w:rsidRDefault="00B54094">
      <w:pPr>
        <w:spacing w:line="360" w:lineRule="auto"/>
        <w:ind w:right="51"/>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w:t>
      </w:r>
      <w:r w:rsidRPr="00B54094">
        <w:rPr>
          <w:rFonts w:ascii="Palatino Linotype" w:eastAsia="Palatino Linotype" w:hAnsi="Palatino Linotype" w:cs="Palatino Linotype"/>
        </w:rPr>
        <w:lastRenderedPageBreak/>
        <w:t xml:space="preserve">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6E85923C" w14:textId="77777777" w:rsidR="008D0F75" w:rsidRPr="00B54094" w:rsidRDefault="008D0F75">
      <w:pPr>
        <w:spacing w:line="360" w:lineRule="auto"/>
        <w:ind w:right="51"/>
        <w:jc w:val="both"/>
        <w:rPr>
          <w:rFonts w:ascii="Palatino Linotype" w:eastAsia="Palatino Linotype" w:hAnsi="Palatino Linotype" w:cs="Palatino Linotype"/>
        </w:rPr>
      </w:pPr>
    </w:p>
    <w:p w14:paraId="1547EF20" w14:textId="77777777" w:rsidR="008D0F75" w:rsidRPr="00B54094" w:rsidRDefault="00B54094">
      <w:pPr>
        <w:spacing w:line="360" w:lineRule="auto"/>
        <w:ind w:right="50"/>
        <w:jc w:val="both"/>
        <w:rPr>
          <w:rFonts w:ascii="Palatino Linotype" w:eastAsia="Palatino Linotype" w:hAnsi="Palatino Linotype" w:cs="Palatino Linotype"/>
        </w:rPr>
      </w:pPr>
      <w:r w:rsidRPr="00B54094">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14:paraId="03AD64B0"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DFC610C"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b/>
          <w:i/>
          <w:sz w:val="22"/>
          <w:szCs w:val="22"/>
        </w:rPr>
        <w:t>Cuentas bancarias y/o CLABE interbancaria de personas físicas y morales privadas.</w:t>
      </w:r>
      <w:r w:rsidRPr="00B54094">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623CA2C"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660FD864" w14:textId="77777777" w:rsidR="008D0F75" w:rsidRPr="00B54094" w:rsidRDefault="00B54094">
      <w:pPr>
        <w:spacing w:line="360" w:lineRule="auto"/>
        <w:ind w:right="50"/>
        <w:jc w:val="both"/>
        <w:rPr>
          <w:rFonts w:ascii="Palatino Linotype" w:eastAsia="Palatino Linotype" w:hAnsi="Palatino Linotype" w:cs="Palatino Linotype"/>
        </w:rPr>
      </w:pPr>
      <w:r w:rsidRPr="00B54094">
        <w:rPr>
          <w:rFonts w:ascii="Palatino Linotype" w:eastAsia="Palatino Linotype" w:hAnsi="Palatino Linotype" w:cs="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08ED6F70"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7D8DFE0"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 xml:space="preserve">Cuentas bancarias y/o CLABE interbancaria de sujetos obligados que reciben y/o transfieren recursos públicos, son información pública. La difusión de las cuentas </w:t>
      </w:r>
      <w:r w:rsidRPr="00B54094">
        <w:rPr>
          <w:rFonts w:ascii="Palatino Linotype" w:eastAsia="Palatino Linotype" w:hAnsi="Palatino Linotype" w:cs="Palatino Linotype"/>
          <w:i/>
          <w:sz w:val="22"/>
          <w:szCs w:val="22"/>
        </w:rPr>
        <w:lastRenderedPageBreak/>
        <w:t xml:space="preserve">bancarias y claves interbancarias pertenecientes a un sujeto obligado favorece la rendición de cuentas al transparentar la forma en que se administran los recursos públicos, razón por la cual no pueden considerarse como información clasificada. </w:t>
      </w:r>
    </w:p>
    <w:p w14:paraId="76115316" w14:textId="77777777" w:rsidR="008D0F75" w:rsidRPr="00B54094" w:rsidRDefault="008D0F75"/>
    <w:p w14:paraId="11AD7479" w14:textId="77777777" w:rsidR="008D0F75" w:rsidRPr="00B54094" w:rsidRDefault="00B54094">
      <w:pPr>
        <w:spacing w:line="360" w:lineRule="auto"/>
        <w:ind w:right="50"/>
        <w:jc w:val="both"/>
        <w:rPr>
          <w:rFonts w:ascii="Palatino Linotype" w:eastAsia="Palatino Linotype" w:hAnsi="Palatino Linotype" w:cs="Palatino Linotype"/>
        </w:rPr>
      </w:pPr>
      <w:r w:rsidRPr="00B54094">
        <w:rPr>
          <w:rFonts w:ascii="Palatino Linotype" w:eastAsia="Palatino Linotype" w:hAnsi="Palatino Linotype" w:cs="Palatino Linotype"/>
        </w:rPr>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4659F4A3" w14:textId="77777777" w:rsidR="008D0F75" w:rsidRPr="00B54094" w:rsidRDefault="008D0F75">
      <w:pPr>
        <w:spacing w:line="360" w:lineRule="auto"/>
        <w:ind w:right="50"/>
        <w:jc w:val="both"/>
        <w:rPr>
          <w:rFonts w:ascii="Palatino Linotype" w:eastAsia="Palatino Linotype" w:hAnsi="Palatino Linotype" w:cs="Palatino Linotype"/>
        </w:rPr>
      </w:pPr>
    </w:p>
    <w:p w14:paraId="040AF147" w14:textId="77777777" w:rsidR="008D0F75" w:rsidRPr="00B54094" w:rsidRDefault="00B54094">
      <w:pPr>
        <w:spacing w:line="360" w:lineRule="auto"/>
        <w:ind w:right="50"/>
        <w:jc w:val="both"/>
        <w:rPr>
          <w:rFonts w:ascii="Palatino Linotype" w:eastAsia="Palatino Linotype" w:hAnsi="Palatino Linotype" w:cs="Palatino Linotype"/>
        </w:rPr>
      </w:pPr>
      <w:r w:rsidRPr="00B54094">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32D6DF06" w14:textId="77777777" w:rsidR="008D0F75" w:rsidRPr="00B54094" w:rsidRDefault="008D0F75">
      <w:pPr>
        <w:spacing w:line="360" w:lineRule="auto"/>
        <w:ind w:right="50"/>
        <w:jc w:val="both"/>
        <w:rPr>
          <w:rFonts w:ascii="Palatino Linotype" w:eastAsia="Palatino Linotype" w:hAnsi="Palatino Linotype" w:cs="Palatino Linotype"/>
        </w:rPr>
      </w:pPr>
    </w:p>
    <w:p w14:paraId="7836C5CA" w14:textId="77777777" w:rsidR="008D0F75" w:rsidRPr="00B54094" w:rsidRDefault="00B54094">
      <w:pPr>
        <w:spacing w:line="360" w:lineRule="auto"/>
        <w:ind w:right="50"/>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w:t>
      </w:r>
      <w:r w:rsidRPr="00B54094">
        <w:rPr>
          <w:rFonts w:ascii="Palatino Linotype" w:eastAsia="Palatino Linotype" w:hAnsi="Palatino Linotype" w:cs="Palatino Linotype"/>
        </w:rPr>
        <w:lastRenderedPageBreak/>
        <w:t>es la que puede generar certeza en los gobernados en que se está ejerciendo debidamente el presupuesto.</w:t>
      </w:r>
    </w:p>
    <w:p w14:paraId="684EC3B3" w14:textId="77777777" w:rsidR="008D0F75" w:rsidRPr="00B54094" w:rsidRDefault="008D0F75">
      <w:pPr>
        <w:spacing w:line="360" w:lineRule="auto"/>
        <w:ind w:right="50"/>
        <w:jc w:val="both"/>
        <w:rPr>
          <w:rFonts w:ascii="Palatino Linotype" w:eastAsia="Palatino Linotype" w:hAnsi="Palatino Linotype" w:cs="Palatino Linotype"/>
        </w:rPr>
      </w:pPr>
    </w:p>
    <w:p w14:paraId="30B6AAD5" w14:textId="77777777" w:rsidR="008D0F75" w:rsidRPr="00B54094" w:rsidRDefault="00B54094">
      <w:pPr>
        <w:spacing w:line="360" w:lineRule="auto"/>
        <w:jc w:val="both"/>
        <w:rPr>
          <w:rFonts w:ascii="Palatino Linotype" w:eastAsia="Palatino Linotype" w:hAnsi="Palatino Linotype" w:cs="Palatino Linotype"/>
          <w:b/>
          <w:i/>
        </w:rPr>
      </w:pPr>
      <w:r w:rsidRPr="00B54094">
        <w:rPr>
          <w:rFonts w:ascii="Palatino Linotype" w:eastAsia="Palatino Linotype" w:hAnsi="Palatino Linotype" w:cs="Palatino Linotype"/>
        </w:rPr>
        <w:t xml:space="preserve">Al respecto, se destaca que la versión pública que elabore </w:t>
      </w:r>
      <w:r w:rsidRPr="00B54094">
        <w:rPr>
          <w:rFonts w:ascii="Palatino Linotype" w:eastAsia="Palatino Linotype" w:hAnsi="Palatino Linotype" w:cs="Palatino Linotype"/>
          <w:b/>
        </w:rPr>
        <w:t>EL SUJETO OBLIGADO</w:t>
      </w:r>
      <w:r w:rsidRPr="00B54094">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B54094">
        <w:rPr>
          <w:rFonts w:ascii="Palatino Linotype" w:eastAsia="Palatino Linotype" w:hAnsi="Palatino Linotype" w:cs="Palatino Linotype"/>
          <w:i/>
        </w:rPr>
        <w:t>Lineamientos Generales en materia de Clasificación y Desclasificación de la Información, así como para la elaboración de Versiones Públicas</w:t>
      </w:r>
      <w:r w:rsidRPr="00B54094">
        <w:rPr>
          <w:rFonts w:ascii="Palatino Linotype" w:eastAsia="Palatino Linotype" w:hAnsi="Palatino Linotype" w:cs="Palatino Linotype"/>
          <w:b/>
          <w:i/>
        </w:rPr>
        <w:t xml:space="preserve"> </w:t>
      </w:r>
      <w:r w:rsidRPr="00B54094">
        <w:rPr>
          <w:rFonts w:ascii="Palatino Linotype" w:eastAsia="Palatino Linotype" w:hAnsi="Palatino Linotype" w:cs="Palatino Linotype"/>
        </w:rPr>
        <w:t>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6AC46A12"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C261354"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Lineamientos Generales en materia de Clasificación y Desclasificación de la Información, así como para la elaboración de Versiones Públicas</w:t>
      </w:r>
    </w:p>
    <w:p w14:paraId="2BC02873"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5DCA0B1"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Segundo.- Para efectos de los presentes Lineamientos Generales, se entenderá por:</w:t>
      </w:r>
    </w:p>
    <w:p w14:paraId="7C0D62C4"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 xml:space="preserve">XVIII. Versión pública: El documento a partir del que se otorga acceso a la información, en el que se testan partes o secciones clasificadas, indicando el contenido de éstas de manera genérica, </w:t>
      </w:r>
      <w:r w:rsidRPr="00B54094">
        <w:rPr>
          <w:rFonts w:ascii="Palatino Linotype" w:eastAsia="Palatino Linotype" w:hAnsi="Palatino Linotype" w:cs="Palatino Linotype"/>
          <w:i/>
          <w:sz w:val="22"/>
          <w:szCs w:val="22"/>
          <w:u w:val="single"/>
        </w:rPr>
        <w:t>fundando y motivando la</w:t>
      </w:r>
      <w:r w:rsidRPr="00B54094">
        <w:rPr>
          <w:rFonts w:ascii="Palatino Linotype" w:eastAsia="Palatino Linotype" w:hAnsi="Palatino Linotype" w:cs="Palatino Linotype"/>
          <w:i/>
          <w:sz w:val="22"/>
          <w:szCs w:val="22"/>
        </w:rPr>
        <w:t xml:space="preserve"> reserva o </w:t>
      </w:r>
      <w:r w:rsidRPr="00B54094">
        <w:rPr>
          <w:rFonts w:ascii="Palatino Linotype" w:eastAsia="Palatino Linotype" w:hAnsi="Palatino Linotype" w:cs="Palatino Linotype"/>
          <w:i/>
          <w:sz w:val="22"/>
          <w:szCs w:val="22"/>
          <w:u w:val="single"/>
        </w:rPr>
        <w:t>confidencialidad</w:t>
      </w:r>
      <w:r w:rsidRPr="00B54094">
        <w:rPr>
          <w:rFonts w:ascii="Palatino Linotype" w:eastAsia="Palatino Linotype" w:hAnsi="Palatino Linotype" w:cs="Palatino Linotype"/>
          <w:i/>
          <w:sz w:val="22"/>
          <w:szCs w:val="22"/>
        </w:rPr>
        <w:t>, a través de la resolución que para tal efecto emita el Comité de Transparencia.</w:t>
      </w:r>
    </w:p>
    <w:p w14:paraId="2892E973" w14:textId="77777777" w:rsidR="008D0F75" w:rsidRPr="00B54094" w:rsidRDefault="008D0F75"/>
    <w:p w14:paraId="27129827"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 xml:space="preserve">Cuarto. Para clasificar la información como reservada o confidencial, de manera total o parcial, el titular del área del sujeto obligado deberá atender lo dispuesto por el Título Sexto de la Ley General, en relación con las disposiciones contenidas </w:t>
      </w:r>
      <w:r w:rsidRPr="00B54094">
        <w:rPr>
          <w:rFonts w:ascii="Palatino Linotype" w:eastAsia="Palatino Linotype" w:hAnsi="Palatino Linotype" w:cs="Palatino Linotype"/>
          <w:i/>
          <w:sz w:val="22"/>
          <w:szCs w:val="22"/>
        </w:rPr>
        <w:lastRenderedPageBreak/>
        <w:t>en los presentes lineamientos, así como en aquellas disposiciones legales aplicables a la materia en el ámbito de sus respectivas competencias, en tanto estas últimas no contravengan lo dispuesto en la Ley General.</w:t>
      </w:r>
    </w:p>
    <w:p w14:paraId="0F63CC90"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02AB733A" w14:textId="77777777" w:rsidR="008D0F75" w:rsidRPr="00B54094" w:rsidRDefault="008D0F75"/>
    <w:p w14:paraId="0670336B"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9713DF5" w14:textId="77777777" w:rsidR="008D0F75" w:rsidRPr="00B54094" w:rsidRDefault="008D0F75"/>
    <w:p w14:paraId="28629F50"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Sexto. Los sujetos obligados no podrán emitir acuerdos de carácter general ni particular que clasifiquen documentos o expedientes como reservados, ni clasificar documentos antes de que se genere la información o cuando éstos no obren en sus archivos.</w:t>
      </w:r>
    </w:p>
    <w:p w14:paraId="6A8676F2"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438E10EC"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C2BF837"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Séptimo. La clasificación de la información se llevará a cabo en el momento en que:</w:t>
      </w:r>
    </w:p>
    <w:p w14:paraId="7DDE1E95"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I. Se reciba una solicitud de acceso a la información;</w:t>
      </w:r>
    </w:p>
    <w:p w14:paraId="4D483AB5"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II. Se determine mediante resolución de autoridad competente, o</w:t>
      </w:r>
    </w:p>
    <w:p w14:paraId="6700FFE7"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III. Se generen versiones públicas para dar cumplimiento a las obligaciones de transparencia previstas en la Ley General, la Ley Federal y las correspondientes de las entidades federativas.</w:t>
      </w:r>
    </w:p>
    <w:p w14:paraId="2C662C11"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66B55846" w14:textId="77777777" w:rsidR="008D0F75" w:rsidRPr="00B54094" w:rsidRDefault="008D0F75"/>
    <w:p w14:paraId="560855F0"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Octavo. Para fundar la clasificación de la información se debe señalar el artículo, fracción, inciso, párrafo o numeral de la ley o tratado internacional suscrito por el Estado mexicano que expresamente le otorga el carácter de reservada o confidencial.</w:t>
      </w:r>
    </w:p>
    <w:p w14:paraId="18D5B03B"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58D68B51"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39AB91FF"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60CA8E0"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2EB7468F"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81AA3BB"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1081739" w14:textId="77777777" w:rsidR="008D0F75" w:rsidRPr="00B54094" w:rsidRDefault="008D0F75"/>
    <w:p w14:paraId="6E6FBAD3"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Décimo.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F5F17AE"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E1C3EC3"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CA07C6E"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3D26DA3"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w:t>
      </w:r>
    </w:p>
    <w:p w14:paraId="1AC4F2CA"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0A2EA6E"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CAPÍTULO VIII</w:t>
      </w:r>
    </w:p>
    <w:p w14:paraId="55083688"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DE LA LEYENDA DE CLASIFICACIÓN</w:t>
      </w:r>
    </w:p>
    <w:p w14:paraId="3720DE91"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 xml:space="preserve">Quincuagésimo. Los titulares de las áreas de los sujetos obligados podrán utilizar los formatos contenidos en el presente Capítulo como modelo para señalar la </w:t>
      </w:r>
      <w:r w:rsidRPr="00B54094">
        <w:rPr>
          <w:rFonts w:ascii="Palatino Linotype" w:eastAsia="Palatino Linotype" w:hAnsi="Palatino Linotype" w:cs="Palatino Linotype"/>
          <w:i/>
          <w:sz w:val="22"/>
          <w:szCs w:val="22"/>
        </w:rPr>
        <w:lastRenderedPageBreak/>
        <w:t>clasificación de documentos o expedientes, sin perjuicio de que establezcan los propios.</w:t>
      </w:r>
    </w:p>
    <w:p w14:paraId="03072E61"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w:t>
      </w:r>
    </w:p>
    <w:p w14:paraId="458B0093"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Quincuagésimo tercero. El formato para señalar la clasificación parcial de un documento, es el siguiente:</w:t>
      </w:r>
    </w:p>
    <w:p w14:paraId="00A1F03C" w14:textId="77777777" w:rsidR="008D0F75" w:rsidRPr="00B54094" w:rsidRDefault="008D0F75"/>
    <w:tbl>
      <w:tblPr>
        <w:tblStyle w:val="ab"/>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B54094" w:rsidRPr="00B54094" w14:paraId="00C16095" w14:textId="77777777">
        <w:trPr>
          <w:jc w:val="center"/>
        </w:trPr>
        <w:tc>
          <w:tcPr>
            <w:tcW w:w="1159" w:type="dxa"/>
            <w:tcBorders>
              <w:top w:val="nil"/>
              <w:left w:val="nil"/>
              <w:bottom w:val="single" w:sz="4" w:space="0" w:color="000000"/>
              <w:right w:val="single" w:sz="4" w:space="0" w:color="000000"/>
            </w:tcBorders>
          </w:tcPr>
          <w:p w14:paraId="5F89D655" w14:textId="77777777" w:rsidR="008D0F75" w:rsidRPr="00B54094" w:rsidRDefault="008D0F75">
            <w:pPr>
              <w:jc w:val="both"/>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45F05EFC" w14:textId="77777777" w:rsidR="008D0F75" w:rsidRPr="00B54094" w:rsidRDefault="00B54094">
            <w:pPr>
              <w:jc w:val="center"/>
              <w:rPr>
                <w:rFonts w:ascii="Palatino Linotype" w:eastAsia="Palatino Linotype" w:hAnsi="Palatino Linotype" w:cs="Palatino Linotype"/>
                <w:b/>
                <w:i/>
                <w:sz w:val="22"/>
                <w:szCs w:val="22"/>
              </w:rPr>
            </w:pPr>
            <w:r w:rsidRPr="00B54094">
              <w:rPr>
                <w:rFonts w:ascii="Palatino Linotype" w:eastAsia="Palatino Linotype" w:hAnsi="Palatino Linotype" w:cs="Palatino Linotype"/>
                <w:b/>
                <w:i/>
                <w:sz w:val="22"/>
                <w:szCs w:val="22"/>
              </w:rPr>
              <w:t>Concepto</w:t>
            </w:r>
          </w:p>
        </w:tc>
        <w:tc>
          <w:tcPr>
            <w:tcW w:w="4531" w:type="dxa"/>
            <w:tcBorders>
              <w:top w:val="single" w:sz="4" w:space="0" w:color="000000"/>
              <w:left w:val="single" w:sz="4" w:space="0" w:color="000000"/>
              <w:bottom w:val="single" w:sz="4" w:space="0" w:color="000000"/>
              <w:right w:val="single" w:sz="4" w:space="0" w:color="000000"/>
            </w:tcBorders>
          </w:tcPr>
          <w:p w14:paraId="3178C243" w14:textId="77777777" w:rsidR="008D0F75" w:rsidRPr="00B54094" w:rsidRDefault="00B54094">
            <w:pPr>
              <w:jc w:val="center"/>
              <w:rPr>
                <w:rFonts w:ascii="Palatino Linotype" w:eastAsia="Palatino Linotype" w:hAnsi="Palatino Linotype" w:cs="Palatino Linotype"/>
                <w:b/>
                <w:i/>
                <w:sz w:val="22"/>
                <w:szCs w:val="22"/>
              </w:rPr>
            </w:pPr>
            <w:r w:rsidRPr="00B54094">
              <w:rPr>
                <w:rFonts w:ascii="Palatino Linotype" w:eastAsia="Palatino Linotype" w:hAnsi="Palatino Linotype" w:cs="Palatino Linotype"/>
                <w:b/>
                <w:i/>
                <w:sz w:val="22"/>
                <w:szCs w:val="22"/>
              </w:rPr>
              <w:t>Dónde:</w:t>
            </w:r>
          </w:p>
        </w:tc>
      </w:tr>
      <w:tr w:rsidR="00B54094" w:rsidRPr="00B54094" w14:paraId="0DAADC36"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15A2D83F" w14:textId="77777777" w:rsidR="008D0F75" w:rsidRPr="00B54094" w:rsidRDefault="00B54094">
            <w:pPr>
              <w:jc w:val="center"/>
              <w:rPr>
                <w:rFonts w:ascii="Palatino Linotype" w:eastAsia="Palatino Linotype" w:hAnsi="Palatino Linotype" w:cs="Palatino Linotype"/>
                <w:b/>
                <w:i/>
                <w:sz w:val="22"/>
                <w:szCs w:val="22"/>
              </w:rPr>
            </w:pPr>
            <w:r w:rsidRPr="00B54094">
              <w:rPr>
                <w:rFonts w:ascii="Palatino Linotype" w:eastAsia="Palatino Linotype" w:hAnsi="Palatino Linotype" w:cs="Palatino Linotype"/>
                <w:b/>
                <w:i/>
                <w:sz w:val="22"/>
                <w:szCs w:val="22"/>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234EB17F" w14:textId="77777777" w:rsidR="008D0F75" w:rsidRPr="00B54094" w:rsidRDefault="00B54094">
            <w:pPr>
              <w:jc w:val="center"/>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1CFC147E" w14:textId="77777777" w:rsidR="008D0F75" w:rsidRPr="00B54094" w:rsidRDefault="00B54094">
            <w:pPr>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Se anotará la fecha en la que el Comité de Transparencia confirmó la clasificación del documento, en su caso.</w:t>
            </w:r>
          </w:p>
        </w:tc>
      </w:tr>
      <w:tr w:rsidR="00B54094" w:rsidRPr="00B54094" w14:paraId="540DF6D4"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ECEC8D0" w14:textId="77777777" w:rsidR="008D0F75" w:rsidRPr="00B54094" w:rsidRDefault="008D0F75">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0DFAB6CF" w14:textId="77777777" w:rsidR="008D0F75" w:rsidRPr="00B54094" w:rsidRDefault="00B54094">
            <w:pPr>
              <w:jc w:val="center"/>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Área</w:t>
            </w:r>
          </w:p>
        </w:tc>
        <w:tc>
          <w:tcPr>
            <w:tcW w:w="4531" w:type="dxa"/>
            <w:tcBorders>
              <w:top w:val="single" w:sz="4" w:space="0" w:color="000000"/>
              <w:left w:val="single" w:sz="4" w:space="0" w:color="000000"/>
              <w:bottom w:val="single" w:sz="4" w:space="0" w:color="000000"/>
              <w:right w:val="single" w:sz="4" w:space="0" w:color="000000"/>
            </w:tcBorders>
          </w:tcPr>
          <w:p w14:paraId="6643D9F8" w14:textId="77777777" w:rsidR="008D0F75" w:rsidRPr="00B54094" w:rsidRDefault="00B54094">
            <w:pPr>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Se señalará el nombre del área del cual es titular quien clasifica.</w:t>
            </w:r>
          </w:p>
        </w:tc>
      </w:tr>
      <w:tr w:rsidR="00B54094" w:rsidRPr="00B54094" w14:paraId="23FA3F2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6C306E5" w14:textId="77777777" w:rsidR="008D0F75" w:rsidRPr="00B54094" w:rsidRDefault="008D0F75">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72EC5DE6" w14:textId="77777777" w:rsidR="008D0F75" w:rsidRPr="00B54094" w:rsidRDefault="00B54094">
            <w:pPr>
              <w:jc w:val="center"/>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70DB312B" w14:textId="77777777" w:rsidR="008D0F75" w:rsidRPr="00B54094" w:rsidRDefault="00B54094">
            <w:pPr>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54094" w:rsidRPr="00B54094" w14:paraId="58982BA3"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25475E2" w14:textId="77777777" w:rsidR="008D0F75" w:rsidRPr="00B54094" w:rsidRDefault="008D0F75">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0D3B2EFB" w14:textId="77777777" w:rsidR="008D0F75" w:rsidRPr="00B54094" w:rsidRDefault="00B54094">
            <w:pPr>
              <w:jc w:val="center"/>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3285F86D" w14:textId="77777777" w:rsidR="008D0F75" w:rsidRPr="00B54094" w:rsidRDefault="00B54094">
            <w:pPr>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Se anotará el número de años o meses por los que se mantendrá el documento o las partes del mismo como reservado.</w:t>
            </w:r>
          </w:p>
        </w:tc>
      </w:tr>
      <w:tr w:rsidR="00B54094" w:rsidRPr="00B54094" w14:paraId="444C935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0CEF556" w14:textId="77777777" w:rsidR="008D0F75" w:rsidRPr="00B54094" w:rsidRDefault="008D0F75">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7EA6DE5F" w14:textId="77777777" w:rsidR="008D0F75" w:rsidRPr="00B54094" w:rsidRDefault="00B54094">
            <w:pPr>
              <w:jc w:val="center"/>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62ADE58F" w14:textId="77777777" w:rsidR="008D0F75" w:rsidRPr="00B54094" w:rsidRDefault="00B54094">
            <w:pPr>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Se señalará el nombre del ordenamiento, el o los artículos, fracción(es), párrafo(s) con base en los cuales se sustente la reserva.</w:t>
            </w:r>
          </w:p>
        </w:tc>
      </w:tr>
      <w:tr w:rsidR="00B54094" w:rsidRPr="00B54094" w14:paraId="40060263"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8BC4146" w14:textId="77777777" w:rsidR="008D0F75" w:rsidRPr="00B54094" w:rsidRDefault="008D0F75">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7920F2C4" w14:textId="77777777" w:rsidR="008D0F75" w:rsidRPr="00B54094" w:rsidRDefault="00B54094">
            <w:pPr>
              <w:jc w:val="center"/>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000E4F54" w14:textId="77777777" w:rsidR="008D0F75" w:rsidRPr="00B54094" w:rsidRDefault="00B54094">
            <w:pPr>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En caso de haber solicitado la ampliación del periodo de reserva originalmente establecido, se deberá anotar el número de años o meses por los que se amplía la reserva.</w:t>
            </w:r>
          </w:p>
        </w:tc>
      </w:tr>
      <w:tr w:rsidR="00B54094" w:rsidRPr="00B54094" w14:paraId="000DE6BD"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19664A3" w14:textId="77777777" w:rsidR="008D0F75" w:rsidRPr="00B54094" w:rsidRDefault="008D0F75">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419F8C12" w14:textId="77777777" w:rsidR="008D0F75" w:rsidRPr="00B54094" w:rsidRDefault="00B54094">
            <w:pPr>
              <w:jc w:val="center"/>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Confidencial</w:t>
            </w:r>
          </w:p>
        </w:tc>
        <w:tc>
          <w:tcPr>
            <w:tcW w:w="4531" w:type="dxa"/>
            <w:tcBorders>
              <w:top w:val="single" w:sz="4" w:space="0" w:color="000000"/>
              <w:left w:val="single" w:sz="4" w:space="0" w:color="000000"/>
              <w:bottom w:val="single" w:sz="4" w:space="0" w:color="000000"/>
              <w:right w:val="single" w:sz="4" w:space="0" w:color="000000"/>
            </w:tcBorders>
          </w:tcPr>
          <w:p w14:paraId="20CD53A0" w14:textId="77777777" w:rsidR="008D0F75" w:rsidRPr="00B54094" w:rsidRDefault="00B54094">
            <w:pPr>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B54094" w:rsidRPr="00B54094" w14:paraId="527F962F"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0598A52" w14:textId="77777777" w:rsidR="008D0F75" w:rsidRPr="00B54094" w:rsidRDefault="008D0F75">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761C4554" w14:textId="77777777" w:rsidR="008D0F75" w:rsidRPr="00B54094" w:rsidRDefault="00B54094">
            <w:pPr>
              <w:jc w:val="center"/>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359C9151" w14:textId="77777777" w:rsidR="008D0F75" w:rsidRPr="00B54094" w:rsidRDefault="00B54094">
            <w:pPr>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Se señalará el nombre del ordenamiento, el o los artículos, fracción(es), párrafo(s) con base en los cuales se sustente la confidencialidad.</w:t>
            </w:r>
          </w:p>
        </w:tc>
      </w:tr>
      <w:tr w:rsidR="00B54094" w:rsidRPr="00B54094" w14:paraId="322E3553"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3B1670A" w14:textId="77777777" w:rsidR="008D0F75" w:rsidRPr="00B54094" w:rsidRDefault="008D0F75">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47CA9591" w14:textId="77777777" w:rsidR="008D0F75" w:rsidRPr="00B54094" w:rsidRDefault="00B54094">
            <w:pPr>
              <w:jc w:val="center"/>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41D8B896" w14:textId="77777777" w:rsidR="008D0F75" w:rsidRPr="00B54094" w:rsidRDefault="00B54094">
            <w:pPr>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Rúbrica autógrafa de quien clasifica.</w:t>
            </w:r>
          </w:p>
        </w:tc>
      </w:tr>
      <w:tr w:rsidR="00B54094" w:rsidRPr="00B54094" w14:paraId="7461A75E"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1C07B08" w14:textId="77777777" w:rsidR="008D0F75" w:rsidRPr="00B54094" w:rsidRDefault="008D0F75">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403CBF7E" w14:textId="77777777" w:rsidR="008D0F75" w:rsidRPr="00B54094" w:rsidRDefault="00B54094">
            <w:pPr>
              <w:jc w:val="center"/>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758B1997" w14:textId="77777777" w:rsidR="008D0F75" w:rsidRPr="00B54094" w:rsidRDefault="00B54094">
            <w:pPr>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Se anotará la fecha en que se desclasifica el documento.</w:t>
            </w:r>
          </w:p>
        </w:tc>
      </w:tr>
      <w:tr w:rsidR="00B54094" w:rsidRPr="00B54094" w14:paraId="0427CFB8"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15EC88B" w14:textId="77777777" w:rsidR="008D0F75" w:rsidRPr="00B54094" w:rsidRDefault="008D0F75">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0C405F08" w14:textId="77777777" w:rsidR="008D0F75" w:rsidRPr="00B54094" w:rsidRDefault="00B54094">
            <w:pPr>
              <w:jc w:val="center"/>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1C8A63EA" w14:textId="77777777" w:rsidR="008D0F75" w:rsidRPr="00B54094" w:rsidRDefault="00B54094">
            <w:pPr>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Rúbrica autógrafa de quien desclasifica.</w:t>
            </w:r>
          </w:p>
        </w:tc>
      </w:tr>
    </w:tbl>
    <w:p w14:paraId="065872CE" w14:textId="77777777" w:rsidR="008D0F75" w:rsidRPr="00B54094" w:rsidRDefault="008D0F75">
      <w:pPr>
        <w:spacing w:line="360" w:lineRule="auto"/>
        <w:jc w:val="both"/>
        <w:rPr>
          <w:rFonts w:ascii="Palatino Linotype" w:eastAsia="Palatino Linotype" w:hAnsi="Palatino Linotype" w:cs="Palatino Linotype"/>
        </w:rPr>
      </w:pPr>
    </w:p>
    <w:p w14:paraId="0A38FBB7"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471D5BC5" w14:textId="77777777" w:rsidR="008D0F75" w:rsidRPr="00B54094" w:rsidRDefault="008D0F75">
      <w:pPr>
        <w:spacing w:line="360" w:lineRule="auto"/>
        <w:jc w:val="both"/>
        <w:rPr>
          <w:rFonts w:ascii="Palatino Linotype" w:eastAsia="Palatino Linotype" w:hAnsi="Palatino Linotype" w:cs="Palatino Linotype"/>
        </w:rPr>
      </w:pPr>
    </w:p>
    <w:p w14:paraId="4C566890" w14:textId="77777777" w:rsidR="008D0F75" w:rsidRPr="00B54094" w:rsidRDefault="00B54094">
      <w:pPr>
        <w:shd w:val="clear" w:color="auto" w:fill="FFFFFF"/>
        <w:spacing w:line="360" w:lineRule="auto"/>
        <w:ind w:right="51"/>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B54094">
        <w:rPr>
          <w:rFonts w:ascii="Palatino Linotype" w:eastAsia="Palatino Linotype" w:hAnsi="Palatino Linotype" w:cs="Palatino Linotype"/>
          <w:b/>
        </w:rPr>
        <w:t>SUJETO OBLIGADO</w:t>
      </w:r>
      <w:r w:rsidRPr="00B54094">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 ya sea porque se testan o suprimen -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B54094">
        <w:rPr>
          <w:rFonts w:ascii="Palatino Linotype" w:eastAsia="Palatino Linotype" w:hAnsi="Palatino Linotype" w:cs="Palatino Linotype"/>
          <w:b/>
        </w:rPr>
        <w:t>LA PARTE RECURRENTE.</w:t>
      </w:r>
    </w:p>
    <w:p w14:paraId="29F6278B" w14:textId="77777777" w:rsidR="008D0F75" w:rsidRPr="00B54094" w:rsidRDefault="008D0F75">
      <w:pPr>
        <w:shd w:val="clear" w:color="auto" w:fill="FFFFFF"/>
        <w:spacing w:line="360" w:lineRule="auto"/>
        <w:ind w:right="51"/>
        <w:jc w:val="both"/>
        <w:rPr>
          <w:rFonts w:ascii="Palatino Linotype" w:eastAsia="Palatino Linotype" w:hAnsi="Palatino Linotype" w:cs="Palatino Linotype"/>
        </w:rPr>
      </w:pPr>
    </w:p>
    <w:p w14:paraId="6357C10E"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w:t>
      </w:r>
      <w:r w:rsidRPr="00B54094">
        <w:rPr>
          <w:rFonts w:ascii="Palatino Linotype" w:eastAsia="Palatino Linotype" w:hAnsi="Palatino Linotype" w:cs="Palatino Linotype"/>
        </w:rPr>
        <w:lastRenderedPageBreak/>
        <w:t>México y Municipios permite la elaboración de versiones públicas en las que se suprima aquella información relacionada con la vida privada.</w:t>
      </w:r>
    </w:p>
    <w:p w14:paraId="389633D1" w14:textId="77777777" w:rsidR="008D0F75" w:rsidRPr="00B54094" w:rsidRDefault="008D0F75">
      <w:pPr>
        <w:spacing w:line="360" w:lineRule="auto"/>
        <w:jc w:val="both"/>
        <w:rPr>
          <w:rFonts w:ascii="Palatino Linotype" w:eastAsia="Palatino Linotype" w:hAnsi="Palatino Linotype" w:cs="Palatino Linotype"/>
        </w:rPr>
      </w:pPr>
    </w:p>
    <w:p w14:paraId="754EAAD2" w14:textId="77777777" w:rsidR="008D0F75" w:rsidRPr="00B54094" w:rsidRDefault="00B54094">
      <w:pPr>
        <w:pBdr>
          <w:top w:val="nil"/>
          <w:left w:val="nil"/>
          <w:bottom w:val="nil"/>
          <w:right w:val="nil"/>
          <w:between w:val="nil"/>
        </w:pBdr>
        <w:spacing w:line="360" w:lineRule="auto"/>
        <w:jc w:val="both"/>
      </w:pPr>
      <w:r w:rsidRPr="00B54094">
        <w:rPr>
          <w:rFonts w:ascii="Palatino Linotype" w:eastAsia="Palatino Linotype" w:hAnsi="Palatino Linotype" w:cs="Palatino Linotype"/>
          <w:b/>
        </w:rPr>
        <w:t xml:space="preserve">SEXTO. VISTA A LA SECRETARÍA TÉCNICA DEL PLENO DEL INFOEM. </w:t>
      </w:r>
      <w:r w:rsidRPr="00B54094">
        <w:rPr>
          <w:rFonts w:ascii="Palatino Linotype" w:eastAsia="Palatino Linotype" w:hAnsi="Palatino Linotype" w:cs="Palatino Linotype"/>
        </w:rPr>
        <w:t xml:space="preserve">Finalmente, es de señalar que, como ha quedado de manifiesto, </w:t>
      </w:r>
      <w:r w:rsidRPr="00B54094">
        <w:rPr>
          <w:rFonts w:ascii="Palatino Linotype" w:eastAsia="Palatino Linotype" w:hAnsi="Palatino Linotype" w:cs="Palatino Linotype"/>
          <w:b/>
        </w:rPr>
        <w:t>EL SUJETO OBLIGADO</w:t>
      </w:r>
      <w:r w:rsidRPr="00B54094">
        <w:rPr>
          <w:rFonts w:ascii="Palatino Linotype" w:eastAsia="Palatino Linotype" w:hAnsi="Palatino Linotype" w:cs="Palatino Linotype"/>
        </w:rPr>
        <w:t xml:space="preserve">, omitió proporcionar la respuesta a la solicitud de acceso a la información pública </w:t>
      </w:r>
      <w:r w:rsidRPr="00B54094">
        <w:rPr>
          <w:rFonts w:ascii="Palatino Linotype" w:eastAsia="Palatino Linotype" w:hAnsi="Palatino Linotype" w:cs="Palatino Linotype"/>
          <w:b/>
        </w:rPr>
        <w:t>00845/ECATEPEC/IP/2022</w:t>
      </w:r>
      <w:r w:rsidRPr="00B54094">
        <w:rPr>
          <w:rFonts w:ascii="Palatino Linotype" w:eastAsia="Palatino Linotype" w:hAnsi="Palatino Linotype" w:cs="Palatino Linotype"/>
        </w:rPr>
        <w:t>, en el término contemplado en el artículo 163 de la ley de la materia, razón por la que se ordena dar vista a la Secretaría Técnica del Pleno de este Instituto para que dé vista al Órgano Interno de Control competente y se resuelva lo que a Derecho proceda, en términos del artículo 190 de la Ley de Transparencia y Acceso a la Información Pública del Estado de México y Municipios.</w:t>
      </w:r>
    </w:p>
    <w:p w14:paraId="65FC2895" w14:textId="77777777" w:rsidR="008D0F75" w:rsidRPr="00B54094" w:rsidRDefault="008D0F75">
      <w:pPr>
        <w:spacing w:line="360" w:lineRule="auto"/>
        <w:jc w:val="both"/>
        <w:rPr>
          <w:rFonts w:ascii="Palatino Linotype" w:eastAsia="Palatino Linotype" w:hAnsi="Palatino Linotype" w:cs="Palatino Linotype"/>
        </w:rPr>
      </w:pPr>
    </w:p>
    <w:p w14:paraId="15ADC45B"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 xml:space="preserve">De lo hasta aquí expuesto, se concluye que los motivos de inconformidad de </w:t>
      </w:r>
      <w:r w:rsidRPr="00B54094">
        <w:rPr>
          <w:rFonts w:ascii="Palatino Linotype" w:eastAsia="Palatino Linotype" w:hAnsi="Palatino Linotype" w:cs="Palatino Linotype"/>
          <w:b/>
        </w:rPr>
        <w:t>LA PARTE RECURRENTE</w:t>
      </w:r>
      <w:r w:rsidRPr="00B54094">
        <w:rPr>
          <w:rFonts w:ascii="Palatino Linotype" w:eastAsia="Palatino Linotype" w:hAnsi="Palatino Linotype" w:cs="Palatino Linotype"/>
        </w:rPr>
        <w:t xml:space="preserve"> devienen </w:t>
      </w:r>
      <w:r w:rsidRPr="00B54094">
        <w:rPr>
          <w:rFonts w:ascii="Palatino Linotype" w:eastAsia="Palatino Linotype" w:hAnsi="Palatino Linotype" w:cs="Palatino Linotype"/>
          <w:b/>
        </w:rPr>
        <w:t xml:space="preserve">FUNDADOS, </w:t>
      </w:r>
      <w:r w:rsidRPr="00B54094">
        <w:rPr>
          <w:rFonts w:ascii="Palatino Linotype" w:eastAsia="Palatino Linotype" w:hAnsi="Palatino Linotype" w:cs="Palatino Linotype"/>
        </w:rPr>
        <w:t xml:space="preserve">siendo procedente </w:t>
      </w:r>
      <w:r w:rsidRPr="00B54094">
        <w:rPr>
          <w:rFonts w:ascii="Palatino Linotype" w:eastAsia="Palatino Linotype" w:hAnsi="Palatino Linotype" w:cs="Palatino Linotype"/>
          <w:b/>
        </w:rPr>
        <w:t>ORDENAR</w:t>
      </w:r>
      <w:r w:rsidRPr="00B54094">
        <w:rPr>
          <w:rFonts w:ascii="Palatino Linotype" w:eastAsia="Palatino Linotype" w:hAnsi="Palatino Linotype" w:cs="Palatino Linotype"/>
        </w:rPr>
        <w:t xml:space="preserve"> al </w:t>
      </w:r>
      <w:r w:rsidRPr="00B54094">
        <w:rPr>
          <w:rFonts w:ascii="Palatino Linotype" w:eastAsia="Palatino Linotype" w:hAnsi="Palatino Linotype" w:cs="Palatino Linotype"/>
          <w:b/>
        </w:rPr>
        <w:t>SUJETO OBLIGADO</w:t>
      </w:r>
      <w:r w:rsidRPr="00B54094">
        <w:rPr>
          <w:rFonts w:ascii="Palatino Linotype" w:eastAsia="Palatino Linotype" w:hAnsi="Palatino Linotype" w:cs="Palatino Linotype"/>
        </w:rPr>
        <w:t xml:space="preserve"> dé respuesta en términos del artículo 186 fracción IV de la Ley de Transparencia y Acceso a la Información Pública del Estado de México y Municipios.</w:t>
      </w:r>
    </w:p>
    <w:p w14:paraId="4652A3EF" w14:textId="77777777" w:rsidR="008D0F75" w:rsidRPr="00B54094" w:rsidRDefault="008D0F75">
      <w:pPr>
        <w:spacing w:line="360" w:lineRule="auto"/>
        <w:jc w:val="both"/>
        <w:rPr>
          <w:rFonts w:ascii="Palatino Linotype" w:eastAsia="Palatino Linotype" w:hAnsi="Palatino Linotype" w:cs="Palatino Linotype"/>
        </w:rPr>
      </w:pPr>
      <w:bookmarkStart w:id="4" w:name="_heading=h.3dy6vkm" w:colFirst="0" w:colLast="0"/>
      <w:bookmarkEnd w:id="4"/>
    </w:p>
    <w:p w14:paraId="6B67EF99"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IV de la Ley de Transparencia y Acceso a la Información Pública del Estado de México y Municipios, este Pleno</w:t>
      </w:r>
    </w:p>
    <w:p w14:paraId="0D5FB061" w14:textId="77777777" w:rsidR="008D0F75" w:rsidRPr="00B54094" w:rsidRDefault="008D0F75">
      <w:pPr>
        <w:spacing w:line="360" w:lineRule="auto"/>
        <w:jc w:val="both"/>
      </w:pPr>
    </w:p>
    <w:p w14:paraId="2AFE2D04" w14:textId="77777777" w:rsidR="008D0F75" w:rsidRPr="00B54094" w:rsidRDefault="00B54094">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rPr>
      </w:pPr>
      <w:bookmarkStart w:id="5" w:name="_heading=h.3znysh7" w:colFirst="0" w:colLast="0"/>
      <w:bookmarkEnd w:id="5"/>
      <w:r w:rsidRPr="00B54094">
        <w:rPr>
          <w:rFonts w:ascii="Palatino Linotype" w:eastAsia="Palatino Linotype" w:hAnsi="Palatino Linotype" w:cs="Palatino Linotype"/>
          <w:b/>
        </w:rPr>
        <w:t>R E S U E L V E:</w:t>
      </w:r>
    </w:p>
    <w:p w14:paraId="7411B9A2" w14:textId="77777777" w:rsidR="008D0F75" w:rsidRPr="00B54094" w:rsidRDefault="008D0F75">
      <w:pPr>
        <w:pBdr>
          <w:top w:val="nil"/>
          <w:left w:val="nil"/>
          <w:bottom w:val="nil"/>
          <w:right w:val="nil"/>
          <w:between w:val="nil"/>
        </w:pBdr>
        <w:spacing w:line="360" w:lineRule="auto"/>
        <w:ind w:left="1080"/>
        <w:rPr>
          <w:rFonts w:ascii="Palatino Linotype" w:eastAsia="Palatino Linotype" w:hAnsi="Palatino Linotype" w:cs="Palatino Linotype"/>
          <w:b/>
        </w:rPr>
      </w:pPr>
    </w:p>
    <w:p w14:paraId="670B6B1E" w14:textId="77777777" w:rsidR="008D0F75" w:rsidRPr="00B54094" w:rsidRDefault="00B54094">
      <w:pPr>
        <w:spacing w:line="360" w:lineRule="auto"/>
        <w:jc w:val="both"/>
        <w:rPr>
          <w:rFonts w:ascii="Palatino Linotype" w:eastAsia="Palatino Linotype" w:hAnsi="Palatino Linotype" w:cs="Palatino Linotype"/>
        </w:rPr>
      </w:pPr>
      <w:bookmarkStart w:id="6" w:name="_heading=h.3rdcrjn" w:colFirst="0" w:colLast="0"/>
      <w:bookmarkEnd w:id="6"/>
      <w:r w:rsidRPr="00B54094">
        <w:rPr>
          <w:rFonts w:ascii="Palatino Linotype" w:eastAsia="Palatino Linotype" w:hAnsi="Palatino Linotype" w:cs="Palatino Linotype"/>
          <w:b/>
        </w:rPr>
        <w:t xml:space="preserve">PRIMERO. </w:t>
      </w:r>
      <w:r w:rsidRPr="00B54094">
        <w:rPr>
          <w:rFonts w:ascii="Palatino Linotype" w:eastAsia="Palatino Linotype" w:hAnsi="Palatino Linotype" w:cs="Palatino Linotype"/>
        </w:rPr>
        <w:t xml:space="preserve">Resultan </w:t>
      </w:r>
      <w:r w:rsidRPr="00B54094">
        <w:rPr>
          <w:rFonts w:ascii="Palatino Linotype" w:eastAsia="Palatino Linotype" w:hAnsi="Palatino Linotype" w:cs="Palatino Linotype"/>
          <w:b/>
        </w:rPr>
        <w:t>FUNDADAS</w:t>
      </w:r>
      <w:r w:rsidRPr="00B54094">
        <w:rPr>
          <w:rFonts w:ascii="Palatino Linotype" w:eastAsia="Palatino Linotype" w:hAnsi="Palatino Linotype" w:cs="Palatino Linotype"/>
        </w:rPr>
        <w:t xml:space="preserve"> las razones o motivos de inconformidad hechos valer por </w:t>
      </w:r>
      <w:r w:rsidRPr="00B54094">
        <w:rPr>
          <w:rFonts w:ascii="Palatino Linotype" w:eastAsia="Palatino Linotype" w:hAnsi="Palatino Linotype" w:cs="Palatino Linotype"/>
          <w:b/>
        </w:rPr>
        <w:t>LA PARTE RECURRENTE</w:t>
      </w:r>
      <w:r w:rsidRPr="00B54094">
        <w:rPr>
          <w:rFonts w:ascii="Palatino Linotype" w:eastAsia="Palatino Linotype" w:hAnsi="Palatino Linotype" w:cs="Palatino Linotype"/>
        </w:rPr>
        <w:t xml:space="preserve"> en el recurso de revisión </w:t>
      </w:r>
      <w:r w:rsidRPr="00B54094">
        <w:rPr>
          <w:rFonts w:ascii="Palatino Linotype" w:eastAsia="Palatino Linotype" w:hAnsi="Palatino Linotype" w:cs="Palatino Linotype"/>
          <w:b/>
        </w:rPr>
        <w:t>16059/INFOEM/IP/RR/2022</w:t>
      </w:r>
      <w:r w:rsidRPr="00B54094">
        <w:rPr>
          <w:rFonts w:ascii="Palatino Linotype" w:eastAsia="Palatino Linotype" w:hAnsi="Palatino Linotype" w:cs="Palatino Linotype"/>
        </w:rPr>
        <w:t>.</w:t>
      </w:r>
    </w:p>
    <w:p w14:paraId="3C195410" w14:textId="77777777" w:rsidR="008D0F75" w:rsidRPr="00B54094" w:rsidRDefault="008D0F75">
      <w:pPr>
        <w:spacing w:line="360" w:lineRule="auto"/>
        <w:jc w:val="both"/>
        <w:rPr>
          <w:rFonts w:ascii="Palatino Linotype" w:eastAsia="Palatino Linotype" w:hAnsi="Palatino Linotype" w:cs="Palatino Linotype"/>
        </w:rPr>
      </w:pPr>
    </w:p>
    <w:p w14:paraId="32BAAE73" w14:textId="77777777" w:rsidR="008D0F75" w:rsidRPr="00B54094" w:rsidRDefault="00B54094">
      <w:pPr>
        <w:spacing w:line="360" w:lineRule="auto"/>
        <w:ind w:right="49"/>
        <w:jc w:val="both"/>
        <w:rPr>
          <w:rFonts w:ascii="Palatino Linotype" w:eastAsia="Palatino Linotype" w:hAnsi="Palatino Linotype" w:cs="Palatino Linotype"/>
        </w:rPr>
      </w:pPr>
      <w:bookmarkStart w:id="7" w:name="_heading=h.1fob9te" w:colFirst="0" w:colLast="0"/>
      <w:bookmarkEnd w:id="7"/>
      <w:r w:rsidRPr="00B54094">
        <w:rPr>
          <w:rFonts w:ascii="Palatino Linotype" w:eastAsia="Palatino Linotype" w:hAnsi="Palatino Linotype" w:cs="Palatino Linotype"/>
          <w:b/>
        </w:rPr>
        <w:t xml:space="preserve">SEGUNDO. </w:t>
      </w:r>
      <w:r w:rsidRPr="00B54094">
        <w:rPr>
          <w:rFonts w:ascii="Palatino Linotype" w:eastAsia="Palatino Linotype" w:hAnsi="Palatino Linotype" w:cs="Palatino Linotype"/>
        </w:rPr>
        <w:t>Se</w:t>
      </w:r>
      <w:r w:rsidRPr="00B54094">
        <w:rPr>
          <w:rFonts w:ascii="Palatino Linotype" w:eastAsia="Palatino Linotype" w:hAnsi="Palatino Linotype" w:cs="Palatino Linotype"/>
          <w:b/>
        </w:rPr>
        <w:t xml:space="preserve"> ORDENA </w:t>
      </w:r>
      <w:r w:rsidRPr="00B54094">
        <w:rPr>
          <w:rFonts w:ascii="Palatino Linotype" w:eastAsia="Palatino Linotype" w:hAnsi="Palatino Linotype" w:cs="Palatino Linotype"/>
        </w:rPr>
        <w:t xml:space="preserve">al </w:t>
      </w:r>
      <w:r w:rsidRPr="00B54094">
        <w:rPr>
          <w:rFonts w:ascii="Palatino Linotype" w:eastAsia="Palatino Linotype" w:hAnsi="Palatino Linotype" w:cs="Palatino Linotype"/>
          <w:b/>
        </w:rPr>
        <w:t xml:space="preserve">SUJETO OBLIGADO </w:t>
      </w:r>
      <w:r w:rsidRPr="00B54094">
        <w:rPr>
          <w:rFonts w:ascii="Palatino Linotype" w:eastAsia="Palatino Linotype" w:hAnsi="Palatino Linotype" w:cs="Palatino Linotype"/>
        </w:rPr>
        <w:t xml:space="preserve">que haga entrega, en términos de los </w:t>
      </w:r>
      <w:r w:rsidRPr="00B54094">
        <w:rPr>
          <w:rFonts w:ascii="Palatino Linotype" w:eastAsia="Palatino Linotype" w:hAnsi="Palatino Linotype" w:cs="Palatino Linotype"/>
          <w:b/>
        </w:rPr>
        <w:t xml:space="preserve">CONSIDERANDOS CUARTO </w:t>
      </w:r>
      <w:r w:rsidRPr="00B54094">
        <w:rPr>
          <w:rFonts w:ascii="Palatino Linotype" w:eastAsia="Palatino Linotype" w:hAnsi="Palatino Linotype" w:cs="Palatino Linotype"/>
        </w:rPr>
        <w:t>y</w:t>
      </w:r>
      <w:r w:rsidRPr="00B54094">
        <w:rPr>
          <w:rFonts w:ascii="Palatino Linotype" w:eastAsia="Palatino Linotype" w:hAnsi="Palatino Linotype" w:cs="Palatino Linotype"/>
          <w:b/>
        </w:rPr>
        <w:t xml:space="preserve"> QUINTO</w:t>
      </w:r>
      <w:r w:rsidRPr="00B54094">
        <w:rPr>
          <w:rFonts w:ascii="Palatino Linotype" w:eastAsia="Palatino Linotype" w:hAnsi="Palatino Linotype" w:cs="Palatino Linotype"/>
        </w:rPr>
        <w:t xml:space="preserve"> de la presente  resolución, vía SAIMEX</w:t>
      </w:r>
      <w:r w:rsidRPr="00B54094">
        <w:rPr>
          <w:rFonts w:ascii="Palatino Linotype" w:eastAsia="Palatino Linotype" w:hAnsi="Palatino Linotype" w:cs="Palatino Linotype"/>
          <w:b/>
        </w:rPr>
        <w:t xml:space="preserve">, </w:t>
      </w:r>
      <w:r w:rsidRPr="00B54094">
        <w:rPr>
          <w:rFonts w:ascii="Palatino Linotype" w:eastAsia="Palatino Linotype" w:hAnsi="Palatino Linotype" w:cs="Palatino Linotype"/>
        </w:rPr>
        <w:t xml:space="preserve">y de ser procedente en versión pública, los documentos donde consten a mayor grado de desglose, lo siguiente: </w:t>
      </w:r>
    </w:p>
    <w:p w14:paraId="3EC333F0" w14:textId="77777777" w:rsidR="008D0F75" w:rsidRPr="00B54094" w:rsidRDefault="008D0F75">
      <w:pPr>
        <w:spacing w:line="360" w:lineRule="auto"/>
        <w:ind w:right="49"/>
        <w:jc w:val="both"/>
        <w:rPr>
          <w:rFonts w:ascii="Palatino Linotype" w:eastAsia="Palatino Linotype" w:hAnsi="Palatino Linotype" w:cs="Palatino Linotype"/>
        </w:rPr>
      </w:pPr>
    </w:p>
    <w:p w14:paraId="61AC66EF" w14:textId="77777777" w:rsidR="008D0F75" w:rsidRPr="00B54094" w:rsidRDefault="00B54094">
      <w:pPr>
        <w:spacing w:line="360" w:lineRule="auto"/>
        <w:ind w:left="720" w:right="49"/>
        <w:jc w:val="both"/>
        <w:rPr>
          <w:rFonts w:ascii="Palatino Linotype" w:eastAsia="Palatino Linotype" w:hAnsi="Palatino Linotype" w:cs="Palatino Linotype"/>
        </w:rPr>
      </w:pPr>
      <w:r w:rsidRPr="00B54094">
        <w:rPr>
          <w:rFonts w:ascii="Palatino Linotype" w:eastAsia="Palatino Linotype" w:hAnsi="Palatino Linotype" w:cs="Palatino Linotype"/>
          <w:b/>
        </w:rPr>
        <w:t>1</w:t>
      </w:r>
      <w:r w:rsidRPr="00B54094">
        <w:rPr>
          <w:rFonts w:ascii="Palatino Linotype" w:eastAsia="Palatino Linotype" w:hAnsi="Palatino Linotype" w:cs="Palatino Linotype"/>
        </w:rPr>
        <w:t>. Las erogaciones realizadas por las dos Sindicaturas y las doce Regidurías del Ayuntamiento de Ecatepec de Morelos, del diez de octubre de dos mil veintiuno al diez de octubre de dos mil veintidós.</w:t>
      </w:r>
    </w:p>
    <w:p w14:paraId="2DF5DC7B" w14:textId="77777777" w:rsidR="008D0F75" w:rsidRPr="00B54094" w:rsidRDefault="008D0F7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C18259D" w14:textId="77777777" w:rsidR="008D0F75" w:rsidRPr="00B54094" w:rsidRDefault="00B540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54094">
        <w:rPr>
          <w:rFonts w:ascii="Palatino Linotype" w:eastAsia="Palatino Linotype" w:hAnsi="Palatino Linotype" w:cs="Palatino Linotype"/>
          <w:i/>
          <w:sz w:val="22"/>
          <w:szCs w:val="22"/>
        </w:rPr>
        <w:t xml:space="preserve">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w:t>
      </w:r>
      <w:r w:rsidRPr="00B54094">
        <w:rPr>
          <w:rFonts w:ascii="Palatino Linotype" w:eastAsia="Palatino Linotype" w:hAnsi="Palatino Linotype" w:cs="Palatino Linotype"/>
          <w:b/>
          <w:i/>
          <w:sz w:val="22"/>
          <w:szCs w:val="22"/>
        </w:rPr>
        <w:t>LA PARTE RECURRENTE</w:t>
      </w:r>
      <w:r w:rsidRPr="00B54094">
        <w:rPr>
          <w:rFonts w:ascii="Palatino Linotype" w:eastAsia="Palatino Linotype" w:hAnsi="Palatino Linotype" w:cs="Palatino Linotype"/>
          <w:i/>
          <w:sz w:val="22"/>
          <w:szCs w:val="22"/>
        </w:rPr>
        <w:t>, mismo que igualmente hará de su conocimiento.</w:t>
      </w:r>
    </w:p>
    <w:p w14:paraId="5567C416" w14:textId="77777777" w:rsidR="008D0F75" w:rsidRPr="00B54094" w:rsidRDefault="008D0F75"/>
    <w:p w14:paraId="08DA67D9" w14:textId="77777777" w:rsidR="008D0F75" w:rsidRPr="00B54094" w:rsidRDefault="008D0F75">
      <w:pPr>
        <w:pBdr>
          <w:top w:val="nil"/>
          <w:left w:val="nil"/>
          <w:bottom w:val="nil"/>
          <w:right w:val="nil"/>
          <w:between w:val="nil"/>
        </w:pBdr>
        <w:ind w:right="864"/>
        <w:jc w:val="both"/>
        <w:rPr>
          <w:rFonts w:ascii="Palatino Linotype" w:eastAsia="Palatino Linotype" w:hAnsi="Palatino Linotype" w:cs="Palatino Linotype"/>
          <w:i/>
          <w:sz w:val="22"/>
          <w:szCs w:val="22"/>
        </w:rPr>
      </w:pPr>
    </w:p>
    <w:p w14:paraId="3DCE99DE"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 xml:space="preserve">TERCERO. Notifíquese </w:t>
      </w:r>
      <w:r w:rsidRPr="00B54094">
        <w:rPr>
          <w:rFonts w:ascii="Palatino Linotype" w:eastAsia="Palatino Linotype" w:hAnsi="Palatino Linotype" w:cs="Palatino Linotype"/>
        </w:rPr>
        <w:t>vía SAIMEX</w:t>
      </w:r>
      <w:r w:rsidRPr="00B54094">
        <w:rPr>
          <w:rFonts w:ascii="Palatino Linotype" w:eastAsia="Palatino Linotype" w:hAnsi="Palatino Linotype" w:cs="Palatino Linotype"/>
          <w:b/>
        </w:rPr>
        <w:t xml:space="preserve"> </w:t>
      </w:r>
      <w:r w:rsidRPr="00B54094">
        <w:rPr>
          <w:rFonts w:ascii="Palatino Linotype" w:eastAsia="Palatino Linotype" w:hAnsi="Palatino Linotype" w:cs="Palatino Linotype"/>
        </w:rPr>
        <w:t xml:space="preserve">la presente resolución al Titular de la Unidad de Transparencia del </w:t>
      </w:r>
      <w:r w:rsidRPr="00B54094">
        <w:rPr>
          <w:rFonts w:ascii="Palatino Linotype" w:eastAsia="Palatino Linotype" w:hAnsi="Palatino Linotype" w:cs="Palatino Linotype"/>
          <w:b/>
        </w:rPr>
        <w:t xml:space="preserve">SUJETO OBLIGADO, </w:t>
      </w:r>
      <w:r w:rsidRPr="00B54094">
        <w:rPr>
          <w:rFonts w:ascii="Palatino Linotype" w:eastAsia="Palatino Linotype" w:hAnsi="Palatino Linotype" w:cs="Palatino Linotype"/>
        </w:rPr>
        <w:t xml:space="preserve">para que conforme al artículo 186 último párrafo, 189 segundo párrafo y 194 de la Ley de Transparencia y Acceso a la Información Pública del Estado de México y Municipios; dé cumplimiento a lo </w:t>
      </w:r>
      <w:r w:rsidRPr="00B54094">
        <w:rPr>
          <w:rFonts w:ascii="Palatino Linotype" w:eastAsia="Palatino Linotype" w:hAnsi="Palatino Linotype" w:cs="Palatino Linotype"/>
        </w:rPr>
        <w:lastRenderedPageBreak/>
        <w:t>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9F1AFAB" w14:textId="77777777" w:rsidR="008D0F75" w:rsidRPr="00B54094" w:rsidRDefault="008D0F75">
      <w:pPr>
        <w:spacing w:line="360" w:lineRule="auto"/>
        <w:jc w:val="both"/>
        <w:rPr>
          <w:rFonts w:ascii="Palatino Linotype" w:eastAsia="Palatino Linotype" w:hAnsi="Palatino Linotype" w:cs="Palatino Linotype"/>
        </w:rPr>
      </w:pPr>
    </w:p>
    <w:p w14:paraId="07ECFAAE" w14:textId="77777777" w:rsidR="008D0F75" w:rsidRPr="00B54094" w:rsidRDefault="00B54094">
      <w:pPr>
        <w:widowControl w:val="0"/>
        <w:tabs>
          <w:tab w:val="left" w:pos="1701"/>
        </w:tabs>
        <w:spacing w:line="360" w:lineRule="auto"/>
        <w:ind w:right="49"/>
        <w:jc w:val="both"/>
        <w:rPr>
          <w:rFonts w:ascii="Palatino Linotype" w:eastAsia="Palatino Linotype" w:hAnsi="Palatino Linotype" w:cs="Palatino Linotype"/>
        </w:rPr>
      </w:pPr>
      <w:r w:rsidRPr="00B54094">
        <w:rPr>
          <w:rFonts w:ascii="Palatino Linotype" w:eastAsia="Palatino Linotype" w:hAnsi="Palatino Linotype" w:cs="Palatino Linotype"/>
          <w:b/>
        </w:rPr>
        <w:t xml:space="preserve">CUARTO. Hágase </w:t>
      </w:r>
      <w:r w:rsidRPr="00B54094">
        <w:rPr>
          <w:rFonts w:ascii="Palatino Linotype" w:eastAsia="Palatino Linotype" w:hAnsi="Palatino Linotype" w:cs="Palatino Linotype"/>
        </w:rPr>
        <w:t>del conocimiento</w:t>
      </w:r>
      <w:r w:rsidRPr="00B54094">
        <w:rPr>
          <w:rFonts w:ascii="Palatino Linotype" w:eastAsia="Palatino Linotype" w:hAnsi="Palatino Linotype" w:cs="Palatino Linotype"/>
          <w:b/>
        </w:rPr>
        <w:t xml:space="preserve"> </w:t>
      </w:r>
      <w:r w:rsidRPr="00B54094">
        <w:rPr>
          <w:rFonts w:ascii="Palatino Linotype" w:eastAsia="Palatino Linotype" w:hAnsi="Palatino Linotype" w:cs="Palatino Linotype"/>
        </w:rPr>
        <w:t xml:space="preserve">de </w:t>
      </w:r>
      <w:r w:rsidRPr="00B54094">
        <w:rPr>
          <w:rFonts w:ascii="Palatino Linotype" w:eastAsia="Palatino Linotype" w:hAnsi="Palatino Linotype" w:cs="Palatino Linotype"/>
          <w:b/>
        </w:rPr>
        <w:t>LA PARTE</w:t>
      </w:r>
      <w:r w:rsidRPr="00B54094">
        <w:rPr>
          <w:rFonts w:ascii="Palatino Linotype" w:eastAsia="Palatino Linotype" w:hAnsi="Palatino Linotype" w:cs="Palatino Linotype"/>
        </w:rPr>
        <w:t xml:space="preserve"> </w:t>
      </w:r>
      <w:r w:rsidRPr="00B54094">
        <w:rPr>
          <w:rFonts w:ascii="Palatino Linotype" w:eastAsia="Palatino Linotype" w:hAnsi="Palatino Linotype" w:cs="Palatino Linotype"/>
          <w:b/>
        </w:rPr>
        <w:t xml:space="preserve">RECURRENTE </w:t>
      </w:r>
      <w:r w:rsidRPr="00B54094">
        <w:rPr>
          <w:rFonts w:ascii="Palatino Linotype" w:eastAsia="Palatino Linotype" w:hAnsi="Palatino Linotype" w:cs="Palatino Linotype"/>
        </w:rPr>
        <w:t xml:space="preserve">que la respuesta que dé </w:t>
      </w:r>
      <w:r w:rsidRPr="00B54094">
        <w:rPr>
          <w:rFonts w:ascii="Palatino Linotype" w:eastAsia="Palatino Linotype" w:hAnsi="Palatino Linotype" w:cs="Palatino Linotype"/>
          <w:b/>
        </w:rPr>
        <w:t>EL SUJETO OBLIGADO</w:t>
      </w:r>
      <w:r w:rsidRPr="00B54094">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2959AA99" w14:textId="77777777" w:rsidR="008D0F75" w:rsidRPr="00B54094" w:rsidRDefault="008D0F75">
      <w:pPr>
        <w:spacing w:line="360" w:lineRule="auto"/>
        <w:jc w:val="both"/>
        <w:rPr>
          <w:rFonts w:ascii="Palatino Linotype" w:eastAsia="Palatino Linotype" w:hAnsi="Palatino Linotype" w:cs="Palatino Linotype"/>
          <w:b/>
        </w:rPr>
      </w:pPr>
    </w:p>
    <w:p w14:paraId="6FF26AB3"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QUINTO. Notifíquese</w:t>
      </w:r>
      <w:r w:rsidRPr="00B54094">
        <w:rPr>
          <w:rFonts w:ascii="Palatino Linotype" w:eastAsia="Palatino Linotype" w:hAnsi="Palatino Linotype" w:cs="Palatino Linotype"/>
        </w:rPr>
        <w:t xml:space="preserve"> vía SAIMEX,</w:t>
      </w:r>
      <w:r w:rsidRPr="00B54094">
        <w:rPr>
          <w:rFonts w:ascii="Palatino Linotype" w:eastAsia="Palatino Linotype" w:hAnsi="Palatino Linotype" w:cs="Palatino Linotype"/>
          <w:b/>
        </w:rPr>
        <w:t xml:space="preserve"> </w:t>
      </w:r>
      <w:r w:rsidRPr="00B54094">
        <w:rPr>
          <w:rFonts w:ascii="Palatino Linotype" w:eastAsia="Palatino Linotype" w:hAnsi="Palatino Linotype" w:cs="Palatino Linotype"/>
        </w:rPr>
        <w:t xml:space="preserve">a </w:t>
      </w:r>
      <w:r w:rsidRPr="00B54094">
        <w:rPr>
          <w:rFonts w:ascii="Palatino Linotype" w:eastAsia="Palatino Linotype" w:hAnsi="Palatino Linotype" w:cs="Palatino Linotype"/>
          <w:b/>
        </w:rPr>
        <w:t>LA PARTE</w:t>
      </w:r>
      <w:r w:rsidRPr="00B54094">
        <w:rPr>
          <w:rFonts w:ascii="Palatino Linotype" w:eastAsia="Palatino Linotype" w:hAnsi="Palatino Linotype" w:cs="Palatino Linotype"/>
        </w:rPr>
        <w:t xml:space="preserve"> </w:t>
      </w:r>
      <w:r w:rsidRPr="00B54094">
        <w:rPr>
          <w:rFonts w:ascii="Palatino Linotype" w:eastAsia="Palatino Linotype" w:hAnsi="Palatino Linotype" w:cs="Palatino Linotype"/>
          <w:b/>
        </w:rPr>
        <w:t>RECURRENTE</w:t>
      </w:r>
      <w:r w:rsidRPr="00B54094">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41F43AEE" w14:textId="77777777" w:rsidR="008D0F75" w:rsidRPr="00B54094" w:rsidRDefault="008D0F75">
      <w:pPr>
        <w:spacing w:line="360" w:lineRule="auto"/>
        <w:jc w:val="both"/>
        <w:rPr>
          <w:rFonts w:ascii="Palatino Linotype" w:eastAsia="Palatino Linotype" w:hAnsi="Palatino Linotype" w:cs="Palatino Linotype"/>
        </w:rPr>
      </w:pPr>
    </w:p>
    <w:p w14:paraId="51859780"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b/>
        </w:rPr>
        <w:t>SEXTO. Gírese</w:t>
      </w:r>
      <w:r w:rsidRPr="00B54094">
        <w:rPr>
          <w:rFonts w:ascii="Palatino Linotype" w:eastAsia="Palatino Linotype" w:hAnsi="Palatino Linotype" w:cs="Palatino Linotype"/>
        </w:rPr>
        <w:t xml:space="preserv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w:t>
      </w:r>
      <w:r w:rsidRPr="00B54094">
        <w:rPr>
          <w:rFonts w:ascii="Palatino Linotype" w:eastAsia="Palatino Linotype" w:hAnsi="Palatino Linotype" w:cs="Palatino Linotype"/>
        </w:rPr>
        <w:lastRenderedPageBreak/>
        <w:t xml:space="preserve">conducente, en términos de lo señalado en el </w:t>
      </w:r>
      <w:r w:rsidRPr="00B54094">
        <w:rPr>
          <w:rFonts w:ascii="Palatino Linotype" w:eastAsia="Palatino Linotype" w:hAnsi="Palatino Linotype" w:cs="Palatino Linotype"/>
          <w:b/>
        </w:rPr>
        <w:t>CONSIDERANDO SEXTO</w:t>
      </w:r>
      <w:r w:rsidRPr="00B54094">
        <w:rPr>
          <w:rFonts w:ascii="Palatino Linotype" w:eastAsia="Palatino Linotype" w:hAnsi="Palatino Linotype" w:cs="Palatino Linotype"/>
        </w:rPr>
        <w:t xml:space="preserve"> de la presente resolución.</w:t>
      </w:r>
    </w:p>
    <w:p w14:paraId="0D11D794" w14:textId="77777777" w:rsidR="008D0F75" w:rsidRPr="00B54094" w:rsidRDefault="008D0F75">
      <w:pPr>
        <w:spacing w:line="360" w:lineRule="auto"/>
        <w:jc w:val="both"/>
        <w:rPr>
          <w:rFonts w:ascii="Palatino Linotype" w:eastAsia="Palatino Linotype" w:hAnsi="Palatino Linotype" w:cs="Palatino Linotype"/>
        </w:rPr>
      </w:pPr>
    </w:p>
    <w:p w14:paraId="00880696" w14:textId="77777777" w:rsidR="008D0F75" w:rsidRPr="00B54094" w:rsidRDefault="00B54094">
      <w:pPr>
        <w:spacing w:line="360" w:lineRule="auto"/>
        <w:jc w:val="both"/>
        <w:rPr>
          <w:rFonts w:ascii="Palatino Linotype" w:eastAsia="Palatino Linotype" w:hAnsi="Palatino Linotype" w:cs="Palatino Linotype"/>
        </w:rPr>
      </w:pPr>
      <w:r w:rsidRPr="00B54094">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TREINTA Y UNO DE MAYO DE DOS MIL VEINTITRÉS, ANTE EL SECRETARIO TÉCNICO DEL PLENO ALEXIS TAPIA RAMÍREZ.</w:t>
      </w:r>
    </w:p>
    <w:p w14:paraId="7D715658" w14:textId="77777777" w:rsidR="008D0F75" w:rsidRPr="00B54094" w:rsidRDefault="008D0F75">
      <w:pPr>
        <w:spacing w:line="360" w:lineRule="auto"/>
        <w:jc w:val="both"/>
        <w:rPr>
          <w:rFonts w:ascii="Palatino Linotype" w:eastAsia="Palatino Linotype" w:hAnsi="Palatino Linotype" w:cs="Palatino Linotype"/>
        </w:rPr>
      </w:pPr>
    </w:p>
    <w:p w14:paraId="000A7478" w14:textId="77777777" w:rsidR="008D0F75" w:rsidRPr="00B54094" w:rsidRDefault="008D0F75">
      <w:pPr>
        <w:spacing w:line="360" w:lineRule="auto"/>
        <w:jc w:val="both"/>
        <w:rPr>
          <w:rFonts w:ascii="Palatino Linotype" w:eastAsia="Palatino Linotype" w:hAnsi="Palatino Linotype" w:cs="Palatino Linotype"/>
        </w:rPr>
      </w:pPr>
    </w:p>
    <w:p w14:paraId="2C22E069" w14:textId="77777777" w:rsidR="008D0F75" w:rsidRPr="00B54094" w:rsidRDefault="008D0F75">
      <w:pPr>
        <w:spacing w:line="360" w:lineRule="auto"/>
        <w:jc w:val="both"/>
        <w:rPr>
          <w:rFonts w:ascii="Palatino Linotype" w:eastAsia="Palatino Linotype" w:hAnsi="Palatino Linotype" w:cs="Palatino Linotype"/>
        </w:rPr>
      </w:pPr>
    </w:p>
    <w:p w14:paraId="5107D431" w14:textId="77777777" w:rsidR="008D0F75" w:rsidRPr="00B54094" w:rsidRDefault="008D0F75">
      <w:pPr>
        <w:spacing w:line="360" w:lineRule="auto"/>
        <w:rPr>
          <w:rFonts w:ascii="Palatino Linotype" w:eastAsia="Palatino Linotype" w:hAnsi="Palatino Linotype" w:cs="Palatino Linotype"/>
        </w:rPr>
      </w:pPr>
    </w:p>
    <w:p w14:paraId="34643E2F" w14:textId="77777777" w:rsidR="008D0F75" w:rsidRPr="00B54094" w:rsidRDefault="008D0F75">
      <w:pPr>
        <w:spacing w:line="360" w:lineRule="auto"/>
        <w:jc w:val="both"/>
        <w:rPr>
          <w:rFonts w:ascii="Palatino Linotype" w:eastAsia="Palatino Linotype" w:hAnsi="Palatino Linotype" w:cs="Palatino Linotype"/>
        </w:rPr>
      </w:pPr>
    </w:p>
    <w:p w14:paraId="04B25783" w14:textId="77777777" w:rsidR="008D0F75" w:rsidRPr="00B54094" w:rsidRDefault="008D0F75">
      <w:pPr>
        <w:spacing w:line="360" w:lineRule="auto"/>
        <w:jc w:val="both"/>
        <w:rPr>
          <w:rFonts w:ascii="Palatino Linotype" w:eastAsia="Palatino Linotype" w:hAnsi="Palatino Linotype" w:cs="Palatino Linotype"/>
        </w:rPr>
      </w:pPr>
    </w:p>
    <w:p w14:paraId="48D3E62D" w14:textId="77777777" w:rsidR="008D0F75" w:rsidRPr="00B54094" w:rsidRDefault="008D0F75">
      <w:pPr>
        <w:spacing w:line="360" w:lineRule="auto"/>
        <w:jc w:val="both"/>
        <w:rPr>
          <w:rFonts w:ascii="Palatino Linotype" w:eastAsia="Palatino Linotype" w:hAnsi="Palatino Linotype" w:cs="Palatino Linotype"/>
        </w:rPr>
      </w:pPr>
    </w:p>
    <w:p w14:paraId="04321EEC" w14:textId="77777777" w:rsidR="008D0F75" w:rsidRPr="00B54094" w:rsidRDefault="008D0F75">
      <w:pPr>
        <w:spacing w:line="360" w:lineRule="auto"/>
        <w:jc w:val="both"/>
        <w:rPr>
          <w:rFonts w:ascii="Palatino Linotype" w:eastAsia="Palatino Linotype" w:hAnsi="Palatino Linotype" w:cs="Palatino Linotype"/>
        </w:rPr>
      </w:pPr>
    </w:p>
    <w:p w14:paraId="11D8FDA8" w14:textId="77777777" w:rsidR="008D0F75" w:rsidRPr="00B54094" w:rsidRDefault="008D0F75">
      <w:pPr>
        <w:spacing w:line="360" w:lineRule="auto"/>
        <w:jc w:val="both"/>
        <w:rPr>
          <w:rFonts w:ascii="Palatino Linotype" w:eastAsia="Palatino Linotype" w:hAnsi="Palatino Linotype" w:cs="Palatino Linotype"/>
        </w:rPr>
      </w:pPr>
    </w:p>
    <w:p w14:paraId="4C87D92B" w14:textId="77777777" w:rsidR="008D0F75" w:rsidRPr="00B54094" w:rsidRDefault="008D0F75">
      <w:pPr>
        <w:spacing w:line="360" w:lineRule="auto"/>
        <w:jc w:val="both"/>
        <w:rPr>
          <w:rFonts w:ascii="Palatino Linotype" w:eastAsia="Palatino Linotype" w:hAnsi="Palatino Linotype" w:cs="Palatino Linotype"/>
        </w:rPr>
      </w:pPr>
    </w:p>
    <w:p w14:paraId="12A316DF" w14:textId="77777777" w:rsidR="008D0F75" w:rsidRPr="00B54094" w:rsidRDefault="008D0F75">
      <w:pPr>
        <w:spacing w:line="360" w:lineRule="auto"/>
        <w:jc w:val="both"/>
        <w:rPr>
          <w:rFonts w:ascii="Palatino Linotype" w:eastAsia="Palatino Linotype" w:hAnsi="Palatino Linotype" w:cs="Palatino Linotype"/>
        </w:rPr>
      </w:pPr>
    </w:p>
    <w:p w14:paraId="15B13118" w14:textId="77777777" w:rsidR="008D0F75" w:rsidRPr="00B54094" w:rsidRDefault="008D0F75">
      <w:pPr>
        <w:spacing w:line="360" w:lineRule="auto"/>
        <w:jc w:val="both"/>
        <w:rPr>
          <w:rFonts w:ascii="Palatino Linotype" w:eastAsia="Palatino Linotype" w:hAnsi="Palatino Linotype" w:cs="Palatino Linotype"/>
        </w:rPr>
      </w:pPr>
    </w:p>
    <w:p w14:paraId="49B53584" w14:textId="77777777" w:rsidR="008D0F75" w:rsidRPr="00B54094" w:rsidRDefault="008D0F75">
      <w:pPr>
        <w:spacing w:line="360" w:lineRule="auto"/>
        <w:jc w:val="both"/>
        <w:rPr>
          <w:rFonts w:ascii="Palatino Linotype" w:eastAsia="Palatino Linotype" w:hAnsi="Palatino Linotype" w:cs="Palatino Linotype"/>
        </w:rPr>
      </w:pPr>
    </w:p>
    <w:p w14:paraId="47D2F3F3" w14:textId="77777777" w:rsidR="008D0F75" w:rsidRPr="00B54094" w:rsidRDefault="008D0F75">
      <w:pPr>
        <w:spacing w:line="360" w:lineRule="auto"/>
        <w:jc w:val="both"/>
        <w:rPr>
          <w:rFonts w:ascii="Palatino Linotype" w:eastAsia="Palatino Linotype" w:hAnsi="Palatino Linotype" w:cs="Palatino Linotype"/>
        </w:rPr>
      </w:pPr>
    </w:p>
    <w:p w14:paraId="02E599CE" w14:textId="77777777" w:rsidR="008D0F75" w:rsidRPr="00B54094" w:rsidRDefault="008D0F75">
      <w:pPr>
        <w:spacing w:line="360" w:lineRule="auto"/>
        <w:jc w:val="both"/>
        <w:rPr>
          <w:rFonts w:ascii="Palatino Linotype" w:eastAsia="Palatino Linotype" w:hAnsi="Palatino Linotype" w:cs="Palatino Linotype"/>
        </w:rPr>
      </w:pPr>
    </w:p>
    <w:p w14:paraId="3D4A3639" w14:textId="77777777" w:rsidR="008D0F75" w:rsidRPr="00B54094" w:rsidRDefault="008D0F75">
      <w:pPr>
        <w:spacing w:line="360" w:lineRule="auto"/>
        <w:jc w:val="both"/>
        <w:rPr>
          <w:rFonts w:ascii="Palatino Linotype" w:eastAsia="Palatino Linotype" w:hAnsi="Palatino Linotype" w:cs="Palatino Linotype"/>
        </w:rPr>
      </w:pPr>
    </w:p>
    <w:p w14:paraId="630F0000" w14:textId="77777777" w:rsidR="008D0F75" w:rsidRPr="00B54094" w:rsidRDefault="008D0F75">
      <w:pPr>
        <w:spacing w:line="360" w:lineRule="auto"/>
        <w:jc w:val="both"/>
        <w:rPr>
          <w:rFonts w:ascii="Palatino Linotype" w:eastAsia="Palatino Linotype" w:hAnsi="Palatino Linotype" w:cs="Palatino Linotype"/>
        </w:rPr>
      </w:pPr>
    </w:p>
    <w:p w14:paraId="517FE1EE" w14:textId="77777777" w:rsidR="008D0F75" w:rsidRPr="00B54094" w:rsidRDefault="008D0F75">
      <w:pPr>
        <w:spacing w:line="360" w:lineRule="auto"/>
        <w:jc w:val="both"/>
        <w:rPr>
          <w:rFonts w:ascii="Palatino Linotype" w:eastAsia="Palatino Linotype" w:hAnsi="Palatino Linotype" w:cs="Palatino Linotype"/>
        </w:rPr>
      </w:pPr>
    </w:p>
    <w:p w14:paraId="320B50D0" w14:textId="77777777" w:rsidR="008D0F75" w:rsidRPr="00B54094" w:rsidRDefault="008D0F75">
      <w:pPr>
        <w:spacing w:line="360" w:lineRule="auto"/>
        <w:jc w:val="both"/>
        <w:rPr>
          <w:rFonts w:ascii="Palatino Linotype" w:eastAsia="Palatino Linotype" w:hAnsi="Palatino Linotype" w:cs="Palatino Linotype"/>
        </w:rPr>
      </w:pPr>
    </w:p>
    <w:p w14:paraId="7727FDDF" w14:textId="77777777" w:rsidR="008D0F75" w:rsidRPr="00B54094" w:rsidRDefault="008D0F75">
      <w:pPr>
        <w:spacing w:line="360" w:lineRule="auto"/>
        <w:jc w:val="both"/>
        <w:rPr>
          <w:rFonts w:ascii="Palatino Linotype" w:eastAsia="Palatino Linotype" w:hAnsi="Palatino Linotype" w:cs="Palatino Linotype"/>
        </w:rPr>
      </w:pPr>
    </w:p>
    <w:p w14:paraId="54434AB2" w14:textId="77777777" w:rsidR="008D0F75" w:rsidRPr="00B54094" w:rsidRDefault="008D0F75">
      <w:pPr>
        <w:spacing w:line="360" w:lineRule="auto"/>
        <w:jc w:val="both"/>
        <w:rPr>
          <w:rFonts w:ascii="Palatino Linotype" w:eastAsia="Palatino Linotype" w:hAnsi="Palatino Linotype" w:cs="Palatino Linotype"/>
        </w:rPr>
      </w:pPr>
      <w:bookmarkStart w:id="8" w:name="_heading=h.2et92p0" w:colFirst="0" w:colLast="0"/>
      <w:bookmarkEnd w:id="8"/>
    </w:p>
    <w:sectPr w:rsidR="008D0F75" w:rsidRPr="00B54094">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B3907" w14:textId="77777777" w:rsidR="00992AE0" w:rsidRDefault="00992AE0">
      <w:r>
        <w:separator/>
      </w:r>
    </w:p>
  </w:endnote>
  <w:endnote w:type="continuationSeparator" w:id="0">
    <w:p w14:paraId="764E36DE" w14:textId="77777777" w:rsidR="00992AE0" w:rsidRDefault="00992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B0FB7" w14:textId="77777777" w:rsidR="008D0F75" w:rsidRDefault="00B5409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A26B2">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A26B2">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5776A0AB" w14:textId="77777777" w:rsidR="008D0F75" w:rsidRDefault="008D0F7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542AA" w14:textId="77777777" w:rsidR="008D0F75" w:rsidRDefault="00B5409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A26B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A26B2">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232B42A9" w14:textId="77777777" w:rsidR="008D0F75" w:rsidRDefault="008D0F7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36A75" w14:textId="77777777" w:rsidR="00992AE0" w:rsidRDefault="00992AE0">
      <w:r>
        <w:separator/>
      </w:r>
    </w:p>
  </w:footnote>
  <w:footnote w:type="continuationSeparator" w:id="0">
    <w:p w14:paraId="1FA2CA78" w14:textId="77777777" w:rsidR="00992AE0" w:rsidRDefault="00992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9DA53" w14:textId="77777777" w:rsidR="008D0F75" w:rsidRDefault="00B54094">
    <w:pPr>
      <w:rPr>
        <w:rFonts w:ascii="Cambria" w:eastAsia="Cambria" w:hAnsi="Cambria" w:cs="Cambria"/>
      </w:rPr>
    </w:pPr>
    <w:r>
      <w:rPr>
        <w:noProof/>
      </w:rPr>
      <w:drawing>
        <wp:anchor distT="0" distB="0" distL="0" distR="0" simplePos="0" relativeHeight="251658240" behindDoc="1" locked="0" layoutInCell="1" hidden="0" allowOverlap="1" wp14:anchorId="1A3A89FD" wp14:editId="52CC63BC">
          <wp:simplePos x="0" y="0"/>
          <wp:positionH relativeFrom="column">
            <wp:posOffset>-1080120</wp:posOffset>
          </wp:positionH>
          <wp:positionV relativeFrom="paragraph">
            <wp:posOffset>-488298</wp:posOffset>
          </wp:positionV>
          <wp:extent cx="7809865" cy="10165715"/>
          <wp:effectExtent l="0" t="0" r="0" b="0"/>
          <wp:wrapNone/>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5953" w:type="dxa"/>
      <w:tblInd w:w="3261" w:type="dxa"/>
      <w:tblLayout w:type="fixed"/>
      <w:tblLook w:val="0400" w:firstRow="0" w:lastRow="0" w:firstColumn="0" w:lastColumn="0" w:noHBand="0" w:noVBand="1"/>
    </w:tblPr>
    <w:tblGrid>
      <w:gridCol w:w="2489"/>
      <w:gridCol w:w="3464"/>
    </w:tblGrid>
    <w:tr w:rsidR="008D0F75" w14:paraId="06312D59" w14:textId="77777777">
      <w:tc>
        <w:tcPr>
          <w:tcW w:w="2489" w:type="dxa"/>
          <w:shd w:val="clear" w:color="auto" w:fill="auto"/>
        </w:tcPr>
        <w:p w14:paraId="49496FA1" w14:textId="77777777" w:rsidR="008D0F75" w:rsidRDefault="00B540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14C4649" w14:textId="77777777" w:rsidR="008D0F75" w:rsidRDefault="00B5409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16059/INFOEM/IP/RR/2022</w:t>
          </w:r>
        </w:p>
      </w:tc>
    </w:tr>
    <w:tr w:rsidR="008D0F75" w14:paraId="482D2797" w14:textId="77777777">
      <w:trPr>
        <w:trHeight w:val="228"/>
      </w:trPr>
      <w:tc>
        <w:tcPr>
          <w:tcW w:w="2489" w:type="dxa"/>
          <w:shd w:val="clear" w:color="auto" w:fill="auto"/>
          <w:vAlign w:val="center"/>
        </w:tcPr>
        <w:p w14:paraId="27A5661B" w14:textId="77777777" w:rsidR="008D0F75" w:rsidRDefault="00B540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F4AEB2F" w14:textId="77777777" w:rsidR="008D0F75" w:rsidRDefault="00B5409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Ecatepec de Morelos </w:t>
          </w:r>
        </w:p>
      </w:tc>
    </w:tr>
    <w:tr w:rsidR="008D0F75" w14:paraId="2F4DF287" w14:textId="77777777">
      <w:tc>
        <w:tcPr>
          <w:tcW w:w="2489" w:type="dxa"/>
          <w:shd w:val="clear" w:color="auto" w:fill="auto"/>
          <w:vAlign w:val="center"/>
        </w:tcPr>
        <w:p w14:paraId="0754AA92" w14:textId="77777777" w:rsidR="008D0F75" w:rsidRDefault="00B5409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62046EE" w14:textId="77777777" w:rsidR="008D0F75" w:rsidRDefault="00B5409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C5DE541" w14:textId="77777777" w:rsidR="008D0F75" w:rsidRDefault="00B54094">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D823A" w14:textId="77777777" w:rsidR="008D0F75" w:rsidRDefault="008D0F7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c"/>
      <w:tblW w:w="5670" w:type="dxa"/>
      <w:tblInd w:w="3261" w:type="dxa"/>
      <w:tblLayout w:type="fixed"/>
      <w:tblLook w:val="0400" w:firstRow="0" w:lastRow="0" w:firstColumn="0" w:lastColumn="0" w:noHBand="0" w:noVBand="1"/>
    </w:tblPr>
    <w:tblGrid>
      <w:gridCol w:w="2551"/>
      <w:gridCol w:w="3119"/>
    </w:tblGrid>
    <w:tr w:rsidR="008D0F75" w14:paraId="42ADC1B3" w14:textId="77777777">
      <w:tc>
        <w:tcPr>
          <w:tcW w:w="2551" w:type="dxa"/>
          <w:shd w:val="clear" w:color="auto" w:fill="auto"/>
          <w:vAlign w:val="center"/>
        </w:tcPr>
        <w:p w14:paraId="25C9D77E" w14:textId="77777777" w:rsidR="008D0F75" w:rsidRDefault="00B540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B5CD03E" w14:textId="77777777" w:rsidR="008D0F75" w:rsidRDefault="00B54094">
          <w:pPr>
            <w:tabs>
              <w:tab w:val="left" w:pos="3153"/>
            </w:tabs>
            <w:ind w:left="-4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16059/INFOEM/IP/RR/2022</w:t>
          </w:r>
        </w:p>
      </w:tc>
    </w:tr>
    <w:tr w:rsidR="008D0F75" w14:paraId="28312D83" w14:textId="77777777">
      <w:trPr>
        <w:trHeight w:val="130"/>
      </w:trPr>
      <w:tc>
        <w:tcPr>
          <w:tcW w:w="2551" w:type="dxa"/>
          <w:shd w:val="clear" w:color="auto" w:fill="auto"/>
          <w:vAlign w:val="center"/>
        </w:tcPr>
        <w:p w14:paraId="1EECCE70" w14:textId="77777777" w:rsidR="008D0F75" w:rsidRDefault="00B540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FFFFFF"/>
          <w:vAlign w:val="center"/>
        </w:tcPr>
        <w:p w14:paraId="7DB8736E" w14:textId="77777777" w:rsidR="008D0F75" w:rsidRDefault="008D0F75">
          <w:pPr>
            <w:jc w:val="both"/>
            <w:rPr>
              <w:rFonts w:ascii="Palatino Linotype" w:eastAsia="Palatino Linotype" w:hAnsi="Palatino Linotype" w:cs="Palatino Linotype"/>
              <w:b/>
              <w:sz w:val="22"/>
              <w:szCs w:val="22"/>
            </w:rPr>
          </w:pPr>
        </w:p>
      </w:tc>
    </w:tr>
    <w:tr w:rsidR="008D0F75" w14:paraId="12A0A49C" w14:textId="77777777">
      <w:trPr>
        <w:trHeight w:val="228"/>
      </w:trPr>
      <w:tc>
        <w:tcPr>
          <w:tcW w:w="2551" w:type="dxa"/>
          <w:shd w:val="clear" w:color="auto" w:fill="auto"/>
          <w:vAlign w:val="center"/>
        </w:tcPr>
        <w:p w14:paraId="01ABB975" w14:textId="77777777" w:rsidR="008D0F75" w:rsidRDefault="00B540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33F68031" w14:textId="77777777" w:rsidR="008D0F75" w:rsidRDefault="00B5409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Ecatepec de Morelos  </w:t>
          </w:r>
        </w:p>
      </w:tc>
    </w:tr>
    <w:tr w:rsidR="008D0F75" w14:paraId="58D74CF4" w14:textId="77777777">
      <w:tc>
        <w:tcPr>
          <w:tcW w:w="2551" w:type="dxa"/>
          <w:shd w:val="clear" w:color="auto" w:fill="auto"/>
          <w:vAlign w:val="center"/>
        </w:tcPr>
        <w:p w14:paraId="37D79FC2" w14:textId="77777777" w:rsidR="008D0F75" w:rsidRDefault="00B540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61899F6" w14:textId="77777777" w:rsidR="008D0F75" w:rsidRDefault="00B5409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6B01DA2" w14:textId="77777777" w:rsidR="008D0F75" w:rsidRDefault="00B54094">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061AFF50" wp14:editId="54C155A3">
          <wp:simplePos x="0" y="0"/>
          <wp:positionH relativeFrom="column">
            <wp:posOffset>-1089645</wp:posOffset>
          </wp:positionH>
          <wp:positionV relativeFrom="paragraph">
            <wp:posOffset>-1169655</wp:posOffset>
          </wp:positionV>
          <wp:extent cx="7809865" cy="10165715"/>
          <wp:effectExtent l="0" t="0" r="0" b="0"/>
          <wp:wrapNone/>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9388A"/>
    <w:multiLevelType w:val="multilevel"/>
    <w:tmpl w:val="80DE40D4"/>
    <w:lvl w:ilvl="0">
      <w:start w:val="1"/>
      <w:numFmt w:val="decimal"/>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C904BF"/>
    <w:multiLevelType w:val="multilevel"/>
    <w:tmpl w:val="7F50A29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41F46746"/>
    <w:multiLevelType w:val="multilevel"/>
    <w:tmpl w:val="8E3E89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F75"/>
    <w:rsid w:val="00607D88"/>
    <w:rsid w:val="006D555B"/>
    <w:rsid w:val="00706797"/>
    <w:rsid w:val="008D0F75"/>
    <w:rsid w:val="00992AE0"/>
    <w:rsid w:val="00B54094"/>
    <w:rsid w:val="00CA2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59B2A"/>
  <w15:docId w15:val="{8EA40F6E-5182-43EC-8B1D-52BE3A8F8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6F3"/>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1"/>
    <w:tblPr>
      <w:tblStyleRowBandSize w:val="1"/>
      <w:tblStyleColBandSize w:val="1"/>
      <w:tblCellMar>
        <w:left w:w="115" w:type="dxa"/>
        <w:right w:w="115" w:type="dxa"/>
      </w:tblCellMar>
    </w:tblPr>
  </w:style>
  <w:style w:type="table" w:customStyle="1" w:styleId="9">
    <w:name w:val="9"/>
    <w:basedOn w:val="TableNormal1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1"/>
    <w:tblPr>
      <w:tblStyleRowBandSize w:val="1"/>
      <w:tblStyleColBandSize w:val="1"/>
      <w:tblCellMar>
        <w:left w:w="115" w:type="dxa"/>
        <w:right w:w="115" w:type="dxa"/>
      </w:tblCellMar>
    </w:tblPr>
  </w:style>
  <w:style w:type="table" w:customStyle="1" w:styleId="7">
    <w:name w:val="7"/>
    <w:basedOn w:val="TableNormal11"/>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
    <w:tblPr>
      <w:tblStyleRowBandSize w:val="1"/>
      <w:tblStyleColBandSize w:val="1"/>
      <w:tblCellMar>
        <w:left w:w="115" w:type="dxa"/>
        <w:right w:w="115" w:type="dxa"/>
      </w:tblCellMar>
    </w:tblPr>
  </w:style>
  <w:style w:type="table" w:customStyle="1" w:styleId="1">
    <w:name w:val="1"/>
    <w:basedOn w:val="TableNormal4"/>
    <w:tblPr>
      <w:tblStyleRowBandSize w:val="1"/>
      <w:tblStyleColBandSize w:val="1"/>
      <w:tblCellMar>
        <w:left w:w="115" w:type="dxa"/>
        <w:right w:w="115" w:type="dxa"/>
      </w:tblCellMar>
    </w:tblPr>
  </w:style>
  <w:style w:type="table" w:customStyle="1" w:styleId="23">
    <w:name w:val="23"/>
    <w:basedOn w:val="TableNormal5"/>
    <w:tblPr>
      <w:tblStyleRowBandSize w:val="1"/>
      <w:tblStyleColBandSize w:val="1"/>
      <w:tblCellMar>
        <w:left w:w="115" w:type="dxa"/>
        <w:right w:w="115" w:type="dxa"/>
      </w:tblCellMar>
    </w:tblPr>
  </w:style>
  <w:style w:type="table" w:customStyle="1" w:styleId="22">
    <w:name w:val="22"/>
    <w:basedOn w:val="TableNormal5"/>
    <w:tblPr>
      <w:tblStyleRowBandSize w:val="1"/>
      <w:tblStyleColBandSize w:val="1"/>
      <w:tblCellMar>
        <w:left w:w="115" w:type="dxa"/>
        <w:right w:w="115" w:type="dxa"/>
      </w:tblCellMar>
    </w:tblPr>
  </w:style>
  <w:style w:type="table" w:customStyle="1" w:styleId="21">
    <w:name w:val="21"/>
    <w:basedOn w:val="TableNormal6"/>
    <w:tblPr>
      <w:tblStyleRowBandSize w:val="1"/>
      <w:tblStyleColBandSize w:val="1"/>
      <w:tblCellMar>
        <w:left w:w="115" w:type="dxa"/>
        <w:right w:w="115" w:type="dxa"/>
      </w:tblCellMar>
    </w:tblPr>
  </w:style>
  <w:style w:type="table" w:customStyle="1" w:styleId="20">
    <w:name w:val="20"/>
    <w:basedOn w:val="TableNormal6"/>
    <w:tblPr>
      <w:tblStyleRowBandSize w:val="1"/>
      <w:tblStyleColBandSize w:val="1"/>
      <w:tblCellMar>
        <w:left w:w="115" w:type="dxa"/>
        <w:right w:w="115" w:type="dxa"/>
      </w:tblCellMar>
    </w:tblPr>
  </w:style>
  <w:style w:type="table" w:customStyle="1" w:styleId="19">
    <w:name w:val="19"/>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left w:w="115" w:type="dxa"/>
        <w:right w:w="115" w:type="dxa"/>
      </w:tblCellMar>
    </w:tblPr>
  </w:style>
  <w:style w:type="table" w:customStyle="1" w:styleId="17">
    <w:name w:val="17"/>
    <w:basedOn w:val="TableNormal7"/>
    <w:tblPr>
      <w:tblStyleRowBandSize w:val="1"/>
      <w:tblStyleColBandSize w:val="1"/>
      <w:tblCellMar>
        <w:left w:w="115" w:type="dxa"/>
        <w:right w:w="115" w:type="dxa"/>
      </w:tblCellMar>
    </w:tblPr>
  </w:style>
  <w:style w:type="table" w:customStyle="1" w:styleId="16">
    <w:name w:val="16"/>
    <w:basedOn w:val="TableNormal8"/>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left w:w="115" w:type="dxa"/>
        <w:right w:w="115" w:type="dxa"/>
      </w:tblCellMar>
    </w:tblPr>
  </w:style>
  <w:style w:type="table" w:customStyle="1" w:styleId="14">
    <w:name w:val="14"/>
    <w:basedOn w:val="TableNormal8"/>
    <w:tblPr>
      <w:tblStyleRowBandSize w:val="1"/>
      <w:tblStyleColBandSize w:val="1"/>
      <w:tblCellMar>
        <w:left w:w="115" w:type="dxa"/>
        <w:right w:w="115" w:type="dxa"/>
      </w:tblCellMar>
    </w:tblPr>
  </w:style>
  <w:style w:type="table" w:customStyle="1" w:styleId="13">
    <w:name w:val="13"/>
    <w:basedOn w:val="TableNormal9"/>
    <w:tblPr>
      <w:tblStyleRowBandSize w:val="1"/>
      <w:tblStyleColBandSize w:val="1"/>
      <w:tblCellMar>
        <w:left w:w="115" w:type="dxa"/>
        <w:right w:w="115" w:type="dxa"/>
      </w:tblCellMar>
    </w:tblPr>
  </w:style>
  <w:style w:type="table" w:customStyle="1" w:styleId="12">
    <w:name w:val="12"/>
    <w:basedOn w:val="TableNormal9"/>
    <w:tblPr>
      <w:tblStyleRowBandSize w:val="1"/>
      <w:tblStyleColBandSize w:val="1"/>
      <w:tblCellMar>
        <w:left w:w="115" w:type="dxa"/>
        <w:right w:w="115" w:type="dxa"/>
      </w:tblCellMar>
    </w:tblPr>
  </w:style>
  <w:style w:type="table" w:customStyle="1" w:styleId="26">
    <w:name w:val="26"/>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left w:w="115" w:type="dxa"/>
        <w:right w:w="115" w:type="dxa"/>
      </w:tblCellMar>
    </w:tblPr>
  </w:style>
  <w:style w:type="table" w:customStyle="1" w:styleId="24">
    <w:name w:val="24"/>
    <w:basedOn w:val="TableNormal10"/>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08" w:type="dxa"/>
        <w:right w:w="108" w:type="dxa"/>
      </w:tblCellMar>
    </w:tbl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31731.page"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FI85yimx0jKc9Mx7PKS3DsHgkQ==">CgMxLjAyCGgudHlqY3d0MghoLmdqZGd4czIJaC4zMGowemxsMgloLjJzOGV5bzEyCWguM2R5NnZrbTIJaC4zem55c2g3MgloLjNyZGNyam4yCWguMWZvYjl0ZTIJaC4yZXQ5MnAwOAByITFNUHdud2t1dzlMcm1ITmUwY0ZRaWN2bTZnQ0hiemxYNw==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10972</Words>
  <Characters>60348</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2023-06-02T17:47:00Z</cp:lastPrinted>
  <dcterms:created xsi:type="dcterms:W3CDTF">2023-06-07T00:28:00Z</dcterms:created>
  <dcterms:modified xsi:type="dcterms:W3CDTF">2023-06-07T00:28:00Z</dcterms:modified>
</cp:coreProperties>
</file>