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A36" w:rsidRPr="006B08AE" w:rsidRDefault="00180A36" w:rsidP="00180A36">
      <w:pPr>
        <w:spacing w:line="360" w:lineRule="auto"/>
        <w:jc w:val="both"/>
        <w:rPr>
          <w:rFonts w:ascii="Palatino Linotype" w:eastAsiaTheme="minorEastAsia" w:hAnsi="Palatino Linotype"/>
          <w:lang w:val="es-ES_tradnl" w:eastAsia="es-ES"/>
        </w:rPr>
      </w:pPr>
      <w:r w:rsidRPr="006B08AE">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Theme="minorEastAsia" w:hAnsi="Palatino Linotype"/>
          <w:lang w:val="es-ES_tradnl" w:eastAsia="es-ES"/>
        </w:rPr>
        <w:t>catorce (14) de junio</w:t>
      </w:r>
      <w:r w:rsidRPr="006B08AE">
        <w:rPr>
          <w:rFonts w:ascii="Palatino Linotype" w:eastAsiaTheme="minorEastAsia" w:hAnsi="Palatino Linotype"/>
          <w:lang w:val="es-ES_tradnl" w:eastAsia="es-ES"/>
        </w:rPr>
        <w:t xml:space="preserve"> de dos mil veintitrés.</w:t>
      </w:r>
      <w:bookmarkStart w:id="0" w:name="_GoBack"/>
      <w:bookmarkEnd w:id="0"/>
    </w:p>
    <w:p w:rsidR="00180A36" w:rsidRPr="006B08AE" w:rsidRDefault="00180A36" w:rsidP="00180A36">
      <w:pPr>
        <w:spacing w:line="360" w:lineRule="auto"/>
        <w:jc w:val="both"/>
        <w:rPr>
          <w:rFonts w:ascii="Palatino Linotype" w:eastAsiaTheme="minorEastAsia" w:hAnsi="Palatino Linotype"/>
          <w:lang w:val="es-ES_tradnl" w:eastAsia="es-ES"/>
        </w:rPr>
      </w:pPr>
    </w:p>
    <w:p w:rsidR="00180A36" w:rsidRPr="006B08AE" w:rsidRDefault="00180A36" w:rsidP="00180A36">
      <w:pPr>
        <w:spacing w:line="360" w:lineRule="auto"/>
        <w:jc w:val="both"/>
        <w:rPr>
          <w:rFonts w:ascii="Palatino Linotype" w:hAnsi="Palatino Linotype"/>
        </w:rPr>
      </w:pPr>
      <w:r w:rsidRPr="006B08AE">
        <w:rPr>
          <w:rFonts w:ascii="Palatino Linotype" w:hAnsi="Palatino Linotype"/>
          <w:b/>
        </w:rPr>
        <w:t>VISTO</w:t>
      </w:r>
      <w:r w:rsidRPr="006B08AE">
        <w:rPr>
          <w:rFonts w:ascii="Palatino Linotype" w:hAnsi="Palatino Linotype"/>
        </w:rPr>
        <w:t xml:space="preserve"> el expediente electrónico formado con motivo del recurso de revisión </w:t>
      </w:r>
      <w:r>
        <w:rPr>
          <w:rFonts w:ascii="Palatino Linotype" w:hAnsi="Palatino Linotype"/>
          <w:b/>
        </w:rPr>
        <w:t>02678</w:t>
      </w:r>
      <w:r w:rsidRPr="006B08AE">
        <w:rPr>
          <w:rFonts w:ascii="Palatino Linotype" w:hAnsi="Palatino Linotype"/>
          <w:b/>
        </w:rPr>
        <w:t>/INFOEM/IP/RR/2023,</w:t>
      </w:r>
      <w:r w:rsidRPr="006B08AE">
        <w:rPr>
          <w:rFonts w:ascii="Palatino Linotype" w:hAnsi="Palatino Linotype" w:cs="Arial"/>
          <w:b/>
          <w:bCs/>
        </w:rPr>
        <w:t xml:space="preserve"> </w:t>
      </w:r>
      <w:r w:rsidRPr="006B08AE">
        <w:rPr>
          <w:rFonts w:ascii="Palatino Linotype" w:eastAsiaTheme="minorEastAsia" w:hAnsi="Palatino Linotype"/>
          <w:lang w:val="es-ES_tradnl" w:eastAsia="es-ES"/>
        </w:rPr>
        <w:t xml:space="preserve">promovido por </w:t>
      </w:r>
      <w:r w:rsidR="00645D1B">
        <w:rPr>
          <w:rFonts w:ascii="Palatino Linotype" w:eastAsiaTheme="minorEastAsia" w:hAnsi="Palatino Linotype"/>
          <w:b/>
          <w:bCs/>
          <w:lang w:eastAsia="es-ES"/>
        </w:rPr>
        <w:t xml:space="preserve">XXX </w:t>
      </w:r>
      <w:proofErr w:type="spellStart"/>
      <w:r w:rsidR="00645D1B">
        <w:rPr>
          <w:rFonts w:ascii="Palatino Linotype" w:eastAsiaTheme="minorEastAsia" w:hAnsi="Palatino Linotype"/>
          <w:b/>
          <w:bCs/>
          <w:lang w:eastAsia="es-ES"/>
        </w:rPr>
        <w:t>XXX</w:t>
      </w:r>
      <w:proofErr w:type="spellEnd"/>
      <w:r w:rsidR="00645D1B">
        <w:rPr>
          <w:rFonts w:ascii="Palatino Linotype" w:eastAsiaTheme="minorEastAsia" w:hAnsi="Palatino Linotype"/>
          <w:b/>
          <w:bCs/>
          <w:lang w:eastAsia="es-ES"/>
        </w:rPr>
        <w:t xml:space="preserve"> </w:t>
      </w:r>
      <w:proofErr w:type="spellStart"/>
      <w:r w:rsidR="00645D1B">
        <w:rPr>
          <w:rFonts w:ascii="Palatino Linotype" w:eastAsiaTheme="minorEastAsia" w:hAnsi="Palatino Linotype"/>
          <w:b/>
          <w:bCs/>
          <w:lang w:eastAsia="es-ES"/>
        </w:rPr>
        <w:t>XXX</w:t>
      </w:r>
      <w:proofErr w:type="spellEnd"/>
      <w:r>
        <w:rPr>
          <w:rFonts w:ascii="Palatino Linotype" w:eastAsiaTheme="minorEastAsia" w:hAnsi="Palatino Linotype"/>
          <w:b/>
          <w:bCs/>
          <w:lang w:eastAsia="es-ES"/>
        </w:rPr>
        <w:t xml:space="preserve">, </w:t>
      </w:r>
      <w:r w:rsidRPr="006C5CB6">
        <w:rPr>
          <w:rFonts w:ascii="Palatino Linotype" w:eastAsiaTheme="minorEastAsia" w:hAnsi="Palatino Linotype"/>
          <w:bCs/>
          <w:lang w:eastAsia="es-ES"/>
        </w:rPr>
        <w:t>a</w:t>
      </w:r>
      <w:r>
        <w:rPr>
          <w:rFonts w:ascii="Palatino Linotype" w:eastAsiaTheme="minorEastAsia" w:hAnsi="Palatino Linotype"/>
          <w:b/>
          <w:bCs/>
          <w:lang w:eastAsia="es-ES"/>
        </w:rPr>
        <w:t xml:space="preserve"> </w:t>
      </w:r>
      <w:r w:rsidRPr="006B08AE">
        <w:rPr>
          <w:rFonts w:ascii="Palatino Linotype" w:eastAsiaTheme="minorEastAsia" w:hAnsi="Palatino Linotype"/>
          <w:lang w:eastAsia="es-ES"/>
        </w:rPr>
        <w:t xml:space="preserve">quien </w:t>
      </w:r>
      <w:r w:rsidRPr="006B08AE">
        <w:rPr>
          <w:rFonts w:ascii="Palatino Linotype" w:hAnsi="Palatino Linotype"/>
        </w:rPr>
        <w:t xml:space="preserve">en lo sucesivo se identificará como </w:t>
      </w:r>
      <w:r w:rsidRPr="006B08AE">
        <w:rPr>
          <w:rFonts w:ascii="Palatino Linotype" w:hAnsi="Palatino Linotype"/>
          <w:b/>
        </w:rPr>
        <w:t xml:space="preserve">EL </w:t>
      </w:r>
      <w:r w:rsidRPr="006B08AE">
        <w:rPr>
          <w:rFonts w:ascii="Palatino Linotype" w:hAnsi="Palatino Linotype" w:cs="Arial"/>
          <w:b/>
        </w:rPr>
        <w:t>RECURRENTE</w:t>
      </w:r>
      <w:r w:rsidRPr="006B08AE">
        <w:rPr>
          <w:rFonts w:ascii="Palatino Linotype" w:hAnsi="Palatino Linotype" w:cs="Arial"/>
        </w:rPr>
        <w:t>, en contra de la respuesta de</w:t>
      </w:r>
      <w:r>
        <w:rPr>
          <w:rFonts w:ascii="Palatino Linotype" w:hAnsi="Palatino Linotype" w:cs="Arial"/>
        </w:rPr>
        <w:t xml:space="preserve"> </w:t>
      </w:r>
      <w:r w:rsidRPr="006B08AE">
        <w:rPr>
          <w:rFonts w:ascii="Palatino Linotype" w:hAnsi="Palatino Linotype" w:cs="Arial"/>
        </w:rPr>
        <w:t>l</w:t>
      </w:r>
      <w:r>
        <w:rPr>
          <w:rFonts w:ascii="Palatino Linotype" w:hAnsi="Palatino Linotype" w:cs="Arial"/>
        </w:rPr>
        <w:t>a</w:t>
      </w:r>
      <w:r w:rsidRPr="006B08AE">
        <w:rPr>
          <w:rFonts w:ascii="Palatino Linotype" w:hAnsi="Palatino Linotype" w:cs="Arial"/>
        </w:rPr>
        <w:t xml:space="preserve"> </w:t>
      </w:r>
      <w:r>
        <w:rPr>
          <w:rFonts w:ascii="Palatino Linotype" w:hAnsi="Palatino Linotype" w:cs="Arial"/>
          <w:b/>
          <w:bCs/>
        </w:rPr>
        <w:t>Ayuntamiento de Tonanitla</w:t>
      </w:r>
      <w:r w:rsidRPr="006B08AE">
        <w:rPr>
          <w:rFonts w:ascii="Palatino Linotype" w:hAnsi="Palatino Linotype" w:cs="Arial"/>
          <w:b/>
          <w:bCs/>
        </w:rPr>
        <w:t xml:space="preserve">, </w:t>
      </w:r>
      <w:r w:rsidRPr="006B08AE">
        <w:rPr>
          <w:rFonts w:ascii="Palatino Linotype" w:hAnsi="Palatino Linotype"/>
        </w:rPr>
        <w:t xml:space="preserve">en </w:t>
      </w:r>
      <w:r w:rsidR="00002604">
        <w:rPr>
          <w:rFonts w:ascii="Palatino Linotype" w:hAnsi="Palatino Linotype"/>
        </w:rPr>
        <w:t>adelante</w:t>
      </w:r>
      <w:r w:rsidRPr="006B08AE">
        <w:rPr>
          <w:rFonts w:ascii="Palatino Linotype" w:hAnsi="Palatino Linotype"/>
        </w:rPr>
        <w:t xml:space="preserve"> el</w:t>
      </w:r>
      <w:r w:rsidRPr="006B08AE">
        <w:rPr>
          <w:rFonts w:ascii="Palatino Linotype" w:hAnsi="Palatino Linotype"/>
          <w:b/>
        </w:rPr>
        <w:t xml:space="preserve"> SUJETO OBLIGADO</w:t>
      </w:r>
      <w:r w:rsidRPr="006B08AE">
        <w:rPr>
          <w:rFonts w:ascii="Palatino Linotype" w:hAnsi="Palatino Linotype"/>
        </w:rPr>
        <w:t>, por lo que se procede a dictar la presente resolución, con base en los siguientes:</w:t>
      </w:r>
    </w:p>
    <w:p w:rsidR="00180A36" w:rsidRPr="006B08AE" w:rsidRDefault="00180A36" w:rsidP="00180A36">
      <w:pPr>
        <w:spacing w:line="360" w:lineRule="auto"/>
        <w:jc w:val="both"/>
        <w:rPr>
          <w:rFonts w:ascii="Palatino Linotype" w:hAnsi="Palatino Linotype"/>
        </w:rPr>
      </w:pPr>
    </w:p>
    <w:p w:rsidR="00180A36" w:rsidRPr="006B08AE" w:rsidRDefault="00180A36" w:rsidP="00180A36">
      <w:pPr>
        <w:keepNext/>
        <w:keepLines/>
        <w:spacing w:line="360" w:lineRule="auto"/>
        <w:jc w:val="center"/>
        <w:outlineLvl w:val="0"/>
        <w:rPr>
          <w:rFonts w:ascii="Palatino Linotype" w:eastAsiaTheme="majorEastAsia" w:hAnsi="Palatino Linotype" w:cstheme="majorBidi"/>
          <w:b/>
          <w:szCs w:val="32"/>
        </w:rPr>
      </w:pPr>
      <w:bookmarkStart w:id="1" w:name="_Toc83301633"/>
      <w:r w:rsidRPr="006B08AE">
        <w:rPr>
          <w:rFonts w:ascii="Palatino Linotype" w:eastAsiaTheme="majorEastAsia" w:hAnsi="Palatino Linotype" w:cstheme="majorBidi"/>
          <w:b/>
          <w:szCs w:val="32"/>
        </w:rPr>
        <w:t>ANTECEDENTES</w:t>
      </w:r>
      <w:bookmarkEnd w:id="1"/>
    </w:p>
    <w:p w:rsidR="00180A36" w:rsidRPr="006B08AE" w:rsidRDefault="00180A36" w:rsidP="00180A36">
      <w:pPr>
        <w:spacing w:line="360" w:lineRule="auto"/>
        <w:rPr>
          <w:rFonts w:ascii="Palatino Linotype" w:eastAsiaTheme="minorEastAsia" w:hAnsi="Palatino Linotype"/>
        </w:rPr>
      </w:pPr>
    </w:p>
    <w:p w:rsidR="00180A36" w:rsidRPr="006B08AE" w:rsidRDefault="00180A36" w:rsidP="00180A36">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El diecisiete (17) de abril</w:t>
      </w:r>
      <w:r w:rsidRPr="006B08AE">
        <w:rPr>
          <w:rFonts w:ascii="Palatino Linotype" w:eastAsia="Calibri" w:hAnsi="Palatino Linotype" w:cs="Arial"/>
          <w:lang w:val="es-ES" w:eastAsia="es-ES"/>
        </w:rPr>
        <w:t xml:space="preserve"> de dos mil veintitrés,</w:t>
      </w:r>
      <w:r w:rsidRPr="006B08AE">
        <w:rPr>
          <w:rFonts w:ascii="Palatino Linotype" w:eastAsia="Calibri" w:hAnsi="Palatino Linotype"/>
          <w:lang w:val="es-ES" w:eastAsia="es-ES"/>
        </w:rPr>
        <w:t xml:space="preserve"> </w:t>
      </w:r>
      <w:r w:rsidRPr="006B08AE">
        <w:rPr>
          <w:rFonts w:ascii="Palatino Linotype" w:eastAsia="Calibri" w:hAnsi="Palatino Linotype"/>
          <w:b/>
          <w:lang w:val="es-ES" w:eastAsia="es-ES"/>
        </w:rPr>
        <w:t>EL RECURRENTE</w:t>
      </w:r>
      <w:r w:rsidRPr="006B08AE">
        <w:rPr>
          <w:rFonts w:ascii="Palatino Linotype" w:eastAsiaTheme="minorEastAsia" w:hAnsi="Palatino Linotype"/>
          <w:b/>
          <w:lang w:val="es-ES_tradnl" w:eastAsia="es-ES"/>
        </w:rPr>
        <w:t>,</w:t>
      </w:r>
      <w:r w:rsidRPr="006B08AE">
        <w:rPr>
          <w:rFonts w:ascii="Palatino Linotype" w:eastAsia="Calibri" w:hAnsi="Palatino Linotype" w:cs="Arial"/>
          <w:lang w:val="es-ES" w:eastAsia="es-ES"/>
        </w:rPr>
        <w:t xml:space="preserve"> ante el </w:t>
      </w:r>
      <w:r w:rsidRPr="006B08AE">
        <w:rPr>
          <w:rFonts w:ascii="Palatino Linotype" w:eastAsia="Calibri" w:hAnsi="Palatino Linotype" w:cs="Arial"/>
          <w:b/>
          <w:lang w:val="es-ES" w:eastAsia="es-ES"/>
        </w:rPr>
        <w:t>SUJETO OBLIGADO</w:t>
      </w:r>
      <w:r w:rsidRPr="006B08AE">
        <w:rPr>
          <w:rFonts w:ascii="Palatino Linotype" w:eastAsia="Calibri" w:hAnsi="Palatino Linotype" w:cs="Arial"/>
          <w:lang w:val="es-ES_tradnl" w:eastAsia="es-ES"/>
        </w:rPr>
        <w:t xml:space="preserve"> vía </w:t>
      </w:r>
      <w:r w:rsidRPr="006B08AE">
        <w:rPr>
          <w:rFonts w:ascii="Palatino Linotype" w:eastAsia="Calibri" w:hAnsi="Palatino Linotype" w:cs="Arial"/>
          <w:lang w:val="es-ES" w:eastAsia="es-ES"/>
        </w:rPr>
        <w:t>Sistema de Acceso a la Información Mexiquense (</w:t>
      </w:r>
      <w:r w:rsidRPr="006B08AE">
        <w:rPr>
          <w:rFonts w:ascii="Palatino Linotype" w:eastAsia="Calibri" w:hAnsi="Palatino Linotype" w:cs="Arial"/>
          <w:b/>
          <w:lang w:val="es-ES" w:eastAsia="es-ES"/>
        </w:rPr>
        <w:t>SAIMEX)</w:t>
      </w:r>
      <w:r w:rsidRPr="006B08AE">
        <w:rPr>
          <w:rFonts w:ascii="Palatino Linotype" w:eastAsia="Calibri" w:hAnsi="Palatino Linotype" w:cs="Arial"/>
          <w:lang w:val="es-ES" w:eastAsia="es-ES"/>
        </w:rPr>
        <w:t xml:space="preserve">, presentó una solicitud de información registrada con el número </w:t>
      </w:r>
      <w:r w:rsidR="005A4191" w:rsidRPr="005A4191">
        <w:rPr>
          <w:rFonts w:ascii="Palatino Linotype" w:hAnsi="Palatino Linotype"/>
          <w:b/>
          <w:bCs/>
        </w:rPr>
        <w:t>00038/TONANI/IP/2023</w:t>
      </w:r>
      <w:r w:rsidRPr="006B08AE">
        <w:rPr>
          <w:rFonts w:ascii="Palatino Linotype" w:eastAsiaTheme="minorEastAsia" w:hAnsi="Palatino Linotype"/>
          <w:b/>
          <w:lang w:val="es-ES_tradnl" w:eastAsia="es-ES"/>
        </w:rPr>
        <w:t xml:space="preserve">, </w:t>
      </w:r>
      <w:r w:rsidRPr="006B08AE">
        <w:rPr>
          <w:rFonts w:ascii="Palatino Linotype" w:eastAsia="Calibri" w:hAnsi="Palatino Linotype" w:cs="Arial"/>
          <w:lang w:val="es-ES" w:eastAsia="es-ES"/>
        </w:rPr>
        <w:t>mediante la cual solicitó lo siguiente:</w:t>
      </w:r>
    </w:p>
    <w:p w:rsidR="00180A36" w:rsidRPr="006B08AE" w:rsidRDefault="00180A36" w:rsidP="00180A36">
      <w:pPr>
        <w:spacing w:line="360" w:lineRule="auto"/>
        <w:contextualSpacing/>
        <w:jc w:val="both"/>
        <w:rPr>
          <w:rFonts w:ascii="Palatino Linotype" w:hAnsi="Palatino Linotype" w:cs="Arial"/>
          <w:lang w:val="es-ES" w:eastAsia="es-ES"/>
        </w:rPr>
      </w:pPr>
    </w:p>
    <w:p w:rsidR="00180A36" w:rsidRPr="006B08AE" w:rsidRDefault="00180A36" w:rsidP="00180A36">
      <w:pPr>
        <w:pStyle w:val="Prrafodelista"/>
        <w:spacing w:line="360" w:lineRule="auto"/>
        <w:ind w:left="1069" w:right="567"/>
        <w:jc w:val="both"/>
        <w:rPr>
          <w:rFonts w:ascii="Palatino Linotype" w:hAnsi="Palatino Linotype"/>
          <w:i/>
          <w:color w:val="000000"/>
        </w:rPr>
      </w:pPr>
      <w:r w:rsidRPr="006B08AE">
        <w:rPr>
          <w:rFonts w:ascii="Palatino Linotype" w:hAnsi="Palatino Linotype"/>
          <w:i/>
          <w:color w:val="000000"/>
        </w:rPr>
        <w:t xml:space="preserve"> “</w:t>
      </w:r>
      <w:r w:rsidR="005A4191" w:rsidRPr="005A4191">
        <w:rPr>
          <w:rFonts w:ascii="Palatino Linotype" w:hAnsi="Palatino Linotype"/>
          <w:i/>
          <w:color w:val="000000"/>
        </w:rPr>
        <w:t>Solicito sueldos de los nuevos ingresos, sueldo del personal que por cualquier motivo se separaron de su cargo y siguen en la administracion, ya sea como director en otra area, o administrativo</w:t>
      </w:r>
      <w:r w:rsidRPr="006B08AE">
        <w:rPr>
          <w:rFonts w:ascii="Palatino Linotype" w:hAnsi="Palatino Linotype"/>
          <w:i/>
          <w:color w:val="000000"/>
        </w:rPr>
        <w:t xml:space="preserve">” (Sic) </w:t>
      </w:r>
    </w:p>
    <w:p w:rsidR="00180A36" w:rsidRPr="006B08AE" w:rsidRDefault="00180A36" w:rsidP="00180A36">
      <w:pPr>
        <w:pStyle w:val="Prrafodelista"/>
        <w:spacing w:line="360" w:lineRule="auto"/>
        <w:ind w:left="1069" w:right="567"/>
        <w:jc w:val="both"/>
        <w:rPr>
          <w:rFonts w:ascii="Palatino Linotype" w:hAnsi="Palatino Linotype"/>
          <w:i/>
          <w:color w:val="000000"/>
        </w:rPr>
      </w:pPr>
    </w:p>
    <w:p w:rsidR="00180A36" w:rsidRDefault="00180A36" w:rsidP="00180A36">
      <w:pPr>
        <w:numPr>
          <w:ilvl w:val="0"/>
          <w:numId w:val="1"/>
        </w:numPr>
        <w:spacing w:line="360" w:lineRule="auto"/>
        <w:ind w:left="0" w:firstLine="0"/>
        <w:contextualSpacing/>
        <w:jc w:val="both"/>
        <w:rPr>
          <w:rFonts w:ascii="Palatino Linotype" w:eastAsia="Calibri" w:hAnsi="Palatino Linotype"/>
          <w:lang w:val="es-ES" w:eastAsia="es-ES"/>
        </w:rPr>
      </w:pPr>
      <w:r w:rsidRPr="006B08AE">
        <w:rPr>
          <w:rFonts w:ascii="Palatino Linotype" w:eastAsia="Calibri" w:hAnsi="Palatino Linotype"/>
          <w:lang w:val="es-ES" w:eastAsia="es-ES"/>
        </w:rPr>
        <w:t>Se eligió como modalidad de entrega a través de la plataforma digital Sistema de Acceso a la Información Mexiquense (SAIMEX).</w:t>
      </w:r>
    </w:p>
    <w:p w:rsidR="00180A36" w:rsidRDefault="00180A36" w:rsidP="00180A36">
      <w:pPr>
        <w:spacing w:line="360" w:lineRule="auto"/>
        <w:contextualSpacing/>
        <w:jc w:val="both"/>
        <w:rPr>
          <w:rFonts w:ascii="Palatino Linotype" w:eastAsia="Calibri" w:hAnsi="Palatino Linotype"/>
          <w:lang w:val="es-ES" w:eastAsia="es-ES"/>
        </w:rPr>
      </w:pPr>
    </w:p>
    <w:p w:rsidR="00180A36" w:rsidRDefault="005A4191" w:rsidP="00180A36">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El dieciocho (18) de abril</w:t>
      </w:r>
      <w:r w:rsidR="00180A36">
        <w:rPr>
          <w:rFonts w:ascii="Palatino Linotype" w:eastAsia="Calibri" w:hAnsi="Palatino Linotype"/>
          <w:lang w:val="es-ES" w:eastAsia="es-ES"/>
        </w:rPr>
        <w:t xml:space="preserve"> de dos mil veintitrés, se realizó un requerimiento al servidor público habilitado. </w:t>
      </w:r>
    </w:p>
    <w:p w:rsidR="00180A36" w:rsidRPr="006B08AE" w:rsidRDefault="00180A36" w:rsidP="00180A36">
      <w:pPr>
        <w:spacing w:line="360" w:lineRule="auto"/>
        <w:contextualSpacing/>
        <w:jc w:val="both"/>
        <w:rPr>
          <w:rFonts w:ascii="Palatino Linotype" w:eastAsia="Calibri" w:hAnsi="Palatino Linotype"/>
          <w:lang w:val="es-ES" w:eastAsia="es-ES"/>
        </w:rPr>
      </w:pPr>
    </w:p>
    <w:p w:rsidR="00180A36" w:rsidRPr="006B08AE" w:rsidRDefault="00180A36" w:rsidP="00180A36">
      <w:pPr>
        <w:numPr>
          <w:ilvl w:val="0"/>
          <w:numId w:val="1"/>
        </w:numPr>
        <w:spacing w:line="360" w:lineRule="auto"/>
        <w:ind w:left="0" w:firstLine="0"/>
        <w:contextualSpacing/>
        <w:jc w:val="both"/>
        <w:rPr>
          <w:rFonts w:ascii="Palatino Linotype" w:eastAsia="Calibri" w:hAnsi="Palatino Linotype"/>
          <w:lang w:val="es-ES" w:eastAsia="es-ES"/>
        </w:rPr>
      </w:pPr>
      <w:r w:rsidRPr="006B08AE">
        <w:rPr>
          <w:rFonts w:ascii="Palatino Linotype" w:eastAsiaTheme="minorEastAsia" w:hAnsi="Palatino Linotype"/>
          <w:lang w:val="es-ES_tradnl" w:eastAsia="es-ES"/>
        </w:rPr>
        <w:t xml:space="preserve">El </w:t>
      </w:r>
      <w:r w:rsidR="005A4191">
        <w:rPr>
          <w:rFonts w:ascii="Palatino Linotype" w:eastAsiaTheme="minorEastAsia" w:hAnsi="Palatino Linotype"/>
          <w:lang w:val="es-ES_tradnl" w:eastAsia="es-ES"/>
        </w:rPr>
        <w:t>diez (10) de mayo</w:t>
      </w:r>
      <w:r w:rsidRPr="006B08AE">
        <w:rPr>
          <w:rFonts w:ascii="Palatino Linotype" w:eastAsiaTheme="minorEastAsia" w:hAnsi="Palatino Linotype"/>
          <w:lang w:val="es-ES_tradnl" w:eastAsia="es-ES"/>
        </w:rPr>
        <w:t xml:space="preserve"> de dos mil veintitrés, </w:t>
      </w:r>
      <w:r w:rsidRPr="006B08AE">
        <w:rPr>
          <w:rFonts w:ascii="Palatino Linotype" w:eastAsia="Calibri" w:hAnsi="Palatino Linotype"/>
          <w:lang w:val="es-ES" w:eastAsia="es-ES"/>
        </w:rPr>
        <w:t xml:space="preserve">el </w:t>
      </w:r>
      <w:r w:rsidRPr="006B08AE">
        <w:rPr>
          <w:rFonts w:ascii="Palatino Linotype" w:eastAsia="Calibri" w:hAnsi="Palatino Linotype" w:cs="Arial"/>
          <w:b/>
          <w:lang w:val="es-AR" w:eastAsia="es-ES"/>
        </w:rPr>
        <w:t>SUJETO OBLIGADO</w:t>
      </w:r>
      <w:r w:rsidR="00002604">
        <w:rPr>
          <w:rFonts w:ascii="Palatino Linotype" w:eastAsia="Calibri" w:hAnsi="Palatino Linotype" w:cs="Arial"/>
          <w:b/>
          <w:lang w:val="es-AR" w:eastAsia="es-ES"/>
        </w:rPr>
        <w:t>,</w:t>
      </w:r>
      <w:r w:rsidRPr="006B08AE">
        <w:rPr>
          <w:rFonts w:ascii="Palatino Linotype" w:eastAsia="Calibri" w:hAnsi="Palatino Linotype" w:cs="Arial"/>
          <w:b/>
          <w:i/>
          <w:lang w:val="es-AR" w:eastAsia="es-ES"/>
        </w:rPr>
        <w:t xml:space="preserve"> </w:t>
      </w:r>
      <w:r w:rsidRPr="006B08AE">
        <w:rPr>
          <w:rFonts w:ascii="Palatino Linotype" w:hAnsi="Palatino Linotype" w:cs="Arial"/>
          <w:lang w:val="es-ES" w:eastAsia="es-ES"/>
        </w:rPr>
        <w:t>dio respuesta a la solicitud de información en los siguientes términos:</w:t>
      </w:r>
    </w:p>
    <w:p w:rsidR="00180A36" w:rsidRPr="006B08AE" w:rsidRDefault="00180A36" w:rsidP="00180A36">
      <w:pPr>
        <w:spacing w:line="360" w:lineRule="auto"/>
        <w:contextualSpacing/>
        <w:jc w:val="both"/>
        <w:rPr>
          <w:rFonts w:ascii="Palatino Linotype" w:eastAsia="Calibri" w:hAnsi="Palatino Linotype"/>
          <w:lang w:val="es-ES" w:eastAsia="es-ES"/>
        </w:rPr>
      </w:pPr>
    </w:p>
    <w:tbl>
      <w:tblPr>
        <w:tblW w:w="7315" w:type="dxa"/>
        <w:jc w:val="center"/>
        <w:tblCellSpacing w:w="0" w:type="dxa"/>
        <w:tblCellMar>
          <w:left w:w="0" w:type="dxa"/>
          <w:right w:w="0" w:type="dxa"/>
        </w:tblCellMar>
        <w:tblLook w:val="04A0" w:firstRow="1" w:lastRow="0" w:firstColumn="1" w:lastColumn="0" w:noHBand="0" w:noVBand="1"/>
      </w:tblPr>
      <w:tblGrid>
        <w:gridCol w:w="7315"/>
      </w:tblGrid>
      <w:tr w:rsidR="005A4191" w:rsidRPr="005A4191" w:rsidTr="005A4191">
        <w:trPr>
          <w:trHeight w:val="327"/>
          <w:tblCellSpacing w:w="0" w:type="dxa"/>
          <w:jc w:val="center"/>
        </w:trPr>
        <w:tc>
          <w:tcPr>
            <w:tcW w:w="0" w:type="auto"/>
            <w:vAlign w:val="center"/>
            <w:hideMark/>
          </w:tcPr>
          <w:p w:rsidR="005A4191" w:rsidRPr="005A4191" w:rsidRDefault="005A4191" w:rsidP="005A4191">
            <w:pPr>
              <w:jc w:val="right"/>
              <w:rPr>
                <w:rFonts w:ascii="Palatino Linotype" w:hAnsi="Palatino Linotype"/>
                <w:i/>
                <w:sz w:val="22"/>
                <w:lang w:val="es-ES" w:eastAsia="es-ES"/>
              </w:rPr>
            </w:pPr>
            <w:r>
              <w:rPr>
                <w:rFonts w:ascii="Palatino Linotype" w:hAnsi="Palatino Linotype"/>
                <w:i/>
                <w:sz w:val="22"/>
                <w:szCs w:val="18"/>
                <w:lang w:val="es-ES" w:eastAsia="es-ES"/>
              </w:rPr>
              <w:t>“</w:t>
            </w:r>
            <w:r w:rsidRPr="005A4191">
              <w:rPr>
                <w:rFonts w:ascii="Palatino Linotype" w:hAnsi="Palatino Linotype"/>
                <w:i/>
                <w:sz w:val="22"/>
                <w:szCs w:val="18"/>
                <w:lang w:val="es-ES" w:eastAsia="es-ES"/>
              </w:rPr>
              <w:t>Tonanitla, México a 10 de Mayo de 2023</w:t>
            </w:r>
          </w:p>
        </w:tc>
      </w:tr>
      <w:tr w:rsidR="005A4191" w:rsidRPr="005A4191" w:rsidTr="005A4191">
        <w:trPr>
          <w:trHeight w:val="327"/>
          <w:tblCellSpacing w:w="0" w:type="dxa"/>
          <w:jc w:val="center"/>
        </w:trPr>
        <w:tc>
          <w:tcPr>
            <w:tcW w:w="0" w:type="auto"/>
            <w:vAlign w:val="center"/>
            <w:hideMark/>
          </w:tcPr>
          <w:p w:rsidR="005A4191" w:rsidRPr="005A4191" w:rsidRDefault="005A4191" w:rsidP="005A4191">
            <w:pPr>
              <w:jc w:val="right"/>
              <w:rPr>
                <w:rFonts w:ascii="Palatino Linotype" w:hAnsi="Palatino Linotype"/>
                <w:i/>
                <w:sz w:val="22"/>
                <w:lang w:val="es-ES" w:eastAsia="es-ES"/>
              </w:rPr>
            </w:pPr>
            <w:r w:rsidRPr="005A4191">
              <w:rPr>
                <w:rFonts w:ascii="Palatino Linotype" w:hAnsi="Palatino Linotype"/>
                <w:i/>
                <w:sz w:val="22"/>
                <w:szCs w:val="18"/>
                <w:lang w:val="es-ES" w:eastAsia="es-ES"/>
              </w:rPr>
              <w:t>Nombre del solicitante: C. Solicitante</w:t>
            </w:r>
          </w:p>
        </w:tc>
      </w:tr>
      <w:tr w:rsidR="005A4191" w:rsidRPr="005A4191" w:rsidTr="005A4191">
        <w:trPr>
          <w:trHeight w:val="327"/>
          <w:tblCellSpacing w:w="0" w:type="dxa"/>
          <w:jc w:val="center"/>
        </w:trPr>
        <w:tc>
          <w:tcPr>
            <w:tcW w:w="0" w:type="auto"/>
            <w:vAlign w:val="center"/>
            <w:hideMark/>
          </w:tcPr>
          <w:p w:rsidR="005A4191" w:rsidRPr="005A4191" w:rsidRDefault="005A4191" w:rsidP="005A4191">
            <w:pPr>
              <w:jc w:val="right"/>
              <w:rPr>
                <w:rFonts w:ascii="Palatino Linotype" w:hAnsi="Palatino Linotype"/>
                <w:i/>
                <w:sz w:val="22"/>
                <w:lang w:val="es-ES" w:eastAsia="es-ES"/>
              </w:rPr>
            </w:pPr>
            <w:r w:rsidRPr="005A4191">
              <w:rPr>
                <w:rFonts w:ascii="Palatino Linotype" w:hAnsi="Palatino Linotype"/>
                <w:i/>
                <w:sz w:val="22"/>
                <w:szCs w:val="18"/>
                <w:lang w:val="es-ES" w:eastAsia="es-ES"/>
              </w:rPr>
              <w:t>Folio de la solicitud: 00038/TONANI/IP/2023</w:t>
            </w:r>
          </w:p>
        </w:tc>
      </w:tr>
      <w:tr w:rsidR="005A4191" w:rsidRPr="005A4191" w:rsidTr="005A4191">
        <w:trPr>
          <w:trHeight w:val="490"/>
          <w:tblCellSpacing w:w="0" w:type="dxa"/>
          <w:jc w:val="center"/>
        </w:trPr>
        <w:tc>
          <w:tcPr>
            <w:tcW w:w="0" w:type="auto"/>
            <w:vAlign w:val="center"/>
            <w:hideMark/>
          </w:tcPr>
          <w:p w:rsidR="005A4191" w:rsidRPr="005A4191" w:rsidRDefault="005A4191" w:rsidP="005A4191">
            <w:pPr>
              <w:jc w:val="right"/>
              <w:rPr>
                <w:rFonts w:ascii="Palatino Linotype" w:hAnsi="Palatino Linotype"/>
                <w:i/>
                <w:sz w:val="22"/>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r w:rsidRPr="005A4191">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A4191" w:rsidRPr="005A4191" w:rsidTr="005A4191">
        <w:trPr>
          <w:trHeight w:val="408"/>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r w:rsidRPr="005A4191">
              <w:rPr>
                <w:rFonts w:ascii="Palatino Linotype" w:hAnsi="Palatino Linotype"/>
                <w:i/>
                <w:sz w:val="22"/>
                <w:szCs w:val="18"/>
                <w:lang w:val="es-ES" w:eastAsia="es-ES"/>
              </w:rPr>
              <w:t>SE ADJUNTAN LOS SIGUIENTES DOCUMENTOS: 1. RESPUESTA INTEGRADORA. 2. OFICIO DE LA DIRECCIÓN DE FOMENTO Y DESARROLLO ECONÓMICO, ADMINISTRACIÓN Y REGLAMENTOS</w:t>
            </w:r>
          </w:p>
        </w:tc>
      </w:tr>
      <w:tr w:rsidR="005A4191" w:rsidRPr="005A4191" w:rsidTr="005A4191">
        <w:trPr>
          <w:trHeight w:val="408"/>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jc w:val="center"/>
              <w:rPr>
                <w:rFonts w:ascii="Palatino Linotype" w:hAnsi="Palatino Linotype"/>
                <w:i/>
                <w:sz w:val="22"/>
                <w:szCs w:val="20"/>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rPr>
                <w:rFonts w:ascii="Palatino Linotype" w:hAnsi="Palatino Linotype"/>
                <w:i/>
                <w:sz w:val="22"/>
                <w:szCs w:val="20"/>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r w:rsidRPr="005A4191">
              <w:rPr>
                <w:rFonts w:ascii="Palatino Linotype" w:hAnsi="Palatino Linotype"/>
                <w:i/>
                <w:sz w:val="22"/>
                <w:szCs w:val="18"/>
                <w:lang w:val="es-ES" w:eastAsia="es-ES"/>
              </w:rPr>
              <w:t>ATENTAMENTE</w:t>
            </w:r>
          </w:p>
        </w:tc>
      </w:tr>
      <w:tr w:rsidR="005A4191" w:rsidRPr="005A4191" w:rsidTr="005A4191">
        <w:trPr>
          <w:trHeight w:val="245"/>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p>
        </w:tc>
      </w:tr>
      <w:tr w:rsidR="005A4191" w:rsidRPr="005A4191" w:rsidTr="005A4191">
        <w:trPr>
          <w:trHeight w:val="163"/>
          <w:tblCellSpacing w:w="0" w:type="dxa"/>
          <w:jc w:val="center"/>
        </w:trPr>
        <w:tc>
          <w:tcPr>
            <w:tcW w:w="0" w:type="auto"/>
            <w:vAlign w:val="center"/>
            <w:hideMark/>
          </w:tcPr>
          <w:p w:rsidR="005A4191" w:rsidRPr="005A4191" w:rsidRDefault="005A4191" w:rsidP="005A4191">
            <w:pPr>
              <w:rPr>
                <w:rFonts w:ascii="Palatino Linotype" w:hAnsi="Palatino Linotype"/>
                <w:i/>
                <w:sz w:val="22"/>
                <w:lang w:val="es-ES" w:eastAsia="es-ES"/>
              </w:rPr>
            </w:pPr>
            <w:r w:rsidRPr="005A4191">
              <w:rPr>
                <w:rFonts w:ascii="Palatino Linotype" w:hAnsi="Palatino Linotype"/>
                <w:i/>
                <w:sz w:val="22"/>
                <w:szCs w:val="18"/>
                <w:lang w:val="es-ES" w:eastAsia="es-ES"/>
              </w:rPr>
              <w:t>C. LUZ MARÍA PIÑA CARRILLO</w:t>
            </w:r>
            <w:r>
              <w:rPr>
                <w:rFonts w:ascii="Palatino Linotype" w:hAnsi="Palatino Linotype"/>
                <w:i/>
                <w:sz w:val="22"/>
                <w:szCs w:val="18"/>
                <w:lang w:val="es-ES" w:eastAsia="es-ES"/>
              </w:rPr>
              <w:t>”</w:t>
            </w:r>
          </w:p>
        </w:tc>
      </w:tr>
    </w:tbl>
    <w:p w:rsidR="00180A36" w:rsidRDefault="00180A36" w:rsidP="00180A36">
      <w:pPr>
        <w:spacing w:line="360" w:lineRule="auto"/>
        <w:ind w:right="567"/>
        <w:jc w:val="both"/>
        <w:rPr>
          <w:rFonts w:ascii="Palatino Linotype" w:hAnsi="Palatino Linotype"/>
          <w:i/>
          <w:sz w:val="32"/>
        </w:rPr>
      </w:pPr>
    </w:p>
    <w:p w:rsidR="00180A36" w:rsidRDefault="00180A36" w:rsidP="005A4191">
      <w:pPr>
        <w:spacing w:line="360" w:lineRule="auto"/>
        <w:ind w:right="567"/>
        <w:jc w:val="both"/>
        <w:rPr>
          <w:rFonts w:ascii="Palatino Linotype" w:hAnsi="Palatino Linotype"/>
        </w:rPr>
      </w:pPr>
      <w:r w:rsidRPr="005A4191">
        <w:rPr>
          <w:rFonts w:ascii="Palatino Linotype" w:hAnsi="Palatino Linotype"/>
        </w:rPr>
        <w:t xml:space="preserve">A la respuesta </w:t>
      </w:r>
      <w:r w:rsidR="005A4191" w:rsidRPr="005A4191">
        <w:rPr>
          <w:rFonts w:ascii="Palatino Linotype" w:hAnsi="Palatino Linotype"/>
        </w:rPr>
        <w:t xml:space="preserve">se adjuntaron los </w:t>
      </w:r>
      <w:r w:rsidR="005A4191">
        <w:rPr>
          <w:rFonts w:ascii="Palatino Linotype" w:hAnsi="Palatino Linotype"/>
        </w:rPr>
        <w:t xml:space="preserve">archivos que se describen enseguida: </w:t>
      </w:r>
    </w:p>
    <w:p w:rsidR="005A4191" w:rsidRDefault="005A4191" w:rsidP="005A4191">
      <w:pPr>
        <w:spacing w:line="360" w:lineRule="auto"/>
        <w:ind w:right="567"/>
        <w:jc w:val="both"/>
        <w:rPr>
          <w:rFonts w:ascii="Palatino Linotype" w:hAnsi="Palatino Linotype"/>
        </w:rPr>
      </w:pPr>
    </w:p>
    <w:p w:rsidR="005A4191" w:rsidRDefault="00A34D78" w:rsidP="005A4191">
      <w:pPr>
        <w:pStyle w:val="Prrafodelista"/>
        <w:numPr>
          <w:ilvl w:val="0"/>
          <w:numId w:val="5"/>
        </w:numPr>
        <w:spacing w:line="360" w:lineRule="auto"/>
        <w:ind w:right="567"/>
        <w:jc w:val="both"/>
        <w:rPr>
          <w:rFonts w:ascii="Palatino Linotype" w:hAnsi="Palatino Linotype"/>
        </w:rPr>
      </w:pPr>
      <w:hyperlink r:id="rId7" w:tgtFrame="_blank" w:history="1">
        <w:r w:rsidR="005A4191" w:rsidRPr="005A4191">
          <w:rPr>
            <w:rStyle w:val="Hipervnculo"/>
            <w:rFonts w:ascii="Palatino Linotype" w:hAnsi="Palatino Linotype"/>
            <w:b/>
            <w:bCs/>
            <w:color w:val="auto"/>
          </w:rPr>
          <w:t>resp 38 .pdf</w:t>
        </w:r>
      </w:hyperlink>
      <w:r w:rsidR="005A4191" w:rsidRPr="005A4191">
        <w:rPr>
          <w:rFonts w:ascii="Palatino Linotype" w:hAnsi="Palatino Linotype"/>
        </w:rPr>
        <w:t>:</w:t>
      </w:r>
      <w:r w:rsidR="005A4191">
        <w:rPr>
          <w:rFonts w:ascii="Palatino Linotype" w:hAnsi="Palatino Linotype"/>
        </w:rPr>
        <w:t xml:space="preserve"> </w:t>
      </w:r>
      <w:r w:rsidR="00314B96">
        <w:rPr>
          <w:rFonts w:ascii="Palatino Linotype" w:hAnsi="Palatino Linotype"/>
        </w:rPr>
        <w:t xml:space="preserve">oficio DFDEAR, de fecha ocho de mayo de dos mil veintitrés, suscrito por el encargado de despacho de la Dirección de Fomento y Desarrollo Económico, Administración y Reglamentos de Tonanitla en el que refirió que la información referida no corresponde a sus atribuciones. </w:t>
      </w:r>
    </w:p>
    <w:p w:rsidR="005A4191" w:rsidRPr="005A4191" w:rsidRDefault="005A4191" w:rsidP="005A4191">
      <w:pPr>
        <w:pStyle w:val="Prrafodelista"/>
        <w:spacing w:line="360" w:lineRule="auto"/>
        <w:ind w:right="567"/>
        <w:jc w:val="both"/>
        <w:rPr>
          <w:rFonts w:ascii="Palatino Linotype" w:hAnsi="Palatino Linotype"/>
        </w:rPr>
      </w:pPr>
    </w:p>
    <w:p w:rsidR="005A4191" w:rsidRDefault="00A34D78" w:rsidP="005A4191">
      <w:pPr>
        <w:pStyle w:val="Prrafodelista"/>
        <w:numPr>
          <w:ilvl w:val="0"/>
          <w:numId w:val="5"/>
        </w:numPr>
        <w:spacing w:line="360" w:lineRule="auto"/>
        <w:ind w:right="567"/>
        <w:jc w:val="both"/>
        <w:rPr>
          <w:rFonts w:ascii="Palatino Linotype" w:hAnsi="Palatino Linotype"/>
        </w:rPr>
      </w:pPr>
      <w:hyperlink r:id="rId8" w:tgtFrame="_blank" w:history="1">
        <w:r w:rsidR="005A4191" w:rsidRPr="005A4191">
          <w:rPr>
            <w:rStyle w:val="Hipervnculo"/>
            <w:rFonts w:ascii="Palatino Linotype" w:hAnsi="Palatino Linotype"/>
            <w:b/>
            <w:bCs/>
            <w:color w:val="auto"/>
          </w:rPr>
          <w:t>RESPUESTA INTEGRADORA 038.pdf</w:t>
        </w:r>
      </w:hyperlink>
      <w:r w:rsidR="005A4191" w:rsidRPr="005A4191">
        <w:rPr>
          <w:rFonts w:ascii="Palatino Linotype" w:hAnsi="Palatino Linotype"/>
        </w:rPr>
        <w:t>:</w:t>
      </w:r>
      <w:r w:rsidR="000D1FAE">
        <w:rPr>
          <w:rFonts w:ascii="Palatino Linotype" w:hAnsi="Palatino Linotype"/>
        </w:rPr>
        <w:t xml:space="preserve"> oficio TRANSP/TON/239/2023 suscrito por la Directora de Transparencia mediante el cual refirió que dio respuesta emitida por la Dirección de Fomento y Desarrollo Económico, Administración y Reglamentos. </w:t>
      </w:r>
    </w:p>
    <w:p w:rsidR="005A4191" w:rsidRPr="000D1FAE" w:rsidRDefault="005A4191" w:rsidP="000D1FAE">
      <w:pPr>
        <w:spacing w:line="360" w:lineRule="auto"/>
        <w:ind w:right="567"/>
        <w:jc w:val="both"/>
        <w:rPr>
          <w:rFonts w:ascii="Palatino Linotype" w:hAnsi="Palatino Linotype"/>
        </w:rPr>
      </w:pPr>
    </w:p>
    <w:p w:rsidR="005A4191" w:rsidRPr="005A4191" w:rsidRDefault="00A34D78" w:rsidP="005A4191">
      <w:pPr>
        <w:pStyle w:val="Prrafodelista"/>
        <w:numPr>
          <w:ilvl w:val="0"/>
          <w:numId w:val="5"/>
        </w:numPr>
        <w:spacing w:line="360" w:lineRule="auto"/>
        <w:ind w:right="567"/>
        <w:jc w:val="both"/>
        <w:rPr>
          <w:rFonts w:ascii="Palatino Linotype" w:hAnsi="Palatino Linotype"/>
          <w:sz w:val="24"/>
        </w:rPr>
      </w:pPr>
      <w:hyperlink r:id="rId9" w:tgtFrame="_blank" w:history="1">
        <w:r w:rsidR="005A4191" w:rsidRPr="005A4191">
          <w:rPr>
            <w:rStyle w:val="Hipervnculo"/>
            <w:rFonts w:ascii="Palatino Linotype" w:hAnsi="Palatino Linotype"/>
            <w:b/>
            <w:bCs/>
            <w:color w:val="auto"/>
          </w:rPr>
          <w:t>of 038.pdf</w:t>
        </w:r>
      </w:hyperlink>
      <w:r w:rsidR="005A4191" w:rsidRPr="005A4191">
        <w:rPr>
          <w:rFonts w:ascii="Palatino Linotype" w:hAnsi="Palatino Linotype"/>
        </w:rPr>
        <w:t xml:space="preserve">: </w:t>
      </w:r>
      <w:r w:rsidR="000D1FAE">
        <w:rPr>
          <w:rFonts w:ascii="Palatino Linotype" w:hAnsi="Palatino Linotype"/>
        </w:rPr>
        <w:t xml:space="preserve">oficio TM/TON/261/2023 suscrito por la Tesorera Municipal mediante el cual adjuntó una tabla con el puesto anterior, nuevo puesto y sueldo. </w:t>
      </w:r>
    </w:p>
    <w:p w:rsidR="00180A36" w:rsidRPr="006C5CB6" w:rsidRDefault="00180A36" w:rsidP="00180A36">
      <w:pPr>
        <w:spacing w:line="360" w:lineRule="auto"/>
        <w:ind w:right="567"/>
        <w:jc w:val="both"/>
        <w:rPr>
          <w:rFonts w:ascii="Palatino Linotype" w:hAnsi="Palatino Linotype"/>
        </w:rPr>
      </w:pPr>
    </w:p>
    <w:p w:rsidR="00180A36" w:rsidRPr="006B08AE" w:rsidRDefault="00180A36" w:rsidP="00180A3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6B08AE">
        <w:rPr>
          <w:rFonts w:ascii="Palatino Linotype" w:eastAsia="Calibri" w:hAnsi="Palatino Linotype" w:cs="Arial"/>
          <w:lang w:val="es-AR" w:eastAsia="es-ES"/>
        </w:rPr>
        <w:t xml:space="preserve">El </w:t>
      </w:r>
      <w:r w:rsidR="000D1FAE">
        <w:rPr>
          <w:rFonts w:ascii="Palatino Linotype" w:eastAsia="Calibri" w:hAnsi="Palatino Linotype" w:cs="Arial"/>
          <w:lang w:val="es-AR" w:eastAsia="es-ES"/>
        </w:rPr>
        <w:t>dieciséis (16) de mayo</w:t>
      </w:r>
      <w:r w:rsidRPr="006B08AE">
        <w:rPr>
          <w:rFonts w:ascii="Palatino Linotype" w:eastAsia="Calibri" w:hAnsi="Palatino Linotype" w:cs="Arial"/>
          <w:lang w:val="es-AR" w:eastAsia="es-ES"/>
        </w:rPr>
        <w:t xml:space="preserve"> de dos mil veintitrés</w:t>
      </w:r>
      <w:r w:rsidRPr="006B08AE">
        <w:rPr>
          <w:rFonts w:ascii="Palatino Linotype" w:hAnsi="Palatino Linotype" w:cs="Arial"/>
          <w:lang w:val="es-ES" w:eastAsia="es-ES"/>
        </w:rPr>
        <w:t xml:space="preserve">, </w:t>
      </w:r>
      <w:r w:rsidRPr="006B08AE">
        <w:rPr>
          <w:rFonts w:ascii="Palatino Linotype" w:eastAsiaTheme="minorEastAsia" w:hAnsi="Palatino Linotype"/>
          <w:b/>
          <w:lang w:val="es-ES_tradnl" w:eastAsia="es-ES"/>
        </w:rPr>
        <w:t>EL RECURRENTE</w:t>
      </w:r>
      <w:r w:rsidRPr="006B08AE">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180A36" w:rsidRPr="006B08AE" w:rsidRDefault="00180A36" w:rsidP="00180A36">
      <w:pPr>
        <w:spacing w:line="360" w:lineRule="auto"/>
        <w:ind w:left="567" w:right="567"/>
        <w:contextualSpacing/>
        <w:rPr>
          <w:rFonts w:ascii="Palatino Linotype" w:eastAsiaTheme="minorEastAsia" w:hAnsi="Palatino Linotype" w:cs="Arial"/>
          <w:i/>
          <w:lang w:val="es-ES_tradnl" w:eastAsia="es-ES"/>
        </w:rPr>
      </w:pPr>
    </w:p>
    <w:p w:rsidR="00180A36" w:rsidRPr="006B08AE" w:rsidRDefault="00180A36" w:rsidP="00180A36">
      <w:pPr>
        <w:spacing w:line="360" w:lineRule="auto"/>
        <w:ind w:left="567" w:right="567"/>
        <w:contextualSpacing/>
        <w:jc w:val="both"/>
        <w:rPr>
          <w:rFonts w:ascii="Palatino Linotype" w:eastAsia="Calibri" w:hAnsi="Palatino Linotype" w:cs="Arial"/>
          <w:i/>
          <w:lang w:val="es-ES" w:eastAsia="es-ES"/>
        </w:rPr>
      </w:pPr>
      <w:r w:rsidRPr="006B08AE">
        <w:rPr>
          <w:rFonts w:ascii="Palatino Linotype" w:eastAsiaTheme="minorEastAsia" w:hAnsi="Palatino Linotype"/>
          <w:b/>
          <w:lang w:val="es-ES_tradnl" w:eastAsia="es-ES"/>
        </w:rPr>
        <w:t>Acto impugnado</w:t>
      </w:r>
      <w:r w:rsidRPr="006B08AE">
        <w:rPr>
          <w:rFonts w:ascii="Palatino Linotype" w:eastAsiaTheme="minorEastAsia" w:hAnsi="Palatino Linotype"/>
          <w:b/>
          <w:i/>
          <w:lang w:val="es-ES_tradnl" w:eastAsia="es-ES"/>
        </w:rPr>
        <w:t>:</w:t>
      </w:r>
      <w:r w:rsidRPr="006B08AE">
        <w:rPr>
          <w:rFonts w:ascii="Palatino Linotype" w:hAnsi="Palatino Linotype"/>
          <w:i/>
          <w:color w:val="000000"/>
        </w:rPr>
        <w:t xml:space="preserve"> “</w:t>
      </w:r>
      <w:r w:rsidR="000D1FAE" w:rsidRPr="000D1FAE">
        <w:rPr>
          <w:rFonts w:ascii="Palatino Linotype" w:hAnsi="Palatino Linotype"/>
          <w:i/>
          <w:color w:val="000000"/>
        </w:rPr>
        <w:t>Respuesta del la solicitud 38</w:t>
      </w:r>
      <w:r w:rsidRPr="006B08AE">
        <w:rPr>
          <w:rFonts w:ascii="Palatino Linotype" w:hAnsi="Palatino Linotype"/>
          <w:i/>
          <w:color w:val="000000"/>
        </w:rPr>
        <w:t>” (Sic)</w:t>
      </w:r>
    </w:p>
    <w:p w:rsidR="00180A36" w:rsidRPr="006B08AE" w:rsidRDefault="00180A36" w:rsidP="00180A36">
      <w:pPr>
        <w:spacing w:line="360" w:lineRule="auto"/>
        <w:ind w:left="567" w:right="567"/>
        <w:contextualSpacing/>
        <w:jc w:val="both"/>
        <w:rPr>
          <w:rFonts w:ascii="Palatino Linotype" w:eastAsia="Calibri" w:hAnsi="Palatino Linotype" w:cs="Arial"/>
          <w:lang w:val="es-ES" w:eastAsia="es-ES"/>
        </w:rPr>
      </w:pPr>
    </w:p>
    <w:p w:rsidR="00180A36" w:rsidRPr="006B08AE" w:rsidRDefault="00180A36" w:rsidP="00180A36">
      <w:pPr>
        <w:spacing w:line="360" w:lineRule="auto"/>
        <w:ind w:left="567" w:right="567"/>
        <w:contextualSpacing/>
        <w:jc w:val="both"/>
        <w:rPr>
          <w:rFonts w:ascii="Palatino Linotype" w:hAnsi="Palatino Linotype"/>
          <w:i/>
          <w:color w:val="000000"/>
        </w:rPr>
      </w:pPr>
      <w:r w:rsidRPr="006B08AE">
        <w:rPr>
          <w:rFonts w:ascii="Palatino Linotype" w:eastAsiaTheme="minorEastAsia" w:hAnsi="Palatino Linotype"/>
          <w:b/>
          <w:lang w:val="es-ES_tradnl" w:eastAsia="es-ES"/>
        </w:rPr>
        <w:t>Razones o Motivos de inconformidad:</w:t>
      </w:r>
      <w:r w:rsidRPr="006B08AE">
        <w:rPr>
          <w:rFonts w:ascii="Palatino Linotype" w:eastAsiaTheme="majorEastAsia" w:hAnsi="Palatino Linotype" w:cstheme="majorBidi"/>
          <w:b/>
          <w:color w:val="2E74B5" w:themeColor="accent1" w:themeShade="BF"/>
          <w:sz w:val="26"/>
          <w:szCs w:val="26"/>
          <w:lang w:val="es-ES" w:eastAsia="es-ES"/>
        </w:rPr>
        <w:t xml:space="preserve"> </w:t>
      </w:r>
      <w:r w:rsidRPr="006B08AE">
        <w:rPr>
          <w:rFonts w:ascii="Palatino Linotype" w:eastAsiaTheme="majorEastAsia" w:hAnsi="Palatino Linotype" w:cstheme="majorBidi"/>
          <w:i/>
          <w:lang w:val="es-ES" w:eastAsia="es-ES"/>
        </w:rPr>
        <w:t>“</w:t>
      </w:r>
      <w:r w:rsidR="000D1FAE" w:rsidRPr="000D1FAE">
        <w:rPr>
          <w:rFonts w:ascii="Palatino Linotype" w:hAnsi="Palatino Linotype"/>
          <w:i/>
          <w:color w:val="000000"/>
        </w:rPr>
        <w:t>SOLO ACLARAR EN EL CASO DE QUE EN LA TABLA DONDE MARCAN PUESTO ANTERIOR, APARECEN DOS DIRECCION DE UIPPE Y DOS AUXILIAR ADMINISTRATIVO, QUE EN ESTE PUNTO ME ACLAREN SI ESQUE HUBO DOS BAJAS DE DIRECTOR (a) Y LOS NOMBRES DE LOS SERVIDORES PUBLICOS QUE SE DIERON DE BAJA Y QUEDARON COMO AUXILIARES ADMINISTRATIVOS</w:t>
      </w:r>
      <w:r w:rsidRPr="006B08AE">
        <w:rPr>
          <w:rFonts w:ascii="Palatino Linotype" w:hAnsi="Palatino Linotype"/>
          <w:i/>
          <w:color w:val="000000"/>
        </w:rPr>
        <w:t>” (Sic).</w:t>
      </w:r>
    </w:p>
    <w:bookmarkEnd w:id="2"/>
    <w:bookmarkEnd w:id="3"/>
    <w:bookmarkEnd w:id="4"/>
    <w:p w:rsidR="00180A36" w:rsidRPr="006B08AE" w:rsidRDefault="00180A36" w:rsidP="00180A36">
      <w:pPr>
        <w:spacing w:line="360" w:lineRule="auto"/>
        <w:jc w:val="both"/>
        <w:rPr>
          <w:rFonts w:ascii="Palatino Linotype" w:hAnsi="Palatino Linotype"/>
          <w:i/>
          <w:sz w:val="22"/>
          <w:szCs w:val="22"/>
        </w:rPr>
      </w:pPr>
      <w:r w:rsidRPr="006B08AE">
        <w:rPr>
          <w:rFonts w:ascii="Palatino Linotype" w:eastAsia="Calibri" w:hAnsi="Palatino Linotype" w:cs="Arial"/>
          <w:lang w:val="es-AR" w:eastAsia="es-ES"/>
        </w:rPr>
        <w:tab/>
      </w:r>
    </w:p>
    <w:p w:rsidR="00180A36" w:rsidRPr="006B08AE" w:rsidRDefault="00180A36" w:rsidP="00180A36">
      <w:pPr>
        <w:numPr>
          <w:ilvl w:val="0"/>
          <w:numId w:val="1"/>
        </w:numPr>
        <w:spacing w:line="360" w:lineRule="auto"/>
        <w:ind w:left="0" w:firstLine="0"/>
        <w:contextualSpacing/>
        <w:jc w:val="both"/>
        <w:rPr>
          <w:rFonts w:ascii="Palatino Linotype" w:eastAsia="Calibri" w:hAnsi="Palatino Linotype" w:cs="Arial"/>
          <w:lang w:val="es-AR" w:eastAsia="es-ES"/>
        </w:rPr>
      </w:pPr>
      <w:r w:rsidRPr="006B08AE">
        <w:rPr>
          <w:rFonts w:ascii="Palatino Linotype" w:hAnsi="Palatino Linotype" w:cs="Arial"/>
          <w:lang w:val="es-ES" w:eastAsia="es-ES"/>
        </w:rPr>
        <w:t xml:space="preserve">Se registró el recurso de revisión bajo el número de expediente </w:t>
      </w:r>
      <w:r w:rsidRPr="006B08AE">
        <w:rPr>
          <w:rFonts w:ascii="Palatino Linotype" w:eastAsiaTheme="minorEastAsia" w:hAnsi="Palatino Linotype" w:cs="Arial"/>
          <w:bCs/>
          <w:lang w:val="es-ES_tradnl" w:eastAsia="es-ES"/>
        </w:rPr>
        <w:t xml:space="preserve">al rubro indicado, asimismo con fundamento en lo dispuesto por el </w:t>
      </w:r>
      <w:r w:rsidRPr="006B08AE">
        <w:rPr>
          <w:rFonts w:ascii="Palatino Linotype" w:eastAsia="Calibri" w:hAnsi="Palatino Linotype" w:cs="Arial"/>
          <w:lang w:val="es-ES" w:eastAsia="es-ES"/>
        </w:rPr>
        <w:t xml:space="preserve">artículo 185 fracción I de la </w:t>
      </w:r>
      <w:r w:rsidRPr="006B08AE">
        <w:rPr>
          <w:rFonts w:ascii="Palatino Linotype" w:eastAsia="Calibri" w:hAnsi="Palatino Linotype" w:cs="Arial"/>
          <w:b/>
          <w:lang w:val="es-ES" w:eastAsia="es-ES"/>
        </w:rPr>
        <w:t xml:space="preserve">Ley de Transparencia y Acceso a la Información Pública del Estado de México y </w:t>
      </w:r>
      <w:r w:rsidRPr="006B08AE">
        <w:rPr>
          <w:rFonts w:ascii="Palatino Linotype" w:eastAsia="Calibri" w:hAnsi="Palatino Linotype" w:cs="Arial"/>
          <w:b/>
          <w:lang w:val="es-ES" w:eastAsia="es-ES"/>
        </w:rPr>
        <w:lastRenderedPageBreak/>
        <w:t xml:space="preserve">Municipios </w:t>
      </w:r>
      <w:r w:rsidRPr="006B08AE">
        <w:rPr>
          <w:rFonts w:ascii="Palatino Linotype" w:hAnsi="Palatino Linotype" w:cs="Arial"/>
          <w:lang w:val="es-ES" w:eastAsia="es-ES"/>
        </w:rPr>
        <w:t xml:space="preserve">se turnó a la </w:t>
      </w:r>
      <w:r w:rsidRPr="006B08AE">
        <w:rPr>
          <w:rFonts w:ascii="Palatino Linotype" w:hAnsi="Palatino Linotype" w:cs="Arial"/>
          <w:b/>
          <w:lang w:val="es-ES" w:eastAsia="es-ES"/>
        </w:rPr>
        <w:t xml:space="preserve">Comisionada María del Rosario Mejía Ayala, </w:t>
      </w:r>
      <w:r w:rsidRPr="006B08AE">
        <w:rPr>
          <w:rFonts w:ascii="Palatino Linotype" w:hAnsi="Palatino Linotype" w:cs="Arial"/>
          <w:lang w:val="es-ES" w:eastAsia="es-ES"/>
        </w:rPr>
        <w:t xml:space="preserve">con el objeto de </w:t>
      </w:r>
      <w:r w:rsidRPr="006B08AE">
        <w:rPr>
          <w:rFonts w:ascii="Palatino Linotype" w:hAnsi="Palatino Linotype" w:cs="Arial"/>
          <w:lang w:eastAsia="es-ES"/>
        </w:rPr>
        <w:t xml:space="preserve">su análisis. </w:t>
      </w:r>
    </w:p>
    <w:p w:rsidR="00180A36" w:rsidRPr="006B08AE" w:rsidRDefault="00180A36" w:rsidP="00180A36">
      <w:pPr>
        <w:spacing w:line="360" w:lineRule="auto"/>
        <w:contextualSpacing/>
        <w:jc w:val="both"/>
        <w:rPr>
          <w:rFonts w:ascii="Palatino Linotype" w:eastAsia="Calibri" w:hAnsi="Palatino Linotype" w:cs="Arial"/>
          <w:lang w:val="es-AR" w:eastAsia="es-ES"/>
        </w:rPr>
      </w:pPr>
    </w:p>
    <w:p w:rsidR="00180A36" w:rsidRPr="006B08AE" w:rsidRDefault="00180A36" w:rsidP="00180A36">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6B08AE">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0D1FAE">
        <w:rPr>
          <w:rFonts w:ascii="Palatino Linotype" w:eastAsia="Calibri" w:hAnsi="Palatino Linotype" w:cs="Arial"/>
          <w:lang w:val="es-ES" w:eastAsia="es-ES"/>
        </w:rPr>
        <w:t>veintidós (22</w:t>
      </w:r>
      <w:r>
        <w:rPr>
          <w:rFonts w:ascii="Palatino Linotype" w:eastAsia="Calibri" w:hAnsi="Palatino Linotype" w:cs="Arial"/>
          <w:lang w:val="es-ES" w:eastAsia="es-ES"/>
        </w:rPr>
        <w:t xml:space="preserve">) de mayo </w:t>
      </w:r>
      <w:r w:rsidRPr="006B08AE">
        <w:rPr>
          <w:rFonts w:ascii="Palatino Linotype" w:eastAsia="Calibri" w:hAnsi="Palatino Linotype" w:cs="Arial"/>
          <w:lang w:val="es-ES" w:eastAsia="es-ES"/>
        </w:rPr>
        <w:t xml:space="preserve"> de dos mil veintitrés, puso a disposición de las partes el expediente electrónico </w:t>
      </w:r>
      <w:r w:rsidRPr="006B08AE">
        <w:rPr>
          <w:rFonts w:ascii="Palatino Linotype" w:eastAsia="Calibri" w:hAnsi="Palatino Linotype" w:cs="Arial"/>
          <w:lang w:val="es-ES_tradnl" w:eastAsia="es-ES"/>
        </w:rPr>
        <w:t xml:space="preserve">vía </w:t>
      </w:r>
      <w:r w:rsidRPr="006B08AE">
        <w:rPr>
          <w:rFonts w:ascii="Palatino Linotype" w:eastAsia="Calibri" w:hAnsi="Palatino Linotype" w:cs="Arial"/>
          <w:b/>
          <w:lang w:val="es-ES" w:eastAsia="es-ES"/>
        </w:rPr>
        <w:t>SAIMEX</w:t>
      </w:r>
      <w:r w:rsidR="00002604">
        <w:rPr>
          <w:rFonts w:ascii="Palatino Linotype" w:eastAsia="Calibri" w:hAnsi="Palatino Linotype" w:cs="Arial"/>
          <w:b/>
          <w:lang w:val="es-ES" w:eastAsia="es-ES"/>
        </w:rPr>
        <w:t>,</w:t>
      </w:r>
      <w:r w:rsidRPr="006B08AE">
        <w:rPr>
          <w:rFonts w:ascii="Palatino Linotype" w:eastAsia="Calibri" w:hAnsi="Palatino Linotype" w:cs="Arial"/>
          <w:b/>
          <w:lang w:val="es-ES" w:eastAsia="es-ES"/>
        </w:rPr>
        <w:t xml:space="preserve"> </w:t>
      </w:r>
      <w:r w:rsidRPr="006B08AE">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6B08AE">
        <w:rPr>
          <w:rFonts w:ascii="Palatino Linotype" w:eastAsia="Calibri" w:hAnsi="Palatino Linotype" w:cs="Arial"/>
          <w:b/>
          <w:lang w:val="es-ES" w:eastAsia="es-ES"/>
        </w:rPr>
        <w:t>SUJETO OBLIGADO</w:t>
      </w:r>
      <w:r w:rsidR="00002604">
        <w:rPr>
          <w:rFonts w:ascii="Palatino Linotype" w:eastAsia="Calibri" w:hAnsi="Palatino Linotype" w:cs="Arial"/>
          <w:b/>
          <w:lang w:val="es-ES" w:eastAsia="es-ES"/>
        </w:rPr>
        <w:t>,</w:t>
      </w:r>
      <w:r w:rsidRPr="006B08AE">
        <w:rPr>
          <w:rFonts w:ascii="Palatino Linotype" w:eastAsia="Calibri" w:hAnsi="Palatino Linotype" w:cs="Arial"/>
          <w:lang w:val="es-ES" w:eastAsia="es-ES"/>
        </w:rPr>
        <w:t xml:space="preserve"> presentara el informe justificado procedente. </w:t>
      </w:r>
    </w:p>
    <w:p w:rsidR="00180A36" w:rsidRPr="006B08AE" w:rsidRDefault="00180A36" w:rsidP="00180A36">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0D1FAE" w:rsidRPr="000D1FAE" w:rsidRDefault="00180A36" w:rsidP="000D1FAE">
      <w:pPr>
        <w:numPr>
          <w:ilvl w:val="0"/>
          <w:numId w:val="1"/>
        </w:numPr>
        <w:spacing w:line="360" w:lineRule="auto"/>
        <w:ind w:left="0" w:firstLine="0"/>
        <w:contextualSpacing/>
        <w:jc w:val="both"/>
        <w:rPr>
          <w:rFonts w:ascii="Arial" w:hAnsi="Arial" w:cs="Arial"/>
          <w:lang w:eastAsia="es-ES"/>
        </w:rPr>
      </w:pPr>
      <w:r w:rsidRPr="006B08AE">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a su derecho convinieran; por </w:t>
      </w:r>
      <w:r>
        <w:rPr>
          <w:rFonts w:ascii="Palatino Linotype" w:eastAsia="Calibri" w:hAnsi="Palatino Linotype" w:cs="Arial"/>
          <w:lang w:val="es-ES" w:eastAsia="es-ES"/>
        </w:rPr>
        <w:t xml:space="preserve">su parte, el Sujeto Obligado remitió informe justificado en fecha </w:t>
      </w:r>
      <w:r w:rsidR="000D1FAE">
        <w:rPr>
          <w:rFonts w:ascii="Palatino Linotype" w:eastAsia="Calibri" w:hAnsi="Palatino Linotype" w:cs="Arial"/>
          <w:lang w:val="es-ES" w:eastAsia="es-ES"/>
        </w:rPr>
        <w:t xml:space="preserve">treinta y uno (31) </w:t>
      </w:r>
      <w:r>
        <w:rPr>
          <w:rFonts w:ascii="Palatino Linotype" w:eastAsia="Calibri" w:hAnsi="Palatino Linotype" w:cs="Arial"/>
          <w:lang w:val="es-ES" w:eastAsia="es-ES"/>
        </w:rPr>
        <w:t xml:space="preserve"> de mayo de</w:t>
      </w:r>
      <w:r w:rsidR="000D1FAE">
        <w:rPr>
          <w:rFonts w:ascii="Palatino Linotype" w:eastAsia="Calibri" w:hAnsi="Palatino Linotype" w:cs="Arial"/>
          <w:lang w:val="es-ES" w:eastAsia="es-ES"/>
        </w:rPr>
        <w:t xml:space="preserve"> dos mil veintitrés a través de los archivos que se describen enseguida:</w:t>
      </w:r>
    </w:p>
    <w:p w:rsidR="000D1FAE" w:rsidRPr="000D1FAE" w:rsidRDefault="000D1FAE" w:rsidP="000D1FAE">
      <w:pPr>
        <w:spacing w:line="360" w:lineRule="auto"/>
        <w:contextualSpacing/>
        <w:jc w:val="both"/>
        <w:rPr>
          <w:rFonts w:ascii="Arial" w:hAnsi="Arial" w:cs="Arial"/>
          <w:lang w:eastAsia="es-ES"/>
        </w:rPr>
      </w:pPr>
    </w:p>
    <w:p w:rsidR="000D1FAE" w:rsidRDefault="00A34D78" w:rsidP="000D1FAE">
      <w:pPr>
        <w:pStyle w:val="Prrafodelista"/>
        <w:numPr>
          <w:ilvl w:val="0"/>
          <w:numId w:val="6"/>
        </w:numPr>
        <w:spacing w:line="360" w:lineRule="auto"/>
        <w:jc w:val="both"/>
        <w:rPr>
          <w:rFonts w:ascii="Palatino Linotype" w:eastAsia="Calibri" w:hAnsi="Palatino Linotype" w:cs="Arial"/>
          <w:lang w:val="es-ES" w:eastAsia="es-ES"/>
        </w:rPr>
      </w:pPr>
      <w:hyperlink r:id="rId10" w:history="1">
        <w:r w:rsidR="000D1FAE" w:rsidRPr="000D1FAE">
          <w:rPr>
            <w:rStyle w:val="Hipervnculo"/>
            <w:rFonts w:ascii="Palatino Linotype" w:eastAsia="Calibri" w:hAnsi="Palatino Linotype" w:cs="Arial"/>
            <w:b/>
            <w:bCs/>
            <w:color w:val="auto"/>
            <w:lang w:eastAsia="es-ES"/>
          </w:rPr>
          <w:t>INFORME JUSTIFICADO RR 2678.pdf</w:t>
        </w:r>
      </w:hyperlink>
      <w:r w:rsidR="000D1FAE" w:rsidRPr="000D1FAE">
        <w:rPr>
          <w:rFonts w:ascii="Palatino Linotype" w:eastAsia="Calibri" w:hAnsi="Palatino Linotype" w:cs="Arial"/>
          <w:lang w:val="es-ES" w:eastAsia="es-ES"/>
        </w:rPr>
        <w:t>:</w:t>
      </w:r>
      <w:r w:rsidR="000F6D97">
        <w:rPr>
          <w:rFonts w:ascii="Palatino Linotype" w:eastAsia="Calibri" w:hAnsi="Palatino Linotype" w:cs="Arial"/>
          <w:lang w:val="es-ES" w:eastAsia="es-ES"/>
        </w:rPr>
        <w:t xml:space="preserve"> oficio TRANSP/TON/0304/2023 suscrito por la Dirección de la Unidad de Transparencia y Acceso a la Información Pública y Protección de Datos Personales, en el que refirió:</w:t>
      </w:r>
    </w:p>
    <w:p w:rsidR="000F6D97" w:rsidRDefault="000F6D97" w:rsidP="000F6D97">
      <w:pPr>
        <w:pStyle w:val="Prrafodelista"/>
        <w:spacing w:line="360" w:lineRule="auto"/>
        <w:jc w:val="both"/>
        <w:rPr>
          <w:rFonts w:ascii="Palatino Linotype" w:eastAsia="Calibri" w:hAnsi="Palatino Linotype" w:cs="Arial"/>
          <w:lang w:val="es-ES" w:eastAsia="es-ES"/>
        </w:rPr>
      </w:pPr>
    </w:p>
    <w:p w:rsidR="000F6D97" w:rsidRPr="000F6D97" w:rsidRDefault="000F6D97" w:rsidP="000F6D97">
      <w:pPr>
        <w:pStyle w:val="Prrafodelista"/>
        <w:spacing w:line="360" w:lineRule="auto"/>
        <w:jc w:val="both"/>
        <w:rPr>
          <w:rFonts w:ascii="Palatino Linotype" w:hAnsi="Palatino Linotype"/>
          <w:i/>
        </w:rPr>
      </w:pPr>
      <w:r w:rsidRPr="000F6D97">
        <w:rPr>
          <w:rFonts w:ascii="Palatino Linotype" w:hAnsi="Palatino Linotype"/>
          <w:i/>
        </w:rPr>
        <w:t xml:space="preserve">“MODIFICACIÓN DE LA RESPUESTA ORIGINAL </w:t>
      </w:r>
    </w:p>
    <w:p w:rsidR="000F6D97" w:rsidRPr="000F6D97" w:rsidRDefault="000F6D97" w:rsidP="000F6D97">
      <w:pPr>
        <w:pStyle w:val="Prrafodelista"/>
        <w:spacing w:line="360" w:lineRule="auto"/>
        <w:jc w:val="both"/>
        <w:rPr>
          <w:rFonts w:ascii="Palatino Linotype" w:hAnsi="Palatino Linotype"/>
          <w:i/>
        </w:rPr>
      </w:pPr>
      <w:r w:rsidRPr="000F6D97">
        <w:rPr>
          <w:rFonts w:ascii="Palatino Linotype" w:hAnsi="Palatino Linotype"/>
          <w:i/>
        </w:rPr>
        <w:t xml:space="preserve">Cabe señalar que, al realizar un estudio y análisis de la interposición del recurso de revisión por parte del ciudadano, el medio de defensa se turnó a la Tesorería Municipal, para que realizaran las manifestaciones que estimará procedentes. En ese orden de ideas, el 30 de mayo de 2023 se recibió el oficio TM/TON/0310/2023 (anexo 1), suscrito por la Tesorera Municipal, mediante </w:t>
      </w:r>
      <w:r w:rsidRPr="000F6D97">
        <w:rPr>
          <w:rFonts w:ascii="Palatino Linotype" w:hAnsi="Palatino Linotype"/>
          <w:i/>
        </w:rPr>
        <w:lastRenderedPageBreak/>
        <w:t>el cual realizó una modificación a su respuesta original, destacando que el cambio se advierte en el contenido del cuadro denominado “SUELDO DEL PERSONAL QUE SE SEPARO DE SU CARGO Y SIGUE EN LA ADMINISTRACIÓN”</w:t>
      </w:r>
    </w:p>
    <w:p w:rsidR="000F6D97" w:rsidRPr="000F6D97" w:rsidRDefault="000F6D97" w:rsidP="000F6D97">
      <w:pPr>
        <w:pStyle w:val="Prrafodelista"/>
        <w:spacing w:line="360" w:lineRule="auto"/>
        <w:jc w:val="both"/>
        <w:rPr>
          <w:rFonts w:ascii="Palatino Linotype" w:eastAsia="Calibri" w:hAnsi="Palatino Linotype" w:cs="Arial"/>
          <w:i/>
          <w:lang w:val="es-ES" w:eastAsia="es-ES"/>
        </w:rPr>
      </w:pPr>
      <w:r w:rsidRPr="000F6D97">
        <w:rPr>
          <w:rFonts w:ascii="Palatino Linotype" w:hAnsi="Palatino Linotype"/>
          <w:i/>
        </w:rPr>
        <w:t>Se advierte que en el oficio TM/TON/0310/2023, se indicó los nombre, puesto anterior, puesto actual y sueldo neto de los movimientos de personal que reporta esta área. No se omite señalar que en el documento modificado se aprecia que únicamente se hace referencia en una sola ocasión a la Dirección de la UIPPE.”</w:t>
      </w:r>
    </w:p>
    <w:p w:rsidR="000D1FAE" w:rsidRPr="000D1FAE" w:rsidRDefault="000D1FAE" w:rsidP="000D1FAE">
      <w:pPr>
        <w:pStyle w:val="Prrafodelista"/>
        <w:spacing w:line="360" w:lineRule="auto"/>
        <w:jc w:val="both"/>
        <w:rPr>
          <w:rFonts w:ascii="Palatino Linotype" w:eastAsia="Calibri" w:hAnsi="Palatino Linotype" w:cs="Arial"/>
          <w:lang w:val="es-ES" w:eastAsia="es-ES"/>
        </w:rPr>
      </w:pPr>
    </w:p>
    <w:p w:rsidR="00180A36" w:rsidRPr="000F6D97" w:rsidRDefault="00A34D78" w:rsidP="000D1FAE">
      <w:pPr>
        <w:pStyle w:val="Prrafodelista"/>
        <w:numPr>
          <w:ilvl w:val="0"/>
          <w:numId w:val="6"/>
        </w:numPr>
        <w:spacing w:line="360" w:lineRule="auto"/>
        <w:jc w:val="both"/>
        <w:rPr>
          <w:rStyle w:val="Hipervnculo"/>
          <w:rFonts w:ascii="Palatino Linotype" w:eastAsia="Calibri" w:hAnsi="Palatino Linotype" w:cs="Arial"/>
          <w:color w:val="auto"/>
          <w:u w:val="none"/>
          <w:lang w:val="es-ES" w:eastAsia="es-ES"/>
        </w:rPr>
      </w:pPr>
      <w:hyperlink r:id="rId11" w:history="1">
        <w:r w:rsidR="000D1FAE" w:rsidRPr="000D1FAE">
          <w:rPr>
            <w:rStyle w:val="Hipervnculo"/>
            <w:rFonts w:ascii="Palatino Linotype" w:eastAsia="Calibri" w:hAnsi="Palatino Linotype" w:cs="Arial"/>
            <w:b/>
            <w:bCs/>
            <w:color w:val="auto"/>
            <w:lang w:eastAsia="es-ES"/>
          </w:rPr>
          <w:t>OFICIO 310 TM.pdf</w:t>
        </w:r>
      </w:hyperlink>
      <w:r w:rsidR="000D1FAE" w:rsidRPr="000D1FAE">
        <w:rPr>
          <w:rFonts w:ascii="Palatino Linotype" w:eastAsia="Calibri" w:hAnsi="Palatino Linotype" w:cs="Arial"/>
          <w:lang w:val="es-ES" w:eastAsia="es-ES"/>
        </w:rPr>
        <w:t xml:space="preserve">: </w:t>
      </w:r>
      <w:r w:rsidR="000F6D97">
        <w:rPr>
          <w:rFonts w:ascii="Palatino Linotype" w:eastAsia="Calibri" w:hAnsi="Palatino Linotype" w:cs="Arial"/>
          <w:lang w:val="es-ES" w:eastAsia="es-ES"/>
        </w:rPr>
        <w:t xml:space="preserve">oficio TM/TON/310/2023 de fecha veintinueve (29) de mayo de dos mil veintitrés, suscrito por el Tesorero Municipal en el que adjuntó una tabla con el sueldo del personal que se separó de su caro y sigue en la administración. </w:t>
      </w:r>
    </w:p>
    <w:p w:rsidR="000D1FAE" w:rsidRPr="006B08AE" w:rsidRDefault="000D1FAE" w:rsidP="000D1FAE">
      <w:pPr>
        <w:spacing w:line="360" w:lineRule="auto"/>
        <w:contextualSpacing/>
        <w:jc w:val="both"/>
        <w:rPr>
          <w:rFonts w:ascii="Arial" w:hAnsi="Arial" w:cs="Arial"/>
          <w:lang w:eastAsia="es-ES"/>
        </w:rPr>
      </w:pPr>
    </w:p>
    <w:p w:rsidR="00180A36" w:rsidRPr="006B08AE" w:rsidRDefault="00180A36" w:rsidP="00180A36">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6B08AE">
        <w:rPr>
          <w:rFonts w:ascii="Palatino Linotype" w:eastAsiaTheme="minorEastAsia" w:hAnsi="Palatino Linotype"/>
          <w:lang w:val="es-ES_tradnl" w:eastAsia="es-ES"/>
        </w:rPr>
        <w:t xml:space="preserve">El Comisionado Ponente decretó el cierre de instrucción a través de acuerdo que fue notificado en fecha </w:t>
      </w:r>
      <w:r w:rsidR="000F6D97">
        <w:rPr>
          <w:rFonts w:ascii="Palatino Linotype" w:eastAsiaTheme="minorEastAsia" w:hAnsi="Palatino Linotype"/>
          <w:lang w:val="es-ES_tradnl" w:eastAsia="es-ES"/>
        </w:rPr>
        <w:t>doce (12</w:t>
      </w:r>
      <w:r>
        <w:rPr>
          <w:rFonts w:ascii="Palatino Linotype" w:eastAsiaTheme="minorEastAsia" w:hAnsi="Palatino Linotype"/>
          <w:lang w:val="es-ES_tradnl" w:eastAsia="es-ES"/>
        </w:rPr>
        <w:t>) de junio</w:t>
      </w:r>
      <w:r w:rsidRPr="006B08AE">
        <w:rPr>
          <w:rFonts w:ascii="Palatino Linotype" w:eastAsiaTheme="minorEastAsia" w:hAnsi="Palatino Linotype"/>
          <w:lang w:val="es-ES_tradnl" w:eastAsia="es-ES"/>
        </w:rPr>
        <w:t xml:space="preserve"> de dos mil veintitrés. </w:t>
      </w:r>
    </w:p>
    <w:p w:rsidR="00180A36" w:rsidRPr="006B08AE" w:rsidRDefault="00180A36" w:rsidP="00180A36">
      <w:pPr>
        <w:pStyle w:val="Prrafodelista"/>
        <w:spacing w:line="360" w:lineRule="auto"/>
        <w:ind w:left="0" w:right="113"/>
        <w:jc w:val="both"/>
        <w:rPr>
          <w:rFonts w:ascii="Palatino Linotype" w:hAnsi="Palatino Linotype"/>
          <w:sz w:val="24"/>
        </w:rPr>
      </w:pPr>
    </w:p>
    <w:p w:rsidR="00180A36" w:rsidRPr="006B08AE" w:rsidRDefault="00180A36" w:rsidP="00180A36">
      <w:pPr>
        <w:keepNext/>
        <w:keepLines/>
        <w:spacing w:line="360" w:lineRule="auto"/>
        <w:jc w:val="center"/>
        <w:outlineLvl w:val="0"/>
        <w:rPr>
          <w:rFonts w:ascii="Palatino Linotype" w:eastAsiaTheme="majorEastAsia" w:hAnsi="Palatino Linotype" w:cstheme="majorBidi"/>
        </w:rPr>
      </w:pPr>
      <w:bookmarkStart w:id="5" w:name="_Toc83301634"/>
      <w:r w:rsidRPr="006B08AE">
        <w:rPr>
          <w:rFonts w:ascii="Palatino Linotype" w:eastAsiaTheme="majorEastAsia" w:hAnsi="Palatino Linotype" w:cstheme="majorBidi"/>
          <w:b/>
        </w:rPr>
        <w:t>CONSIDERANDO</w:t>
      </w:r>
      <w:bookmarkEnd w:id="5"/>
      <w:r w:rsidRPr="006B08AE">
        <w:rPr>
          <w:rFonts w:ascii="Palatino Linotype" w:eastAsiaTheme="majorEastAsia" w:hAnsi="Palatino Linotype" w:cstheme="majorBidi"/>
          <w:b/>
        </w:rPr>
        <w:t xml:space="preserve"> </w:t>
      </w:r>
    </w:p>
    <w:p w:rsidR="00180A36" w:rsidRPr="006B08AE" w:rsidRDefault="00180A36" w:rsidP="00180A36">
      <w:pPr>
        <w:spacing w:line="360" w:lineRule="auto"/>
        <w:rPr>
          <w:rFonts w:ascii="Palatino Linotype" w:eastAsiaTheme="minorEastAsia" w:hAnsi="Palatino Linotype"/>
        </w:rPr>
      </w:pPr>
    </w:p>
    <w:p w:rsidR="00180A36" w:rsidRPr="006B08AE" w:rsidRDefault="00180A36" w:rsidP="00180A36">
      <w:pPr>
        <w:keepNext/>
        <w:keepLines/>
        <w:spacing w:line="360" w:lineRule="auto"/>
        <w:outlineLvl w:val="1"/>
        <w:rPr>
          <w:rFonts w:ascii="Palatino Linotype" w:eastAsiaTheme="majorEastAsia" w:hAnsi="Palatino Linotype" w:cstheme="majorBidi"/>
          <w:b/>
          <w:szCs w:val="26"/>
        </w:rPr>
      </w:pPr>
      <w:bookmarkStart w:id="6" w:name="_Toc83301635"/>
      <w:r w:rsidRPr="006B08AE">
        <w:rPr>
          <w:rFonts w:ascii="Palatino Linotype" w:eastAsiaTheme="majorEastAsia" w:hAnsi="Palatino Linotype" w:cstheme="majorBidi"/>
          <w:b/>
          <w:szCs w:val="26"/>
        </w:rPr>
        <w:t>PRIMERO. De la competencia</w:t>
      </w:r>
      <w:bookmarkEnd w:id="6"/>
    </w:p>
    <w:p w:rsidR="00180A36" w:rsidRPr="006B08AE" w:rsidRDefault="00180A36" w:rsidP="00180A36">
      <w:pPr>
        <w:keepNext/>
        <w:keepLines/>
        <w:spacing w:line="360" w:lineRule="auto"/>
        <w:outlineLvl w:val="1"/>
        <w:rPr>
          <w:rFonts w:ascii="Palatino Linotype" w:eastAsiaTheme="majorEastAsia" w:hAnsi="Palatino Linotype" w:cstheme="majorBidi"/>
          <w:b/>
          <w:bCs/>
          <w:spacing w:val="60"/>
          <w:szCs w:val="26"/>
        </w:rPr>
      </w:pPr>
    </w:p>
    <w:p w:rsidR="00180A36" w:rsidRPr="006B08AE" w:rsidRDefault="00180A36" w:rsidP="00180A36">
      <w:pPr>
        <w:pStyle w:val="Prrafodelista"/>
        <w:numPr>
          <w:ilvl w:val="0"/>
          <w:numId w:val="1"/>
        </w:numPr>
        <w:spacing w:line="360" w:lineRule="auto"/>
        <w:ind w:left="0" w:firstLine="0"/>
        <w:jc w:val="both"/>
        <w:rPr>
          <w:rFonts w:ascii="Palatino Linotype" w:hAnsi="Palatino Linotype"/>
          <w:sz w:val="24"/>
        </w:rPr>
      </w:pPr>
      <w:r w:rsidRPr="006B08AE">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w:t>
      </w:r>
      <w:r w:rsidRPr="006B08AE">
        <w:rPr>
          <w:rFonts w:ascii="Palatino Linotype" w:hAnsi="Palatino Linotype"/>
          <w:sz w:val="24"/>
        </w:rPr>
        <w:lastRenderedPageBreak/>
        <w:t>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180A36" w:rsidRPr="006B08AE" w:rsidRDefault="00180A36" w:rsidP="00180A36">
      <w:pPr>
        <w:spacing w:line="360" w:lineRule="auto"/>
        <w:contextualSpacing/>
        <w:jc w:val="both"/>
        <w:rPr>
          <w:rFonts w:ascii="Palatino Linotype" w:eastAsiaTheme="minorEastAsia" w:hAnsi="Palatino Linotype"/>
          <w:lang w:val="es-ES_tradnl" w:eastAsia="es-ES"/>
        </w:rPr>
      </w:pPr>
    </w:p>
    <w:p w:rsidR="00180A36" w:rsidRPr="006B08AE" w:rsidRDefault="00180A36" w:rsidP="00180A36">
      <w:pPr>
        <w:keepNext/>
        <w:keepLines/>
        <w:spacing w:line="360" w:lineRule="auto"/>
        <w:outlineLvl w:val="1"/>
        <w:rPr>
          <w:rFonts w:ascii="Palatino Linotype" w:eastAsiaTheme="majorEastAsia" w:hAnsi="Palatino Linotype" w:cstheme="majorBidi"/>
          <w:b/>
          <w:szCs w:val="26"/>
        </w:rPr>
      </w:pPr>
      <w:bookmarkStart w:id="7" w:name="_Toc83301636"/>
      <w:r w:rsidRPr="006B08AE">
        <w:rPr>
          <w:rFonts w:ascii="Palatino Linotype" w:eastAsiaTheme="majorEastAsia" w:hAnsi="Palatino Linotype" w:cstheme="majorBidi"/>
          <w:b/>
          <w:szCs w:val="26"/>
        </w:rPr>
        <w:t>SEGUNDO. De la oportunidad y procedencia.</w:t>
      </w:r>
      <w:bookmarkEnd w:id="7"/>
    </w:p>
    <w:p w:rsidR="00180A36" w:rsidRPr="006B08AE" w:rsidRDefault="00180A36" w:rsidP="00180A36">
      <w:pPr>
        <w:spacing w:line="360" w:lineRule="auto"/>
        <w:rPr>
          <w:rFonts w:ascii="Palatino Linotype" w:eastAsiaTheme="minorEastAsia" w:hAnsi="Palatino Linotype"/>
        </w:rPr>
      </w:pPr>
    </w:p>
    <w:p w:rsidR="00180A36" w:rsidRPr="006B08AE" w:rsidRDefault="00180A36" w:rsidP="00180A3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6B08AE">
        <w:rPr>
          <w:rFonts w:ascii="Palatino Linotype" w:eastAsia="Calibri" w:hAnsi="Palatino Linotype" w:cs="Arial"/>
          <w:lang w:val="es-ES_tradnl" w:eastAsia="es-ES"/>
        </w:rPr>
        <w:t xml:space="preserve">El medio de impugnación fue presentado a través del </w:t>
      </w:r>
      <w:r w:rsidRPr="006B08AE">
        <w:rPr>
          <w:rFonts w:ascii="Palatino Linotype" w:eastAsia="Calibri" w:hAnsi="Palatino Linotype" w:cs="Arial"/>
          <w:b/>
          <w:lang w:val="es-ES_tradnl" w:eastAsia="es-ES"/>
        </w:rPr>
        <w:t>SAIMEX,</w:t>
      </w:r>
      <w:r w:rsidRPr="006B08AE">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6B08AE">
        <w:rPr>
          <w:rFonts w:ascii="Palatino Linotype" w:eastAsia="Calibri" w:hAnsi="Palatino Linotype" w:cs="Arial"/>
          <w:b/>
          <w:lang w:val="es-ES_tradnl" w:eastAsia="es-ES"/>
        </w:rPr>
        <w:t>SUJETO OBLIGADO</w:t>
      </w:r>
      <w:r w:rsidRPr="006B08AE">
        <w:rPr>
          <w:rFonts w:ascii="Palatino Linotype" w:eastAsia="Calibri" w:hAnsi="Palatino Linotype" w:cs="Arial"/>
          <w:lang w:val="es-ES_tradnl" w:eastAsia="es-ES"/>
        </w:rPr>
        <w:t xml:space="preserve"> entregó respuesta a la solicitud el día </w:t>
      </w:r>
      <w:r w:rsidR="00DC7B24">
        <w:rPr>
          <w:rFonts w:ascii="Palatino Linotype" w:eastAsia="Calibri" w:hAnsi="Palatino Linotype" w:cs="Arial"/>
          <w:lang w:val="es-ES_tradnl" w:eastAsia="es-ES"/>
        </w:rPr>
        <w:t>diez (10) de mayo</w:t>
      </w:r>
      <w:r w:rsidRPr="006B08AE">
        <w:rPr>
          <w:rFonts w:ascii="Palatino Linotype" w:eastAsia="Calibri" w:hAnsi="Palatino Linotype" w:cs="Arial"/>
          <w:lang w:val="es-ES_tradnl" w:eastAsia="es-ES"/>
        </w:rPr>
        <w:t xml:space="preserve"> de dos mil veintitrés, </w:t>
      </w:r>
      <w:r w:rsidRPr="006B08AE">
        <w:rPr>
          <w:rFonts w:ascii="Palatino Linotype" w:eastAsiaTheme="minorEastAsia" w:hAnsi="Palatino Linotype" w:cs="Arial"/>
          <w:lang w:val="es-ES_tradnl" w:eastAsia="es-ES"/>
        </w:rPr>
        <w:t xml:space="preserve">de tal forma que el plazo para interponer el recurso de revisión transcurrió del </w:t>
      </w:r>
      <w:r w:rsidR="00DC7B24">
        <w:rPr>
          <w:rFonts w:ascii="Palatino Linotype" w:eastAsiaTheme="minorEastAsia" w:hAnsi="Palatino Linotype" w:cs="Arial"/>
          <w:lang w:val="es-ES_tradnl" w:eastAsia="es-ES"/>
        </w:rPr>
        <w:t xml:space="preserve">once (11) al treinta y uno (31) de mayo </w:t>
      </w:r>
      <w:r w:rsidRPr="006B08AE">
        <w:rPr>
          <w:rFonts w:ascii="Palatino Linotype" w:eastAsiaTheme="minorEastAsia" w:hAnsi="Palatino Linotype" w:cs="Arial"/>
          <w:lang w:val="es-ES_tradnl" w:eastAsia="es-ES"/>
        </w:rPr>
        <w:t xml:space="preserve"> de dos mil veintitrés; en consecuencia, presentó su inconformidad el </w:t>
      </w:r>
      <w:r w:rsidR="00DC7B24">
        <w:rPr>
          <w:rFonts w:ascii="Palatino Linotype" w:eastAsiaTheme="minorEastAsia" w:hAnsi="Palatino Linotype" w:cs="Arial"/>
          <w:lang w:val="es-ES_tradnl" w:eastAsia="es-ES"/>
        </w:rPr>
        <w:t>dieciséis (16) de mayo</w:t>
      </w:r>
      <w:r w:rsidRPr="006B08AE">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6B08AE">
        <w:rPr>
          <w:rFonts w:ascii="Palatino Linotype" w:eastAsiaTheme="minorEastAsia" w:hAnsi="Palatino Linotype" w:cs="Arial"/>
          <w:b/>
          <w:lang w:val="es-ES_tradnl" w:eastAsia="es-ES"/>
        </w:rPr>
        <w:t xml:space="preserve">Ley de Transparencia y Acceso a la Información Pública del Estado de México y Municipios </w:t>
      </w:r>
      <w:r w:rsidRPr="006B08AE">
        <w:rPr>
          <w:rFonts w:ascii="Palatino Linotype" w:eastAsiaTheme="minorEastAsia" w:hAnsi="Palatino Linotype" w:cs="Arial"/>
          <w:lang w:val="es-ES_tradnl" w:eastAsia="es-ES"/>
        </w:rPr>
        <w:t>vigente.</w:t>
      </w:r>
    </w:p>
    <w:p w:rsidR="00180A36" w:rsidRPr="00A741FC" w:rsidRDefault="00180A36" w:rsidP="00180A36">
      <w:pPr>
        <w:rPr>
          <w:rFonts w:ascii="Palatino Linotype" w:hAnsi="Palatino Linotype" w:cs="Arial"/>
          <w:i/>
          <w:szCs w:val="20"/>
        </w:rPr>
      </w:pPr>
    </w:p>
    <w:p w:rsidR="00180A36" w:rsidRPr="00D040F4" w:rsidRDefault="00180A36" w:rsidP="00180A3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6B08AE">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65713731"/>
      <w:bookmarkStart w:id="9" w:name="_Toc94119614"/>
      <w:bookmarkStart w:id="10" w:name="_Toc452722829"/>
      <w:bookmarkStart w:id="11" w:name="_Toc454373811"/>
      <w:bookmarkStart w:id="12" w:name="_Toc476675991"/>
    </w:p>
    <w:p w:rsidR="00D040F4" w:rsidRDefault="00D040F4" w:rsidP="00D040F4">
      <w:pPr>
        <w:spacing w:line="360" w:lineRule="auto"/>
        <w:ind w:right="49"/>
        <w:contextualSpacing/>
        <w:jc w:val="both"/>
        <w:rPr>
          <w:rFonts w:ascii="Palatino Linotype" w:eastAsia="Calibri" w:hAnsi="Palatino Linotype" w:cs="Arial"/>
          <w:lang w:val="es-ES_tradnl" w:eastAsia="es-ES"/>
        </w:rPr>
      </w:pPr>
    </w:p>
    <w:p w:rsidR="00D040F4" w:rsidRPr="006B08AE" w:rsidRDefault="00D040F4" w:rsidP="00D040F4">
      <w:pPr>
        <w:spacing w:line="360" w:lineRule="auto"/>
        <w:ind w:right="49"/>
        <w:contextualSpacing/>
        <w:jc w:val="both"/>
        <w:rPr>
          <w:rFonts w:ascii="Palatino Linotype" w:eastAsiaTheme="minorEastAsia" w:hAnsi="Palatino Linotype"/>
          <w:lang w:val="es-ES_tradnl" w:eastAsia="es-ES"/>
        </w:rPr>
      </w:pPr>
    </w:p>
    <w:bookmarkEnd w:id="8"/>
    <w:bookmarkEnd w:id="9"/>
    <w:p w:rsidR="00180A36" w:rsidRPr="00B23502" w:rsidRDefault="00180A36" w:rsidP="00180A36">
      <w:pPr>
        <w:spacing w:line="360" w:lineRule="auto"/>
        <w:ind w:right="49"/>
        <w:contextualSpacing/>
        <w:jc w:val="both"/>
        <w:rPr>
          <w:rFonts w:ascii="Palatino Linotype" w:eastAsia="MS Gothic" w:hAnsi="Palatino Linotype" w:cstheme="majorBidi"/>
          <w:lang w:val="es-ES_tradnl" w:eastAsia="es-ES"/>
        </w:rPr>
      </w:pPr>
    </w:p>
    <w:p w:rsidR="00180A36" w:rsidRPr="00367507" w:rsidRDefault="00180A36" w:rsidP="00180A36">
      <w:pPr>
        <w:pStyle w:val="Ttulo2"/>
        <w:tabs>
          <w:tab w:val="left" w:pos="0"/>
        </w:tabs>
        <w:spacing w:before="0" w:line="360" w:lineRule="auto"/>
        <w:rPr>
          <w:rFonts w:ascii="Palatino Linotype" w:hAnsi="Palatino Linotype"/>
          <w:b/>
          <w:color w:val="auto"/>
          <w:sz w:val="24"/>
          <w:szCs w:val="24"/>
        </w:rPr>
      </w:pPr>
      <w:r w:rsidRPr="004E720E">
        <w:rPr>
          <w:rFonts w:ascii="Palatino Linotype" w:hAnsi="Palatino Linotype"/>
          <w:b/>
          <w:color w:val="auto"/>
          <w:sz w:val="24"/>
          <w:szCs w:val="24"/>
        </w:rPr>
        <w:lastRenderedPageBreak/>
        <w:t>TERCERO</w:t>
      </w:r>
      <w:r>
        <w:rPr>
          <w:rFonts w:ascii="Palatino Linotype" w:hAnsi="Palatino Linotype"/>
          <w:b/>
          <w:color w:val="auto"/>
          <w:sz w:val="24"/>
          <w:szCs w:val="24"/>
        </w:rPr>
        <w:t xml:space="preserve">. De las causales de sobreseimiento </w:t>
      </w:r>
    </w:p>
    <w:p w:rsidR="00180A36" w:rsidRPr="00232084"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bookmarkStart w:id="13" w:name="_Toc529263621"/>
      <w:bookmarkStart w:id="14" w:name="_Toc530650937"/>
      <w:bookmarkStart w:id="15" w:name="_Toc535334654"/>
      <w:bookmarkStart w:id="16" w:name="_Toc2248735"/>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rPr>
        <w:t xml:space="preserve">El recurso de revisión </w:t>
      </w:r>
      <w:r w:rsidRPr="00E91CBA">
        <w:rPr>
          <w:rFonts w:ascii="Palatino Linotype" w:hAnsi="Palatino Linotype" w:cs="Arial"/>
          <w:sz w:val="24"/>
        </w:rPr>
        <w:t xml:space="preserve">tiene como finalidad reparar cualquier posible afectación al derecho de acceso a la información pública en términos del Título Octavo de la Ley de </w:t>
      </w:r>
      <w:r w:rsidRPr="00E91CBA">
        <w:rPr>
          <w:rFonts w:ascii="Palatino Linotype" w:eastAsia="Calibri" w:hAnsi="Palatino Linotype" w:cs="Arial"/>
          <w:sz w:val="24"/>
        </w:rPr>
        <w:t>Transparencia, Acceso a la Información Pública del Estado de México y Municipios</w:t>
      </w:r>
      <w:r w:rsidRPr="00E91CBA">
        <w:rPr>
          <w:rFonts w:ascii="Palatino Linotype" w:hAnsi="Palatino Linotype" w:cs="Arial"/>
          <w:sz w:val="24"/>
        </w:rPr>
        <w:t xml:space="preserve">, y determinar la confirmación; revocación o modificación; desechamiento o </w:t>
      </w:r>
      <w:r w:rsidRPr="00002604">
        <w:rPr>
          <w:rFonts w:ascii="Palatino Linotype" w:hAnsi="Palatino Linotype" w:cs="Arial"/>
          <w:sz w:val="24"/>
        </w:rPr>
        <w:t>sobreseimiento;</w:t>
      </w:r>
      <w:r w:rsidRPr="00E91CBA">
        <w:rPr>
          <w:rFonts w:ascii="Palatino Linotype" w:hAnsi="Palatino Linotype" w:cs="Arial"/>
          <w:sz w:val="24"/>
        </w:rPr>
        <w:t xml:space="preserve"> y en su caso ordenar la entrega de la información con respecto a la respuesta emitida por el </w:t>
      </w:r>
      <w:r w:rsidRPr="00E91CBA">
        <w:rPr>
          <w:rFonts w:ascii="Palatino Linotype" w:hAnsi="Palatino Linotype" w:cs="Arial"/>
          <w:b/>
          <w:sz w:val="24"/>
        </w:rPr>
        <w:t>SUJETO</w:t>
      </w:r>
      <w:r w:rsidRPr="00E91CBA">
        <w:rPr>
          <w:rFonts w:ascii="Palatino Linotype" w:hAnsi="Palatino Linotype" w:cs="Arial"/>
          <w:sz w:val="24"/>
        </w:rPr>
        <w:t xml:space="preserve"> </w:t>
      </w:r>
      <w:r w:rsidRPr="00E91CBA">
        <w:rPr>
          <w:rFonts w:ascii="Palatino Linotype" w:hAnsi="Palatino Linotype" w:cs="Arial"/>
          <w:b/>
          <w:sz w:val="24"/>
        </w:rPr>
        <w:t>OBLIGADO</w:t>
      </w:r>
      <w:r w:rsidRPr="00E91CBA">
        <w:rPr>
          <w:rFonts w:ascii="Palatino Linotype" w:hAnsi="Palatino Linotype" w:cs="Arial"/>
          <w:sz w:val="24"/>
        </w:rPr>
        <w:t>.</w:t>
      </w:r>
    </w:p>
    <w:p w:rsidR="00180A36" w:rsidRPr="00E91CBA"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rPr>
        <w:t xml:space="preserve">De </w:t>
      </w:r>
      <w:r w:rsidRPr="00E91CBA">
        <w:rPr>
          <w:rFonts w:ascii="Palatino Linotype" w:eastAsia="Calibri" w:hAnsi="Palatino Linotype"/>
          <w:sz w:val="24"/>
        </w:rPr>
        <w:t xml:space="preserve">acuerdo al precepto legal contenido en la fracción III del artículo 192 de la </w:t>
      </w:r>
      <w:r w:rsidRPr="00E91CBA">
        <w:rPr>
          <w:rFonts w:ascii="Palatino Linotype" w:eastAsia="Calibri" w:hAnsi="Palatino Linotype"/>
          <w:b/>
          <w:sz w:val="24"/>
        </w:rPr>
        <w:t>Ley de Transparencia y Acceso a la Información Pública del Estado de México y Municipios</w:t>
      </w:r>
      <w:r w:rsidRPr="00E91CBA">
        <w:rPr>
          <w:rFonts w:ascii="Palatino Linotype" w:eastAsia="Calibri" w:hAnsi="Palatino Linotype"/>
          <w:sz w:val="24"/>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180A36" w:rsidRPr="00E91CBA" w:rsidRDefault="00180A36" w:rsidP="00180A36">
      <w:pPr>
        <w:pStyle w:val="Prrafodelista"/>
        <w:ind w:left="0"/>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Para </w:t>
      </w:r>
      <w:r w:rsidRPr="00E91CBA">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E91CBA">
        <w:rPr>
          <w:rFonts w:ascii="Palatino Linotype" w:eastAsia="Calibri" w:hAnsi="Palatino Linotype"/>
          <w:b/>
          <w:sz w:val="24"/>
        </w:rPr>
        <w:t>SUJETO OBLIGADO</w:t>
      </w:r>
      <w:r w:rsidRPr="00E91CBA">
        <w:rPr>
          <w:rFonts w:ascii="Palatino Linotype" w:eastAsia="Calibri" w:hAnsi="Palatino Linotype"/>
          <w:sz w:val="24"/>
        </w:rPr>
        <w:t>:</w:t>
      </w:r>
    </w:p>
    <w:p w:rsidR="00180A36" w:rsidRPr="00232084" w:rsidRDefault="00180A36" w:rsidP="00180A36">
      <w:pPr>
        <w:rPr>
          <w:rFonts w:ascii="Palatino Linotype" w:eastAsia="Calibri" w:hAnsi="Palatino Linotype" w:cs="Arial"/>
          <w:color w:val="000000" w:themeColor="text1"/>
          <w:lang w:val="es-ES"/>
        </w:rPr>
      </w:pPr>
    </w:p>
    <w:p w:rsidR="00180A36" w:rsidRPr="00232084" w:rsidRDefault="00180A36" w:rsidP="00180A36">
      <w:pPr>
        <w:numPr>
          <w:ilvl w:val="0"/>
          <w:numId w:val="3"/>
        </w:numPr>
        <w:spacing w:line="360" w:lineRule="auto"/>
        <w:ind w:left="567" w:right="616" w:firstLine="0"/>
        <w:contextualSpacing/>
        <w:jc w:val="both"/>
        <w:rPr>
          <w:rFonts w:ascii="Palatino Linotype" w:hAnsi="Palatino Linotype" w:cs="Arial"/>
        </w:rPr>
      </w:pPr>
      <w:r w:rsidRPr="00232084">
        <w:rPr>
          <w:rFonts w:ascii="Palatino Linotype" w:hAnsi="Palatino Linotype" w:cs="Arial"/>
          <w:b/>
        </w:rPr>
        <w:t>Modifique el acto impugnado:</w:t>
      </w:r>
      <w:r w:rsidRPr="00232084">
        <w:rPr>
          <w:rFonts w:ascii="Palatino Linotype" w:hAnsi="Palatino Linotype" w:cs="Arial"/>
        </w:rPr>
        <w:t xml:space="preserve"> Se actualiza cuando el </w:t>
      </w:r>
      <w:r w:rsidRPr="00232084">
        <w:rPr>
          <w:rFonts w:ascii="Palatino Linotype" w:hAnsi="Palatino Linotype" w:cs="Arial"/>
          <w:b/>
        </w:rPr>
        <w:t>SUJETO OBLIGADO</w:t>
      </w:r>
      <w:r w:rsidRPr="0023208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180A36" w:rsidRPr="00232084" w:rsidRDefault="00180A36" w:rsidP="00180A36">
      <w:pPr>
        <w:spacing w:line="360" w:lineRule="auto"/>
        <w:ind w:left="567" w:right="616"/>
        <w:contextualSpacing/>
        <w:jc w:val="both"/>
        <w:rPr>
          <w:rFonts w:ascii="Palatino Linotype" w:hAnsi="Palatino Linotype" w:cs="Arial"/>
        </w:rPr>
      </w:pPr>
    </w:p>
    <w:p w:rsidR="00180A36" w:rsidRPr="00232084" w:rsidRDefault="00180A36" w:rsidP="00180A36">
      <w:pPr>
        <w:numPr>
          <w:ilvl w:val="0"/>
          <w:numId w:val="3"/>
        </w:numPr>
        <w:spacing w:line="360" w:lineRule="auto"/>
        <w:ind w:left="567" w:right="616" w:firstLine="0"/>
        <w:contextualSpacing/>
        <w:jc w:val="both"/>
        <w:rPr>
          <w:rFonts w:ascii="Palatino Linotype" w:hAnsi="Palatino Linotype" w:cs="Arial"/>
        </w:rPr>
      </w:pPr>
      <w:r w:rsidRPr="00232084">
        <w:rPr>
          <w:rFonts w:ascii="Palatino Linotype" w:hAnsi="Palatino Linotype" w:cs="Arial"/>
          <w:b/>
        </w:rPr>
        <w:t>Revoque el acto impugnado:</w:t>
      </w:r>
      <w:r w:rsidRPr="00232084">
        <w:rPr>
          <w:rFonts w:ascii="Palatino Linotype" w:hAnsi="Palatino Linotype" w:cs="Arial"/>
        </w:rPr>
        <w:t xml:space="preserve"> En este supuesto, el </w:t>
      </w:r>
      <w:r w:rsidRPr="00232084">
        <w:rPr>
          <w:rFonts w:ascii="Palatino Linotype" w:hAnsi="Palatino Linotype" w:cs="Arial"/>
          <w:b/>
        </w:rPr>
        <w:t>SUJETO OBLIGADO</w:t>
      </w:r>
      <w:r w:rsidRPr="00232084">
        <w:rPr>
          <w:rFonts w:ascii="Palatino Linotype" w:hAnsi="Palatino Linotype" w:cs="Arial"/>
        </w:rPr>
        <w:t xml:space="preserve"> deja sin efectos la primera respuesta y en su lugar emite otra que satisfaga lo solicitado por el Particular en un primer momento.</w:t>
      </w:r>
    </w:p>
    <w:p w:rsidR="00180A36" w:rsidRPr="00232084" w:rsidRDefault="00180A36" w:rsidP="00180A36">
      <w:pPr>
        <w:spacing w:line="360" w:lineRule="auto"/>
        <w:ind w:right="616"/>
        <w:contextualSpacing/>
        <w:jc w:val="both"/>
        <w:rPr>
          <w:rFonts w:ascii="Palatino Linotype" w:hAnsi="Palatino Linotype" w:cs="Arial"/>
        </w:rPr>
      </w:pPr>
    </w:p>
    <w:p w:rsidR="00180A36" w:rsidRPr="00E91CBA" w:rsidRDefault="00180A36" w:rsidP="00180A36">
      <w:pPr>
        <w:pStyle w:val="Prrafodelista"/>
        <w:numPr>
          <w:ilvl w:val="0"/>
          <w:numId w:val="1"/>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Las </w:t>
      </w:r>
      <w:r w:rsidRPr="00E91CBA">
        <w:rPr>
          <w:rFonts w:ascii="Palatino Linotype" w:eastAsia="Calibri" w:hAnsi="Palatino Linotype"/>
          <w:sz w:val="24"/>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180A36" w:rsidRPr="00E91CBA" w:rsidRDefault="00180A36" w:rsidP="00180A36">
      <w:pPr>
        <w:pStyle w:val="Prrafodelista"/>
        <w:tabs>
          <w:tab w:val="left" w:pos="284"/>
          <w:tab w:val="left" w:pos="567"/>
        </w:tabs>
        <w:spacing w:line="360" w:lineRule="auto"/>
        <w:ind w:left="0"/>
        <w:jc w:val="both"/>
        <w:rPr>
          <w:rFonts w:ascii="Palatino Linotype" w:eastAsia="Calibri" w:hAnsi="Palatino Linotype" w:cs="Arial"/>
          <w:color w:val="000000" w:themeColor="text1"/>
          <w:sz w:val="24"/>
          <w:lang w:val="es-ES"/>
        </w:rPr>
      </w:pPr>
    </w:p>
    <w:p w:rsidR="00180A36" w:rsidRPr="004F1700" w:rsidRDefault="00180A36" w:rsidP="00180A36">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Cs w:val="22"/>
          <w:lang w:val="es-ES"/>
        </w:rPr>
      </w:pPr>
      <w:r w:rsidRPr="00E91CBA">
        <w:rPr>
          <w:rFonts w:ascii="Palatino Linotype" w:eastAsia="Calibri" w:hAnsi="Palatino Linotype" w:cs="Arial"/>
          <w:color w:val="000000" w:themeColor="text1"/>
          <w:sz w:val="24"/>
          <w:lang w:val="es-ES"/>
        </w:rPr>
        <w:t xml:space="preserve">En el presente caso, </w:t>
      </w:r>
      <w:r w:rsidRPr="00E91CBA">
        <w:rPr>
          <w:rFonts w:ascii="Palatino Linotype" w:hAnsi="Palatino Linotype" w:cs="Arial"/>
          <w:color w:val="000000"/>
          <w:sz w:val="24"/>
          <w:lang w:val="es-ES"/>
        </w:rPr>
        <w:t xml:space="preserve">el Recurrente solicitó </w:t>
      </w:r>
      <w:r w:rsidR="00D040F4">
        <w:rPr>
          <w:rFonts w:ascii="Palatino Linotype" w:hAnsi="Palatino Linotype" w:cs="Arial"/>
          <w:color w:val="000000"/>
          <w:sz w:val="24"/>
          <w:lang w:val="es-ES"/>
        </w:rPr>
        <w:t xml:space="preserve">sueldo de los nuevos ingresos, sueldo del personal que por cualquier motivo se separaron de su cargo y siguen en la administración, ya sea como director en otra área o administrativo. </w:t>
      </w:r>
    </w:p>
    <w:p w:rsidR="00180A36" w:rsidRPr="004F1700" w:rsidRDefault="00180A36" w:rsidP="00180A36">
      <w:pPr>
        <w:pStyle w:val="Prrafodelista"/>
        <w:tabs>
          <w:tab w:val="left" w:pos="284"/>
          <w:tab w:val="left" w:pos="567"/>
        </w:tabs>
        <w:spacing w:line="360" w:lineRule="auto"/>
        <w:ind w:left="0"/>
        <w:jc w:val="both"/>
        <w:rPr>
          <w:rFonts w:ascii="Palatino Linotype" w:hAnsi="Palatino Linotype"/>
          <w:b/>
          <w:bCs/>
          <w:color w:val="000000"/>
          <w:szCs w:val="22"/>
          <w:lang w:val="es-ES"/>
        </w:rPr>
      </w:pPr>
    </w:p>
    <w:p w:rsidR="00D040F4" w:rsidRPr="00D040F4" w:rsidRDefault="00180A36" w:rsidP="00180A36">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Cs w:val="22"/>
          <w:lang w:val="es-ES"/>
        </w:rPr>
      </w:pPr>
      <w:r w:rsidRPr="004F1700">
        <w:rPr>
          <w:rFonts w:ascii="Palatino Linotype" w:hAnsi="Palatino Linotype" w:cs="Arial"/>
          <w:color w:val="000000"/>
          <w:sz w:val="24"/>
          <w:lang w:val="es-ES"/>
        </w:rPr>
        <w:t xml:space="preserve">En respuesta, el Sujeto Obligado </w:t>
      </w:r>
      <w:r w:rsidR="00D040F4">
        <w:rPr>
          <w:rFonts w:ascii="Palatino Linotype" w:hAnsi="Palatino Linotype" w:cs="Arial"/>
          <w:color w:val="000000"/>
          <w:sz w:val="24"/>
          <w:lang w:val="es-ES"/>
        </w:rPr>
        <w:t>adjuntó la siguiente información:</w:t>
      </w:r>
    </w:p>
    <w:p w:rsidR="00D040F4" w:rsidRDefault="00D040F4" w:rsidP="00D040F4">
      <w:pPr>
        <w:pStyle w:val="Prrafodelista"/>
        <w:tabs>
          <w:tab w:val="left" w:pos="284"/>
          <w:tab w:val="left" w:pos="567"/>
        </w:tabs>
        <w:spacing w:line="360" w:lineRule="auto"/>
        <w:ind w:left="0"/>
        <w:jc w:val="both"/>
        <w:rPr>
          <w:rFonts w:ascii="Palatino Linotype" w:hAnsi="Palatino Linotype" w:cs="Arial"/>
          <w:color w:val="000000"/>
          <w:sz w:val="24"/>
          <w:lang w:val="es-ES"/>
        </w:rPr>
      </w:pPr>
    </w:p>
    <w:p w:rsidR="00D040F4" w:rsidRDefault="00D040F4" w:rsidP="00D040F4">
      <w:pPr>
        <w:pStyle w:val="Prrafodelista"/>
        <w:tabs>
          <w:tab w:val="left" w:pos="284"/>
          <w:tab w:val="left" w:pos="567"/>
        </w:tabs>
        <w:spacing w:line="360" w:lineRule="auto"/>
        <w:ind w:left="0"/>
        <w:jc w:val="center"/>
        <w:rPr>
          <w:rFonts w:ascii="Palatino Linotype" w:hAnsi="Palatino Linotype"/>
          <w:b/>
          <w:bCs/>
          <w:color w:val="000000"/>
          <w:szCs w:val="22"/>
          <w:lang w:val="es-ES"/>
        </w:rPr>
      </w:pPr>
      <w:r>
        <w:rPr>
          <w:noProof/>
        </w:rPr>
        <w:drawing>
          <wp:inline distT="0" distB="0" distL="0" distR="0" wp14:anchorId="05F14366" wp14:editId="0DDF6E38">
            <wp:extent cx="3676650" cy="212523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91" t="46884" r="35316" b="23629"/>
                    <a:stretch/>
                  </pic:blipFill>
                  <pic:spPr bwMode="auto">
                    <a:xfrm>
                      <a:off x="0" y="0"/>
                      <a:ext cx="3686444" cy="2130892"/>
                    </a:xfrm>
                    <a:prstGeom prst="rect">
                      <a:avLst/>
                    </a:prstGeom>
                    <a:ln>
                      <a:noFill/>
                    </a:ln>
                    <a:extLst>
                      <a:ext uri="{53640926-AAD7-44D8-BBD7-CCE9431645EC}">
                        <a14:shadowObscured xmlns:a14="http://schemas.microsoft.com/office/drawing/2010/main"/>
                      </a:ext>
                    </a:extLst>
                  </pic:spPr>
                </pic:pic>
              </a:graphicData>
            </a:graphic>
          </wp:inline>
        </w:drawing>
      </w:r>
    </w:p>
    <w:p w:rsidR="00D040F4" w:rsidRPr="00D040F4" w:rsidRDefault="00D040F4" w:rsidP="00D040F4">
      <w:pPr>
        <w:pStyle w:val="Prrafodelista"/>
        <w:tabs>
          <w:tab w:val="left" w:pos="284"/>
          <w:tab w:val="left" w:pos="567"/>
        </w:tabs>
        <w:spacing w:line="360" w:lineRule="auto"/>
        <w:ind w:left="0"/>
        <w:jc w:val="both"/>
        <w:rPr>
          <w:rFonts w:ascii="Palatino Linotype" w:hAnsi="Palatino Linotype"/>
          <w:b/>
          <w:bCs/>
          <w:color w:val="000000"/>
          <w:szCs w:val="22"/>
          <w:lang w:val="es-ES"/>
        </w:rPr>
      </w:pPr>
    </w:p>
    <w:p w:rsidR="0042522D" w:rsidRPr="0042522D" w:rsidRDefault="00180A36" w:rsidP="0042522D">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Cs w:val="22"/>
          <w:lang w:val="es-ES"/>
        </w:rPr>
      </w:pPr>
      <w:r w:rsidRPr="004F1700">
        <w:rPr>
          <w:rFonts w:ascii="Palatino Linotype" w:hAnsi="Palatino Linotype" w:cs="Arial"/>
          <w:color w:val="000000"/>
          <w:sz w:val="24"/>
        </w:rPr>
        <w:lastRenderedPageBreak/>
        <w:t>Posteriormente, inconforme con la respuesta, el hoy Recurrente interpuso recurso de revisión mediante el cual s</w:t>
      </w:r>
      <w:r w:rsidR="00D040F4">
        <w:rPr>
          <w:rFonts w:ascii="Palatino Linotype" w:hAnsi="Palatino Linotype" w:cs="Arial"/>
          <w:color w:val="000000"/>
          <w:sz w:val="24"/>
        </w:rPr>
        <w:t xml:space="preserve">e inconformó por </w:t>
      </w:r>
      <w:r w:rsidR="00D040F4" w:rsidRPr="00D040F4">
        <w:rPr>
          <w:rFonts w:ascii="Palatino Linotype" w:hAnsi="Palatino Linotype" w:cs="Arial"/>
          <w:i/>
          <w:color w:val="000000"/>
          <w:sz w:val="24"/>
        </w:rPr>
        <w:t xml:space="preserve">“SOLO ACLARAR EN EL CASO DE QUE EN LA TABLA DONDE MARCAN PUESTO ANTERIOR, APARECEN </w:t>
      </w:r>
      <w:r w:rsidR="00D040F4" w:rsidRPr="00D040F4">
        <w:rPr>
          <w:rFonts w:ascii="Palatino Linotype" w:hAnsi="Palatino Linotype" w:cs="Arial"/>
          <w:b/>
          <w:i/>
          <w:color w:val="000000"/>
          <w:sz w:val="24"/>
        </w:rPr>
        <w:t>DOS DIRECCION DE UIPPE Y DOS AUXILIAR ADMINISTRATIVO, QUE EN ESTE PUNTO ME ACLAREN SI ESQUE HUBO DOS BAJAS DE DIRECTOR</w:t>
      </w:r>
      <w:r w:rsidR="00D040F4" w:rsidRPr="00D040F4">
        <w:rPr>
          <w:rFonts w:ascii="Palatino Linotype" w:hAnsi="Palatino Linotype" w:cs="Arial"/>
          <w:i/>
          <w:color w:val="000000"/>
          <w:sz w:val="24"/>
        </w:rPr>
        <w:t xml:space="preserve"> (a) Y LOS NOMBRES DE LOS SERVIDORES PUBLICOS QUE SE DIERON DE BAJA Y QUEDARON COMO AUXILIARES ADMINISTRATIVOS”.</w:t>
      </w:r>
    </w:p>
    <w:p w:rsidR="0042522D" w:rsidRPr="0042522D" w:rsidRDefault="0042522D" w:rsidP="0042522D">
      <w:pPr>
        <w:pStyle w:val="Prrafodelista"/>
        <w:tabs>
          <w:tab w:val="left" w:pos="284"/>
          <w:tab w:val="left" w:pos="567"/>
        </w:tabs>
        <w:spacing w:line="360" w:lineRule="auto"/>
        <w:ind w:left="0"/>
        <w:jc w:val="both"/>
        <w:rPr>
          <w:rFonts w:ascii="Palatino Linotype" w:hAnsi="Palatino Linotype"/>
          <w:b/>
          <w:bCs/>
          <w:color w:val="000000"/>
          <w:szCs w:val="22"/>
          <w:lang w:val="es-ES"/>
        </w:rPr>
      </w:pPr>
    </w:p>
    <w:p w:rsidR="0042522D" w:rsidRPr="0042522D" w:rsidRDefault="0042522D" w:rsidP="0042522D">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Cs w:val="22"/>
          <w:lang w:val="es-ES"/>
        </w:rPr>
      </w:pPr>
      <w:r w:rsidRPr="0042522D">
        <w:rPr>
          <w:rFonts w:ascii="Palatino Linotype" w:eastAsia="MS Mincho" w:hAnsi="Palatino Linotype" w:cs="Arial"/>
          <w:sz w:val="24"/>
          <w:lang w:eastAsia="es-ES"/>
        </w:rPr>
        <w:t xml:space="preserve">Ahora bien, la inconformidad del RECURRENTE radica </w:t>
      </w:r>
      <w:r>
        <w:rPr>
          <w:rFonts w:ascii="Palatino Linotype" w:eastAsia="MS Mincho" w:hAnsi="Palatino Linotype" w:cs="Arial"/>
          <w:sz w:val="24"/>
          <w:lang w:eastAsia="es-ES"/>
        </w:rPr>
        <w:t>en que la información remitida sobre la dirección del UIPPE es confusa, pues refieren a dos directores</w:t>
      </w:r>
      <w:r w:rsidRPr="0042522D">
        <w:rPr>
          <w:rFonts w:ascii="Palatino Linotype" w:eastAsia="MS Mincho" w:hAnsi="Palatino Linotype" w:cs="Arial"/>
          <w:sz w:val="24"/>
          <w:lang w:eastAsia="es-ES"/>
        </w:rPr>
        <w:t xml:space="preserve">, es decir, que el particular no se inconformó por las documentales emitidas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42522D" w:rsidRPr="0042522D" w:rsidRDefault="0042522D" w:rsidP="0042522D">
      <w:pPr>
        <w:pStyle w:val="Prrafodelista"/>
        <w:tabs>
          <w:tab w:val="left" w:pos="284"/>
          <w:tab w:val="left" w:pos="567"/>
        </w:tabs>
        <w:spacing w:line="360" w:lineRule="auto"/>
        <w:ind w:left="0"/>
        <w:jc w:val="both"/>
        <w:rPr>
          <w:rFonts w:ascii="Palatino Linotype" w:hAnsi="Palatino Linotype"/>
          <w:b/>
          <w:bCs/>
          <w:color w:val="000000"/>
          <w:szCs w:val="22"/>
          <w:lang w:val="es-ES"/>
        </w:rPr>
      </w:pPr>
    </w:p>
    <w:p w:rsidR="0042522D" w:rsidRPr="0042522D" w:rsidRDefault="0042522D" w:rsidP="0042522D">
      <w:pPr>
        <w:pStyle w:val="Prrafodelista"/>
        <w:numPr>
          <w:ilvl w:val="0"/>
          <w:numId w:val="1"/>
        </w:numPr>
        <w:tabs>
          <w:tab w:val="left" w:pos="284"/>
          <w:tab w:val="left" w:pos="567"/>
        </w:tabs>
        <w:spacing w:line="360" w:lineRule="auto"/>
        <w:ind w:left="0" w:firstLine="0"/>
        <w:jc w:val="both"/>
        <w:rPr>
          <w:rFonts w:ascii="Palatino Linotype" w:hAnsi="Palatino Linotype"/>
          <w:b/>
          <w:bCs/>
          <w:color w:val="000000"/>
          <w:szCs w:val="22"/>
          <w:lang w:val="es-ES"/>
        </w:rPr>
      </w:pPr>
      <w:r w:rsidRPr="0042522D">
        <w:rPr>
          <w:rFonts w:ascii="Palatino Linotype" w:eastAsia="MS Mincho" w:hAnsi="Palatino Linotype" w:cs="Arial"/>
          <w:sz w:val="24"/>
          <w:lang w:eastAsia="es-ES"/>
        </w:rPr>
        <w:t>Sirve de sustento, la tesis jurisprudencial número VI.3o.C. J/60, publicada en el Semanario Judicial de la Federación y su Gaceta bajo el número de registro 176,608 que a la letra dice:</w:t>
      </w:r>
    </w:p>
    <w:p w:rsidR="0042522D" w:rsidRPr="00406C9A" w:rsidRDefault="0042522D" w:rsidP="0042522D">
      <w:pPr>
        <w:pStyle w:val="Prrafodelista"/>
        <w:spacing w:before="240" w:after="240" w:line="360" w:lineRule="auto"/>
        <w:ind w:left="0" w:right="48"/>
        <w:jc w:val="both"/>
        <w:rPr>
          <w:rFonts w:ascii="Palatino Linotype" w:eastAsia="MS Mincho" w:hAnsi="Palatino Linotype" w:cs="Arial"/>
          <w:sz w:val="24"/>
          <w:lang w:eastAsia="es-ES"/>
        </w:rPr>
      </w:pPr>
    </w:p>
    <w:p w:rsidR="0042522D" w:rsidRDefault="0042522D" w:rsidP="0042522D">
      <w:pPr>
        <w:pStyle w:val="Prrafodelista"/>
        <w:spacing w:before="240" w:after="240" w:line="360" w:lineRule="auto"/>
        <w:ind w:left="851" w:right="822"/>
        <w:jc w:val="both"/>
        <w:rPr>
          <w:rFonts w:ascii="Palatino Linotype" w:eastAsia="MS Mincho" w:hAnsi="Palatino Linotype" w:cs="Arial"/>
          <w:i/>
          <w:lang w:eastAsia="es-ES"/>
        </w:rPr>
      </w:pPr>
      <w:r w:rsidRPr="00406C9A">
        <w:rPr>
          <w:rFonts w:ascii="Palatino Linotype" w:eastAsia="MS Mincho" w:hAnsi="Palatino Linotype" w:cs="Arial"/>
          <w:i/>
          <w:lang w:eastAsia="es-ES"/>
        </w:rPr>
        <w:t xml:space="preserve">“ACTOS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w:t>
      </w:r>
      <w:r w:rsidRPr="00406C9A">
        <w:rPr>
          <w:rFonts w:ascii="Palatino Linotype" w:eastAsia="MS Mincho" w:hAnsi="Palatino Linotype" w:cs="Arial"/>
          <w:i/>
          <w:lang w:eastAsia="es-ES"/>
        </w:rPr>
        <w:lastRenderedPageBreak/>
        <w:t>producen efectos jurídicos tendientes a revocar, confirmar o modificar el acto reclamado en amparo, lo que significa consentimiento del mismo por falta de impugnación eficaz.”</w:t>
      </w:r>
    </w:p>
    <w:p w:rsidR="0042522D" w:rsidRPr="00406C9A" w:rsidRDefault="0042522D" w:rsidP="0042522D">
      <w:pPr>
        <w:pStyle w:val="Prrafodelista"/>
        <w:spacing w:before="240" w:after="240" w:line="360" w:lineRule="auto"/>
        <w:ind w:left="851" w:right="822"/>
        <w:jc w:val="both"/>
        <w:rPr>
          <w:rFonts w:ascii="Palatino Linotype" w:eastAsia="MS Mincho" w:hAnsi="Palatino Linotype" w:cs="Arial"/>
          <w:i/>
          <w:lang w:eastAsia="es-ES"/>
        </w:rPr>
      </w:pPr>
    </w:p>
    <w:p w:rsidR="0042522D" w:rsidRDefault="0042522D" w:rsidP="0042522D">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06C9A">
        <w:rPr>
          <w:rFonts w:ascii="Palatino Linotype" w:eastAsia="MS Mincho" w:hAnsi="Palatino Linotype" w:cs="Arial"/>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42522D" w:rsidRPr="00406C9A" w:rsidRDefault="0042522D" w:rsidP="0042522D">
      <w:pPr>
        <w:pStyle w:val="Prrafodelista"/>
        <w:spacing w:before="240" w:after="240" w:line="360" w:lineRule="auto"/>
        <w:ind w:left="0" w:right="48"/>
        <w:jc w:val="both"/>
        <w:rPr>
          <w:rFonts w:ascii="Palatino Linotype" w:eastAsia="MS Mincho" w:hAnsi="Palatino Linotype" w:cs="Arial"/>
          <w:sz w:val="24"/>
          <w:lang w:eastAsia="es-ES"/>
        </w:rPr>
      </w:pPr>
    </w:p>
    <w:p w:rsidR="0042522D" w:rsidRDefault="0042522D" w:rsidP="0042522D">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06C9A">
        <w:rPr>
          <w:rFonts w:ascii="Palatino Linotype" w:eastAsia="MS Mincho" w:hAnsi="Palatino Linotype" w:cs="Arial"/>
          <w:sz w:val="24"/>
          <w:lang w:eastAsia="es-ES"/>
        </w:rPr>
        <w:t>Atento a ello, es importante traer a contexto la Tesis Jurisprudencial Número 3ª./J.7/91, Publicada en el Semanario Judicial de la Federación y su Gaceta bajo el número de registro 174,177, que establece lo siguiente:</w:t>
      </w:r>
    </w:p>
    <w:p w:rsidR="0042522D" w:rsidRPr="00406C9A" w:rsidRDefault="0042522D" w:rsidP="0042522D">
      <w:pPr>
        <w:pStyle w:val="Prrafodelista"/>
        <w:spacing w:before="240" w:after="240" w:line="360" w:lineRule="auto"/>
        <w:ind w:left="0" w:right="48"/>
        <w:jc w:val="both"/>
        <w:rPr>
          <w:rFonts w:ascii="Palatino Linotype" w:eastAsia="MS Mincho" w:hAnsi="Palatino Linotype" w:cs="Arial"/>
          <w:sz w:val="24"/>
          <w:lang w:eastAsia="es-ES"/>
        </w:rPr>
      </w:pPr>
    </w:p>
    <w:p w:rsidR="0042522D" w:rsidRDefault="0042522D" w:rsidP="0042522D">
      <w:pPr>
        <w:pStyle w:val="Prrafodelista"/>
        <w:spacing w:before="240" w:after="240" w:line="360" w:lineRule="auto"/>
        <w:ind w:left="851" w:right="822"/>
        <w:jc w:val="both"/>
        <w:rPr>
          <w:rFonts w:ascii="Palatino Linotype" w:eastAsia="MS Mincho" w:hAnsi="Palatino Linotype" w:cs="Arial"/>
          <w:i/>
          <w:lang w:eastAsia="es-ES"/>
        </w:rPr>
      </w:pPr>
      <w:r w:rsidRPr="00406C9A">
        <w:rPr>
          <w:rFonts w:ascii="Palatino Linotype" w:eastAsia="MS Mincho" w:hAnsi="Palatino Linotype" w:cs="Arial"/>
          <w:i/>
          <w:lang w:eastAsia="es-ES"/>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2522D" w:rsidRDefault="0042522D" w:rsidP="0042522D">
      <w:pPr>
        <w:pStyle w:val="Prrafodelista"/>
        <w:spacing w:before="240" w:after="240" w:line="360" w:lineRule="auto"/>
        <w:ind w:left="851" w:right="822"/>
        <w:jc w:val="both"/>
        <w:rPr>
          <w:rFonts w:ascii="Palatino Linotype" w:eastAsia="MS Mincho" w:hAnsi="Palatino Linotype" w:cs="Arial"/>
          <w:i/>
          <w:lang w:eastAsia="es-ES"/>
        </w:rPr>
      </w:pPr>
    </w:p>
    <w:p w:rsidR="00180A36" w:rsidRPr="0042522D" w:rsidRDefault="0042522D" w:rsidP="0042522D">
      <w:pPr>
        <w:pStyle w:val="Prrafodelista"/>
        <w:numPr>
          <w:ilvl w:val="0"/>
          <w:numId w:val="1"/>
        </w:numPr>
        <w:tabs>
          <w:tab w:val="left" w:pos="284"/>
        </w:tabs>
        <w:spacing w:line="360" w:lineRule="auto"/>
        <w:ind w:left="0" w:firstLine="0"/>
        <w:jc w:val="both"/>
        <w:rPr>
          <w:rFonts w:ascii="Palatino Linotype" w:hAnsi="Palatino Linotype"/>
        </w:rPr>
      </w:pPr>
      <w:r w:rsidRPr="0042522D">
        <w:rPr>
          <w:rFonts w:ascii="Palatino Linotype" w:eastAsia="Calibri" w:hAnsi="Palatino Linotype" w:cs="Arial"/>
          <w:sz w:val="24"/>
        </w:rPr>
        <w:t xml:space="preserve">Por lo que el análisis y estudio se centrará en </w:t>
      </w:r>
      <w:r>
        <w:rPr>
          <w:rFonts w:ascii="Palatino Linotype" w:eastAsia="Calibri" w:hAnsi="Palatino Linotype" w:cs="Arial"/>
          <w:sz w:val="24"/>
        </w:rPr>
        <w:t>la información sobre el director de la UIPPE</w:t>
      </w:r>
      <w:r>
        <w:rPr>
          <w:rFonts w:ascii="Palatino Linotype" w:hAnsi="Palatino Linotype"/>
          <w:b/>
          <w:bCs/>
        </w:rPr>
        <w:t xml:space="preserve">. </w:t>
      </w:r>
      <w:r w:rsidR="00180A36" w:rsidRPr="0042522D">
        <w:rPr>
          <w:rFonts w:ascii="Palatino Linotype" w:eastAsia="Calibri" w:hAnsi="Palatino Linotype" w:cs="Arial"/>
          <w:color w:val="000000" w:themeColor="text1"/>
          <w:sz w:val="24"/>
          <w:lang w:val="es-ES"/>
        </w:rPr>
        <w:t xml:space="preserve">Ahora bien, mediante informe justificado el </w:t>
      </w:r>
      <w:r w:rsidR="00180A36" w:rsidRPr="0042522D">
        <w:rPr>
          <w:rFonts w:ascii="Palatino Linotype" w:eastAsia="Calibri" w:hAnsi="Palatino Linotype" w:cs="Arial"/>
          <w:b/>
          <w:bCs/>
          <w:color w:val="000000" w:themeColor="text1"/>
          <w:sz w:val="24"/>
          <w:lang w:val="es-ES"/>
        </w:rPr>
        <w:t>SUJETO OBLIGADO</w:t>
      </w:r>
      <w:r w:rsidR="00002604">
        <w:rPr>
          <w:rFonts w:ascii="Palatino Linotype" w:eastAsia="Calibri" w:hAnsi="Palatino Linotype" w:cs="Arial"/>
          <w:b/>
          <w:bCs/>
          <w:color w:val="000000" w:themeColor="text1"/>
          <w:sz w:val="24"/>
          <w:lang w:val="es-ES"/>
        </w:rPr>
        <w:t>,</w:t>
      </w:r>
      <w:r w:rsidR="00180A36" w:rsidRPr="0042522D">
        <w:rPr>
          <w:rFonts w:ascii="Palatino Linotype" w:eastAsia="Calibri" w:hAnsi="Palatino Linotype" w:cs="Arial"/>
          <w:color w:val="000000" w:themeColor="text1"/>
          <w:sz w:val="24"/>
          <w:lang w:val="es-ES"/>
        </w:rPr>
        <w:t xml:space="preserve"> señaló:</w:t>
      </w:r>
    </w:p>
    <w:p w:rsidR="00180A36" w:rsidRDefault="00180A36" w:rsidP="00180A36">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180A36" w:rsidRDefault="00D040F4" w:rsidP="00D040F4">
      <w:pPr>
        <w:pStyle w:val="Prrafodelista"/>
        <w:tabs>
          <w:tab w:val="left" w:pos="284"/>
        </w:tabs>
        <w:spacing w:line="360" w:lineRule="auto"/>
        <w:ind w:left="851" w:right="822"/>
        <w:jc w:val="center"/>
        <w:rPr>
          <w:rFonts w:ascii="Palatino Linotype" w:hAnsi="Palatino Linotype"/>
          <w:i/>
          <w:sz w:val="20"/>
        </w:rPr>
      </w:pPr>
      <w:r>
        <w:rPr>
          <w:noProof/>
        </w:rPr>
        <w:drawing>
          <wp:inline distT="0" distB="0" distL="0" distR="0" wp14:anchorId="1248DE91" wp14:editId="0A7BBB30">
            <wp:extent cx="4743450" cy="2900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03" t="26833" r="34487" b="38372"/>
                    <a:stretch/>
                  </pic:blipFill>
                  <pic:spPr bwMode="auto">
                    <a:xfrm>
                      <a:off x="0" y="0"/>
                      <a:ext cx="4765461" cy="2913597"/>
                    </a:xfrm>
                    <a:prstGeom prst="rect">
                      <a:avLst/>
                    </a:prstGeom>
                    <a:ln>
                      <a:noFill/>
                    </a:ln>
                    <a:extLst>
                      <a:ext uri="{53640926-AAD7-44D8-BBD7-CCE9431645EC}">
                        <a14:shadowObscured xmlns:a14="http://schemas.microsoft.com/office/drawing/2010/main"/>
                      </a:ext>
                    </a:extLst>
                  </pic:spPr>
                </pic:pic>
              </a:graphicData>
            </a:graphic>
          </wp:inline>
        </w:drawing>
      </w:r>
    </w:p>
    <w:p w:rsidR="00D040F4" w:rsidRDefault="00D040F4" w:rsidP="00D040F4">
      <w:pPr>
        <w:pStyle w:val="Prrafodelista"/>
        <w:tabs>
          <w:tab w:val="left" w:pos="284"/>
        </w:tabs>
        <w:spacing w:line="360" w:lineRule="auto"/>
        <w:ind w:left="851" w:right="822"/>
        <w:jc w:val="center"/>
        <w:rPr>
          <w:rFonts w:ascii="Palatino Linotype" w:hAnsi="Palatino Linotype"/>
          <w:i/>
          <w:sz w:val="20"/>
        </w:rPr>
      </w:pPr>
    </w:p>
    <w:p w:rsidR="00D040F4" w:rsidRPr="00E867F0" w:rsidRDefault="00D040F4" w:rsidP="00D040F4">
      <w:pPr>
        <w:pStyle w:val="Prrafodelista"/>
        <w:tabs>
          <w:tab w:val="left" w:pos="284"/>
        </w:tabs>
        <w:spacing w:line="360" w:lineRule="auto"/>
        <w:ind w:left="851" w:right="822"/>
        <w:jc w:val="center"/>
        <w:rPr>
          <w:rFonts w:ascii="Palatino Linotype" w:hAnsi="Palatino Linotype"/>
          <w:i/>
          <w:sz w:val="20"/>
        </w:rPr>
      </w:pPr>
      <w:r>
        <w:rPr>
          <w:noProof/>
        </w:rPr>
        <w:drawing>
          <wp:inline distT="0" distB="0" distL="0" distR="0" wp14:anchorId="2069F59B" wp14:editId="0A414C5E">
            <wp:extent cx="4829175" cy="1609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66" t="45410" r="33989" b="35718"/>
                    <a:stretch/>
                  </pic:blipFill>
                  <pic:spPr bwMode="auto">
                    <a:xfrm>
                      <a:off x="0" y="0"/>
                      <a:ext cx="4829175" cy="1609725"/>
                    </a:xfrm>
                    <a:prstGeom prst="rect">
                      <a:avLst/>
                    </a:prstGeom>
                    <a:ln>
                      <a:noFill/>
                    </a:ln>
                    <a:extLst>
                      <a:ext uri="{53640926-AAD7-44D8-BBD7-CCE9431645EC}">
                        <a14:shadowObscured xmlns:a14="http://schemas.microsoft.com/office/drawing/2010/main"/>
                      </a:ext>
                    </a:extLst>
                  </pic:spPr>
                </pic:pic>
              </a:graphicData>
            </a:graphic>
          </wp:inline>
        </w:drawing>
      </w:r>
    </w:p>
    <w:p w:rsidR="00180A36" w:rsidRPr="00E867F0" w:rsidRDefault="00180A36" w:rsidP="00180A36">
      <w:pPr>
        <w:pStyle w:val="Prrafodelista"/>
        <w:tabs>
          <w:tab w:val="left" w:pos="284"/>
        </w:tabs>
        <w:spacing w:line="360" w:lineRule="auto"/>
        <w:ind w:left="0"/>
        <w:jc w:val="both"/>
        <w:rPr>
          <w:rFonts w:ascii="Palatino Linotype" w:hAnsi="Palatino Linotype"/>
        </w:rPr>
      </w:pPr>
    </w:p>
    <w:p w:rsidR="00180A36" w:rsidRPr="00DE78B6" w:rsidRDefault="00DE78B6" w:rsidP="00DE78B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Pr>
          <w:rFonts w:ascii="Palatino Linotype" w:eastAsia="Calibri" w:hAnsi="Palatino Linotype" w:cs="Arial"/>
          <w:color w:val="000000" w:themeColor="text1"/>
          <w:sz w:val="24"/>
          <w:lang w:val="es-ES"/>
        </w:rPr>
        <w:t>C</w:t>
      </w:r>
      <w:r>
        <w:rPr>
          <w:rFonts w:ascii="Palatino Linotype" w:eastAsia="MS Mincho" w:hAnsi="Palatino Linotype"/>
          <w:sz w:val="24"/>
        </w:rPr>
        <w:t>omo se advierte en el</w:t>
      </w:r>
      <w:r w:rsidR="00180A36">
        <w:rPr>
          <w:rFonts w:ascii="Palatino Linotype" w:eastAsia="MS Mincho" w:hAnsi="Palatino Linotype"/>
          <w:sz w:val="24"/>
        </w:rPr>
        <w:t xml:space="preserve"> informe</w:t>
      </w:r>
      <w:r w:rsidR="00180A36" w:rsidRPr="00D109CD">
        <w:rPr>
          <w:rFonts w:ascii="Palatino Linotype" w:eastAsia="MS Mincho" w:hAnsi="Palatino Linotype"/>
          <w:sz w:val="24"/>
        </w:rPr>
        <w:t xml:space="preserve"> justificado, </w:t>
      </w:r>
      <w:r>
        <w:rPr>
          <w:rFonts w:ascii="Palatino Linotype" w:eastAsia="MS Mincho" w:hAnsi="Palatino Linotype"/>
          <w:sz w:val="24"/>
        </w:rPr>
        <w:t>se</w:t>
      </w:r>
      <w:r w:rsidR="00180A36" w:rsidRPr="00D109CD">
        <w:rPr>
          <w:rFonts w:ascii="Palatino Linotype" w:eastAsia="MS Mincho" w:hAnsi="Palatino Linotype"/>
          <w:sz w:val="24"/>
        </w:rPr>
        <w:t xml:space="preserve"> </w:t>
      </w:r>
      <w:r w:rsidR="0042522D">
        <w:rPr>
          <w:rFonts w:ascii="Palatino Linotype" w:eastAsia="MS Mincho" w:hAnsi="Palatino Linotype"/>
          <w:sz w:val="24"/>
        </w:rPr>
        <w:t xml:space="preserve">modificó </w:t>
      </w:r>
      <w:r w:rsidR="00180A36" w:rsidRPr="00D109CD">
        <w:rPr>
          <w:rFonts w:ascii="Palatino Linotype" w:eastAsia="MS Mincho" w:hAnsi="Palatino Linotype"/>
          <w:sz w:val="24"/>
        </w:rPr>
        <w:t xml:space="preserve"> </w:t>
      </w:r>
      <w:r>
        <w:rPr>
          <w:rFonts w:ascii="Palatino Linotype" w:eastAsia="MS Mincho" w:hAnsi="Palatino Linotype"/>
          <w:sz w:val="24"/>
        </w:rPr>
        <w:t xml:space="preserve">la respuesta, </w:t>
      </w:r>
      <w:r>
        <w:rPr>
          <w:rFonts w:ascii="Palatino Linotype" w:eastAsia="Calibri" w:hAnsi="Palatino Linotype" w:cs="Arial"/>
          <w:color w:val="000000" w:themeColor="text1"/>
          <w:sz w:val="24"/>
          <w:lang w:val="es-ES"/>
        </w:rPr>
        <w:t xml:space="preserve">lo que colma el derecho de acceso a la información pública del particular, en este caso, </w:t>
      </w:r>
      <w:r w:rsidR="00180A36" w:rsidRPr="00DE78B6">
        <w:rPr>
          <w:rFonts w:ascii="Palatino Linotype" w:hAnsi="Palatino Linotype" w:cs="Arial"/>
          <w:bCs/>
          <w:sz w:val="24"/>
          <w:szCs w:val="22"/>
        </w:rPr>
        <w:t xml:space="preserve">al haber existido un pronunciamiento por parte del </w:t>
      </w:r>
      <w:r w:rsidR="00180A36" w:rsidRPr="00DE78B6">
        <w:rPr>
          <w:rFonts w:ascii="Palatino Linotype" w:hAnsi="Palatino Linotype" w:cs="Arial"/>
          <w:b/>
          <w:bCs/>
          <w:sz w:val="24"/>
          <w:szCs w:val="22"/>
        </w:rPr>
        <w:t>SUJETO OBLIGADO</w:t>
      </w:r>
      <w:r w:rsidR="00180A36" w:rsidRPr="00DE78B6">
        <w:rPr>
          <w:rFonts w:ascii="Palatino Linotype" w:hAnsi="Palatino Linotype" w:cs="Arial"/>
          <w:bCs/>
          <w:sz w:val="24"/>
          <w:szCs w:val="22"/>
        </w:rPr>
        <w:t>, este Instituto no está facultado para manifestarse sobre la veracidad de este, pues no existe precepto legal alguno en la Ley de la materia que lo faculte para que, vía recurso de revisión, pueda pronunciarse al respecto.</w:t>
      </w:r>
    </w:p>
    <w:p w:rsidR="00180A36" w:rsidRPr="00E91CBA" w:rsidRDefault="00180A36" w:rsidP="00180A36">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lastRenderedPageBreak/>
        <w:t xml:space="preserve">Sirve </w:t>
      </w:r>
      <w:r w:rsidRPr="00E91CBA">
        <w:rPr>
          <w:rFonts w:ascii="Palatino Linotype" w:hAnsi="Palatino Linotype" w:cs="Arial"/>
          <w:bCs/>
          <w:sz w:val="24"/>
          <w:szCs w:val="22"/>
          <w:lang w:val="es-ES"/>
        </w:rPr>
        <w:t xml:space="preserve">de apoyo a lo anterior, </w:t>
      </w:r>
      <w:r w:rsidRPr="00E91CBA">
        <w:rPr>
          <w:rFonts w:ascii="Palatino Linotype" w:hAnsi="Palatino Linotype" w:cs="Arial"/>
          <w:bCs/>
          <w:sz w:val="24"/>
          <w:szCs w:val="22"/>
        </w:rPr>
        <w:t>por analogía el criterio 31-10 emitido por el entonces Instituto Federal de Acceso a la Información ahora Instituto Nacional de Transparencia, Acceso a la Información y Protección de Datos Personales (INAI) que a la letra dice:</w:t>
      </w:r>
    </w:p>
    <w:p w:rsidR="00180A36" w:rsidRPr="00232084"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180A36" w:rsidRPr="00232084" w:rsidRDefault="00180A36" w:rsidP="00180A36">
      <w:pPr>
        <w:tabs>
          <w:tab w:val="left" w:pos="709"/>
        </w:tabs>
        <w:spacing w:line="360" w:lineRule="auto"/>
        <w:ind w:left="851" w:right="822"/>
        <w:jc w:val="both"/>
        <w:rPr>
          <w:rFonts w:ascii="Palatino Linotype" w:hAnsi="Palatino Linotype" w:cs="Arial"/>
          <w:b/>
          <w:bCs/>
          <w:i/>
          <w:sz w:val="22"/>
          <w:szCs w:val="22"/>
        </w:rPr>
      </w:pPr>
      <w:r w:rsidRPr="0023208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23208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2084">
        <w:rPr>
          <w:rFonts w:ascii="Palatino Linotype" w:hAnsi="Palatino Linotype" w:cs="Arial"/>
          <w:b/>
          <w:bCs/>
          <w:i/>
          <w:sz w:val="22"/>
          <w:szCs w:val="22"/>
        </w:rPr>
        <w:t>”</w:t>
      </w:r>
    </w:p>
    <w:p w:rsidR="00180A36" w:rsidRPr="00232084" w:rsidRDefault="00180A36" w:rsidP="00180A36">
      <w:pPr>
        <w:tabs>
          <w:tab w:val="left" w:pos="709"/>
        </w:tabs>
        <w:ind w:right="565"/>
        <w:jc w:val="both"/>
        <w:rPr>
          <w:rFonts w:ascii="Palatino Linotype" w:hAnsi="Palatino Linotype" w:cs="Arial"/>
          <w:b/>
          <w:bCs/>
          <w:i/>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Así, </w:t>
      </w:r>
      <w:r w:rsidRPr="00E91CBA">
        <w:rPr>
          <w:rFonts w:ascii="Palatino Linotype" w:eastAsia="Calibri" w:hAnsi="Palatino Linotype"/>
          <w:sz w:val="24"/>
        </w:rPr>
        <w:t xml:space="preserve">este Pleno advierte que el </w:t>
      </w:r>
      <w:r w:rsidRPr="00E91CBA">
        <w:rPr>
          <w:rFonts w:ascii="Palatino Linotype" w:eastAsia="Calibri" w:hAnsi="Palatino Linotype"/>
          <w:b/>
          <w:sz w:val="24"/>
        </w:rPr>
        <w:t>SUJETO OBLIGADO</w:t>
      </w:r>
      <w:r w:rsidR="00002604">
        <w:rPr>
          <w:rFonts w:ascii="Palatino Linotype" w:eastAsia="Calibri" w:hAnsi="Palatino Linotype"/>
          <w:b/>
          <w:sz w:val="24"/>
        </w:rPr>
        <w:t>,</w:t>
      </w:r>
      <w:r w:rsidRPr="00E91CBA">
        <w:rPr>
          <w:rFonts w:ascii="Palatino Linotype" w:eastAsia="Calibri" w:hAnsi="Palatino Linotype"/>
          <w:sz w:val="24"/>
        </w:rPr>
        <w:t xml:space="preserve"> </w:t>
      </w:r>
      <w:r w:rsidRPr="00E91CBA">
        <w:rPr>
          <w:rFonts w:ascii="Palatino Linotype" w:eastAsia="Calibri" w:hAnsi="Palatino Linotype"/>
          <w:b/>
          <w:sz w:val="24"/>
        </w:rPr>
        <w:t xml:space="preserve">modificó </w:t>
      </w:r>
      <w:r w:rsidRPr="00E91CBA">
        <w:rPr>
          <w:rFonts w:ascii="Palatino Linotype" w:eastAsia="Calibri" w:hAnsi="Palatino Linotype"/>
          <w:sz w:val="24"/>
        </w:rPr>
        <w:t>el acto que le dio origen a los recursos de revisión, lo que trae como consecuencia que el mismo quede sin materia, actualizándose de este modo, la hipótesis jurídica contenida en la fracción III del artículo 192 de la Ley de Transparencia Local.</w:t>
      </w:r>
    </w:p>
    <w:p w:rsidR="00180A36" w:rsidRPr="00E91CBA"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lastRenderedPageBreak/>
        <w:t xml:space="preserve">Ahora bien, </w:t>
      </w:r>
      <w:r w:rsidRPr="00E91CBA">
        <w:rPr>
          <w:rFonts w:ascii="Palatino Linotype" w:eastAsia="Calibri" w:hAnsi="Palatino Linotype"/>
          <w:sz w:val="24"/>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E91CBA">
        <w:rPr>
          <w:rFonts w:ascii="Palatino Linotype" w:eastAsia="Calibri" w:hAnsi="Palatino Linotype"/>
          <w:b/>
          <w:sz w:val="24"/>
        </w:rPr>
        <w:t>SUJETOS OBLIGADOS</w:t>
      </w:r>
      <w:r w:rsidRPr="00E91CBA">
        <w:rPr>
          <w:rFonts w:ascii="Palatino Linotype" w:eastAsia="Calibri" w:hAnsi="Palatino Linotype"/>
          <w:sz w:val="24"/>
        </w:rPr>
        <w:t xml:space="preserve"> o la negativa de entrega de esta, derivada de la solicitud de información pública.</w:t>
      </w:r>
    </w:p>
    <w:p w:rsidR="00180A36" w:rsidRPr="00E91CBA" w:rsidRDefault="00180A36" w:rsidP="00180A36">
      <w:pPr>
        <w:rPr>
          <w:rFonts w:ascii="Palatino Linotype" w:eastAsia="Calibri" w:hAnsi="Palatino Linotype" w:cs="Arial"/>
          <w:color w:val="000000" w:themeColor="text1"/>
          <w:sz w:val="28"/>
          <w:lang w:val="es-ES"/>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De </w:t>
      </w:r>
      <w:r w:rsidRPr="00E91CBA">
        <w:rPr>
          <w:rFonts w:ascii="Palatino Linotype" w:eastAsia="Calibri" w:hAnsi="Palatino Linotype"/>
          <w:sz w:val="24"/>
        </w:rPr>
        <w:t xml:space="preserve">este modo, cuando el </w:t>
      </w:r>
      <w:r w:rsidRPr="00E91CBA">
        <w:rPr>
          <w:rFonts w:ascii="Palatino Linotype" w:eastAsia="Calibri" w:hAnsi="Palatino Linotype"/>
          <w:b/>
          <w:sz w:val="24"/>
        </w:rPr>
        <w:t xml:space="preserve">SUJETO OBLIGADO, </w:t>
      </w:r>
      <w:r w:rsidRPr="00E91CBA">
        <w:rPr>
          <w:rFonts w:ascii="Palatino Linotype" w:eastAsia="Calibri" w:hAnsi="Palatino Linotype"/>
          <w:sz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E91CBA">
        <w:rPr>
          <w:rFonts w:ascii="Palatino Linotype" w:eastAsia="Calibri" w:hAnsi="Palatino Linotype"/>
          <w:i/>
          <w:sz w:val="24"/>
        </w:rPr>
        <w:t>litis</w:t>
      </w:r>
      <w:r w:rsidRPr="00E91CBA">
        <w:rPr>
          <w:rFonts w:ascii="Palatino Linotype" w:eastAsia="Calibri" w:hAnsi="Palatino Linotype"/>
          <w:sz w:val="24"/>
        </w:rPr>
        <w:t xml:space="preserve"> planteada, debido a que la afectación en su esfera de derechos fue restituida por la propia autoridad que emitió el acto motivo de impugnación.</w:t>
      </w:r>
    </w:p>
    <w:p w:rsidR="00180A36" w:rsidRPr="00E91CBA"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Sirve </w:t>
      </w:r>
      <w:r w:rsidRPr="00E91CBA">
        <w:rPr>
          <w:rFonts w:ascii="Palatino Linotype" w:eastAsia="Calibri" w:hAnsi="Palatino Linotype"/>
          <w:sz w:val="24"/>
        </w:rPr>
        <w:t>de sustento a lo anterior la siguiente jurisprudencia por contradicción, cuyo rubro, texto y datos de identificación son los siguientes:</w:t>
      </w:r>
    </w:p>
    <w:p w:rsidR="00180A36" w:rsidRPr="00232084" w:rsidRDefault="00180A36" w:rsidP="00180A36">
      <w:pPr>
        <w:rPr>
          <w:rFonts w:ascii="Palatino Linotype" w:eastAsia="Calibri" w:hAnsi="Palatino Linotype" w:cs="Arial"/>
          <w:color w:val="000000" w:themeColor="text1"/>
          <w:lang w:val="es-ES"/>
        </w:rPr>
      </w:pPr>
    </w:p>
    <w:p w:rsidR="00180A36" w:rsidRPr="00232084" w:rsidRDefault="00180A36" w:rsidP="00180A36">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232084">
        <w:rPr>
          <w:rFonts w:ascii="Palatino Linotype" w:eastAsia="Calibri" w:hAnsi="Palatino Linotype"/>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32084">
        <w:rPr>
          <w:rFonts w:ascii="Palatino Linotype" w:eastAsia="Calibri" w:hAnsi="Palatino Linotype"/>
          <w:i/>
        </w:rPr>
        <w:t xml:space="preserve"> De la interpretación de los artículos 73, fracción XVI y 80 de la Ley de </w:t>
      </w:r>
      <w:r w:rsidRPr="00232084">
        <w:rPr>
          <w:rFonts w:ascii="Palatino Linotype" w:eastAsia="Calibri" w:hAnsi="Palatino Linotype"/>
          <w:i/>
        </w:rPr>
        <w:lastRenderedPageBreak/>
        <w:t>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180A36" w:rsidRPr="00232084" w:rsidRDefault="00180A36" w:rsidP="00180A36">
      <w:pPr>
        <w:rPr>
          <w:rFonts w:ascii="Palatino Linotype" w:eastAsia="Calibri" w:hAnsi="Palatino Linotype" w:cs="Arial"/>
          <w:color w:val="000000" w:themeColor="text1"/>
          <w:lang w:val="es-ES"/>
        </w:rPr>
      </w:pPr>
    </w:p>
    <w:p w:rsidR="00180A36" w:rsidRPr="00E91CBA" w:rsidRDefault="00180A36" w:rsidP="00180A36">
      <w:pPr>
        <w:pStyle w:val="Prrafodelista"/>
        <w:numPr>
          <w:ilvl w:val="0"/>
          <w:numId w:val="1"/>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La </w:t>
      </w:r>
      <w:r w:rsidRPr="00E91CBA">
        <w:rPr>
          <w:rFonts w:ascii="Palatino Linotype" w:eastAsia="Calibri" w:hAnsi="Palatino Linotype"/>
          <w:sz w:val="24"/>
        </w:rPr>
        <w:t xml:space="preserve">anterior jurisprudencia resulta aplicable al presente asunto, en dos aspectos: </w:t>
      </w:r>
    </w:p>
    <w:p w:rsidR="00180A36" w:rsidRPr="00232084" w:rsidRDefault="00180A36" w:rsidP="00180A36">
      <w:pPr>
        <w:pStyle w:val="Prrafodelista"/>
        <w:tabs>
          <w:tab w:val="left" w:pos="426"/>
          <w:tab w:val="left" w:pos="567"/>
        </w:tabs>
        <w:spacing w:line="360" w:lineRule="auto"/>
        <w:ind w:left="0"/>
        <w:jc w:val="both"/>
        <w:rPr>
          <w:rFonts w:ascii="Palatino Linotype" w:eastAsia="Calibri" w:hAnsi="Palatino Linotype"/>
        </w:rPr>
      </w:pPr>
    </w:p>
    <w:p w:rsidR="00180A36" w:rsidRPr="00232084" w:rsidRDefault="00180A36" w:rsidP="00180A36">
      <w:pPr>
        <w:numPr>
          <w:ilvl w:val="0"/>
          <w:numId w:val="4"/>
        </w:numPr>
        <w:spacing w:line="360" w:lineRule="auto"/>
        <w:ind w:left="567" w:right="616" w:firstLine="0"/>
        <w:contextualSpacing/>
        <w:jc w:val="both"/>
        <w:rPr>
          <w:rFonts w:ascii="Palatino Linotype" w:eastAsia="Calibri" w:hAnsi="Palatino Linotype"/>
        </w:rPr>
      </w:pPr>
      <w:r w:rsidRPr="00232084">
        <w:rPr>
          <w:rFonts w:ascii="Palatino Linotype" w:eastAsia="Calibri" w:hAnsi="Palatino Linotype"/>
          <w:b/>
        </w:rPr>
        <w:t>La cesación de los efectos perniciosos del acto de autoridad:</w:t>
      </w:r>
      <w:r w:rsidRPr="00232084">
        <w:rPr>
          <w:rFonts w:ascii="Palatino Linotype" w:eastAsia="Calibri" w:hAnsi="Palatino Linotype"/>
        </w:rPr>
        <w:t xml:space="preserve"> Al respecto, la Ley de Transparencia contempla la figura jurídica del sobreseimiento cuando el </w:t>
      </w:r>
      <w:r w:rsidRPr="00232084">
        <w:rPr>
          <w:rFonts w:ascii="Palatino Linotype" w:eastAsia="Calibri" w:hAnsi="Palatino Linotype"/>
          <w:b/>
        </w:rPr>
        <w:t>SUJETO OBLIGADO</w:t>
      </w:r>
      <w:r w:rsidR="00002604">
        <w:rPr>
          <w:rFonts w:ascii="Palatino Linotype" w:eastAsia="Calibri" w:hAnsi="Palatino Linotype"/>
          <w:b/>
        </w:rPr>
        <w:t>,</w:t>
      </w:r>
      <w:r w:rsidRPr="00232084">
        <w:rPr>
          <w:rFonts w:ascii="Palatino Linotype" w:eastAsia="Calibri" w:hAnsi="Palatino Linotype"/>
        </w:rPr>
        <w:t xml:space="preserve"> de </w:t>
      </w:r>
      <w:r w:rsidRPr="00232084">
        <w:rPr>
          <w:rFonts w:ascii="Palatino Linotype" w:eastAsia="Calibri" w:hAnsi="Palatino Linotype"/>
          <w:i/>
        </w:rPr>
        <w:t>motu proprio</w:t>
      </w:r>
      <w:r w:rsidRPr="00232084">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180A36" w:rsidRPr="00232084" w:rsidRDefault="00180A36" w:rsidP="00180A36">
      <w:pPr>
        <w:spacing w:line="360" w:lineRule="auto"/>
        <w:ind w:left="567" w:right="616"/>
        <w:contextualSpacing/>
        <w:rPr>
          <w:rFonts w:ascii="Palatino Linotype" w:eastAsia="Calibri" w:hAnsi="Palatino Linotype"/>
        </w:rPr>
      </w:pPr>
    </w:p>
    <w:p w:rsidR="00180A36" w:rsidRPr="00232084" w:rsidRDefault="00180A36" w:rsidP="00180A36">
      <w:pPr>
        <w:numPr>
          <w:ilvl w:val="0"/>
          <w:numId w:val="4"/>
        </w:numPr>
        <w:spacing w:line="360" w:lineRule="auto"/>
        <w:ind w:left="567" w:right="616" w:firstLine="0"/>
        <w:contextualSpacing/>
        <w:jc w:val="both"/>
        <w:rPr>
          <w:rFonts w:ascii="Palatino Linotype" w:eastAsia="Calibri" w:hAnsi="Palatino Linotype"/>
        </w:rPr>
      </w:pPr>
      <w:r w:rsidRPr="00232084">
        <w:rPr>
          <w:rFonts w:ascii="Palatino Linotype" w:eastAsia="Calibri" w:hAnsi="Palatino Linotype"/>
          <w:b/>
        </w:rPr>
        <w:t>El momento procesal para modificar el acto impugnado:</w:t>
      </w:r>
      <w:r w:rsidRPr="00232084">
        <w:rPr>
          <w:rFonts w:ascii="Palatino Linotype" w:eastAsia="Calibri" w:hAnsi="Palatino Linotype"/>
        </w:rPr>
        <w:t xml:space="preserve"> Para que se actualice el sobreseimiento de un recurso de revisión, el </w:t>
      </w:r>
      <w:r w:rsidRPr="00232084">
        <w:rPr>
          <w:rFonts w:ascii="Palatino Linotype" w:eastAsia="Calibri" w:hAnsi="Palatino Linotype"/>
          <w:b/>
        </w:rPr>
        <w:t>SUJETO OBLIGADO</w:t>
      </w:r>
      <w:r w:rsidR="00002604">
        <w:rPr>
          <w:rFonts w:ascii="Palatino Linotype" w:eastAsia="Calibri" w:hAnsi="Palatino Linotype"/>
          <w:b/>
        </w:rPr>
        <w:t>,</w:t>
      </w:r>
      <w:r w:rsidRPr="00232084">
        <w:rPr>
          <w:rFonts w:ascii="Palatino Linotype" w:eastAsia="Calibri" w:hAnsi="Palatino Linotype"/>
        </w:rPr>
        <w:t xml:space="preserve"> puede entregar o completar la información al momento de </w:t>
      </w:r>
      <w:r w:rsidRPr="00232084">
        <w:rPr>
          <w:rFonts w:ascii="Palatino Linotype" w:eastAsia="Calibri" w:hAnsi="Palatino Linotype"/>
        </w:rPr>
        <w:lastRenderedPageBreak/>
        <w:t xml:space="preserve">rendir su informe de justificación o </w:t>
      </w:r>
      <w:r w:rsidRPr="00002604">
        <w:rPr>
          <w:rFonts w:ascii="Palatino Linotype" w:eastAsia="Calibri" w:hAnsi="Palatino Linotype"/>
        </w:rPr>
        <w:t>posteriormente</w:t>
      </w:r>
      <w:r w:rsidRPr="00232084">
        <w:rPr>
          <w:rFonts w:ascii="Palatino Linotype" w:eastAsia="Calibri" w:hAnsi="Palatino Linotype"/>
        </w:rPr>
        <w:t xml:space="preserve"> a éste, siempre y cuando el Pleno del Instituto no haya dictado resolución definitiva.</w:t>
      </w:r>
    </w:p>
    <w:p w:rsidR="00180A36" w:rsidRPr="00232084" w:rsidRDefault="00180A36" w:rsidP="00180A3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180A36" w:rsidRPr="00E91CBA" w:rsidRDefault="00180A36" w:rsidP="00180A3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Eduardo Pallares, </w:t>
      </w:r>
      <w:r w:rsidRPr="00E91CBA">
        <w:rPr>
          <w:rFonts w:ascii="Palatino Linotype" w:eastAsia="Calibri" w:hAnsi="Palatino Linotype"/>
          <w:sz w:val="24"/>
        </w:rPr>
        <w:t xml:space="preserve">en su artículo </w:t>
      </w:r>
      <w:r w:rsidRPr="00E91CBA">
        <w:rPr>
          <w:rFonts w:ascii="Palatino Linotype" w:eastAsia="Calibri" w:hAnsi="Palatino Linotype"/>
          <w:i/>
          <w:sz w:val="24"/>
        </w:rPr>
        <w:t>“La caducidad y el sobreseimiento en el amparo”</w:t>
      </w:r>
      <w:r w:rsidRPr="00E91CBA">
        <w:rPr>
          <w:rFonts w:ascii="Palatino Linotype" w:eastAsia="Calibri" w:hAnsi="Palatino Linotype"/>
          <w:sz w:val="24"/>
        </w:rPr>
        <w:t xml:space="preserve">, cita la definición de Aguilera Paz, aduciendo que se </w:t>
      </w:r>
      <w:r w:rsidRPr="00E91CBA">
        <w:rPr>
          <w:rFonts w:ascii="Palatino Linotype" w:eastAsia="Calibri" w:hAnsi="Palatino Linotype"/>
          <w:i/>
          <w:sz w:val="24"/>
        </w:rPr>
        <w:t>“...entiende por sobreseimiento en el tecnicismo forense, el hecho de cesar en el procedimiento o curso de la causa, por no existir méritos bastantes para entrar en un juicio o para entablar la contienda judicial que debe ser objeto del mismo...”</w:t>
      </w:r>
      <w:r w:rsidRPr="00E91CBA">
        <w:rPr>
          <w:rFonts w:ascii="Palatino Linotype" w:eastAsia="Calibri" w:hAnsi="Palatino Linotype"/>
          <w:sz w:val="24"/>
        </w:rPr>
        <w:t>. Asimismo, señala que existe el sobreseimiento provisional y el definitivo</w:t>
      </w:r>
      <w:r w:rsidRPr="00E91CBA">
        <w:rPr>
          <w:rFonts w:ascii="Palatino Linotype" w:eastAsia="Calibri" w:hAnsi="Palatino Linotype"/>
          <w:i/>
          <w:sz w:val="24"/>
        </w:rPr>
        <w:t>: “...el definitivo es una verdadera sentencia que pone fin al juicio, y que una vez dictada, produce cosa juzgada, mientras que el provisorio tiene por efectos suspender la prosecución de la causa...”</w:t>
      </w:r>
    </w:p>
    <w:p w:rsidR="00180A36" w:rsidRPr="00E91CBA" w:rsidRDefault="00180A36" w:rsidP="00180A36">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Así, </w:t>
      </w:r>
      <w:r w:rsidRPr="00E91CBA">
        <w:rPr>
          <w:rFonts w:ascii="Palatino Linotype" w:eastAsia="Calibri" w:hAnsi="Palatino Linotype"/>
          <w:sz w:val="24"/>
        </w:rPr>
        <w:t xml:space="preserve">para la doctrina el sobreseimiento provoca que un procedimiento se suspenda o se resuelva en </w:t>
      </w:r>
      <w:r w:rsidRPr="00002604">
        <w:rPr>
          <w:rFonts w:ascii="Palatino Linotype" w:eastAsia="Calibri" w:hAnsi="Palatino Linotype"/>
          <w:sz w:val="24"/>
        </w:rPr>
        <w:t>definitiva sin que se entre al estudio de los agravios o motivos de inconformidad.</w:t>
      </w:r>
      <w:r w:rsidRPr="00E91CBA">
        <w:rPr>
          <w:rFonts w:ascii="Palatino Linotype" w:eastAsia="Calibri" w:hAnsi="Palatino Linotype"/>
          <w:b/>
          <w:sz w:val="24"/>
          <w:u w:val="single"/>
        </w:rPr>
        <w:t xml:space="preserve"> </w:t>
      </w:r>
      <w:r w:rsidRPr="00E91CBA">
        <w:rPr>
          <w:rFonts w:ascii="Palatino Linotype" w:eastAsia="Calibri" w:hAnsi="Palatino Linotype"/>
          <w:sz w:val="24"/>
        </w:rPr>
        <w:t>Este mismo criterio es compartido por el más alto tribunal del país en múltiples jurisprudencias, por lo que a continuación se agrega una de ellas que sirve como orientador en esta resolución:</w:t>
      </w:r>
    </w:p>
    <w:p w:rsidR="00180A36" w:rsidRPr="00232084" w:rsidRDefault="00180A36" w:rsidP="00180A36">
      <w:pPr>
        <w:rPr>
          <w:rFonts w:ascii="Palatino Linotype" w:eastAsia="Calibri" w:hAnsi="Palatino Linotype" w:cs="Arial"/>
          <w:color w:val="000000" w:themeColor="text1"/>
          <w:lang w:val="es-ES"/>
        </w:rPr>
      </w:pPr>
    </w:p>
    <w:p w:rsidR="00180A36" w:rsidRPr="00232084" w:rsidRDefault="00180A36" w:rsidP="00180A36">
      <w:pPr>
        <w:spacing w:line="360" w:lineRule="auto"/>
        <w:ind w:left="567" w:right="565"/>
        <w:contextualSpacing/>
        <w:jc w:val="both"/>
        <w:rPr>
          <w:rFonts w:ascii="Palatino Linotype" w:eastAsia="Calibri" w:hAnsi="Palatino Linotype"/>
          <w:i/>
          <w:sz w:val="22"/>
          <w:lang w:val="es-AR"/>
        </w:rPr>
      </w:pPr>
      <w:r w:rsidRPr="00232084">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232084">
        <w:rPr>
          <w:rFonts w:ascii="Palatino Linotype" w:eastAsia="Calibri" w:hAnsi="Palatino Linotype"/>
          <w:i/>
          <w:sz w:val="22"/>
          <w:lang w:val="es-AR"/>
        </w:rPr>
        <w:t xml:space="preserve"> en el juicio de amparo directo </w:t>
      </w:r>
      <w:r w:rsidRPr="00232084">
        <w:rPr>
          <w:rFonts w:ascii="Palatino Linotype" w:eastAsia="Calibri" w:hAnsi="Palatino Linotype"/>
          <w:b/>
          <w:i/>
          <w:sz w:val="22"/>
          <w:lang w:val="es-AR"/>
        </w:rPr>
        <w:t>provoca la terminación de la controversia planteada</w:t>
      </w:r>
      <w:r w:rsidRPr="00232084">
        <w:rPr>
          <w:rFonts w:ascii="Palatino Linotype" w:eastAsia="Calibri" w:hAnsi="Palatino Linotype"/>
          <w:i/>
          <w:sz w:val="22"/>
          <w:lang w:val="es-AR"/>
        </w:rPr>
        <w:t xml:space="preserve"> por el quejoso en la demanda de amparo</w:t>
      </w:r>
      <w:r w:rsidRPr="00232084">
        <w:rPr>
          <w:rFonts w:ascii="Palatino Linotype" w:eastAsia="Calibri" w:hAnsi="Palatino Linotype"/>
          <w:b/>
          <w:i/>
          <w:sz w:val="22"/>
          <w:lang w:val="es-AR"/>
        </w:rPr>
        <w:t>, sin hacer un pronunciamiento de fondo sobre la legalidad o ilegalidad de la sentencia reclamada</w:t>
      </w:r>
      <w:r w:rsidRPr="00232084">
        <w:rPr>
          <w:rFonts w:ascii="Palatino Linotype" w:eastAsia="Calibri" w:hAnsi="Palatino Linotype"/>
          <w:i/>
          <w:sz w:val="22"/>
          <w:lang w:val="es-AR"/>
        </w:rPr>
        <w:t xml:space="preserve">. </w:t>
      </w:r>
      <w:r w:rsidRPr="00232084">
        <w:rPr>
          <w:rFonts w:ascii="Palatino Linotype" w:eastAsia="Calibri" w:hAnsi="Palatino Linotype"/>
          <w:b/>
          <w:i/>
          <w:sz w:val="22"/>
          <w:lang w:val="es-AR"/>
        </w:rPr>
        <w:t xml:space="preserve">Por consiguiente, si al sobreseerse en el juicio de amparo no se pueden estudiar los planteamientos que se hacen valer en contra del fallo reclamado, tampoco se deben analizar las violaciones procesales propuestas en </w:t>
      </w:r>
      <w:r w:rsidRPr="00232084">
        <w:rPr>
          <w:rFonts w:ascii="Palatino Linotype" w:eastAsia="Calibri" w:hAnsi="Palatino Linotype"/>
          <w:b/>
          <w:i/>
          <w:sz w:val="22"/>
          <w:lang w:val="es-AR"/>
        </w:rPr>
        <w:lastRenderedPageBreak/>
        <w:t>los conceptos de violación, dado que, la principal consecuencia del sobreseimiento es poner fin al juicio de amparo sin resolver la controversia en sus méritos</w:t>
      </w:r>
      <w:r w:rsidRPr="00232084">
        <w:rPr>
          <w:rFonts w:ascii="Palatino Linotype" w:eastAsia="Calibri" w:hAnsi="Palatino Linotype"/>
          <w:i/>
          <w:sz w:val="22"/>
          <w:lang w:val="es-AR"/>
        </w:rPr>
        <w:t>.</w:t>
      </w:r>
    </w:p>
    <w:p w:rsidR="00180A36" w:rsidRPr="00232084" w:rsidRDefault="00180A36" w:rsidP="00180A36">
      <w:pPr>
        <w:spacing w:line="360" w:lineRule="auto"/>
        <w:ind w:left="567" w:right="565"/>
        <w:contextualSpacing/>
        <w:jc w:val="both"/>
        <w:rPr>
          <w:rFonts w:ascii="Palatino Linotype" w:eastAsia="Calibri" w:hAnsi="Palatino Linotype"/>
          <w:i/>
          <w:sz w:val="22"/>
          <w:lang w:val="es-AR"/>
        </w:rPr>
      </w:pPr>
      <w:r w:rsidRPr="00232084">
        <w:rPr>
          <w:rFonts w:ascii="Palatino Linotype" w:eastAsia="Calibri" w:hAnsi="Palatino Linotype"/>
          <w:i/>
          <w:sz w:val="22"/>
          <w:lang w:val="es-AR"/>
        </w:rPr>
        <w:t>SÉPTIMO TRIBUNAL COLEGIADO EN MATERIA CIVIL DEL PRIMER CIRCUITO.</w:t>
      </w:r>
    </w:p>
    <w:p w:rsidR="00180A36" w:rsidRPr="00232084" w:rsidRDefault="00180A36" w:rsidP="00180A36">
      <w:pPr>
        <w:spacing w:line="360" w:lineRule="auto"/>
        <w:ind w:left="567" w:right="565"/>
        <w:contextualSpacing/>
        <w:jc w:val="both"/>
        <w:rPr>
          <w:rFonts w:ascii="Palatino Linotype" w:eastAsia="Calibri" w:hAnsi="Palatino Linotype"/>
          <w:b/>
          <w:i/>
          <w:sz w:val="22"/>
          <w:lang w:val="es-AR"/>
        </w:rPr>
      </w:pPr>
      <w:r w:rsidRPr="00232084">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rsidR="00180A36" w:rsidRPr="00232084" w:rsidRDefault="00180A36" w:rsidP="00180A36">
      <w:pPr>
        <w:spacing w:line="360" w:lineRule="auto"/>
        <w:ind w:right="565"/>
        <w:contextualSpacing/>
        <w:jc w:val="both"/>
        <w:rPr>
          <w:rFonts w:ascii="Palatino Linotype" w:eastAsia="Calibri" w:hAnsi="Palatino Linotype"/>
          <w:b/>
          <w:i/>
          <w:sz w:val="22"/>
          <w:lang w:val="es-AR"/>
        </w:rPr>
      </w:pPr>
    </w:p>
    <w:p w:rsidR="00180A36" w:rsidRPr="00E91CBA" w:rsidRDefault="00180A36" w:rsidP="00180A3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cs="Arial"/>
          <w:color w:val="000000" w:themeColor="text1"/>
          <w:sz w:val="24"/>
          <w:lang w:val="es-ES"/>
        </w:rPr>
        <w:t xml:space="preserve">Consecuentemente, </w:t>
      </w:r>
      <w:r w:rsidRPr="00E91CBA">
        <w:rPr>
          <w:rFonts w:ascii="Palatino Linotype" w:eastAsia="Calibri" w:hAnsi="Palatino Linotype"/>
          <w:sz w:val="24"/>
        </w:rPr>
        <w:t>por lo que hace a los motivos de inconformidad, los mismos devienen inatendibles por actualizarse la figura del sobreseimiento, misma que impide el estudio de los agravios planteados, máxime que se ha dado cumplimiento al derecho de acceso a la información.</w:t>
      </w:r>
    </w:p>
    <w:p w:rsidR="00180A36" w:rsidRPr="00E91CBA" w:rsidRDefault="00180A36" w:rsidP="00180A36">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rsidR="00180A36" w:rsidRPr="00E91CBA" w:rsidRDefault="00180A36" w:rsidP="00180A36">
      <w:pPr>
        <w:pStyle w:val="Prrafodelista"/>
        <w:numPr>
          <w:ilvl w:val="0"/>
          <w:numId w:val="1"/>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E91CBA">
        <w:rPr>
          <w:rFonts w:ascii="Palatino Linotype" w:eastAsia="Calibri" w:hAnsi="Palatino Linotype"/>
          <w:sz w:val="24"/>
        </w:rPr>
        <w:t xml:space="preserve">Bajo </w:t>
      </w:r>
      <w:r w:rsidRPr="00E91CBA">
        <w:rPr>
          <w:rFonts w:ascii="Palatino Linotype" w:eastAsia="Calibri" w:hAnsi="Palatino Linotype"/>
          <w:sz w:val="24"/>
          <w:lang w:val="es-CO"/>
        </w:rPr>
        <w:t xml:space="preserve">ese tenor y en términos del artículo 186 fracción I este Pleno determina el </w:t>
      </w:r>
      <w:r w:rsidRPr="00E91CBA">
        <w:rPr>
          <w:rFonts w:ascii="Palatino Linotype" w:eastAsia="Calibri" w:hAnsi="Palatino Linotype"/>
          <w:b/>
          <w:sz w:val="24"/>
          <w:lang w:val="es-CO"/>
        </w:rPr>
        <w:t xml:space="preserve">SOBRESEIMIENTO </w:t>
      </w:r>
      <w:r w:rsidRPr="00E91CBA">
        <w:rPr>
          <w:rFonts w:ascii="Palatino Linotype" w:eastAsia="Calibri" w:hAnsi="Palatino Linotype"/>
          <w:sz w:val="24"/>
          <w:lang w:val="es-CO"/>
        </w:rPr>
        <w:t xml:space="preserve">del recurso de revisión </w:t>
      </w:r>
      <w:r>
        <w:rPr>
          <w:rFonts w:ascii="Palatino Linotype" w:hAnsi="Palatino Linotype" w:cs="Arial"/>
          <w:b/>
          <w:bCs/>
          <w:sz w:val="24"/>
        </w:rPr>
        <w:t>02328</w:t>
      </w:r>
      <w:r w:rsidRPr="00E91CBA">
        <w:rPr>
          <w:rFonts w:ascii="Palatino Linotype" w:hAnsi="Palatino Linotype" w:cs="Arial"/>
          <w:b/>
          <w:bCs/>
          <w:sz w:val="24"/>
        </w:rPr>
        <w:t>/INFOEM/IP/RR/2023</w:t>
      </w:r>
      <w:r w:rsidRPr="00E91CBA">
        <w:rPr>
          <w:rFonts w:ascii="Palatino Linotype" w:eastAsia="Calibri" w:hAnsi="Palatino Linotype"/>
          <w:sz w:val="24"/>
          <w:lang w:val="es-CO"/>
        </w:rPr>
        <w:t>, toda vez que la afectación al derecho de acceso a la información pública establecido constitucionalmente a favor del Particular ha sido resarcida.</w:t>
      </w:r>
    </w:p>
    <w:p w:rsidR="00180A36" w:rsidRPr="00E91CBA" w:rsidRDefault="00180A36" w:rsidP="00180A36">
      <w:pPr>
        <w:pStyle w:val="Prrafodelista"/>
        <w:shd w:val="clear" w:color="auto" w:fill="FFFFFF"/>
        <w:tabs>
          <w:tab w:val="left" w:pos="284"/>
        </w:tabs>
        <w:spacing w:line="360" w:lineRule="auto"/>
        <w:ind w:left="0"/>
        <w:jc w:val="both"/>
        <w:rPr>
          <w:rFonts w:ascii="Palatino Linotype" w:hAnsi="Palatino Linotype" w:cs="Arial"/>
          <w:sz w:val="24"/>
        </w:rPr>
      </w:pPr>
    </w:p>
    <w:p w:rsidR="00180A36" w:rsidRDefault="00180A36" w:rsidP="00180A36">
      <w:pPr>
        <w:pStyle w:val="Sinespaciado"/>
        <w:numPr>
          <w:ilvl w:val="0"/>
          <w:numId w:val="1"/>
        </w:numPr>
        <w:tabs>
          <w:tab w:val="left" w:pos="284"/>
        </w:tabs>
        <w:spacing w:line="360" w:lineRule="auto"/>
        <w:ind w:left="0" w:firstLine="0"/>
        <w:contextualSpacing/>
        <w:jc w:val="both"/>
        <w:rPr>
          <w:rFonts w:ascii="Palatino Linotype" w:eastAsia="Calibri" w:hAnsi="Palatino Linotype"/>
        </w:rPr>
      </w:pPr>
      <w:r w:rsidRPr="00E91CBA">
        <w:rPr>
          <w:rFonts w:ascii="Palatino Linotype" w:eastAsia="Calibri" w:hAnsi="Palatino Linotype"/>
        </w:rPr>
        <w:t xml:space="preserve">Por lo anteriormente expuesto y fundado, este </w:t>
      </w:r>
      <w:r w:rsidRPr="00E91CBA">
        <w:rPr>
          <w:rFonts w:ascii="Palatino Linotype" w:eastAsia="Calibri" w:hAnsi="Palatino Linotype"/>
          <w:b/>
          <w:bCs/>
        </w:rPr>
        <w:t>ÓRGANO GARANTE</w:t>
      </w:r>
      <w:r w:rsidR="00002604">
        <w:rPr>
          <w:rFonts w:ascii="Palatino Linotype" w:eastAsia="Calibri" w:hAnsi="Palatino Linotype"/>
          <w:b/>
          <w:bCs/>
        </w:rPr>
        <w:t>,</w:t>
      </w:r>
      <w:r w:rsidRPr="00E91CBA">
        <w:rPr>
          <w:rFonts w:ascii="Palatino Linotype" w:eastAsia="Calibri" w:hAnsi="Palatino Linotype"/>
        </w:rPr>
        <w:t xml:space="preserve"> emite los siguientes:</w:t>
      </w:r>
      <w:bookmarkEnd w:id="13"/>
      <w:bookmarkEnd w:id="14"/>
      <w:bookmarkEnd w:id="15"/>
      <w:bookmarkEnd w:id="16"/>
    </w:p>
    <w:p w:rsidR="00180A36" w:rsidRDefault="00180A36" w:rsidP="00180A36">
      <w:pPr>
        <w:pStyle w:val="Sinespaciado"/>
        <w:tabs>
          <w:tab w:val="left" w:pos="284"/>
        </w:tabs>
        <w:spacing w:line="360" w:lineRule="auto"/>
        <w:contextualSpacing/>
        <w:jc w:val="both"/>
        <w:rPr>
          <w:rFonts w:ascii="Palatino Linotype" w:eastAsia="Calibri" w:hAnsi="Palatino Linotype"/>
        </w:rPr>
      </w:pPr>
    </w:p>
    <w:p w:rsidR="00DE78B6" w:rsidRDefault="00DE78B6" w:rsidP="00180A36">
      <w:pPr>
        <w:pStyle w:val="Sinespaciado"/>
        <w:tabs>
          <w:tab w:val="left" w:pos="284"/>
        </w:tabs>
        <w:spacing w:line="360" w:lineRule="auto"/>
        <w:contextualSpacing/>
        <w:jc w:val="both"/>
        <w:rPr>
          <w:rFonts w:ascii="Palatino Linotype" w:eastAsia="Calibri" w:hAnsi="Palatino Linotype"/>
        </w:rPr>
      </w:pPr>
    </w:p>
    <w:p w:rsidR="00DE78B6" w:rsidRDefault="00DE78B6" w:rsidP="00180A36">
      <w:pPr>
        <w:pStyle w:val="Sinespaciado"/>
        <w:tabs>
          <w:tab w:val="left" w:pos="284"/>
        </w:tabs>
        <w:spacing w:line="360" w:lineRule="auto"/>
        <w:contextualSpacing/>
        <w:jc w:val="both"/>
        <w:rPr>
          <w:rFonts w:ascii="Palatino Linotype" w:eastAsia="Calibri" w:hAnsi="Palatino Linotype"/>
        </w:rPr>
      </w:pPr>
    </w:p>
    <w:p w:rsidR="00DE78B6" w:rsidRDefault="00DE78B6" w:rsidP="00180A36">
      <w:pPr>
        <w:pStyle w:val="Sinespaciado"/>
        <w:tabs>
          <w:tab w:val="left" w:pos="284"/>
        </w:tabs>
        <w:spacing w:line="360" w:lineRule="auto"/>
        <w:contextualSpacing/>
        <w:jc w:val="both"/>
        <w:rPr>
          <w:rFonts w:ascii="Palatino Linotype" w:eastAsia="Calibri" w:hAnsi="Palatino Linotype"/>
        </w:rPr>
      </w:pPr>
    </w:p>
    <w:p w:rsidR="00180A36" w:rsidRPr="00E91CBA" w:rsidRDefault="00180A36" w:rsidP="00180A36">
      <w:pPr>
        <w:pStyle w:val="Sinespaciado"/>
        <w:tabs>
          <w:tab w:val="left" w:pos="284"/>
        </w:tabs>
        <w:spacing w:line="360" w:lineRule="auto"/>
        <w:contextualSpacing/>
        <w:jc w:val="both"/>
        <w:rPr>
          <w:rFonts w:ascii="Palatino Linotype" w:eastAsia="Calibri" w:hAnsi="Palatino Linotype"/>
        </w:rPr>
      </w:pPr>
    </w:p>
    <w:p w:rsidR="00180A36" w:rsidRPr="00232084" w:rsidRDefault="00180A36" w:rsidP="00180A36">
      <w:pPr>
        <w:spacing w:line="360" w:lineRule="auto"/>
        <w:jc w:val="center"/>
        <w:rPr>
          <w:rFonts w:ascii="Palatino Linotype" w:hAnsi="Palatino Linotype"/>
          <w:b/>
          <w:lang w:val="es-ES"/>
        </w:rPr>
      </w:pPr>
      <w:r w:rsidRPr="00232084">
        <w:rPr>
          <w:rFonts w:ascii="Palatino Linotype" w:hAnsi="Palatino Linotype"/>
          <w:b/>
          <w:lang w:val="es-ES"/>
        </w:rPr>
        <w:lastRenderedPageBreak/>
        <w:t>R E S O L U T I V O S</w:t>
      </w:r>
    </w:p>
    <w:p w:rsidR="00180A36" w:rsidRPr="00232084" w:rsidRDefault="00180A36" w:rsidP="00180A36">
      <w:pPr>
        <w:pStyle w:val="Sinespaciado"/>
        <w:spacing w:line="360" w:lineRule="auto"/>
        <w:jc w:val="both"/>
        <w:rPr>
          <w:rFonts w:ascii="Palatino Linotype" w:hAnsi="Palatino Linotype"/>
          <w:szCs w:val="20"/>
        </w:rPr>
      </w:pPr>
    </w:p>
    <w:p w:rsidR="00180A36" w:rsidRPr="00C372B3" w:rsidRDefault="00180A36" w:rsidP="00180A36">
      <w:pPr>
        <w:spacing w:line="360" w:lineRule="auto"/>
        <w:jc w:val="both"/>
        <w:rPr>
          <w:rFonts w:ascii="Palatino Linotype" w:eastAsiaTheme="minorHAnsi" w:hAnsi="Palatino Linotype" w:cstheme="minorBidi"/>
          <w:szCs w:val="20"/>
          <w:lang w:eastAsia="en-US"/>
        </w:rPr>
      </w:pPr>
      <w:r w:rsidRPr="00C372B3">
        <w:rPr>
          <w:rFonts w:ascii="Palatino Linotype" w:eastAsiaTheme="minorHAnsi" w:hAnsi="Palatino Linotype" w:cstheme="minorBidi"/>
          <w:b/>
          <w:szCs w:val="20"/>
          <w:lang w:eastAsia="en-US"/>
        </w:rPr>
        <w:t xml:space="preserve">PRIMERO. </w:t>
      </w:r>
      <w:r w:rsidRPr="00CB6A49">
        <w:rPr>
          <w:rFonts w:ascii="Palatino Linotype" w:eastAsia="MS Mincho" w:hAnsi="Palatino Linotype"/>
          <w:szCs w:val="20"/>
          <w:lang w:val="es-ES_tradnl" w:eastAsia="es-ES"/>
        </w:rPr>
        <w:t xml:space="preserve">Se </w:t>
      </w:r>
      <w:r w:rsidRPr="00CB6A49">
        <w:rPr>
          <w:rFonts w:ascii="Palatino Linotype" w:eastAsia="MS Mincho" w:hAnsi="Palatino Linotype"/>
          <w:b/>
          <w:szCs w:val="20"/>
          <w:lang w:val="es-ES_tradnl" w:eastAsia="es-ES"/>
        </w:rPr>
        <w:t>SOBRESEE</w:t>
      </w:r>
      <w:r w:rsidRPr="00CB6A49">
        <w:rPr>
          <w:rFonts w:ascii="Palatino Linotype" w:eastAsia="MS Mincho" w:hAnsi="Palatino Linotype"/>
          <w:szCs w:val="20"/>
          <w:lang w:val="es-ES_tradnl" w:eastAsia="es-ES"/>
        </w:rPr>
        <w:t xml:space="preserve"> el recurso de revisión número </w:t>
      </w:r>
      <w:r w:rsidR="00DE78B6">
        <w:rPr>
          <w:rFonts w:ascii="Palatino Linotype" w:eastAsia="MS Mincho" w:hAnsi="Palatino Linotype"/>
          <w:b/>
          <w:szCs w:val="20"/>
          <w:lang w:val="es-ES_tradnl" w:eastAsia="es-ES"/>
        </w:rPr>
        <w:t>02678</w:t>
      </w:r>
      <w:r>
        <w:rPr>
          <w:rFonts w:ascii="Palatino Linotype" w:eastAsia="MS Mincho" w:hAnsi="Palatino Linotype"/>
          <w:b/>
          <w:szCs w:val="20"/>
          <w:lang w:val="es-ES_tradnl" w:eastAsia="es-ES"/>
        </w:rPr>
        <w:t>/INFOEM/IP/RR/2023</w:t>
      </w:r>
      <w:r w:rsidR="00002604">
        <w:rPr>
          <w:rFonts w:ascii="Palatino Linotype" w:eastAsia="MS Mincho" w:hAnsi="Palatino Linotype"/>
          <w:b/>
          <w:szCs w:val="20"/>
          <w:lang w:val="es-ES_tradnl" w:eastAsia="es-ES"/>
        </w:rPr>
        <w:t>,</w:t>
      </w:r>
      <w:r w:rsidRPr="00CB6A49">
        <w:rPr>
          <w:rFonts w:ascii="Palatino Linotype" w:eastAsia="MS Mincho" w:hAnsi="Palatino Linotype"/>
          <w:b/>
          <w:szCs w:val="20"/>
          <w:lang w:val="es-ES_tradnl" w:eastAsia="es-ES"/>
        </w:rPr>
        <w:t xml:space="preserve"> </w:t>
      </w:r>
      <w:r w:rsidRPr="00CB6A49">
        <w:rPr>
          <w:rFonts w:ascii="Palatino Linotype" w:eastAsia="MS Mincho" w:hAnsi="Palatino Linotype"/>
          <w:bCs/>
          <w:szCs w:val="20"/>
          <w:lang w:val="es-ES_tradnl" w:eastAsia="es-ES"/>
        </w:rPr>
        <w:t>conforme al artículo 192 fracción III de la Ley de Transparencia y Acceso a la Información Pública del Estado de México y Municipios,</w:t>
      </w:r>
      <w:r w:rsidRPr="00CB6A49">
        <w:rPr>
          <w:rFonts w:ascii="Palatino Linotype" w:eastAsia="MS Mincho" w:hAnsi="Palatino Linotype"/>
          <w:szCs w:val="20"/>
          <w:lang w:val="es-ES_tradnl" w:eastAsia="es-ES"/>
        </w:rPr>
        <w:t xml:space="preserve"> porque al </w:t>
      </w:r>
      <w:r w:rsidRPr="00CB6A49">
        <w:rPr>
          <w:rFonts w:ascii="Palatino Linotype" w:eastAsia="MS Mincho" w:hAnsi="Palatino Linotype"/>
          <w:b/>
          <w:bCs/>
          <w:szCs w:val="20"/>
          <w:lang w:val="es-ES_tradnl" w:eastAsia="es-ES"/>
        </w:rPr>
        <w:t>modificar la respuesta a través del informe justificado y atender lo solicitado</w:t>
      </w:r>
      <w:r w:rsidRPr="00CB6A49">
        <w:rPr>
          <w:rFonts w:ascii="Palatino Linotype" w:eastAsia="MS Mincho" w:hAnsi="Palatino Linotype"/>
          <w:szCs w:val="20"/>
          <w:lang w:val="es-ES_tradnl" w:eastAsia="es-ES"/>
        </w:rPr>
        <w:t xml:space="preserve">, el recurso de revisión quedó sin materia en términos del Considerando </w:t>
      </w:r>
      <w:r w:rsidRPr="00CB6A49">
        <w:rPr>
          <w:rFonts w:ascii="Palatino Linotype" w:eastAsia="MS Mincho" w:hAnsi="Palatino Linotype"/>
          <w:b/>
          <w:szCs w:val="20"/>
          <w:lang w:val="es-ES_tradnl" w:eastAsia="es-ES"/>
        </w:rPr>
        <w:t>TERCERO</w:t>
      </w:r>
      <w:r w:rsidRPr="00CB6A49">
        <w:rPr>
          <w:rFonts w:ascii="Palatino Linotype" w:eastAsia="MS Mincho" w:hAnsi="Palatino Linotype"/>
          <w:szCs w:val="20"/>
          <w:lang w:val="es-ES_tradnl" w:eastAsia="es-ES"/>
        </w:rPr>
        <w:t xml:space="preserve"> de la presente resolución.</w:t>
      </w:r>
    </w:p>
    <w:p w:rsidR="00180A36" w:rsidRPr="00C372B3" w:rsidRDefault="00180A36" w:rsidP="00180A36">
      <w:pPr>
        <w:spacing w:line="360" w:lineRule="auto"/>
        <w:jc w:val="both"/>
        <w:rPr>
          <w:rFonts w:ascii="Palatino Linotype" w:eastAsiaTheme="minorHAnsi" w:hAnsi="Palatino Linotype" w:cstheme="minorBidi"/>
          <w:sz w:val="22"/>
          <w:szCs w:val="20"/>
          <w:lang w:eastAsia="en-US"/>
        </w:rPr>
      </w:pPr>
    </w:p>
    <w:p w:rsidR="00180A36" w:rsidRPr="00C372B3" w:rsidRDefault="00180A36" w:rsidP="00180A36">
      <w:pPr>
        <w:spacing w:line="360" w:lineRule="auto"/>
        <w:jc w:val="both"/>
        <w:rPr>
          <w:rFonts w:ascii="Palatino Linotype" w:eastAsia="Calibri" w:hAnsi="Palatino Linotype" w:cs="Arial"/>
          <w:b/>
          <w:bCs/>
          <w:lang w:val="es-ES" w:eastAsia="en-US"/>
        </w:rPr>
      </w:pPr>
      <w:r w:rsidRPr="00C372B3">
        <w:rPr>
          <w:rFonts w:ascii="Palatino Linotype" w:eastAsia="Calibri" w:hAnsi="Palatino Linotype" w:cs="Arial"/>
          <w:b/>
          <w:bCs/>
          <w:lang w:val="es-ES" w:eastAsia="en-US"/>
        </w:rPr>
        <w:t xml:space="preserve">SEGUNDO. REMÍTASE </w:t>
      </w:r>
      <w:r w:rsidRPr="00C372B3">
        <w:rPr>
          <w:rFonts w:ascii="Palatino Linotype" w:eastAsia="Calibri" w:hAnsi="Palatino Linotype" w:cs="Arial"/>
          <w:bCs/>
          <w:lang w:val="es-ES" w:eastAsia="en-US"/>
        </w:rPr>
        <w:t xml:space="preserve">a través del Sistema de Acceso a la Información Mexiquense </w:t>
      </w:r>
      <w:r w:rsidRPr="00C372B3">
        <w:rPr>
          <w:rFonts w:ascii="Palatino Linotype" w:eastAsia="Calibri" w:hAnsi="Palatino Linotype" w:cs="Arial"/>
          <w:b/>
          <w:bCs/>
          <w:lang w:val="es-ES" w:eastAsia="en-US"/>
        </w:rPr>
        <w:t>(SAIMEX)</w:t>
      </w:r>
      <w:r w:rsidR="00002604">
        <w:rPr>
          <w:rFonts w:ascii="Palatino Linotype" w:eastAsia="Calibri" w:hAnsi="Palatino Linotype" w:cs="Arial"/>
          <w:b/>
          <w:bCs/>
          <w:lang w:val="es-ES" w:eastAsia="en-US"/>
        </w:rPr>
        <w:t>,</w:t>
      </w:r>
      <w:r w:rsidRPr="00C372B3">
        <w:rPr>
          <w:rFonts w:ascii="Palatino Linotype" w:eastAsia="Calibri" w:hAnsi="Palatino Linotype" w:cs="Arial"/>
          <w:b/>
          <w:bCs/>
          <w:lang w:val="es-ES" w:eastAsia="en-US"/>
        </w:rPr>
        <w:t xml:space="preserve"> </w:t>
      </w:r>
      <w:r w:rsidRPr="00C372B3">
        <w:rPr>
          <w:rFonts w:ascii="Palatino Linotype" w:eastAsia="Calibri" w:hAnsi="Palatino Linotype" w:cs="Arial"/>
          <w:bCs/>
          <w:lang w:val="es-ES" w:eastAsia="en-US"/>
        </w:rPr>
        <w:t>la presente resolución al Titular de la Unidad de Transparencia del</w:t>
      </w:r>
      <w:r w:rsidRPr="00C372B3">
        <w:rPr>
          <w:rFonts w:ascii="Palatino Linotype" w:eastAsia="Calibri" w:hAnsi="Palatino Linotype" w:cs="Arial"/>
          <w:b/>
          <w:bCs/>
          <w:lang w:val="es-ES" w:eastAsia="en-US"/>
        </w:rPr>
        <w:t xml:space="preserve"> SUJETO OBLIGADO. </w:t>
      </w:r>
    </w:p>
    <w:p w:rsidR="00180A36" w:rsidRPr="00C372B3" w:rsidRDefault="00180A36" w:rsidP="00180A36">
      <w:pPr>
        <w:tabs>
          <w:tab w:val="left" w:pos="3263"/>
        </w:tabs>
        <w:spacing w:line="360" w:lineRule="auto"/>
        <w:jc w:val="both"/>
        <w:rPr>
          <w:rFonts w:ascii="Palatino Linotype" w:eastAsia="Palatino Linotype" w:hAnsi="Palatino Linotype" w:cs="Palatino Linotype"/>
          <w:b/>
          <w:lang w:eastAsia="en-US"/>
        </w:rPr>
      </w:pPr>
      <w:r w:rsidRPr="00C372B3">
        <w:rPr>
          <w:rFonts w:ascii="Palatino Linotype" w:eastAsia="Palatino Linotype" w:hAnsi="Palatino Linotype" w:cs="Palatino Linotype"/>
          <w:b/>
          <w:lang w:eastAsia="en-US"/>
        </w:rPr>
        <w:tab/>
      </w:r>
    </w:p>
    <w:p w:rsidR="00180A36" w:rsidRPr="00C372B3" w:rsidRDefault="00180A36" w:rsidP="00180A36">
      <w:pPr>
        <w:spacing w:line="360" w:lineRule="auto"/>
        <w:jc w:val="both"/>
        <w:rPr>
          <w:rFonts w:ascii="Palatino Linotype" w:hAnsi="Palatino Linotype"/>
          <w:color w:val="222222"/>
          <w:lang w:val="es-ES"/>
        </w:rPr>
      </w:pPr>
      <w:r w:rsidRPr="00C372B3">
        <w:rPr>
          <w:rFonts w:ascii="Palatino Linotype" w:hAnsi="Palatino Linotype" w:cs="Arial"/>
          <w:b/>
          <w:lang w:eastAsia="en-US"/>
        </w:rPr>
        <w:t xml:space="preserve">TERCERO. </w:t>
      </w:r>
      <w:r w:rsidRPr="00C372B3">
        <w:rPr>
          <w:rFonts w:ascii="Palatino Linotype" w:hAnsi="Palatino Linotype"/>
          <w:b/>
          <w:bCs/>
          <w:lang w:val="es-ES" w:eastAsia="en-US"/>
        </w:rPr>
        <w:t xml:space="preserve">Notifíquese </w:t>
      </w:r>
      <w:r w:rsidRPr="00C372B3">
        <w:rPr>
          <w:rFonts w:ascii="Palatino Linotype" w:hAnsi="Palatino Linotype"/>
          <w:bCs/>
          <w:lang w:val="es-ES" w:eastAsia="en-US"/>
        </w:rPr>
        <w:t xml:space="preserve">al </w:t>
      </w:r>
      <w:r w:rsidRPr="00C372B3">
        <w:rPr>
          <w:rFonts w:ascii="Palatino Linotype" w:hAnsi="Palatino Linotype"/>
          <w:b/>
          <w:bCs/>
          <w:lang w:val="es-ES" w:eastAsia="en-US"/>
        </w:rPr>
        <w:t>RECURRENTE</w:t>
      </w:r>
      <w:r w:rsidRPr="00C372B3">
        <w:rPr>
          <w:rFonts w:ascii="Palatino Linotype" w:eastAsiaTheme="minorHAnsi" w:hAnsi="Palatino Linotype" w:cstheme="minorBidi"/>
          <w:lang w:eastAsia="en-US"/>
        </w:rPr>
        <w:t xml:space="preserve"> </w:t>
      </w:r>
      <w:r w:rsidRPr="00C372B3">
        <w:rPr>
          <w:rFonts w:ascii="Palatino Linotype" w:hAnsi="Palatino Linotype"/>
          <w:lang w:val="es-ES"/>
        </w:rPr>
        <w:t>la presente resolución</w:t>
      </w:r>
      <w:r>
        <w:rPr>
          <w:rFonts w:ascii="Palatino Linotype" w:hAnsi="Palatino Linotype"/>
          <w:lang w:val="es-ES"/>
        </w:rPr>
        <w:t xml:space="preserve"> vía SAIMEX.</w:t>
      </w:r>
    </w:p>
    <w:p w:rsidR="00180A36" w:rsidRPr="00C372B3" w:rsidRDefault="00180A36" w:rsidP="00180A36">
      <w:pPr>
        <w:spacing w:line="360" w:lineRule="auto"/>
        <w:jc w:val="both"/>
        <w:rPr>
          <w:rFonts w:ascii="Palatino Linotype" w:hAnsi="Palatino Linotype"/>
          <w:color w:val="222222"/>
          <w:lang w:val="es-ES"/>
        </w:rPr>
      </w:pPr>
    </w:p>
    <w:p w:rsidR="00180A36" w:rsidRPr="00C372B3" w:rsidRDefault="00180A36" w:rsidP="00180A36">
      <w:pPr>
        <w:spacing w:line="360" w:lineRule="auto"/>
        <w:jc w:val="both"/>
        <w:rPr>
          <w:rFonts w:ascii="Palatino Linotype" w:eastAsia="MS Mincho" w:hAnsi="Palatino Linotype"/>
          <w:lang w:val="es-ES" w:eastAsia="es-ES"/>
        </w:rPr>
      </w:pPr>
      <w:r w:rsidRPr="00C372B3">
        <w:rPr>
          <w:rFonts w:ascii="Palatino Linotype" w:eastAsia="MS Mincho" w:hAnsi="Palatino Linotype"/>
          <w:b/>
          <w:lang w:eastAsia="es-ES"/>
        </w:rPr>
        <w:t>CUARTO.</w:t>
      </w:r>
      <w:r w:rsidRPr="00C372B3">
        <w:rPr>
          <w:rFonts w:ascii="Palatino Linotype" w:eastAsia="MS Mincho" w:hAnsi="Palatino Linotype"/>
          <w:lang w:eastAsia="es-ES"/>
        </w:rPr>
        <w:t xml:space="preserve"> </w:t>
      </w:r>
      <w:r w:rsidRPr="00C372B3">
        <w:rPr>
          <w:rFonts w:ascii="Palatino Linotype" w:eastAsia="MS Mincho" w:hAnsi="Palatino Linotype"/>
          <w:lang w:val="es-ES" w:eastAsia="es-ES"/>
        </w:rPr>
        <w:t xml:space="preserve">Se hace del conocimiento del </w:t>
      </w:r>
      <w:r w:rsidRPr="00C372B3">
        <w:rPr>
          <w:rFonts w:ascii="Palatino Linotype" w:hAnsi="Palatino Linotype"/>
          <w:b/>
          <w:bCs/>
          <w:lang w:val="es-ES" w:eastAsia="es-ES"/>
        </w:rPr>
        <w:t>RECURRENTE</w:t>
      </w:r>
      <w:r w:rsidRPr="00C372B3">
        <w:rPr>
          <w:rFonts w:ascii="Palatino Linotype" w:eastAsiaTheme="minorEastAsia" w:hAnsi="Palatino Linotype" w:cstheme="minorBidi"/>
          <w:lang w:val="es-ES_tradnl" w:eastAsia="es-ES"/>
        </w:rPr>
        <w:t xml:space="preserve">  </w:t>
      </w:r>
      <w:r w:rsidRPr="00C372B3">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372B3">
        <w:rPr>
          <w:rFonts w:ascii="Palatino Linotype" w:eastAsia="MS Mincho" w:hAnsi="Palatino Linotype"/>
          <w:bCs/>
          <w:lang w:val="es-ES" w:eastAsia="es-ES"/>
        </w:rPr>
        <w:t>vía juicio de amparo</w:t>
      </w:r>
      <w:r w:rsidRPr="00C372B3">
        <w:rPr>
          <w:rFonts w:ascii="Palatino Linotype" w:eastAsia="MS Mincho" w:hAnsi="Palatino Linotype"/>
          <w:lang w:val="es-ES" w:eastAsia="es-ES"/>
        </w:rPr>
        <w:t> en los términos de las leyes aplicables.</w:t>
      </w:r>
    </w:p>
    <w:p w:rsidR="00180A36" w:rsidRPr="00232084" w:rsidRDefault="00180A36" w:rsidP="00180A36">
      <w:pPr>
        <w:spacing w:line="360" w:lineRule="auto"/>
        <w:jc w:val="both"/>
        <w:rPr>
          <w:rFonts w:ascii="Palatino Linotype" w:eastAsia="MS Mincho" w:hAnsi="Palatino Linotype"/>
          <w:lang w:val="es-ES"/>
        </w:rPr>
      </w:pPr>
    </w:p>
    <w:p w:rsidR="00002604" w:rsidRPr="00002604" w:rsidRDefault="00002604" w:rsidP="00002604">
      <w:pPr>
        <w:spacing w:before="240" w:after="240" w:line="360" w:lineRule="auto"/>
        <w:ind w:firstLine="1"/>
        <w:jc w:val="both"/>
        <w:rPr>
          <w:rFonts w:ascii="Palatino Linotype" w:hAnsi="Palatino Linotype"/>
          <w:smallCaps/>
          <w:color w:val="000000" w:themeColor="text1"/>
        </w:rPr>
      </w:pPr>
      <w:bookmarkStart w:id="17" w:name="_Hlk129792997"/>
      <w:bookmarkEnd w:id="10"/>
      <w:bookmarkEnd w:id="11"/>
      <w:bookmarkEnd w:id="12"/>
      <w:r w:rsidRPr="00002604">
        <w:rPr>
          <w:rStyle w:val="Referenciasutil"/>
          <w:rFonts w:ascii="Palatino Linotype" w:eastAsiaTheme="majorEastAsia" w:hAnsi="Palatino Linotype"/>
          <w:color w:val="000000" w:themeColor="text1"/>
        </w:rPr>
        <w:t xml:space="preserve">ASÍ LO RESUELVE, POR UNANIMIDAD DE VOTOS, EL PLENO DEL INSTITUTO DE TRANSPARENCIA, ACCESO A LA INFORMACIÓN PÚBLICA Y PROTECCIÓN DE DATOS PERSONALES DEL ESTADO DE MÉXICO Y MUNICIPIOS, </w:t>
      </w:r>
      <w:r w:rsidRPr="00002604">
        <w:rPr>
          <w:rStyle w:val="Referenciasutil"/>
          <w:rFonts w:ascii="Palatino Linotype" w:eastAsiaTheme="majorEastAsia" w:hAnsi="Palatino Linotype"/>
          <w:color w:val="000000" w:themeColor="text1"/>
        </w:rPr>
        <w:lastRenderedPageBreak/>
        <w:t xml:space="preserve">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17"/>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ind w:right="49"/>
        <w:jc w:val="both"/>
        <w:rPr>
          <w:rFonts w:ascii="Palatino Linotype" w:eastAsiaTheme="minorEastAsia" w:hAnsi="Palatino Linotype" w:cs="Arial"/>
          <w:lang w:val="es-ES_tradnl" w:eastAsia="es-ES"/>
        </w:rPr>
      </w:pPr>
    </w:p>
    <w:p w:rsidR="00180A36" w:rsidRPr="00991BA9" w:rsidRDefault="00180A36" w:rsidP="00180A36">
      <w:pPr>
        <w:spacing w:line="360" w:lineRule="auto"/>
        <w:rPr>
          <w:rFonts w:ascii="Palatino Linotype" w:hAnsi="Palatino Linotype"/>
        </w:rPr>
      </w:pPr>
    </w:p>
    <w:p w:rsidR="00180A36" w:rsidRDefault="00180A36" w:rsidP="00180A36"/>
    <w:p w:rsidR="00180A36" w:rsidRDefault="00180A36" w:rsidP="00180A36"/>
    <w:p w:rsidR="00180A36" w:rsidRDefault="00180A36" w:rsidP="00180A36"/>
    <w:p w:rsidR="004E1710" w:rsidRDefault="00A34D78"/>
    <w:sectPr w:rsidR="004E1710" w:rsidSect="003F2244">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D78" w:rsidRDefault="00A34D78" w:rsidP="00180A36">
      <w:r>
        <w:separator/>
      </w:r>
    </w:p>
  </w:endnote>
  <w:endnote w:type="continuationSeparator" w:id="0">
    <w:p w:rsidR="00A34D78" w:rsidRDefault="00A34D78" w:rsidP="0018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0E2B92">
    <w:pPr>
      <w:pStyle w:val="Piedepgina"/>
      <w:jc w:val="right"/>
    </w:pPr>
    <w:r>
      <w:rPr>
        <w:lang w:val="es-ES"/>
      </w:rPr>
      <w:t xml:space="preserve">Página </w:t>
    </w:r>
    <w:r>
      <w:rPr>
        <w:b/>
        <w:bCs/>
      </w:rPr>
      <w:fldChar w:fldCharType="begin"/>
    </w:r>
    <w:r>
      <w:rPr>
        <w:b/>
        <w:bCs/>
      </w:rPr>
      <w:instrText>PAGE</w:instrText>
    </w:r>
    <w:r>
      <w:rPr>
        <w:b/>
        <w:bCs/>
      </w:rPr>
      <w:fldChar w:fldCharType="separate"/>
    </w:r>
    <w:r w:rsidR="00645D1B">
      <w:rPr>
        <w:b/>
        <w:bCs/>
        <w:noProof/>
      </w:rPr>
      <w:t>18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5D1B">
      <w:rPr>
        <w:b/>
        <w:bCs/>
        <w:noProof/>
      </w:rPr>
      <w:t>18</w:t>
    </w:r>
    <w:r>
      <w:rPr>
        <w:b/>
        <w:bCs/>
      </w:rPr>
      <w:fldChar w:fldCharType="end"/>
    </w:r>
  </w:p>
  <w:p w:rsidR="003F2244" w:rsidRDefault="00A34D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0E2B92">
    <w:pPr>
      <w:pStyle w:val="Piedepgina"/>
      <w:jc w:val="right"/>
    </w:pPr>
    <w:r>
      <w:rPr>
        <w:lang w:val="es-ES"/>
      </w:rPr>
      <w:t xml:space="preserve">Página </w:t>
    </w:r>
    <w:r>
      <w:rPr>
        <w:b/>
        <w:bCs/>
      </w:rPr>
      <w:fldChar w:fldCharType="begin"/>
    </w:r>
    <w:r>
      <w:rPr>
        <w:b/>
        <w:bCs/>
      </w:rPr>
      <w:instrText>PAGE</w:instrText>
    </w:r>
    <w:r>
      <w:rPr>
        <w:b/>
        <w:bCs/>
      </w:rPr>
      <w:fldChar w:fldCharType="separate"/>
    </w:r>
    <w:r w:rsidR="00645D1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45D1B">
      <w:rPr>
        <w:b/>
        <w:bCs/>
        <w:noProof/>
      </w:rPr>
      <w:t>18</w:t>
    </w:r>
    <w:r>
      <w:rPr>
        <w:b/>
        <w:bCs/>
      </w:rPr>
      <w:fldChar w:fldCharType="end"/>
    </w:r>
  </w:p>
  <w:p w:rsidR="003F2244" w:rsidRDefault="00A34D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D78" w:rsidRDefault="00A34D78" w:rsidP="00180A36">
      <w:r>
        <w:separator/>
      </w:r>
    </w:p>
  </w:footnote>
  <w:footnote w:type="continuationSeparator" w:id="0">
    <w:p w:rsidR="00A34D78" w:rsidRDefault="00A34D78" w:rsidP="0018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44" w:rsidRDefault="00A34D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F2244" w:rsidRPr="005C106F" w:rsidTr="003F2244">
      <w:trPr>
        <w:trHeight w:val="1435"/>
      </w:trPr>
      <w:tc>
        <w:tcPr>
          <w:tcW w:w="2268" w:type="dxa"/>
          <w:shd w:val="clear" w:color="auto" w:fill="auto"/>
        </w:tcPr>
        <w:p w:rsidR="003F2244" w:rsidRPr="005C106F" w:rsidRDefault="00A34D78" w:rsidP="003F2244">
          <w:pPr>
            <w:tabs>
              <w:tab w:val="right" w:pos="4273"/>
            </w:tabs>
            <w:rPr>
              <w:rFonts w:ascii="Garamond" w:eastAsia="Calibri" w:hAnsi="Garamond"/>
              <w:sz w:val="16"/>
              <w:szCs w:val="16"/>
              <w:lang w:eastAsia="en-US"/>
            </w:rPr>
          </w:pPr>
        </w:p>
      </w:tc>
      <w:tc>
        <w:tcPr>
          <w:tcW w:w="6946" w:type="dxa"/>
          <w:shd w:val="clear" w:color="auto" w:fill="auto"/>
        </w:tcPr>
        <w:p w:rsidR="003F2244" w:rsidRDefault="00A34D78" w:rsidP="003F2244"/>
        <w:tbl>
          <w:tblPr>
            <w:tblW w:w="6662" w:type="dxa"/>
            <w:tblInd w:w="40" w:type="dxa"/>
            <w:tblLayout w:type="fixed"/>
            <w:tblLook w:val="0420" w:firstRow="1" w:lastRow="0" w:firstColumn="0" w:lastColumn="0" w:noHBand="0" w:noVBand="1"/>
          </w:tblPr>
          <w:tblGrid>
            <w:gridCol w:w="2551"/>
            <w:gridCol w:w="4111"/>
          </w:tblGrid>
          <w:tr w:rsidR="003F2244" w:rsidTr="003F2244">
            <w:trPr>
              <w:trHeight w:val="150"/>
            </w:trPr>
            <w:tc>
              <w:tcPr>
                <w:tcW w:w="2551" w:type="dxa"/>
                <w:shd w:val="clear" w:color="auto" w:fill="auto"/>
              </w:tcPr>
              <w:p w:rsidR="003F2244" w:rsidRPr="00020E73" w:rsidRDefault="000E2B92" w:rsidP="003F224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3F2244" w:rsidRPr="00020E73" w:rsidRDefault="00180A36" w:rsidP="003F2244">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02678</w:t>
                </w:r>
                <w:r w:rsidR="000E2B92">
                  <w:rPr>
                    <w:rFonts w:ascii="Palatino Linotype" w:eastAsia="Calibri" w:hAnsi="Palatino Linotype" w:cs="Tahoma"/>
                    <w:bCs/>
                    <w:sz w:val="22"/>
                    <w:szCs w:val="22"/>
                    <w:lang w:eastAsia="en-US"/>
                  </w:rPr>
                  <w:t>/INFOEM/IP/RR/2023</w:t>
                </w:r>
              </w:p>
            </w:tc>
          </w:tr>
          <w:tr w:rsidR="003F2244" w:rsidTr="003F2244">
            <w:trPr>
              <w:trHeight w:val="295"/>
            </w:trPr>
            <w:tc>
              <w:tcPr>
                <w:tcW w:w="2551" w:type="dxa"/>
                <w:shd w:val="clear" w:color="auto" w:fill="auto"/>
              </w:tcPr>
              <w:p w:rsidR="003F2244" w:rsidRPr="00020E73" w:rsidRDefault="000E2B92" w:rsidP="003F224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3F2244" w:rsidRPr="006C5CB6" w:rsidRDefault="00180A36" w:rsidP="003F2244">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Tonanitla</w:t>
                </w:r>
              </w:p>
            </w:tc>
          </w:tr>
          <w:tr w:rsidR="003F2244" w:rsidTr="003F2244">
            <w:trPr>
              <w:trHeight w:val="295"/>
            </w:trPr>
            <w:tc>
              <w:tcPr>
                <w:tcW w:w="2551" w:type="dxa"/>
                <w:shd w:val="clear" w:color="auto" w:fill="auto"/>
              </w:tcPr>
              <w:p w:rsidR="003F2244" w:rsidRPr="00020E73" w:rsidRDefault="000E2B92" w:rsidP="003F2244">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3F2244" w:rsidRPr="00020E73" w:rsidRDefault="000E2B92" w:rsidP="003F2244">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F2244" w:rsidRPr="00020E73" w:rsidRDefault="00A34D78" w:rsidP="003F2244">
                <w:pPr>
                  <w:tabs>
                    <w:tab w:val="right" w:pos="8838"/>
                  </w:tabs>
                  <w:ind w:left="-108" w:right="171"/>
                  <w:jc w:val="both"/>
                  <w:rPr>
                    <w:rFonts w:ascii="Palatino Linotype" w:eastAsia="Calibri" w:hAnsi="Palatino Linotype" w:cs="Tahoma"/>
                    <w:b/>
                    <w:sz w:val="22"/>
                    <w:szCs w:val="22"/>
                    <w:lang w:val="es-ES" w:eastAsia="en-US"/>
                  </w:rPr>
                </w:pPr>
              </w:p>
            </w:tc>
          </w:tr>
        </w:tbl>
        <w:p w:rsidR="003F2244" w:rsidRPr="005C106F" w:rsidRDefault="00A34D78" w:rsidP="003F2244">
          <w:pPr>
            <w:tabs>
              <w:tab w:val="right" w:pos="8838"/>
            </w:tabs>
            <w:ind w:left="-28"/>
            <w:jc w:val="both"/>
            <w:rPr>
              <w:rFonts w:ascii="Arial" w:eastAsia="Calibri" w:hAnsi="Arial" w:cs="Arial"/>
              <w:b/>
              <w:sz w:val="22"/>
              <w:szCs w:val="22"/>
              <w:lang w:eastAsia="en-US"/>
            </w:rPr>
          </w:pPr>
        </w:p>
      </w:tc>
    </w:tr>
  </w:tbl>
  <w:p w:rsidR="003F2244" w:rsidRPr="00443C6B" w:rsidRDefault="00A34D78" w:rsidP="003F2244">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F2244" w:rsidRPr="00330DA7" w:rsidTr="003F2244">
      <w:trPr>
        <w:trHeight w:val="1435"/>
      </w:trPr>
      <w:tc>
        <w:tcPr>
          <w:tcW w:w="2268" w:type="dxa"/>
          <w:shd w:val="clear" w:color="auto" w:fill="auto"/>
        </w:tcPr>
        <w:p w:rsidR="003F2244" w:rsidRPr="00330DA7" w:rsidRDefault="00A34D78" w:rsidP="003F2244">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F2244" w:rsidRPr="00330DA7" w:rsidTr="003F2244">
            <w:trPr>
              <w:trHeight w:val="144"/>
            </w:trPr>
            <w:tc>
              <w:tcPr>
                <w:tcW w:w="2444" w:type="dxa"/>
                <w:shd w:val="clear" w:color="auto" w:fill="auto"/>
              </w:tcPr>
              <w:p w:rsidR="003F2244" w:rsidRPr="00020E73" w:rsidRDefault="000E2B92" w:rsidP="003F2244">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3F2244" w:rsidRPr="00020E73" w:rsidRDefault="00180A36" w:rsidP="003F2244">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02678</w:t>
                </w:r>
                <w:r w:rsidR="000E2B92">
                  <w:rPr>
                    <w:rFonts w:ascii="Palatino Linotype" w:eastAsia="Calibri" w:hAnsi="Palatino Linotype" w:cs="Tahoma"/>
                    <w:sz w:val="22"/>
                    <w:szCs w:val="22"/>
                    <w:lang w:eastAsia="en-US"/>
                  </w:rPr>
                  <w:t>/INFOEM/IP/RR/2023</w:t>
                </w:r>
                <w:r w:rsidR="000E2B92">
                  <w:rPr>
                    <w:rFonts w:ascii="Palatino Linotype" w:eastAsia="Calibri" w:hAnsi="Palatino Linotype" w:cs="Tahoma"/>
                    <w:b/>
                    <w:bCs/>
                    <w:sz w:val="22"/>
                    <w:szCs w:val="22"/>
                    <w:lang w:eastAsia="en-US"/>
                  </w:rPr>
                  <w:t xml:space="preserve"> </w:t>
                </w:r>
              </w:p>
            </w:tc>
          </w:tr>
          <w:tr w:rsidR="003F2244" w:rsidRPr="00330DA7" w:rsidTr="003F2244">
            <w:trPr>
              <w:trHeight w:val="144"/>
            </w:trPr>
            <w:tc>
              <w:tcPr>
                <w:tcW w:w="2444" w:type="dxa"/>
                <w:shd w:val="clear" w:color="auto" w:fill="auto"/>
              </w:tcPr>
              <w:p w:rsidR="003F2244" w:rsidRPr="00020E73" w:rsidRDefault="000E2B92" w:rsidP="003F224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3F2244" w:rsidRPr="00180A36" w:rsidRDefault="00645D1B" w:rsidP="003F2244">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r w:rsidR="00180A36" w:rsidRPr="00180A36">
                  <w:rPr>
                    <w:rFonts w:ascii="Palatino Linotype" w:eastAsia="Calibri" w:hAnsi="Palatino Linotype" w:cs="Tahoma"/>
                    <w:bCs/>
                    <w:sz w:val="22"/>
                    <w:szCs w:val="22"/>
                    <w:lang w:eastAsia="en-US"/>
                  </w:rPr>
                  <w:t> </w:t>
                </w:r>
              </w:p>
            </w:tc>
          </w:tr>
          <w:tr w:rsidR="003F2244" w:rsidRPr="00330DA7" w:rsidTr="003F2244">
            <w:trPr>
              <w:trHeight w:val="283"/>
            </w:trPr>
            <w:tc>
              <w:tcPr>
                <w:tcW w:w="2444" w:type="dxa"/>
                <w:shd w:val="clear" w:color="auto" w:fill="auto"/>
              </w:tcPr>
              <w:p w:rsidR="003F2244" w:rsidRPr="00020E73" w:rsidRDefault="000E2B92" w:rsidP="003F224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3F2244" w:rsidRPr="006C5CB6" w:rsidRDefault="00180A36" w:rsidP="003F2244">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Tonanitla</w:t>
                </w:r>
              </w:p>
            </w:tc>
          </w:tr>
          <w:tr w:rsidR="003F2244" w:rsidRPr="00330DA7" w:rsidTr="003F2244">
            <w:trPr>
              <w:trHeight w:val="283"/>
            </w:trPr>
            <w:tc>
              <w:tcPr>
                <w:tcW w:w="2444" w:type="dxa"/>
                <w:shd w:val="clear" w:color="auto" w:fill="auto"/>
              </w:tcPr>
              <w:p w:rsidR="003F2244" w:rsidRPr="00020E73" w:rsidRDefault="000E2B92" w:rsidP="003F224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3F2244" w:rsidRPr="00020E73" w:rsidRDefault="000E2B92" w:rsidP="003F2244">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3F2244" w:rsidRPr="00020E73" w:rsidRDefault="00A34D78" w:rsidP="003F2244">
                <w:pPr>
                  <w:tabs>
                    <w:tab w:val="right" w:pos="8838"/>
                  </w:tabs>
                  <w:ind w:left="-74" w:right="-105"/>
                  <w:jc w:val="both"/>
                  <w:rPr>
                    <w:rFonts w:ascii="Palatino Linotype" w:eastAsia="Calibri" w:hAnsi="Palatino Linotype" w:cs="Tahoma"/>
                    <w:b/>
                    <w:sz w:val="22"/>
                    <w:szCs w:val="22"/>
                    <w:lang w:val="es-ES" w:eastAsia="en-US"/>
                  </w:rPr>
                </w:pPr>
              </w:p>
            </w:tc>
          </w:tr>
        </w:tbl>
        <w:p w:rsidR="003F2244" w:rsidRPr="00330DA7" w:rsidRDefault="00A34D78" w:rsidP="003F2244">
          <w:pPr>
            <w:tabs>
              <w:tab w:val="right" w:pos="8838"/>
            </w:tabs>
            <w:ind w:left="-28"/>
            <w:jc w:val="both"/>
            <w:rPr>
              <w:rFonts w:ascii="Arial" w:eastAsia="Calibri" w:hAnsi="Arial" w:cs="Arial"/>
              <w:b/>
              <w:sz w:val="22"/>
              <w:szCs w:val="22"/>
              <w:lang w:eastAsia="en-US"/>
            </w:rPr>
          </w:pPr>
        </w:p>
      </w:tc>
    </w:tr>
  </w:tbl>
  <w:p w:rsidR="003F2244" w:rsidRPr="00827FA0" w:rsidRDefault="00A34D78" w:rsidP="003F2244">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34317490"/>
    <w:multiLevelType w:val="hybridMultilevel"/>
    <w:tmpl w:val="56D247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7F7D8B"/>
    <w:multiLevelType w:val="hybridMultilevel"/>
    <w:tmpl w:val="26B67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02B190D"/>
    <w:multiLevelType w:val="hybridMultilevel"/>
    <w:tmpl w:val="7DCEAD4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65DA3801"/>
    <w:multiLevelType w:val="hybridMultilevel"/>
    <w:tmpl w:val="9CD2A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2E874A1"/>
    <w:multiLevelType w:val="hybridMultilevel"/>
    <w:tmpl w:val="09206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A36"/>
    <w:rsid w:val="00002604"/>
    <w:rsid w:val="00007A3C"/>
    <w:rsid w:val="000D1FAE"/>
    <w:rsid w:val="000E2B92"/>
    <w:rsid w:val="000F6D97"/>
    <w:rsid w:val="00180A36"/>
    <w:rsid w:val="00214EBE"/>
    <w:rsid w:val="00314B96"/>
    <w:rsid w:val="0042522D"/>
    <w:rsid w:val="004832BE"/>
    <w:rsid w:val="005A4191"/>
    <w:rsid w:val="005F2CF2"/>
    <w:rsid w:val="00645D1B"/>
    <w:rsid w:val="0076643E"/>
    <w:rsid w:val="00A34D78"/>
    <w:rsid w:val="00BB6743"/>
    <w:rsid w:val="00CC677F"/>
    <w:rsid w:val="00D040F4"/>
    <w:rsid w:val="00DC7B24"/>
    <w:rsid w:val="00DE78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052C8FA-7D8B-4E3D-848D-9031FE14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A36"/>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180A3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80A36"/>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180A36"/>
    <w:pPr>
      <w:tabs>
        <w:tab w:val="center" w:pos="4419"/>
        <w:tab w:val="right" w:pos="8838"/>
      </w:tabs>
    </w:pPr>
  </w:style>
  <w:style w:type="character" w:customStyle="1" w:styleId="EncabezadoCar">
    <w:name w:val="Encabezado Car"/>
    <w:basedOn w:val="Fuentedeprrafopredeter"/>
    <w:link w:val="Encabezado"/>
    <w:uiPriority w:val="99"/>
    <w:rsid w:val="00180A36"/>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180A36"/>
    <w:pPr>
      <w:tabs>
        <w:tab w:val="center" w:pos="4419"/>
        <w:tab w:val="right" w:pos="8838"/>
      </w:tabs>
    </w:pPr>
  </w:style>
  <w:style w:type="character" w:customStyle="1" w:styleId="PiedepginaCar">
    <w:name w:val="Pie de página Car"/>
    <w:basedOn w:val="Fuentedeprrafopredeter"/>
    <w:link w:val="Piedepgina"/>
    <w:uiPriority w:val="99"/>
    <w:rsid w:val="00180A36"/>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80A36"/>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180A36"/>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180A36"/>
    <w:rPr>
      <w:color w:val="0563C1"/>
      <w:u w:val="single"/>
    </w:rPr>
  </w:style>
  <w:style w:type="paragraph" w:styleId="Sinespaciado">
    <w:name w:val="No Spacing"/>
    <w:aliases w:val="Francesa,INAI"/>
    <w:link w:val="SinespaciadoCar"/>
    <w:uiPriority w:val="1"/>
    <w:qFormat/>
    <w:rsid w:val="00180A36"/>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180A36"/>
    <w:rPr>
      <w:rFonts w:ascii="Times New Roman" w:eastAsia="Times New Roman" w:hAnsi="Times New Roman" w:cs="Times New Roman"/>
      <w:sz w:val="24"/>
      <w:szCs w:val="24"/>
      <w:lang w:val="es-MX" w:eastAsia="es-ES"/>
    </w:rPr>
  </w:style>
  <w:style w:type="character" w:styleId="Referenciasutil">
    <w:name w:val="Subtle Reference"/>
    <w:basedOn w:val="Fuentedeprrafopredeter"/>
    <w:uiPriority w:val="31"/>
    <w:qFormat/>
    <w:rsid w:val="0000260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97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80707.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1780330.page"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798454.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aimex.org.mx/saimex/solicitud/downloadAttach/1798453.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imex.org.mx/saimex/solicitud/downloadAttach/1781571.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18</Pages>
  <Words>3668</Words>
  <Characters>20175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2023-06-07T22:45:00Z</dcterms:created>
  <dcterms:modified xsi:type="dcterms:W3CDTF">2023-06-29T18:03:00Z</dcterms:modified>
</cp:coreProperties>
</file>