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D683" w14:textId="20124419" w:rsidR="0029071C" w:rsidRPr="00481BAD" w:rsidRDefault="0029071C" w:rsidP="00C753C2">
      <w:pPr>
        <w:shd w:val="clear" w:color="auto" w:fill="FFFFFF"/>
        <w:spacing w:line="360" w:lineRule="auto"/>
        <w:jc w:val="both"/>
        <w:rPr>
          <w:rFonts w:ascii="Palatino Linotype" w:hAnsi="Palatino Linotype" w:cs="Arial"/>
          <w:color w:val="000000"/>
          <w:lang w:val="es-MX" w:eastAsia="es-MX"/>
        </w:rPr>
      </w:pPr>
      <w:r w:rsidRPr="00481BA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61A4C" w:rsidRPr="00481BAD">
        <w:rPr>
          <w:rFonts w:ascii="Palatino Linotype" w:hAnsi="Palatino Linotype" w:cs="Arial"/>
          <w:color w:val="000000"/>
          <w:lang w:val="es-MX" w:eastAsia="es-MX"/>
        </w:rPr>
        <w:t>veinte</w:t>
      </w:r>
      <w:r w:rsidR="00D54B83" w:rsidRPr="00481BAD">
        <w:rPr>
          <w:rFonts w:ascii="Palatino Linotype" w:hAnsi="Palatino Linotype" w:cs="Arial"/>
          <w:color w:val="000000"/>
          <w:lang w:val="es-MX" w:eastAsia="es-MX"/>
        </w:rPr>
        <w:t xml:space="preserve"> de septiembre</w:t>
      </w:r>
      <w:r w:rsidR="00812DDF" w:rsidRPr="00481BAD">
        <w:rPr>
          <w:rFonts w:ascii="Palatino Linotype" w:hAnsi="Palatino Linotype" w:cs="Arial"/>
          <w:color w:val="000000"/>
          <w:lang w:val="es-MX" w:eastAsia="es-MX"/>
        </w:rPr>
        <w:t xml:space="preserve"> dos mil veintitrés</w:t>
      </w:r>
      <w:r w:rsidRPr="00481BAD">
        <w:rPr>
          <w:rFonts w:ascii="Palatino Linotype" w:hAnsi="Palatino Linotype" w:cs="Arial"/>
          <w:color w:val="000000"/>
          <w:lang w:val="es-MX" w:eastAsia="es-MX"/>
        </w:rPr>
        <w:t>.</w:t>
      </w:r>
    </w:p>
    <w:p w14:paraId="1C683802" w14:textId="77777777" w:rsidR="00A83B4F" w:rsidRPr="00481BAD"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1BB7F845" w:rsidR="009E0E89" w:rsidRPr="00481BAD" w:rsidRDefault="0029071C" w:rsidP="00C753C2">
      <w:pPr>
        <w:tabs>
          <w:tab w:val="left" w:pos="1701"/>
        </w:tabs>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b/>
          <w:lang w:val="es-MX" w:eastAsia="en-US"/>
        </w:rPr>
        <w:t>VISTO</w:t>
      </w:r>
      <w:r w:rsidRPr="00481BAD">
        <w:rPr>
          <w:rFonts w:ascii="Palatino Linotype" w:eastAsiaTheme="minorHAnsi" w:hAnsi="Palatino Linotype" w:cs="Arial"/>
          <w:lang w:val="es-MX" w:eastAsia="en-US"/>
        </w:rPr>
        <w:t xml:space="preserve"> el expediente electrónico formado con motivo del recurso de revisión número </w:t>
      </w:r>
      <w:r w:rsidRPr="00481BAD">
        <w:rPr>
          <w:rFonts w:ascii="Palatino Linotype" w:eastAsiaTheme="minorHAnsi" w:hAnsi="Palatino Linotype" w:cs="Arial"/>
          <w:b/>
          <w:lang w:val="es-MX" w:eastAsia="en-US"/>
        </w:rPr>
        <w:t>0</w:t>
      </w:r>
      <w:r w:rsidR="00DE407A" w:rsidRPr="00481BAD">
        <w:rPr>
          <w:rFonts w:ascii="Palatino Linotype" w:eastAsiaTheme="minorHAnsi" w:hAnsi="Palatino Linotype" w:cs="Arial"/>
          <w:b/>
          <w:bCs/>
          <w:lang w:val="es-MX" w:eastAsia="es-MX"/>
        </w:rPr>
        <w:t>4510</w:t>
      </w:r>
      <w:r w:rsidRPr="00481BAD">
        <w:rPr>
          <w:rFonts w:ascii="Palatino Linotype" w:eastAsiaTheme="minorHAnsi" w:hAnsi="Palatino Linotype" w:cs="Arial"/>
          <w:b/>
          <w:bCs/>
          <w:lang w:val="es-MX" w:eastAsia="es-MX"/>
        </w:rPr>
        <w:t>/INFOEM/IP/RR/202</w:t>
      </w:r>
      <w:r w:rsidR="000E768F" w:rsidRPr="00481BAD">
        <w:rPr>
          <w:rFonts w:ascii="Palatino Linotype" w:eastAsiaTheme="minorHAnsi" w:hAnsi="Palatino Linotype" w:cs="Arial"/>
          <w:b/>
          <w:bCs/>
          <w:lang w:val="es-MX" w:eastAsia="es-MX"/>
        </w:rPr>
        <w:t>3</w:t>
      </w:r>
      <w:r w:rsidRPr="00481BAD">
        <w:rPr>
          <w:rFonts w:ascii="Palatino Linotype" w:eastAsiaTheme="minorHAnsi" w:hAnsi="Palatino Linotype" w:cs="Arial"/>
          <w:lang w:val="es-MX" w:eastAsia="en-US"/>
        </w:rPr>
        <w:t xml:space="preserve">, </w:t>
      </w:r>
      <w:r w:rsidR="00DE407A" w:rsidRPr="00481BAD">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481BAD">
        <w:rPr>
          <w:rFonts w:ascii="Palatino Linotype" w:hAnsi="Palatino Linotype" w:cs="Arial"/>
        </w:rPr>
        <w:t>,</w:t>
      </w:r>
      <w:r w:rsidR="005F1F89" w:rsidRPr="00481BAD">
        <w:rPr>
          <w:rFonts w:ascii="Palatino Linotype" w:hAnsi="Palatino Linotype" w:cs="Arial"/>
          <w:b/>
        </w:rPr>
        <w:t xml:space="preserve"> </w:t>
      </w:r>
      <w:r w:rsidR="005F1F89" w:rsidRPr="00481BAD">
        <w:rPr>
          <w:rFonts w:ascii="Palatino Linotype" w:hAnsi="Palatino Linotype" w:cs="Arial"/>
        </w:rPr>
        <w:t xml:space="preserve">en lo sucesivo </w:t>
      </w:r>
      <w:r w:rsidR="00DE407A" w:rsidRPr="00481BAD">
        <w:rPr>
          <w:rFonts w:ascii="Palatino Linotype" w:hAnsi="Palatino Linotype" w:cs="Arial"/>
          <w:b/>
        </w:rPr>
        <w:t>El</w:t>
      </w:r>
      <w:r w:rsidR="005F1F89" w:rsidRPr="00481BAD">
        <w:rPr>
          <w:rFonts w:ascii="Palatino Linotype" w:hAnsi="Palatino Linotype" w:cs="Arial"/>
          <w:b/>
        </w:rPr>
        <w:t xml:space="preserve"> Recurrente</w:t>
      </w:r>
      <w:r w:rsidRPr="00481BAD">
        <w:rPr>
          <w:rFonts w:ascii="Palatino Linotype" w:eastAsiaTheme="minorHAnsi" w:hAnsi="Palatino Linotype" w:cs="Arial"/>
          <w:lang w:val="es-MX" w:eastAsia="en-US"/>
        </w:rPr>
        <w:t>, en contra de la respuesta de</w:t>
      </w:r>
      <w:r w:rsidR="00B20C2B" w:rsidRPr="00481BAD">
        <w:rPr>
          <w:rFonts w:ascii="Palatino Linotype" w:eastAsiaTheme="minorHAnsi" w:hAnsi="Palatino Linotype" w:cs="Arial"/>
          <w:lang w:val="es-MX" w:eastAsia="en-US"/>
        </w:rPr>
        <w:t>l</w:t>
      </w:r>
      <w:r w:rsidRPr="00481BAD">
        <w:rPr>
          <w:rFonts w:ascii="Palatino Linotype" w:eastAsiaTheme="minorHAnsi" w:hAnsi="Palatino Linotype" w:cs="Arial"/>
          <w:lang w:val="es-MX" w:eastAsia="en-US"/>
        </w:rPr>
        <w:t xml:space="preserve"> </w:t>
      </w:r>
      <w:r w:rsidR="00D54B83" w:rsidRPr="00481BAD">
        <w:rPr>
          <w:rFonts w:ascii="Palatino Linotype" w:eastAsiaTheme="minorHAnsi" w:hAnsi="Palatino Linotype" w:cs="Arial"/>
          <w:b/>
          <w:lang w:val="es-MX" w:eastAsia="en-US"/>
        </w:rPr>
        <w:t xml:space="preserve">Ayuntamiento de </w:t>
      </w:r>
      <w:r w:rsidR="00DE407A" w:rsidRPr="00481BAD">
        <w:rPr>
          <w:rFonts w:ascii="Palatino Linotype" w:eastAsiaTheme="minorHAnsi" w:hAnsi="Palatino Linotype" w:cs="Arial"/>
          <w:b/>
          <w:lang w:val="es-MX" w:eastAsia="en-US"/>
        </w:rPr>
        <w:t>Zinacantepec</w:t>
      </w:r>
      <w:r w:rsidRPr="00481BAD">
        <w:rPr>
          <w:rFonts w:ascii="Palatino Linotype" w:eastAsiaTheme="minorHAnsi" w:hAnsi="Palatino Linotype" w:cs="Arial"/>
          <w:lang w:val="es-MX" w:eastAsia="en-US"/>
        </w:rPr>
        <w:t>,</w:t>
      </w:r>
      <w:r w:rsidRPr="00481BAD">
        <w:rPr>
          <w:rFonts w:ascii="Palatino Linotype" w:eastAsiaTheme="minorHAnsi" w:hAnsi="Palatino Linotype" w:cs="Arial"/>
          <w:b/>
          <w:lang w:val="es-MX" w:eastAsia="en-US"/>
        </w:rPr>
        <w:t xml:space="preserve"> </w:t>
      </w:r>
      <w:r w:rsidRPr="00481BAD">
        <w:rPr>
          <w:rFonts w:ascii="Palatino Linotype" w:eastAsiaTheme="minorHAnsi" w:hAnsi="Palatino Linotype" w:cs="Arial"/>
          <w:lang w:val="es-MX" w:eastAsia="en-US"/>
        </w:rPr>
        <w:t>en lo subsecuente</w:t>
      </w:r>
      <w:r w:rsidRPr="00481BAD">
        <w:rPr>
          <w:rFonts w:ascii="Palatino Linotype" w:eastAsiaTheme="minorHAnsi" w:hAnsi="Palatino Linotype" w:cs="Arial"/>
          <w:b/>
          <w:lang w:val="es-MX" w:eastAsia="en-US"/>
        </w:rPr>
        <w:t xml:space="preserve"> El Sujeto Obligado, </w:t>
      </w:r>
      <w:r w:rsidRPr="00481BAD">
        <w:rPr>
          <w:rFonts w:ascii="Palatino Linotype" w:eastAsiaTheme="minorHAnsi" w:hAnsi="Palatino Linotype" w:cs="Arial"/>
          <w:lang w:val="es-MX" w:eastAsia="en-US"/>
        </w:rPr>
        <w:t>se procede a dictar la presente resolución.</w:t>
      </w:r>
    </w:p>
    <w:p w14:paraId="65E7FE51" w14:textId="77777777" w:rsidR="00C753C2" w:rsidRPr="00481BAD"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01456E6" w14:textId="77777777" w:rsidR="009E0E89" w:rsidRPr="00481BAD" w:rsidRDefault="0029071C" w:rsidP="00C753C2">
      <w:pPr>
        <w:spacing w:line="360" w:lineRule="auto"/>
        <w:jc w:val="center"/>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t>A N T E C E D E N T E S</w:t>
      </w:r>
    </w:p>
    <w:p w14:paraId="7756777D" w14:textId="77777777" w:rsidR="00C753C2" w:rsidRPr="00481BAD" w:rsidRDefault="00C753C2" w:rsidP="00C753C2">
      <w:pPr>
        <w:spacing w:line="360" w:lineRule="auto"/>
        <w:jc w:val="center"/>
        <w:rPr>
          <w:rFonts w:ascii="Palatino Linotype" w:eastAsiaTheme="minorHAnsi" w:hAnsi="Palatino Linotype" w:cs="Arial"/>
          <w:b/>
          <w:sz w:val="22"/>
          <w:lang w:val="es-MX" w:eastAsia="en-US"/>
        </w:rPr>
      </w:pPr>
    </w:p>
    <w:p w14:paraId="4B32F09E" w14:textId="77777777" w:rsidR="0029071C" w:rsidRPr="00481BAD" w:rsidRDefault="0029071C" w:rsidP="0029071C">
      <w:pPr>
        <w:spacing w:line="360" w:lineRule="auto"/>
        <w:jc w:val="both"/>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t>PRIMERO. De la solicitud de información.</w:t>
      </w:r>
    </w:p>
    <w:p w14:paraId="1B0EDFC3" w14:textId="15FF47F3" w:rsidR="00F3556B" w:rsidRPr="00481BAD" w:rsidRDefault="0029071C" w:rsidP="00D54B83">
      <w:pPr>
        <w:spacing w:line="360" w:lineRule="auto"/>
        <w:jc w:val="both"/>
        <w:rPr>
          <w:rFonts w:ascii="Palatino Linotype" w:eastAsiaTheme="minorHAnsi" w:hAnsi="Palatino Linotype" w:cs="Arial"/>
          <w:szCs w:val="22"/>
          <w:lang w:val="es-MX" w:eastAsia="en-US"/>
        </w:rPr>
      </w:pPr>
      <w:r w:rsidRPr="00481BAD">
        <w:rPr>
          <w:rFonts w:ascii="Palatino Linotype" w:eastAsiaTheme="minorHAnsi" w:hAnsi="Palatino Linotype" w:cs="Arial"/>
          <w:szCs w:val="22"/>
          <w:lang w:val="es-MX" w:eastAsia="en-US"/>
        </w:rPr>
        <w:t xml:space="preserve">En fecha </w:t>
      </w:r>
      <w:r w:rsidR="00DE407A" w:rsidRPr="00481BAD">
        <w:rPr>
          <w:rFonts w:ascii="Palatino Linotype" w:eastAsiaTheme="minorHAnsi" w:hAnsi="Palatino Linotype" w:cs="Arial"/>
          <w:szCs w:val="22"/>
          <w:lang w:val="es-MX" w:eastAsia="en-US"/>
        </w:rPr>
        <w:t>siete de julio</w:t>
      </w:r>
      <w:r w:rsidR="000E768F" w:rsidRPr="00481BAD">
        <w:rPr>
          <w:rFonts w:ascii="Palatino Linotype" w:eastAsiaTheme="minorHAnsi" w:hAnsi="Palatino Linotype" w:cs="Arial"/>
          <w:szCs w:val="22"/>
          <w:lang w:val="es-MX" w:eastAsia="en-US"/>
        </w:rPr>
        <w:t xml:space="preserve"> de dos mil veintitrés</w:t>
      </w:r>
      <w:r w:rsidRPr="00481BAD">
        <w:rPr>
          <w:rFonts w:ascii="Palatino Linotype" w:eastAsiaTheme="minorHAnsi" w:hAnsi="Palatino Linotype" w:cs="Arial"/>
          <w:szCs w:val="22"/>
          <w:lang w:val="es-MX" w:eastAsia="en-US"/>
        </w:rPr>
        <w:t xml:space="preserve">, </w:t>
      </w:r>
      <w:r w:rsidR="000E768F" w:rsidRPr="00481BAD">
        <w:rPr>
          <w:rFonts w:ascii="Palatino Linotype" w:eastAsiaTheme="minorHAnsi" w:hAnsi="Palatino Linotype" w:cs="Arial"/>
          <w:szCs w:val="22"/>
          <w:lang w:val="es-MX" w:eastAsia="en-US"/>
        </w:rPr>
        <w:t>la</w:t>
      </w:r>
      <w:r w:rsidRPr="00481BAD">
        <w:rPr>
          <w:rFonts w:ascii="Palatino Linotype" w:eastAsiaTheme="minorHAnsi" w:hAnsi="Palatino Linotype" w:cs="Arial"/>
          <w:szCs w:val="22"/>
          <w:lang w:val="es-MX" w:eastAsia="en-US"/>
        </w:rPr>
        <w:t xml:space="preserve"> </w:t>
      </w:r>
      <w:r w:rsidRPr="00481BAD">
        <w:rPr>
          <w:rFonts w:ascii="Palatino Linotype" w:eastAsiaTheme="minorHAnsi" w:hAnsi="Palatino Linotype" w:cs="Arial"/>
          <w:b/>
          <w:szCs w:val="22"/>
          <w:lang w:val="es-MX" w:eastAsia="en-US"/>
        </w:rPr>
        <w:t>Recurrente</w:t>
      </w:r>
      <w:r w:rsidR="00D54B83" w:rsidRPr="00481BAD">
        <w:rPr>
          <w:rFonts w:ascii="Palatino Linotype" w:eastAsiaTheme="minorHAnsi" w:hAnsi="Palatino Linotype" w:cs="Arial"/>
          <w:szCs w:val="22"/>
          <w:lang w:val="es-MX" w:eastAsia="en-US"/>
        </w:rPr>
        <w:t>, presentó a través d</w:t>
      </w:r>
      <w:r w:rsidR="00F3556B" w:rsidRPr="00481BAD">
        <w:rPr>
          <w:rFonts w:ascii="Palatino Linotype" w:eastAsiaTheme="minorHAnsi" w:hAnsi="Palatino Linotype" w:cs="Arial"/>
          <w:szCs w:val="22"/>
          <w:lang w:val="es-MX" w:eastAsia="en-US"/>
        </w:rPr>
        <w:t xml:space="preserve">el </w:t>
      </w:r>
      <w:r w:rsidRPr="00481BAD">
        <w:rPr>
          <w:rFonts w:ascii="Palatino Linotype" w:eastAsiaTheme="minorHAnsi" w:hAnsi="Palatino Linotype" w:cs="Arial"/>
          <w:szCs w:val="22"/>
          <w:lang w:val="es-MX" w:eastAsia="en-US"/>
        </w:rPr>
        <w:t xml:space="preserve">Sistema de Acceso a la Información Mexiquense </w:t>
      </w:r>
      <w:r w:rsidRPr="00481BAD">
        <w:rPr>
          <w:rFonts w:ascii="Palatino Linotype" w:eastAsiaTheme="minorHAnsi" w:hAnsi="Palatino Linotype" w:cs="Arial"/>
          <w:b/>
          <w:szCs w:val="22"/>
          <w:lang w:val="es-MX" w:eastAsia="en-US"/>
        </w:rPr>
        <w:t>(SAIMEX),</w:t>
      </w:r>
      <w:r w:rsidRPr="00481BAD">
        <w:rPr>
          <w:rFonts w:ascii="Palatino Linotype" w:eastAsiaTheme="minorHAnsi" w:hAnsi="Palatino Linotype" w:cs="Arial"/>
          <w:szCs w:val="22"/>
          <w:lang w:val="es-MX" w:eastAsia="en-US"/>
        </w:rPr>
        <w:t xml:space="preserve"> ante el </w:t>
      </w:r>
      <w:r w:rsidRPr="00481BAD">
        <w:rPr>
          <w:rFonts w:ascii="Palatino Linotype" w:eastAsiaTheme="minorHAnsi" w:hAnsi="Palatino Linotype" w:cs="Arial"/>
          <w:b/>
          <w:szCs w:val="22"/>
          <w:lang w:val="es-MX" w:eastAsia="en-US"/>
        </w:rPr>
        <w:t>Sujeto Obligado</w:t>
      </w:r>
      <w:r w:rsidRPr="00481BAD">
        <w:rPr>
          <w:rFonts w:ascii="Palatino Linotype" w:eastAsiaTheme="minorHAnsi" w:hAnsi="Palatino Linotype" w:cs="Arial"/>
          <w:szCs w:val="22"/>
          <w:lang w:val="es-MX" w:eastAsia="en-US"/>
        </w:rPr>
        <w:t>, la solicitud de acceso a la información pública, a la que se le</w:t>
      </w:r>
      <w:r w:rsidR="00C753C2" w:rsidRPr="00481BAD">
        <w:rPr>
          <w:rFonts w:ascii="Palatino Linotype" w:eastAsiaTheme="minorHAnsi" w:hAnsi="Palatino Linotype" w:cs="Arial"/>
          <w:szCs w:val="22"/>
          <w:lang w:val="es-MX" w:eastAsia="en-US"/>
        </w:rPr>
        <w:t xml:space="preserve"> asignó el número de expediente </w:t>
      </w:r>
      <w:r w:rsidR="00DE407A" w:rsidRPr="00481BAD">
        <w:rPr>
          <w:rFonts w:ascii="Palatino Linotype" w:eastAsiaTheme="minorHAnsi" w:hAnsi="Palatino Linotype" w:cs="Arial"/>
          <w:b/>
          <w:szCs w:val="22"/>
          <w:lang w:val="es-MX" w:eastAsia="en-US"/>
        </w:rPr>
        <w:t>00502/ZINACANT/IP/2023</w:t>
      </w:r>
      <w:r w:rsidRPr="00481BAD">
        <w:rPr>
          <w:rFonts w:ascii="Palatino Linotype" w:eastAsiaTheme="minorHAnsi" w:hAnsi="Palatino Linotype" w:cs="Arial"/>
          <w:szCs w:val="22"/>
          <w:lang w:val="es-MX" w:eastAsia="en-US"/>
        </w:rPr>
        <w:t>, mediante la cual solicitó lo siguiente:</w:t>
      </w:r>
    </w:p>
    <w:p w14:paraId="4A3EFDB9" w14:textId="77777777" w:rsidR="00D54B83" w:rsidRPr="00481BAD" w:rsidRDefault="00D54B83" w:rsidP="00D54B83">
      <w:pPr>
        <w:spacing w:line="360" w:lineRule="auto"/>
        <w:jc w:val="both"/>
        <w:rPr>
          <w:rFonts w:ascii="Palatino Linotype" w:eastAsiaTheme="minorHAnsi" w:hAnsi="Palatino Linotype" w:cs="Arial"/>
          <w:szCs w:val="22"/>
          <w:lang w:val="es-MX" w:eastAsia="en-US"/>
        </w:rPr>
      </w:pPr>
    </w:p>
    <w:p w14:paraId="5157924C" w14:textId="124A747E" w:rsidR="00C753C2" w:rsidRPr="00481BAD" w:rsidRDefault="0029071C" w:rsidP="00D54B83">
      <w:pPr>
        <w:spacing w:line="360" w:lineRule="auto"/>
        <w:ind w:left="284" w:right="332"/>
        <w:jc w:val="both"/>
        <w:rPr>
          <w:rFonts w:ascii="Palatino Linotype" w:hAnsi="Palatino Linotype"/>
          <w:i/>
          <w:sz w:val="22"/>
          <w:szCs w:val="22"/>
          <w:lang w:val="es-ES_tradnl"/>
        </w:rPr>
      </w:pPr>
      <w:r w:rsidRPr="00481BAD">
        <w:rPr>
          <w:rFonts w:ascii="Palatino Linotype" w:hAnsi="Palatino Linotype"/>
          <w:i/>
          <w:sz w:val="22"/>
          <w:szCs w:val="22"/>
          <w:lang w:val="es-MX"/>
        </w:rPr>
        <w:t>“</w:t>
      </w:r>
      <w:r w:rsidR="00DE407A" w:rsidRPr="00481BAD">
        <w:rPr>
          <w:rFonts w:ascii="Palatino Linotype" w:hAnsi="Palatino Linotype"/>
          <w:i/>
          <w:sz w:val="22"/>
          <w:szCs w:val="22"/>
          <w:lang w:val="es-MX" w:eastAsia="es-MX"/>
        </w:rPr>
        <w:t>COMO TRABAJARA EN CONJUNTO EL PRESIDENTE MUNICIPAL MANUEL VILCHIS VIVEROS CON LA GOBERNADORA ELECTA DELFINA GOMEZ ALVAREZ</w:t>
      </w:r>
      <w:r w:rsidRPr="00481BAD">
        <w:rPr>
          <w:rFonts w:ascii="Palatino Linotype" w:hAnsi="Palatino Linotype"/>
          <w:i/>
          <w:sz w:val="22"/>
          <w:szCs w:val="22"/>
          <w:lang w:val="es-MX"/>
        </w:rPr>
        <w:t>”</w:t>
      </w:r>
      <w:r w:rsidRPr="00481BAD">
        <w:rPr>
          <w:rFonts w:ascii="Palatino Linotype" w:hAnsi="Palatino Linotype"/>
          <w:i/>
          <w:sz w:val="22"/>
          <w:szCs w:val="22"/>
          <w:lang w:val="es-ES_tradnl"/>
        </w:rPr>
        <w:t xml:space="preserve"> (Sic).</w:t>
      </w:r>
    </w:p>
    <w:p w14:paraId="7C451D4C" w14:textId="77777777" w:rsidR="00D54B83" w:rsidRPr="00481BAD" w:rsidRDefault="00D54B83" w:rsidP="00D54B83">
      <w:pPr>
        <w:spacing w:line="360" w:lineRule="auto"/>
        <w:ind w:left="284" w:right="332"/>
        <w:jc w:val="both"/>
        <w:rPr>
          <w:rFonts w:ascii="Palatino Linotype" w:hAnsi="Palatino Linotype"/>
          <w:i/>
          <w:sz w:val="22"/>
          <w:szCs w:val="22"/>
          <w:lang w:val="es-ES_tradnl"/>
        </w:rPr>
      </w:pPr>
    </w:p>
    <w:p w14:paraId="279452FD" w14:textId="77777777" w:rsidR="00F3556B" w:rsidRPr="00481BAD" w:rsidRDefault="00F3556B" w:rsidP="00C753C2">
      <w:pPr>
        <w:pStyle w:val="Sinespaciado"/>
        <w:rPr>
          <w:sz w:val="4"/>
        </w:rPr>
      </w:pPr>
    </w:p>
    <w:p w14:paraId="0040848A" w14:textId="2CDDD618" w:rsidR="002D6E4B" w:rsidRPr="00481BAD"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481BAD">
        <w:rPr>
          <w:rFonts w:ascii="Palatino Linotype" w:hAnsi="Palatino Linotype"/>
          <w:b/>
          <w:lang w:val="es-ES_tradnl"/>
        </w:rPr>
        <w:t>MODALIDAD DE ENTREGA:</w:t>
      </w:r>
      <w:r w:rsidRPr="00481BAD">
        <w:rPr>
          <w:rFonts w:ascii="Palatino Linotype" w:hAnsi="Palatino Linotype"/>
          <w:lang w:val="es-ES_tradnl"/>
        </w:rPr>
        <w:t xml:space="preserve"> </w:t>
      </w:r>
      <w:r w:rsidR="00D66FE8" w:rsidRPr="00481BAD">
        <w:rPr>
          <w:rFonts w:ascii="Palatino Linotype" w:eastAsiaTheme="minorHAnsi" w:hAnsi="Palatino Linotype" w:cstheme="minorBidi"/>
          <w:color w:val="000000"/>
          <w:lang w:val="es-MX" w:eastAsia="en-US"/>
        </w:rPr>
        <w:t>A través de</w:t>
      </w:r>
      <w:r w:rsidR="00D54B83" w:rsidRPr="00481BAD">
        <w:rPr>
          <w:rFonts w:ascii="Palatino Linotype" w:eastAsiaTheme="minorHAnsi" w:hAnsi="Palatino Linotype" w:cstheme="minorBidi"/>
          <w:color w:val="000000"/>
          <w:lang w:val="es-MX" w:eastAsia="en-US"/>
        </w:rPr>
        <w:t>l</w:t>
      </w:r>
      <w:r w:rsidRPr="00481BAD">
        <w:rPr>
          <w:rFonts w:ascii="Palatino Linotype" w:eastAsiaTheme="minorHAnsi" w:hAnsi="Palatino Linotype" w:cstheme="minorBidi"/>
          <w:color w:val="000000"/>
          <w:lang w:val="es-MX" w:eastAsia="en-US"/>
        </w:rPr>
        <w:t xml:space="preserve"> </w:t>
      </w:r>
      <w:r w:rsidR="00D54B83" w:rsidRPr="00481BAD">
        <w:rPr>
          <w:rFonts w:ascii="Palatino Linotype" w:eastAsiaTheme="minorHAnsi" w:hAnsi="Palatino Linotype" w:cstheme="minorBidi"/>
          <w:b/>
          <w:color w:val="000000"/>
          <w:lang w:val="es-MX" w:eastAsia="en-US"/>
        </w:rPr>
        <w:t>SAIMEX</w:t>
      </w:r>
      <w:r w:rsidRPr="00481BAD">
        <w:rPr>
          <w:rFonts w:ascii="Palatino Linotype" w:eastAsiaTheme="minorHAnsi" w:hAnsi="Palatino Linotype" w:cstheme="minorBidi"/>
          <w:color w:val="000000"/>
          <w:lang w:val="es-MX" w:eastAsia="en-US"/>
        </w:rPr>
        <w:t>.</w:t>
      </w:r>
    </w:p>
    <w:p w14:paraId="46294054" w14:textId="77777777" w:rsidR="0029071C" w:rsidRPr="00481BAD" w:rsidRDefault="000E768F" w:rsidP="0029071C">
      <w:pPr>
        <w:spacing w:line="360" w:lineRule="auto"/>
        <w:jc w:val="both"/>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lastRenderedPageBreak/>
        <w:t>SEGUND</w:t>
      </w:r>
      <w:r w:rsidR="0029071C" w:rsidRPr="00481BAD">
        <w:rPr>
          <w:rFonts w:ascii="Palatino Linotype" w:eastAsiaTheme="minorHAnsi" w:hAnsi="Palatino Linotype" w:cs="Arial"/>
          <w:b/>
          <w:sz w:val="28"/>
          <w:lang w:val="es-MX" w:eastAsia="en-US"/>
        </w:rPr>
        <w:t xml:space="preserve">O. De la respuesta del Sujeto Obligado. </w:t>
      </w:r>
    </w:p>
    <w:p w14:paraId="3795B813" w14:textId="4479B32E" w:rsidR="0029071C" w:rsidRPr="00481BAD" w:rsidRDefault="0029071C" w:rsidP="0029071C">
      <w:pPr>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De las constancias que obran en el sistema SAIMEX, se advierte que en fecha </w:t>
      </w:r>
      <w:r w:rsidR="00DE407A" w:rsidRPr="00481BAD">
        <w:rPr>
          <w:rFonts w:ascii="Palatino Linotype" w:eastAsiaTheme="minorHAnsi" w:hAnsi="Palatino Linotype" w:cs="Arial"/>
          <w:lang w:val="es-MX" w:eastAsia="en-US"/>
        </w:rPr>
        <w:t>once de agosto</w:t>
      </w:r>
      <w:r w:rsidR="003C160D" w:rsidRPr="00481BAD">
        <w:rPr>
          <w:rFonts w:ascii="Palatino Linotype" w:eastAsiaTheme="minorHAnsi" w:hAnsi="Palatino Linotype" w:cs="Arial"/>
          <w:lang w:val="es-MX" w:eastAsia="en-US"/>
        </w:rPr>
        <w:t xml:space="preserve"> de dos mil veintitrés</w:t>
      </w:r>
      <w:r w:rsidRPr="00481BAD">
        <w:rPr>
          <w:rFonts w:ascii="Palatino Linotype" w:eastAsiaTheme="minorHAnsi" w:hAnsi="Palatino Linotype" w:cs="Arial"/>
          <w:lang w:val="es-MX" w:eastAsia="en-US"/>
        </w:rPr>
        <w:t xml:space="preserve">, </w:t>
      </w:r>
      <w:r w:rsidRPr="00481BAD">
        <w:rPr>
          <w:rFonts w:ascii="Palatino Linotype" w:eastAsiaTheme="minorHAnsi" w:hAnsi="Palatino Linotype" w:cs="Arial"/>
          <w:b/>
          <w:lang w:val="es-MX" w:eastAsia="en-US"/>
        </w:rPr>
        <w:t>El Sujeto Obligado</w:t>
      </w:r>
      <w:r w:rsidRPr="00481BAD">
        <w:rPr>
          <w:rFonts w:ascii="Palatino Linotype" w:eastAsiaTheme="minorHAnsi" w:hAnsi="Palatino Linotype" w:cs="Arial"/>
          <w:lang w:val="es-MX" w:eastAsia="en-US"/>
        </w:rPr>
        <w:t xml:space="preserve"> emitió la respuesta en los siguientes términos:</w:t>
      </w:r>
    </w:p>
    <w:p w14:paraId="05C385CD" w14:textId="77777777" w:rsidR="0029071C" w:rsidRPr="00481BAD" w:rsidRDefault="0029071C" w:rsidP="0029071C">
      <w:pPr>
        <w:rPr>
          <w:lang w:val="es-MX"/>
        </w:rPr>
      </w:pPr>
    </w:p>
    <w:p w14:paraId="3634942D" w14:textId="77777777" w:rsidR="00DE407A" w:rsidRPr="00481BAD" w:rsidRDefault="0029071C" w:rsidP="00DE407A">
      <w:pPr>
        <w:spacing w:line="276" w:lineRule="auto"/>
        <w:ind w:left="567" w:right="567"/>
        <w:jc w:val="both"/>
        <w:rPr>
          <w:rFonts w:ascii="Palatino Linotype" w:hAnsi="Palatino Linotype"/>
          <w:i/>
          <w:sz w:val="22"/>
          <w:szCs w:val="22"/>
          <w:lang w:val="es-MX" w:eastAsia="es-MX"/>
        </w:rPr>
      </w:pPr>
      <w:r w:rsidRPr="00481BAD">
        <w:rPr>
          <w:rFonts w:ascii="Palatino Linotype" w:hAnsi="Palatino Linotype"/>
          <w:i/>
          <w:sz w:val="22"/>
          <w:szCs w:val="22"/>
          <w:lang w:val="es-MX" w:eastAsia="es-MX"/>
        </w:rPr>
        <w:t>“</w:t>
      </w:r>
      <w:r w:rsidR="00DE407A" w:rsidRPr="00481BAD">
        <w:rPr>
          <w:rFonts w:ascii="Palatino Linotype" w:hAnsi="Palatino Linotype"/>
          <w:i/>
          <w:sz w:val="22"/>
          <w:szCs w:val="22"/>
          <w:lang w:val="es-MX" w:eastAsia="es-MX"/>
        </w:rPr>
        <w:t>Se proporciona respuesta a la solicitud de folio 00502/ZINACANT/IP/2023 a través del documento anexo</w:t>
      </w:r>
    </w:p>
    <w:p w14:paraId="2D1427A9" w14:textId="77777777" w:rsidR="00DE407A" w:rsidRPr="00481BAD" w:rsidRDefault="00DE407A" w:rsidP="00DE407A">
      <w:pPr>
        <w:spacing w:line="276" w:lineRule="auto"/>
        <w:ind w:left="567" w:right="567"/>
        <w:jc w:val="both"/>
        <w:rPr>
          <w:rFonts w:ascii="Palatino Linotype" w:hAnsi="Palatino Linotype"/>
          <w:i/>
          <w:sz w:val="22"/>
          <w:szCs w:val="22"/>
          <w:lang w:val="es-MX" w:eastAsia="es-MX"/>
        </w:rPr>
      </w:pPr>
    </w:p>
    <w:p w14:paraId="1A255B37" w14:textId="48C0F217" w:rsidR="00DE407A" w:rsidRPr="00481BAD" w:rsidRDefault="00DE407A" w:rsidP="00DE407A">
      <w:pPr>
        <w:spacing w:line="276" w:lineRule="auto"/>
        <w:ind w:left="567" w:right="567"/>
        <w:jc w:val="both"/>
        <w:rPr>
          <w:rFonts w:ascii="Palatino Linotype" w:hAnsi="Palatino Linotype"/>
          <w:i/>
          <w:sz w:val="22"/>
          <w:szCs w:val="22"/>
          <w:lang w:val="es-MX" w:eastAsia="es-MX"/>
        </w:rPr>
      </w:pPr>
      <w:r w:rsidRPr="00481BAD">
        <w:rPr>
          <w:rFonts w:ascii="Palatino Linotype" w:hAnsi="Palatino Linotype"/>
          <w:i/>
          <w:sz w:val="22"/>
          <w:szCs w:val="22"/>
          <w:lang w:val="es-MX" w:eastAsia="es-MX"/>
        </w:rPr>
        <w:t>ATENTAMENTE</w:t>
      </w:r>
    </w:p>
    <w:p w14:paraId="5E026A9B" w14:textId="262910CB" w:rsidR="0029071C" w:rsidRPr="00481BAD" w:rsidRDefault="00DE407A" w:rsidP="00DE407A">
      <w:pPr>
        <w:spacing w:line="276" w:lineRule="auto"/>
        <w:ind w:left="567" w:right="567"/>
        <w:jc w:val="both"/>
        <w:rPr>
          <w:rFonts w:ascii="Palatino Linotype" w:hAnsi="Palatino Linotype"/>
          <w:i/>
          <w:sz w:val="22"/>
          <w:szCs w:val="22"/>
          <w:lang w:val="es-MX" w:eastAsia="es-MX"/>
        </w:rPr>
      </w:pPr>
      <w:r w:rsidRPr="00481BAD">
        <w:rPr>
          <w:rFonts w:ascii="Palatino Linotype" w:hAnsi="Palatino Linotype"/>
          <w:i/>
          <w:sz w:val="22"/>
          <w:szCs w:val="22"/>
          <w:lang w:val="es-MX" w:eastAsia="es-MX"/>
        </w:rPr>
        <w:t>BRENDA SELENE HERNANDEZ LOPEZ</w:t>
      </w:r>
      <w:r w:rsidR="00E74701" w:rsidRPr="00481BAD">
        <w:rPr>
          <w:rFonts w:ascii="Palatino Linotype" w:hAnsi="Palatino Linotype"/>
          <w:i/>
          <w:sz w:val="22"/>
          <w:szCs w:val="22"/>
          <w:lang w:val="es-MX" w:eastAsia="es-MX"/>
        </w:rPr>
        <w:t>” (Sic).</w:t>
      </w:r>
    </w:p>
    <w:p w14:paraId="1DC09C12" w14:textId="77777777" w:rsidR="00DC1583" w:rsidRPr="00481BAD" w:rsidRDefault="00DC1583" w:rsidP="00DC1583">
      <w:pPr>
        <w:ind w:right="567"/>
        <w:jc w:val="both"/>
        <w:rPr>
          <w:rFonts w:ascii="Palatino Linotype" w:hAnsi="Palatino Linotype"/>
          <w:i/>
          <w:sz w:val="14"/>
          <w:szCs w:val="22"/>
          <w:lang w:val="es-MX" w:eastAsia="es-MX"/>
        </w:rPr>
      </w:pPr>
    </w:p>
    <w:p w14:paraId="01301744" w14:textId="77777777" w:rsidR="00B250D7" w:rsidRPr="00481BAD" w:rsidRDefault="00B250D7" w:rsidP="00B250D7">
      <w:pPr>
        <w:pStyle w:val="Sinespaciado"/>
        <w:rPr>
          <w:lang w:eastAsia="es-MX"/>
        </w:rPr>
      </w:pPr>
    </w:p>
    <w:p w14:paraId="2CF92C13" w14:textId="6298CEA8" w:rsidR="005F1F89" w:rsidRPr="00481BAD" w:rsidRDefault="00CF1DF5" w:rsidP="00386D38">
      <w:pPr>
        <w:spacing w:line="360" w:lineRule="auto"/>
        <w:jc w:val="both"/>
        <w:rPr>
          <w:rFonts w:ascii="Palatino Linotype" w:hAnsi="Palatino Linotype"/>
          <w:i/>
          <w:sz w:val="22"/>
          <w:szCs w:val="22"/>
          <w:lang w:val="es-MX" w:eastAsia="es-MX"/>
        </w:rPr>
      </w:pPr>
      <w:r w:rsidRPr="00481BAD">
        <w:rPr>
          <w:rFonts w:ascii="Palatino Linotype" w:eastAsiaTheme="minorHAnsi" w:hAnsi="Palatino Linotype" w:cs="Arial"/>
          <w:lang w:val="es-MX" w:eastAsia="en-US"/>
        </w:rPr>
        <w:t xml:space="preserve">El </w:t>
      </w:r>
      <w:r w:rsidRPr="00481BAD">
        <w:rPr>
          <w:rFonts w:ascii="Palatino Linotype" w:eastAsiaTheme="minorHAnsi" w:hAnsi="Palatino Linotype" w:cs="Arial"/>
          <w:b/>
          <w:lang w:val="es-MX" w:eastAsia="en-US"/>
        </w:rPr>
        <w:t>Sujeto Obligado</w:t>
      </w:r>
      <w:r w:rsidRPr="00481BAD">
        <w:rPr>
          <w:rFonts w:ascii="Palatino Linotype" w:eastAsiaTheme="minorHAnsi" w:hAnsi="Palatino Linotype" w:cs="Arial"/>
          <w:lang w:val="es-MX" w:eastAsia="en-US"/>
        </w:rPr>
        <w:t xml:space="preserve"> adjuntó</w:t>
      </w:r>
      <w:r w:rsidR="005F1F89" w:rsidRPr="00481BAD">
        <w:rPr>
          <w:rFonts w:ascii="Palatino Linotype" w:eastAsiaTheme="minorHAnsi" w:hAnsi="Palatino Linotype" w:cs="Arial"/>
          <w:lang w:val="es-MX" w:eastAsia="en-US"/>
        </w:rPr>
        <w:t xml:space="preserve"> a su respuesta</w:t>
      </w:r>
      <w:r w:rsidR="00DC1583" w:rsidRPr="00481BAD">
        <w:rPr>
          <w:rFonts w:ascii="Palatino Linotype" w:eastAsiaTheme="minorHAnsi" w:hAnsi="Palatino Linotype" w:cs="Arial"/>
          <w:lang w:val="es-MX" w:eastAsia="en-US"/>
        </w:rPr>
        <w:t xml:space="preserve">, </w:t>
      </w:r>
      <w:r w:rsidR="00D54B83" w:rsidRPr="00481BAD">
        <w:rPr>
          <w:rFonts w:ascii="Palatino Linotype" w:eastAsiaTheme="minorHAnsi" w:hAnsi="Palatino Linotype" w:cs="Arial"/>
          <w:lang w:val="es-MX" w:eastAsia="en-US"/>
        </w:rPr>
        <w:t>el</w:t>
      </w:r>
      <w:r w:rsidR="001D2DE0" w:rsidRPr="00481BAD">
        <w:rPr>
          <w:rFonts w:ascii="Palatino Linotype" w:eastAsiaTheme="minorHAnsi" w:hAnsi="Palatino Linotype" w:cs="Arial"/>
          <w:lang w:val="es-MX" w:eastAsia="en-US"/>
        </w:rPr>
        <w:t xml:space="preserve"> archivo electrónico denominado</w:t>
      </w:r>
      <w:r w:rsidR="00DC1583" w:rsidRPr="00481BAD">
        <w:rPr>
          <w:rFonts w:ascii="Palatino Linotype" w:eastAsiaTheme="minorHAnsi" w:hAnsi="Palatino Linotype" w:cs="Arial"/>
          <w:lang w:val="es-MX" w:eastAsia="en-US"/>
        </w:rPr>
        <w:t xml:space="preserve"> </w:t>
      </w:r>
      <w:r w:rsidR="00DC1583" w:rsidRPr="00481BAD">
        <w:rPr>
          <w:rFonts w:ascii="Palatino Linotype" w:eastAsiaTheme="minorHAnsi" w:hAnsi="Palatino Linotype" w:cs="Arial"/>
          <w:i/>
          <w:lang w:val="es-MX" w:eastAsia="en-US"/>
        </w:rPr>
        <w:t>“</w:t>
      </w:r>
      <w:r w:rsidR="00DE407A" w:rsidRPr="00481BAD">
        <w:rPr>
          <w:rFonts w:ascii="Palatino Linotype" w:eastAsiaTheme="minorHAnsi" w:hAnsi="Palatino Linotype" w:cs="Arial"/>
          <w:i/>
          <w:lang w:val="es-MX" w:eastAsia="en-US"/>
        </w:rPr>
        <w:t>20230811215326986.pdf</w:t>
      </w:r>
      <w:r w:rsidR="00DC1583" w:rsidRPr="00481BAD">
        <w:rPr>
          <w:rFonts w:ascii="Palatino Linotype" w:eastAsiaTheme="minorHAnsi" w:hAnsi="Palatino Linotype" w:cs="Arial"/>
          <w:i/>
          <w:lang w:val="es-MX" w:eastAsia="en-US"/>
        </w:rPr>
        <w:t>”;</w:t>
      </w:r>
      <w:r w:rsidR="00DC1583" w:rsidRPr="00481BAD">
        <w:rPr>
          <w:rFonts w:ascii="Palatino Linotype" w:eastAsiaTheme="minorHAnsi" w:hAnsi="Palatino Linotype" w:cs="Arial"/>
          <w:lang w:val="es-MX" w:eastAsia="en-US"/>
        </w:rPr>
        <w:t xml:space="preserve"> cuyo contenido no se inserta por ser del conocim</w:t>
      </w:r>
      <w:r w:rsidR="001D2DE0" w:rsidRPr="00481BAD">
        <w:rPr>
          <w:rFonts w:ascii="Palatino Linotype" w:eastAsiaTheme="minorHAnsi" w:hAnsi="Palatino Linotype" w:cs="Arial"/>
          <w:lang w:val="es-MX" w:eastAsia="en-US"/>
        </w:rPr>
        <w:t>iento de las partes, sin embargo, será</w:t>
      </w:r>
      <w:r w:rsidR="00DC1583" w:rsidRPr="00481BAD">
        <w:rPr>
          <w:rFonts w:ascii="Palatino Linotype" w:eastAsiaTheme="minorHAnsi" w:hAnsi="Palatino Linotype" w:cs="Arial"/>
          <w:lang w:val="es-MX" w:eastAsia="en-US"/>
        </w:rPr>
        <w:t xml:space="preserve"> motivo de estudio en el Considerado respectivo. </w:t>
      </w:r>
    </w:p>
    <w:p w14:paraId="6E1C9A5C" w14:textId="77777777" w:rsidR="004B2314" w:rsidRPr="00481BAD" w:rsidRDefault="004B2314" w:rsidP="00E74701">
      <w:pPr>
        <w:ind w:right="567"/>
        <w:jc w:val="both"/>
        <w:rPr>
          <w:rFonts w:ascii="Palatino Linotype" w:hAnsi="Palatino Linotype"/>
          <w:i/>
          <w:szCs w:val="22"/>
          <w:lang w:val="es-MX" w:eastAsia="es-MX"/>
        </w:rPr>
      </w:pPr>
    </w:p>
    <w:p w14:paraId="51C2CF51" w14:textId="77777777" w:rsidR="00D54B83" w:rsidRPr="00481BAD" w:rsidRDefault="00D54B83" w:rsidP="00E74701">
      <w:pPr>
        <w:ind w:right="567"/>
        <w:jc w:val="both"/>
        <w:rPr>
          <w:rFonts w:ascii="Palatino Linotype" w:hAnsi="Palatino Linotype"/>
          <w:i/>
          <w:szCs w:val="22"/>
          <w:lang w:val="es-MX" w:eastAsia="es-MX"/>
        </w:rPr>
      </w:pPr>
    </w:p>
    <w:p w14:paraId="5A5AAF5F" w14:textId="77777777" w:rsidR="0029071C" w:rsidRPr="00481BAD" w:rsidRDefault="000E768F" w:rsidP="0029071C">
      <w:pPr>
        <w:spacing w:line="360" w:lineRule="auto"/>
        <w:jc w:val="both"/>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t>TERCER</w:t>
      </w:r>
      <w:r w:rsidR="0029071C" w:rsidRPr="00481BAD">
        <w:rPr>
          <w:rFonts w:ascii="Palatino Linotype" w:eastAsiaTheme="minorHAnsi" w:hAnsi="Palatino Linotype" w:cs="Arial"/>
          <w:b/>
          <w:sz w:val="28"/>
          <w:lang w:val="es-MX" w:eastAsia="en-US"/>
        </w:rPr>
        <w:t>O. Del recurso de revisión.</w:t>
      </w:r>
    </w:p>
    <w:p w14:paraId="6406BFFA" w14:textId="51D04D09" w:rsidR="0029071C" w:rsidRPr="00481BAD" w:rsidRDefault="0029071C" w:rsidP="00B250D7">
      <w:pPr>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Inconforme con la respuesta por parte del </w:t>
      </w:r>
      <w:r w:rsidRPr="00481BAD">
        <w:rPr>
          <w:rFonts w:ascii="Palatino Linotype" w:eastAsiaTheme="minorHAnsi" w:hAnsi="Palatino Linotype" w:cs="Arial"/>
          <w:b/>
          <w:lang w:val="es-MX" w:eastAsia="en-US"/>
        </w:rPr>
        <w:t>Sujeto Obligado</w:t>
      </w:r>
      <w:r w:rsidRPr="00481BAD">
        <w:rPr>
          <w:rFonts w:ascii="Palatino Linotype" w:eastAsiaTheme="minorHAnsi" w:hAnsi="Palatino Linotype" w:cs="Arial"/>
          <w:lang w:val="es-MX" w:eastAsia="en-US"/>
        </w:rPr>
        <w:t xml:space="preserve">, </w:t>
      </w:r>
      <w:r w:rsidR="00DE407A" w:rsidRPr="00481BAD">
        <w:rPr>
          <w:rFonts w:ascii="Palatino Linotype" w:eastAsiaTheme="minorHAnsi" w:hAnsi="Palatino Linotype" w:cs="Arial"/>
          <w:lang w:val="es-MX" w:eastAsia="en-US"/>
        </w:rPr>
        <w:t>el</w:t>
      </w:r>
      <w:r w:rsidRPr="00481BAD">
        <w:rPr>
          <w:rFonts w:ascii="Palatino Linotype" w:eastAsiaTheme="minorHAnsi" w:hAnsi="Palatino Linotype" w:cs="Arial"/>
          <w:lang w:val="es-MX" w:eastAsia="en-US"/>
        </w:rPr>
        <w:t xml:space="preserve"> ahora </w:t>
      </w:r>
      <w:r w:rsidRPr="00481BAD">
        <w:rPr>
          <w:rFonts w:ascii="Palatino Linotype" w:eastAsiaTheme="minorHAnsi" w:hAnsi="Palatino Linotype" w:cs="Arial"/>
          <w:b/>
          <w:lang w:val="es-MX" w:eastAsia="en-US"/>
        </w:rPr>
        <w:t>Recurrente</w:t>
      </w:r>
      <w:r w:rsidRPr="00481BAD">
        <w:rPr>
          <w:rFonts w:ascii="Palatino Linotype" w:eastAsiaTheme="minorHAnsi" w:hAnsi="Palatino Linotype" w:cs="Arial"/>
          <w:lang w:val="es-MX" w:eastAsia="en-US"/>
        </w:rPr>
        <w:t xml:space="preserve"> interpuso el presente recurso de revisión en fecha </w:t>
      </w:r>
      <w:r w:rsidR="00DE407A" w:rsidRPr="00481BAD">
        <w:rPr>
          <w:rFonts w:ascii="Palatino Linotype" w:eastAsiaTheme="minorHAnsi" w:hAnsi="Palatino Linotype" w:cs="Arial"/>
          <w:lang w:val="es-MX" w:eastAsia="en-US"/>
        </w:rPr>
        <w:t>catorce de agosto</w:t>
      </w:r>
      <w:r w:rsidR="003C160D" w:rsidRPr="00481BAD">
        <w:rPr>
          <w:rFonts w:ascii="Palatino Linotype" w:eastAsiaTheme="minorHAnsi" w:hAnsi="Palatino Linotype" w:cs="Arial"/>
          <w:lang w:val="es-MX" w:eastAsia="en-US"/>
        </w:rPr>
        <w:t xml:space="preserve"> de dos mil veintitrés</w:t>
      </w:r>
      <w:r w:rsidRPr="00481BAD">
        <w:rPr>
          <w:rFonts w:ascii="Palatino Linotype" w:eastAsiaTheme="minorHAnsi" w:hAnsi="Palatino Linotype" w:cs="Arial"/>
          <w:lang w:val="es-MX" w:eastAsia="en-US"/>
        </w:rPr>
        <w:t>, el cual fue registrado</w:t>
      </w:r>
      <w:r w:rsidRPr="00481BAD">
        <w:rPr>
          <w:rFonts w:ascii="Palatino Linotype" w:eastAsiaTheme="minorHAnsi" w:hAnsi="Palatino Linotype" w:cs="Arial"/>
          <w:b/>
          <w:lang w:val="es-MX" w:eastAsia="en-US"/>
        </w:rPr>
        <w:t xml:space="preserve"> </w:t>
      </w:r>
      <w:r w:rsidRPr="00481BAD">
        <w:rPr>
          <w:rFonts w:ascii="Palatino Linotype" w:eastAsiaTheme="minorHAnsi" w:hAnsi="Palatino Linotype" w:cs="Arial"/>
          <w:lang w:val="es-MX" w:eastAsia="en-US"/>
        </w:rPr>
        <w:t xml:space="preserve">en el sistema electrónico con el expediente número </w:t>
      </w:r>
      <w:r w:rsidR="00E74701" w:rsidRPr="00481BAD">
        <w:rPr>
          <w:rFonts w:ascii="Palatino Linotype" w:eastAsiaTheme="minorHAnsi" w:hAnsi="Palatino Linotype" w:cs="Arial"/>
          <w:b/>
          <w:bCs/>
          <w:lang w:val="es-MX" w:eastAsia="es-MX"/>
        </w:rPr>
        <w:t>0</w:t>
      </w:r>
      <w:r w:rsidR="00DE407A" w:rsidRPr="00481BAD">
        <w:rPr>
          <w:rFonts w:ascii="Palatino Linotype" w:eastAsiaTheme="minorHAnsi" w:hAnsi="Palatino Linotype" w:cs="Arial"/>
          <w:b/>
          <w:bCs/>
          <w:lang w:val="es-MX" w:eastAsia="es-MX"/>
        </w:rPr>
        <w:t>4510</w:t>
      </w:r>
      <w:r w:rsidR="00B250D7" w:rsidRPr="00481BAD">
        <w:rPr>
          <w:rFonts w:ascii="Palatino Linotype" w:eastAsiaTheme="minorHAnsi" w:hAnsi="Palatino Linotype" w:cs="Arial"/>
          <w:b/>
          <w:bCs/>
          <w:lang w:val="es-MX" w:eastAsia="es-MX"/>
        </w:rPr>
        <w:t>/INFOEM/IP/RR/202</w:t>
      </w:r>
      <w:r w:rsidR="003C160D" w:rsidRPr="00481BAD">
        <w:rPr>
          <w:rFonts w:ascii="Palatino Linotype" w:eastAsiaTheme="minorHAnsi" w:hAnsi="Palatino Linotype" w:cs="Arial"/>
          <w:b/>
          <w:bCs/>
          <w:lang w:val="es-MX" w:eastAsia="es-MX"/>
        </w:rPr>
        <w:t>3</w:t>
      </w:r>
      <w:r w:rsidRPr="00481BAD">
        <w:rPr>
          <w:rFonts w:ascii="Palatino Linotype" w:eastAsiaTheme="minorHAnsi" w:hAnsi="Palatino Linotype" w:cs="Arial"/>
          <w:lang w:val="es-MX" w:eastAsia="en-US"/>
        </w:rPr>
        <w:t>, en el cual aduce, las siguientes manifestaciones:</w:t>
      </w:r>
    </w:p>
    <w:p w14:paraId="71FFCC4F" w14:textId="77777777" w:rsidR="002D6E4B" w:rsidRPr="00481BAD" w:rsidRDefault="002D6E4B" w:rsidP="00B250D7">
      <w:pPr>
        <w:pStyle w:val="Sinespaciado"/>
        <w:rPr>
          <w:sz w:val="14"/>
        </w:rPr>
      </w:pPr>
    </w:p>
    <w:p w14:paraId="7D4DE184" w14:textId="77777777" w:rsidR="0029071C" w:rsidRPr="00481BAD" w:rsidRDefault="0029071C" w:rsidP="00B250D7">
      <w:pPr>
        <w:rPr>
          <w:lang w:val="es-MX"/>
        </w:rPr>
      </w:pPr>
    </w:p>
    <w:p w14:paraId="2FD177AB" w14:textId="49277150" w:rsidR="00DC1583" w:rsidRPr="00481BAD" w:rsidRDefault="0029071C" w:rsidP="00D54B83">
      <w:pPr>
        <w:numPr>
          <w:ilvl w:val="0"/>
          <w:numId w:val="1"/>
        </w:numPr>
        <w:spacing w:line="259" w:lineRule="auto"/>
        <w:jc w:val="both"/>
        <w:rPr>
          <w:rFonts w:ascii="Palatino Linotype" w:hAnsi="Palatino Linotype" w:cs="Arial"/>
          <w:b/>
          <w:sz w:val="26"/>
          <w:szCs w:val="26"/>
        </w:rPr>
      </w:pPr>
      <w:r w:rsidRPr="00481BAD">
        <w:rPr>
          <w:rFonts w:ascii="Palatino Linotype" w:hAnsi="Palatino Linotype" w:cs="Arial"/>
          <w:b/>
          <w:sz w:val="26"/>
          <w:szCs w:val="26"/>
        </w:rPr>
        <w:t>Acto Impugnado:</w:t>
      </w:r>
      <w:r w:rsidR="003C160D" w:rsidRPr="00481BAD">
        <w:rPr>
          <w:rFonts w:ascii="Palatino Linotype" w:hAnsi="Palatino Linotype" w:cs="Arial"/>
          <w:b/>
          <w:sz w:val="26"/>
          <w:szCs w:val="26"/>
        </w:rPr>
        <w:t xml:space="preserve"> </w:t>
      </w:r>
      <w:r w:rsidRPr="00481BAD">
        <w:rPr>
          <w:rFonts w:ascii="Palatino Linotype" w:eastAsiaTheme="minorHAnsi" w:hAnsi="Palatino Linotype" w:cstheme="minorBidi"/>
          <w:i/>
          <w:color w:val="000000"/>
          <w:sz w:val="22"/>
          <w:szCs w:val="22"/>
          <w:lang w:val="es-MX" w:eastAsia="en-US"/>
        </w:rPr>
        <w:t>“</w:t>
      </w:r>
      <w:r w:rsidR="00DE407A" w:rsidRPr="00481BAD">
        <w:rPr>
          <w:rFonts w:ascii="Palatino Linotype" w:eastAsiaTheme="minorHAnsi" w:hAnsi="Palatino Linotype" w:cstheme="minorBidi"/>
          <w:i/>
          <w:color w:val="000000"/>
          <w:sz w:val="22"/>
          <w:szCs w:val="22"/>
          <w:lang w:val="es-MX" w:eastAsia="en-US"/>
        </w:rPr>
        <w:t>NO ENTREGA LA INFORMACIÓN</w:t>
      </w:r>
      <w:r w:rsidRPr="00481BAD">
        <w:rPr>
          <w:rFonts w:ascii="Palatino Linotype" w:eastAsiaTheme="minorHAnsi" w:hAnsi="Palatino Linotype" w:cstheme="minorBidi"/>
          <w:i/>
          <w:color w:val="000000"/>
          <w:sz w:val="22"/>
          <w:szCs w:val="22"/>
          <w:lang w:val="es-MX" w:eastAsia="en-US"/>
        </w:rPr>
        <w:t>” (Sic).</w:t>
      </w:r>
    </w:p>
    <w:p w14:paraId="11E8B88F" w14:textId="77777777" w:rsidR="002D6E4B" w:rsidRPr="00481BAD" w:rsidRDefault="002D6E4B" w:rsidP="00F712EE">
      <w:pPr>
        <w:spacing w:line="276" w:lineRule="auto"/>
        <w:ind w:left="284"/>
        <w:jc w:val="both"/>
        <w:rPr>
          <w:rFonts w:ascii="Palatino Linotype" w:hAnsi="Palatino Linotype"/>
          <w:i/>
          <w:sz w:val="22"/>
          <w:szCs w:val="22"/>
          <w:lang w:val="es-MX" w:eastAsia="es-MX"/>
        </w:rPr>
      </w:pPr>
    </w:p>
    <w:p w14:paraId="27FD0CD5" w14:textId="5CFDADFE" w:rsidR="00E74701" w:rsidRPr="00481BAD" w:rsidRDefault="0029071C" w:rsidP="00DE407A">
      <w:pPr>
        <w:pStyle w:val="Prrafodelista"/>
        <w:numPr>
          <w:ilvl w:val="0"/>
          <w:numId w:val="1"/>
        </w:numPr>
        <w:spacing w:line="360" w:lineRule="auto"/>
        <w:jc w:val="both"/>
        <w:rPr>
          <w:rFonts w:ascii="Palatino Linotype" w:hAnsi="Palatino Linotype"/>
          <w:i/>
          <w:sz w:val="26"/>
          <w:szCs w:val="26"/>
          <w:lang w:val="es-MX" w:eastAsia="es-MX"/>
        </w:rPr>
      </w:pPr>
      <w:r w:rsidRPr="00481BAD">
        <w:rPr>
          <w:rFonts w:ascii="Palatino Linotype" w:hAnsi="Palatino Linotype" w:cs="Arial"/>
          <w:b/>
          <w:sz w:val="26"/>
          <w:szCs w:val="26"/>
        </w:rPr>
        <w:t>Razones o Motivos de Inconformidad</w:t>
      </w:r>
      <w:r w:rsidRPr="00481BAD">
        <w:rPr>
          <w:rFonts w:ascii="Palatino Linotype" w:hAnsi="Palatino Linotype" w:cs="Arial"/>
          <w:sz w:val="26"/>
          <w:szCs w:val="26"/>
        </w:rPr>
        <w:t xml:space="preserve">: </w:t>
      </w:r>
      <w:r w:rsidRPr="00481BAD">
        <w:rPr>
          <w:rFonts w:ascii="Palatino Linotype" w:eastAsiaTheme="minorHAnsi" w:hAnsi="Palatino Linotype" w:cs="Arial"/>
          <w:i/>
          <w:sz w:val="22"/>
          <w:szCs w:val="22"/>
          <w:lang w:val="es-MX" w:eastAsia="en-US"/>
        </w:rPr>
        <w:t>“</w:t>
      </w:r>
      <w:r w:rsidR="00DE407A" w:rsidRPr="00481BAD">
        <w:rPr>
          <w:rFonts w:ascii="Palatino Linotype" w:eastAsiaTheme="minorHAnsi" w:hAnsi="Palatino Linotype" w:cstheme="minorBidi"/>
          <w:i/>
          <w:color w:val="000000"/>
          <w:sz w:val="22"/>
          <w:szCs w:val="22"/>
          <w:lang w:val="es-MX" w:eastAsia="en-US"/>
        </w:rPr>
        <w:t>COMOOO???, NO ES INFORMACIÓN PÚBLICA SABER COMO SE TRABAJARA CON LA GOBERNADORA PARA EL BENEFICIO DEL MUNICIPIO???</w:t>
      </w:r>
      <w:r w:rsidRPr="00481BAD">
        <w:rPr>
          <w:rFonts w:ascii="Palatino Linotype" w:eastAsiaTheme="minorHAnsi" w:hAnsi="Palatino Linotype" w:cstheme="minorBidi"/>
          <w:i/>
          <w:color w:val="000000"/>
          <w:sz w:val="22"/>
          <w:szCs w:val="22"/>
          <w:lang w:val="es-MX" w:eastAsia="en-US"/>
        </w:rPr>
        <w:t>” (Sic)</w:t>
      </w:r>
    </w:p>
    <w:p w14:paraId="31E21AC6" w14:textId="77777777" w:rsidR="00DC1583" w:rsidRPr="00481BAD" w:rsidRDefault="00DC1583" w:rsidP="0029071C">
      <w:pPr>
        <w:spacing w:line="360" w:lineRule="auto"/>
        <w:jc w:val="both"/>
        <w:rPr>
          <w:rFonts w:ascii="Palatino Linotype" w:eastAsiaTheme="minorHAnsi" w:hAnsi="Palatino Linotype" w:cs="Arial"/>
          <w:b/>
          <w:lang w:val="es-MX" w:eastAsia="en-US"/>
        </w:rPr>
      </w:pPr>
    </w:p>
    <w:p w14:paraId="4A29FE23" w14:textId="77777777" w:rsidR="0029071C" w:rsidRPr="00481BAD" w:rsidRDefault="000E768F" w:rsidP="0029071C">
      <w:pPr>
        <w:spacing w:line="360" w:lineRule="auto"/>
        <w:jc w:val="both"/>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lastRenderedPageBreak/>
        <w:t>CUAR</w:t>
      </w:r>
      <w:r w:rsidR="00B250D7" w:rsidRPr="00481BAD">
        <w:rPr>
          <w:rFonts w:ascii="Palatino Linotype" w:eastAsiaTheme="minorHAnsi" w:hAnsi="Palatino Linotype" w:cs="Arial"/>
          <w:b/>
          <w:sz w:val="28"/>
          <w:lang w:val="es-MX" w:eastAsia="en-US"/>
        </w:rPr>
        <w:t>T</w:t>
      </w:r>
      <w:r w:rsidR="0029071C" w:rsidRPr="00481BAD">
        <w:rPr>
          <w:rFonts w:ascii="Palatino Linotype" w:eastAsiaTheme="minorHAnsi" w:hAnsi="Palatino Linotype" w:cs="Arial"/>
          <w:b/>
          <w:sz w:val="28"/>
          <w:lang w:val="es-MX" w:eastAsia="en-US"/>
        </w:rPr>
        <w:t>O. Del turno del recurso de revisión.</w:t>
      </w:r>
    </w:p>
    <w:p w14:paraId="4807673F" w14:textId="40580CC1" w:rsidR="00B250D7" w:rsidRPr="00481BAD" w:rsidRDefault="0029071C" w:rsidP="00DC1583">
      <w:pPr>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Medio de impugnación </w:t>
      </w:r>
      <w:r w:rsidR="00E74701" w:rsidRPr="00481BAD">
        <w:rPr>
          <w:rFonts w:ascii="Palatino Linotype" w:eastAsiaTheme="minorHAnsi" w:hAnsi="Palatino Linotype" w:cs="Arial"/>
          <w:lang w:val="es-MX" w:eastAsia="en-US"/>
        </w:rPr>
        <w:t>que le fue turnado al</w:t>
      </w:r>
      <w:r w:rsidRPr="00481BAD">
        <w:rPr>
          <w:rFonts w:ascii="Palatino Linotype" w:eastAsiaTheme="minorHAnsi" w:hAnsi="Palatino Linotype" w:cs="Arial"/>
          <w:lang w:val="es-MX" w:eastAsia="en-US"/>
        </w:rPr>
        <w:t xml:space="preserve"> </w:t>
      </w:r>
      <w:r w:rsidR="00E74701" w:rsidRPr="00481BAD">
        <w:rPr>
          <w:rFonts w:ascii="Palatino Linotype" w:eastAsiaTheme="minorHAnsi" w:hAnsi="Palatino Linotype" w:cs="Arial"/>
          <w:lang w:val="es-MX" w:eastAsia="en-US"/>
        </w:rPr>
        <w:t>Comisionado Presidente</w:t>
      </w:r>
      <w:r w:rsidRPr="00481BAD">
        <w:rPr>
          <w:rFonts w:ascii="Palatino Linotype" w:eastAsiaTheme="minorHAnsi" w:hAnsi="Palatino Linotype" w:cs="Arial"/>
          <w:lang w:val="es-MX" w:eastAsia="en-US"/>
        </w:rPr>
        <w:t xml:space="preserve"> </w:t>
      </w:r>
      <w:r w:rsidR="00E74701" w:rsidRPr="00481BAD">
        <w:rPr>
          <w:rFonts w:ascii="Palatino Linotype" w:eastAsiaTheme="minorHAnsi" w:hAnsi="Palatino Linotype" w:cs="Arial"/>
          <w:b/>
          <w:lang w:val="es-MX" w:eastAsia="en-US"/>
        </w:rPr>
        <w:t>José Martínez Vilchis</w:t>
      </w:r>
      <w:r w:rsidRPr="00481BA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E407A" w:rsidRPr="00481BAD">
        <w:rPr>
          <w:rFonts w:ascii="Palatino Linotype" w:eastAsiaTheme="minorHAnsi" w:hAnsi="Palatino Linotype" w:cs="Arial"/>
          <w:lang w:val="es-MX" w:eastAsia="en-US"/>
        </w:rPr>
        <w:t>dieci</w:t>
      </w:r>
      <w:r w:rsidR="0012298D" w:rsidRPr="00481BAD">
        <w:rPr>
          <w:rFonts w:ascii="Palatino Linotype" w:eastAsiaTheme="minorHAnsi" w:hAnsi="Palatino Linotype" w:cs="Arial"/>
          <w:lang w:val="es-MX" w:eastAsia="en-US"/>
        </w:rPr>
        <w:t xml:space="preserve">ocho de </w:t>
      </w:r>
      <w:r w:rsidR="00DE407A" w:rsidRPr="00481BAD">
        <w:rPr>
          <w:rFonts w:ascii="Palatino Linotype" w:eastAsiaTheme="minorHAnsi" w:hAnsi="Palatino Linotype" w:cs="Arial"/>
          <w:lang w:val="es-MX" w:eastAsia="en-US"/>
        </w:rPr>
        <w:t>agosto</w:t>
      </w:r>
      <w:r w:rsidR="00BA27FC" w:rsidRPr="00481BAD">
        <w:rPr>
          <w:rFonts w:ascii="Palatino Linotype" w:eastAsiaTheme="minorHAnsi" w:hAnsi="Palatino Linotype" w:cs="Arial"/>
          <w:lang w:val="es-MX" w:eastAsia="en-US"/>
        </w:rPr>
        <w:t xml:space="preserve"> de</w:t>
      </w:r>
      <w:r w:rsidRPr="00481BAD">
        <w:rPr>
          <w:rFonts w:ascii="Palatino Linotype" w:eastAsiaTheme="minorHAnsi" w:hAnsi="Palatino Linotype" w:cs="Arial"/>
          <w:lang w:val="es-MX" w:eastAsia="en-US"/>
        </w:rPr>
        <w:t xml:space="preserve"> </w:t>
      </w:r>
      <w:r w:rsidR="003C160D" w:rsidRPr="00481BAD">
        <w:rPr>
          <w:rFonts w:ascii="Palatino Linotype" w:eastAsiaTheme="minorHAnsi" w:hAnsi="Palatino Linotype" w:cs="Arial"/>
          <w:lang w:val="es-MX" w:eastAsia="en-US"/>
        </w:rPr>
        <w:t>dos mil veintitrés</w:t>
      </w:r>
      <w:r w:rsidRPr="00481BA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BDC3662" w14:textId="77777777" w:rsidR="0012298D" w:rsidRPr="00481BAD" w:rsidRDefault="0012298D" w:rsidP="0020156D">
      <w:pPr>
        <w:spacing w:line="360" w:lineRule="auto"/>
        <w:jc w:val="both"/>
        <w:rPr>
          <w:rFonts w:ascii="Palatino Linotype" w:hAnsi="Palatino Linotype"/>
          <w:bCs/>
          <w:lang w:val="es-MX"/>
        </w:rPr>
      </w:pPr>
    </w:p>
    <w:p w14:paraId="7EDBF9B1" w14:textId="42C670D1" w:rsidR="00BB5BCB" w:rsidRPr="00481BAD" w:rsidRDefault="0012298D" w:rsidP="00BB5BCB">
      <w:pPr>
        <w:spacing w:line="360" w:lineRule="auto"/>
        <w:jc w:val="both"/>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t>QUINT</w:t>
      </w:r>
      <w:r w:rsidR="00BB5BCB" w:rsidRPr="00481BAD">
        <w:rPr>
          <w:rFonts w:ascii="Palatino Linotype" w:eastAsiaTheme="minorHAnsi" w:hAnsi="Palatino Linotype" w:cs="Arial"/>
          <w:b/>
          <w:sz w:val="28"/>
          <w:lang w:val="es-MX" w:eastAsia="en-US"/>
        </w:rPr>
        <w:t>O. De la etapa de manifestaciones y/o alegatos.</w:t>
      </w:r>
    </w:p>
    <w:p w14:paraId="5806F548" w14:textId="47E3E64D" w:rsidR="00BB5BCB" w:rsidRPr="00481BAD" w:rsidRDefault="00BB5BCB" w:rsidP="00BB5BCB">
      <w:pPr>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Una vez transcurrido el término legal referido se destaca que, </w:t>
      </w:r>
      <w:r w:rsidRPr="00481BAD">
        <w:rPr>
          <w:rFonts w:ascii="Palatino Linotype" w:eastAsiaTheme="minorHAnsi" w:hAnsi="Palatino Linotype" w:cs="Arial"/>
          <w:b/>
          <w:lang w:val="es-MX" w:eastAsia="en-US"/>
        </w:rPr>
        <w:t>El Sujeto Obligado</w:t>
      </w:r>
      <w:r w:rsidRPr="00481BAD">
        <w:rPr>
          <w:rFonts w:ascii="Palatino Linotype" w:eastAsiaTheme="minorHAnsi" w:hAnsi="Palatino Linotype" w:cs="Arial"/>
          <w:lang w:val="es-MX" w:eastAsia="en-US"/>
        </w:rPr>
        <w:t xml:space="preserve"> </w:t>
      </w:r>
      <w:r w:rsidR="00DE407A" w:rsidRPr="00481BAD">
        <w:rPr>
          <w:rFonts w:ascii="Palatino Linotype" w:eastAsiaTheme="minorHAnsi" w:hAnsi="Palatino Linotype" w:cs="Arial"/>
          <w:lang w:val="es-MX" w:eastAsia="en-US"/>
        </w:rPr>
        <w:t>fue omiso en remitir</w:t>
      </w:r>
      <w:r w:rsidRPr="00481BAD">
        <w:rPr>
          <w:rFonts w:ascii="Palatino Linotype" w:eastAsiaTheme="minorHAnsi" w:hAnsi="Palatino Linotype" w:cs="Arial"/>
          <w:lang w:val="es-MX" w:eastAsia="en-US"/>
        </w:rPr>
        <w:t xml:space="preserve"> su informe justificado</w:t>
      </w:r>
      <w:r w:rsidR="00FC576D" w:rsidRPr="00481BAD">
        <w:rPr>
          <w:rFonts w:ascii="Palatino Linotype" w:eastAsiaTheme="minorHAnsi" w:hAnsi="Palatino Linotype" w:cs="Arial"/>
          <w:lang w:val="es-MX" w:eastAsia="en-US"/>
        </w:rPr>
        <w:t xml:space="preserve">; </w:t>
      </w:r>
      <w:r w:rsidRPr="00481BAD">
        <w:rPr>
          <w:rFonts w:ascii="Palatino Linotype" w:eastAsiaTheme="minorHAnsi" w:hAnsi="Palatino Linotype" w:cs="Arial"/>
          <w:lang w:val="es-MX" w:eastAsia="en-US"/>
        </w:rPr>
        <w:t xml:space="preserve">asimismo, se aprecia que la parte </w:t>
      </w:r>
      <w:r w:rsidRPr="00481BAD">
        <w:rPr>
          <w:rFonts w:ascii="Palatino Linotype" w:eastAsiaTheme="minorHAnsi" w:hAnsi="Palatino Linotype" w:cs="Arial"/>
          <w:b/>
          <w:lang w:val="es-MX" w:eastAsia="en-US"/>
        </w:rPr>
        <w:t>Recurrente</w:t>
      </w:r>
      <w:r w:rsidRPr="00481BAD">
        <w:rPr>
          <w:rFonts w:ascii="Palatino Linotype" w:eastAsiaTheme="minorHAnsi" w:hAnsi="Palatino Linotype" w:cs="Arial"/>
          <w:lang w:val="es-MX" w:eastAsia="en-US"/>
        </w:rPr>
        <w:t xml:space="preserve"> </w:t>
      </w:r>
      <w:r w:rsidR="00DE407A" w:rsidRPr="00481BAD">
        <w:rPr>
          <w:rFonts w:ascii="Palatino Linotype" w:eastAsiaTheme="minorHAnsi" w:hAnsi="Palatino Linotype" w:cs="Arial"/>
          <w:lang w:val="es-MX" w:eastAsia="en-US"/>
        </w:rPr>
        <w:t xml:space="preserve">tampoco </w:t>
      </w:r>
      <w:r w:rsidRPr="00481BAD">
        <w:rPr>
          <w:rFonts w:ascii="Palatino Linotype" w:eastAsiaTheme="minorHAnsi" w:hAnsi="Palatino Linotype" w:cs="Arial"/>
          <w:lang w:val="es-MX" w:eastAsia="en-US"/>
        </w:rPr>
        <w:t>realizó alegatos, ni ofreció pruebas o manifestaciones, lo anterior de conformidad con la siguiente imagen:</w:t>
      </w:r>
    </w:p>
    <w:p w14:paraId="360BD632" w14:textId="5134A07F" w:rsidR="00FC576D" w:rsidRPr="00481BAD" w:rsidRDefault="00DE407A" w:rsidP="00BB5BCB">
      <w:pPr>
        <w:spacing w:line="360" w:lineRule="auto"/>
        <w:jc w:val="both"/>
        <w:rPr>
          <w:rFonts w:ascii="Palatino Linotype" w:eastAsiaTheme="minorHAnsi" w:hAnsi="Palatino Linotype" w:cs="Arial"/>
          <w:noProof/>
          <w:lang w:val="es-MX" w:eastAsia="es-MX"/>
        </w:rPr>
      </w:pPr>
      <w:r w:rsidRPr="00481BAD">
        <w:rPr>
          <w:rFonts w:ascii="Palatino Linotype" w:eastAsiaTheme="minorHAnsi" w:hAnsi="Palatino Linotype" w:cs="Arial"/>
          <w:noProof/>
          <w:lang w:val="es-MX" w:eastAsia="es-MX"/>
        </w:rPr>
        <w:drawing>
          <wp:inline distT="0" distB="0" distL="0" distR="0" wp14:anchorId="6AFE0E30" wp14:editId="0B769B3D">
            <wp:extent cx="5791835" cy="1406525"/>
            <wp:effectExtent l="190500" t="190500" r="189865" b="193675"/>
            <wp:docPr id="3668688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68874" name=""/>
                    <pic:cNvPicPr/>
                  </pic:nvPicPr>
                  <pic:blipFill>
                    <a:blip r:embed="rId8"/>
                    <a:stretch>
                      <a:fillRect/>
                    </a:stretch>
                  </pic:blipFill>
                  <pic:spPr>
                    <a:xfrm>
                      <a:off x="0" y="0"/>
                      <a:ext cx="5791835" cy="1406525"/>
                    </a:xfrm>
                    <a:prstGeom prst="rect">
                      <a:avLst/>
                    </a:prstGeom>
                    <a:ln>
                      <a:noFill/>
                    </a:ln>
                    <a:effectLst>
                      <a:outerShdw blurRad="190500" algn="tl" rotWithShape="0">
                        <a:srgbClr val="000000">
                          <a:alpha val="70000"/>
                        </a:srgbClr>
                      </a:outerShdw>
                    </a:effectLst>
                  </pic:spPr>
                </pic:pic>
              </a:graphicData>
            </a:graphic>
          </wp:inline>
        </w:drawing>
      </w:r>
    </w:p>
    <w:p w14:paraId="7F251B18" w14:textId="6E9FEE62" w:rsidR="00BB5BCB" w:rsidRPr="00481BAD" w:rsidRDefault="0012298D" w:rsidP="00BB5BCB">
      <w:pPr>
        <w:tabs>
          <w:tab w:val="left" w:pos="3206"/>
        </w:tabs>
        <w:spacing w:line="360" w:lineRule="auto"/>
        <w:jc w:val="both"/>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t>SEXT</w:t>
      </w:r>
      <w:r w:rsidR="00BB5BCB" w:rsidRPr="00481BAD">
        <w:rPr>
          <w:rFonts w:ascii="Palatino Linotype" w:eastAsiaTheme="minorHAnsi" w:hAnsi="Palatino Linotype" w:cs="Arial"/>
          <w:b/>
          <w:sz w:val="28"/>
          <w:lang w:val="es-MX" w:eastAsia="en-US"/>
        </w:rPr>
        <w:t>O. Del cierre de instrucción.</w:t>
      </w:r>
      <w:r w:rsidR="00BB5BCB" w:rsidRPr="00481BAD">
        <w:rPr>
          <w:rFonts w:ascii="Palatino Linotype" w:eastAsiaTheme="minorHAnsi" w:hAnsi="Palatino Linotype" w:cs="Arial"/>
          <w:b/>
          <w:sz w:val="28"/>
          <w:lang w:val="es-MX" w:eastAsia="en-US"/>
        </w:rPr>
        <w:tab/>
      </w:r>
    </w:p>
    <w:p w14:paraId="4D8D6D3E" w14:textId="6DD034AE" w:rsidR="0020156D" w:rsidRPr="00481BAD" w:rsidRDefault="00BB5BCB" w:rsidP="0029071C">
      <w:pPr>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Así, una vez transcurrido el término legal, permitió decretarse el cierre de instrucción en fecha </w:t>
      </w:r>
      <w:r w:rsidR="00DE407A" w:rsidRPr="00481BAD">
        <w:rPr>
          <w:rFonts w:ascii="Palatino Linotype" w:eastAsiaTheme="minorHAnsi" w:hAnsi="Palatino Linotype" w:cs="Arial"/>
          <w:lang w:val="es-MX" w:eastAsia="en-US"/>
        </w:rPr>
        <w:t>treinta de agosto</w:t>
      </w:r>
      <w:r w:rsidRPr="00481BA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5A4B160" w14:textId="77777777" w:rsidR="0020156D" w:rsidRPr="00481BAD" w:rsidRDefault="0020156D" w:rsidP="0029071C">
      <w:pPr>
        <w:spacing w:line="360" w:lineRule="auto"/>
        <w:jc w:val="both"/>
        <w:rPr>
          <w:rFonts w:ascii="Palatino Linotype" w:eastAsiaTheme="minorHAnsi" w:hAnsi="Palatino Linotype" w:cs="Arial"/>
          <w:lang w:val="es-MX" w:eastAsia="en-US"/>
        </w:rPr>
      </w:pPr>
    </w:p>
    <w:p w14:paraId="5A357F26" w14:textId="77777777" w:rsidR="00B96A17" w:rsidRPr="00481BAD"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481BAD" w:rsidRDefault="00E74701" w:rsidP="00D57F74">
      <w:pPr>
        <w:spacing w:line="360" w:lineRule="auto"/>
        <w:jc w:val="center"/>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t>C O N S I D E R A N</w:t>
      </w:r>
      <w:r w:rsidR="00D57F74" w:rsidRPr="00481BAD">
        <w:rPr>
          <w:rFonts w:ascii="Palatino Linotype" w:eastAsiaTheme="minorHAnsi" w:hAnsi="Palatino Linotype" w:cs="Arial"/>
          <w:b/>
          <w:sz w:val="28"/>
          <w:lang w:val="es-MX" w:eastAsia="en-US"/>
        </w:rPr>
        <w:t xml:space="preserve"> D O </w:t>
      </w:r>
    </w:p>
    <w:p w14:paraId="464A75F9" w14:textId="77777777" w:rsidR="00D57F74" w:rsidRPr="00481BAD"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481BAD" w:rsidRDefault="0029071C" w:rsidP="0029071C">
      <w:pPr>
        <w:spacing w:line="360" w:lineRule="auto"/>
        <w:jc w:val="both"/>
        <w:rPr>
          <w:rFonts w:ascii="Palatino Linotype" w:eastAsiaTheme="minorHAnsi" w:hAnsi="Palatino Linotype" w:cs="Arial"/>
          <w:sz w:val="28"/>
          <w:lang w:val="es-MX" w:eastAsia="en-US"/>
        </w:rPr>
      </w:pPr>
      <w:r w:rsidRPr="00481BAD">
        <w:rPr>
          <w:rFonts w:ascii="Palatino Linotype" w:eastAsiaTheme="minorHAnsi" w:hAnsi="Palatino Linotype" w:cs="Arial"/>
          <w:b/>
          <w:sz w:val="28"/>
          <w:lang w:val="es-MX" w:eastAsia="en-US"/>
        </w:rPr>
        <w:t>PRIMERO. De la competencia</w:t>
      </w:r>
      <w:r w:rsidRPr="00481BAD">
        <w:rPr>
          <w:rFonts w:ascii="Palatino Linotype" w:eastAsiaTheme="minorHAnsi" w:hAnsi="Palatino Linotype" w:cs="Arial"/>
          <w:sz w:val="28"/>
          <w:lang w:val="es-MX" w:eastAsia="en-US"/>
        </w:rPr>
        <w:t>.</w:t>
      </w:r>
    </w:p>
    <w:p w14:paraId="1C58BDA1" w14:textId="6781DACA" w:rsidR="0012298D" w:rsidRPr="00481BAD" w:rsidRDefault="008032D9" w:rsidP="0029071C">
      <w:pPr>
        <w:autoSpaceDE w:val="0"/>
        <w:autoSpaceDN w:val="0"/>
        <w:adjustRightInd w:val="0"/>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B8FEEBD" w14:textId="77777777" w:rsidR="00DE407A" w:rsidRPr="00481BAD" w:rsidRDefault="00DE407A" w:rsidP="0029071C">
      <w:pPr>
        <w:autoSpaceDE w:val="0"/>
        <w:autoSpaceDN w:val="0"/>
        <w:adjustRightInd w:val="0"/>
        <w:spacing w:line="360" w:lineRule="auto"/>
        <w:jc w:val="both"/>
        <w:rPr>
          <w:rFonts w:ascii="Palatino Linotype" w:eastAsiaTheme="minorHAnsi" w:hAnsi="Palatino Linotype" w:cs="Arial"/>
          <w:lang w:val="es-MX" w:eastAsia="en-US"/>
        </w:rPr>
      </w:pPr>
    </w:p>
    <w:p w14:paraId="10975557" w14:textId="77777777" w:rsidR="0029071C" w:rsidRPr="00481BA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81BAD">
        <w:rPr>
          <w:rFonts w:ascii="Palatino Linotype" w:eastAsiaTheme="minorHAnsi" w:hAnsi="Palatino Linotype" w:cs="Arial"/>
          <w:b/>
          <w:sz w:val="28"/>
          <w:lang w:val="es-MX" w:eastAsia="en-US"/>
        </w:rPr>
        <w:t xml:space="preserve">SEGUNDO. De los alcances del Recurso de Revisión. </w:t>
      </w:r>
    </w:p>
    <w:p w14:paraId="18B1B443" w14:textId="77777777" w:rsidR="0029071C" w:rsidRPr="00481BA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9663212" w14:textId="77777777" w:rsidR="00DE407A" w:rsidRPr="00481BAD" w:rsidRDefault="00DE407A" w:rsidP="0029071C">
      <w:pPr>
        <w:autoSpaceDE w:val="0"/>
        <w:autoSpaceDN w:val="0"/>
        <w:adjustRightInd w:val="0"/>
        <w:spacing w:line="360" w:lineRule="auto"/>
        <w:jc w:val="both"/>
        <w:rPr>
          <w:rFonts w:ascii="Palatino Linotype" w:eastAsiaTheme="minorHAnsi" w:hAnsi="Palatino Linotype" w:cs="Arial"/>
          <w:lang w:val="es-MX" w:eastAsia="en-US"/>
        </w:rPr>
      </w:pPr>
    </w:p>
    <w:p w14:paraId="5346B24B" w14:textId="77777777" w:rsidR="00DE407A" w:rsidRPr="00481BAD" w:rsidRDefault="00DE407A" w:rsidP="0029071C">
      <w:pPr>
        <w:autoSpaceDE w:val="0"/>
        <w:autoSpaceDN w:val="0"/>
        <w:adjustRightInd w:val="0"/>
        <w:spacing w:line="360" w:lineRule="auto"/>
        <w:jc w:val="both"/>
        <w:rPr>
          <w:rFonts w:ascii="Palatino Linotype" w:eastAsiaTheme="minorHAnsi" w:hAnsi="Palatino Linotype" w:cs="Arial"/>
          <w:lang w:val="es-MX" w:eastAsia="en-US"/>
        </w:rPr>
      </w:pPr>
    </w:p>
    <w:p w14:paraId="0FF86D9F" w14:textId="77777777" w:rsidR="00DE407A" w:rsidRPr="00481BAD" w:rsidRDefault="00DE407A" w:rsidP="00DE407A">
      <w:pPr>
        <w:autoSpaceDE w:val="0"/>
        <w:autoSpaceDN w:val="0"/>
        <w:adjustRightInd w:val="0"/>
        <w:spacing w:line="360" w:lineRule="auto"/>
        <w:jc w:val="both"/>
        <w:rPr>
          <w:rFonts w:ascii="Palatino Linotype" w:hAnsi="Palatino Linotype" w:cs="Arial"/>
          <w:b/>
        </w:rPr>
      </w:pPr>
      <w:r w:rsidRPr="00481BAD">
        <w:rPr>
          <w:rFonts w:ascii="Palatino Linotype" w:hAnsi="Palatino Linotype" w:cs="Arial"/>
          <w:b/>
          <w:sz w:val="28"/>
        </w:rPr>
        <w:lastRenderedPageBreak/>
        <w:t>TERCERO. Cuestiones de previo y especial pronunciamiento</w:t>
      </w:r>
      <w:r w:rsidRPr="00481BAD">
        <w:rPr>
          <w:rFonts w:ascii="Palatino Linotype" w:hAnsi="Palatino Linotype" w:cs="Arial"/>
          <w:b/>
        </w:rPr>
        <w:t>.</w:t>
      </w:r>
    </w:p>
    <w:p w14:paraId="489217C5" w14:textId="77777777" w:rsidR="00DE407A" w:rsidRPr="00481BAD" w:rsidRDefault="00DE407A" w:rsidP="00DE407A">
      <w:pPr>
        <w:spacing w:line="360" w:lineRule="auto"/>
        <w:jc w:val="both"/>
        <w:rPr>
          <w:rFonts w:ascii="Palatino Linotype" w:hAnsi="Palatino Linotype"/>
        </w:rPr>
      </w:pPr>
      <w:r w:rsidRPr="00481BA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81BAD">
        <w:rPr>
          <w:rFonts w:ascii="Palatino Linotype" w:hAnsi="Palatino Linotype"/>
          <w:b/>
        </w:rPr>
        <w:t>Recurrente,</w:t>
      </w:r>
      <w:r w:rsidRPr="00481BA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481BAD">
        <w:rPr>
          <w:rFonts w:ascii="Palatino Linotype" w:hAnsi="Palatino Linotype" w:cs="Arial"/>
        </w:rPr>
        <w:t>, del cual no se colige que corresponda al nombre de una persona.</w:t>
      </w:r>
    </w:p>
    <w:p w14:paraId="27A6C473" w14:textId="77777777" w:rsidR="00DE407A" w:rsidRPr="00481BAD" w:rsidRDefault="00DE407A" w:rsidP="00DE407A">
      <w:pPr>
        <w:widowControl w:val="0"/>
        <w:autoSpaceDE w:val="0"/>
        <w:autoSpaceDN w:val="0"/>
        <w:adjustRightInd w:val="0"/>
        <w:spacing w:line="360" w:lineRule="auto"/>
        <w:jc w:val="both"/>
        <w:rPr>
          <w:rFonts w:ascii="Palatino Linotype" w:hAnsi="Palatino Linotype" w:cs="Arial"/>
        </w:rPr>
      </w:pPr>
    </w:p>
    <w:p w14:paraId="43CB2820" w14:textId="77777777" w:rsidR="00DE407A" w:rsidRPr="00481BAD" w:rsidRDefault="00DE407A" w:rsidP="00DE407A">
      <w:pPr>
        <w:widowControl w:val="0"/>
        <w:autoSpaceDE w:val="0"/>
        <w:autoSpaceDN w:val="0"/>
        <w:adjustRightInd w:val="0"/>
        <w:spacing w:line="360" w:lineRule="auto"/>
        <w:jc w:val="both"/>
        <w:rPr>
          <w:rFonts w:ascii="Palatino Linotype" w:hAnsi="Palatino Linotype" w:cs="Arial"/>
        </w:rPr>
      </w:pPr>
      <w:r w:rsidRPr="00481BAD">
        <w:rPr>
          <w:rFonts w:ascii="Palatino Linotype" w:hAnsi="Palatino Linotype" w:cs="Arial"/>
        </w:rPr>
        <w:t xml:space="preserve">Esta Ponencia considera importante abordar el análisis de los requisitos de procedibilidad de los recursos de revisión, así el artículo 180 de la </w:t>
      </w:r>
      <w:r w:rsidRPr="00481BAD">
        <w:rPr>
          <w:rFonts w:ascii="Palatino Linotype" w:hAnsi="Palatino Linotype" w:cs="Arial"/>
          <w:lang w:eastAsia="es-MX"/>
        </w:rPr>
        <w:t xml:space="preserve">Ley de Transparencia y Acceso a la Información Pública del Estado de México y Municipios, que </w:t>
      </w:r>
      <w:r w:rsidRPr="00481BAD">
        <w:rPr>
          <w:rFonts w:ascii="Palatino Linotype" w:hAnsi="Palatino Linotype" w:cs="Arial"/>
        </w:rPr>
        <w:t>establece lo siguiente:</w:t>
      </w:r>
    </w:p>
    <w:p w14:paraId="63CF1DE1" w14:textId="77777777" w:rsidR="00DE407A" w:rsidRPr="00481BAD" w:rsidRDefault="00DE407A" w:rsidP="00DE407A">
      <w:pPr>
        <w:rPr>
          <w:lang w:val="es-MX"/>
        </w:rPr>
      </w:pPr>
    </w:p>
    <w:p w14:paraId="1BBA1ACE" w14:textId="77777777" w:rsidR="00DE407A" w:rsidRPr="00481BAD" w:rsidRDefault="00DE407A" w:rsidP="00DE407A">
      <w:pPr>
        <w:ind w:left="851" w:right="851"/>
        <w:jc w:val="both"/>
        <w:rPr>
          <w:rFonts w:ascii="Palatino Linotype" w:hAnsi="Palatino Linotype"/>
          <w:b/>
          <w:i/>
          <w:sz w:val="22"/>
        </w:rPr>
      </w:pPr>
      <w:r w:rsidRPr="00481BAD">
        <w:rPr>
          <w:rFonts w:ascii="Palatino Linotype" w:hAnsi="Palatino Linotype"/>
          <w:i/>
          <w:sz w:val="22"/>
        </w:rPr>
        <w:t>“</w:t>
      </w:r>
      <w:r w:rsidRPr="00481BAD">
        <w:rPr>
          <w:rFonts w:ascii="Palatino Linotype" w:hAnsi="Palatino Linotype"/>
          <w:b/>
          <w:i/>
          <w:sz w:val="22"/>
        </w:rPr>
        <w:t xml:space="preserve">Artículo 180. </w:t>
      </w:r>
      <w:r w:rsidRPr="00481BAD">
        <w:rPr>
          <w:rFonts w:ascii="Palatino Linotype" w:hAnsi="Palatino Linotype"/>
          <w:i/>
          <w:sz w:val="22"/>
        </w:rPr>
        <w:t xml:space="preserve">El </w:t>
      </w:r>
      <w:r w:rsidRPr="00481BAD">
        <w:rPr>
          <w:rFonts w:ascii="Palatino Linotype" w:hAnsi="Palatino Linotype" w:cs="Arial"/>
          <w:i/>
          <w:sz w:val="22"/>
        </w:rPr>
        <w:t>recurso</w:t>
      </w:r>
      <w:r w:rsidRPr="00481BAD">
        <w:rPr>
          <w:rFonts w:ascii="Palatino Linotype" w:hAnsi="Palatino Linotype"/>
          <w:i/>
          <w:sz w:val="22"/>
        </w:rPr>
        <w:t xml:space="preserve"> </w:t>
      </w:r>
      <w:r w:rsidRPr="00481BAD">
        <w:rPr>
          <w:rFonts w:ascii="Palatino Linotype" w:hAnsi="Palatino Linotype" w:cs="Arial"/>
          <w:i/>
          <w:sz w:val="22"/>
          <w:lang w:eastAsia="es-MX"/>
        </w:rPr>
        <w:t>de</w:t>
      </w:r>
      <w:r w:rsidRPr="00481BAD">
        <w:rPr>
          <w:rFonts w:ascii="Palatino Linotype" w:hAnsi="Palatino Linotype"/>
          <w:i/>
          <w:sz w:val="22"/>
        </w:rPr>
        <w:t xml:space="preserve"> revisión contendrá:</w:t>
      </w:r>
      <w:r w:rsidRPr="00481BAD">
        <w:rPr>
          <w:rFonts w:ascii="Palatino Linotype" w:hAnsi="Palatino Linotype"/>
          <w:b/>
          <w:i/>
          <w:sz w:val="22"/>
        </w:rPr>
        <w:t xml:space="preserve"> </w:t>
      </w:r>
    </w:p>
    <w:p w14:paraId="4DA3110D" w14:textId="77777777" w:rsidR="00DE407A" w:rsidRPr="00481BAD" w:rsidRDefault="00DE407A" w:rsidP="00DE407A">
      <w:pPr>
        <w:ind w:left="851" w:right="851"/>
        <w:jc w:val="both"/>
        <w:rPr>
          <w:rFonts w:ascii="Palatino Linotype" w:hAnsi="Palatino Linotype"/>
          <w:b/>
          <w:i/>
          <w:sz w:val="22"/>
        </w:rPr>
      </w:pPr>
      <w:r w:rsidRPr="00481BAD">
        <w:rPr>
          <w:rFonts w:ascii="Palatino Linotype" w:hAnsi="Palatino Linotype"/>
          <w:b/>
          <w:i/>
          <w:sz w:val="22"/>
        </w:rPr>
        <w:t xml:space="preserve">I. </w:t>
      </w:r>
      <w:r w:rsidRPr="00481BAD">
        <w:rPr>
          <w:rFonts w:ascii="Palatino Linotype" w:hAnsi="Palatino Linotype"/>
          <w:i/>
          <w:sz w:val="22"/>
        </w:rPr>
        <w:t xml:space="preserve">El sujeto obligado ante </w:t>
      </w:r>
      <w:r w:rsidRPr="00481BAD">
        <w:rPr>
          <w:rFonts w:ascii="Palatino Linotype" w:hAnsi="Palatino Linotype" w:cs="Arial"/>
          <w:i/>
          <w:sz w:val="22"/>
        </w:rPr>
        <w:t>la</w:t>
      </w:r>
      <w:r w:rsidRPr="00481BAD">
        <w:rPr>
          <w:rFonts w:ascii="Palatino Linotype" w:hAnsi="Palatino Linotype"/>
          <w:i/>
          <w:sz w:val="22"/>
        </w:rPr>
        <w:t xml:space="preserve"> cual </w:t>
      </w:r>
      <w:r w:rsidRPr="00481BAD">
        <w:rPr>
          <w:rFonts w:ascii="Palatino Linotype" w:hAnsi="Palatino Linotype" w:cs="Arial"/>
          <w:i/>
          <w:sz w:val="22"/>
          <w:lang w:eastAsia="es-MX"/>
        </w:rPr>
        <w:t>se</w:t>
      </w:r>
      <w:r w:rsidRPr="00481BAD">
        <w:rPr>
          <w:rFonts w:ascii="Palatino Linotype" w:hAnsi="Palatino Linotype"/>
          <w:i/>
          <w:sz w:val="22"/>
        </w:rPr>
        <w:t xml:space="preserve"> presentó la solicitud;</w:t>
      </w:r>
      <w:r w:rsidRPr="00481BAD">
        <w:rPr>
          <w:rFonts w:ascii="Palatino Linotype" w:hAnsi="Palatino Linotype"/>
          <w:b/>
          <w:i/>
          <w:sz w:val="22"/>
        </w:rPr>
        <w:t xml:space="preserve"> </w:t>
      </w:r>
    </w:p>
    <w:p w14:paraId="03D1ECC1" w14:textId="77777777" w:rsidR="00DE407A" w:rsidRPr="00481BAD" w:rsidRDefault="00DE407A" w:rsidP="00DE407A">
      <w:pPr>
        <w:ind w:left="851" w:right="851"/>
        <w:jc w:val="both"/>
        <w:rPr>
          <w:rFonts w:ascii="Palatino Linotype" w:hAnsi="Palatino Linotype"/>
          <w:b/>
          <w:i/>
          <w:sz w:val="22"/>
        </w:rPr>
      </w:pPr>
      <w:r w:rsidRPr="00481BAD">
        <w:rPr>
          <w:rFonts w:ascii="Palatino Linotype" w:hAnsi="Palatino Linotype"/>
          <w:b/>
          <w:i/>
          <w:sz w:val="22"/>
        </w:rPr>
        <w:t xml:space="preserve">II. </w:t>
      </w:r>
      <w:r w:rsidRPr="00481BAD">
        <w:rPr>
          <w:rFonts w:ascii="Palatino Linotype" w:hAnsi="Palatino Linotype"/>
          <w:b/>
          <w:i/>
          <w:sz w:val="22"/>
          <w:u w:val="single"/>
        </w:rPr>
        <w:t xml:space="preserve">El nombre del solicitante </w:t>
      </w:r>
      <w:r w:rsidRPr="00481BAD">
        <w:rPr>
          <w:rFonts w:ascii="Palatino Linotype" w:hAnsi="Palatino Linotype" w:cs="Arial"/>
          <w:b/>
          <w:i/>
          <w:sz w:val="22"/>
          <w:u w:val="single"/>
          <w:lang w:eastAsia="es-MX"/>
        </w:rPr>
        <w:t>que</w:t>
      </w:r>
      <w:r w:rsidRPr="00481BAD">
        <w:rPr>
          <w:rFonts w:ascii="Palatino Linotype" w:hAnsi="Palatino Linotype"/>
          <w:b/>
          <w:i/>
          <w:sz w:val="22"/>
          <w:u w:val="single"/>
        </w:rPr>
        <w:t xml:space="preserve"> recurre</w:t>
      </w:r>
      <w:r w:rsidRPr="00481BAD">
        <w:rPr>
          <w:rFonts w:ascii="Palatino Linotype" w:hAnsi="Palatino Linotype"/>
          <w:b/>
          <w:i/>
          <w:sz w:val="22"/>
        </w:rPr>
        <w:t xml:space="preserve"> </w:t>
      </w:r>
      <w:r w:rsidRPr="00481BAD">
        <w:rPr>
          <w:rFonts w:ascii="Palatino Linotype" w:hAnsi="Palatino Linotype"/>
          <w:i/>
          <w:sz w:val="22"/>
        </w:rPr>
        <w:t>o de su representante y, en su caso, del tercero interesado, así como la dirección o medio que señale para recibir notificaciones;</w:t>
      </w:r>
      <w:r w:rsidRPr="00481BAD">
        <w:rPr>
          <w:rFonts w:ascii="Palatino Linotype" w:hAnsi="Palatino Linotype"/>
          <w:b/>
          <w:i/>
          <w:sz w:val="22"/>
        </w:rPr>
        <w:t xml:space="preserve"> </w:t>
      </w:r>
    </w:p>
    <w:p w14:paraId="2774511A" w14:textId="77777777" w:rsidR="00DE407A" w:rsidRPr="00481BAD" w:rsidRDefault="00DE407A" w:rsidP="00DE407A">
      <w:pPr>
        <w:widowControl w:val="0"/>
        <w:autoSpaceDE w:val="0"/>
        <w:autoSpaceDN w:val="0"/>
        <w:adjustRightInd w:val="0"/>
        <w:spacing w:line="360" w:lineRule="auto"/>
        <w:jc w:val="both"/>
        <w:rPr>
          <w:rFonts w:ascii="Palatino Linotype" w:hAnsi="Palatino Linotype"/>
        </w:rPr>
      </w:pPr>
    </w:p>
    <w:p w14:paraId="345813A2" w14:textId="77777777" w:rsidR="00DE407A" w:rsidRPr="00481BAD" w:rsidRDefault="00DE407A" w:rsidP="00DE407A">
      <w:pPr>
        <w:widowControl w:val="0"/>
        <w:autoSpaceDE w:val="0"/>
        <w:autoSpaceDN w:val="0"/>
        <w:adjustRightInd w:val="0"/>
        <w:spacing w:line="360" w:lineRule="auto"/>
        <w:jc w:val="both"/>
        <w:rPr>
          <w:rFonts w:ascii="Palatino Linotype" w:hAnsi="Palatino Linotype"/>
        </w:rPr>
      </w:pPr>
      <w:r w:rsidRPr="00481BAD">
        <w:rPr>
          <w:rFonts w:ascii="Palatino Linotype" w:hAnsi="Palatino Linotype"/>
        </w:rPr>
        <w:t xml:space="preserve">En principio, de una interpretación del artículo transcrito se observan los requisitos que </w:t>
      </w:r>
      <w:r w:rsidRPr="00481BAD">
        <w:rPr>
          <w:rFonts w:ascii="Palatino Linotype" w:hAnsi="Palatino Linotype" w:cs="Arial"/>
        </w:rPr>
        <w:t>deberán</w:t>
      </w:r>
      <w:r w:rsidRPr="00481BAD">
        <w:rPr>
          <w:rFonts w:ascii="Palatino Linotype" w:hAnsi="Palatino Linotype"/>
        </w:rPr>
        <w:t xml:space="preserve"> contener los recursos de revisión; sobre el particular, de la revisión del expediente electrónico del </w:t>
      </w:r>
      <w:r w:rsidRPr="00481BAD">
        <w:rPr>
          <w:rFonts w:ascii="Palatino Linotype" w:hAnsi="Palatino Linotype"/>
          <w:b/>
        </w:rPr>
        <w:t>SAIMEX</w:t>
      </w:r>
      <w:r w:rsidRPr="00481BAD">
        <w:rPr>
          <w:rFonts w:ascii="Palatino Linotype" w:hAnsi="Palatino Linotype"/>
        </w:rPr>
        <w:t xml:space="preserve"> se desprende que el solicitante y ahora </w:t>
      </w:r>
      <w:r w:rsidRPr="00481BAD">
        <w:rPr>
          <w:rFonts w:ascii="Palatino Linotype" w:hAnsi="Palatino Linotype"/>
          <w:b/>
        </w:rPr>
        <w:t>Recurrente</w:t>
      </w:r>
      <w:r w:rsidRPr="00481BAD">
        <w:rPr>
          <w:rFonts w:ascii="Palatino Linotype" w:hAnsi="Palatino Linotype"/>
        </w:rPr>
        <w:t xml:space="preserve">, en ejercicio de su derecho de acceso a la información pública, no proporcionó un nombre para que </w:t>
      </w:r>
      <w:r w:rsidRPr="00481BAD">
        <w:rPr>
          <w:rFonts w:ascii="Palatino Linotype" w:hAnsi="Palatino Linotype" w:cs="Arial"/>
        </w:rPr>
        <w:t>sea</w:t>
      </w:r>
      <w:r w:rsidRPr="00481BAD">
        <w:rPr>
          <w:rFonts w:ascii="Palatino Linotype" w:hAnsi="Palatino Linotype"/>
        </w:rPr>
        <w:t xml:space="preserve"> identificado; por lo que no tiene certeza sobre su identidad, lo </w:t>
      </w:r>
      <w:r w:rsidRPr="00481BAD">
        <w:rPr>
          <w:rFonts w:ascii="Palatino Linotype" w:hAnsi="Palatino Linotype"/>
        </w:rPr>
        <w:lastRenderedPageBreak/>
        <w:t>que en estricto sentido, no se colmarían los requisitos establecidos en el citado artículo 180, de la Ley de Transparencia.</w:t>
      </w:r>
    </w:p>
    <w:p w14:paraId="31F608BE" w14:textId="77777777" w:rsidR="00DE407A" w:rsidRPr="00481BAD" w:rsidRDefault="00DE407A" w:rsidP="00DE407A">
      <w:pPr>
        <w:widowControl w:val="0"/>
        <w:autoSpaceDE w:val="0"/>
        <w:autoSpaceDN w:val="0"/>
        <w:adjustRightInd w:val="0"/>
        <w:spacing w:line="360" w:lineRule="auto"/>
        <w:jc w:val="both"/>
        <w:rPr>
          <w:rFonts w:ascii="Palatino Linotype" w:hAnsi="Palatino Linotype"/>
        </w:rPr>
      </w:pPr>
    </w:p>
    <w:p w14:paraId="46BA2129" w14:textId="77777777" w:rsidR="00DE407A" w:rsidRPr="00481BAD" w:rsidRDefault="00DE407A" w:rsidP="00DE407A">
      <w:pPr>
        <w:widowControl w:val="0"/>
        <w:autoSpaceDE w:val="0"/>
        <w:autoSpaceDN w:val="0"/>
        <w:adjustRightInd w:val="0"/>
        <w:spacing w:line="360" w:lineRule="auto"/>
        <w:jc w:val="both"/>
        <w:rPr>
          <w:rFonts w:ascii="Palatino Linotype" w:hAnsi="Palatino Linotype" w:cs="Arial"/>
        </w:rPr>
      </w:pPr>
      <w:r w:rsidRPr="00481BAD">
        <w:rPr>
          <w:rFonts w:ascii="Palatino Linotype" w:hAnsi="Palatino Linotype"/>
        </w:rPr>
        <w:t xml:space="preserve">No obstante lo anterior, debe destacarse que el artículo 15, de </w:t>
      </w:r>
      <w:r w:rsidRPr="00481BAD">
        <w:rPr>
          <w:rFonts w:ascii="Palatino Linotype" w:hAnsi="Palatino Linotype" w:cs="Arial"/>
          <w:lang w:eastAsia="es-MX"/>
        </w:rPr>
        <w:t xml:space="preserve">Ley de Transparencia y Acceso a la </w:t>
      </w:r>
      <w:r w:rsidRPr="00481BAD">
        <w:rPr>
          <w:rFonts w:ascii="Palatino Linotype" w:hAnsi="Palatino Linotype" w:cs="Arial"/>
        </w:rPr>
        <w:t>Información</w:t>
      </w:r>
      <w:r w:rsidRPr="00481BAD">
        <w:rPr>
          <w:rFonts w:ascii="Palatino Linotype" w:hAnsi="Palatino Linotype" w:cs="Arial"/>
          <w:lang w:eastAsia="es-MX"/>
        </w:rPr>
        <w:t xml:space="preserve"> Pública del Estado de México y Municipios </w:t>
      </w:r>
      <w:r w:rsidRPr="00481BAD">
        <w:rPr>
          <w:rFonts w:ascii="Palatino Linotype" w:hAnsi="Palatino Linotype" w:cs="Arial"/>
          <w:iCs/>
        </w:rPr>
        <w:t xml:space="preserve">prevé que, </w:t>
      </w:r>
      <w:r w:rsidRPr="00481BAD">
        <w:rPr>
          <w:rFonts w:ascii="Palatino Linotype" w:hAnsi="Palatino Linotype"/>
        </w:rPr>
        <w:t xml:space="preserve">toda persona tendrá acceso a la información </w:t>
      </w:r>
      <w:r w:rsidRPr="00481BAD">
        <w:rPr>
          <w:rFonts w:ascii="Palatino Linotype" w:hAnsi="Palatino Linotype" w:cs="Arial"/>
        </w:rPr>
        <w:t xml:space="preserve">sin necesidad de acreditar interés alguno o justificar su utilización, de lo que se infiere que para el </w:t>
      </w:r>
      <w:r w:rsidRPr="00481BAD">
        <w:rPr>
          <w:rFonts w:ascii="Palatino Linotype" w:hAnsi="Palatino Linotype"/>
        </w:rPr>
        <w:t>ejercicio</w:t>
      </w:r>
      <w:r w:rsidRPr="00481BAD">
        <w:rPr>
          <w:rFonts w:ascii="Palatino Linotype" w:hAnsi="Palatino Linotype" w:cs="Arial"/>
        </w:rPr>
        <w:t xml:space="preserve"> del derecho de acceso a la información pública, el nombre no es un requisito </w:t>
      </w:r>
      <w:r w:rsidRPr="00481BAD">
        <w:rPr>
          <w:rFonts w:ascii="Palatino Linotype" w:hAnsi="Palatino Linotype" w:cs="Arial"/>
          <w:i/>
        </w:rPr>
        <w:t>sine qua non</w:t>
      </w:r>
      <w:r w:rsidRPr="00481BA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D970E50" w14:textId="77777777" w:rsidR="00DE407A" w:rsidRPr="00481BAD" w:rsidRDefault="00DE407A" w:rsidP="00DE407A">
      <w:pPr>
        <w:widowControl w:val="0"/>
        <w:autoSpaceDE w:val="0"/>
        <w:autoSpaceDN w:val="0"/>
        <w:adjustRightInd w:val="0"/>
        <w:spacing w:line="360" w:lineRule="auto"/>
        <w:jc w:val="both"/>
        <w:rPr>
          <w:rFonts w:ascii="Palatino Linotype" w:hAnsi="Palatino Linotype" w:cs="Arial"/>
        </w:rPr>
      </w:pPr>
    </w:p>
    <w:p w14:paraId="1E4674B8" w14:textId="0334B52E" w:rsidR="00DE407A" w:rsidRPr="00481BAD" w:rsidRDefault="00DE407A" w:rsidP="00DE407A">
      <w:pPr>
        <w:widowControl w:val="0"/>
        <w:autoSpaceDE w:val="0"/>
        <w:autoSpaceDN w:val="0"/>
        <w:adjustRightInd w:val="0"/>
        <w:spacing w:line="360" w:lineRule="auto"/>
        <w:jc w:val="both"/>
        <w:rPr>
          <w:rFonts w:ascii="Palatino Linotype" w:hAnsi="Palatino Linotype"/>
        </w:rPr>
      </w:pPr>
      <w:r w:rsidRPr="00481BA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481BAD">
        <w:rPr>
          <w:rFonts w:ascii="Palatino Linotype" w:hAnsi="Palatino Linotype" w:cs="Arial"/>
        </w:rPr>
        <w:t>derecho</w:t>
      </w:r>
      <w:r w:rsidRPr="00481BA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068569" w14:textId="77777777" w:rsidR="00AC2894" w:rsidRPr="00481BAD" w:rsidRDefault="00AC2894" w:rsidP="0029071C">
      <w:pPr>
        <w:autoSpaceDE w:val="0"/>
        <w:autoSpaceDN w:val="0"/>
        <w:adjustRightInd w:val="0"/>
        <w:spacing w:line="360" w:lineRule="auto"/>
        <w:jc w:val="both"/>
        <w:rPr>
          <w:rFonts w:ascii="Palatino Linotype" w:eastAsiaTheme="minorHAnsi" w:hAnsi="Palatino Linotype" w:cs="Arial"/>
          <w:lang w:val="es-MX" w:eastAsia="en-US"/>
        </w:rPr>
      </w:pPr>
    </w:p>
    <w:p w14:paraId="66067BB9" w14:textId="79D3943D" w:rsidR="00AC2894" w:rsidRPr="00481BAD" w:rsidRDefault="00DE407A" w:rsidP="00AC2894">
      <w:pPr>
        <w:autoSpaceDE w:val="0"/>
        <w:autoSpaceDN w:val="0"/>
        <w:adjustRightInd w:val="0"/>
        <w:spacing w:line="360" w:lineRule="auto"/>
        <w:jc w:val="both"/>
        <w:rPr>
          <w:rFonts w:ascii="Palatino Linotype" w:hAnsi="Palatino Linotype" w:cs="Arial"/>
          <w:b/>
          <w:sz w:val="28"/>
        </w:rPr>
      </w:pPr>
      <w:r w:rsidRPr="00481BAD">
        <w:rPr>
          <w:rFonts w:ascii="Palatino Linotype" w:hAnsi="Palatino Linotype" w:cs="Arial"/>
          <w:b/>
          <w:sz w:val="28"/>
        </w:rPr>
        <w:t>CUART</w:t>
      </w:r>
      <w:r w:rsidR="00AC2894" w:rsidRPr="00481BAD">
        <w:rPr>
          <w:rFonts w:ascii="Palatino Linotype" w:hAnsi="Palatino Linotype" w:cs="Arial"/>
          <w:b/>
          <w:sz w:val="28"/>
        </w:rPr>
        <w:t>O. Del estudio de las causas de improcedencia y sobreseimiento.</w:t>
      </w:r>
    </w:p>
    <w:p w14:paraId="21C54558" w14:textId="77777777" w:rsidR="00AC2894" w:rsidRPr="00481BAD" w:rsidRDefault="00AC2894" w:rsidP="00AC2894">
      <w:pPr>
        <w:autoSpaceDE w:val="0"/>
        <w:autoSpaceDN w:val="0"/>
        <w:adjustRightInd w:val="0"/>
        <w:spacing w:line="360" w:lineRule="auto"/>
        <w:jc w:val="both"/>
        <w:rPr>
          <w:rFonts w:ascii="Palatino Linotype" w:hAnsi="Palatino Linotype" w:cs="Arial"/>
        </w:rPr>
      </w:pPr>
      <w:r w:rsidRPr="00481BAD">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481BAD">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28021258" w14:textId="77777777" w:rsidR="00AC2894" w:rsidRPr="00481BAD" w:rsidRDefault="00AC2894" w:rsidP="00AC2894">
      <w:pPr>
        <w:autoSpaceDE w:val="0"/>
        <w:autoSpaceDN w:val="0"/>
        <w:adjustRightInd w:val="0"/>
        <w:spacing w:line="360" w:lineRule="auto"/>
        <w:jc w:val="both"/>
        <w:rPr>
          <w:rFonts w:ascii="Palatino Linotype" w:hAnsi="Palatino Linotype" w:cs="Arial"/>
        </w:rPr>
      </w:pPr>
    </w:p>
    <w:p w14:paraId="7286777B" w14:textId="77777777" w:rsidR="00AC2894" w:rsidRPr="00481BAD" w:rsidRDefault="00AC2894" w:rsidP="00AC2894">
      <w:pPr>
        <w:autoSpaceDE w:val="0"/>
        <w:autoSpaceDN w:val="0"/>
        <w:adjustRightInd w:val="0"/>
        <w:spacing w:line="360" w:lineRule="auto"/>
        <w:jc w:val="both"/>
        <w:rPr>
          <w:rFonts w:ascii="Palatino Linotype" w:hAnsi="Palatino Linotype" w:cs="Arial"/>
        </w:rPr>
      </w:pPr>
      <w:r w:rsidRPr="00481BAD">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BA2AEC2" w14:textId="77777777" w:rsidR="00AC2894" w:rsidRPr="00481BAD" w:rsidRDefault="00AC2894" w:rsidP="00AC2894">
      <w:pPr>
        <w:autoSpaceDE w:val="0"/>
        <w:autoSpaceDN w:val="0"/>
        <w:adjustRightInd w:val="0"/>
        <w:spacing w:line="360" w:lineRule="auto"/>
        <w:jc w:val="both"/>
        <w:rPr>
          <w:rFonts w:ascii="Palatino Linotype" w:hAnsi="Palatino Linotype" w:cs="Arial"/>
        </w:rPr>
      </w:pPr>
    </w:p>
    <w:p w14:paraId="1B1712BC" w14:textId="77777777" w:rsidR="00AC2894" w:rsidRPr="00481BAD" w:rsidRDefault="00AC2894" w:rsidP="00AC2894">
      <w:pPr>
        <w:autoSpaceDE w:val="0"/>
        <w:autoSpaceDN w:val="0"/>
        <w:adjustRightInd w:val="0"/>
        <w:spacing w:line="360" w:lineRule="auto"/>
        <w:jc w:val="both"/>
        <w:rPr>
          <w:rFonts w:ascii="Palatino Linotype" w:hAnsi="Palatino Linotype" w:cs="Arial"/>
        </w:rPr>
      </w:pPr>
      <w:r w:rsidRPr="00481BAD">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81BAD">
        <w:rPr>
          <w:rFonts w:ascii="Palatino Linotype" w:hAnsi="Palatino Linotype" w:cs="Arial"/>
          <w:vertAlign w:val="superscript"/>
        </w:rPr>
        <w:footnoteReference w:id="1"/>
      </w:r>
      <w:r w:rsidRPr="00481BAD">
        <w:rPr>
          <w:rFonts w:ascii="Palatino Linotype" w:hAnsi="Palatino Linotype" w:cs="Arial"/>
        </w:rPr>
        <w:t>.</w:t>
      </w:r>
    </w:p>
    <w:p w14:paraId="2B7AC0BC" w14:textId="77777777" w:rsidR="00AC2894" w:rsidRPr="00481BAD" w:rsidRDefault="00AC2894" w:rsidP="00AC2894">
      <w:pPr>
        <w:autoSpaceDE w:val="0"/>
        <w:autoSpaceDN w:val="0"/>
        <w:adjustRightInd w:val="0"/>
        <w:spacing w:line="360" w:lineRule="auto"/>
        <w:jc w:val="both"/>
        <w:rPr>
          <w:rFonts w:ascii="Palatino Linotype" w:hAnsi="Palatino Linotype" w:cs="Arial"/>
        </w:rPr>
      </w:pPr>
    </w:p>
    <w:p w14:paraId="5F3669FF" w14:textId="77777777" w:rsidR="00AC2894" w:rsidRPr="00481BAD" w:rsidRDefault="00AC2894" w:rsidP="00AC2894">
      <w:pPr>
        <w:autoSpaceDE w:val="0"/>
        <w:autoSpaceDN w:val="0"/>
        <w:adjustRightInd w:val="0"/>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w:t>
      </w:r>
      <w:r w:rsidRPr="00481BAD">
        <w:rPr>
          <w:rFonts w:ascii="Palatino Linotype" w:eastAsiaTheme="minorHAnsi" w:hAnsi="Palatino Linotype" w:cs="Arial"/>
          <w:lang w:val="es-MX" w:eastAsia="en-US"/>
        </w:rPr>
        <w:lastRenderedPageBreak/>
        <w:t>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58D4237" w14:textId="77777777" w:rsidR="00AC2894" w:rsidRPr="00481BAD" w:rsidRDefault="00AC2894" w:rsidP="00AC2894">
      <w:pPr>
        <w:autoSpaceDE w:val="0"/>
        <w:autoSpaceDN w:val="0"/>
        <w:adjustRightInd w:val="0"/>
        <w:spacing w:line="360" w:lineRule="auto"/>
        <w:jc w:val="both"/>
        <w:rPr>
          <w:rFonts w:ascii="Palatino Linotype" w:hAnsi="Palatino Linotype" w:cs="Arial"/>
        </w:rPr>
      </w:pPr>
    </w:p>
    <w:p w14:paraId="57320501" w14:textId="77777777" w:rsidR="00AC2894" w:rsidRPr="00481BAD" w:rsidRDefault="00AC2894" w:rsidP="00AC2894">
      <w:pPr>
        <w:autoSpaceDE w:val="0"/>
        <w:autoSpaceDN w:val="0"/>
        <w:adjustRightInd w:val="0"/>
        <w:spacing w:line="360" w:lineRule="auto"/>
        <w:jc w:val="both"/>
        <w:rPr>
          <w:rFonts w:ascii="Palatino Linotype" w:hAnsi="Palatino Linotype" w:cs="Arial"/>
        </w:rPr>
      </w:pPr>
      <w:r w:rsidRPr="00481BAD">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4F6ED14" w14:textId="77777777" w:rsidR="00AC2894" w:rsidRPr="00481BAD" w:rsidRDefault="00AC2894" w:rsidP="00AC2894">
      <w:pPr>
        <w:autoSpaceDE w:val="0"/>
        <w:autoSpaceDN w:val="0"/>
        <w:adjustRightInd w:val="0"/>
        <w:spacing w:line="360" w:lineRule="auto"/>
        <w:jc w:val="both"/>
        <w:rPr>
          <w:rFonts w:ascii="Palatino Linotype" w:hAnsi="Palatino Linotype" w:cs="Arial"/>
        </w:rPr>
      </w:pPr>
    </w:p>
    <w:p w14:paraId="7938CA5C" w14:textId="0C5227EE" w:rsidR="00AC2894" w:rsidRPr="00481BAD" w:rsidRDefault="00AC2894" w:rsidP="00AC2894">
      <w:pPr>
        <w:tabs>
          <w:tab w:val="left" w:pos="709"/>
        </w:tabs>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46D29CB8" w14:textId="77777777" w:rsidR="00AC2894" w:rsidRPr="00481BAD" w:rsidRDefault="00AC2894" w:rsidP="00AC2894">
      <w:pPr>
        <w:tabs>
          <w:tab w:val="left" w:pos="709"/>
        </w:tabs>
        <w:spacing w:line="360" w:lineRule="auto"/>
        <w:jc w:val="both"/>
        <w:rPr>
          <w:rFonts w:ascii="Palatino Linotype" w:eastAsiaTheme="minorHAnsi" w:hAnsi="Palatino Linotype" w:cs="Arial"/>
          <w:lang w:val="es-MX" w:eastAsia="en-US"/>
        </w:rPr>
      </w:pPr>
    </w:p>
    <w:p w14:paraId="7D82FEBC" w14:textId="07BED197" w:rsidR="00AC2894" w:rsidRPr="00481BAD" w:rsidRDefault="00AC2894" w:rsidP="00AC2894">
      <w:pPr>
        <w:autoSpaceDE w:val="0"/>
        <w:autoSpaceDN w:val="0"/>
        <w:adjustRightInd w:val="0"/>
        <w:spacing w:line="360" w:lineRule="auto"/>
        <w:jc w:val="both"/>
        <w:rPr>
          <w:rFonts w:ascii="Palatino Linotype" w:hAnsi="Palatino Linotype" w:cs="Arial"/>
        </w:rPr>
      </w:pPr>
      <w:r w:rsidRPr="00481BAD">
        <w:rPr>
          <w:rFonts w:ascii="Palatino Linotype" w:hAnsi="Palatino Linotype" w:cs="Arial"/>
          <w:color w:val="000000" w:themeColor="text1"/>
        </w:rPr>
        <w:t xml:space="preserve">Como señalamos en el antecedente </w:t>
      </w:r>
      <w:r w:rsidRPr="00481BAD">
        <w:rPr>
          <w:rFonts w:ascii="Palatino Linotype" w:hAnsi="Palatino Linotype" w:cs="Arial"/>
          <w:b/>
        </w:rPr>
        <w:t>PRIMERO</w:t>
      </w:r>
      <w:r w:rsidRPr="00481BAD">
        <w:rPr>
          <w:rFonts w:ascii="Palatino Linotype" w:hAnsi="Palatino Linotype" w:cs="Arial"/>
        </w:rPr>
        <w:t xml:space="preserve">; en fecha </w:t>
      </w:r>
      <w:r w:rsidR="00946698" w:rsidRPr="00481BAD">
        <w:rPr>
          <w:rFonts w:ascii="Palatino Linotype" w:eastAsiaTheme="minorHAnsi" w:hAnsi="Palatino Linotype" w:cs="Arial"/>
          <w:szCs w:val="22"/>
          <w:lang w:val="es-MX" w:eastAsia="en-US"/>
        </w:rPr>
        <w:t xml:space="preserve">siete de julio </w:t>
      </w:r>
      <w:r w:rsidRPr="00481BAD">
        <w:rPr>
          <w:rFonts w:ascii="Palatino Linotype" w:eastAsiaTheme="minorHAnsi" w:hAnsi="Palatino Linotype" w:cs="Arial"/>
          <w:szCs w:val="22"/>
          <w:lang w:val="es-MX" w:eastAsia="en-US"/>
        </w:rPr>
        <w:t xml:space="preserve">de dos mil veintitrés, </w:t>
      </w:r>
      <w:r w:rsidRPr="00481BAD">
        <w:rPr>
          <w:rFonts w:ascii="Palatino Linotype" w:hAnsi="Palatino Linotype" w:cs="Arial"/>
        </w:rPr>
        <w:t xml:space="preserve">la </w:t>
      </w:r>
      <w:r w:rsidRPr="00481BAD">
        <w:rPr>
          <w:rFonts w:ascii="Palatino Linotype" w:hAnsi="Palatino Linotype" w:cs="Arial"/>
          <w:b/>
        </w:rPr>
        <w:t>Recurrente</w:t>
      </w:r>
      <w:r w:rsidRPr="00481BAD">
        <w:rPr>
          <w:rFonts w:ascii="Palatino Linotype" w:hAnsi="Palatino Linotype" w:cs="Arial"/>
        </w:rPr>
        <w:t xml:space="preserve"> </w:t>
      </w:r>
      <w:r w:rsidRPr="00481BAD">
        <w:rPr>
          <w:rFonts w:ascii="Palatino Linotype" w:hAnsi="Palatino Linotype" w:cs="Arial"/>
          <w:color w:val="000000" w:themeColor="text1"/>
        </w:rPr>
        <w:t>realizó</w:t>
      </w:r>
      <w:r w:rsidRPr="00481BAD">
        <w:rPr>
          <w:rFonts w:ascii="Palatino Linotype" w:hAnsi="Palatino Linotype" w:cs="Arial"/>
          <w:b/>
          <w:color w:val="000000" w:themeColor="text1"/>
        </w:rPr>
        <w:t xml:space="preserve"> </w:t>
      </w:r>
      <w:r w:rsidRPr="00481BAD">
        <w:rPr>
          <w:rFonts w:ascii="Palatino Linotype" w:hAnsi="Palatino Linotype" w:cs="Arial"/>
          <w:color w:val="000000" w:themeColor="text1"/>
        </w:rPr>
        <w:t>la solicitud de acceso a la información con folio</w:t>
      </w:r>
      <w:r w:rsidRPr="00481BAD">
        <w:rPr>
          <w:rFonts w:ascii="Palatino Linotype" w:hAnsi="Palatino Linotype" w:cs="Arial"/>
          <w:b/>
        </w:rPr>
        <w:t xml:space="preserve"> </w:t>
      </w:r>
      <w:r w:rsidR="00946698" w:rsidRPr="00481BAD">
        <w:rPr>
          <w:rFonts w:ascii="Palatino Linotype" w:hAnsi="Palatino Linotype" w:cs="Arial"/>
          <w:b/>
        </w:rPr>
        <w:t>00502/ZINACANT/IP/2023</w:t>
      </w:r>
      <w:r w:rsidRPr="00481BAD">
        <w:rPr>
          <w:rFonts w:ascii="Palatino Linotype" w:hAnsi="Palatino Linotype" w:cs="Arial"/>
          <w:lang w:eastAsia="es-MX"/>
        </w:rPr>
        <w:t>,</w:t>
      </w:r>
      <w:r w:rsidRPr="00481BAD">
        <w:rPr>
          <w:rFonts w:ascii="Palatino Linotype" w:hAnsi="Palatino Linotype" w:cs="Arial"/>
          <w:b/>
          <w:lang w:eastAsia="es-MX"/>
        </w:rPr>
        <w:t xml:space="preserve"> </w:t>
      </w:r>
      <w:r w:rsidRPr="00481BAD">
        <w:rPr>
          <w:rFonts w:ascii="Palatino Linotype" w:hAnsi="Palatino Linotype" w:cs="Arial"/>
        </w:rPr>
        <w:t xml:space="preserve">solicitó lo siguiente: </w:t>
      </w:r>
    </w:p>
    <w:p w14:paraId="589D8E97" w14:textId="77777777" w:rsidR="00AC2894" w:rsidRPr="00481BAD" w:rsidRDefault="00AC2894" w:rsidP="00AC2894">
      <w:pPr>
        <w:autoSpaceDE w:val="0"/>
        <w:autoSpaceDN w:val="0"/>
        <w:adjustRightInd w:val="0"/>
        <w:spacing w:line="360" w:lineRule="auto"/>
        <w:jc w:val="both"/>
        <w:rPr>
          <w:rFonts w:ascii="Palatino Linotype" w:hAnsi="Palatino Linotype" w:cs="Arial"/>
        </w:rPr>
      </w:pPr>
    </w:p>
    <w:p w14:paraId="4D25E73A" w14:textId="77777777" w:rsidR="0012298D" w:rsidRPr="00481BAD" w:rsidRDefault="0012298D" w:rsidP="00E74701">
      <w:pPr>
        <w:spacing w:line="360" w:lineRule="auto"/>
        <w:ind w:right="141"/>
        <w:jc w:val="both"/>
        <w:rPr>
          <w:rFonts w:ascii="Palatino Linotype" w:eastAsiaTheme="minorHAnsi" w:hAnsi="Palatino Linotype" w:cstheme="minorBidi"/>
          <w:szCs w:val="22"/>
          <w:lang w:val="es-MX" w:eastAsia="es-MX"/>
        </w:rPr>
      </w:pPr>
    </w:p>
    <w:p w14:paraId="3B303254" w14:textId="5ED6B590" w:rsidR="0012298D" w:rsidRPr="00481BAD" w:rsidRDefault="00946698" w:rsidP="00E74701">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481BAD">
        <w:rPr>
          <w:rFonts w:ascii="Palatino Linotype" w:eastAsiaTheme="minorHAnsi" w:hAnsi="Palatino Linotype" w:cstheme="minorBidi"/>
          <w:szCs w:val="22"/>
          <w:lang w:val="es-MX" w:eastAsia="es-MX"/>
        </w:rPr>
        <w:lastRenderedPageBreak/>
        <w:t>¿Como trabajara en conjunto el Presidente Municipal Manuel Vilchis Viveros con la gobernadora electa Delfina Gómez Álvarez?</w:t>
      </w:r>
    </w:p>
    <w:p w14:paraId="1D630559" w14:textId="77777777" w:rsidR="00946698" w:rsidRPr="00481BAD" w:rsidRDefault="00946698" w:rsidP="00EE2FB1">
      <w:pPr>
        <w:spacing w:line="360" w:lineRule="auto"/>
        <w:ind w:right="49"/>
        <w:jc w:val="both"/>
        <w:rPr>
          <w:rFonts w:ascii="Palatino Linotype" w:eastAsiaTheme="minorHAnsi" w:hAnsi="Palatino Linotype" w:cstheme="minorBidi"/>
          <w:lang w:val="es-MX" w:eastAsia="es-MX"/>
        </w:rPr>
      </w:pPr>
    </w:p>
    <w:p w14:paraId="2F8234A1" w14:textId="07CEA37F" w:rsidR="001D5495" w:rsidRPr="00481BAD" w:rsidRDefault="0029071C" w:rsidP="00EE2FB1">
      <w:pPr>
        <w:spacing w:line="360" w:lineRule="auto"/>
        <w:ind w:right="49"/>
        <w:jc w:val="both"/>
        <w:rPr>
          <w:rFonts w:ascii="Palatino Linotype" w:hAnsi="Palatino Linotype" w:cs="Arial"/>
        </w:rPr>
      </w:pPr>
      <w:r w:rsidRPr="00481BAD">
        <w:rPr>
          <w:rFonts w:ascii="Palatino Linotype" w:eastAsiaTheme="minorHAnsi" w:hAnsi="Palatino Linotype" w:cstheme="minorBidi"/>
          <w:lang w:val="es-MX" w:eastAsia="es-MX"/>
        </w:rPr>
        <w:t xml:space="preserve">Atento a la solicitud de información </w:t>
      </w:r>
      <w:r w:rsidRPr="00481BAD">
        <w:rPr>
          <w:rFonts w:ascii="Palatino Linotype" w:eastAsiaTheme="minorHAnsi" w:hAnsi="Palatino Linotype" w:cstheme="minorBidi"/>
          <w:b/>
          <w:lang w:val="es-MX" w:eastAsia="es-MX"/>
        </w:rPr>
        <w:t>El Sujeto Obligado</w:t>
      </w:r>
      <w:r w:rsidRPr="00481BAD">
        <w:rPr>
          <w:rFonts w:ascii="Palatino Linotype" w:eastAsiaTheme="minorHAnsi" w:hAnsi="Palatino Linotype" w:cstheme="minorBidi"/>
          <w:lang w:val="es-MX" w:eastAsia="es-MX"/>
        </w:rPr>
        <w:t xml:space="preserve">, emitió su respuesta en donde </w:t>
      </w:r>
      <w:r w:rsidR="001D5495" w:rsidRPr="00481BAD">
        <w:rPr>
          <w:rFonts w:ascii="Palatino Linotype" w:hAnsi="Palatino Linotype" w:cs="Arial"/>
        </w:rPr>
        <w:t xml:space="preserve">se </w:t>
      </w:r>
      <w:r w:rsidR="00D57F74" w:rsidRPr="00481BAD">
        <w:rPr>
          <w:rFonts w:ascii="Palatino Linotype" w:hAnsi="Palatino Linotype" w:cs="Arial"/>
        </w:rPr>
        <w:t>advierte</w:t>
      </w:r>
      <w:r w:rsidR="001D5495" w:rsidRPr="00481BAD">
        <w:rPr>
          <w:rFonts w:ascii="Palatino Linotype" w:hAnsi="Palatino Linotype" w:cs="Arial"/>
        </w:rPr>
        <w:t xml:space="preserve"> </w:t>
      </w:r>
      <w:r w:rsidR="001D2DE0" w:rsidRPr="00481BAD">
        <w:rPr>
          <w:rFonts w:ascii="Palatino Linotype" w:hAnsi="Palatino Linotype" w:cs="Arial"/>
        </w:rPr>
        <w:t>lo siguiente</w:t>
      </w:r>
      <w:r w:rsidR="001D5495" w:rsidRPr="00481BAD">
        <w:rPr>
          <w:rFonts w:ascii="Palatino Linotype" w:hAnsi="Palatino Linotype" w:cs="Arial"/>
        </w:rPr>
        <w:t>:</w:t>
      </w:r>
    </w:p>
    <w:p w14:paraId="3129C30E" w14:textId="77777777" w:rsidR="00597D71" w:rsidRPr="00481BAD"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5242"/>
        <w:gridCol w:w="1879"/>
      </w:tblGrid>
      <w:tr w:rsidR="004E5628" w:rsidRPr="00481BAD" w14:paraId="03C462F7" w14:textId="77777777" w:rsidTr="007B3C31">
        <w:trPr>
          <w:tblHeader/>
        </w:trPr>
        <w:tc>
          <w:tcPr>
            <w:tcW w:w="1970" w:type="dxa"/>
            <w:shd w:val="clear" w:color="auto" w:fill="D9D9D9" w:themeFill="background1" w:themeFillShade="D9"/>
            <w:vAlign w:val="center"/>
          </w:tcPr>
          <w:p w14:paraId="2A2CBD44" w14:textId="77777777" w:rsidR="00597D71" w:rsidRPr="00481BAD" w:rsidRDefault="00597D71" w:rsidP="00597D71">
            <w:pPr>
              <w:ind w:right="49"/>
              <w:jc w:val="center"/>
              <w:rPr>
                <w:rFonts w:ascii="Palatino Linotype" w:eastAsiaTheme="minorHAnsi" w:hAnsi="Palatino Linotype" w:cstheme="minorBidi"/>
                <w:b/>
                <w:lang w:val="es-MX" w:eastAsia="es-MX"/>
              </w:rPr>
            </w:pPr>
            <w:r w:rsidRPr="00481BAD">
              <w:rPr>
                <w:rFonts w:ascii="Palatino Linotype" w:eastAsiaTheme="minorHAnsi" w:hAnsi="Palatino Linotype" w:cstheme="minorBidi"/>
                <w:b/>
                <w:lang w:val="es-MX" w:eastAsia="es-MX"/>
              </w:rPr>
              <w:t>Solicitud de Información</w:t>
            </w:r>
          </w:p>
        </w:tc>
        <w:tc>
          <w:tcPr>
            <w:tcW w:w="5242" w:type="dxa"/>
            <w:shd w:val="clear" w:color="auto" w:fill="D9D9D9" w:themeFill="background1" w:themeFillShade="D9"/>
            <w:vAlign w:val="center"/>
          </w:tcPr>
          <w:p w14:paraId="116590A1" w14:textId="77777777" w:rsidR="00597D71" w:rsidRPr="00481BAD" w:rsidRDefault="00597D71" w:rsidP="00597D71">
            <w:pPr>
              <w:ind w:right="49"/>
              <w:jc w:val="center"/>
              <w:rPr>
                <w:rFonts w:ascii="Palatino Linotype" w:eastAsiaTheme="minorHAnsi" w:hAnsi="Palatino Linotype" w:cstheme="minorBidi"/>
                <w:b/>
                <w:lang w:val="es-MX" w:eastAsia="es-MX"/>
              </w:rPr>
            </w:pPr>
            <w:r w:rsidRPr="00481BAD">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006A2970" w14:textId="77777777" w:rsidR="00597D71" w:rsidRPr="00481BAD" w:rsidRDefault="00597D71" w:rsidP="00597D71">
            <w:pPr>
              <w:ind w:right="49"/>
              <w:jc w:val="center"/>
              <w:rPr>
                <w:rFonts w:ascii="Palatino Linotype" w:eastAsiaTheme="minorHAnsi" w:hAnsi="Palatino Linotype" w:cstheme="minorBidi"/>
                <w:b/>
                <w:lang w:val="es-MX" w:eastAsia="es-MX"/>
              </w:rPr>
            </w:pPr>
            <w:r w:rsidRPr="00481BAD">
              <w:rPr>
                <w:rFonts w:ascii="Palatino Linotype" w:eastAsiaTheme="minorHAnsi" w:hAnsi="Palatino Linotype" w:cstheme="minorBidi"/>
                <w:b/>
                <w:lang w:val="es-MX" w:eastAsia="es-MX"/>
              </w:rPr>
              <w:t>Cumplimiento</w:t>
            </w:r>
          </w:p>
        </w:tc>
      </w:tr>
      <w:tr w:rsidR="004E5628" w:rsidRPr="00481BAD" w14:paraId="60B30BAE" w14:textId="77777777" w:rsidTr="007B3C31">
        <w:trPr>
          <w:trHeight w:val="483"/>
        </w:trPr>
        <w:tc>
          <w:tcPr>
            <w:tcW w:w="1970" w:type="dxa"/>
            <w:vAlign w:val="center"/>
          </w:tcPr>
          <w:p w14:paraId="201556D4" w14:textId="29A795CE" w:rsidR="00597D71" w:rsidRPr="00481BAD" w:rsidRDefault="00946698" w:rsidP="00F774DF">
            <w:pPr>
              <w:ind w:right="49"/>
              <w:jc w:val="both"/>
              <w:rPr>
                <w:rFonts w:ascii="Palatino Linotype" w:eastAsiaTheme="minorHAnsi" w:hAnsi="Palatino Linotype" w:cstheme="minorBidi"/>
                <w:sz w:val="20"/>
                <w:szCs w:val="20"/>
                <w:lang w:val="es-MX" w:eastAsia="es-MX"/>
              </w:rPr>
            </w:pPr>
            <w:bookmarkStart w:id="0" w:name="_Hlk144748146"/>
            <w:r w:rsidRPr="00481BAD">
              <w:rPr>
                <w:rFonts w:ascii="Palatino Linotype" w:eastAsiaTheme="minorHAnsi" w:hAnsi="Palatino Linotype" w:cstheme="minorBidi"/>
                <w:sz w:val="20"/>
                <w:szCs w:val="20"/>
                <w:lang w:val="es-MX" w:eastAsia="es-MX"/>
              </w:rPr>
              <w:t>¿Como trabajara en conjunto el Presidente Municipal Manuel Vilchis Viveros con la gobernadora electa Delfina Gómez Álvarez?</w:t>
            </w:r>
          </w:p>
        </w:tc>
        <w:tc>
          <w:tcPr>
            <w:tcW w:w="5242" w:type="dxa"/>
            <w:vAlign w:val="center"/>
          </w:tcPr>
          <w:p w14:paraId="6DB0D1B8" w14:textId="672A5D83" w:rsidR="001D2BC8" w:rsidRPr="00481BAD" w:rsidRDefault="00946698" w:rsidP="00F774DF">
            <w:pPr>
              <w:spacing w:line="276" w:lineRule="auto"/>
              <w:jc w:val="both"/>
              <w:rPr>
                <w:rFonts w:ascii="Palatino Linotype" w:eastAsiaTheme="minorHAnsi" w:hAnsi="Palatino Linotype" w:cstheme="minorBidi"/>
                <w:sz w:val="20"/>
                <w:szCs w:val="22"/>
                <w:lang w:val="es-MX" w:eastAsia="es-MX"/>
              </w:rPr>
            </w:pPr>
            <w:r w:rsidRPr="00481BAD">
              <w:rPr>
                <w:rFonts w:ascii="Palatino Linotype" w:eastAsiaTheme="minorHAnsi" w:hAnsi="Palatino Linotype" w:cstheme="minorBidi"/>
                <w:sz w:val="20"/>
                <w:szCs w:val="22"/>
                <w:lang w:val="es-MX" w:eastAsia="es-MX"/>
              </w:rPr>
              <w:t xml:space="preserve">Mediante el oficio número ZIN/UT/03229/2023, firmado por la Titular de la Unidad de Transparencia, informó que el requerimiento realizado por el solicitante, no corresponde al ejercicio del derecho de acceso a la información, sino a manifestaciones subjetivas. </w:t>
            </w:r>
          </w:p>
        </w:tc>
        <w:tc>
          <w:tcPr>
            <w:tcW w:w="1879" w:type="dxa"/>
            <w:vAlign w:val="center"/>
          </w:tcPr>
          <w:p w14:paraId="336A846E" w14:textId="77777777" w:rsidR="005D115D" w:rsidRPr="00481BAD" w:rsidRDefault="005D115D" w:rsidP="00F774DF">
            <w:pPr>
              <w:ind w:right="49"/>
              <w:jc w:val="center"/>
              <w:rPr>
                <w:rFonts w:ascii="Palatino Linotype" w:eastAsiaTheme="minorHAnsi" w:hAnsi="Palatino Linotype" w:cstheme="minorBidi"/>
                <w:b/>
                <w:lang w:val="es-MX" w:eastAsia="es-MX"/>
              </w:rPr>
            </w:pPr>
          </w:p>
          <w:p w14:paraId="5D42A4A4" w14:textId="3B3B9FA7" w:rsidR="005D115D" w:rsidRPr="00481BAD" w:rsidRDefault="00F774DF" w:rsidP="00946698">
            <w:pPr>
              <w:ind w:right="49"/>
              <w:jc w:val="center"/>
              <w:rPr>
                <w:rFonts w:ascii="Palatino Linotype" w:eastAsiaTheme="minorHAnsi" w:hAnsi="Palatino Linotype" w:cstheme="minorBidi"/>
                <w:b/>
                <w:lang w:val="es-MX" w:eastAsia="es-MX"/>
              </w:rPr>
            </w:pPr>
            <w:r w:rsidRPr="00481BAD">
              <w:rPr>
                <w:rFonts w:ascii="Palatino Linotype" w:eastAsiaTheme="minorHAnsi" w:hAnsi="Palatino Linotype" w:cstheme="minorBidi"/>
                <w:b/>
                <w:lang w:val="es-MX" w:eastAsia="es-MX"/>
              </w:rPr>
              <w:t>Sí</w:t>
            </w:r>
          </w:p>
        </w:tc>
      </w:tr>
      <w:bookmarkEnd w:id="0"/>
    </w:tbl>
    <w:p w14:paraId="41363AD5" w14:textId="77777777" w:rsidR="00FC576D" w:rsidRPr="00481BAD" w:rsidRDefault="00FC576D" w:rsidP="00D57AED">
      <w:pPr>
        <w:shd w:val="clear" w:color="auto" w:fill="FFFFFF"/>
        <w:spacing w:line="360" w:lineRule="auto"/>
        <w:jc w:val="both"/>
        <w:rPr>
          <w:rFonts w:ascii="Palatino Linotype" w:hAnsi="Palatino Linotype"/>
          <w:color w:val="222222"/>
          <w:sz w:val="16"/>
        </w:rPr>
      </w:pPr>
    </w:p>
    <w:p w14:paraId="587BD0D9" w14:textId="77777777" w:rsidR="00D57AED" w:rsidRPr="00481BAD" w:rsidRDefault="00D57AED" w:rsidP="00D57AED">
      <w:pPr>
        <w:shd w:val="clear" w:color="auto" w:fill="FFFFFF"/>
        <w:spacing w:line="360" w:lineRule="auto"/>
        <w:jc w:val="both"/>
        <w:rPr>
          <w:rFonts w:ascii="Palatino Linotype" w:hAnsi="Palatino Linotype"/>
          <w:color w:val="222222"/>
        </w:rPr>
      </w:pPr>
      <w:r w:rsidRPr="00481BAD">
        <w:rPr>
          <w:rFonts w:ascii="Palatino Linotype" w:hAnsi="Palatino Linotype"/>
          <w:color w:val="222222"/>
        </w:rPr>
        <w:t>En este sentido, debe dejarse claro que al haber existido un pronunciamiento por parte del </w:t>
      </w:r>
      <w:r w:rsidRPr="00481BAD">
        <w:rPr>
          <w:rFonts w:ascii="Palatino Linotype" w:hAnsi="Palatino Linotype"/>
          <w:b/>
          <w:bCs/>
          <w:color w:val="222222"/>
        </w:rPr>
        <w:t>Sujeto Obligado</w:t>
      </w:r>
      <w:r w:rsidRPr="00481BAD">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2107FC03" w14:textId="77777777" w:rsidR="00D57AED" w:rsidRPr="00481BAD" w:rsidRDefault="00D57AED" w:rsidP="00D57AED">
      <w:pPr>
        <w:pStyle w:val="Sinespaciado"/>
      </w:pPr>
    </w:p>
    <w:p w14:paraId="4A5BB723" w14:textId="77777777" w:rsidR="00D57AED" w:rsidRPr="00481BAD" w:rsidRDefault="00D57AED" w:rsidP="00487B7B">
      <w:pPr>
        <w:shd w:val="clear" w:color="auto" w:fill="FFFFFF"/>
        <w:spacing w:line="221" w:lineRule="atLeast"/>
        <w:ind w:left="567" w:right="616"/>
        <w:jc w:val="both"/>
        <w:rPr>
          <w:color w:val="222222"/>
          <w:sz w:val="22"/>
        </w:rPr>
      </w:pPr>
      <w:r w:rsidRPr="00481BAD">
        <w:rPr>
          <w:rFonts w:ascii="Palatino Linotype" w:hAnsi="Palatino Linotype"/>
          <w:i/>
          <w:iCs/>
          <w:color w:val="222222"/>
          <w:sz w:val="22"/>
        </w:rPr>
        <w:t>“</w:t>
      </w:r>
      <w:r w:rsidRPr="00481BAD">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481BAD">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481BAD">
        <w:rPr>
          <w:rFonts w:ascii="Palatino Linotype" w:hAnsi="Palatino Linotype"/>
          <w:i/>
          <w:iCs/>
          <w:color w:val="222222"/>
          <w:sz w:val="22"/>
        </w:rPr>
        <w:lastRenderedPageBreak/>
        <w:t>de Transparencia y Acceso a la Información Pública Gubernamental no se prevé una causal que permita al Instituto Federal de Acceso a la Información y Protección de Datos conocer, vía recurso revisión, al respecto.”</w:t>
      </w:r>
    </w:p>
    <w:p w14:paraId="3B8D8E76" w14:textId="77777777" w:rsidR="00D57AED" w:rsidRPr="00481BAD" w:rsidRDefault="00D57AED" w:rsidP="00E11B18">
      <w:pPr>
        <w:spacing w:line="360" w:lineRule="auto"/>
        <w:ind w:right="141"/>
        <w:jc w:val="both"/>
        <w:rPr>
          <w:rFonts w:ascii="Palatino Linotype" w:eastAsiaTheme="minorHAnsi" w:hAnsi="Palatino Linotype" w:cs="Arial"/>
          <w:bCs/>
          <w:lang w:val="es-MX" w:eastAsia="en-US"/>
        </w:rPr>
      </w:pPr>
    </w:p>
    <w:p w14:paraId="6FCC4A38" w14:textId="28136F1A" w:rsidR="00946698" w:rsidRPr="00481BAD" w:rsidRDefault="00E11B18" w:rsidP="00E9680B">
      <w:pPr>
        <w:spacing w:line="360" w:lineRule="auto"/>
        <w:ind w:right="141"/>
        <w:jc w:val="both"/>
        <w:rPr>
          <w:rFonts w:ascii="Palatino Linotype" w:eastAsiaTheme="minorHAnsi" w:hAnsi="Palatino Linotype" w:cs="Arial"/>
          <w:bCs/>
          <w:i/>
          <w:lang w:val="es-MX" w:eastAsia="en-US"/>
        </w:rPr>
      </w:pPr>
      <w:r w:rsidRPr="00481BAD">
        <w:rPr>
          <w:rFonts w:ascii="Palatino Linotype" w:eastAsiaTheme="minorHAnsi" w:hAnsi="Palatino Linotype" w:cs="Arial"/>
          <w:bCs/>
          <w:lang w:val="es-MX" w:eastAsia="en-US"/>
        </w:rPr>
        <w:t xml:space="preserve">Es así que derivado de la respuesta emitida por </w:t>
      </w:r>
      <w:r w:rsidRPr="00481BAD">
        <w:rPr>
          <w:rFonts w:ascii="Palatino Linotype" w:eastAsiaTheme="minorHAnsi" w:hAnsi="Palatino Linotype" w:cs="Arial"/>
          <w:b/>
          <w:bCs/>
          <w:lang w:val="es-MX" w:eastAsia="en-US"/>
        </w:rPr>
        <w:t>El Sujeto Obligado</w:t>
      </w:r>
      <w:r w:rsidRPr="00481BAD">
        <w:rPr>
          <w:rFonts w:ascii="Palatino Linotype" w:eastAsiaTheme="minorHAnsi" w:hAnsi="Palatino Linotype" w:cs="Arial"/>
          <w:bCs/>
          <w:lang w:val="es-MX" w:eastAsia="en-US"/>
        </w:rPr>
        <w:t xml:space="preserve">, </w:t>
      </w:r>
      <w:r w:rsidR="00946698" w:rsidRPr="00481BAD">
        <w:rPr>
          <w:rFonts w:ascii="Palatino Linotype" w:eastAsiaTheme="minorHAnsi" w:hAnsi="Palatino Linotype" w:cs="Arial"/>
          <w:b/>
          <w:bCs/>
          <w:lang w:val="es-MX" w:eastAsia="en-US"/>
        </w:rPr>
        <w:t>El</w:t>
      </w:r>
      <w:r w:rsidRPr="00481BAD">
        <w:rPr>
          <w:rFonts w:ascii="Palatino Linotype" w:eastAsiaTheme="minorHAnsi" w:hAnsi="Palatino Linotype" w:cs="Arial"/>
          <w:b/>
          <w:bCs/>
          <w:lang w:val="es-MX" w:eastAsia="en-US"/>
        </w:rPr>
        <w:t xml:space="preserve"> Recurrente</w:t>
      </w:r>
      <w:r w:rsidRPr="00481BAD">
        <w:rPr>
          <w:rFonts w:ascii="Palatino Linotype" w:eastAsiaTheme="minorHAnsi" w:hAnsi="Palatino Linotype" w:cs="Arial"/>
          <w:bCs/>
          <w:lang w:val="es-MX" w:eastAsia="en-US"/>
        </w:rPr>
        <w:t xml:space="preserve">, interpuso el presente recurso de revisión, señalando sustancialmente </w:t>
      </w:r>
      <w:r w:rsidR="00AC2894" w:rsidRPr="00481BAD">
        <w:rPr>
          <w:rFonts w:ascii="Palatino Linotype" w:eastAsiaTheme="minorHAnsi" w:hAnsi="Palatino Linotype" w:cs="Arial"/>
          <w:bCs/>
          <w:lang w:val="es-MX" w:eastAsia="en-US"/>
        </w:rPr>
        <w:t>en su</w:t>
      </w:r>
      <w:r w:rsidR="00946698" w:rsidRPr="00481BAD">
        <w:rPr>
          <w:rFonts w:ascii="Palatino Linotype" w:eastAsiaTheme="minorHAnsi" w:hAnsi="Palatino Linotype" w:cs="Arial"/>
          <w:bCs/>
          <w:lang w:val="es-MX" w:eastAsia="en-US"/>
        </w:rPr>
        <w:t>s</w:t>
      </w:r>
      <w:r w:rsidR="00AC2894" w:rsidRPr="00481BAD">
        <w:rPr>
          <w:rFonts w:ascii="Palatino Linotype" w:eastAsiaTheme="minorHAnsi" w:hAnsi="Palatino Linotype" w:cs="Arial"/>
          <w:bCs/>
          <w:lang w:val="es-MX" w:eastAsia="en-US"/>
        </w:rPr>
        <w:t xml:space="preserve"> </w:t>
      </w:r>
      <w:r w:rsidR="00946698" w:rsidRPr="00481BAD">
        <w:rPr>
          <w:rFonts w:ascii="Palatino Linotype" w:eastAsiaTheme="minorHAnsi" w:hAnsi="Palatino Linotype" w:cs="Arial"/>
          <w:b/>
          <w:bCs/>
          <w:lang w:val="es-MX" w:eastAsia="en-US"/>
        </w:rPr>
        <w:t>razones o motivos de la inconformidad</w:t>
      </w:r>
      <w:r w:rsidRPr="00481BAD">
        <w:rPr>
          <w:rFonts w:ascii="Palatino Linotype" w:eastAsiaTheme="minorHAnsi" w:hAnsi="Palatino Linotype" w:cs="Arial"/>
          <w:bCs/>
          <w:lang w:val="es-MX" w:eastAsia="en-US"/>
        </w:rPr>
        <w:t>, lo siguiente:</w:t>
      </w:r>
      <w:r w:rsidR="00E9680B" w:rsidRPr="00481BAD">
        <w:rPr>
          <w:rFonts w:ascii="Palatino Linotype" w:eastAsiaTheme="minorHAnsi" w:hAnsi="Palatino Linotype" w:cs="Arial"/>
          <w:bCs/>
          <w:lang w:val="es-MX" w:eastAsia="en-US"/>
        </w:rPr>
        <w:t xml:space="preserve"> </w:t>
      </w:r>
      <w:r w:rsidRPr="00481BAD">
        <w:rPr>
          <w:rFonts w:ascii="Palatino Linotype" w:eastAsiaTheme="minorHAnsi" w:hAnsi="Palatino Linotype" w:cs="Arial"/>
          <w:bCs/>
          <w:i/>
          <w:lang w:val="es-MX" w:eastAsia="en-US"/>
        </w:rPr>
        <w:t>“</w:t>
      </w:r>
      <w:r w:rsidR="00946698" w:rsidRPr="00481BAD">
        <w:rPr>
          <w:rFonts w:ascii="Palatino Linotype" w:eastAsiaTheme="minorHAnsi" w:hAnsi="Palatino Linotype" w:cs="Arial"/>
          <w:bCs/>
          <w:i/>
          <w:lang w:eastAsia="en-US"/>
        </w:rPr>
        <w:t>COMOOO???, NO ES INFORMACIÓN PÚBLICA SABER COMO SE TRABAJARA CON LA GOBERNADORA PARA EL BENEFICIO DEL MUNICIPIO???</w:t>
      </w:r>
      <w:r w:rsidRPr="00481BAD">
        <w:rPr>
          <w:rFonts w:ascii="Palatino Linotype" w:eastAsiaTheme="minorHAnsi" w:hAnsi="Palatino Linotype" w:cs="Arial"/>
          <w:bCs/>
          <w:i/>
          <w:lang w:val="es-MX" w:eastAsia="en-US"/>
        </w:rPr>
        <w:t>” (Sic).</w:t>
      </w:r>
    </w:p>
    <w:p w14:paraId="0A2A3552" w14:textId="77777777" w:rsidR="00946698" w:rsidRPr="00481BAD" w:rsidRDefault="00946698" w:rsidP="00E9680B">
      <w:pPr>
        <w:spacing w:line="360" w:lineRule="auto"/>
        <w:ind w:right="141"/>
        <w:jc w:val="both"/>
        <w:rPr>
          <w:rFonts w:ascii="Palatino Linotype" w:eastAsiaTheme="minorHAnsi" w:hAnsi="Palatino Linotype" w:cs="Arial"/>
          <w:bCs/>
          <w:i/>
          <w:lang w:val="es-MX" w:eastAsia="en-US"/>
        </w:rPr>
      </w:pPr>
    </w:p>
    <w:p w14:paraId="619C3F3B" w14:textId="77777777" w:rsidR="004F26E3" w:rsidRPr="00481BAD" w:rsidRDefault="004F26E3" w:rsidP="004F26E3">
      <w:pPr>
        <w:tabs>
          <w:tab w:val="left" w:pos="709"/>
        </w:tabs>
        <w:spacing w:after="160" w:line="360" w:lineRule="auto"/>
        <w:contextualSpacing/>
        <w:jc w:val="both"/>
        <w:rPr>
          <w:rFonts w:ascii="Palatino Linotype" w:eastAsiaTheme="minorHAnsi" w:hAnsi="Palatino Linotype" w:cs="Arial"/>
          <w:lang w:val="es-MX" w:eastAsia="en-US"/>
        </w:rPr>
      </w:pPr>
      <w:r w:rsidRPr="00481BAD">
        <w:rPr>
          <w:rFonts w:ascii="Palatino Linotype" w:eastAsiaTheme="minorHAnsi" w:hAnsi="Palatino Linotype" w:cs="Arial"/>
          <w:lang w:val="es-ES_tradnl" w:eastAsia="en-US"/>
        </w:rPr>
        <w:t xml:space="preserve">Por lo que, es de </w:t>
      </w:r>
      <w:r w:rsidRPr="00481BAD">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14:paraId="4232A2A9" w14:textId="77777777" w:rsidR="004F26E3" w:rsidRPr="00481BAD" w:rsidRDefault="004F26E3" w:rsidP="004F26E3">
      <w:pPr>
        <w:rPr>
          <w:rFonts w:asciiTheme="minorHAnsi" w:eastAsiaTheme="minorHAnsi" w:hAnsiTheme="minorHAnsi" w:cstheme="minorBidi"/>
          <w:sz w:val="22"/>
          <w:szCs w:val="22"/>
          <w:lang w:val="es-MX" w:eastAsia="en-US"/>
        </w:rPr>
      </w:pPr>
    </w:p>
    <w:p w14:paraId="2B96FA46" w14:textId="77777777" w:rsidR="004F26E3" w:rsidRPr="00481BAD" w:rsidRDefault="004F26E3" w:rsidP="004F26E3">
      <w:pPr>
        <w:spacing w:line="259" w:lineRule="auto"/>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i/>
          <w:sz w:val="22"/>
          <w:szCs w:val="22"/>
          <w:lang w:val="es-MX" w:eastAsia="en-US"/>
        </w:rPr>
        <w:t>“</w:t>
      </w:r>
      <w:r w:rsidRPr="00481BAD">
        <w:rPr>
          <w:rFonts w:ascii="Palatino Linotype" w:eastAsiaTheme="minorHAnsi" w:hAnsi="Palatino Linotype" w:cs="Arial"/>
          <w:b/>
          <w:i/>
          <w:sz w:val="22"/>
          <w:szCs w:val="22"/>
          <w:lang w:val="es-MX" w:eastAsia="en-US"/>
        </w:rPr>
        <w:t xml:space="preserve">Artículo 4. </w:t>
      </w:r>
      <w:r w:rsidRPr="00481BAD">
        <w:rPr>
          <w:rFonts w:ascii="Palatino Linotype" w:eastAsiaTheme="minorHAnsi" w:hAnsi="Palatino Linotype" w:cs="Arial"/>
          <w:i/>
          <w:sz w:val="22"/>
          <w:szCs w:val="22"/>
          <w:lang w:val="es-MX" w:eastAsia="en-US"/>
        </w:rPr>
        <w:t xml:space="preserve">… </w:t>
      </w:r>
    </w:p>
    <w:p w14:paraId="5A0C10D7" w14:textId="77777777" w:rsidR="004F26E3" w:rsidRPr="00481BAD" w:rsidRDefault="004F26E3" w:rsidP="004F26E3">
      <w:pPr>
        <w:spacing w:line="259" w:lineRule="auto"/>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i/>
          <w:sz w:val="22"/>
          <w:szCs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EEF7E7" w14:textId="77777777" w:rsidR="004F26E3" w:rsidRPr="00481BAD" w:rsidRDefault="004F26E3" w:rsidP="004F26E3">
      <w:pPr>
        <w:tabs>
          <w:tab w:val="left" w:pos="709"/>
        </w:tabs>
        <w:spacing w:line="360" w:lineRule="auto"/>
        <w:contextualSpacing/>
        <w:jc w:val="both"/>
        <w:rPr>
          <w:rFonts w:ascii="Palatino Linotype" w:eastAsiaTheme="minorHAnsi" w:hAnsi="Palatino Linotype" w:cs="Arial"/>
          <w:sz w:val="22"/>
          <w:szCs w:val="22"/>
          <w:lang w:val="es-ES_tradnl" w:eastAsia="en-US"/>
        </w:rPr>
      </w:pPr>
    </w:p>
    <w:p w14:paraId="39A90CB2" w14:textId="77777777" w:rsidR="004F26E3" w:rsidRPr="00481BAD" w:rsidRDefault="004F26E3" w:rsidP="004F26E3">
      <w:pPr>
        <w:tabs>
          <w:tab w:val="left" w:pos="709"/>
        </w:tabs>
        <w:spacing w:line="360" w:lineRule="auto"/>
        <w:contextualSpacing/>
        <w:jc w:val="both"/>
        <w:rPr>
          <w:rFonts w:ascii="Palatino Linotype" w:eastAsiaTheme="minorHAnsi" w:hAnsi="Palatino Linotype" w:cs="Arial"/>
          <w:lang w:val="es-ES_tradnl" w:eastAsia="en-US"/>
        </w:rPr>
      </w:pPr>
      <w:r w:rsidRPr="00481BAD">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558CFD9" w14:textId="77777777" w:rsidR="004F26E3" w:rsidRPr="00481BAD" w:rsidRDefault="004F26E3" w:rsidP="004F26E3">
      <w:pPr>
        <w:tabs>
          <w:tab w:val="left" w:pos="709"/>
        </w:tabs>
        <w:spacing w:line="360" w:lineRule="auto"/>
        <w:contextualSpacing/>
        <w:jc w:val="both"/>
        <w:rPr>
          <w:rFonts w:ascii="Palatino Linotype" w:eastAsiaTheme="minorHAnsi" w:hAnsi="Palatino Linotype" w:cs="Arial"/>
          <w:lang w:val="es-MX" w:eastAsia="en-US"/>
        </w:rPr>
      </w:pPr>
    </w:p>
    <w:p w14:paraId="5B2A80BC" w14:textId="77777777" w:rsidR="004F26E3" w:rsidRPr="00481BAD" w:rsidRDefault="004F26E3" w:rsidP="004F26E3">
      <w:pPr>
        <w:tabs>
          <w:tab w:val="left" w:pos="709"/>
        </w:tabs>
        <w:spacing w:line="360" w:lineRule="auto"/>
        <w:contextualSpacing/>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w:t>
      </w:r>
      <w:r w:rsidRPr="00481BAD">
        <w:rPr>
          <w:rFonts w:ascii="Palatino Linotype" w:eastAsiaTheme="minorHAnsi" w:hAnsi="Palatino Linotype" w:cs="Arial"/>
          <w:lang w:val="es-MX" w:eastAsia="en-US"/>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899A263" w14:textId="77777777" w:rsidR="004F26E3" w:rsidRPr="00481BAD" w:rsidRDefault="004F26E3" w:rsidP="004F26E3">
      <w:pPr>
        <w:pStyle w:val="Sinespaciado"/>
        <w:rPr>
          <w:rFonts w:eastAsiaTheme="minorHAnsi"/>
          <w:lang w:eastAsia="en-US"/>
        </w:rPr>
      </w:pPr>
    </w:p>
    <w:p w14:paraId="08F76DA2" w14:textId="77777777" w:rsidR="004F26E3" w:rsidRPr="00481BAD" w:rsidRDefault="004F26E3" w:rsidP="004F26E3">
      <w:pPr>
        <w:spacing w:after="160" w:line="259" w:lineRule="auto"/>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i/>
          <w:sz w:val="22"/>
          <w:szCs w:val="22"/>
          <w:lang w:val="es-MX" w:eastAsia="en-US"/>
        </w:rPr>
        <w:t>“</w:t>
      </w:r>
      <w:r w:rsidRPr="00481BAD">
        <w:rPr>
          <w:rFonts w:ascii="Palatino Linotype" w:eastAsiaTheme="minorHAnsi" w:hAnsi="Palatino Linotype" w:cs="Arial"/>
          <w:b/>
          <w:i/>
          <w:sz w:val="22"/>
          <w:szCs w:val="22"/>
          <w:lang w:val="es-MX" w:eastAsia="en-US"/>
        </w:rPr>
        <w:t>Artículo 12.</w:t>
      </w:r>
      <w:r w:rsidRPr="00481BAD">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1735A623" w14:textId="77777777" w:rsidR="004F26E3" w:rsidRPr="00481BAD" w:rsidRDefault="004F26E3" w:rsidP="004F26E3">
      <w:pPr>
        <w:spacing w:line="259" w:lineRule="auto"/>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0334EBB" w14:textId="77777777" w:rsidR="004F26E3" w:rsidRPr="00481BAD" w:rsidRDefault="004F26E3" w:rsidP="004F26E3">
      <w:pPr>
        <w:tabs>
          <w:tab w:val="left" w:pos="709"/>
        </w:tabs>
        <w:spacing w:line="360" w:lineRule="auto"/>
        <w:contextualSpacing/>
        <w:jc w:val="both"/>
        <w:rPr>
          <w:rFonts w:ascii="Palatino Linotype" w:eastAsiaTheme="minorHAnsi" w:hAnsi="Palatino Linotype" w:cs="Arial"/>
          <w:lang w:val="es-MX" w:eastAsia="en-US"/>
        </w:rPr>
      </w:pPr>
    </w:p>
    <w:p w14:paraId="4B601062" w14:textId="77777777" w:rsidR="004F26E3" w:rsidRPr="00481BAD" w:rsidRDefault="004F26E3" w:rsidP="004F26E3">
      <w:pPr>
        <w:tabs>
          <w:tab w:val="left" w:pos="709"/>
        </w:tabs>
        <w:spacing w:line="360" w:lineRule="auto"/>
        <w:contextualSpacing/>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F615F23" w14:textId="77777777" w:rsidR="004F26E3" w:rsidRPr="00481BAD" w:rsidRDefault="004F26E3" w:rsidP="004F26E3">
      <w:pPr>
        <w:tabs>
          <w:tab w:val="left" w:pos="709"/>
        </w:tabs>
        <w:spacing w:after="160" w:line="360" w:lineRule="auto"/>
        <w:contextualSpacing/>
        <w:jc w:val="both"/>
        <w:rPr>
          <w:rFonts w:ascii="Palatino Linotype" w:eastAsiaTheme="minorHAnsi" w:hAnsi="Palatino Linotype" w:cs="Arial"/>
          <w:lang w:val="es-MX" w:eastAsia="en-US"/>
        </w:rPr>
      </w:pPr>
    </w:p>
    <w:p w14:paraId="158B9A48" w14:textId="77777777" w:rsidR="004F26E3" w:rsidRPr="00481BAD" w:rsidRDefault="004F26E3" w:rsidP="004F26E3">
      <w:pPr>
        <w:tabs>
          <w:tab w:val="left" w:pos="709"/>
        </w:tabs>
        <w:spacing w:after="160" w:line="360" w:lineRule="auto"/>
        <w:contextualSpacing/>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481BAD">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81BAD">
        <w:rPr>
          <w:rFonts w:ascii="Palatino Linotype" w:eastAsiaTheme="minorHAnsi" w:hAnsi="Palatino Linotype" w:cs="Arial"/>
          <w:lang w:val="es-MX" w:eastAsia="en-US"/>
        </w:rPr>
        <w:t xml:space="preserve"> de los Sujetos Obligados; los que, podrán estar en cualquier medio, sea escrito, impreso, sonoro, visual, electrónico, informático </w:t>
      </w:r>
      <w:r w:rsidRPr="00481BAD">
        <w:rPr>
          <w:rFonts w:ascii="Palatino Linotype" w:eastAsiaTheme="minorHAnsi" w:hAnsi="Palatino Linotype" w:cs="Arial"/>
          <w:lang w:val="es-MX" w:eastAsia="en-US"/>
        </w:rPr>
        <w:lastRenderedPageBreak/>
        <w:t xml:space="preserve">u holográfico, de conformidad con el artículo 3, fracción XI, de la Ley de la materia, el cual dispone lo siguiente: </w:t>
      </w:r>
    </w:p>
    <w:p w14:paraId="27AA8A75" w14:textId="77777777" w:rsidR="004F26E3" w:rsidRPr="00481BAD" w:rsidRDefault="004F26E3" w:rsidP="004F26E3">
      <w:pPr>
        <w:pStyle w:val="Sinespaciado"/>
        <w:rPr>
          <w:rFonts w:eastAsiaTheme="minorHAnsi"/>
          <w:lang w:eastAsia="en-US"/>
        </w:rPr>
      </w:pPr>
    </w:p>
    <w:p w14:paraId="548E7D39" w14:textId="77777777" w:rsidR="004F26E3" w:rsidRPr="00481BAD" w:rsidRDefault="004F26E3" w:rsidP="004F26E3">
      <w:pPr>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i/>
          <w:sz w:val="22"/>
          <w:szCs w:val="22"/>
          <w:lang w:val="es-MX" w:eastAsia="en-US"/>
        </w:rPr>
        <w:t>“</w:t>
      </w:r>
      <w:r w:rsidRPr="00481BAD">
        <w:rPr>
          <w:rFonts w:ascii="Palatino Linotype" w:eastAsiaTheme="minorHAnsi" w:hAnsi="Palatino Linotype" w:cs="Arial"/>
          <w:b/>
          <w:i/>
          <w:sz w:val="22"/>
          <w:szCs w:val="22"/>
          <w:lang w:val="es-MX" w:eastAsia="en-US"/>
        </w:rPr>
        <w:t xml:space="preserve">Artículo 3. </w:t>
      </w:r>
      <w:r w:rsidRPr="00481BAD">
        <w:rPr>
          <w:rFonts w:ascii="Palatino Linotype" w:eastAsiaTheme="minorHAnsi" w:hAnsi="Palatino Linotype" w:cs="Arial"/>
          <w:i/>
          <w:sz w:val="22"/>
          <w:szCs w:val="22"/>
          <w:lang w:val="es-MX" w:eastAsia="en-US"/>
        </w:rPr>
        <w:t>Para los efectos de la presente Ley se entenderá por:</w:t>
      </w:r>
    </w:p>
    <w:p w14:paraId="7966E1EC" w14:textId="77777777" w:rsidR="004F26E3" w:rsidRPr="00481BAD" w:rsidRDefault="004F26E3" w:rsidP="004F26E3">
      <w:pPr>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i/>
          <w:sz w:val="22"/>
          <w:szCs w:val="22"/>
          <w:lang w:val="es-MX" w:eastAsia="en-US"/>
        </w:rPr>
        <w:t>(…)</w:t>
      </w:r>
    </w:p>
    <w:p w14:paraId="7AF6225A" w14:textId="77777777" w:rsidR="004F26E3" w:rsidRPr="00481BAD" w:rsidRDefault="004F26E3" w:rsidP="004F26E3">
      <w:pPr>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b/>
          <w:i/>
          <w:sz w:val="22"/>
          <w:szCs w:val="22"/>
          <w:lang w:val="es-MX" w:eastAsia="en-US"/>
        </w:rPr>
        <w:t>XI. Documento:</w:t>
      </w:r>
      <w:r w:rsidRPr="00481BAD">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481BAD">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481BAD">
        <w:rPr>
          <w:rFonts w:ascii="Palatino Linotype" w:eastAsiaTheme="minorHAnsi" w:hAnsi="Palatino Linotype" w:cs="Arial"/>
          <w:i/>
          <w:sz w:val="22"/>
          <w:szCs w:val="22"/>
          <w:u w:val="single"/>
          <w:lang w:val="es-MX" w:eastAsia="en-US"/>
        </w:rPr>
        <w:t>,</w:t>
      </w:r>
      <w:r w:rsidRPr="00481BAD">
        <w:rPr>
          <w:rFonts w:ascii="Palatino Linotype" w:eastAsiaTheme="minorHAnsi" w:hAnsi="Palatino Linotype" w:cs="Arial"/>
          <w:i/>
          <w:sz w:val="22"/>
          <w:szCs w:val="22"/>
          <w:lang w:val="es-MX" w:eastAsia="en-US"/>
        </w:rPr>
        <w:t xml:space="preserve"> sus servidores públicos e integrantes, </w:t>
      </w:r>
      <w:r w:rsidRPr="00481BAD">
        <w:rPr>
          <w:rFonts w:ascii="Palatino Linotype" w:eastAsiaTheme="minorHAnsi" w:hAnsi="Palatino Linotype" w:cs="Arial"/>
          <w:b/>
          <w:i/>
          <w:sz w:val="22"/>
          <w:szCs w:val="22"/>
          <w:u w:val="single"/>
          <w:lang w:val="es-MX" w:eastAsia="en-US"/>
        </w:rPr>
        <w:t>sin importar su fuente o fecha de elaboración.</w:t>
      </w:r>
      <w:r w:rsidRPr="00481BAD">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4F90CE35" w14:textId="77777777" w:rsidR="004F26E3" w:rsidRPr="00481BAD" w:rsidRDefault="004F26E3" w:rsidP="004F26E3">
      <w:pPr>
        <w:ind w:left="567" w:right="616"/>
        <w:jc w:val="both"/>
        <w:rPr>
          <w:rFonts w:ascii="Palatino Linotype" w:eastAsiaTheme="minorHAnsi" w:hAnsi="Palatino Linotype" w:cs="Arial"/>
          <w:i/>
          <w:sz w:val="22"/>
          <w:szCs w:val="22"/>
          <w:lang w:val="es-MX" w:eastAsia="en-US"/>
        </w:rPr>
      </w:pPr>
      <w:r w:rsidRPr="00481BAD">
        <w:rPr>
          <w:rFonts w:ascii="Palatino Linotype" w:eastAsiaTheme="minorHAnsi" w:hAnsi="Palatino Linotype" w:cs="Arial"/>
          <w:i/>
          <w:sz w:val="22"/>
          <w:szCs w:val="22"/>
          <w:lang w:val="es-MX" w:eastAsia="en-US"/>
        </w:rPr>
        <w:t>(…)”</w:t>
      </w:r>
    </w:p>
    <w:p w14:paraId="0143964F" w14:textId="77777777" w:rsidR="004F26E3" w:rsidRPr="00481BAD" w:rsidRDefault="004F26E3" w:rsidP="004F26E3">
      <w:pPr>
        <w:spacing w:after="160" w:line="259" w:lineRule="auto"/>
        <w:rPr>
          <w:rFonts w:asciiTheme="minorHAnsi" w:eastAsiaTheme="minorHAnsi" w:hAnsiTheme="minorHAnsi" w:cstheme="minorBidi"/>
          <w:sz w:val="8"/>
          <w:szCs w:val="16"/>
          <w:lang w:val="es-MX" w:eastAsia="en-US"/>
        </w:rPr>
      </w:pPr>
    </w:p>
    <w:p w14:paraId="18E9FA04" w14:textId="77777777" w:rsidR="004F26E3" w:rsidRPr="00481BAD" w:rsidRDefault="004F26E3" w:rsidP="004F26E3">
      <w:pPr>
        <w:spacing w:before="240" w:after="240" w:line="360" w:lineRule="auto"/>
        <w:ind w:right="49"/>
        <w:contextualSpacing/>
        <w:jc w:val="both"/>
        <w:rPr>
          <w:rFonts w:ascii="Palatino Linotype" w:eastAsiaTheme="minorHAnsi" w:hAnsi="Palatino Linotype" w:cs="Arial"/>
          <w:lang w:val="es-MX" w:eastAsia="es-MX"/>
        </w:rPr>
      </w:pPr>
      <w:r w:rsidRPr="00481BAD">
        <w:rPr>
          <w:rFonts w:ascii="Palatino Linotype" w:eastAsiaTheme="minorHAnsi" w:hAnsi="Palatino Linotype" w:cs="Arial"/>
          <w:lang w:val="es-MX" w:eastAsia="en-US"/>
        </w:rPr>
        <w:t xml:space="preserve">Además, </w:t>
      </w:r>
      <w:r w:rsidRPr="00481BAD">
        <w:rPr>
          <w:rFonts w:ascii="Palatino Linotype" w:eastAsia="MS Mincho" w:hAnsi="Palatino Linotype" w:cstheme="minorBidi"/>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3293076" w14:textId="77777777" w:rsidR="004F26E3" w:rsidRPr="00481BAD" w:rsidRDefault="004F26E3" w:rsidP="004F26E3">
      <w:pPr>
        <w:spacing w:before="240" w:after="240" w:line="360" w:lineRule="auto"/>
        <w:ind w:right="49"/>
        <w:contextualSpacing/>
        <w:jc w:val="both"/>
        <w:rPr>
          <w:rFonts w:ascii="Palatino Linotype" w:eastAsiaTheme="minorHAnsi" w:hAnsi="Palatino Linotype" w:cs="Arial"/>
          <w:lang w:val="es-MX" w:eastAsia="es-MX"/>
        </w:rPr>
      </w:pPr>
    </w:p>
    <w:p w14:paraId="3E350F5F" w14:textId="77777777" w:rsidR="004F26E3" w:rsidRPr="00481BAD" w:rsidRDefault="004F26E3" w:rsidP="004F26E3">
      <w:pPr>
        <w:spacing w:line="360" w:lineRule="auto"/>
        <w:ind w:right="49"/>
        <w:contextualSpacing/>
        <w:jc w:val="both"/>
        <w:rPr>
          <w:rFonts w:ascii="Palatino Linotype" w:eastAsia="MS Mincho" w:hAnsi="Palatino Linotype" w:cs="Tahoma"/>
          <w:lang w:val="es-MX" w:eastAsia="en-US"/>
        </w:rPr>
      </w:pPr>
      <w:r w:rsidRPr="00481BAD">
        <w:rPr>
          <w:rFonts w:ascii="Palatino Linotype" w:eastAsiaTheme="minorHAnsi" w:hAnsi="Palatino Linotype" w:cs="Arial"/>
          <w:lang w:val="es-MX" w:eastAsia="es-MX"/>
        </w:rPr>
        <w:t xml:space="preserve">De la misma forma, </w:t>
      </w:r>
      <w:r w:rsidRPr="00481BAD">
        <w:rPr>
          <w:rFonts w:ascii="Palatino Linotype" w:eastAsia="MS Mincho" w:hAnsi="Palatino Linotype" w:cstheme="minorBidi"/>
          <w:lang w:val="es-MX" w:eastAsia="en-US"/>
        </w:rPr>
        <w:t>de acuerdo al contenido del artículo 160,</w:t>
      </w:r>
      <w:r w:rsidRPr="00481BAD">
        <w:rPr>
          <w:rFonts w:ascii="Palatino Linotype" w:eastAsiaTheme="minorHAnsi" w:hAnsi="Palatino Linotype" w:cs="Arial"/>
          <w:lang w:val="es-MX" w:eastAsia="en-US"/>
        </w:rPr>
        <w:t xml:space="preserve"> de la Ley </w:t>
      </w:r>
      <w:r w:rsidRPr="00481BAD">
        <w:rPr>
          <w:rFonts w:ascii="Palatino Linotype" w:eastAsia="MS Mincho" w:hAnsi="Palatino Linotype" w:cs="Tahoma"/>
          <w:lang w:val="es-MX" w:eastAsia="en-US"/>
        </w:rPr>
        <w:t>General de Transparencia y Acceso a la Información Pública que a la letra dispone:</w:t>
      </w:r>
    </w:p>
    <w:p w14:paraId="149B9245" w14:textId="77777777" w:rsidR="004F26E3" w:rsidRPr="00481BAD" w:rsidRDefault="004F26E3" w:rsidP="004F26E3">
      <w:pPr>
        <w:pStyle w:val="Sinespaciado"/>
        <w:rPr>
          <w:rFonts w:eastAsia="MS Mincho"/>
          <w:lang w:eastAsia="en-US"/>
        </w:rPr>
      </w:pPr>
    </w:p>
    <w:p w14:paraId="2F4723FB" w14:textId="77777777" w:rsidR="004F26E3" w:rsidRPr="00481BAD" w:rsidRDefault="004F26E3" w:rsidP="004F26E3">
      <w:pPr>
        <w:spacing w:line="259" w:lineRule="auto"/>
        <w:ind w:left="567" w:right="616"/>
        <w:contextualSpacing/>
        <w:jc w:val="both"/>
        <w:rPr>
          <w:rFonts w:ascii="Palatino Linotype" w:eastAsiaTheme="minorHAnsi" w:hAnsi="Palatino Linotype" w:cs="Arial"/>
          <w:i/>
          <w:sz w:val="22"/>
          <w:szCs w:val="22"/>
          <w:lang w:val="es-MX" w:eastAsia="gl-ES"/>
        </w:rPr>
      </w:pPr>
      <w:r w:rsidRPr="00481BAD">
        <w:rPr>
          <w:rFonts w:ascii="Palatino Linotype" w:eastAsiaTheme="minorHAnsi" w:hAnsi="Palatino Linotype" w:cs="Arial"/>
          <w:b/>
          <w:i/>
          <w:sz w:val="22"/>
          <w:szCs w:val="22"/>
          <w:lang w:val="es-MX" w:eastAsia="gl-ES"/>
        </w:rPr>
        <w:t>Artículo 160</w:t>
      </w:r>
      <w:r w:rsidRPr="00481BAD">
        <w:rPr>
          <w:rFonts w:ascii="Palatino Linotype" w:eastAsiaTheme="minorHAnsi" w:hAnsi="Palatino Linotype" w:cs="Arial"/>
          <w:i/>
          <w:sz w:val="22"/>
          <w:szCs w:val="22"/>
          <w:lang w:val="es-MX" w:eastAsia="gl-ES"/>
        </w:rPr>
        <w:t xml:space="preserve">. Los sujetos obligados deberán otorgar acceso a los documentos que se encuentren en sus archivos o que estén obligados a documentar de acuerdo con sus </w:t>
      </w:r>
      <w:r w:rsidRPr="00481BAD">
        <w:rPr>
          <w:rFonts w:ascii="Palatino Linotype" w:eastAsiaTheme="minorHAnsi" w:hAnsi="Palatino Linotype" w:cs="Arial"/>
          <w:i/>
          <w:sz w:val="22"/>
          <w:szCs w:val="22"/>
          <w:lang w:val="es-MX" w:eastAsia="gl-ES"/>
        </w:rPr>
        <w:lastRenderedPageBreak/>
        <w:t>facultades, competencias o funciones en el formato que el solicitante manifieste, de entre aquellos formatos existentes, conforme a las características físicas de la información o del lugar donde se encuentre así lo permita.</w:t>
      </w:r>
    </w:p>
    <w:p w14:paraId="573C0F87" w14:textId="77777777" w:rsidR="004F26E3" w:rsidRPr="00481BAD" w:rsidRDefault="004F26E3" w:rsidP="004F26E3">
      <w:pPr>
        <w:spacing w:after="160" w:line="259" w:lineRule="auto"/>
        <w:ind w:right="616"/>
        <w:contextualSpacing/>
        <w:jc w:val="both"/>
        <w:rPr>
          <w:rFonts w:ascii="Palatino Linotype" w:eastAsiaTheme="minorHAnsi" w:hAnsi="Palatino Linotype" w:cs="Arial"/>
          <w:i/>
          <w:sz w:val="14"/>
          <w:szCs w:val="22"/>
          <w:lang w:val="es-MX" w:eastAsia="gl-ES"/>
        </w:rPr>
      </w:pPr>
    </w:p>
    <w:p w14:paraId="362C827D" w14:textId="77777777" w:rsidR="004F26E3" w:rsidRPr="00481BAD" w:rsidRDefault="004F26E3" w:rsidP="004F26E3">
      <w:pPr>
        <w:spacing w:after="160" w:line="259" w:lineRule="auto"/>
        <w:ind w:right="616"/>
        <w:contextualSpacing/>
        <w:jc w:val="both"/>
        <w:rPr>
          <w:rFonts w:ascii="Palatino Linotype" w:eastAsiaTheme="minorHAnsi" w:hAnsi="Palatino Linotype" w:cs="Arial"/>
          <w:i/>
          <w:sz w:val="14"/>
          <w:szCs w:val="22"/>
          <w:lang w:val="es-MX" w:eastAsia="gl-ES"/>
        </w:rPr>
      </w:pPr>
    </w:p>
    <w:p w14:paraId="6496C415" w14:textId="77777777" w:rsidR="004F26E3" w:rsidRPr="00481BAD" w:rsidRDefault="004F26E3" w:rsidP="004F26E3">
      <w:pPr>
        <w:spacing w:after="160" w:line="360" w:lineRule="auto"/>
        <w:jc w:val="both"/>
        <w:rPr>
          <w:rFonts w:ascii="Palatino Linotype" w:eastAsiaTheme="minorHAnsi" w:hAnsi="Palatino Linotype" w:cs="Arial"/>
          <w:color w:val="222222"/>
          <w:szCs w:val="20"/>
          <w:lang w:val="es-MX" w:eastAsia="es-MX"/>
        </w:rPr>
      </w:pPr>
      <w:r w:rsidRPr="00481BAD">
        <w:rPr>
          <w:rFonts w:ascii="Palatino Linotype" w:eastAsiaTheme="minorHAnsi" w:hAnsi="Palatino Linotype" w:cstheme="minorBidi"/>
          <w:color w:val="000000"/>
          <w:lang w:val="es-MX" w:eastAsia="en-US"/>
        </w:rPr>
        <w:t xml:space="preserve">Sirve como apoyo </w:t>
      </w:r>
      <w:r w:rsidRPr="00481BAD">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14:paraId="06ED4F32" w14:textId="77777777" w:rsidR="004F26E3" w:rsidRPr="00481BAD" w:rsidRDefault="004F26E3" w:rsidP="004F26E3">
      <w:pPr>
        <w:shd w:val="clear" w:color="auto" w:fill="FFFFFF"/>
        <w:tabs>
          <w:tab w:val="left" w:pos="8647"/>
        </w:tabs>
        <w:ind w:left="567" w:right="616"/>
        <w:jc w:val="both"/>
        <w:rPr>
          <w:rFonts w:ascii="Palatino Linotype" w:eastAsiaTheme="minorHAnsi" w:hAnsi="Palatino Linotype" w:cs="Arial"/>
          <w:i/>
          <w:iCs/>
          <w:color w:val="222222"/>
          <w:sz w:val="22"/>
          <w:szCs w:val="22"/>
          <w:lang w:val="es-MX" w:eastAsia="es-MX"/>
        </w:rPr>
      </w:pPr>
      <w:r w:rsidRPr="00481BAD">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481BAD">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903E46A" w14:textId="77777777" w:rsidR="004F26E3" w:rsidRPr="00481BAD" w:rsidRDefault="004F26E3" w:rsidP="004F26E3">
      <w:pPr>
        <w:rPr>
          <w:rFonts w:asciiTheme="minorHAnsi" w:eastAsiaTheme="minorHAnsi" w:hAnsiTheme="minorHAnsi" w:cstheme="minorBidi"/>
          <w:sz w:val="22"/>
          <w:szCs w:val="22"/>
          <w:lang w:val="es-MX" w:eastAsia="en-US"/>
        </w:rPr>
      </w:pPr>
    </w:p>
    <w:p w14:paraId="055E99A4" w14:textId="77777777" w:rsidR="004F26E3" w:rsidRPr="00481BAD" w:rsidRDefault="004F26E3" w:rsidP="004F26E3">
      <w:pPr>
        <w:rPr>
          <w:rFonts w:asciiTheme="minorHAnsi" w:eastAsiaTheme="minorHAnsi" w:hAnsiTheme="minorHAnsi" w:cstheme="minorBidi"/>
          <w:sz w:val="16"/>
          <w:szCs w:val="22"/>
          <w:lang w:val="es-MX" w:eastAsia="en-US"/>
        </w:rPr>
      </w:pPr>
    </w:p>
    <w:p w14:paraId="1938E7F8" w14:textId="3123DBE3" w:rsidR="004F26E3" w:rsidRPr="00481BAD" w:rsidRDefault="004F26E3" w:rsidP="004F26E3">
      <w:pPr>
        <w:spacing w:after="160" w:line="360" w:lineRule="auto"/>
        <w:contextualSpacing/>
        <w:jc w:val="both"/>
        <w:rPr>
          <w:rFonts w:ascii="Palatino Linotype" w:eastAsiaTheme="minorHAnsi" w:hAnsi="Palatino Linotype" w:cs="Arial"/>
          <w:lang w:val="es-MX" w:eastAsia="en-US"/>
        </w:rPr>
      </w:pPr>
      <w:r w:rsidRPr="00481BAD">
        <w:rPr>
          <w:rFonts w:ascii="Palatino Linotype" w:eastAsiaTheme="minorHAnsi" w:hAnsi="Palatino Linotype" w:cs="Arial"/>
          <w:bCs/>
          <w:lang w:val="es-MX" w:eastAsia="en-US"/>
        </w:rPr>
        <w:t xml:space="preserve">Además, </w:t>
      </w:r>
      <w:r w:rsidRPr="00481BAD">
        <w:rPr>
          <w:rFonts w:ascii="Palatino Linotype" w:eastAsiaTheme="minorHAnsi"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727E232" w14:textId="77777777" w:rsidR="004F26E3" w:rsidRPr="00481BAD" w:rsidRDefault="004F26E3" w:rsidP="004F26E3">
      <w:pPr>
        <w:rPr>
          <w:rFonts w:asciiTheme="minorHAnsi" w:eastAsiaTheme="minorHAnsi" w:hAnsiTheme="minorHAnsi" w:cstheme="minorBidi"/>
          <w:sz w:val="10"/>
          <w:szCs w:val="10"/>
          <w:lang w:val="es-MX" w:eastAsia="en-US"/>
        </w:rPr>
      </w:pPr>
    </w:p>
    <w:p w14:paraId="101D6E7C" w14:textId="77777777" w:rsidR="004F26E3" w:rsidRPr="00481BAD" w:rsidRDefault="004F26E3" w:rsidP="004F26E3">
      <w:pPr>
        <w:rPr>
          <w:rFonts w:asciiTheme="minorHAnsi" w:eastAsiaTheme="minorHAnsi" w:hAnsiTheme="minorHAnsi" w:cstheme="minorBidi"/>
          <w:sz w:val="10"/>
          <w:szCs w:val="10"/>
          <w:lang w:val="es-MX" w:eastAsia="en-US"/>
        </w:rPr>
      </w:pPr>
    </w:p>
    <w:p w14:paraId="5424481D" w14:textId="10AB5899" w:rsidR="004F26E3" w:rsidRPr="00481BAD" w:rsidRDefault="004F26E3" w:rsidP="004F26E3">
      <w:pPr>
        <w:spacing w:line="276" w:lineRule="auto"/>
        <w:ind w:left="426" w:right="567"/>
        <w:jc w:val="both"/>
        <w:rPr>
          <w:rFonts w:ascii="Palatino Linotype" w:hAnsi="Palatino Linotype" w:cs="Arial"/>
          <w:bCs/>
          <w:i/>
          <w:sz w:val="22"/>
        </w:rPr>
      </w:pPr>
      <w:r w:rsidRPr="00481BAD">
        <w:rPr>
          <w:rFonts w:ascii="Palatino Linotype" w:hAnsi="Palatino Linotype" w:cs="Arial"/>
          <w:b/>
          <w:i/>
          <w:sz w:val="22"/>
        </w:rPr>
        <w:t xml:space="preserve"> IV.</w:t>
      </w:r>
      <w:r w:rsidRPr="00481BAD">
        <w:rPr>
          <w:rFonts w:ascii="Palatino Linotype" w:hAnsi="Palatino Linotype" w:cs="Arial"/>
          <w:bCs/>
          <w:i/>
          <w:sz w:val="22"/>
        </w:rPr>
        <w:t xml:space="preserve"> </w:t>
      </w:r>
      <w:r w:rsidRPr="00481BAD">
        <w:rPr>
          <w:rFonts w:ascii="Palatino Linotype" w:hAnsi="Palatino Linotype" w:cs="Arial"/>
          <w:b/>
          <w:i/>
          <w:sz w:val="22"/>
          <w:u w:val="single"/>
        </w:rPr>
        <w:t>Los ayuntamientos</w:t>
      </w:r>
      <w:r w:rsidRPr="00481BAD">
        <w:rPr>
          <w:rFonts w:ascii="Palatino Linotype" w:hAnsi="Palatino Linotype" w:cs="Arial"/>
          <w:bCs/>
          <w:i/>
          <w:sz w:val="22"/>
        </w:rPr>
        <w:t xml:space="preserve"> y las dependencias, organismos, órganos y entidades de la administración municipal;</w:t>
      </w:r>
    </w:p>
    <w:p w14:paraId="0EEF5BCD" w14:textId="77777777" w:rsidR="004F26E3" w:rsidRPr="00481BAD" w:rsidRDefault="004F26E3" w:rsidP="004F26E3">
      <w:pPr>
        <w:ind w:left="426" w:right="567"/>
        <w:jc w:val="both"/>
        <w:rPr>
          <w:rFonts w:ascii="Palatino Linotype" w:hAnsi="Palatino Linotype" w:cs="Arial"/>
          <w:i/>
          <w:sz w:val="22"/>
        </w:rPr>
      </w:pPr>
    </w:p>
    <w:p w14:paraId="0FA18418" w14:textId="77777777" w:rsidR="004F26E3" w:rsidRPr="00481BAD" w:rsidRDefault="004F26E3" w:rsidP="004F26E3">
      <w:pPr>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 xml:space="preserve">Por lo que, de la respuesta emitida por parte de la Unidad de Transparencia del </w:t>
      </w:r>
      <w:r w:rsidRPr="00481BAD">
        <w:rPr>
          <w:rFonts w:ascii="Palatino Linotype" w:eastAsiaTheme="minorHAnsi" w:hAnsi="Palatino Linotype" w:cs="Arial"/>
          <w:b/>
          <w:lang w:val="es-MX" w:eastAsia="en-US"/>
        </w:rPr>
        <w:t>Sujeto Obligado</w:t>
      </w:r>
      <w:r w:rsidRPr="00481BAD">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de conformidad con lo siguiente.</w:t>
      </w:r>
    </w:p>
    <w:p w14:paraId="42553E2C" w14:textId="77777777" w:rsidR="004F26E3" w:rsidRPr="00481BAD" w:rsidRDefault="004F26E3" w:rsidP="004F26E3">
      <w:pPr>
        <w:spacing w:line="360" w:lineRule="auto"/>
        <w:jc w:val="both"/>
        <w:rPr>
          <w:rFonts w:ascii="Palatino Linotype" w:eastAsiaTheme="minorHAnsi" w:hAnsi="Palatino Linotype" w:cs="Tahoma"/>
          <w:bCs/>
          <w:lang w:val="es-MX" w:eastAsia="en-US"/>
        </w:rPr>
      </w:pPr>
    </w:p>
    <w:p w14:paraId="5B3EF354" w14:textId="506B81E5" w:rsidR="004F26E3" w:rsidRPr="00481BAD" w:rsidRDefault="004F26E3" w:rsidP="004F26E3">
      <w:pPr>
        <w:spacing w:line="360" w:lineRule="auto"/>
        <w:jc w:val="both"/>
        <w:rPr>
          <w:rFonts w:ascii="Palatino Linotype" w:eastAsiaTheme="minorHAnsi" w:hAnsi="Palatino Linotype" w:cs="Tahoma"/>
          <w:bCs/>
          <w:lang w:val="es-MX" w:eastAsia="en-US"/>
        </w:rPr>
      </w:pPr>
      <w:r w:rsidRPr="00481BAD">
        <w:rPr>
          <w:rFonts w:ascii="Palatino Linotype" w:eastAsiaTheme="minorHAnsi" w:hAnsi="Palatino Linotype" w:cs="Tahoma"/>
          <w:bCs/>
          <w:lang w:val="es-MX" w:eastAsia="en-US"/>
        </w:rPr>
        <w:t xml:space="preserve">Bajo estas líneas argumentativas, al retomar y delimitar los requerimientos del ahora </w:t>
      </w:r>
      <w:r w:rsidRPr="00481BAD">
        <w:rPr>
          <w:rFonts w:ascii="Palatino Linotype" w:eastAsiaTheme="minorHAnsi" w:hAnsi="Palatino Linotype" w:cs="Tahoma"/>
          <w:b/>
          <w:bCs/>
          <w:lang w:val="es-MX" w:eastAsia="en-US"/>
        </w:rPr>
        <w:t>Recurrente</w:t>
      </w:r>
      <w:r w:rsidRPr="00481BAD">
        <w:rPr>
          <w:rFonts w:ascii="Palatino Linotype" w:eastAsiaTheme="minorHAnsi" w:hAnsi="Palatino Linotype" w:cs="Tahoma"/>
          <w:bCs/>
          <w:lang w:val="es-MX" w:eastAsia="en-US"/>
        </w:rPr>
        <w:t>, de manera objetiva requirió de lo siguiente:</w:t>
      </w:r>
    </w:p>
    <w:p w14:paraId="1DDB229D" w14:textId="77777777" w:rsidR="004F26E3" w:rsidRPr="00481BAD" w:rsidRDefault="004F26E3" w:rsidP="004F26E3">
      <w:pPr>
        <w:pStyle w:val="Prrafodelista"/>
        <w:numPr>
          <w:ilvl w:val="0"/>
          <w:numId w:val="10"/>
        </w:numPr>
        <w:spacing w:line="360" w:lineRule="auto"/>
        <w:ind w:right="141"/>
        <w:jc w:val="both"/>
        <w:rPr>
          <w:rFonts w:ascii="Palatino Linotype" w:eastAsiaTheme="minorHAnsi" w:hAnsi="Palatino Linotype" w:cs="Arial"/>
          <w:bCs/>
          <w:iCs/>
          <w:lang w:val="es-MX" w:eastAsia="en-US"/>
        </w:rPr>
      </w:pPr>
      <w:r w:rsidRPr="00481BAD">
        <w:rPr>
          <w:rFonts w:ascii="Palatino Linotype" w:eastAsiaTheme="minorHAnsi" w:hAnsi="Palatino Linotype" w:cs="Arial"/>
          <w:bCs/>
          <w:iCs/>
          <w:lang w:val="es-MX" w:eastAsia="en-US"/>
        </w:rPr>
        <w:lastRenderedPageBreak/>
        <w:t>¿Como trabajara en conjunto el Presidente Municipal Manuel Vilchis Viveros con la gobernadora electa Delfina Gómez Álvarez?</w:t>
      </w:r>
      <w:r w:rsidRPr="00481BAD">
        <w:rPr>
          <w:rFonts w:ascii="Palatino Linotype" w:eastAsiaTheme="minorHAnsi" w:hAnsi="Palatino Linotype" w:cs="Arial"/>
          <w:bCs/>
          <w:iCs/>
          <w:lang w:val="es-MX" w:eastAsia="en-US"/>
        </w:rPr>
        <w:tab/>
      </w:r>
    </w:p>
    <w:p w14:paraId="720CB4BB" w14:textId="77777777" w:rsidR="004F26E3" w:rsidRPr="00481BAD" w:rsidRDefault="004F26E3" w:rsidP="00E9680B">
      <w:pPr>
        <w:spacing w:line="360" w:lineRule="auto"/>
        <w:ind w:right="141"/>
        <w:jc w:val="both"/>
        <w:rPr>
          <w:rFonts w:ascii="Palatino Linotype" w:eastAsiaTheme="minorHAnsi" w:hAnsi="Palatino Linotype" w:cs="Arial"/>
          <w:bCs/>
          <w:iCs/>
          <w:lang w:val="es-MX" w:eastAsia="en-US"/>
        </w:rPr>
      </w:pPr>
    </w:p>
    <w:p w14:paraId="6B0F2A49" w14:textId="0540B812" w:rsidR="004F26E3" w:rsidRPr="00481BAD" w:rsidRDefault="000B3D36" w:rsidP="004F26E3">
      <w:pPr>
        <w:pStyle w:val="Prrafodelista"/>
        <w:spacing w:line="360" w:lineRule="auto"/>
        <w:ind w:left="0"/>
        <w:contextualSpacing/>
        <w:jc w:val="both"/>
        <w:rPr>
          <w:rFonts w:ascii="Palatino Linotype" w:hAnsi="Palatino Linotype"/>
          <w:color w:val="000000"/>
        </w:rPr>
      </w:pPr>
      <w:r w:rsidRPr="00481BAD">
        <w:rPr>
          <w:rFonts w:ascii="Palatino Linotype" w:hAnsi="Palatino Linotype"/>
          <w:color w:val="000000"/>
        </w:rPr>
        <w:t xml:space="preserve">Por lo que, </w:t>
      </w:r>
      <w:r w:rsidR="004F26E3" w:rsidRPr="00481BAD">
        <w:rPr>
          <w:rFonts w:ascii="Palatino Linotype" w:hAnsi="Palatino Linotype"/>
          <w:color w:val="000000"/>
        </w:rPr>
        <w:t xml:space="preserve">es de destacar que en dicha solicitud, se observa en primer lugar que la información solicitada fue formulada parcialmente a través de planteamientos en donde </w:t>
      </w:r>
      <w:r w:rsidR="004F26E3" w:rsidRPr="00481BAD">
        <w:rPr>
          <w:rFonts w:ascii="Palatino Linotype" w:hAnsi="Palatino Linotype" w:cs="Arial"/>
          <w:b/>
          <w:bCs/>
          <w:iCs/>
          <w:color w:val="222222"/>
        </w:rPr>
        <w:t>no se identifica un documento en específico</w:t>
      </w:r>
      <w:r w:rsidR="004F26E3" w:rsidRPr="00481BAD">
        <w:rPr>
          <w:rFonts w:ascii="Palatino Linotype" w:hAnsi="Palatino Linotype"/>
          <w:color w:val="000000"/>
        </w:rPr>
        <w:t>, en segundo lugar se aprecia que en la misma se vierten manifestaciones subjetivas que no pueden ser atendidas mediante el Derecho de Acceso a la Información.</w:t>
      </w:r>
    </w:p>
    <w:p w14:paraId="6AEA54AC" w14:textId="77777777" w:rsidR="000B3D36" w:rsidRPr="00481BAD" w:rsidRDefault="000B3D36" w:rsidP="004F26E3">
      <w:pPr>
        <w:pStyle w:val="Prrafodelista"/>
        <w:spacing w:line="360" w:lineRule="auto"/>
        <w:ind w:left="0"/>
        <w:contextualSpacing/>
        <w:jc w:val="both"/>
        <w:rPr>
          <w:lang w:val="es-MX" w:eastAsia="en-US"/>
        </w:rPr>
      </w:pPr>
    </w:p>
    <w:p w14:paraId="3FD62D2D" w14:textId="77777777" w:rsidR="004F26E3" w:rsidRPr="00481BAD" w:rsidRDefault="004F26E3" w:rsidP="004F26E3">
      <w:pPr>
        <w:pStyle w:val="Prrafodelista"/>
        <w:autoSpaceDE w:val="0"/>
        <w:autoSpaceDN w:val="0"/>
        <w:adjustRightInd w:val="0"/>
        <w:spacing w:line="360" w:lineRule="auto"/>
        <w:ind w:left="0"/>
        <w:contextualSpacing/>
        <w:jc w:val="both"/>
        <w:rPr>
          <w:rFonts w:ascii="Palatino Linotype" w:hAnsi="Palatino Linotype" w:cs="Arial"/>
          <w:lang w:val="es-MX"/>
        </w:rPr>
      </w:pPr>
      <w:r w:rsidRPr="00481BAD">
        <w:rPr>
          <w:rFonts w:ascii="Palatino Linotype" w:hAnsi="Palatino Linotype"/>
        </w:rPr>
        <w:t xml:space="preserve">Bajo éste tenor cabe aclarar que cuando los planteamientos que formulen los particulares se pueda colmar con la entrega de </w:t>
      </w:r>
      <w:r w:rsidRPr="00481BAD">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481BAD">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68FFE87" w14:textId="77777777" w:rsidR="004F26E3" w:rsidRPr="00481BAD" w:rsidRDefault="004F26E3" w:rsidP="004F26E3">
      <w:pPr>
        <w:pStyle w:val="Prrafodelista"/>
        <w:autoSpaceDE w:val="0"/>
        <w:autoSpaceDN w:val="0"/>
        <w:adjustRightInd w:val="0"/>
        <w:spacing w:line="360" w:lineRule="auto"/>
        <w:ind w:left="0"/>
        <w:contextualSpacing/>
        <w:jc w:val="both"/>
        <w:rPr>
          <w:rFonts w:ascii="Palatino Linotype" w:hAnsi="Palatino Linotype" w:cs="Arial"/>
          <w:lang w:val="es-MX"/>
        </w:rPr>
      </w:pPr>
    </w:p>
    <w:p w14:paraId="2D243917" w14:textId="77777777" w:rsidR="004F26E3" w:rsidRPr="00481BAD" w:rsidRDefault="004F26E3" w:rsidP="004F26E3">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481BAD">
        <w:rPr>
          <w:rFonts w:ascii="Palatino Linotype" w:hAnsi="Palatino Linotype" w:cs="Arial"/>
          <w:color w:val="000000" w:themeColor="text1"/>
        </w:rPr>
        <w:t>Sirve de sustento a lo anterior, el</w:t>
      </w:r>
      <w:r w:rsidRPr="00481BAD">
        <w:rPr>
          <w:rStyle w:val="apple-converted-space"/>
          <w:rFonts w:ascii="Palatino Linotype" w:eastAsia="Calibri" w:hAnsi="Palatino Linotype" w:cs="Arial"/>
          <w:color w:val="000000" w:themeColor="text1"/>
        </w:rPr>
        <w:t xml:space="preserve"> </w:t>
      </w:r>
      <w:r w:rsidRPr="00481BAD">
        <w:rPr>
          <w:rStyle w:val="il"/>
          <w:rFonts w:ascii="Palatino Linotype" w:hAnsi="Palatino Linotype" w:cs="Arial"/>
          <w:color w:val="000000" w:themeColor="text1"/>
        </w:rPr>
        <w:t>Criterio</w:t>
      </w:r>
      <w:r w:rsidRPr="00481BAD">
        <w:rPr>
          <w:rStyle w:val="apple-converted-space"/>
          <w:rFonts w:ascii="Palatino Linotype" w:eastAsia="Calibri" w:hAnsi="Palatino Linotype" w:cs="Arial"/>
          <w:color w:val="000000" w:themeColor="text1"/>
        </w:rPr>
        <w:t xml:space="preserve"> </w:t>
      </w:r>
      <w:r w:rsidRPr="00481BAD">
        <w:rPr>
          <w:rStyle w:val="il"/>
          <w:rFonts w:ascii="Palatino Linotype" w:hAnsi="Palatino Linotype" w:cs="Arial"/>
          <w:color w:val="000000" w:themeColor="text1"/>
        </w:rPr>
        <w:t>028</w:t>
      </w:r>
      <w:r w:rsidRPr="00481BAD">
        <w:rPr>
          <w:rFonts w:ascii="Palatino Linotype" w:hAnsi="Palatino Linotype" w:cs="Arial"/>
          <w:color w:val="000000" w:themeColor="text1"/>
        </w:rPr>
        <w:t>-</w:t>
      </w:r>
      <w:r w:rsidRPr="00481BAD">
        <w:rPr>
          <w:rStyle w:val="il"/>
          <w:rFonts w:ascii="Palatino Linotype" w:hAnsi="Palatino Linotype" w:cs="Arial"/>
          <w:color w:val="000000" w:themeColor="text1"/>
        </w:rPr>
        <w:t>10,</w:t>
      </w:r>
      <w:r w:rsidRPr="00481BAD">
        <w:rPr>
          <w:rStyle w:val="apple-converted-space"/>
          <w:rFonts w:ascii="Palatino Linotype" w:eastAsia="Calibri" w:hAnsi="Palatino Linotype" w:cs="Arial"/>
          <w:color w:val="000000" w:themeColor="text1"/>
        </w:rPr>
        <w:t xml:space="preserve"> </w:t>
      </w:r>
      <w:r w:rsidRPr="00481BAD">
        <w:rPr>
          <w:rFonts w:ascii="Palatino Linotype" w:hAnsi="Palatino Linotype" w:cs="Arial"/>
          <w:color w:val="000000" w:themeColor="text1"/>
        </w:rPr>
        <w:t>emitido por el Pleno del entonces llamado</w:t>
      </w:r>
      <w:r w:rsidRPr="00481BAD">
        <w:rPr>
          <w:rStyle w:val="apple-converted-space"/>
          <w:rFonts w:ascii="Palatino Linotype" w:eastAsia="Calibri" w:hAnsi="Palatino Linotype" w:cs="Arial"/>
          <w:color w:val="000000" w:themeColor="text1"/>
        </w:rPr>
        <w:t xml:space="preserve"> </w:t>
      </w:r>
      <w:r w:rsidRPr="00481BAD">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481BAD">
        <w:rPr>
          <w:rStyle w:val="apple-converted-space"/>
          <w:rFonts w:ascii="Palatino Linotype" w:eastAsia="Calibri" w:hAnsi="Palatino Linotype" w:cs="Arial"/>
          <w:color w:val="000000" w:themeColor="text1"/>
        </w:rPr>
        <w:t xml:space="preserve"> </w:t>
      </w:r>
      <w:r w:rsidRPr="00481BAD">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481BAD">
        <w:rPr>
          <w:rStyle w:val="apple-converted-space"/>
          <w:rFonts w:ascii="Palatino Linotype" w:eastAsia="Calibri" w:hAnsi="Palatino Linotype" w:cs="Arial"/>
          <w:i/>
          <w:iCs/>
          <w:color w:val="000000" w:themeColor="text1"/>
        </w:rPr>
        <w:t xml:space="preserve"> </w:t>
      </w:r>
      <w:r w:rsidRPr="00481BAD">
        <w:rPr>
          <w:rFonts w:ascii="Palatino Linotype" w:hAnsi="Palatino Linotype" w:cs="Arial"/>
          <w:color w:val="000000" w:themeColor="text1"/>
        </w:rPr>
        <w:t xml:space="preserve">aunque el particular lleve a cabo una solicitud de información sin identificar de forma precisa la documentación, </w:t>
      </w:r>
      <w:r w:rsidRPr="00481BAD">
        <w:rPr>
          <w:rFonts w:ascii="Palatino Linotype" w:hAnsi="Palatino Linotype" w:cs="Arial"/>
          <w:b/>
          <w:color w:val="000000" w:themeColor="text1"/>
        </w:rPr>
        <w:t xml:space="preserve">El Sujeto </w:t>
      </w:r>
      <w:r w:rsidRPr="00481BAD">
        <w:rPr>
          <w:rFonts w:ascii="Palatino Linotype" w:hAnsi="Palatino Linotype" w:cs="Arial"/>
          <w:b/>
          <w:color w:val="000000" w:themeColor="text1"/>
        </w:rPr>
        <w:lastRenderedPageBreak/>
        <w:t>Obligado</w:t>
      </w:r>
      <w:r w:rsidRPr="00481BAD">
        <w:rPr>
          <w:rStyle w:val="apple-converted-space"/>
          <w:rFonts w:ascii="Palatino Linotype" w:eastAsia="Calibri" w:hAnsi="Palatino Linotype" w:cs="Arial"/>
          <w:b/>
          <w:color w:val="000000" w:themeColor="text1"/>
        </w:rPr>
        <w:t xml:space="preserve"> </w:t>
      </w:r>
      <w:r w:rsidRPr="00481BAD">
        <w:rPr>
          <w:rFonts w:ascii="Palatino Linotype" w:hAnsi="Palatino Linotype" w:cs="Arial"/>
          <w:color w:val="000000" w:themeColor="text1"/>
        </w:rPr>
        <w:t>deberá hacer entrega del mismo al solicitante</w:t>
      </w:r>
      <w:r w:rsidRPr="00481BAD">
        <w:rPr>
          <w:rStyle w:val="apple-converted-space"/>
          <w:rFonts w:ascii="Palatino Linotype" w:eastAsia="Calibri" w:hAnsi="Palatino Linotype" w:cs="Arial"/>
          <w:color w:val="000000" w:themeColor="text1"/>
        </w:rPr>
        <w:t xml:space="preserve"> </w:t>
      </w:r>
      <w:r w:rsidRPr="00481BAD">
        <w:rPr>
          <w:rFonts w:ascii="Palatino Linotype" w:hAnsi="Palatino Linotype" w:cs="Arial"/>
          <w:color w:val="000000" w:themeColor="text1"/>
        </w:rPr>
        <w:t>mismo que a continuación se cita:</w:t>
      </w:r>
    </w:p>
    <w:p w14:paraId="61AEFC19" w14:textId="77777777" w:rsidR="004F26E3" w:rsidRPr="00481BAD" w:rsidRDefault="004F26E3" w:rsidP="004F26E3">
      <w:pPr>
        <w:pStyle w:val="Sinespaciado"/>
        <w:rPr>
          <w:sz w:val="18"/>
        </w:rPr>
      </w:pPr>
    </w:p>
    <w:p w14:paraId="110A35A2" w14:textId="77777777" w:rsidR="004F26E3" w:rsidRPr="00481BAD" w:rsidRDefault="004F26E3" w:rsidP="004F26E3">
      <w:pPr>
        <w:pStyle w:val="Prrafodelista"/>
        <w:autoSpaceDE w:val="0"/>
        <w:autoSpaceDN w:val="0"/>
        <w:adjustRightInd w:val="0"/>
        <w:ind w:left="851" w:right="708"/>
        <w:jc w:val="both"/>
        <w:rPr>
          <w:rFonts w:ascii="Palatino Linotype" w:hAnsi="Palatino Linotype" w:cs="Arial"/>
        </w:rPr>
      </w:pPr>
      <w:r w:rsidRPr="00481BAD">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481BAD">
        <w:rPr>
          <w:rStyle w:val="apple-converted-space"/>
          <w:rFonts w:ascii="Palatino Linotype" w:eastAsia="Calibri" w:hAnsi="Palatino Linotype" w:cs="Arial"/>
          <w:i/>
          <w:iCs/>
          <w:color w:val="000000" w:themeColor="text1"/>
          <w:sz w:val="22"/>
          <w:szCs w:val="22"/>
          <w:lang w:val="es-ES_tradnl"/>
        </w:rPr>
        <w:t xml:space="preserve"> </w:t>
      </w:r>
      <w:r w:rsidRPr="00481BAD">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FB84691" w14:textId="77777777" w:rsidR="004F26E3" w:rsidRPr="00481BAD" w:rsidRDefault="004F26E3" w:rsidP="004F26E3">
      <w:pPr>
        <w:spacing w:line="360" w:lineRule="auto"/>
        <w:jc w:val="both"/>
        <w:rPr>
          <w:rFonts w:ascii="Palatino Linotype" w:hAnsi="Palatino Linotype"/>
        </w:rPr>
      </w:pPr>
    </w:p>
    <w:p w14:paraId="6B7803C9" w14:textId="77777777" w:rsidR="004F26E3" w:rsidRPr="00481BAD" w:rsidRDefault="004F26E3" w:rsidP="004F26E3">
      <w:pPr>
        <w:spacing w:line="360" w:lineRule="auto"/>
        <w:ind w:right="141"/>
        <w:jc w:val="both"/>
        <w:rPr>
          <w:rFonts w:ascii="Palatino Linotype" w:hAnsi="Palatino Linotype" w:cs="Arial"/>
          <w:bCs/>
        </w:rPr>
      </w:pPr>
      <w:r w:rsidRPr="00481BAD">
        <w:rPr>
          <w:rFonts w:ascii="Palatino Linotype" w:hAnsi="Palatino Linotype" w:cs="Arial"/>
        </w:rPr>
        <w:t xml:space="preserve">Así que, hay que hacer un énfasis en que </w:t>
      </w:r>
      <w:r w:rsidRPr="00481BAD">
        <w:rPr>
          <w:rFonts w:ascii="Palatino Linotype" w:eastAsia="MS Mincho" w:hAnsi="Palatino Linotype"/>
        </w:rPr>
        <w:t>son solicitudes que deben señalarse</w:t>
      </w:r>
      <w:r w:rsidRPr="00481BAD">
        <w:rPr>
          <w:rFonts w:ascii="Palatino Linotype" w:hAnsi="Palatino Linotype"/>
          <w:i/>
        </w:rPr>
        <w:t xml:space="preserve">, </w:t>
      </w:r>
      <w:r w:rsidRPr="00481BAD">
        <w:rPr>
          <w:rFonts w:ascii="Palatino Linotype" w:hAnsi="Palatino Linotype" w:cs="Arial"/>
        </w:rPr>
        <w:t xml:space="preserve">no constituyen un derecho de acceso a la información pública y por lo tanto </w:t>
      </w:r>
      <w:r w:rsidRPr="00481BAD">
        <w:rPr>
          <w:rFonts w:ascii="Palatino Linotype" w:hAnsi="Palatino Linotype" w:cs="Arial"/>
          <w:b/>
          <w:u w:val="single"/>
        </w:rPr>
        <w:t>no es atendible mediante una solicitud de Acceso a la Información</w:t>
      </w:r>
      <w:r w:rsidRPr="00481BAD">
        <w:rPr>
          <w:rFonts w:ascii="Palatino Linotype" w:hAnsi="Palatino Linotype" w:cs="Arial"/>
        </w:rPr>
        <w:t xml:space="preserve">, porque se tratan de manifestaciones subjetivas vertidas por el particular, </w:t>
      </w:r>
      <w:r w:rsidRPr="00481BAD">
        <w:rPr>
          <w:rFonts w:ascii="Palatino Linotype" w:hAnsi="Palatino Linotype" w:cs="Arial"/>
          <w:b/>
        </w:rPr>
        <w:t>interrogantes</w:t>
      </w:r>
      <w:r w:rsidRPr="00481BAD">
        <w:rPr>
          <w:rFonts w:ascii="Palatino Linotype" w:hAnsi="Palatino Linotype" w:cs="Arial"/>
        </w:rPr>
        <w:t xml:space="preserve"> y declaraciones que no se colman con la entrega de documentos, situación que conlleva a afirmar que se está en presencia del ejercicio del </w:t>
      </w:r>
      <w:r w:rsidRPr="00481BAD">
        <w:rPr>
          <w:rFonts w:ascii="Palatino Linotype" w:hAnsi="Palatino Linotype" w:cs="Arial"/>
          <w:b/>
          <w:u w:val="single"/>
        </w:rPr>
        <w:t>DERECHO DE PETICIÓN</w:t>
      </w:r>
      <w:r w:rsidRPr="00481BAD">
        <w:rPr>
          <w:rFonts w:ascii="Palatino Linotype" w:hAnsi="Palatino Linotype" w:cs="Arial"/>
        </w:rPr>
        <w:t>.</w:t>
      </w:r>
    </w:p>
    <w:p w14:paraId="7636316C" w14:textId="77777777" w:rsidR="004F26E3" w:rsidRPr="00481BAD" w:rsidRDefault="004F26E3" w:rsidP="004F26E3">
      <w:pPr>
        <w:pStyle w:val="Prrafodelista"/>
        <w:spacing w:line="360" w:lineRule="auto"/>
        <w:ind w:left="0"/>
        <w:jc w:val="both"/>
        <w:rPr>
          <w:rFonts w:ascii="Palatino Linotype" w:hAnsi="Palatino Linotype"/>
          <w:sz w:val="22"/>
          <w:szCs w:val="22"/>
        </w:rPr>
      </w:pPr>
    </w:p>
    <w:p w14:paraId="181302BC" w14:textId="77777777" w:rsidR="004F26E3" w:rsidRPr="00481BAD" w:rsidRDefault="004F26E3" w:rsidP="004F26E3">
      <w:pPr>
        <w:spacing w:line="360" w:lineRule="auto"/>
        <w:ind w:right="141"/>
        <w:jc w:val="both"/>
        <w:rPr>
          <w:rFonts w:ascii="Palatino Linotype" w:hAnsi="Palatino Linotype" w:cs="Arial"/>
        </w:rPr>
      </w:pPr>
      <w:r w:rsidRPr="00481BAD">
        <w:rPr>
          <w:rFonts w:ascii="Palatino Linotype" w:hAnsi="Palatino Linotype" w:cs="Arial"/>
        </w:rPr>
        <w:t xml:space="preserve">Por lo que la entrega de una razón o un razonamiento por parte del </w:t>
      </w:r>
      <w:r w:rsidRPr="00481BAD">
        <w:rPr>
          <w:rFonts w:ascii="Palatino Linotype" w:hAnsi="Palatino Linotype" w:cs="Arial"/>
          <w:b/>
        </w:rPr>
        <w:t>Sujeto Obligado</w:t>
      </w:r>
      <w:r w:rsidRPr="00481BAD">
        <w:rPr>
          <w:rFonts w:ascii="Palatino Linotype" w:hAnsi="Palatino Linotype" w:cs="Arial"/>
        </w:rPr>
        <w:t xml:space="preserve"> no es algo que la ley establezca como atribución, derecho, o facultad; pues ello implicaría un juicio de valor referente a </w:t>
      </w:r>
      <w:r w:rsidRPr="00481BAD">
        <w:rPr>
          <w:rFonts w:ascii="Palatino Linotype" w:hAnsi="Palatino Linotype" w:cs="Arial"/>
          <w:b/>
          <w:u w:val="single"/>
        </w:rPr>
        <w:t>un cuestionamiento</w:t>
      </w:r>
      <w:r w:rsidRPr="00481BAD">
        <w:rPr>
          <w:rFonts w:ascii="Palatino Linotype" w:hAnsi="Palatino Linotype" w:cs="Arial"/>
        </w:rPr>
        <w:t xml:space="preserve"> realizado, los cuales, </w:t>
      </w:r>
      <w:r w:rsidRPr="00481BAD">
        <w:rPr>
          <w:rFonts w:ascii="Palatino Linotype" w:hAnsi="Palatino Linotype" w:cs="Arial"/>
          <w:b/>
          <w:u w:val="single"/>
        </w:rPr>
        <w:t>al constituir interrogantes</w:t>
      </w:r>
      <w:r w:rsidRPr="00481BAD">
        <w:rPr>
          <w:rFonts w:ascii="Palatino Linotype" w:hAnsi="Palatino Linotype" w:cs="Arial"/>
        </w:rPr>
        <w:t xml:space="preserve">, </w:t>
      </w:r>
      <w:r w:rsidRPr="00481BAD">
        <w:rPr>
          <w:rFonts w:ascii="Palatino Linotype" w:hAnsi="Palatino Linotype" w:cs="Arial"/>
          <w:b/>
          <w:u w:val="single"/>
        </w:rPr>
        <w:t>inquietudes</w:t>
      </w:r>
      <w:r w:rsidRPr="00481BAD">
        <w:rPr>
          <w:rFonts w:ascii="Palatino Linotype" w:hAnsi="Palatino Linotype" w:cs="Arial"/>
        </w:rPr>
        <w:t xml:space="preserve"> y manifestaciones se satisfacen vía derecho de petición.</w:t>
      </w:r>
    </w:p>
    <w:p w14:paraId="77C90F7F" w14:textId="77777777" w:rsidR="004F26E3" w:rsidRPr="00481BAD" w:rsidRDefault="004F26E3" w:rsidP="004F26E3">
      <w:pPr>
        <w:spacing w:line="360" w:lineRule="auto"/>
        <w:jc w:val="both"/>
        <w:rPr>
          <w:rFonts w:ascii="Palatino Linotype" w:hAnsi="Palatino Linotype" w:cs="Arial"/>
        </w:rPr>
      </w:pPr>
      <w:r w:rsidRPr="00481BAD">
        <w:rPr>
          <w:rFonts w:ascii="Palatino Linotype" w:hAnsi="Palatino Linotype" w:cs="Arial"/>
        </w:rPr>
        <w:lastRenderedPageBreak/>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76464B5" w14:textId="77777777" w:rsidR="004F26E3" w:rsidRPr="00481BAD" w:rsidRDefault="004F26E3" w:rsidP="004F26E3">
      <w:pPr>
        <w:spacing w:line="360" w:lineRule="auto"/>
        <w:jc w:val="both"/>
        <w:rPr>
          <w:rFonts w:ascii="Palatino Linotype" w:hAnsi="Palatino Linotype" w:cs="Arial"/>
        </w:rPr>
      </w:pPr>
    </w:p>
    <w:p w14:paraId="61787168" w14:textId="77777777" w:rsidR="004F26E3" w:rsidRPr="00481BAD" w:rsidRDefault="004F26E3" w:rsidP="004F26E3">
      <w:pPr>
        <w:spacing w:line="360" w:lineRule="auto"/>
        <w:jc w:val="both"/>
        <w:rPr>
          <w:rFonts w:ascii="Palatino Linotype" w:hAnsi="Palatino Linotype" w:cs="Arial"/>
        </w:rPr>
      </w:pPr>
      <w:r w:rsidRPr="00481BAD">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481BAD">
        <w:rPr>
          <w:rFonts w:ascii="Palatino Linotype" w:hAnsi="Palatino Linotype" w:cs="Arial"/>
          <w:b/>
        </w:rPr>
        <w:t>cualquier otro registro que documente el ejercicio de las facultades, funciones y competencias de los Sujetos Obligados</w:t>
      </w:r>
      <w:r w:rsidRPr="00481BAD">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4A39425" w14:textId="77777777" w:rsidR="004F26E3" w:rsidRPr="00481BAD" w:rsidRDefault="004F26E3" w:rsidP="004F26E3">
      <w:pPr>
        <w:spacing w:line="360" w:lineRule="auto"/>
        <w:jc w:val="both"/>
        <w:rPr>
          <w:rFonts w:ascii="Palatino Linotype" w:hAnsi="Palatino Linotype" w:cs="Arial"/>
        </w:rPr>
      </w:pPr>
    </w:p>
    <w:p w14:paraId="727748D3" w14:textId="77777777" w:rsidR="004F26E3" w:rsidRPr="00481BAD" w:rsidRDefault="004F26E3" w:rsidP="004F26E3">
      <w:pPr>
        <w:spacing w:line="360" w:lineRule="auto"/>
        <w:jc w:val="both"/>
        <w:rPr>
          <w:rFonts w:ascii="Palatino Linotype" w:hAnsi="Palatino Linotype" w:cs="Arial"/>
          <w:b/>
          <w:u w:val="single"/>
        </w:rPr>
      </w:pPr>
      <w:r w:rsidRPr="00481BAD">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481BAD">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81BAD">
        <w:rPr>
          <w:rFonts w:ascii="Palatino Linotype" w:hAnsi="Palatino Linotype" w:cs="Arial"/>
          <w:bCs/>
          <w:lang w:eastAsia="es-CO"/>
        </w:rPr>
        <w:t xml:space="preserve">segundo supuesto </w:t>
      </w:r>
      <w:r w:rsidRPr="00481BAD">
        <w:rPr>
          <w:rFonts w:ascii="Palatino Linotype" w:hAnsi="Palatino Linotype" w:cs="Arial"/>
          <w:b/>
          <w:bCs/>
          <w:u w:val="single"/>
          <w:lang w:eastAsia="es-CO"/>
        </w:rPr>
        <w:t>la solicitud de acceso a la información pública se encamina primordialmente a</w:t>
      </w:r>
      <w:r w:rsidRPr="00481BAD">
        <w:rPr>
          <w:rFonts w:ascii="Palatino Linotype" w:hAnsi="Palatino Linotype" w:cs="Arial"/>
          <w:b/>
          <w:u w:val="single"/>
        </w:rPr>
        <w:t xml:space="preserve"> permitir el </w:t>
      </w:r>
      <w:r w:rsidRPr="00481BAD">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481BAD">
        <w:rPr>
          <w:rFonts w:ascii="Palatino Linotype" w:hAnsi="Palatino Linotype" w:cs="Arial"/>
          <w:b/>
          <w:u w:val="single"/>
        </w:rPr>
        <w:t xml:space="preserve">la autoridad. </w:t>
      </w:r>
    </w:p>
    <w:p w14:paraId="6531AA61" w14:textId="77777777" w:rsidR="004F26E3" w:rsidRPr="00481BAD" w:rsidRDefault="004F26E3" w:rsidP="004F26E3">
      <w:pPr>
        <w:spacing w:line="360" w:lineRule="auto"/>
        <w:jc w:val="both"/>
        <w:rPr>
          <w:rFonts w:ascii="Palatino Linotype" w:hAnsi="Palatino Linotype"/>
        </w:rPr>
      </w:pPr>
    </w:p>
    <w:p w14:paraId="3D624273" w14:textId="77777777" w:rsidR="004F26E3" w:rsidRPr="00481BAD" w:rsidRDefault="004F26E3" w:rsidP="004F26E3">
      <w:pPr>
        <w:spacing w:line="360" w:lineRule="auto"/>
        <w:jc w:val="both"/>
        <w:rPr>
          <w:rFonts w:ascii="Palatino Linotype" w:hAnsi="Palatino Linotype"/>
        </w:rPr>
      </w:pPr>
      <w:r w:rsidRPr="00481BAD">
        <w:rPr>
          <w:rFonts w:ascii="Palatino Linotype" w:hAnsi="Palatino Linotype"/>
        </w:rPr>
        <w:lastRenderedPageBreak/>
        <w:t>Sobre el particular, cabe traer a colación los artículos 2°, fracción II; 3°, fracción XI y 18, de la Ley de Transparencia y Acceso a la Información Pública del Estado de México y Municipios; los cuales disponen lo siguiente:</w:t>
      </w:r>
    </w:p>
    <w:p w14:paraId="7D9C0F3D" w14:textId="77777777" w:rsidR="004F26E3" w:rsidRPr="00481BAD" w:rsidRDefault="004F26E3" w:rsidP="004F26E3">
      <w:pPr>
        <w:spacing w:line="360" w:lineRule="auto"/>
        <w:jc w:val="both"/>
        <w:rPr>
          <w:rFonts w:ascii="Palatino Linotype" w:hAnsi="Palatino Linotype"/>
        </w:rPr>
      </w:pPr>
    </w:p>
    <w:p w14:paraId="670192B7" w14:textId="77777777" w:rsidR="004F26E3" w:rsidRPr="00481BAD" w:rsidRDefault="004F26E3" w:rsidP="004F26E3">
      <w:pPr>
        <w:pStyle w:val="Prrafodelista"/>
        <w:numPr>
          <w:ilvl w:val="0"/>
          <w:numId w:val="11"/>
        </w:numPr>
        <w:spacing w:line="360" w:lineRule="auto"/>
        <w:jc w:val="both"/>
        <w:rPr>
          <w:rFonts w:ascii="Palatino Linotype" w:hAnsi="Palatino Linotype"/>
        </w:rPr>
      </w:pPr>
      <w:r w:rsidRPr="00481BAD">
        <w:rPr>
          <w:rFonts w:ascii="Palatino Linotype" w:hAnsi="Palatino Linotype"/>
        </w:rPr>
        <w:t>Que uno de los objetivos de la Ley es proveer lo necesario para garantizar a toda persona el derecho de acceso a la información pública;</w:t>
      </w:r>
    </w:p>
    <w:p w14:paraId="4266648D" w14:textId="77777777" w:rsidR="004F26E3" w:rsidRPr="00481BAD" w:rsidRDefault="004F26E3" w:rsidP="004F26E3">
      <w:pPr>
        <w:pStyle w:val="Prrafodelista"/>
        <w:spacing w:line="360" w:lineRule="auto"/>
        <w:ind w:left="720"/>
        <w:jc w:val="both"/>
        <w:rPr>
          <w:rFonts w:ascii="Palatino Linotype" w:hAnsi="Palatino Linotype"/>
        </w:rPr>
      </w:pPr>
    </w:p>
    <w:p w14:paraId="6D2C488A" w14:textId="77777777" w:rsidR="004F26E3" w:rsidRPr="00481BAD" w:rsidRDefault="004F26E3" w:rsidP="004F26E3">
      <w:pPr>
        <w:pStyle w:val="Prrafodelista"/>
        <w:numPr>
          <w:ilvl w:val="0"/>
          <w:numId w:val="11"/>
        </w:numPr>
        <w:spacing w:line="360" w:lineRule="auto"/>
        <w:jc w:val="both"/>
        <w:rPr>
          <w:rFonts w:ascii="Palatino Linotype" w:hAnsi="Palatino Linotype"/>
        </w:rPr>
      </w:pPr>
      <w:r w:rsidRPr="00481BAD">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4C1003E" w14:textId="77777777" w:rsidR="004F26E3" w:rsidRPr="00481BAD" w:rsidRDefault="004F26E3" w:rsidP="00E9680B">
      <w:pPr>
        <w:spacing w:line="360" w:lineRule="auto"/>
        <w:ind w:right="141"/>
        <w:jc w:val="both"/>
        <w:rPr>
          <w:rFonts w:ascii="Palatino Linotype" w:eastAsiaTheme="minorHAnsi" w:hAnsi="Palatino Linotype" w:cs="Arial"/>
          <w:bCs/>
          <w:iCs/>
          <w:lang w:val="es-MX" w:eastAsia="en-US"/>
        </w:rPr>
      </w:pPr>
    </w:p>
    <w:p w14:paraId="58D7FE8C" w14:textId="09C3B908" w:rsidR="00946698" w:rsidRPr="00481BAD" w:rsidRDefault="000B3D36" w:rsidP="00E9680B">
      <w:pPr>
        <w:spacing w:line="360" w:lineRule="auto"/>
        <w:ind w:right="141"/>
        <w:jc w:val="both"/>
        <w:rPr>
          <w:rFonts w:ascii="Palatino Linotype" w:eastAsiaTheme="minorHAnsi" w:hAnsi="Palatino Linotype" w:cs="Arial"/>
          <w:bCs/>
          <w:iCs/>
          <w:lang w:val="es-MX" w:eastAsia="en-US"/>
        </w:rPr>
      </w:pPr>
      <w:r w:rsidRPr="00481BAD">
        <w:rPr>
          <w:rFonts w:ascii="Palatino Linotype" w:eastAsiaTheme="minorHAnsi" w:hAnsi="Palatino Linotype" w:cs="Arial"/>
          <w:bCs/>
          <w:iCs/>
          <w:lang w:val="es-MX" w:eastAsia="en-US"/>
        </w:rPr>
        <w:t xml:space="preserve">Así que, el </w:t>
      </w:r>
      <w:r w:rsidRPr="00481BAD">
        <w:rPr>
          <w:rFonts w:ascii="Palatino Linotype" w:eastAsiaTheme="minorHAnsi" w:hAnsi="Palatino Linotype" w:cs="Arial"/>
          <w:b/>
          <w:iCs/>
          <w:lang w:val="es-MX" w:eastAsia="en-US"/>
        </w:rPr>
        <w:t>Sujeto Obligado</w:t>
      </w:r>
      <w:r w:rsidRPr="00481BAD">
        <w:rPr>
          <w:rFonts w:ascii="Palatino Linotype" w:eastAsiaTheme="minorHAnsi" w:hAnsi="Palatino Linotype" w:cs="Arial"/>
          <w:bCs/>
          <w:iCs/>
          <w:lang w:val="es-MX" w:eastAsia="en-US"/>
        </w:rPr>
        <w:t>, m</w:t>
      </w:r>
      <w:r w:rsidR="004F26E3" w:rsidRPr="00481BAD">
        <w:rPr>
          <w:rFonts w:ascii="Palatino Linotype" w:eastAsiaTheme="minorHAnsi" w:hAnsi="Palatino Linotype" w:cs="Arial"/>
          <w:bCs/>
          <w:iCs/>
          <w:lang w:val="es-MX" w:eastAsia="en-US"/>
        </w:rPr>
        <w:t xml:space="preserve">ediante el oficio número </w:t>
      </w:r>
      <w:r w:rsidR="004F26E3" w:rsidRPr="00481BAD">
        <w:rPr>
          <w:rFonts w:ascii="Palatino Linotype" w:eastAsiaTheme="minorHAnsi" w:hAnsi="Palatino Linotype" w:cs="Arial"/>
          <w:b/>
          <w:iCs/>
          <w:lang w:val="es-MX" w:eastAsia="en-US"/>
        </w:rPr>
        <w:t>ZIN/UT/03229/2023</w:t>
      </w:r>
      <w:r w:rsidR="004F26E3" w:rsidRPr="00481BAD">
        <w:rPr>
          <w:rFonts w:ascii="Palatino Linotype" w:eastAsiaTheme="minorHAnsi" w:hAnsi="Palatino Linotype" w:cs="Arial"/>
          <w:bCs/>
          <w:iCs/>
          <w:lang w:val="es-MX" w:eastAsia="en-US"/>
        </w:rPr>
        <w:t>, informó que el requerimiento realizado por el solicitante, no corresponde al ejercicio del derecho de acceso a la información, sino a manifestaciones subjetivas.</w:t>
      </w:r>
    </w:p>
    <w:p w14:paraId="2C5B035C" w14:textId="77777777" w:rsidR="000B3D36" w:rsidRPr="00481BAD" w:rsidRDefault="000B3D36" w:rsidP="00E9680B">
      <w:pPr>
        <w:spacing w:line="360" w:lineRule="auto"/>
        <w:ind w:right="141"/>
        <w:jc w:val="both"/>
        <w:rPr>
          <w:rFonts w:ascii="Palatino Linotype" w:eastAsiaTheme="minorHAnsi" w:hAnsi="Palatino Linotype" w:cs="Arial"/>
          <w:bCs/>
          <w:iCs/>
          <w:lang w:val="es-MX" w:eastAsia="en-US"/>
        </w:rPr>
      </w:pPr>
    </w:p>
    <w:p w14:paraId="11FE3045" w14:textId="2CA14E2E" w:rsidR="000B3D36" w:rsidRPr="00481BAD" w:rsidRDefault="000B3D36" w:rsidP="000B3D36">
      <w:pPr>
        <w:spacing w:line="360" w:lineRule="auto"/>
        <w:ind w:right="141"/>
        <w:jc w:val="both"/>
        <w:rPr>
          <w:rFonts w:ascii="Palatino Linotype" w:eastAsiaTheme="minorHAnsi" w:hAnsi="Palatino Linotype" w:cs="Arial"/>
          <w:bCs/>
          <w:iCs/>
          <w:lang w:val="es-MX" w:eastAsia="en-US"/>
        </w:rPr>
      </w:pPr>
      <w:r w:rsidRPr="00481BAD">
        <w:rPr>
          <w:rFonts w:ascii="Palatino Linotype" w:eastAsiaTheme="minorHAnsi" w:hAnsi="Palatino Linotype" w:cs="Arial"/>
          <w:bCs/>
          <w:iCs/>
          <w:lang w:val="es-MX" w:eastAsia="en-US"/>
        </w:rPr>
        <w:t xml:space="preserve">Adicionalmente, es importante mencionar </w:t>
      </w:r>
      <w:r w:rsidRPr="00481BAD">
        <w:rPr>
          <w:rFonts w:ascii="Palatino Linotype" w:hAnsi="Palatino Linotype" w:cs="Arial"/>
          <w:lang w:val="es-MX"/>
        </w:rPr>
        <w:t xml:space="preserve">que el derecho de acceso a la información pública estriba respecto de aquellos soportes documentales generados, poseídos o administrados por </w:t>
      </w:r>
      <w:r w:rsidRPr="00481BAD">
        <w:rPr>
          <w:rFonts w:ascii="Palatino Linotype" w:hAnsi="Palatino Linotype" w:cs="Arial"/>
          <w:b/>
          <w:lang w:val="es-MX"/>
        </w:rPr>
        <w:t xml:space="preserve">El Sujeto Obligado, </w:t>
      </w:r>
      <w:r w:rsidRPr="00481BAD">
        <w:rPr>
          <w:rFonts w:ascii="Palatino Linotype" w:hAnsi="Palatino Linotype" w:cs="Arial"/>
          <w:lang w:val="es-MX"/>
        </w:rPr>
        <w:t xml:space="preserve">que se encuentren disponibles </w:t>
      </w:r>
      <w:r w:rsidRPr="00481BAD">
        <w:rPr>
          <w:rFonts w:ascii="Palatino Linotype" w:hAnsi="Palatino Linotype" w:cs="Arial"/>
          <w:b/>
          <w:u w:val="single"/>
          <w:lang w:val="es-MX"/>
        </w:rPr>
        <w:t>al momento de ejercer dicha prerrogativa</w:t>
      </w:r>
      <w:r w:rsidRPr="00481BAD">
        <w:rPr>
          <w:rFonts w:ascii="Palatino Linotype" w:hAnsi="Palatino Linotype" w:cs="Arial"/>
          <w:lang w:val="es-MX"/>
        </w:rPr>
        <w:t xml:space="preserve">. </w:t>
      </w:r>
    </w:p>
    <w:p w14:paraId="792AEAB7" w14:textId="77777777" w:rsidR="000B3D36" w:rsidRPr="00481BAD" w:rsidRDefault="000B3D36" w:rsidP="000B3D36">
      <w:pPr>
        <w:spacing w:line="360" w:lineRule="auto"/>
        <w:jc w:val="both"/>
        <w:rPr>
          <w:rFonts w:ascii="Palatino Linotype" w:hAnsi="Palatino Linotype" w:cs="Arial"/>
          <w:lang w:val="es-MX"/>
        </w:rPr>
      </w:pPr>
      <w:r w:rsidRPr="00481BAD">
        <w:rPr>
          <w:rFonts w:ascii="Palatino Linotype" w:hAnsi="Palatino Linotype" w:cs="Arial"/>
          <w:lang w:val="es-MX"/>
        </w:rPr>
        <w:lastRenderedPageBreak/>
        <w:t xml:space="preserve">En sentido contrario, se arriba a la premisa de que excluye los siguientes actos: </w:t>
      </w:r>
    </w:p>
    <w:p w14:paraId="7E7B67A3" w14:textId="77777777" w:rsidR="000B3D36" w:rsidRPr="00481BAD" w:rsidRDefault="000B3D36" w:rsidP="000B3D36">
      <w:pPr>
        <w:pStyle w:val="Sinespaciado"/>
      </w:pPr>
    </w:p>
    <w:p w14:paraId="5F43CD7A" w14:textId="77777777" w:rsidR="000B3D36" w:rsidRPr="00481BAD" w:rsidRDefault="000B3D36" w:rsidP="000B3D36">
      <w:pPr>
        <w:numPr>
          <w:ilvl w:val="0"/>
          <w:numId w:val="12"/>
        </w:numPr>
        <w:spacing w:after="160" w:line="360" w:lineRule="auto"/>
        <w:jc w:val="both"/>
        <w:rPr>
          <w:rFonts w:ascii="Palatino Linotype" w:hAnsi="Palatino Linotype" w:cs="Arial"/>
        </w:rPr>
      </w:pPr>
      <w:r w:rsidRPr="00481BAD">
        <w:rPr>
          <w:rFonts w:ascii="Palatino Linotype" w:hAnsi="Palatino Linotype" w:cs="Arial"/>
          <w:b/>
          <w:u w:val="single"/>
        </w:rPr>
        <w:t>Actos futuros inminentes:</w:t>
      </w:r>
      <w:r w:rsidRPr="00481BAD">
        <w:rPr>
          <w:rFonts w:ascii="Palatino Linotype" w:hAnsi="Palatino Linotype" w:cs="Arial"/>
          <w:b/>
        </w:rPr>
        <w:t xml:space="preserve"> </w:t>
      </w:r>
      <w:r w:rsidRPr="00481BAD">
        <w:rPr>
          <w:rFonts w:ascii="Palatino Linotype" w:hAnsi="Palatino Linotype" w:cs="Arial"/>
        </w:rPr>
        <w:t xml:space="preserve">Son aquellos cuyo mandamiento ya se ha dictado y su ejecución puede realizarse de un momento a otro. </w:t>
      </w:r>
    </w:p>
    <w:p w14:paraId="472EA580" w14:textId="77777777" w:rsidR="000B3D36" w:rsidRPr="00481BAD" w:rsidRDefault="000B3D36" w:rsidP="000B3D36">
      <w:pPr>
        <w:numPr>
          <w:ilvl w:val="0"/>
          <w:numId w:val="12"/>
        </w:numPr>
        <w:spacing w:line="360" w:lineRule="auto"/>
        <w:jc w:val="both"/>
        <w:rPr>
          <w:rFonts w:ascii="Palatino Linotype" w:hAnsi="Palatino Linotype" w:cs="Arial"/>
        </w:rPr>
      </w:pPr>
      <w:r w:rsidRPr="00481BAD">
        <w:rPr>
          <w:rFonts w:ascii="Palatino Linotype" w:hAnsi="Palatino Linotype" w:cs="Arial"/>
          <w:b/>
          <w:u w:val="single"/>
        </w:rPr>
        <w:t>Actos futuros probables:</w:t>
      </w:r>
      <w:r w:rsidRPr="00481BAD">
        <w:rPr>
          <w:rFonts w:ascii="Palatino Linotype" w:hAnsi="Palatino Linotype" w:cs="Arial"/>
        </w:rPr>
        <w:t xml:space="preserve"> Son aquellos que pueden o no suceder, es decir, son de remota realización.</w:t>
      </w:r>
    </w:p>
    <w:p w14:paraId="76256F5D" w14:textId="77777777" w:rsidR="000B3D36" w:rsidRPr="00481BAD" w:rsidRDefault="000B3D36" w:rsidP="000B3D36">
      <w:pPr>
        <w:spacing w:line="360" w:lineRule="auto"/>
        <w:ind w:right="141"/>
        <w:jc w:val="both"/>
        <w:rPr>
          <w:rFonts w:ascii="Palatino Linotype" w:eastAsiaTheme="minorHAnsi" w:hAnsi="Palatino Linotype" w:cs="Arial"/>
          <w:bCs/>
          <w:iCs/>
          <w:lang w:eastAsia="en-US"/>
        </w:rPr>
      </w:pPr>
    </w:p>
    <w:p w14:paraId="496F4BB8" w14:textId="63463585" w:rsidR="000B3D36" w:rsidRPr="00481BAD" w:rsidRDefault="000B3D36" w:rsidP="000B3D36">
      <w:pPr>
        <w:spacing w:line="360" w:lineRule="auto"/>
        <w:ind w:right="141"/>
        <w:jc w:val="both"/>
        <w:rPr>
          <w:rFonts w:ascii="Palatino Linotype" w:eastAsiaTheme="minorHAnsi" w:hAnsi="Palatino Linotype" w:cs="Arial"/>
          <w:bCs/>
          <w:iCs/>
          <w:lang w:eastAsia="en-US"/>
        </w:rPr>
      </w:pPr>
      <w:r w:rsidRPr="00481BAD">
        <w:rPr>
          <w:rFonts w:ascii="Palatino Linotype" w:eastAsiaTheme="minorHAnsi" w:hAnsi="Palatino Linotype" w:cs="Arial"/>
          <w:bCs/>
          <w:iCs/>
          <w:lang w:eastAsia="en-US"/>
        </w:rPr>
        <w:t xml:space="preserve">Lo anterior, en relación a que, </w:t>
      </w:r>
      <w:r w:rsidR="0078199B" w:rsidRPr="00481BAD">
        <w:rPr>
          <w:rFonts w:ascii="Palatino Linotype" w:eastAsiaTheme="minorHAnsi" w:hAnsi="Palatino Linotype" w:cs="Arial"/>
          <w:b/>
          <w:iCs/>
          <w:u w:val="single"/>
          <w:lang w:eastAsia="en-US"/>
        </w:rPr>
        <w:t>el período constitucional del Gobernador del Estado de México comenzará el 16 de septiembre del año de su renovación</w:t>
      </w:r>
      <w:r w:rsidR="0078199B" w:rsidRPr="00481BAD">
        <w:rPr>
          <w:rFonts w:ascii="Palatino Linotype" w:eastAsiaTheme="minorHAnsi" w:hAnsi="Palatino Linotype" w:cs="Arial"/>
          <w:bCs/>
          <w:iCs/>
          <w:lang w:eastAsia="en-US"/>
        </w:rPr>
        <w:t xml:space="preserve">, </w:t>
      </w:r>
      <w:r w:rsidRPr="00481BAD">
        <w:rPr>
          <w:rFonts w:ascii="Palatino Linotype" w:eastAsiaTheme="minorHAnsi" w:hAnsi="Palatino Linotype" w:cs="Arial"/>
          <w:bCs/>
          <w:iCs/>
          <w:lang w:eastAsia="en-US"/>
        </w:rPr>
        <w:t>de conformidad con el artículo 69, de la Constitución Política del Estado Libre y Soberano de México</w:t>
      </w:r>
      <w:r w:rsidR="0078199B" w:rsidRPr="00481BAD">
        <w:rPr>
          <w:rFonts w:ascii="Palatino Linotype" w:eastAsiaTheme="minorHAnsi" w:hAnsi="Palatino Linotype" w:cs="Arial"/>
          <w:bCs/>
          <w:iCs/>
          <w:lang w:eastAsia="en-US"/>
        </w:rPr>
        <w:t>.</w:t>
      </w:r>
    </w:p>
    <w:p w14:paraId="2A0F0C95" w14:textId="77777777" w:rsidR="000B3D36" w:rsidRPr="00481BAD" w:rsidRDefault="000B3D36" w:rsidP="000B3D36">
      <w:pPr>
        <w:spacing w:line="360" w:lineRule="auto"/>
        <w:ind w:right="141"/>
        <w:jc w:val="both"/>
        <w:rPr>
          <w:rFonts w:ascii="Palatino Linotype" w:eastAsiaTheme="minorHAnsi" w:hAnsi="Palatino Linotype" w:cs="Arial"/>
          <w:bCs/>
          <w:iCs/>
          <w:lang w:eastAsia="en-US"/>
        </w:rPr>
      </w:pPr>
    </w:p>
    <w:p w14:paraId="405A5A0F" w14:textId="2AD1A9A6" w:rsidR="000B3D36" w:rsidRPr="00481BAD" w:rsidRDefault="0078199B" w:rsidP="000B3D36">
      <w:pPr>
        <w:spacing w:line="360" w:lineRule="auto"/>
        <w:ind w:right="141"/>
        <w:jc w:val="both"/>
        <w:rPr>
          <w:rFonts w:ascii="Palatino Linotype" w:eastAsiaTheme="minorHAnsi" w:hAnsi="Palatino Linotype" w:cs="Arial"/>
          <w:bCs/>
          <w:iCs/>
          <w:lang w:eastAsia="en-US"/>
        </w:rPr>
      </w:pPr>
      <w:r w:rsidRPr="00481BAD">
        <w:rPr>
          <w:rFonts w:ascii="Palatino Linotype" w:eastAsiaTheme="minorHAnsi" w:hAnsi="Palatino Linotype" w:cs="Arial"/>
          <w:bCs/>
          <w:iCs/>
          <w:lang w:eastAsia="en-US"/>
        </w:rPr>
        <w:t>Por lo que</w:t>
      </w:r>
      <w:r w:rsidR="000B3D36" w:rsidRPr="00481BAD">
        <w:rPr>
          <w:rFonts w:ascii="Palatino Linotype" w:eastAsiaTheme="minorHAnsi" w:hAnsi="Palatino Linotype" w:cs="Arial"/>
          <w:bCs/>
          <w:iCs/>
          <w:lang w:eastAsia="en-US"/>
        </w:rPr>
        <w:t xml:space="preserve">, tomando en cuenta la fecha de en la que ingresó la solicitud de información </w:t>
      </w:r>
      <w:r w:rsidRPr="00481BAD">
        <w:rPr>
          <w:rFonts w:ascii="Palatino Linotype" w:eastAsiaTheme="minorHAnsi" w:hAnsi="Palatino Linotype" w:cs="Arial"/>
          <w:bCs/>
          <w:i/>
          <w:lang w:eastAsia="en-US"/>
        </w:rPr>
        <w:t>(siete de julio dos mil veintitrés)</w:t>
      </w:r>
      <w:r w:rsidRPr="00481BAD">
        <w:rPr>
          <w:rFonts w:ascii="Palatino Linotype" w:eastAsiaTheme="minorHAnsi" w:hAnsi="Palatino Linotype" w:cs="Arial"/>
          <w:bCs/>
          <w:iCs/>
          <w:lang w:eastAsia="en-US"/>
        </w:rPr>
        <w:t xml:space="preserve">, aún no se cumplía el plazo para generar la información. </w:t>
      </w:r>
    </w:p>
    <w:p w14:paraId="7AE5B3D5" w14:textId="77777777" w:rsidR="0078199B" w:rsidRPr="00481BAD" w:rsidRDefault="0078199B" w:rsidP="000B3D36">
      <w:pPr>
        <w:spacing w:line="360" w:lineRule="auto"/>
        <w:ind w:right="141"/>
        <w:jc w:val="both"/>
        <w:rPr>
          <w:rFonts w:ascii="Palatino Linotype" w:eastAsiaTheme="minorHAnsi" w:hAnsi="Palatino Linotype" w:cs="Arial"/>
          <w:bCs/>
          <w:iCs/>
          <w:lang w:eastAsia="en-US"/>
        </w:rPr>
      </w:pPr>
    </w:p>
    <w:p w14:paraId="3E86D5A7" w14:textId="701AE1E5" w:rsidR="0078199B" w:rsidRPr="00481BAD" w:rsidRDefault="0078199B" w:rsidP="0078199B">
      <w:pPr>
        <w:autoSpaceDE w:val="0"/>
        <w:autoSpaceDN w:val="0"/>
        <w:adjustRightInd w:val="0"/>
        <w:spacing w:line="360" w:lineRule="auto"/>
        <w:contextualSpacing/>
        <w:jc w:val="both"/>
        <w:rPr>
          <w:rFonts w:ascii="Palatino Linotype" w:eastAsia="MS Mincho" w:hAnsi="Palatino Linotype" w:cs="Arial"/>
          <w:lang w:val="es-MX"/>
        </w:rPr>
      </w:pPr>
      <w:r w:rsidRPr="00481BAD">
        <w:rPr>
          <w:rFonts w:ascii="Palatino Linotype" w:eastAsia="MS Mincho" w:hAnsi="Palatino Linotype" w:cs="Arial"/>
          <w:lang w:val="es-MX"/>
        </w:rPr>
        <w:t>Así las cosas, y retomando que</w:t>
      </w:r>
      <w:r w:rsidR="00B02C86" w:rsidRPr="00481BAD">
        <w:rPr>
          <w:rFonts w:ascii="Palatino Linotype" w:eastAsia="MS Mincho" w:hAnsi="Palatino Linotype" w:cs="Arial"/>
          <w:lang w:val="es-MX"/>
        </w:rPr>
        <w:t>,</w:t>
      </w:r>
      <w:r w:rsidRPr="00481BAD">
        <w:rPr>
          <w:rFonts w:ascii="Palatino Linotype" w:eastAsia="MS Mincho" w:hAnsi="Palatino Linotype" w:cs="Arial"/>
          <w:lang w:val="es-MX"/>
        </w:rPr>
        <w:t xml:space="preserve"> en la solicitud de información presentada en el</w:t>
      </w:r>
      <w:r w:rsidRPr="00481BAD">
        <w:rPr>
          <w:rFonts w:ascii="Palatino Linotype" w:eastAsia="MS Mincho" w:hAnsi="Palatino Linotype" w:cs="Arial"/>
          <w:b/>
          <w:lang w:val="es-MX"/>
        </w:rPr>
        <w:t xml:space="preserve"> SAIMEX,</w:t>
      </w:r>
      <w:r w:rsidRPr="00481BAD">
        <w:rPr>
          <w:rFonts w:ascii="Palatino Linotype" w:eastAsia="MS Mincho" w:hAnsi="Palatino Linotype" w:cs="Arial"/>
          <w:lang w:val="es-MX"/>
        </w:rPr>
        <w:t xml:space="preserve"> </w:t>
      </w:r>
      <w:r w:rsidR="00B02C86" w:rsidRPr="00481BAD">
        <w:rPr>
          <w:rFonts w:ascii="Palatino Linotype" w:eastAsia="MS Mincho" w:hAnsi="Palatino Linotype" w:cs="Arial"/>
          <w:lang w:val="es-MX"/>
        </w:rPr>
        <w:t>por parte del ahor</w:t>
      </w:r>
      <w:r w:rsidRPr="00481BAD">
        <w:rPr>
          <w:rFonts w:ascii="Palatino Linotype" w:eastAsia="MS Mincho" w:hAnsi="Palatino Linotype" w:cs="Arial"/>
          <w:lang w:val="es-MX" w:eastAsia="es-MX"/>
        </w:rPr>
        <w:t>a</w:t>
      </w:r>
      <w:r w:rsidRPr="00481BAD">
        <w:rPr>
          <w:rFonts w:ascii="Palatino Linotype" w:eastAsia="MS Mincho" w:hAnsi="Palatino Linotype" w:cs="Arial"/>
          <w:b/>
          <w:lang w:val="es-MX" w:eastAsia="es-MX"/>
        </w:rPr>
        <w:t xml:space="preserve"> Recurrente</w:t>
      </w:r>
      <w:r w:rsidR="00B02C86" w:rsidRPr="00481BAD">
        <w:rPr>
          <w:rFonts w:ascii="Palatino Linotype" w:eastAsia="MS Mincho" w:hAnsi="Palatino Linotype" w:cs="Arial"/>
          <w:lang w:val="es-MX"/>
        </w:rPr>
        <w:t xml:space="preserve">, recordemos que </w:t>
      </w:r>
      <w:r w:rsidRPr="00481BAD">
        <w:rPr>
          <w:rFonts w:ascii="Palatino Linotype" w:eastAsia="MS Mincho" w:hAnsi="Palatino Linotype" w:cs="Arial"/>
          <w:lang w:val="es-MX"/>
        </w:rPr>
        <w:t>requiere una razón, o bien, un razonamiento por parte del</w:t>
      </w:r>
      <w:r w:rsidRPr="00481BAD">
        <w:rPr>
          <w:rFonts w:ascii="Palatino Linotype" w:eastAsia="MS Mincho" w:hAnsi="Palatino Linotype" w:cs="Arial"/>
          <w:b/>
          <w:lang w:val="es-MX"/>
        </w:rPr>
        <w:t xml:space="preserve"> Sujeto Obligado</w:t>
      </w:r>
      <w:r w:rsidRPr="00481BAD">
        <w:rPr>
          <w:rFonts w:ascii="Palatino Linotype" w:eastAsia="MS Mincho" w:hAnsi="Palatino Linotype" w:cs="Arial"/>
          <w:lang w:val="es-MX"/>
        </w:rPr>
        <w:t>.</w:t>
      </w:r>
    </w:p>
    <w:p w14:paraId="55808397" w14:textId="77777777" w:rsidR="0078199B" w:rsidRPr="00481BAD" w:rsidRDefault="0078199B" w:rsidP="0078199B">
      <w:pPr>
        <w:autoSpaceDE w:val="0"/>
        <w:autoSpaceDN w:val="0"/>
        <w:adjustRightInd w:val="0"/>
        <w:spacing w:line="360" w:lineRule="auto"/>
        <w:contextualSpacing/>
        <w:jc w:val="both"/>
        <w:rPr>
          <w:rFonts w:ascii="Palatino Linotype" w:eastAsia="Arial Unicode MS" w:hAnsi="Palatino Linotype" w:cs="Arial"/>
          <w:sz w:val="22"/>
          <w:szCs w:val="22"/>
          <w:lang w:val="es-MX" w:eastAsia="es-MX"/>
        </w:rPr>
      </w:pPr>
    </w:p>
    <w:p w14:paraId="55BF44F4" w14:textId="77777777" w:rsidR="0078199B" w:rsidRPr="00481BAD" w:rsidRDefault="0078199B" w:rsidP="0078199B">
      <w:pPr>
        <w:autoSpaceDE w:val="0"/>
        <w:autoSpaceDN w:val="0"/>
        <w:adjustRightInd w:val="0"/>
        <w:spacing w:line="360" w:lineRule="auto"/>
        <w:contextualSpacing/>
        <w:jc w:val="both"/>
        <w:rPr>
          <w:rFonts w:ascii="Palatino Linotype" w:eastAsia="MS Mincho" w:hAnsi="Palatino Linotype" w:cs="Arial"/>
          <w:lang w:val="es-MX"/>
        </w:rPr>
      </w:pPr>
      <w:r w:rsidRPr="00481BAD">
        <w:rPr>
          <w:rFonts w:ascii="Palatino Linotype" w:eastAsia="MS Mincho" w:hAnsi="Palatino Linotype" w:cs="Arial"/>
          <w:lang w:val="es-MX"/>
        </w:rPr>
        <w:t>Por lo que, la entrega de una razón o un razonamiento por parte del</w:t>
      </w:r>
      <w:r w:rsidRPr="00481BAD">
        <w:rPr>
          <w:rFonts w:ascii="Palatino Linotype" w:eastAsia="MS Mincho" w:hAnsi="Palatino Linotype" w:cs="Arial"/>
          <w:b/>
          <w:lang w:val="es-MX" w:eastAsia="es-MX"/>
        </w:rPr>
        <w:t xml:space="preserve"> Sujeto Obligado</w:t>
      </w:r>
      <w:r w:rsidRPr="00481BAD">
        <w:rPr>
          <w:rFonts w:ascii="Palatino Linotype" w:eastAsia="MS Mincho" w:hAnsi="Palatino Linotype" w:cs="Arial"/>
          <w:lang w:val="es-MX"/>
        </w:rPr>
        <w:t xml:space="preserve"> no es algo que la ley establezca como atribución, derecho, o facultad; pues ello implicaría </w:t>
      </w:r>
      <w:r w:rsidRPr="00481BAD">
        <w:rPr>
          <w:rFonts w:ascii="Palatino Linotype" w:eastAsia="MS Mincho" w:hAnsi="Palatino Linotype" w:cs="Arial"/>
          <w:b/>
          <w:u w:val="single"/>
          <w:lang w:val="es-MX"/>
        </w:rPr>
        <w:t>un juicio de valor</w:t>
      </w:r>
      <w:r w:rsidRPr="00481BAD">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25C523F4" w14:textId="77777777" w:rsidR="0078199B" w:rsidRPr="00481BAD" w:rsidRDefault="0078199B" w:rsidP="0078199B">
      <w:pPr>
        <w:spacing w:line="360" w:lineRule="auto"/>
        <w:ind w:right="49"/>
        <w:contextualSpacing/>
        <w:jc w:val="both"/>
        <w:rPr>
          <w:rFonts w:ascii="Palatino Linotype" w:eastAsia="MS Mincho" w:hAnsi="Palatino Linotype" w:cs="Arial"/>
          <w:lang w:val="es-MX"/>
        </w:rPr>
      </w:pPr>
    </w:p>
    <w:p w14:paraId="1700FCEB" w14:textId="77777777" w:rsidR="0078199B" w:rsidRPr="00481BAD" w:rsidRDefault="0078199B" w:rsidP="0078199B">
      <w:pPr>
        <w:spacing w:line="360" w:lineRule="auto"/>
        <w:ind w:right="49"/>
        <w:contextualSpacing/>
        <w:jc w:val="both"/>
        <w:rPr>
          <w:rFonts w:ascii="Palatino Linotype" w:eastAsia="MS Mincho" w:hAnsi="Palatino Linotype" w:cs="Arial"/>
          <w:color w:val="000000"/>
          <w:lang w:val="es-MX"/>
        </w:rPr>
      </w:pPr>
      <w:r w:rsidRPr="00481BAD">
        <w:rPr>
          <w:rFonts w:ascii="Palatino Linotype" w:eastAsia="MS Mincho" w:hAnsi="Palatino Linotype" w:cs="Arial"/>
          <w:color w:val="000000"/>
          <w:lang w:val="es-MX"/>
        </w:rPr>
        <w:t xml:space="preserve">Entonces, al tratarse de un derecho de petición estamos en presencia de una consulta que se aleja del derecho de acceso a la información pública, actualizando lo dispuesto </w:t>
      </w:r>
      <w:r w:rsidRPr="00481BAD">
        <w:rPr>
          <w:rFonts w:ascii="Palatino Linotype" w:eastAsia="MS Mincho" w:hAnsi="Palatino Linotype" w:cs="Arial"/>
          <w:color w:val="000000"/>
          <w:lang w:val="es-MX"/>
        </w:rPr>
        <w:lastRenderedPageBreak/>
        <w:t xml:space="preserve">en el artículo 191 fracción VI, </w:t>
      </w:r>
      <w:r w:rsidRPr="00481BAD">
        <w:rPr>
          <w:rFonts w:ascii="Palatino Linotype" w:eastAsia="Calibri" w:hAnsi="Palatino Linotype" w:cs="Arial"/>
          <w:lang w:val="es-MX"/>
        </w:rPr>
        <w:t>de la Ley de Transparencia y Acceso a la Información Pública del Estado de México y Municipios, el cual dispone lo siguiente:</w:t>
      </w:r>
    </w:p>
    <w:p w14:paraId="1BF37C78" w14:textId="77777777" w:rsidR="0078199B" w:rsidRPr="00481BAD" w:rsidRDefault="0078199B" w:rsidP="0078199B">
      <w:pPr>
        <w:pStyle w:val="Sinespaciado"/>
        <w:rPr>
          <w:rFonts w:eastAsia="Calibri"/>
        </w:rPr>
      </w:pPr>
    </w:p>
    <w:p w14:paraId="66FACACD"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b/>
          <w:bCs/>
          <w:i/>
          <w:sz w:val="22"/>
          <w:szCs w:val="22"/>
          <w:lang w:val="es-MX"/>
        </w:rPr>
        <w:t>“Artículo 191.</w:t>
      </w:r>
      <w:r w:rsidRPr="00481BAD">
        <w:rPr>
          <w:rFonts w:ascii="Palatino Linotype" w:eastAsia="MS Mincho" w:hAnsi="Palatino Linotype"/>
          <w:i/>
          <w:sz w:val="22"/>
          <w:szCs w:val="22"/>
          <w:lang w:val="es-MX"/>
        </w:rPr>
        <w:t xml:space="preserve"> El recurso será desechado por improcedente cuando:</w:t>
      </w:r>
    </w:p>
    <w:p w14:paraId="3E43180E"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I. Sea extemporáneo por haber transcurrido el plazo establecido en la presente Ley, a partir de la respuesta; </w:t>
      </w:r>
    </w:p>
    <w:p w14:paraId="2EFE950C"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II. Se esté tramitando ante el Poder Judicial de la Federación algún recurso o medio de defensa interpuesto por el recurrente; </w:t>
      </w:r>
    </w:p>
    <w:p w14:paraId="77A8BD88"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III. No actualice alguno de los supuestos previstos en la presente Ley; </w:t>
      </w:r>
    </w:p>
    <w:p w14:paraId="1F7BF1E2"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IV. No se haya desahogado la prevención en los términos establecidos en la presente Ley; </w:t>
      </w:r>
    </w:p>
    <w:p w14:paraId="70FB3F18"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V. Se impugne la veracidad de la información proporcionada; </w:t>
      </w:r>
    </w:p>
    <w:p w14:paraId="71B06D4F" w14:textId="77777777" w:rsidR="0078199B" w:rsidRPr="00481BAD" w:rsidRDefault="0078199B" w:rsidP="0078199B">
      <w:pPr>
        <w:tabs>
          <w:tab w:val="left" w:pos="567"/>
        </w:tabs>
        <w:ind w:left="567" w:right="822"/>
        <w:contextualSpacing/>
        <w:jc w:val="both"/>
        <w:rPr>
          <w:rFonts w:ascii="Palatino Linotype" w:eastAsia="MS Mincho" w:hAnsi="Palatino Linotype"/>
          <w:b/>
          <w:i/>
          <w:sz w:val="22"/>
          <w:szCs w:val="22"/>
          <w:lang w:val="es-MX"/>
        </w:rPr>
      </w:pPr>
      <w:r w:rsidRPr="00481BAD">
        <w:rPr>
          <w:rFonts w:ascii="Palatino Linotype" w:eastAsia="MS Mincho" w:hAnsi="Palatino Linotype"/>
          <w:b/>
          <w:i/>
          <w:sz w:val="22"/>
          <w:szCs w:val="22"/>
          <w:lang w:val="es-MX"/>
        </w:rPr>
        <w:t xml:space="preserve">VI. </w:t>
      </w:r>
      <w:r w:rsidRPr="00481BAD">
        <w:rPr>
          <w:rFonts w:ascii="Palatino Linotype" w:eastAsia="MS Mincho" w:hAnsi="Palatino Linotype"/>
          <w:b/>
          <w:i/>
          <w:sz w:val="22"/>
          <w:szCs w:val="22"/>
          <w:u w:val="single"/>
          <w:lang w:val="es-MX"/>
        </w:rPr>
        <w:t>Se trate de una consulta, o trámite en específico</w:t>
      </w:r>
      <w:r w:rsidRPr="00481BAD">
        <w:rPr>
          <w:rFonts w:ascii="Palatino Linotype" w:eastAsia="MS Mincho" w:hAnsi="Palatino Linotype"/>
          <w:b/>
          <w:i/>
          <w:sz w:val="22"/>
          <w:szCs w:val="22"/>
          <w:lang w:val="es-MX"/>
        </w:rPr>
        <w:t xml:space="preserve">; y </w:t>
      </w:r>
    </w:p>
    <w:p w14:paraId="185E57A1"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VII. El recurrente amplíe su solicitud en el recurso de revisión, únicamente respecto de los nuevos contenidos.”</w:t>
      </w:r>
    </w:p>
    <w:p w14:paraId="76546C90" w14:textId="77777777" w:rsidR="0078199B" w:rsidRPr="00481BAD" w:rsidRDefault="0078199B" w:rsidP="0078199B">
      <w:pPr>
        <w:tabs>
          <w:tab w:val="left" w:pos="567"/>
        </w:tabs>
        <w:spacing w:line="360" w:lineRule="auto"/>
        <w:contextualSpacing/>
        <w:jc w:val="both"/>
        <w:rPr>
          <w:rFonts w:ascii="Cambria" w:eastAsia="MS Mincho" w:hAnsi="Cambria"/>
          <w:lang w:val="es-MX"/>
        </w:rPr>
      </w:pPr>
    </w:p>
    <w:p w14:paraId="1FD5CF8B" w14:textId="77777777"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r w:rsidRPr="00481BAD">
        <w:rPr>
          <w:rFonts w:ascii="Palatino Linotype" w:eastAsia="Calibri" w:hAnsi="Palatino Linotype" w:cs="Arial"/>
          <w:lang w:val="es-MX"/>
        </w:rPr>
        <w:t>La fracción VI, del citado precepto legal, contempla la improcedencia del recurso de revisión cuando se trate de una consulta, lo cual se relaciona con la solicitud de acceso a la información pública.</w:t>
      </w:r>
    </w:p>
    <w:p w14:paraId="6887CB74" w14:textId="77777777"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p>
    <w:p w14:paraId="3C9517AD" w14:textId="77777777"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r w:rsidRPr="00481BAD">
        <w:rPr>
          <w:rFonts w:ascii="Palatino Linotype" w:eastAsia="Calibri" w:hAnsi="Palatino Linotype" w:cs="Arial"/>
          <w:lang w:val="es-MX"/>
        </w:rPr>
        <w:t>Sin embargo, al haber sido admitido el recurso de revisión, aún y cuando actualiza una causal de improcedencia, es necesario traer a contexto el artículo 192 fracción IV, de la multicitada Ley de Transparencia:</w:t>
      </w:r>
    </w:p>
    <w:p w14:paraId="025E0D5E" w14:textId="77777777" w:rsidR="0078199B" w:rsidRPr="00481BAD" w:rsidRDefault="0078199B" w:rsidP="0078199B">
      <w:pPr>
        <w:pStyle w:val="Sinespaciado"/>
        <w:rPr>
          <w:rFonts w:eastAsia="Calibri"/>
        </w:rPr>
      </w:pPr>
    </w:p>
    <w:p w14:paraId="3EBA2F53"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w:t>
      </w:r>
      <w:r w:rsidRPr="00481BAD">
        <w:rPr>
          <w:rFonts w:ascii="Palatino Linotype" w:eastAsia="MS Mincho" w:hAnsi="Palatino Linotype"/>
          <w:b/>
          <w:bCs/>
          <w:i/>
          <w:sz w:val="22"/>
          <w:szCs w:val="22"/>
          <w:lang w:val="es-MX"/>
        </w:rPr>
        <w:t>Artículo 192.</w:t>
      </w:r>
      <w:r w:rsidRPr="00481BAD">
        <w:rPr>
          <w:rFonts w:ascii="Palatino Linotype" w:eastAsia="MS Mincho" w:hAnsi="Palatino Linotype"/>
          <w:i/>
          <w:sz w:val="22"/>
          <w:szCs w:val="22"/>
          <w:lang w:val="es-MX"/>
        </w:rPr>
        <w:t xml:space="preserve"> El recurso será sobreseído, en todo o en parte, cuando una vez admitido, se actualicen alguno de los siguientes supuestos:</w:t>
      </w:r>
    </w:p>
    <w:p w14:paraId="3E7B7F93" w14:textId="77777777" w:rsidR="00B02C86" w:rsidRPr="00481BAD" w:rsidRDefault="00B02C86" w:rsidP="0078199B">
      <w:pPr>
        <w:tabs>
          <w:tab w:val="left" w:pos="567"/>
        </w:tabs>
        <w:ind w:left="567" w:right="822"/>
        <w:contextualSpacing/>
        <w:jc w:val="both"/>
        <w:rPr>
          <w:rFonts w:ascii="Palatino Linotype" w:eastAsia="Calibri" w:hAnsi="Palatino Linotype" w:cs="Arial"/>
          <w:i/>
          <w:sz w:val="22"/>
          <w:szCs w:val="22"/>
          <w:lang w:val="es-MX"/>
        </w:rPr>
      </w:pPr>
    </w:p>
    <w:p w14:paraId="07B65713"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I. El recurrente se desista expresamente del recurso; </w:t>
      </w:r>
    </w:p>
    <w:p w14:paraId="79373829"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II. El recurrente fallezca o, tratándose de personas jurídicas colectivas, se disuelva; </w:t>
      </w:r>
    </w:p>
    <w:p w14:paraId="567268F1" w14:textId="77777777" w:rsidR="0078199B" w:rsidRPr="00481BAD" w:rsidRDefault="0078199B" w:rsidP="0078199B">
      <w:pPr>
        <w:tabs>
          <w:tab w:val="left" w:pos="567"/>
        </w:tabs>
        <w:ind w:left="567" w:right="822"/>
        <w:contextualSpacing/>
        <w:jc w:val="both"/>
        <w:rPr>
          <w:rFonts w:ascii="Palatino Linotype" w:eastAsia="MS Mincho" w:hAnsi="Palatino Linotype"/>
          <w:i/>
          <w:sz w:val="22"/>
          <w:szCs w:val="22"/>
          <w:lang w:val="es-MX"/>
        </w:rPr>
      </w:pPr>
      <w:r w:rsidRPr="00481BAD">
        <w:rPr>
          <w:rFonts w:ascii="Palatino Linotype" w:eastAsia="MS Mincho" w:hAnsi="Palatino Linotype"/>
          <w:i/>
          <w:sz w:val="22"/>
          <w:szCs w:val="22"/>
          <w:lang w:val="es-MX"/>
        </w:rPr>
        <w:t xml:space="preserve">III. El sujeto obligado responsable del acto lo modifique o revoque de tal manera que el recurso de revisión quede sin materia; </w:t>
      </w:r>
    </w:p>
    <w:p w14:paraId="7E30BCB0" w14:textId="77777777" w:rsidR="0078199B" w:rsidRPr="00481BAD" w:rsidRDefault="0078199B" w:rsidP="0078199B">
      <w:pPr>
        <w:tabs>
          <w:tab w:val="left" w:pos="567"/>
        </w:tabs>
        <w:ind w:left="567" w:right="822"/>
        <w:contextualSpacing/>
        <w:jc w:val="both"/>
        <w:rPr>
          <w:rFonts w:ascii="Palatino Linotype" w:eastAsia="MS Mincho" w:hAnsi="Palatino Linotype"/>
          <w:b/>
          <w:i/>
          <w:sz w:val="22"/>
          <w:szCs w:val="22"/>
          <w:lang w:val="es-MX"/>
        </w:rPr>
      </w:pPr>
      <w:r w:rsidRPr="00481BAD">
        <w:rPr>
          <w:rFonts w:ascii="Palatino Linotype" w:eastAsia="MS Mincho" w:hAnsi="Palatino Linotype"/>
          <w:b/>
          <w:i/>
          <w:sz w:val="22"/>
          <w:szCs w:val="22"/>
          <w:lang w:val="es-MX"/>
        </w:rPr>
        <w:t xml:space="preserve">IV. </w:t>
      </w:r>
      <w:r w:rsidRPr="00481BAD">
        <w:rPr>
          <w:rFonts w:ascii="Palatino Linotype" w:eastAsia="MS Mincho" w:hAnsi="Palatino Linotype"/>
          <w:b/>
          <w:i/>
          <w:sz w:val="22"/>
          <w:szCs w:val="22"/>
          <w:u w:val="single"/>
          <w:lang w:val="es-MX"/>
        </w:rPr>
        <w:t>Admitido el recurso de revisión, aparezca alguna causal de improcedencia en los términos de la presente Ley</w:t>
      </w:r>
      <w:r w:rsidRPr="00481BAD">
        <w:rPr>
          <w:rFonts w:ascii="Palatino Linotype" w:eastAsia="MS Mincho" w:hAnsi="Palatino Linotype"/>
          <w:b/>
          <w:i/>
          <w:sz w:val="22"/>
          <w:szCs w:val="22"/>
          <w:lang w:val="es-MX"/>
        </w:rPr>
        <w:t xml:space="preserve">; y </w:t>
      </w:r>
    </w:p>
    <w:p w14:paraId="2EC3B5A8" w14:textId="77777777" w:rsidR="0078199B" w:rsidRPr="00481BAD" w:rsidRDefault="0078199B" w:rsidP="0078199B">
      <w:pPr>
        <w:tabs>
          <w:tab w:val="left" w:pos="567"/>
        </w:tabs>
        <w:ind w:left="567" w:right="822"/>
        <w:contextualSpacing/>
        <w:jc w:val="both"/>
        <w:rPr>
          <w:rFonts w:ascii="Palatino Linotype" w:eastAsia="Calibri" w:hAnsi="Palatino Linotype" w:cs="Arial"/>
          <w:i/>
          <w:sz w:val="22"/>
          <w:szCs w:val="22"/>
          <w:lang w:val="es-MX"/>
        </w:rPr>
      </w:pPr>
      <w:r w:rsidRPr="00481BAD">
        <w:rPr>
          <w:rFonts w:ascii="Palatino Linotype" w:eastAsia="MS Mincho" w:hAnsi="Palatino Linotype"/>
          <w:i/>
          <w:sz w:val="22"/>
          <w:szCs w:val="22"/>
          <w:lang w:val="es-MX"/>
        </w:rPr>
        <w:t>V. Cuando por cualquier motivo quede sin materia el recurso.”</w:t>
      </w:r>
    </w:p>
    <w:p w14:paraId="251CC27A" w14:textId="77777777"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p>
    <w:p w14:paraId="5B5D90FE" w14:textId="77777777"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r w:rsidRPr="00481BAD">
        <w:rPr>
          <w:rFonts w:ascii="Palatino Linotype" w:eastAsia="Calibri" w:hAnsi="Palatino Linotype" w:cs="Arial"/>
          <w:lang w:val="es-MX"/>
        </w:rPr>
        <w:lastRenderedPageBreak/>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2F9055D6" w14:textId="77777777" w:rsidR="0078199B" w:rsidRPr="00481BAD" w:rsidRDefault="0078199B" w:rsidP="0078199B">
      <w:pPr>
        <w:spacing w:line="360" w:lineRule="auto"/>
        <w:contextualSpacing/>
        <w:jc w:val="both"/>
        <w:rPr>
          <w:rFonts w:ascii="Palatino Linotype" w:eastAsia="MS Mincho" w:hAnsi="Palatino Linotype" w:cs="Arial"/>
          <w:lang w:val="es-MX"/>
        </w:rPr>
      </w:pPr>
    </w:p>
    <w:p w14:paraId="4F39CC5B" w14:textId="77777777" w:rsidR="0078199B" w:rsidRPr="00481BAD" w:rsidRDefault="0078199B" w:rsidP="0078199B">
      <w:pPr>
        <w:spacing w:line="360" w:lineRule="auto"/>
        <w:contextualSpacing/>
        <w:jc w:val="both"/>
        <w:rPr>
          <w:rFonts w:ascii="Palatino Linotype" w:eastAsia="MS Mincho" w:hAnsi="Palatino Linotype"/>
          <w:lang w:val="es-MX"/>
        </w:rPr>
      </w:pPr>
      <w:r w:rsidRPr="00481BAD">
        <w:rPr>
          <w:rFonts w:ascii="Palatino Linotype" w:eastAsia="MS Mincho" w:hAnsi="Palatino Linotype" w:cs="Arial"/>
          <w:lang w:val="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7761A230" w14:textId="77777777" w:rsidR="0078199B" w:rsidRPr="00481BAD" w:rsidRDefault="0078199B" w:rsidP="0078199B">
      <w:pPr>
        <w:pStyle w:val="Sinespaciado"/>
        <w:rPr>
          <w:rFonts w:eastAsia="MS Mincho"/>
        </w:rPr>
      </w:pPr>
    </w:p>
    <w:p w14:paraId="7797F130" w14:textId="77777777" w:rsidR="0078199B" w:rsidRPr="00481BAD" w:rsidRDefault="0078199B" w:rsidP="0078199B">
      <w:pPr>
        <w:ind w:left="567" w:right="567"/>
        <w:jc w:val="both"/>
        <w:rPr>
          <w:rFonts w:ascii="Palatino Linotype" w:eastAsia="MS Mincho" w:hAnsi="Palatino Linotype" w:cs="Arial"/>
          <w:i/>
          <w:sz w:val="22"/>
          <w:szCs w:val="22"/>
          <w:lang w:val="es-MX"/>
        </w:rPr>
      </w:pPr>
      <w:r w:rsidRPr="00481BAD">
        <w:rPr>
          <w:rFonts w:ascii="Palatino Linotype" w:eastAsia="MS Mincho" w:hAnsi="Palatino Linotype" w:cs="Arial"/>
          <w:i/>
          <w:sz w:val="22"/>
          <w:szCs w:val="22"/>
          <w:lang w:val="es-MX"/>
        </w:rPr>
        <w:t>“</w:t>
      </w:r>
      <w:r w:rsidRPr="00481BAD">
        <w:rPr>
          <w:rFonts w:ascii="Palatino Linotype" w:eastAsia="MS Mincho" w:hAnsi="Palatino Linotype" w:cs="Arial"/>
          <w:b/>
          <w:i/>
          <w:sz w:val="22"/>
          <w:szCs w:val="22"/>
          <w:lang w:val="es-MX"/>
        </w:rPr>
        <w:t>SOBRESEIMIENTO EN EL JUICIO DE AMPARO DIRECTO. IMPIDE EL ESTUDIO DE LAS VIOLACIONES PROCESALES PLANTEADAS EN LOS CONCEPTOS DE VIOLACIÓN.</w:t>
      </w:r>
      <w:r w:rsidRPr="00481BAD">
        <w:rPr>
          <w:rFonts w:ascii="Palatino Linotype" w:eastAsia="MS Mincho" w:hAnsi="Palatino Linotype" w:cs="Arial"/>
          <w:i/>
          <w:sz w:val="22"/>
          <w:szCs w:val="22"/>
          <w:lang w:val="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9BB8AEF" w14:textId="77777777" w:rsidR="0078199B" w:rsidRPr="00481BAD" w:rsidRDefault="0078199B" w:rsidP="0078199B">
      <w:pPr>
        <w:ind w:left="567" w:right="567"/>
        <w:jc w:val="both"/>
        <w:rPr>
          <w:rFonts w:ascii="Palatino Linotype" w:eastAsia="MS Mincho" w:hAnsi="Palatino Linotype" w:cs="Arial"/>
          <w:i/>
          <w:sz w:val="22"/>
          <w:szCs w:val="22"/>
          <w:lang w:val="es-MX"/>
        </w:rPr>
      </w:pPr>
    </w:p>
    <w:p w14:paraId="1B0CB20E" w14:textId="5B3E226D" w:rsidR="0078199B" w:rsidRPr="00481BAD" w:rsidRDefault="0078199B" w:rsidP="0078199B">
      <w:pPr>
        <w:ind w:left="567" w:right="567"/>
        <w:jc w:val="both"/>
        <w:rPr>
          <w:rFonts w:ascii="Palatino Linotype" w:eastAsia="MS Mincho" w:hAnsi="Palatino Linotype" w:cs="Arial"/>
          <w:i/>
          <w:sz w:val="22"/>
          <w:szCs w:val="22"/>
          <w:lang w:val="es-MX"/>
        </w:rPr>
      </w:pPr>
      <w:r w:rsidRPr="00481BAD">
        <w:rPr>
          <w:rFonts w:ascii="Palatino Linotype" w:eastAsia="MS Mincho" w:hAnsi="Palatino Linotype" w:cs="Arial"/>
          <w:i/>
          <w:sz w:val="22"/>
          <w:szCs w:val="22"/>
          <w:lang w:val="es-MX"/>
        </w:rPr>
        <w:t>SEPTIMO TRIBUNAL COLEGIADO EN MATERIA CIVIL DEL PRIMER CIRCUITO</w:t>
      </w:r>
    </w:p>
    <w:p w14:paraId="5117810D" w14:textId="77777777" w:rsidR="0078199B" w:rsidRPr="00481BAD" w:rsidRDefault="0078199B" w:rsidP="0078199B">
      <w:pPr>
        <w:ind w:left="567" w:right="567"/>
        <w:jc w:val="both"/>
        <w:rPr>
          <w:rFonts w:ascii="Palatino Linotype" w:eastAsia="MS Mincho" w:hAnsi="Palatino Linotype" w:cs="Arial"/>
          <w:i/>
          <w:sz w:val="22"/>
          <w:szCs w:val="22"/>
          <w:lang w:val="es-MX"/>
        </w:rPr>
      </w:pPr>
      <w:r w:rsidRPr="00481BAD">
        <w:rPr>
          <w:rFonts w:ascii="Palatino Linotype" w:eastAsia="MS Mincho" w:hAnsi="Palatino Linotype" w:cs="Arial"/>
          <w:i/>
          <w:sz w:val="22"/>
          <w:szCs w:val="22"/>
          <w:lang w:val="es-MX"/>
        </w:rPr>
        <w:t>Amparo directo 699/2008. Mariana Leticia González Steele. 13 de noviembre de 2008. Unanimidad de votos. Ponente: Sara Judith Montalvo Trejo. Secretario: Arnulfo Mateos García.”</w:t>
      </w:r>
    </w:p>
    <w:p w14:paraId="7DA26D0A" w14:textId="77777777"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p>
    <w:p w14:paraId="0DBEB1E2" w14:textId="12690464"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r w:rsidRPr="00481BAD">
        <w:rPr>
          <w:rFonts w:ascii="Palatino Linotype" w:eastAsia="Calibri" w:hAnsi="Palatino Linotype" w:cs="Arial"/>
          <w:lang w:val="es-MX"/>
        </w:rPr>
        <w:t>No obstante, a efecto de no vulnerar los derechos de la</w:t>
      </w:r>
      <w:r w:rsidR="00B02C86" w:rsidRPr="00481BAD">
        <w:rPr>
          <w:rFonts w:ascii="Palatino Linotype" w:eastAsia="Calibri" w:hAnsi="Palatino Linotype" w:cs="Arial"/>
          <w:lang w:val="es-MX"/>
        </w:rPr>
        <w:t xml:space="preserve"> parte</w:t>
      </w:r>
      <w:r w:rsidRPr="00481BAD">
        <w:rPr>
          <w:rFonts w:ascii="Palatino Linotype" w:eastAsia="Calibri" w:hAnsi="Palatino Linotype" w:cs="Arial"/>
          <w:lang w:val="es-MX"/>
        </w:rPr>
        <w:t xml:space="preserve"> </w:t>
      </w:r>
      <w:r w:rsidRPr="00481BAD">
        <w:rPr>
          <w:rFonts w:ascii="Palatino Linotype" w:eastAsia="Calibri" w:hAnsi="Palatino Linotype" w:cs="Arial"/>
          <w:b/>
          <w:bCs/>
          <w:lang w:val="es-MX"/>
        </w:rPr>
        <w:t>Recurrente</w:t>
      </w:r>
      <w:r w:rsidRPr="00481BAD">
        <w:rPr>
          <w:rFonts w:ascii="Palatino Linotype" w:eastAsia="Calibri" w:hAnsi="Palatino Linotype" w:cs="Arial"/>
          <w:lang w:val="es-MX"/>
        </w:rPr>
        <w:t>, este Órgano Garante deja a salvo sus derechos para que, si así lo desea, presente una nueva solicitud de acceso a la información requiriendo información que sea de su interés.</w:t>
      </w:r>
    </w:p>
    <w:p w14:paraId="67BADCA1" w14:textId="77777777" w:rsidR="0078199B" w:rsidRPr="00481BAD" w:rsidRDefault="0078199B" w:rsidP="0078199B">
      <w:pPr>
        <w:tabs>
          <w:tab w:val="left" w:pos="567"/>
        </w:tabs>
        <w:spacing w:line="360" w:lineRule="auto"/>
        <w:contextualSpacing/>
        <w:jc w:val="both"/>
        <w:rPr>
          <w:rFonts w:ascii="Palatino Linotype" w:eastAsia="Calibri" w:hAnsi="Palatino Linotype" w:cs="Arial"/>
          <w:lang w:val="es-MX"/>
        </w:rPr>
      </w:pPr>
    </w:p>
    <w:p w14:paraId="06AEE8CE" w14:textId="73129CFA" w:rsidR="0078199B" w:rsidRPr="00481BAD" w:rsidRDefault="0078199B" w:rsidP="0078199B">
      <w:pPr>
        <w:spacing w:line="360" w:lineRule="auto"/>
        <w:contextualSpacing/>
        <w:jc w:val="both"/>
        <w:rPr>
          <w:rFonts w:ascii="Palatino Linotype" w:eastAsia="MS Mincho" w:hAnsi="Palatino Linotype" w:cs="Arial"/>
          <w:lang w:val="es-MX"/>
        </w:rPr>
      </w:pPr>
      <w:r w:rsidRPr="00481BAD">
        <w:rPr>
          <w:rFonts w:ascii="Palatino Linotype" w:eastAsia="MS Mincho" w:hAnsi="Palatino Linotype" w:cs="Arial"/>
          <w:lang w:val="es-MX"/>
        </w:rPr>
        <w:t xml:space="preserve">Bajo esas consideraciones, se afirma que en el recurso de revisión sujeto a estudio se actualiza la hipótesis jurídica citada, toda vez que quedó probado que la solicitud de </w:t>
      </w:r>
      <w:r w:rsidRPr="00481BAD">
        <w:rPr>
          <w:rFonts w:ascii="Palatino Linotype" w:eastAsia="MS Mincho" w:hAnsi="Palatino Linotype" w:cs="Arial"/>
          <w:lang w:val="es-MX"/>
        </w:rPr>
        <w:lastRenderedPageBreak/>
        <w:t>acceso a la información que promovió la</w:t>
      </w:r>
      <w:r w:rsidR="00B02C86" w:rsidRPr="00481BAD">
        <w:rPr>
          <w:rFonts w:ascii="Palatino Linotype" w:eastAsia="MS Mincho" w:hAnsi="Palatino Linotype" w:cs="Arial"/>
          <w:lang w:val="es-MX"/>
        </w:rPr>
        <w:t xml:space="preserve"> parte</w:t>
      </w:r>
      <w:r w:rsidRPr="00481BAD">
        <w:rPr>
          <w:rFonts w:ascii="Palatino Linotype" w:eastAsia="MS Mincho" w:hAnsi="Palatino Linotype" w:cs="Arial"/>
          <w:lang w:val="es-MX"/>
        </w:rPr>
        <w:t xml:space="preserve"> </w:t>
      </w:r>
      <w:r w:rsidRPr="00481BAD">
        <w:rPr>
          <w:rFonts w:ascii="Palatino Linotype" w:eastAsia="MS Mincho" w:hAnsi="Palatino Linotype" w:cs="Arial"/>
          <w:b/>
          <w:bCs/>
          <w:lang w:val="es-MX"/>
        </w:rPr>
        <w:t>Recurrente</w:t>
      </w:r>
      <w:r w:rsidRPr="00481BAD">
        <w:rPr>
          <w:rFonts w:ascii="Palatino Linotype" w:eastAsia="MS Mincho" w:hAnsi="Palatino Linotype" w:cs="Arial"/>
          <w:lang w:val="es-MX"/>
        </w:rPr>
        <w:t xml:space="preserve"> corresponde al ejercicio de un derecho de petición y no al derecho de acceso a la información pública.</w:t>
      </w:r>
    </w:p>
    <w:p w14:paraId="7F25D1EB" w14:textId="77777777" w:rsidR="0078199B" w:rsidRPr="00481BAD" w:rsidRDefault="0078199B" w:rsidP="0078199B">
      <w:pPr>
        <w:spacing w:line="360" w:lineRule="auto"/>
        <w:contextualSpacing/>
        <w:jc w:val="both"/>
        <w:rPr>
          <w:rFonts w:ascii="Palatino Linotype" w:eastAsia="MS Mincho" w:hAnsi="Palatino Linotype" w:cs="Arial"/>
          <w:lang w:val="es-MX"/>
        </w:rPr>
      </w:pPr>
    </w:p>
    <w:p w14:paraId="68F30F37" w14:textId="119ADF1C" w:rsidR="0078199B" w:rsidRPr="00481BAD" w:rsidRDefault="0078199B" w:rsidP="0078199B">
      <w:pPr>
        <w:spacing w:line="360" w:lineRule="auto"/>
        <w:ind w:right="51"/>
        <w:jc w:val="both"/>
        <w:rPr>
          <w:rFonts w:ascii="Palatino Linotype" w:hAnsi="Palatino Linotype" w:cs="Arial"/>
          <w:bCs/>
          <w:lang w:eastAsia="es-MX"/>
        </w:rPr>
      </w:pPr>
      <w:r w:rsidRPr="00481BAD">
        <w:rPr>
          <w:rFonts w:ascii="Palatino Linotype" w:hAnsi="Palatino Linotype" w:cs="Arial"/>
        </w:rPr>
        <w:t>En mérito de lo expuesto en líneas anteriores</w:t>
      </w:r>
      <w:r w:rsidRPr="00481BAD">
        <w:rPr>
          <w:rFonts w:ascii="Palatino Linotype" w:hAnsi="Palatino Linotype"/>
          <w:noProof/>
          <w:lang w:eastAsia="es-MX"/>
        </w:rPr>
        <w:t xml:space="preserve">, resultan parcialmente procedentes los motivos de inconformidad que arguye la parte </w:t>
      </w:r>
      <w:r w:rsidRPr="00481BAD">
        <w:rPr>
          <w:rFonts w:ascii="Palatino Linotype" w:hAnsi="Palatino Linotype"/>
          <w:b/>
          <w:noProof/>
          <w:lang w:eastAsia="es-MX"/>
        </w:rPr>
        <w:t>Recurrente</w:t>
      </w:r>
      <w:r w:rsidRPr="00481BAD">
        <w:rPr>
          <w:rFonts w:ascii="Palatino Linotype" w:hAnsi="Palatino Linotype"/>
          <w:noProof/>
          <w:lang w:eastAsia="es-MX"/>
        </w:rPr>
        <w:t xml:space="preserve"> en su medio de impugnación que fue materia de estudio, </w:t>
      </w:r>
      <w:r w:rsidRPr="00481BAD">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481BAD">
        <w:rPr>
          <w:rFonts w:ascii="Palatino Linotype" w:hAnsi="Palatino Linotype" w:cs="Arial"/>
          <w:b/>
        </w:rPr>
        <w:t>SOBRESEE</w:t>
      </w:r>
      <w:r w:rsidRPr="00481BAD">
        <w:rPr>
          <w:rFonts w:ascii="Palatino Linotype" w:hAnsi="Palatino Linotype" w:cs="Arial"/>
        </w:rPr>
        <w:t xml:space="preserve"> el recurso de revisión </w:t>
      </w:r>
      <w:r w:rsidRPr="00481BAD">
        <w:rPr>
          <w:rFonts w:ascii="Palatino Linotype" w:eastAsiaTheme="minorEastAsia" w:hAnsi="Palatino Linotype" w:cstheme="minorBidi"/>
          <w:b/>
          <w:lang w:val="es-ES_tradnl"/>
        </w:rPr>
        <w:t>04510/INFOEM/IP/RR/2023</w:t>
      </w:r>
      <w:r w:rsidRPr="00481BAD">
        <w:rPr>
          <w:rFonts w:ascii="Palatino Linotype" w:eastAsiaTheme="minorEastAsia" w:hAnsi="Palatino Linotype" w:cstheme="minorBidi"/>
          <w:lang w:val="es-ES_tradnl"/>
        </w:rPr>
        <w:t>,</w:t>
      </w:r>
      <w:r w:rsidRPr="00481BAD">
        <w:rPr>
          <w:rFonts w:ascii="Palatino Linotype" w:eastAsiaTheme="minorEastAsia" w:hAnsi="Palatino Linotype" w:cstheme="minorBidi"/>
          <w:b/>
          <w:lang w:val="es-ES_tradnl"/>
        </w:rPr>
        <w:t xml:space="preserve"> </w:t>
      </w:r>
      <w:r w:rsidRPr="00481BAD">
        <w:rPr>
          <w:rFonts w:ascii="Palatino Linotype" w:hAnsi="Palatino Linotype" w:cs="Arial"/>
          <w:bCs/>
          <w:lang w:eastAsia="es-MX"/>
        </w:rPr>
        <w:t>que ha sido materia del presente fallo.</w:t>
      </w:r>
    </w:p>
    <w:p w14:paraId="4F9BB215" w14:textId="77777777" w:rsidR="0078199B" w:rsidRPr="00481BAD" w:rsidRDefault="0078199B" w:rsidP="0078199B">
      <w:pPr>
        <w:tabs>
          <w:tab w:val="left" w:pos="8931"/>
        </w:tabs>
        <w:spacing w:line="360" w:lineRule="auto"/>
        <w:ind w:right="51"/>
        <w:jc w:val="both"/>
        <w:rPr>
          <w:rFonts w:ascii="Palatino Linotype" w:eastAsiaTheme="minorHAnsi" w:hAnsi="Palatino Linotype" w:cstheme="minorBidi"/>
          <w:lang w:val="es-MX" w:eastAsia="en-US"/>
        </w:rPr>
      </w:pPr>
    </w:p>
    <w:p w14:paraId="230BA832" w14:textId="77777777" w:rsidR="0078199B" w:rsidRPr="00481BAD" w:rsidRDefault="0078199B" w:rsidP="0078199B">
      <w:pPr>
        <w:tabs>
          <w:tab w:val="left" w:pos="8931"/>
        </w:tabs>
        <w:spacing w:line="360" w:lineRule="auto"/>
        <w:ind w:right="51"/>
        <w:jc w:val="both"/>
        <w:rPr>
          <w:rFonts w:ascii="Palatino Linotype" w:eastAsiaTheme="minorHAnsi" w:hAnsi="Palatino Linotype" w:cstheme="minorBidi"/>
          <w:lang w:val="es-MX" w:eastAsia="en-US"/>
        </w:rPr>
      </w:pPr>
      <w:r w:rsidRPr="00481BAD">
        <w:rPr>
          <w:rFonts w:ascii="Palatino Linotype" w:eastAsiaTheme="minorHAnsi" w:hAnsi="Palatino Linotype" w:cstheme="minorBidi"/>
          <w:lang w:val="es-MX" w:eastAsia="en-US"/>
        </w:rPr>
        <w:t>Por lo antes expuesto y fundado es de resolverse y,</w:t>
      </w:r>
    </w:p>
    <w:p w14:paraId="11405478" w14:textId="77777777" w:rsidR="0078199B" w:rsidRPr="00481BAD" w:rsidRDefault="0078199B" w:rsidP="0078199B">
      <w:pPr>
        <w:tabs>
          <w:tab w:val="left" w:pos="8931"/>
        </w:tabs>
        <w:spacing w:line="360" w:lineRule="auto"/>
        <w:ind w:right="51"/>
        <w:jc w:val="both"/>
        <w:rPr>
          <w:rFonts w:ascii="Palatino Linotype" w:eastAsiaTheme="minorHAnsi" w:hAnsi="Palatino Linotype" w:cstheme="minorBidi"/>
          <w:lang w:val="es-MX" w:eastAsia="en-US"/>
        </w:rPr>
      </w:pPr>
    </w:p>
    <w:p w14:paraId="6BF52BF3" w14:textId="77777777" w:rsidR="0078199B" w:rsidRPr="00481BAD" w:rsidRDefault="0078199B" w:rsidP="0078199B">
      <w:pPr>
        <w:spacing w:line="360" w:lineRule="auto"/>
        <w:jc w:val="center"/>
        <w:rPr>
          <w:rFonts w:ascii="Palatino Linotype" w:hAnsi="Palatino Linotype" w:cstheme="minorBidi"/>
          <w:b/>
          <w:bCs/>
          <w:spacing w:val="60"/>
          <w:sz w:val="28"/>
          <w:szCs w:val="22"/>
          <w:lang w:val="es-ES_tradnl" w:eastAsia="en-US"/>
        </w:rPr>
      </w:pPr>
      <w:r w:rsidRPr="00481BAD">
        <w:rPr>
          <w:rFonts w:ascii="Palatino Linotype" w:hAnsi="Palatino Linotype" w:cstheme="minorBidi"/>
          <w:b/>
          <w:bCs/>
          <w:spacing w:val="60"/>
          <w:sz w:val="28"/>
          <w:szCs w:val="22"/>
          <w:lang w:val="es-ES_tradnl" w:eastAsia="en-US"/>
        </w:rPr>
        <w:t>SE    RESUELVE</w:t>
      </w:r>
    </w:p>
    <w:p w14:paraId="37A3F77F" w14:textId="77777777" w:rsidR="0078199B" w:rsidRPr="00481BAD" w:rsidRDefault="0078199B" w:rsidP="0078199B">
      <w:pPr>
        <w:pStyle w:val="Sinespaciado"/>
        <w:rPr>
          <w:lang w:eastAsia="en-US"/>
        </w:rPr>
      </w:pPr>
    </w:p>
    <w:p w14:paraId="285AA478" w14:textId="48450232" w:rsidR="0078199B" w:rsidRPr="00481BAD" w:rsidRDefault="0078199B" w:rsidP="0078199B">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lang w:val="es-MX"/>
        </w:rPr>
      </w:pPr>
      <w:r w:rsidRPr="00481BAD">
        <w:rPr>
          <w:rFonts w:ascii="Palatino Linotype" w:hAnsi="Palatino Linotype" w:cstheme="minorBidi"/>
          <w:b/>
          <w:bCs/>
          <w:sz w:val="28"/>
          <w:szCs w:val="22"/>
          <w:lang w:val="es-MX" w:eastAsia="es-MX"/>
        </w:rPr>
        <w:t>PRIMERO</w:t>
      </w:r>
      <w:r w:rsidRPr="00481BAD">
        <w:rPr>
          <w:rFonts w:ascii="Palatino Linotype" w:hAnsi="Palatino Linotype" w:cstheme="minorBidi"/>
          <w:sz w:val="28"/>
          <w:szCs w:val="22"/>
          <w:lang w:val="es-MX" w:eastAsia="es-MX"/>
        </w:rPr>
        <w:t xml:space="preserve">. </w:t>
      </w:r>
      <w:r w:rsidRPr="00481BAD">
        <w:rPr>
          <w:rFonts w:ascii="Palatino Linotype" w:eastAsia="MS Mincho" w:hAnsi="Palatino Linotype"/>
          <w:lang w:val="es-MX"/>
        </w:rPr>
        <w:t xml:space="preserve">Se </w:t>
      </w:r>
      <w:r w:rsidRPr="00481BAD">
        <w:rPr>
          <w:rFonts w:ascii="Palatino Linotype" w:eastAsia="MS Mincho" w:hAnsi="Palatino Linotype"/>
          <w:b/>
          <w:lang w:val="es-MX"/>
        </w:rPr>
        <w:t>SOBRESEE</w:t>
      </w:r>
      <w:r w:rsidRPr="00481BAD">
        <w:rPr>
          <w:rFonts w:ascii="Palatino Linotype" w:eastAsia="MS Mincho" w:hAnsi="Palatino Linotype"/>
          <w:lang w:val="es-MX"/>
        </w:rPr>
        <w:t xml:space="preserve"> el recurso de revisión número </w:t>
      </w:r>
      <w:r w:rsidRPr="00481BAD">
        <w:rPr>
          <w:rFonts w:ascii="Palatino Linotype" w:eastAsia="Calibri" w:hAnsi="Palatino Linotype" w:cs="Tahoma"/>
          <w:b/>
          <w:bCs/>
          <w:lang w:val="es-MX" w:eastAsia="en-US"/>
        </w:rPr>
        <w:t>04510/INFOEM/IP/RR/2023</w:t>
      </w:r>
      <w:r w:rsidRPr="00481BAD">
        <w:rPr>
          <w:rFonts w:ascii="Palatino Linotype" w:eastAsia="MS Mincho" w:hAnsi="Palatino Linotype"/>
          <w:b/>
          <w:lang w:val="es-MX"/>
        </w:rPr>
        <w:t xml:space="preserve">, </w:t>
      </w:r>
      <w:r w:rsidRPr="00481BAD">
        <w:rPr>
          <w:rFonts w:ascii="Palatino Linotype" w:eastAsia="MS Mincho" w:hAnsi="Palatino Linotype"/>
          <w:lang w:val="es-MX"/>
        </w:rPr>
        <w:t xml:space="preserve">conforme al artículo 192 fracción IV, en relación con el artículo 191 fracción VI, de la Ley de Transparencia y Acceso a la Información Pública del Estado de México y Municipios, en términos del Considerando </w:t>
      </w:r>
      <w:r w:rsidRPr="00481BAD">
        <w:rPr>
          <w:rFonts w:ascii="Palatino Linotype" w:eastAsia="MS Mincho" w:hAnsi="Palatino Linotype"/>
          <w:b/>
          <w:lang w:val="es-MX"/>
        </w:rPr>
        <w:t>CUARTO</w:t>
      </w:r>
      <w:r w:rsidRPr="00481BAD">
        <w:rPr>
          <w:rFonts w:ascii="Palatino Linotype" w:eastAsia="MS Mincho" w:hAnsi="Palatino Linotype"/>
          <w:lang w:val="es-MX"/>
        </w:rPr>
        <w:t xml:space="preserve"> de la presente resolución.</w:t>
      </w:r>
    </w:p>
    <w:p w14:paraId="0F535FB1" w14:textId="77777777" w:rsidR="0078199B" w:rsidRPr="00481BAD" w:rsidRDefault="0078199B" w:rsidP="0078199B">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lang w:val="es-MX"/>
        </w:rPr>
      </w:pPr>
    </w:p>
    <w:p w14:paraId="3864678F" w14:textId="77777777" w:rsidR="0078199B" w:rsidRPr="00481BAD" w:rsidRDefault="0078199B" w:rsidP="0078199B">
      <w:pPr>
        <w:spacing w:line="360" w:lineRule="auto"/>
        <w:jc w:val="both"/>
        <w:rPr>
          <w:rFonts w:ascii="Palatino Linotype" w:eastAsiaTheme="minorHAnsi" w:hAnsi="Palatino Linotype" w:cstheme="minorBidi"/>
          <w:lang w:val="es-MX" w:eastAsia="en-US"/>
        </w:rPr>
      </w:pPr>
      <w:r w:rsidRPr="00481BAD">
        <w:rPr>
          <w:rFonts w:ascii="Palatino Linotype" w:eastAsiaTheme="minorHAnsi" w:hAnsi="Palatino Linotype" w:cstheme="minorBidi"/>
          <w:b/>
          <w:sz w:val="28"/>
          <w:lang w:val="es-MX" w:eastAsia="en-US"/>
        </w:rPr>
        <w:t>SEGUNDO.</w:t>
      </w:r>
      <w:r w:rsidRPr="00481BAD">
        <w:rPr>
          <w:rFonts w:ascii="Palatino Linotype" w:eastAsiaTheme="minorHAnsi" w:hAnsi="Palatino Linotype" w:cs="Arial"/>
          <w:sz w:val="28"/>
          <w:lang w:val="es-MX" w:eastAsia="en-US"/>
        </w:rPr>
        <w:t xml:space="preserve"> </w:t>
      </w:r>
      <w:r w:rsidRPr="00481BAD">
        <w:rPr>
          <w:rFonts w:ascii="Palatino Linotype" w:eastAsiaTheme="minorHAnsi" w:hAnsi="Palatino Linotype" w:cstheme="minorBidi"/>
          <w:b/>
          <w:lang w:val="es-MX" w:eastAsia="en-US"/>
        </w:rPr>
        <w:t>NOTIFÍQUESE</w:t>
      </w:r>
      <w:r w:rsidRPr="00481BAD">
        <w:rPr>
          <w:rFonts w:ascii="Palatino Linotype" w:eastAsiaTheme="minorHAnsi" w:hAnsi="Palatino Linotype" w:cstheme="minorBidi"/>
          <w:lang w:val="es-MX" w:eastAsia="en-US"/>
        </w:rPr>
        <w:t xml:space="preserve"> vía Sistema de Acceso a la Información Mexiquense </w:t>
      </w:r>
      <w:r w:rsidRPr="00481BAD">
        <w:rPr>
          <w:rFonts w:ascii="Palatino Linotype" w:eastAsiaTheme="minorHAnsi" w:hAnsi="Palatino Linotype" w:cstheme="minorBidi"/>
          <w:b/>
          <w:lang w:val="es-MX" w:eastAsia="en-US"/>
        </w:rPr>
        <w:t>(SAIMEX)</w:t>
      </w:r>
      <w:r w:rsidRPr="00481BAD">
        <w:rPr>
          <w:rFonts w:ascii="Palatino Linotype" w:eastAsiaTheme="minorHAnsi" w:hAnsi="Palatino Linotype" w:cstheme="minorBidi"/>
          <w:lang w:val="es-MX" w:eastAsia="en-US"/>
        </w:rPr>
        <w:t xml:space="preserve">, la presente resolución al Titular de la Unidad de Transparencia del </w:t>
      </w:r>
      <w:r w:rsidRPr="00481BAD">
        <w:rPr>
          <w:rFonts w:ascii="Palatino Linotype" w:eastAsiaTheme="minorHAnsi" w:hAnsi="Palatino Linotype" w:cstheme="minorBidi"/>
          <w:b/>
          <w:lang w:val="es-MX" w:eastAsia="en-US"/>
        </w:rPr>
        <w:t>Sujeto Obligado</w:t>
      </w:r>
      <w:r w:rsidRPr="00481BAD">
        <w:rPr>
          <w:rFonts w:ascii="Palatino Linotype" w:eastAsiaTheme="minorHAnsi" w:hAnsi="Palatino Linotype" w:cstheme="minorBidi"/>
          <w:lang w:val="es-MX" w:eastAsia="en-US"/>
        </w:rPr>
        <w:t>.</w:t>
      </w:r>
    </w:p>
    <w:p w14:paraId="7EE5BC3A" w14:textId="77777777" w:rsidR="0078199B" w:rsidRPr="00481BAD" w:rsidRDefault="0078199B" w:rsidP="0078199B">
      <w:pPr>
        <w:spacing w:line="360" w:lineRule="auto"/>
        <w:jc w:val="both"/>
        <w:rPr>
          <w:rFonts w:ascii="Palatino Linotype" w:eastAsiaTheme="minorHAnsi" w:hAnsi="Palatino Linotype" w:cstheme="minorBidi"/>
          <w:lang w:val="es-MX" w:eastAsia="en-US"/>
        </w:rPr>
      </w:pPr>
    </w:p>
    <w:p w14:paraId="4E72F0C2" w14:textId="00F45935" w:rsidR="0078199B" w:rsidRPr="00481BAD" w:rsidRDefault="0078199B" w:rsidP="0078199B">
      <w:pPr>
        <w:spacing w:line="360" w:lineRule="auto"/>
        <w:jc w:val="both"/>
        <w:rPr>
          <w:rFonts w:ascii="Palatino Linotype" w:eastAsiaTheme="minorHAnsi" w:hAnsi="Palatino Linotype" w:cstheme="minorBidi"/>
          <w:lang w:val="es-MX" w:eastAsia="en-US"/>
        </w:rPr>
      </w:pPr>
      <w:r w:rsidRPr="00481BAD">
        <w:rPr>
          <w:rFonts w:ascii="Palatino Linotype" w:eastAsiaTheme="minorHAnsi" w:hAnsi="Palatino Linotype" w:cs="Arial"/>
          <w:b/>
          <w:sz w:val="28"/>
          <w:lang w:val="es-MX" w:eastAsia="en-US"/>
        </w:rPr>
        <w:lastRenderedPageBreak/>
        <w:t xml:space="preserve">TERCERO. </w:t>
      </w:r>
      <w:r w:rsidRPr="00481BAD">
        <w:rPr>
          <w:rFonts w:ascii="Palatino Linotype" w:eastAsiaTheme="minorHAnsi" w:hAnsi="Palatino Linotype" w:cstheme="minorBidi"/>
          <w:b/>
          <w:lang w:val="es-MX" w:eastAsia="en-US"/>
        </w:rPr>
        <w:t>NOTIFÍQUESE</w:t>
      </w:r>
      <w:r w:rsidRPr="00481BAD">
        <w:rPr>
          <w:rFonts w:ascii="Palatino Linotype" w:eastAsiaTheme="minorHAnsi" w:hAnsi="Palatino Linotype" w:cstheme="minorBidi"/>
          <w:lang w:val="es-MX" w:eastAsia="en-US"/>
        </w:rPr>
        <w:t xml:space="preserve"> a la parte </w:t>
      </w:r>
      <w:r w:rsidRPr="00481BAD">
        <w:rPr>
          <w:rFonts w:ascii="Palatino Linotype" w:eastAsiaTheme="minorHAnsi" w:hAnsi="Palatino Linotype" w:cstheme="minorBidi"/>
          <w:b/>
          <w:lang w:val="es-MX" w:eastAsia="en-US"/>
        </w:rPr>
        <w:t xml:space="preserve">Recurrente </w:t>
      </w:r>
      <w:r w:rsidRPr="00481BAD">
        <w:rPr>
          <w:rFonts w:ascii="Palatino Linotype" w:eastAsiaTheme="minorHAnsi" w:hAnsi="Palatino Linotype" w:cstheme="minorBidi"/>
          <w:lang w:val="es-MX" w:eastAsia="en-US"/>
        </w:rPr>
        <w:t xml:space="preserve">la presente resolución vía Sistema de Acceso a la Información Mexiquense </w:t>
      </w:r>
      <w:r w:rsidRPr="00481BAD">
        <w:rPr>
          <w:rFonts w:ascii="Palatino Linotype" w:eastAsiaTheme="minorHAnsi" w:hAnsi="Palatino Linotype" w:cstheme="minorBidi"/>
          <w:b/>
          <w:lang w:val="es-MX" w:eastAsia="en-US"/>
        </w:rPr>
        <w:t>(SAIMEX)</w:t>
      </w:r>
      <w:r w:rsidRPr="00481BAD">
        <w:rPr>
          <w:rFonts w:ascii="Palatino Linotype" w:eastAsiaTheme="minorHAnsi" w:hAnsi="Palatino Linotype" w:cstheme="minorBidi"/>
          <w:lang w:val="es-MX" w:eastAsia="en-US"/>
        </w:rPr>
        <w:t xml:space="preserve">, y </w:t>
      </w:r>
      <w:r w:rsidRPr="00481BAD">
        <w:rPr>
          <w:rFonts w:ascii="Palatino Linotype" w:eastAsiaTheme="minorHAnsi" w:hAnsi="Palatino Linotype" w:cs="Arial"/>
          <w:lang w:val="es-MX" w:eastAsia="en-US"/>
        </w:rPr>
        <w:t>hágase</w:t>
      </w:r>
      <w:r w:rsidRPr="00481BAD">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A54F272" w14:textId="7E2AF854" w:rsidR="00F96437" w:rsidRPr="00481BAD" w:rsidRDefault="00F96437" w:rsidP="0078199B">
      <w:pPr>
        <w:spacing w:line="360" w:lineRule="auto"/>
        <w:ind w:right="141"/>
        <w:jc w:val="both"/>
        <w:rPr>
          <w:rFonts w:ascii="Palatino Linotype" w:eastAsiaTheme="minorHAnsi" w:hAnsi="Palatino Linotype" w:cs="Arial"/>
          <w:bCs/>
          <w:iCs/>
          <w:lang w:eastAsia="en-US"/>
        </w:rPr>
      </w:pPr>
    </w:p>
    <w:p w14:paraId="5C97B7BD" w14:textId="29DDC1AC" w:rsidR="0029071C" w:rsidRPr="00481BAD" w:rsidRDefault="0029071C" w:rsidP="00D01A63">
      <w:pPr>
        <w:spacing w:line="360" w:lineRule="auto"/>
        <w:jc w:val="both"/>
        <w:rPr>
          <w:rFonts w:ascii="Palatino Linotype" w:eastAsiaTheme="minorHAnsi" w:hAnsi="Palatino Linotype" w:cs="Arial"/>
          <w:lang w:val="es-MX" w:eastAsia="en-US"/>
        </w:rPr>
      </w:pPr>
      <w:r w:rsidRPr="00481BAD">
        <w:rPr>
          <w:rFonts w:ascii="Palatino Linotype" w:eastAsiaTheme="minorHAnsi" w:hAnsi="Palatino Linotype" w:cs="Arial"/>
          <w:lang w:val="es-MX" w:eastAsia="en-US"/>
        </w:rPr>
        <w:t>ASÍ LO RESUELVE, POR UNANIMIDAD DE VOTOS, EL PLENO DEL</w:t>
      </w:r>
      <w:r w:rsidRPr="00481BA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81BAD">
        <w:rPr>
          <w:rFonts w:ascii="Palatino Linotype" w:eastAsiaTheme="minorHAnsi" w:hAnsi="Palatino Linotype" w:cs="Arial"/>
          <w:lang w:val="es-MX" w:eastAsia="en-US"/>
        </w:rPr>
        <w:t>, CONFORMADO POR LOS COMISIONADOS JOSÉ MARTÍNEZ VILCHIS; MARÍA DEL ROSARIO MEJÍA AYALA</w:t>
      </w:r>
      <w:r w:rsidR="00FE39CF" w:rsidRPr="00481BAD">
        <w:rPr>
          <w:rFonts w:ascii="Palatino Linotype" w:eastAsiaTheme="minorHAnsi" w:hAnsi="Palatino Linotype" w:cs="Arial"/>
          <w:lang w:val="es-MX" w:eastAsia="en-US"/>
        </w:rPr>
        <w:t xml:space="preserve"> </w:t>
      </w:r>
      <w:r w:rsidR="00FE39CF" w:rsidRPr="00481BAD">
        <w:rPr>
          <w:rFonts w:ascii="Palatino Linotype" w:hAnsi="Palatino Linotype" w:cs="Arial"/>
        </w:rPr>
        <w:t>(AUSENCIA JUSTIFICADA)</w:t>
      </w:r>
      <w:r w:rsidRPr="00481BAD">
        <w:rPr>
          <w:rFonts w:ascii="Palatino Linotype" w:eastAsiaTheme="minorHAnsi" w:hAnsi="Palatino Linotype" w:cs="Arial"/>
          <w:lang w:val="es-MX" w:eastAsia="en-US"/>
        </w:rPr>
        <w:t>; SHARON CRISTINA MORALES MARTÍNEZ</w:t>
      </w:r>
      <w:r w:rsidR="00C4326C" w:rsidRPr="00481BAD">
        <w:rPr>
          <w:rFonts w:ascii="Palatino Linotype" w:eastAsiaTheme="minorHAnsi" w:hAnsi="Palatino Linotype" w:cs="Arial"/>
          <w:lang w:val="es-MX" w:eastAsia="en-US"/>
        </w:rPr>
        <w:t xml:space="preserve">; </w:t>
      </w:r>
      <w:r w:rsidRPr="00481BAD">
        <w:rPr>
          <w:rFonts w:ascii="Palatino Linotype" w:eastAsiaTheme="minorHAnsi" w:hAnsi="Palatino Linotype" w:cs="Arial"/>
          <w:lang w:val="es-MX" w:eastAsia="en-US"/>
        </w:rPr>
        <w:t xml:space="preserve">LUIS GUSTAVO PARRA NORIEGA Y GUADALUPE RAMÍREZ PEÑA; EN LA </w:t>
      </w:r>
      <w:r w:rsidR="00FC576D" w:rsidRPr="00481BAD">
        <w:rPr>
          <w:rFonts w:ascii="Palatino Linotype" w:eastAsiaTheme="minorHAnsi" w:hAnsi="Palatino Linotype" w:cs="Arial"/>
          <w:lang w:val="es-MX" w:eastAsia="en-US"/>
        </w:rPr>
        <w:t>TRIGÉSIMA</w:t>
      </w:r>
      <w:r w:rsidR="008032D9" w:rsidRPr="00481BAD">
        <w:rPr>
          <w:rFonts w:ascii="Palatino Linotype" w:eastAsiaTheme="minorHAnsi" w:hAnsi="Palatino Linotype" w:cs="Arial"/>
          <w:lang w:val="es-MX" w:eastAsia="en-US"/>
        </w:rPr>
        <w:t xml:space="preserve"> </w:t>
      </w:r>
      <w:r w:rsidR="00E61A4C" w:rsidRPr="00481BAD">
        <w:rPr>
          <w:rFonts w:ascii="Palatino Linotype" w:eastAsiaTheme="minorHAnsi" w:hAnsi="Palatino Linotype" w:cs="Arial"/>
          <w:lang w:val="es-MX" w:eastAsia="en-US"/>
        </w:rPr>
        <w:t>CUART</w:t>
      </w:r>
      <w:r w:rsidR="00D54B83" w:rsidRPr="00481BAD">
        <w:rPr>
          <w:rFonts w:ascii="Palatino Linotype" w:eastAsiaTheme="minorHAnsi" w:hAnsi="Palatino Linotype" w:cs="Arial"/>
          <w:lang w:val="es-MX" w:eastAsia="en-US"/>
        </w:rPr>
        <w:t>A</w:t>
      </w:r>
      <w:r w:rsidR="005F1F89" w:rsidRPr="00481BAD">
        <w:rPr>
          <w:rFonts w:ascii="Palatino Linotype" w:eastAsiaTheme="minorHAnsi" w:hAnsi="Palatino Linotype" w:cs="Arial"/>
          <w:lang w:val="es-MX" w:eastAsia="en-US"/>
        </w:rPr>
        <w:t xml:space="preserve"> </w:t>
      </w:r>
      <w:r w:rsidR="00C753C2" w:rsidRPr="00481BAD">
        <w:rPr>
          <w:rFonts w:ascii="Palatino Linotype" w:eastAsiaTheme="minorHAnsi" w:hAnsi="Palatino Linotype" w:cs="Arial"/>
          <w:lang w:val="es-MX" w:eastAsia="en-US"/>
        </w:rPr>
        <w:t xml:space="preserve">SESIÓN ORDINARIA CELEBRADA EL </w:t>
      </w:r>
      <w:r w:rsidR="00E61A4C" w:rsidRPr="00481BAD">
        <w:rPr>
          <w:rFonts w:ascii="Palatino Linotype" w:hAnsi="Palatino Linotype" w:cs="Arial"/>
          <w:color w:val="000000"/>
          <w:lang w:val="es-MX" w:eastAsia="es-MX"/>
        </w:rPr>
        <w:t>VEINTE</w:t>
      </w:r>
      <w:r w:rsidR="00D54B83" w:rsidRPr="00481BAD">
        <w:rPr>
          <w:rFonts w:ascii="Palatino Linotype" w:hAnsi="Palatino Linotype" w:cs="Arial"/>
          <w:color w:val="000000"/>
          <w:lang w:val="es-MX" w:eastAsia="es-MX"/>
        </w:rPr>
        <w:t xml:space="preserve"> DE SEPTIEMBRE </w:t>
      </w:r>
      <w:r w:rsidRPr="00481BAD">
        <w:rPr>
          <w:rFonts w:ascii="Palatino Linotype" w:hAnsi="Palatino Linotype" w:cs="Arial"/>
          <w:color w:val="000000"/>
          <w:lang w:val="es-MX" w:eastAsia="es-MX"/>
        </w:rPr>
        <w:t>DE</w:t>
      </w:r>
      <w:r w:rsidR="00812DDF" w:rsidRPr="00481BAD">
        <w:rPr>
          <w:rFonts w:ascii="Palatino Linotype" w:eastAsiaTheme="minorHAnsi" w:hAnsi="Palatino Linotype" w:cs="Arial"/>
          <w:lang w:val="es-MX" w:eastAsia="en-US"/>
        </w:rPr>
        <w:t xml:space="preserve"> DOS MIL VEINTITRÉS</w:t>
      </w:r>
      <w:r w:rsidRPr="00481BAD">
        <w:rPr>
          <w:rFonts w:ascii="Palatino Linotype" w:eastAsiaTheme="minorHAnsi" w:hAnsi="Palatino Linotype" w:cs="Arial"/>
          <w:lang w:val="es-MX" w:eastAsia="en-US"/>
        </w:rPr>
        <w:t>, ANTE EL SECRETARIO TÉCNICO</w:t>
      </w:r>
      <w:r w:rsidR="00FE39CF" w:rsidRPr="00481BAD">
        <w:rPr>
          <w:rFonts w:ascii="Palatino Linotype" w:eastAsiaTheme="minorHAnsi" w:hAnsi="Palatino Linotype" w:cs="Arial"/>
          <w:lang w:val="es-MX" w:eastAsia="en-US"/>
        </w:rPr>
        <w:t xml:space="preserve"> DEL PLENO</w:t>
      </w:r>
      <w:r w:rsidRPr="00481BAD">
        <w:rPr>
          <w:rFonts w:ascii="Palatino Linotype" w:eastAsiaTheme="minorHAnsi" w:hAnsi="Palatino Linotype" w:cs="Arial"/>
          <w:lang w:val="es-MX" w:eastAsia="en-US"/>
        </w:rPr>
        <w:t>, ALEXIS TAPIA RA</w:t>
      </w:r>
      <w:r w:rsidR="00054E04" w:rsidRPr="00481BAD">
        <w:rPr>
          <w:rFonts w:ascii="Palatino Linotype" w:eastAsiaTheme="minorHAnsi" w:hAnsi="Palatino Linotype" w:cs="Arial"/>
          <w:lang w:val="es-MX" w:eastAsia="en-US"/>
        </w:rPr>
        <w:t>MÍREZ.</w:t>
      </w:r>
      <w:r w:rsidR="001E2DA3" w:rsidRPr="00481BAD">
        <w:rPr>
          <w:rFonts w:ascii="Palatino Linotype" w:eastAsiaTheme="minorHAnsi" w:hAnsi="Palatino Linotype" w:cs="Arial"/>
          <w:lang w:val="es-MX" w:eastAsia="en-US"/>
        </w:rPr>
        <w:t>-----</w:t>
      </w:r>
      <w:r w:rsidR="00D01A63" w:rsidRPr="00481BAD">
        <w:rPr>
          <w:rFonts w:ascii="Palatino Linotype" w:eastAsiaTheme="minorHAnsi" w:hAnsi="Palatino Linotype" w:cs="Arial"/>
          <w:lang w:val="es-MX" w:eastAsia="en-US"/>
        </w:rPr>
        <w:t>-----------------------------------------------------------------------------------------------------------------------------------------------------------------------------------------------------------------------------------------------------------------------------</w:t>
      </w:r>
      <w:r w:rsidR="00FE39CF" w:rsidRPr="00481BAD">
        <w:rPr>
          <w:rFonts w:ascii="Palatino Linotype" w:eastAsiaTheme="minorHAnsi" w:hAnsi="Palatino Linotype" w:cs="Arial"/>
          <w:lang w:val="es-MX" w:eastAsia="en-US"/>
        </w:rPr>
        <w:t>----------------</w:t>
      </w:r>
      <w:r w:rsidR="00B02C86" w:rsidRPr="00481BAD">
        <w:rPr>
          <w:rFonts w:ascii="Palatino Linotype" w:eastAsiaTheme="minorHAnsi" w:hAnsi="Palatino Linotype" w:cs="Arial"/>
          <w:lang w:val="es-MX" w:eastAsia="en-US"/>
        </w:rPr>
        <w:t>------------------------------------------------------------------------------------------------------------------------------------------------------------------------------------------------------------------------------------------------------------------------------------------------------------------------------------------------------------------------------------------------------------------------------------------------------------------------------------------------------------------------------------------------------------------------------------------------------------------------------------------------------------------------------------------------------------------------------------------------------------------------------</w:t>
      </w:r>
      <w:r w:rsidR="00FE39CF" w:rsidRPr="00481BAD">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481BAD">
        <w:rPr>
          <w:rFonts w:ascii="Palatino Linotype" w:eastAsiaTheme="minorHAnsi" w:hAnsi="Palatino Linotype" w:cs="Arial"/>
          <w:sz w:val="14"/>
          <w:lang w:val="es-MX" w:eastAsia="en-US"/>
        </w:rPr>
        <w:t>JMV/CCR/jasm</w:t>
      </w:r>
      <w:bookmarkStart w:id="1" w:name="_GoBack"/>
      <w:bookmarkEnd w:id="1"/>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022DD828"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B0D6A" w14:textId="77777777" w:rsidR="00580264" w:rsidRDefault="00580264" w:rsidP="000B5E25">
      <w:r>
        <w:separator/>
      </w:r>
    </w:p>
  </w:endnote>
  <w:endnote w:type="continuationSeparator" w:id="0">
    <w:p w14:paraId="51E47347" w14:textId="77777777" w:rsidR="00580264" w:rsidRDefault="0058026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8D9E" w14:textId="77777777" w:rsidR="00D54B83" w:rsidRPr="000D3AD4" w:rsidRDefault="00D54B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81BA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81BAD">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04F5" w14:textId="77777777" w:rsidR="00D54B83" w:rsidRPr="000D3AD4" w:rsidRDefault="00D54B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81BA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81BAD">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BDE3E" w14:textId="77777777" w:rsidR="00580264" w:rsidRDefault="00580264" w:rsidP="000B5E25">
      <w:r>
        <w:separator/>
      </w:r>
    </w:p>
  </w:footnote>
  <w:footnote w:type="continuationSeparator" w:id="0">
    <w:p w14:paraId="34D27FF3" w14:textId="77777777" w:rsidR="00580264" w:rsidRDefault="00580264" w:rsidP="000B5E25">
      <w:r>
        <w:continuationSeparator/>
      </w:r>
    </w:p>
  </w:footnote>
  <w:footnote w:id="1">
    <w:p w14:paraId="7C301206" w14:textId="77777777" w:rsidR="00AC2894" w:rsidRPr="00911081" w:rsidRDefault="00AC2894" w:rsidP="00AC2894">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B307D1E" w14:textId="77777777" w:rsidR="00AC2894" w:rsidRPr="00911081" w:rsidRDefault="00AC2894" w:rsidP="00AC2894">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E2422" w14:textId="77777777" w:rsidR="00D54B83" w:rsidRDefault="00481BAD">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54B83" w:rsidRPr="008F2CCC" w14:paraId="358E1A86" w14:textId="77777777" w:rsidTr="00BA27FC">
      <w:tc>
        <w:tcPr>
          <w:tcW w:w="2551" w:type="dxa"/>
          <w:shd w:val="clear" w:color="auto" w:fill="auto"/>
          <w:vAlign w:val="center"/>
        </w:tcPr>
        <w:p w14:paraId="326CB3C8"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0174B130" w:rsidR="00D54B83" w:rsidRPr="0029071C" w:rsidRDefault="00D54B83" w:rsidP="00D54B8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DE407A">
            <w:rPr>
              <w:rFonts w:ascii="Palatino Linotype" w:hAnsi="Palatino Linotype"/>
              <w:sz w:val="22"/>
              <w:szCs w:val="22"/>
              <w:lang w:val="es-ES_tradnl"/>
            </w:rPr>
            <w:t>4510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D54B83" w:rsidRPr="008F2CCC" w14:paraId="6DF13D33" w14:textId="77777777" w:rsidTr="00BA27FC">
      <w:trPr>
        <w:trHeight w:val="228"/>
      </w:trPr>
      <w:tc>
        <w:tcPr>
          <w:tcW w:w="2551" w:type="dxa"/>
          <w:shd w:val="clear" w:color="auto" w:fill="auto"/>
          <w:vAlign w:val="center"/>
        </w:tcPr>
        <w:p w14:paraId="279C458C"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75B0C547" w:rsidR="00D54B83" w:rsidRPr="0029071C" w:rsidRDefault="00D54B83" w:rsidP="00B6659F">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sidR="00DE407A">
            <w:rPr>
              <w:rFonts w:ascii="Palatino Linotype" w:hAnsi="Palatino Linotype"/>
              <w:sz w:val="22"/>
              <w:szCs w:val="22"/>
            </w:rPr>
            <w:t>Zinacantepec</w:t>
          </w:r>
        </w:p>
      </w:tc>
    </w:tr>
    <w:tr w:rsidR="00D54B83" w:rsidRPr="008F2CCC" w14:paraId="24722D81" w14:textId="77777777" w:rsidTr="00BA27FC">
      <w:tc>
        <w:tcPr>
          <w:tcW w:w="2551" w:type="dxa"/>
          <w:shd w:val="clear" w:color="auto" w:fill="auto"/>
          <w:vAlign w:val="center"/>
        </w:tcPr>
        <w:p w14:paraId="5AC5C171"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D54B83" w:rsidRPr="0029071C" w:rsidRDefault="00D54B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D54B83" w:rsidRPr="001779E0" w:rsidRDefault="00481BA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54B83" w:rsidRPr="008F2CCC" w14:paraId="4EDB3920" w14:textId="77777777" w:rsidTr="00BA27FC">
      <w:tc>
        <w:tcPr>
          <w:tcW w:w="2551" w:type="dxa"/>
          <w:shd w:val="clear" w:color="auto" w:fill="auto"/>
          <w:vAlign w:val="center"/>
        </w:tcPr>
        <w:p w14:paraId="19726A40"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6AC63373" w:rsidR="00D54B83" w:rsidRPr="0029071C" w:rsidRDefault="00D54B83" w:rsidP="00D54B8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DE407A">
            <w:rPr>
              <w:rFonts w:ascii="Palatino Linotype" w:hAnsi="Palatino Linotype"/>
              <w:sz w:val="22"/>
              <w:szCs w:val="22"/>
              <w:lang w:val="es-ES_tradnl"/>
            </w:rPr>
            <w:t>4510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D54B83" w:rsidRPr="008F2CCC" w14:paraId="69CF5241" w14:textId="77777777" w:rsidTr="00BA27FC">
      <w:tc>
        <w:tcPr>
          <w:tcW w:w="2551" w:type="dxa"/>
          <w:shd w:val="clear" w:color="auto" w:fill="auto"/>
          <w:vAlign w:val="center"/>
        </w:tcPr>
        <w:p w14:paraId="4B2B4EDA"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77CCCF2" w14:textId="34B65686" w:rsidR="00D54B83" w:rsidRPr="006D30E6" w:rsidRDefault="00F444EA"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D54B83" w:rsidRPr="008F2CCC" w14:paraId="0AD235EE" w14:textId="77777777" w:rsidTr="00BA27FC">
      <w:trPr>
        <w:trHeight w:val="228"/>
      </w:trPr>
      <w:tc>
        <w:tcPr>
          <w:tcW w:w="2551" w:type="dxa"/>
          <w:shd w:val="clear" w:color="auto" w:fill="auto"/>
          <w:vAlign w:val="center"/>
        </w:tcPr>
        <w:p w14:paraId="5193687F"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6CB3F63F" w:rsidR="00D54B83" w:rsidRPr="0029071C" w:rsidRDefault="00D54B83" w:rsidP="00812DDF">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sidR="00DE407A">
            <w:rPr>
              <w:rFonts w:ascii="Palatino Linotype" w:hAnsi="Palatino Linotype"/>
              <w:sz w:val="22"/>
              <w:szCs w:val="22"/>
            </w:rPr>
            <w:t>Zinacantepec</w:t>
          </w:r>
        </w:p>
      </w:tc>
    </w:tr>
    <w:tr w:rsidR="00D54B83" w:rsidRPr="008F2CCC" w14:paraId="25485B18" w14:textId="77777777" w:rsidTr="00BA27FC">
      <w:tc>
        <w:tcPr>
          <w:tcW w:w="2551" w:type="dxa"/>
          <w:shd w:val="clear" w:color="auto" w:fill="auto"/>
          <w:vAlign w:val="center"/>
        </w:tcPr>
        <w:p w14:paraId="3D6B9F16"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D54B83" w:rsidRPr="0029071C" w:rsidRDefault="00D54B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54B83" w:rsidRPr="008F2CCC" w14:paraId="4AA2DF01" w14:textId="77777777" w:rsidTr="00BA27FC">
      <w:tc>
        <w:tcPr>
          <w:tcW w:w="2551" w:type="dxa"/>
          <w:shd w:val="clear" w:color="auto" w:fill="auto"/>
          <w:vAlign w:val="center"/>
        </w:tcPr>
        <w:p w14:paraId="63DB76B1" w14:textId="77777777" w:rsidR="00D54B83" w:rsidRPr="008F5DAE" w:rsidRDefault="00D54B8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D54B83" w:rsidRPr="00BA27FC" w:rsidRDefault="00D54B83" w:rsidP="00BA27FC">
          <w:pPr>
            <w:spacing w:line="276" w:lineRule="auto"/>
            <w:rPr>
              <w:rFonts w:ascii="Palatino Linotype" w:hAnsi="Palatino Linotype"/>
              <w:sz w:val="14"/>
              <w:szCs w:val="22"/>
              <w:lang w:val="es-ES_tradnl"/>
            </w:rPr>
          </w:pPr>
        </w:p>
      </w:tc>
    </w:tr>
  </w:tbl>
  <w:p w14:paraId="65520DFD" w14:textId="77777777" w:rsidR="00D54B83" w:rsidRPr="009F1AB6" w:rsidRDefault="00481BAD">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ACF"/>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9"/>
  </w:num>
  <w:num w:numId="5">
    <w:abstractNumId w:val="4"/>
  </w:num>
  <w:num w:numId="6">
    <w:abstractNumId w:val="7"/>
  </w:num>
  <w:num w:numId="7">
    <w:abstractNumId w:val="10"/>
  </w:num>
  <w:num w:numId="8">
    <w:abstractNumId w:val="3"/>
  </w:num>
  <w:num w:numId="9">
    <w:abstractNumId w:val="5"/>
  </w:num>
  <w:num w:numId="10">
    <w:abstractNumId w:val="6"/>
  </w:num>
  <w:num w:numId="11">
    <w:abstractNumId w:val="1"/>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E3F"/>
    <w:rsid w:val="00032D08"/>
    <w:rsid w:val="00036F8B"/>
    <w:rsid w:val="00054E04"/>
    <w:rsid w:val="000572E9"/>
    <w:rsid w:val="00070547"/>
    <w:rsid w:val="00071173"/>
    <w:rsid w:val="000775FC"/>
    <w:rsid w:val="00093AE1"/>
    <w:rsid w:val="000A34BB"/>
    <w:rsid w:val="000A717C"/>
    <w:rsid w:val="000B293E"/>
    <w:rsid w:val="000B3D36"/>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A6109"/>
    <w:rsid w:val="001A6C89"/>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67BB"/>
    <w:rsid w:val="00217E6C"/>
    <w:rsid w:val="00225163"/>
    <w:rsid w:val="00226B4A"/>
    <w:rsid w:val="00235936"/>
    <w:rsid w:val="00236CBA"/>
    <w:rsid w:val="0024323F"/>
    <w:rsid w:val="00247138"/>
    <w:rsid w:val="002554C6"/>
    <w:rsid w:val="00255F1A"/>
    <w:rsid w:val="00261BC7"/>
    <w:rsid w:val="0026516A"/>
    <w:rsid w:val="00267458"/>
    <w:rsid w:val="00267BB5"/>
    <w:rsid w:val="00283696"/>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259D6"/>
    <w:rsid w:val="00330FC3"/>
    <w:rsid w:val="00337FFA"/>
    <w:rsid w:val="00340A06"/>
    <w:rsid w:val="00343F0B"/>
    <w:rsid w:val="003520C5"/>
    <w:rsid w:val="0035559A"/>
    <w:rsid w:val="00371835"/>
    <w:rsid w:val="003746DE"/>
    <w:rsid w:val="003804E8"/>
    <w:rsid w:val="00380D3E"/>
    <w:rsid w:val="00386934"/>
    <w:rsid w:val="00386D38"/>
    <w:rsid w:val="00396DB6"/>
    <w:rsid w:val="003B1C85"/>
    <w:rsid w:val="003B70B0"/>
    <w:rsid w:val="003C160D"/>
    <w:rsid w:val="003C59BC"/>
    <w:rsid w:val="003C6E1C"/>
    <w:rsid w:val="003E21A7"/>
    <w:rsid w:val="003E56C9"/>
    <w:rsid w:val="004018F9"/>
    <w:rsid w:val="00425E0F"/>
    <w:rsid w:val="004344EA"/>
    <w:rsid w:val="0043515A"/>
    <w:rsid w:val="004403F7"/>
    <w:rsid w:val="00442FD8"/>
    <w:rsid w:val="00443892"/>
    <w:rsid w:val="004445A1"/>
    <w:rsid w:val="00445CAA"/>
    <w:rsid w:val="004672ED"/>
    <w:rsid w:val="00481BAD"/>
    <w:rsid w:val="00487B7B"/>
    <w:rsid w:val="004A034A"/>
    <w:rsid w:val="004B2314"/>
    <w:rsid w:val="004D18B6"/>
    <w:rsid w:val="004D2BF5"/>
    <w:rsid w:val="004D5D2F"/>
    <w:rsid w:val="004D6F71"/>
    <w:rsid w:val="004E5628"/>
    <w:rsid w:val="004F26E3"/>
    <w:rsid w:val="0050130E"/>
    <w:rsid w:val="0050243E"/>
    <w:rsid w:val="00524A8D"/>
    <w:rsid w:val="00543039"/>
    <w:rsid w:val="0054391A"/>
    <w:rsid w:val="00551441"/>
    <w:rsid w:val="00555C87"/>
    <w:rsid w:val="00563A28"/>
    <w:rsid w:val="00563B39"/>
    <w:rsid w:val="0057289F"/>
    <w:rsid w:val="00580264"/>
    <w:rsid w:val="0059032F"/>
    <w:rsid w:val="0059614C"/>
    <w:rsid w:val="00597D71"/>
    <w:rsid w:val="005A6216"/>
    <w:rsid w:val="005B0692"/>
    <w:rsid w:val="005B234D"/>
    <w:rsid w:val="005B26AD"/>
    <w:rsid w:val="005B36A8"/>
    <w:rsid w:val="005B5693"/>
    <w:rsid w:val="005C6646"/>
    <w:rsid w:val="005D115D"/>
    <w:rsid w:val="005D77CC"/>
    <w:rsid w:val="005E09AB"/>
    <w:rsid w:val="005E5716"/>
    <w:rsid w:val="005F1F89"/>
    <w:rsid w:val="005F4BFB"/>
    <w:rsid w:val="006000C5"/>
    <w:rsid w:val="006002E0"/>
    <w:rsid w:val="00620280"/>
    <w:rsid w:val="006258FD"/>
    <w:rsid w:val="00632E48"/>
    <w:rsid w:val="00643B58"/>
    <w:rsid w:val="006810FF"/>
    <w:rsid w:val="0068515C"/>
    <w:rsid w:val="00694976"/>
    <w:rsid w:val="006952D2"/>
    <w:rsid w:val="006B321A"/>
    <w:rsid w:val="006B418F"/>
    <w:rsid w:val="006C3931"/>
    <w:rsid w:val="006C6A15"/>
    <w:rsid w:val="006D0D56"/>
    <w:rsid w:val="006D1713"/>
    <w:rsid w:val="006D30E6"/>
    <w:rsid w:val="006D3A03"/>
    <w:rsid w:val="006E08FA"/>
    <w:rsid w:val="006F5F93"/>
    <w:rsid w:val="00710FED"/>
    <w:rsid w:val="00716632"/>
    <w:rsid w:val="00717A0C"/>
    <w:rsid w:val="0072658E"/>
    <w:rsid w:val="00732345"/>
    <w:rsid w:val="007532C7"/>
    <w:rsid w:val="007566CA"/>
    <w:rsid w:val="00756F04"/>
    <w:rsid w:val="00757D60"/>
    <w:rsid w:val="00766026"/>
    <w:rsid w:val="00770F18"/>
    <w:rsid w:val="007764BB"/>
    <w:rsid w:val="0078199B"/>
    <w:rsid w:val="007828DC"/>
    <w:rsid w:val="00792EAA"/>
    <w:rsid w:val="0079708B"/>
    <w:rsid w:val="007A118C"/>
    <w:rsid w:val="007A37FE"/>
    <w:rsid w:val="007B3C31"/>
    <w:rsid w:val="007C1D5B"/>
    <w:rsid w:val="007C3435"/>
    <w:rsid w:val="007C35A4"/>
    <w:rsid w:val="007C3E46"/>
    <w:rsid w:val="007D2A81"/>
    <w:rsid w:val="007E52D5"/>
    <w:rsid w:val="007E534B"/>
    <w:rsid w:val="007E7C02"/>
    <w:rsid w:val="007F7462"/>
    <w:rsid w:val="00800A80"/>
    <w:rsid w:val="008032D9"/>
    <w:rsid w:val="00812DDF"/>
    <w:rsid w:val="00835035"/>
    <w:rsid w:val="00837C9A"/>
    <w:rsid w:val="008500D3"/>
    <w:rsid w:val="00852668"/>
    <w:rsid w:val="008578BF"/>
    <w:rsid w:val="008660D6"/>
    <w:rsid w:val="00866ABE"/>
    <w:rsid w:val="00896D29"/>
    <w:rsid w:val="008A12CF"/>
    <w:rsid w:val="008A1A90"/>
    <w:rsid w:val="008A64CB"/>
    <w:rsid w:val="008B082B"/>
    <w:rsid w:val="008B6546"/>
    <w:rsid w:val="008C3B24"/>
    <w:rsid w:val="008E01E4"/>
    <w:rsid w:val="008E7F32"/>
    <w:rsid w:val="008F148C"/>
    <w:rsid w:val="008F5DAE"/>
    <w:rsid w:val="00900C9B"/>
    <w:rsid w:val="00901487"/>
    <w:rsid w:val="00910839"/>
    <w:rsid w:val="009212A0"/>
    <w:rsid w:val="00921551"/>
    <w:rsid w:val="009217E8"/>
    <w:rsid w:val="00925B0B"/>
    <w:rsid w:val="00926AAF"/>
    <w:rsid w:val="00926C44"/>
    <w:rsid w:val="0093645B"/>
    <w:rsid w:val="0094381A"/>
    <w:rsid w:val="00946698"/>
    <w:rsid w:val="00961002"/>
    <w:rsid w:val="009758CB"/>
    <w:rsid w:val="00980909"/>
    <w:rsid w:val="00993406"/>
    <w:rsid w:val="0099758E"/>
    <w:rsid w:val="00997950"/>
    <w:rsid w:val="009A0F77"/>
    <w:rsid w:val="009A1EEF"/>
    <w:rsid w:val="009A5223"/>
    <w:rsid w:val="009A6B97"/>
    <w:rsid w:val="009A6D6A"/>
    <w:rsid w:val="009B23B7"/>
    <w:rsid w:val="009B2B6B"/>
    <w:rsid w:val="009D2E87"/>
    <w:rsid w:val="009D39B3"/>
    <w:rsid w:val="009D6AE6"/>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2894"/>
    <w:rsid w:val="00AC3DB9"/>
    <w:rsid w:val="00AC687D"/>
    <w:rsid w:val="00AD33BE"/>
    <w:rsid w:val="00AE1A47"/>
    <w:rsid w:val="00AE5995"/>
    <w:rsid w:val="00AE6704"/>
    <w:rsid w:val="00AE78CA"/>
    <w:rsid w:val="00B01BD5"/>
    <w:rsid w:val="00B02C86"/>
    <w:rsid w:val="00B04476"/>
    <w:rsid w:val="00B05B83"/>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3E10"/>
    <w:rsid w:val="00B85697"/>
    <w:rsid w:val="00B85F29"/>
    <w:rsid w:val="00B911AF"/>
    <w:rsid w:val="00B96A17"/>
    <w:rsid w:val="00BA27FC"/>
    <w:rsid w:val="00BA2D32"/>
    <w:rsid w:val="00BA43DC"/>
    <w:rsid w:val="00BB06D2"/>
    <w:rsid w:val="00BB134B"/>
    <w:rsid w:val="00BB5BC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451B"/>
    <w:rsid w:val="00C753C2"/>
    <w:rsid w:val="00C802FB"/>
    <w:rsid w:val="00C85653"/>
    <w:rsid w:val="00CA028B"/>
    <w:rsid w:val="00CA216C"/>
    <w:rsid w:val="00CA4114"/>
    <w:rsid w:val="00CA4BF9"/>
    <w:rsid w:val="00CC0700"/>
    <w:rsid w:val="00CD024D"/>
    <w:rsid w:val="00CD3A41"/>
    <w:rsid w:val="00CD431E"/>
    <w:rsid w:val="00CE1C82"/>
    <w:rsid w:val="00CE51D0"/>
    <w:rsid w:val="00CE7546"/>
    <w:rsid w:val="00CF1DF5"/>
    <w:rsid w:val="00CF7FBE"/>
    <w:rsid w:val="00D01A63"/>
    <w:rsid w:val="00D12C36"/>
    <w:rsid w:val="00D1697E"/>
    <w:rsid w:val="00D21ECE"/>
    <w:rsid w:val="00D27727"/>
    <w:rsid w:val="00D4431A"/>
    <w:rsid w:val="00D467EF"/>
    <w:rsid w:val="00D54B83"/>
    <w:rsid w:val="00D553D4"/>
    <w:rsid w:val="00D57210"/>
    <w:rsid w:val="00D57AED"/>
    <w:rsid w:val="00D57F74"/>
    <w:rsid w:val="00D66FE8"/>
    <w:rsid w:val="00D901D7"/>
    <w:rsid w:val="00D92BFE"/>
    <w:rsid w:val="00DC1583"/>
    <w:rsid w:val="00DC2B31"/>
    <w:rsid w:val="00DD1866"/>
    <w:rsid w:val="00DD5A69"/>
    <w:rsid w:val="00DE0A8D"/>
    <w:rsid w:val="00DE407A"/>
    <w:rsid w:val="00DE562A"/>
    <w:rsid w:val="00DE5D6D"/>
    <w:rsid w:val="00DE7148"/>
    <w:rsid w:val="00DF62A4"/>
    <w:rsid w:val="00E00D15"/>
    <w:rsid w:val="00E11B18"/>
    <w:rsid w:val="00E341AD"/>
    <w:rsid w:val="00E40828"/>
    <w:rsid w:val="00E42B2B"/>
    <w:rsid w:val="00E5647F"/>
    <w:rsid w:val="00E61A4C"/>
    <w:rsid w:val="00E625D3"/>
    <w:rsid w:val="00E65F37"/>
    <w:rsid w:val="00E711DE"/>
    <w:rsid w:val="00E74701"/>
    <w:rsid w:val="00E75E5F"/>
    <w:rsid w:val="00E823B8"/>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3556B"/>
    <w:rsid w:val="00F37AE7"/>
    <w:rsid w:val="00F444EA"/>
    <w:rsid w:val="00F455F1"/>
    <w:rsid w:val="00F54221"/>
    <w:rsid w:val="00F570D3"/>
    <w:rsid w:val="00F62221"/>
    <w:rsid w:val="00F712EE"/>
    <w:rsid w:val="00F73BB1"/>
    <w:rsid w:val="00F774DF"/>
    <w:rsid w:val="00F8513C"/>
    <w:rsid w:val="00F96437"/>
    <w:rsid w:val="00F97C38"/>
    <w:rsid w:val="00FA7ED5"/>
    <w:rsid w:val="00FC0DAE"/>
    <w:rsid w:val="00FC1FC5"/>
    <w:rsid w:val="00FC576D"/>
    <w:rsid w:val="00FC6F08"/>
    <w:rsid w:val="00FC7CC7"/>
    <w:rsid w:val="00FE2FFB"/>
    <w:rsid w:val="00FE39CF"/>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7499A-FE70-422C-8C21-56A03AE5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5745</Words>
  <Characters>31600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7</cp:revision>
  <dcterms:created xsi:type="dcterms:W3CDTF">2023-09-05T01:04:00Z</dcterms:created>
  <dcterms:modified xsi:type="dcterms:W3CDTF">2023-10-11T19:16:00Z</dcterms:modified>
</cp:coreProperties>
</file>