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866E7" w14:textId="2806CD4F" w:rsidR="00084C5F" w:rsidRPr="00010A76" w:rsidRDefault="00084C5F" w:rsidP="00084C5F">
      <w:pPr>
        <w:shd w:val="clear" w:color="auto" w:fill="FFFFFF"/>
        <w:spacing w:after="0" w:line="360" w:lineRule="auto"/>
        <w:jc w:val="both"/>
        <w:rPr>
          <w:rFonts w:ascii="Palatino Linotype" w:eastAsia="Times New Roman" w:hAnsi="Palatino Linotype" w:cs="Arial"/>
          <w:color w:val="000000"/>
          <w:sz w:val="24"/>
          <w:szCs w:val="24"/>
          <w:lang w:eastAsia="es-MX"/>
        </w:rPr>
      </w:pPr>
      <w:r w:rsidRPr="00010A76">
        <w:rPr>
          <w:rFonts w:ascii="Palatino Linotype" w:eastAsia="Times New Roman" w:hAnsi="Palatino Linotype" w:cs="Arial"/>
          <w:color w:val="000000"/>
          <w:sz w:val="24"/>
          <w:szCs w:val="24"/>
          <w:lang w:eastAsia="es-MX"/>
        </w:rPr>
        <w:t>Resolución del Pleno del Instituto de Transparencia, Acceso a la Informaci</w:t>
      </w:r>
      <w:bookmarkStart w:id="0" w:name="_GoBack"/>
      <w:bookmarkEnd w:id="0"/>
      <w:r w:rsidRPr="00010A76">
        <w:rPr>
          <w:rFonts w:ascii="Palatino Linotype" w:eastAsia="Times New Roman" w:hAnsi="Palatino Linotype" w:cs="Arial"/>
          <w:color w:val="000000"/>
          <w:sz w:val="24"/>
          <w:szCs w:val="24"/>
          <w:lang w:eastAsia="es-MX"/>
        </w:rPr>
        <w:t xml:space="preserve">ón Pública y Protección de Datos Personales del Estado de México y Municipios, con domicilio en Metepec, Estado de México, a </w:t>
      </w:r>
      <w:r w:rsidR="00F71620" w:rsidRPr="00010A76">
        <w:rPr>
          <w:rFonts w:ascii="Palatino Linotype" w:eastAsia="Times New Roman" w:hAnsi="Palatino Linotype" w:cs="Arial"/>
          <w:color w:val="000000"/>
          <w:sz w:val="24"/>
          <w:szCs w:val="24"/>
          <w:lang w:eastAsia="es-MX"/>
        </w:rPr>
        <w:t xml:space="preserve">diez de mayo </w:t>
      </w:r>
      <w:r w:rsidRPr="00010A76">
        <w:rPr>
          <w:rFonts w:ascii="Palatino Linotype" w:eastAsia="Times New Roman" w:hAnsi="Palatino Linotype" w:cs="Arial"/>
          <w:color w:val="000000"/>
          <w:sz w:val="24"/>
          <w:szCs w:val="24"/>
          <w:lang w:eastAsia="es-MX"/>
        </w:rPr>
        <w:t>de dos mil veintitrés.</w:t>
      </w:r>
    </w:p>
    <w:p w14:paraId="70A0890D" w14:textId="77777777" w:rsidR="00084C5F" w:rsidRPr="00010A76" w:rsidRDefault="00084C5F" w:rsidP="00084C5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9B6AF75" w14:textId="77777777" w:rsidR="00084C5F" w:rsidRPr="00010A76" w:rsidRDefault="00084C5F" w:rsidP="00084C5F">
      <w:pPr>
        <w:tabs>
          <w:tab w:val="left" w:pos="1701"/>
        </w:tabs>
        <w:spacing w:after="0" w:line="360" w:lineRule="auto"/>
        <w:jc w:val="both"/>
        <w:rPr>
          <w:rFonts w:ascii="Palatino Linotype" w:hAnsi="Palatino Linotype" w:cs="Arial"/>
          <w:b/>
          <w:sz w:val="24"/>
          <w:szCs w:val="24"/>
        </w:rPr>
      </w:pPr>
      <w:r w:rsidRPr="00010A76">
        <w:rPr>
          <w:rFonts w:ascii="Palatino Linotype" w:hAnsi="Palatino Linotype" w:cs="Arial"/>
          <w:b/>
          <w:sz w:val="24"/>
          <w:szCs w:val="24"/>
        </w:rPr>
        <w:t>VISTO</w:t>
      </w:r>
      <w:r w:rsidRPr="00010A76">
        <w:rPr>
          <w:rFonts w:ascii="Palatino Linotype" w:hAnsi="Palatino Linotype" w:cs="Arial"/>
          <w:sz w:val="24"/>
          <w:szCs w:val="24"/>
        </w:rPr>
        <w:t xml:space="preserve"> el expediente electrónico formado con motivo del recurso de revisión con número </w:t>
      </w:r>
      <w:r w:rsidRPr="00010A76">
        <w:rPr>
          <w:rFonts w:ascii="Palatino Linotype" w:hAnsi="Palatino Linotype" w:cs="Arial"/>
          <w:b/>
          <w:bCs/>
          <w:sz w:val="24"/>
          <w:szCs w:val="24"/>
          <w:lang w:eastAsia="es-MX"/>
        </w:rPr>
        <w:t>01065/INFOEM/IP/RR/2023</w:t>
      </w:r>
      <w:r w:rsidRPr="00010A76">
        <w:rPr>
          <w:rFonts w:ascii="Palatino Linotype" w:hAnsi="Palatino Linotype" w:cs="Arial"/>
          <w:sz w:val="24"/>
          <w:szCs w:val="24"/>
        </w:rPr>
        <w:t xml:space="preserve">, </w:t>
      </w:r>
      <w:r w:rsidRPr="00010A76">
        <w:rPr>
          <w:rFonts w:ascii="Palatino Linotype" w:eastAsia="Palatino Linotype" w:hAnsi="Palatino Linotype" w:cs="Palatino Linotype"/>
          <w:color w:val="000000"/>
          <w:sz w:val="24"/>
          <w:szCs w:val="24"/>
        </w:rPr>
        <w:t xml:space="preserve">interpuesto por una persona de manera anónima, en lo sucesivo el </w:t>
      </w:r>
      <w:r w:rsidRPr="00010A76">
        <w:rPr>
          <w:rFonts w:ascii="Palatino Linotype" w:eastAsia="Palatino Linotype" w:hAnsi="Palatino Linotype" w:cs="Palatino Linotype"/>
          <w:b/>
          <w:color w:val="000000"/>
          <w:sz w:val="24"/>
          <w:szCs w:val="24"/>
        </w:rPr>
        <w:t>Recurrente</w:t>
      </w:r>
      <w:r w:rsidRPr="00010A76">
        <w:rPr>
          <w:rFonts w:ascii="Palatino Linotype" w:eastAsia="Palatino Linotype" w:hAnsi="Palatino Linotype" w:cs="Palatino Linotype"/>
          <w:color w:val="000000"/>
          <w:sz w:val="24"/>
          <w:szCs w:val="24"/>
        </w:rPr>
        <w:t xml:space="preserve">, </w:t>
      </w:r>
      <w:r w:rsidRPr="00010A76">
        <w:rPr>
          <w:rFonts w:ascii="Palatino Linotype" w:hAnsi="Palatino Linotype" w:cs="Arial"/>
          <w:sz w:val="24"/>
          <w:szCs w:val="24"/>
        </w:rPr>
        <w:t xml:space="preserve">en contra de la de respuesta del </w:t>
      </w:r>
      <w:r w:rsidR="00F80103" w:rsidRPr="00010A76">
        <w:rPr>
          <w:rFonts w:ascii="Palatino Linotype" w:hAnsi="Palatino Linotype" w:cs="Arial"/>
          <w:b/>
          <w:sz w:val="24"/>
          <w:szCs w:val="24"/>
        </w:rPr>
        <w:t>Ayuntamiento de Tepetlixpa</w:t>
      </w:r>
      <w:r w:rsidRPr="00010A76">
        <w:rPr>
          <w:rFonts w:ascii="Palatino Linotype" w:hAnsi="Palatino Linotype" w:cs="Arial"/>
          <w:b/>
          <w:sz w:val="24"/>
          <w:szCs w:val="24"/>
        </w:rPr>
        <w:t xml:space="preserve">, </w:t>
      </w:r>
      <w:r w:rsidRPr="00010A76">
        <w:rPr>
          <w:rFonts w:ascii="Palatino Linotype" w:hAnsi="Palatino Linotype" w:cs="Arial"/>
          <w:sz w:val="24"/>
          <w:szCs w:val="24"/>
        </w:rPr>
        <w:t>en lo subsecuente</w:t>
      </w:r>
      <w:r w:rsidRPr="00010A76">
        <w:rPr>
          <w:rFonts w:ascii="Palatino Linotype" w:hAnsi="Palatino Linotype" w:cs="Arial"/>
          <w:b/>
          <w:sz w:val="24"/>
          <w:szCs w:val="24"/>
        </w:rPr>
        <w:t xml:space="preserve"> el Sujeto Obligado, </w:t>
      </w:r>
      <w:r w:rsidRPr="00010A76">
        <w:rPr>
          <w:rFonts w:ascii="Palatino Linotype" w:hAnsi="Palatino Linotype" w:cs="Arial"/>
          <w:sz w:val="24"/>
          <w:szCs w:val="24"/>
        </w:rPr>
        <w:t>se procede a dictar la presente resolución.</w:t>
      </w:r>
    </w:p>
    <w:p w14:paraId="5075FF88" w14:textId="77777777" w:rsidR="00084C5F" w:rsidRPr="00010A76" w:rsidRDefault="00084C5F" w:rsidP="00084C5F">
      <w:pPr>
        <w:tabs>
          <w:tab w:val="left" w:pos="6960"/>
        </w:tabs>
        <w:spacing w:after="0" w:line="360" w:lineRule="auto"/>
        <w:jc w:val="both"/>
        <w:rPr>
          <w:rFonts w:ascii="Palatino Linotype" w:hAnsi="Palatino Linotype" w:cs="Arial"/>
          <w:sz w:val="24"/>
          <w:szCs w:val="24"/>
        </w:rPr>
      </w:pPr>
    </w:p>
    <w:p w14:paraId="59D8F10D" w14:textId="77777777" w:rsidR="00084C5F" w:rsidRPr="00010A76" w:rsidRDefault="00084C5F" w:rsidP="00084C5F">
      <w:pPr>
        <w:spacing w:after="0" w:line="360" w:lineRule="auto"/>
        <w:jc w:val="center"/>
        <w:rPr>
          <w:rFonts w:ascii="Palatino Linotype" w:hAnsi="Palatino Linotype" w:cs="Arial"/>
          <w:b/>
          <w:sz w:val="28"/>
          <w:szCs w:val="24"/>
        </w:rPr>
      </w:pPr>
      <w:r w:rsidRPr="00010A76">
        <w:rPr>
          <w:rFonts w:ascii="Palatino Linotype" w:hAnsi="Palatino Linotype" w:cs="Arial"/>
          <w:b/>
          <w:sz w:val="28"/>
          <w:szCs w:val="24"/>
        </w:rPr>
        <w:t>A N T E C E D E N T E S</w:t>
      </w:r>
    </w:p>
    <w:p w14:paraId="72A46818" w14:textId="77777777" w:rsidR="00084C5F" w:rsidRPr="00010A76" w:rsidRDefault="00084C5F" w:rsidP="00084C5F">
      <w:pPr>
        <w:spacing w:after="0" w:line="360" w:lineRule="auto"/>
        <w:rPr>
          <w:rFonts w:ascii="Palatino Linotype" w:hAnsi="Palatino Linotype" w:cs="Arial"/>
          <w:b/>
          <w:sz w:val="24"/>
          <w:szCs w:val="24"/>
        </w:rPr>
      </w:pPr>
    </w:p>
    <w:p w14:paraId="283A61E6" w14:textId="77777777" w:rsidR="00084C5F" w:rsidRPr="00010A76" w:rsidRDefault="00084C5F" w:rsidP="00084C5F">
      <w:pPr>
        <w:spacing w:after="0" w:line="360" w:lineRule="auto"/>
        <w:jc w:val="both"/>
        <w:rPr>
          <w:rFonts w:ascii="Palatino Linotype" w:hAnsi="Palatino Linotype" w:cs="Arial"/>
          <w:sz w:val="24"/>
          <w:szCs w:val="24"/>
        </w:rPr>
      </w:pPr>
      <w:r w:rsidRPr="00010A76">
        <w:rPr>
          <w:rFonts w:ascii="Palatino Linotype" w:hAnsi="Palatino Linotype" w:cs="Arial"/>
          <w:b/>
          <w:sz w:val="28"/>
          <w:szCs w:val="28"/>
        </w:rPr>
        <w:t xml:space="preserve">PRIMERO. </w:t>
      </w:r>
      <w:r w:rsidRPr="00010A76">
        <w:rPr>
          <w:rFonts w:ascii="Palatino Linotype" w:hAnsi="Palatino Linotype" w:cs="Arial"/>
          <w:sz w:val="24"/>
          <w:szCs w:val="24"/>
        </w:rPr>
        <w:t xml:space="preserve">Con fecha diecisiete de enero de dos mil veintitrés, </w:t>
      </w:r>
      <w:r w:rsidRPr="00010A76">
        <w:rPr>
          <w:rFonts w:ascii="Palatino Linotype" w:hAnsi="Palatino Linotype" w:cs="Arial"/>
          <w:b/>
          <w:sz w:val="24"/>
          <w:szCs w:val="24"/>
        </w:rPr>
        <w:t>el Recurrente</w:t>
      </w:r>
      <w:r w:rsidR="00F80103" w:rsidRPr="00010A76">
        <w:rPr>
          <w:rFonts w:ascii="Palatino Linotype" w:hAnsi="Palatino Linotype" w:cs="Arial"/>
          <w:sz w:val="24"/>
          <w:szCs w:val="24"/>
        </w:rPr>
        <w:t xml:space="preserve"> presentó, a través d</w:t>
      </w:r>
      <w:r w:rsidRPr="00010A76">
        <w:rPr>
          <w:rFonts w:ascii="Palatino Linotype" w:hAnsi="Palatino Linotype" w:cs="Arial"/>
          <w:sz w:val="24"/>
          <w:szCs w:val="24"/>
        </w:rPr>
        <w:t xml:space="preserve">el Sistema de Acceso a la Información Mexiquense, en lo posterior el </w:t>
      </w:r>
      <w:r w:rsidRPr="00010A76">
        <w:rPr>
          <w:rFonts w:ascii="Palatino Linotype" w:hAnsi="Palatino Linotype" w:cs="Arial"/>
          <w:b/>
          <w:sz w:val="24"/>
          <w:szCs w:val="24"/>
        </w:rPr>
        <w:t>SAIMEX</w:t>
      </w:r>
      <w:r w:rsidRPr="00010A76">
        <w:rPr>
          <w:rFonts w:ascii="Palatino Linotype" w:hAnsi="Palatino Linotype" w:cs="Arial"/>
          <w:sz w:val="24"/>
          <w:szCs w:val="24"/>
        </w:rPr>
        <w:t xml:space="preserve">, ante </w:t>
      </w:r>
      <w:r w:rsidRPr="00010A76">
        <w:rPr>
          <w:rFonts w:ascii="Palatino Linotype" w:hAnsi="Palatino Linotype" w:cs="Arial"/>
          <w:b/>
          <w:sz w:val="24"/>
          <w:szCs w:val="24"/>
        </w:rPr>
        <w:t>el Sujeto Obligado</w:t>
      </w:r>
      <w:r w:rsidR="00F80103" w:rsidRPr="00010A76">
        <w:rPr>
          <w:rFonts w:ascii="Palatino Linotype" w:hAnsi="Palatino Linotype" w:cs="Arial"/>
          <w:sz w:val="24"/>
          <w:szCs w:val="24"/>
        </w:rPr>
        <w:t xml:space="preserve"> la</w:t>
      </w:r>
      <w:r w:rsidRPr="00010A76">
        <w:rPr>
          <w:rFonts w:ascii="Palatino Linotype" w:hAnsi="Palatino Linotype" w:cs="Arial"/>
          <w:sz w:val="24"/>
          <w:szCs w:val="24"/>
        </w:rPr>
        <w:t xml:space="preserve"> solicitud de acceso a la información pública, la cual quedó registrada bajo el número de expediente </w:t>
      </w:r>
      <w:r w:rsidR="00F80103" w:rsidRPr="00010A76">
        <w:rPr>
          <w:rFonts w:ascii="Palatino Linotype" w:hAnsi="Palatino Linotype" w:cs="Arial"/>
          <w:b/>
          <w:sz w:val="24"/>
          <w:szCs w:val="24"/>
        </w:rPr>
        <w:t>00006/TEPETLIX/IP/2023</w:t>
      </w:r>
      <w:r w:rsidRPr="00010A76">
        <w:rPr>
          <w:rFonts w:ascii="Palatino Linotype" w:hAnsi="Palatino Linotype" w:cs="Arial"/>
          <w:sz w:val="24"/>
          <w:szCs w:val="24"/>
          <w:lang w:eastAsia="es-MX"/>
        </w:rPr>
        <w:t>,</w:t>
      </w:r>
      <w:r w:rsidRPr="00010A76">
        <w:rPr>
          <w:rFonts w:ascii="Palatino Linotype" w:hAnsi="Palatino Linotype" w:cs="Arial"/>
          <w:b/>
          <w:sz w:val="24"/>
          <w:szCs w:val="24"/>
          <w:lang w:eastAsia="es-MX"/>
        </w:rPr>
        <w:t xml:space="preserve"> </w:t>
      </w:r>
      <w:r w:rsidRPr="00010A76">
        <w:rPr>
          <w:rFonts w:ascii="Palatino Linotype" w:hAnsi="Palatino Linotype" w:cs="Arial"/>
          <w:sz w:val="24"/>
          <w:szCs w:val="24"/>
        </w:rPr>
        <w:t>mediante la cual solicitó información en el tenor siguiente:</w:t>
      </w:r>
    </w:p>
    <w:p w14:paraId="62CA6DB9" w14:textId="77777777" w:rsidR="00084C5F" w:rsidRPr="00010A76" w:rsidRDefault="00084C5F" w:rsidP="00084C5F">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0AE042C1" w14:textId="77777777" w:rsidR="00084C5F" w:rsidRPr="00010A76" w:rsidRDefault="00084C5F" w:rsidP="00084C5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010A76">
        <w:rPr>
          <w:rFonts w:ascii="Palatino Linotype" w:eastAsia="Times New Roman" w:hAnsi="Palatino Linotype" w:cs="Times New Roman"/>
          <w:i/>
          <w:szCs w:val="24"/>
          <w:lang w:val="es-ES_tradnl" w:eastAsia="es-ES"/>
        </w:rPr>
        <w:t>“</w:t>
      </w:r>
      <w:r w:rsidR="00F80103" w:rsidRPr="00010A76">
        <w:rPr>
          <w:rFonts w:ascii="Palatino Linotype" w:eastAsia="Times New Roman" w:hAnsi="Palatino Linotype" w:cs="Times New Roman"/>
          <w:i/>
          <w:szCs w:val="24"/>
          <w:lang w:val="es-ES_tradnl" w:eastAsia="es-ES"/>
        </w:rPr>
        <w:t>COSTO TOTAL DEL</w:t>
      </w:r>
      <w:proofErr w:type="gramStart"/>
      <w:r w:rsidR="00F80103" w:rsidRPr="00010A76">
        <w:rPr>
          <w:rFonts w:ascii="Palatino Linotype" w:eastAsia="Times New Roman" w:hAnsi="Palatino Linotype" w:cs="Times New Roman"/>
          <w:i/>
          <w:szCs w:val="24"/>
          <w:lang w:val="es-ES_tradnl" w:eastAsia="es-ES"/>
        </w:rPr>
        <w:t>,EVENTO</w:t>
      </w:r>
      <w:proofErr w:type="gramEnd"/>
      <w:r w:rsidR="00F80103" w:rsidRPr="00010A76">
        <w:rPr>
          <w:rFonts w:ascii="Palatino Linotype" w:eastAsia="Times New Roman" w:hAnsi="Palatino Linotype" w:cs="Times New Roman"/>
          <w:i/>
          <w:szCs w:val="24"/>
          <w:lang w:val="es-ES_tradnl" w:eastAsia="es-ES"/>
        </w:rPr>
        <w:t xml:space="preserve"> DE PRIMER INFORME DE GOBIERNO DE ACTIVIDADES DEL AYUNTAMIENTO DE TEPETLIXPA ) COSTO TOTAL CON COPIAS DE FACTURAS</w:t>
      </w:r>
      <w:r w:rsidRPr="00010A76">
        <w:rPr>
          <w:rFonts w:ascii="Palatino Linotype" w:eastAsia="Times New Roman" w:hAnsi="Palatino Linotype" w:cs="Times New Roman"/>
          <w:i/>
          <w:szCs w:val="24"/>
          <w:lang w:val="es-ES_tradnl" w:eastAsia="es-ES"/>
        </w:rPr>
        <w:t>”</w:t>
      </w:r>
    </w:p>
    <w:p w14:paraId="586D92D8" w14:textId="77777777" w:rsidR="00084C5F" w:rsidRPr="00010A76" w:rsidRDefault="00084C5F" w:rsidP="00084C5F">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EA7532A" w14:textId="77777777" w:rsidR="00084C5F" w:rsidRPr="00010A76" w:rsidRDefault="00084C5F" w:rsidP="00084C5F">
      <w:pPr>
        <w:spacing w:after="0" w:line="360" w:lineRule="auto"/>
        <w:jc w:val="both"/>
        <w:rPr>
          <w:rFonts w:ascii="Palatino Linotype" w:eastAsia="Times New Roman" w:hAnsi="Palatino Linotype" w:cs="Times New Roman"/>
          <w:sz w:val="24"/>
          <w:szCs w:val="24"/>
          <w:lang w:val="es-ES_tradnl" w:eastAsia="es-ES"/>
        </w:rPr>
      </w:pPr>
      <w:r w:rsidRPr="00010A76">
        <w:rPr>
          <w:rFonts w:ascii="Palatino Linotype" w:eastAsia="Times New Roman" w:hAnsi="Palatino Linotype" w:cs="Times New Roman"/>
          <w:sz w:val="24"/>
          <w:szCs w:val="24"/>
          <w:lang w:val="es-ES_tradnl" w:eastAsia="es-ES"/>
        </w:rPr>
        <w:t xml:space="preserve">Modalidad de entrega: </w:t>
      </w:r>
      <w:r w:rsidRPr="00010A76">
        <w:rPr>
          <w:rFonts w:ascii="Palatino Linotype" w:eastAsia="Times New Roman" w:hAnsi="Palatino Linotype" w:cs="Times New Roman"/>
          <w:b/>
          <w:i/>
          <w:sz w:val="24"/>
          <w:szCs w:val="24"/>
          <w:lang w:val="es-ES_tradnl" w:eastAsia="es-ES"/>
        </w:rPr>
        <w:t>A través de</w:t>
      </w:r>
      <w:r w:rsidR="00F80103" w:rsidRPr="00010A76">
        <w:rPr>
          <w:rFonts w:ascii="Palatino Linotype" w:eastAsia="Times New Roman" w:hAnsi="Palatino Linotype" w:cs="Times New Roman"/>
          <w:b/>
          <w:i/>
          <w:sz w:val="24"/>
          <w:szCs w:val="24"/>
          <w:lang w:val="es-ES_tradnl" w:eastAsia="es-ES"/>
        </w:rPr>
        <w:t>l SAIMEX</w:t>
      </w:r>
    </w:p>
    <w:p w14:paraId="742E6545" w14:textId="77777777" w:rsidR="00084C5F" w:rsidRPr="00010A76" w:rsidRDefault="00084C5F" w:rsidP="00084C5F">
      <w:pPr>
        <w:tabs>
          <w:tab w:val="left" w:pos="5647"/>
        </w:tabs>
        <w:spacing w:after="0" w:line="360" w:lineRule="auto"/>
        <w:ind w:right="850"/>
        <w:jc w:val="both"/>
        <w:rPr>
          <w:rFonts w:ascii="Palatino Linotype" w:hAnsi="Palatino Linotype"/>
          <w:color w:val="000000"/>
          <w:sz w:val="24"/>
          <w:szCs w:val="24"/>
          <w:lang w:val="es-ES_tradnl"/>
        </w:rPr>
      </w:pPr>
    </w:p>
    <w:p w14:paraId="32F00160" w14:textId="77777777" w:rsidR="00084C5F" w:rsidRPr="00010A76" w:rsidRDefault="00084C5F" w:rsidP="00084C5F">
      <w:pPr>
        <w:pBdr>
          <w:top w:val="nil"/>
          <w:left w:val="nil"/>
          <w:bottom w:val="nil"/>
          <w:right w:val="nil"/>
          <w:between w:val="nil"/>
        </w:pBdr>
        <w:spacing w:after="0" w:line="360" w:lineRule="auto"/>
        <w:contextualSpacing/>
        <w:jc w:val="both"/>
        <w:rPr>
          <w:rFonts w:ascii="Palatino Linotype" w:eastAsia="Calibri" w:hAnsi="Palatino Linotype" w:cs="Arial"/>
          <w:sz w:val="24"/>
          <w:szCs w:val="24"/>
          <w:lang w:eastAsia="es-MX"/>
        </w:rPr>
      </w:pPr>
      <w:r w:rsidRPr="00010A76">
        <w:rPr>
          <w:rFonts w:ascii="Palatino Linotype" w:hAnsi="Palatino Linotype" w:cs="Arial"/>
          <w:b/>
          <w:sz w:val="28"/>
          <w:szCs w:val="24"/>
        </w:rPr>
        <w:lastRenderedPageBreak/>
        <w:t>SEGUNDO</w:t>
      </w:r>
      <w:r w:rsidRPr="00010A76">
        <w:rPr>
          <w:rFonts w:ascii="Palatino Linotype" w:hAnsi="Palatino Linotype" w:cs="Arial"/>
          <w:b/>
          <w:sz w:val="24"/>
          <w:szCs w:val="24"/>
        </w:rPr>
        <w:t xml:space="preserve">. </w:t>
      </w:r>
      <w:r w:rsidRPr="00010A76">
        <w:rPr>
          <w:rFonts w:ascii="Palatino Linotype" w:eastAsia="Calibri" w:hAnsi="Palatino Linotype" w:cs="Arial"/>
          <w:sz w:val="24"/>
          <w:szCs w:val="24"/>
          <w:lang w:eastAsia="es-MX"/>
        </w:rPr>
        <w:t xml:space="preserve">Como se advierte de las constancias que integran el expediente electrónico, aperturado con motivo del ingreso de la solicitud, en fecha ocho de febrero de dos mil veintitrés, el </w:t>
      </w:r>
      <w:r w:rsidRPr="00010A76">
        <w:rPr>
          <w:rFonts w:ascii="Palatino Linotype" w:eastAsia="Calibri" w:hAnsi="Palatino Linotype" w:cs="Arial"/>
          <w:b/>
          <w:sz w:val="24"/>
          <w:szCs w:val="24"/>
          <w:lang w:eastAsia="es-MX"/>
        </w:rPr>
        <w:t>Sujeto Obligado</w:t>
      </w:r>
      <w:r w:rsidRPr="00010A76">
        <w:rPr>
          <w:rFonts w:ascii="Palatino Linotype" w:eastAsia="Calibri" w:hAnsi="Palatino Linotype" w:cs="Arial"/>
          <w:sz w:val="24"/>
          <w:szCs w:val="24"/>
          <w:lang w:eastAsia="es-MX"/>
        </w:rPr>
        <w:t xml:space="preserve"> hizo entrega al </w:t>
      </w:r>
      <w:r w:rsidRPr="00010A76">
        <w:rPr>
          <w:rFonts w:ascii="Palatino Linotype" w:eastAsia="Calibri" w:hAnsi="Palatino Linotype" w:cs="Arial"/>
          <w:b/>
          <w:sz w:val="24"/>
          <w:szCs w:val="24"/>
          <w:lang w:eastAsia="es-MX"/>
        </w:rPr>
        <w:t>Recurrente</w:t>
      </w:r>
      <w:r w:rsidRPr="00010A76">
        <w:rPr>
          <w:rFonts w:ascii="Palatino Linotype" w:eastAsia="Calibri" w:hAnsi="Palatino Linotype" w:cs="Arial"/>
          <w:sz w:val="24"/>
          <w:szCs w:val="24"/>
          <w:lang w:eastAsia="es-MX"/>
        </w:rPr>
        <w:t xml:space="preserve"> de la respuesta emitida a la solicitud de información, en los términos siguientes:</w:t>
      </w:r>
    </w:p>
    <w:p w14:paraId="3C719CB6" w14:textId="77777777" w:rsidR="00084C5F" w:rsidRPr="00010A76" w:rsidRDefault="00084C5F" w:rsidP="00084C5F">
      <w:pPr>
        <w:spacing w:after="0" w:line="360" w:lineRule="auto"/>
        <w:jc w:val="both"/>
        <w:rPr>
          <w:rFonts w:ascii="Palatino Linotype" w:eastAsia="Calibri" w:hAnsi="Palatino Linotype" w:cs="Arial"/>
          <w:sz w:val="24"/>
          <w:szCs w:val="24"/>
          <w:lang w:eastAsia="es-MX"/>
        </w:rPr>
      </w:pPr>
    </w:p>
    <w:p w14:paraId="6D95CDFA" w14:textId="77777777" w:rsidR="00B743FD" w:rsidRPr="00010A76" w:rsidRDefault="00084C5F" w:rsidP="00B743FD">
      <w:pPr>
        <w:spacing w:after="0" w:line="240" w:lineRule="auto"/>
        <w:ind w:left="567" w:right="567"/>
        <w:jc w:val="both"/>
        <w:rPr>
          <w:rFonts w:ascii="Palatino Linotype" w:eastAsia="Times New Roman" w:hAnsi="Palatino Linotype" w:cs="Times New Roman"/>
          <w:i/>
          <w:szCs w:val="24"/>
          <w:lang w:val="es-ES_tradnl" w:eastAsia="es-ES"/>
        </w:rPr>
      </w:pPr>
      <w:r w:rsidRPr="00010A76">
        <w:rPr>
          <w:rFonts w:ascii="Palatino Linotype" w:eastAsia="Times New Roman" w:hAnsi="Palatino Linotype" w:cs="Times New Roman"/>
          <w:i/>
          <w:szCs w:val="24"/>
          <w:lang w:val="es-ES_tradnl" w:eastAsia="es-ES"/>
        </w:rPr>
        <w:t>“</w:t>
      </w:r>
      <w:r w:rsidR="00B743FD" w:rsidRPr="00010A7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0BE430" w14:textId="77777777" w:rsidR="00B743FD" w:rsidRPr="00010A76" w:rsidRDefault="00B743FD" w:rsidP="00B743FD">
      <w:pPr>
        <w:spacing w:after="0" w:line="240" w:lineRule="auto"/>
        <w:ind w:left="567" w:right="567"/>
        <w:jc w:val="both"/>
        <w:rPr>
          <w:rFonts w:ascii="Palatino Linotype" w:eastAsia="Times New Roman" w:hAnsi="Palatino Linotype" w:cs="Times New Roman"/>
          <w:i/>
          <w:szCs w:val="24"/>
          <w:lang w:val="es-ES_tradnl" w:eastAsia="es-ES"/>
        </w:rPr>
      </w:pPr>
    </w:p>
    <w:p w14:paraId="0E3DBC5D" w14:textId="77777777" w:rsidR="00084C5F" w:rsidRPr="00010A76" w:rsidRDefault="00B743FD" w:rsidP="00B743FD">
      <w:pPr>
        <w:spacing w:after="0" w:line="240" w:lineRule="auto"/>
        <w:ind w:left="567" w:right="567"/>
        <w:jc w:val="both"/>
        <w:rPr>
          <w:rFonts w:ascii="Palatino Linotype" w:eastAsia="Times New Roman" w:hAnsi="Palatino Linotype" w:cs="Times New Roman"/>
          <w:szCs w:val="24"/>
          <w:lang w:val="es-ES_tradnl" w:eastAsia="es-ES"/>
        </w:rPr>
      </w:pPr>
      <w:r w:rsidRPr="00010A76">
        <w:rPr>
          <w:rFonts w:ascii="Palatino Linotype" w:eastAsia="Times New Roman" w:hAnsi="Palatino Linotype" w:cs="Times New Roman"/>
          <w:i/>
          <w:szCs w:val="24"/>
          <w:lang w:val="es-ES_tradnl" w:eastAsia="es-ES"/>
        </w:rPr>
        <w:t>POR MEDIO DEL PRESENTE Y EN ATENCIÓN. A SU SOLICITUD QUE A LA LETRA DICE: COSTO TOTAL DEL</w:t>
      </w:r>
      <w:proofErr w:type="gramStart"/>
      <w:r w:rsidRPr="00010A76">
        <w:rPr>
          <w:rFonts w:ascii="Palatino Linotype" w:eastAsia="Times New Roman" w:hAnsi="Palatino Linotype" w:cs="Times New Roman"/>
          <w:i/>
          <w:szCs w:val="24"/>
          <w:lang w:val="es-ES_tradnl" w:eastAsia="es-ES"/>
        </w:rPr>
        <w:t>,EVENTO</w:t>
      </w:r>
      <w:proofErr w:type="gramEnd"/>
      <w:r w:rsidRPr="00010A76">
        <w:rPr>
          <w:rFonts w:ascii="Palatino Linotype" w:eastAsia="Times New Roman" w:hAnsi="Palatino Linotype" w:cs="Times New Roman"/>
          <w:i/>
          <w:szCs w:val="24"/>
          <w:lang w:val="es-ES_tradnl" w:eastAsia="es-ES"/>
        </w:rPr>
        <w:t xml:space="preserve"> DE PRIMER INFORME DE GOBIERNO DE ACTIVIDADES DEL AYUNTAMIENTO DE TEPETLIXPA ) COSTO TOTAL CON COPIAS DE FACTURAS. Derivado de su petición, remito facturas de la información solicitada la cual adjunto el archivo en formato </w:t>
      </w:r>
      <w:proofErr w:type="spellStart"/>
      <w:r w:rsidRPr="00010A76">
        <w:rPr>
          <w:rFonts w:ascii="Palatino Linotype" w:eastAsia="Times New Roman" w:hAnsi="Palatino Linotype" w:cs="Times New Roman"/>
          <w:i/>
          <w:szCs w:val="24"/>
          <w:lang w:val="es-ES_tradnl" w:eastAsia="es-ES"/>
        </w:rPr>
        <w:t>pdf</w:t>
      </w:r>
      <w:proofErr w:type="spellEnd"/>
      <w:r w:rsidRPr="00010A76">
        <w:rPr>
          <w:rFonts w:ascii="Palatino Linotype" w:eastAsia="Times New Roman" w:hAnsi="Palatino Linotype" w:cs="Times New Roman"/>
          <w:i/>
          <w:szCs w:val="24"/>
          <w:lang w:val="es-ES_tradnl" w:eastAsia="es-ES"/>
        </w:rPr>
        <w:t>, para dar cumplimiento con lo requerido</w:t>
      </w:r>
      <w:r w:rsidR="00084C5F" w:rsidRPr="00010A76">
        <w:rPr>
          <w:rFonts w:ascii="Palatino Linotype" w:eastAsia="Times New Roman" w:hAnsi="Palatino Linotype" w:cs="Times New Roman"/>
          <w:i/>
          <w:szCs w:val="24"/>
          <w:lang w:val="es-ES_tradnl" w:eastAsia="es-ES"/>
        </w:rPr>
        <w:t>”</w:t>
      </w:r>
    </w:p>
    <w:p w14:paraId="716FF4BA" w14:textId="77777777" w:rsidR="00084C5F" w:rsidRPr="00010A76" w:rsidRDefault="00084C5F" w:rsidP="00084C5F">
      <w:pPr>
        <w:spacing w:after="0" w:line="360" w:lineRule="auto"/>
        <w:jc w:val="both"/>
        <w:rPr>
          <w:rFonts w:ascii="Palatino Linotype" w:eastAsia="Calibri" w:hAnsi="Palatino Linotype" w:cs="Arial"/>
          <w:sz w:val="24"/>
          <w:szCs w:val="28"/>
          <w:lang w:eastAsia="es-MX"/>
        </w:rPr>
      </w:pPr>
    </w:p>
    <w:p w14:paraId="6F0C8591" w14:textId="77777777" w:rsidR="00396830" w:rsidRPr="00010A76" w:rsidRDefault="00396830" w:rsidP="00084C5F">
      <w:pPr>
        <w:spacing w:after="0" w:line="360" w:lineRule="auto"/>
        <w:jc w:val="both"/>
        <w:rPr>
          <w:rFonts w:ascii="Palatino Linotype" w:eastAsia="Calibri" w:hAnsi="Palatino Linotype" w:cs="Arial"/>
          <w:sz w:val="24"/>
          <w:szCs w:val="28"/>
          <w:lang w:eastAsia="es-MX"/>
        </w:rPr>
      </w:pPr>
    </w:p>
    <w:p w14:paraId="4E6D1192" w14:textId="77777777" w:rsidR="00084C5F" w:rsidRPr="00010A76" w:rsidRDefault="00084C5F" w:rsidP="00084C5F">
      <w:pPr>
        <w:spacing w:after="0" w:line="360" w:lineRule="auto"/>
        <w:jc w:val="both"/>
        <w:rPr>
          <w:rFonts w:ascii="Palatino Linotype" w:hAnsi="Palatino Linotype" w:cs="Arial"/>
          <w:sz w:val="24"/>
          <w:szCs w:val="24"/>
        </w:rPr>
      </w:pPr>
      <w:r w:rsidRPr="00010A76">
        <w:rPr>
          <w:rFonts w:ascii="Palatino Linotype" w:hAnsi="Palatino Linotype" w:cs="Arial"/>
          <w:b/>
          <w:sz w:val="28"/>
          <w:szCs w:val="24"/>
        </w:rPr>
        <w:t>TERCERO</w:t>
      </w:r>
      <w:r w:rsidRPr="00010A76">
        <w:rPr>
          <w:rFonts w:ascii="Palatino Linotype" w:hAnsi="Palatino Linotype" w:cs="Arial"/>
          <w:b/>
          <w:sz w:val="24"/>
          <w:szCs w:val="24"/>
        </w:rPr>
        <w:t xml:space="preserve">. </w:t>
      </w:r>
      <w:r w:rsidRPr="00010A76">
        <w:rPr>
          <w:rFonts w:ascii="Palatino Linotype" w:hAnsi="Palatino Linotype" w:cs="Arial"/>
          <w:sz w:val="24"/>
          <w:szCs w:val="24"/>
        </w:rPr>
        <w:t xml:space="preserve">Inconforme ante la respuesta por parte del </w:t>
      </w:r>
      <w:r w:rsidRPr="00010A76">
        <w:rPr>
          <w:rFonts w:ascii="Palatino Linotype" w:hAnsi="Palatino Linotype" w:cs="Arial"/>
          <w:b/>
          <w:sz w:val="24"/>
          <w:szCs w:val="24"/>
        </w:rPr>
        <w:t>Sujeto Obligado</w:t>
      </w:r>
      <w:r w:rsidRPr="00010A76">
        <w:rPr>
          <w:rFonts w:ascii="Palatino Linotype" w:hAnsi="Palatino Linotype" w:cs="Arial"/>
          <w:sz w:val="24"/>
          <w:szCs w:val="24"/>
        </w:rPr>
        <w:t xml:space="preserve">, el ahora </w:t>
      </w:r>
      <w:r w:rsidRPr="00010A76">
        <w:rPr>
          <w:rFonts w:ascii="Palatino Linotype" w:hAnsi="Palatino Linotype" w:cs="Arial"/>
          <w:b/>
          <w:sz w:val="24"/>
          <w:szCs w:val="24"/>
        </w:rPr>
        <w:t>Recurrente</w:t>
      </w:r>
      <w:r w:rsidRPr="00010A76">
        <w:rPr>
          <w:rFonts w:ascii="Palatino Linotype" w:hAnsi="Palatino Linotype" w:cs="Arial"/>
          <w:sz w:val="24"/>
          <w:szCs w:val="24"/>
        </w:rPr>
        <w:t xml:space="preserve"> en fecha </w:t>
      </w:r>
      <w:r w:rsidR="00B743FD" w:rsidRPr="00010A76">
        <w:rPr>
          <w:rFonts w:ascii="Palatino Linotype" w:hAnsi="Palatino Linotype" w:cs="Arial"/>
          <w:sz w:val="24"/>
          <w:szCs w:val="24"/>
        </w:rPr>
        <w:t xml:space="preserve">veintidós </w:t>
      </w:r>
      <w:r w:rsidRPr="00010A76">
        <w:rPr>
          <w:rFonts w:ascii="Palatino Linotype" w:hAnsi="Palatino Linotype" w:cs="Arial"/>
          <w:sz w:val="24"/>
          <w:szCs w:val="24"/>
        </w:rPr>
        <w:t>de febrero de dos mil veintitrés, interpuso recurso de revisión, que fue registrado</w:t>
      </w:r>
      <w:r w:rsidRPr="00010A76">
        <w:rPr>
          <w:rFonts w:ascii="Palatino Linotype" w:hAnsi="Palatino Linotype" w:cs="Arial"/>
          <w:b/>
          <w:sz w:val="24"/>
          <w:szCs w:val="24"/>
        </w:rPr>
        <w:t xml:space="preserve"> </w:t>
      </w:r>
      <w:r w:rsidRPr="00010A76">
        <w:rPr>
          <w:rFonts w:ascii="Palatino Linotype" w:hAnsi="Palatino Linotype" w:cs="Arial"/>
          <w:sz w:val="24"/>
          <w:szCs w:val="24"/>
        </w:rPr>
        <w:t xml:space="preserve">en el sistema electrónico con número de expediente </w:t>
      </w:r>
      <w:r w:rsidRPr="00010A76">
        <w:rPr>
          <w:rFonts w:ascii="Palatino Linotype" w:hAnsi="Palatino Linotype" w:cs="Arial"/>
          <w:b/>
          <w:bCs/>
          <w:sz w:val="24"/>
          <w:szCs w:val="24"/>
          <w:lang w:eastAsia="es-MX"/>
        </w:rPr>
        <w:t>0</w:t>
      </w:r>
      <w:r w:rsidR="00B743FD" w:rsidRPr="00010A76">
        <w:rPr>
          <w:rFonts w:ascii="Palatino Linotype" w:hAnsi="Palatino Linotype" w:cs="Arial"/>
          <w:b/>
          <w:bCs/>
          <w:sz w:val="24"/>
          <w:szCs w:val="24"/>
          <w:lang w:eastAsia="es-MX"/>
        </w:rPr>
        <w:t>1065</w:t>
      </w:r>
      <w:r w:rsidRPr="00010A76">
        <w:rPr>
          <w:rFonts w:ascii="Palatino Linotype" w:hAnsi="Palatino Linotype" w:cs="Arial"/>
          <w:b/>
          <w:bCs/>
          <w:sz w:val="24"/>
          <w:szCs w:val="24"/>
          <w:lang w:eastAsia="es-MX"/>
        </w:rPr>
        <w:t>/INFOEM/IP/RR/2023</w:t>
      </w:r>
      <w:r w:rsidRPr="00010A76">
        <w:rPr>
          <w:rFonts w:ascii="Palatino Linotype" w:hAnsi="Palatino Linotype" w:cs="Arial"/>
          <w:sz w:val="24"/>
          <w:szCs w:val="24"/>
        </w:rPr>
        <w:t>, aduciendo como acto impugnado</w:t>
      </w:r>
      <w:r w:rsidR="00B743FD" w:rsidRPr="00010A76">
        <w:rPr>
          <w:rFonts w:ascii="Palatino Linotype" w:hAnsi="Palatino Linotype" w:cs="Arial"/>
          <w:sz w:val="24"/>
          <w:szCs w:val="24"/>
        </w:rPr>
        <w:t xml:space="preserve"> y razones p motivos de inconformidad</w:t>
      </w:r>
      <w:r w:rsidRPr="00010A76">
        <w:rPr>
          <w:rFonts w:ascii="Palatino Linotype" w:hAnsi="Palatino Linotype" w:cs="Arial"/>
          <w:sz w:val="24"/>
          <w:szCs w:val="24"/>
        </w:rPr>
        <w:t>, lo</w:t>
      </w:r>
      <w:r w:rsidR="00B743FD" w:rsidRPr="00010A76">
        <w:rPr>
          <w:rFonts w:ascii="Palatino Linotype" w:hAnsi="Palatino Linotype" w:cs="Arial"/>
          <w:sz w:val="24"/>
          <w:szCs w:val="24"/>
        </w:rPr>
        <w:t>s</w:t>
      </w:r>
      <w:r w:rsidRPr="00010A76">
        <w:rPr>
          <w:rFonts w:ascii="Palatino Linotype" w:hAnsi="Palatino Linotype" w:cs="Arial"/>
          <w:sz w:val="24"/>
          <w:szCs w:val="24"/>
        </w:rPr>
        <w:t xml:space="preserve"> siguiente</w:t>
      </w:r>
      <w:r w:rsidR="00B743FD" w:rsidRPr="00010A76">
        <w:rPr>
          <w:rFonts w:ascii="Palatino Linotype" w:hAnsi="Palatino Linotype" w:cs="Arial"/>
          <w:sz w:val="24"/>
          <w:szCs w:val="24"/>
        </w:rPr>
        <w:t>s</w:t>
      </w:r>
      <w:r w:rsidRPr="00010A76">
        <w:rPr>
          <w:rFonts w:ascii="Palatino Linotype" w:hAnsi="Palatino Linotype" w:cs="Arial"/>
          <w:sz w:val="24"/>
          <w:szCs w:val="24"/>
        </w:rPr>
        <w:t>:</w:t>
      </w:r>
    </w:p>
    <w:p w14:paraId="4947FEA8" w14:textId="77777777" w:rsidR="00084C5F" w:rsidRPr="00010A76" w:rsidRDefault="00084C5F" w:rsidP="00084C5F">
      <w:pPr>
        <w:spacing w:after="0" w:line="360" w:lineRule="auto"/>
        <w:jc w:val="both"/>
        <w:rPr>
          <w:rFonts w:ascii="Palatino Linotype" w:hAnsi="Palatino Linotype" w:cs="Arial"/>
          <w:b/>
          <w:sz w:val="24"/>
          <w:szCs w:val="24"/>
        </w:rPr>
      </w:pPr>
    </w:p>
    <w:p w14:paraId="6A014D18" w14:textId="77777777" w:rsidR="00084C5F" w:rsidRPr="00010A76" w:rsidRDefault="00084C5F" w:rsidP="00084C5F">
      <w:pPr>
        <w:pStyle w:val="Prrafodelista"/>
        <w:spacing w:line="360" w:lineRule="auto"/>
        <w:ind w:left="0"/>
        <w:jc w:val="both"/>
        <w:rPr>
          <w:rFonts w:ascii="Palatino Linotype" w:hAnsi="Palatino Linotype" w:cs="Arial"/>
          <w:b/>
        </w:rPr>
      </w:pPr>
      <w:r w:rsidRPr="00010A76">
        <w:rPr>
          <w:rFonts w:ascii="Palatino Linotype" w:hAnsi="Palatino Linotype" w:cs="Arial"/>
          <w:b/>
        </w:rPr>
        <w:t>Acto Impugnado:</w:t>
      </w:r>
    </w:p>
    <w:p w14:paraId="4EF7784C" w14:textId="77777777" w:rsidR="00084C5F" w:rsidRPr="00010A76" w:rsidRDefault="00084C5F" w:rsidP="00084C5F">
      <w:pPr>
        <w:pStyle w:val="Prrafodelista"/>
        <w:spacing w:line="360" w:lineRule="auto"/>
        <w:ind w:left="0"/>
        <w:jc w:val="both"/>
        <w:rPr>
          <w:rFonts w:ascii="Palatino Linotype" w:hAnsi="Palatino Linotype" w:cs="Arial"/>
          <w:b/>
        </w:rPr>
      </w:pPr>
    </w:p>
    <w:p w14:paraId="06CEC8A4" w14:textId="77777777" w:rsidR="00084C5F" w:rsidRPr="00010A76" w:rsidRDefault="00084C5F" w:rsidP="00084C5F">
      <w:pPr>
        <w:spacing w:after="0" w:line="240" w:lineRule="auto"/>
        <w:ind w:left="567" w:right="567"/>
        <w:jc w:val="both"/>
        <w:rPr>
          <w:rFonts w:ascii="Palatino Linotype" w:hAnsi="Palatino Linotype"/>
          <w:i/>
          <w:color w:val="000000"/>
        </w:rPr>
      </w:pPr>
      <w:r w:rsidRPr="00010A76">
        <w:rPr>
          <w:rFonts w:ascii="Palatino Linotype" w:hAnsi="Palatino Linotype" w:cs="Arial"/>
          <w:i/>
        </w:rPr>
        <w:t>“</w:t>
      </w:r>
      <w:r w:rsidR="00B743FD" w:rsidRPr="00010A76">
        <w:rPr>
          <w:rFonts w:ascii="Palatino Linotype" w:hAnsi="Palatino Linotype"/>
          <w:i/>
          <w:color w:val="000000"/>
        </w:rPr>
        <w:t>NO DIERON NADA DE INFORMACION SOLO UNA CARATULA DE UN OFICIO DONDE DABAN RESPUESTA PERO NADA DE INFORMACION</w:t>
      </w:r>
      <w:r w:rsidRPr="00010A76">
        <w:rPr>
          <w:rFonts w:ascii="Palatino Linotype" w:hAnsi="Palatino Linotype"/>
          <w:i/>
          <w:color w:val="000000"/>
        </w:rPr>
        <w:t>” (sic)</w:t>
      </w:r>
    </w:p>
    <w:p w14:paraId="45F3E490" w14:textId="77777777" w:rsidR="00084C5F" w:rsidRPr="00010A76" w:rsidRDefault="00084C5F" w:rsidP="00084C5F">
      <w:pPr>
        <w:spacing w:after="0" w:line="360" w:lineRule="auto"/>
        <w:jc w:val="both"/>
        <w:rPr>
          <w:rFonts w:ascii="Palatino Linotype" w:hAnsi="Palatino Linotype" w:cs="Arial"/>
          <w:sz w:val="24"/>
          <w:szCs w:val="24"/>
        </w:rPr>
      </w:pPr>
    </w:p>
    <w:p w14:paraId="38944FDD" w14:textId="77777777" w:rsidR="00B743FD" w:rsidRPr="00010A76" w:rsidRDefault="00B743FD" w:rsidP="00B743FD">
      <w:pPr>
        <w:pStyle w:val="Prrafodelista"/>
        <w:spacing w:line="360" w:lineRule="auto"/>
        <w:ind w:left="0"/>
        <w:jc w:val="both"/>
        <w:rPr>
          <w:rFonts w:ascii="Palatino Linotype" w:hAnsi="Palatino Linotype" w:cs="Arial"/>
          <w:b/>
        </w:rPr>
      </w:pPr>
      <w:r w:rsidRPr="00010A76">
        <w:rPr>
          <w:rFonts w:ascii="Palatino Linotype" w:hAnsi="Palatino Linotype" w:cs="Arial"/>
          <w:b/>
        </w:rPr>
        <w:t>Razones o motivos de la inconformidad:</w:t>
      </w:r>
    </w:p>
    <w:p w14:paraId="2CC8AC2D" w14:textId="77777777" w:rsidR="00B743FD" w:rsidRPr="00010A76" w:rsidRDefault="00B743FD" w:rsidP="00B743FD">
      <w:pPr>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lastRenderedPageBreak/>
        <w:t>“NO DIERON INFORMACION SOLICITADA”</w:t>
      </w:r>
    </w:p>
    <w:p w14:paraId="2981FA7D" w14:textId="77777777" w:rsidR="00B743FD" w:rsidRPr="00010A76" w:rsidRDefault="00B743FD" w:rsidP="00084C5F">
      <w:pPr>
        <w:spacing w:after="0" w:line="360" w:lineRule="auto"/>
        <w:jc w:val="both"/>
        <w:rPr>
          <w:rFonts w:ascii="Palatino Linotype" w:hAnsi="Palatino Linotype" w:cs="Arial"/>
          <w:sz w:val="24"/>
          <w:szCs w:val="24"/>
        </w:rPr>
      </w:pPr>
    </w:p>
    <w:p w14:paraId="7A735377" w14:textId="77777777" w:rsidR="00B743FD" w:rsidRPr="00010A76" w:rsidRDefault="00B743FD" w:rsidP="00084C5F">
      <w:pPr>
        <w:spacing w:after="0" w:line="360" w:lineRule="auto"/>
        <w:jc w:val="both"/>
        <w:rPr>
          <w:rFonts w:ascii="Palatino Linotype" w:hAnsi="Palatino Linotype" w:cs="Arial"/>
          <w:sz w:val="24"/>
          <w:szCs w:val="24"/>
        </w:rPr>
      </w:pPr>
      <w:r w:rsidRPr="00010A76">
        <w:rPr>
          <w:rFonts w:ascii="Palatino Linotype" w:hAnsi="Palatino Linotype" w:cs="Arial"/>
          <w:sz w:val="24"/>
          <w:szCs w:val="24"/>
        </w:rPr>
        <w:t>Se hace constar que, el Recurrente al momento de interponer el recurso de revisión, adjunto el documento electrónico denominado “Captura de pantalla (6).</w:t>
      </w:r>
      <w:proofErr w:type="spellStart"/>
      <w:r w:rsidRPr="00010A76">
        <w:rPr>
          <w:rFonts w:ascii="Palatino Linotype" w:hAnsi="Palatino Linotype" w:cs="Arial"/>
          <w:sz w:val="24"/>
          <w:szCs w:val="24"/>
        </w:rPr>
        <w:t>png</w:t>
      </w:r>
      <w:proofErr w:type="spellEnd"/>
      <w:r w:rsidRPr="00010A76">
        <w:rPr>
          <w:rFonts w:ascii="Palatino Linotype" w:hAnsi="Palatino Linotype" w:cs="Arial"/>
          <w:sz w:val="24"/>
          <w:szCs w:val="24"/>
        </w:rPr>
        <w:t>”, consistente en imagen (captura de pantalla) de la constancia de respuesta del Sujeto Obligado.</w:t>
      </w:r>
    </w:p>
    <w:p w14:paraId="3555F611" w14:textId="77777777" w:rsidR="00B743FD" w:rsidRPr="00010A76" w:rsidRDefault="00B743FD" w:rsidP="00084C5F">
      <w:pPr>
        <w:spacing w:after="0" w:line="360" w:lineRule="auto"/>
        <w:jc w:val="both"/>
        <w:rPr>
          <w:rFonts w:ascii="Palatino Linotype" w:hAnsi="Palatino Linotype" w:cs="Arial"/>
          <w:sz w:val="24"/>
          <w:szCs w:val="24"/>
        </w:rPr>
      </w:pPr>
    </w:p>
    <w:p w14:paraId="7C737276" w14:textId="77777777" w:rsidR="00B13FF1" w:rsidRPr="00010A76" w:rsidRDefault="00B13FF1" w:rsidP="00084C5F">
      <w:pPr>
        <w:spacing w:after="0" w:line="360" w:lineRule="auto"/>
        <w:jc w:val="both"/>
        <w:rPr>
          <w:rFonts w:ascii="Palatino Linotype" w:hAnsi="Palatino Linotype" w:cs="Arial"/>
          <w:sz w:val="24"/>
          <w:szCs w:val="24"/>
        </w:rPr>
      </w:pPr>
    </w:p>
    <w:p w14:paraId="162B4A10" w14:textId="77777777" w:rsidR="00084C5F" w:rsidRPr="00010A76" w:rsidRDefault="00B743FD" w:rsidP="00084C5F">
      <w:pPr>
        <w:spacing w:after="0" w:line="360" w:lineRule="auto"/>
        <w:ind w:right="49"/>
        <w:jc w:val="both"/>
        <w:rPr>
          <w:rFonts w:ascii="Palatino Linotype" w:eastAsia="Times New Roman" w:hAnsi="Palatino Linotype" w:cs="Arial"/>
          <w:sz w:val="24"/>
          <w:szCs w:val="24"/>
          <w:lang w:val="es-ES_tradnl" w:eastAsia="es-ES"/>
        </w:rPr>
      </w:pPr>
      <w:r w:rsidRPr="00010A76">
        <w:rPr>
          <w:rFonts w:ascii="Palatino Linotype" w:eastAsia="Times New Roman" w:hAnsi="Palatino Linotype" w:cs="Arial"/>
          <w:b/>
          <w:sz w:val="28"/>
          <w:szCs w:val="28"/>
          <w:lang w:val="es-ES_tradnl" w:eastAsia="es-ES"/>
        </w:rPr>
        <w:t>CUARTO</w:t>
      </w:r>
      <w:r w:rsidRPr="00010A76">
        <w:rPr>
          <w:rFonts w:ascii="Palatino Linotype" w:eastAsia="Times New Roman" w:hAnsi="Palatino Linotype" w:cs="Arial"/>
          <w:sz w:val="24"/>
          <w:szCs w:val="24"/>
          <w:lang w:val="es-ES_tradnl" w:eastAsia="es-ES"/>
        </w:rPr>
        <w:t xml:space="preserve">. </w:t>
      </w:r>
      <w:r w:rsidR="00084C5F" w:rsidRPr="00010A76">
        <w:rPr>
          <w:rFonts w:ascii="Palatino Linotype" w:eastAsia="Times New Roman" w:hAnsi="Palatino Linotype" w:cs="Arial"/>
          <w:sz w:val="24"/>
          <w:szCs w:val="24"/>
          <w:lang w:val="es-ES_tradnl" w:eastAsia="es-ES"/>
        </w:rPr>
        <w:t>Recurso de revisión que</w:t>
      </w:r>
      <w:r w:rsidR="00084C5F" w:rsidRPr="00010A76">
        <w:rPr>
          <w:rFonts w:ascii="Palatino Linotype" w:eastAsia="Times New Roman" w:hAnsi="Palatino Linotype" w:cs="Arial"/>
          <w:sz w:val="24"/>
          <w:szCs w:val="24"/>
          <w:lang w:val="es-ES" w:eastAsia="es-ES"/>
        </w:rPr>
        <w:t xml:space="preserve"> se</w:t>
      </w:r>
      <w:r w:rsidR="00084C5F" w:rsidRPr="00010A76">
        <w:rPr>
          <w:rFonts w:ascii="Palatino Linotype" w:eastAsia="Times New Roman" w:hAnsi="Palatino Linotype" w:cs="Arial"/>
          <w:sz w:val="24"/>
          <w:szCs w:val="24"/>
          <w:lang w:val="es-ES_tradnl" w:eastAsia="es-ES"/>
        </w:rPr>
        <w:t xml:space="preserve"> envió electrónicamente al Instituto de </w:t>
      </w:r>
      <w:r w:rsidR="00084C5F" w:rsidRPr="00010A76">
        <w:rPr>
          <w:rFonts w:ascii="Palatino Linotype" w:eastAsia="Arial Unicode MS" w:hAnsi="Palatino Linotype" w:cs="Arial"/>
          <w:sz w:val="24"/>
          <w:szCs w:val="24"/>
          <w:lang w:val="es-ES" w:eastAsia="es-ES"/>
        </w:rPr>
        <w:t>Transparencia</w:t>
      </w:r>
      <w:r w:rsidR="00084C5F" w:rsidRPr="00010A7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084C5F" w:rsidRPr="00010A76">
        <w:rPr>
          <w:rFonts w:ascii="Palatino Linotype" w:eastAsia="Times New Roman" w:hAnsi="Palatino Linotype" w:cs="Times New Roman"/>
          <w:sz w:val="24"/>
          <w:szCs w:val="24"/>
          <w:lang w:val="es-ES" w:eastAsia="es-ES"/>
        </w:rPr>
        <w:t>Ley de Transparencia y Acceso a la Información Pública del Estado de México y Municipios</w:t>
      </w:r>
      <w:r w:rsidR="00084C5F" w:rsidRPr="00010A76">
        <w:rPr>
          <w:rFonts w:ascii="Palatino Linotype" w:eastAsia="Times New Roman" w:hAnsi="Palatino Linotype" w:cs="Arial"/>
          <w:sz w:val="24"/>
          <w:szCs w:val="24"/>
          <w:lang w:val="es-ES_tradnl" w:eastAsia="es-ES"/>
        </w:rPr>
        <w:t>, se turnó a través del</w:t>
      </w:r>
      <w:r w:rsidR="00084C5F" w:rsidRPr="00010A76">
        <w:rPr>
          <w:rFonts w:ascii="Palatino Linotype" w:eastAsia="Arial Unicode MS" w:hAnsi="Palatino Linotype" w:cs="Arial"/>
          <w:sz w:val="24"/>
          <w:szCs w:val="24"/>
          <w:lang w:val="es-ES_tradnl" w:eastAsia="es-ES"/>
        </w:rPr>
        <w:t xml:space="preserve"> </w:t>
      </w:r>
      <w:r w:rsidR="00084C5F" w:rsidRPr="00010A76">
        <w:rPr>
          <w:rFonts w:ascii="Palatino Linotype" w:eastAsia="Arial Unicode MS" w:hAnsi="Palatino Linotype" w:cs="Arial"/>
          <w:b/>
          <w:sz w:val="24"/>
          <w:szCs w:val="24"/>
          <w:lang w:val="es-ES_tradnl" w:eastAsia="es-ES"/>
        </w:rPr>
        <w:t>SAIMEX</w:t>
      </w:r>
      <w:r w:rsidR="00084C5F" w:rsidRPr="00010A76">
        <w:rPr>
          <w:rFonts w:ascii="Palatino Linotype" w:eastAsia="Times New Roman" w:hAnsi="Palatino Linotype" w:cs="Times New Roman"/>
          <w:sz w:val="24"/>
          <w:szCs w:val="24"/>
          <w:lang w:val="es-ES" w:eastAsia="es-ES"/>
        </w:rPr>
        <w:t xml:space="preserve"> al </w:t>
      </w:r>
      <w:r w:rsidR="00084C5F" w:rsidRPr="00010A76">
        <w:rPr>
          <w:rFonts w:ascii="Palatino Linotype" w:eastAsia="Times New Roman" w:hAnsi="Palatino Linotype" w:cs="Arial"/>
          <w:sz w:val="24"/>
          <w:szCs w:val="24"/>
          <w:lang w:val="es-ES_tradnl" w:eastAsia="es-ES"/>
        </w:rPr>
        <w:t xml:space="preserve">Comisionado Presidente </w:t>
      </w:r>
      <w:r w:rsidR="00084C5F" w:rsidRPr="00010A76">
        <w:rPr>
          <w:rFonts w:ascii="Palatino Linotype" w:eastAsia="Times New Roman" w:hAnsi="Palatino Linotype" w:cs="Arial"/>
          <w:b/>
          <w:sz w:val="24"/>
          <w:szCs w:val="24"/>
          <w:lang w:val="es-ES_tradnl" w:eastAsia="es-ES"/>
        </w:rPr>
        <w:t xml:space="preserve">JOSÉ MARTÍNEZ VILCHIS, </w:t>
      </w:r>
      <w:r w:rsidR="00084C5F" w:rsidRPr="00010A76">
        <w:rPr>
          <w:rFonts w:ascii="Palatino Linotype" w:eastAsia="Times New Roman" w:hAnsi="Palatino Linotype" w:cs="Arial"/>
          <w:sz w:val="24"/>
          <w:szCs w:val="24"/>
          <w:lang w:val="es-ES_tradnl" w:eastAsia="es-ES"/>
        </w:rPr>
        <w:t>a efecto de que decretara su admisión o desechamiento.</w:t>
      </w:r>
    </w:p>
    <w:p w14:paraId="15C51451" w14:textId="77777777" w:rsidR="00084C5F" w:rsidRPr="00010A76" w:rsidRDefault="00084C5F" w:rsidP="00084C5F">
      <w:pPr>
        <w:spacing w:after="0" w:line="360" w:lineRule="auto"/>
        <w:ind w:right="49"/>
        <w:jc w:val="both"/>
        <w:rPr>
          <w:rFonts w:ascii="Palatino Linotype" w:eastAsia="Times New Roman" w:hAnsi="Palatino Linotype" w:cs="Arial"/>
          <w:sz w:val="24"/>
          <w:szCs w:val="24"/>
          <w:lang w:val="es-ES_tradnl" w:eastAsia="es-ES"/>
        </w:rPr>
      </w:pPr>
    </w:p>
    <w:p w14:paraId="44A92C5C" w14:textId="77777777" w:rsidR="00084C5F" w:rsidRPr="00010A76" w:rsidRDefault="00084C5F" w:rsidP="00084C5F">
      <w:pPr>
        <w:spacing w:after="0" w:line="360" w:lineRule="auto"/>
        <w:ind w:right="49"/>
        <w:jc w:val="both"/>
        <w:rPr>
          <w:rFonts w:ascii="Palatino Linotype" w:eastAsia="Times New Roman" w:hAnsi="Palatino Linotype" w:cs="Arial"/>
          <w:sz w:val="24"/>
          <w:szCs w:val="24"/>
          <w:lang w:val="es-ES" w:eastAsia="es-ES"/>
        </w:rPr>
      </w:pPr>
      <w:r w:rsidRPr="00010A76">
        <w:rPr>
          <w:rFonts w:ascii="Palatino Linotype" w:eastAsia="Times New Roman" w:hAnsi="Palatino Linotype" w:cs="Arial"/>
          <w:sz w:val="24"/>
          <w:szCs w:val="24"/>
          <w:lang w:val="es-ES_tradnl" w:eastAsia="es-ES"/>
        </w:rPr>
        <w:t>E</w:t>
      </w:r>
      <w:r w:rsidRPr="00010A76">
        <w:rPr>
          <w:rFonts w:ascii="Palatino Linotype" w:eastAsia="Times New Roman" w:hAnsi="Palatino Linotype" w:cs="Arial"/>
          <w:sz w:val="24"/>
          <w:szCs w:val="24"/>
          <w:lang w:val="es-ES" w:eastAsia="es-ES"/>
        </w:rPr>
        <w:t xml:space="preserve">n fecha </w:t>
      </w:r>
      <w:r w:rsidR="00B743FD" w:rsidRPr="00010A76">
        <w:rPr>
          <w:rFonts w:ascii="Palatino Linotype" w:eastAsia="Times New Roman" w:hAnsi="Palatino Linotype" w:cs="Arial"/>
          <w:sz w:val="24"/>
          <w:szCs w:val="24"/>
          <w:lang w:val="es-ES" w:eastAsia="es-ES"/>
        </w:rPr>
        <w:t xml:space="preserve">veintisiete </w:t>
      </w:r>
      <w:r w:rsidRPr="00010A76">
        <w:rPr>
          <w:rFonts w:ascii="Palatino Linotype" w:eastAsia="Times New Roman" w:hAnsi="Palatino Linotype" w:cs="Arial"/>
          <w:sz w:val="24"/>
          <w:szCs w:val="24"/>
          <w:lang w:val="es-ES" w:eastAsia="es-ES"/>
        </w:rPr>
        <w:t xml:space="preserve">de febrero de dos mil veintitrés, atento a lo dispuesto en el </w:t>
      </w:r>
      <w:r w:rsidRPr="00010A76">
        <w:rPr>
          <w:rFonts w:ascii="Palatino Linotype" w:eastAsia="Times New Roman" w:hAnsi="Palatino Linotype" w:cs="Arial"/>
          <w:sz w:val="24"/>
          <w:szCs w:val="24"/>
          <w:lang w:val="es-ES_tradnl" w:eastAsia="es-ES"/>
        </w:rPr>
        <w:t>artículo</w:t>
      </w:r>
      <w:r w:rsidRPr="00010A76">
        <w:rPr>
          <w:rFonts w:ascii="Palatino Linotype" w:eastAsia="Times New Roman" w:hAnsi="Palatino Linotype" w:cs="Arial"/>
          <w:sz w:val="24"/>
          <w:szCs w:val="24"/>
          <w:lang w:val="es-ES" w:eastAsia="es-ES"/>
        </w:rPr>
        <w:t xml:space="preserve"> 185 fracciones I, II y IV </w:t>
      </w:r>
      <w:r w:rsidRPr="00010A76">
        <w:rPr>
          <w:rFonts w:ascii="Palatino Linotype" w:eastAsia="Times New Roman" w:hAnsi="Palatino Linotype" w:cs="Arial"/>
          <w:sz w:val="24"/>
          <w:szCs w:val="24"/>
          <w:lang w:val="es-ES_tradnl" w:eastAsia="es-ES"/>
        </w:rPr>
        <w:t xml:space="preserve">de la </w:t>
      </w:r>
      <w:r w:rsidRPr="00010A7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010A76">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0AE697C6" w14:textId="77777777" w:rsidR="00396830" w:rsidRPr="00010A76" w:rsidRDefault="00396830" w:rsidP="00084C5F">
      <w:pPr>
        <w:spacing w:after="0" w:line="360" w:lineRule="auto"/>
        <w:jc w:val="both"/>
        <w:rPr>
          <w:rFonts w:ascii="Palatino Linotype" w:hAnsi="Palatino Linotype" w:cs="Arial"/>
          <w:sz w:val="24"/>
          <w:szCs w:val="28"/>
          <w:lang w:val="es-ES"/>
        </w:rPr>
      </w:pPr>
    </w:p>
    <w:p w14:paraId="73FB0FB3" w14:textId="77777777" w:rsidR="00B13FF1" w:rsidRPr="00010A76" w:rsidRDefault="00B13FF1" w:rsidP="00084C5F">
      <w:pPr>
        <w:spacing w:after="0" w:line="360" w:lineRule="auto"/>
        <w:jc w:val="both"/>
        <w:rPr>
          <w:rFonts w:ascii="Palatino Linotype" w:hAnsi="Palatino Linotype" w:cs="Arial"/>
          <w:sz w:val="24"/>
          <w:szCs w:val="28"/>
          <w:lang w:val="es-ES"/>
        </w:rPr>
      </w:pPr>
    </w:p>
    <w:p w14:paraId="4B59395B" w14:textId="77777777" w:rsidR="00084C5F" w:rsidRPr="00010A76" w:rsidRDefault="00084C5F" w:rsidP="00084C5F">
      <w:pPr>
        <w:spacing w:after="0" w:line="360" w:lineRule="auto"/>
        <w:jc w:val="both"/>
        <w:rPr>
          <w:rFonts w:ascii="Palatino Linotype" w:eastAsia="Calibri" w:hAnsi="Palatino Linotype" w:cs="Arial"/>
          <w:sz w:val="24"/>
          <w:szCs w:val="24"/>
          <w:lang w:eastAsia="es-MX"/>
        </w:rPr>
      </w:pPr>
      <w:r w:rsidRPr="00010A76">
        <w:rPr>
          <w:rFonts w:ascii="Palatino Linotype" w:hAnsi="Palatino Linotype" w:cs="Arial"/>
          <w:b/>
          <w:sz w:val="28"/>
          <w:szCs w:val="28"/>
        </w:rPr>
        <w:lastRenderedPageBreak/>
        <w:t xml:space="preserve">QUINTO. </w:t>
      </w:r>
      <w:r w:rsidRPr="00010A76">
        <w:rPr>
          <w:rFonts w:ascii="Palatino Linotype" w:eastAsia="Calibri" w:hAnsi="Palatino Linotype" w:cs="Arial"/>
          <w:sz w:val="24"/>
          <w:szCs w:val="24"/>
          <w:lang w:eastAsia="es-MX"/>
        </w:rPr>
        <w:t>Una vez abierta la etapa de instrucción,</w:t>
      </w:r>
      <w:r w:rsidR="00B743FD" w:rsidRPr="00010A76">
        <w:rPr>
          <w:rFonts w:ascii="Palatino Linotype" w:eastAsia="Calibri" w:hAnsi="Palatino Linotype" w:cs="Arial"/>
          <w:sz w:val="24"/>
          <w:szCs w:val="24"/>
          <w:lang w:eastAsia="es-MX"/>
        </w:rPr>
        <w:t xml:space="preserve"> de las constancias que integran el expediente</w:t>
      </w:r>
      <w:r w:rsidRPr="00010A76">
        <w:rPr>
          <w:rFonts w:ascii="Palatino Linotype" w:eastAsia="Calibri" w:hAnsi="Palatino Linotype" w:cs="Arial"/>
          <w:sz w:val="24"/>
          <w:szCs w:val="24"/>
          <w:lang w:eastAsia="es-MX"/>
        </w:rPr>
        <w:t xml:space="preserve"> </w:t>
      </w:r>
      <w:r w:rsidR="00B743FD" w:rsidRPr="00010A76">
        <w:rPr>
          <w:rFonts w:ascii="Palatino Linotype" w:eastAsia="Calibri" w:hAnsi="Palatino Linotype" w:cs="Arial"/>
          <w:sz w:val="24"/>
          <w:szCs w:val="24"/>
          <w:lang w:eastAsia="es-MX"/>
        </w:rPr>
        <w:t xml:space="preserve">electrónico, </w:t>
      </w:r>
      <w:r w:rsidRPr="00010A76">
        <w:rPr>
          <w:rFonts w:ascii="Palatino Linotype" w:eastAsia="Calibri" w:hAnsi="Palatino Linotype" w:cs="Arial"/>
          <w:sz w:val="24"/>
          <w:szCs w:val="24"/>
          <w:lang w:eastAsia="es-MX"/>
        </w:rPr>
        <w:t xml:space="preserve">se advierte que </w:t>
      </w:r>
      <w:r w:rsidR="00B743FD" w:rsidRPr="00010A76">
        <w:rPr>
          <w:rFonts w:ascii="Palatino Linotype" w:eastAsia="Calibri" w:hAnsi="Palatino Linotype" w:cs="Arial"/>
          <w:sz w:val="24"/>
          <w:szCs w:val="24"/>
          <w:lang w:eastAsia="es-MX"/>
        </w:rPr>
        <w:t xml:space="preserve">tanto </w:t>
      </w:r>
      <w:r w:rsidRPr="00010A76">
        <w:rPr>
          <w:rFonts w:ascii="Palatino Linotype" w:eastAsia="Calibri" w:hAnsi="Palatino Linotype" w:cs="Arial"/>
          <w:sz w:val="24"/>
          <w:szCs w:val="24"/>
          <w:lang w:eastAsia="es-MX"/>
        </w:rPr>
        <w:t xml:space="preserve">el </w:t>
      </w:r>
      <w:r w:rsidRPr="00010A76">
        <w:rPr>
          <w:rFonts w:ascii="Palatino Linotype" w:eastAsia="Calibri" w:hAnsi="Palatino Linotype" w:cs="Arial"/>
          <w:b/>
          <w:sz w:val="24"/>
          <w:szCs w:val="24"/>
          <w:lang w:eastAsia="es-MX"/>
        </w:rPr>
        <w:t>Sujeto Obligado</w:t>
      </w:r>
      <w:r w:rsidRPr="00010A76">
        <w:rPr>
          <w:rFonts w:ascii="Palatino Linotype" w:eastAsia="Calibri" w:hAnsi="Palatino Linotype" w:cs="Arial"/>
          <w:sz w:val="24"/>
          <w:szCs w:val="24"/>
          <w:lang w:eastAsia="es-MX"/>
        </w:rPr>
        <w:t xml:space="preserve"> </w:t>
      </w:r>
      <w:r w:rsidR="00B743FD" w:rsidRPr="00010A76">
        <w:rPr>
          <w:rFonts w:ascii="Palatino Linotype" w:eastAsia="Calibri" w:hAnsi="Palatino Linotype" w:cs="Arial"/>
          <w:sz w:val="24"/>
          <w:szCs w:val="24"/>
          <w:lang w:eastAsia="es-MX"/>
        </w:rPr>
        <w:t xml:space="preserve">como el Recurrente, fueron omisos en rendir </w:t>
      </w:r>
      <w:r w:rsidRPr="00010A76">
        <w:rPr>
          <w:rFonts w:ascii="Palatino Linotype" w:eastAsia="Calibri" w:hAnsi="Palatino Linotype" w:cs="Arial"/>
          <w:sz w:val="24"/>
          <w:szCs w:val="24"/>
          <w:lang w:eastAsia="es-MX"/>
        </w:rPr>
        <w:t>su informe justificado</w:t>
      </w:r>
      <w:r w:rsidR="00B743FD" w:rsidRPr="00010A76">
        <w:rPr>
          <w:rFonts w:ascii="Palatino Linotype" w:eastAsia="Calibri" w:hAnsi="Palatino Linotype" w:cs="Arial"/>
          <w:sz w:val="24"/>
          <w:szCs w:val="24"/>
          <w:lang w:eastAsia="es-MX"/>
        </w:rPr>
        <w:t xml:space="preserve"> y las manifestaciones que a sus intereses conviniera, respetivamente, dentro del término de Ley otorgado.</w:t>
      </w:r>
    </w:p>
    <w:p w14:paraId="38FA3B44" w14:textId="77777777" w:rsidR="00084C5F" w:rsidRPr="00010A76" w:rsidRDefault="00084C5F" w:rsidP="00084C5F">
      <w:pPr>
        <w:spacing w:after="0" w:line="360" w:lineRule="auto"/>
        <w:jc w:val="both"/>
        <w:rPr>
          <w:rFonts w:ascii="Palatino Linotype" w:eastAsia="Calibri" w:hAnsi="Palatino Linotype" w:cs="Arial"/>
          <w:sz w:val="24"/>
          <w:szCs w:val="24"/>
          <w:lang w:eastAsia="es-MX"/>
        </w:rPr>
      </w:pPr>
    </w:p>
    <w:p w14:paraId="72C0660F" w14:textId="77777777" w:rsidR="00084C5F" w:rsidRPr="00010A76" w:rsidRDefault="00084C5F" w:rsidP="00084C5F">
      <w:pPr>
        <w:spacing w:after="0" w:line="360" w:lineRule="auto"/>
        <w:jc w:val="both"/>
        <w:rPr>
          <w:rFonts w:ascii="Palatino Linotype" w:eastAsia="Calibri" w:hAnsi="Palatino Linotype" w:cs="Arial"/>
          <w:sz w:val="24"/>
          <w:szCs w:val="24"/>
          <w:lang w:eastAsia="es-MX"/>
        </w:rPr>
      </w:pPr>
      <w:r w:rsidRPr="00010A76">
        <w:rPr>
          <w:rFonts w:ascii="Palatino Linotype" w:eastAsia="Calibri" w:hAnsi="Palatino Linotype" w:cs="Arial"/>
          <w:sz w:val="24"/>
          <w:szCs w:val="24"/>
          <w:lang w:eastAsia="es-MX"/>
        </w:rPr>
        <w:t xml:space="preserve">Así mismo se aprecia que no se llevaron a cabo audiencias durante la sustanciación del recurso de revisión, ni se ofrecieron pruebas por parte del hoy </w:t>
      </w:r>
      <w:r w:rsidRPr="00010A76">
        <w:rPr>
          <w:rFonts w:ascii="Palatino Linotype" w:eastAsia="Calibri" w:hAnsi="Palatino Linotype" w:cs="Arial"/>
          <w:b/>
          <w:sz w:val="24"/>
          <w:szCs w:val="24"/>
          <w:lang w:eastAsia="es-MX"/>
        </w:rPr>
        <w:t>Recurrente</w:t>
      </w:r>
      <w:r w:rsidRPr="00010A76">
        <w:rPr>
          <w:rFonts w:ascii="Palatino Linotype" w:eastAsia="Calibri" w:hAnsi="Palatino Linotype" w:cs="Arial"/>
          <w:sz w:val="24"/>
          <w:szCs w:val="24"/>
          <w:lang w:eastAsia="es-MX"/>
        </w:rPr>
        <w:t>; todo lo anterior en términos de los artículos 185 fracción IV y 195 de la Ley de Transparencia y Acceso a la Información Pública del Estado de México y Municipios.</w:t>
      </w:r>
    </w:p>
    <w:p w14:paraId="6EE10E96" w14:textId="77777777" w:rsidR="00396830" w:rsidRPr="00010A76" w:rsidRDefault="00396830" w:rsidP="00084C5F">
      <w:pPr>
        <w:spacing w:after="0" w:line="360" w:lineRule="auto"/>
        <w:jc w:val="both"/>
        <w:rPr>
          <w:rFonts w:ascii="Palatino Linotype" w:eastAsia="Calibri" w:hAnsi="Palatino Linotype" w:cs="Arial"/>
          <w:sz w:val="24"/>
          <w:szCs w:val="24"/>
          <w:lang w:eastAsia="es-MX"/>
        </w:rPr>
      </w:pPr>
    </w:p>
    <w:p w14:paraId="01964988" w14:textId="77777777" w:rsidR="00B13FF1" w:rsidRPr="00010A76" w:rsidRDefault="00B13FF1" w:rsidP="00084C5F">
      <w:pPr>
        <w:spacing w:after="0" w:line="360" w:lineRule="auto"/>
        <w:jc w:val="both"/>
        <w:rPr>
          <w:rFonts w:ascii="Palatino Linotype" w:eastAsia="Calibri" w:hAnsi="Palatino Linotype" w:cs="Arial"/>
          <w:sz w:val="24"/>
          <w:szCs w:val="24"/>
          <w:lang w:eastAsia="es-MX"/>
        </w:rPr>
      </w:pPr>
    </w:p>
    <w:p w14:paraId="4AF97E56" w14:textId="77777777" w:rsidR="00084C5F" w:rsidRPr="00010A76" w:rsidRDefault="00B743FD" w:rsidP="00084C5F">
      <w:pPr>
        <w:spacing w:after="0" w:line="360" w:lineRule="auto"/>
        <w:jc w:val="both"/>
        <w:rPr>
          <w:rFonts w:ascii="Palatino Linotype" w:eastAsia="Calibri" w:hAnsi="Palatino Linotype" w:cs="Arial"/>
          <w:sz w:val="24"/>
          <w:szCs w:val="24"/>
          <w:lang w:eastAsia="es-MX"/>
        </w:rPr>
      </w:pPr>
      <w:r w:rsidRPr="00010A76">
        <w:rPr>
          <w:rFonts w:ascii="Palatino Linotype" w:hAnsi="Palatino Linotype" w:cs="Arial"/>
          <w:b/>
          <w:sz w:val="28"/>
          <w:szCs w:val="28"/>
        </w:rPr>
        <w:t>SEXTO</w:t>
      </w:r>
      <w:r w:rsidRPr="00010A76">
        <w:rPr>
          <w:rFonts w:ascii="Palatino Linotype" w:eastAsia="Calibri" w:hAnsi="Palatino Linotype" w:cs="Arial"/>
          <w:sz w:val="24"/>
          <w:szCs w:val="24"/>
          <w:lang w:eastAsia="es-MX"/>
        </w:rPr>
        <w:t xml:space="preserve">. </w:t>
      </w:r>
      <w:r w:rsidR="00084C5F" w:rsidRPr="00010A76">
        <w:rPr>
          <w:rFonts w:ascii="Palatino Linotype" w:eastAsia="Calibri" w:hAnsi="Palatino Linotype" w:cs="Arial"/>
          <w:sz w:val="24"/>
          <w:szCs w:val="24"/>
          <w:lang w:eastAsia="es-MX"/>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010A76">
        <w:rPr>
          <w:rFonts w:ascii="Palatino Linotype" w:eastAsia="Calibri" w:hAnsi="Palatino Linotype" w:cs="Arial"/>
          <w:sz w:val="24"/>
          <w:szCs w:val="24"/>
          <w:lang w:eastAsia="es-MX"/>
        </w:rPr>
        <w:t xml:space="preserve">veintiuno </w:t>
      </w:r>
      <w:r w:rsidR="00084C5F" w:rsidRPr="00010A76">
        <w:rPr>
          <w:rFonts w:ascii="Palatino Linotype" w:eastAsia="Calibri" w:hAnsi="Palatino Linotype" w:cs="Arial"/>
          <w:sz w:val="24"/>
          <w:szCs w:val="24"/>
          <w:lang w:eastAsia="es-MX"/>
        </w:rPr>
        <w:t>de marzo de dos mil veintitrés, en términos del artículo 185 fracción VI de la Ley de Transparencia y Acceso a la Información Pública del Estado de México y Municipios, ordenándose turnar los expedientes a la resolución que en derecho proceda.</w:t>
      </w:r>
    </w:p>
    <w:p w14:paraId="590AFB29" w14:textId="77777777" w:rsidR="00396830" w:rsidRPr="00010A76" w:rsidRDefault="00396830" w:rsidP="00084C5F">
      <w:pPr>
        <w:spacing w:after="0" w:line="360" w:lineRule="auto"/>
        <w:jc w:val="both"/>
        <w:rPr>
          <w:rFonts w:ascii="Palatino Linotype" w:eastAsia="Calibri" w:hAnsi="Palatino Linotype" w:cs="Arial"/>
          <w:sz w:val="24"/>
          <w:szCs w:val="24"/>
          <w:lang w:eastAsia="es-MX"/>
        </w:rPr>
      </w:pPr>
    </w:p>
    <w:p w14:paraId="7D8F917D" w14:textId="77777777" w:rsidR="00B13FF1" w:rsidRPr="00010A76" w:rsidRDefault="00B13FF1" w:rsidP="00084C5F">
      <w:pPr>
        <w:spacing w:after="0" w:line="360" w:lineRule="auto"/>
        <w:jc w:val="both"/>
        <w:rPr>
          <w:rFonts w:ascii="Palatino Linotype" w:eastAsia="Calibri" w:hAnsi="Palatino Linotype" w:cs="Arial"/>
          <w:sz w:val="24"/>
          <w:szCs w:val="24"/>
          <w:lang w:eastAsia="es-MX"/>
        </w:rPr>
      </w:pPr>
    </w:p>
    <w:p w14:paraId="1552312F" w14:textId="77777777" w:rsidR="00084C5F" w:rsidRPr="00010A76" w:rsidRDefault="00B743FD" w:rsidP="00084C5F">
      <w:pPr>
        <w:spacing w:after="0" w:line="360" w:lineRule="auto"/>
        <w:jc w:val="both"/>
        <w:rPr>
          <w:rFonts w:ascii="Palatino Linotype" w:hAnsi="Palatino Linotype" w:cs="Arial"/>
          <w:sz w:val="24"/>
          <w:szCs w:val="24"/>
        </w:rPr>
      </w:pPr>
      <w:r w:rsidRPr="00010A76">
        <w:rPr>
          <w:rFonts w:ascii="Palatino Linotype" w:hAnsi="Palatino Linotype" w:cs="Arial"/>
          <w:b/>
          <w:sz w:val="28"/>
          <w:szCs w:val="28"/>
        </w:rPr>
        <w:t>SÉPTIMO</w:t>
      </w:r>
      <w:r w:rsidR="00084C5F" w:rsidRPr="00010A76">
        <w:rPr>
          <w:rFonts w:ascii="Palatino Linotype" w:hAnsi="Palatino Linotype" w:cs="Arial"/>
          <w:b/>
          <w:sz w:val="28"/>
          <w:szCs w:val="28"/>
        </w:rPr>
        <w:t>.</w:t>
      </w:r>
      <w:r w:rsidR="00084C5F" w:rsidRPr="00010A76">
        <w:rPr>
          <w:rFonts w:ascii="Palatino Linotype" w:hAnsi="Palatino Linotype" w:cs="Arial"/>
          <w:sz w:val="24"/>
          <w:szCs w:val="24"/>
        </w:rPr>
        <w:t xml:space="preserve"> De las constancias que integran el expediente electrónico, se advierte que ha transcurrido el término de Ley, para la emisión de la resolución en el presente recurso de revisión, por lo que en fecha veintiséis de </w:t>
      </w:r>
      <w:r w:rsidRPr="00010A76">
        <w:rPr>
          <w:rFonts w:ascii="Palatino Linotype" w:hAnsi="Palatino Linotype" w:cs="Arial"/>
          <w:sz w:val="24"/>
          <w:szCs w:val="24"/>
        </w:rPr>
        <w:t>abril</w:t>
      </w:r>
      <w:r w:rsidR="00084C5F" w:rsidRPr="00010A76">
        <w:rPr>
          <w:rFonts w:ascii="Palatino Linotype" w:hAnsi="Palatino Linotype" w:cs="Arial"/>
          <w:sz w:val="24"/>
          <w:szCs w:val="24"/>
        </w:rPr>
        <w:t xml:space="preserve"> de dos mil veintitrés, se notificó a las partes el acuerdo por el que se ordena ampliar el plazo para la emisión </w:t>
      </w:r>
      <w:r w:rsidR="00084C5F" w:rsidRPr="00010A76">
        <w:rPr>
          <w:rFonts w:ascii="Palatino Linotype" w:hAnsi="Palatino Linotype" w:cs="Arial"/>
          <w:sz w:val="24"/>
          <w:szCs w:val="24"/>
        </w:rPr>
        <w:lastRenderedPageBreak/>
        <w:t>de la resolución, en términos del artículo 181 párrafo tercero de la Ley de Transparencia y Acceso a la Información Pública del Estado de México y Municipios, ordenándose turnar los expedientes a la resolución que en derecho proceda.</w:t>
      </w:r>
    </w:p>
    <w:p w14:paraId="0D359106" w14:textId="77777777" w:rsidR="00084C5F" w:rsidRPr="00010A76" w:rsidRDefault="00084C5F" w:rsidP="00084C5F">
      <w:pPr>
        <w:spacing w:after="0" w:line="360" w:lineRule="auto"/>
        <w:jc w:val="both"/>
        <w:rPr>
          <w:rFonts w:ascii="Palatino Linotype" w:eastAsia="Calibri" w:hAnsi="Palatino Linotype" w:cs="Arial"/>
          <w:sz w:val="24"/>
          <w:szCs w:val="24"/>
          <w:lang w:eastAsia="es-MX"/>
        </w:rPr>
      </w:pPr>
    </w:p>
    <w:p w14:paraId="5B094874" w14:textId="77777777" w:rsidR="00084C5F" w:rsidRPr="00010A76" w:rsidRDefault="00084C5F" w:rsidP="00084C5F">
      <w:pPr>
        <w:spacing w:after="0" w:line="360" w:lineRule="auto"/>
        <w:jc w:val="both"/>
        <w:rPr>
          <w:rFonts w:ascii="Palatino Linotype" w:hAnsi="Palatino Linotype" w:cs="Arial"/>
          <w:sz w:val="24"/>
          <w:szCs w:val="24"/>
        </w:rPr>
      </w:pPr>
    </w:p>
    <w:p w14:paraId="0E2D699A" w14:textId="77777777" w:rsidR="00084C5F" w:rsidRPr="00010A76" w:rsidRDefault="00084C5F" w:rsidP="00084C5F">
      <w:pPr>
        <w:spacing w:after="0" w:line="360" w:lineRule="auto"/>
        <w:jc w:val="center"/>
        <w:rPr>
          <w:rFonts w:ascii="Palatino Linotype" w:hAnsi="Palatino Linotype" w:cs="Arial"/>
          <w:sz w:val="24"/>
          <w:szCs w:val="24"/>
        </w:rPr>
      </w:pPr>
      <w:r w:rsidRPr="00010A76">
        <w:rPr>
          <w:rFonts w:ascii="Palatino Linotype" w:hAnsi="Palatino Linotype" w:cs="Arial"/>
          <w:b/>
          <w:sz w:val="28"/>
          <w:szCs w:val="24"/>
        </w:rPr>
        <w:t xml:space="preserve">C O N S I D E R A N D O </w:t>
      </w:r>
    </w:p>
    <w:p w14:paraId="7F38FC27" w14:textId="77777777" w:rsidR="00084C5F" w:rsidRPr="00010A76" w:rsidRDefault="00084C5F" w:rsidP="00084C5F">
      <w:pPr>
        <w:spacing w:after="0" w:line="360" w:lineRule="auto"/>
        <w:jc w:val="center"/>
        <w:rPr>
          <w:rFonts w:ascii="Palatino Linotype" w:hAnsi="Palatino Linotype" w:cs="Arial"/>
          <w:sz w:val="24"/>
          <w:szCs w:val="24"/>
        </w:rPr>
      </w:pPr>
    </w:p>
    <w:p w14:paraId="482E61BF" w14:textId="77777777" w:rsidR="00084C5F" w:rsidRPr="00010A76" w:rsidRDefault="00084C5F" w:rsidP="00084C5F">
      <w:pPr>
        <w:spacing w:after="0" w:line="360" w:lineRule="auto"/>
        <w:jc w:val="both"/>
        <w:rPr>
          <w:rFonts w:ascii="Palatino Linotype" w:hAnsi="Palatino Linotype" w:cs="Arial"/>
          <w:sz w:val="28"/>
          <w:szCs w:val="28"/>
        </w:rPr>
      </w:pPr>
      <w:r w:rsidRPr="00010A76">
        <w:rPr>
          <w:rFonts w:ascii="Palatino Linotype" w:hAnsi="Palatino Linotype" w:cs="Arial"/>
          <w:b/>
          <w:sz w:val="28"/>
          <w:szCs w:val="28"/>
        </w:rPr>
        <w:t xml:space="preserve">PRIMERO. </w:t>
      </w:r>
      <w:r w:rsidRPr="00010A76">
        <w:rPr>
          <w:rFonts w:ascii="Palatino Linotype" w:hAnsi="Palatino Linotype" w:cs="Arial"/>
          <w:b/>
          <w:sz w:val="26"/>
          <w:szCs w:val="26"/>
        </w:rPr>
        <w:t>De la competencia</w:t>
      </w:r>
      <w:r w:rsidRPr="00010A76">
        <w:rPr>
          <w:rFonts w:ascii="Palatino Linotype" w:hAnsi="Palatino Linotype" w:cs="Arial"/>
          <w:sz w:val="26"/>
          <w:szCs w:val="26"/>
        </w:rPr>
        <w:t>.</w:t>
      </w:r>
    </w:p>
    <w:p w14:paraId="3668C6B6" w14:textId="77777777" w:rsidR="000A6F8C" w:rsidRPr="00010A76" w:rsidRDefault="000A6F8C" w:rsidP="000A6F8C">
      <w:pPr>
        <w:spacing w:after="0" w:line="360" w:lineRule="auto"/>
        <w:jc w:val="both"/>
        <w:rPr>
          <w:rFonts w:ascii="Palatino Linotype" w:hAnsi="Palatino Linotype" w:cs="Arial"/>
          <w:sz w:val="24"/>
          <w:szCs w:val="24"/>
        </w:rPr>
      </w:pPr>
      <w:r w:rsidRPr="00010A76">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85D725C" w14:textId="77777777" w:rsidR="00084C5F" w:rsidRPr="00010A76" w:rsidRDefault="00084C5F" w:rsidP="00084C5F">
      <w:pPr>
        <w:spacing w:after="0" w:line="360" w:lineRule="auto"/>
        <w:jc w:val="both"/>
        <w:rPr>
          <w:rFonts w:ascii="Palatino Linotype" w:hAnsi="Palatino Linotype" w:cs="Arial"/>
          <w:sz w:val="24"/>
          <w:szCs w:val="24"/>
        </w:rPr>
      </w:pPr>
    </w:p>
    <w:p w14:paraId="07CD5343" w14:textId="77777777" w:rsidR="00B13FF1" w:rsidRPr="00010A76" w:rsidRDefault="00B13FF1" w:rsidP="00084C5F">
      <w:pPr>
        <w:spacing w:after="0" w:line="360" w:lineRule="auto"/>
        <w:jc w:val="both"/>
        <w:rPr>
          <w:rFonts w:ascii="Palatino Linotype" w:hAnsi="Palatino Linotype" w:cs="Arial"/>
          <w:sz w:val="24"/>
          <w:szCs w:val="24"/>
        </w:rPr>
      </w:pPr>
    </w:p>
    <w:p w14:paraId="73F9076A" w14:textId="77777777" w:rsidR="00084C5F" w:rsidRPr="00010A76" w:rsidRDefault="00084C5F" w:rsidP="00084C5F">
      <w:pPr>
        <w:autoSpaceDE w:val="0"/>
        <w:autoSpaceDN w:val="0"/>
        <w:adjustRightInd w:val="0"/>
        <w:spacing w:after="0" w:line="360" w:lineRule="auto"/>
        <w:jc w:val="both"/>
        <w:rPr>
          <w:rFonts w:ascii="Palatino Linotype" w:hAnsi="Palatino Linotype" w:cs="Arial"/>
          <w:b/>
          <w:sz w:val="28"/>
          <w:szCs w:val="28"/>
        </w:rPr>
      </w:pPr>
      <w:r w:rsidRPr="00010A76">
        <w:rPr>
          <w:rFonts w:ascii="Palatino Linotype" w:hAnsi="Palatino Linotype" w:cs="Arial"/>
          <w:b/>
          <w:sz w:val="28"/>
          <w:szCs w:val="28"/>
        </w:rPr>
        <w:t xml:space="preserve">SEGUNDO. </w:t>
      </w:r>
      <w:r w:rsidRPr="00010A76">
        <w:rPr>
          <w:rFonts w:ascii="Palatino Linotype" w:hAnsi="Palatino Linotype" w:cs="Arial"/>
          <w:b/>
          <w:sz w:val="26"/>
          <w:szCs w:val="26"/>
        </w:rPr>
        <w:t>Alcance del recurso de revisión.</w:t>
      </w:r>
      <w:r w:rsidRPr="00010A76">
        <w:rPr>
          <w:rFonts w:ascii="Palatino Linotype" w:hAnsi="Palatino Linotype" w:cs="Arial"/>
          <w:b/>
          <w:sz w:val="28"/>
          <w:szCs w:val="28"/>
        </w:rPr>
        <w:t xml:space="preserve"> </w:t>
      </w:r>
    </w:p>
    <w:p w14:paraId="339E5F1A" w14:textId="77777777" w:rsidR="00084C5F" w:rsidRPr="00010A76" w:rsidRDefault="00084C5F" w:rsidP="00084C5F">
      <w:pPr>
        <w:autoSpaceDE w:val="0"/>
        <w:autoSpaceDN w:val="0"/>
        <w:adjustRightInd w:val="0"/>
        <w:spacing w:after="0" w:line="360" w:lineRule="auto"/>
        <w:jc w:val="both"/>
        <w:rPr>
          <w:rFonts w:ascii="Palatino Linotype" w:eastAsia="Calibri" w:hAnsi="Palatino Linotype" w:cs="Arial"/>
          <w:bCs/>
          <w:sz w:val="24"/>
          <w:szCs w:val="24"/>
          <w:lang w:eastAsia="es-MX"/>
        </w:rPr>
      </w:pPr>
      <w:r w:rsidRPr="00010A76">
        <w:rPr>
          <w:rFonts w:ascii="Palatino Linotype" w:eastAsia="Calibri" w:hAnsi="Palatino Linotype" w:cs="Arial"/>
          <w:bCs/>
          <w:sz w:val="24"/>
          <w:szCs w:val="24"/>
          <w:lang w:eastAsia="es-MX"/>
        </w:rPr>
        <w:t xml:space="preserve">Aunado lo anterior, a este Órgano Garante estima pertinente realizar un pronunciamiento ya que consientes de la situación que se vive en la actualidad a fin </w:t>
      </w:r>
      <w:r w:rsidRPr="00010A76">
        <w:rPr>
          <w:rFonts w:ascii="Palatino Linotype" w:eastAsia="Calibri" w:hAnsi="Palatino Linotype" w:cs="Arial"/>
          <w:bCs/>
          <w:sz w:val="24"/>
          <w:szCs w:val="24"/>
          <w:lang w:eastAsia="es-MX"/>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6AFFF11A" w14:textId="77777777" w:rsidR="00B13FF1" w:rsidRPr="00010A76" w:rsidRDefault="00B13FF1" w:rsidP="00084C5F">
      <w:pPr>
        <w:autoSpaceDE w:val="0"/>
        <w:autoSpaceDN w:val="0"/>
        <w:adjustRightInd w:val="0"/>
        <w:spacing w:after="0" w:line="360" w:lineRule="auto"/>
        <w:jc w:val="both"/>
        <w:rPr>
          <w:rFonts w:ascii="Palatino Linotype" w:eastAsia="Calibri" w:hAnsi="Palatino Linotype" w:cs="Arial"/>
          <w:bCs/>
          <w:sz w:val="24"/>
          <w:szCs w:val="24"/>
          <w:lang w:eastAsia="es-MX"/>
        </w:rPr>
      </w:pPr>
    </w:p>
    <w:p w14:paraId="3D5F6618" w14:textId="77777777" w:rsidR="00084C5F" w:rsidRPr="00010A76" w:rsidRDefault="00084C5F" w:rsidP="00084C5F">
      <w:pPr>
        <w:autoSpaceDE w:val="0"/>
        <w:autoSpaceDN w:val="0"/>
        <w:adjustRightInd w:val="0"/>
        <w:spacing w:after="0" w:line="360" w:lineRule="auto"/>
        <w:jc w:val="both"/>
        <w:rPr>
          <w:rFonts w:ascii="Palatino Linotype" w:eastAsia="Calibri" w:hAnsi="Palatino Linotype" w:cs="Arial"/>
          <w:sz w:val="24"/>
          <w:szCs w:val="24"/>
          <w:lang w:eastAsia="es-MX"/>
        </w:rPr>
      </w:pPr>
      <w:r w:rsidRPr="00010A76">
        <w:rPr>
          <w:rFonts w:ascii="Palatino Linotype" w:eastAsia="Calibri" w:hAnsi="Palatino Linotype" w:cs="Arial"/>
          <w:sz w:val="24"/>
          <w:szCs w:val="24"/>
          <w:lang w:eastAsia="es-MX"/>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FDC789E" w14:textId="77777777" w:rsidR="002426A9" w:rsidRPr="00010A76" w:rsidRDefault="002426A9" w:rsidP="00084C5F">
      <w:pPr>
        <w:autoSpaceDE w:val="0"/>
        <w:autoSpaceDN w:val="0"/>
        <w:adjustRightInd w:val="0"/>
        <w:spacing w:after="0" w:line="360" w:lineRule="auto"/>
        <w:jc w:val="both"/>
        <w:rPr>
          <w:rFonts w:ascii="Palatino Linotype" w:eastAsia="Calibri" w:hAnsi="Palatino Linotype" w:cs="Arial"/>
          <w:sz w:val="24"/>
          <w:szCs w:val="24"/>
          <w:lang w:eastAsia="es-MX"/>
        </w:rPr>
      </w:pPr>
    </w:p>
    <w:p w14:paraId="180C0D55"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r w:rsidRPr="00010A76">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16837BE"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p>
    <w:p w14:paraId="362F40E7" w14:textId="77777777" w:rsidR="00084C5F" w:rsidRPr="00010A76" w:rsidRDefault="00084C5F" w:rsidP="00B13FF1">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t>“</w:t>
      </w:r>
      <w:r w:rsidRPr="00010A76">
        <w:rPr>
          <w:rFonts w:ascii="Palatino Linotype" w:hAnsi="Palatino Linotype" w:cs="Arial"/>
          <w:b/>
          <w:i/>
          <w:szCs w:val="24"/>
        </w:rPr>
        <w:t>Artículo 180</w:t>
      </w:r>
      <w:r w:rsidRPr="00010A76">
        <w:rPr>
          <w:rFonts w:ascii="Palatino Linotype" w:hAnsi="Palatino Linotype" w:cs="Arial"/>
          <w:i/>
          <w:szCs w:val="24"/>
        </w:rPr>
        <w:t xml:space="preserve">. El recurso de revisión contendrá: </w:t>
      </w:r>
    </w:p>
    <w:p w14:paraId="4DD99F54" w14:textId="77777777" w:rsidR="00084C5F" w:rsidRPr="00010A76" w:rsidRDefault="00084C5F" w:rsidP="00B13FF1">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b/>
          <w:i/>
          <w:szCs w:val="24"/>
        </w:rPr>
        <w:t>I</w:t>
      </w:r>
      <w:r w:rsidRPr="00010A76">
        <w:rPr>
          <w:rFonts w:ascii="Palatino Linotype" w:hAnsi="Palatino Linotype" w:cs="Arial"/>
          <w:i/>
          <w:szCs w:val="24"/>
        </w:rPr>
        <w:t xml:space="preserve">. El Sujeto Obligado ante la cual se presentó la solicitud; </w:t>
      </w:r>
    </w:p>
    <w:p w14:paraId="30C2494F" w14:textId="77777777" w:rsidR="00084C5F" w:rsidRPr="00010A76" w:rsidRDefault="00084C5F" w:rsidP="00B13FF1">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b/>
          <w:i/>
          <w:szCs w:val="24"/>
        </w:rPr>
        <w:t>II</w:t>
      </w:r>
      <w:r w:rsidRPr="00010A76">
        <w:rPr>
          <w:rFonts w:ascii="Palatino Linotype" w:hAnsi="Palatino Linotype" w:cs="Arial"/>
          <w:i/>
          <w:szCs w:val="24"/>
        </w:rPr>
        <w:t xml:space="preserve">. </w:t>
      </w:r>
      <w:r w:rsidRPr="00010A76">
        <w:rPr>
          <w:rFonts w:ascii="Palatino Linotype" w:hAnsi="Palatino Linotype" w:cs="Arial"/>
          <w:i/>
          <w:szCs w:val="24"/>
          <w:u w:val="single"/>
        </w:rPr>
        <w:t>El nombre del solicitante</w:t>
      </w:r>
      <w:r w:rsidRPr="00010A76">
        <w:rPr>
          <w:rFonts w:ascii="Palatino Linotype" w:hAnsi="Palatino Linotype" w:cs="Arial"/>
          <w:i/>
          <w:szCs w:val="24"/>
        </w:rPr>
        <w:t xml:space="preserve"> que recurre o de su representante y, en su caso, del tercero interesado, así como la dirección o medio que señale para recibir notificaciones; </w:t>
      </w:r>
    </w:p>
    <w:p w14:paraId="288335D7" w14:textId="77777777" w:rsidR="00084C5F" w:rsidRPr="00010A76" w:rsidRDefault="00084C5F" w:rsidP="00B13FF1">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b/>
          <w:i/>
          <w:szCs w:val="24"/>
        </w:rPr>
        <w:t>III</w:t>
      </w:r>
      <w:r w:rsidRPr="00010A76">
        <w:rPr>
          <w:rFonts w:ascii="Palatino Linotype" w:hAnsi="Palatino Linotype" w:cs="Arial"/>
          <w:i/>
          <w:szCs w:val="24"/>
        </w:rPr>
        <w:t xml:space="preserve">. El número de folio de respuesta de la solicitud de acceso; </w:t>
      </w:r>
    </w:p>
    <w:p w14:paraId="4CB54049" w14:textId="77777777" w:rsidR="00084C5F" w:rsidRPr="00010A76" w:rsidRDefault="00084C5F" w:rsidP="00B13FF1">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b/>
          <w:i/>
          <w:szCs w:val="24"/>
        </w:rPr>
        <w:t>IV</w:t>
      </w:r>
      <w:r w:rsidRPr="00010A76">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60701FC9" w14:textId="77777777" w:rsidR="00084C5F" w:rsidRPr="00010A76" w:rsidRDefault="00084C5F" w:rsidP="00B13FF1">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b/>
          <w:i/>
          <w:szCs w:val="24"/>
        </w:rPr>
        <w:t>V</w:t>
      </w:r>
      <w:r w:rsidRPr="00010A76">
        <w:rPr>
          <w:rFonts w:ascii="Palatino Linotype" w:hAnsi="Palatino Linotype" w:cs="Arial"/>
          <w:i/>
          <w:szCs w:val="24"/>
        </w:rPr>
        <w:t xml:space="preserve">. El acto que se recurre; </w:t>
      </w:r>
    </w:p>
    <w:p w14:paraId="4880581B" w14:textId="77777777" w:rsidR="00084C5F" w:rsidRPr="00010A76" w:rsidRDefault="00084C5F" w:rsidP="00B13FF1">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b/>
          <w:i/>
          <w:szCs w:val="24"/>
        </w:rPr>
        <w:lastRenderedPageBreak/>
        <w:t>VI</w:t>
      </w:r>
      <w:r w:rsidRPr="00010A76">
        <w:rPr>
          <w:rFonts w:ascii="Palatino Linotype" w:hAnsi="Palatino Linotype" w:cs="Arial"/>
          <w:i/>
          <w:szCs w:val="24"/>
        </w:rPr>
        <w:t xml:space="preserve">. Las razones o motivos de inconformidad; </w:t>
      </w:r>
    </w:p>
    <w:p w14:paraId="7EC0E7D6" w14:textId="77777777" w:rsidR="00084C5F" w:rsidRPr="00010A76" w:rsidRDefault="00084C5F" w:rsidP="00B13FF1">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b/>
          <w:i/>
          <w:szCs w:val="24"/>
        </w:rPr>
        <w:t>VII</w:t>
      </w:r>
      <w:r w:rsidRPr="00010A76">
        <w:rPr>
          <w:rFonts w:ascii="Palatino Linotype" w:hAnsi="Palatino Linotype" w:cs="Arial"/>
          <w:i/>
          <w:szCs w:val="24"/>
        </w:rPr>
        <w:t xml:space="preserve">. La copia de la respuesta que se impugna y, en su caso, de la notificación correspondiente, en el caso de respuesta de la solicitud; y </w:t>
      </w:r>
    </w:p>
    <w:p w14:paraId="498AE963" w14:textId="77777777" w:rsidR="00084C5F" w:rsidRPr="00010A76" w:rsidRDefault="00084C5F" w:rsidP="00010A76">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b/>
          <w:i/>
          <w:szCs w:val="24"/>
        </w:rPr>
        <w:t>VIII</w:t>
      </w:r>
      <w:r w:rsidRPr="00010A76">
        <w:rPr>
          <w:rFonts w:ascii="Palatino Linotype" w:hAnsi="Palatino Linotype" w:cs="Arial"/>
          <w:i/>
          <w:szCs w:val="24"/>
        </w:rPr>
        <w:t xml:space="preserve">. Firma del Recurrente, en su caso, cuando se presente por escrito, requisito sin el cual se dará trámite al recurso. </w:t>
      </w:r>
    </w:p>
    <w:p w14:paraId="7128637D" w14:textId="77777777" w:rsidR="00084C5F" w:rsidRPr="00010A76" w:rsidRDefault="00084C5F" w:rsidP="00010A76">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t xml:space="preserve">Adicionalmente, se podrán anexar las pruebas y demás elementos que considere procedentes someter a juicio del Instituto. </w:t>
      </w:r>
    </w:p>
    <w:p w14:paraId="357D9B29" w14:textId="77777777" w:rsidR="00084C5F" w:rsidRPr="00010A76" w:rsidRDefault="00084C5F" w:rsidP="00010A76">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t xml:space="preserve">En ningún caso será necesario que el particular ratifique el recurso de revisión interpuesto. </w:t>
      </w:r>
    </w:p>
    <w:p w14:paraId="2EB64B56" w14:textId="77777777" w:rsidR="00084C5F" w:rsidRPr="00010A76" w:rsidRDefault="00084C5F" w:rsidP="00B13FF1">
      <w:pPr>
        <w:autoSpaceDE w:val="0"/>
        <w:autoSpaceDN w:val="0"/>
        <w:adjustRightInd w:val="0"/>
        <w:spacing w:after="0" w:line="240" w:lineRule="auto"/>
        <w:ind w:left="567" w:right="567"/>
        <w:jc w:val="both"/>
        <w:rPr>
          <w:rFonts w:ascii="Palatino Linotype" w:hAnsi="Palatino Linotype" w:cs="Arial"/>
          <w:szCs w:val="24"/>
        </w:rPr>
      </w:pPr>
      <w:r w:rsidRPr="00010A76">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2274FB1C" w14:textId="77777777" w:rsidR="00084C5F" w:rsidRPr="00010A76" w:rsidRDefault="00084C5F" w:rsidP="00B13FF1">
      <w:pPr>
        <w:autoSpaceDE w:val="0"/>
        <w:autoSpaceDN w:val="0"/>
        <w:adjustRightInd w:val="0"/>
        <w:spacing w:after="0" w:line="240" w:lineRule="auto"/>
        <w:ind w:left="567" w:right="567"/>
        <w:jc w:val="both"/>
        <w:rPr>
          <w:rFonts w:ascii="Palatino Linotype" w:hAnsi="Palatino Linotype" w:cs="Arial"/>
          <w:szCs w:val="24"/>
        </w:rPr>
      </w:pPr>
    </w:p>
    <w:p w14:paraId="7CD224FB" w14:textId="77777777" w:rsidR="00084C5F" w:rsidRPr="00010A76" w:rsidRDefault="00084C5F" w:rsidP="00B13FF1">
      <w:pPr>
        <w:autoSpaceDE w:val="0"/>
        <w:autoSpaceDN w:val="0"/>
        <w:adjustRightInd w:val="0"/>
        <w:spacing w:after="0" w:line="240" w:lineRule="auto"/>
        <w:ind w:left="567" w:right="567"/>
        <w:jc w:val="right"/>
        <w:rPr>
          <w:rFonts w:ascii="Palatino Linotype" w:hAnsi="Palatino Linotype" w:cs="Arial"/>
          <w:szCs w:val="24"/>
        </w:rPr>
      </w:pPr>
      <w:r w:rsidRPr="00010A76">
        <w:rPr>
          <w:rFonts w:ascii="Palatino Linotype" w:hAnsi="Palatino Linotype" w:cs="Arial"/>
          <w:szCs w:val="24"/>
        </w:rPr>
        <w:t>(Énfasis añadido)</w:t>
      </w:r>
    </w:p>
    <w:p w14:paraId="24E199C9"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p>
    <w:p w14:paraId="7DD57D5F"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r w:rsidRPr="00010A76">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010A76">
        <w:rPr>
          <w:rFonts w:ascii="Palatino Linotype" w:hAnsi="Palatino Linotype" w:cs="Arial"/>
          <w:b/>
          <w:sz w:val="24"/>
          <w:szCs w:val="24"/>
        </w:rPr>
        <w:t>Recurrente</w:t>
      </w:r>
      <w:r w:rsidRPr="00010A76">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02379F0D"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p>
    <w:p w14:paraId="2ADD5AD0"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r w:rsidRPr="00010A76">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010A76">
        <w:rPr>
          <w:rFonts w:ascii="Palatino Linotype" w:hAnsi="Palatino Linotype" w:cs="Arial"/>
          <w:i/>
          <w:sz w:val="24"/>
          <w:szCs w:val="24"/>
        </w:rPr>
        <w:t>sine qua non</w:t>
      </w:r>
      <w:r w:rsidRPr="00010A76">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B9478EA"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r w:rsidRPr="00010A76">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9EF72F6"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p>
    <w:p w14:paraId="021A2BED" w14:textId="77777777" w:rsidR="00084C5F" w:rsidRPr="00010A76" w:rsidRDefault="00084C5F" w:rsidP="00084C5F">
      <w:pPr>
        <w:autoSpaceDE w:val="0"/>
        <w:autoSpaceDN w:val="0"/>
        <w:adjustRightInd w:val="0"/>
        <w:spacing w:after="0" w:line="240" w:lineRule="auto"/>
        <w:jc w:val="center"/>
        <w:rPr>
          <w:rFonts w:ascii="Palatino Linotype" w:hAnsi="Palatino Linotype" w:cs="Arial"/>
          <w:b/>
          <w:i/>
        </w:rPr>
      </w:pPr>
      <w:r w:rsidRPr="00010A76">
        <w:rPr>
          <w:rFonts w:ascii="Palatino Linotype" w:hAnsi="Palatino Linotype" w:cs="Arial"/>
          <w:b/>
          <w:i/>
        </w:rPr>
        <w:t>Constitución Política de los Estados Unidos Mexicanos</w:t>
      </w:r>
    </w:p>
    <w:p w14:paraId="4113CD6F" w14:textId="77777777" w:rsidR="00084C5F" w:rsidRPr="00010A76" w:rsidRDefault="00084C5F" w:rsidP="00084C5F">
      <w:pPr>
        <w:autoSpaceDE w:val="0"/>
        <w:autoSpaceDN w:val="0"/>
        <w:adjustRightInd w:val="0"/>
        <w:spacing w:after="0" w:line="240" w:lineRule="auto"/>
        <w:jc w:val="both"/>
        <w:rPr>
          <w:rFonts w:ascii="Palatino Linotype" w:hAnsi="Palatino Linotype" w:cs="Arial"/>
        </w:rPr>
      </w:pPr>
    </w:p>
    <w:p w14:paraId="2FBCE6DB"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rPr>
      </w:pPr>
      <w:r w:rsidRPr="00010A76">
        <w:rPr>
          <w:rFonts w:ascii="Palatino Linotype" w:hAnsi="Palatino Linotype" w:cs="Arial"/>
          <w:i/>
        </w:rPr>
        <w:t>“</w:t>
      </w:r>
      <w:r w:rsidRPr="00010A76">
        <w:rPr>
          <w:rFonts w:ascii="Palatino Linotype" w:hAnsi="Palatino Linotype" w:cs="Arial"/>
          <w:b/>
          <w:i/>
        </w:rPr>
        <w:t>Artículo 6o</w:t>
      </w:r>
      <w:r w:rsidRPr="00010A76">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CF12DA1"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4B708408"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t>Para efectos de lo dispuesto en el presente artículo se observará lo siguiente:</w:t>
      </w:r>
    </w:p>
    <w:p w14:paraId="3685FB34"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b/>
          <w:i/>
          <w:szCs w:val="24"/>
        </w:rPr>
        <w:t>A</w:t>
      </w:r>
      <w:r w:rsidRPr="00010A76">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D02BAA1"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b/>
          <w:i/>
          <w:szCs w:val="24"/>
        </w:rPr>
        <w:t>I</w:t>
      </w:r>
      <w:r w:rsidRPr="00010A76">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CBE89ED"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t>…</w:t>
      </w:r>
    </w:p>
    <w:p w14:paraId="34BE4854"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b/>
          <w:i/>
          <w:szCs w:val="24"/>
        </w:rPr>
        <w:t>III.</w:t>
      </w:r>
      <w:r w:rsidRPr="00010A76">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2E9827B"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lastRenderedPageBreak/>
        <w:t>…</w:t>
      </w:r>
    </w:p>
    <w:p w14:paraId="533F527E"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b/>
          <w:i/>
          <w:szCs w:val="24"/>
        </w:rPr>
        <w:t>V</w:t>
      </w:r>
      <w:r w:rsidRPr="00010A76">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F4C9341"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b/>
          <w:i/>
          <w:szCs w:val="24"/>
        </w:rPr>
        <w:t>VI.</w:t>
      </w:r>
      <w:r w:rsidRPr="00010A76">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7B9E92B"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t>…</w:t>
      </w:r>
    </w:p>
    <w:p w14:paraId="32331E8B"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t>La ley establecerá aquella información que se considere reservada o confidencial.</w:t>
      </w:r>
    </w:p>
    <w:p w14:paraId="6E278127"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p>
    <w:p w14:paraId="7C929A05"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p>
    <w:p w14:paraId="1F2B9E8A" w14:textId="77777777" w:rsidR="00084C5F" w:rsidRPr="00010A76" w:rsidRDefault="00084C5F" w:rsidP="00084C5F">
      <w:pPr>
        <w:autoSpaceDE w:val="0"/>
        <w:autoSpaceDN w:val="0"/>
        <w:adjustRightInd w:val="0"/>
        <w:spacing w:after="0" w:line="240" w:lineRule="auto"/>
        <w:ind w:left="567" w:right="567"/>
        <w:jc w:val="center"/>
        <w:rPr>
          <w:rFonts w:ascii="Palatino Linotype" w:hAnsi="Palatino Linotype" w:cs="Arial"/>
          <w:b/>
          <w:i/>
          <w:szCs w:val="24"/>
        </w:rPr>
      </w:pPr>
      <w:r w:rsidRPr="00010A76">
        <w:rPr>
          <w:rFonts w:ascii="Palatino Linotype" w:hAnsi="Palatino Linotype" w:cs="Arial"/>
          <w:b/>
          <w:i/>
          <w:szCs w:val="24"/>
        </w:rPr>
        <w:t>Constitución Política del Estado Libre y Soberano de México</w:t>
      </w:r>
    </w:p>
    <w:p w14:paraId="676DDD30"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p>
    <w:p w14:paraId="7CCB5818"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t>“</w:t>
      </w:r>
      <w:r w:rsidRPr="00010A76">
        <w:rPr>
          <w:rFonts w:ascii="Palatino Linotype" w:hAnsi="Palatino Linotype" w:cs="Arial"/>
          <w:b/>
          <w:i/>
          <w:szCs w:val="24"/>
        </w:rPr>
        <w:t>Artículo 5</w:t>
      </w:r>
      <w:r w:rsidRPr="00010A76">
        <w:rPr>
          <w:rFonts w:ascii="Palatino Linotype" w:hAnsi="Palatino Linotype" w:cs="Arial"/>
          <w:i/>
          <w:szCs w:val="24"/>
        </w:rPr>
        <w:t xml:space="preserve">. … </w:t>
      </w:r>
    </w:p>
    <w:p w14:paraId="1FFF92DF"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t>…</w:t>
      </w:r>
    </w:p>
    <w:p w14:paraId="2AB23C1F"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12B93334"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5EDFF5F"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t>Este derecho se regirá por los principios y bases siguientes:</w:t>
      </w:r>
    </w:p>
    <w:p w14:paraId="766AC32A"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b/>
          <w:i/>
          <w:szCs w:val="24"/>
        </w:rPr>
        <w:t>I</w:t>
      </w:r>
      <w:r w:rsidRPr="00010A76">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CE126C"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t>…</w:t>
      </w:r>
    </w:p>
    <w:p w14:paraId="14A5B64B"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b/>
          <w:i/>
          <w:szCs w:val="24"/>
        </w:rPr>
        <w:t>III</w:t>
      </w:r>
      <w:r w:rsidRPr="00010A76">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344F14DE" w14:textId="77777777" w:rsidR="00084C5F" w:rsidRPr="00010A76" w:rsidRDefault="00084C5F" w:rsidP="00084C5F">
      <w:pPr>
        <w:autoSpaceDE w:val="0"/>
        <w:autoSpaceDN w:val="0"/>
        <w:adjustRightInd w:val="0"/>
        <w:spacing w:after="0" w:line="240" w:lineRule="auto"/>
        <w:ind w:left="567" w:right="567"/>
        <w:jc w:val="right"/>
        <w:rPr>
          <w:rFonts w:ascii="Palatino Linotype" w:hAnsi="Palatino Linotype" w:cs="Arial"/>
          <w:szCs w:val="24"/>
        </w:rPr>
      </w:pPr>
      <w:r w:rsidRPr="00010A76">
        <w:rPr>
          <w:rFonts w:ascii="Palatino Linotype" w:hAnsi="Palatino Linotype" w:cs="Arial"/>
          <w:szCs w:val="24"/>
        </w:rPr>
        <w:t>(Énfasis añadido)</w:t>
      </w:r>
    </w:p>
    <w:p w14:paraId="58E05646"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p>
    <w:p w14:paraId="315A9C2A"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r w:rsidRPr="00010A76">
        <w:rPr>
          <w:rFonts w:ascii="Palatino Linotype" w:hAnsi="Palatino Linotype" w:cs="Arial"/>
          <w:sz w:val="24"/>
          <w:szCs w:val="24"/>
        </w:rPr>
        <w:lastRenderedPageBreak/>
        <w:t>Por otra parte, del contenido del artículo 1 de la Constitución Política de los Estados Unidos Mexicanos, se destaca lo siguiente:</w:t>
      </w:r>
    </w:p>
    <w:p w14:paraId="7C25BDD6"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p>
    <w:p w14:paraId="4EF0BEFD"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t>“</w:t>
      </w:r>
      <w:r w:rsidRPr="00010A76">
        <w:rPr>
          <w:rFonts w:ascii="Palatino Linotype" w:hAnsi="Palatino Linotype" w:cs="Arial"/>
          <w:b/>
          <w:i/>
          <w:szCs w:val="24"/>
        </w:rPr>
        <w:t>Artículo 1o.</w:t>
      </w:r>
      <w:r w:rsidRPr="00010A76">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DBE0AE"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024734DA"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0C3472C"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p>
    <w:p w14:paraId="5E8E0A66"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r w:rsidRPr="00010A76">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A31CA5C"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p>
    <w:p w14:paraId="332CF3F4"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r w:rsidRPr="00010A76">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7B8398BC"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Cs w:val="24"/>
        </w:rPr>
      </w:pPr>
      <w:r w:rsidRPr="00010A76">
        <w:rPr>
          <w:rFonts w:ascii="Palatino Linotype" w:hAnsi="Palatino Linotype" w:cs="Arial"/>
          <w:i/>
          <w:szCs w:val="24"/>
        </w:rPr>
        <w:lastRenderedPageBreak/>
        <w:t>“</w:t>
      </w:r>
      <w:r w:rsidRPr="00010A76">
        <w:rPr>
          <w:rFonts w:ascii="Palatino Linotype" w:hAnsi="Palatino Linotype" w:cs="Arial"/>
          <w:b/>
          <w:i/>
          <w:szCs w:val="24"/>
        </w:rPr>
        <w:t>Acceso a información gubernamental. No debe condicionarse a que el solicitante acredite su personalidad, demuestre interés alguno o justifique su utilización.</w:t>
      </w:r>
      <w:r w:rsidRPr="00010A76">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2874F13"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 w:val="20"/>
          <w:szCs w:val="24"/>
        </w:rPr>
      </w:pPr>
      <w:r w:rsidRPr="00010A76">
        <w:rPr>
          <w:rFonts w:ascii="Palatino Linotype" w:hAnsi="Palatino Linotype" w:cs="Arial"/>
          <w:i/>
          <w:sz w:val="20"/>
          <w:szCs w:val="24"/>
        </w:rPr>
        <w:t>Resoluciones</w:t>
      </w:r>
    </w:p>
    <w:p w14:paraId="1BF1393D"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 w:val="20"/>
          <w:szCs w:val="24"/>
        </w:rPr>
      </w:pPr>
      <w:r w:rsidRPr="00010A76">
        <w:rPr>
          <w:rFonts w:ascii="Palatino Linotype" w:hAnsi="Palatino Linotype" w:cs="Arial"/>
          <w:i/>
          <w:sz w:val="20"/>
          <w:szCs w:val="24"/>
        </w:rPr>
        <w:t>• RDA 5275/13. Interpuesto en contra de la Secretaría de la Defensa Nacional. Comisionado Ponente Ángel Trinidad Zaldívar.</w:t>
      </w:r>
    </w:p>
    <w:p w14:paraId="102D8885"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 w:val="20"/>
          <w:szCs w:val="24"/>
        </w:rPr>
      </w:pPr>
      <w:r w:rsidRPr="00010A76">
        <w:rPr>
          <w:rFonts w:ascii="Palatino Linotype" w:hAnsi="Palatino Linotype" w:cs="Arial"/>
          <w:i/>
          <w:sz w:val="20"/>
          <w:szCs w:val="24"/>
        </w:rPr>
        <w:t xml:space="preserve">• RDA 2937/13. Interpuesto en contra de LICONSA, S.A. de C.V. Comisionado. Ponente Gerardo </w:t>
      </w:r>
      <w:proofErr w:type="spellStart"/>
      <w:r w:rsidRPr="00010A76">
        <w:rPr>
          <w:rFonts w:ascii="Palatino Linotype" w:hAnsi="Palatino Linotype" w:cs="Arial"/>
          <w:i/>
          <w:sz w:val="20"/>
          <w:szCs w:val="24"/>
        </w:rPr>
        <w:t>Laveaga</w:t>
      </w:r>
      <w:proofErr w:type="spellEnd"/>
      <w:r w:rsidRPr="00010A76">
        <w:rPr>
          <w:rFonts w:ascii="Palatino Linotype" w:hAnsi="Palatino Linotype" w:cs="Arial"/>
          <w:i/>
          <w:sz w:val="20"/>
          <w:szCs w:val="24"/>
        </w:rPr>
        <w:t xml:space="preserve"> Rendón.</w:t>
      </w:r>
    </w:p>
    <w:p w14:paraId="3DDB1901"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 w:val="20"/>
          <w:szCs w:val="24"/>
        </w:rPr>
      </w:pPr>
      <w:r w:rsidRPr="00010A76">
        <w:rPr>
          <w:rFonts w:ascii="Palatino Linotype" w:hAnsi="Palatino Linotype" w:cs="Arial"/>
          <w:i/>
          <w:sz w:val="20"/>
          <w:szCs w:val="24"/>
        </w:rPr>
        <w:t xml:space="preserve">• RDA 3609/12. Interpuesto en contra de la Secretaría de Educación Pública. Comisionada Ponente Sigrid </w:t>
      </w:r>
      <w:proofErr w:type="spellStart"/>
      <w:r w:rsidRPr="00010A76">
        <w:rPr>
          <w:rFonts w:ascii="Palatino Linotype" w:hAnsi="Palatino Linotype" w:cs="Arial"/>
          <w:i/>
          <w:sz w:val="20"/>
          <w:szCs w:val="24"/>
        </w:rPr>
        <w:t>Arzt</w:t>
      </w:r>
      <w:proofErr w:type="spellEnd"/>
      <w:r w:rsidRPr="00010A76">
        <w:rPr>
          <w:rFonts w:ascii="Palatino Linotype" w:hAnsi="Palatino Linotype" w:cs="Arial"/>
          <w:i/>
          <w:sz w:val="20"/>
          <w:szCs w:val="24"/>
        </w:rPr>
        <w:t xml:space="preserve"> Colunga.</w:t>
      </w:r>
    </w:p>
    <w:p w14:paraId="195B082B"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 w:val="20"/>
          <w:szCs w:val="24"/>
        </w:rPr>
      </w:pPr>
      <w:r w:rsidRPr="00010A76">
        <w:rPr>
          <w:rFonts w:ascii="Palatino Linotype" w:hAnsi="Palatino Linotype" w:cs="Arial"/>
          <w:i/>
          <w:sz w:val="20"/>
          <w:szCs w:val="24"/>
        </w:rPr>
        <w:t>• RDA 3361/12. Interpuesto en contra del Servicio de Administración Tributaria. Comisionada Ponente María Elena Pérez-Jaén Zermeño.</w:t>
      </w:r>
    </w:p>
    <w:p w14:paraId="54551410" w14:textId="77777777" w:rsidR="00084C5F" w:rsidRPr="00010A76" w:rsidRDefault="00084C5F" w:rsidP="00084C5F">
      <w:pPr>
        <w:autoSpaceDE w:val="0"/>
        <w:autoSpaceDN w:val="0"/>
        <w:adjustRightInd w:val="0"/>
        <w:spacing w:after="0" w:line="240" w:lineRule="auto"/>
        <w:ind w:left="567" w:right="567"/>
        <w:jc w:val="both"/>
        <w:rPr>
          <w:rFonts w:ascii="Palatino Linotype" w:hAnsi="Palatino Linotype" w:cs="Arial"/>
          <w:i/>
          <w:sz w:val="20"/>
          <w:szCs w:val="24"/>
        </w:rPr>
      </w:pPr>
      <w:r w:rsidRPr="00010A76">
        <w:rPr>
          <w:rFonts w:ascii="Palatino Linotype" w:hAnsi="Palatino Linotype" w:cs="Arial"/>
          <w:i/>
          <w:sz w:val="20"/>
          <w:szCs w:val="24"/>
        </w:rPr>
        <w:t xml:space="preserve">• RDA 0563/12. Interpuesto en contra de la Secretaría de la Función Pública. Comisionada Ponente Jacqueline </w:t>
      </w:r>
      <w:proofErr w:type="spellStart"/>
      <w:r w:rsidRPr="00010A76">
        <w:rPr>
          <w:rFonts w:ascii="Palatino Linotype" w:hAnsi="Palatino Linotype" w:cs="Arial"/>
          <w:i/>
          <w:sz w:val="20"/>
          <w:szCs w:val="24"/>
        </w:rPr>
        <w:t>Peschard</w:t>
      </w:r>
      <w:proofErr w:type="spellEnd"/>
      <w:r w:rsidRPr="00010A76">
        <w:rPr>
          <w:rFonts w:ascii="Palatino Linotype" w:hAnsi="Palatino Linotype" w:cs="Arial"/>
          <w:i/>
          <w:sz w:val="20"/>
          <w:szCs w:val="24"/>
        </w:rPr>
        <w:t xml:space="preserve"> Mariscal.”</w:t>
      </w:r>
    </w:p>
    <w:p w14:paraId="5EEF9DBA"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p>
    <w:p w14:paraId="2982C256"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r w:rsidRPr="00010A76">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010A76">
        <w:rPr>
          <w:rFonts w:ascii="Palatino Linotype" w:hAnsi="Palatino Linotype" w:cs="Arial"/>
          <w:b/>
          <w:sz w:val="24"/>
          <w:szCs w:val="24"/>
        </w:rPr>
        <w:t>Recurrente</w:t>
      </w:r>
      <w:r w:rsidRPr="00010A76">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7F125108" w14:textId="77777777" w:rsidR="00F71620" w:rsidRPr="00010A76" w:rsidRDefault="00F71620" w:rsidP="00084C5F">
      <w:pPr>
        <w:autoSpaceDE w:val="0"/>
        <w:autoSpaceDN w:val="0"/>
        <w:adjustRightInd w:val="0"/>
        <w:spacing w:after="0" w:line="360" w:lineRule="auto"/>
        <w:jc w:val="both"/>
        <w:rPr>
          <w:rFonts w:ascii="Palatino Linotype" w:hAnsi="Palatino Linotype" w:cs="Arial"/>
          <w:sz w:val="24"/>
          <w:szCs w:val="24"/>
        </w:rPr>
      </w:pPr>
    </w:p>
    <w:p w14:paraId="186627F3"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r w:rsidRPr="00010A76">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010A76">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2174C6D"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p>
    <w:p w14:paraId="72DBBF72"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r w:rsidRPr="00010A76">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734C6E0C"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p>
    <w:p w14:paraId="5626C974"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r w:rsidRPr="00010A76">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290B542A"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p>
    <w:p w14:paraId="32A88DC0" w14:textId="77777777" w:rsidR="002426A9" w:rsidRPr="00010A76" w:rsidRDefault="002426A9" w:rsidP="00084C5F">
      <w:pPr>
        <w:autoSpaceDE w:val="0"/>
        <w:autoSpaceDN w:val="0"/>
        <w:adjustRightInd w:val="0"/>
        <w:spacing w:after="0" w:line="360" w:lineRule="auto"/>
        <w:jc w:val="both"/>
        <w:rPr>
          <w:rFonts w:ascii="Palatino Linotype" w:hAnsi="Palatino Linotype" w:cs="Arial"/>
          <w:sz w:val="24"/>
          <w:szCs w:val="24"/>
        </w:rPr>
      </w:pPr>
    </w:p>
    <w:p w14:paraId="0752C4F6" w14:textId="77777777" w:rsidR="00084C5F" w:rsidRPr="00010A76" w:rsidRDefault="00084C5F" w:rsidP="00084C5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010A76">
        <w:rPr>
          <w:rFonts w:ascii="Palatino Linotype" w:eastAsia="Palatino Linotype" w:hAnsi="Palatino Linotype" w:cs="Palatino Linotype"/>
          <w:b/>
          <w:color w:val="000000"/>
          <w:sz w:val="26"/>
          <w:szCs w:val="26"/>
          <w:lang w:val="es-ES_tradnl" w:eastAsia="es-MX"/>
        </w:rPr>
        <w:lastRenderedPageBreak/>
        <w:t>TERCERO. De las causas de improcedencia.</w:t>
      </w:r>
    </w:p>
    <w:p w14:paraId="0D5ACC6A" w14:textId="77777777" w:rsidR="00084C5F" w:rsidRPr="00010A76" w:rsidRDefault="00084C5F" w:rsidP="00084C5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010A76">
        <w:rPr>
          <w:rFonts w:ascii="Palatino Linotype" w:eastAsia="Palatino Linotype" w:hAnsi="Palatino Linotype" w:cs="Palatino Linotype"/>
          <w:color w:val="000000"/>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60B713" w14:textId="77777777" w:rsidR="00084C5F" w:rsidRPr="00010A76" w:rsidRDefault="00084C5F" w:rsidP="00084C5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14:paraId="6C5C596C" w14:textId="77777777" w:rsidR="00084C5F" w:rsidRPr="00010A76" w:rsidRDefault="00084C5F" w:rsidP="00084C5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010A76">
        <w:rPr>
          <w:rFonts w:ascii="Palatino Linotype" w:eastAsia="Palatino Linotype" w:hAnsi="Palatino Linotype" w:cs="Palatino Linotype"/>
          <w:color w:val="000000"/>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010A76">
        <w:rPr>
          <w:rFonts w:ascii="Palatino Linotype" w:eastAsia="Palatino Linotype" w:hAnsi="Palatino Linotype" w:cs="Palatino Linotype"/>
          <w:color w:val="000000"/>
          <w:vertAlign w:val="superscript"/>
          <w:lang w:val="es-ES_tradnl" w:eastAsia="es-MX"/>
        </w:rPr>
        <w:footnoteReference w:id="1"/>
      </w:r>
      <w:r w:rsidRPr="00010A76">
        <w:rPr>
          <w:rFonts w:ascii="Palatino Linotype" w:eastAsia="Palatino Linotype" w:hAnsi="Palatino Linotype" w:cs="Palatino Linotype"/>
          <w:color w:val="000000"/>
          <w:lang w:val="es-ES_tradnl" w:eastAsia="es-MX"/>
        </w:rPr>
        <w:t xml:space="preserve">, la cual permite dilucidar alguna causal que impida </w:t>
      </w:r>
      <w:r w:rsidRPr="00010A76">
        <w:rPr>
          <w:rFonts w:ascii="Palatino Linotype" w:eastAsia="Palatino Linotype" w:hAnsi="Palatino Linotype" w:cs="Palatino Linotype"/>
          <w:color w:val="000000"/>
          <w:lang w:val="es-ES_tradnl" w:eastAsia="es-MX"/>
        </w:rPr>
        <w:lastRenderedPageBreak/>
        <w:t>el estudio y resolución, cuando una vez admitido el recurso de revisión se advierta una causa de improcedencia que permita sobreseerlo, sin estudiar el fondo del asunto.</w:t>
      </w:r>
    </w:p>
    <w:p w14:paraId="2DDF7873" w14:textId="77777777" w:rsidR="00084C5F" w:rsidRPr="00010A76" w:rsidRDefault="00084C5F" w:rsidP="00084C5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14:paraId="711CA320" w14:textId="77777777" w:rsidR="00084C5F" w:rsidRPr="00010A76" w:rsidRDefault="00084C5F" w:rsidP="00084C5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010A76">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1E69B63" w14:textId="77777777" w:rsidR="003F16F4" w:rsidRPr="00010A76" w:rsidRDefault="003F16F4" w:rsidP="00084C5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14:paraId="77D16263" w14:textId="77777777" w:rsidR="00B13FF1" w:rsidRPr="00010A76" w:rsidRDefault="00B13FF1" w:rsidP="00084C5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14:paraId="26E3F31E" w14:textId="77777777" w:rsidR="00084C5F" w:rsidRPr="00010A76" w:rsidRDefault="00084C5F" w:rsidP="00084C5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010A76">
        <w:rPr>
          <w:rFonts w:ascii="Palatino Linotype" w:eastAsia="Palatino Linotype" w:hAnsi="Palatino Linotype" w:cs="Palatino Linotype"/>
          <w:b/>
          <w:color w:val="000000"/>
          <w:sz w:val="26"/>
          <w:szCs w:val="26"/>
          <w:lang w:val="es-ES_tradnl" w:eastAsia="es-MX"/>
        </w:rPr>
        <w:t>CUARTO. Estudio y resolución del asunto.</w:t>
      </w:r>
    </w:p>
    <w:p w14:paraId="11F28AB0" w14:textId="77777777" w:rsidR="00084C5F" w:rsidRPr="00010A76" w:rsidRDefault="00084C5F" w:rsidP="00084C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10A76">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CBB959D" w14:textId="77777777" w:rsidR="00F71620" w:rsidRPr="00010A76" w:rsidRDefault="00F71620" w:rsidP="00084C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0BF2BAD" w14:textId="77777777" w:rsidR="00084C5F" w:rsidRPr="00010A76" w:rsidRDefault="00084C5F" w:rsidP="00084C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10A76">
        <w:rPr>
          <w:rFonts w:ascii="Palatino Linotype" w:eastAsia="Times New Roman" w:hAnsi="Palatino Linotype" w:cs="Arial"/>
          <w:sz w:val="24"/>
          <w:szCs w:val="24"/>
          <w:lang w:val="es-ES" w:eastAsia="es-ES"/>
        </w:rPr>
        <w:t xml:space="preserve">Hecha la acotación anterior, podemos concluir que de conformidad con la redacción tanto de la solicitud de información, como del desahogo a la aclaración, el </w:t>
      </w:r>
      <w:r w:rsidRPr="00010A76">
        <w:rPr>
          <w:rFonts w:ascii="Palatino Linotype" w:eastAsia="Times New Roman" w:hAnsi="Palatino Linotype" w:cs="Arial"/>
          <w:b/>
          <w:sz w:val="24"/>
          <w:szCs w:val="24"/>
          <w:lang w:val="es-ES" w:eastAsia="es-ES"/>
        </w:rPr>
        <w:t>Recurrente</w:t>
      </w:r>
      <w:r w:rsidRPr="00010A76">
        <w:rPr>
          <w:rFonts w:ascii="Palatino Linotype" w:eastAsia="Times New Roman" w:hAnsi="Palatino Linotype" w:cs="Arial"/>
          <w:sz w:val="24"/>
          <w:szCs w:val="24"/>
          <w:lang w:val="es-ES" w:eastAsia="es-ES"/>
        </w:rPr>
        <w:t xml:space="preserve"> peticiona lo siguiente:</w:t>
      </w:r>
    </w:p>
    <w:p w14:paraId="22B8F951" w14:textId="77777777" w:rsidR="00084C5F" w:rsidRPr="00010A76" w:rsidRDefault="00084C5F" w:rsidP="002426A9">
      <w:pPr>
        <w:pStyle w:val="Prrafodelista"/>
        <w:numPr>
          <w:ilvl w:val="0"/>
          <w:numId w:val="4"/>
        </w:numPr>
        <w:spacing w:line="360" w:lineRule="auto"/>
        <w:jc w:val="both"/>
        <w:rPr>
          <w:rFonts w:ascii="Palatino Linotype" w:hAnsi="Palatino Linotype"/>
        </w:rPr>
      </w:pPr>
      <w:r w:rsidRPr="00010A76">
        <w:rPr>
          <w:rFonts w:ascii="Palatino Linotype" w:hAnsi="Palatino Linotype"/>
          <w:lang w:val="es-MX"/>
        </w:rPr>
        <w:lastRenderedPageBreak/>
        <w:t>E</w:t>
      </w:r>
      <w:r w:rsidRPr="00010A76">
        <w:rPr>
          <w:rFonts w:ascii="Palatino Linotype" w:hAnsi="Palatino Linotype"/>
        </w:rPr>
        <w:t xml:space="preserve">l costo </w:t>
      </w:r>
      <w:r w:rsidR="002426A9" w:rsidRPr="00010A76">
        <w:rPr>
          <w:rFonts w:ascii="Palatino Linotype" w:hAnsi="Palatino Linotype"/>
        </w:rPr>
        <w:t xml:space="preserve">total con copias de facturas del </w:t>
      </w:r>
      <w:r w:rsidR="00396830" w:rsidRPr="00010A76">
        <w:rPr>
          <w:rFonts w:ascii="Palatino Linotype" w:hAnsi="Palatino Linotype"/>
        </w:rPr>
        <w:t>evento por el</w:t>
      </w:r>
      <w:r w:rsidR="002426A9" w:rsidRPr="00010A76">
        <w:rPr>
          <w:rFonts w:ascii="Palatino Linotype" w:hAnsi="Palatino Linotype"/>
        </w:rPr>
        <w:t xml:space="preserve"> primer informe de gobierno de actividades del </w:t>
      </w:r>
      <w:r w:rsidR="003F16F4" w:rsidRPr="00010A76">
        <w:rPr>
          <w:rFonts w:ascii="Palatino Linotype" w:hAnsi="Palatino Linotype"/>
        </w:rPr>
        <w:t xml:space="preserve">Ayuntamiento </w:t>
      </w:r>
      <w:r w:rsidR="002426A9" w:rsidRPr="00010A76">
        <w:rPr>
          <w:rFonts w:ascii="Palatino Linotype" w:hAnsi="Palatino Linotype"/>
        </w:rPr>
        <w:t>de Tepetlixpa.</w:t>
      </w:r>
    </w:p>
    <w:p w14:paraId="2D415C50" w14:textId="77777777" w:rsidR="002426A9" w:rsidRPr="00010A76" w:rsidRDefault="002426A9" w:rsidP="00084C5F">
      <w:pPr>
        <w:spacing w:after="0" w:line="360" w:lineRule="auto"/>
        <w:jc w:val="both"/>
        <w:rPr>
          <w:rFonts w:ascii="Palatino Linotype" w:hAnsi="Palatino Linotype"/>
          <w:sz w:val="24"/>
          <w:szCs w:val="24"/>
        </w:rPr>
      </w:pPr>
    </w:p>
    <w:p w14:paraId="3F7F3245" w14:textId="77777777" w:rsidR="00084C5F" w:rsidRPr="00010A76" w:rsidRDefault="00084C5F" w:rsidP="00084C5F">
      <w:pPr>
        <w:spacing w:after="0" w:line="360" w:lineRule="auto"/>
        <w:jc w:val="both"/>
        <w:rPr>
          <w:rFonts w:ascii="Palatino Linotype" w:hAnsi="Palatino Linotype"/>
          <w:sz w:val="24"/>
          <w:szCs w:val="24"/>
        </w:rPr>
      </w:pPr>
      <w:r w:rsidRPr="00010A76">
        <w:rPr>
          <w:rFonts w:ascii="Palatino Linotype" w:hAnsi="Palatino Linotype"/>
          <w:sz w:val="24"/>
          <w:szCs w:val="24"/>
        </w:rPr>
        <w:t xml:space="preserve">El </w:t>
      </w:r>
      <w:r w:rsidRPr="00010A76">
        <w:rPr>
          <w:rFonts w:ascii="Palatino Linotype" w:hAnsi="Palatino Linotype"/>
          <w:b/>
          <w:sz w:val="24"/>
          <w:szCs w:val="24"/>
        </w:rPr>
        <w:t>Sujeto Obligado</w:t>
      </w:r>
      <w:r w:rsidRPr="00010A76">
        <w:rPr>
          <w:rFonts w:ascii="Palatino Linotype" w:hAnsi="Palatino Linotype"/>
          <w:sz w:val="24"/>
          <w:szCs w:val="24"/>
        </w:rPr>
        <w:t xml:space="preserve"> </w:t>
      </w:r>
      <w:r w:rsidR="002426A9" w:rsidRPr="00010A76">
        <w:rPr>
          <w:rFonts w:ascii="Palatino Linotype" w:hAnsi="Palatino Linotype"/>
          <w:sz w:val="24"/>
          <w:szCs w:val="24"/>
        </w:rPr>
        <w:t>emitió respuesta, por medio del sistema SAIMEX</w:t>
      </w:r>
      <w:r w:rsidR="00276265" w:rsidRPr="00010A76">
        <w:rPr>
          <w:rFonts w:ascii="Palatino Linotype" w:hAnsi="Palatino Linotype"/>
          <w:sz w:val="24"/>
          <w:szCs w:val="24"/>
        </w:rPr>
        <w:t xml:space="preserve">, manifestando remitir las facturas de la información solicitada; sin embargo, de la consulta de las constancias del expediente electrónico, se observa que, contrariamente a lo manifestado, la información no fue </w:t>
      </w:r>
      <w:r w:rsidR="003F16F4" w:rsidRPr="00010A76">
        <w:rPr>
          <w:rFonts w:ascii="Palatino Linotype" w:hAnsi="Palatino Linotype"/>
          <w:sz w:val="24"/>
          <w:szCs w:val="24"/>
        </w:rPr>
        <w:t>proporcionada (</w:t>
      </w:r>
      <w:r w:rsidR="00276265" w:rsidRPr="00010A76">
        <w:rPr>
          <w:rFonts w:ascii="Palatino Linotype" w:hAnsi="Palatino Linotype"/>
          <w:sz w:val="24"/>
          <w:szCs w:val="24"/>
        </w:rPr>
        <w:t>adjuntada</w:t>
      </w:r>
      <w:r w:rsidR="003F16F4" w:rsidRPr="00010A76">
        <w:rPr>
          <w:rFonts w:ascii="Palatino Linotype" w:hAnsi="Palatino Linotype"/>
          <w:sz w:val="24"/>
          <w:szCs w:val="24"/>
        </w:rPr>
        <w:t>)</w:t>
      </w:r>
      <w:r w:rsidR="00276265" w:rsidRPr="00010A76">
        <w:rPr>
          <w:rFonts w:ascii="Palatino Linotype" w:hAnsi="Palatino Linotype"/>
          <w:sz w:val="24"/>
          <w:szCs w:val="24"/>
        </w:rPr>
        <w:t>, se inserta imagen para pronta referencia.</w:t>
      </w:r>
    </w:p>
    <w:p w14:paraId="0DB8464E" w14:textId="77777777" w:rsidR="00276265" w:rsidRPr="00010A76" w:rsidRDefault="00276265" w:rsidP="00084C5F">
      <w:pPr>
        <w:spacing w:after="0" w:line="360" w:lineRule="auto"/>
        <w:jc w:val="both"/>
        <w:rPr>
          <w:rFonts w:ascii="Palatino Linotype" w:hAnsi="Palatino Linotype"/>
          <w:sz w:val="24"/>
          <w:szCs w:val="24"/>
        </w:rPr>
      </w:pPr>
    </w:p>
    <w:p w14:paraId="716DCB84" w14:textId="77777777" w:rsidR="00276265" w:rsidRPr="00010A76" w:rsidRDefault="00276265" w:rsidP="00276265">
      <w:pPr>
        <w:spacing w:after="0" w:line="360" w:lineRule="auto"/>
        <w:jc w:val="center"/>
        <w:rPr>
          <w:rFonts w:ascii="Palatino Linotype" w:hAnsi="Palatino Linotype"/>
          <w:sz w:val="24"/>
          <w:szCs w:val="24"/>
        </w:rPr>
      </w:pPr>
      <w:r w:rsidRPr="00010A76">
        <w:rPr>
          <w:rFonts w:ascii="Palatino Linotype" w:hAnsi="Palatino Linotype"/>
          <w:noProof/>
          <w:sz w:val="24"/>
          <w:szCs w:val="24"/>
          <w:lang w:eastAsia="es-MX"/>
        </w:rPr>
        <w:drawing>
          <wp:inline distT="0" distB="0" distL="0" distR="0" wp14:anchorId="4C8A48C0" wp14:editId="7015DC0B">
            <wp:extent cx="3606394" cy="279066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22053" cy="2802779"/>
                    </a:xfrm>
                    <a:prstGeom prst="rect">
                      <a:avLst/>
                    </a:prstGeom>
                  </pic:spPr>
                </pic:pic>
              </a:graphicData>
            </a:graphic>
          </wp:inline>
        </w:drawing>
      </w:r>
    </w:p>
    <w:p w14:paraId="1C25751A" w14:textId="77777777" w:rsidR="00084C5F" w:rsidRPr="00010A76" w:rsidRDefault="00084C5F" w:rsidP="00084C5F">
      <w:pPr>
        <w:spacing w:after="0" w:line="360" w:lineRule="auto"/>
        <w:jc w:val="both"/>
        <w:rPr>
          <w:rFonts w:ascii="Palatino Linotype" w:hAnsi="Palatino Linotype"/>
          <w:sz w:val="24"/>
          <w:szCs w:val="24"/>
        </w:rPr>
      </w:pPr>
    </w:p>
    <w:p w14:paraId="640A1A85" w14:textId="43ABD98B" w:rsidR="00276265" w:rsidRPr="00010A76" w:rsidRDefault="00276265" w:rsidP="00084C5F">
      <w:pPr>
        <w:spacing w:after="0" w:line="360" w:lineRule="auto"/>
        <w:jc w:val="both"/>
        <w:rPr>
          <w:rFonts w:ascii="Palatino Linotype" w:hAnsi="Palatino Linotype"/>
          <w:sz w:val="24"/>
          <w:szCs w:val="24"/>
        </w:rPr>
      </w:pPr>
      <w:r w:rsidRPr="00010A76">
        <w:rPr>
          <w:rFonts w:ascii="Palatino Linotype" w:hAnsi="Palatino Linotype"/>
          <w:sz w:val="24"/>
          <w:szCs w:val="24"/>
        </w:rPr>
        <w:t xml:space="preserve">En ese mismo sentido, de conformidad con las constancias electrónicas, particularmente del apartado de requerimiento, se observa que la solicitud </w:t>
      </w:r>
      <w:r w:rsidR="00B772DF" w:rsidRPr="00010A76">
        <w:rPr>
          <w:rFonts w:ascii="Palatino Linotype" w:hAnsi="Palatino Linotype"/>
          <w:sz w:val="24"/>
          <w:szCs w:val="24"/>
        </w:rPr>
        <w:t xml:space="preserve">fue </w:t>
      </w:r>
      <w:r w:rsidRPr="00010A76">
        <w:rPr>
          <w:rFonts w:ascii="Palatino Linotype" w:hAnsi="Palatino Linotype"/>
          <w:sz w:val="24"/>
          <w:szCs w:val="24"/>
        </w:rPr>
        <w:t>turnada a</w:t>
      </w:r>
      <w:r w:rsidR="003F16F4" w:rsidRPr="00010A76">
        <w:rPr>
          <w:rFonts w:ascii="Palatino Linotype" w:hAnsi="Palatino Linotype"/>
          <w:sz w:val="24"/>
          <w:szCs w:val="24"/>
        </w:rPr>
        <w:t xml:space="preserve"> </w:t>
      </w:r>
      <w:r w:rsidR="00EC4661" w:rsidRPr="00010A76">
        <w:rPr>
          <w:rFonts w:ascii="Palatino Linotype" w:hAnsi="Palatino Linotype"/>
          <w:sz w:val="24"/>
          <w:szCs w:val="24"/>
        </w:rPr>
        <w:t>l</w:t>
      </w:r>
      <w:r w:rsidR="003F16F4" w:rsidRPr="00010A76">
        <w:rPr>
          <w:rFonts w:ascii="Palatino Linotype" w:hAnsi="Palatino Linotype"/>
          <w:sz w:val="24"/>
          <w:szCs w:val="24"/>
        </w:rPr>
        <w:t>a</w:t>
      </w:r>
      <w:r w:rsidR="00EC4661" w:rsidRPr="00010A76">
        <w:rPr>
          <w:rFonts w:ascii="Palatino Linotype" w:hAnsi="Palatino Linotype"/>
          <w:sz w:val="24"/>
          <w:szCs w:val="24"/>
        </w:rPr>
        <w:t xml:space="preserve"> servidor</w:t>
      </w:r>
      <w:r w:rsidR="003F16F4" w:rsidRPr="00010A76">
        <w:rPr>
          <w:rFonts w:ascii="Palatino Linotype" w:hAnsi="Palatino Linotype"/>
          <w:sz w:val="24"/>
          <w:szCs w:val="24"/>
        </w:rPr>
        <w:t>a</w:t>
      </w:r>
      <w:r w:rsidR="00EC4661" w:rsidRPr="00010A76">
        <w:rPr>
          <w:rFonts w:ascii="Palatino Linotype" w:hAnsi="Palatino Linotype"/>
          <w:sz w:val="24"/>
          <w:szCs w:val="24"/>
        </w:rPr>
        <w:t xml:space="preserve"> públic</w:t>
      </w:r>
      <w:r w:rsidR="003F16F4" w:rsidRPr="00010A76">
        <w:rPr>
          <w:rFonts w:ascii="Palatino Linotype" w:hAnsi="Palatino Linotype"/>
          <w:sz w:val="24"/>
          <w:szCs w:val="24"/>
        </w:rPr>
        <w:t>a habilitada</w:t>
      </w:r>
      <w:r w:rsidR="00EC4661" w:rsidRPr="00010A76">
        <w:rPr>
          <w:rFonts w:ascii="Palatino Linotype" w:hAnsi="Palatino Linotype"/>
          <w:sz w:val="24"/>
          <w:szCs w:val="24"/>
        </w:rPr>
        <w:t xml:space="preserve"> y </w:t>
      </w:r>
      <w:r w:rsidRPr="00010A76">
        <w:rPr>
          <w:rFonts w:ascii="Palatino Linotype" w:hAnsi="Palatino Linotype"/>
          <w:sz w:val="24"/>
          <w:szCs w:val="24"/>
        </w:rPr>
        <w:t>Tesorera Municipal</w:t>
      </w:r>
      <w:r w:rsidR="00EC4661" w:rsidRPr="00010A76">
        <w:rPr>
          <w:rFonts w:ascii="Palatino Linotype" w:hAnsi="Palatino Linotype"/>
          <w:sz w:val="24"/>
          <w:szCs w:val="24"/>
        </w:rPr>
        <w:t xml:space="preserve"> del Sujeto Obligado, como se observa a continuación.</w:t>
      </w:r>
    </w:p>
    <w:p w14:paraId="72A8435E" w14:textId="77777777" w:rsidR="00EC4661" w:rsidRPr="00010A76" w:rsidRDefault="00EC4661" w:rsidP="00084C5F">
      <w:pPr>
        <w:spacing w:after="0" w:line="360" w:lineRule="auto"/>
        <w:jc w:val="both"/>
        <w:rPr>
          <w:rFonts w:ascii="Palatino Linotype" w:hAnsi="Palatino Linotype"/>
          <w:sz w:val="24"/>
          <w:szCs w:val="24"/>
        </w:rPr>
      </w:pPr>
    </w:p>
    <w:p w14:paraId="3C2D724C" w14:textId="77777777" w:rsidR="003F16F4" w:rsidRPr="00010A76" w:rsidRDefault="003F16F4" w:rsidP="00F71620">
      <w:pPr>
        <w:spacing w:after="0" w:line="360" w:lineRule="auto"/>
        <w:jc w:val="center"/>
        <w:rPr>
          <w:rFonts w:ascii="Palatino Linotype" w:hAnsi="Palatino Linotype"/>
          <w:sz w:val="24"/>
          <w:szCs w:val="24"/>
        </w:rPr>
      </w:pPr>
      <w:r w:rsidRPr="00010A76">
        <w:rPr>
          <w:rFonts w:ascii="Palatino Linotype" w:hAnsi="Palatino Linotype"/>
          <w:noProof/>
          <w:sz w:val="24"/>
          <w:szCs w:val="24"/>
          <w:lang w:eastAsia="es-MX"/>
        </w:rPr>
        <w:lastRenderedPageBreak/>
        <w:drawing>
          <wp:inline distT="0" distB="0" distL="0" distR="0" wp14:anchorId="11A77A39" wp14:editId="6108A9A8">
            <wp:extent cx="5368470" cy="687629"/>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4909" cy="703824"/>
                    </a:xfrm>
                    <a:prstGeom prst="rect">
                      <a:avLst/>
                    </a:prstGeom>
                  </pic:spPr>
                </pic:pic>
              </a:graphicData>
            </a:graphic>
          </wp:inline>
        </w:drawing>
      </w:r>
    </w:p>
    <w:p w14:paraId="4367B606" w14:textId="77777777" w:rsidR="00F71620" w:rsidRPr="00010A76" w:rsidRDefault="00F71620" w:rsidP="00084C5F">
      <w:pPr>
        <w:spacing w:after="0" w:line="360" w:lineRule="auto"/>
        <w:jc w:val="both"/>
        <w:rPr>
          <w:rFonts w:ascii="Palatino Linotype" w:hAnsi="Palatino Linotype"/>
          <w:sz w:val="24"/>
          <w:szCs w:val="24"/>
        </w:rPr>
      </w:pPr>
    </w:p>
    <w:p w14:paraId="36869EE8" w14:textId="77777777" w:rsidR="00EC4661" w:rsidRPr="00010A76" w:rsidRDefault="00EC4661" w:rsidP="00EC4661">
      <w:pPr>
        <w:spacing w:after="0" w:line="360" w:lineRule="auto"/>
        <w:jc w:val="center"/>
        <w:rPr>
          <w:rFonts w:ascii="Palatino Linotype" w:hAnsi="Palatino Linotype"/>
          <w:sz w:val="24"/>
          <w:szCs w:val="24"/>
        </w:rPr>
      </w:pPr>
      <w:r w:rsidRPr="00010A76">
        <w:rPr>
          <w:rFonts w:ascii="Palatino Linotype" w:hAnsi="Palatino Linotype"/>
          <w:noProof/>
          <w:sz w:val="24"/>
          <w:szCs w:val="24"/>
          <w:lang w:eastAsia="es-MX"/>
        </w:rPr>
        <w:drawing>
          <wp:inline distT="0" distB="0" distL="0" distR="0" wp14:anchorId="246180C7" wp14:editId="355B133A">
            <wp:extent cx="3862426" cy="3675946"/>
            <wp:effectExtent l="0" t="0" r="508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06671" cy="3718054"/>
                    </a:xfrm>
                    <a:prstGeom prst="rect">
                      <a:avLst/>
                    </a:prstGeom>
                  </pic:spPr>
                </pic:pic>
              </a:graphicData>
            </a:graphic>
          </wp:inline>
        </w:drawing>
      </w:r>
    </w:p>
    <w:p w14:paraId="658B0731" w14:textId="77777777" w:rsidR="00276265" w:rsidRPr="00010A76" w:rsidRDefault="00276265" w:rsidP="00EC4661">
      <w:pPr>
        <w:spacing w:after="0" w:line="360" w:lineRule="auto"/>
        <w:jc w:val="center"/>
        <w:rPr>
          <w:rFonts w:ascii="Palatino Linotype" w:hAnsi="Palatino Linotype"/>
          <w:sz w:val="24"/>
          <w:szCs w:val="24"/>
        </w:rPr>
      </w:pPr>
    </w:p>
    <w:p w14:paraId="219FC5A2" w14:textId="7B1763FC" w:rsidR="00EC4661" w:rsidRPr="00010A76" w:rsidRDefault="00EC4661" w:rsidP="00084C5F">
      <w:pPr>
        <w:spacing w:after="0" w:line="360" w:lineRule="auto"/>
        <w:jc w:val="both"/>
        <w:rPr>
          <w:rFonts w:ascii="Palatino Linotype" w:hAnsi="Palatino Linotype"/>
          <w:sz w:val="24"/>
          <w:szCs w:val="24"/>
        </w:rPr>
      </w:pPr>
      <w:r w:rsidRPr="00010A76">
        <w:rPr>
          <w:rFonts w:ascii="Palatino Linotype" w:hAnsi="Palatino Linotype"/>
          <w:sz w:val="24"/>
          <w:szCs w:val="24"/>
        </w:rPr>
        <w:t>Asimismo, se advierte que</w:t>
      </w:r>
      <w:r w:rsidR="00916B90" w:rsidRPr="00010A76">
        <w:rPr>
          <w:rFonts w:ascii="Palatino Linotype" w:hAnsi="Palatino Linotype"/>
          <w:sz w:val="24"/>
          <w:szCs w:val="24"/>
        </w:rPr>
        <w:t xml:space="preserve"> el servidor público habilitado de</w:t>
      </w:r>
      <w:r w:rsidRPr="00010A76">
        <w:rPr>
          <w:rFonts w:ascii="Palatino Linotype" w:hAnsi="Palatino Linotype"/>
          <w:sz w:val="24"/>
          <w:szCs w:val="24"/>
        </w:rPr>
        <w:t xml:space="preserve"> la Tesorera Municipal, emitió respuesta por medio del documento electrónico </w:t>
      </w:r>
      <w:r w:rsidRPr="00010A76">
        <w:rPr>
          <w:rFonts w:ascii="Palatino Linotype" w:hAnsi="Palatino Linotype"/>
          <w:i/>
          <w:sz w:val="24"/>
          <w:szCs w:val="24"/>
        </w:rPr>
        <w:t>“</w:t>
      </w:r>
      <w:r w:rsidRPr="00010A76">
        <w:rPr>
          <w:rFonts w:ascii="Palatino Linotype" w:hAnsi="Palatino Linotype"/>
          <w:b/>
          <w:i/>
          <w:sz w:val="24"/>
          <w:szCs w:val="24"/>
        </w:rPr>
        <w:t>SAIMEX000062023.pdf</w:t>
      </w:r>
      <w:r w:rsidRPr="00010A76">
        <w:rPr>
          <w:rFonts w:ascii="Palatino Linotype" w:hAnsi="Palatino Linotype"/>
          <w:i/>
          <w:sz w:val="24"/>
          <w:szCs w:val="24"/>
        </w:rPr>
        <w:t>”</w:t>
      </w:r>
      <w:r w:rsidRPr="00010A76">
        <w:rPr>
          <w:rFonts w:ascii="Palatino Linotype" w:hAnsi="Palatino Linotype"/>
          <w:sz w:val="24"/>
          <w:szCs w:val="24"/>
        </w:rPr>
        <w:t xml:space="preserve">, </w:t>
      </w:r>
      <w:r w:rsidR="00916B90" w:rsidRPr="00010A76">
        <w:rPr>
          <w:rFonts w:ascii="Palatino Linotype" w:hAnsi="Palatino Linotype"/>
          <w:sz w:val="24"/>
          <w:szCs w:val="24"/>
        </w:rPr>
        <w:t xml:space="preserve">de cuyo contenido se advierten facturas por diversos conceptos. Documento que </w:t>
      </w:r>
      <w:r w:rsidRPr="00010A76">
        <w:rPr>
          <w:rFonts w:ascii="Palatino Linotype" w:hAnsi="Palatino Linotype"/>
          <w:sz w:val="24"/>
          <w:szCs w:val="24"/>
        </w:rPr>
        <w:t xml:space="preserve">no fue proporcionado al </w:t>
      </w:r>
      <w:r w:rsidRPr="00010A76">
        <w:rPr>
          <w:rFonts w:ascii="Palatino Linotype" w:hAnsi="Palatino Linotype"/>
          <w:b/>
          <w:sz w:val="24"/>
          <w:szCs w:val="24"/>
        </w:rPr>
        <w:t>Recurrente</w:t>
      </w:r>
      <w:r w:rsidRPr="00010A76">
        <w:rPr>
          <w:rFonts w:ascii="Palatino Linotype" w:hAnsi="Palatino Linotype"/>
          <w:sz w:val="24"/>
          <w:szCs w:val="24"/>
        </w:rPr>
        <w:t xml:space="preserve">, consecuentemente se tiene por acreditada la procedencia del recurso de revisión, al encuadrar en la hipótesis establecida en la </w:t>
      </w:r>
      <w:r w:rsidRPr="00010A76">
        <w:rPr>
          <w:rFonts w:ascii="Palatino Linotype" w:hAnsi="Palatino Linotype"/>
          <w:sz w:val="24"/>
          <w:szCs w:val="24"/>
        </w:rPr>
        <w:lastRenderedPageBreak/>
        <w:t>fracción V del artículo 179 de la Ley de Transparencia Local</w:t>
      </w:r>
      <w:r w:rsidRPr="00010A76">
        <w:rPr>
          <w:rStyle w:val="Refdenotaalpie"/>
          <w:rFonts w:ascii="Palatino Linotype" w:hAnsi="Palatino Linotype"/>
          <w:sz w:val="24"/>
          <w:szCs w:val="24"/>
        </w:rPr>
        <w:footnoteReference w:id="2"/>
      </w:r>
      <w:r w:rsidRPr="00010A76">
        <w:rPr>
          <w:rFonts w:ascii="Palatino Linotype" w:hAnsi="Palatino Linotype"/>
          <w:sz w:val="24"/>
          <w:szCs w:val="24"/>
        </w:rPr>
        <w:t>, relativa a la entrega de información incompleta.</w:t>
      </w:r>
    </w:p>
    <w:p w14:paraId="4B63C4DD" w14:textId="77777777" w:rsidR="00916B90" w:rsidRPr="00010A76" w:rsidRDefault="00916B90" w:rsidP="007158E0">
      <w:pPr>
        <w:spacing w:after="0" w:line="360" w:lineRule="auto"/>
        <w:jc w:val="both"/>
        <w:rPr>
          <w:rFonts w:ascii="Palatino Linotype" w:eastAsia="Calibri" w:hAnsi="Palatino Linotype" w:cs="Times New Roman"/>
          <w:sz w:val="24"/>
          <w:szCs w:val="24"/>
          <w:lang w:val="es-ES_tradnl" w:eastAsia="es-ES"/>
        </w:rPr>
      </w:pPr>
    </w:p>
    <w:p w14:paraId="096DA1BC" w14:textId="77777777" w:rsidR="007158E0" w:rsidRPr="00010A76" w:rsidRDefault="007158E0" w:rsidP="007158E0">
      <w:pPr>
        <w:spacing w:after="0" w:line="360" w:lineRule="auto"/>
        <w:jc w:val="both"/>
        <w:rPr>
          <w:rFonts w:ascii="Palatino Linotype" w:eastAsia="Calibri" w:hAnsi="Palatino Linotype" w:cs="Times New Roman"/>
          <w:sz w:val="24"/>
          <w:szCs w:val="24"/>
          <w:lang w:val="es-ES_tradnl" w:eastAsia="es-ES"/>
        </w:rPr>
      </w:pPr>
      <w:r w:rsidRPr="00010A76">
        <w:rPr>
          <w:rFonts w:ascii="Palatino Linotype" w:eastAsia="Calibri" w:hAnsi="Palatino Linotype" w:cs="Times New Roman"/>
          <w:sz w:val="24"/>
          <w:szCs w:val="24"/>
          <w:lang w:val="es-ES_tradnl" w:eastAsia="es-ES"/>
        </w:rPr>
        <w:t xml:space="preserve">Atentos a lo manifestado por el </w:t>
      </w:r>
      <w:r w:rsidRPr="00010A76">
        <w:rPr>
          <w:rFonts w:ascii="Palatino Linotype" w:eastAsia="Calibri" w:hAnsi="Palatino Linotype" w:cs="Times New Roman"/>
          <w:b/>
          <w:sz w:val="24"/>
          <w:szCs w:val="24"/>
          <w:lang w:val="es-ES_tradnl" w:eastAsia="es-ES"/>
        </w:rPr>
        <w:t>Sujeto Obligado</w:t>
      </w:r>
      <w:r w:rsidRPr="00010A76">
        <w:rPr>
          <w:rFonts w:ascii="Palatino Linotype" w:eastAsia="Calibri" w:hAnsi="Palatino Linotype" w:cs="Times New Roman"/>
          <w:sz w:val="24"/>
          <w:szCs w:val="24"/>
          <w:lang w:val="es-ES_tradnl" w:eastAsia="es-ES"/>
        </w:rPr>
        <w:t xml:space="preserve">, en primer lugar podemos concluir que se obvia el estudio del marco normativo que rige su actuar, ello atendiendo que, el estudio de la fuente obligacional se realiza con la finalidad de determinar si éste se encuentra obligado a generarla, poseerla o administrarla, pero en los casos en que de la respuesta, acepta o bien otorga indicios de que cuenta con ella, seria ocioso delimitar las norma jurídica que determine si la dependencia, cuenta con ella o no. </w:t>
      </w:r>
    </w:p>
    <w:p w14:paraId="4DE26085" w14:textId="77777777" w:rsidR="007158E0" w:rsidRPr="00010A76" w:rsidRDefault="007158E0" w:rsidP="007158E0">
      <w:pPr>
        <w:spacing w:after="0" w:line="360" w:lineRule="auto"/>
        <w:jc w:val="both"/>
        <w:rPr>
          <w:rFonts w:ascii="Palatino Linotype" w:eastAsia="Calibri" w:hAnsi="Palatino Linotype" w:cs="Times New Roman"/>
          <w:sz w:val="24"/>
          <w:szCs w:val="24"/>
          <w:lang w:val="es-ES_tradnl" w:eastAsia="es-ES"/>
        </w:rPr>
      </w:pPr>
    </w:p>
    <w:p w14:paraId="009DA324" w14:textId="77777777" w:rsidR="007158E0" w:rsidRPr="00010A76" w:rsidRDefault="007158E0" w:rsidP="007158E0">
      <w:pPr>
        <w:spacing w:after="0" w:line="360" w:lineRule="auto"/>
        <w:jc w:val="both"/>
        <w:rPr>
          <w:rFonts w:ascii="Palatino Linotype" w:hAnsi="Palatino Linotype" w:cs="Arial"/>
          <w:sz w:val="24"/>
          <w:lang w:val="es-ES"/>
        </w:rPr>
      </w:pPr>
      <w:r w:rsidRPr="00010A76">
        <w:rPr>
          <w:rFonts w:ascii="Palatino Linotype" w:eastAsia="Calibri" w:hAnsi="Palatino Linotype" w:cs="Times New Roman"/>
          <w:sz w:val="24"/>
          <w:szCs w:val="24"/>
          <w:lang w:val="es-ES_tradnl" w:eastAsia="es-ES"/>
        </w:rPr>
        <w:t xml:space="preserve">No obstante, se traen a colación los artículos </w:t>
      </w:r>
      <w:r w:rsidRPr="00010A76">
        <w:rPr>
          <w:rFonts w:ascii="Palatino Linotype" w:hAnsi="Palatino Linotype" w:cs="Arial"/>
          <w:sz w:val="24"/>
          <w:lang w:val="es-ES"/>
        </w:rPr>
        <w:t>87 y 95 de la Ley Orgánica Municipal del Estado de México, que disponen:</w:t>
      </w:r>
    </w:p>
    <w:p w14:paraId="3A8840DE" w14:textId="77777777" w:rsidR="007158E0" w:rsidRPr="00010A76" w:rsidRDefault="007158E0" w:rsidP="007158E0">
      <w:pPr>
        <w:spacing w:after="0" w:line="360" w:lineRule="auto"/>
        <w:jc w:val="both"/>
        <w:rPr>
          <w:rFonts w:ascii="Palatino Linotype" w:hAnsi="Palatino Linotype" w:cs="Arial"/>
          <w:sz w:val="24"/>
          <w:lang w:val="es-ES"/>
        </w:rPr>
      </w:pPr>
    </w:p>
    <w:p w14:paraId="182D659C"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w:t>
      </w:r>
      <w:r w:rsidRPr="00010A76">
        <w:rPr>
          <w:rFonts w:ascii="Palatino Linotype" w:hAnsi="Palatino Linotype" w:cs="Arial"/>
          <w:b/>
          <w:i/>
          <w:lang w:val="es-ES"/>
        </w:rPr>
        <w:t>Artículo 87.-</w:t>
      </w:r>
      <w:r w:rsidRPr="00010A76">
        <w:rPr>
          <w:rFonts w:ascii="Palatino Linotype" w:hAnsi="Palatino Linotype" w:cs="Arial"/>
          <w:i/>
          <w:lang w:val="es-ES"/>
        </w:rPr>
        <w:t xml:space="preserve"> Para el despacho, estudio y planeación de los diversos asuntos de la administración municipal, el ayuntamiento contará por lo menos con las siguientes Dependencias:</w:t>
      </w:r>
    </w:p>
    <w:p w14:paraId="209FD243"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I. La secretaría del ayuntamiento;</w:t>
      </w:r>
    </w:p>
    <w:p w14:paraId="2E521DD9"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u w:val="single"/>
          <w:lang w:val="es-ES"/>
        </w:rPr>
        <w:t>II. La tesorería municipal</w:t>
      </w:r>
      <w:r w:rsidRPr="00010A76">
        <w:rPr>
          <w:rFonts w:ascii="Palatino Linotype" w:hAnsi="Palatino Linotype" w:cs="Arial"/>
          <w:i/>
          <w:lang w:val="es-ES"/>
        </w:rPr>
        <w:t>.</w:t>
      </w:r>
    </w:p>
    <w:p w14:paraId="1F4FC894"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III. La Dirección de Obras Públicas o equivalente.</w:t>
      </w:r>
    </w:p>
    <w:p w14:paraId="52CE98D3"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IV. La Dirección de Desarrollo Económico o equivalente.</w:t>
      </w:r>
    </w:p>
    <w:p w14:paraId="5AC9C64B"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V. La Dirección de Desarrollo Urbano o equivalente;</w:t>
      </w:r>
    </w:p>
    <w:p w14:paraId="09C91DD1"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VI. La Dirección de Ecología o equivalente.</w:t>
      </w:r>
    </w:p>
    <w:p w14:paraId="038983FE"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VII. La Dirección de Desarrollo Social o equivalente</w:t>
      </w:r>
    </w:p>
    <w:p w14:paraId="4D994911"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VIII. La Coordinación Municipal de Protección Civil o equivalente.</w:t>
      </w:r>
    </w:p>
    <w:p w14:paraId="0C94E7F2"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IX. La Dirección de las Mujeres o equivalente</w:t>
      </w:r>
    </w:p>
    <w:p w14:paraId="4792EF6D" w14:textId="77777777" w:rsidR="007158E0" w:rsidRPr="00010A76" w:rsidRDefault="007158E0" w:rsidP="007158E0">
      <w:pPr>
        <w:spacing w:after="0" w:line="240" w:lineRule="auto"/>
        <w:ind w:left="567" w:right="567"/>
        <w:jc w:val="both"/>
        <w:rPr>
          <w:rFonts w:ascii="Palatino Linotype" w:hAnsi="Palatino Linotype" w:cs="Arial"/>
          <w:i/>
          <w:lang w:val="es-ES"/>
        </w:rPr>
      </w:pPr>
    </w:p>
    <w:p w14:paraId="01FD5AD6" w14:textId="77777777" w:rsidR="00F71620" w:rsidRPr="00010A76" w:rsidRDefault="00F71620" w:rsidP="007158E0">
      <w:pPr>
        <w:spacing w:after="0" w:line="240" w:lineRule="auto"/>
        <w:ind w:left="567" w:right="567"/>
        <w:jc w:val="both"/>
        <w:rPr>
          <w:rFonts w:ascii="Palatino Linotype" w:hAnsi="Palatino Linotype" w:cs="Arial"/>
          <w:i/>
          <w:lang w:val="es-ES"/>
        </w:rPr>
      </w:pPr>
    </w:p>
    <w:p w14:paraId="6AF8117F"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b/>
          <w:i/>
          <w:lang w:val="es-ES"/>
        </w:rPr>
        <w:lastRenderedPageBreak/>
        <w:t>Artículo 95.-</w:t>
      </w:r>
      <w:r w:rsidRPr="00010A76">
        <w:rPr>
          <w:rFonts w:ascii="Palatino Linotype" w:hAnsi="Palatino Linotype" w:cs="Arial"/>
          <w:i/>
          <w:lang w:val="es-ES"/>
        </w:rPr>
        <w:t xml:space="preserve"> Son atribuciones del </w:t>
      </w:r>
      <w:r w:rsidRPr="00010A76">
        <w:rPr>
          <w:rFonts w:ascii="Palatino Linotype" w:hAnsi="Palatino Linotype" w:cs="Arial"/>
          <w:i/>
          <w:u w:val="single"/>
          <w:lang w:val="es-ES"/>
        </w:rPr>
        <w:t>tesorero municipal</w:t>
      </w:r>
      <w:r w:rsidRPr="00010A76">
        <w:rPr>
          <w:rFonts w:ascii="Palatino Linotype" w:hAnsi="Palatino Linotype" w:cs="Arial"/>
          <w:i/>
          <w:lang w:val="es-ES"/>
        </w:rPr>
        <w:t>:</w:t>
      </w:r>
    </w:p>
    <w:p w14:paraId="49C41A5D"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 xml:space="preserve">I. </w:t>
      </w:r>
      <w:r w:rsidRPr="00010A76">
        <w:rPr>
          <w:rFonts w:ascii="Palatino Linotype" w:hAnsi="Palatino Linotype" w:cs="Arial"/>
          <w:i/>
          <w:u w:val="single"/>
          <w:lang w:val="es-ES"/>
        </w:rPr>
        <w:t>Administrar la hacienda pública municipal</w:t>
      </w:r>
      <w:r w:rsidRPr="00010A76">
        <w:rPr>
          <w:rFonts w:ascii="Palatino Linotype" w:hAnsi="Palatino Linotype" w:cs="Arial"/>
          <w:i/>
          <w:lang w:val="es-ES"/>
        </w:rPr>
        <w:t>, de conformidad con las disposiciones legales aplicables;</w:t>
      </w:r>
    </w:p>
    <w:p w14:paraId="03344AEA"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II. Determinar, liquidar, recaudar, fiscalizar y administrar las contribuciones en los términos de los ordenamientos jurídicos aplicables y, en su caso, aplicar el procedimiento administrativo de ejecución en términos de las disposiciones aplicables;</w:t>
      </w:r>
    </w:p>
    <w:p w14:paraId="082AA06B"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III. Imponer las sanciones administrativas que procedan por infracciones a las disposiciones fiscales;</w:t>
      </w:r>
    </w:p>
    <w:p w14:paraId="6658DF32"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 xml:space="preserve">IV. </w:t>
      </w:r>
      <w:r w:rsidRPr="00010A76">
        <w:rPr>
          <w:rFonts w:ascii="Palatino Linotype" w:hAnsi="Palatino Linotype" w:cs="Arial"/>
          <w:i/>
          <w:u w:val="single"/>
          <w:lang w:val="es-ES"/>
        </w:rPr>
        <w:t>Llevar los registros contables</w:t>
      </w:r>
      <w:r w:rsidRPr="00010A76">
        <w:rPr>
          <w:rFonts w:ascii="Palatino Linotype" w:hAnsi="Palatino Linotype" w:cs="Arial"/>
          <w:i/>
          <w:lang w:val="es-ES"/>
        </w:rPr>
        <w:t xml:space="preserve">, financieros y administrativos de los ingresos, </w:t>
      </w:r>
      <w:r w:rsidRPr="00010A76">
        <w:rPr>
          <w:rFonts w:ascii="Palatino Linotype" w:hAnsi="Palatino Linotype" w:cs="Arial"/>
          <w:i/>
          <w:u w:val="single"/>
          <w:lang w:val="es-ES"/>
        </w:rPr>
        <w:t>egresos</w:t>
      </w:r>
      <w:r w:rsidRPr="00010A76">
        <w:rPr>
          <w:rFonts w:ascii="Palatino Linotype" w:hAnsi="Palatino Linotype" w:cs="Arial"/>
          <w:i/>
          <w:lang w:val="es-ES"/>
        </w:rPr>
        <w:t>, e inventarios;</w:t>
      </w:r>
    </w:p>
    <w:p w14:paraId="7A776614"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V. Proporcionar oportunamente al ayuntamiento todos los datos o informes que sean necesarios para la formulación del Presupuesto de Egresos Municipales, vigilando que se ajuste a las disposiciones de esta Ley y otros ordenamientos aplicables;</w:t>
      </w:r>
    </w:p>
    <w:p w14:paraId="519417E2"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VI. Presentar anualmente al ayuntamiento un informe de la situación contable financiera de la Tesorería Municipal;</w:t>
      </w:r>
    </w:p>
    <w:p w14:paraId="39651471"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VI Bis. Proporcionar para la formulación del proyecto de Presupuesto de Egresos Municipales la información financiera relativa a la solución o en su caso, el pago de los litigios laborales;</w:t>
      </w:r>
    </w:p>
    <w:p w14:paraId="75CDF6A2"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VII. Diseñar y aprobar las formas oficiales de manifestaciones, avisos y declaraciones y demás documentos requeridos;</w:t>
      </w:r>
    </w:p>
    <w:p w14:paraId="797B9EE8"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VIII. Participar en la formulación de Convenios Fiscales y ejercer las atribuciones que le correspondan en el ámbito de su competencia;</w:t>
      </w:r>
    </w:p>
    <w:p w14:paraId="168C2671"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IX. Proponer al ayuntamiento la cancelación de cuentas incobrables;</w:t>
      </w:r>
    </w:p>
    <w:p w14:paraId="19AB6FC8"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X. Custodiar y ejercer las garantías que se otorguen en favor de la hacienda municipal;</w:t>
      </w:r>
    </w:p>
    <w:p w14:paraId="60EBFE02"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XI. Proponer la política de ingresos de la tesorería municipal;</w:t>
      </w:r>
    </w:p>
    <w:p w14:paraId="587C6EF6"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XII. Intervenir en la elaboración del programa financiero municipal;</w:t>
      </w:r>
    </w:p>
    <w:p w14:paraId="38B9C436"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XIII. Elaborar y mantener actualizado el Padrón de Contribuyentes;</w:t>
      </w:r>
    </w:p>
    <w:p w14:paraId="49A91439"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XIV. Ministrar a su inmediato antecesor todos los datos oficiales que le solicitare, para contestar los pliegos de observaciones y alcances que formule y deduzca el Órgano Superior de Fiscalización del Estado de México;</w:t>
      </w:r>
    </w:p>
    <w:p w14:paraId="7679A8EB"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XV. Solicitar a las instancias competentes, la práctica de revisiones circunstanciadas, de conformidad con las normas que rigen en materia de control y evaluación gubernamental en el ámbito municipal;</w:t>
      </w:r>
    </w:p>
    <w:p w14:paraId="345233E3"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 xml:space="preserve">XVI. </w:t>
      </w:r>
      <w:r w:rsidRPr="00010A76">
        <w:rPr>
          <w:rFonts w:ascii="Palatino Linotype" w:hAnsi="Palatino Linotype" w:cs="Arial"/>
          <w:i/>
          <w:u w:val="single"/>
          <w:lang w:val="es-ES"/>
        </w:rPr>
        <w:t>Glosar oportunamente las cuentas del ayuntamiento;</w:t>
      </w:r>
    </w:p>
    <w:p w14:paraId="509D5053"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3E1F5738"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XVIII. Expedir copias certificadas de los documentos a su cuidado, por acuerdo expreso del Ayuntamiento y cuando se trate de documentación presentada ante el Órgano Superior de Fiscalización del Estado de México;</w:t>
      </w:r>
    </w:p>
    <w:p w14:paraId="5361DBBB"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lastRenderedPageBreak/>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6C376D59"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XX. Dar cumplimiento a las leyes, convenios de coordinación fiscal y demás que en materia hacendaria celebre el Ayuntamiento con el Estado;</w:t>
      </w:r>
    </w:p>
    <w:p w14:paraId="256AD610"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XXI. Entregar oportunamente a él o los Síndicos, según sea el caso, el informe mensual que corresponda, a fin de que se revise, y de ser necesario, para que se formulen las observaciones respectivas.</w:t>
      </w:r>
    </w:p>
    <w:p w14:paraId="0EA2D87E" w14:textId="77777777" w:rsidR="007158E0" w:rsidRPr="00010A76" w:rsidRDefault="007158E0" w:rsidP="007158E0">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XXII. Las que les señalen las demás disposiciones legales y el ayuntamiento.</w:t>
      </w:r>
    </w:p>
    <w:p w14:paraId="1858017D" w14:textId="77777777" w:rsidR="007158E0" w:rsidRPr="00010A76" w:rsidRDefault="007158E0" w:rsidP="007158E0">
      <w:pPr>
        <w:spacing w:after="0" w:line="240" w:lineRule="auto"/>
        <w:ind w:left="567" w:right="567"/>
        <w:jc w:val="both"/>
        <w:rPr>
          <w:rFonts w:ascii="Palatino Linotype" w:hAnsi="Palatino Linotype" w:cs="Arial"/>
          <w:lang w:val="es-ES"/>
        </w:rPr>
      </w:pPr>
    </w:p>
    <w:p w14:paraId="033DD63B" w14:textId="77777777" w:rsidR="007158E0" w:rsidRPr="00010A76" w:rsidRDefault="007158E0" w:rsidP="007158E0">
      <w:pPr>
        <w:spacing w:after="0" w:line="240" w:lineRule="auto"/>
        <w:ind w:left="567" w:right="567"/>
        <w:jc w:val="right"/>
        <w:rPr>
          <w:rFonts w:ascii="Palatino Linotype" w:hAnsi="Palatino Linotype" w:cs="Arial"/>
          <w:lang w:val="es-ES"/>
        </w:rPr>
      </w:pPr>
      <w:r w:rsidRPr="00010A76">
        <w:rPr>
          <w:rFonts w:ascii="Palatino Linotype" w:hAnsi="Palatino Linotype" w:cs="Arial"/>
          <w:lang w:val="es-ES"/>
        </w:rPr>
        <w:t>(Énfasis añadido)</w:t>
      </w:r>
    </w:p>
    <w:p w14:paraId="76504349" w14:textId="77777777" w:rsidR="007158E0" w:rsidRPr="00010A76" w:rsidRDefault="007158E0" w:rsidP="007158E0">
      <w:pPr>
        <w:spacing w:after="0" w:line="360" w:lineRule="auto"/>
        <w:jc w:val="both"/>
        <w:rPr>
          <w:rFonts w:ascii="Palatino Linotype" w:eastAsia="Calibri" w:hAnsi="Palatino Linotype" w:cs="Times New Roman"/>
          <w:sz w:val="24"/>
          <w:szCs w:val="24"/>
          <w:lang w:val="es-ES_tradnl" w:eastAsia="es-ES"/>
        </w:rPr>
      </w:pPr>
    </w:p>
    <w:p w14:paraId="00324E06" w14:textId="60B3703D" w:rsidR="007158E0" w:rsidRPr="00010A76" w:rsidRDefault="007158E0" w:rsidP="007158E0">
      <w:pPr>
        <w:spacing w:after="0" w:line="360" w:lineRule="auto"/>
        <w:jc w:val="both"/>
        <w:rPr>
          <w:rFonts w:ascii="Palatino Linotype" w:hAnsi="Palatino Linotype" w:cs="Arial"/>
          <w:sz w:val="24"/>
          <w:lang w:val="es-ES"/>
        </w:rPr>
      </w:pPr>
      <w:r w:rsidRPr="00010A76">
        <w:rPr>
          <w:rFonts w:ascii="Palatino Linotype" w:hAnsi="Palatino Linotype" w:cs="Arial"/>
          <w:sz w:val="24"/>
          <w:lang w:val="es-ES"/>
        </w:rPr>
        <w:t xml:space="preserve">De conformidad con los preceptos legales citados, podemos concluir en primer lugar que, dentro de las distintas áreas de las que se auxilia el </w:t>
      </w:r>
      <w:r w:rsidRPr="00010A76">
        <w:rPr>
          <w:rFonts w:ascii="Palatino Linotype" w:hAnsi="Palatino Linotype" w:cs="Arial"/>
          <w:b/>
          <w:sz w:val="24"/>
          <w:lang w:val="es-ES"/>
        </w:rPr>
        <w:t>Sujeto Obligado</w:t>
      </w:r>
      <w:r w:rsidRPr="00010A76">
        <w:rPr>
          <w:rFonts w:ascii="Palatino Linotype" w:hAnsi="Palatino Linotype" w:cs="Arial"/>
          <w:sz w:val="24"/>
          <w:lang w:val="es-ES"/>
        </w:rPr>
        <w:t xml:space="preserve"> para la administración pública municipal, se encuentra la Tesorería Municipal</w:t>
      </w:r>
      <w:r w:rsidR="00B772DF" w:rsidRPr="00010A76">
        <w:rPr>
          <w:rFonts w:ascii="Palatino Linotype" w:hAnsi="Palatino Linotype" w:cs="Arial"/>
          <w:sz w:val="24"/>
          <w:lang w:val="es-ES"/>
        </w:rPr>
        <w:t>, U</w:t>
      </w:r>
      <w:r w:rsidRPr="00010A76">
        <w:rPr>
          <w:rFonts w:ascii="Palatino Linotype" w:hAnsi="Palatino Linotype" w:cs="Arial"/>
          <w:sz w:val="24"/>
          <w:lang w:val="es-ES"/>
        </w:rPr>
        <w:t>nidad Administrativa encargada de administrar la hacienda pública municipal, en particular del registro de contable de egresos y de glosar oportunamente las cuentas del Sujeto Obligado.</w:t>
      </w:r>
    </w:p>
    <w:p w14:paraId="24E7E205" w14:textId="77777777" w:rsidR="00EC4661" w:rsidRPr="00010A76" w:rsidRDefault="00EC4661" w:rsidP="00084C5F">
      <w:pPr>
        <w:spacing w:after="0" w:line="360" w:lineRule="auto"/>
        <w:jc w:val="both"/>
        <w:rPr>
          <w:rFonts w:ascii="Palatino Linotype" w:hAnsi="Palatino Linotype"/>
          <w:sz w:val="24"/>
          <w:szCs w:val="24"/>
        </w:rPr>
      </w:pPr>
    </w:p>
    <w:p w14:paraId="6ED6A93D" w14:textId="77777777" w:rsidR="003F16F4" w:rsidRPr="00010A76" w:rsidRDefault="003F16F4" w:rsidP="00820D6B">
      <w:pPr>
        <w:pBdr>
          <w:top w:val="nil"/>
          <w:left w:val="nil"/>
          <w:bottom w:val="nil"/>
          <w:right w:val="nil"/>
          <w:between w:val="nil"/>
        </w:pBdr>
        <w:spacing w:after="0" w:line="360" w:lineRule="auto"/>
        <w:contextualSpacing/>
        <w:jc w:val="both"/>
        <w:rPr>
          <w:rFonts w:ascii="Palatino Linotype" w:hAnsi="Palatino Linotype" w:cs="Arial"/>
          <w:sz w:val="24"/>
          <w:lang w:val="es-ES"/>
        </w:rPr>
      </w:pPr>
      <w:r w:rsidRPr="00010A76">
        <w:rPr>
          <w:rFonts w:ascii="Palatino Linotype" w:hAnsi="Palatino Linotype" w:cs="Arial"/>
          <w:sz w:val="24"/>
          <w:lang w:val="es-ES"/>
        </w:rPr>
        <w:t xml:space="preserve">De lo anterior podemos advertir que, el Titular de la Unidad de Transparencia omitió observar lo dispuesto en </w:t>
      </w:r>
      <w:r w:rsidR="00820D6B" w:rsidRPr="00010A76">
        <w:rPr>
          <w:rFonts w:ascii="Palatino Linotype" w:hAnsi="Palatino Linotype" w:cs="Arial"/>
          <w:sz w:val="24"/>
          <w:lang w:val="es-ES"/>
        </w:rPr>
        <w:t>los</w:t>
      </w:r>
      <w:r w:rsidRPr="00010A76">
        <w:rPr>
          <w:rFonts w:ascii="Palatino Linotype" w:hAnsi="Palatino Linotype" w:cs="Arial"/>
          <w:sz w:val="24"/>
          <w:lang w:val="es-ES"/>
        </w:rPr>
        <w:t xml:space="preserve"> artículo</w:t>
      </w:r>
      <w:r w:rsidR="00820D6B" w:rsidRPr="00010A76">
        <w:rPr>
          <w:rFonts w:ascii="Palatino Linotype" w:hAnsi="Palatino Linotype" w:cs="Arial"/>
          <w:sz w:val="24"/>
          <w:lang w:val="es-ES"/>
        </w:rPr>
        <w:t>s</w:t>
      </w:r>
      <w:r w:rsidRPr="00010A76">
        <w:rPr>
          <w:rFonts w:ascii="Palatino Linotype" w:hAnsi="Palatino Linotype" w:cs="Arial"/>
          <w:sz w:val="24"/>
          <w:lang w:val="es-ES"/>
        </w:rPr>
        <w:t xml:space="preserve"> </w:t>
      </w:r>
      <w:r w:rsidR="00820D6B" w:rsidRPr="00010A76">
        <w:rPr>
          <w:rFonts w:ascii="Palatino Linotype" w:hAnsi="Palatino Linotype" w:cs="Arial"/>
          <w:sz w:val="24"/>
          <w:lang w:val="es-ES"/>
        </w:rPr>
        <w:t>50 y 51</w:t>
      </w:r>
      <w:r w:rsidRPr="00010A76">
        <w:rPr>
          <w:rFonts w:ascii="Palatino Linotype" w:hAnsi="Palatino Linotype" w:cs="Arial"/>
          <w:sz w:val="24"/>
          <w:lang w:val="es-ES"/>
        </w:rPr>
        <w:t xml:space="preserve"> de la Ley de Transparencia y Acceso a la Información Pública del Estado de México y Municipios, es decir, </w:t>
      </w:r>
      <w:r w:rsidR="00820D6B" w:rsidRPr="00010A76">
        <w:rPr>
          <w:rFonts w:ascii="Palatino Linotype" w:hAnsi="Palatino Linotype" w:cs="Arial"/>
          <w:sz w:val="24"/>
          <w:lang w:val="es-ES"/>
        </w:rPr>
        <w:t>realizar los trámites internos necesarios para dar atención a las solicitudes y en su caso, hacer entrega de la información, preceptos legales que se citan a continuación para pronta referencia:</w:t>
      </w:r>
    </w:p>
    <w:p w14:paraId="3C278611" w14:textId="77777777" w:rsidR="003F16F4" w:rsidRPr="00010A76" w:rsidRDefault="003F16F4" w:rsidP="003F16F4">
      <w:pPr>
        <w:spacing w:after="0" w:line="360" w:lineRule="auto"/>
        <w:jc w:val="both"/>
        <w:rPr>
          <w:rFonts w:ascii="Palatino Linotype" w:hAnsi="Palatino Linotype" w:cs="Arial"/>
          <w:sz w:val="24"/>
          <w:lang w:val="es-ES"/>
        </w:rPr>
      </w:pPr>
    </w:p>
    <w:p w14:paraId="534F0C39"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w:t>
      </w:r>
      <w:r w:rsidRPr="00010A76">
        <w:rPr>
          <w:rFonts w:ascii="Palatino Linotype" w:hAnsi="Palatino Linotype" w:cs="Arial"/>
          <w:b/>
          <w:i/>
          <w:lang w:val="es-ES"/>
        </w:rPr>
        <w:t>Artículo 50.</w:t>
      </w:r>
      <w:r w:rsidRPr="00010A76">
        <w:rPr>
          <w:rFonts w:ascii="Palatino Linotype" w:hAnsi="Palatino Linotype" w:cs="Arial"/>
          <w:i/>
          <w:lang w:val="es-ES"/>
        </w:rPr>
        <w:t xml:space="preserve"> Los sujetos obligados contarán con un área responsable para la atención de las solicitudes de información, a la que se le denominará Unidad de Transparencia.</w:t>
      </w:r>
    </w:p>
    <w:p w14:paraId="1A94BC94" w14:textId="77777777" w:rsidR="003F16F4" w:rsidRPr="00010A76" w:rsidRDefault="003F16F4" w:rsidP="003F16F4">
      <w:pPr>
        <w:spacing w:after="0" w:line="240" w:lineRule="auto"/>
        <w:ind w:left="567" w:right="567"/>
        <w:jc w:val="both"/>
        <w:rPr>
          <w:rFonts w:ascii="Palatino Linotype" w:hAnsi="Palatino Linotype" w:cs="Arial"/>
          <w:i/>
          <w:lang w:val="es-ES"/>
        </w:rPr>
      </w:pPr>
    </w:p>
    <w:p w14:paraId="57133362" w14:textId="77777777" w:rsidR="003F16F4" w:rsidRPr="00010A76" w:rsidRDefault="003F16F4" w:rsidP="00B13FF1">
      <w:pPr>
        <w:spacing w:after="0" w:line="240" w:lineRule="auto"/>
        <w:ind w:left="567" w:right="567"/>
        <w:jc w:val="both"/>
        <w:rPr>
          <w:rFonts w:ascii="Palatino Linotype" w:hAnsi="Palatino Linotype" w:cs="Arial"/>
          <w:i/>
          <w:lang w:val="es-ES"/>
        </w:rPr>
      </w:pPr>
      <w:r w:rsidRPr="00010A76">
        <w:rPr>
          <w:rFonts w:ascii="Palatino Linotype" w:hAnsi="Palatino Linotype" w:cs="Arial"/>
          <w:b/>
          <w:i/>
          <w:lang w:val="es-ES"/>
        </w:rPr>
        <w:lastRenderedPageBreak/>
        <w:t>Artículo 51</w:t>
      </w:r>
      <w:r w:rsidRPr="00010A76">
        <w:rPr>
          <w:rFonts w:ascii="Palatino Linotype" w:hAnsi="Palatino Linotype" w:cs="Arial"/>
          <w:i/>
          <w:lang w:val="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6A72A98" w14:textId="77777777" w:rsidR="003F16F4" w:rsidRPr="00010A76" w:rsidRDefault="003F16F4" w:rsidP="00B13FF1">
      <w:pPr>
        <w:spacing w:after="0" w:line="240" w:lineRule="auto"/>
        <w:ind w:left="567" w:right="567"/>
        <w:jc w:val="both"/>
        <w:rPr>
          <w:rFonts w:ascii="Palatino Linotype" w:hAnsi="Palatino Linotype" w:cs="Arial"/>
          <w:i/>
          <w:lang w:val="es-ES"/>
        </w:rPr>
      </w:pPr>
    </w:p>
    <w:p w14:paraId="2619C397"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b/>
          <w:i/>
          <w:lang w:val="es-ES"/>
        </w:rPr>
        <w:t>Artículo 53</w:t>
      </w:r>
      <w:r w:rsidRPr="00010A76">
        <w:rPr>
          <w:rFonts w:ascii="Palatino Linotype" w:hAnsi="Palatino Linotype" w:cs="Arial"/>
          <w:i/>
          <w:lang w:val="es-ES"/>
        </w:rPr>
        <w:t>. Las Unidades de Transparencia tendrán las siguientes funciones:</w:t>
      </w:r>
    </w:p>
    <w:p w14:paraId="45713E70"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24752C93"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b/>
          <w:i/>
          <w:lang w:val="es-ES"/>
        </w:rPr>
        <w:t xml:space="preserve">II. </w:t>
      </w:r>
      <w:r w:rsidRPr="00010A76">
        <w:rPr>
          <w:rFonts w:ascii="Palatino Linotype" w:hAnsi="Palatino Linotype" w:cs="Arial"/>
          <w:i/>
          <w:lang w:val="es-ES"/>
        </w:rPr>
        <w:t xml:space="preserve">Recibir, </w:t>
      </w:r>
      <w:r w:rsidRPr="00010A76">
        <w:rPr>
          <w:rFonts w:ascii="Palatino Linotype" w:hAnsi="Palatino Linotype" w:cs="Arial"/>
          <w:i/>
          <w:u w:val="single"/>
          <w:lang w:val="es-ES"/>
        </w:rPr>
        <w:t>tramitar</w:t>
      </w:r>
      <w:r w:rsidRPr="00010A76">
        <w:rPr>
          <w:rFonts w:ascii="Palatino Linotype" w:hAnsi="Palatino Linotype" w:cs="Arial"/>
          <w:i/>
          <w:lang w:val="es-ES"/>
        </w:rPr>
        <w:t xml:space="preserve"> y dar respuesta a las solicitudes de acceso a la información;</w:t>
      </w:r>
    </w:p>
    <w:p w14:paraId="3E3BCDBB"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III. Auxiliar a los particulares en la elaboración de solicitudes de acceso a la información y, en su caso, orientarlos sobre los sujetos obligados competentes conforme a la normatividad aplicable;</w:t>
      </w:r>
    </w:p>
    <w:p w14:paraId="17505FF8"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 xml:space="preserve">IV. </w:t>
      </w:r>
      <w:r w:rsidRPr="00010A76">
        <w:rPr>
          <w:rFonts w:ascii="Palatino Linotype" w:hAnsi="Palatino Linotype" w:cs="Arial"/>
          <w:i/>
          <w:u w:val="single"/>
          <w:lang w:val="es-ES"/>
        </w:rPr>
        <w:t>Realizar, con efectividad, los trámites internos necesarios para la atención de las solicitudes de acceso a la información</w:t>
      </w:r>
      <w:r w:rsidRPr="00010A76">
        <w:rPr>
          <w:rFonts w:ascii="Palatino Linotype" w:hAnsi="Palatino Linotype" w:cs="Arial"/>
          <w:i/>
          <w:lang w:val="es-ES"/>
        </w:rPr>
        <w:t>;</w:t>
      </w:r>
    </w:p>
    <w:p w14:paraId="017E6931"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 xml:space="preserve">V. </w:t>
      </w:r>
      <w:r w:rsidRPr="00010A76">
        <w:rPr>
          <w:rFonts w:ascii="Palatino Linotype" w:hAnsi="Palatino Linotype" w:cs="Arial"/>
          <w:i/>
          <w:u w:val="single"/>
          <w:lang w:val="es-ES"/>
        </w:rPr>
        <w:t>Entregar, en su caso, a los particulares la información solicitada</w:t>
      </w:r>
      <w:r w:rsidRPr="00010A76">
        <w:rPr>
          <w:rFonts w:ascii="Palatino Linotype" w:hAnsi="Palatino Linotype" w:cs="Arial"/>
          <w:i/>
          <w:lang w:val="es-ES"/>
        </w:rPr>
        <w:t>;</w:t>
      </w:r>
    </w:p>
    <w:p w14:paraId="699623D6"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VI. Efectuar las notificaciones a los solicitantes;</w:t>
      </w:r>
    </w:p>
    <w:p w14:paraId="3FE9BAEF"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VII. Proponer al Comité de Transparencia, los procedimientos internos que aseguren la mayor eficiencia en la gestión de las solicitudes de acceso a la información, conforme a la normatividad aplicable;</w:t>
      </w:r>
    </w:p>
    <w:p w14:paraId="04B5413D"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VIII. Proponer a quien preside el Comité de Transparencia, personal habilitado que sea necesario para recibir y dar trámite a las solicitudes de acceso a la información;</w:t>
      </w:r>
    </w:p>
    <w:p w14:paraId="38946F8B"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3187EBAF"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 xml:space="preserve">X. </w:t>
      </w:r>
      <w:r w:rsidRPr="00010A76">
        <w:rPr>
          <w:rFonts w:ascii="Palatino Linotype" w:hAnsi="Palatino Linotype" w:cs="Arial"/>
          <w:i/>
          <w:u w:val="single"/>
          <w:lang w:val="es-ES"/>
        </w:rPr>
        <w:t>Presentar ante el Comité, el proyecto de clasificación de información</w:t>
      </w:r>
      <w:r w:rsidRPr="00010A76">
        <w:rPr>
          <w:rFonts w:ascii="Palatino Linotype" w:hAnsi="Palatino Linotype" w:cs="Arial"/>
          <w:i/>
          <w:lang w:val="es-ES"/>
        </w:rPr>
        <w:t>;</w:t>
      </w:r>
    </w:p>
    <w:p w14:paraId="4669574A"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XI. Promover e implementar políticas de transparencia proactiva procurando su accesibilidad;</w:t>
      </w:r>
    </w:p>
    <w:p w14:paraId="52468CFF"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XII. Fomentar la transparencia y accesibilidad al interior del sujeto obligado;</w:t>
      </w:r>
    </w:p>
    <w:p w14:paraId="779BE7AD"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XIII. Hacer del conocimiento de la instancia competente la probable responsabilidad por el incumplimiento de las obligaciones previstas en la presente Ley; y</w:t>
      </w:r>
    </w:p>
    <w:p w14:paraId="3313DE45"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XIV. Las demás que resulten necesarias para facilitar el acceso a la información y aquellas que se desprenden de la presente Ley y demás disposiciones jurídicas aplicables.</w:t>
      </w:r>
    </w:p>
    <w:p w14:paraId="1C42D1D0"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A77DCBF" w14:textId="77777777" w:rsidR="003F16F4" w:rsidRPr="00010A76" w:rsidRDefault="003F16F4" w:rsidP="003F16F4">
      <w:pPr>
        <w:spacing w:after="0" w:line="240" w:lineRule="auto"/>
        <w:ind w:left="567" w:right="567"/>
        <w:jc w:val="both"/>
        <w:rPr>
          <w:rFonts w:ascii="Palatino Linotype" w:hAnsi="Palatino Linotype" w:cs="Arial"/>
          <w:i/>
          <w:lang w:val="es-ES"/>
        </w:rPr>
      </w:pPr>
      <w:r w:rsidRPr="00010A76">
        <w:rPr>
          <w:rFonts w:ascii="Palatino Linotype" w:hAnsi="Palatino Linotype" w:cs="Arial"/>
          <w:i/>
          <w:lang w:val="es-ES"/>
        </w:rPr>
        <w:t xml:space="preserve">Los sujetos obligados deberán implementar a través de las unidades de transparencia, progresivamente y conforme a sus previsiones, las medidas pertinentes para asegurar que </w:t>
      </w:r>
      <w:r w:rsidRPr="00010A76">
        <w:rPr>
          <w:rFonts w:ascii="Palatino Linotype" w:hAnsi="Palatino Linotype" w:cs="Arial"/>
          <w:i/>
          <w:lang w:val="es-ES"/>
        </w:rPr>
        <w:lastRenderedPageBreak/>
        <w:t>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35C7076" w14:textId="77777777" w:rsidR="003F16F4" w:rsidRPr="00010A76" w:rsidRDefault="003F16F4" w:rsidP="003F16F4">
      <w:pPr>
        <w:spacing w:after="0" w:line="240" w:lineRule="auto"/>
        <w:ind w:left="567" w:right="567"/>
        <w:jc w:val="both"/>
        <w:rPr>
          <w:rFonts w:ascii="Palatino Linotype" w:hAnsi="Palatino Linotype" w:cs="Arial"/>
          <w:i/>
          <w:lang w:val="es-ES"/>
        </w:rPr>
      </w:pPr>
    </w:p>
    <w:p w14:paraId="3C536058" w14:textId="77777777" w:rsidR="003F16F4" w:rsidRPr="00010A76" w:rsidRDefault="00820D6B" w:rsidP="00820D6B">
      <w:pPr>
        <w:spacing w:after="0" w:line="240" w:lineRule="auto"/>
        <w:ind w:left="567" w:right="567"/>
        <w:jc w:val="right"/>
        <w:rPr>
          <w:rFonts w:ascii="Palatino Linotype" w:hAnsi="Palatino Linotype" w:cs="Arial"/>
          <w:lang w:val="es-ES"/>
        </w:rPr>
      </w:pPr>
      <w:r w:rsidRPr="00010A76">
        <w:rPr>
          <w:rFonts w:ascii="Palatino Linotype" w:hAnsi="Palatino Linotype" w:cs="Arial"/>
          <w:lang w:val="es-ES"/>
        </w:rPr>
        <w:t xml:space="preserve"> </w:t>
      </w:r>
      <w:r w:rsidR="003F16F4" w:rsidRPr="00010A76">
        <w:rPr>
          <w:rFonts w:ascii="Palatino Linotype" w:hAnsi="Palatino Linotype" w:cs="Arial"/>
          <w:lang w:val="es-ES"/>
        </w:rPr>
        <w:t>(Énfasis añadido)</w:t>
      </w:r>
    </w:p>
    <w:p w14:paraId="65A3E503" w14:textId="77777777" w:rsidR="00820D6B" w:rsidRPr="00010A76" w:rsidRDefault="00820D6B" w:rsidP="00084C5F">
      <w:pPr>
        <w:spacing w:after="0" w:line="360" w:lineRule="auto"/>
        <w:jc w:val="both"/>
        <w:rPr>
          <w:rFonts w:ascii="Palatino Linotype" w:hAnsi="Palatino Linotype"/>
          <w:sz w:val="24"/>
          <w:szCs w:val="24"/>
        </w:rPr>
      </w:pPr>
    </w:p>
    <w:p w14:paraId="5B958426" w14:textId="600B9B7E" w:rsidR="00084C5F" w:rsidRPr="00010A76" w:rsidRDefault="00084C5F" w:rsidP="00084C5F">
      <w:pPr>
        <w:spacing w:after="0" w:line="360" w:lineRule="auto"/>
        <w:jc w:val="both"/>
        <w:rPr>
          <w:rFonts w:ascii="Palatino Linotype" w:eastAsia="Calibri" w:hAnsi="Palatino Linotype" w:cs="Times New Roman"/>
          <w:sz w:val="24"/>
          <w:szCs w:val="24"/>
          <w:lang w:val="es-ES_tradnl" w:eastAsia="es-ES"/>
        </w:rPr>
      </w:pPr>
      <w:r w:rsidRPr="00010A76">
        <w:rPr>
          <w:rFonts w:ascii="Palatino Linotype" w:eastAsia="Calibri" w:hAnsi="Palatino Linotype" w:cs="Times New Roman"/>
          <w:sz w:val="24"/>
          <w:szCs w:val="24"/>
          <w:lang w:val="es-ES_tradnl" w:eastAsia="es-ES"/>
        </w:rPr>
        <w:t xml:space="preserve">Es con base en las consideraciones de hecho y de derecho señaladas previamente, que se puede concluir que el </w:t>
      </w:r>
      <w:r w:rsidRPr="00010A76">
        <w:rPr>
          <w:rFonts w:ascii="Palatino Linotype" w:eastAsia="Calibri" w:hAnsi="Palatino Linotype" w:cs="Times New Roman"/>
          <w:b/>
          <w:sz w:val="24"/>
          <w:szCs w:val="24"/>
          <w:lang w:val="es-ES_tradnl" w:eastAsia="es-ES"/>
        </w:rPr>
        <w:t>Sujeto Obligado</w:t>
      </w:r>
      <w:r w:rsidRPr="00010A76">
        <w:rPr>
          <w:rFonts w:ascii="Palatino Linotype" w:eastAsia="Calibri" w:hAnsi="Palatino Linotype" w:cs="Times New Roman"/>
          <w:sz w:val="24"/>
          <w:szCs w:val="24"/>
          <w:lang w:val="es-ES_tradnl" w:eastAsia="es-ES"/>
        </w:rPr>
        <w:t xml:space="preserve"> </w:t>
      </w:r>
      <w:r w:rsidR="00820D6B" w:rsidRPr="00010A76">
        <w:rPr>
          <w:rFonts w:ascii="Palatino Linotype" w:eastAsia="Calibri" w:hAnsi="Palatino Linotype" w:cs="Times New Roman"/>
          <w:sz w:val="24"/>
          <w:szCs w:val="24"/>
          <w:lang w:val="es-ES_tradnl" w:eastAsia="es-ES"/>
        </w:rPr>
        <w:t xml:space="preserve">vulnero el derecho de acceso a la </w:t>
      </w:r>
      <w:r w:rsidRPr="00010A76">
        <w:rPr>
          <w:rFonts w:ascii="Palatino Linotype" w:eastAsia="Calibri" w:hAnsi="Palatino Linotype" w:cs="Times New Roman"/>
          <w:sz w:val="24"/>
          <w:szCs w:val="24"/>
          <w:lang w:val="es-ES_tradnl" w:eastAsia="es-ES"/>
        </w:rPr>
        <w:t xml:space="preserve">información del </w:t>
      </w:r>
      <w:r w:rsidRPr="00010A76">
        <w:rPr>
          <w:rFonts w:ascii="Palatino Linotype" w:eastAsia="Calibri" w:hAnsi="Palatino Linotype" w:cs="Times New Roman"/>
          <w:b/>
          <w:sz w:val="24"/>
          <w:szCs w:val="24"/>
          <w:lang w:val="es-ES_tradnl" w:eastAsia="es-ES"/>
        </w:rPr>
        <w:t>Recurrente</w:t>
      </w:r>
      <w:r w:rsidRPr="00010A76">
        <w:rPr>
          <w:rFonts w:ascii="Palatino Linotype" w:eastAsia="Calibri" w:hAnsi="Palatino Linotype" w:cs="Times New Roman"/>
          <w:sz w:val="24"/>
          <w:szCs w:val="24"/>
          <w:lang w:val="es-ES_tradnl" w:eastAsia="es-ES"/>
        </w:rPr>
        <w:t>,</w:t>
      </w:r>
      <w:r w:rsidR="00820D6B" w:rsidRPr="00010A76">
        <w:rPr>
          <w:rFonts w:ascii="Palatino Linotype" w:eastAsia="Calibri" w:hAnsi="Palatino Linotype" w:cs="Times New Roman"/>
          <w:sz w:val="24"/>
          <w:szCs w:val="24"/>
          <w:lang w:val="es-ES_tradnl" w:eastAsia="es-ES"/>
        </w:rPr>
        <w:t xml:space="preserve"> al no dar un trámite interno debido</w:t>
      </w:r>
      <w:r w:rsidRPr="00010A76">
        <w:rPr>
          <w:rFonts w:ascii="Palatino Linotype" w:eastAsia="Calibri" w:hAnsi="Palatino Linotype" w:cs="Times New Roman"/>
          <w:sz w:val="24"/>
          <w:szCs w:val="24"/>
          <w:lang w:val="es-ES_tradnl" w:eastAsia="es-ES"/>
        </w:rPr>
        <w:t xml:space="preserve"> consecuentemente, resulta dable ordenar </w:t>
      </w:r>
      <w:r w:rsidR="00820D6B" w:rsidRPr="00010A76">
        <w:rPr>
          <w:rFonts w:ascii="Palatino Linotype" w:eastAsia="Calibri" w:hAnsi="Palatino Linotype" w:cs="Times New Roman"/>
          <w:sz w:val="24"/>
          <w:szCs w:val="24"/>
          <w:lang w:val="es-ES_tradnl" w:eastAsia="es-ES"/>
        </w:rPr>
        <w:t>la entrega de</w:t>
      </w:r>
      <w:r w:rsidR="00396830" w:rsidRPr="00010A76">
        <w:rPr>
          <w:rFonts w:ascii="Palatino Linotype" w:eastAsia="Calibri" w:hAnsi="Palatino Linotype" w:cs="Times New Roman"/>
          <w:sz w:val="24"/>
          <w:szCs w:val="24"/>
          <w:lang w:eastAsia="es-ES"/>
        </w:rPr>
        <w:t>l costo total con copias de facturas del evento por el primer informe de gobierno de actividades del Ayuntamiento de Tepetlixpa</w:t>
      </w:r>
      <w:r w:rsidR="00F71620" w:rsidRPr="00010A76">
        <w:rPr>
          <w:rFonts w:ascii="Palatino Linotype" w:eastAsia="Calibri" w:hAnsi="Palatino Linotype" w:cs="Times New Roman"/>
          <w:sz w:val="24"/>
          <w:szCs w:val="24"/>
          <w:lang w:eastAsia="es-ES"/>
        </w:rPr>
        <w:t xml:space="preserve"> de la administración 2022 - 2024</w:t>
      </w:r>
      <w:r w:rsidR="00396830" w:rsidRPr="00010A76">
        <w:rPr>
          <w:rFonts w:ascii="Palatino Linotype" w:eastAsia="Calibri" w:hAnsi="Palatino Linotype" w:cs="Times New Roman"/>
          <w:sz w:val="24"/>
          <w:szCs w:val="24"/>
          <w:lang w:eastAsia="es-ES"/>
        </w:rPr>
        <w:t>,</w:t>
      </w:r>
      <w:r w:rsidRPr="00010A76">
        <w:rPr>
          <w:rFonts w:ascii="Palatino Linotype" w:eastAsia="Calibri" w:hAnsi="Palatino Linotype" w:cs="Times New Roman"/>
          <w:sz w:val="24"/>
          <w:szCs w:val="24"/>
          <w:lang w:val="es-ES_tradnl" w:eastAsia="es-ES"/>
        </w:rPr>
        <w:t xml:space="preserve"> debiendo observar lo relativo a la información de carácter sensible y confidencial.</w:t>
      </w:r>
    </w:p>
    <w:p w14:paraId="11FB7A67" w14:textId="77777777" w:rsidR="00084C5F" w:rsidRPr="00010A76" w:rsidRDefault="00084C5F" w:rsidP="00084C5F">
      <w:pPr>
        <w:spacing w:after="0" w:line="360" w:lineRule="auto"/>
        <w:jc w:val="both"/>
        <w:rPr>
          <w:rFonts w:ascii="Palatino Linotype" w:eastAsia="Calibri" w:hAnsi="Palatino Linotype" w:cs="Arial"/>
          <w:color w:val="000000" w:themeColor="text1"/>
          <w:sz w:val="24"/>
          <w:lang w:val="es-ES_tradnl" w:eastAsia="es-MX"/>
        </w:rPr>
      </w:pPr>
    </w:p>
    <w:p w14:paraId="779377AA" w14:textId="77777777" w:rsidR="00084C5F" w:rsidRPr="00010A76" w:rsidRDefault="00084C5F" w:rsidP="00F71620">
      <w:pPr>
        <w:numPr>
          <w:ilvl w:val="0"/>
          <w:numId w:val="1"/>
        </w:numPr>
        <w:shd w:val="clear" w:color="auto" w:fill="FFFFFF"/>
        <w:spacing w:after="0" w:line="360" w:lineRule="auto"/>
        <w:ind w:left="851"/>
        <w:jc w:val="both"/>
        <w:rPr>
          <w:rFonts w:ascii="Palatino Linotype" w:eastAsia="Times New Roman" w:hAnsi="Palatino Linotype" w:cs="Times New Roman"/>
          <w:color w:val="222222"/>
          <w:sz w:val="28"/>
          <w:szCs w:val="24"/>
          <w:lang w:val="es-ES" w:eastAsia="es-MX"/>
        </w:rPr>
      </w:pPr>
      <w:r w:rsidRPr="00010A76">
        <w:rPr>
          <w:rFonts w:ascii="Palatino Linotype" w:eastAsia="Times New Roman" w:hAnsi="Palatino Linotype" w:cs="Times New Roman"/>
          <w:b/>
          <w:bCs/>
          <w:i/>
          <w:iCs/>
          <w:color w:val="222222"/>
          <w:sz w:val="28"/>
          <w:szCs w:val="24"/>
          <w:lang w:val="es-ES" w:eastAsia="es-MX"/>
        </w:rPr>
        <w:t>De la versión pública.</w:t>
      </w:r>
    </w:p>
    <w:p w14:paraId="6F62A213" w14:textId="77777777" w:rsidR="00084C5F" w:rsidRPr="00010A76" w:rsidRDefault="00084C5F" w:rsidP="00084C5F">
      <w:pPr>
        <w:tabs>
          <w:tab w:val="left" w:pos="7938"/>
        </w:tabs>
        <w:spacing w:after="0" w:line="360" w:lineRule="auto"/>
        <w:jc w:val="both"/>
        <w:rPr>
          <w:rFonts w:ascii="Palatino Linotype" w:eastAsia="Arial Unicode MS" w:hAnsi="Palatino Linotype" w:cs="Arial"/>
          <w:sz w:val="24"/>
        </w:rPr>
      </w:pPr>
    </w:p>
    <w:p w14:paraId="2871258A" w14:textId="5947AD2F"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 xml:space="preserve">No pasa desapercibido que al no conocer el contenido del soporte documental, el mismo,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w:t>
      </w:r>
      <w:r w:rsidRPr="00010A76">
        <w:rPr>
          <w:rFonts w:ascii="Palatino Linotype" w:eastAsia="Arial Unicode MS" w:hAnsi="Palatino Linotype" w:cs="Arial"/>
          <w:sz w:val="24"/>
        </w:rPr>
        <w:lastRenderedPageBreak/>
        <w:t>de datos personales, cuyo fundamento legal aplicable se encuentra inmerso en los numerales de la Ley de la materia, que a la letra esgrimen:</w:t>
      </w:r>
    </w:p>
    <w:p w14:paraId="4D84381D" w14:textId="77777777" w:rsidR="00916B90" w:rsidRPr="00010A76" w:rsidRDefault="00916B90" w:rsidP="004F10B5">
      <w:pPr>
        <w:tabs>
          <w:tab w:val="left" w:pos="7938"/>
        </w:tabs>
        <w:spacing w:after="0" w:line="360" w:lineRule="auto"/>
        <w:jc w:val="both"/>
        <w:rPr>
          <w:rFonts w:ascii="Palatino Linotype" w:eastAsia="Arial Unicode MS" w:hAnsi="Palatino Linotype" w:cs="Arial"/>
          <w:sz w:val="24"/>
        </w:rPr>
      </w:pPr>
    </w:p>
    <w:p w14:paraId="17B9E9FD"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w:t>
      </w:r>
      <w:r w:rsidRPr="00010A76">
        <w:rPr>
          <w:rFonts w:ascii="Palatino Linotype" w:eastAsia="Arial Unicode MS" w:hAnsi="Palatino Linotype" w:cs="Arial"/>
          <w:b/>
          <w:i/>
        </w:rPr>
        <w:t xml:space="preserve">Artículo 3. </w:t>
      </w:r>
      <w:r w:rsidRPr="00010A76">
        <w:rPr>
          <w:rFonts w:ascii="Palatino Linotype" w:eastAsia="Arial Unicode MS" w:hAnsi="Palatino Linotype" w:cs="Arial"/>
          <w:i/>
        </w:rPr>
        <w:t>Para los efectos de la presente Ley se entenderá por:</w:t>
      </w:r>
    </w:p>
    <w:p w14:paraId="525253FE"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w:t>
      </w:r>
    </w:p>
    <w:p w14:paraId="3B6D233F"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b/>
          <w:i/>
        </w:rPr>
        <w:t>IX. Datos personales:</w:t>
      </w:r>
      <w:r w:rsidRPr="00010A76">
        <w:rPr>
          <w:rFonts w:ascii="Palatino Linotype" w:eastAsia="Arial Unicode MS" w:hAnsi="Palatino Linotype" w:cs="Arial"/>
          <w:i/>
        </w:rPr>
        <w:t xml:space="preserve"> La información concerniente a una persona, identificada o identificable según lo dispuesto por la Ley de Protección de Datos Personales del Estado de México;</w:t>
      </w:r>
    </w:p>
    <w:p w14:paraId="64EDF7E9"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w:t>
      </w:r>
    </w:p>
    <w:p w14:paraId="184C7F30"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b/>
          <w:i/>
        </w:rPr>
        <w:t>XLV. Versión pública:</w:t>
      </w:r>
      <w:r w:rsidRPr="00010A76">
        <w:rPr>
          <w:rFonts w:ascii="Palatino Linotype" w:eastAsia="Arial Unicode MS" w:hAnsi="Palatino Linotype" w:cs="Arial"/>
          <w:i/>
        </w:rPr>
        <w:t xml:space="preserve"> Documento en el que se elimine, suprime o borra la información clasificada como reservada o confidencial para permitir su acceso.</w:t>
      </w:r>
    </w:p>
    <w:p w14:paraId="36B85831" w14:textId="77777777" w:rsidR="00B13FF1" w:rsidRPr="00010A76" w:rsidRDefault="00B13FF1" w:rsidP="004F10B5">
      <w:pPr>
        <w:tabs>
          <w:tab w:val="left" w:pos="7938"/>
        </w:tabs>
        <w:spacing w:after="0" w:line="240" w:lineRule="auto"/>
        <w:ind w:left="567" w:right="567"/>
        <w:jc w:val="both"/>
        <w:rPr>
          <w:rFonts w:ascii="Palatino Linotype" w:eastAsia="Arial Unicode MS" w:hAnsi="Palatino Linotype" w:cs="Arial"/>
          <w:i/>
        </w:rPr>
      </w:pPr>
    </w:p>
    <w:p w14:paraId="49B80A3C"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b/>
          <w:i/>
        </w:rPr>
        <w:t>Artículo 122.</w:t>
      </w:r>
      <w:r w:rsidRPr="00010A76">
        <w:rPr>
          <w:rFonts w:ascii="Palatino Linotype" w:eastAsia="Arial Unicode MS" w:hAnsi="Palatino Linotype" w:cs="Arial"/>
          <w:i/>
        </w:rPr>
        <w:t xml:space="preserve"> La clasificación es el proceso mediante el cual el sujeto obligado determina que la información en su poder </w:t>
      </w:r>
      <w:proofErr w:type="spellStart"/>
      <w:r w:rsidRPr="00010A76">
        <w:rPr>
          <w:rFonts w:ascii="Palatino Linotype" w:eastAsia="Arial Unicode MS" w:hAnsi="Palatino Linotype" w:cs="Arial"/>
          <w:i/>
        </w:rPr>
        <w:t>actualiza</w:t>
      </w:r>
      <w:proofErr w:type="spellEnd"/>
      <w:r w:rsidRPr="00010A76">
        <w:rPr>
          <w:rFonts w:ascii="Palatino Linotype" w:eastAsia="Arial Unicode MS" w:hAnsi="Palatino Linotype" w:cs="Arial"/>
          <w:i/>
        </w:rPr>
        <w:t xml:space="preserve"> alguno de los supuestos de reserva o confidencialidad, de conformidad con lo dispuesto en el presente título.</w:t>
      </w:r>
    </w:p>
    <w:p w14:paraId="346D89AC"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w:t>
      </w:r>
    </w:p>
    <w:p w14:paraId="4841CF84"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p>
    <w:p w14:paraId="69475835"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b/>
          <w:i/>
        </w:rPr>
        <w:t>Artículo 132.</w:t>
      </w:r>
      <w:r w:rsidRPr="00010A76">
        <w:rPr>
          <w:rFonts w:ascii="Palatino Linotype" w:eastAsia="Arial Unicode MS" w:hAnsi="Palatino Linotype" w:cs="Arial"/>
          <w:i/>
        </w:rPr>
        <w:t xml:space="preserve"> La clasificación de la información se llevará a cabo en el momento en que:</w:t>
      </w:r>
    </w:p>
    <w:p w14:paraId="710FE974"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w:t>
      </w:r>
    </w:p>
    <w:p w14:paraId="0A7BFF2E"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II. Se determine mediante resolución de autoridad competente; o</w:t>
      </w:r>
    </w:p>
    <w:p w14:paraId="51F93AE3"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w:t>
      </w:r>
    </w:p>
    <w:p w14:paraId="1FC2CD4D"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p>
    <w:p w14:paraId="6154F2A0"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b/>
          <w:i/>
        </w:rPr>
        <w:t>Artículo 137.</w:t>
      </w:r>
      <w:r w:rsidRPr="00010A76">
        <w:rPr>
          <w:rFonts w:ascii="Palatino Linotype" w:eastAsia="Arial Unicode MS" w:hAnsi="Palatino Linotype" w:cs="Arial"/>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 [Sic]</w:t>
      </w:r>
    </w:p>
    <w:p w14:paraId="12ECCE00"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p>
    <w:p w14:paraId="21A7A2BB"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 xml:space="preserve">Verbigracia, previo a poner a disposición la información correspondiente debe considerarse que tiene carácter de confidencial el </w:t>
      </w:r>
      <w:r w:rsidRPr="00010A76">
        <w:rPr>
          <w:rFonts w:ascii="Palatino Linotype" w:eastAsia="Arial Unicode MS" w:hAnsi="Palatino Linotype" w:cs="Arial"/>
          <w:b/>
          <w:sz w:val="24"/>
        </w:rPr>
        <w:t>Registro Federal de Contribuyentes (RFC) que no sean de proveedores</w:t>
      </w:r>
      <w:r w:rsidRPr="00010A76">
        <w:rPr>
          <w:rFonts w:ascii="Palatino Linotype" w:eastAsia="Arial Unicode MS" w:hAnsi="Palatino Linotype" w:cs="Arial"/>
          <w:sz w:val="24"/>
        </w:rPr>
        <w:t xml:space="preserve">, cuenta bancaria, la Clave Única de Registro de Población (CURP), domicilio particular, teléfono particular, el nombre de las personas físicas que no tengan la calidad de servidor público  o aquellos que no reciban recursos </w:t>
      </w:r>
      <w:r w:rsidRPr="00010A76">
        <w:rPr>
          <w:rFonts w:ascii="Palatino Linotype" w:eastAsia="Arial Unicode MS" w:hAnsi="Palatino Linotype" w:cs="Arial"/>
          <w:sz w:val="24"/>
        </w:rPr>
        <w:lastRenderedPageBreak/>
        <w:t>públicos, entre otros considerados como datos personales en términos de la normatividad aplicable.</w:t>
      </w:r>
    </w:p>
    <w:p w14:paraId="591C1CC0" w14:textId="77777777" w:rsidR="00B13FF1" w:rsidRPr="00010A76" w:rsidRDefault="00B13FF1" w:rsidP="004F10B5">
      <w:pPr>
        <w:tabs>
          <w:tab w:val="left" w:pos="7938"/>
        </w:tabs>
        <w:spacing w:after="0" w:line="360" w:lineRule="auto"/>
        <w:jc w:val="both"/>
        <w:rPr>
          <w:rFonts w:ascii="Palatino Linotype" w:eastAsia="Arial Unicode MS" w:hAnsi="Palatino Linotype" w:cs="Arial"/>
          <w:sz w:val="24"/>
        </w:rPr>
      </w:pPr>
    </w:p>
    <w:p w14:paraId="371A9369"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DD2B95B"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p>
    <w:p w14:paraId="1195F4D2"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671262F"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p>
    <w:p w14:paraId="40DDCF51"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Lo anterior es compartido por el ahora Instituto Nacional de Transparencia, Acceso a la Información y Protección de Datos Personales (INAI), conforme al criterio 19/17, el cual es del tenor literal siguiente:</w:t>
      </w:r>
    </w:p>
    <w:p w14:paraId="572F8E41"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p>
    <w:p w14:paraId="186724A7"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w:t>
      </w:r>
      <w:r w:rsidRPr="00010A76">
        <w:rPr>
          <w:rFonts w:ascii="Palatino Linotype" w:eastAsia="Arial Unicode MS" w:hAnsi="Palatino Linotype" w:cs="Arial"/>
          <w:b/>
          <w:i/>
        </w:rPr>
        <w:t>REGISTRO FEDERAL DE CONTRIBUYENTES (RFC) DE PERSONAS FÍSICAS.</w:t>
      </w:r>
    </w:p>
    <w:p w14:paraId="47F5E66C"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 xml:space="preserve">El RFC es una clave de carácter fiscal, </w:t>
      </w:r>
      <w:proofErr w:type="gramStart"/>
      <w:r w:rsidRPr="00010A76">
        <w:rPr>
          <w:rFonts w:ascii="Palatino Linotype" w:eastAsia="Arial Unicode MS" w:hAnsi="Palatino Linotype" w:cs="Arial"/>
          <w:i/>
        </w:rPr>
        <w:t>única</w:t>
      </w:r>
      <w:proofErr w:type="gramEnd"/>
      <w:r w:rsidRPr="00010A76">
        <w:rPr>
          <w:rFonts w:ascii="Palatino Linotype" w:eastAsia="Arial Unicode MS" w:hAnsi="Palatino Linotype" w:cs="Arial"/>
          <w:i/>
        </w:rPr>
        <w:t xml:space="preserve"> e irrepetible, que permite identificar al titular, su edad y fecha de nacimiento, por lo que es un dato personal de carácter confidencial.</w:t>
      </w:r>
    </w:p>
    <w:p w14:paraId="3F958936"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sz w:val="20"/>
        </w:rPr>
      </w:pPr>
      <w:r w:rsidRPr="00010A76">
        <w:rPr>
          <w:rFonts w:ascii="Palatino Linotype" w:eastAsia="Arial Unicode MS" w:hAnsi="Palatino Linotype" w:cs="Arial"/>
          <w:i/>
          <w:sz w:val="20"/>
        </w:rPr>
        <w:t>Resoluciones:</w:t>
      </w:r>
    </w:p>
    <w:p w14:paraId="66BDBD7F"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sz w:val="20"/>
        </w:rPr>
      </w:pPr>
      <w:r w:rsidRPr="00010A76">
        <w:rPr>
          <w:rFonts w:ascii="Palatino Linotype" w:eastAsia="Arial Unicode MS" w:hAnsi="Palatino Linotype" w:cs="Arial"/>
          <w:i/>
          <w:sz w:val="20"/>
        </w:rPr>
        <w:t>RRA 0189/17. Morena. 08 de febrero de 2017. Por unanimidad. Comisionado Ponente Joel Salas Suárez.</w:t>
      </w:r>
    </w:p>
    <w:p w14:paraId="181BAC06"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sz w:val="20"/>
        </w:rPr>
      </w:pPr>
      <w:r w:rsidRPr="00010A76">
        <w:rPr>
          <w:rFonts w:ascii="Palatino Linotype" w:eastAsia="Arial Unicode MS" w:hAnsi="Palatino Linotype" w:cs="Arial"/>
          <w:i/>
          <w:sz w:val="20"/>
        </w:rPr>
        <w:t xml:space="preserve">RRA 0677/17. Universidad Nacional Autónoma de México. 08 de marzo de 2017. Por unanimidad. Comisionado Ponente </w:t>
      </w:r>
      <w:proofErr w:type="spellStart"/>
      <w:r w:rsidRPr="00010A76">
        <w:rPr>
          <w:rFonts w:ascii="Palatino Linotype" w:eastAsia="Arial Unicode MS" w:hAnsi="Palatino Linotype" w:cs="Arial"/>
          <w:i/>
          <w:sz w:val="20"/>
        </w:rPr>
        <w:t>Rosendoevgueni</w:t>
      </w:r>
      <w:proofErr w:type="spellEnd"/>
      <w:r w:rsidRPr="00010A76">
        <w:rPr>
          <w:rFonts w:ascii="Palatino Linotype" w:eastAsia="Arial Unicode MS" w:hAnsi="Palatino Linotype" w:cs="Arial"/>
          <w:i/>
          <w:sz w:val="20"/>
        </w:rPr>
        <w:t xml:space="preserve"> Monterrey </w:t>
      </w:r>
      <w:proofErr w:type="spellStart"/>
      <w:r w:rsidRPr="00010A76">
        <w:rPr>
          <w:rFonts w:ascii="Palatino Linotype" w:eastAsia="Arial Unicode MS" w:hAnsi="Palatino Linotype" w:cs="Arial"/>
          <w:i/>
          <w:sz w:val="20"/>
        </w:rPr>
        <w:t>Chepov</w:t>
      </w:r>
      <w:proofErr w:type="spellEnd"/>
      <w:r w:rsidRPr="00010A76">
        <w:rPr>
          <w:rFonts w:ascii="Palatino Linotype" w:eastAsia="Arial Unicode MS" w:hAnsi="Palatino Linotype" w:cs="Arial"/>
          <w:i/>
          <w:sz w:val="20"/>
        </w:rPr>
        <w:t xml:space="preserve">. </w:t>
      </w:r>
    </w:p>
    <w:p w14:paraId="78A31175"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sz w:val="20"/>
        </w:rPr>
      </w:pPr>
      <w:r w:rsidRPr="00010A76">
        <w:rPr>
          <w:rFonts w:ascii="Palatino Linotype" w:eastAsia="Arial Unicode MS" w:hAnsi="Palatino Linotype" w:cs="Arial"/>
          <w:i/>
          <w:sz w:val="20"/>
        </w:rPr>
        <w:t>RRA 1564/17. Tribunal Electoral del Poder Judicial de la Federación. 26 de abril de 2017. Por unanimidad. Comisionado Ponente Oscar Mauricio Guerra Ford.” [Sic]</w:t>
      </w:r>
    </w:p>
    <w:p w14:paraId="22E1A6F3"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p>
    <w:p w14:paraId="45CE6C0E"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 xml:space="preserve">Así, el RFC se vincula al nombre de su titular, permite identificar la edad de la persona, su fecha de nacimiento, así como su homoclave, la cual es única e irrepetible y </w:t>
      </w:r>
      <w:r w:rsidRPr="00010A76">
        <w:rPr>
          <w:rFonts w:ascii="Palatino Linotype" w:eastAsia="Arial Unicode MS" w:hAnsi="Palatino Linotype" w:cs="Arial"/>
          <w:sz w:val="24"/>
        </w:rPr>
        <w:lastRenderedPageBreak/>
        <w:t>determina justamente la identificación de dicha persona para efectos fiscales, por lo éste constituye un dato personal que concierne a una persona física identificada e identificable.</w:t>
      </w:r>
    </w:p>
    <w:p w14:paraId="2687E07F" w14:textId="77777777" w:rsidR="00B13FF1" w:rsidRPr="00010A76" w:rsidRDefault="00B13FF1" w:rsidP="004F10B5">
      <w:pPr>
        <w:tabs>
          <w:tab w:val="left" w:pos="7938"/>
        </w:tabs>
        <w:spacing w:after="0" w:line="360" w:lineRule="auto"/>
        <w:jc w:val="both"/>
        <w:rPr>
          <w:rFonts w:ascii="Palatino Linotype" w:eastAsia="Arial Unicode MS" w:hAnsi="Palatino Linotype" w:cs="Arial"/>
          <w:sz w:val="24"/>
        </w:rPr>
      </w:pPr>
    </w:p>
    <w:p w14:paraId="1B141C45" w14:textId="1B90983A"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No obstante lo anterior, como fue advertido con antelación el Registro Federal de Contribuyentes tratándose de proveedores o contratistas</w:t>
      </w:r>
      <w:r w:rsidR="003666AC" w:rsidRPr="00010A76">
        <w:rPr>
          <w:rFonts w:ascii="Palatino Linotype" w:eastAsia="Arial Unicode MS" w:hAnsi="Palatino Linotype" w:cs="Arial"/>
          <w:sz w:val="24"/>
        </w:rPr>
        <w:t>,</w:t>
      </w:r>
      <w:r w:rsidRPr="00010A76">
        <w:rPr>
          <w:rFonts w:ascii="Palatino Linotype" w:eastAsia="Arial Unicode MS" w:hAnsi="Palatino Linotype" w:cs="Arial"/>
          <w:sz w:val="24"/>
        </w:rPr>
        <w:t xml:space="preserve"> encuadra dentro de las fronteras conceptuales del interés general y el alcance público, al tratarse de un elemento que, en el caso en particular abona a la transparencia y rendición de cuentas. </w:t>
      </w:r>
    </w:p>
    <w:p w14:paraId="19C85122"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p>
    <w:p w14:paraId="6D8D4BF8"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 xml:space="preserve">Robustece lo anterior, el criterio 04/21 emitido por el Órgano Garante Nacional, cuyo rubro y texto disponen a la literalidad lo siguiente: </w:t>
      </w:r>
    </w:p>
    <w:p w14:paraId="6B8647E7"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p>
    <w:p w14:paraId="60A85F2E"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w:t>
      </w:r>
      <w:r w:rsidRPr="00010A76">
        <w:rPr>
          <w:rFonts w:ascii="Palatino Linotype" w:eastAsia="Arial Unicode MS" w:hAnsi="Palatino Linotype" w:cs="Arial"/>
          <w:b/>
          <w:i/>
        </w:rPr>
        <w:t>REGISTRO FEDERAL DE CONTRIBUYENTES (RFC) DE PERSONAS FÍSICAS PROVEEDORES O CONTRATISTAS</w:t>
      </w:r>
      <w:r w:rsidRPr="00010A76">
        <w:rPr>
          <w:rFonts w:ascii="Palatino Linotype" w:eastAsia="Arial Unicode MS" w:hAnsi="Palatino Linotype" w:cs="Arial"/>
          <w:i/>
        </w:rPr>
        <w:t xml:space="preserve">. </w:t>
      </w:r>
    </w:p>
    <w:p w14:paraId="36584BBE"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u w:val="single"/>
        </w:rPr>
        <w:t>El RFC de contratistas o proveedores de sujetos obligados debe ser público</w:t>
      </w:r>
      <w:r w:rsidRPr="00010A76">
        <w:rPr>
          <w:rFonts w:ascii="Palatino Linotype" w:eastAsia="Arial Unicode MS" w:hAnsi="Palatino Linotype" w:cs="Arial"/>
          <w:i/>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745E7E4E"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sz w:val="20"/>
        </w:rPr>
      </w:pPr>
      <w:r w:rsidRPr="00010A76">
        <w:rPr>
          <w:rFonts w:ascii="Palatino Linotype" w:eastAsia="Arial Unicode MS" w:hAnsi="Palatino Linotype" w:cs="Arial"/>
          <w:i/>
          <w:sz w:val="20"/>
        </w:rPr>
        <w:t>Precedentes:</w:t>
      </w:r>
    </w:p>
    <w:p w14:paraId="68205EB5" w14:textId="15235694"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sz w:val="20"/>
        </w:rPr>
      </w:pPr>
      <w:r w:rsidRPr="00010A76">
        <w:rPr>
          <w:rFonts w:ascii="Palatino Linotype" w:eastAsia="Arial Unicode MS" w:hAnsi="Palatino Linotype" w:cs="Arial"/>
          <w:i/>
          <w:sz w:val="20"/>
        </w:rPr>
        <w:t xml:space="preserve">•Acceso a la información Pública. RRA 3639/19. Sesión del 10 de julio de 2019. Votación por mayoría. Con voto disidente del Comisionado Joel Salas Suárez. Instituto para la Protección del Ahorro Bancario. Comisionada Ponente María Patricia </w:t>
      </w:r>
      <w:proofErr w:type="spellStart"/>
      <w:r w:rsidRPr="00010A76">
        <w:rPr>
          <w:rFonts w:ascii="Palatino Linotype" w:eastAsia="Arial Unicode MS" w:hAnsi="Palatino Linotype" w:cs="Arial"/>
          <w:i/>
          <w:sz w:val="20"/>
        </w:rPr>
        <w:t>Kurczyn</w:t>
      </w:r>
      <w:proofErr w:type="spellEnd"/>
      <w:r w:rsidRPr="00010A76">
        <w:rPr>
          <w:rFonts w:ascii="Palatino Linotype" w:eastAsia="Arial Unicode MS" w:hAnsi="Palatino Linotype" w:cs="Arial"/>
          <w:i/>
          <w:sz w:val="20"/>
        </w:rPr>
        <w:t xml:space="preserve"> Villalobos.</w:t>
      </w:r>
    </w:p>
    <w:p w14:paraId="3CDE4701" w14:textId="012D139E"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sz w:val="20"/>
        </w:rPr>
      </w:pPr>
      <w:r w:rsidRPr="00010A76">
        <w:rPr>
          <w:rFonts w:ascii="Palatino Linotype" w:eastAsia="Arial Unicode MS" w:hAnsi="Palatino Linotype" w:cs="Arial"/>
          <w:i/>
          <w:sz w:val="20"/>
        </w:rPr>
        <w:t>•Acceso a la información Pública. RRA 7709/19. Sesión del 13 de agosto de 2019. Votación por unanimidad. Con voto particular de la Comisionada Josefina Román Vergara. Suprema Corte de Justicia de la Nación. Comisionada Ponente Josefina Román Vergara.</w:t>
      </w:r>
    </w:p>
    <w:p w14:paraId="3656D7DE" w14:textId="3CD6DC25"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sz w:val="20"/>
        </w:rPr>
      </w:pPr>
      <w:r w:rsidRPr="00010A76">
        <w:rPr>
          <w:rFonts w:ascii="Palatino Linotype" w:eastAsia="Arial Unicode MS" w:hAnsi="Palatino Linotype" w:cs="Arial"/>
          <w:i/>
          <w:sz w:val="20"/>
        </w:rPr>
        <w:t>•Acceso a la información Pública. RRA 5774/19. Sesión del 21 de agosto de 2019. Votación por mayoría. Con voto disidente del Comisionado Joel Salas Suárez. Secretaría de Marina. Comisionada Ponente Blanca Lilia Ibarra Cadena.” (Sic)</w:t>
      </w:r>
    </w:p>
    <w:p w14:paraId="3CA425B5"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p>
    <w:p w14:paraId="152C9967" w14:textId="0EE9B95D" w:rsidR="003666AC" w:rsidRPr="00010A76" w:rsidRDefault="003666AC" w:rsidP="004F10B5">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Asimismo, por cuanto hace al Registro Federal de Contribuyentes del sujeto obligado, el mismo es información pública.</w:t>
      </w:r>
    </w:p>
    <w:p w14:paraId="0047643A"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lastRenderedPageBreak/>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5641BCA"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p>
    <w:p w14:paraId="4DDCC5E2"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 xml:space="preserve">Argumento que es compartido por el Instituto Nacional de Transparencia, Acceso a la Información y Protección de Datos Personales, conforme al criterio número 18/17 el cual refiere: </w:t>
      </w:r>
    </w:p>
    <w:p w14:paraId="2DFC5C0D"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p>
    <w:p w14:paraId="29A04D84"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w:t>
      </w:r>
      <w:r w:rsidRPr="00010A76">
        <w:rPr>
          <w:rFonts w:ascii="Palatino Linotype" w:eastAsia="Arial Unicode MS" w:hAnsi="Palatino Linotype" w:cs="Arial"/>
          <w:b/>
          <w:i/>
        </w:rPr>
        <w:t>CLAVE ÚNICA DE REGISTRO DE POBLACIÓN (CURP).</w:t>
      </w:r>
    </w:p>
    <w:p w14:paraId="05CA7DB9"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445E199"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sz w:val="20"/>
        </w:rPr>
      </w:pPr>
      <w:r w:rsidRPr="00010A76">
        <w:rPr>
          <w:rFonts w:ascii="Palatino Linotype" w:eastAsia="Arial Unicode MS" w:hAnsi="Palatino Linotype" w:cs="Arial"/>
          <w:i/>
          <w:sz w:val="20"/>
        </w:rPr>
        <w:t xml:space="preserve"> Resoluciones:</w:t>
      </w:r>
    </w:p>
    <w:p w14:paraId="47EC77AF"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sz w:val="20"/>
        </w:rPr>
      </w:pPr>
      <w:r w:rsidRPr="00010A76">
        <w:rPr>
          <w:rFonts w:ascii="Palatino Linotype" w:eastAsia="Arial Unicode MS" w:hAnsi="Palatino Linotype" w:cs="Arial"/>
          <w:i/>
          <w:sz w:val="20"/>
        </w:rPr>
        <w:t xml:space="preserve">RRA 3995/16. Secretaría de la Defensa Nacional. 1 de febrero de 2017. Por unanimidad. Comisionado Ponente </w:t>
      </w:r>
      <w:proofErr w:type="spellStart"/>
      <w:r w:rsidRPr="00010A76">
        <w:rPr>
          <w:rFonts w:ascii="Palatino Linotype" w:eastAsia="Arial Unicode MS" w:hAnsi="Palatino Linotype" w:cs="Arial"/>
          <w:i/>
          <w:sz w:val="20"/>
        </w:rPr>
        <w:t>Rosendoevgueni</w:t>
      </w:r>
      <w:proofErr w:type="spellEnd"/>
      <w:r w:rsidRPr="00010A76">
        <w:rPr>
          <w:rFonts w:ascii="Palatino Linotype" w:eastAsia="Arial Unicode MS" w:hAnsi="Palatino Linotype" w:cs="Arial"/>
          <w:i/>
          <w:sz w:val="20"/>
        </w:rPr>
        <w:t xml:space="preserve"> Monterrey </w:t>
      </w:r>
      <w:proofErr w:type="spellStart"/>
      <w:r w:rsidRPr="00010A76">
        <w:rPr>
          <w:rFonts w:ascii="Palatino Linotype" w:eastAsia="Arial Unicode MS" w:hAnsi="Palatino Linotype" w:cs="Arial"/>
          <w:i/>
          <w:sz w:val="20"/>
        </w:rPr>
        <w:t>Chepov</w:t>
      </w:r>
      <w:proofErr w:type="spellEnd"/>
      <w:r w:rsidRPr="00010A76">
        <w:rPr>
          <w:rFonts w:ascii="Palatino Linotype" w:eastAsia="Arial Unicode MS" w:hAnsi="Palatino Linotype" w:cs="Arial"/>
          <w:i/>
          <w:sz w:val="20"/>
        </w:rPr>
        <w:t>.</w:t>
      </w:r>
    </w:p>
    <w:p w14:paraId="55B84AE4"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sz w:val="20"/>
        </w:rPr>
      </w:pPr>
      <w:r w:rsidRPr="00010A76">
        <w:rPr>
          <w:rFonts w:ascii="Palatino Linotype" w:eastAsia="Arial Unicode MS" w:hAnsi="Palatino Linotype" w:cs="Arial"/>
          <w:i/>
          <w:sz w:val="20"/>
        </w:rPr>
        <w:t xml:space="preserve">RRA 0937/17. Senado de la República. 15 de marzo de 2017. Por unanimidad. Comisionada Ponente Ximena Puente de la Mora. </w:t>
      </w:r>
    </w:p>
    <w:p w14:paraId="1A1DF043" w14:textId="77777777" w:rsidR="004F10B5" w:rsidRPr="00010A76" w:rsidRDefault="004F10B5" w:rsidP="004F10B5">
      <w:pPr>
        <w:tabs>
          <w:tab w:val="left" w:pos="7938"/>
        </w:tabs>
        <w:spacing w:after="0" w:line="240" w:lineRule="auto"/>
        <w:ind w:left="567" w:right="567"/>
        <w:jc w:val="both"/>
        <w:rPr>
          <w:rFonts w:ascii="Palatino Linotype" w:eastAsia="Arial Unicode MS" w:hAnsi="Palatino Linotype" w:cs="Arial"/>
          <w:i/>
          <w:sz w:val="20"/>
        </w:rPr>
      </w:pPr>
      <w:r w:rsidRPr="00010A76">
        <w:rPr>
          <w:rFonts w:ascii="Palatino Linotype" w:eastAsia="Arial Unicode MS" w:hAnsi="Palatino Linotype" w:cs="Arial"/>
          <w:i/>
          <w:sz w:val="20"/>
        </w:rPr>
        <w:t>RRA 0478/17. Secretaría de Relaciones Exteriores. 26 de abril de 2017. Por unanimidad. Comisionada Ponente Areli Cano Guadiana.” [Sic]</w:t>
      </w:r>
    </w:p>
    <w:p w14:paraId="0996EF3E" w14:textId="77777777" w:rsidR="004F10B5" w:rsidRPr="00010A76" w:rsidRDefault="004F10B5" w:rsidP="004F10B5">
      <w:pPr>
        <w:tabs>
          <w:tab w:val="left" w:pos="7938"/>
        </w:tabs>
        <w:spacing w:after="0" w:line="360" w:lineRule="auto"/>
        <w:jc w:val="both"/>
        <w:rPr>
          <w:rFonts w:ascii="Palatino Linotype" w:eastAsia="Arial Unicode MS" w:hAnsi="Palatino Linotype" w:cs="Arial"/>
          <w:sz w:val="24"/>
        </w:rPr>
      </w:pPr>
    </w:p>
    <w:p w14:paraId="0B008321" w14:textId="77777777" w:rsidR="004B16EB" w:rsidRPr="00010A76" w:rsidRDefault="004B16EB" w:rsidP="004B16EB">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 xml:space="preserve">Por otra parte, las </w:t>
      </w:r>
      <w:r w:rsidRPr="00010A76">
        <w:rPr>
          <w:rFonts w:ascii="Palatino Linotype" w:eastAsia="Arial Unicode MS" w:hAnsi="Palatino Linotype" w:cs="Arial"/>
          <w:b/>
          <w:sz w:val="24"/>
        </w:rPr>
        <w:t>Cadenas Originales y Sellos Digitales</w:t>
      </w:r>
      <w:r w:rsidRPr="00010A76">
        <w:rPr>
          <w:rFonts w:ascii="Palatino Linotype" w:eastAsia="Arial Unicode MS" w:hAnsi="Palatino Linotype" w:cs="Arial"/>
          <w:sz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010A76">
        <w:rPr>
          <w:rFonts w:ascii="Palatino Linotype" w:eastAsia="Arial Unicode MS" w:hAnsi="Palatino Linotype" w:cs="Arial"/>
          <w:b/>
          <w:sz w:val="24"/>
        </w:rPr>
        <w:t>vinculación</w:t>
      </w:r>
      <w:r w:rsidRPr="00010A76">
        <w:rPr>
          <w:rFonts w:ascii="Palatino Linotype" w:eastAsia="Arial Unicode MS" w:hAnsi="Palatino Linotype" w:cs="Arial"/>
          <w:sz w:val="24"/>
        </w:rPr>
        <w:t xml:space="preserve"> entre la </w:t>
      </w:r>
      <w:r w:rsidRPr="00010A76">
        <w:rPr>
          <w:rFonts w:ascii="Palatino Linotype" w:eastAsia="Arial Unicode MS" w:hAnsi="Palatino Linotype" w:cs="Arial"/>
          <w:b/>
          <w:sz w:val="24"/>
        </w:rPr>
        <w:t>identidad de un sujeto o entidad con su clave pública</w:t>
      </w:r>
      <w:r w:rsidRPr="00010A76">
        <w:rPr>
          <w:rFonts w:ascii="Palatino Linotype" w:eastAsia="Arial Unicode MS" w:hAnsi="Palatino Linotype" w:cs="Arial"/>
          <w:sz w:val="24"/>
        </w:rPr>
        <w:t xml:space="preserve">, lo que hace identificable a una persona o entidad, además de que dichos certificados tienen como finalidad o propósito específico firmar </w:t>
      </w:r>
      <w:r w:rsidRPr="00010A76">
        <w:rPr>
          <w:rFonts w:ascii="Palatino Linotype" w:eastAsia="Arial Unicode MS" w:hAnsi="Palatino Linotype" w:cs="Arial"/>
          <w:sz w:val="24"/>
        </w:rPr>
        <w:lastRenderedPageBreak/>
        <w:t xml:space="preserve">digitalmente las facturas electrónicas </w:t>
      </w:r>
      <w:r w:rsidRPr="00010A76">
        <w:rPr>
          <w:rFonts w:ascii="Palatino Linotype" w:eastAsia="Arial Unicode MS" w:hAnsi="Palatino Linotype" w:cs="Arial"/>
          <w:b/>
          <w:sz w:val="24"/>
        </w:rPr>
        <w:t>para acreditar la autoría de los comprobantes fiscales digitales</w:t>
      </w:r>
      <w:r w:rsidRPr="00010A76">
        <w:rPr>
          <w:rFonts w:ascii="Palatino Linotype" w:eastAsia="Arial Unicode MS" w:hAnsi="Palatino Linotype" w:cs="Arial"/>
          <w:sz w:val="24"/>
        </w:rPr>
        <w:t>. En ese tenor se transcriben los artículos señalados con antelación para mejor ilustración:</w:t>
      </w:r>
    </w:p>
    <w:p w14:paraId="0E0B98B1" w14:textId="77777777" w:rsidR="00010A76" w:rsidRPr="00010A76" w:rsidRDefault="00010A76" w:rsidP="004B16EB">
      <w:pPr>
        <w:tabs>
          <w:tab w:val="left" w:pos="7938"/>
        </w:tabs>
        <w:spacing w:after="0" w:line="360" w:lineRule="auto"/>
        <w:jc w:val="both"/>
        <w:rPr>
          <w:rFonts w:ascii="Palatino Linotype" w:eastAsia="Arial Unicode MS" w:hAnsi="Palatino Linotype" w:cs="Arial"/>
          <w:sz w:val="24"/>
        </w:rPr>
      </w:pPr>
    </w:p>
    <w:p w14:paraId="503D51BD" w14:textId="5939BE7B" w:rsidR="004B16EB" w:rsidRPr="00010A76" w:rsidRDefault="004B16EB" w:rsidP="004B16EB">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w:t>
      </w:r>
      <w:r w:rsidRPr="00010A76">
        <w:rPr>
          <w:rFonts w:ascii="Palatino Linotype" w:eastAsia="Arial Unicode MS" w:hAnsi="Palatino Linotype" w:cs="Arial"/>
          <w:b/>
          <w:i/>
        </w:rPr>
        <w:t>Artículo 17-G.-</w:t>
      </w:r>
      <w:r w:rsidRPr="00010A76">
        <w:rPr>
          <w:rFonts w:ascii="Palatino Linotype" w:eastAsia="Arial Unicode MS" w:hAnsi="Palatino Linotype" w:cs="Arial"/>
          <w:i/>
        </w:rPr>
        <w:t xml:space="preserve"> Los certificados que emita el Servicio de Administración Tributaria para ser considerados válidos deberán contener los datos siguientes: </w:t>
      </w:r>
    </w:p>
    <w:p w14:paraId="5B759A52" w14:textId="77777777" w:rsidR="004B16EB" w:rsidRPr="00010A76" w:rsidRDefault="004B16EB" w:rsidP="004B16EB">
      <w:pPr>
        <w:tabs>
          <w:tab w:val="left" w:pos="7938"/>
        </w:tabs>
        <w:spacing w:after="0" w:line="240" w:lineRule="auto"/>
        <w:ind w:left="567" w:right="567"/>
        <w:jc w:val="both"/>
        <w:rPr>
          <w:rFonts w:ascii="Palatino Linotype" w:eastAsia="Arial Unicode MS" w:hAnsi="Palatino Linotype" w:cs="Arial"/>
          <w:i/>
        </w:rPr>
      </w:pPr>
    </w:p>
    <w:p w14:paraId="49AE33C0" w14:textId="77777777" w:rsidR="004B16EB" w:rsidRPr="00010A76" w:rsidRDefault="004B16EB" w:rsidP="004B16EB">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I. La mención de que se expiden como tales. Tratándose de certificados de sellos digitales, se deberán especificar las limitantes que tengan para su uso.</w:t>
      </w:r>
    </w:p>
    <w:p w14:paraId="3B041F2C" w14:textId="77777777" w:rsidR="004B16EB" w:rsidRPr="00010A76" w:rsidRDefault="004B16EB" w:rsidP="004B16EB">
      <w:pPr>
        <w:tabs>
          <w:tab w:val="left" w:pos="7938"/>
        </w:tabs>
        <w:spacing w:after="0" w:line="240" w:lineRule="auto"/>
        <w:ind w:left="567" w:right="567"/>
        <w:jc w:val="both"/>
        <w:rPr>
          <w:rFonts w:ascii="Palatino Linotype" w:eastAsia="Arial Unicode MS" w:hAnsi="Palatino Linotype" w:cs="Arial"/>
          <w:i/>
        </w:rPr>
      </w:pPr>
    </w:p>
    <w:p w14:paraId="282CAD55" w14:textId="77777777" w:rsidR="004B16EB" w:rsidRPr="00010A76" w:rsidRDefault="004B16EB" w:rsidP="004B16EB">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b/>
          <w:i/>
        </w:rPr>
        <w:t>Artículo 29.</w:t>
      </w:r>
      <w:r w:rsidRPr="00010A76">
        <w:rPr>
          <w:rFonts w:ascii="Palatino Linotype" w:eastAsia="Arial Unicode MS" w:hAnsi="Palatino Linotype" w:cs="Arial"/>
          <w:i/>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5026141" w14:textId="77777777" w:rsidR="004B16EB" w:rsidRPr="00010A76" w:rsidRDefault="004B16EB" w:rsidP="004B16EB">
      <w:pPr>
        <w:tabs>
          <w:tab w:val="left" w:pos="7938"/>
        </w:tabs>
        <w:spacing w:after="0" w:line="240" w:lineRule="auto"/>
        <w:ind w:left="567" w:right="567"/>
        <w:jc w:val="both"/>
        <w:rPr>
          <w:rFonts w:ascii="Palatino Linotype" w:eastAsia="Arial Unicode MS" w:hAnsi="Palatino Linotype" w:cs="Arial"/>
          <w:i/>
        </w:rPr>
      </w:pPr>
    </w:p>
    <w:p w14:paraId="5759F079" w14:textId="77777777" w:rsidR="004B16EB" w:rsidRPr="00010A76" w:rsidRDefault="004B16EB" w:rsidP="004B16EB">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Los contribuyentes a que se refiere el párrafo anterior deberán cumplir con las obligaciones siguientes:</w:t>
      </w:r>
    </w:p>
    <w:p w14:paraId="306B4772" w14:textId="77777777" w:rsidR="004B16EB" w:rsidRPr="00010A76" w:rsidRDefault="004B16EB" w:rsidP="004B16EB">
      <w:pPr>
        <w:tabs>
          <w:tab w:val="left" w:pos="7938"/>
        </w:tabs>
        <w:spacing w:after="0" w:line="240" w:lineRule="auto"/>
        <w:ind w:left="567" w:right="567"/>
        <w:jc w:val="both"/>
        <w:rPr>
          <w:rFonts w:ascii="Palatino Linotype" w:eastAsia="Arial Unicode MS" w:hAnsi="Palatino Linotype" w:cs="Arial"/>
          <w:i/>
        </w:rPr>
      </w:pPr>
    </w:p>
    <w:p w14:paraId="1EA0B310" w14:textId="77777777" w:rsidR="004B16EB" w:rsidRPr="00010A76" w:rsidRDefault="004B16EB" w:rsidP="004B16EB">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w:t>
      </w:r>
    </w:p>
    <w:p w14:paraId="16022DB4" w14:textId="77777777" w:rsidR="004B16EB" w:rsidRPr="00010A76" w:rsidRDefault="004B16EB" w:rsidP="004B16EB">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II. Tramitar ante el Servicio de Administración Tributaria el certificado para el uso de los sellos digitales.</w:t>
      </w:r>
    </w:p>
    <w:p w14:paraId="6CA01167" w14:textId="77777777" w:rsidR="004B16EB" w:rsidRPr="00010A76" w:rsidRDefault="004B16EB" w:rsidP="004B16EB">
      <w:pPr>
        <w:tabs>
          <w:tab w:val="left" w:pos="7938"/>
        </w:tabs>
        <w:spacing w:after="0" w:line="240" w:lineRule="auto"/>
        <w:ind w:left="567" w:right="567"/>
        <w:jc w:val="both"/>
        <w:rPr>
          <w:rFonts w:ascii="Palatino Linotype" w:eastAsia="Arial Unicode MS" w:hAnsi="Palatino Linotype" w:cs="Arial"/>
          <w:i/>
        </w:rPr>
      </w:pPr>
    </w:p>
    <w:p w14:paraId="53C89367" w14:textId="77777777" w:rsidR="004B16EB" w:rsidRPr="00010A76" w:rsidRDefault="004B16EB" w:rsidP="004B16EB">
      <w:pPr>
        <w:tabs>
          <w:tab w:val="left" w:pos="7938"/>
        </w:tabs>
        <w:spacing w:after="0" w:line="240" w:lineRule="auto"/>
        <w:ind w:left="567" w:right="567"/>
        <w:jc w:val="both"/>
        <w:rPr>
          <w:rFonts w:ascii="Palatino Linotype" w:eastAsia="Arial Unicode MS" w:hAnsi="Palatino Linotype" w:cs="Arial"/>
          <w:i/>
        </w:rPr>
      </w:pPr>
      <w:r w:rsidRPr="00010A76">
        <w:rPr>
          <w:rFonts w:ascii="Palatino Linotype" w:eastAsia="Arial Unicode MS" w:hAnsi="Palatino Linotype" w:cs="Arial"/>
          <w:i/>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0CBC157" w14:textId="77777777" w:rsidR="004B16EB" w:rsidRPr="00010A76" w:rsidRDefault="004B16EB" w:rsidP="004B16EB">
      <w:pPr>
        <w:tabs>
          <w:tab w:val="left" w:pos="7938"/>
        </w:tabs>
        <w:spacing w:after="0" w:line="360" w:lineRule="auto"/>
        <w:jc w:val="both"/>
        <w:rPr>
          <w:rFonts w:ascii="Palatino Linotype" w:eastAsia="Arial Unicode MS" w:hAnsi="Palatino Linotype" w:cs="Arial"/>
          <w:sz w:val="24"/>
        </w:rPr>
      </w:pPr>
    </w:p>
    <w:p w14:paraId="33C5082A" w14:textId="77777777" w:rsidR="004B16EB" w:rsidRPr="00010A76" w:rsidRDefault="004B16EB" w:rsidP="004B16EB">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 xml:space="preserve">Por lo que hace a los </w:t>
      </w:r>
      <w:r w:rsidRPr="00010A76">
        <w:rPr>
          <w:rFonts w:ascii="Palatino Linotype" w:eastAsia="Arial Unicode MS" w:hAnsi="Palatino Linotype" w:cs="Arial"/>
          <w:b/>
          <w:sz w:val="24"/>
        </w:rPr>
        <w:t>Códigos Bidimensionales</w:t>
      </w:r>
      <w:r w:rsidRPr="00010A76">
        <w:rPr>
          <w:rFonts w:ascii="Palatino Linotype" w:eastAsia="Arial Unicode MS" w:hAnsi="Palatino Linotype" w:cs="Arial"/>
          <w:sz w:val="24"/>
        </w:rPr>
        <w:t xml:space="preserve"> y los denominados </w:t>
      </w:r>
      <w:r w:rsidRPr="00010A76">
        <w:rPr>
          <w:rFonts w:ascii="Palatino Linotype" w:eastAsia="Arial Unicode MS" w:hAnsi="Palatino Linotype" w:cs="Arial"/>
          <w:b/>
          <w:sz w:val="24"/>
        </w:rPr>
        <w:t>Códigos QR</w:t>
      </w:r>
      <w:r w:rsidRPr="00010A76">
        <w:rPr>
          <w:rFonts w:ascii="Palatino Linotype" w:eastAsia="Arial Unicode MS" w:hAnsi="Palatino Linotype" w:cs="Arial"/>
          <w:sz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w:t>
      </w:r>
      <w:r w:rsidRPr="00010A76">
        <w:rPr>
          <w:rFonts w:ascii="Palatino Linotype" w:eastAsia="Arial Unicode MS" w:hAnsi="Palatino Linotype" w:cs="Arial"/>
          <w:sz w:val="24"/>
        </w:rPr>
        <w:lastRenderedPageBreak/>
        <w:t xml:space="preserve">persona, teniendo acceso a dichos datos almacenados, los que al tratarse de recibos de nómina, generalmente, corresponde a datos personales como lo son el </w:t>
      </w:r>
      <w:r w:rsidRPr="00010A76">
        <w:rPr>
          <w:rFonts w:ascii="Palatino Linotype" w:eastAsia="Arial Unicode MS" w:hAnsi="Palatino Linotype" w:cs="Arial"/>
          <w:b/>
          <w:sz w:val="24"/>
        </w:rPr>
        <w:t>Registro Federal de Contribuyentes</w:t>
      </w:r>
      <w:r w:rsidRPr="00010A76">
        <w:rPr>
          <w:rFonts w:ascii="Palatino Linotype" w:eastAsia="Arial Unicode MS" w:hAnsi="Palatino Linotype" w:cs="Arial"/>
          <w:sz w:val="24"/>
        </w:rPr>
        <w:t xml:space="preserve"> (RFC) y la </w:t>
      </w:r>
      <w:r w:rsidRPr="00010A76">
        <w:rPr>
          <w:rFonts w:ascii="Palatino Linotype" w:eastAsia="Arial Unicode MS" w:hAnsi="Palatino Linotype" w:cs="Arial"/>
          <w:b/>
          <w:sz w:val="24"/>
        </w:rPr>
        <w:t>Clave Única de Registro de Población</w:t>
      </w:r>
      <w:r w:rsidRPr="00010A76">
        <w:rPr>
          <w:rFonts w:ascii="Palatino Linotype" w:eastAsia="Arial Unicode MS" w:hAnsi="Palatino Linotype" w:cs="Arial"/>
          <w:sz w:val="24"/>
        </w:rPr>
        <w:t xml:space="preserve"> (CURP), por lo cual, deberán ser protegidos.</w:t>
      </w:r>
    </w:p>
    <w:p w14:paraId="1A413233" w14:textId="77777777" w:rsidR="00010A76" w:rsidRPr="00010A76" w:rsidRDefault="00010A76" w:rsidP="004B16EB">
      <w:pPr>
        <w:tabs>
          <w:tab w:val="left" w:pos="7938"/>
        </w:tabs>
        <w:spacing w:after="0" w:line="360" w:lineRule="auto"/>
        <w:jc w:val="both"/>
        <w:rPr>
          <w:rFonts w:ascii="Palatino Linotype" w:eastAsia="Arial Unicode MS" w:hAnsi="Palatino Linotype" w:cs="Arial"/>
          <w:sz w:val="24"/>
        </w:rPr>
      </w:pPr>
    </w:p>
    <w:p w14:paraId="5A38AB1E" w14:textId="77777777" w:rsidR="004B16EB" w:rsidRPr="00010A76" w:rsidRDefault="004B16EB" w:rsidP="004B16EB">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4B0992B6" w14:textId="77777777" w:rsidR="004B16EB" w:rsidRPr="00010A76" w:rsidRDefault="004B16EB" w:rsidP="004B16EB">
      <w:pPr>
        <w:tabs>
          <w:tab w:val="left" w:pos="7938"/>
        </w:tabs>
        <w:spacing w:after="0" w:line="360" w:lineRule="auto"/>
        <w:jc w:val="both"/>
        <w:rPr>
          <w:rFonts w:ascii="Palatino Linotype" w:eastAsia="Arial Unicode MS" w:hAnsi="Palatino Linotype" w:cs="Arial"/>
          <w:sz w:val="24"/>
        </w:rPr>
      </w:pPr>
    </w:p>
    <w:p w14:paraId="494E30C6" w14:textId="77777777" w:rsidR="004B16EB" w:rsidRPr="00010A76" w:rsidRDefault="004B16EB" w:rsidP="004B16EB">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7B201E8" w14:textId="77777777" w:rsidR="004B16EB" w:rsidRPr="00010A76" w:rsidRDefault="004B16EB" w:rsidP="004B16EB">
      <w:pPr>
        <w:tabs>
          <w:tab w:val="left" w:pos="7938"/>
        </w:tabs>
        <w:spacing w:after="0" w:line="360" w:lineRule="auto"/>
        <w:jc w:val="both"/>
        <w:rPr>
          <w:rFonts w:ascii="Palatino Linotype" w:eastAsia="Arial Unicode MS" w:hAnsi="Palatino Linotype" w:cs="Arial"/>
          <w:sz w:val="24"/>
        </w:rPr>
      </w:pPr>
    </w:p>
    <w:p w14:paraId="63000349" w14:textId="77777777" w:rsidR="004B16EB" w:rsidRPr="00010A76" w:rsidRDefault="004B16EB" w:rsidP="004B16EB">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w:t>
      </w:r>
      <w:r w:rsidRPr="00010A76">
        <w:rPr>
          <w:rFonts w:ascii="Palatino Linotype" w:eastAsia="Arial Unicode MS" w:hAnsi="Palatino Linotype" w:cs="Arial"/>
          <w:sz w:val="24"/>
        </w:rPr>
        <w:lastRenderedPageBreak/>
        <w:t>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3778E60C" w14:textId="77777777" w:rsidR="003666AC" w:rsidRPr="00010A76" w:rsidRDefault="003666AC" w:rsidP="004B16EB">
      <w:pPr>
        <w:tabs>
          <w:tab w:val="left" w:pos="7938"/>
        </w:tabs>
        <w:spacing w:after="0" w:line="360" w:lineRule="auto"/>
        <w:jc w:val="both"/>
        <w:rPr>
          <w:rFonts w:ascii="Palatino Linotype" w:eastAsia="Arial Unicode MS" w:hAnsi="Palatino Linotype" w:cs="Arial"/>
          <w:sz w:val="24"/>
        </w:rPr>
      </w:pPr>
    </w:p>
    <w:p w14:paraId="7852B14B" w14:textId="77777777" w:rsidR="004B16EB" w:rsidRPr="00010A76" w:rsidRDefault="004B16EB" w:rsidP="004B16EB">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010A76">
        <w:rPr>
          <w:rFonts w:ascii="Palatino Linotype" w:eastAsia="Arial Unicode MS" w:hAnsi="Palatino Linotype" w:cs="Arial"/>
          <w:sz w:val="24"/>
        </w:rPr>
        <w:t>AAAA-MM-DDThh:mm:ss</w:t>
      </w:r>
      <w:proofErr w:type="spellEnd"/>
      <w:r w:rsidRPr="00010A76">
        <w:rPr>
          <w:rFonts w:ascii="Palatino Linotype" w:eastAsia="Arial Unicode MS" w:hAnsi="Palatino Linotype" w:cs="Arial"/>
          <w:sz w:val="24"/>
        </w:rPr>
        <w:t>.</w:t>
      </w:r>
    </w:p>
    <w:p w14:paraId="1768814F" w14:textId="77777777" w:rsidR="004B16EB" w:rsidRPr="00010A76" w:rsidRDefault="004B16EB" w:rsidP="004B16EB">
      <w:pPr>
        <w:tabs>
          <w:tab w:val="left" w:pos="7938"/>
        </w:tabs>
        <w:spacing w:after="0" w:line="360" w:lineRule="auto"/>
        <w:jc w:val="both"/>
        <w:rPr>
          <w:rFonts w:ascii="Palatino Linotype" w:eastAsia="Arial Unicode MS" w:hAnsi="Palatino Linotype" w:cs="Arial"/>
          <w:sz w:val="24"/>
        </w:rPr>
      </w:pPr>
    </w:p>
    <w:p w14:paraId="47BD5469" w14:textId="1F357F4E" w:rsidR="004B16EB" w:rsidRPr="00010A76" w:rsidRDefault="004B16EB" w:rsidP="004B16EB">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7852563E" w14:textId="77777777" w:rsidR="004B16EB" w:rsidRPr="00010A76" w:rsidRDefault="004B16EB" w:rsidP="004F10B5">
      <w:pPr>
        <w:tabs>
          <w:tab w:val="left" w:pos="7938"/>
        </w:tabs>
        <w:spacing w:after="0" w:line="360" w:lineRule="auto"/>
        <w:jc w:val="both"/>
        <w:rPr>
          <w:rFonts w:ascii="Palatino Linotype" w:eastAsia="Arial Unicode MS" w:hAnsi="Palatino Linotype" w:cs="Arial"/>
          <w:sz w:val="24"/>
        </w:rPr>
      </w:pPr>
    </w:p>
    <w:p w14:paraId="1E8A7B91" w14:textId="25746441" w:rsidR="00084C5F" w:rsidRPr="00010A76" w:rsidRDefault="004F10B5" w:rsidP="004F10B5">
      <w:pPr>
        <w:tabs>
          <w:tab w:val="left" w:pos="7938"/>
        </w:tabs>
        <w:spacing w:after="0" w:line="360" w:lineRule="auto"/>
        <w:jc w:val="both"/>
        <w:rPr>
          <w:rFonts w:ascii="Palatino Linotype" w:eastAsia="Arial Unicode MS" w:hAnsi="Palatino Linotype" w:cs="Arial"/>
          <w:sz w:val="24"/>
        </w:rPr>
      </w:pPr>
      <w:r w:rsidRPr="00010A76">
        <w:rPr>
          <w:rFonts w:ascii="Palatino Linotype" w:eastAsia="Arial Unicode MS" w:hAnsi="Palatino Linotype" w:cs="Arial"/>
          <w:sz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010A76">
        <w:rPr>
          <w:rFonts w:ascii="Palatino Linotype" w:eastAsia="Arial Unicode MS" w:hAnsi="Palatino Linotype" w:cs="Arial"/>
          <w:b/>
          <w:sz w:val="24"/>
        </w:rPr>
        <w:t xml:space="preserve">Lineamientos Generales en materia de Clasificación y Desclasificación de la Información, así como para la elaboración de </w:t>
      </w:r>
      <w:r w:rsidRPr="00010A76">
        <w:rPr>
          <w:rFonts w:ascii="Palatino Linotype" w:eastAsia="Arial Unicode MS" w:hAnsi="Palatino Linotype" w:cs="Arial"/>
          <w:b/>
          <w:sz w:val="24"/>
        </w:rPr>
        <w:lastRenderedPageBreak/>
        <w:t>Versiones Públicas</w:t>
      </w:r>
      <w:r w:rsidRPr="00010A76">
        <w:rPr>
          <w:rFonts w:ascii="Palatino Linotype" w:eastAsia="Arial Unicode MS" w:hAnsi="Palatino Linotype" w:cs="Arial"/>
          <w:sz w:val="24"/>
        </w:rPr>
        <w:t>, publicados en el Diario Oficial de la Federación en fecha quince de abril de dos mil dieciséis, mediante Acuerdo del Consejo Nacional del Sistema Nacional de Transparencia, Acceso a la Información Pública y Protección de Datos Personales.</w:t>
      </w:r>
    </w:p>
    <w:p w14:paraId="41B33BB9" w14:textId="77777777" w:rsidR="00084C5F" w:rsidRPr="00010A76" w:rsidRDefault="00084C5F" w:rsidP="00084C5F">
      <w:pPr>
        <w:tabs>
          <w:tab w:val="left" w:pos="7938"/>
        </w:tabs>
        <w:spacing w:after="0" w:line="360" w:lineRule="auto"/>
        <w:jc w:val="both"/>
        <w:rPr>
          <w:rFonts w:ascii="Palatino Linotype" w:eastAsia="Arial Unicode MS" w:hAnsi="Palatino Linotype" w:cs="Arial"/>
          <w:sz w:val="24"/>
        </w:rPr>
      </w:pPr>
    </w:p>
    <w:p w14:paraId="1406FE14"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r w:rsidRPr="00010A76">
        <w:rPr>
          <w:rFonts w:ascii="Palatino Linotype" w:hAnsi="Palatino Linotype" w:cs="Arial"/>
          <w:sz w:val="24"/>
          <w:szCs w:val="24"/>
        </w:rPr>
        <w:t xml:space="preserve">Por lo tanto, en mérito de lo expuesto en líneas anteriores, con fundamento en la primera hipótesis de la fracción III del artículo 186, de la Ley de Transparencia y Acceso a la Información Pública del Estado de México y Municipios, se </w:t>
      </w:r>
      <w:r w:rsidRPr="00010A76">
        <w:rPr>
          <w:rFonts w:ascii="Palatino Linotype" w:hAnsi="Palatino Linotype" w:cs="Arial"/>
          <w:b/>
          <w:sz w:val="24"/>
          <w:szCs w:val="24"/>
        </w:rPr>
        <w:t>MODIFICA</w:t>
      </w:r>
      <w:r w:rsidRPr="00010A76">
        <w:rPr>
          <w:rFonts w:ascii="Palatino Linotype" w:hAnsi="Palatino Linotype" w:cs="Arial"/>
          <w:sz w:val="24"/>
          <w:szCs w:val="24"/>
        </w:rPr>
        <w:t xml:space="preserve"> la respuesta otorgada por el </w:t>
      </w:r>
      <w:r w:rsidRPr="00010A76">
        <w:rPr>
          <w:rFonts w:ascii="Palatino Linotype" w:hAnsi="Palatino Linotype" w:cs="Arial"/>
          <w:b/>
          <w:sz w:val="24"/>
          <w:szCs w:val="24"/>
        </w:rPr>
        <w:t>Sujeto Obligado</w:t>
      </w:r>
      <w:r w:rsidRPr="00010A76">
        <w:rPr>
          <w:rFonts w:ascii="Palatino Linotype" w:hAnsi="Palatino Linotype" w:cs="Arial"/>
          <w:sz w:val="24"/>
          <w:szCs w:val="24"/>
        </w:rPr>
        <w:t xml:space="preserve">, a la solicitud de información </w:t>
      </w:r>
      <w:r w:rsidR="00396830" w:rsidRPr="00010A76">
        <w:rPr>
          <w:rFonts w:ascii="Palatino Linotype" w:hAnsi="Palatino Linotype" w:cs="Arial"/>
          <w:b/>
          <w:sz w:val="24"/>
          <w:szCs w:val="24"/>
        </w:rPr>
        <w:t>00006/TEPETLIX/IP/2023</w:t>
      </w:r>
      <w:r w:rsidRPr="00010A76">
        <w:rPr>
          <w:rFonts w:ascii="Palatino Linotype" w:hAnsi="Palatino Linotype" w:cs="Arial"/>
          <w:sz w:val="24"/>
          <w:szCs w:val="24"/>
        </w:rPr>
        <w:t>, la cual ha sido materia del presente fallo.</w:t>
      </w:r>
    </w:p>
    <w:p w14:paraId="6B4DFEE2"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p>
    <w:p w14:paraId="2A381818"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r w:rsidRPr="00010A76">
        <w:rPr>
          <w:rFonts w:ascii="Palatino Linotype" w:hAnsi="Palatino Linotype" w:cs="Arial"/>
          <w:sz w:val="24"/>
          <w:szCs w:val="24"/>
        </w:rPr>
        <w:t>Por lo antes expuesto y fundado es de resolverse y,</w:t>
      </w:r>
    </w:p>
    <w:p w14:paraId="45010B17" w14:textId="77777777"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p>
    <w:p w14:paraId="541337F0" w14:textId="77777777" w:rsidR="00084C5F" w:rsidRPr="00010A76" w:rsidRDefault="00084C5F" w:rsidP="00084C5F">
      <w:pPr>
        <w:spacing w:after="0" w:line="360" w:lineRule="auto"/>
        <w:ind w:left="426"/>
        <w:jc w:val="center"/>
        <w:rPr>
          <w:rFonts w:ascii="Palatino Linotype" w:eastAsia="Times New Roman" w:hAnsi="Palatino Linotype" w:cs="Times New Roman"/>
          <w:color w:val="000000"/>
          <w:sz w:val="24"/>
          <w:szCs w:val="24"/>
          <w:lang w:val="es-ES" w:eastAsia="es-ES"/>
        </w:rPr>
      </w:pPr>
      <w:r w:rsidRPr="00010A76">
        <w:rPr>
          <w:rFonts w:ascii="Palatino Linotype" w:eastAsia="Times New Roman" w:hAnsi="Palatino Linotype" w:cs="Times New Roman"/>
          <w:b/>
          <w:color w:val="000000"/>
          <w:sz w:val="28"/>
          <w:szCs w:val="24"/>
          <w:lang w:val="es-ES" w:eastAsia="es-ES"/>
        </w:rPr>
        <w:t>SE    RESUELVE</w:t>
      </w:r>
    </w:p>
    <w:p w14:paraId="0055D014" w14:textId="77777777" w:rsidR="00084C5F" w:rsidRPr="00010A76" w:rsidRDefault="00084C5F" w:rsidP="00084C5F">
      <w:pPr>
        <w:spacing w:after="0" w:line="360" w:lineRule="auto"/>
        <w:ind w:left="426"/>
        <w:jc w:val="center"/>
        <w:rPr>
          <w:rFonts w:ascii="Palatino Linotype" w:eastAsia="Times New Roman" w:hAnsi="Palatino Linotype" w:cs="Times New Roman"/>
          <w:color w:val="000000"/>
          <w:sz w:val="24"/>
          <w:szCs w:val="24"/>
          <w:lang w:val="es-ES" w:eastAsia="es-ES"/>
        </w:rPr>
      </w:pPr>
    </w:p>
    <w:p w14:paraId="771C333A" w14:textId="77777777" w:rsidR="00084C5F" w:rsidRPr="00010A76" w:rsidRDefault="00084C5F" w:rsidP="00084C5F">
      <w:pPr>
        <w:spacing w:after="0" w:line="360" w:lineRule="auto"/>
        <w:jc w:val="both"/>
        <w:rPr>
          <w:rFonts w:ascii="Palatino Linotype" w:eastAsia="Times New Roman" w:hAnsi="Palatino Linotype" w:cs="Arial"/>
          <w:b/>
          <w:sz w:val="24"/>
          <w:szCs w:val="24"/>
          <w:lang w:eastAsia="es-ES"/>
        </w:rPr>
      </w:pPr>
      <w:r w:rsidRPr="00010A76">
        <w:rPr>
          <w:rFonts w:ascii="Palatino Linotype" w:eastAsia="Times New Roman" w:hAnsi="Palatino Linotype" w:cs="Arial"/>
          <w:b/>
          <w:sz w:val="28"/>
          <w:szCs w:val="24"/>
          <w:lang w:eastAsia="es-ES"/>
        </w:rPr>
        <w:t>PRIMERO</w:t>
      </w:r>
      <w:r w:rsidRPr="00010A76">
        <w:rPr>
          <w:rFonts w:ascii="Palatino Linotype" w:eastAsia="Times New Roman" w:hAnsi="Palatino Linotype" w:cs="Arial"/>
          <w:b/>
          <w:sz w:val="24"/>
          <w:szCs w:val="24"/>
          <w:lang w:eastAsia="es-ES"/>
        </w:rPr>
        <w:t xml:space="preserve">. </w:t>
      </w:r>
      <w:r w:rsidRPr="00010A76">
        <w:rPr>
          <w:rFonts w:ascii="Palatino Linotype" w:eastAsia="Times New Roman" w:hAnsi="Palatino Linotype" w:cs="Arial"/>
          <w:sz w:val="24"/>
          <w:szCs w:val="24"/>
          <w:lang w:eastAsia="es-ES"/>
        </w:rPr>
        <w:t>Se</w:t>
      </w:r>
      <w:r w:rsidRPr="00010A76">
        <w:rPr>
          <w:rFonts w:ascii="Palatino Linotype" w:eastAsia="Times New Roman" w:hAnsi="Palatino Linotype" w:cs="Arial"/>
          <w:b/>
          <w:sz w:val="24"/>
          <w:szCs w:val="24"/>
          <w:lang w:eastAsia="es-ES"/>
        </w:rPr>
        <w:t xml:space="preserve"> MODIFICA </w:t>
      </w:r>
      <w:r w:rsidRPr="00010A76">
        <w:rPr>
          <w:rFonts w:ascii="Palatino Linotype" w:eastAsia="Times New Roman" w:hAnsi="Palatino Linotype" w:cs="Arial"/>
          <w:sz w:val="24"/>
          <w:szCs w:val="24"/>
          <w:lang w:eastAsia="es-ES"/>
        </w:rPr>
        <w:t>la respuesta</w:t>
      </w:r>
      <w:r w:rsidR="00396830" w:rsidRPr="00010A76">
        <w:rPr>
          <w:rFonts w:ascii="Palatino Linotype" w:eastAsia="Times New Roman" w:hAnsi="Palatino Linotype" w:cs="Arial"/>
          <w:sz w:val="24"/>
          <w:szCs w:val="24"/>
          <w:lang w:eastAsia="es-ES"/>
        </w:rPr>
        <w:t xml:space="preserve"> proporcionada por </w:t>
      </w:r>
      <w:r w:rsidRPr="00010A76">
        <w:rPr>
          <w:rFonts w:ascii="Palatino Linotype" w:eastAsia="Times New Roman" w:hAnsi="Palatino Linotype" w:cs="Arial"/>
          <w:sz w:val="24"/>
          <w:szCs w:val="24"/>
          <w:lang w:eastAsia="es-ES"/>
        </w:rPr>
        <w:t xml:space="preserve">el </w:t>
      </w:r>
      <w:r w:rsidRPr="00010A76">
        <w:rPr>
          <w:rFonts w:ascii="Palatino Linotype" w:eastAsia="Times New Roman" w:hAnsi="Palatino Linotype" w:cs="Arial"/>
          <w:b/>
          <w:sz w:val="24"/>
          <w:szCs w:val="24"/>
          <w:lang w:eastAsia="es-ES"/>
        </w:rPr>
        <w:t>Sujeto Obligado</w:t>
      </w:r>
      <w:r w:rsidRPr="00010A76">
        <w:rPr>
          <w:rFonts w:ascii="Palatino Linotype" w:eastAsia="Times New Roman" w:hAnsi="Palatino Linotype" w:cs="Arial"/>
          <w:sz w:val="24"/>
          <w:szCs w:val="24"/>
          <w:lang w:eastAsia="es-ES"/>
        </w:rPr>
        <w:t xml:space="preserve"> a la solicitud de acceso a la información pública </w:t>
      </w:r>
      <w:r w:rsidR="00396830" w:rsidRPr="00010A76">
        <w:rPr>
          <w:rFonts w:ascii="Palatino Linotype" w:eastAsia="Calibri" w:hAnsi="Palatino Linotype" w:cs="Arial"/>
          <w:b/>
          <w:sz w:val="24"/>
          <w:szCs w:val="24"/>
          <w:lang w:eastAsia="es-MX"/>
        </w:rPr>
        <w:t>00006/TEPETLIX/IP/2023,</w:t>
      </w:r>
      <w:r w:rsidRPr="00010A76">
        <w:rPr>
          <w:rFonts w:ascii="Palatino Linotype" w:eastAsia="Calibri" w:hAnsi="Palatino Linotype" w:cs="Arial"/>
          <w:sz w:val="24"/>
          <w:szCs w:val="24"/>
          <w:lang w:eastAsia="es-MX"/>
        </w:rPr>
        <w:t xml:space="preserve"> </w:t>
      </w:r>
      <w:r w:rsidR="00396830" w:rsidRPr="00010A76">
        <w:rPr>
          <w:rFonts w:ascii="Palatino Linotype" w:eastAsia="Times New Roman" w:hAnsi="Palatino Linotype" w:cs="Arial"/>
          <w:sz w:val="24"/>
          <w:szCs w:val="24"/>
          <w:lang w:eastAsia="es-ES"/>
        </w:rPr>
        <w:t>al</w:t>
      </w:r>
      <w:r w:rsidRPr="00010A76">
        <w:rPr>
          <w:rFonts w:ascii="Palatino Linotype" w:eastAsia="Times New Roman" w:hAnsi="Palatino Linotype" w:cs="Arial"/>
          <w:sz w:val="24"/>
          <w:szCs w:val="24"/>
          <w:lang w:eastAsia="es-ES"/>
        </w:rPr>
        <w:t xml:space="preserve"> resultar </w:t>
      </w:r>
      <w:r w:rsidRPr="00010A76">
        <w:rPr>
          <w:rFonts w:ascii="Palatino Linotype" w:eastAsia="Times New Roman" w:hAnsi="Palatino Linotype" w:cs="Arial"/>
          <w:b/>
          <w:sz w:val="24"/>
          <w:szCs w:val="24"/>
          <w:lang w:eastAsia="es-ES"/>
        </w:rPr>
        <w:t xml:space="preserve">fundados </w:t>
      </w:r>
      <w:r w:rsidRPr="00010A76">
        <w:rPr>
          <w:rFonts w:ascii="Palatino Linotype" w:eastAsia="Times New Roman" w:hAnsi="Palatino Linotype" w:cs="Arial"/>
          <w:sz w:val="24"/>
          <w:szCs w:val="24"/>
          <w:lang w:eastAsia="es-ES"/>
        </w:rPr>
        <w:t xml:space="preserve">los motivos de inconformidad vertidos por el </w:t>
      </w:r>
      <w:r w:rsidRPr="00010A76">
        <w:rPr>
          <w:rFonts w:ascii="Palatino Linotype" w:eastAsia="Times New Roman" w:hAnsi="Palatino Linotype" w:cs="Arial"/>
          <w:b/>
          <w:sz w:val="24"/>
          <w:szCs w:val="24"/>
          <w:lang w:eastAsia="es-ES"/>
        </w:rPr>
        <w:t>Recurrente</w:t>
      </w:r>
      <w:r w:rsidRPr="00010A76">
        <w:rPr>
          <w:rFonts w:ascii="Palatino Linotype" w:eastAsia="Times New Roman" w:hAnsi="Palatino Linotype" w:cs="Arial"/>
          <w:sz w:val="24"/>
          <w:szCs w:val="24"/>
          <w:lang w:eastAsia="es-ES"/>
        </w:rPr>
        <w:t>, en términos del considerandos</w:t>
      </w:r>
      <w:r w:rsidRPr="00010A76">
        <w:rPr>
          <w:rFonts w:ascii="Palatino Linotype" w:eastAsia="Times New Roman" w:hAnsi="Palatino Linotype" w:cs="Arial"/>
          <w:b/>
          <w:sz w:val="24"/>
          <w:szCs w:val="24"/>
          <w:lang w:eastAsia="es-ES"/>
        </w:rPr>
        <w:t xml:space="preserve"> CUARTO </w:t>
      </w:r>
      <w:r w:rsidRPr="00010A76">
        <w:rPr>
          <w:rFonts w:ascii="Palatino Linotype" w:eastAsia="Times New Roman" w:hAnsi="Palatino Linotype" w:cs="Arial"/>
          <w:sz w:val="24"/>
          <w:szCs w:val="24"/>
          <w:lang w:eastAsia="es-ES"/>
        </w:rPr>
        <w:t>de la presente Resolución.</w:t>
      </w:r>
    </w:p>
    <w:p w14:paraId="0FE63F78" w14:textId="77777777" w:rsidR="00084C5F" w:rsidRPr="00010A76" w:rsidRDefault="00084C5F" w:rsidP="00084C5F">
      <w:pPr>
        <w:spacing w:after="0" w:line="360" w:lineRule="auto"/>
        <w:ind w:right="-595"/>
        <w:jc w:val="both"/>
        <w:rPr>
          <w:rFonts w:ascii="Palatino Linotype" w:eastAsia="Times New Roman" w:hAnsi="Palatino Linotype" w:cs="Arial"/>
          <w:b/>
          <w:sz w:val="24"/>
          <w:szCs w:val="24"/>
          <w:lang w:eastAsia="es-ES"/>
        </w:rPr>
      </w:pPr>
    </w:p>
    <w:p w14:paraId="0F1DA927" w14:textId="7D66BE7C" w:rsidR="00084C5F" w:rsidRPr="00010A76" w:rsidRDefault="00084C5F" w:rsidP="00084C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10A76">
        <w:rPr>
          <w:rFonts w:ascii="Palatino Linotype" w:eastAsia="Times New Roman" w:hAnsi="Palatino Linotype" w:cs="Arial"/>
          <w:b/>
          <w:sz w:val="28"/>
          <w:szCs w:val="24"/>
          <w:lang w:eastAsia="es-ES"/>
        </w:rPr>
        <w:t>SEGUNDO</w:t>
      </w:r>
      <w:r w:rsidRPr="00010A76">
        <w:rPr>
          <w:rFonts w:ascii="Palatino Linotype" w:eastAsia="Times New Roman" w:hAnsi="Palatino Linotype" w:cs="Arial"/>
          <w:b/>
          <w:sz w:val="24"/>
          <w:szCs w:val="24"/>
          <w:lang w:eastAsia="es-ES"/>
        </w:rPr>
        <w:t>.</w:t>
      </w:r>
      <w:r w:rsidRPr="00010A76">
        <w:rPr>
          <w:rFonts w:ascii="Palatino Linotype" w:eastAsia="Times New Roman" w:hAnsi="Palatino Linotype" w:cs="Tahoma"/>
          <w:sz w:val="24"/>
          <w:szCs w:val="24"/>
          <w:lang w:eastAsia="es-ES"/>
        </w:rPr>
        <w:t xml:space="preserve"> Se </w:t>
      </w:r>
      <w:r w:rsidRPr="00010A76">
        <w:rPr>
          <w:rFonts w:ascii="Palatino Linotype" w:eastAsia="Times New Roman" w:hAnsi="Palatino Linotype" w:cs="Tahoma"/>
          <w:b/>
          <w:sz w:val="24"/>
          <w:szCs w:val="24"/>
          <w:lang w:eastAsia="es-ES"/>
        </w:rPr>
        <w:t xml:space="preserve">ORDENA </w:t>
      </w:r>
      <w:r w:rsidRPr="00010A76">
        <w:rPr>
          <w:rFonts w:ascii="Palatino Linotype" w:eastAsia="Times New Roman" w:hAnsi="Palatino Linotype" w:cs="Tahoma"/>
          <w:sz w:val="24"/>
          <w:szCs w:val="24"/>
          <w:lang w:eastAsia="es-ES"/>
        </w:rPr>
        <w:t>al Sujeto Obligado</w:t>
      </w:r>
      <w:r w:rsidRPr="00010A76">
        <w:rPr>
          <w:rFonts w:ascii="Palatino Linotype" w:eastAsia="Times New Roman" w:hAnsi="Palatino Linotype" w:cs="Tahoma"/>
          <w:b/>
          <w:sz w:val="24"/>
          <w:szCs w:val="24"/>
          <w:lang w:eastAsia="es-ES"/>
        </w:rPr>
        <w:t xml:space="preserve">, </w:t>
      </w:r>
      <w:r w:rsidRPr="00010A76">
        <w:rPr>
          <w:rFonts w:ascii="Palatino Linotype" w:eastAsia="Times New Roman" w:hAnsi="Palatino Linotype" w:cs="Tahoma"/>
          <w:sz w:val="24"/>
          <w:szCs w:val="24"/>
          <w:lang w:eastAsia="es-ES"/>
        </w:rPr>
        <w:t>a efecto de que entregue, vía</w:t>
      </w:r>
      <w:r w:rsidRPr="00010A76">
        <w:rPr>
          <w:rFonts w:ascii="Palatino Linotype" w:eastAsia="Times New Roman" w:hAnsi="Palatino Linotype" w:cs="Tahoma"/>
          <w:b/>
          <w:sz w:val="24"/>
          <w:szCs w:val="24"/>
          <w:lang w:eastAsia="es-ES"/>
        </w:rPr>
        <w:t xml:space="preserve"> </w:t>
      </w:r>
      <w:r w:rsidRPr="00010A76">
        <w:rPr>
          <w:rFonts w:ascii="Palatino Linotype" w:eastAsia="Calibri" w:hAnsi="Palatino Linotype" w:cs="Tahoma"/>
          <w:bCs/>
          <w:sz w:val="24"/>
          <w:szCs w:val="24"/>
          <w:lang w:eastAsia="es-MX"/>
        </w:rPr>
        <w:t xml:space="preserve">Sistema de Acceso a la Información Mexiquense (SAIMEX), </w:t>
      </w:r>
      <w:r w:rsidR="004F10B5" w:rsidRPr="00010A76">
        <w:rPr>
          <w:rFonts w:ascii="Palatino Linotype" w:eastAsia="Calibri" w:hAnsi="Palatino Linotype" w:cs="Tahoma"/>
          <w:bCs/>
          <w:sz w:val="24"/>
          <w:szCs w:val="24"/>
          <w:lang w:eastAsia="es-MX"/>
        </w:rPr>
        <w:t xml:space="preserve">en su caso </w:t>
      </w:r>
      <w:r w:rsidRPr="00010A76">
        <w:rPr>
          <w:rFonts w:ascii="Palatino Linotype" w:eastAsia="Calibri" w:hAnsi="Palatino Linotype" w:cs="Tahoma"/>
          <w:bCs/>
          <w:sz w:val="24"/>
          <w:szCs w:val="24"/>
          <w:lang w:eastAsia="es-MX"/>
        </w:rPr>
        <w:t xml:space="preserve">en versión pública, el soporte documental, en que obre </w:t>
      </w:r>
      <w:r w:rsidRPr="00010A76">
        <w:rPr>
          <w:rFonts w:ascii="Palatino Linotype" w:eastAsia="Times New Roman" w:hAnsi="Palatino Linotype" w:cs="Arial"/>
          <w:sz w:val="24"/>
          <w:szCs w:val="24"/>
          <w:lang w:val="es-ES" w:eastAsia="es-ES"/>
        </w:rPr>
        <w:t>lo siguiente:</w:t>
      </w:r>
    </w:p>
    <w:p w14:paraId="7FEEE660" w14:textId="77777777" w:rsidR="00084C5F" w:rsidRPr="00010A76" w:rsidRDefault="00084C5F" w:rsidP="00084C5F">
      <w:pPr>
        <w:spacing w:after="0" w:line="360" w:lineRule="auto"/>
        <w:jc w:val="both"/>
        <w:rPr>
          <w:rFonts w:ascii="Palatino Linotype" w:eastAsia="Calibri" w:hAnsi="Palatino Linotype" w:cs="Arial"/>
          <w:sz w:val="24"/>
          <w:lang w:val="es-ES" w:eastAsia="es-MX"/>
        </w:rPr>
      </w:pPr>
    </w:p>
    <w:p w14:paraId="0B08ED56" w14:textId="5BDF7367" w:rsidR="00084C5F" w:rsidRPr="00010A76" w:rsidRDefault="00396830" w:rsidP="00396830">
      <w:pPr>
        <w:pStyle w:val="Prrafodelista"/>
        <w:numPr>
          <w:ilvl w:val="0"/>
          <w:numId w:val="11"/>
        </w:numPr>
        <w:spacing w:line="360" w:lineRule="auto"/>
        <w:jc w:val="both"/>
        <w:rPr>
          <w:rFonts w:ascii="Palatino Linotype" w:eastAsia="Calibri" w:hAnsi="Palatino Linotype" w:cs="Arial"/>
          <w:lang w:eastAsia="es-MX"/>
        </w:rPr>
      </w:pPr>
      <w:r w:rsidRPr="00010A76">
        <w:rPr>
          <w:rFonts w:ascii="Palatino Linotype" w:eastAsia="Calibri" w:hAnsi="Palatino Linotype" w:cs="Arial"/>
          <w:lang w:eastAsia="es-MX"/>
        </w:rPr>
        <w:lastRenderedPageBreak/>
        <w:t>El costo total con copias de facturas del evento por el primer informe de gobierno de actividades del Ayuntamiento de Tepetlixpa</w:t>
      </w:r>
      <w:r w:rsidR="00F71620" w:rsidRPr="00010A76">
        <w:rPr>
          <w:rFonts w:ascii="Palatino Linotype" w:eastAsia="Calibri" w:hAnsi="Palatino Linotype" w:cs="Arial"/>
          <w:lang w:eastAsia="es-MX"/>
        </w:rPr>
        <w:t xml:space="preserve"> de la administración 2022 – 2024.</w:t>
      </w:r>
    </w:p>
    <w:p w14:paraId="7085A47A" w14:textId="77777777" w:rsidR="00396830" w:rsidRPr="00010A76" w:rsidRDefault="00396830" w:rsidP="00084C5F">
      <w:pPr>
        <w:spacing w:after="0" w:line="360" w:lineRule="auto"/>
        <w:jc w:val="both"/>
        <w:rPr>
          <w:rFonts w:ascii="Palatino Linotype" w:eastAsia="Calibri" w:hAnsi="Palatino Linotype" w:cs="Arial"/>
          <w:sz w:val="24"/>
          <w:lang w:val="es-ES" w:eastAsia="es-MX"/>
        </w:rPr>
      </w:pPr>
    </w:p>
    <w:p w14:paraId="5203CAEA" w14:textId="720B5A8F" w:rsidR="00084C5F" w:rsidRPr="00010A76" w:rsidRDefault="00084C5F" w:rsidP="00084C5F">
      <w:pPr>
        <w:spacing w:after="0" w:line="360" w:lineRule="auto"/>
        <w:jc w:val="both"/>
        <w:rPr>
          <w:rFonts w:ascii="Palatino Linotype" w:eastAsia="Times New Roman" w:hAnsi="Palatino Linotype" w:cs="Arial"/>
          <w:sz w:val="24"/>
          <w:szCs w:val="24"/>
          <w:lang w:eastAsia="es-ES"/>
        </w:rPr>
      </w:pPr>
      <w:r w:rsidRPr="00010A76">
        <w:rPr>
          <w:rFonts w:ascii="Palatino Linotype" w:eastAsia="Times New Roman" w:hAnsi="Palatino Linotype" w:cs="Arial"/>
          <w:sz w:val="24"/>
          <w:szCs w:val="24"/>
          <w:lang w:eastAsia="es-ES"/>
        </w:rPr>
        <w:t>De</w:t>
      </w:r>
      <w:r w:rsidR="00F71620" w:rsidRPr="00010A76">
        <w:rPr>
          <w:rFonts w:ascii="Palatino Linotype" w:eastAsia="Times New Roman" w:hAnsi="Palatino Linotype" w:cs="Arial"/>
          <w:sz w:val="24"/>
          <w:szCs w:val="24"/>
          <w:lang w:eastAsia="es-ES"/>
        </w:rPr>
        <w:t xml:space="preserve"> ser procedente la versión pública, deberá </w:t>
      </w:r>
      <w:r w:rsidRPr="00010A76">
        <w:rPr>
          <w:rFonts w:ascii="Palatino Linotype" w:eastAsia="Times New Roman" w:hAnsi="Palatino Linotype" w:cs="Arial"/>
          <w:sz w:val="24"/>
          <w:szCs w:val="24"/>
          <w:lang w:eastAsia="es-ES"/>
        </w:rPr>
        <w:t>emitir y hacer entrega del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w:t>
      </w:r>
    </w:p>
    <w:p w14:paraId="768C50BD" w14:textId="77777777" w:rsidR="00084C5F" w:rsidRPr="00010A76" w:rsidRDefault="00084C5F" w:rsidP="00084C5F">
      <w:pPr>
        <w:spacing w:after="0" w:line="360" w:lineRule="auto"/>
        <w:jc w:val="both"/>
        <w:rPr>
          <w:rFonts w:ascii="Palatino Linotype" w:eastAsia="Times New Roman" w:hAnsi="Palatino Linotype" w:cs="Tahoma"/>
          <w:sz w:val="24"/>
          <w:szCs w:val="24"/>
          <w:lang w:eastAsia="es-ES"/>
        </w:rPr>
      </w:pPr>
    </w:p>
    <w:p w14:paraId="00026BC8" w14:textId="77777777" w:rsidR="00084C5F" w:rsidRPr="00010A76" w:rsidRDefault="00084C5F" w:rsidP="00084C5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010A76">
        <w:rPr>
          <w:rFonts w:ascii="Palatino Linotype" w:eastAsia="Palatino Linotype" w:hAnsi="Palatino Linotype" w:cs="Palatino Linotype"/>
          <w:b/>
          <w:color w:val="000000"/>
          <w:sz w:val="26"/>
          <w:szCs w:val="26"/>
          <w:lang w:eastAsia="es-MX"/>
        </w:rPr>
        <w:t>TERCERO</w:t>
      </w:r>
      <w:r w:rsidRPr="00010A76">
        <w:rPr>
          <w:rFonts w:ascii="Palatino Linotype" w:eastAsia="Palatino Linotype" w:hAnsi="Palatino Linotype" w:cs="Palatino Linotype"/>
          <w:b/>
          <w:color w:val="000000"/>
          <w:sz w:val="24"/>
          <w:szCs w:val="24"/>
          <w:lang w:eastAsia="es-MX"/>
        </w:rPr>
        <w:t>. NOTIFÍQUESE</w:t>
      </w:r>
      <w:r w:rsidRPr="00010A76">
        <w:rPr>
          <w:rFonts w:ascii="Palatino Linotype" w:eastAsia="Palatino Linotype" w:hAnsi="Palatino Linotype" w:cs="Palatino Linotype"/>
          <w:color w:val="000000"/>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7ED9AB7" w14:textId="77777777" w:rsidR="00084C5F" w:rsidRPr="00010A76" w:rsidRDefault="00084C5F" w:rsidP="00084C5F">
      <w:pPr>
        <w:spacing w:after="0" w:line="360" w:lineRule="auto"/>
        <w:ind w:right="-595"/>
        <w:jc w:val="both"/>
        <w:rPr>
          <w:rFonts w:ascii="Palatino Linotype" w:eastAsia="Times New Roman" w:hAnsi="Palatino Linotype" w:cs="Tahoma"/>
          <w:bCs/>
          <w:sz w:val="24"/>
          <w:szCs w:val="24"/>
          <w:lang w:eastAsia="es-ES"/>
        </w:rPr>
      </w:pPr>
    </w:p>
    <w:p w14:paraId="71554E1F" w14:textId="77777777" w:rsidR="00084C5F" w:rsidRPr="00010A76" w:rsidRDefault="00084C5F" w:rsidP="00084C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10A76">
        <w:rPr>
          <w:rFonts w:ascii="Palatino Linotype" w:eastAsia="Times New Roman" w:hAnsi="Palatino Linotype" w:cs="Arial"/>
          <w:b/>
          <w:sz w:val="28"/>
          <w:szCs w:val="28"/>
          <w:lang w:val="es-ES" w:eastAsia="es-ES"/>
        </w:rPr>
        <w:t>CUARTO.</w:t>
      </w:r>
      <w:r w:rsidRPr="00010A76">
        <w:rPr>
          <w:rFonts w:ascii="Palatino Linotype" w:eastAsia="Times New Roman" w:hAnsi="Palatino Linotype" w:cs="Arial"/>
          <w:b/>
          <w:sz w:val="24"/>
          <w:szCs w:val="24"/>
          <w:lang w:val="es-ES" w:eastAsia="es-ES"/>
        </w:rPr>
        <w:t xml:space="preserve"> </w:t>
      </w:r>
      <w:r w:rsidRPr="00010A76">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10A76">
        <w:rPr>
          <w:rFonts w:ascii="Palatino Linotype" w:eastAsia="Times New Roman" w:hAnsi="Palatino Linotype" w:cs="Arial"/>
          <w:b/>
          <w:sz w:val="24"/>
          <w:szCs w:val="24"/>
          <w:lang w:val="es-ES" w:eastAsia="es-ES"/>
        </w:rPr>
        <w:t>Sujeto Obligado</w:t>
      </w:r>
      <w:r w:rsidRPr="00010A76">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37A15576" w14:textId="681424B9" w:rsidR="00084C5F" w:rsidRPr="00010A76" w:rsidRDefault="00084C5F" w:rsidP="00084C5F">
      <w:pPr>
        <w:autoSpaceDE w:val="0"/>
        <w:autoSpaceDN w:val="0"/>
        <w:adjustRightInd w:val="0"/>
        <w:spacing w:after="0" w:line="360" w:lineRule="auto"/>
        <w:jc w:val="both"/>
        <w:rPr>
          <w:rFonts w:ascii="Palatino Linotype" w:hAnsi="Palatino Linotype" w:cs="Arial"/>
          <w:sz w:val="24"/>
          <w:szCs w:val="24"/>
        </w:rPr>
      </w:pPr>
      <w:r w:rsidRPr="00010A76">
        <w:rPr>
          <w:rFonts w:ascii="Palatino Linotype" w:hAnsi="Palatino Linotype"/>
          <w:b/>
          <w:sz w:val="28"/>
          <w:szCs w:val="28"/>
        </w:rPr>
        <w:lastRenderedPageBreak/>
        <w:t>QUINTO</w:t>
      </w:r>
      <w:r w:rsidRPr="00010A76">
        <w:rPr>
          <w:rFonts w:ascii="Palatino Linotype" w:hAnsi="Palatino Linotype"/>
          <w:b/>
          <w:sz w:val="24"/>
          <w:szCs w:val="24"/>
        </w:rPr>
        <w:t xml:space="preserve">. </w:t>
      </w:r>
      <w:r w:rsidRPr="00010A76">
        <w:rPr>
          <w:rFonts w:ascii="Palatino Linotype" w:hAnsi="Palatino Linotype" w:cs="Arial"/>
          <w:b/>
          <w:sz w:val="24"/>
          <w:szCs w:val="24"/>
        </w:rPr>
        <w:t>NOTIFÍQUESE</w:t>
      </w:r>
      <w:r w:rsidRPr="00010A76">
        <w:rPr>
          <w:rFonts w:ascii="Palatino Linotype" w:hAnsi="Palatino Linotype" w:cs="Arial"/>
          <w:sz w:val="24"/>
          <w:szCs w:val="24"/>
        </w:rPr>
        <w:t xml:space="preserve"> a través del Sistema de Acceso a la Información Mexiquense (SAIMEX) al </w:t>
      </w:r>
      <w:r w:rsidRPr="00010A76">
        <w:rPr>
          <w:rFonts w:ascii="Palatino Linotype" w:hAnsi="Palatino Linotype" w:cs="Arial"/>
          <w:b/>
          <w:sz w:val="24"/>
          <w:szCs w:val="24"/>
        </w:rPr>
        <w:t>Recurrente</w:t>
      </w:r>
      <w:r w:rsidRPr="00010A76">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3585FD1" w14:textId="77777777" w:rsidR="00084C5F" w:rsidRPr="00010A76" w:rsidRDefault="00084C5F" w:rsidP="00084C5F">
      <w:pPr>
        <w:spacing w:after="0" w:line="360" w:lineRule="auto"/>
        <w:jc w:val="both"/>
        <w:rPr>
          <w:rFonts w:ascii="Palatino Linotype" w:eastAsia="Calibri" w:hAnsi="Palatino Linotype" w:cs="Times New Roman"/>
          <w:sz w:val="24"/>
          <w:szCs w:val="24"/>
          <w:lang w:eastAsia="es-ES_tradnl"/>
        </w:rPr>
      </w:pPr>
    </w:p>
    <w:p w14:paraId="3060A77F" w14:textId="056509B4" w:rsidR="00084C5F" w:rsidRPr="00010A76" w:rsidRDefault="00084C5F" w:rsidP="00084C5F">
      <w:pPr>
        <w:spacing w:after="0" w:line="360" w:lineRule="auto"/>
        <w:jc w:val="both"/>
        <w:rPr>
          <w:rFonts w:ascii="Palatino Linotype" w:hAnsi="Palatino Linotype" w:cs="Arial"/>
          <w:sz w:val="24"/>
          <w:szCs w:val="24"/>
        </w:rPr>
      </w:pPr>
      <w:r w:rsidRPr="00010A76">
        <w:rPr>
          <w:rFonts w:ascii="Palatino Linotype" w:hAnsi="Palatino Linotype" w:cs="Arial"/>
          <w:sz w:val="24"/>
          <w:szCs w:val="24"/>
        </w:rPr>
        <w:t>ASÍ LO RESUELVE, POR UNANIMIDAD DE VOTOS EL PLENO DEL</w:t>
      </w:r>
      <w:r w:rsidRPr="00010A7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0A76">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DÉCIMA </w:t>
      </w:r>
      <w:r w:rsidR="00F71620" w:rsidRPr="00010A76">
        <w:rPr>
          <w:rFonts w:ascii="Palatino Linotype" w:hAnsi="Palatino Linotype" w:cs="Arial"/>
          <w:sz w:val="24"/>
          <w:szCs w:val="24"/>
        </w:rPr>
        <w:t>SÉPTIMA</w:t>
      </w:r>
      <w:r w:rsidRPr="00010A76">
        <w:rPr>
          <w:rFonts w:ascii="Palatino Linotype" w:hAnsi="Palatino Linotype" w:cs="Arial"/>
          <w:sz w:val="24"/>
          <w:szCs w:val="24"/>
        </w:rPr>
        <w:t xml:space="preserve"> SESIÓN ORDINARIA CELEBRADA EL </w:t>
      </w:r>
      <w:r w:rsidR="00F71620" w:rsidRPr="00010A76">
        <w:rPr>
          <w:rFonts w:ascii="Palatino Linotype" w:hAnsi="Palatino Linotype" w:cs="Arial"/>
          <w:sz w:val="24"/>
          <w:szCs w:val="24"/>
        </w:rPr>
        <w:t xml:space="preserve">DIEZ DE MAYO </w:t>
      </w:r>
      <w:r w:rsidRPr="00010A76">
        <w:rPr>
          <w:rFonts w:ascii="Palatino Linotype" w:hAnsi="Palatino Linotype" w:cs="Arial"/>
          <w:sz w:val="24"/>
          <w:szCs w:val="24"/>
        </w:rPr>
        <w:t>DE DOS MIL VEINTITRÉS, ANTE EL ANTE EL SECRETARIO TÉCNICO DEL PLENO, ALEXIS TAPIA RAMÍREZ. ----------------------------------------------------------------------------------------</w:t>
      </w:r>
    </w:p>
    <w:p w14:paraId="0706936C" w14:textId="77777777" w:rsidR="00084C5F" w:rsidRPr="00010A76" w:rsidRDefault="00084C5F" w:rsidP="00084C5F">
      <w:pPr>
        <w:spacing w:after="0" w:line="360" w:lineRule="auto"/>
        <w:jc w:val="both"/>
        <w:rPr>
          <w:rFonts w:ascii="Palatino Linotype" w:hAnsi="Palatino Linotype" w:cs="Arial"/>
          <w:sz w:val="24"/>
          <w:szCs w:val="24"/>
        </w:rPr>
      </w:pPr>
      <w:r w:rsidRPr="00010A76">
        <w:rPr>
          <w:rFonts w:ascii="Palatino Linotype" w:hAnsi="Palatino Linotype" w:cs="Arial"/>
          <w:sz w:val="24"/>
          <w:szCs w:val="24"/>
        </w:rPr>
        <w:t>-----------------------------------------------------------------------------------------------------------------</w:t>
      </w:r>
    </w:p>
    <w:p w14:paraId="2252595F" w14:textId="77777777" w:rsidR="00084C5F" w:rsidRPr="00010A76" w:rsidRDefault="00084C5F" w:rsidP="00084C5F">
      <w:pPr>
        <w:spacing w:after="0" w:line="360" w:lineRule="auto"/>
        <w:jc w:val="both"/>
        <w:rPr>
          <w:rFonts w:ascii="Palatino Linotype" w:hAnsi="Palatino Linotype" w:cs="Arial"/>
          <w:sz w:val="24"/>
          <w:szCs w:val="24"/>
        </w:rPr>
      </w:pPr>
      <w:r w:rsidRPr="00010A76">
        <w:rPr>
          <w:rFonts w:ascii="Palatino Linotype" w:hAnsi="Palatino Linotype" w:cs="Arial"/>
          <w:sz w:val="24"/>
          <w:szCs w:val="24"/>
        </w:rPr>
        <w:t>-----------------------------------------------------------------------------------------------------------------</w:t>
      </w:r>
    </w:p>
    <w:p w14:paraId="4C3B61C2" w14:textId="77777777" w:rsidR="00084C5F" w:rsidRPr="00010A76" w:rsidRDefault="00084C5F" w:rsidP="00084C5F">
      <w:pPr>
        <w:spacing w:after="0" w:line="360" w:lineRule="auto"/>
        <w:jc w:val="both"/>
        <w:rPr>
          <w:rFonts w:ascii="Palatino Linotype" w:hAnsi="Palatino Linotype" w:cs="Arial"/>
          <w:sz w:val="24"/>
          <w:szCs w:val="24"/>
        </w:rPr>
      </w:pPr>
      <w:r w:rsidRPr="00010A76">
        <w:rPr>
          <w:rFonts w:ascii="Palatino Linotype" w:hAnsi="Palatino Linotype" w:cs="Arial"/>
          <w:sz w:val="24"/>
          <w:szCs w:val="24"/>
        </w:rPr>
        <w:t>-----------------------------------------------------------------------------------------------------------------</w:t>
      </w:r>
    </w:p>
    <w:p w14:paraId="1D223DEC" w14:textId="77777777" w:rsidR="00084C5F" w:rsidRPr="00010A76" w:rsidRDefault="00084C5F" w:rsidP="00084C5F">
      <w:pPr>
        <w:spacing w:after="0" w:line="360" w:lineRule="auto"/>
        <w:jc w:val="both"/>
        <w:rPr>
          <w:rFonts w:ascii="Palatino Linotype" w:hAnsi="Palatino Linotype" w:cs="Arial"/>
          <w:sz w:val="24"/>
          <w:szCs w:val="24"/>
        </w:rPr>
      </w:pPr>
      <w:r w:rsidRPr="00010A76">
        <w:rPr>
          <w:rFonts w:ascii="Palatino Linotype" w:hAnsi="Palatino Linotype" w:cs="Arial"/>
          <w:sz w:val="24"/>
          <w:szCs w:val="24"/>
        </w:rPr>
        <w:t>-----------------------------------------------------------------------------------------------------------------</w:t>
      </w:r>
    </w:p>
    <w:p w14:paraId="45AE5688" w14:textId="77777777" w:rsidR="00084C5F" w:rsidRPr="00010A76" w:rsidRDefault="00084C5F" w:rsidP="00084C5F">
      <w:pPr>
        <w:spacing w:after="0" w:line="360" w:lineRule="auto"/>
        <w:jc w:val="both"/>
        <w:rPr>
          <w:rFonts w:ascii="Palatino Linotype" w:hAnsi="Palatino Linotype" w:cs="Arial"/>
          <w:sz w:val="24"/>
          <w:szCs w:val="24"/>
        </w:rPr>
      </w:pPr>
      <w:r w:rsidRPr="00010A76">
        <w:rPr>
          <w:rFonts w:ascii="Palatino Linotype" w:hAnsi="Palatino Linotype" w:cs="Arial"/>
          <w:sz w:val="24"/>
          <w:szCs w:val="24"/>
        </w:rPr>
        <w:t>-----------------------------------------------------------------------------------------------------------------</w:t>
      </w:r>
    </w:p>
    <w:p w14:paraId="313EFB4D" w14:textId="77777777" w:rsidR="00084C5F" w:rsidRPr="00010A76" w:rsidRDefault="00084C5F" w:rsidP="00084C5F">
      <w:pPr>
        <w:spacing w:after="0" w:line="360" w:lineRule="auto"/>
        <w:jc w:val="both"/>
        <w:rPr>
          <w:rFonts w:ascii="Palatino Linotype" w:hAnsi="Palatino Linotype" w:cs="Arial"/>
          <w:sz w:val="24"/>
          <w:szCs w:val="24"/>
        </w:rPr>
      </w:pPr>
      <w:r w:rsidRPr="00010A76">
        <w:rPr>
          <w:rFonts w:ascii="Palatino Linotype" w:hAnsi="Palatino Linotype" w:cs="Arial"/>
          <w:sz w:val="24"/>
          <w:szCs w:val="24"/>
        </w:rPr>
        <w:t>-----------------------------------------------------------------------------------------------------------------</w:t>
      </w:r>
    </w:p>
    <w:p w14:paraId="76818BE7" w14:textId="77777777" w:rsidR="00390B4C" w:rsidRPr="00010A76" w:rsidRDefault="00390B4C" w:rsidP="00390B4C">
      <w:pPr>
        <w:spacing w:after="0" w:line="360" w:lineRule="auto"/>
        <w:jc w:val="both"/>
        <w:rPr>
          <w:rFonts w:ascii="Palatino Linotype" w:hAnsi="Palatino Linotype" w:cs="Arial"/>
          <w:sz w:val="24"/>
          <w:szCs w:val="24"/>
        </w:rPr>
      </w:pPr>
      <w:r w:rsidRPr="00010A76">
        <w:rPr>
          <w:rFonts w:ascii="Palatino Linotype" w:hAnsi="Palatino Linotype" w:cs="Arial"/>
          <w:sz w:val="24"/>
          <w:szCs w:val="24"/>
        </w:rPr>
        <w:t>-----------------------------------------------------------------------------------------------------------------</w:t>
      </w:r>
    </w:p>
    <w:p w14:paraId="62E11002" w14:textId="77777777" w:rsidR="00390B4C" w:rsidRPr="00010A76" w:rsidRDefault="00390B4C" w:rsidP="00390B4C">
      <w:pPr>
        <w:spacing w:after="0" w:line="360" w:lineRule="auto"/>
        <w:jc w:val="both"/>
        <w:rPr>
          <w:rFonts w:ascii="Palatino Linotype" w:hAnsi="Palatino Linotype" w:cs="Arial"/>
          <w:sz w:val="24"/>
          <w:szCs w:val="24"/>
        </w:rPr>
      </w:pPr>
      <w:r w:rsidRPr="00010A76">
        <w:rPr>
          <w:rFonts w:ascii="Palatino Linotype" w:hAnsi="Palatino Linotype" w:cs="Arial"/>
          <w:sz w:val="24"/>
          <w:szCs w:val="24"/>
        </w:rPr>
        <w:t>-----------------------------------------------------------------------------------------------------------------</w:t>
      </w:r>
    </w:p>
    <w:p w14:paraId="583B906A" w14:textId="77777777" w:rsidR="00084C5F" w:rsidRPr="0016590E" w:rsidRDefault="00084C5F" w:rsidP="00084C5F">
      <w:pPr>
        <w:spacing w:after="0" w:line="360" w:lineRule="auto"/>
        <w:jc w:val="both"/>
        <w:rPr>
          <w:rFonts w:ascii="Palatino Linotype" w:hAnsi="Palatino Linotype" w:cs="Arial"/>
          <w:sz w:val="20"/>
        </w:rPr>
      </w:pPr>
      <w:r w:rsidRPr="00010A76">
        <w:rPr>
          <w:rFonts w:ascii="Palatino Linotype" w:hAnsi="Palatino Linotype" w:cs="Arial"/>
          <w:sz w:val="20"/>
        </w:rPr>
        <w:t>CCR/*</w:t>
      </w:r>
    </w:p>
    <w:p w14:paraId="00200B61" w14:textId="77777777" w:rsidR="00084C5F" w:rsidRPr="0016590E" w:rsidRDefault="00084C5F" w:rsidP="00084C5F">
      <w:pPr>
        <w:spacing w:after="0" w:line="360" w:lineRule="auto"/>
        <w:jc w:val="both"/>
        <w:rPr>
          <w:rFonts w:ascii="Palatino Linotype" w:hAnsi="Palatino Linotype" w:cs="Arial"/>
          <w:sz w:val="24"/>
          <w:szCs w:val="24"/>
        </w:rPr>
      </w:pPr>
    </w:p>
    <w:p w14:paraId="686125AF" w14:textId="77777777" w:rsidR="00084C5F" w:rsidRPr="0016590E" w:rsidRDefault="00084C5F" w:rsidP="00084C5F">
      <w:pPr>
        <w:spacing w:after="0" w:line="360" w:lineRule="auto"/>
        <w:jc w:val="both"/>
        <w:rPr>
          <w:rFonts w:ascii="Palatino Linotype" w:hAnsi="Palatino Linotype" w:cs="Arial"/>
          <w:sz w:val="24"/>
          <w:szCs w:val="24"/>
        </w:rPr>
      </w:pPr>
    </w:p>
    <w:p w14:paraId="71EF932C" w14:textId="77777777" w:rsidR="00084C5F" w:rsidRPr="0016590E" w:rsidRDefault="00084C5F" w:rsidP="00084C5F">
      <w:pPr>
        <w:spacing w:after="0" w:line="360" w:lineRule="auto"/>
        <w:jc w:val="both"/>
        <w:rPr>
          <w:rFonts w:ascii="Palatino Linotype" w:hAnsi="Palatino Linotype" w:cs="Arial"/>
          <w:sz w:val="24"/>
          <w:szCs w:val="24"/>
        </w:rPr>
      </w:pPr>
    </w:p>
    <w:p w14:paraId="0EEDFD18" w14:textId="77777777" w:rsidR="00084C5F" w:rsidRPr="0016590E" w:rsidRDefault="00084C5F" w:rsidP="00084C5F">
      <w:pPr>
        <w:spacing w:after="0"/>
        <w:rPr>
          <w:rFonts w:ascii="Palatino Linotype" w:hAnsi="Palatino Linotype"/>
        </w:rPr>
      </w:pPr>
    </w:p>
    <w:p w14:paraId="5B1329CE" w14:textId="77777777" w:rsidR="00084C5F" w:rsidRPr="0016590E" w:rsidRDefault="00084C5F" w:rsidP="00084C5F">
      <w:pPr>
        <w:spacing w:after="0"/>
        <w:rPr>
          <w:rFonts w:ascii="Palatino Linotype" w:hAnsi="Palatino Linotype"/>
        </w:rPr>
      </w:pPr>
    </w:p>
    <w:p w14:paraId="0937A47F" w14:textId="77777777" w:rsidR="00084C5F" w:rsidRPr="0016590E" w:rsidRDefault="00084C5F" w:rsidP="00084C5F">
      <w:pPr>
        <w:spacing w:after="0"/>
        <w:rPr>
          <w:rFonts w:ascii="Palatino Linotype" w:hAnsi="Palatino Linotype"/>
        </w:rPr>
      </w:pPr>
    </w:p>
    <w:p w14:paraId="36AE5BC0" w14:textId="77777777" w:rsidR="00084C5F" w:rsidRPr="0016590E" w:rsidRDefault="00084C5F" w:rsidP="00084C5F">
      <w:pPr>
        <w:spacing w:after="0"/>
        <w:rPr>
          <w:rFonts w:ascii="Palatino Linotype" w:hAnsi="Palatino Linotype"/>
        </w:rPr>
      </w:pPr>
    </w:p>
    <w:p w14:paraId="5A02B6C1" w14:textId="77777777" w:rsidR="00084C5F" w:rsidRPr="0016590E" w:rsidRDefault="00084C5F" w:rsidP="00084C5F">
      <w:pPr>
        <w:spacing w:after="0"/>
        <w:rPr>
          <w:rFonts w:ascii="Palatino Linotype" w:hAnsi="Palatino Linotype"/>
        </w:rPr>
      </w:pPr>
    </w:p>
    <w:p w14:paraId="3529FA6F" w14:textId="77777777" w:rsidR="00084C5F" w:rsidRPr="0016590E" w:rsidRDefault="00084C5F" w:rsidP="00084C5F">
      <w:pPr>
        <w:spacing w:after="0"/>
        <w:rPr>
          <w:rFonts w:ascii="Palatino Linotype" w:hAnsi="Palatino Linotype"/>
        </w:rPr>
      </w:pPr>
    </w:p>
    <w:p w14:paraId="26793284" w14:textId="77777777" w:rsidR="00084C5F" w:rsidRPr="0016590E" w:rsidRDefault="00084C5F" w:rsidP="00084C5F">
      <w:pPr>
        <w:spacing w:after="0"/>
        <w:rPr>
          <w:rFonts w:ascii="Palatino Linotype" w:hAnsi="Palatino Linotype"/>
        </w:rPr>
      </w:pPr>
    </w:p>
    <w:p w14:paraId="1293C2A7" w14:textId="77777777" w:rsidR="00084C5F" w:rsidRPr="0016590E" w:rsidRDefault="00084C5F" w:rsidP="00084C5F">
      <w:pPr>
        <w:spacing w:after="0"/>
        <w:rPr>
          <w:rFonts w:ascii="Palatino Linotype" w:hAnsi="Palatino Linotype"/>
        </w:rPr>
      </w:pPr>
    </w:p>
    <w:p w14:paraId="499F4C32" w14:textId="77777777" w:rsidR="00084C5F" w:rsidRPr="0016590E" w:rsidRDefault="00084C5F" w:rsidP="00084C5F">
      <w:pPr>
        <w:spacing w:after="0"/>
        <w:rPr>
          <w:rFonts w:ascii="Palatino Linotype" w:hAnsi="Palatino Linotype"/>
        </w:rPr>
      </w:pPr>
    </w:p>
    <w:p w14:paraId="7F3AF799" w14:textId="77777777" w:rsidR="00084C5F" w:rsidRDefault="00084C5F" w:rsidP="00084C5F">
      <w:pPr>
        <w:spacing w:after="0"/>
      </w:pPr>
    </w:p>
    <w:p w14:paraId="143995D5" w14:textId="77777777" w:rsidR="00084C5F" w:rsidRPr="00791D5A" w:rsidRDefault="00084C5F" w:rsidP="00084C5F">
      <w:pPr>
        <w:spacing w:after="0"/>
      </w:pPr>
    </w:p>
    <w:p w14:paraId="0035B991" w14:textId="77777777" w:rsidR="00084C5F" w:rsidRDefault="00084C5F" w:rsidP="00084C5F">
      <w:pPr>
        <w:spacing w:after="0"/>
      </w:pPr>
    </w:p>
    <w:p w14:paraId="281C9118" w14:textId="77777777" w:rsidR="00084C5F" w:rsidRDefault="00084C5F" w:rsidP="00084C5F">
      <w:pPr>
        <w:spacing w:after="0"/>
      </w:pPr>
    </w:p>
    <w:p w14:paraId="6AF72002" w14:textId="77777777" w:rsidR="00084C5F" w:rsidRDefault="00084C5F" w:rsidP="00084C5F">
      <w:pPr>
        <w:spacing w:after="0"/>
      </w:pPr>
    </w:p>
    <w:p w14:paraId="2593D03C" w14:textId="77777777" w:rsidR="00084C5F" w:rsidRDefault="00084C5F" w:rsidP="00084C5F">
      <w:pPr>
        <w:spacing w:after="0"/>
      </w:pPr>
    </w:p>
    <w:p w14:paraId="32A849AA" w14:textId="77777777" w:rsidR="00084C5F" w:rsidRDefault="00084C5F" w:rsidP="00084C5F">
      <w:pPr>
        <w:spacing w:after="0"/>
      </w:pPr>
    </w:p>
    <w:p w14:paraId="7D1EDD9D" w14:textId="77777777" w:rsidR="00084C5F" w:rsidRDefault="00084C5F" w:rsidP="00084C5F">
      <w:pPr>
        <w:spacing w:after="0"/>
      </w:pPr>
    </w:p>
    <w:p w14:paraId="2428CE97" w14:textId="77777777" w:rsidR="00084C5F" w:rsidRDefault="00084C5F"/>
    <w:sectPr w:rsidR="00084C5F" w:rsidSect="00084C5F">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C1C2F" w16cex:dateUtc="2023-05-03T05:33:00Z"/>
  <w16cex:commentExtensible w16cex:durableId="27FC1BD7" w16cex:dateUtc="2023-05-03T0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B1E9DE" w16cid:durableId="27FC1C2F"/>
  <w16cid:commentId w16cid:paraId="27C3572F" w16cid:durableId="27FC1B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CD9AB" w14:textId="77777777" w:rsidR="005868F0" w:rsidRDefault="005868F0" w:rsidP="00084C5F">
      <w:pPr>
        <w:spacing w:after="0" w:line="240" w:lineRule="auto"/>
      </w:pPr>
      <w:r>
        <w:separator/>
      </w:r>
    </w:p>
  </w:endnote>
  <w:endnote w:type="continuationSeparator" w:id="0">
    <w:p w14:paraId="51E9F9A8" w14:textId="77777777" w:rsidR="005868F0" w:rsidRDefault="005868F0" w:rsidP="00084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7148A97" w14:textId="77777777" w:rsidR="003F16F4" w:rsidRPr="002D6DD8" w:rsidRDefault="003F16F4" w:rsidP="00084C5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E2D18">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E2D18">
              <w:rPr>
                <w:rFonts w:ascii="Palatino Linotype" w:hAnsi="Palatino Linotype"/>
                <w:bCs/>
                <w:noProof/>
                <w:sz w:val="20"/>
              </w:rPr>
              <w:t>32</w:t>
            </w:r>
            <w:r>
              <w:rPr>
                <w:rFonts w:ascii="Palatino Linotype" w:hAnsi="Palatino Linotype"/>
                <w:bCs/>
                <w:noProof/>
                <w:sz w:val="20"/>
              </w:rPr>
              <w:fldChar w:fldCharType="end"/>
            </w:r>
          </w:p>
        </w:sdtContent>
      </w:sdt>
    </w:sdtContent>
  </w:sdt>
  <w:p w14:paraId="4A15A60F" w14:textId="77777777" w:rsidR="003F16F4" w:rsidRDefault="003F16F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7508A" w14:textId="77777777" w:rsidR="003F16F4" w:rsidRPr="000B69FA" w:rsidRDefault="003F16F4" w:rsidP="00084C5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E2D1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E2D18">
      <w:rPr>
        <w:rFonts w:ascii="Palatino Linotype" w:hAnsi="Palatino Linotype"/>
        <w:bCs/>
        <w:noProof/>
        <w:sz w:val="20"/>
      </w:rPr>
      <w:t>32</w:t>
    </w:r>
    <w:r>
      <w:rPr>
        <w:rFonts w:ascii="Palatino Linotype" w:hAnsi="Palatino Linotype"/>
        <w:bCs/>
        <w:noProof/>
        <w:sz w:val="20"/>
      </w:rPr>
      <w:fldChar w:fldCharType="end"/>
    </w:r>
  </w:p>
  <w:p w14:paraId="2BC97C1A" w14:textId="77777777" w:rsidR="003F16F4" w:rsidRDefault="003F16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D5643" w14:textId="77777777" w:rsidR="005868F0" w:rsidRDefault="005868F0" w:rsidP="00084C5F">
      <w:pPr>
        <w:spacing w:after="0" w:line="240" w:lineRule="auto"/>
      </w:pPr>
      <w:r>
        <w:separator/>
      </w:r>
    </w:p>
  </w:footnote>
  <w:footnote w:type="continuationSeparator" w:id="0">
    <w:p w14:paraId="5904B72E" w14:textId="77777777" w:rsidR="005868F0" w:rsidRDefault="005868F0" w:rsidP="00084C5F">
      <w:pPr>
        <w:spacing w:after="0" w:line="240" w:lineRule="auto"/>
      </w:pPr>
      <w:r>
        <w:continuationSeparator/>
      </w:r>
    </w:p>
  </w:footnote>
  <w:footnote w:id="1">
    <w:p w14:paraId="78B90BCE" w14:textId="77777777" w:rsidR="003F16F4" w:rsidRDefault="003F16F4" w:rsidP="00084C5F">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E06C622" w14:textId="77777777" w:rsidR="003F16F4" w:rsidRDefault="003F16F4" w:rsidP="00084C5F">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14EC0090" w14:textId="77777777" w:rsidR="003F16F4" w:rsidRDefault="003F16F4" w:rsidP="00084C5F">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3CDE51AE" w14:textId="77777777" w:rsidR="003F16F4" w:rsidRDefault="003F16F4" w:rsidP="00084C5F">
      <w:pPr>
        <w:jc w:val="both"/>
        <w:rPr>
          <w:rFonts w:ascii="Palatino Linotype" w:eastAsia="Palatino Linotype" w:hAnsi="Palatino Linotype" w:cs="Palatino Linotype"/>
          <w:b/>
          <w:i/>
          <w:sz w:val="20"/>
          <w:szCs w:val="20"/>
        </w:rPr>
      </w:pPr>
    </w:p>
    <w:p w14:paraId="37F050FC" w14:textId="77777777" w:rsidR="003F16F4" w:rsidRDefault="003F16F4" w:rsidP="00084C5F">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95FA60C" w14:textId="77777777" w:rsidR="003F16F4" w:rsidRPr="00EC4661" w:rsidRDefault="003F16F4" w:rsidP="00EC4661">
      <w:pPr>
        <w:pStyle w:val="Textonotapie"/>
        <w:jc w:val="both"/>
        <w:rPr>
          <w:rFonts w:ascii="Palatino Linotype" w:hAnsi="Palatino Linotype"/>
        </w:rPr>
      </w:pPr>
      <w:r>
        <w:rPr>
          <w:rStyle w:val="Refdenotaalpie"/>
        </w:rPr>
        <w:footnoteRef/>
      </w:r>
      <w:r>
        <w:t xml:space="preserve"> </w:t>
      </w:r>
      <w:r w:rsidRPr="00EC4661">
        <w:rPr>
          <w:rFonts w:ascii="Palatino Linotype" w:hAnsi="Palatino Linotype"/>
          <w:b/>
        </w:rPr>
        <w:t>Artículo 179.</w:t>
      </w:r>
      <w:r w:rsidRPr="00EC4661">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14:paraId="0571CD51" w14:textId="77777777" w:rsidR="003F16F4" w:rsidRPr="00EC4661" w:rsidRDefault="003F16F4" w:rsidP="00EC4661">
      <w:pPr>
        <w:pStyle w:val="Textonotapie"/>
        <w:jc w:val="both"/>
        <w:rPr>
          <w:rFonts w:ascii="Palatino Linotype" w:hAnsi="Palatino Linotype"/>
        </w:rPr>
      </w:pPr>
      <w:r w:rsidRPr="00EC4661">
        <w:rPr>
          <w:rFonts w:ascii="Palatino Linotype" w:hAnsi="Palatino Linotype"/>
        </w:rPr>
        <w:t>…</w:t>
      </w:r>
    </w:p>
    <w:p w14:paraId="79DE3D51" w14:textId="77777777" w:rsidR="003F16F4" w:rsidRDefault="003F16F4" w:rsidP="00EC4661">
      <w:pPr>
        <w:pStyle w:val="Textonotapie"/>
        <w:jc w:val="both"/>
      </w:pPr>
      <w:r w:rsidRPr="00EC4661">
        <w:rPr>
          <w:rFonts w:ascii="Palatino Linotype" w:hAnsi="Palatino Linotype"/>
          <w:b/>
        </w:rPr>
        <w:t>V.</w:t>
      </w:r>
      <w:r w:rsidRPr="00EC4661">
        <w:rPr>
          <w:rFonts w:ascii="Palatino Linotype" w:hAnsi="Palatino Linotype"/>
        </w:rPr>
        <w:t xml:space="preserve"> La entrega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3F16F4" w14:paraId="05321169" w14:textId="77777777" w:rsidTr="00084C5F">
      <w:trPr>
        <w:trHeight w:val="227"/>
      </w:trPr>
      <w:tc>
        <w:tcPr>
          <w:tcW w:w="5246" w:type="dxa"/>
          <w:hideMark/>
        </w:tcPr>
        <w:p w14:paraId="705B3703" w14:textId="77777777" w:rsidR="003F16F4" w:rsidRPr="00641471" w:rsidRDefault="003F16F4" w:rsidP="00084C5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65A6719" w14:textId="77777777" w:rsidR="003F16F4" w:rsidRPr="00641471" w:rsidRDefault="003F16F4" w:rsidP="00F8010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1065/INFOEM/IP/RR/2023</w:t>
          </w:r>
        </w:p>
      </w:tc>
    </w:tr>
    <w:tr w:rsidR="003F16F4" w14:paraId="0EAA7DC0" w14:textId="77777777" w:rsidTr="00084C5F">
      <w:trPr>
        <w:trHeight w:val="242"/>
      </w:trPr>
      <w:tc>
        <w:tcPr>
          <w:tcW w:w="5246" w:type="dxa"/>
          <w:hideMark/>
        </w:tcPr>
        <w:p w14:paraId="6CD2AF33" w14:textId="77777777" w:rsidR="003F16F4" w:rsidRPr="00641471" w:rsidRDefault="003F16F4" w:rsidP="00084C5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998315C" w14:textId="77777777" w:rsidR="003F16F4" w:rsidRPr="00641471" w:rsidRDefault="003F16F4" w:rsidP="00084C5F">
          <w:pPr>
            <w:spacing w:after="120" w:line="256" w:lineRule="auto"/>
            <w:ind w:left="-486" w:right="214" w:firstLine="284"/>
            <w:jc w:val="right"/>
            <w:rPr>
              <w:rFonts w:ascii="Palatino Linotype" w:hAnsi="Palatino Linotype" w:cs="Arial"/>
              <w:b/>
              <w:szCs w:val="20"/>
            </w:rPr>
          </w:pPr>
          <w:r w:rsidRPr="00F80103">
            <w:rPr>
              <w:rFonts w:ascii="Palatino Linotype" w:hAnsi="Palatino Linotype" w:cs="Arial"/>
              <w:b/>
              <w:szCs w:val="20"/>
            </w:rPr>
            <w:t>Ayuntamiento de Tepetlixpa</w:t>
          </w:r>
        </w:p>
      </w:tc>
    </w:tr>
    <w:tr w:rsidR="003F16F4" w14:paraId="44172968" w14:textId="77777777" w:rsidTr="00084C5F">
      <w:trPr>
        <w:trHeight w:val="342"/>
      </w:trPr>
      <w:tc>
        <w:tcPr>
          <w:tcW w:w="5246" w:type="dxa"/>
          <w:hideMark/>
        </w:tcPr>
        <w:p w14:paraId="3DA6F4BC" w14:textId="77777777" w:rsidR="003F16F4" w:rsidRPr="00641471" w:rsidRDefault="003F16F4" w:rsidP="00084C5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49079CCC" w14:textId="77777777" w:rsidR="003F16F4" w:rsidRPr="00641471" w:rsidRDefault="003F16F4" w:rsidP="00084C5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79C58D1" w14:textId="77777777" w:rsidR="003F16F4" w:rsidRPr="00AE046A" w:rsidRDefault="003F16F4" w:rsidP="00084C5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32E301C" wp14:editId="2DF87A97">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3F16F4" w14:paraId="29CE0325" w14:textId="77777777" w:rsidTr="00084C5F">
      <w:trPr>
        <w:trHeight w:val="227"/>
      </w:trPr>
      <w:tc>
        <w:tcPr>
          <w:tcW w:w="5104" w:type="dxa"/>
          <w:hideMark/>
        </w:tcPr>
        <w:p w14:paraId="30ABB2F7" w14:textId="77777777" w:rsidR="003F16F4" w:rsidRPr="00641471" w:rsidRDefault="003F16F4" w:rsidP="00084C5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5FD846C" w14:textId="77777777" w:rsidR="003F16F4" w:rsidRPr="00641471" w:rsidRDefault="003F16F4" w:rsidP="00F8010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1065/INFOEM/IP/RR/2023</w:t>
          </w:r>
        </w:p>
      </w:tc>
    </w:tr>
    <w:tr w:rsidR="003F16F4" w14:paraId="1AB86566" w14:textId="77777777" w:rsidTr="00084C5F">
      <w:trPr>
        <w:trHeight w:val="242"/>
      </w:trPr>
      <w:tc>
        <w:tcPr>
          <w:tcW w:w="5104" w:type="dxa"/>
          <w:hideMark/>
        </w:tcPr>
        <w:p w14:paraId="5F5B6919" w14:textId="77777777" w:rsidR="003F16F4" w:rsidRPr="00641471" w:rsidRDefault="003F16F4" w:rsidP="00084C5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0DBC8EF" w14:textId="77777777" w:rsidR="003F16F4" w:rsidRPr="00641471" w:rsidRDefault="003F16F4" w:rsidP="00084C5F">
          <w:pPr>
            <w:spacing w:after="120" w:line="256" w:lineRule="auto"/>
            <w:ind w:left="-486" w:right="214" w:firstLine="284"/>
            <w:jc w:val="right"/>
            <w:rPr>
              <w:rFonts w:ascii="Palatino Linotype" w:hAnsi="Palatino Linotype" w:cs="Arial"/>
              <w:b/>
              <w:szCs w:val="20"/>
            </w:rPr>
          </w:pPr>
          <w:r w:rsidRPr="00F80103">
            <w:rPr>
              <w:rFonts w:ascii="Palatino Linotype" w:hAnsi="Palatino Linotype" w:cs="Arial"/>
              <w:b/>
              <w:szCs w:val="20"/>
            </w:rPr>
            <w:t>Ayuntamiento de Tepetlixpa</w:t>
          </w:r>
        </w:p>
      </w:tc>
    </w:tr>
    <w:tr w:rsidR="003F16F4" w14:paraId="2EFFFB9D" w14:textId="77777777" w:rsidTr="00084C5F">
      <w:trPr>
        <w:trHeight w:val="342"/>
      </w:trPr>
      <w:tc>
        <w:tcPr>
          <w:tcW w:w="5104" w:type="dxa"/>
        </w:tcPr>
        <w:p w14:paraId="2F16B519" w14:textId="77777777" w:rsidR="003F16F4" w:rsidRPr="00641471" w:rsidRDefault="003F16F4" w:rsidP="00084C5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152E5F05" w14:textId="1C45E6D3" w:rsidR="003F16F4" w:rsidRPr="00641471" w:rsidRDefault="003F16F4" w:rsidP="00084C5F">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083B338" wp14:editId="477F464E">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3E2D18">
            <w:rPr>
              <w:rFonts w:ascii="Palatino Linotype" w:hAnsi="Palatino Linotype" w:cs="Arial"/>
              <w:b/>
            </w:rPr>
            <w:t>XXXX</w:t>
          </w:r>
        </w:p>
      </w:tc>
    </w:tr>
    <w:tr w:rsidR="003F16F4" w14:paraId="2792E177" w14:textId="77777777" w:rsidTr="00084C5F">
      <w:trPr>
        <w:trHeight w:val="342"/>
      </w:trPr>
      <w:tc>
        <w:tcPr>
          <w:tcW w:w="5104" w:type="dxa"/>
        </w:tcPr>
        <w:p w14:paraId="2D6483BD" w14:textId="77777777" w:rsidR="003F16F4" w:rsidRPr="00641471" w:rsidRDefault="003F16F4" w:rsidP="00084C5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041EAB00" w14:textId="77777777" w:rsidR="003F16F4" w:rsidRPr="00641471" w:rsidRDefault="003F16F4" w:rsidP="00084C5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8E04A20" w14:textId="77777777" w:rsidR="003F16F4" w:rsidRPr="00C222C0" w:rsidRDefault="003F16F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51896"/>
    <w:multiLevelType w:val="hybridMultilevel"/>
    <w:tmpl w:val="322AF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967AA9"/>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4B1612"/>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E82392"/>
    <w:multiLevelType w:val="hybridMultilevel"/>
    <w:tmpl w:val="11F89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6D4A9E"/>
    <w:multiLevelType w:val="hybridMultilevel"/>
    <w:tmpl w:val="C8B661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F22623D"/>
    <w:multiLevelType w:val="multilevel"/>
    <w:tmpl w:val="0C16080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CD6109E"/>
    <w:multiLevelType w:val="hybridMultilevel"/>
    <w:tmpl w:val="C8B661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755942"/>
    <w:multiLevelType w:val="hybridMultilevel"/>
    <w:tmpl w:val="F9D0330C"/>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54494EAF"/>
    <w:multiLevelType w:val="hybridMultilevel"/>
    <w:tmpl w:val="8BB2C0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7E61FFE"/>
    <w:multiLevelType w:val="multilevel"/>
    <w:tmpl w:val="0C16080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2"/>
  </w:num>
  <w:num w:numId="3">
    <w:abstractNumId w:val="1"/>
  </w:num>
  <w:num w:numId="4">
    <w:abstractNumId w:val="10"/>
  </w:num>
  <w:num w:numId="5">
    <w:abstractNumId w:val="3"/>
  </w:num>
  <w:num w:numId="6">
    <w:abstractNumId w:val="8"/>
  </w:num>
  <w:num w:numId="7">
    <w:abstractNumId w:val="7"/>
  </w:num>
  <w:num w:numId="8">
    <w:abstractNumId w:val="4"/>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5F"/>
    <w:rsid w:val="00010A76"/>
    <w:rsid w:val="00084C5F"/>
    <w:rsid w:val="000A6F8C"/>
    <w:rsid w:val="00177C0E"/>
    <w:rsid w:val="002426A9"/>
    <w:rsid w:val="00276265"/>
    <w:rsid w:val="003666AC"/>
    <w:rsid w:val="00390B4C"/>
    <w:rsid w:val="00396830"/>
    <w:rsid w:val="0039761D"/>
    <w:rsid w:val="003E2D18"/>
    <w:rsid w:val="003F16F4"/>
    <w:rsid w:val="004B16EB"/>
    <w:rsid w:val="004F10B5"/>
    <w:rsid w:val="00530960"/>
    <w:rsid w:val="005868F0"/>
    <w:rsid w:val="005F1153"/>
    <w:rsid w:val="007158E0"/>
    <w:rsid w:val="007E201A"/>
    <w:rsid w:val="00820D6B"/>
    <w:rsid w:val="00916B90"/>
    <w:rsid w:val="00996022"/>
    <w:rsid w:val="00AA0191"/>
    <w:rsid w:val="00AD08C9"/>
    <w:rsid w:val="00B13FF1"/>
    <w:rsid w:val="00B743FD"/>
    <w:rsid w:val="00B772DF"/>
    <w:rsid w:val="00BE2F64"/>
    <w:rsid w:val="00C14D51"/>
    <w:rsid w:val="00DD73FB"/>
    <w:rsid w:val="00EC4661"/>
    <w:rsid w:val="00F71620"/>
    <w:rsid w:val="00F80103"/>
    <w:rsid w:val="00FA43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E5091"/>
  <w15:chartTrackingRefBased/>
  <w15:docId w15:val="{0B52750E-01A7-425C-A687-20FDBAFC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C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4C5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84C5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84C5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84C5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84C5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84C5F"/>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084C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84C5F"/>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4C5F"/>
    <w:rPr>
      <w:vertAlign w:val="superscript"/>
    </w:rPr>
  </w:style>
  <w:style w:type="table" w:styleId="Tablaconcuadrcula">
    <w:name w:val="Table Grid"/>
    <w:basedOn w:val="Tablanormal"/>
    <w:uiPriority w:val="39"/>
    <w:rsid w:val="00084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084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772DF"/>
    <w:pPr>
      <w:spacing w:after="0" w:line="240" w:lineRule="auto"/>
    </w:pPr>
  </w:style>
  <w:style w:type="character" w:styleId="Refdecomentario">
    <w:name w:val="annotation reference"/>
    <w:basedOn w:val="Fuentedeprrafopredeter"/>
    <w:uiPriority w:val="99"/>
    <w:semiHidden/>
    <w:unhideWhenUsed/>
    <w:rsid w:val="00B772DF"/>
    <w:rPr>
      <w:sz w:val="16"/>
      <w:szCs w:val="16"/>
    </w:rPr>
  </w:style>
  <w:style w:type="paragraph" w:styleId="Textocomentario">
    <w:name w:val="annotation text"/>
    <w:basedOn w:val="Normal"/>
    <w:link w:val="TextocomentarioCar"/>
    <w:uiPriority w:val="99"/>
    <w:unhideWhenUsed/>
    <w:rsid w:val="00B772DF"/>
    <w:pPr>
      <w:spacing w:line="240" w:lineRule="auto"/>
    </w:pPr>
    <w:rPr>
      <w:sz w:val="20"/>
      <w:szCs w:val="20"/>
    </w:rPr>
  </w:style>
  <w:style w:type="character" w:customStyle="1" w:styleId="TextocomentarioCar">
    <w:name w:val="Texto comentario Car"/>
    <w:basedOn w:val="Fuentedeprrafopredeter"/>
    <w:link w:val="Textocomentario"/>
    <w:uiPriority w:val="99"/>
    <w:rsid w:val="00B772DF"/>
    <w:rPr>
      <w:sz w:val="20"/>
      <w:szCs w:val="20"/>
    </w:rPr>
  </w:style>
  <w:style w:type="paragraph" w:styleId="Asuntodelcomentario">
    <w:name w:val="annotation subject"/>
    <w:basedOn w:val="Textocomentario"/>
    <w:next w:val="Textocomentario"/>
    <w:link w:val="AsuntodelcomentarioCar"/>
    <w:uiPriority w:val="99"/>
    <w:semiHidden/>
    <w:unhideWhenUsed/>
    <w:rsid w:val="00B772DF"/>
    <w:rPr>
      <w:b/>
      <w:bCs/>
    </w:rPr>
  </w:style>
  <w:style w:type="character" w:customStyle="1" w:styleId="AsuntodelcomentarioCar">
    <w:name w:val="Asunto del comentario Car"/>
    <w:basedOn w:val="TextocomentarioCar"/>
    <w:link w:val="Asuntodelcomentario"/>
    <w:uiPriority w:val="99"/>
    <w:semiHidden/>
    <w:rsid w:val="00B772DF"/>
    <w:rPr>
      <w:b/>
      <w:bCs/>
      <w:sz w:val="20"/>
      <w:szCs w:val="20"/>
    </w:rPr>
  </w:style>
  <w:style w:type="paragraph" w:styleId="Textodeglobo">
    <w:name w:val="Balloon Text"/>
    <w:basedOn w:val="Normal"/>
    <w:link w:val="TextodegloboCar"/>
    <w:uiPriority w:val="99"/>
    <w:semiHidden/>
    <w:unhideWhenUsed/>
    <w:rsid w:val="009960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60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61476">
      <w:bodyDiv w:val="1"/>
      <w:marLeft w:val="0"/>
      <w:marRight w:val="0"/>
      <w:marTop w:val="0"/>
      <w:marBottom w:val="0"/>
      <w:divBdr>
        <w:top w:val="none" w:sz="0" w:space="0" w:color="auto"/>
        <w:left w:val="none" w:sz="0" w:space="0" w:color="auto"/>
        <w:bottom w:val="none" w:sz="0" w:space="0" w:color="auto"/>
        <w:right w:val="none" w:sz="0" w:space="0" w:color="auto"/>
      </w:divBdr>
    </w:div>
    <w:div w:id="838737169">
      <w:bodyDiv w:val="1"/>
      <w:marLeft w:val="0"/>
      <w:marRight w:val="0"/>
      <w:marTop w:val="0"/>
      <w:marBottom w:val="0"/>
      <w:divBdr>
        <w:top w:val="none" w:sz="0" w:space="0" w:color="auto"/>
        <w:left w:val="none" w:sz="0" w:space="0" w:color="auto"/>
        <w:bottom w:val="none" w:sz="0" w:space="0" w:color="auto"/>
        <w:right w:val="none" w:sz="0" w:space="0" w:color="auto"/>
      </w:divBdr>
    </w:div>
    <w:div w:id="1615793106">
      <w:bodyDiv w:val="1"/>
      <w:marLeft w:val="0"/>
      <w:marRight w:val="0"/>
      <w:marTop w:val="0"/>
      <w:marBottom w:val="0"/>
      <w:divBdr>
        <w:top w:val="none" w:sz="0" w:space="0" w:color="auto"/>
        <w:left w:val="none" w:sz="0" w:space="0" w:color="auto"/>
        <w:bottom w:val="none" w:sz="0" w:space="0" w:color="auto"/>
        <w:right w:val="none" w:sz="0" w:space="0" w:color="auto"/>
      </w:divBdr>
    </w:div>
    <w:div w:id="173161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8253</Words>
  <Characters>45397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2023-05-09T15:39:00Z</dcterms:created>
  <dcterms:modified xsi:type="dcterms:W3CDTF">2023-05-19T18:33:00Z</dcterms:modified>
</cp:coreProperties>
</file>