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E3F75E4" w:rsidR="00662C69" w:rsidRPr="004F4D42"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4F4D42">
        <w:rPr>
          <w:rFonts w:ascii="Palatino Linotype" w:hAnsi="Palatino Linotype"/>
          <w:color w:val="000000" w:themeColor="text1"/>
        </w:rPr>
        <w:t>R</w:t>
      </w:r>
      <w:r w:rsidR="00662C69" w:rsidRPr="004F4D42">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4F4D42">
        <w:rPr>
          <w:rFonts w:ascii="Palatino Linotype" w:hAnsi="Palatino Linotype"/>
          <w:color w:val="000000" w:themeColor="text1"/>
        </w:rPr>
        <w:t>icipios, con</w:t>
      </w:r>
      <w:r w:rsidR="00662C69" w:rsidRPr="004F4D42">
        <w:rPr>
          <w:rFonts w:ascii="Palatino Linotype" w:hAnsi="Palatino Linotype"/>
          <w:color w:val="000000" w:themeColor="text1"/>
        </w:rPr>
        <w:t xml:space="preserve"> </w:t>
      </w:r>
      <w:r w:rsidR="00485DB6" w:rsidRPr="004F4D42">
        <w:rPr>
          <w:rFonts w:ascii="Palatino Linotype" w:hAnsi="Palatino Linotype"/>
          <w:color w:val="000000" w:themeColor="text1"/>
        </w:rPr>
        <w:t xml:space="preserve">domicilio </w:t>
      </w:r>
      <w:r w:rsidR="00662C69" w:rsidRPr="004F4D42">
        <w:rPr>
          <w:rFonts w:ascii="Palatino Linotype" w:hAnsi="Palatino Linotype"/>
          <w:color w:val="000000" w:themeColor="text1"/>
        </w:rPr>
        <w:t xml:space="preserve">en Metepec, Estado de México; de </w:t>
      </w:r>
      <w:r w:rsidR="00DB4643" w:rsidRPr="004F4D42">
        <w:rPr>
          <w:rFonts w:ascii="Palatino Linotype" w:hAnsi="Palatino Linotype"/>
          <w:color w:val="000000" w:themeColor="text1"/>
        </w:rPr>
        <w:t>doce</w:t>
      </w:r>
      <w:r w:rsidR="007F0D1B" w:rsidRPr="004F4D42">
        <w:rPr>
          <w:rFonts w:ascii="Palatino Linotype" w:hAnsi="Palatino Linotype"/>
          <w:color w:val="000000" w:themeColor="text1"/>
        </w:rPr>
        <w:t xml:space="preserve"> </w:t>
      </w:r>
      <w:r w:rsidR="007076C5" w:rsidRPr="004F4D42">
        <w:rPr>
          <w:rFonts w:ascii="Palatino Linotype" w:hAnsi="Palatino Linotype"/>
          <w:color w:val="000000" w:themeColor="text1"/>
        </w:rPr>
        <w:t>(</w:t>
      </w:r>
      <w:r w:rsidR="00DB4643" w:rsidRPr="004F4D42">
        <w:rPr>
          <w:rFonts w:ascii="Palatino Linotype" w:hAnsi="Palatino Linotype"/>
          <w:color w:val="000000" w:themeColor="text1"/>
        </w:rPr>
        <w:t>12</w:t>
      </w:r>
      <w:r w:rsidR="00FE576E" w:rsidRPr="004F4D42">
        <w:rPr>
          <w:rFonts w:ascii="Palatino Linotype" w:hAnsi="Palatino Linotype"/>
          <w:color w:val="000000" w:themeColor="text1"/>
        </w:rPr>
        <w:t xml:space="preserve">) de </w:t>
      </w:r>
      <w:r w:rsidR="00DB4643" w:rsidRPr="004F4D42">
        <w:rPr>
          <w:rFonts w:ascii="Palatino Linotype" w:hAnsi="Palatino Linotype"/>
          <w:color w:val="000000" w:themeColor="text1"/>
        </w:rPr>
        <w:t>abril</w:t>
      </w:r>
      <w:r w:rsidR="002D1AA7" w:rsidRPr="004F4D42">
        <w:rPr>
          <w:rFonts w:ascii="Palatino Linotype" w:hAnsi="Palatino Linotype"/>
          <w:color w:val="000000" w:themeColor="text1"/>
        </w:rPr>
        <w:t xml:space="preserve"> de dos mil veinti</w:t>
      </w:r>
      <w:r w:rsidR="00E43304" w:rsidRPr="004F4D42">
        <w:rPr>
          <w:rFonts w:ascii="Palatino Linotype" w:hAnsi="Palatino Linotype"/>
          <w:color w:val="000000" w:themeColor="text1"/>
        </w:rPr>
        <w:t>trés</w:t>
      </w:r>
      <w:r w:rsidR="00662C69" w:rsidRPr="004F4D42">
        <w:rPr>
          <w:rFonts w:ascii="Palatino Linotype" w:hAnsi="Palatino Linotype"/>
          <w:color w:val="000000" w:themeColor="text1"/>
        </w:rPr>
        <w:t>.</w:t>
      </w:r>
    </w:p>
    <w:p w14:paraId="1181C59D" w14:textId="77777777" w:rsidR="00B31E90" w:rsidRPr="004F4D42" w:rsidRDefault="00B31E90" w:rsidP="00B31E90">
      <w:pPr>
        <w:tabs>
          <w:tab w:val="left" w:pos="3465"/>
        </w:tabs>
        <w:spacing w:line="360" w:lineRule="auto"/>
        <w:jc w:val="both"/>
        <w:rPr>
          <w:rFonts w:ascii="Palatino Linotype" w:hAnsi="Palatino Linotype"/>
          <w:color w:val="000000" w:themeColor="text1"/>
        </w:rPr>
      </w:pPr>
    </w:p>
    <w:p w14:paraId="04F87235" w14:textId="2C10D863" w:rsidR="005F0007" w:rsidRPr="004F4D42" w:rsidRDefault="00662C69" w:rsidP="00B31E90">
      <w:pPr>
        <w:spacing w:line="360" w:lineRule="auto"/>
        <w:jc w:val="both"/>
        <w:rPr>
          <w:rFonts w:ascii="Palatino Linotype" w:eastAsia="Times New Roman" w:hAnsi="Palatino Linotype" w:cs="Times New Roman"/>
          <w:color w:val="000000" w:themeColor="text1"/>
        </w:rPr>
      </w:pPr>
      <w:r w:rsidRPr="004F4D42">
        <w:rPr>
          <w:rFonts w:ascii="Palatino Linotype" w:hAnsi="Palatino Linotype"/>
          <w:b/>
          <w:color w:val="000000" w:themeColor="text1"/>
        </w:rPr>
        <w:t>VISTO</w:t>
      </w:r>
      <w:r w:rsidRPr="004F4D42">
        <w:rPr>
          <w:rFonts w:ascii="Palatino Linotype" w:hAnsi="Palatino Linotype"/>
          <w:color w:val="000000" w:themeColor="text1"/>
        </w:rPr>
        <w:t xml:space="preserve"> el expediente electrónico for</w:t>
      </w:r>
      <w:r w:rsidR="00D37494" w:rsidRPr="004F4D42">
        <w:rPr>
          <w:rFonts w:ascii="Palatino Linotype" w:hAnsi="Palatino Linotype"/>
          <w:color w:val="000000" w:themeColor="text1"/>
        </w:rPr>
        <w:t>mado con motivo del</w:t>
      </w:r>
      <w:r w:rsidRPr="004F4D42">
        <w:rPr>
          <w:rFonts w:ascii="Palatino Linotype" w:hAnsi="Palatino Linotype"/>
          <w:color w:val="000000" w:themeColor="text1"/>
        </w:rPr>
        <w:t xml:space="preserve"> recurso de revisión </w:t>
      </w:r>
      <w:r w:rsidR="007F0D1B" w:rsidRPr="004F4D42">
        <w:rPr>
          <w:rFonts w:ascii="Palatino Linotype" w:eastAsia="Calibri" w:hAnsi="Palatino Linotype" w:cs="Arial"/>
          <w:b/>
          <w:lang w:val="es-ES"/>
        </w:rPr>
        <w:t>13033</w:t>
      </w:r>
      <w:r w:rsidR="007F0D1B" w:rsidRPr="004F4D42">
        <w:rPr>
          <w:rFonts w:ascii="Palatino Linotype" w:hAnsi="Palatino Linotype"/>
          <w:b/>
          <w:szCs w:val="22"/>
        </w:rPr>
        <w:t>/INFOEM/IP/RR/2022</w:t>
      </w:r>
      <w:r w:rsidR="005F1362" w:rsidRPr="004F4D42">
        <w:rPr>
          <w:rFonts w:ascii="Palatino Linotype" w:eastAsia="Times New Roman" w:hAnsi="Palatino Linotype" w:cs="Arial"/>
          <w:bCs/>
          <w:color w:val="000000" w:themeColor="text1"/>
        </w:rPr>
        <w:t xml:space="preserve">, </w:t>
      </w:r>
      <w:r w:rsidR="006B31E7" w:rsidRPr="004F4D42">
        <w:rPr>
          <w:rFonts w:ascii="Palatino Linotype" w:eastAsia="Times New Roman" w:hAnsi="Palatino Linotype" w:cs="Times New Roman"/>
          <w:color w:val="000000" w:themeColor="text1"/>
        </w:rPr>
        <w:t>interpuesto por</w:t>
      </w:r>
      <w:r w:rsidR="0078249C" w:rsidRPr="004F4D42">
        <w:rPr>
          <w:rFonts w:ascii="Palatino Linotype" w:eastAsia="Times New Roman" w:hAnsi="Palatino Linotype" w:cs="Times New Roman"/>
          <w:color w:val="000000" w:themeColor="text1"/>
        </w:rPr>
        <w:t xml:space="preserve"> </w:t>
      </w:r>
      <w:r w:rsidR="00E7785D" w:rsidRPr="004F4D42">
        <w:rPr>
          <w:rFonts w:ascii="Palatino Linotype" w:hAnsi="Palatino Linotype"/>
          <w:b/>
          <w:szCs w:val="22"/>
        </w:rPr>
        <w:t>un Usuario del Sistema de Acceso a la Información Mexiquense que no proporcionó su nombre</w:t>
      </w:r>
      <w:r w:rsidR="00DC6944" w:rsidRPr="004F4D42">
        <w:rPr>
          <w:rFonts w:ascii="Palatino Linotype" w:eastAsia="Times New Roman" w:hAnsi="Palatino Linotype" w:cs="Times New Roman"/>
          <w:color w:val="000000" w:themeColor="text1"/>
        </w:rPr>
        <w:t>,</w:t>
      </w:r>
      <w:r w:rsidR="00D0377B" w:rsidRPr="004F4D42">
        <w:rPr>
          <w:rFonts w:ascii="Palatino Linotype" w:eastAsia="Times New Roman" w:hAnsi="Palatino Linotype" w:cs="Times New Roman"/>
          <w:color w:val="000000" w:themeColor="text1"/>
        </w:rPr>
        <w:t xml:space="preserve"> </w:t>
      </w:r>
      <w:r w:rsidR="007076C5" w:rsidRPr="004F4D42">
        <w:rPr>
          <w:rFonts w:ascii="Palatino Linotype" w:eastAsia="Times New Roman" w:hAnsi="Palatino Linotype" w:cs="Times New Roman"/>
          <w:color w:val="000000" w:themeColor="text1"/>
        </w:rPr>
        <w:t>en adelante la</w:t>
      </w:r>
      <w:r w:rsidR="00E92215" w:rsidRPr="004F4D42">
        <w:rPr>
          <w:rFonts w:ascii="Palatino Linotype" w:eastAsia="Times New Roman" w:hAnsi="Palatino Linotype" w:cs="Times New Roman"/>
          <w:color w:val="000000" w:themeColor="text1"/>
        </w:rPr>
        <w:t xml:space="preserve"> </w:t>
      </w:r>
      <w:r w:rsidR="006B31E7" w:rsidRPr="004F4D42">
        <w:rPr>
          <w:rFonts w:ascii="Palatino Linotype" w:eastAsia="Times New Roman" w:hAnsi="Palatino Linotype" w:cs="Times New Roman"/>
          <w:b/>
          <w:bCs/>
          <w:color w:val="000000" w:themeColor="text1"/>
        </w:rPr>
        <w:t>RECURRENTE</w:t>
      </w:r>
      <w:r w:rsidR="00E647FF" w:rsidRPr="004F4D42">
        <w:rPr>
          <w:rFonts w:ascii="Palatino Linotype" w:eastAsia="Times New Roman" w:hAnsi="Palatino Linotype" w:cs="Arial"/>
          <w:color w:val="000000" w:themeColor="text1"/>
        </w:rPr>
        <w:t>;</w:t>
      </w:r>
      <w:r w:rsidR="005F1362" w:rsidRPr="004F4D42">
        <w:rPr>
          <w:rFonts w:ascii="Palatino Linotype" w:eastAsia="Times New Roman" w:hAnsi="Palatino Linotype" w:cs="Arial"/>
          <w:color w:val="000000" w:themeColor="text1"/>
        </w:rPr>
        <w:t xml:space="preserve"> en contra de la respuesta d</w:t>
      </w:r>
      <w:r w:rsidR="00743FFA" w:rsidRPr="004F4D42">
        <w:rPr>
          <w:rFonts w:ascii="Palatino Linotype" w:eastAsia="Times New Roman" w:hAnsi="Palatino Linotype" w:cs="Arial"/>
          <w:color w:val="000000" w:themeColor="text1"/>
        </w:rPr>
        <w:t>e</w:t>
      </w:r>
      <w:r w:rsidR="001E50B9" w:rsidRPr="004F4D42">
        <w:rPr>
          <w:rFonts w:ascii="Palatino Linotype" w:eastAsia="Times New Roman" w:hAnsi="Palatino Linotype" w:cs="Arial"/>
          <w:color w:val="000000" w:themeColor="text1"/>
        </w:rPr>
        <w:t xml:space="preserve"> </w:t>
      </w:r>
      <w:r w:rsidR="00E7785D" w:rsidRPr="004F4D42">
        <w:rPr>
          <w:rFonts w:ascii="Palatino Linotype" w:eastAsia="Calibri" w:hAnsi="Palatino Linotype" w:cs="Arial"/>
          <w:bCs/>
          <w:lang w:val="es-ES"/>
        </w:rPr>
        <w:t>la</w:t>
      </w:r>
      <w:r w:rsidR="00E7785D" w:rsidRPr="004F4D42">
        <w:rPr>
          <w:rFonts w:ascii="Palatino Linotype" w:eastAsia="Calibri" w:hAnsi="Palatino Linotype" w:cs="Arial"/>
          <w:b/>
          <w:bCs/>
          <w:lang w:val="es-ES"/>
        </w:rPr>
        <w:t xml:space="preserve"> Secretaría de Movilidad</w:t>
      </w:r>
      <w:r w:rsidR="009572EE" w:rsidRPr="004F4D42">
        <w:rPr>
          <w:rFonts w:ascii="Palatino Linotype" w:eastAsia="Calibri" w:hAnsi="Palatino Linotype" w:cs="Arial"/>
          <w:color w:val="000000" w:themeColor="text1"/>
          <w:lang w:val="es-ES"/>
        </w:rPr>
        <w:t>,</w:t>
      </w:r>
      <w:r w:rsidR="005F1362" w:rsidRPr="004F4D42">
        <w:rPr>
          <w:rFonts w:ascii="Palatino Linotype" w:eastAsia="Calibri" w:hAnsi="Palatino Linotype" w:cs="Arial"/>
          <w:color w:val="000000" w:themeColor="text1"/>
          <w:lang w:val="es-ES"/>
        </w:rPr>
        <w:t xml:space="preserve"> </w:t>
      </w:r>
      <w:r w:rsidR="005F1362" w:rsidRPr="004F4D42">
        <w:rPr>
          <w:rFonts w:ascii="Palatino Linotype" w:eastAsia="Times New Roman" w:hAnsi="Palatino Linotype" w:cs="Times New Roman"/>
          <w:color w:val="000000" w:themeColor="text1"/>
        </w:rPr>
        <w:t>en lo sucesivo el</w:t>
      </w:r>
      <w:r w:rsidR="005F1362" w:rsidRPr="004F4D42">
        <w:rPr>
          <w:rFonts w:ascii="Palatino Linotype" w:eastAsia="Times New Roman" w:hAnsi="Palatino Linotype" w:cs="Times New Roman"/>
          <w:b/>
          <w:color w:val="000000" w:themeColor="text1"/>
        </w:rPr>
        <w:t xml:space="preserve"> SUJETO OBLIGADO, </w:t>
      </w:r>
      <w:r w:rsidR="005F1362" w:rsidRPr="004F4D42">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4F4D42"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4F4D42"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4F4D42">
        <w:rPr>
          <w:b/>
          <w:color w:val="000000" w:themeColor="text1"/>
        </w:rPr>
        <w:t>A</w:t>
      </w:r>
      <w:r w:rsidR="00C967DD" w:rsidRPr="004F4D42">
        <w:rPr>
          <w:b/>
          <w:color w:val="000000" w:themeColor="text1"/>
        </w:rPr>
        <w:t xml:space="preserve"> </w:t>
      </w:r>
      <w:r w:rsidRPr="004F4D42">
        <w:rPr>
          <w:b/>
          <w:color w:val="000000" w:themeColor="text1"/>
        </w:rPr>
        <w:t>N</w:t>
      </w:r>
      <w:r w:rsidR="00C967DD" w:rsidRPr="004F4D42">
        <w:rPr>
          <w:b/>
          <w:color w:val="000000" w:themeColor="text1"/>
        </w:rPr>
        <w:t xml:space="preserve"> </w:t>
      </w:r>
      <w:r w:rsidRPr="004F4D42">
        <w:rPr>
          <w:b/>
          <w:color w:val="000000" w:themeColor="text1"/>
        </w:rPr>
        <w:t>T</w:t>
      </w:r>
      <w:r w:rsidR="00C967DD" w:rsidRPr="004F4D42">
        <w:rPr>
          <w:b/>
          <w:color w:val="000000" w:themeColor="text1"/>
        </w:rPr>
        <w:t xml:space="preserve"> </w:t>
      </w:r>
      <w:r w:rsidRPr="004F4D42">
        <w:rPr>
          <w:b/>
          <w:color w:val="000000" w:themeColor="text1"/>
        </w:rPr>
        <w:t>E</w:t>
      </w:r>
      <w:r w:rsidR="00C967DD" w:rsidRPr="004F4D42">
        <w:rPr>
          <w:b/>
          <w:color w:val="000000" w:themeColor="text1"/>
        </w:rPr>
        <w:t xml:space="preserve"> </w:t>
      </w:r>
      <w:r w:rsidRPr="004F4D42">
        <w:rPr>
          <w:b/>
          <w:color w:val="000000" w:themeColor="text1"/>
        </w:rPr>
        <w:t>C</w:t>
      </w:r>
      <w:r w:rsidR="00C967DD" w:rsidRPr="004F4D42">
        <w:rPr>
          <w:b/>
          <w:color w:val="000000" w:themeColor="text1"/>
        </w:rPr>
        <w:t xml:space="preserve"> </w:t>
      </w:r>
      <w:r w:rsidRPr="004F4D42">
        <w:rPr>
          <w:b/>
          <w:color w:val="000000" w:themeColor="text1"/>
        </w:rPr>
        <w:t>E</w:t>
      </w:r>
      <w:r w:rsidR="00C967DD" w:rsidRPr="004F4D42">
        <w:rPr>
          <w:b/>
          <w:color w:val="000000" w:themeColor="text1"/>
        </w:rPr>
        <w:t xml:space="preserve"> </w:t>
      </w:r>
      <w:r w:rsidRPr="004F4D42">
        <w:rPr>
          <w:b/>
          <w:color w:val="000000" w:themeColor="text1"/>
        </w:rPr>
        <w:t>D</w:t>
      </w:r>
      <w:r w:rsidR="00C967DD" w:rsidRPr="004F4D42">
        <w:rPr>
          <w:b/>
          <w:color w:val="000000" w:themeColor="text1"/>
        </w:rPr>
        <w:t xml:space="preserve"> </w:t>
      </w:r>
      <w:r w:rsidRPr="004F4D42">
        <w:rPr>
          <w:b/>
          <w:color w:val="000000" w:themeColor="text1"/>
        </w:rPr>
        <w:t>E</w:t>
      </w:r>
      <w:r w:rsidR="00C967DD" w:rsidRPr="004F4D42">
        <w:rPr>
          <w:b/>
          <w:color w:val="000000" w:themeColor="text1"/>
        </w:rPr>
        <w:t xml:space="preserve"> </w:t>
      </w:r>
      <w:r w:rsidRPr="004F4D42">
        <w:rPr>
          <w:b/>
          <w:color w:val="000000" w:themeColor="text1"/>
        </w:rPr>
        <w:t>N</w:t>
      </w:r>
      <w:r w:rsidR="00C967DD" w:rsidRPr="004F4D42">
        <w:rPr>
          <w:b/>
          <w:color w:val="000000" w:themeColor="text1"/>
        </w:rPr>
        <w:t xml:space="preserve"> </w:t>
      </w:r>
      <w:r w:rsidRPr="004F4D42">
        <w:rPr>
          <w:b/>
          <w:color w:val="000000" w:themeColor="text1"/>
        </w:rPr>
        <w:t>T</w:t>
      </w:r>
      <w:r w:rsidR="00C967DD" w:rsidRPr="004F4D42">
        <w:rPr>
          <w:b/>
          <w:color w:val="000000" w:themeColor="text1"/>
        </w:rPr>
        <w:t xml:space="preserve"> </w:t>
      </w:r>
      <w:r w:rsidRPr="004F4D42">
        <w:rPr>
          <w:b/>
          <w:color w:val="000000" w:themeColor="text1"/>
        </w:rPr>
        <w:t>E</w:t>
      </w:r>
      <w:r w:rsidR="00C967DD" w:rsidRPr="004F4D42">
        <w:rPr>
          <w:b/>
          <w:color w:val="000000" w:themeColor="text1"/>
        </w:rPr>
        <w:t xml:space="preserve"> </w:t>
      </w:r>
      <w:r w:rsidRPr="004F4D42">
        <w:rPr>
          <w:b/>
          <w:color w:val="000000" w:themeColor="text1"/>
        </w:rPr>
        <w:t>S</w:t>
      </w:r>
      <w:bookmarkEnd w:id="0"/>
      <w:bookmarkEnd w:id="1"/>
      <w:bookmarkEnd w:id="2"/>
    </w:p>
    <w:p w14:paraId="5F73BCCB" w14:textId="77777777" w:rsidR="003F1A79" w:rsidRPr="004F4D42" w:rsidRDefault="003F1A79" w:rsidP="003F1A79">
      <w:pPr>
        <w:rPr>
          <w:lang w:eastAsia="en-US"/>
        </w:rPr>
      </w:pPr>
    </w:p>
    <w:p w14:paraId="402A4C0A" w14:textId="722F3F90" w:rsidR="00D9392E" w:rsidRPr="004F4D42" w:rsidRDefault="005F0007" w:rsidP="002D1A9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F4D42">
        <w:rPr>
          <w:rFonts w:ascii="Palatino Linotype" w:eastAsia="Calibri" w:hAnsi="Palatino Linotype" w:cs="Arial"/>
          <w:color w:val="000000" w:themeColor="text1"/>
          <w:lang w:val="es-ES"/>
        </w:rPr>
        <w:t>El</w:t>
      </w:r>
      <w:r w:rsidR="00D9392E" w:rsidRPr="004F4D42">
        <w:rPr>
          <w:rFonts w:ascii="Palatino Linotype" w:eastAsia="Calibri" w:hAnsi="Palatino Linotype" w:cs="Arial"/>
          <w:color w:val="000000" w:themeColor="text1"/>
          <w:lang w:val="es-ES"/>
        </w:rPr>
        <w:t xml:space="preserve"> </w:t>
      </w:r>
      <w:r w:rsidR="002D1A9E" w:rsidRPr="004F4D42">
        <w:rPr>
          <w:rFonts w:ascii="Palatino Linotype" w:eastAsia="Calibri" w:hAnsi="Palatino Linotype" w:cs="Arial"/>
          <w:color w:val="000000" w:themeColor="text1"/>
          <w:lang w:val="es-ES"/>
        </w:rPr>
        <w:t xml:space="preserve">seis </w:t>
      </w:r>
      <w:r w:rsidR="00E7785D" w:rsidRPr="004F4D42">
        <w:rPr>
          <w:rFonts w:ascii="Palatino Linotype" w:eastAsia="Calibri" w:hAnsi="Palatino Linotype" w:cs="Arial"/>
          <w:color w:val="000000" w:themeColor="text1"/>
          <w:lang w:val="es-ES"/>
        </w:rPr>
        <w:t>(</w:t>
      </w:r>
      <w:r w:rsidR="002D1A9E" w:rsidRPr="004F4D42">
        <w:rPr>
          <w:rFonts w:ascii="Palatino Linotype" w:eastAsia="Calibri" w:hAnsi="Palatino Linotype" w:cs="Arial"/>
          <w:color w:val="000000" w:themeColor="text1"/>
          <w:lang w:val="es-ES"/>
        </w:rPr>
        <w:t>6</w:t>
      </w:r>
      <w:r w:rsidR="00E7785D" w:rsidRPr="004F4D42">
        <w:rPr>
          <w:rFonts w:ascii="Palatino Linotype" w:eastAsia="Calibri" w:hAnsi="Palatino Linotype" w:cs="Arial"/>
          <w:color w:val="000000" w:themeColor="text1"/>
          <w:lang w:val="es-ES"/>
        </w:rPr>
        <w:t>)</w:t>
      </w:r>
      <w:r w:rsidR="007076C5" w:rsidRPr="004F4D42">
        <w:rPr>
          <w:rFonts w:ascii="Palatino Linotype" w:eastAsia="Calibri" w:hAnsi="Palatino Linotype" w:cs="Arial"/>
          <w:color w:val="000000" w:themeColor="text1"/>
          <w:lang w:val="es-ES"/>
        </w:rPr>
        <w:t xml:space="preserve"> de </w:t>
      </w:r>
      <w:r w:rsidR="007F0D1B" w:rsidRPr="004F4D42">
        <w:rPr>
          <w:rFonts w:ascii="Palatino Linotype" w:eastAsia="Calibri" w:hAnsi="Palatino Linotype" w:cs="Arial"/>
          <w:color w:val="000000" w:themeColor="text1"/>
          <w:lang w:val="es-ES"/>
        </w:rPr>
        <w:t>julio</w:t>
      </w:r>
      <w:r w:rsidR="00B31E90" w:rsidRPr="004F4D42">
        <w:rPr>
          <w:rFonts w:ascii="Palatino Linotype" w:eastAsia="Calibri" w:hAnsi="Palatino Linotype" w:cs="Arial"/>
          <w:color w:val="000000" w:themeColor="text1"/>
          <w:lang w:val="es-ES"/>
        </w:rPr>
        <w:t xml:space="preserve"> de dos mil veinti</w:t>
      </w:r>
      <w:r w:rsidR="00DC6944" w:rsidRPr="004F4D42">
        <w:rPr>
          <w:rFonts w:ascii="Palatino Linotype" w:eastAsia="Calibri" w:hAnsi="Palatino Linotype" w:cs="Arial"/>
          <w:color w:val="000000" w:themeColor="text1"/>
          <w:lang w:val="es-ES"/>
        </w:rPr>
        <w:t>dós</w:t>
      </w:r>
      <w:r w:rsidR="005F1362" w:rsidRPr="004F4D42">
        <w:rPr>
          <w:rFonts w:ascii="Palatino Linotype" w:eastAsia="Calibri" w:hAnsi="Palatino Linotype" w:cs="Arial"/>
          <w:color w:val="000000" w:themeColor="text1"/>
          <w:lang w:val="es-ES"/>
        </w:rPr>
        <w:t xml:space="preserve">, </w:t>
      </w:r>
      <w:r w:rsidR="004E197E" w:rsidRPr="004F4D42">
        <w:rPr>
          <w:rFonts w:ascii="Palatino Linotype" w:eastAsia="Calibri" w:hAnsi="Palatino Linotype" w:cs="Arial"/>
          <w:color w:val="000000" w:themeColor="text1"/>
          <w:lang w:val="es-ES"/>
        </w:rPr>
        <w:t>el</w:t>
      </w:r>
      <w:r w:rsidR="00B31E90" w:rsidRPr="004F4D42">
        <w:rPr>
          <w:rFonts w:ascii="Palatino Linotype" w:hAnsi="Palatino Linotype"/>
          <w:color w:val="000000" w:themeColor="text1"/>
        </w:rPr>
        <w:t xml:space="preserve"> particular</w:t>
      </w:r>
      <w:r w:rsidR="005F1362" w:rsidRPr="004F4D42">
        <w:rPr>
          <w:rFonts w:ascii="Palatino Linotype" w:hAnsi="Palatino Linotype"/>
          <w:color w:val="000000" w:themeColor="text1"/>
        </w:rPr>
        <w:t xml:space="preserve"> presentó</w:t>
      </w:r>
      <w:r w:rsidR="005F1362" w:rsidRPr="004F4D42">
        <w:rPr>
          <w:rFonts w:ascii="Palatino Linotype" w:hAnsi="Palatino Linotype"/>
          <w:b/>
          <w:color w:val="000000" w:themeColor="text1"/>
        </w:rPr>
        <w:t xml:space="preserve"> </w:t>
      </w:r>
      <w:r w:rsidR="00127E68" w:rsidRPr="004F4D42">
        <w:rPr>
          <w:rFonts w:ascii="Palatino Linotype" w:hAnsi="Palatino Linotype"/>
          <w:bCs/>
          <w:color w:val="000000" w:themeColor="text1"/>
        </w:rPr>
        <w:t xml:space="preserve">a través </w:t>
      </w:r>
      <w:r w:rsidR="00994E0F" w:rsidRPr="004F4D42">
        <w:rPr>
          <w:rFonts w:ascii="Palatino Linotype" w:hAnsi="Palatino Linotype"/>
          <w:bCs/>
          <w:color w:val="000000" w:themeColor="text1"/>
        </w:rPr>
        <w:t>d</w:t>
      </w:r>
      <w:r w:rsidR="000021A0" w:rsidRPr="004F4D42">
        <w:rPr>
          <w:rFonts w:ascii="Palatino Linotype" w:hAnsi="Palatino Linotype"/>
          <w:bCs/>
          <w:color w:val="000000" w:themeColor="text1"/>
        </w:rPr>
        <w:t>el</w:t>
      </w:r>
      <w:r w:rsidR="004863BC" w:rsidRPr="004F4D42">
        <w:rPr>
          <w:rFonts w:ascii="Palatino Linotype" w:hAnsi="Palatino Linotype"/>
          <w:bCs/>
          <w:color w:val="000000" w:themeColor="text1"/>
        </w:rPr>
        <w:t xml:space="preserve"> </w:t>
      </w:r>
      <w:r w:rsidR="005F1362" w:rsidRPr="004F4D42">
        <w:rPr>
          <w:rFonts w:ascii="Palatino Linotype" w:eastAsia="Calibri" w:hAnsi="Palatino Linotype" w:cs="Arial"/>
          <w:color w:val="000000" w:themeColor="text1"/>
          <w:lang w:val="es-ES"/>
        </w:rPr>
        <w:t xml:space="preserve">Sistema de Acceso a la Información Mexiquense </w:t>
      </w:r>
      <w:r w:rsidR="005F1362" w:rsidRPr="004F4D42">
        <w:rPr>
          <w:rFonts w:ascii="Palatino Linotype" w:eastAsia="Calibri" w:hAnsi="Palatino Linotype" w:cs="Arial"/>
          <w:bCs/>
          <w:color w:val="000000" w:themeColor="text1"/>
          <w:lang w:val="es-ES"/>
        </w:rPr>
        <w:t>(SAIMEX)</w:t>
      </w:r>
      <w:r w:rsidR="005F1362" w:rsidRPr="004F4D42">
        <w:rPr>
          <w:rFonts w:ascii="Palatino Linotype" w:eastAsia="Calibri" w:hAnsi="Palatino Linotype" w:cs="Arial"/>
          <w:color w:val="000000" w:themeColor="text1"/>
          <w:lang w:val="es-ES"/>
        </w:rPr>
        <w:t>, la solicitud de información pública registrada con el número</w:t>
      </w:r>
      <w:r w:rsidR="005F1362" w:rsidRPr="004F4D42">
        <w:rPr>
          <w:rFonts w:ascii="Palatino Linotype" w:hAnsi="Palatino Linotype"/>
          <w:b/>
          <w:bCs/>
          <w:color w:val="000000" w:themeColor="text1"/>
        </w:rPr>
        <w:t xml:space="preserve"> </w:t>
      </w:r>
      <w:r w:rsidR="000544CE" w:rsidRPr="004F4D42">
        <w:rPr>
          <w:rFonts w:ascii="Palatino Linotype" w:hAnsi="Palatino Linotype"/>
          <w:b/>
          <w:bCs/>
          <w:color w:val="000000" w:themeColor="text1"/>
        </w:rPr>
        <w:t>00</w:t>
      </w:r>
      <w:r w:rsidR="007F0D1B" w:rsidRPr="004F4D42">
        <w:rPr>
          <w:rFonts w:ascii="Palatino Linotype" w:hAnsi="Palatino Linotype"/>
          <w:b/>
          <w:bCs/>
          <w:color w:val="000000" w:themeColor="text1"/>
        </w:rPr>
        <w:t>358</w:t>
      </w:r>
      <w:r w:rsidR="00190C3D" w:rsidRPr="004F4D42">
        <w:rPr>
          <w:rFonts w:ascii="Palatino Linotype" w:hAnsi="Palatino Linotype"/>
          <w:b/>
          <w:bCs/>
          <w:color w:val="000000" w:themeColor="text1"/>
        </w:rPr>
        <w:t>/</w:t>
      </w:r>
      <w:r w:rsidR="00E7785D" w:rsidRPr="004F4D42">
        <w:rPr>
          <w:rFonts w:ascii="Palatino Linotype" w:hAnsi="Palatino Linotype"/>
          <w:b/>
          <w:bCs/>
          <w:color w:val="000000" w:themeColor="text1"/>
        </w:rPr>
        <w:t>SMOV</w:t>
      </w:r>
      <w:r w:rsidR="007B50DF" w:rsidRPr="004F4D42">
        <w:rPr>
          <w:rFonts w:ascii="Palatino Linotype" w:hAnsi="Palatino Linotype"/>
          <w:b/>
          <w:bCs/>
          <w:color w:val="000000" w:themeColor="text1"/>
        </w:rPr>
        <w:t>/IP/202</w:t>
      </w:r>
      <w:r w:rsidR="000544CE" w:rsidRPr="004F4D42">
        <w:rPr>
          <w:rFonts w:ascii="Palatino Linotype" w:hAnsi="Palatino Linotype"/>
          <w:b/>
          <w:bCs/>
          <w:color w:val="000000" w:themeColor="text1"/>
        </w:rPr>
        <w:t>2</w:t>
      </w:r>
      <w:r w:rsidR="005F1362" w:rsidRPr="004F4D42">
        <w:rPr>
          <w:rFonts w:ascii="Palatino Linotype" w:hAnsi="Palatino Linotype"/>
          <w:b/>
          <w:bCs/>
          <w:color w:val="000000" w:themeColor="text1"/>
        </w:rPr>
        <w:t>,</w:t>
      </w:r>
      <w:r w:rsidR="005F1362" w:rsidRPr="004F4D42">
        <w:rPr>
          <w:rFonts w:ascii="Palatino Linotype" w:eastAsia="Calibri" w:hAnsi="Palatino Linotype" w:cs="Arial"/>
          <w:color w:val="000000" w:themeColor="text1"/>
          <w:lang w:val="es-ES"/>
        </w:rPr>
        <w:t xml:space="preserve"> mediante la cual requirió</w:t>
      </w:r>
      <w:r w:rsidR="00022D89" w:rsidRPr="004F4D42">
        <w:rPr>
          <w:rFonts w:ascii="Palatino Linotype" w:eastAsia="Calibri" w:hAnsi="Palatino Linotype" w:cs="Arial"/>
          <w:color w:val="000000" w:themeColor="text1"/>
          <w:lang w:val="es-ES"/>
        </w:rPr>
        <w:t xml:space="preserve"> lo siguiente</w:t>
      </w:r>
      <w:r w:rsidR="005F1362" w:rsidRPr="004F4D42">
        <w:rPr>
          <w:rFonts w:ascii="Palatino Linotype" w:eastAsia="Calibri" w:hAnsi="Palatino Linotype" w:cs="Arial"/>
          <w:color w:val="000000" w:themeColor="text1"/>
          <w:lang w:val="es-ES"/>
        </w:rPr>
        <w:t>:</w:t>
      </w:r>
    </w:p>
    <w:p w14:paraId="76EB7490" w14:textId="77777777" w:rsidR="00B31E90" w:rsidRPr="004F4D42"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B92899E" w:rsidR="0097210F" w:rsidRPr="004F4D42"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4F4D42">
        <w:rPr>
          <w:rFonts w:ascii="Palatino Linotype" w:hAnsi="Palatino Linotype"/>
          <w:i/>
          <w:color w:val="000000" w:themeColor="text1"/>
          <w:sz w:val="22"/>
          <w:szCs w:val="22"/>
        </w:rPr>
        <w:t>“</w:t>
      </w:r>
      <w:r w:rsidR="007F0D1B" w:rsidRPr="004F4D42">
        <w:rPr>
          <w:rFonts w:ascii="Palatino Linotype" w:hAnsi="Palatino Linotype"/>
          <w:bCs/>
          <w:i/>
          <w:color w:val="000000"/>
          <w:sz w:val="22"/>
          <w:szCs w:val="22"/>
        </w:rPr>
        <w:t xml:space="preserve">Durante los últimos años dicho que las bicicletas es un medio alternativo de transporte, sin embargo, no vemos acciones del gobierno para que senos brinden las condiciones y seguridad y podamos transitar de forma libre y segura, no existen carriles especiales para los ciclistas, solicito se envíen los estudios de aforo en la avenida Miguel Hidalgo, en su tramo donde construyeron la ciclovía. ¿cuántas bicicletas circulan por la ciclovía de Av. Miguel Hidalgo? ¿estudios de aforo en la calle José Vicente Villada y Paseo Colón, en su tramo donde construyeron la ciclovía? ¿Quiero que me informen cuántas bicicletas circulan por la ciclovía de a calle José Vicente Villada y Paseo Colón? Me informen cuánto costó el estudio de aforo de bicicletas que circulan en Toluca. Quiero que me digan que empresa o empresas realizaron los estudios de aforos de bicicletas circulando por las </w:t>
      </w:r>
      <w:r w:rsidR="007F0D1B" w:rsidRPr="004F4D42">
        <w:rPr>
          <w:rFonts w:ascii="Palatino Linotype" w:hAnsi="Palatino Linotype"/>
          <w:bCs/>
          <w:i/>
          <w:color w:val="000000"/>
          <w:sz w:val="22"/>
          <w:szCs w:val="22"/>
        </w:rPr>
        <w:lastRenderedPageBreak/>
        <w:t>calles del municipio de Toluca. cuánto costó el estudio de aforo y que empresa o empresas lo hicieron. cuántas bicicletas circulan diariamente por la Avenida Isidro Fabela en cualquier dirección. saber cuántas bicicletas circulan diariamente por la Avenida Miguel Hidalgo en cualquier dirección. cuántas bicicletas circulan diariamente por la calle de José Vicente Villada y su continuación Paseo Colón en cualquier dirección. cuántas bicicletas se encuentran registradas en el Municipio de Toluca. cuántas bicicletas conforman las rodadas y la razón por la cual no ruedan por las ciclovías.</w:t>
      </w:r>
      <w:r w:rsidRPr="004F4D42">
        <w:rPr>
          <w:rFonts w:ascii="Palatino Linotype" w:hAnsi="Palatino Linotype"/>
          <w:i/>
          <w:color w:val="000000" w:themeColor="text1"/>
          <w:sz w:val="22"/>
          <w:szCs w:val="22"/>
        </w:rPr>
        <w:t>” (Sic).</w:t>
      </w:r>
    </w:p>
    <w:p w14:paraId="010F49EF" w14:textId="4293FA51" w:rsidR="004E197E" w:rsidRPr="004F4D42"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4F4D42"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F4D42">
        <w:rPr>
          <w:rFonts w:ascii="Palatino Linotype" w:hAnsi="Palatino Linotype" w:cs="Arial"/>
          <w:color w:val="000000" w:themeColor="text1"/>
        </w:rPr>
        <w:t>Modalidad de entrega: A través d</w:t>
      </w:r>
      <w:r w:rsidR="009C0215" w:rsidRPr="004F4D42">
        <w:rPr>
          <w:rFonts w:ascii="Palatino Linotype" w:hAnsi="Palatino Linotype" w:cs="Arial"/>
          <w:color w:val="000000" w:themeColor="text1"/>
        </w:rPr>
        <w:t>e</w:t>
      </w:r>
      <w:r w:rsidR="00755146" w:rsidRPr="004F4D42">
        <w:rPr>
          <w:rFonts w:ascii="Palatino Linotype" w:hAnsi="Palatino Linotype" w:cs="Arial"/>
          <w:color w:val="000000" w:themeColor="text1"/>
        </w:rPr>
        <w:t>l SAIMEX</w:t>
      </w:r>
      <w:r w:rsidR="004E197E" w:rsidRPr="004F4D42">
        <w:rPr>
          <w:rFonts w:ascii="Palatino Linotype" w:hAnsi="Palatino Linotype" w:cs="Arial"/>
          <w:color w:val="000000" w:themeColor="text1"/>
        </w:rPr>
        <w:t>.</w:t>
      </w:r>
      <w:r w:rsidR="009E6A7E" w:rsidRPr="004F4D42">
        <w:rPr>
          <w:rFonts w:ascii="Palatino Linotype" w:hAnsi="Palatino Linotype" w:cs="Arial"/>
          <w:color w:val="000000" w:themeColor="text1"/>
        </w:rPr>
        <w:t xml:space="preserve"> </w:t>
      </w:r>
    </w:p>
    <w:p w14:paraId="35BA18A9" w14:textId="77777777" w:rsidR="0039142B" w:rsidRPr="004F4D42"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33467699" w14:textId="7EF53862" w:rsidR="00E7785D" w:rsidRPr="004F4D42"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F4D42">
        <w:rPr>
          <w:rFonts w:ascii="Palatino Linotype" w:eastAsia="MS Mincho" w:hAnsi="Palatino Linotype" w:cs="Times New Roman"/>
          <w:color w:val="000000" w:themeColor="text1"/>
        </w:rPr>
        <w:t xml:space="preserve">El </w:t>
      </w:r>
      <w:r w:rsidR="007F0D1B" w:rsidRPr="004F4D42">
        <w:rPr>
          <w:rFonts w:ascii="Palatino Linotype" w:eastAsia="MS Mincho" w:hAnsi="Palatino Linotype" w:cs="Times New Roman"/>
          <w:color w:val="000000" w:themeColor="text1"/>
        </w:rPr>
        <w:t>ocho</w:t>
      </w:r>
      <w:r w:rsidR="00FD2865" w:rsidRPr="004F4D42">
        <w:rPr>
          <w:rFonts w:ascii="Palatino Linotype" w:eastAsia="MS Mincho" w:hAnsi="Palatino Linotype" w:cs="Times New Roman"/>
          <w:color w:val="000000" w:themeColor="text1"/>
        </w:rPr>
        <w:t xml:space="preserve"> </w:t>
      </w:r>
      <w:r w:rsidR="007076C5" w:rsidRPr="004F4D42">
        <w:rPr>
          <w:rFonts w:ascii="Palatino Linotype" w:eastAsia="MS Mincho" w:hAnsi="Palatino Linotype" w:cs="Times New Roman"/>
          <w:color w:val="000000" w:themeColor="text1"/>
        </w:rPr>
        <w:t>(</w:t>
      </w:r>
      <w:r w:rsidR="007F0D1B" w:rsidRPr="004F4D42">
        <w:rPr>
          <w:rFonts w:ascii="Palatino Linotype" w:eastAsia="MS Mincho" w:hAnsi="Palatino Linotype" w:cs="Times New Roman"/>
          <w:color w:val="000000" w:themeColor="text1"/>
        </w:rPr>
        <w:t>8</w:t>
      </w:r>
      <w:r w:rsidR="007076C5" w:rsidRPr="004F4D42">
        <w:rPr>
          <w:rFonts w:ascii="Palatino Linotype" w:eastAsia="MS Mincho" w:hAnsi="Palatino Linotype" w:cs="Times New Roman"/>
          <w:color w:val="000000" w:themeColor="text1"/>
        </w:rPr>
        <w:t xml:space="preserve">) de </w:t>
      </w:r>
      <w:r w:rsidR="007F0D1B" w:rsidRPr="004F4D42">
        <w:rPr>
          <w:rFonts w:ascii="Palatino Linotype" w:eastAsia="MS Mincho" w:hAnsi="Palatino Linotype" w:cs="Times New Roman"/>
          <w:color w:val="000000" w:themeColor="text1"/>
        </w:rPr>
        <w:t>julio</w:t>
      </w:r>
      <w:r w:rsidR="00011F17" w:rsidRPr="004F4D42">
        <w:rPr>
          <w:rFonts w:ascii="Palatino Linotype" w:eastAsia="MS Mincho" w:hAnsi="Palatino Linotype" w:cs="Times New Roman"/>
          <w:color w:val="000000" w:themeColor="text1"/>
        </w:rPr>
        <w:t xml:space="preserve"> de dos mil veintidós,</w:t>
      </w:r>
      <w:r w:rsidR="00E7785D" w:rsidRPr="004F4D42">
        <w:rPr>
          <w:rFonts w:ascii="Palatino Linotype" w:eastAsia="MS Mincho" w:hAnsi="Palatino Linotype" w:cs="Times New Roman"/>
          <w:color w:val="000000" w:themeColor="text1"/>
        </w:rPr>
        <w:t xml:space="preserve"> el Sujeto Obligado </w:t>
      </w:r>
      <w:r w:rsidR="00011F17" w:rsidRPr="004F4D42">
        <w:rPr>
          <w:rFonts w:ascii="Palatino Linotype" w:eastAsia="MS Mincho" w:hAnsi="Palatino Linotype" w:cs="Times New Roman"/>
          <w:color w:val="000000" w:themeColor="text1"/>
        </w:rPr>
        <w:t xml:space="preserve">declaró incompetencia </w:t>
      </w:r>
      <w:r w:rsidR="007F0D1B" w:rsidRPr="004F4D42">
        <w:rPr>
          <w:rFonts w:ascii="Palatino Linotype" w:eastAsia="MS Mincho" w:hAnsi="Palatino Linotype" w:cs="Times New Roman"/>
          <w:color w:val="000000" w:themeColor="text1"/>
        </w:rPr>
        <w:t>total</w:t>
      </w:r>
      <w:r w:rsidR="00011F17" w:rsidRPr="004F4D42">
        <w:rPr>
          <w:rFonts w:ascii="Palatino Linotype" w:eastAsia="MS Mincho" w:hAnsi="Palatino Linotype" w:cs="Times New Roman"/>
          <w:color w:val="000000" w:themeColor="text1"/>
        </w:rPr>
        <w:t>, refiriendo que corresponde al Sistema de Transporte Masivo y Teleférico del Estado de México.</w:t>
      </w:r>
    </w:p>
    <w:p w14:paraId="162B6806" w14:textId="77777777" w:rsidR="00E7785D" w:rsidRPr="004F4D42" w:rsidRDefault="00E7785D" w:rsidP="00E7785D">
      <w:pPr>
        <w:pStyle w:val="Prrafodelista"/>
        <w:rPr>
          <w:rFonts w:ascii="Palatino Linotype" w:eastAsia="MS Mincho" w:hAnsi="Palatino Linotype" w:cs="Times New Roman"/>
          <w:color w:val="000000" w:themeColor="text1"/>
        </w:rPr>
      </w:pPr>
    </w:p>
    <w:p w14:paraId="272B63B3" w14:textId="75399B33" w:rsidR="000D5A1D" w:rsidRPr="004F4D42"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F4D42">
        <w:rPr>
          <w:rFonts w:ascii="Palatino Linotype" w:eastAsia="Times New Roman" w:hAnsi="Palatino Linotype" w:cs="Arial"/>
          <w:color w:val="000000" w:themeColor="text1"/>
          <w:lang w:val="es-ES"/>
        </w:rPr>
        <w:t>D</w:t>
      </w:r>
      <w:r w:rsidR="00561ED1" w:rsidRPr="004F4D42">
        <w:rPr>
          <w:rFonts w:ascii="Palatino Linotype" w:eastAsia="Times New Roman" w:hAnsi="Palatino Linotype" w:cs="Arial"/>
          <w:color w:val="000000" w:themeColor="text1"/>
          <w:lang w:val="es-ES"/>
        </w:rPr>
        <w:t xml:space="preserve">erivado de la respuesta emitida por el </w:t>
      </w:r>
      <w:r w:rsidR="00561ED1" w:rsidRPr="004F4D42">
        <w:rPr>
          <w:rFonts w:ascii="Palatino Linotype" w:eastAsia="Times New Roman" w:hAnsi="Palatino Linotype" w:cs="Arial"/>
          <w:b/>
          <w:color w:val="000000" w:themeColor="text1"/>
          <w:lang w:val="es-ES"/>
        </w:rPr>
        <w:t>SUJETO OBLIGADO</w:t>
      </w:r>
      <w:r w:rsidR="00561ED1" w:rsidRPr="004F4D42">
        <w:rPr>
          <w:rFonts w:ascii="Palatino Linotype" w:eastAsia="Times New Roman" w:hAnsi="Palatino Linotype" w:cs="Arial"/>
          <w:color w:val="000000" w:themeColor="text1"/>
          <w:lang w:val="es-ES"/>
        </w:rPr>
        <w:t>, e</w:t>
      </w:r>
      <w:r w:rsidR="0083380F" w:rsidRPr="004F4D42">
        <w:rPr>
          <w:rFonts w:ascii="Palatino Linotype" w:eastAsia="Times New Roman" w:hAnsi="Palatino Linotype" w:cs="Arial"/>
          <w:color w:val="000000" w:themeColor="text1"/>
          <w:lang w:val="es-ES"/>
        </w:rPr>
        <w:t xml:space="preserve">l </w:t>
      </w:r>
      <w:r w:rsidR="0042356B" w:rsidRPr="004F4D42">
        <w:rPr>
          <w:rFonts w:ascii="Palatino Linotype" w:eastAsia="Times New Roman" w:hAnsi="Palatino Linotype" w:cs="Arial"/>
          <w:color w:val="000000" w:themeColor="text1"/>
          <w:lang w:val="es-ES"/>
        </w:rPr>
        <w:t>uno</w:t>
      </w:r>
      <w:r w:rsidR="002D6CF5" w:rsidRPr="004F4D42">
        <w:rPr>
          <w:rFonts w:ascii="Palatino Linotype" w:eastAsia="Times New Roman" w:hAnsi="Palatino Linotype" w:cs="Arial"/>
          <w:color w:val="000000" w:themeColor="text1"/>
          <w:lang w:val="es-ES"/>
        </w:rPr>
        <w:t xml:space="preserve"> (</w:t>
      </w:r>
      <w:r w:rsidR="00011F17" w:rsidRPr="004F4D42">
        <w:rPr>
          <w:rFonts w:ascii="Palatino Linotype" w:eastAsia="Times New Roman" w:hAnsi="Palatino Linotype" w:cs="Arial"/>
          <w:color w:val="000000" w:themeColor="text1"/>
          <w:lang w:val="es-ES"/>
        </w:rPr>
        <w:t>1</w:t>
      </w:r>
      <w:r w:rsidR="007A078A" w:rsidRPr="004F4D42">
        <w:rPr>
          <w:rFonts w:ascii="Palatino Linotype" w:eastAsia="Times New Roman" w:hAnsi="Palatino Linotype" w:cs="Arial"/>
          <w:color w:val="000000" w:themeColor="text1"/>
          <w:lang w:val="es-ES"/>
        </w:rPr>
        <w:t xml:space="preserve">) de </w:t>
      </w:r>
      <w:r w:rsidR="0042356B" w:rsidRPr="004F4D42">
        <w:rPr>
          <w:rFonts w:ascii="Palatino Linotype" w:eastAsia="Times New Roman" w:hAnsi="Palatino Linotype" w:cs="Arial"/>
          <w:color w:val="000000" w:themeColor="text1"/>
          <w:lang w:val="es-ES"/>
        </w:rPr>
        <w:t>agosto</w:t>
      </w:r>
      <w:r w:rsidR="00BD47D0" w:rsidRPr="004F4D42">
        <w:rPr>
          <w:rFonts w:ascii="Palatino Linotype" w:eastAsia="Times New Roman" w:hAnsi="Palatino Linotype" w:cs="Arial"/>
          <w:color w:val="000000" w:themeColor="text1"/>
          <w:lang w:val="es-ES"/>
        </w:rPr>
        <w:t xml:space="preserve"> </w:t>
      </w:r>
      <w:r w:rsidR="00613655" w:rsidRPr="004F4D42">
        <w:rPr>
          <w:rFonts w:ascii="Palatino Linotype" w:eastAsia="Times New Roman" w:hAnsi="Palatino Linotype" w:cs="Arial"/>
          <w:color w:val="000000" w:themeColor="text1"/>
          <w:lang w:val="es-ES"/>
        </w:rPr>
        <w:t>de dos mil veinti</w:t>
      </w:r>
      <w:r w:rsidR="00751F6F" w:rsidRPr="004F4D42">
        <w:rPr>
          <w:rFonts w:ascii="Palatino Linotype" w:eastAsia="Times New Roman" w:hAnsi="Palatino Linotype" w:cs="Arial"/>
          <w:color w:val="000000" w:themeColor="text1"/>
          <w:lang w:val="es-ES"/>
        </w:rPr>
        <w:t>dós</w:t>
      </w:r>
      <w:r w:rsidR="00FE49E3" w:rsidRPr="004F4D42">
        <w:rPr>
          <w:rFonts w:ascii="Palatino Linotype" w:eastAsia="Times New Roman" w:hAnsi="Palatino Linotype" w:cs="Arial"/>
          <w:color w:val="000000" w:themeColor="text1"/>
          <w:lang w:val="es-ES"/>
        </w:rPr>
        <w:t xml:space="preserve">, </w:t>
      </w:r>
      <w:r w:rsidR="007A078A" w:rsidRPr="004F4D42">
        <w:rPr>
          <w:rFonts w:ascii="Palatino Linotype" w:eastAsia="Times New Roman" w:hAnsi="Palatino Linotype" w:cs="Arial"/>
          <w:color w:val="000000" w:themeColor="text1"/>
          <w:lang w:val="es-ES"/>
        </w:rPr>
        <w:t>la</w:t>
      </w:r>
      <w:r w:rsidR="005F1362" w:rsidRPr="004F4D42">
        <w:rPr>
          <w:rFonts w:ascii="Palatino Linotype" w:eastAsia="Times New Roman" w:hAnsi="Palatino Linotype" w:cs="Arial"/>
          <w:color w:val="000000" w:themeColor="text1"/>
          <w:lang w:val="es-ES"/>
        </w:rPr>
        <w:t xml:space="preserve"> particular</w:t>
      </w:r>
      <w:r w:rsidR="00DB4BEF" w:rsidRPr="004F4D42">
        <w:rPr>
          <w:rFonts w:ascii="Palatino Linotype" w:eastAsia="Times New Roman" w:hAnsi="Palatino Linotype" w:cs="Arial"/>
          <w:color w:val="000000" w:themeColor="text1"/>
          <w:lang w:val="es-ES"/>
        </w:rPr>
        <w:t xml:space="preserve"> interpuso</w:t>
      </w:r>
      <w:r w:rsidR="009316E9" w:rsidRPr="004F4D42">
        <w:rPr>
          <w:rFonts w:ascii="Palatino Linotype" w:eastAsia="Times New Roman" w:hAnsi="Palatino Linotype" w:cs="Arial"/>
          <w:color w:val="000000" w:themeColor="text1"/>
          <w:lang w:val="es-ES"/>
        </w:rPr>
        <w:t xml:space="preserve"> </w:t>
      </w:r>
      <w:r w:rsidR="00102D65" w:rsidRPr="004F4D42">
        <w:rPr>
          <w:rFonts w:ascii="Palatino Linotype" w:eastAsia="Times New Roman" w:hAnsi="Palatino Linotype" w:cs="Arial"/>
          <w:color w:val="000000" w:themeColor="text1"/>
          <w:lang w:val="es-ES"/>
        </w:rPr>
        <w:t>el</w:t>
      </w:r>
      <w:r w:rsidR="004D68F8" w:rsidRPr="004F4D42">
        <w:rPr>
          <w:rFonts w:ascii="Palatino Linotype" w:eastAsia="Times New Roman" w:hAnsi="Palatino Linotype" w:cs="Arial"/>
          <w:color w:val="000000" w:themeColor="text1"/>
          <w:lang w:val="es-ES"/>
        </w:rPr>
        <w:t xml:space="preserve"> recurso de revisión </w:t>
      </w:r>
      <w:r w:rsidR="007F0D1B" w:rsidRPr="004F4D42">
        <w:rPr>
          <w:rFonts w:ascii="Palatino Linotype" w:eastAsia="Calibri" w:hAnsi="Palatino Linotype" w:cs="Arial"/>
          <w:b/>
          <w:lang w:val="es-ES"/>
        </w:rPr>
        <w:t>13033</w:t>
      </w:r>
      <w:r w:rsidR="007F0D1B" w:rsidRPr="004F4D42">
        <w:rPr>
          <w:rFonts w:ascii="Palatino Linotype" w:hAnsi="Palatino Linotype"/>
          <w:b/>
          <w:szCs w:val="22"/>
        </w:rPr>
        <w:t>/INFOEM/IP/RR/2022</w:t>
      </w:r>
      <w:r w:rsidR="009A0461" w:rsidRPr="004F4D42">
        <w:rPr>
          <w:rFonts w:ascii="Palatino Linotype" w:eastAsia="Calibri" w:hAnsi="Palatino Linotype" w:cs="Arial"/>
          <w:b/>
          <w:color w:val="000000" w:themeColor="text1"/>
          <w:lang w:val="es-ES"/>
        </w:rPr>
        <w:t>;</w:t>
      </w:r>
      <w:r w:rsidR="00102D65" w:rsidRPr="004F4D42">
        <w:rPr>
          <w:rFonts w:ascii="Palatino Linotype" w:eastAsia="Times New Roman" w:hAnsi="Palatino Linotype" w:cs="Arial"/>
          <w:color w:val="000000" w:themeColor="text1"/>
          <w:lang w:val="es-ES"/>
        </w:rPr>
        <w:t xml:space="preserve"> impugnación</w:t>
      </w:r>
      <w:r w:rsidR="004D68F8" w:rsidRPr="004F4D42">
        <w:rPr>
          <w:rFonts w:ascii="Palatino Linotype" w:eastAsia="Times New Roman" w:hAnsi="Palatino Linotype" w:cs="Arial"/>
          <w:color w:val="000000" w:themeColor="text1"/>
          <w:lang w:val="es-ES"/>
        </w:rPr>
        <w:t xml:space="preserve"> </w:t>
      </w:r>
      <w:r w:rsidR="00A45546" w:rsidRPr="004F4D42">
        <w:rPr>
          <w:rFonts w:ascii="Palatino Linotype" w:eastAsia="Times New Roman" w:hAnsi="Palatino Linotype" w:cs="Arial"/>
          <w:color w:val="000000" w:themeColor="text1"/>
          <w:lang w:val="es-ES"/>
        </w:rPr>
        <w:t xml:space="preserve">en </w:t>
      </w:r>
      <w:r w:rsidR="00977D37" w:rsidRPr="004F4D42">
        <w:rPr>
          <w:rFonts w:ascii="Palatino Linotype" w:eastAsia="Times New Roman" w:hAnsi="Palatino Linotype" w:cs="Arial"/>
          <w:color w:val="000000" w:themeColor="text1"/>
          <w:lang w:val="es-ES"/>
        </w:rPr>
        <w:t>la</w:t>
      </w:r>
      <w:r w:rsidR="00A45546" w:rsidRPr="004F4D42">
        <w:rPr>
          <w:rFonts w:ascii="Palatino Linotype" w:eastAsia="Times New Roman" w:hAnsi="Palatino Linotype" w:cs="Arial"/>
          <w:color w:val="000000" w:themeColor="text1"/>
          <w:lang w:val="es-ES"/>
        </w:rPr>
        <w:t xml:space="preserve"> que refirió </w:t>
      </w:r>
      <w:r w:rsidR="004D68F8" w:rsidRPr="004F4D42">
        <w:rPr>
          <w:rFonts w:ascii="Palatino Linotype" w:eastAsia="Times New Roman" w:hAnsi="Palatino Linotype" w:cs="Arial"/>
          <w:color w:val="000000" w:themeColor="text1"/>
          <w:lang w:val="es-ES"/>
        </w:rPr>
        <w:t>lo siguiente:</w:t>
      </w:r>
    </w:p>
    <w:p w14:paraId="054906C6" w14:textId="77777777" w:rsidR="00E34622" w:rsidRPr="004F4D4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EDB2E65" w:rsidR="00E34622" w:rsidRPr="004F4D42" w:rsidRDefault="00E34622" w:rsidP="0042356B">
      <w:pPr>
        <w:pStyle w:val="Prrafodelista"/>
        <w:numPr>
          <w:ilvl w:val="0"/>
          <w:numId w:val="2"/>
        </w:numPr>
        <w:tabs>
          <w:tab w:val="left" w:pos="426"/>
        </w:tabs>
        <w:spacing w:line="360" w:lineRule="auto"/>
        <w:ind w:left="567"/>
        <w:jc w:val="both"/>
        <w:rPr>
          <w:rFonts w:ascii="Palatino Linotype" w:eastAsia="Times New Roman" w:hAnsi="Palatino Linotype" w:cs="Arial"/>
          <w:color w:val="000000" w:themeColor="text1"/>
          <w:lang w:val="es-ES"/>
        </w:rPr>
      </w:pPr>
      <w:r w:rsidRPr="004F4D42">
        <w:rPr>
          <w:rFonts w:ascii="Palatino Linotype" w:eastAsia="Times New Roman" w:hAnsi="Palatino Linotype" w:cs="Arial"/>
          <w:b/>
          <w:color w:val="000000" w:themeColor="text1"/>
          <w:lang w:val="es-ES"/>
        </w:rPr>
        <w:t>Acto impugnado:</w:t>
      </w:r>
      <w:r w:rsidRPr="004F4D42">
        <w:rPr>
          <w:rFonts w:ascii="Palatino Linotype" w:eastAsia="Times New Roman" w:hAnsi="Palatino Linotype" w:cs="Arial"/>
          <w:color w:val="000000" w:themeColor="text1"/>
          <w:lang w:val="es-ES"/>
        </w:rPr>
        <w:t xml:space="preserve"> </w:t>
      </w:r>
      <w:r w:rsidRPr="004F4D42">
        <w:rPr>
          <w:rFonts w:ascii="Palatino Linotype" w:eastAsia="Times New Roman" w:hAnsi="Palatino Linotype" w:cs="Arial"/>
          <w:color w:val="000000" w:themeColor="text1"/>
          <w:sz w:val="22"/>
          <w:lang w:val="es-ES"/>
        </w:rPr>
        <w:t>“</w:t>
      </w:r>
      <w:r w:rsidR="0042356B" w:rsidRPr="004F4D42">
        <w:rPr>
          <w:rFonts w:ascii="Palatino Linotype" w:eastAsia="Times New Roman" w:hAnsi="Palatino Linotype" w:cs="Arial"/>
          <w:i/>
          <w:color w:val="000000" w:themeColor="text1"/>
          <w:sz w:val="22"/>
          <w:lang w:val="es-ES"/>
        </w:rPr>
        <w:t>informan que n o es de su competencia dicen que es de transpaorte masivo</w:t>
      </w:r>
      <w:r w:rsidRPr="004F4D42">
        <w:rPr>
          <w:rFonts w:ascii="Palatino Linotype" w:eastAsia="Times New Roman" w:hAnsi="Palatino Linotype" w:cs="Arial"/>
          <w:i/>
          <w:color w:val="000000" w:themeColor="text1"/>
          <w:sz w:val="22"/>
          <w:lang w:val="es-ES"/>
        </w:rPr>
        <w:t>”</w:t>
      </w:r>
      <w:r w:rsidRPr="004F4D42">
        <w:rPr>
          <w:rFonts w:ascii="Palatino Linotype" w:eastAsia="Times New Roman" w:hAnsi="Palatino Linotype" w:cs="Arial"/>
          <w:color w:val="000000" w:themeColor="text1"/>
          <w:sz w:val="22"/>
          <w:lang w:val="es-ES"/>
        </w:rPr>
        <w:t xml:space="preserve"> (Sic).</w:t>
      </w:r>
    </w:p>
    <w:p w14:paraId="033BFDE8" w14:textId="19B74D60" w:rsidR="00901BB1" w:rsidRPr="004F4D42" w:rsidRDefault="00901BB1" w:rsidP="0042356B">
      <w:pPr>
        <w:pStyle w:val="Prrafodelista"/>
        <w:numPr>
          <w:ilvl w:val="0"/>
          <w:numId w:val="2"/>
        </w:numPr>
        <w:tabs>
          <w:tab w:val="left" w:pos="426"/>
        </w:tabs>
        <w:spacing w:line="360" w:lineRule="auto"/>
        <w:ind w:left="567"/>
        <w:jc w:val="both"/>
        <w:rPr>
          <w:rFonts w:ascii="Palatino Linotype" w:eastAsia="Times New Roman" w:hAnsi="Palatino Linotype" w:cs="Arial"/>
          <w:color w:val="000000" w:themeColor="text1"/>
          <w:lang w:val="es-ES"/>
        </w:rPr>
      </w:pPr>
      <w:r w:rsidRPr="004F4D42">
        <w:rPr>
          <w:rFonts w:ascii="Palatino Linotype" w:eastAsia="Times New Roman" w:hAnsi="Palatino Linotype" w:cs="Arial"/>
          <w:b/>
          <w:color w:val="000000" w:themeColor="text1"/>
          <w:lang w:val="es-ES"/>
        </w:rPr>
        <w:t>Motivos o razones de inconformidad:</w:t>
      </w:r>
      <w:r w:rsidRPr="004F4D42">
        <w:rPr>
          <w:rFonts w:ascii="Palatino Linotype" w:eastAsia="Times New Roman" w:hAnsi="Palatino Linotype" w:cs="Arial"/>
          <w:color w:val="000000" w:themeColor="text1"/>
          <w:lang w:val="es-ES"/>
        </w:rPr>
        <w:t xml:space="preserve"> </w:t>
      </w:r>
      <w:r w:rsidRPr="004F4D42">
        <w:rPr>
          <w:rFonts w:ascii="Palatino Linotype" w:eastAsia="Times New Roman" w:hAnsi="Palatino Linotype" w:cs="Arial"/>
          <w:i/>
          <w:color w:val="000000" w:themeColor="text1"/>
          <w:lang w:val="es-ES"/>
        </w:rPr>
        <w:t>“</w:t>
      </w:r>
      <w:r w:rsidR="0042356B" w:rsidRPr="004F4D42">
        <w:rPr>
          <w:rFonts w:ascii="Palatino Linotype" w:eastAsia="Times New Roman" w:hAnsi="Palatino Linotype" w:cs="Arial"/>
          <w:i/>
          <w:color w:val="000000" w:themeColor="text1"/>
          <w:sz w:val="22"/>
          <w:lang w:val="es-ES"/>
        </w:rPr>
        <w:t>se solciita información de ciclovias no de transporte masivo, su normatividad determina las ciclovias.</w:t>
      </w:r>
      <w:r w:rsidR="007F089C" w:rsidRPr="004F4D42">
        <w:rPr>
          <w:rFonts w:ascii="Palatino Linotype" w:eastAsia="Times New Roman" w:hAnsi="Palatino Linotype" w:cs="Arial"/>
          <w:i/>
          <w:color w:val="000000" w:themeColor="text1"/>
          <w:sz w:val="22"/>
          <w:lang w:val="es-ES"/>
        </w:rPr>
        <w:t xml:space="preserve">". </w:t>
      </w:r>
      <w:r w:rsidR="005B0765" w:rsidRPr="004F4D42">
        <w:rPr>
          <w:rFonts w:ascii="Palatino Linotype" w:eastAsia="Times New Roman" w:hAnsi="Palatino Linotype" w:cs="Arial"/>
          <w:i/>
          <w:color w:val="000000" w:themeColor="text1"/>
          <w:sz w:val="22"/>
          <w:lang w:val="es-ES"/>
        </w:rPr>
        <w:t>(sic)</w:t>
      </w:r>
      <w:r w:rsidR="00E76251" w:rsidRPr="004F4D42">
        <w:rPr>
          <w:rFonts w:ascii="Palatino Linotype" w:eastAsia="Times New Roman" w:hAnsi="Palatino Linotype" w:cs="Arial"/>
          <w:color w:val="000000" w:themeColor="text1"/>
          <w:sz w:val="22"/>
          <w:lang w:val="es-ES"/>
        </w:rPr>
        <w:t xml:space="preserve"> </w:t>
      </w:r>
    </w:p>
    <w:p w14:paraId="3F6CFE6A" w14:textId="77777777" w:rsidR="0083380F" w:rsidRPr="004F4D42"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4F4D42"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F4D42">
        <w:rPr>
          <w:rFonts w:ascii="Palatino Linotype" w:eastAsia="Times New Roman" w:hAnsi="Palatino Linotype" w:cs="Arial"/>
          <w:color w:val="000000" w:themeColor="text1"/>
          <w:lang w:val="es-ES"/>
        </w:rPr>
        <w:t xml:space="preserve">Se registró el recurso de revisión bajo el número de expediente </w:t>
      </w:r>
      <w:r w:rsidR="004F785F" w:rsidRPr="004F4D42">
        <w:rPr>
          <w:rFonts w:ascii="Palatino Linotype" w:hAnsi="Palatino Linotype" w:cs="Arial"/>
          <w:bCs/>
          <w:color w:val="000000" w:themeColor="text1"/>
        </w:rPr>
        <w:t>al rubro indicado, asi</w:t>
      </w:r>
      <w:r w:rsidRPr="004F4D42">
        <w:rPr>
          <w:rFonts w:ascii="Palatino Linotype" w:hAnsi="Palatino Linotype" w:cs="Arial"/>
          <w:bCs/>
          <w:color w:val="000000" w:themeColor="text1"/>
        </w:rPr>
        <w:t xml:space="preserve">mismo, con fundamento en lo dispuesto por el </w:t>
      </w:r>
      <w:r w:rsidRPr="004F4D42">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4F4D42">
        <w:rPr>
          <w:rFonts w:ascii="Palatino Linotype" w:eastAsia="Times New Roman" w:hAnsi="Palatino Linotype" w:cs="Arial"/>
          <w:bCs/>
          <w:color w:val="000000" w:themeColor="text1"/>
          <w:lang w:val="es-ES"/>
        </w:rPr>
        <w:lastRenderedPageBreak/>
        <w:t xml:space="preserve">se turnó </w:t>
      </w:r>
      <w:r w:rsidR="0096234B" w:rsidRPr="004F4D42">
        <w:rPr>
          <w:rFonts w:ascii="Palatino Linotype" w:eastAsia="Times New Roman" w:hAnsi="Palatino Linotype" w:cs="Arial"/>
          <w:bCs/>
          <w:color w:val="000000" w:themeColor="text1"/>
          <w:lang w:val="es-ES"/>
        </w:rPr>
        <w:t xml:space="preserve">a la </w:t>
      </w:r>
      <w:r w:rsidR="0096234B" w:rsidRPr="004F4D42">
        <w:rPr>
          <w:rFonts w:ascii="Palatino Linotype" w:eastAsia="Times New Roman" w:hAnsi="Palatino Linotype" w:cs="Arial"/>
          <w:b/>
          <w:bCs/>
          <w:color w:val="000000" w:themeColor="text1"/>
          <w:lang w:val="es-ES"/>
        </w:rPr>
        <w:t xml:space="preserve">Comisionada </w:t>
      </w:r>
      <w:r w:rsidR="00D12402" w:rsidRPr="004F4D42">
        <w:rPr>
          <w:rFonts w:ascii="Palatino Linotype" w:eastAsia="Times New Roman" w:hAnsi="Palatino Linotype" w:cs="Arial"/>
          <w:b/>
          <w:bCs/>
          <w:color w:val="000000" w:themeColor="text1"/>
          <w:lang w:val="es-ES"/>
        </w:rPr>
        <w:t>María del Rosario Mejía Ayala</w:t>
      </w:r>
      <w:r w:rsidRPr="004F4D42">
        <w:rPr>
          <w:rFonts w:ascii="Palatino Linotype" w:eastAsia="Times New Roman" w:hAnsi="Palatino Linotype" w:cs="Arial"/>
          <w:bCs/>
          <w:color w:val="000000" w:themeColor="text1"/>
          <w:lang w:val="es-ES"/>
        </w:rPr>
        <w:t xml:space="preserve">, con el objeto de </w:t>
      </w:r>
      <w:r w:rsidRPr="004F4D42">
        <w:rPr>
          <w:rFonts w:ascii="Palatino Linotype" w:eastAsia="Times New Roman" w:hAnsi="Palatino Linotype" w:cs="Arial"/>
          <w:bCs/>
          <w:color w:val="000000" w:themeColor="text1"/>
        </w:rPr>
        <w:t>su análisis.</w:t>
      </w:r>
    </w:p>
    <w:p w14:paraId="2BDE682E" w14:textId="77777777" w:rsidR="005F1362" w:rsidRPr="004F4D42"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9493BA0" w:rsidR="007446C2" w:rsidRPr="004F4D4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F4D42">
        <w:rPr>
          <w:rFonts w:ascii="Palatino Linotype" w:eastAsia="Times New Roman" w:hAnsi="Palatino Linotype" w:cs="Arial"/>
          <w:color w:val="000000" w:themeColor="text1"/>
          <w:lang w:val="es-ES"/>
        </w:rPr>
        <w:t>La</w:t>
      </w:r>
      <w:r w:rsidR="00E647FF" w:rsidRPr="004F4D42">
        <w:rPr>
          <w:rFonts w:ascii="Palatino Linotype" w:eastAsia="Times New Roman" w:hAnsi="Palatino Linotype" w:cs="Arial"/>
          <w:color w:val="000000" w:themeColor="text1"/>
          <w:lang w:val="es-ES"/>
        </w:rPr>
        <w:t xml:space="preserve"> </w:t>
      </w:r>
      <w:r w:rsidR="0004686A" w:rsidRPr="004F4D42">
        <w:rPr>
          <w:rFonts w:ascii="Palatino Linotype" w:eastAsia="Calibri" w:hAnsi="Palatino Linotype" w:cs="Arial"/>
          <w:color w:val="000000" w:themeColor="text1"/>
          <w:lang w:val="es-ES"/>
        </w:rPr>
        <w:t>Comisionad</w:t>
      </w:r>
      <w:r w:rsidRPr="004F4D42">
        <w:rPr>
          <w:rFonts w:ascii="Palatino Linotype" w:eastAsia="Calibri" w:hAnsi="Palatino Linotype" w:cs="Arial"/>
          <w:color w:val="000000" w:themeColor="text1"/>
          <w:lang w:val="es-ES"/>
        </w:rPr>
        <w:t>a</w:t>
      </w:r>
      <w:r w:rsidR="0004686A" w:rsidRPr="004F4D42">
        <w:rPr>
          <w:rFonts w:ascii="Palatino Linotype" w:eastAsia="Calibri" w:hAnsi="Palatino Linotype" w:cs="Arial"/>
          <w:color w:val="000000" w:themeColor="text1"/>
          <w:lang w:val="es-ES"/>
        </w:rPr>
        <w:t xml:space="preserve"> Ponente</w:t>
      </w:r>
      <w:r w:rsidR="006B31E7" w:rsidRPr="004F4D42">
        <w:rPr>
          <w:rFonts w:ascii="Palatino Linotype" w:eastAsia="Calibri" w:hAnsi="Palatino Linotype" w:cs="Arial"/>
          <w:color w:val="000000" w:themeColor="text1"/>
          <w:lang w:val="es-ES"/>
        </w:rPr>
        <w:t>,</w:t>
      </w:r>
      <w:r w:rsidR="0004686A" w:rsidRPr="004F4D42">
        <w:rPr>
          <w:rFonts w:ascii="Palatino Linotype" w:eastAsia="Calibri" w:hAnsi="Palatino Linotype" w:cs="Arial"/>
          <w:color w:val="000000" w:themeColor="text1"/>
          <w:lang w:val="es-ES"/>
        </w:rPr>
        <w:t xml:space="preserve"> con fundamento en lo dispuesto por el artículo 185 fracción II de la </w:t>
      </w:r>
      <w:r w:rsidR="00613655" w:rsidRPr="004F4D42">
        <w:rPr>
          <w:rFonts w:ascii="Palatino Linotype" w:eastAsia="Calibri" w:hAnsi="Palatino Linotype" w:cs="Arial"/>
          <w:color w:val="000000" w:themeColor="text1"/>
          <w:lang w:val="es-ES"/>
        </w:rPr>
        <w:t>Ley de Transparencia y Acceso a la Información Pública del Estado de México y Municipios</w:t>
      </w:r>
      <w:r w:rsidR="0004686A" w:rsidRPr="004F4D42">
        <w:rPr>
          <w:rFonts w:ascii="Palatino Linotype" w:eastAsia="Calibri" w:hAnsi="Palatino Linotype" w:cs="Arial"/>
          <w:color w:val="000000" w:themeColor="text1"/>
          <w:lang w:val="es-ES"/>
        </w:rPr>
        <w:t xml:space="preserve">, a través </w:t>
      </w:r>
      <w:r w:rsidR="006E4E2A" w:rsidRPr="004F4D42">
        <w:rPr>
          <w:rFonts w:ascii="Palatino Linotype" w:eastAsia="Calibri" w:hAnsi="Palatino Linotype" w:cs="Arial"/>
          <w:color w:val="000000" w:themeColor="text1"/>
          <w:lang w:val="es-ES"/>
        </w:rPr>
        <w:t>del</w:t>
      </w:r>
      <w:r w:rsidR="0004686A" w:rsidRPr="004F4D42">
        <w:rPr>
          <w:rFonts w:ascii="Palatino Linotype" w:eastAsia="Calibri" w:hAnsi="Palatino Linotype" w:cs="Arial"/>
          <w:color w:val="000000" w:themeColor="text1"/>
          <w:lang w:val="es-ES"/>
        </w:rPr>
        <w:t xml:space="preserve"> </w:t>
      </w:r>
      <w:r w:rsidR="00B81371" w:rsidRPr="004F4D42">
        <w:rPr>
          <w:rFonts w:ascii="Palatino Linotype" w:eastAsia="Calibri" w:hAnsi="Palatino Linotype" w:cs="Arial"/>
          <w:color w:val="000000" w:themeColor="text1"/>
          <w:lang w:val="es-ES"/>
        </w:rPr>
        <w:t xml:space="preserve">acuerdo </w:t>
      </w:r>
      <w:r w:rsidR="00F147C6" w:rsidRPr="004F4D42">
        <w:rPr>
          <w:rFonts w:ascii="Palatino Linotype" w:eastAsia="Calibri" w:hAnsi="Palatino Linotype" w:cs="Arial"/>
          <w:color w:val="000000" w:themeColor="text1"/>
          <w:lang w:val="es-ES"/>
        </w:rPr>
        <w:t xml:space="preserve">de admisión </w:t>
      </w:r>
      <w:r w:rsidR="00091F3E" w:rsidRPr="004F4D42">
        <w:rPr>
          <w:rFonts w:ascii="Palatino Linotype" w:eastAsia="Calibri" w:hAnsi="Palatino Linotype" w:cs="Arial"/>
          <w:color w:val="000000" w:themeColor="text1"/>
          <w:lang w:val="es-ES"/>
        </w:rPr>
        <w:t>de</w:t>
      </w:r>
      <w:r w:rsidR="00395353" w:rsidRPr="004F4D42">
        <w:rPr>
          <w:rFonts w:ascii="Palatino Linotype" w:eastAsia="Calibri" w:hAnsi="Palatino Linotype" w:cs="Arial"/>
          <w:color w:val="000000" w:themeColor="text1"/>
          <w:lang w:val="es-ES"/>
        </w:rPr>
        <w:t xml:space="preserve"> fecha </w:t>
      </w:r>
      <w:r w:rsidR="0042356B" w:rsidRPr="004F4D42">
        <w:rPr>
          <w:rFonts w:ascii="Palatino Linotype" w:eastAsia="Calibri" w:hAnsi="Palatino Linotype" w:cs="Arial"/>
          <w:color w:val="000000" w:themeColor="text1"/>
          <w:lang w:val="es-ES"/>
        </w:rPr>
        <w:t>cinco</w:t>
      </w:r>
      <w:r w:rsidR="00BD6C40" w:rsidRPr="004F4D42">
        <w:rPr>
          <w:rFonts w:ascii="Palatino Linotype" w:eastAsia="Calibri" w:hAnsi="Palatino Linotype" w:cs="Arial"/>
          <w:color w:val="000000" w:themeColor="text1"/>
          <w:lang w:val="es-ES"/>
        </w:rPr>
        <w:t xml:space="preserve"> (</w:t>
      </w:r>
      <w:r w:rsidR="0042356B" w:rsidRPr="004F4D42">
        <w:rPr>
          <w:rFonts w:ascii="Palatino Linotype" w:eastAsia="Calibri" w:hAnsi="Palatino Linotype" w:cs="Arial"/>
          <w:color w:val="000000" w:themeColor="text1"/>
          <w:lang w:val="es-ES"/>
        </w:rPr>
        <w:t>5</w:t>
      </w:r>
      <w:r w:rsidR="00BD6C40" w:rsidRPr="004F4D42">
        <w:rPr>
          <w:rFonts w:ascii="Palatino Linotype" w:eastAsia="Calibri" w:hAnsi="Palatino Linotype" w:cs="Arial"/>
          <w:color w:val="000000" w:themeColor="text1"/>
          <w:lang w:val="es-ES"/>
        </w:rPr>
        <w:t xml:space="preserve">) de </w:t>
      </w:r>
      <w:r w:rsidR="0042356B" w:rsidRPr="004F4D42">
        <w:rPr>
          <w:rFonts w:ascii="Palatino Linotype" w:eastAsia="Calibri" w:hAnsi="Palatino Linotype" w:cs="Arial"/>
          <w:color w:val="000000" w:themeColor="text1"/>
          <w:lang w:val="es-ES"/>
        </w:rPr>
        <w:t>agosto</w:t>
      </w:r>
      <w:r w:rsidR="00613655" w:rsidRPr="004F4D42">
        <w:rPr>
          <w:rFonts w:ascii="Palatino Linotype" w:eastAsia="Calibri" w:hAnsi="Palatino Linotype" w:cs="Arial"/>
          <w:color w:val="000000" w:themeColor="text1"/>
          <w:lang w:val="es-ES"/>
        </w:rPr>
        <w:t xml:space="preserve"> de dos mil veinti</w:t>
      </w:r>
      <w:r w:rsidR="00751F6F" w:rsidRPr="004F4D42">
        <w:rPr>
          <w:rFonts w:ascii="Palatino Linotype" w:eastAsia="Calibri" w:hAnsi="Palatino Linotype" w:cs="Arial"/>
          <w:color w:val="000000" w:themeColor="text1"/>
          <w:lang w:val="es-ES"/>
        </w:rPr>
        <w:t>dós</w:t>
      </w:r>
      <w:r w:rsidR="006A1047" w:rsidRPr="004F4D42">
        <w:rPr>
          <w:rFonts w:ascii="Palatino Linotype" w:eastAsia="Calibri" w:hAnsi="Palatino Linotype" w:cs="Arial"/>
          <w:color w:val="000000" w:themeColor="text1"/>
          <w:lang w:val="es-ES"/>
        </w:rPr>
        <w:t xml:space="preserve">, </w:t>
      </w:r>
      <w:r w:rsidR="00B81371" w:rsidRPr="004F4D42">
        <w:rPr>
          <w:rFonts w:ascii="Palatino Linotype" w:eastAsia="Calibri" w:hAnsi="Palatino Linotype" w:cs="Arial"/>
          <w:color w:val="000000" w:themeColor="text1"/>
          <w:lang w:val="es-ES"/>
        </w:rPr>
        <w:t xml:space="preserve">puso a </w:t>
      </w:r>
      <w:r w:rsidR="00875167" w:rsidRPr="004F4D42">
        <w:rPr>
          <w:rFonts w:ascii="Palatino Linotype" w:eastAsia="Calibri" w:hAnsi="Palatino Linotype" w:cs="Arial"/>
          <w:color w:val="000000" w:themeColor="text1"/>
          <w:lang w:val="es-ES"/>
        </w:rPr>
        <w:t>disposición</w:t>
      </w:r>
      <w:r w:rsidR="00B81371" w:rsidRPr="004F4D42">
        <w:rPr>
          <w:rFonts w:ascii="Palatino Linotype" w:eastAsia="Calibri" w:hAnsi="Palatino Linotype" w:cs="Arial"/>
          <w:color w:val="000000" w:themeColor="text1"/>
          <w:lang w:val="es-ES"/>
        </w:rPr>
        <w:t xml:space="preserve"> de las partes el expediente electrónico </w:t>
      </w:r>
      <w:r w:rsidR="00B81371" w:rsidRPr="004F4D42">
        <w:rPr>
          <w:rFonts w:ascii="Palatino Linotype" w:eastAsia="Calibri" w:hAnsi="Palatino Linotype" w:cs="Arial"/>
          <w:color w:val="000000" w:themeColor="text1"/>
        </w:rPr>
        <w:t xml:space="preserve">vía </w:t>
      </w:r>
      <w:r w:rsidR="00B81371" w:rsidRPr="004F4D42">
        <w:rPr>
          <w:rFonts w:ascii="Palatino Linotype" w:eastAsia="Calibri" w:hAnsi="Palatino Linotype" w:cs="Arial"/>
          <w:color w:val="000000" w:themeColor="text1"/>
          <w:lang w:val="es-ES"/>
        </w:rPr>
        <w:t xml:space="preserve">Sistema de Acceso a la Información Mexiquense </w:t>
      </w:r>
      <w:r w:rsidR="001468E9" w:rsidRPr="004F4D42">
        <w:rPr>
          <w:rFonts w:ascii="Palatino Linotype" w:eastAsia="Calibri" w:hAnsi="Palatino Linotype" w:cs="Arial"/>
          <w:color w:val="000000" w:themeColor="text1"/>
          <w:lang w:val="es-ES"/>
        </w:rPr>
        <w:t>(</w:t>
      </w:r>
      <w:r w:rsidR="00B81371" w:rsidRPr="004F4D42">
        <w:rPr>
          <w:rFonts w:ascii="Palatino Linotype" w:eastAsia="Calibri" w:hAnsi="Palatino Linotype" w:cs="Arial"/>
          <w:b/>
          <w:i/>
          <w:color w:val="000000" w:themeColor="text1"/>
          <w:lang w:val="es-ES"/>
        </w:rPr>
        <w:t>SAIMEX</w:t>
      </w:r>
      <w:r w:rsidR="001468E9" w:rsidRPr="004F4D42">
        <w:rPr>
          <w:rFonts w:ascii="Palatino Linotype" w:eastAsia="Calibri" w:hAnsi="Palatino Linotype" w:cs="Arial"/>
          <w:b/>
          <w:i/>
          <w:color w:val="000000" w:themeColor="text1"/>
          <w:lang w:val="es-ES"/>
        </w:rPr>
        <w:t>)</w:t>
      </w:r>
      <w:r w:rsidR="00B81371" w:rsidRPr="004F4D42">
        <w:rPr>
          <w:rFonts w:ascii="Palatino Linotype" w:eastAsia="Calibri" w:hAnsi="Palatino Linotype" w:cs="Arial"/>
          <w:b/>
          <w:color w:val="000000" w:themeColor="text1"/>
          <w:lang w:val="es-ES"/>
        </w:rPr>
        <w:t xml:space="preserve"> </w:t>
      </w:r>
      <w:r w:rsidR="00B81371" w:rsidRPr="004F4D42">
        <w:rPr>
          <w:rFonts w:ascii="Palatino Linotype" w:eastAsia="Calibri" w:hAnsi="Palatino Linotype" w:cs="Arial"/>
          <w:color w:val="000000" w:themeColor="text1"/>
          <w:lang w:val="es-ES"/>
        </w:rPr>
        <w:t xml:space="preserve">a efecto de que en un plazo máximo de siete días </w:t>
      </w:r>
      <w:r w:rsidR="00875167" w:rsidRPr="004F4D42">
        <w:rPr>
          <w:rFonts w:ascii="Palatino Linotype" w:eastAsia="Calibri" w:hAnsi="Palatino Linotype" w:cs="Arial"/>
          <w:color w:val="000000" w:themeColor="text1"/>
          <w:lang w:val="es-ES"/>
        </w:rPr>
        <w:t>manifestaran</w:t>
      </w:r>
      <w:r w:rsidR="00B81371" w:rsidRPr="004F4D42">
        <w:rPr>
          <w:rFonts w:ascii="Palatino Linotype" w:eastAsia="Calibri" w:hAnsi="Palatino Linotype" w:cs="Arial"/>
          <w:color w:val="000000" w:themeColor="text1"/>
          <w:lang w:val="es-ES"/>
        </w:rPr>
        <w:t xml:space="preserve"> lo que a</w:t>
      </w:r>
      <w:r w:rsidR="003A2029" w:rsidRPr="004F4D42">
        <w:rPr>
          <w:rFonts w:ascii="Palatino Linotype" w:eastAsia="Calibri" w:hAnsi="Palatino Linotype" w:cs="Arial"/>
          <w:color w:val="000000" w:themeColor="text1"/>
          <w:lang w:val="es-ES"/>
        </w:rPr>
        <w:t xml:space="preserve"> su</w:t>
      </w:r>
      <w:r w:rsidR="00B81371" w:rsidRPr="004F4D42">
        <w:rPr>
          <w:rFonts w:ascii="Palatino Linotype" w:eastAsia="Calibri" w:hAnsi="Palatino Linotype" w:cs="Arial"/>
          <w:color w:val="000000" w:themeColor="text1"/>
          <w:lang w:val="es-ES"/>
        </w:rPr>
        <w:t xml:space="preserve"> derecho conviniera</w:t>
      </w:r>
      <w:r w:rsidR="00875167" w:rsidRPr="004F4D42">
        <w:rPr>
          <w:rFonts w:ascii="Palatino Linotype" w:eastAsia="Calibri" w:hAnsi="Palatino Linotype" w:cs="Arial"/>
          <w:color w:val="000000" w:themeColor="text1"/>
          <w:lang w:val="es-ES"/>
        </w:rPr>
        <w:t>n</w:t>
      </w:r>
      <w:r w:rsidR="00032493" w:rsidRPr="004F4D42">
        <w:rPr>
          <w:rFonts w:ascii="Palatino Linotype" w:eastAsia="Calibri" w:hAnsi="Palatino Linotype" w:cs="Arial"/>
          <w:color w:val="000000" w:themeColor="text1"/>
          <w:lang w:val="es-ES"/>
        </w:rPr>
        <w:t>,</w:t>
      </w:r>
      <w:r w:rsidR="00B81371" w:rsidRPr="004F4D42">
        <w:rPr>
          <w:rFonts w:ascii="Palatino Linotype" w:eastAsia="Calibri" w:hAnsi="Palatino Linotype" w:cs="Arial"/>
          <w:color w:val="000000" w:themeColor="text1"/>
          <w:lang w:val="es-ES"/>
        </w:rPr>
        <w:t xml:space="preserve"> </w:t>
      </w:r>
      <w:r w:rsidR="00875167" w:rsidRPr="004F4D42">
        <w:rPr>
          <w:rFonts w:ascii="Palatino Linotype" w:eastAsia="Calibri" w:hAnsi="Palatino Linotype" w:cs="Arial"/>
          <w:color w:val="000000" w:themeColor="text1"/>
          <w:lang w:val="es-ES"/>
        </w:rPr>
        <w:t>ofrecieran pruebas y</w:t>
      </w:r>
      <w:r w:rsidR="00132C06" w:rsidRPr="004F4D42">
        <w:rPr>
          <w:rFonts w:ascii="Palatino Linotype" w:eastAsia="Calibri" w:hAnsi="Palatino Linotype" w:cs="Arial"/>
          <w:color w:val="000000" w:themeColor="text1"/>
          <w:lang w:val="es-ES"/>
        </w:rPr>
        <w:t xml:space="preserve"> </w:t>
      </w:r>
      <w:r w:rsidR="00875167" w:rsidRPr="004F4D42">
        <w:rPr>
          <w:rFonts w:ascii="Palatino Linotype" w:eastAsia="Calibri" w:hAnsi="Palatino Linotype" w:cs="Arial"/>
          <w:color w:val="000000" w:themeColor="text1"/>
          <w:lang w:val="es-ES"/>
        </w:rPr>
        <w:t>alegatos según corresponda a</w:t>
      </w:r>
      <w:r w:rsidR="004C20F2" w:rsidRPr="004F4D42">
        <w:rPr>
          <w:rFonts w:ascii="Palatino Linotype" w:eastAsia="Calibri" w:hAnsi="Palatino Linotype" w:cs="Arial"/>
          <w:color w:val="000000" w:themeColor="text1"/>
          <w:lang w:val="es-ES"/>
        </w:rPr>
        <w:t xml:space="preserve"> </w:t>
      </w:r>
      <w:r w:rsidR="00875167" w:rsidRPr="004F4D42">
        <w:rPr>
          <w:rFonts w:ascii="Palatino Linotype" w:eastAsia="Calibri" w:hAnsi="Palatino Linotype" w:cs="Arial"/>
          <w:color w:val="000000" w:themeColor="text1"/>
          <w:lang w:val="es-ES"/>
        </w:rPr>
        <w:t>l</w:t>
      </w:r>
      <w:r w:rsidR="004C20F2" w:rsidRPr="004F4D42">
        <w:rPr>
          <w:rFonts w:ascii="Palatino Linotype" w:eastAsia="Calibri" w:hAnsi="Palatino Linotype" w:cs="Arial"/>
          <w:color w:val="000000" w:themeColor="text1"/>
          <w:lang w:val="es-ES"/>
        </w:rPr>
        <w:t>os</w:t>
      </w:r>
      <w:r w:rsidR="00875167" w:rsidRPr="004F4D42">
        <w:rPr>
          <w:rFonts w:ascii="Palatino Linotype" w:eastAsia="Calibri" w:hAnsi="Palatino Linotype" w:cs="Arial"/>
          <w:color w:val="000000" w:themeColor="text1"/>
          <w:lang w:val="es-ES"/>
        </w:rPr>
        <w:t xml:space="preserve"> caso</w:t>
      </w:r>
      <w:r w:rsidR="004C20F2" w:rsidRPr="004F4D42">
        <w:rPr>
          <w:rFonts w:ascii="Palatino Linotype" w:eastAsia="Calibri" w:hAnsi="Palatino Linotype" w:cs="Arial"/>
          <w:color w:val="000000" w:themeColor="text1"/>
          <w:lang w:val="es-ES"/>
        </w:rPr>
        <w:t>s</w:t>
      </w:r>
      <w:r w:rsidR="00875167" w:rsidRPr="004F4D42">
        <w:rPr>
          <w:rFonts w:ascii="Palatino Linotype" w:eastAsia="Calibri" w:hAnsi="Palatino Linotype" w:cs="Arial"/>
          <w:color w:val="000000" w:themeColor="text1"/>
          <w:lang w:val="es-ES"/>
        </w:rPr>
        <w:t xml:space="preserve"> concreto</w:t>
      </w:r>
      <w:r w:rsidR="004C20F2" w:rsidRPr="004F4D42">
        <w:rPr>
          <w:rFonts w:ascii="Palatino Linotype" w:eastAsia="Calibri" w:hAnsi="Palatino Linotype" w:cs="Arial"/>
          <w:color w:val="000000" w:themeColor="text1"/>
          <w:lang w:val="es-ES"/>
        </w:rPr>
        <w:t>s</w:t>
      </w:r>
      <w:r w:rsidR="00875167" w:rsidRPr="004F4D42">
        <w:rPr>
          <w:rFonts w:ascii="Palatino Linotype" w:eastAsia="Calibri" w:hAnsi="Palatino Linotype" w:cs="Arial"/>
          <w:color w:val="000000" w:themeColor="text1"/>
          <w:lang w:val="es-ES"/>
        </w:rPr>
        <w:t xml:space="preserve">, </w:t>
      </w:r>
      <w:r w:rsidR="00F147C6" w:rsidRPr="004F4D42">
        <w:rPr>
          <w:rFonts w:ascii="Palatino Linotype" w:eastAsia="Calibri" w:hAnsi="Palatino Linotype" w:cs="Arial"/>
          <w:color w:val="000000" w:themeColor="text1"/>
          <w:lang w:val="es-ES"/>
        </w:rPr>
        <w:t>de esta forma</w:t>
      </w:r>
      <w:r w:rsidR="00875167" w:rsidRPr="004F4D42">
        <w:rPr>
          <w:rFonts w:ascii="Palatino Linotype" w:eastAsia="Calibri" w:hAnsi="Palatino Linotype" w:cs="Arial"/>
          <w:color w:val="000000" w:themeColor="text1"/>
          <w:lang w:val="es-ES"/>
        </w:rPr>
        <w:t xml:space="preserve"> para que el </w:t>
      </w:r>
      <w:r w:rsidR="00875167" w:rsidRPr="004F4D42">
        <w:rPr>
          <w:rFonts w:ascii="Palatino Linotype" w:eastAsia="Calibri" w:hAnsi="Palatino Linotype" w:cs="Arial"/>
          <w:b/>
          <w:color w:val="000000" w:themeColor="text1"/>
          <w:lang w:val="es-ES"/>
        </w:rPr>
        <w:t>SUJETO OBLIGADO</w:t>
      </w:r>
      <w:r w:rsidR="00875167" w:rsidRPr="004F4D42">
        <w:rPr>
          <w:rFonts w:ascii="Palatino Linotype" w:eastAsia="Calibri" w:hAnsi="Palatino Linotype" w:cs="Arial"/>
          <w:color w:val="000000" w:themeColor="text1"/>
          <w:lang w:val="es-ES"/>
        </w:rPr>
        <w:t xml:space="preserve"> </w:t>
      </w:r>
      <w:r w:rsidR="00B81371" w:rsidRPr="004F4D42">
        <w:rPr>
          <w:rFonts w:ascii="Palatino Linotype" w:eastAsia="Calibri" w:hAnsi="Palatino Linotype" w:cs="Arial"/>
          <w:color w:val="000000" w:themeColor="text1"/>
          <w:lang w:val="es-ES"/>
        </w:rPr>
        <w:t>presentar</w:t>
      </w:r>
      <w:r w:rsidR="003A03D0" w:rsidRPr="004F4D42">
        <w:rPr>
          <w:rFonts w:ascii="Palatino Linotype" w:eastAsia="Calibri" w:hAnsi="Palatino Linotype" w:cs="Arial"/>
          <w:color w:val="000000" w:themeColor="text1"/>
          <w:lang w:val="es-ES"/>
        </w:rPr>
        <w:t>a</w:t>
      </w:r>
      <w:r w:rsidR="00B81371" w:rsidRPr="004F4D42">
        <w:rPr>
          <w:rFonts w:ascii="Palatino Linotype" w:eastAsia="Calibri" w:hAnsi="Palatino Linotype" w:cs="Arial"/>
          <w:color w:val="000000" w:themeColor="text1"/>
          <w:lang w:val="es-ES"/>
        </w:rPr>
        <w:t xml:space="preserve"> el </w:t>
      </w:r>
      <w:r w:rsidR="00556F72" w:rsidRPr="004F4D42">
        <w:rPr>
          <w:rFonts w:ascii="Palatino Linotype" w:eastAsia="Calibri" w:hAnsi="Palatino Linotype" w:cs="Arial"/>
          <w:color w:val="000000" w:themeColor="text1"/>
          <w:lang w:val="es-ES"/>
        </w:rPr>
        <w:t xml:space="preserve">informe justificado </w:t>
      </w:r>
      <w:r w:rsidR="00875167" w:rsidRPr="004F4D42">
        <w:rPr>
          <w:rFonts w:ascii="Palatino Linotype" w:eastAsia="Calibri" w:hAnsi="Palatino Linotype" w:cs="Arial"/>
          <w:color w:val="000000" w:themeColor="text1"/>
          <w:lang w:val="es-ES"/>
        </w:rPr>
        <w:t>procedente</w:t>
      </w:r>
      <w:r w:rsidR="00787184" w:rsidRPr="004F4D42">
        <w:rPr>
          <w:rFonts w:ascii="Palatino Linotype" w:eastAsia="Calibri" w:hAnsi="Palatino Linotype" w:cs="Arial"/>
          <w:color w:val="000000" w:themeColor="text1"/>
          <w:lang w:val="es-ES"/>
        </w:rPr>
        <w:t>.</w:t>
      </w:r>
    </w:p>
    <w:p w14:paraId="67D7209A" w14:textId="77777777" w:rsidR="001B32B2" w:rsidRPr="004F4D42" w:rsidRDefault="001B32B2" w:rsidP="001B32B2">
      <w:pPr>
        <w:pStyle w:val="Prrafodelista"/>
        <w:rPr>
          <w:rFonts w:ascii="Palatino Linotype" w:eastAsia="Calibri" w:hAnsi="Palatino Linotype" w:cs="Arial"/>
          <w:color w:val="000000" w:themeColor="text1"/>
          <w:lang w:val="es-ES"/>
        </w:rPr>
      </w:pPr>
    </w:p>
    <w:p w14:paraId="2E2A1BD5" w14:textId="5D8B9447" w:rsidR="00D955B9" w:rsidRPr="004F4D42" w:rsidRDefault="00AE0CDF"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F4D42">
        <w:rPr>
          <w:rFonts w:ascii="Palatino Linotype" w:eastAsia="Calibri" w:hAnsi="Palatino Linotype" w:cs="Arial"/>
          <w:color w:val="000000" w:themeColor="text1"/>
          <w:lang w:val="es-ES"/>
        </w:rPr>
        <w:t>De las constancias que obran en el expediente electrónico del SAIMEX, se aprecia que</w:t>
      </w:r>
      <w:r w:rsidR="005F396F" w:rsidRPr="004F4D42">
        <w:rPr>
          <w:rFonts w:ascii="Palatino Linotype" w:eastAsia="Calibri" w:hAnsi="Palatino Linotype" w:cs="Arial"/>
          <w:color w:val="000000" w:themeColor="text1"/>
          <w:lang w:val="es-ES"/>
        </w:rPr>
        <w:t xml:space="preserve">, </w:t>
      </w:r>
      <w:r w:rsidR="00FB63DD" w:rsidRPr="004F4D42">
        <w:rPr>
          <w:rFonts w:ascii="Palatino Linotype" w:eastAsia="Calibri" w:hAnsi="Palatino Linotype" w:cs="Arial"/>
          <w:color w:val="000000" w:themeColor="text1"/>
          <w:lang w:val="es-ES"/>
        </w:rPr>
        <w:t>el</w:t>
      </w:r>
      <w:r w:rsidR="005F396F" w:rsidRPr="004F4D42">
        <w:rPr>
          <w:rFonts w:ascii="Palatino Linotype" w:eastAsia="Calibri" w:hAnsi="Palatino Linotype" w:cs="Arial"/>
          <w:color w:val="000000" w:themeColor="text1"/>
          <w:lang w:val="es-ES"/>
        </w:rPr>
        <w:t xml:space="preserve"> Sujeto Obligado</w:t>
      </w:r>
      <w:r w:rsidR="00D2342C" w:rsidRPr="004F4D42">
        <w:rPr>
          <w:rFonts w:ascii="Palatino Linotype" w:eastAsia="Calibri" w:hAnsi="Palatino Linotype" w:cs="Arial"/>
          <w:color w:val="000000" w:themeColor="text1"/>
          <w:lang w:val="es-ES"/>
        </w:rPr>
        <w:t xml:space="preserve">, el </w:t>
      </w:r>
      <w:r w:rsidR="0042356B" w:rsidRPr="004F4D42">
        <w:rPr>
          <w:rFonts w:ascii="Palatino Linotype" w:eastAsia="Calibri" w:hAnsi="Palatino Linotype" w:cs="Arial"/>
          <w:color w:val="000000" w:themeColor="text1"/>
          <w:lang w:val="es-ES"/>
        </w:rPr>
        <w:t>once</w:t>
      </w:r>
      <w:r w:rsidR="00FB63DD" w:rsidRPr="004F4D42">
        <w:rPr>
          <w:rFonts w:ascii="Palatino Linotype" w:eastAsia="Calibri" w:hAnsi="Palatino Linotype" w:cs="Arial"/>
          <w:color w:val="000000" w:themeColor="text1"/>
          <w:lang w:val="es-ES"/>
        </w:rPr>
        <w:t xml:space="preserve"> (</w:t>
      </w:r>
      <w:r w:rsidR="00011F17" w:rsidRPr="004F4D42">
        <w:rPr>
          <w:rFonts w:ascii="Palatino Linotype" w:eastAsia="Calibri" w:hAnsi="Palatino Linotype" w:cs="Arial"/>
          <w:color w:val="000000" w:themeColor="text1"/>
          <w:lang w:val="es-ES"/>
        </w:rPr>
        <w:t>1</w:t>
      </w:r>
      <w:r w:rsidR="0042356B" w:rsidRPr="004F4D42">
        <w:rPr>
          <w:rFonts w:ascii="Palatino Linotype" w:eastAsia="Calibri" w:hAnsi="Palatino Linotype" w:cs="Arial"/>
          <w:color w:val="000000" w:themeColor="text1"/>
          <w:lang w:val="es-ES"/>
        </w:rPr>
        <w:t>1</w:t>
      </w:r>
      <w:r w:rsidR="00FB63DD" w:rsidRPr="004F4D42">
        <w:rPr>
          <w:rFonts w:ascii="Palatino Linotype" w:eastAsia="Calibri" w:hAnsi="Palatino Linotype" w:cs="Arial"/>
          <w:color w:val="000000" w:themeColor="text1"/>
          <w:lang w:val="es-ES"/>
        </w:rPr>
        <w:t xml:space="preserve">) de </w:t>
      </w:r>
      <w:r w:rsidR="0042356B" w:rsidRPr="004F4D42">
        <w:rPr>
          <w:rFonts w:ascii="Palatino Linotype" w:eastAsia="Calibri" w:hAnsi="Palatino Linotype" w:cs="Arial"/>
          <w:color w:val="000000" w:themeColor="text1"/>
          <w:lang w:val="es-ES"/>
        </w:rPr>
        <w:t>agosto</w:t>
      </w:r>
      <w:r w:rsidR="00FB63DD" w:rsidRPr="004F4D42">
        <w:rPr>
          <w:rFonts w:ascii="Palatino Linotype" w:eastAsia="Calibri" w:hAnsi="Palatino Linotype" w:cs="Arial"/>
          <w:color w:val="000000" w:themeColor="text1"/>
          <w:lang w:val="es-ES"/>
        </w:rPr>
        <w:t xml:space="preserve"> de dos mil veintidós, remitió su </w:t>
      </w:r>
      <w:r w:rsidR="00D2342C" w:rsidRPr="004F4D42">
        <w:rPr>
          <w:rFonts w:ascii="Palatino Linotype" w:eastAsia="Calibri" w:hAnsi="Palatino Linotype" w:cs="Arial"/>
          <w:color w:val="000000" w:themeColor="text1"/>
          <w:lang w:val="es-ES"/>
        </w:rPr>
        <w:t>informe justificado a través de</w:t>
      </w:r>
      <w:r w:rsidR="0042356B" w:rsidRPr="004F4D42">
        <w:rPr>
          <w:rFonts w:ascii="Palatino Linotype" w:eastAsia="Calibri" w:hAnsi="Palatino Linotype" w:cs="Arial"/>
          <w:color w:val="000000" w:themeColor="text1"/>
          <w:lang w:val="es-ES"/>
        </w:rPr>
        <w:t xml:space="preserve"> </w:t>
      </w:r>
      <w:r w:rsidR="00FB63DD" w:rsidRPr="004F4D42">
        <w:rPr>
          <w:rFonts w:ascii="Palatino Linotype" w:eastAsia="Calibri" w:hAnsi="Palatino Linotype" w:cs="Arial"/>
          <w:color w:val="000000" w:themeColor="text1"/>
          <w:lang w:val="es-ES"/>
        </w:rPr>
        <w:t>l</w:t>
      </w:r>
      <w:r w:rsidR="0042356B" w:rsidRPr="004F4D42">
        <w:rPr>
          <w:rFonts w:ascii="Palatino Linotype" w:eastAsia="Calibri" w:hAnsi="Palatino Linotype" w:cs="Arial"/>
          <w:color w:val="000000" w:themeColor="text1"/>
          <w:lang w:val="es-ES"/>
        </w:rPr>
        <w:t>os</w:t>
      </w:r>
      <w:r w:rsidR="00D2342C" w:rsidRPr="004F4D42">
        <w:rPr>
          <w:rFonts w:ascii="Palatino Linotype" w:eastAsia="Calibri" w:hAnsi="Palatino Linotype" w:cs="Arial"/>
          <w:color w:val="000000" w:themeColor="text1"/>
          <w:lang w:val="es-ES"/>
        </w:rPr>
        <w:t xml:space="preserve"> documento</w:t>
      </w:r>
      <w:r w:rsidR="0042356B" w:rsidRPr="004F4D42">
        <w:rPr>
          <w:rFonts w:ascii="Palatino Linotype" w:eastAsia="Calibri" w:hAnsi="Palatino Linotype" w:cs="Arial"/>
          <w:color w:val="000000" w:themeColor="text1"/>
          <w:lang w:val="es-ES"/>
        </w:rPr>
        <w:t>s</w:t>
      </w:r>
      <w:r w:rsidR="00D2342C" w:rsidRPr="004F4D42">
        <w:rPr>
          <w:rFonts w:ascii="Palatino Linotype" w:eastAsia="Calibri" w:hAnsi="Palatino Linotype" w:cs="Arial"/>
          <w:color w:val="000000" w:themeColor="text1"/>
          <w:lang w:val="es-ES"/>
        </w:rPr>
        <w:t xml:space="preserve"> electrónico</w:t>
      </w:r>
      <w:r w:rsidR="0042356B" w:rsidRPr="004F4D42">
        <w:rPr>
          <w:rFonts w:ascii="Palatino Linotype" w:eastAsia="Calibri" w:hAnsi="Palatino Linotype" w:cs="Arial"/>
          <w:color w:val="000000" w:themeColor="text1"/>
          <w:lang w:val="es-ES"/>
        </w:rPr>
        <w:t>s</w:t>
      </w:r>
      <w:r w:rsidR="00D2342C" w:rsidRPr="004F4D42">
        <w:rPr>
          <w:rFonts w:ascii="Palatino Linotype" w:eastAsia="Calibri" w:hAnsi="Palatino Linotype" w:cs="Arial"/>
          <w:color w:val="000000" w:themeColor="text1"/>
          <w:lang w:val="es-ES"/>
        </w:rPr>
        <w:t xml:space="preserve"> denominado</w:t>
      </w:r>
      <w:r w:rsidR="0042356B" w:rsidRPr="004F4D42">
        <w:rPr>
          <w:rFonts w:ascii="Palatino Linotype" w:eastAsia="Calibri" w:hAnsi="Palatino Linotype" w:cs="Arial"/>
          <w:color w:val="000000" w:themeColor="text1"/>
          <w:lang w:val="es-ES"/>
        </w:rPr>
        <w:t>s</w:t>
      </w:r>
      <w:r w:rsidR="00FB63DD" w:rsidRPr="004F4D42">
        <w:rPr>
          <w:rFonts w:ascii="Palatino Linotype" w:eastAsia="Calibri" w:hAnsi="Palatino Linotype" w:cs="Arial"/>
          <w:color w:val="000000" w:themeColor="text1"/>
          <w:lang w:val="es-ES"/>
        </w:rPr>
        <w:t xml:space="preserve"> </w:t>
      </w:r>
      <w:r w:rsidR="002D65BC" w:rsidRPr="004F4D42">
        <w:rPr>
          <w:rFonts w:ascii="Palatino Linotype" w:eastAsia="Calibri" w:hAnsi="Palatino Linotype" w:cs="Arial"/>
          <w:b/>
          <w:i/>
          <w:color w:val="000000" w:themeColor="text1"/>
          <w:lang w:val="es-ES"/>
        </w:rPr>
        <w:t>Informe Justificado RR 1</w:t>
      </w:r>
      <w:r w:rsidR="0042356B" w:rsidRPr="004F4D42">
        <w:rPr>
          <w:rFonts w:ascii="Palatino Linotype" w:eastAsia="Calibri" w:hAnsi="Palatino Linotype" w:cs="Arial"/>
          <w:b/>
          <w:i/>
          <w:color w:val="000000" w:themeColor="text1"/>
          <w:lang w:val="es-ES"/>
        </w:rPr>
        <w:t>3033</w:t>
      </w:r>
      <w:r w:rsidR="002D65BC" w:rsidRPr="004F4D42">
        <w:rPr>
          <w:rFonts w:ascii="Palatino Linotype" w:eastAsia="Calibri" w:hAnsi="Palatino Linotype" w:cs="Arial"/>
          <w:b/>
          <w:i/>
          <w:color w:val="000000" w:themeColor="text1"/>
          <w:lang w:val="es-ES"/>
        </w:rPr>
        <w:t>.pdf</w:t>
      </w:r>
      <w:r w:rsidR="0042356B" w:rsidRPr="004F4D42">
        <w:rPr>
          <w:rFonts w:ascii="Palatino Linotype" w:eastAsia="Calibri" w:hAnsi="Palatino Linotype" w:cs="Arial"/>
          <w:b/>
          <w:i/>
          <w:color w:val="000000" w:themeColor="text1"/>
          <w:lang w:val="es-ES"/>
        </w:rPr>
        <w:t>; Oficio DGVIAL rr13033.pdf; y Acdo Delegatorio SITRAMYTEM.pdf</w:t>
      </w:r>
      <w:r w:rsidR="00D955B9" w:rsidRPr="004F4D42">
        <w:rPr>
          <w:rFonts w:ascii="Palatino Linotype" w:eastAsia="Calibri" w:hAnsi="Palatino Linotype" w:cs="Arial"/>
          <w:b/>
          <w:i/>
          <w:color w:val="000000" w:themeColor="text1"/>
          <w:lang w:val="es-ES"/>
        </w:rPr>
        <w:t xml:space="preserve">, </w:t>
      </w:r>
      <w:r w:rsidR="0042356B" w:rsidRPr="004F4D42">
        <w:rPr>
          <w:rFonts w:ascii="Palatino Linotype" w:eastAsia="Calibri" w:hAnsi="Palatino Linotype" w:cs="Arial"/>
          <w:color w:val="000000" w:themeColor="text1"/>
          <w:lang w:val="es-ES"/>
        </w:rPr>
        <w:t>los cuales se pusieron a la vista del particular el cinco (5) de diciembre de la misma anualidad</w:t>
      </w:r>
      <w:r w:rsidR="00D955B9" w:rsidRPr="004F4D42">
        <w:rPr>
          <w:rFonts w:ascii="Palatino Linotype" w:eastAsia="Calibri" w:hAnsi="Palatino Linotype" w:cs="Arial"/>
          <w:color w:val="000000" w:themeColor="text1"/>
          <w:lang w:val="es-ES"/>
        </w:rPr>
        <w:t>; no obstante, se inserta su contenido medular, siendo el siguiente:</w:t>
      </w:r>
    </w:p>
    <w:p w14:paraId="689F34FB" w14:textId="77777777" w:rsidR="00D955B9" w:rsidRPr="004F4D42" w:rsidRDefault="00D955B9" w:rsidP="00D955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A869773" w14:textId="65031ADE" w:rsidR="0042356B" w:rsidRPr="004F4D42" w:rsidRDefault="0042356B" w:rsidP="0042356B">
      <w:pPr>
        <w:pStyle w:val="Prrafodelista"/>
        <w:numPr>
          <w:ilvl w:val="0"/>
          <w:numId w:val="28"/>
        </w:numPr>
        <w:tabs>
          <w:tab w:val="left" w:pos="426"/>
        </w:tabs>
        <w:spacing w:line="360" w:lineRule="auto"/>
        <w:ind w:left="709"/>
        <w:jc w:val="both"/>
        <w:rPr>
          <w:rFonts w:ascii="Palatino Linotype" w:eastAsia="Calibri" w:hAnsi="Palatino Linotype" w:cs="Arial"/>
          <w:b/>
          <w:i/>
          <w:color w:val="000000" w:themeColor="text1"/>
          <w:lang w:val="es-ES"/>
        </w:rPr>
      </w:pPr>
      <w:r w:rsidRPr="004F4D42">
        <w:rPr>
          <w:rFonts w:ascii="Palatino Linotype" w:eastAsia="Calibri" w:hAnsi="Palatino Linotype" w:cs="Arial"/>
          <w:b/>
          <w:i/>
          <w:color w:val="000000" w:themeColor="text1"/>
          <w:lang w:val="es-ES"/>
        </w:rPr>
        <w:t xml:space="preserve">Informe Justificado RR 13033.pdf: </w:t>
      </w:r>
      <w:r w:rsidRPr="004F4D42">
        <w:rPr>
          <w:rFonts w:ascii="Palatino Linotype" w:eastAsia="Calibri" w:hAnsi="Palatino Linotype" w:cs="Arial"/>
          <w:color w:val="000000" w:themeColor="text1"/>
          <w:lang w:val="es-ES"/>
        </w:rPr>
        <w:t xml:space="preserve">Documento suscrito por el Titular de la Unidad de Transparencia </w:t>
      </w:r>
      <w:r w:rsidR="00F33A7A" w:rsidRPr="004F4D42">
        <w:rPr>
          <w:rFonts w:ascii="Palatino Linotype" w:eastAsia="Calibri" w:hAnsi="Palatino Linotype" w:cs="Arial"/>
          <w:color w:val="000000" w:themeColor="text1"/>
          <w:lang w:val="es-ES"/>
        </w:rPr>
        <w:t>mediante ratifica la declaración de incompetencia hacia el Sistema de Transporte Masivo y Teleférico del Estado de México.</w:t>
      </w:r>
      <w:r w:rsidR="00F33A7A" w:rsidRPr="004F4D42">
        <w:rPr>
          <w:rFonts w:ascii="Palatino Linotype" w:eastAsia="Calibri" w:hAnsi="Palatino Linotype" w:cs="Arial"/>
          <w:b/>
          <w:i/>
          <w:color w:val="000000" w:themeColor="text1"/>
          <w:lang w:val="es-ES"/>
        </w:rPr>
        <w:t xml:space="preserve"> </w:t>
      </w:r>
      <w:r w:rsidRPr="004F4D42">
        <w:rPr>
          <w:rFonts w:ascii="Palatino Linotype" w:eastAsia="Calibri" w:hAnsi="Palatino Linotype" w:cs="Arial"/>
          <w:b/>
          <w:i/>
          <w:color w:val="000000" w:themeColor="text1"/>
          <w:lang w:val="es-ES"/>
        </w:rPr>
        <w:tab/>
      </w:r>
    </w:p>
    <w:p w14:paraId="786D0C43" w14:textId="608A19EB" w:rsidR="0042356B" w:rsidRPr="004F4D42" w:rsidRDefault="00F33A7A" w:rsidP="0042356B">
      <w:pPr>
        <w:pStyle w:val="Prrafodelista"/>
        <w:numPr>
          <w:ilvl w:val="0"/>
          <w:numId w:val="28"/>
        </w:numPr>
        <w:tabs>
          <w:tab w:val="left" w:pos="426"/>
        </w:tabs>
        <w:spacing w:line="360" w:lineRule="auto"/>
        <w:ind w:left="709"/>
        <w:jc w:val="both"/>
        <w:rPr>
          <w:rFonts w:ascii="Palatino Linotype" w:eastAsia="Calibri" w:hAnsi="Palatino Linotype" w:cs="Arial"/>
          <w:b/>
          <w:i/>
          <w:color w:val="000000" w:themeColor="text1"/>
          <w:lang w:val="es-ES"/>
        </w:rPr>
      </w:pPr>
      <w:r w:rsidRPr="004F4D42">
        <w:rPr>
          <w:rFonts w:ascii="Palatino Linotype" w:eastAsia="Calibri" w:hAnsi="Palatino Linotype" w:cs="Arial"/>
          <w:b/>
          <w:i/>
          <w:color w:val="000000" w:themeColor="text1"/>
          <w:lang w:val="es-ES"/>
        </w:rPr>
        <w:lastRenderedPageBreak/>
        <w:t xml:space="preserve">Oficio DGVIAL RR 13033.pdf: </w:t>
      </w:r>
      <w:r w:rsidRPr="004F4D42">
        <w:rPr>
          <w:rFonts w:ascii="Palatino Linotype" w:eastAsia="Calibri" w:hAnsi="Palatino Linotype" w:cs="Arial"/>
          <w:color w:val="000000" w:themeColor="text1"/>
          <w:lang w:val="es-ES"/>
        </w:rPr>
        <w:t>Documento suscrito por el D</w:t>
      </w:r>
      <w:r w:rsidR="00FA5CFC" w:rsidRPr="004F4D42">
        <w:rPr>
          <w:rFonts w:ascii="Palatino Linotype" w:eastAsia="Calibri" w:hAnsi="Palatino Linotype" w:cs="Arial"/>
          <w:color w:val="000000" w:themeColor="text1"/>
          <w:lang w:val="es-ES"/>
        </w:rPr>
        <w:t xml:space="preserve">irector General de Vialidad, mediante el cual mencionó que en las Avenidas Miguel Hidalgo, José Vicente Villada y Paseo Colón no se encontró información referente a su solicitud. Asimismo, señala que se cuenta con el </w:t>
      </w:r>
      <w:r w:rsidR="00FA5CFC" w:rsidRPr="004F4D42">
        <w:rPr>
          <w:rFonts w:ascii="Palatino Linotype" w:eastAsia="Calibri" w:hAnsi="Palatino Linotype" w:cs="Arial"/>
          <w:b/>
          <w:color w:val="000000" w:themeColor="text1"/>
          <w:lang w:val="es-ES"/>
        </w:rPr>
        <w:t xml:space="preserve">Plan de Movilidad emergente en bicicleta en Toluca, Estado de México (Acción Nueva) </w:t>
      </w:r>
      <w:r w:rsidR="00FA5CFC" w:rsidRPr="004F4D42">
        <w:rPr>
          <w:rFonts w:ascii="Palatino Linotype" w:eastAsia="Calibri" w:hAnsi="Palatino Linotype" w:cs="Arial"/>
          <w:color w:val="000000" w:themeColor="text1"/>
          <w:lang w:val="es-ES"/>
        </w:rPr>
        <w:t>por el cual se celebró un contrato con número de expediente SCEM-DGV-PAD-20-RE-10-AD con un costo de $248, 415.01 que tiene por objeto facilitar el desplazamiento de conflicto vehicular, reduciendo de manera considerable la prevención e impacto a la salud y al medio ambiente y como beneficios la utilidad y para la movilidad de alta demanda que comunique eficientemente con las zonas de atracción de viajes, potencial para el uso de bicicletas, con base en el tipo de calle y en sus características físicas.</w:t>
      </w:r>
    </w:p>
    <w:p w14:paraId="3A6C5249" w14:textId="77777777" w:rsidR="00FF0E06" w:rsidRPr="004F4D42" w:rsidRDefault="00FF0E06" w:rsidP="00FF0E06">
      <w:pPr>
        <w:pStyle w:val="Prrafodelista"/>
        <w:tabs>
          <w:tab w:val="left" w:pos="426"/>
        </w:tabs>
        <w:spacing w:line="360" w:lineRule="auto"/>
        <w:ind w:left="709"/>
        <w:jc w:val="both"/>
        <w:rPr>
          <w:rFonts w:ascii="Palatino Linotype" w:eastAsia="Calibri" w:hAnsi="Palatino Linotype" w:cs="Arial"/>
          <w:b/>
          <w:i/>
          <w:color w:val="000000" w:themeColor="text1"/>
          <w:lang w:val="es-ES"/>
        </w:rPr>
      </w:pPr>
    </w:p>
    <w:p w14:paraId="68927464" w14:textId="37F05727" w:rsidR="0042356B" w:rsidRPr="004F4D42" w:rsidRDefault="0042356B" w:rsidP="0042356B">
      <w:pPr>
        <w:pStyle w:val="Prrafodelista"/>
        <w:numPr>
          <w:ilvl w:val="0"/>
          <w:numId w:val="28"/>
        </w:numPr>
        <w:tabs>
          <w:tab w:val="left" w:pos="426"/>
        </w:tabs>
        <w:spacing w:line="360" w:lineRule="auto"/>
        <w:ind w:left="709"/>
        <w:jc w:val="both"/>
        <w:rPr>
          <w:rFonts w:ascii="Palatino Linotype" w:eastAsia="Calibri" w:hAnsi="Palatino Linotype" w:cs="Arial"/>
          <w:b/>
          <w:i/>
          <w:color w:val="000000" w:themeColor="text1"/>
          <w:lang w:val="es-ES"/>
        </w:rPr>
      </w:pPr>
      <w:r w:rsidRPr="004F4D42">
        <w:rPr>
          <w:rFonts w:ascii="Palatino Linotype" w:eastAsia="Calibri" w:hAnsi="Palatino Linotype" w:cs="Arial"/>
          <w:b/>
          <w:i/>
          <w:color w:val="000000" w:themeColor="text1"/>
          <w:lang w:val="es-ES"/>
        </w:rPr>
        <w:t>Acdo Delegatorio SITRAMYTEM.pdf</w:t>
      </w:r>
      <w:r w:rsidR="00FA5CFC" w:rsidRPr="004F4D42">
        <w:rPr>
          <w:rFonts w:ascii="Palatino Linotype" w:eastAsia="Calibri" w:hAnsi="Palatino Linotype" w:cs="Arial"/>
          <w:b/>
          <w:i/>
          <w:color w:val="000000" w:themeColor="text1"/>
          <w:lang w:val="es-ES"/>
        </w:rPr>
        <w:t xml:space="preserve">: </w:t>
      </w:r>
      <w:r w:rsidR="00FA5CFC" w:rsidRPr="004F4D42">
        <w:rPr>
          <w:rFonts w:ascii="Palatino Linotype" w:eastAsia="Calibri" w:hAnsi="Palatino Linotype" w:cs="Arial"/>
          <w:color w:val="000000" w:themeColor="text1"/>
          <w:lang w:val="es-ES"/>
        </w:rPr>
        <w:t>Gaceta de Gobierno de fecha veintiocho (28) de abril de dos mil veintiuno mediante el cual se publicó el Acuerdo del Secretario de Movilidad del Estado de México, por el que se delegan facultades en favor del Director General del Organismo Descentralizado denominado Sistema de Transporte Masivo y Teleférico del Estado de México.</w:t>
      </w:r>
    </w:p>
    <w:p w14:paraId="258BB1BA" w14:textId="77777777" w:rsidR="0042356B" w:rsidRPr="004F4D42" w:rsidRDefault="0042356B" w:rsidP="00FF0E06">
      <w:pPr>
        <w:tabs>
          <w:tab w:val="left" w:pos="426"/>
        </w:tabs>
        <w:spacing w:line="360" w:lineRule="auto"/>
        <w:jc w:val="both"/>
        <w:rPr>
          <w:rFonts w:ascii="Palatino Linotype" w:eastAsia="Calibri" w:hAnsi="Palatino Linotype" w:cs="Arial"/>
          <w:color w:val="000000" w:themeColor="text1"/>
          <w:lang w:val="es-ES"/>
        </w:rPr>
      </w:pPr>
    </w:p>
    <w:p w14:paraId="06A28CE5" w14:textId="7856763A" w:rsidR="002D65BC" w:rsidRPr="004F4D42" w:rsidRDefault="002D65BC" w:rsidP="001B3E61">
      <w:pPr>
        <w:pStyle w:val="Prrafodelista"/>
        <w:numPr>
          <w:ilvl w:val="0"/>
          <w:numId w:val="20"/>
        </w:numPr>
        <w:tabs>
          <w:tab w:val="left" w:pos="426"/>
        </w:tabs>
        <w:spacing w:line="360" w:lineRule="auto"/>
        <w:jc w:val="both"/>
        <w:rPr>
          <w:rFonts w:ascii="Palatino Linotype" w:eastAsia="Calibri" w:hAnsi="Palatino Linotype" w:cs="Arial"/>
          <w:color w:val="000000" w:themeColor="text1"/>
          <w:lang w:val="es-ES"/>
        </w:rPr>
      </w:pPr>
      <w:r w:rsidRPr="004F4D42">
        <w:rPr>
          <w:rFonts w:ascii="Palatino Linotype" w:eastAsia="Calibri" w:hAnsi="Palatino Linotype" w:cs="Arial"/>
          <w:b/>
          <w:i/>
          <w:color w:val="000000" w:themeColor="text1"/>
          <w:lang w:val="es-ES"/>
        </w:rPr>
        <w:t>Informe Justificado RR 1</w:t>
      </w:r>
      <w:r w:rsidR="00124BBC" w:rsidRPr="004F4D42">
        <w:rPr>
          <w:rFonts w:ascii="Palatino Linotype" w:eastAsia="Calibri" w:hAnsi="Palatino Linotype" w:cs="Arial"/>
          <w:b/>
          <w:i/>
          <w:color w:val="000000" w:themeColor="text1"/>
          <w:lang w:val="es-ES"/>
        </w:rPr>
        <w:t>6393</w:t>
      </w:r>
      <w:r w:rsidRPr="004F4D42">
        <w:rPr>
          <w:rFonts w:ascii="Palatino Linotype" w:eastAsia="Calibri" w:hAnsi="Palatino Linotype" w:cs="Arial"/>
          <w:b/>
          <w:i/>
          <w:color w:val="000000" w:themeColor="text1"/>
          <w:lang w:val="es-ES"/>
        </w:rPr>
        <w:t xml:space="preserve">.pdf: </w:t>
      </w:r>
      <w:r w:rsidRPr="004F4D42">
        <w:rPr>
          <w:rFonts w:ascii="Palatino Linotype" w:eastAsia="Calibri" w:hAnsi="Palatino Linotype" w:cs="Arial"/>
          <w:color w:val="000000" w:themeColor="text1"/>
          <w:lang w:val="es-ES"/>
        </w:rPr>
        <w:t>Oficio CCT/UT/0</w:t>
      </w:r>
      <w:r w:rsidR="00124BBC" w:rsidRPr="004F4D42">
        <w:rPr>
          <w:rFonts w:ascii="Palatino Linotype" w:eastAsia="Calibri" w:hAnsi="Palatino Linotype" w:cs="Arial"/>
          <w:color w:val="000000" w:themeColor="text1"/>
          <w:lang w:val="es-ES"/>
        </w:rPr>
        <w:t>504</w:t>
      </w:r>
      <w:r w:rsidRPr="004F4D42">
        <w:rPr>
          <w:rFonts w:ascii="Palatino Linotype" w:eastAsia="Calibri" w:hAnsi="Palatino Linotype" w:cs="Arial"/>
          <w:color w:val="000000" w:themeColor="text1"/>
          <w:lang w:val="es-ES"/>
        </w:rPr>
        <w:t>/2022 suscrito por el Titular de la Unidad de Transparencia, mediante el cual ratifica su res</w:t>
      </w:r>
      <w:r w:rsidR="00124BBC" w:rsidRPr="004F4D42">
        <w:rPr>
          <w:rFonts w:ascii="Palatino Linotype" w:eastAsia="Calibri" w:hAnsi="Palatino Linotype" w:cs="Arial"/>
          <w:color w:val="000000" w:themeColor="text1"/>
          <w:lang w:val="es-ES"/>
        </w:rPr>
        <w:t>puesta inicial argumentando su declaración de incompetencia, además de señalar que el Secretario de Movilidad no ha participado en ningún foro relacionado con ciclo vías.</w:t>
      </w:r>
    </w:p>
    <w:p w14:paraId="2842910B" w14:textId="77777777" w:rsidR="001B3E61" w:rsidRPr="004F4D42" w:rsidRDefault="001B3E61" w:rsidP="00D955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9A89F89" w14:textId="450D3CC0" w:rsidR="00FF0E06" w:rsidRPr="004F4D42" w:rsidRDefault="00F778B2" w:rsidP="002F0AA9">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4F4D42">
        <w:rPr>
          <w:rFonts w:ascii="Palatino Linotype" w:hAnsi="Palatino Linotype" w:cs="Arial"/>
          <w:color w:val="000000" w:themeColor="text1"/>
        </w:rPr>
        <w:t xml:space="preserve">El </w:t>
      </w:r>
      <w:r w:rsidR="00FF0E06" w:rsidRPr="004F4D42">
        <w:rPr>
          <w:rFonts w:ascii="Palatino Linotype" w:hAnsi="Palatino Linotype" w:cs="Arial"/>
          <w:color w:val="000000" w:themeColor="text1"/>
        </w:rPr>
        <w:t>siete</w:t>
      </w:r>
      <w:r w:rsidR="000152B8" w:rsidRPr="004F4D42">
        <w:rPr>
          <w:rFonts w:ascii="Palatino Linotype" w:hAnsi="Palatino Linotype" w:cs="Arial"/>
          <w:color w:val="000000" w:themeColor="text1"/>
        </w:rPr>
        <w:t xml:space="preserve"> (</w:t>
      </w:r>
      <w:r w:rsidR="00FF0E06" w:rsidRPr="004F4D42">
        <w:rPr>
          <w:rFonts w:ascii="Palatino Linotype" w:hAnsi="Palatino Linotype" w:cs="Arial"/>
          <w:color w:val="000000" w:themeColor="text1"/>
        </w:rPr>
        <w:t>7</w:t>
      </w:r>
      <w:r w:rsidR="000152B8" w:rsidRPr="004F4D42">
        <w:rPr>
          <w:rFonts w:ascii="Palatino Linotype" w:hAnsi="Palatino Linotype" w:cs="Arial"/>
          <w:color w:val="000000" w:themeColor="text1"/>
        </w:rPr>
        <w:t xml:space="preserve">) de </w:t>
      </w:r>
      <w:r w:rsidR="00FF0E06" w:rsidRPr="004F4D42">
        <w:rPr>
          <w:rFonts w:ascii="Palatino Linotype" w:hAnsi="Palatino Linotype" w:cs="Arial"/>
          <w:color w:val="000000" w:themeColor="text1"/>
        </w:rPr>
        <w:t>diciembre</w:t>
      </w:r>
      <w:r w:rsidR="00E23CA4" w:rsidRPr="004F4D42">
        <w:rPr>
          <w:rFonts w:ascii="Palatino Linotype" w:hAnsi="Palatino Linotype" w:cs="Arial"/>
          <w:color w:val="000000" w:themeColor="text1"/>
        </w:rPr>
        <w:t xml:space="preserve"> de dos mil veinti</w:t>
      </w:r>
      <w:r w:rsidR="00FF0E06" w:rsidRPr="004F4D42">
        <w:rPr>
          <w:rFonts w:ascii="Palatino Linotype" w:hAnsi="Palatino Linotype" w:cs="Arial"/>
          <w:color w:val="000000" w:themeColor="text1"/>
        </w:rPr>
        <w:t>dós</w:t>
      </w:r>
      <w:r w:rsidR="00E23CA4" w:rsidRPr="004F4D42">
        <w:rPr>
          <w:rFonts w:ascii="Palatino Linotype" w:hAnsi="Palatino Linotype" w:cs="Arial"/>
          <w:color w:val="000000" w:themeColor="text1"/>
        </w:rPr>
        <w:t xml:space="preserve">, </w:t>
      </w:r>
      <w:r w:rsidR="00041DCC" w:rsidRPr="004F4D42">
        <w:rPr>
          <w:rFonts w:ascii="Palatino Linotype" w:hAnsi="Palatino Linotype" w:cs="Arial"/>
          <w:color w:val="000000" w:themeColor="text1"/>
        </w:rPr>
        <w:t xml:space="preserve">la Comisionada Ponente </w:t>
      </w:r>
      <w:r w:rsidR="00D00A2E" w:rsidRPr="004F4D42">
        <w:rPr>
          <w:rFonts w:ascii="Palatino Linotype" w:hAnsi="Palatino Linotype" w:cs="Arial"/>
          <w:color w:val="000000" w:themeColor="text1"/>
        </w:rPr>
        <w:t xml:space="preserve">notificó el acuerdo de ampliación </w:t>
      </w:r>
      <w:r w:rsidR="00124BBC" w:rsidRPr="004F4D42">
        <w:rPr>
          <w:rFonts w:ascii="Palatino Linotype" w:hAnsi="Palatino Linotype" w:cs="Arial"/>
          <w:color w:val="000000" w:themeColor="text1"/>
        </w:rPr>
        <w:t>de plazo para emitir resoluc</w:t>
      </w:r>
      <w:r w:rsidR="00FF0E06" w:rsidRPr="004F4D42">
        <w:rPr>
          <w:rFonts w:ascii="Palatino Linotype" w:hAnsi="Palatino Linotype" w:cs="Arial"/>
          <w:color w:val="000000" w:themeColor="text1"/>
        </w:rPr>
        <w:t>ión.</w:t>
      </w:r>
    </w:p>
    <w:p w14:paraId="32E5A003" w14:textId="77777777" w:rsidR="00FF0E06" w:rsidRPr="004F4D42" w:rsidRDefault="00FF0E06" w:rsidP="00FF0E06">
      <w:pPr>
        <w:pStyle w:val="Prrafodelista"/>
        <w:tabs>
          <w:tab w:val="left" w:pos="426"/>
        </w:tabs>
        <w:spacing w:line="360" w:lineRule="auto"/>
        <w:ind w:left="0"/>
        <w:jc w:val="both"/>
        <w:rPr>
          <w:rFonts w:ascii="Palatino Linotype" w:hAnsi="Palatino Linotype"/>
          <w:color w:val="000000" w:themeColor="text1"/>
        </w:rPr>
      </w:pPr>
    </w:p>
    <w:p w14:paraId="3001AA57" w14:textId="449FEA3D" w:rsidR="008965EF" w:rsidRPr="004F4D42" w:rsidRDefault="00FF0E06" w:rsidP="002F0AA9">
      <w:pPr>
        <w:pStyle w:val="Prrafodelista"/>
        <w:numPr>
          <w:ilvl w:val="0"/>
          <w:numId w:val="1"/>
        </w:numPr>
        <w:tabs>
          <w:tab w:val="left" w:pos="426"/>
        </w:tabs>
        <w:spacing w:line="360" w:lineRule="auto"/>
        <w:jc w:val="both"/>
        <w:rPr>
          <w:rFonts w:ascii="Palatino Linotype" w:hAnsi="Palatino Linotype"/>
          <w:color w:val="000000" w:themeColor="text1"/>
        </w:rPr>
      </w:pPr>
      <w:r w:rsidRPr="004F4D42">
        <w:rPr>
          <w:rFonts w:ascii="Palatino Linotype" w:hAnsi="Palatino Linotype" w:cs="Arial"/>
          <w:color w:val="000000" w:themeColor="text1"/>
        </w:rPr>
        <w:t>El quince (15) de marzo de dos mil veintitrés, la Comisionada Ponente</w:t>
      </w:r>
      <w:r w:rsidR="00124BBC" w:rsidRPr="004F4D42">
        <w:rPr>
          <w:rFonts w:ascii="Palatino Linotype" w:hAnsi="Palatino Linotype" w:cs="Arial"/>
          <w:color w:val="000000" w:themeColor="text1"/>
        </w:rPr>
        <w:t xml:space="preserve"> </w:t>
      </w:r>
      <w:r w:rsidR="00041DCC" w:rsidRPr="004F4D42">
        <w:rPr>
          <w:rFonts w:ascii="Palatino Linotype" w:hAnsi="Palatino Linotype" w:cs="Arial"/>
          <w:color w:val="000000" w:themeColor="text1"/>
        </w:rPr>
        <w:t>de</w:t>
      </w:r>
      <w:r w:rsidR="0055252F" w:rsidRPr="004F4D42">
        <w:rPr>
          <w:rFonts w:ascii="Palatino Linotype" w:hAnsi="Palatino Linotype" w:cs="Arial"/>
          <w:color w:val="000000" w:themeColor="text1"/>
        </w:rPr>
        <w:t>c</w:t>
      </w:r>
      <w:r w:rsidR="00D00A2E" w:rsidRPr="004F4D42">
        <w:rPr>
          <w:rFonts w:ascii="Palatino Linotype" w:hAnsi="Palatino Linotype" w:cs="Arial"/>
          <w:color w:val="000000" w:themeColor="text1"/>
        </w:rPr>
        <w:t xml:space="preserve">retó el cierre de instrucción, </w:t>
      </w:r>
      <w:r w:rsidR="00AD6AC5" w:rsidRPr="004F4D42">
        <w:rPr>
          <w:rFonts w:ascii="Palatino Linotype" w:hAnsi="Palatino Linotype" w:cs="Arial"/>
          <w:color w:val="000000" w:themeColor="text1"/>
        </w:rPr>
        <w:t>por lo que ordenó turnar el expediente para su resolución, misma que ahora se pronuncia</w:t>
      </w:r>
      <w:r w:rsidR="00BB219F" w:rsidRPr="004F4D42">
        <w:rPr>
          <w:rFonts w:ascii="Palatino Linotype" w:hAnsi="Palatino Linotype" w:cs="Arial"/>
          <w:color w:val="000000" w:themeColor="text1"/>
        </w:rPr>
        <w:t>.</w:t>
      </w:r>
    </w:p>
    <w:p w14:paraId="6E208DA1" w14:textId="77777777" w:rsidR="00BB219F" w:rsidRPr="004F4D42"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4F4D42"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4F4D42">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4F4D42" w:rsidRDefault="00BB219F" w:rsidP="00BB219F">
      <w:pPr>
        <w:pStyle w:val="Prrafodelista"/>
        <w:rPr>
          <w:rFonts w:ascii="Palatino Linotype" w:hAnsi="Palatino Linotype"/>
        </w:rPr>
      </w:pPr>
    </w:p>
    <w:p w14:paraId="763D9316" w14:textId="77777777" w:rsidR="00BB219F" w:rsidRPr="004F4D42" w:rsidRDefault="00BB219F" w:rsidP="00BB219F">
      <w:pPr>
        <w:pStyle w:val="Prrafodelista"/>
        <w:numPr>
          <w:ilvl w:val="0"/>
          <w:numId w:val="1"/>
        </w:numPr>
        <w:spacing w:before="240" w:after="240" w:line="360" w:lineRule="auto"/>
        <w:jc w:val="both"/>
        <w:rPr>
          <w:rFonts w:ascii="Palatino Linotype" w:hAnsi="Palatino Linotype"/>
        </w:rPr>
      </w:pPr>
      <w:r w:rsidRPr="004F4D42">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40BA2A" w14:textId="77777777" w:rsidR="00BB219F" w:rsidRPr="004F4D42"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4F4D42" w:rsidRDefault="00BB219F" w:rsidP="00BB219F">
      <w:pPr>
        <w:pStyle w:val="Prrafodelista"/>
        <w:numPr>
          <w:ilvl w:val="0"/>
          <w:numId w:val="1"/>
        </w:numPr>
        <w:spacing w:before="240" w:after="240" w:line="360" w:lineRule="auto"/>
        <w:jc w:val="both"/>
        <w:rPr>
          <w:rFonts w:ascii="Palatino Linotype" w:hAnsi="Palatino Linotype"/>
        </w:rPr>
      </w:pPr>
      <w:r w:rsidRPr="004F4D42">
        <w:rPr>
          <w:rFonts w:ascii="Palatino Linotype" w:hAnsi="Palatino Linotype"/>
        </w:rPr>
        <w:t xml:space="preserve">Así, en términos de lo que establecen los artículos 8.1 y 25 de la Convención Americana sobre Derechos Humanos, los recursos deben ser sencillos y resolverse </w:t>
      </w:r>
      <w:r w:rsidRPr="004F4D42">
        <w:rPr>
          <w:rFonts w:ascii="Palatino Linotype" w:hAnsi="Palatino Linotype"/>
        </w:rPr>
        <w:lastRenderedPageBreak/>
        <w:t>en el menor tiempo posible, tomando en consideración la dilación total del procedimiento; esto es, en un plazo razonable.</w:t>
      </w:r>
    </w:p>
    <w:p w14:paraId="13CFA0F7" w14:textId="77777777" w:rsidR="00BB219F" w:rsidRPr="004F4D42" w:rsidRDefault="00BB219F" w:rsidP="00BB219F">
      <w:pPr>
        <w:pStyle w:val="Prrafodelista"/>
        <w:rPr>
          <w:rFonts w:ascii="Palatino Linotype" w:hAnsi="Palatino Linotype"/>
        </w:rPr>
      </w:pPr>
    </w:p>
    <w:p w14:paraId="1F5EEE70" w14:textId="77777777" w:rsidR="00BB219F" w:rsidRPr="004F4D42" w:rsidRDefault="00BB219F" w:rsidP="00BB219F">
      <w:pPr>
        <w:pStyle w:val="Prrafodelista"/>
        <w:numPr>
          <w:ilvl w:val="0"/>
          <w:numId w:val="1"/>
        </w:numPr>
        <w:spacing w:before="240" w:after="240" w:line="360" w:lineRule="auto"/>
        <w:jc w:val="both"/>
        <w:rPr>
          <w:rFonts w:ascii="Palatino Linotype" w:hAnsi="Palatino Linotype"/>
        </w:rPr>
      </w:pPr>
      <w:r w:rsidRPr="004F4D42">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4F4D42"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4F4D42" w:rsidRDefault="00BB219F" w:rsidP="00BB219F">
      <w:pPr>
        <w:pStyle w:val="Prrafodelista"/>
        <w:numPr>
          <w:ilvl w:val="0"/>
          <w:numId w:val="1"/>
        </w:numPr>
        <w:spacing w:before="240" w:after="240" w:line="360" w:lineRule="auto"/>
        <w:jc w:val="both"/>
        <w:rPr>
          <w:rFonts w:ascii="Palatino Linotype" w:hAnsi="Palatino Linotype"/>
        </w:rPr>
      </w:pPr>
      <w:r w:rsidRPr="004F4D42">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4F4D42" w:rsidRDefault="00BB219F" w:rsidP="00BB219F">
      <w:pPr>
        <w:pStyle w:val="Prrafodelista"/>
        <w:spacing w:before="240" w:after="240" w:line="360" w:lineRule="auto"/>
        <w:ind w:left="0"/>
        <w:jc w:val="both"/>
        <w:rPr>
          <w:rFonts w:ascii="Palatino Linotype" w:hAnsi="Palatino Linotype"/>
        </w:rPr>
      </w:pPr>
    </w:p>
    <w:p w14:paraId="653D205B" w14:textId="77777777" w:rsidR="00BB219F" w:rsidRPr="004F4D42" w:rsidRDefault="00BB219F" w:rsidP="00BB219F">
      <w:pPr>
        <w:pStyle w:val="Prrafodelista"/>
        <w:spacing w:before="240" w:after="240" w:line="360" w:lineRule="auto"/>
        <w:ind w:left="284"/>
        <w:jc w:val="both"/>
        <w:rPr>
          <w:rFonts w:ascii="Palatino Linotype" w:hAnsi="Palatino Linotype"/>
        </w:rPr>
      </w:pPr>
      <w:r w:rsidRPr="004F4D42">
        <w:rPr>
          <w:rFonts w:ascii="Palatino Linotype" w:hAnsi="Palatino Linotype"/>
        </w:rPr>
        <w:t>a)      Complejidad del asunto: La complejidad de la prueba, la pluralidad de sujetos procesales, el tiempo transcurrido, las características y contexto del recurso.</w:t>
      </w:r>
    </w:p>
    <w:p w14:paraId="750F2211" w14:textId="77777777" w:rsidR="00BB219F" w:rsidRPr="004F4D42" w:rsidRDefault="00BB219F" w:rsidP="00BB219F">
      <w:pPr>
        <w:pStyle w:val="Prrafodelista"/>
        <w:spacing w:before="240" w:after="240" w:line="360" w:lineRule="auto"/>
        <w:ind w:left="284"/>
        <w:jc w:val="both"/>
        <w:rPr>
          <w:rFonts w:ascii="Palatino Linotype" w:hAnsi="Palatino Linotype"/>
        </w:rPr>
      </w:pPr>
      <w:r w:rsidRPr="004F4D42">
        <w:rPr>
          <w:rFonts w:ascii="Palatino Linotype" w:hAnsi="Palatino Linotype"/>
        </w:rPr>
        <w:t>b)     Actividad Procesal del interesado: Acciones u omisiones del interesado.</w:t>
      </w:r>
    </w:p>
    <w:p w14:paraId="609ACC4D" w14:textId="77777777" w:rsidR="00BB219F" w:rsidRPr="004F4D42" w:rsidRDefault="00BB219F" w:rsidP="00BB219F">
      <w:pPr>
        <w:pStyle w:val="Prrafodelista"/>
        <w:spacing w:before="240" w:after="240" w:line="360" w:lineRule="auto"/>
        <w:ind w:left="284"/>
        <w:jc w:val="both"/>
        <w:rPr>
          <w:rFonts w:ascii="Palatino Linotype" w:hAnsi="Palatino Linotype"/>
        </w:rPr>
      </w:pPr>
      <w:r w:rsidRPr="004F4D42">
        <w:rPr>
          <w:rFonts w:ascii="Palatino Linotype" w:hAnsi="Palatino Linotype"/>
        </w:rPr>
        <w:t>c)      Conducta de la Autoridad: Las Acciones u omisiones realizadas en el procedimiento. Así como si la autoridad actuó con la debida diligencia.</w:t>
      </w:r>
    </w:p>
    <w:p w14:paraId="2D9C95FE" w14:textId="77777777" w:rsidR="00BB219F" w:rsidRPr="004F4D42" w:rsidRDefault="00BB219F" w:rsidP="00BB219F">
      <w:pPr>
        <w:pStyle w:val="Prrafodelista"/>
        <w:spacing w:before="240" w:after="240" w:line="360" w:lineRule="auto"/>
        <w:ind w:left="284"/>
        <w:jc w:val="both"/>
        <w:rPr>
          <w:rFonts w:ascii="Palatino Linotype" w:hAnsi="Palatino Linotype"/>
        </w:rPr>
      </w:pPr>
      <w:r w:rsidRPr="004F4D42">
        <w:rPr>
          <w:rFonts w:ascii="Palatino Linotype" w:hAnsi="Palatino Linotype"/>
        </w:rPr>
        <w:t>d) La afectación generada en la situación jurídica de la persona involucrada en el proceso: Violación a sus derechos humanos.</w:t>
      </w:r>
    </w:p>
    <w:p w14:paraId="6B32F9F4" w14:textId="77777777" w:rsidR="00BB219F" w:rsidRPr="004F4D42"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4F4D42" w:rsidRDefault="00BB219F" w:rsidP="00BB219F">
      <w:pPr>
        <w:pStyle w:val="Prrafodelista"/>
        <w:numPr>
          <w:ilvl w:val="0"/>
          <w:numId w:val="1"/>
        </w:numPr>
        <w:spacing w:before="240" w:after="240" w:line="360" w:lineRule="auto"/>
        <w:jc w:val="both"/>
        <w:rPr>
          <w:rFonts w:ascii="Palatino Linotype" w:hAnsi="Palatino Linotype"/>
        </w:rPr>
      </w:pPr>
      <w:r w:rsidRPr="004F4D42">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4F4D42">
        <w:rPr>
          <w:rFonts w:ascii="Palatino Linotype" w:hAnsi="Palatino Linotype"/>
        </w:rPr>
        <w:lastRenderedPageBreak/>
        <w:t>relación con la actuación del funcionario, como ha acontecido en el caso que nos ocupa.</w:t>
      </w:r>
    </w:p>
    <w:p w14:paraId="66C2F6C1" w14:textId="77777777" w:rsidR="00BB219F" w:rsidRPr="004F4D42"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4F4D42" w:rsidRDefault="00BB219F" w:rsidP="00BB219F">
      <w:pPr>
        <w:pStyle w:val="Prrafodelista"/>
        <w:numPr>
          <w:ilvl w:val="0"/>
          <w:numId w:val="1"/>
        </w:numPr>
        <w:spacing w:before="240" w:after="240" w:line="360" w:lineRule="auto"/>
        <w:jc w:val="both"/>
        <w:rPr>
          <w:rFonts w:ascii="Palatino Linotype" w:hAnsi="Palatino Linotype"/>
        </w:rPr>
      </w:pPr>
      <w:r w:rsidRPr="004F4D42">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FECEC3" w14:textId="77777777" w:rsidR="00BB219F" w:rsidRPr="004F4D42" w:rsidRDefault="00BB219F" w:rsidP="00BB219F">
      <w:pPr>
        <w:pStyle w:val="Prrafodelista"/>
        <w:rPr>
          <w:rFonts w:ascii="Palatino Linotype" w:hAnsi="Palatino Linotype"/>
        </w:rPr>
      </w:pPr>
    </w:p>
    <w:p w14:paraId="424F017B" w14:textId="77777777" w:rsidR="00BB219F" w:rsidRPr="004F4D42" w:rsidRDefault="00BB219F" w:rsidP="00BB219F">
      <w:pPr>
        <w:pStyle w:val="Prrafodelista"/>
        <w:numPr>
          <w:ilvl w:val="0"/>
          <w:numId w:val="1"/>
        </w:numPr>
        <w:spacing w:before="240" w:after="240" w:line="360" w:lineRule="auto"/>
        <w:jc w:val="both"/>
        <w:rPr>
          <w:rFonts w:ascii="Palatino Linotype" w:hAnsi="Palatino Linotype"/>
        </w:rPr>
      </w:pPr>
      <w:r w:rsidRPr="004F4D4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F8A213" w14:textId="77777777" w:rsidR="00BB219F" w:rsidRPr="004F4D42"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4F4D42" w:rsidRDefault="00BB219F" w:rsidP="00BB219F">
      <w:pPr>
        <w:pStyle w:val="Prrafodelista"/>
        <w:numPr>
          <w:ilvl w:val="0"/>
          <w:numId w:val="1"/>
        </w:numPr>
        <w:spacing w:before="240" w:after="240" w:line="360" w:lineRule="auto"/>
        <w:jc w:val="both"/>
        <w:rPr>
          <w:rFonts w:ascii="Palatino Linotype" w:hAnsi="Palatino Linotype"/>
        </w:rPr>
      </w:pPr>
      <w:r w:rsidRPr="004F4D4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4F4D42" w:rsidRDefault="00BB219F" w:rsidP="00BB219F">
      <w:pPr>
        <w:pStyle w:val="Prrafodelista"/>
        <w:rPr>
          <w:rFonts w:ascii="Palatino Linotype" w:hAnsi="Palatino Linotype"/>
        </w:rPr>
      </w:pPr>
    </w:p>
    <w:p w14:paraId="5114BDE4" w14:textId="77777777" w:rsidR="00BB219F" w:rsidRPr="004F4D42" w:rsidRDefault="00BB219F" w:rsidP="00BB219F">
      <w:pPr>
        <w:pStyle w:val="Prrafodelista"/>
        <w:spacing w:before="240" w:after="240" w:line="360" w:lineRule="auto"/>
        <w:ind w:left="567"/>
        <w:jc w:val="both"/>
        <w:rPr>
          <w:rFonts w:ascii="Palatino Linotype" w:hAnsi="Palatino Linotype"/>
        </w:rPr>
      </w:pPr>
      <w:r w:rsidRPr="004F4D42">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3C5A846" w14:textId="77777777" w:rsidR="00BB219F" w:rsidRPr="004F4D42" w:rsidRDefault="00BB219F" w:rsidP="00BB219F">
      <w:pPr>
        <w:pStyle w:val="Prrafodelista"/>
        <w:spacing w:before="240" w:after="240" w:line="360" w:lineRule="auto"/>
        <w:ind w:left="567"/>
        <w:jc w:val="both"/>
        <w:rPr>
          <w:rFonts w:ascii="Palatino Linotype" w:hAnsi="Palatino Linotype"/>
        </w:rPr>
      </w:pPr>
      <w:r w:rsidRPr="004F4D42">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0D5541A" w14:textId="77777777" w:rsidR="00BB219F" w:rsidRPr="004F4D42"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4F4D42"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4F4D4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4F4D42"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4F4D42" w:rsidRDefault="007C0013" w:rsidP="00B31E90">
      <w:pPr>
        <w:pStyle w:val="Ttulo1"/>
        <w:spacing w:before="0"/>
        <w:jc w:val="center"/>
        <w:rPr>
          <w:b/>
          <w:color w:val="000000" w:themeColor="text1"/>
        </w:rPr>
      </w:pPr>
      <w:bookmarkStart w:id="5" w:name="_Toc87456485"/>
      <w:r w:rsidRPr="004F4D42">
        <w:rPr>
          <w:b/>
          <w:color w:val="000000" w:themeColor="text1"/>
        </w:rPr>
        <w:t>CONSIDERANDO</w:t>
      </w:r>
      <w:bookmarkEnd w:id="3"/>
      <w:bookmarkEnd w:id="4"/>
      <w:bookmarkEnd w:id="5"/>
    </w:p>
    <w:p w14:paraId="435CF9A4" w14:textId="77777777" w:rsidR="00FC1DA7" w:rsidRPr="004F4D42" w:rsidRDefault="00FC1DA7" w:rsidP="00B31E90">
      <w:pPr>
        <w:rPr>
          <w:color w:val="000000" w:themeColor="text1"/>
          <w:lang w:eastAsia="en-US"/>
        </w:rPr>
      </w:pPr>
    </w:p>
    <w:p w14:paraId="629A5BE2" w14:textId="56C3E7D5" w:rsidR="007C0013" w:rsidRPr="004F4D42"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4F4D42">
        <w:rPr>
          <w:rFonts w:ascii="Palatino Linotype" w:hAnsi="Palatino Linotype"/>
          <w:b/>
          <w:color w:val="000000" w:themeColor="text1"/>
          <w:sz w:val="24"/>
        </w:rPr>
        <w:t>PRIMERO. De la competencia</w:t>
      </w:r>
      <w:bookmarkEnd w:id="6"/>
      <w:bookmarkEnd w:id="7"/>
      <w:bookmarkEnd w:id="8"/>
    </w:p>
    <w:p w14:paraId="60FBD8C7" w14:textId="77777777" w:rsidR="00FC1DA7" w:rsidRPr="004F4D42" w:rsidRDefault="00FC1DA7" w:rsidP="00B31E90">
      <w:pPr>
        <w:rPr>
          <w:rFonts w:ascii="Palatino Linotype" w:hAnsi="Palatino Linotype"/>
          <w:color w:val="000000" w:themeColor="text1"/>
          <w:lang w:eastAsia="en-US"/>
        </w:rPr>
      </w:pPr>
    </w:p>
    <w:p w14:paraId="0BF52B18" w14:textId="515C3AEB" w:rsidR="005A228F" w:rsidRPr="004F4D42"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4F4D42">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4F4D42">
        <w:rPr>
          <w:rFonts w:ascii="Palatino Linotype" w:eastAsia="Calibri" w:hAnsi="Palatino Linotype" w:cs="Times New Roman"/>
          <w:color w:val="000000" w:themeColor="text1"/>
          <w:lang w:val="es-ES"/>
        </w:rPr>
        <w:t xml:space="preserve">etente para conocer y resolver </w:t>
      </w:r>
      <w:r w:rsidRPr="004F4D42">
        <w:rPr>
          <w:rFonts w:ascii="Palatino Linotype" w:eastAsia="Calibri" w:hAnsi="Palatino Linotype" w:cs="Times New Roman"/>
          <w:color w:val="000000" w:themeColor="text1"/>
          <w:lang w:val="es-ES"/>
        </w:rPr>
        <w:t xml:space="preserve">el presente recurso de conformidad con el artículo: 6, apartado A, fracción IV de la </w:t>
      </w:r>
      <w:r w:rsidRPr="004F4D42">
        <w:rPr>
          <w:rFonts w:ascii="Palatino Linotype" w:eastAsia="Calibri" w:hAnsi="Palatino Linotype" w:cs="Times New Roman"/>
          <w:b/>
          <w:color w:val="000000" w:themeColor="text1"/>
          <w:lang w:val="es-ES"/>
        </w:rPr>
        <w:t>Constitución Política de los Estados Unidos Mexicanos</w:t>
      </w:r>
      <w:r w:rsidRPr="004F4D42">
        <w:rPr>
          <w:rFonts w:ascii="Palatino Linotype" w:eastAsia="Calibri" w:hAnsi="Palatino Linotype" w:cs="Times New Roman"/>
          <w:color w:val="000000" w:themeColor="text1"/>
          <w:lang w:val="es-ES"/>
        </w:rPr>
        <w:t xml:space="preserve">; 5, párrafos </w:t>
      </w:r>
      <w:r w:rsidR="000B7C4F" w:rsidRPr="004F4D42">
        <w:rPr>
          <w:rFonts w:ascii="Palatino Linotype" w:eastAsia="Calibri" w:hAnsi="Palatino Linotype" w:cs="Times New Roman"/>
          <w:color w:val="000000" w:themeColor="text1"/>
          <w:lang w:val="es-ES"/>
        </w:rPr>
        <w:t>trigésimo, trigésimo primero y trigésimo segundo</w:t>
      </w:r>
      <w:r w:rsidR="004F785F" w:rsidRPr="004F4D42">
        <w:rPr>
          <w:rFonts w:ascii="Palatino Linotype" w:eastAsia="Calibri" w:hAnsi="Palatino Linotype" w:cs="Times New Roman"/>
          <w:color w:val="000000" w:themeColor="text1"/>
          <w:lang w:val="es-ES"/>
        </w:rPr>
        <w:t>,</w:t>
      </w:r>
      <w:r w:rsidRPr="004F4D42">
        <w:rPr>
          <w:rFonts w:ascii="Palatino Linotype" w:eastAsia="Calibri" w:hAnsi="Palatino Linotype" w:cs="Times New Roman"/>
          <w:color w:val="000000" w:themeColor="text1"/>
          <w:lang w:val="es-ES"/>
        </w:rPr>
        <w:t xml:space="preserve"> fracciones IV y V</w:t>
      </w:r>
      <w:r w:rsidR="004F785F" w:rsidRPr="004F4D42">
        <w:rPr>
          <w:rFonts w:ascii="Palatino Linotype" w:eastAsia="Calibri" w:hAnsi="Palatino Linotype" w:cs="Times New Roman"/>
          <w:color w:val="000000" w:themeColor="text1"/>
          <w:lang w:val="es-ES"/>
        </w:rPr>
        <w:t>,</w:t>
      </w:r>
      <w:r w:rsidRPr="004F4D42">
        <w:rPr>
          <w:rFonts w:ascii="Palatino Linotype" w:eastAsia="Calibri" w:hAnsi="Palatino Linotype" w:cs="Times New Roman"/>
          <w:color w:val="000000" w:themeColor="text1"/>
          <w:lang w:val="es-ES"/>
        </w:rPr>
        <w:t xml:space="preserve"> de la </w:t>
      </w:r>
      <w:r w:rsidRPr="004F4D42">
        <w:rPr>
          <w:rFonts w:ascii="Palatino Linotype" w:eastAsia="Calibri" w:hAnsi="Palatino Linotype" w:cs="Times New Roman"/>
          <w:b/>
          <w:color w:val="000000" w:themeColor="text1"/>
          <w:lang w:val="es-ES"/>
        </w:rPr>
        <w:t>Constitución Política del Estado Libre y Soberano de México</w:t>
      </w:r>
      <w:r w:rsidRPr="004F4D42">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F4D42">
        <w:rPr>
          <w:rFonts w:ascii="Palatino Linotype" w:eastAsia="Calibri" w:hAnsi="Palatino Linotype" w:cs="Arial"/>
          <w:color w:val="000000" w:themeColor="text1"/>
          <w:lang w:val="es-ES"/>
        </w:rPr>
        <w:t xml:space="preserve">de la </w:t>
      </w:r>
      <w:r w:rsidRPr="004F4D42">
        <w:rPr>
          <w:rFonts w:ascii="Palatino Linotype" w:eastAsia="Calibri" w:hAnsi="Palatino Linotype" w:cs="Arial"/>
          <w:b/>
          <w:color w:val="000000" w:themeColor="text1"/>
          <w:lang w:val="es-ES"/>
        </w:rPr>
        <w:t xml:space="preserve">Ley de Transparencia y Acceso a la Información Pública del Estado de México y </w:t>
      </w:r>
      <w:r w:rsidRPr="004F4D42">
        <w:rPr>
          <w:rFonts w:ascii="Palatino Linotype" w:eastAsia="Calibri" w:hAnsi="Palatino Linotype" w:cs="Arial"/>
          <w:b/>
          <w:color w:val="000000" w:themeColor="text1"/>
          <w:lang w:val="es-ES"/>
        </w:rPr>
        <w:lastRenderedPageBreak/>
        <w:t>Municipios</w:t>
      </w:r>
      <w:r w:rsidRPr="004F4D42">
        <w:rPr>
          <w:rFonts w:ascii="Palatino Linotype" w:eastAsia="Calibri" w:hAnsi="Palatino Linotype" w:cs="Arial"/>
          <w:color w:val="000000" w:themeColor="text1"/>
          <w:lang w:val="es-ES"/>
        </w:rPr>
        <w:t xml:space="preserve">; y 10, 7, 9 fracciones I y XXIV, y 11 del </w:t>
      </w:r>
      <w:r w:rsidRPr="004F4D42">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4F4D42"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4F4D42"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4F4D42">
        <w:rPr>
          <w:rFonts w:ascii="Palatino Linotype" w:hAnsi="Palatino Linotype"/>
          <w:b/>
          <w:color w:val="000000" w:themeColor="text1"/>
          <w:sz w:val="24"/>
        </w:rPr>
        <w:t>SEGUNDO. De la oportunidad y proced</w:t>
      </w:r>
      <w:r w:rsidR="00F35C44" w:rsidRPr="004F4D42">
        <w:rPr>
          <w:rFonts w:ascii="Palatino Linotype" w:hAnsi="Palatino Linotype"/>
          <w:b/>
          <w:color w:val="000000" w:themeColor="text1"/>
          <w:sz w:val="24"/>
        </w:rPr>
        <w:t>encia</w:t>
      </w:r>
      <w:r w:rsidRPr="004F4D42">
        <w:rPr>
          <w:rFonts w:ascii="Palatino Linotype" w:hAnsi="Palatino Linotype"/>
          <w:b/>
          <w:color w:val="000000" w:themeColor="text1"/>
          <w:sz w:val="24"/>
        </w:rPr>
        <w:t>.</w:t>
      </w:r>
      <w:bookmarkEnd w:id="9"/>
      <w:bookmarkEnd w:id="10"/>
      <w:bookmarkEnd w:id="11"/>
    </w:p>
    <w:p w14:paraId="18E22450" w14:textId="77777777" w:rsidR="00C6440A" w:rsidRPr="004F4D42" w:rsidRDefault="00C6440A" w:rsidP="00B31E90">
      <w:pPr>
        <w:rPr>
          <w:color w:val="000000" w:themeColor="text1"/>
          <w:lang w:eastAsia="en-US"/>
        </w:rPr>
      </w:pPr>
    </w:p>
    <w:p w14:paraId="7D631690" w14:textId="4B1BBFFB" w:rsidR="00B34758" w:rsidRPr="004F4D42"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F4D42">
        <w:rPr>
          <w:rFonts w:ascii="Palatino Linotype" w:eastAsia="Calibri" w:hAnsi="Palatino Linotype" w:cs="Arial"/>
          <w:color w:val="000000" w:themeColor="text1"/>
        </w:rPr>
        <w:t xml:space="preserve">El </w:t>
      </w:r>
      <w:r w:rsidR="00740BA4" w:rsidRPr="004F4D42">
        <w:rPr>
          <w:rFonts w:ascii="Palatino Linotype" w:eastAsia="Calibri" w:hAnsi="Palatino Linotype" w:cs="Arial"/>
          <w:color w:val="000000" w:themeColor="text1"/>
        </w:rPr>
        <w:t xml:space="preserve">medio de impugnación fue presentado a través del </w:t>
      </w:r>
      <w:r w:rsidR="00740BA4" w:rsidRPr="004F4D42">
        <w:rPr>
          <w:rFonts w:ascii="Palatino Linotype" w:eastAsia="Calibri" w:hAnsi="Palatino Linotype" w:cs="Arial"/>
          <w:bCs/>
          <w:iCs/>
          <w:color w:val="000000" w:themeColor="text1"/>
        </w:rPr>
        <w:t>SAIMEX</w:t>
      </w:r>
      <w:r w:rsidR="00740BA4" w:rsidRPr="004F4D42">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4F4D42">
        <w:rPr>
          <w:rFonts w:ascii="Palatino Linotype" w:eastAsia="Calibri" w:hAnsi="Palatino Linotype" w:cs="Arial"/>
          <w:b/>
          <w:color w:val="000000" w:themeColor="text1"/>
        </w:rPr>
        <w:t>SUJETO OBLIGADO</w:t>
      </w:r>
      <w:r w:rsidR="00740BA4" w:rsidRPr="004F4D42">
        <w:rPr>
          <w:rFonts w:ascii="Palatino Linotype" w:eastAsia="Calibri" w:hAnsi="Palatino Linotype" w:cs="Arial"/>
          <w:color w:val="000000" w:themeColor="text1"/>
        </w:rPr>
        <w:t xml:space="preserve"> entregó respuesta el </w:t>
      </w:r>
      <w:r w:rsidR="00FF0E06" w:rsidRPr="004F4D42">
        <w:rPr>
          <w:rFonts w:ascii="Palatino Linotype" w:eastAsia="Calibri" w:hAnsi="Palatino Linotype" w:cs="Arial"/>
          <w:color w:val="000000" w:themeColor="text1"/>
        </w:rPr>
        <w:t>ocho</w:t>
      </w:r>
      <w:r w:rsidR="00F778B2" w:rsidRPr="004F4D42">
        <w:rPr>
          <w:rFonts w:ascii="Palatino Linotype" w:eastAsia="Calibri" w:hAnsi="Palatino Linotype" w:cs="Arial"/>
          <w:color w:val="000000" w:themeColor="text1"/>
        </w:rPr>
        <w:t xml:space="preserve"> (</w:t>
      </w:r>
      <w:r w:rsidR="00FF0E06" w:rsidRPr="004F4D42">
        <w:rPr>
          <w:rFonts w:ascii="Palatino Linotype" w:eastAsia="Calibri" w:hAnsi="Palatino Linotype" w:cs="Arial"/>
          <w:color w:val="000000" w:themeColor="text1"/>
        </w:rPr>
        <w:t>8</w:t>
      </w:r>
      <w:r w:rsidR="00F778B2" w:rsidRPr="004F4D42">
        <w:rPr>
          <w:rFonts w:ascii="Palatino Linotype" w:eastAsia="Calibri" w:hAnsi="Palatino Linotype" w:cs="Arial"/>
          <w:color w:val="000000" w:themeColor="text1"/>
        </w:rPr>
        <w:t>) d</w:t>
      </w:r>
      <w:r w:rsidR="00921375" w:rsidRPr="004F4D42">
        <w:rPr>
          <w:rFonts w:ascii="Palatino Linotype" w:eastAsia="Calibri" w:hAnsi="Palatino Linotype" w:cs="Arial"/>
          <w:color w:val="000000" w:themeColor="text1"/>
        </w:rPr>
        <w:t xml:space="preserve">e </w:t>
      </w:r>
      <w:r w:rsidR="00FF0E06" w:rsidRPr="004F4D42">
        <w:rPr>
          <w:rFonts w:ascii="Palatino Linotype" w:eastAsia="Calibri" w:hAnsi="Palatino Linotype" w:cs="Arial"/>
          <w:color w:val="000000" w:themeColor="text1"/>
        </w:rPr>
        <w:t>julio</w:t>
      </w:r>
      <w:r w:rsidR="007F372C" w:rsidRPr="004F4D42">
        <w:rPr>
          <w:rFonts w:ascii="Palatino Linotype" w:eastAsia="Calibri" w:hAnsi="Palatino Linotype" w:cs="Arial"/>
          <w:color w:val="000000" w:themeColor="text1"/>
        </w:rPr>
        <w:t xml:space="preserve"> </w:t>
      </w:r>
      <w:r w:rsidR="00740BA4" w:rsidRPr="004F4D42">
        <w:rPr>
          <w:rFonts w:ascii="Palatino Linotype" w:eastAsia="Calibri" w:hAnsi="Palatino Linotype" w:cs="Arial"/>
          <w:color w:val="000000" w:themeColor="text1"/>
        </w:rPr>
        <w:t>de dos mil veinti</w:t>
      </w:r>
      <w:r w:rsidR="001B32B2" w:rsidRPr="004F4D42">
        <w:rPr>
          <w:rFonts w:ascii="Palatino Linotype" w:eastAsia="Calibri" w:hAnsi="Palatino Linotype" w:cs="Arial"/>
          <w:color w:val="000000" w:themeColor="text1"/>
        </w:rPr>
        <w:t>dós</w:t>
      </w:r>
      <w:r w:rsidR="00740BA4" w:rsidRPr="004F4D42">
        <w:rPr>
          <w:rFonts w:ascii="Palatino Linotype" w:eastAsia="Calibri" w:hAnsi="Palatino Linotype" w:cs="Arial"/>
          <w:color w:val="000000" w:themeColor="text1"/>
        </w:rPr>
        <w:t>, de tal forma que el plazo para interponer el recurso de revisión transcurrió del</w:t>
      </w:r>
      <w:r w:rsidR="005A3F61" w:rsidRPr="004F4D42">
        <w:rPr>
          <w:rFonts w:ascii="Palatino Linotype" w:eastAsia="Calibri" w:hAnsi="Palatino Linotype" w:cs="Arial"/>
          <w:color w:val="000000" w:themeColor="text1"/>
        </w:rPr>
        <w:t xml:space="preserve"> </w:t>
      </w:r>
      <w:r w:rsidR="00FF0E06" w:rsidRPr="004F4D42">
        <w:rPr>
          <w:rFonts w:ascii="Palatino Linotype" w:eastAsia="Calibri" w:hAnsi="Palatino Linotype" w:cs="Arial"/>
          <w:color w:val="000000" w:themeColor="text1"/>
        </w:rPr>
        <w:t>once</w:t>
      </w:r>
      <w:r w:rsidR="00124BBC" w:rsidRPr="004F4D42">
        <w:rPr>
          <w:rFonts w:ascii="Palatino Linotype" w:eastAsia="Calibri" w:hAnsi="Palatino Linotype" w:cs="Arial"/>
          <w:color w:val="000000" w:themeColor="text1"/>
        </w:rPr>
        <w:t xml:space="preserve"> </w:t>
      </w:r>
      <w:r w:rsidR="00921375" w:rsidRPr="004F4D42">
        <w:rPr>
          <w:rFonts w:ascii="Palatino Linotype" w:eastAsia="Calibri" w:hAnsi="Palatino Linotype" w:cs="Arial"/>
          <w:color w:val="000000" w:themeColor="text1"/>
        </w:rPr>
        <w:t>(</w:t>
      </w:r>
      <w:r w:rsidR="00FF0E06" w:rsidRPr="004F4D42">
        <w:rPr>
          <w:rFonts w:ascii="Palatino Linotype" w:eastAsia="Calibri" w:hAnsi="Palatino Linotype" w:cs="Arial"/>
          <w:color w:val="000000" w:themeColor="text1"/>
        </w:rPr>
        <w:t>11</w:t>
      </w:r>
      <w:r w:rsidR="00921375" w:rsidRPr="004F4D42">
        <w:rPr>
          <w:rFonts w:ascii="Palatino Linotype" w:eastAsia="Calibri" w:hAnsi="Palatino Linotype" w:cs="Arial"/>
          <w:color w:val="000000" w:themeColor="text1"/>
        </w:rPr>
        <w:t xml:space="preserve">) </w:t>
      </w:r>
      <w:r w:rsidR="00D00A2E" w:rsidRPr="004F4D42">
        <w:rPr>
          <w:rFonts w:ascii="Palatino Linotype" w:eastAsia="Calibri" w:hAnsi="Palatino Linotype" w:cs="Arial"/>
          <w:color w:val="000000" w:themeColor="text1"/>
        </w:rPr>
        <w:t xml:space="preserve">de </w:t>
      </w:r>
      <w:r w:rsidR="00FF0E06" w:rsidRPr="004F4D42">
        <w:rPr>
          <w:rFonts w:ascii="Palatino Linotype" w:eastAsia="Calibri" w:hAnsi="Palatino Linotype" w:cs="Arial"/>
          <w:color w:val="000000" w:themeColor="text1"/>
        </w:rPr>
        <w:t>julio</w:t>
      </w:r>
      <w:r w:rsidR="00D00A2E" w:rsidRPr="004F4D42">
        <w:rPr>
          <w:rFonts w:ascii="Palatino Linotype" w:eastAsia="Calibri" w:hAnsi="Palatino Linotype" w:cs="Arial"/>
          <w:color w:val="000000" w:themeColor="text1"/>
        </w:rPr>
        <w:t xml:space="preserve"> </w:t>
      </w:r>
      <w:r w:rsidR="002D1EBB" w:rsidRPr="004F4D42">
        <w:rPr>
          <w:rFonts w:ascii="Palatino Linotype" w:eastAsia="Calibri" w:hAnsi="Palatino Linotype" w:cs="Arial"/>
          <w:color w:val="000000" w:themeColor="text1"/>
        </w:rPr>
        <w:t xml:space="preserve">al </w:t>
      </w:r>
      <w:r w:rsidR="00124BBC" w:rsidRPr="004F4D42">
        <w:rPr>
          <w:rFonts w:ascii="Palatino Linotype" w:eastAsia="Calibri" w:hAnsi="Palatino Linotype" w:cs="Arial"/>
          <w:color w:val="000000" w:themeColor="text1"/>
        </w:rPr>
        <w:t>d</w:t>
      </w:r>
      <w:r w:rsidR="00FF0E06" w:rsidRPr="004F4D42">
        <w:rPr>
          <w:rFonts w:ascii="Palatino Linotype" w:eastAsia="Calibri" w:hAnsi="Palatino Linotype" w:cs="Arial"/>
          <w:color w:val="000000" w:themeColor="text1"/>
        </w:rPr>
        <w:t>oce</w:t>
      </w:r>
      <w:r w:rsidR="00CC63CB" w:rsidRPr="004F4D42">
        <w:rPr>
          <w:rFonts w:ascii="Palatino Linotype" w:eastAsia="Calibri" w:hAnsi="Palatino Linotype" w:cs="Arial"/>
          <w:color w:val="000000" w:themeColor="text1"/>
        </w:rPr>
        <w:t xml:space="preserve"> (</w:t>
      </w:r>
      <w:r w:rsidR="00124BBC" w:rsidRPr="004F4D42">
        <w:rPr>
          <w:rFonts w:ascii="Palatino Linotype" w:eastAsia="Calibri" w:hAnsi="Palatino Linotype" w:cs="Arial"/>
          <w:color w:val="000000" w:themeColor="text1"/>
        </w:rPr>
        <w:t>1</w:t>
      </w:r>
      <w:r w:rsidR="00FF0E06" w:rsidRPr="004F4D42">
        <w:rPr>
          <w:rFonts w:ascii="Palatino Linotype" w:eastAsia="Calibri" w:hAnsi="Palatino Linotype" w:cs="Arial"/>
          <w:color w:val="000000" w:themeColor="text1"/>
        </w:rPr>
        <w:t>2</w:t>
      </w:r>
      <w:r w:rsidR="00CC63CB" w:rsidRPr="004F4D42">
        <w:rPr>
          <w:rFonts w:ascii="Palatino Linotype" w:eastAsia="Calibri" w:hAnsi="Palatino Linotype" w:cs="Arial"/>
          <w:color w:val="000000" w:themeColor="text1"/>
        </w:rPr>
        <w:t xml:space="preserve">) de </w:t>
      </w:r>
      <w:r w:rsidR="00FF0E06" w:rsidRPr="004F4D42">
        <w:rPr>
          <w:rFonts w:ascii="Palatino Linotype" w:eastAsia="Calibri" w:hAnsi="Palatino Linotype" w:cs="Arial"/>
          <w:color w:val="000000" w:themeColor="text1"/>
        </w:rPr>
        <w:t>agosto</w:t>
      </w:r>
      <w:r w:rsidR="00CC63CB" w:rsidRPr="004F4D42">
        <w:rPr>
          <w:rFonts w:ascii="Palatino Linotype" w:eastAsia="Calibri" w:hAnsi="Palatino Linotype" w:cs="Arial"/>
          <w:color w:val="000000" w:themeColor="text1"/>
        </w:rPr>
        <w:t xml:space="preserve"> d</w:t>
      </w:r>
      <w:r w:rsidR="00921375" w:rsidRPr="004F4D42">
        <w:rPr>
          <w:rFonts w:ascii="Palatino Linotype" w:eastAsia="Calibri" w:hAnsi="Palatino Linotype" w:cs="Arial"/>
          <w:color w:val="000000" w:themeColor="text1"/>
        </w:rPr>
        <w:t xml:space="preserve">e dos mil </w:t>
      </w:r>
      <w:r w:rsidR="00AA37A7" w:rsidRPr="004F4D42">
        <w:rPr>
          <w:rFonts w:ascii="Palatino Linotype" w:eastAsia="Calibri" w:hAnsi="Palatino Linotype" w:cs="Arial"/>
          <w:color w:val="000000" w:themeColor="text1"/>
        </w:rPr>
        <w:t>veintidós</w:t>
      </w:r>
      <w:r w:rsidR="00CE035D" w:rsidRPr="004F4D42">
        <w:rPr>
          <w:rFonts w:ascii="Palatino Linotype" w:eastAsia="Calibri" w:hAnsi="Palatino Linotype" w:cs="Arial"/>
          <w:color w:val="000000" w:themeColor="text1"/>
        </w:rPr>
        <w:t xml:space="preserve">, el recurso de revisión </w:t>
      </w:r>
      <w:r w:rsidR="00E95534" w:rsidRPr="004F4D42">
        <w:rPr>
          <w:rFonts w:ascii="Palatino Linotype" w:hAnsi="Palatino Linotype"/>
          <w:color w:val="000000" w:themeColor="text1"/>
        </w:rPr>
        <w:t xml:space="preserve">fue interpuesto el </w:t>
      </w:r>
      <w:r w:rsidR="00FF0E06" w:rsidRPr="004F4D42">
        <w:rPr>
          <w:rFonts w:ascii="Palatino Linotype" w:hAnsi="Palatino Linotype"/>
          <w:color w:val="000000" w:themeColor="text1"/>
        </w:rPr>
        <w:t>uno</w:t>
      </w:r>
      <w:r w:rsidR="00CE035D" w:rsidRPr="004F4D42">
        <w:rPr>
          <w:rFonts w:ascii="Palatino Linotype" w:hAnsi="Palatino Linotype"/>
          <w:color w:val="000000" w:themeColor="text1"/>
        </w:rPr>
        <w:t xml:space="preserve"> </w:t>
      </w:r>
      <w:r w:rsidR="00921375" w:rsidRPr="004F4D42">
        <w:rPr>
          <w:rFonts w:ascii="Palatino Linotype" w:hAnsi="Palatino Linotype"/>
          <w:color w:val="000000" w:themeColor="text1"/>
        </w:rPr>
        <w:t>(</w:t>
      </w:r>
      <w:r w:rsidR="00124BBC" w:rsidRPr="004F4D42">
        <w:rPr>
          <w:rFonts w:ascii="Palatino Linotype" w:hAnsi="Palatino Linotype"/>
          <w:color w:val="000000" w:themeColor="text1"/>
        </w:rPr>
        <w:t>1</w:t>
      </w:r>
      <w:r w:rsidR="00921375" w:rsidRPr="004F4D42">
        <w:rPr>
          <w:rFonts w:ascii="Palatino Linotype" w:hAnsi="Palatino Linotype"/>
          <w:color w:val="000000" w:themeColor="text1"/>
        </w:rPr>
        <w:t xml:space="preserve">) de </w:t>
      </w:r>
      <w:r w:rsidR="00FF0E06" w:rsidRPr="004F4D42">
        <w:rPr>
          <w:rFonts w:ascii="Palatino Linotype" w:hAnsi="Palatino Linotype"/>
          <w:color w:val="000000" w:themeColor="text1"/>
        </w:rPr>
        <w:t>agosto</w:t>
      </w:r>
      <w:r w:rsidR="00061A86" w:rsidRPr="004F4D42">
        <w:rPr>
          <w:rFonts w:ascii="Palatino Linotype" w:hAnsi="Palatino Linotype"/>
          <w:color w:val="000000" w:themeColor="text1"/>
        </w:rPr>
        <w:t xml:space="preserve"> de dos mil veintidós</w:t>
      </w:r>
      <w:r w:rsidR="00E95534" w:rsidRPr="004F4D42">
        <w:rPr>
          <w:rFonts w:ascii="Palatino Linotype" w:hAnsi="Palatino Linotype"/>
          <w:color w:val="000000" w:themeColor="text1"/>
        </w:rPr>
        <w:t>, éste</w:t>
      </w:r>
      <w:r w:rsidR="00E95534" w:rsidRPr="004F4D42">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4F4D42">
        <w:rPr>
          <w:rFonts w:ascii="Palatino Linotype" w:hAnsi="Palatino Linotype" w:cs="Arial"/>
          <w:b/>
          <w:color w:val="000000" w:themeColor="text1"/>
        </w:rPr>
        <w:t xml:space="preserve"> </w:t>
      </w:r>
      <w:r w:rsidR="00E95534" w:rsidRPr="004F4D42">
        <w:rPr>
          <w:rFonts w:ascii="Palatino Linotype" w:hAnsi="Palatino Linotype" w:cs="Arial"/>
          <w:color w:val="000000" w:themeColor="text1"/>
        </w:rPr>
        <w:t>vigente.</w:t>
      </w:r>
    </w:p>
    <w:p w14:paraId="5CB8FFBB" w14:textId="77777777" w:rsidR="00D91544" w:rsidRPr="004F4D42"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4F4D42"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F4D42">
        <w:rPr>
          <w:rFonts w:ascii="Palatino Linotype" w:eastAsia="Calibri" w:hAnsi="Palatino Linotype" w:cs="Arial"/>
          <w:color w:val="000000" w:themeColor="text1"/>
        </w:rPr>
        <w:t>C</w:t>
      </w:r>
      <w:r w:rsidR="00AF6795" w:rsidRPr="004F4D42">
        <w:rPr>
          <w:rFonts w:ascii="Palatino Linotype" w:eastAsia="Calibri" w:hAnsi="Palatino Linotype" w:cs="Arial"/>
          <w:color w:val="000000" w:themeColor="text1"/>
        </w:rPr>
        <w:t>onsecuencia de lo anterior, este</w:t>
      </w:r>
      <w:r w:rsidRPr="004F4D42">
        <w:rPr>
          <w:rFonts w:ascii="Palatino Linotype" w:eastAsia="Calibri" w:hAnsi="Palatino Linotype" w:cs="Arial"/>
          <w:color w:val="000000" w:themeColor="text1"/>
        </w:rPr>
        <w:t xml:space="preserve"> </w:t>
      </w:r>
      <w:r w:rsidR="00AF6795" w:rsidRPr="004F4D42">
        <w:rPr>
          <w:rFonts w:ascii="Palatino Linotype" w:eastAsia="Calibri" w:hAnsi="Palatino Linotype" w:cs="Arial"/>
          <w:color w:val="000000" w:themeColor="text1"/>
        </w:rPr>
        <w:t>Órgano Garante</w:t>
      </w:r>
      <w:r w:rsidRPr="004F4D42">
        <w:rPr>
          <w:rFonts w:ascii="Palatino Linotype" w:eastAsia="Calibri" w:hAnsi="Palatino Linotype" w:cs="Arial"/>
          <w:color w:val="000000" w:themeColor="text1"/>
        </w:rPr>
        <w:t xml:space="preserve"> advierte que </w:t>
      </w:r>
      <w:r w:rsidR="00540208" w:rsidRPr="004F4D42">
        <w:rPr>
          <w:rFonts w:ascii="Palatino Linotype" w:eastAsia="Calibri" w:hAnsi="Palatino Linotype" w:cs="Arial"/>
          <w:color w:val="000000" w:themeColor="text1"/>
        </w:rPr>
        <w:t xml:space="preserve">el escrito contiene las formalidades previstas por el artículo 180 último párrafo de la Ley </w:t>
      </w:r>
      <w:r w:rsidR="004911B6" w:rsidRPr="004F4D42">
        <w:rPr>
          <w:rFonts w:ascii="Palatino Linotype" w:eastAsia="Calibri" w:hAnsi="Palatino Linotype" w:cs="Arial"/>
          <w:color w:val="000000" w:themeColor="text1"/>
        </w:rPr>
        <w:t>de Transparencia y Acceso a la Información Pública del Estado de México y Municipios</w:t>
      </w:r>
      <w:r w:rsidR="00540208" w:rsidRPr="004F4D42">
        <w:rPr>
          <w:rFonts w:ascii="Palatino Linotype" w:eastAsia="Calibri" w:hAnsi="Palatino Linotype" w:cs="Arial"/>
          <w:color w:val="000000" w:themeColor="text1"/>
        </w:rPr>
        <w:t xml:space="preserve">, por lo que es procedente que </w:t>
      </w:r>
      <w:r w:rsidR="004911B6" w:rsidRPr="004F4D42">
        <w:rPr>
          <w:rFonts w:ascii="Palatino Linotype" w:eastAsia="Calibri" w:hAnsi="Palatino Linotype" w:cs="Arial"/>
          <w:color w:val="000000" w:themeColor="text1"/>
        </w:rPr>
        <w:t>e</w:t>
      </w:r>
      <w:r w:rsidR="00540208" w:rsidRPr="004F4D42">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4F4D42"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4F4D42"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4F4D42"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4F4D42">
        <w:rPr>
          <w:rFonts w:ascii="Palatino Linotype" w:hAnsi="Palatino Linotype"/>
          <w:b/>
          <w:color w:val="000000" w:themeColor="text1"/>
          <w:sz w:val="24"/>
          <w:szCs w:val="24"/>
        </w:rPr>
        <w:t>TERCERO</w:t>
      </w:r>
      <w:r w:rsidR="00C50A2B" w:rsidRPr="004F4D42">
        <w:rPr>
          <w:rFonts w:ascii="Palatino Linotype" w:hAnsi="Palatino Linotype"/>
          <w:b/>
          <w:color w:val="000000" w:themeColor="text1"/>
          <w:sz w:val="24"/>
          <w:szCs w:val="24"/>
        </w:rPr>
        <w:t>. De</w:t>
      </w:r>
      <w:r w:rsidR="00AD76A1" w:rsidRPr="004F4D42">
        <w:rPr>
          <w:rFonts w:ascii="Palatino Linotype" w:hAnsi="Palatino Linotype"/>
          <w:b/>
          <w:color w:val="000000" w:themeColor="text1"/>
          <w:sz w:val="24"/>
          <w:szCs w:val="24"/>
        </w:rPr>
        <w:t xml:space="preserve">l planteamiento de la </w:t>
      </w:r>
      <w:r w:rsidR="00AD76A1" w:rsidRPr="004F4D42">
        <w:rPr>
          <w:rFonts w:ascii="Palatino Linotype" w:hAnsi="Palatino Linotype"/>
          <w:b/>
          <w:i/>
          <w:color w:val="000000" w:themeColor="text1"/>
          <w:sz w:val="24"/>
          <w:szCs w:val="24"/>
        </w:rPr>
        <w:t>Litis</w:t>
      </w:r>
      <w:r w:rsidR="00C50A2B" w:rsidRPr="004F4D42">
        <w:rPr>
          <w:rFonts w:ascii="Palatino Linotype" w:hAnsi="Palatino Linotype"/>
          <w:b/>
          <w:color w:val="000000" w:themeColor="text1"/>
          <w:sz w:val="24"/>
          <w:szCs w:val="24"/>
        </w:rPr>
        <w:t>.</w:t>
      </w:r>
      <w:bookmarkEnd w:id="12"/>
      <w:bookmarkEnd w:id="13"/>
      <w:bookmarkEnd w:id="14"/>
    </w:p>
    <w:p w14:paraId="4231B8D5" w14:textId="77777777" w:rsidR="00540208" w:rsidRPr="004F4D42" w:rsidRDefault="00540208" w:rsidP="00B31E90">
      <w:pPr>
        <w:rPr>
          <w:rFonts w:ascii="Palatino Linotype" w:hAnsi="Palatino Linotype"/>
          <w:color w:val="000000" w:themeColor="text1"/>
          <w:lang w:eastAsia="en-US"/>
        </w:rPr>
      </w:pPr>
    </w:p>
    <w:bookmarkEnd w:id="15"/>
    <w:bookmarkEnd w:id="16"/>
    <w:p w14:paraId="34E542D1" w14:textId="6FF88359" w:rsidR="00F778B2" w:rsidRPr="004F4D42"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F4D42">
        <w:rPr>
          <w:rFonts w:ascii="Palatino Linotype" w:hAnsi="Palatino Linotype" w:cs="Arial"/>
          <w:color w:val="000000" w:themeColor="text1"/>
        </w:rPr>
        <w:t>El Recurrente solicitó</w:t>
      </w:r>
      <w:r w:rsidR="00F778B2" w:rsidRPr="004F4D42">
        <w:rPr>
          <w:rFonts w:ascii="Palatino Linotype" w:hAnsi="Palatino Linotype" w:cs="Arial"/>
          <w:color w:val="000000" w:themeColor="text1"/>
        </w:rPr>
        <w:t xml:space="preserve"> lo siguiente:</w:t>
      </w:r>
    </w:p>
    <w:p w14:paraId="71226947" w14:textId="77777777" w:rsidR="009A3B2B" w:rsidRPr="004F4D42"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53B80C00" w14:textId="029A986A" w:rsidR="00FF0E06" w:rsidRPr="004F4D42" w:rsidRDefault="00FF0E06" w:rsidP="00FF0E06">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Estudios de aforo en la avenida Miguel Hidalgo, José Vicente Villada y Paseo Colón, en su tramo donde construyeron la ciclovía. </w:t>
      </w:r>
    </w:p>
    <w:p w14:paraId="0F8A816F" w14:textId="77777777" w:rsidR="00521243" w:rsidRPr="004F4D42" w:rsidRDefault="00521243" w:rsidP="00521243">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Número de</w:t>
      </w:r>
      <w:r w:rsidR="00FF0E06" w:rsidRPr="004F4D42">
        <w:rPr>
          <w:rFonts w:ascii="Palatino Linotype" w:hAnsi="Palatino Linotype"/>
          <w:bCs/>
          <w:color w:val="000000"/>
          <w:szCs w:val="22"/>
        </w:rPr>
        <w:t xml:space="preserve"> bicicletas </w:t>
      </w:r>
      <w:r w:rsidRPr="004F4D42">
        <w:rPr>
          <w:rFonts w:ascii="Palatino Linotype" w:hAnsi="Palatino Linotype"/>
          <w:bCs/>
          <w:color w:val="000000"/>
          <w:szCs w:val="22"/>
        </w:rPr>
        <w:t xml:space="preserve">que </w:t>
      </w:r>
      <w:r w:rsidR="00FF0E06" w:rsidRPr="004F4D42">
        <w:rPr>
          <w:rFonts w:ascii="Palatino Linotype" w:hAnsi="Palatino Linotype"/>
          <w:bCs/>
          <w:color w:val="000000"/>
          <w:szCs w:val="22"/>
        </w:rPr>
        <w:t xml:space="preserve">circulan por dichas avenidas </w:t>
      </w:r>
    </w:p>
    <w:p w14:paraId="398BF26D" w14:textId="6E5B1A73" w:rsidR="00FF0E06" w:rsidRPr="004F4D42" w:rsidRDefault="00521243" w:rsidP="00521243">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C</w:t>
      </w:r>
      <w:r w:rsidR="00FF0E06" w:rsidRPr="004F4D42">
        <w:rPr>
          <w:rFonts w:ascii="Palatino Linotype" w:hAnsi="Palatino Linotype"/>
          <w:bCs/>
          <w:color w:val="000000"/>
          <w:szCs w:val="22"/>
        </w:rPr>
        <w:t>ost</w:t>
      </w:r>
      <w:r w:rsidRPr="004F4D42">
        <w:rPr>
          <w:rFonts w:ascii="Palatino Linotype" w:hAnsi="Palatino Linotype"/>
          <w:bCs/>
          <w:color w:val="000000"/>
          <w:szCs w:val="22"/>
        </w:rPr>
        <w:t>o</w:t>
      </w:r>
      <w:r w:rsidR="00FF0E06" w:rsidRPr="004F4D42">
        <w:rPr>
          <w:rFonts w:ascii="Palatino Linotype" w:hAnsi="Palatino Linotype"/>
          <w:bCs/>
          <w:color w:val="000000"/>
          <w:szCs w:val="22"/>
        </w:rPr>
        <w:t xml:space="preserve"> del estudio de aforo de bicicletas que circulan en Toluca. </w:t>
      </w:r>
    </w:p>
    <w:p w14:paraId="62D6418C" w14:textId="1B94012F" w:rsidR="00FF0E06" w:rsidRPr="004F4D42" w:rsidRDefault="00FF0E06" w:rsidP="00FF0E06">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Empresa o empresas </w:t>
      </w:r>
      <w:r w:rsidR="00521243" w:rsidRPr="004F4D42">
        <w:rPr>
          <w:rFonts w:ascii="Palatino Linotype" w:hAnsi="Palatino Linotype"/>
          <w:bCs/>
          <w:color w:val="000000"/>
          <w:szCs w:val="22"/>
        </w:rPr>
        <w:t xml:space="preserve">que </w:t>
      </w:r>
      <w:r w:rsidRPr="004F4D42">
        <w:rPr>
          <w:rFonts w:ascii="Palatino Linotype" w:hAnsi="Palatino Linotype"/>
          <w:bCs/>
          <w:color w:val="000000"/>
          <w:szCs w:val="22"/>
        </w:rPr>
        <w:t>realizaron los estudios de aforos de bicicletas circulando por las calles del municipio de Toluca.</w:t>
      </w:r>
    </w:p>
    <w:p w14:paraId="0756B9FD" w14:textId="77878788" w:rsidR="00FF0E06" w:rsidRPr="004F4D42" w:rsidRDefault="00521243" w:rsidP="00FF0E06">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Número de</w:t>
      </w:r>
      <w:r w:rsidR="00FF0E06" w:rsidRPr="004F4D42">
        <w:rPr>
          <w:rFonts w:ascii="Palatino Linotype" w:hAnsi="Palatino Linotype"/>
          <w:bCs/>
          <w:color w:val="000000"/>
          <w:szCs w:val="22"/>
        </w:rPr>
        <w:t xml:space="preserve"> bicicletas </w:t>
      </w:r>
      <w:r w:rsidRPr="004F4D42">
        <w:rPr>
          <w:rFonts w:ascii="Palatino Linotype" w:hAnsi="Palatino Linotype"/>
          <w:bCs/>
          <w:color w:val="000000"/>
          <w:szCs w:val="22"/>
        </w:rPr>
        <w:t xml:space="preserve">que </w:t>
      </w:r>
      <w:r w:rsidR="00FF0E06" w:rsidRPr="004F4D42">
        <w:rPr>
          <w:rFonts w:ascii="Palatino Linotype" w:hAnsi="Palatino Linotype"/>
          <w:bCs/>
          <w:color w:val="000000"/>
          <w:szCs w:val="22"/>
        </w:rPr>
        <w:t xml:space="preserve">circulan diariamente por la Avenida Isidro Fabela en cualquier dirección. </w:t>
      </w:r>
    </w:p>
    <w:p w14:paraId="48249000" w14:textId="6FD0EDF5" w:rsidR="00FF0E06" w:rsidRPr="004F4D42" w:rsidRDefault="00521243" w:rsidP="00FF0E06">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Número de </w:t>
      </w:r>
      <w:r w:rsidR="00FF0E06" w:rsidRPr="004F4D42">
        <w:rPr>
          <w:rFonts w:ascii="Palatino Linotype" w:hAnsi="Palatino Linotype"/>
          <w:bCs/>
          <w:color w:val="000000"/>
          <w:szCs w:val="22"/>
        </w:rPr>
        <w:t xml:space="preserve">bicicletas </w:t>
      </w:r>
      <w:r w:rsidRPr="004F4D42">
        <w:rPr>
          <w:rFonts w:ascii="Palatino Linotype" w:hAnsi="Palatino Linotype"/>
          <w:bCs/>
          <w:color w:val="000000"/>
          <w:szCs w:val="22"/>
        </w:rPr>
        <w:t xml:space="preserve">que </w:t>
      </w:r>
      <w:r w:rsidR="00FF0E06" w:rsidRPr="004F4D42">
        <w:rPr>
          <w:rFonts w:ascii="Palatino Linotype" w:hAnsi="Palatino Linotype"/>
          <w:bCs/>
          <w:color w:val="000000"/>
          <w:szCs w:val="22"/>
        </w:rPr>
        <w:t>se encuentran registradas en el Municipio de Toluca.</w:t>
      </w:r>
    </w:p>
    <w:p w14:paraId="03DB8A3B" w14:textId="107A308C" w:rsidR="00FF0E06" w:rsidRPr="004F4D42" w:rsidRDefault="00521243" w:rsidP="00FF0E06">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Número de</w:t>
      </w:r>
      <w:r w:rsidR="00FF0E06" w:rsidRPr="004F4D42">
        <w:rPr>
          <w:rFonts w:ascii="Palatino Linotype" w:hAnsi="Palatino Linotype"/>
          <w:bCs/>
          <w:color w:val="000000"/>
          <w:szCs w:val="22"/>
        </w:rPr>
        <w:t xml:space="preserve"> bicicletas</w:t>
      </w:r>
      <w:r w:rsidRPr="004F4D42">
        <w:rPr>
          <w:rFonts w:ascii="Palatino Linotype" w:hAnsi="Palatino Linotype"/>
          <w:bCs/>
          <w:color w:val="000000"/>
          <w:szCs w:val="22"/>
        </w:rPr>
        <w:t xml:space="preserve"> que</w:t>
      </w:r>
      <w:r w:rsidR="00FF0E06" w:rsidRPr="004F4D42">
        <w:rPr>
          <w:rFonts w:ascii="Palatino Linotype" w:hAnsi="Palatino Linotype"/>
          <w:bCs/>
          <w:color w:val="000000"/>
          <w:szCs w:val="22"/>
        </w:rPr>
        <w:t xml:space="preserve"> conforman las rodadas y la razón por la cual no ruedan por las ciclovías.</w:t>
      </w:r>
    </w:p>
    <w:p w14:paraId="6B650A23" w14:textId="77777777" w:rsidR="00FF0E06" w:rsidRPr="004F4D42" w:rsidRDefault="00FF0E06" w:rsidP="00FF0E06">
      <w:pPr>
        <w:pStyle w:val="Prrafodelista"/>
        <w:spacing w:line="360" w:lineRule="auto"/>
        <w:ind w:right="49"/>
        <w:jc w:val="both"/>
        <w:rPr>
          <w:rFonts w:ascii="Palatino Linotype" w:hAnsi="Palatino Linotype"/>
          <w:bCs/>
          <w:color w:val="000000"/>
          <w:szCs w:val="22"/>
        </w:rPr>
      </w:pPr>
    </w:p>
    <w:p w14:paraId="649423F9" w14:textId="2575B432" w:rsidR="002F0AA9" w:rsidRPr="004F4D42"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F4D42">
        <w:rPr>
          <w:rFonts w:ascii="Palatino Linotype" w:hAnsi="Palatino Linotype" w:cs="Arial"/>
          <w:color w:val="000000" w:themeColor="text1"/>
        </w:rPr>
        <w:t>El Sujeto Obligado</w:t>
      </w:r>
      <w:r w:rsidR="002F0AA9" w:rsidRPr="004F4D42">
        <w:rPr>
          <w:rFonts w:ascii="Palatino Linotype" w:hAnsi="Palatino Linotype" w:cs="Arial"/>
          <w:color w:val="000000" w:themeColor="text1"/>
        </w:rPr>
        <w:t xml:space="preserve"> declaró incompetencia para generar, administrar o poseer información relacionada con ciclo vías por corresponder a las atribuciones del Sistema de Transporte Masivo y Teleféri</w:t>
      </w:r>
      <w:r w:rsidR="00FF0E06" w:rsidRPr="004F4D42">
        <w:rPr>
          <w:rFonts w:ascii="Palatino Linotype" w:hAnsi="Palatino Linotype" w:cs="Arial"/>
          <w:color w:val="000000" w:themeColor="text1"/>
        </w:rPr>
        <w:t>co del Estado de México. Además.</w:t>
      </w:r>
    </w:p>
    <w:p w14:paraId="5C627664" w14:textId="77777777" w:rsidR="00DF4A75" w:rsidRPr="004F4D42" w:rsidRDefault="00DF4A75" w:rsidP="001C7F2D">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5A51B394" w:rsidR="00CC63CB" w:rsidRPr="004F4D42"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F4D42">
        <w:rPr>
          <w:rFonts w:ascii="Palatino Linotype" w:eastAsia="Calibri" w:hAnsi="Palatino Linotype" w:cs="Tahoma"/>
          <w:color w:val="000000"/>
          <w:lang w:val="es-ES" w:eastAsia="es-MX"/>
        </w:rPr>
        <w:t>El Particular se inconformó</w:t>
      </w:r>
      <w:r w:rsidR="00CC63CB" w:rsidRPr="004F4D42">
        <w:rPr>
          <w:rFonts w:ascii="Palatino Linotype" w:eastAsia="Calibri" w:hAnsi="Palatino Linotype" w:cs="Tahoma"/>
          <w:color w:val="000000"/>
          <w:lang w:val="es-ES" w:eastAsia="es-MX"/>
        </w:rPr>
        <w:t xml:space="preserve"> por</w:t>
      </w:r>
      <w:r w:rsidR="002F0AA9" w:rsidRPr="004F4D42">
        <w:rPr>
          <w:rFonts w:ascii="Palatino Linotype" w:eastAsia="Calibri" w:hAnsi="Palatino Linotype" w:cs="Tahoma"/>
          <w:color w:val="000000"/>
          <w:lang w:val="es-ES" w:eastAsia="es-MX"/>
        </w:rPr>
        <w:t xml:space="preserve"> la </w:t>
      </w:r>
      <w:r w:rsidR="00FF0E06" w:rsidRPr="004F4D42">
        <w:rPr>
          <w:rFonts w:ascii="Palatino Linotype" w:eastAsia="Calibri" w:hAnsi="Palatino Linotype" w:cs="Tahoma"/>
          <w:color w:val="000000"/>
          <w:lang w:val="es-ES" w:eastAsia="es-MX"/>
        </w:rPr>
        <w:t>declaración de incompetencia.</w:t>
      </w:r>
    </w:p>
    <w:p w14:paraId="49E3C58D" w14:textId="77777777" w:rsidR="00CC63CB" w:rsidRPr="004F4D42" w:rsidRDefault="00CC63CB" w:rsidP="00CC63CB">
      <w:pPr>
        <w:pStyle w:val="Prrafodelista"/>
        <w:rPr>
          <w:rFonts w:ascii="Palatino Linotype" w:eastAsia="Calibri" w:hAnsi="Palatino Linotype" w:cs="Tahoma"/>
          <w:color w:val="000000"/>
          <w:lang w:val="es-ES" w:eastAsia="es-MX"/>
        </w:rPr>
      </w:pPr>
    </w:p>
    <w:p w14:paraId="1C5AB6B5" w14:textId="2B65D975" w:rsidR="009F1566" w:rsidRPr="004F4D42"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F4D42">
        <w:rPr>
          <w:rFonts w:ascii="Palatino Linotype" w:hAnsi="Palatino Linotype" w:cs="Arial"/>
          <w:color w:val="000000" w:themeColor="text1"/>
          <w:szCs w:val="23"/>
        </w:rPr>
        <w:t xml:space="preserve">Por lo anterior, la </w:t>
      </w:r>
      <w:r w:rsidRPr="004F4D42">
        <w:rPr>
          <w:rFonts w:ascii="Palatino Linotype" w:hAnsi="Palatino Linotype" w:cs="Arial"/>
          <w:i/>
          <w:color w:val="000000" w:themeColor="text1"/>
          <w:szCs w:val="23"/>
        </w:rPr>
        <w:t>Litis</w:t>
      </w:r>
      <w:r w:rsidRPr="004F4D42">
        <w:rPr>
          <w:rFonts w:ascii="Palatino Linotype" w:hAnsi="Palatino Linotype" w:cs="Arial"/>
          <w:color w:val="000000" w:themeColor="text1"/>
          <w:szCs w:val="23"/>
        </w:rPr>
        <w:t xml:space="preserve"> a resolver en el presente recurso se circunscribe en determinar si</w:t>
      </w:r>
      <w:r w:rsidR="002C6561" w:rsidRPr="004F4D42">
        <w:rPr>
          <w:rFonts w:ascii="Palatino Linotype" w:hAnsi="Palatino Linotype" w:cs="Arial"/>
          <w:color w:val="000000" w:themeColor="text1"/>
          <w:szCs w:val="23"/>
        </w:rPr>
        <w:t xml:space="preserve"> </w:t>
      </w:r>
      <w:r w:rsidR="004B0EB6" w:rsidRPr="004F4D42">
        <w:rPr>
          <w:rFonts w:ascii="Palatino Linotype" w:hAnsi="Palatino Linotype" w:cs="Arial"/>
          <w:color w:val="000000" w:themeColor="text1"/>
          <w:szCs w:val="23"/>
        </w:rPr>
        <w:t>la respuesta del</w:t>
      </w:r>
      <w:r w:rsidR="002C6561" w:rsidRPr="004F4D42">
        <w:rPr>
          <w:rFonts w:ascii="Palatino Linotype" w:hAnsi="Palatino Linotype" w:cs="Arial"/>
          <w:color w:val="000000" w:themeColor="text1"/>
          <w:szCs w:val="23"/>
        </w:rPr>
        <w:t xml:space="preserve"> </w:t>
      </w:r>
      <w:r w:rsidR="002C6561" w:rsidRPr="004F4D42">
        <w:rPr>
          <w:rFonts w:ascii="Palatino Linotype" w:hAnsi="Palatino Linotype" w:cs="Arial"/>
          <w:b/>
          <w:bCs/>
          <w:color w:val="000000" w:themeColor="text1"/>
          <w:szCs w:val="23"/>
        </w:rPr>
        <w:t>SUJETO OBLIGADO</w:t>
      </w:r>
      <w:r w:rsidR="002C6561" w:rsidRPr="004F4D42">
        <w:rPr>
          <w:rFonts w:ascii="Palatino Linotype" w:hAnsi="Palatino Linotype" w:cs="Arial"/>
          <w:color w:val="000000" w:themeColor="text1"/>
          <w:szCs w:val="23"/>
        </w:rPr>
        <w:t xml:space="preserve"> </w:t>
      </w:r>
      <w:r w:rsidR="004B0EB6" w:rsidRPr="004F4D42">
        <w:rPr>
          <w:rFonts w:ascii="Palatino Linotype" w:hAnsi="Palatino Linotype" w:cs="Arial"/>
          <w:color w:val="000000" w:themeColor="text1"/>
          <w:szCs w:val="23"/>
        </w:rPr>
        <w:t xml:space="preserve">colma el derecho de acceso a la información ejercido por el </w:t>
      </w:r>
      <w:r w:rsidR="004B0EB6" w:rsidRPr="004F4D42">
        <w:rPr>
          <w:rFonts w:ascii="Palatino Linotype" w:hAnsi="Palatino Linotype" w:cs="Arial"/>
          <w:b/>
          <w:bCs/>
          <w:color w:val="000000" w:themeColor="text1"/>
          <w:szCs w:val="23"/>
        </w:rPr>
        <w:t>RECURRENTE</w:t>
      </w:r>
      <w:r w:rsidR="002C6561" w:rsidRPr="004F4D42">
        <w:rPr>
          <w:rFonts w:ascii="Palatino Linotype" w:hAnsi="Palatino Linotype" w:cs="Arial"/>
          <w:color w:val="000000" w:themeColor="text1"/>
          <w:szCs w:val="23"/>
        </w:rPr>
        <w:t>; o si, por el contrario, se</w:t>
      </w:r>
      <w:r w:rsidR="00E32652" w:rsidRPr="004F4D42">
        <w:rPr>
          <w:rFonts w:ascii="Palatino Linotype" w:hAnsi="Palatino Linotype" w:cs="Arial"/>
          <w:color w:val="000000" w:themeColor="text1"/>
          <w:szCs w:val="23"/>
        </w:rPr>
        <w:t xml:space="preserve"> </w:t>
      </w:r>
      <w:r w:rsidR="0028248C" w:rsidRPr="004F4D42">
        <w:rPr>
          <w:rFonts w:ascii="Palatino Linotype" w:hAnsi="Palatino Linotype"/>
          <w:color w:val="000000" w:themeColor="text1"/>
        </w:rPr>
        <w:t>actualiza la causal de procedencia</w:t>
      </w:r>
      <w:r w:rsidR="00E66A80" w:rsidRPr="004F4D42">
        <w:rPr>
          <w:rFonts w:ascii="Palatino Linotype" w:hAnsi="Palatino Linotype" w:cs="Arial"/>
          <w:color w:val="000000" w:themeColor="text1"/>
          <w:szCs w:val="23"/>
        </w:rPr>
        <w:t xml:space="preserve"> del recurso de revisión establecida</w:t>
      </w:r>
      <w:r w:rsidR="00A42161" w:rsidRPr="004F4D42">
        <w:rPr>
          <w:rFonts w:ascii="Palatino Linotype" w:hAnsi="Palatino Linotype" w:cs="Arial"/>
          <w:color w:val="000000" w:themeColor="text1"/>
          <w:szCs w:val="23"/>
        </w:rPr>
        <w:t xml:space="preserve"> en la fracci</w:t>
      </w:r>
      <w:r w:rsidR="00765786" w:rsidRPr="004F4D42">
        <w:rPr>
          <w:rFonts w:ascii="Palatino Linotype" w:hAnsi="Palatino Linotype" w:cs="Arial"/>
          <w:color w:val="000000" w:themeColor="text1"/>
          <w:szCs w:val="23"/>
        </w:rPr>
        <w:t>ón</w:t>
      </w:r>
      <w:r w:rsidR="00A42161" w:rsidRPr="004F4D42">
        <w:rPr>
          <w:rFonts w:ascii="Palatino Linotype" w:hAnsi="Palatino Linotype" w:cs="Arial"/>
          <w:color w:val="000000" w:themeColor="text1"/>
          <w:szCs w:val="23"/>
        </w:rPr>
        <w:t xml:space="preserve"> </w:t>
      </w:r>
      <w:r w:rsidR="00810109" w:rsidRPr="004F4D42">
        <w:rPr>
          <w:rFonts w:ascii="Palatino Linotype" w:hAnsi="Palatino Linotype" w:cs="Arial"/>
          <w:color w:val="000000" w:themeColor="text1"/>
          <w:szCs w:val="23"/>
        </w:rPr>
        <w:t xml:space="preserve">I </w:t>
      </w:r>
      <w:r w:rsidR="00A42161" w:rsidRPr="004F4D42">
        <w:rPr>
          <w:rFonts w:ascii="Palatino Linotype" w:hAnsi="Palatino Linotype" w:cs="Arial"/>
          <w:color w:val="000000" w:themeColor="text1"/>
          <w:szCs w:val="23"/>
        </w:rPr>
        <w:t>de</w:t>
      </w:r>
      <w:r w:rsidR="00E66A80" w:rsidRPr="004F4D42">
        <w:rPr>
          <w:rFonts w:ascii="Palatino Linotype" w:hAnsi="Palatino Linotype" w:cs="Arial"/>
          <w:color w:val="000000" w:themeColor="text1"/>
          <w:szCs w:val="23"/>
        </w:rPr>
        <w:t xml:space="preserve">l artículo </w:t>
      </w:r>
      <w:r w:rsidR="00E66A80" w:rsidRPr="004F4D42">
        <w:rPr>
          <w:rFonts w:ascii="Palatino Linotype" w:hAnsi="Palatino Linotype" w:cs="Arial"/>
          <w:color w:val="000000" w:themeColor="text1"/>
          <w:szCs w:val="23"/>
        </w:rPr>
        <w:lastRenderedPageBreak/>
        <w:t>179</w:t>
      </w:r>
      <w:r w:rsidR="008E4483" w:rsidRPr="004F4D42">
        <w:rPr>
          <w:rFonts w:ascii="Palatino Linotype" w:hAnsi="Palatino Linotype" w:cs="Arial"/>
          <w:color w:val="000000" w:themeColor="text1"/>
          <w:szCs w:val="23"/>
        </w:rPr>
        <w:t xml:space="preserve"> </w:t>
      </w:r>
      <w:r w:rsidR="00E66A80" w:rsidRPr="004F4D42">
        <w:rPr>
          <w:rFonts w:ascii="Palatino Linotype" w:hAnsi="Palatino Linotype" w:cs="Arial"/>
          <w:color w:val="000000" w:themeColor="text1"/>
          <w:szCs w:val="23"/>
        </w:rPr>
        <w:t xml:space="preserve">de la Ley de Transparencia y Acceso a la Información Pública del Estado de México y Municipios, </w:t>
      </w:r>
      <w:r w:rsidR="004364EE" w:rsidRPr="004F4D42">
        <w:rPr>
          <w:rFonts w:ascii="Palatino Linotype" w:hAnsi="Palatino Linotype" w:cs="Arial"/>
          <w:color w:val="000000" w:themeColor="text1"/>
          <w:szCs w:val="23"/>
        </w:rPr>
        <w:t>misma</w:t>
      </w:r>
      <w:r w:rsidR="00C51671" w:rsidRPr="004F4D42">
        <w:rPr>
          <w:rFonts w:ascii="Palatino Linotype" w:hAnsi="Palatino Linotype" w:cs="Arial"/>
          <w:color w:val="000000" w:themeColor="text1"/>
          <w:szCs w:val="23"/>
        </w:rPr>
        <w:t xml:space="preserve"> </w:t>
      </w:r>
      <w:r w:rsidR="00E66A80" w:rsidRPr="004F4D42">
        <w:rPr>
          <w:rFonts w:ascii="Palatino Linotype" w:hAnsi="Palatino Linotype" w:cs="Arial"/>
          <w:color w:val="000000" w:themeColor="text1"/>
          <w:szCs w:val="23"/>
        </w:rPr>
        <w:t>que se transcribe a continuación:</w:t>
      </w:r>
    </w:p>
    <w:p w14:paraId="0F0C773B" w14:textId="77777777" w:rsidR="005946F4" w:rsidRPr="004F4D42" w:rsidRDefault="005946F4" w:rsidP="005946F4">
      <w:pPr>
        <w:pStyle w:val="Prrafodelista"/>
        <w:rPr>
          <w:rFonts w:ascii="Palatino Linotype" w:hAnsi="Palatino Linotype" w:cs="Arial"/>
          <w:color w:val="000000" w:themeColor="text1"/>
        </w:rPr>
      </w:pPr>
    </w:p>
    <w:p w14:paraId="31379DA7" w14:textId="77777777" w:rsidR="005946F4" w:rsidRPr="004F4D42" w:rsidRDefault="005946F4" w:rsidP="005946F4">
      <w:pPr>
        <w:tabs>
          <w:tab w:val="left" w:pos="426"/>
        </w:tabs>
        <w:spacing w:line="360" w:lineRule="auto"/>
        <w:ind w:left="567" w:right="616"/>
        <w:jc w:val="both"/>
        <w:rPr>
          <w:rFonts w:ascii="Palatino Linotype" w:hAnsi="Palatino Linotype"/>
          <w:i/>
          <w:iCs/>
        </w:rPr>
      </w:pPr>
      <w:r w:rsidRPr="004F4D42">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27A7ED3" w14:textId="77777777" w:rsidR="002F0AA9" w:rsidRPr="004F4D42" w:rsidRDefault="002F0AA9" w:rsidP="00E4180B">
      <w:pPr>
        <w:tabs>
          <w:tab w:val="left" w:pos="426"/>
        </w:tabs>
        <w:spacing w:line="360" w:lineRule="auto"/>
        <w:ind w:left="567" w:right="616"/>
        <w:jc w:val="both"/>
        <w:rPr>
          <w:rFonts w:ascii="Palatino Linotype" w:hAnsi="Palatino Linotype"/>
          <w:i/>
          <w:sz w:val="22"/>
          <w:szCs w:val="22"/>
        </w:rPr>
      </w:pPr>
    </w:p>
    <w:p w14:paraId="6A8ABBE7" w14:textId="77777777" w:rsidR="002F0AA9" w:rsidRPr="004F4D42" w:rsidRDefault="002F0AA9" w:rsidP="00E4180B">
      <w:pPr>
        <w:tabs>
          <w:tab w:val="left" w:pos="426"/>
        </w:tabs>
        <w:spacing w:line="360" w:lineRule="auto"/>
        <w:ind w:left="567" w:right="616"/>
        <w:jc w:val="both"/>
        <w:rPr>
          <w:rFonts w:ascii="Palatino Linotype" w:hAnsi="Palatino Linotype"/>
          <w:i/>
          <w:sz w:val="22"/>
          <w:szCs w:val="22"/>
        </w:rPr>
      </w:pPr>
      <w:r w:rsidRPr="004F4D42">
        <w:rPr>
          <w:rFonts w:ascii="Palatino Linotype" w:hAnsi="Palatino Linotype"/>
          <w:i/>
          <w:sz w:val="22"/>
          <w:szCs w:val="22"/>
        </w:rPr>
        <w:t>I. La negativa a la información solicitada;</w:t>
      </w:r>
    </w:p>
    <w:p w14:paraId="649824E1" w14:textId="67578C25" w:rsidR="00445CA7" w:rsidRPr="004F4D42" w:rsidRDefault="00445CA7" w:rsidP="00E4180B">
      <w:pPr>
        <w:tabs>
          <w:tab w:val="left" w:pos="426"/>
        </w:tabs>
        <w:spacing w:line="360" w:lineRule="auto"/>
        <w:ind w:left="567" w:right="616"/>
        <w:jc w:val="both"/>
        <w:rPr>
          <w:rFonts w:ascii="Palatino Linotype" w:hAnsi="Palatino Linotype"/>
          <w:i/>
          <w:sz w:val="22"/>
          <w:szCs w:val="22"/>
        </w:rPr>
      </w:pPr>
      <w:r w:rsidRPr="004F4D42">
        <w:rPr>
          <w:rFonts w:ascii="Palatino Linotype" w:hAnsi="Palatino Linotype"/>
          <w:i/>
          <w:sz w:val="22"/>
          <w:szCs w:val="22"/>
        </w:rPr>
        <w:t>…</w:t>
      </w:r>
    </w:p>
    <w:p w14:paraId="26AD5E23" w14:textId="77777777" w:rsidR="008E4483" w:rsidRPr="004F4D42" w:rsidRDefault="008E4483" w:rsidP="008E4483">
      <w:pPr>
        <w:pStyle w:val="Prrafodelista"/>
        <w:rPr>
          <w:rFonts w:ascii="Palatino Linotype" w:hAnsi="Palatino Linotype" w:cs="Arial"/>
          <w:color w:val="000000" w:themeColor="text1"/>
        </w:rPr>
      </w:pPr>
    </w:p>
    <w:p w14:paraId="5CEC2F48" w14:textId="1B05DC04" w:rsidR="00EF014A" w:rsidRPr="004F4D42" w:rsidRDefault="00273D1A" w:rsidP="00F96156">
      <w:pPr>
        <w:pStyle w:val="Ttulo2"/>
        <w:tabs>
          <w:tab w:val="left" w:pos="426"/>
        </w:tabs>
        <w:rPr>
          <w:rFonts w:ascii="Palatino Linotype" w:hAnsi="Palatino Linotype" w:cs="Arial"/>
          <w:b/>
          <w:color w:val="000000" w:themeColor="text1"/>
          <w:sz w:val="24"/>
        </w:rPr>
      </w:pPr>
      <w:bookmarkStart w:id="22" w:name="_Toc87456489"/>
      <w:r w:rsidRPr="004F4D42">
        <w:rPr>
          <w:rFonts w:ascii="Palatino Linotype" w:hAnsi="Palatino Linotype" w:cs="Arial"/>
          <w:b/>
          <w:color w:val="000000" w:themeColor="text1"/>
          <w:sz w:val="24"/>
        </w:rPr>
        <w:t>CUARTO</w:t>
      </w:r>
      <w:r w:rsidR="00EF014A" w:rsidRPr="004F4D42">
        <w:rPr>
          <w:rFonts w:ascii="Palatino Linotype" w:hAnsi="Palatino Linotype" w:cs="Arial"/>
          <w:b/>
          <w:color w:val="000000" w:themeColor="text1"/>
          <w:sz w:val="24"/>
        </w:rPr>
        <w:t>. Estudio y Resolución del asunto.</w:t>
      </w:r>
      <w:bookmarkEnd w:id="22"/>
    </w:p>
    <w:p w14:paraId="6E979250" w14:textId="2A34D6B5" w:rsidR="00A55D2B" w:rsidRPr="004F4D42"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4F4D42"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4F4D42">
        <w:rPr>
          <w:rFonts w:ascii="Palatino Linotype" w:hAnsi="Palatino Linotype"/>
          <w:b/>
          <w:bCs/>
          <w:color w:val="000000" w:themeColor="text1"/>
        </w:rPr>
        <w:t xml:space="preserve">I. De la </w:t>
      </w:r>
      <w:r w:rsidR="00167813" w:rsidRPr="004F4D42">
        <w:rPr>
          <w:rFonts w:ascii="Palatino Linotype" w:hAnsi="Palatino Linotype"/>
          <w:b/>
          <w:bCs/>
          <w:color w:val="000000" w:themeColor="text1"/>
        </w:rPr>
        <w:t>atención</w:t>
      </w:r>
      <w:r w:rsidR="00D00269" w:rsidRPr="004F4D42">
        <w:rPr>
          <w:rFonts w:ascii="Palatino Linotype" w:hAnsi="Palatino Linotype"/>
          <w:b/>
          <w:bCs/>
          <w:color w:val="000000" w:themeColor="text1"/>
        </w:rPr>
        <w:t xml:space="preserve"> a la solicitud de información</w:t>
      </w:r>
      <w:r w:rsidRPr="004F4D42">
        <w:rPr>
          <w:rFonts w:ascii="Palatino Linotype" w:hAnsi="Palatino Linotype"/>
          <w:b/>
          <w:bCs/>
          <w:color w:val="000000" w:themeColor="text1"/>
        </w:rPr>
        <w:t>.</w:t>
      </w:r>
      <w:bookmarkEnd w:id="25"/>
    </w:p>
    <w:p w14:paraId="4AC32336" w14:textId="77777777" w:rsidR="008E4483" w:rsidRPr="004F4D42"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4F4D42">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4F4D42" w:rsidRDefault="008E4483" w:rsidP="008E4483">
      <w:pPr>
        <w:rPr>
          <w:lang w:val="es-ES"/>
        </w:rPr>
      </w:pPr>
    </w:p>
    <w:p w14:paraId="7178C08C" w14:textId="77777777" w:rsidR="008E4483" w:rsidRPr="004F4D42" w:rsidRDefault="008E4483" w:rsidP="008E4483">
      <w:pPr>
        <w:numPr>
          <w:ilvl w:val="0"/>
          <w:numId w:val="1"/>
        </w:numPr>
        <w:spacing w:line="360" w:lineRule="auto"/>
        <w:ind w:right="34"/>
        <w:contextualSpacing/>
        <w:jc w:val="both"/>
        <w:rPr>
          <w:rFonts w:ascii="Palatino Linotype" w:eastAsia="MS Mincho" w:hAnsi="Palatino Linotype" w:cs="Arial"/>
        </w:rPr>
      </w:pPr>
      <w:r w:rsidRPr="004F4D42">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F4D42">
        <w:rPr>
          <w:rFonts w:ascii="Palatino Linotype" w:hAnsi="Palatino Linotype" w:cs="Arial"/>
          <w:color w:val="000000"/>
        </w:rPr>
        <w:t xml:space="preserve"> </w:t>
      </w:r>
      <w:r w:rsidRPr="004F4D42">
        <w:rPr>
          <w:rFonts w:ascii="Palatino Linotype" w:hAnsi="Palatino Linotype" w:cs="Arial"/>
          <w:b/>
          <w:color w:val="000000"/>
        </w:rPr>
        <w:t>SUJETO OBLIGADO</w:t>
      </w:r>
      <w:r w:rsidRPr="004F4D42">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F4D42">
        <w:rPr>
          <w:rFonts w:ascii="Palatino Linotype" w:hAnsi="Palatino Linotype" w:cs="Arial"/>
          <w:b/>
          <w:color w:val="000000"/>
        </w:rPr>
        <w:t xml:space="preserve">Constitución Política de los Estados Unidos Mexicanos </w:t>
      </w:r>
      <w:r w:rsidRPr="004F4D42">
        <w:rPr>
          <w:rFonts w:ascii="Palatino Linotype" w:hAnsi="Palatino Linotype" w:cs="Arial"/>
          <w:color w:val="000000"/>
        </w:rPr>
        <w:t xml:space="preserve">al señalar la obligación de “promover, </w:t>
      </w:r>
      <w:r w:rsidRPr="004F4D42">
        <w:rPr>
          <w:rFonts w:ascii="Palatino Linotype" w:hAnsi="Palatino Linotype" w:cs="Arial"/>
          <w:b/>
          <w:color w:val="000000"/>
        </w:rPr>
        <w:t>respetar</w:t>
      </w:r>
      <w:r w:rsidRPr="004F4D42">
        <w:rPr>
          <w:rFonts w:ascii="Palatino Linotype" w:hAnsi="Palatino Linotype" w:cs="Arial"/>
          <w:color w:val="000000"/>
        </w:rPr>
        <w:t xml:space="preserve">, proteger y </w:t>
      </w:r>
      <w:r w:rsidRPr="004F4D42">
        <w:rPr>
          <w:rFonts w:ascii="Palatino Linotype" w:hAnsi="Palatino Linotype" w:cs="Arial"/>
          <w:b/>
          <w:color w:val="000000"/>
        </w:rPr>
        <w:t>garantizar</w:t>
      </w:r>
      <w:r w:rsidRPr="004F4D42">
        <w:rPr>
          <w:rFonts w:ascii="Palatino Linotype" w:hAnsi="Palatino Linotype" w:cs="Arial"/>
          <w:color w:val="000000"/>
        </w:rPr>
        <w:t xml:space="preserve"> los derechos humanos”, entre los cuales se encuentra dicho derecho. </w:t>
      </w:r>
    </w:p>
    <w:p w14:paraId="407FBD4F" w14:textId="77777777" w:rsidR="008E4483" w:rsidRPr="004F4D42"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4F4D42"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4F4D42">
        <w:rPr>
          <w:rFonts w:ascii="Palatino Linotype" w:hAnsi="Palatino Linotype"/>
        </w:rPr>
        <w:t xml:space="preserve">Definiendo el Derecho de Acceso a la Información Pública como: </w:t>
      </w:r>
      <w:r w:rsidRPr="004F4D42">
        <w:rPr>
          <w:rFonts w:ascii="Palatino Linotype" w:hAnsi="Palatino Linotype"/>
          <w:i/>
          <w:color w:val="000000"/>
          <w:sz w:val="22"/>
        </w:rPr>
        <w:t>La igualdad de oportunidades para recibir, buscar e impartir información</w:t>
      </w:r>
      <w:r w:rsidRPr="004F4D42">
        <w:rPr>
          <w:rFonts w:ascii="Palatino Linotype" w:hAnsi="Palatino Linotype"/>
          <w:i/>
          <w:color w:val="000000"/>
          <w:sz w:val="22"/>
          <w:vertAlign w:val="superscript"/>
        </w:rPr>
        <w:footnoteReference w:id="1"/>
      </w:r>
      <w:r w:rsidRPr="004F4D42">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F4D42">
        <w:rPr>
          <w:rFonts w:ascii="Palatino Linotype" w:hAnsi="Palatino Linotype"/>
          <w:i/>
          <w:color w:val="000000"/>
          <w:sz w:val="22"/>
          <w:vertAlign w:val="superscript"/>
        </w:rPr>
        <w:footnoteReference w:id="2"/>
      </w:r>
      <w:r w:rsidRPr="004F4D42">
        <w:rPr>
          <w:rFonts w:ascii="Palatino Linotype" w:hAnsi="Palatino Linotype"/>
          <w:color w:val="000000"/>
          <w:sz w:val="22"/>
        </w:rPr>
        <w:t>que se constituye como una herramienta fundamental para ejercer</w:t>
      </w:r>
      <w:r w:rsidRPr="004F4D42">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4F4D42">
        <w:rPr>
          <w:rFonts w:ascii="Palatino Linotype" w:hAnsi="Palatino Linotype"/>
          <w:i/>
          <w:color w:val="000000"/>
          <w:sz w:val="22"/>
          <w:vertAlign w:val="superscript"/>
        </w:rPr>
        <w:footnoteReference w:id="3"/>
      </w:r>
      <w:r w:rsidRPr="004F4D42">
        <w:rPr>
          <w:rFonts w:ascii="Palatino Linotype" w:hAnsi="Palatino Linotype"/>
          <w:color w:val="000000"/>
          <w:sz w:val="22"/>
        </w:rPr>
        <w:t>fomentando</w:t>
      </w:r>
      <w:r w:rsidRPr="004F4D42">
        <w:rPr>
          <w:rFonts w:ascii="Palatino Linotype" w:hAnsi="Palatino Linotype"/>
          <w:i/>
          <w:color w:val="000000"/>
          <w:sz w:val="22"/>
        </w:rPr>
        <w:t xml:space="preserve"> la transparencia de las actividades estatales y </w:t>
      </w:r>
      <w:r w:rsidRPr="004F4D42">
        <w:rPr>
          <w:rFonts w:ascii="Palatino Linotype" w:hAnsi="Palatino Linotype"/>
          <w:color w:val="000000"/>
          <w:sz w:val="22"/>
        </w:rPr>
        <w:t>promoviendo</w:t>
      </w:r>
      <w:r w:rsidRPr="004F4D42">
        <w:rPr>
          <w:rFonts w:ascii="Palatino Linotype" w:hAnsi="Palatino Linotype"/>
          <w:i/>
          <w:color w:val="000000"/>
          <w:sz w:val="22"/>
        </w:rPr>
        <w:t xml:space="preserve"> la responsabilidad de los funcionarios sobre su gestión pública,</w:t>
      </w:r>
      <w:r w:rsidRPr="004F4D42">
        <w:rPr>
          <w:rFonts w:ascii="Palatino Linotype" w:hAnsi="Palatino Linotype"/>
          <w:i/>
          <w:color w:val="000000"/>
          <w:sz w:val="22"/>
          <w:vertAlign w:val="superscript"/>
        </w:rPr>
        <w:footnoteReference w:id="4"/>
      </w:r>
      <w:r w:rsidRPr="004F4D42">
        <w:rPr>
          <w:rFonts w:ascii="Palatino Linotype" w:hAnsi="Palatino Linotype"/>
          <w:color w:val="000000"/>
          <w:sz w:val="22"/>
        </w:rPr>
        <w:t>que permite</w:t>
      </w:r>
      <w:r w:rsidRPr="004F4D42">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4F4D42" w:rsidRDefault="008E4483" w:rsidP="008E4483">
      <w:pPr>
        <w:tabs>
          <w:tab w:val="left" w:pos="284"/>
        </w:tabs>
        <w:contextualSpacing/>
        <w:rPr>
          <w:rFonts w:ascii="Palatino Linotype" w:hAnsi="Palatino Linotype"/>
        </w:rPr>
      </w:pPr>
    </w:p>
    <w:p w14:paraId="223832E3" w14:textId="3A93AA98" w:rsidR="008E4483" w:rsidRPr="004F4D42"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4F4D42">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4F4D42" w:rsidRDefault="008E4483" w:rsidP="008E4483">
      <w:pPr>
        <w:tabs>
          <w:tab w:val="left" w:pos="284"/>
        </w:tabs>
        <w:spacing w:before="240" w:after="240" w:line="360" w:lineRule="auto"/>
        <w:contextualSpacing/>
        <w:jc w:val="both"/>
        <w:rPr>
          <w:rFonts w:ascii="Palatino Linotype" w:hAnsi="Palatino Linotype"/>
          <w:i/>
        </w:rPr>
      </w:pPr>
      <w:r w:rsidRPr="004F4D42">
        <w:rPr>
          <w:rFonts w:ascii="Palatino Linotype" w:hAnsi="Palatino Linotype"/>
          <w:i/>
        </w:rPr>
        <w:t xml:space="preserve"> </w:t>
      </w:r>
    </w:p>
    <w:p w14:paraId="18789162" w14:textId="77777777" w:rsidR="008E4483" w:rsidRPr="004F4D42" w:rsidRDefault="008E4483" w:rsidP="008E4483">
      <w:pPr>
        <w:numPr>
          <w:ilvl w:val="0"/>
          <w:numId w:val="1"/>
        </w:numPr>
        <w:tabs>
          <w:tab w:val="left" w:pos="284"/>
        </w:tabs>
        <w:spacing w:before="240" w:line="360" w:lineRule="auto"/>
        <w:contextualSpacing/>
        <w:jc w:val="both"/>
        <w:rPr>
          <w:rFonts w:ascii="Palatino Linotype" w:hAnsi="Palatino Linotype"/>
        </w:rPr>
      </w:pPr>
      <w:r w:rsidRPr="004F4D42">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4F4D42">
        <w:rPr>
          <w:rFonts w:ascii="Palatino Linotype" w:hAnsi="Palatino Linotype" w:cs="Arial"/>
          <w:i/>
          <w:sz w:val="22"/>
        </w:rPr>
        <w:t xml:space="preserve">por los principios de simplicidad, rapidez gratuidad del procedimiento, auxilio y orientación </w:t>
      </w:r>
      <w:r w:rsidRPr="004F4D42">
        <w:rPr>
          <w:rFonts w:ascii="Palatino Linotype" w:hAnsi="Palatino Linotype" w:cs="Arial"/>
          <w:i/>
          <w:sz w:val="22"/>
        </w:rPr>
        <w:lastRenderedPageBreak/>
        <w:t>a los particulares</w:t>
      </w:r>
      <w:r w:rsidRPr="004F4D42">
        <w:rPr>
          <w:rFonts w:ascii="Palatino Linotype" w:hAnsi="Palatino Linotype" w:cs="Arial"/>
          <w:sz w:val="22"/>
        </w:rPr>
        <w:t xml:space="preserve">, contemplando el derecho de las personas con discapacidad y hablantes de lengua indígena. </w:t>
      </w:r>
    </w:p>
    <w:p w14:paraId="646E1459" w14:textId="77777777" w:rsidR="008E4483" w:rsidRPr="004F4D42"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4F4D42"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4F4D42">
        <w:rPr>
          <w:rFonts w:ascii="Palatino Linotype" w:hAnsi="Palatino Linotype"/>
        </w:rPr>
        <w:t xml:space="preserve">Es así que la </w:t>
      </w:r>
      <w:r w:rsidRPr="004F4D42">
        <w:rPr>
          <w:rFonts w:ascii="Palatino Linotype" w:hAnsi="Palatino Linotype"/>
          <w:b/>
        </w:rPr>
        <w:t xml:space="preserve">Ley de Transparencia y Acceso a la Información Pública del Estado de México y Municipios, </w:t>
      </w:r>
      <w:r w:rsidRPr="004F4D42">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4F4D42">
        <w:rPr>
          <w:rFonts w:ascii="Palatino Linotype" w:hAnsi="Palatino Linotype"/>
          <w:b/>
        </w:rPr>
        <w:t xml:space="preserve"> </w:t>
      </w:r>
      <w:r w:rsidRPr="004F4D42">
        <w:rPr>
          <w:rFonts w:ascii="Palatino Linotype" w:hAnsi="Palatino Linotype"/>
        </w:rPr>
        <w:t xml:space="preserve">establece que </w:t>
      </w:r>
      <w:r w:rsidRPr="004F4D42">
        <w:rPr>
          <w:rFonts w:ascii="Palatino Linotype" w:hAnsi="Palatino Linotype"/>
          <w:b/>
          <w:i/>
          <w:sz w:val="22"/>
          <w:u w:val="single"/>
        </w:rPr>
        <w:t>el recurso de revisión es la garantía secundaria</w:t>
      </w:r>
      <w:r w:rsidRPr="004F4D42">
        <w:rPr>
          <w:rFonts w:ascii="Palatino Linotype" w:hAnsi="Palatino Linotype"/>
          <w:b/>
          <w:i/>
          <w:sz w:val="22"/>
        </w:rPr>
        <w:t xml:space="preserve"> mediante la cual se pretende reparar cualquier posible afectación al derecho de acceso a la información pública</w:t>
      </w:r>
      <w:r w:rsidRPr="004F4D42">
        <w:rPr>
          <w:rFonts w:ascii="Palatino Linotype" w:hAnsi="Palatino Linotype"/>
          <w:b/>
          <w:sz w:val="22"/>
        </w:rPr>
        <w:t>, s</w:t>
      </w:r>
      <w:r w:rsidRPr="004F4D42">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4F4D42">
        <w:rPr>
          <w:rFonts w:ascii="Palatino Linotype" w:hAnsi="Palatino Linotype"/>
          <w:sz w:val="22"/>
        </w:rPr>
        <w:t xml:space="preserve"> </w:t>
      </w:r>
    </w:p>
    <w:p w14:paraId="62B78458" w14:textId="77777777" w:rsidR="008E4483" w:rsidRPr="004F4D42" w:rsidRDefault="008E4483" w:rsidP="008E4483">
      <w:pPr>
        <w:tabs>
          <w:tab w:val="left" w:pos="284"/>
        </w:tabs>
        <w:rPr>
          <w:rFonts w:ascii="Palatino Linotype" w:eastAsia="MS Mincho" w:hAnsi="Palatino Linotype" w:cs="Arial"/>
        </w:rPr>
      </w:pPr>
    </w:p>
    <w:p w14:paraId="355D07B3" w14:textId="77777777" w:rsidR="008E4483" w:rsidRPr="004F4D42"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4F4D42">
        <w:rPr>
          <w:rFonts w:ascii="Palatino Linotype" w:eastAsia="Calibri" w:hAnsi="Palatino Linotype"/>
        </w:rPr>
        <w:t xml:space="preserve">Establecido lo anterior, resulta evidente que las razones o motivos de inconformidad hechos valer en el recurso de revisión resultan </w:t>
      </w:r>
      <w:r w:rsidRPr="004F4D42">
        <w:rPr>
          <w:rFonts w:ascii="Palatino Linotype" w:eastAsia="Calibri" w:hAnsi="Palatino Linotype"/>
          <w:b/>
        </w:rPr>
        <w:t>fundadas y procedentes</w:t>
      </w:r>
      <w:r w:rsidRPr="004F4D42">
        <w:rPr>
          <w:rFonts w:ascii="Palatino Linotype" w:eastAsia="Calibri" w:hAnsi="Palatino Linotype"/>
        </w:rPr>
        <w:t xml:space="preserve">, debido a que el </w:t>
      </w:r>
      <w:r w:rsidRPr="004F4D42">
        <w:rPr>
          <w:rFonts w:ascii="Palatino Linotype" w:eastAsia="Calibri" w:hAnsi="Palatino Linotype"/>
          <w:b/>
        </w:rPr>
        <w:t>SUJETO OBLIGADO</w:t>
      </w:r>
      <w:r w:rsidRPr="004F4D42">
        <w:rPr>
          <w:rFonts w:ascii="Palatino Linotype" w:eastAsia="Calibri" w:hAnsi="Palatino Linotype"/>
        </w:rPr>
        <w:t xml:space="preserve"> proporcionó información que no corresponde con lo solicitado.</w:t>
      </w:r>
    </w:p>
    <w:p w14:paraId="4CFD2ECD" w14:textId="0AA5462A" w:rsidR="008E4483" w:rsidRPr="004F4D42"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4F4D42">
        <w:rPr>
          <w:rFonts w:ascii="Palatino Linotype" w:hAnsi="Palatino Linotype" w:cs="Arial"/>
        </w:rPr>
        <w:t xml:space="preserve">Ahora bien, para entender los alcances de la información pública se considera importante citar el criterio </w:t>
      </w:r>
      <w:r w:rsidRPr="004F4D42">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F4D42">
        <w:rPr>
          <w:rFonts w:ascii="Palatino Linotype" w:hAnsi="Palatino Linotype" w:cs="Arial"/>
        </w:rPr>
        <w:t>cuyo rubro y texto dispone:</w:t>
      </w:r>
    </w:p>
    <w:p w14:paraId="27F940F8" w14:textId="77777777" w:rsidR="008E4483" w:rsidRPr="004F4D42"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4F4D42"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4F4D42">
        <w:rPr>
          <w:rFonts w:ascii="Palatino Linotype" w:hAnsi="Palatino Linotype" w:cs="Arial"/>
          <w:b/>
          <w:i/>
          <w:sz w:val="22"/>
          <w:szCs w:val="22"/>
          <w:lang w:eastAsia="es-MX"/>
        </w:rPr>
        <w:t>“CRITERIO 0002-11</w:t>
      </w:r>
    </w:p>
    <w:p w14:paraId="0FACDA68" w14:textId="77777777" w:rsidR="008E4483" w:rsidRPr="004F4D42"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F4D42">
        <w:rPr>
          <w:rFonts w:ascii="Palatino Linotype" w:hAnsi="Palatino Linotype" w:cs="Arial"/>
          <w:b/>
          <w:i/>
          <w:sz w:val="22"/>
          <w:szCs w:val="22"/>
          <w:lang w:eastAsia="es-MX"/>
        </w:rPr>
        <w:lastRenderedPageBreak/>
        <w:t xml:space="preserve">INFORMACIÓN PÚBLICA, CONCEPTO DE, EN MATERIA DE TRANSPARENCIA. INTERPRETACIÓN TEMÁTICA DE LOS ARTÍCULOS 2, FRACCIÓN </w:t>
      </w:r>
      <w:r w:rsidRPr="004F4D42">
        <w:rPr>
          <w:rFonts w:ascii="Palatino Linotype" w:hAnsi="Palatino Linotype" w:cs="Arial"/>
          <w:b/>
          <w:bCs/>
          <w:i/>
          <w:sz w:val="22"/>
          <w:szCs w:val="22"/>
          <w:lang w:eastAsia="es-MX"/>
        </w:rPr>
        <w:t xml:space="preserve">V, XV, Y XVI, </w:t>
      </w:r>
      <w:r w:rsidRPr="004F4D42">
        <w:rPr>
          <w:rFonts w:ascii="Palatino Linotype" w:hAnsi="Palatino Linotype" w:cs="Arial"/>
          <w:b/>
          <w:i/>
          <w:sz w:val="22"/>
          <w:szCs w:val="22"/>
          <w:lang w:eastAsia="es-MX"/>
        </w:rPr>
        <w:t>3, 4,11 Y 41.</w:t>
      </w:r>
      <w:r w:rsidRPr="004F4D4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4F4D42"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F4D42">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4F4D42"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F4D42">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4F4D42"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F4D42">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4F4D42" w:rsidRDefault="008E4483" w:rsidP="008E4483">
      <w:pPr>
        <w:ind w:left="567" w:right="567"/>
        <w:jc w:val="both"/>
        <w:rPr>
          <w:rFonts w:ascii="Palatino Linotype" w:hAnsi="Palatino Linotype" w:cs="Arial"/>
          <w:i/>
          <w:color w:val="000000" w:themeColor="text1"/>
          <w:sz w:val="22"/>
          <w:szCs w:val="22"/>
        </w:rPr>
      </w:pPr>
      <w:r w:rsidRPr="004F4D42">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4F4D42"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4F4D42"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4F4D42">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4F4D42"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4F4D42">
        <w:rPr>
          <w:rFonts w:ascii="Palatino Linotype" w:eastAsiaTheme="minorHAnsi" w:hAnsi="Palatino Linotype" w:cs="Bookman Old Style,Bold"/>
          <w:b/>
          <w:bCs/>
          <w:i/>
          <w:sz w:val="22"/>
          <w:lang w:eastAsia="en-US"/>
        </w:rPr>
        <w:t xml:space="preserve">XI. Documento: </w:t>
      </w:r>
      <w:r w:rsidRPr="004F4D42">
        <w:rPr>
          <w:rFonts w:ascii="Palatino Linotype" w:eastAsiaTheme="minorHAnsi" w:hAnsi="Palatino Linotype" w:cs="Bookman Old Style"/>
          <w:i/>
          <w:sz w:val="22"/>
          <w:lang w:eastAsia="en-US"/>
        </w:rPr>
        <w:t xml:space="preserve">Los expedientes, reportes, estudios, actas, resoluciones, </w:t>
      </w:r>
      <w:r w:rsidRPr="004F4D42">
        <w:rPr>
          <w:rFonts w:ascii="Palatino Linotype" w:eastAsiaTheme="minorHAnsi" w:hAnsi="Palatino Linotype" w:cs="Bookman Old Style"/>
          <w:b/>
          <w:i/>
          <w:sz w:val="22"/>
          <w:lang w:eastAsia="en-US"/>
        </w:rPr>
        <w:t>oficios,</w:t>
      </w:r>
      <w:r w:rsidRPr="004F4D42">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4F4D42">
        <w:rPr>
          <w:rFonts w:ascii="Palatino Linotype" w:eastAsiaTheme="minorHAnsi" w:hAnsi="Palatino Linotype" w:cs="Bookman Old Style"/>
          <w:b/>
          <w:i/>
          <w:sz w:val="22"/>
          <w:lang w:eastAsia="en-US"/>
        </w:rPr>
        <w:t>cualquier otro registro</w:t>
      </w:r>
      <w:r w:rsidRPr="004F4D42">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4F4D42"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4F4D42"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4F4D42">
        <w:rPr>
          <w:rFonts w:ascii="Palatino Linotype" w:hAnsi="Palatino Linotype"/>
          <w:lang w:val="es-ES"/>
        </w:rPr>
        <w:t xml:space="preserve">Es así que, todos los actos de autoridad que realicen los Sujetos Obligados deben estar documentados y, bajo el más alto estándar de transparencia deberán </w:t>
      </w:r>
      <w:r w:rsidRPr="004F4D42">
        <w:rPr>
          <w:rFonts w:ascii="Palatino Linotype" w:hAnsi="Palatino Linotype"/>
          <w:lang w:val="es-ES"/>
        </w:rPr>
        <w:lastRenderedPageBreak/>
        <w:t>poner toda la información que se encuentre en su posesión, a disposición de los particulares que la soliciten.</w:t>
      </w:r>
    </w:p>
    <w:p w14:paraId="1A752599" w14:textId="77777777" w:rsidR="008E4483" w:rsidRPr="004F4D42"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4F4D42" w:rsidRDefault="008E4483" w:rsidP="003B5FD2">
      <w:pPr>
        <w:pStyle w:val="Prrafodelista"/>
        <w:numPr>
          <w:ilvl w:val="0"/>
          <w:numId w:val="4"/>
        </w:numPr>
        <w:spacing w:line="360" w:lineRule="auto"/>
        <w:jc w:val="both"/>
        <w:rPr>
          <w:rFonts w:ascii="Palatino Linotype" w:eastAsia="Calibri" w:hAnsi="Palatino Linotype" w:cs="Arial"/>
        </w:rPr>
      </w:pPr>
      <w:r w:rsidRPr="004F4D42">
        <w:rPr>
          <w:rFonts w:ascii="Palatino Linotype" w:hAnsi="Palatino Linotype"/>
          <w:color w:val="000000" w:themeColor="text1"/>
        </w:rPr>
        <w:t xml:space="preserve">Resulta necesario referir que, el </w:t>
      </w:r>
      <w:r w:rsidRPr="004F4D42">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F4D42">
        <w:rPr>
          <w:rFonts w:ascii="Palatino Linotype" w:eastAsia="Calibri" w:hAnsi="Palatino Linotype" w:cs="Arial"/>
          <w:b/>
        </w:rPr>
        <w:t>los Sujetos Obligados deberán documentar todo acto que se derive del ejercicio de sus facultades, competencias o funciones,</w:t>
      </w:r>
      <w:r w:rsidRPr="004F4D42">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4F4D42" w:rsidRDefault="008E4483" w:rsidP="008E4483">
      <w:pPr>
        <w:pStyle w:val="Prrafodelista"/>
        <w:rPr>
          <w:rFonts w:ascii="Palatino Linotype" w:eastAsia="Calibri" w:hAnsi="Palatino Linotype" w:cs="Arial"/>
        </w:rPr>
      </w:pPr>
    </w:p>
    <w:p w14:paraId="308FCB42" w14:textId="77777777" w:rsidR="008E4483" w:rsidRPr="004F4D42" w:rsidRDefault="008E4483" w:rsidP="003B5FD2">
      <w:pPr>
        <w:pStyle w:val="Prrafodelista"/>
        <w:numPr>
          <w:ilvl w:val="0"/>
          <w:numId w:val="4"/>
        </w:numPr>
        <w:spacing w:line="360" w:lineRule="auto"/>
        <w:jc w:val="both"/>
        <w:rPr>
          <w:rFonts w:ascii="Palatino Linotype" w:eastAsia="Calibri" w:hAnsi="Palatino Linotype" w:cs="Arial"/>
        </w:rPr>
      </w:pPr>
      <w:r w:rsidRPr="004F4D42">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4F4D42" w:rsidRDefault="008E4483" w:rsidP="008E4483">
      <w:pPr>
        <w:pStyle w:val="Prrafodelista"/>
        <w:spacing w:line="360" w:lineRule="auto"/>
        <w:rPr>
          <w:rFonts w:ascii="Palatino Linotype" w:hAnsi="Palatino Linotype" w:cs="Arial"/>
          <w:color w:val="000000"/>
        </w:rPr>
      </w:pPr>
    </w:p>
    <w:p w14:paraId="0DE0F687" w14:textId="77777777" w:rsidR="008E4483" w:rsidRPr="004F4D4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4F4D42">
        <w:rPr>
          <w:rFonts w:ascii="Palatino Linotype" w:hAnsi="Palatino Linotype" w:cs="Bookman Old Style,Bold"/>
          <w:b/>
          <w:bCs/>
          <w:i/>
          <w:sz w:val="22"/>
        </w:rPr>
        <w:t xml:space="preserve">Artículo 4. </w:t>
      </w:r>
      <w:r w:rsidRPr="004F4D42">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4F4D4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4F4D42">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4F4D42">
        <w:rPr>
          <w:rFonts w:ascii="Palatino Linotype" w:hAnsi="Palatino Linotype" w:cs="Bookman Old Style"/>
          <w:i/>
          <w:sz w:val="22"/>
        </w:rPr>
        <w:lastRenderedPageBreak/>
        <w:t>por razones de interés público, en los términos de las causas legítimas y estrictamente necesarias previstas por esta Ley.</w:t>
      </w:r>
    </w:p>
    <w:p w14:paraId="5BFA1242" w14:textId="77777777" w:rsidR="008E4483" w:rsidRPr="004F4D4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4F4D4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4F4D42">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4F4D42"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4F4D4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4F4D42">
        <w:rPr>
          <w:rFonts w:ascii="Palatino Linotype" w:hAnsi="Palatino Linotype" w:cs="Bookman Old Style,Bold"/>
          <w:b/>
          <w:bCs/>
          <w:i/>
          <w:sz w:val="22"/>
        </w:rPr>
        <w:t xml:space="preserve">Artículo 12. </w:t>
      </w:r>
      <w:r w:rsidRPr="004F4D42">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4F4D42"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4F4D42">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4F4D42">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4F4D42"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4F4D42"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4F4D42">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F4D42">
        <w:rPr>
          <w:rStyle w:val="Refdenotaalpie"/>
          <w:lang w:val="es-ES"/>
        </w:rPr>
        <w:footnoteReference w:id="5"/>
      </w:r>
      <w:r w:rsidRPr="004F4D42">
        <w:rPr>
          <w:rFonts w:ascii="Palatino Linotype" w:hAnsi="Palatino Linotype"/>
          <w:lang w:val="es-ES"/>
        </w:rPr>
        <w:t xml:space="preserve"> y máxima publicidad, sobre éste último se debe poner mayor énfasis, puesto que establece que toda la información en posesión de los Sujetos </w:t>
      </w:r>
      <w:r w:rsidRPr="004F4D42">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66034A79" w14:textId="77777777" w:rsidR="008E4483" w:rsidRPr="004F4D42"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4F4D42"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4F4D42">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4F4D42" w:rsidRDefault="008E4483" w:rsidP="001636EB">
      <w:pPr>
        <w:pStyle w:val="Prrafodelista"/>
        <w:tabs>
          <w:tab w:val="left" w:pos="851"/>
        </w:tabs>
        <w:spacing w:line="360" w:lineRule="auto"/>
        <w:ind w:left="567" w:right="567"/>
        <w:jc w:val="both"/>
        <w:rPr>
          <w:rFonts w:ascii="Palatino Linotype" w:hAnsi="Palatino Linotype"/>
          <w:i/>
          <w:sz w:val="22"/>
        </w:rPr>
      </w:pPr>
      <w:r w:rsidRPr="004F4D42">
        <w:rPr>
          <w:rFonts w:ascii="Palatino Linotype" w:hAnsi="Palatino Linotype"/>
          <w:b/>
          <w:i/>
          <w:sz w:val="22"/>
        </w:rPr>
        <w:t>ACCESO A LA INFORMACIÓN. IMPLICACIÓN DEL PRINCIPIO DE MÁXIMA PUBLICIDAD EN EL DERECHO FUNDAMENTAL RELATIVO.</w:t>
      </w:r>
      <w:r w:rsidRPr="004F4D42">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w:t>
      </w:r>
      <w:r w:rsidRPr="004F4D42">
        <w:rPr>
          <w:rFonts w:ascii="Palatino Linotype" w:hAnsi="Palatino Linotype"/>
          <w:i/>
          <w:sz w:val="22"/>
        </w:rPr>
        <w:lastRenderedPageBreak/>
        <w:t xml:space="preserve">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4F4D42"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4F4D42" w:rsidRDefault="008E4483" w:rsidP="001636EB">
      <w:pPr>
        <w:pStyle w:val="Prrafodelista"/>
        <w:tabs>
          <w:tab w:val="left" w:pos="851"/>
        </w:tabs>
        <w:spacing w:line="360" w:lineRule="auto"/>
        <w:ind w:left="567" w:right="567"/>
        <w:jc w:val="both"/>
        <w:rPr>
          <w:rFonts w:ascii="Palatino Linotype" w:hAnsi="Palatino Linotype"/>
          <w:i/>
          <w:sz w:val="22"/>
        </w:rPr>
      </w:pPr>
      <w:r w:rsidRPr="004F4D42">
        <w:rPr>
          <w:rFonts w:ascii="Palatino Linotype" w:hAnsi="Palatino Linotype"/>
          <w:i/>
          <w:sz w:val="22"/>
        </w:rPr>
        <w:t xml:space="preserve">CUARTO TRIBUNAL COLEGIADO EN MATERIA ADMINISTRATIVA DEL PRIMER CIRCUITO. </w:t>
      </w:r>
    </w:p>
    <w:p w14:paraId="31A63FA8" w14:textId="77777777" w:rsidR="008E4483" w:rsidRPr="004F4D42"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4F4D42" w:rsidRDefault="008E4483" w:rsidP="001636EB">
      <w:pPr>
        <w:pStyle w:val="Prrafodelista"/>
        <w:tabs>
          <w:tab w:val="left" w:pos="851"/>
        </w:tabs>
        <w:spacing w:line="360" w:lineRule="auto"/>
        <w:ind w:left="567" w:right="567"/>
        <w:jc w:val="both"/>
        <w:rPr>
          <w:rFonts w:ascii="Palatino Linotype" w:hAnsi="Palatino Linotype"/>
          <w:i/>
          <w:sz w:val="22"/>
        </w:rPr>
      </w:pPr>
      <w:r w:rsidRPr="004F4D42">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4F4D42"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4F4D42"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4F4D42">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4F4D42"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4F4D42"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4F4D42">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b/>
          <w:i/>
          <w:sz w:val="22"/>
        </w:rPr>
        <w:t>“Artículo 6o.</w:t>
      </w:r>
      <w:r w:rsidRPr="004F4D42">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F4D42">
        <w:rPr>
          <w:rFonts w:ascii="Palatino Linotype" w:hAnsi="Palatino Linotype" w:cs="Arial"/>
          <w:b/>
          <w:i/>
          <w:sz w:val="22"/>
        </w:rPr>
        <w:t>El derecho a la información será garantizado por el Estado.</w:t>
      </w:r>
      <w:r w:rsidRPr="004F4D42">
        <w:rPr>
          <w:rFonts w:ascii="Palatino Linotype" w:hAnsi="Palatino Linotype" w:cs="Arial"/>
          <w:i/>
          <w:sz w:val="22"/>
        </w:rPr>
        <w:t xml:space="preserve"> </w:t>
      </w:r>
    </w:p>
    <w:p w14:paraId="4AC38F1F" w14:textId="77777777" w:rsidR="008E4483" w:rsidRPr="004F4D42" w:rsidRDefault="008E4483" w:rsidP="001636EB">
      <w:pPr>
        <w:spacing w:line="360" w:lineRule="auto"/>
        <w:ind w:left="567" w:right="567"/>
        <w:jc w:val="both"/>
        <w:rPr>
          <w:rFonts w:ascii="Palatino Linotype" w:hAnsi="Palatino Linotype" w:cs="Arial"/>
          <w:i/>
          <w:sz w:val="22"/>
        </w:rPr>
      </w:pPr>
    </w:p>
    <w:p w14:paraId="4B5681D6"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50BFC5F5" w14:textId="77777777" w:rsidR="008E4483" w:rsidRPr="004F4D42" w:rsidRDefault="008E4483" w:rsidP="001636EB">
      <w:pPr>
        <w:spacing w:line="360" w:lineRule="auto"/>
        <w:ind w:left="567" w:right="567"/>
        <w:jc w:val="both"/>
        <w:rPr>
          <w:rFonts w:ascii="Palatino Linotype" w:hAnsi="Palatino Linotype" w:cs="Arial"/>
          <w:i/>
          <w:sz w:val="22"/>
        </w:rPr>
      </w:pPr>
    </w:p>
    <w:p w14:paraId="681A3253"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Para efectos de lo dispuesto en el presente artículo se observará lo siguiente:</w:t>
      </w:r>
    </w:p>
    <w:p w14:paraId="500990B0" w14:textId="77777777" w:rsidR="008E4483" w:rsidRPr="004F4D42" w:rsidRDefault="008E4483" w:rsidP="001636EB">
      <w:pPr>
        <w:spacing w:line="360" w:lineRule="auto"/>
        <w:ind w:left="567" w:right="567"/>
        <w:jc w:val="both"/>
        <w:rPr>
          <w:rFonts w:ascii="Palatino Linotype" w:hAnsi="Palatino Linotype" w:cs="Arial"/>
          <w:i/>
          <w:sz w:val="22"/>
        </w:rPr>
      </w:pPr>
    </w:p>
    <w:p w14:paraId="1A00976B"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4F4D42" w:rsidRDefault="008E4483" w:rsidP="001636EB">
      <w:pPr>
        <w:spacing w:line="360" w:lineRule="auto"/>
        <w:ind w:left="567" w:right="567"/>
        <w:jc w:val="both"/>
        <w:rPr>
          <w:rFonts w:ascii="Palatino Linotype" w:hAnsi="Palatino Linotype" w:cs="Arial"/>
          <w:b/>
          <w:i/>
          <w:sz w:val="22"/>
        </w:rPr>
      </w:pPr>
    </w:p>
    <w:p w14:paraId="3A80ED39"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b/>
          <w:i/>
          <w:sz w:val="22"/>
        </w:rPr>
        <w:t>I. Toda la información en posesión de</w:t>
      </w:r>
      <w:r w:rsidRPr="004F4D42">
        <w:rPr>
          <w:rFonts w:ascii="Palatino Linotype" w:hAnsi="Palatino Linotype" w:cs="Arial"/>
          <w:i/>
          <w:sz w:val="22"/>
        </w:rPr>
        <w:t xml:space="preserve"> </w:t>
      </w:r>
      <w:r w:rsidRPr="004F4D42">
        <w:rPr>
          <w:rFonts w:ascii="Palatino Linotype" w:hAnsi="Palatino Linotype" w:cs="Arial"/>
          <w:b/>
          <w:i/>
          <w:sz w:val="22"/>
        </w:rPr>
        <w:t>cualquier autoridad</w:t>
      </w:r>
      <w:r w:rsidRPr="004F4D42">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F4D42">
        <w:rPr>
          <w:rFonts w:ascii="Palatino Linotype" w:hAnsi="Palatino Linotype" w:cs="Arial"/>
          <w:b/>
          <w:i/>
          <w:sz w:val="22"/>
        </w:rPr>
        <w:t>es pública</w:t>
      </w:r>
      <w:r w:rsidRPr="004F4D42">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4F4D42">
        <w:rPr>
          <w:rFonts w:ascii="Palatino Linotype" w:hAnsi="Palatino Linotype" w:cs="Arial"/>
          <w:b/>
          <w:i/>
          <w:sz w:val="22"/>
        </w:rPr>
        <w:t>Los sujetos obligados deberán documentar todo acto que derive del ejercicio de sus facultades, competencias o funciones</w:t>
      </w:r>
      <w:r w:rsidRPr="004F4D42">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4F4D42" w:rsidRDefault="008E4483" w:rsidP="001636EB">
      <w:pPr>
        <w:spacing w:line="360" w:lineRule="auto"/>
        <w:ind w:left="567" w:right="567"/>
        <w:jc w:val="both"/>
        <w:rPr>
          <w:rFonts w:ascii="Palatino Linotype" w:hAnsi="Palatino Linotype" w:cs="Arial"/>
          <w:i/>
          <w:sz w:val="22"/>
        </w:rPr>
      </w:pPr>
    </w:p>
    <w:p w14:paraId="0CECF853"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4F4D42" w:rsidRDefault="008E4483" w:rsidP="001636EB">
      <w:pPr>
        <w:spacing w:line="360" w:lineRule="auto"/>
        <w:ind w:left="567" w:right="567"/>
        <w:jc w:val="both"/>
        <w:rPr>
          <w:rFonts w:ascii="Palatino Linotype" w:hAnsi="Palatino Linotype" w:cs="Arial"/>
          <w:i/>
          <w:sz w:val="22"/>
        </w:rPr>
      </w:pPr>
    </w:p>
    <w:p w14:paraId="4EF8A8A9"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4F4D42" w:rsidRDefault="008E4483" w:rsidP="001636EB">
      <w:pPr>
        <w:spacing w:line="360" w:lineRule="auto"/>
        <w:ind w:left="567" w:right="567"/>
        <w:jc w:val="both"/>
        <w:rPr>
          <w:rFonts w:ascii="Palatino Linotype" w:hAnsi="Palatino Linotype" w:cs="Arial"/>
          <w:i/>
          <w:sz w:val="22"/>
        </w:rPr>
      </w:pPr>
    </w:p>
    <w:p w14:paraId="112801FD"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4F4D42" w:rsidRDefault="008E4483" w:rsidP="001636EB">
      <w:pPr>
        <w:spacing w:line="360" w:lineRule="auto"/>
        <w:ind w:left="567" w:right="567"/>
        <w:jc w:val="both"/>
        <w:rPr>
          <w:rFonts w:ascii="Palatino Linotype" w:hAnsi="Palatino Linotype" w:cs="Arial"/>
          <w:b/>
          <w:i/>
          <w:sz w:val="22"/>
        </w:rPr>
      </w:pPr>
    </w:p>
    <w:p w14:paraId="3FB33C7B"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b/>
          <w:i/>
          <w:sz w:val="22"/>
        </w:rPr>
        <w:t>V. Los sujetos obligados deberán preservar sus documentos en archivos administrativos actualizados y publicarán, a través de los medios electrónicos disponibles</w:t>
      </w:r>
      <w:r w:rsidRPr="004F4D42">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4F4D42" w:rsidRDefault="008E4483" w:rsidP="001636EB">
      <w:pPr>
        <w:spacing w:line="360" w:lineRule="auto"/>
        <w:ind w:left="567" w:right="567"/>
        <w:jc w:val="both"/>
        <w:rPr>
          <w:rFonts w:ascii="Palatino Linotype" w:hAnsi="Palatino Linotype" w:cs="Arial"/>
          <w:i/>
          <w:sz w:val="22"/>
        </w:rPr>
      </w:pPr>
    </w:p>
    <w:p w14:paraId="37399313"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4F4D42" w:rsidRDefault="008E4483" w:rsidP="001636EB">
      <w:pPr>
        <w:spacing w:line="360" w:lineRule="auto"/>
        <w:ind w:left="567" w:right="567"/>
        <w:jc w:val="both"/>
        <w:rPr>
          <w:rFonts w:ascii="Palatino Linotype" w:hAnsi="Palatino Linotype" w:cs="Arial"/>
          <w:i/>
          <w:sz w:val="22"/>
        </w:rPr>
      </w:pPr>
    </w:p>
    <w:p w14:paraId="4D04B6B7"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4F4D42" w:rsidRDefault="008E4483" w:rsidP="001636EB">
      <w:pPr>
        <w:spacing w:line="360" w:lineRule="auto"/>
        <w:ind w:left="567" w:right="567"/>
        <w:jc w:val="both"/>
        <w:rPr>
          <w:rFonts w:ascii="Palatino Linotype" w:hAnsi="Palatino Linotype" w:cs="Arial"/>
          <w:i/>
          <w:sz w:val="22"/>
        </w:rPr>
      </w:pPr>
    </w:p>
    <w:p w14:paraId="30D06838"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w:t>
      </w:r>
    </w:p>
    <w:p w14:paraId="6140CC8E"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cs="Arial"/>
          <w:i/>
          <w:sz w:val="22"/>
        </w:rPr>
        <w:t>La ley establecerá aquella información que se considere reservada o confidencial.”</w:t>
      </w:r>
    </w:p>
    <w:p w14:paraId="0DF4504F" w14:textId="77777777" w:rsidR="008E4483" w:rsidRPr="004F4D42" w:rsidRDefault="008E4483" w:rsidP="001636EB">
      <w:pPr>
        <w:spacing w:line="360" w:lineRule="auto"/>
        <w:ind w:left="567" w:right="567"/>
        <w:jc w:val="both"/>
        <w:rPr>
          <w:rFonts w:ascii="Palatino Linotype" w:hAnsi="Palatino Linotype"/>
          <w:i/>
          <w:sz w:val="22"/>
        </w:rPr>
      </w:pPr>
    </w:p>
    <w:p w14:paraId="70B9AFAD"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i/>
          <w:sz w:val="22"/>
        </w:rPr>
        <w:t>(Énfasis añadido)</w:t>
      </w:r>
    </w:p>
    <w:p w14:paraId="1E957CE8" w14:textId="77777777" w:rsidR="008E4483" w:rsidRPr="004F4D42" w:rsidRDefault="008E4483" w:rsidP="008E4483">
      <w:pPr>
        <w:spacing w:line="360" w:lineRule="auto"/>
        <w:ind w:left="709" w:right="757"/>
        <w:jc w:val="both"/>
        <w:rPr>
          <w:rFonts w:ascii="Palatino Linotype" w:hAnsi="Palatino Linotype"/>
        </w:rPr>
      </w:pPr>
    </w:p>
    <w:p w14:paraId="67E589E6" w14:textId="77777777" w:rsidR="008E4483" w:rsidRPr="004F4D42" w:rsidRDefault="008E4483" w:rsidP="008E4483">
      <w:pPr>
        <w:pStyle w:val="Prrafodelista"/>
        <w:numPr>
          <w:ilvl w:val="0"/>
          <w:numId w:val="1"/>
        </w:numPr>
        <w:spacing w:line="360" w:lineRule="auto"/>
        <w:jc w:val="both"/>
        <w:rPr>
          <w:rFonts w:ascii="Palatino Linotype" w:hAnsi="Palatino Linotype" w:cs="Arial"/>
        </w:rPr>
      </w:pPr>
      <w:r w:rsidRPr="004F4D42">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4F4D42" w:rsidRDefault="008E4483" w:rsidP="008E4483">
      <w:pPr>
        <w:spacing w:line="360" w:lineRule="auto"/>
        <w:ind w:left="709" w:right="757"/>
        <w:jc w:val="both"/>
        <w:rPr>
          <w:rFonts w:ascii="Palatino Linotype" w:hAnsi="Palatino Linotype" w:cs="Arial"/>
        </w:rPr>
      </w:pPr>
    </w:p>
    <w:p w14:paraId="459B253A" w14:textId="77777777" w:rsidR="008E4483" w:rsidRPr="004F4D42" w:rsidRDefault="008E4483" w:rsidP="001636EB">
      <w:pPr>
        <w:spacing w:line="360" w:lineRule="auto"/>
        <w:ind w:left="567" w:right="567"/>
        <w:jc w:val="both"/>
        <w:rPr>
          <w:rFonts w:ascii="Palatino Linotype" w:hAnsi="Palatino Linotype" w:cs="Arial"/>
          <w:b/>
          <w:i/>
          <w:sz w:val="22"/>
        </w:rPr>
      </w:pPr>
      <w:r w:rsidRPr="004F4D42">
        <w:rPr>
          <w:rFonts w:ascii="Palatino Linotype" w:hAnsi="Palatino Linotype" w:cs="Arial"/>
          <w:b/>
          <w:i/>
          <w:sz w:val="22"/>
        </w:rPr>
        <w:t xml:space="preserve">“Artículo 5. … </w:t>
      </w:r>
    </w:p>
    <w:p w14:paraId="6BF00F17"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b/>
          <w:i/>
          <w:sz w:val="22"/>
        </w:rPr>
        <w:t>El derecho a la información será garantizado por el Estado</w:t>
      </w:r>
      <w:r w:rsidRPr="004F4D42">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4F4D42" w:rsidRDefault="008E4483" w:rsidP="001636EB">
      <w:pPr>
        <w:spacing w:line="360" w:lineRule="auto"/>
        <w:ind w:left="567" w:right="567"/>
        <w:jc w:val="both"/>
        <w:rPr>
          <w:rFonts w:ascii="Palatino Linotype" w:hAnsi="Palatino Linotype"/>
          <w:i/>
          <w:sz w:val="22"/>
        </w:rPr>
      </w:pPr>
    </w:p>
    <w:p w14:paraId="480C22E0"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i/>
          <w:sz w:val="22"/>
        </w:rPr>
        <w:t>Este derecho se regirá por los principios y bases siguientes:</w:t>
      </w:r>
    </w:p>
    <w:p w14:paraId="14A2C90A" w14:textId="77777777" w:rsidR="008E4483" w:rsidRPr="004F4D42" w:rsidRDefault="008E4483" w:rsidP="001636EB">
      <w:pPr>
        <w:spacing w:line="360" w:lineRule="auto"/>
        <w:ind w:left="567" w:right="567"/>
        <w:jc w:val="both"/>
        <w:rPr>
          <w:rFonts w:ascii="Palatino Linotype" w:hAnsi="Palatino Linotype"/>
          <w:b/>
          <w:i/>
          <w:sz w:val="22"/>
        </w:rPr>
      </w:pPr>
    </w:p>
    <w:p w14:paraId="44073A0F"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b/>
          <w:i/>
          <w:sz w:val="22"/>
        </w:rPr>
        <w:t xml:space="preserve">I. Toda la información en posesión </w:t>
      </w:r>
      <w:r w:rsidRPr="004F4D42">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4F4D42">
        <w:rPr>
          <w:rFonts w:ascii="Palatino Linotype" w:hAnsi="Palatino Linotype"/>
          <w:b/>
          <w:i/>
          <w:sz w:val="22"/>
        </w:rPr>
        <w:t>del gobierno y de la administración pública municipal y sus organismos descentralizados</w:t>
      </w:r>
      <w:r w:rsidRPr="004F4D42">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4F4D42">
        <w:rPr>
          <w:rFonts w:ascii="Palatino Linotype" w:hAnsi="Palatino Linotype"/>
          <w:b/>
          <w:i/>
          <w:sz w:val="22"/>
        </w:rPr>
        <w:t>es pública</w:t>
      </w:r>
      <w:r w:rsidRPr="004F4D42">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4F4D42">
        <w:rPr>
          <w:rFonts w:ascii="Palatino Linotype" w:hAnsi="Palatino Linotype"/>
          <w:i/>
          <w:sz w:val="22"/>
        </w:rPr>
        <w:lastRenderedPageBreak/>
        <w:t>los supuestos específicos bajo los cuales procederá la declaración de inexistencia de la información.</w:t>
      </w:r>
    </w:p>
    <w:p w14:paraId="644B187B" w14:textId="77777777" w:rsidR="008E4483" w:rsidRPr="004F4D42" w:rsidRDefault="008E4483" w:rsidP="001636EB">
      <w:pPr>
        <w:spacing w:line="360" w:lineRule="auto"/>
        <w:ind w:left="567" w:right="567"/>
        <w:jc w:val="both"/>
        <w:rPr>
          <w:rFonts w:ascii="Palatino Linotype" w:hAnsi="Palatino Linotype"/>
          <w:i/>
          <w:sz w:val="22"/>
        </w:rPr>
      </w:pPr>
    </w:p>
    <w:p w14:paraId="2FF70804"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4F4D42" w:rsidRDefault="008E4483" w:rsidP="001636EB">
      <w:pPr>
        <w:spacing w:line="360" w:lineRule="auto"/>
        <w:ind w:left="567" w:right="567"/>
        <w:jc w:val="both"/>
        <w:rPr>
          <w:rFonts w:ascii="Palatino Linotype" w:hAnsi="Palatino Linotype"/>
          <w:i/>
          <w:sz w:val="22"/>
        </w:rPr>
      </w:pPr>
    </w:p>
    <w:p w14:paraId="6FA24126"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4F4D42" w:rsidRDefault="008E4483" w:rsidP="001636EB">
      <w:pPr>
        <w:spacing w:line="360" w:lineRule="auto"/>
        <w:ind w:left="567" w:right="567"/>
        <w:jc w:val="both"/>
        <w:rPr>
          <w:rFonts w:ascii="Palatino Linotype" w:hAnsi="Palatino Linotype"/>
          <w:i/>
          <w:sz w:val="22"/>
        </w:rPr>
      </w:pPr>
    </w:p>
    <w:p w14:paraId="24C5C6FF"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4F4D42" w:rsidRDefault="008E4483" w:rsidP="001636EB">
      <w:pPr>
        <w:spacing w:line="360" w:lineRule="auto"/>
        <w:ind w:left="567" w:right="567"/>
        <w:jc w:val="both"/>
        <w:rPr>
          <w:rFonts w:ascii="Palatino Linotype" w:hAnsi="Palatino Linotype"/>
          <w:i/>
          <w:sz w:val="22"/>
        </w:rPr>
      </w:pPr>
    </w:p>
    <w:p w14:paraId="2D1804C7"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4F4D42" w:rsidRDefault="008E4483" w:rsidP="001636EB">
      <w:pPr>
        <w:spacing w:line="360" w:lineRule="auto"/>
        <w:ind w:left="567" w:right="567"/>
        <w:jc w:val="both"/>
        <w:rPr>
          <w:rFonts w:ascii="Palatino Linotype" w:hAnsi="Palatino Linotype"/>
          <w:b/>
          <w:i/>
          <w:sz w:val="22"/>
        </w:rPr>
      </w:pPr>
    </w:p>
    <w:p w14:paraId="6DB2EC7A" w14:textId="77777777" w:rsidR="008E4483" w:rsidRPr="004F4D42" w:rsidRDefault="008E4483" w:rsidP="001636EB">
      <w:pPr>
        <w:spacing w:line="360" w:lineRule="auto"/>
        <w:ind w:left="567" w:right="567"/>
        <w:jc w:val="both"/>
        <w:rPr>
          <w:rFonts w:ascii="Palatino Linotype" w:hAnsi="Palatino Linotype"/>
          <w:i/>
          <w:sz w:val="22"/>
        </w:rPr>
      </w:pPr>
      <w:r w:rsidRPr="004F4D42">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4F4D42">
        <w:rPr>
          <w:rFonts w:ascii="Palatino Linotype" w:hAnsi="Palatino Linotype"/>
          <w:i/>
          <w:sz w:val="22"/>
        </w:rPr>
        <w:t xml:space="preserve"> y los indicadores que permitan rendir cuenta del cumplimiento de sus objetivos y los resultados obtenidos.</w:t>
      </w:r>
    </w:p>
    <w:p w14:paraId="042705A7" w14:textId="77777777" w:rsidR="008E4483" w:rsidRPr="004F4D42" w:rsidRDefault="008E4483" w:rsidP="001636EB">
      <w:pPr>
        <w:spacing w:line="360" w:lineRule="auto"/>
        <w:ind w:left="567" w:right="567"/>
        <w:jc w:val="both"/>
        <w:rPr>
          <w:rFonts w:ascii="Palatino Linotype" w:hAnsi="Palatino Linotype"/>
          <w:i/>
          <w:sz w:val="22"/>
        </w:rPr>
      </w:pPr>
    </w:p>
    <w:p w14:paraId="6810788F" w14:textId="77777777" w:rsidR="008E4483" w:rsidRPr="004F4D42" w:rsidRDefault="008E4483" w:rsidP="001636EB">
      <w:pPr>
        <w:spacing w:line="360" w:lineRule="auto"/>
        <w:ind w:left="567" w:right="567"/>
        <w:jc w:val="both"/>
        <w:rPr>
          <w:rFonts w:ascii="Palatino Linotype" w:hAnsi="Palatino Linotype" w:cs="Arial"/>
          <w:i/>
          <w:sz w:val="22"/>
        </w:rPr>
      </w:pPr>
      <w:r w:rsidRPr="004F4D42">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4F4D42" w:rsidRDefault="008E4483" w:rsidP="001636EB">
      <w:pPr>
        <w:spacing w:line="360" w:lineRule="auto"/>
        <w:ind w:left="567" w:right="567"/>
        <w:jc w:val="both"/>
        <w:rPr>
          <w:rFonts w:ascii="Palatino Linotype" w:hAnsi="Palatino Linotype"/>
          <w:sz w:val="22"/>
        </w:rPr>
      </w:pPr>
    </w:p>
    <w:p w14:paraId="76F0890A" w14:textId="77777777" w:rsidR="008E4483" w:rsidRPr="004F4D42" w:rsidRDefault="008E4483" w:rsidP="001636EB">
      <w:pPr>
        <w:spacing w:line="360" w:lineRule="auto"/>
        <w:ind w:left="567" w:right="567"/>
        <w:jc w:val="both"/>
        <w:rPr>
          <w:rFonts w:ascii="Palatino Linotype" w:hAnsi="Palatino Linotype"/>
          <w:sz w:val="22"/>
        </w:rPr>
      </w:pPr>
      <w:r w:rsidRPr="004F4D42">
        <w:rPr>
          <w:rFonts w:ascii="Palatino Linotype" w:hAnsi="Palatino Linotype"/>
          <w:sz w:val="22"/>
        </w:rPr>
        <w:t>(Énfasis añadido)</w:t>
      </w:r>
    </w:p>
    <w:p w14:paraId="04C6290A" w14:textId="77777777" w:rsidR="008E4483" w:rsidRPr="004F4D42" w:rsidRDefault="008E4483" w:rsidP="008E4483">
      <w:pPr>
        <w:spacing w:line="360" w:lineRule="auto"/>
        <w:ind w:left="567" w:right="567"/>
        <w:jc w:val="both"/>
        <w:rPr>
          <w:rFonts w:ascii="Palatino Linotype" w:hAnsi="Palatino Linotype"/>
          <w:sz w:val="22"/>
        </w:rPr>
      </w:pPr>
    </w:p>
    <w:p w14:paraId="41212765" w14:textId="702A87DA" w:rsidR="008E4483" w:rsidRPr="004F4D42" w:rsidRDefault="008E4483" w:rsidP="008E4483">
      <w:pPr>
        <w:pStyle w:val="Prrafodelista"/>
        <w:numPr>
          <w:ilvl w:val="0"/>
          <w:numId w:val="1"/>
        </w:numPr>
        <w:spacing w:line="360" w:lineRule="auto"/>
        <w:jc w:val="both"/>
        <w:rPr>
          <w:rFonts w:ascii="Palatino Linotype" w:hAnsi="Palatino Linotype" w:cs="Arial"/>
        </w:rPr>
      </w:pPr>
      <w:r w:rsidRPr="004F4D42">
        <w:rPr>
          <w:rFonts w:ascii="Palatino Linotype" w:hAnsi="Palatino Linotype" w:cs="Arial"/>
        </w:rPr>
        <w:t>Adicional, tenemos que la Ley de Transparencia y Acceso a la Información Pública del Estado de México y Municipios, prevé en su artículo 23 fracción I, lo siguiente:</w:t>
      </w:r>
    </w:p>
    <w:p w14:paraId="2FF12176" w14:textId="77777777" w:rsidR="008E4483" w:rsidRPr="004F4D42" w:rsidRDefault="008E4483" w:rsidP="008E4483">
      <w:pPr>
        <w:spacing w:line="360" w:lineRule="auto"/>
        <w:jc w:val="both"/>
        <w:rPr>
          <w:rFonts w:ascii="Palatino Linotype" w:hAnsi="Palatino Linotype" w:cs="Arial"/>
        </w:rPr>
      </w:pPr>
    </w:p>
    <w:p w14:paraId="509D888E" w14:textId="77777777" w:rsidR="008E4483" w:rsidRPr="004F4D42" w:rsidRDefault="008E4483" w:rsidP="001636EB">
      <w:pPr>
        <w:spacing w:line="360" w:lineRule="auto"/>
        <w:ind w:left="567" w:right="822"/>
        <w:jc w:val="both"/>
        <w:rPr>
          <w:rFonts w:ascii="Palatino Linotype" w:eastAsia="MS Mincho" w:hAnsi="Palatino Linotype" w:cs="Arial"/>
          <w:i/>
          <w:sz w:val="22"/>
          <w:szCs w:val="22"/>
        </w:rPr>
      </w:pPr>
      <w:r w:rsidRPr="004F4D42">
        <w:rPr>
          <w:rFonts w:ascii="Palatino Linotype" w:eastAsia="MS Mincho" w:hAnsi="Palatino Linotype" w:cs="Arial"/>
          <w:b/>
          <w:i/>
          <w:sz w:val="22"/>
          <w:szCs w:val="22"/>
        </w:rPr>
        <w:t xml:space="preserve">“Artículo 23. Son sujetos obligados a transparentar y permitir el acceso a su información y </w:t>
      </w:r>
      <w:r w:rsidRPr="004F4D42">
        <w:rPr>
          <w:rFonts w:ascii="Palatino Linotype" w:eastAsia="MS Mincho" w:hAnsi="Palatino Linotype"/>
          <w:b/>
          <w:i/>
          <w:sz w:val="22"/>
          <w:szCs w:val="22"/>
        </w:rPr>
        <w:t>proteger</w:t>
      </w:r>
      <w:r w:rsidRPr="004F4D42">
        <w:rPr>
          <w:rFonts w:ascii="Palatino Linotype" w:eastAsia="MS Mincho" w:hAnsi="Palatino Linotype" w:cs="Arial"/>
          <w:b/>
          <w:i/>
          <w:sz w:val="22"/>
          <w:szCs w:val="22"/>
        </w:rPr>
        <w:t xml:space="preserve"> los datos personales que obren en su poder</w:t>
      </w:r>
      <w:r w:rsidRPr="004F4D42">
        <w:rPr>
          <w:rFonts w:ascii="Palatino Linotype" w:eastAsia="MS Mincho" w:hAnsi="Palatino Linotype" w:cs="Arial"/>
          <w:i/>
          <w:sz w:val="22"/>
          <w:szCs w:val="22"/>
        </w:rPr>
        <w:t>:</w:t>
      </w:r>
    </w:p>
    <w:p w14:paraId="16B7E0D6" w14:textId="11E18FE6" w:rsidR="008E4483" w:rsidRPr="004F4D42" w:rsidRDefault="00E4180B" w:rsidP="001636EB">
      <w:pPr>
        <w:spacing w:line="360" w:lineRule="auto"/>
        <w:ind w:left="567" w:right="822"/>
        <w:jc w:val="both"/>
        <w:rPr>
          <w:rFonts w:ascii="Palatino Linotype" w:eastAsia="MS Mincho" w:hAnsi="Palatino Linotype" w:cs="Arial"/>
          <w:b/>
          <w:i/>
          <w:iCs/>
          <w:sz w:val="20"/>
          <w:szCs w:val="22"/>
        </w:rPr>
      </w:pPr>
      <w:r w:rsidRPr="004F4D42">
        <w:rPr>
          <w:rFonts w:ascii="Palatino Linotype" w:hAnsi="Palatino Linotype"/>
          <w:i/>
          <w:sz w:val="22"/>
        </w:rPr>
        <w:t>I. El Poder Ejecutivo del Estado de México, las dependencias, organismos auxiliares, órganos, entidades, fideicomisos y fondos públicos, así como la Procuraduría General de Justicia;</w:t>
      </w:r>
      <w:r w:rsidR="008E4483" w:rsidRPr="004F4D42">
        <w:rPr>
          <w:rFonts w:ascii="Palatino Linotype" w:eastAsia="MS Mincho" w:hAnsi="Palatino Linotype" w:cs="Arial"/>
          <w:b/>
          <w:i/>
          <w:iCs/>
          <w:sz w:val="20"/>
          <w:szCs w:val="22"/>
        </w:rPr>
        <w:t xml:space="preserve"> </w:t>
      </w:r>
    </w:p>
    <w:p w14:paraId="273927D8" w14:textId="77777777" w:rsidR="008E4483" w:rsidRPr="004F4D42" w:rsidRDefault="008E4483" w:rsidP="001636EB">
      <w:pPr>
        <w:spacing w:line="360" w:lineRule="auto"/>
        <w:ind w:left="567" w:right="822"/>
        <w:jc w:val="both"/>
        <w:rPr>
          <w:rFonts w:ascii="Palatino Linotype" w:eastAsia="MS Mincho" w:hAnsi="Palatino Linotype" w:cs="Arial"/>
          <w:b/>
          <w:i/>
          <w:sz w:val="22"/>
          <w:szCs w:val="22"/>
        </w:rPr>
      </w:pPr>
      <w:r w:rsidRPr="004F4D42">
        <w:rPr>
          <w:rFonts w:ascii="Palatino Linotype" w:eastAsia="MS Mincho" w:hAnsi="Palatino Linotype" w:cs="Arial"/>
          <w:b/>
          <w:i/>
          <w:sz w:val="22"/>
          <w:szCs w:val="22"/>
        </w:rPr>
        <w:t>…</w:t>
      </w:r>
    </w:p>
    <w:p w14:paraId="56BA427D" w14:textId="77777777" w:rsidR="008E4483" w:rsidRPr="004F4D42" w:rsidRDefault="008E4483" w:rsidP="001636EB">
      <w:pPr>
        <w:spacing w:line="360" w:lineRule="auto"/>
        <w:ind w:left="567" w:right="822"/>
        <w:jc w:val="both"/>
        <w:rPr>
          <w:rFonts w:ascii="Palatino Linotype" w:eastAsia="MS Mincho" w:hAnsi="Palatino Linotype"/>
          <w:b/>
          <w:i/>
          <w:sz w:val="22"/>
          <w:szCs w:val="22"/>
        </w:rPr>
      </w:pPr>
      <w:r w:rsidRPr="004F4D42">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4F4D42">
        <w:rPr>
          <w:rFonts w:ascii="Palatino Linotype" w:eastAsia="MS Mincho" w:hAnsi="Palatino Linotype"/>
          <w:i/>
          <w:sz w:val="22"/>
          <w:szCs w:val="22"/>
        </w:rPr>
        <w:t xml:space="preserve">, </w:t>
      </w:r>
      <w:r w:rsidRPr="004F4D42">
        <w:rPr>
          <w:rFonts w:ascii="Palatino Linotype" w:eastAsia="MS Mincho" w:hAnsi="Palatino Linotype"/>
          <w:b/>
          <w:i/>
          <w:sz w:val="22"/>
          <w:szCs w:val="22"/>
        </w:rPr>
        <w:t>así como</w:t>
      </w:r>
      <w:r w:rsidRPr="004F4D42">
        <w:rPr>
          <w:rFonts w:ascii="Palatino Linotype" w:eastAsia="MS Mincho" w:hAnsi="Palatino Linotype"/>
          <w:i/>
          <w:sz w:val="22"/>
          <w:szCs w:val="22"/>
        </w:rPr>
        <w:t xml:space="preserve"> </w:t>
      </w:r>
      <w:r w:rsidRPr="004F4D42">
        <w:rPr>
          <w:rFonts w:ascii="Palatino Linotype" w:eastAsia="MS Mincho" w:hAnsi="Palatino Linotype"/>
          <w:b/>
          <w:i/>
          <w:sz w:val="22"/>
          <w:szCs w:val="22"/>
        </w:rPr>
        <w:t>los informes que dichas personas les entreguen sobre el uso y destino de dichos recursos.</w:t>
      </w:r>
    </w:p>
    <w:p w14:paraId="42959804" w14:textId="77777777" w:rsidR="008E4483" w:rsidRPr="004F4D42"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4F4D42" w:rsidRDefault="008E4483" w:rsidP="001636EB">
      <w:pPr>
        <w:spacing w:line="360" w:lineRule="auto"/>
        <w:ind w:left="567" w:right="822"/>
        <w:jc w:val="both"/>
        <w:rPr>
          <w:rFonts w:ascii="Palatino Linotype" w:eastAsia="MS Mincho" w:hAnsi="Palatino Linotype" w:cs="Arial"/>
          <w:i/>
          <w:sz w:val="22"/>
          <w:szCs w:val="22"/>
        </w:rPr>
      </w:pPr>
      <w:r w:rsidRPr="004F4D42">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4F4D42" w:rsidRDefault="008E4483" w:rsidP="001636EB">
      <w:pPr>
        <w:spacing w:line="360" w:lineRule="auto"/>
        <w:ind w:left="567" w:right="822"/>
        <w:jc w:val="both"/>
        <w:rPr>
          <w:rFonts w:ascii="Palatino Linotype" w:eastAsia="MS Mincho" w:hAnsi="Palatino Linotype" w:cs="Arial"/>
          <w:i/>
          <w:sz w:val="22"/>
          <w:szCs w:val="22"/>
        </w:rPr>
      </w:pPr>
      <w:r w:rsidRPr="004F4D42">
        <w:rPr>
          <w:rFonts w:ascii="Palatino Linotype" w:eastAsia="MS Mincho" w:hAnsi="Palatino Linotype" w:cs="Arial"/>
          <w:i/>
          <w:sz w:val="22"/>
          <w:szCs w:val="22"/>
        </w:rPr>
        <w:t>(Énfasis añadido)</w:t>
      </w:r>
    </w:p>
    <w:p w14:paraId="0EA3AFBA" w14:textId="77777777" w:rsidR="008E4483" w:rsidRPr="004F4D42" w:rsidRDefault="008E4483" w:rsidP="001636EB">
      <w:pPr>
        <w:spacing w:line="360" w:lineRule="auto"/>
        <w:jc w:val="both"/>
        <w:rPr>
          <w:rFonts w:ascii="Palatino Linotype" w:hAnsi="Palatino Linotype" w:cs="Arial"/>
        </w:rPr>
      </w:pPr>
    </w:p>
    <w:p w14:paraId="38992FDD" w14:textId="77777777" w:rsidR="008E4483" w:rsidRPr="004F4D42" w:rsidRDefault="008E4483" w:rsidP="008E4483">
      <w:pPr>
        <w:pStyle w:val="Prrafodelista"/>
        <w:numPr>
          <w:ilvl w:val="0"/>
          <w:numId w:val="1"/>
        </w:numPr>
        <w:spacing w:line="360" w:lineRule="auto"/>
        <w:jc w:val="both"/>
        <w:rPr>
          <w:rFonts w:ascii="Palatino Linotype" w:hAnsi="Palatino Linotype" w:cs="Arial"/>
        </w:rPr>
      </w:pPr>
      <w:r w:rsidRPr="004F4D42">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4F4D42" w:rsidRDefault="008E4483" w:rsidP="008E4483">
      <w:pPr>
        <w:pStyle w:val="Prrafodelista"/>
        <w:spacing w:line="360" w:lineRule="auto"/>
        <w:ind w:left="0"/>
        <w:jc w:val="both"/>
        <w:rPr>
          <w:rFonts w:ascii="Palatino Linotype" w:hAnsi="Palatino Linotype" w:cs="Arial"/>
        </w:rPr>
      </w:pPr>
    </w:p>
    <w:p w14:paraId="642677F8" w14:textId="0EBE5B52" w:rsidR="008E4483" w:rsidRPr="004F4D42" w:rsidRDefault="008E4483" w:rsidP="008E4483">
      <w:pPr>
        <w:pStyle w:val="Prrafodelista"/>
        <w:numPr>
          <w:ilvl w:val="0"/>
          <w:numId w:val="1"/>
        </w:numPr>
        <w:spacing w:line="360" w:lineRule="auto"/>
        <w:jc w:val="both"/>
        <w:rPr>
          <w:rFonts w:ascii="Palatino Linotype" w:hAnsi="Palatino Linotype" w:cs="Arial"/>
        </w:rPr>
      </w:pPr>
      <w:r w:rsidRPr="004F4D42">
        <w:rPr>
          <w:rFonts w:ascii="Palatino Linotype" w:hAnsi="Palatino Linotype" w:cs="Arial"/>
        </w:rPr>
        <w:t>Por lo anterior, es de referir que,</w:t>
      </w:r>
      <w:r w:rsidRPr="004F4D42">
        <w:rPr>
          <w:rFonts w:ascii="Palatino Linotype" w:hAnsi="Palatino Linotype" w:cs="Arial"/>
          <w:b/>
        </w:rPr>
        <w:t xml:space="preserve"> </w:t>
      </w:r>
      <w:r w:rsidR="00E7785D" w:rsidRPr="004F4D42">
        <w:rPr>
          <w:rFonts w:ascii="Palatino Linotype" w:eastAsia="Calibri" w:hAnsi="Palatino Linotype" w:cs="Arial"/>
          <w:bCs/>
          <w:lang w:val="es-ES"/>
        </w:rPr>
        <w:t>la</w:t>
      </w:r>
      <w:r w:rsidR="00E7785D" w:rsidRPr="004F4D42">
        <w:rPr>
          <w:rFonts w:ascii="Palatino Linotype" w:eastAsia="Calibri" w:hAnsi="Palatino Linotype" w:cs="Arial"/>
          <w:b/>
          <w:bCs/>
          <w:lang w:val="es-ES"/>
        </w:rPr>
        <w:t xml:space="preserve"> Secretaría de Movilidad</w:t>
      </w:r>
      <w:r w:rsidRPr="004F4D42">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A525303" w14:textId="77777777" w:rsidR="001C7F2D" w:rsidRPr="004F4D42" w:rsidRDefault="001C7F2D" w:rsidP="001C7F2D">
      <w:pPr>
        <w:pStyle w:val="Prrafodelista"/>
        <w:rPr>
          <w:rFonts w:ascii="Palatino Linotype" w:hAnsi="Palatino Linotype" w:cs="Arial"/>
        </w:rPr>
      </w:pPr>
    </w:p>
    <w:p w14:paraId="505C782B" w14:textId="77777777" w:rsidR="00521243" w:rsidRPr="004F4D42" w:rsidRDefault="00521243" w:rsidP="001C7F2D">
      <w:pPr>
        <w:pStyle w:val="Prrafodelista"/>
        <w:rPr>
          <w:rFonts w:ascii="Palatino Linotype" w:hAnsi="Palatino Linotype" w:cs="Arial"/>
        </w:rPr>
      </w:pPr>
    </w:p>
    <w:p w14:paraId="067AE6FC" w14:textId="77777777" w:rsidR="00521243" w:rsidRPr="004F4D42" w:rsidRDefault="00521243" w:rsidP="001C7F2D">
      <w:pPr>
        <w:pStyle w:val="Prrafodelista"/>
        <w:rPr>
          <w:rFonts w:ascii="Palatino Linotype" w:hAnsi="Palatino Linotype" w:cs="Arial"/>
        </w:rPr>
      </w:pPr>
    </w:p>
    <w:p w14:paraId="6677E903" w14:textId="77777777" w:rsidR="00D47015" w:rsidRPr="004F4D42" w:rsidRDefault="00D47015" w:rsidP="00D47015">
      <w:pPr>
        <w:pStyle w:val="Prrafodelista"/>
        <w:rPr>
          <w:rFonts w:ascii="Palatino Linotype" w:hAnsi="Palatino Linotype" w:cs="Arial"/>
        </w:rPr>
      </w:pPr>
    </w:p>
    <w:p w14:paraId="12CB4493" w14:textId="3F72A57C" w:rsidR="00671FDF" w:rsidRPr="004F4D42"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4F4D42">
        <w:rPr>
          <w:rFonts w:ascii="Palatino Linotype" w:hAnsi="Palatino Linotype"/>
          <w:b/>
          <w:color w:val="000000" w:themeColor="text1"/>
        </w:rPr>
        <w:t xml:space="preserve">II. </w:t>
      </w:r>
      <w:r w:rsidR="00FD0BDD" w:rsidRPr="004F4D42">
        <w:rPr>
          <w:rFonts w:ascii="Palatino Linotype" w:hAnsi="Palatino Linotype"/>
          <w:b/>
          <w:color w:val="000000" w:themeColor="text1"/>
        </w:rPr>
        <w:t>De</w:t>
      </w:r>
      <w:r w:rsidR="00765786" w:rsidRPr="004F4D42">
        <w:rPr>
          <w:rFonts w:ascii="Palatino Linotype" w:hAnsi="Palatino Linotype"/>
          <w:b/>
          <w:color w:val="000000" w:themeColor="text1"/>
        </w:rPr>
        <w:t xml:space="preserve"> l</w:t>
      </w:r>
      <w:r w:rsidR="002F0AA9" w:rsidRPr="004F4D42">
        <w:rPr>
          <w:rFonts w:ascii="Palatino Linotype" w:hAnsi="Palatino Linotype"/>
          <w:b/>
          <w:color w:val="000000" w:themeColor="text1"/>
        </w:rPr>
        <w:t>a declaración de incompetencia</w:t>
      </w:r>
      <w:bookmarkEnd w:id="31"/>
    </w:p>
    <w:p w14:paraId="2DECDC75" w14:textId="77777777" w:rsidR="00E44438" w:rsidRPr="004F4D42" w:rsidRDefault="00E44438" w:rsidP="00E44438">
      <w:pPr>
        <w:pStyle w:val="Prrafodelista"/>
        <w:spacing w:line="360" w:lineRule="auto"/>
        <w:ind w:left="0"/>
        <w:jc w:val="both"/>
        <w:rPr>
          <w:rFonts w:ascii="Palatino Linotype" w:eastAsia="MS Mincho" w:hAnsi="Palatino Linotype"/>
        </w:rPr>
      </w:pPr>
    </w:p>
    <w:p w14:paraId="5CD15BD8" w14:textId="1BE6D0FC" w:rsidR="00402F25" w:rsidRPr="004F4D42" w:rsidRDefault="00402F25" w:rsidP="00333A85">
      <w:pPr>
        <w:pStyle w:val="Prrafodelista"/>
        <w:numPr>
          <w:ilvl w:val="0"/>
          <w:numId w:val="1"/>
        </w:numPr>
        <w:tabs>
          <w:tab w:val="left" w:pos="567"/>
        </w:tabs>
        <w:spacing w:line="360" w:lineRule="auto"/>
        <w:jc w:val="both"/>
        <w:rPr>
          <w:rFonts w:ascii="Palatino Linotype" w:eastAsia="Calibri" w:hAnsi="Palatino Linotype" w:cs="Arial"/>
        </w:rPr>
      </w:pPr>
      <w:r w:rsidRPr="004F4D42">
        <w:rPr>
          <w:rFonts w:ascii="Palatino Linotype" w:eastAsia="Calibri" w:hAnsi="Palatino Linotype" w:cs="Arial"/>
        </w:rPr>
        <w:t>El particular solicitó acceso a la siguiente información:</w:t>
      </w:r>
    </w:p>
    <w:p w14:paraId="00EC1E2E" w14:textId="77777777" w:rsidR="00402F25" w:rsidRPr="004F4D42" w:rsidRDefault="00402F25" w:rsidP="00402F25">
      <w:pPr>
        <w:pStyle w:val="Prrafodelista"/>
        <w:tabs>
          <w:tab w:val="left" w:pos="567"/>
        </w:tabs>
        <w:spacing w:line="360" w:lineRule="auto"/>
        <w:ind w:left="0"/>
        <w:jc w:val="both"/>
        <w:rPr>
          <w:rFonts w:ascii="Palatino Linotype" w:eastAsia="Calibri" w:hAnsi="Palatino Linotype" w:cs="Arial"/>
        </w:rPr>
      </w:pPr>
    </w:p>
    <w:p w14:paraId="58AA460D" w14:textId="77777777" w:rsidR="00521243" w:rsidRPr="004F4D42" w:rsidRDefault="00521243" w:rsidP="00521243">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Estudios de aforo en la avenida Miguel Hidalgo, José Vicente Villada y Paseo Colón, en su tramo donde construyeron la ciclovía. </w:t>
      </w:r>
    </w:p>
    <w:p w14:paraId="174E5517" w14:textId="77777777" w:rsidR="00521243" w:rsidRPr="004F4D42" w:rsidRDefault="00521243" w:rsidP="00521243">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Número de bicicletas que circulan por dichas avenidas </w:t>
      </w:r>
    </w:p>
    <w:p w14:paraId="33230A34" w14:textId="77777777" w:rsidR="00521243" w:rsidRPr="004F4D42" w:rsidRDefault="00521243" w:rsidP="00521243">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Costo del estudio de aforo de bicicletas que circulan en Toluca. </w:t>
      </w:r>
    </w:p>
    <w:p w14:paraId="624B453B" w14:textId="77777777" w:rsidR="00521243" w:rsidRPr="004F4D42" w:rsidRDefault="00521243" w:rsidP="00521243">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Empresa o empresas que realizaron los estudios de aforos de bicicletas circulando por las calles del municipio de Toluca.</w:t>
      </w:r>
    </w:p>
    <w:p w14:paraId="7CABC830" w14:textId="77777777" w:rsidR="00521243" w:rsidRPr="004F4D42" w:rsidRDefault="00521243" w:rsidP="00521243">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Número de bicicletas que circulan diariamente por la Avenida Isidro Fabela en cualquier dirección. </w:t>
      </w:r>
    </w:p>
    <w:p w14:paraId="652BDEE2" w14:textId="77777777" w:rsidR="00521243" w:rsidRPr="004F4D42" w:rsidRDefault="00521243" w:rsidP="00521243">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lastRenderedPageBreak/>
        <w:t>Número de bicicletas que se encuentran registradas en el Municipio de Toluca.</w:t>
      </w:r>
    </w:p>
    <w:p w14:paraId="5F127145" w14:textId="77777777" w:rsidR="00521243" w:rsidRPr="004F4D42" w:rsidRDefault="00521243" w:rsidP="00521243">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Número de bicicletas que conforman las rodadas y la razón por la cual no ruedan por las ciclovías.</w:t>
      </w:r>
    </w:p>
    <w:p w14:paraId="7B826CAB" w14:textId="77777777" w:rsidR="00521243" w:rsidRPr="004F4D42" w:rsidRDefault="00521243" w:rsidP="00521243">
      <w:pPr>
        <w:pStyle w:val="Prrafodelista"/>
        <w:spacing w:line="360" w:lineRule="auto"/>
        <w:ind w:right="49"/>
        <w:jc w:val="both"/>
        <w:rPr>
          <w:rFonts w:ascii="Palatino Linotype" w:hAnsi="Palatino Linotype"/>
          <w:bCs/>
          <w:color w:val="000000"/>
          <w:szCs w:val="22"/>
        </w:rPr>
      </w:pPr>
    </w:p>
    <w:p w14:paraId="331F3363" w14:textId="77777777" w:rsidR="005029D4" w:rsidRPr="004F4D42" w:rsidRDefault="002F0AA9" w:rsidP="005029D4">
      <w:pPr>
        <w:pStyle w:val="Prrafodelista"/>
        <w:numPr>
          <w:ilvl w:val="0"/>
          <w:numId w:val="1"/>
        </w:numPr>
        <w:spacing w:line="360" w:lineRule="auto"/>
        <w:jc w:val="both"/>
        <w:rPr>
          <w:rFonts w:ascii="Palatino Linotype" w:eastAsia="MS Mincho" w:hAnsi="Palatino Linotype"/>
        </w:rPr>
      </w:pPr>
      <w:r w:rsidRPr="004F4D42">
        <w:rPr>
          <w:rFonts w:ascii="Palatino Linotype" w:eastAsia="MS Mincho" w:hAnsi="Palatino Linotype"/>
        </w:rPr>
        <w:t>El Sujeto Obligado se declaró incompetente para contar con información referente a las ciclo vías, señalando que el Sujeto Obligado idóneo para atender el requerimiento es el Sistema de Transporte Masivo y Teleféric</w:t>
      </w:r>
      <w:r w:rsidR="005029D4" w:rsidRPr="004F4D42">
        <w:rPr>
          <w:rFonts w:ascii="Palatino Linotype" w:eastAsia="MS Mincho" w:hAnsi="Palatino Linotype"/>
        </w:rPr>
        <w:t>o del Estado de México</w:t>
      </w:r>
      <w:r w:rsidR="009E3DE7" w:rsidRPr="004F4D42">
        <w:rPr>
          <w:rFonts w:ascii="Palatino Linotype" w:eastAsia="Calibri" w:hAnsi="Palatino Linotype" w:cs="Arial"/>
        </w:rPr>
        <w:t>,</w:t>
      </w:r>
    </w:p>
    <w:p w14:paraId="46D66B7A" w14:textId="77777777" w:rsidR="005029D4" w:rsidRPr="004F4D42" w:rsidRDefault="005029D4" w:rsidP="005029D4">
      <w:pPr>
        <w:pStyle w:val="Prrafodelista"/>
        <w:spacing w:line="360" w:lineRule="auto"/>
        <w:ind w:left="0"/>
        <w:jc w:val="both"/>
        <w:rPr>
          <w:rFonts w:ascii="Palatino Linotype" w:eastAsia="MS Mincho" w:hAnsi="Palatino Linotype"/>
        </w:rPr>
      </w:pPr>
    </w:p>
    <w:p w14:paraId="6AC8D8BA" w14:textId="3FD1CE54" w:rsidR="007E1E57" w:rsidRPr="004F4D42" w:rsidRDefault="00D21B17" w:rsidP="007E1E57">
      <w:pPr>
        <w:pStyle w:val="Prrafodelista"/>
        <w:numPr>
          <w:ilvl w:val="0"/>
          <w:numId w:val="1"/>
        </w:numPr>
        <w:spacing w:line="360" w:lineRule="auto"/>
        <w:jc w:val="both"/>
        <w:rPr>
          <w:rFonts w:ascii="Palatino Linotype" w:eastAsia="MS Mincho" w:hAnsi="Palatino Linotype"/>
        </w:rPr>
      </w:pPr>
      <w:r w:rsidRPr="004F4D42">
        <w:rPr>
          <w:rFonts w:ascii="Palatino Linotype" w:eastAsia="MS Mincho" w:hAnsi="Palatino Linotype"/>
        </w:rPr>
        <w:t xml:space="preserve">Asimismo, mediante el informe justificado </w:t>
      </w:r>
      <w:r w:rsidR="007E1E57" w:rsidRPr="004F4D42">
        <w:rPr>
          <w:rFonts w:ascii="Palatino Linotype" w:eastAsia="MS Mincho" w:hAnsi="Palatino Linotype"/>
        </w:rPr>
        <w:t>refirió que</w:t>
      </w:r>
      <w:r w:rsidRPr="004F4D42">
        <w:rPr>
          <w:rFonts w:ascii="Palatino Linotype" w:eastAsia="MS Mincho" w:hAnsi="Palatino Linotype"/>
        </w:rPr>
        <w:t>,</w:t>
      </w:r>
      <w:r w:rsidR="007E1E57" w:rsidRPr="004F4D42">
        <w:rPr>
          <w:rFonts w:ascii="Palatino Linotype" w:eastAsia="MS Mincho" w:hAnsi="Palatino Linotype"/>
        </w:rPr>
        <w:t xml:space="preserve"> en la Dirección General de Vialidad se cuenta </w:t>
      </w:r>
      <w:r w:rsidR="007E1E57" w:rsidRPr="004F4D42">
        <w:rPr>
          <w:rFonts w:ascii="Palatino Linotype" w:eastAsia="Calibri" w:hAnsi="Palatino Linotype" w:cs="Arial"/>
          <w:color w:val="000000" w:themeColor="text1"/>
          <w:lang w:val="es-ES"/>
        </w:rPr>
        <w:t xml:space="preserve">con el </w:t>
      </w:r>
      <w:r w:rsidR="007E1E57" w:rsidRPr="004F4D42">
        <w:rPr>
          <w:rFonts w:ascii="Palatino Linotype" w:eastAsia="Calibri" w:hAnsi="Palatino Linotype" w:cs="Arial"/>
          <w:b/>
          <w:color w:val="000000" w:themeColor="text1"/>
          <w:lang w:val="es-ES"/>
        </w:rPr>
        <w:t xml:space="preserve">Plan de Movilidad emergente en bicicleta en Toluca, Estado de México (Acción Nueva) </w:t>
      </w:r>
      <w:r w:rsidR="007E1E57" w:rsidRPr="004F4D42">
        <w:rPr>
          <w:rFonts w:ascii="Palatino Linotype" w:eastAsia="Calibri" w:hAnsi="Palatino Linotype" w:cs="Arial"/>
          <w:color w:val="000000" w:themeColor="text1"/>
          <w:lang w:val="es-ES"/>
        </w:rPr>
        <w:t>por el cual se celebró un contrato con número de expediente SCEM-DGV-PAD-20-RE-10-AD con un costo de $248, 415.01 que tiene por objeto facilitar el desplazamiento de conflicto vehicular, reduciendo de manera considerable la prevención e impacto a la salud y al medio ambiente y como beneficios la utilidad y para la movilidad de alta demanda que comunique eficientemente con las zonas de atracción de viajes, potencial para el uso de bicicletas, con base en el tipo de calle y en sus características físicas.</w:t>
      </w:r>
    </w:p>
    <w:p w14:paraId="0FF76BA5" w14:textId="77777777" w:rsidR="007E1E57" w:rsidRPr="004F4D42" w:rsidRDefault="007E1E57" w:rsidP="007E1E57">
      <w:pPr>
        <w:pStyle w:val="Prrafodelista"/>
        <w:rPr>
          <w:rFonts w:ascii="Palatino Linotype" w:eastAsia="MS Mincho" w:hAnsi="Palatino Linotype"/>
        </w:rPr>
      </w:pPr>
    </w:p>
    <w:p w14:paraId="236C61FA" w14:textId="51F5DB75" w:rsidR="007E1E57" w:rsidRPr="004F4D42" w:rsidRDefault="007E1E57" w:rsidP="007E1E57">
      <w:pPr>
        <w:pStyle w:val="Prrafodelista"/>
        <w:numPr>
          <w:ilvl w:val="0"/>
          <w:numId w:val="1"/>
        </w:numPr>
        <w:spacing w:line="360" w:lineRule="auto"/>
        <w:jc w:val="both"/>
        <w:rPr>
          <w:rFonts w:ascii="Palatino Linotype" w:eastAsia="MS Mincho" w:hAnsi="Palatino Linotype"/>
        </w:rPr>
      </w:pPr>
      <w:r w:rsidRPr="004F4D42">
        <w:rPr>
          <w:rFonts w:ascii="Palatino Linotype" w:eastAsia="MS Mincho" w:hAnsi="Palatino Linotype"/>
        </w:rPr>
        <w:t>Dicho contrato y anexos corresponden a la implementación de tres corredores clave para la implementación de ciclovías emergentes que atraerían usuarios, el estudio se encontraría en diversos puntos de Toluca de Lerdo, mismos que facilitarían el desplazamiento en zonas de conflicto vehicular, reduciendo de manera considerable la prevención e impacto a la salud y al medio ambiente.</w:t>
      </w:r>
      <w:r w:rsidR="00D21B17" w:rsidRPr="004F4D42">
        <w:rPr>
          <w:rFonts w:ascii="Palatino Linotype" w:eastAsia="MS Mincho" w:hAnsi="Palatino Linotype"/>
        </w:rPr>
        <w:t xml:space="preserve"> </w:t>
      </w:r>
    </w:p>
    <w:p w14:paraId="6E8F0E4B" w14:textId="77777777" w:rsidR="00D21B17" w:rsidRPr="004F4D42" w:rsidRDefault="00D21B17" w:rsidP="00D21B17">
      <w:pPr>
        <w:pStyle w:val="Prrafodelista"/>
        <w:rPr>
          <w:rFonts w:ascii="Palatino Linotype" w:eastAsia="MS Mincho" w:hAnsi="Palatino Linotype"/>
        </w:rPr>
      </w:pPr>
    </w:p>
    <w:p w14:paraId="6EE55231" w14:textId="595C249A" w:rsidR="00D21B17" w:rsidRPr="004F4D42" w:rsidRDefault="00D21B17" w:rsidP="007E1E57">
      <w:pPr>
        <w:pStyle w:val="Prrafodelista"/>
        <w:numPr>
          <w:ilvl w:val="0"/>
          <w:numId w:val="1"/>
        </w:numPr>
        <w:spacing w:line="360" w:lineRule="auto"/>
        <w:jc w:val="both"/>
        <w:rPr>
          <w:rFonts w:ascii="Palatino Linotype" w:eastAsia="MS Mincho" w:hAnsi="Palatino Linotype"/>
        </w:rPr>
      </w:pPr>
      <w:r w:rsidRPr="004F4D42">
        <w:rPr>
          <w:rFonts w:ascii="Palatino Linotype" w:eastAsia="MS Mincho" w:hAnsi="Palatino Linotype"/>
        </w:rPr>
        <w:lastRenderedPageBreak/>
        <w:t xml:space="preserve">Si bien es cierto, la información proporcionada por el Sujeto Obligado, consistente en </w:t>
      </w:r>
      <w:r w:rsidRPr="004F4D42">
        <w:rPr>
          <w:rFonts w:ascii="Palatino Linotype" w:eastAsia="Calibri" w:hAnsi="Palatino Linotype" w:cs="Arial"/>
          <w:color w:val="000000" w:themeColor="text1"/>
          <w:lang w:val="es-ES"/>
        </w:rPr>
        <w:t>Plan de Movilidad emergente en bicicleta en Toluca, Estado de México (Acción Nueva), se relaciona con la creación de ciclovías emergentes en avenidas de Toluca, también lo es que no se contienen los estudios de aforo, por lo que si bien, se relaciona con la información requerida, no satisface en totalidad todos los requerimientos, únicamente los siguientes:</w:t>
      </w:r>
    </w:p>
    <w:p w14:paraId="5A1B5921" w14:textId="77777777" w:rsidR="00D21B17" w:rsidRPr="004F4D42" w:rsidRDefault="00D21B17" w:rsidP="00D21B17">
      <w:pPr>
        <w:pStyle w:val="Prrafodelista"/>
        <w:rPr>
          <w:rFonts w:ascii="Palatino Linotype" w:eastAsia="MS Mincho" w:hAnsi="Palatino Linotype"/>
        </w:rPr>
      </w:pPr>
    </w:p>
    <w:p w14:paraId="3EF50DB3" w14:textId="381D6F9A" w:rsidR="00D21B17" w:rsidRPr="004F4D42" w:rsidRDefault="00D21B17" w:rsidP="00BD1271">
      <w:pPr>
        <w:pStyle w:val="Prrafodelista"/>
        <w:numPr>
          <w:ilvl w:val="0"/>
          <w:numId w:val="29"/>
        </w:numPr>
        <w:spacing w:line="360" w:lineRule="auto"/>
        <w:jc w:val="both"/>
        <w:rPr>
          <w:rFonts w:ascii="Palatino Linotype" w:eastAsia="MS Mincho" w:hAnsi="Palatino Linotype"/>
        </w:rPr>
      </w:pPr>
      <w:r w:rsidRPr="004F4D42">
        <w:rPr>
          <w:rFonts w:ascii="Palatino Linotype" w:eastAsia="MS Mincho" w:hAnsi="Palatino Linotype"/>
        </w:rPr>
        <w:t>Costo de los estudios de aforo, ya que si bien no viene de manera específica dichos estudios, lo cierto es que se cuenta con las cantidades globales del contrato, siendo la cantidad de $2</w:t>
      </w:r>
      <w:r w:rsidR="00BD1271" w:rsidRPr="004F4D42">
        <w:rPr>
          <w:rFonts w:ascii="Palatino Linotype" w:eastAsia="MS Mincho" w:hAnsi="Palatino Linotype"/>
        </w:rPr>
        <w:t>48</w:t>
      </w:r>
      <w:r w:rsidRPr="004F4D42">
        <w:rPr>
          <w:rFonts w:ascii="Palatino Linotype" w:eastAsia="MS Mincho" w:hAnsi="Palatino Linotype"/>
        </w:rPr>
        <w:t xml:space="preserve">, </w:t>
      </w:r>
      <w:r w:rsidR="00BD1271" w:rsidRPr="004F4D42">
        <w:rPr>
          <w:rFonts w:ascii="Palatino Linotype" w:eastAsia="MS Mincho" w:hAnsi="Palatino Linotype"/>
        </w:rPr>
        <w:t>415</w:t>
      </w:r>
      <w:r w:rsidRPr="004F4D42">
        <w:rPr>
          <w:rFonts w:ascii="Palatino Linotype" w:eastAsia="MS Mincho" w:hAnsi="Palatino Linotype"/>
        </w:rPr>
        <w:t>.</w:t>
      </w:r>
      <w:r w:rsidR="00BD1271" w:rsidRPr="004F4D42">
        <w:rPr>
          <w:rFonts w:ascii="Palatino Linotype" w:eastAsia="MS Mincho" w:hAnsi="Palatino Linotype"/>
        </w:rPr>
        <w:t>01</w:t>
      </w:r>
      <w:r w:rsidRPr="004F4D42">
        <w:rPr>
          <w:rFonts w:ascii="Palatino Linotype" w:eastAsia="MS Mincho" w:hAnsi="Palatino Linotype"/>
        </w:rPr>
        <w:t xml:space="preserve"> (doscientos </w:t>
      </w:r>
      <w:r w:rsidR="00BD1271" w:rsidRPr="004F4D42">
        <w:rPr>
          <w:rFonts w:ascii="Palatino Linotype" w:eastAsia="MS Mincho" w:hAnsi="Palatino Linotype"/>
        </w:rPr>
        <w:t xml:space="preserve">cuarenta y ocho </w:t>
      </w:r>
      <w:r w:rsidRPr="004F4D42">
        <w:rPr>
          <w:rFonts w:ascii="Palatino Linotype" w:eastAsia="MS Mincho" w:hAnsi="Palatino Linotype"/>
        </w:rPr>
        <w:t>mil c</w:t>
      </w:r>
      <w:r w:rsidR="00BD1271" w:rsidRPr="004F4D42">
        <w:rPr>
          <w:rFonts w:ascii="Palatino Linotype" w:eastAsia="MS Mincho" w:hAnsi="Palatino Linotype"/>
        </w:rPr>
        <w:t>uatrocientos quince</w:t>
      </w:r>
      <w:r w:rsidRPr="004F4D42">
        <w:rPr>
          <w:rFonts w:ascii="Palatino Linotype" w:eastAsia="MS Mincho" w:hAnsi="Palatino Linotype"/>
        </w:rPr>
        <w:t xml:space="preserve"> </w:t>
      </w:r>
      <w:r w:rsidR="00BD1271" w:rsidRPr="004F4D42">
        <w:rPr>
          <w:rFonts w:ascii="Palatino Linotype" w:eastAsia="MS Mincho" w:hAnsi="Palatino Linotype"/>
        </w:rPr>
        <w:t>pesos 01/100 M.N)</w:t>
      </w:r>
    </w:p>
    <w:p w14:paraId="5C4F26EF" w14:textId="46F6D391" w:rsidR="00BD1271" w:rsidRPr="004F4D42" w:rsidRDefault="00BD1271" w:rsidP="00BD1271">
      <w:pPr>
        <w:pStyle w:val="Prrafodelista"/>
        <w:numPr>
          <w:ilvl w:val="0"/>
          <w:numId w:val="29"/>
        </w:numPr>
        <w:spacing w:line="360" w:lineRule="auto"/>
        <w:jc w:val="both"/>
        <w:rPr>
          <w:rFonts w:ascii="Palatino Linotype" w:eastAsia="MS Mincho" w:hAnsi="Palatino Linotype"/>
        </w:rPr>
      </w:pPr>
      <w:r w:rsidRPr="004F4D42">
        <w:rPr>
          <w:rFonts w:ascii="Palatino Linotype" w:eastAsia="MS Mincho" w:hAnsi="Palatino Linotype"/>
        </w:rPr>
        <w:t>El nombre de la empresa es PROYECTO CÉNTRICO, S.C</w:t>
      </w:r>
    </w:p>
    <w:p w14:paraId="37DDCBD3" w14:textId="77777777" w:rsidR="00D21B17" w:rsidRPr="004F4D42" w:rsidRDefault="00D21B17" w:rsidP="00D21B17">
      <w:pPr>
        <w:pStyle w:val="Prrafodelista"/>
        <w:rPr>
          <w:rFonts w:ascii="Palatino Linotype" w:eastAsia="MS Mincho" w:hAnsi="Palatino Linotype"/>
        </w:rPr>
      </w:pPr>
    </w:p>
    <w:p w14:paraId="1D0DCFE9" w14:textId="77777777" w:rsidR="00BD1271" w:rsidRPr="004F4D42" w:rsidRDefault="00BD1271" w:rsidP="005029D4">
      <w:pPr>
        <w:pStyle w:val="Prrafodelista"/>
        <w:numPr>
          <w:ilvl w:val="0"/>
          <w:numId w:val="1"/>
        </w:numPr>
        <w:spacing w:line="360" w:lineRule="auto"/>
        <w:jc w:val="both"/>
        <w:rPr>
          <w:rFonts w:ascii="Palatino Linotype" w:eastAsia="MS Mincho" w:hAnsi="Palatino Linotype"/>
        </w:rPr>
      </w:pPr>
      <w:r w:rsidRPr="004F4D42">
        <w:rPr>
          <w:rFonts w:ascii="Palatino Linotype" w:eastAsia="Calibri" w:hAnsi="Palatino Linotype" w:cs="Arial"/>
        </w:rPr>
        <w:t>Más no así se tiene la información relacionada con los demás requerimientos, siendo los siguientes:</w:t>
      </w:r>
    </w:p>
    <w:p w14:paraId="7ECD0BD2" w14:textId="77777777" w:rsidR="00BD1271" w:rsidRPr="004F4D42" w:rsidRDefault="00BD1271" w:rsidP="00BD1271">
      <w:pPr>
        <w:pStyle w:val="Prrafodelista"/>
        <w:spacing w:line="360" w:lineRule="auto"/>
        <w:ind w:left="0"/>
        <w:jc w:val="both"/>
        <w:rPr>
          <w:rFonts w:ascii="Palatino Linotype" w:eastAsia="MS Mincho" w:hAnsi="Palatino Linotype"/>
        </w:rPr>
      </w:pPr>
    </w:p>
    <w:p w14:paraId="34DA482E" w14:textId="77777777" w:rsidR="00BD1271" w:rsidRPr="004F4D42" w:rsidRDefault="00BD1271" w:rsidP="00BD1271">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Estudios de aforo en la avenida Miguel Hidalgo, José Vicente Villada y Paseo Colón, en su tramo donde construyeron la ciclovía. </w:t>
      </w:r>
    </w:p>
    <w:p w14:paraId="350FC97B" w14:textId="77777777" w:rsidR="00BD1271" w:rsidRPr="004F4D42" w:rsidRDefault="00BD1271" w:rsidP="00BD1271">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Número de bicicletas que circulan por dichas avenidas </w:t>
      </w:r>
    </w:p>
    <w:p w14:paraId="4BE4AE99" w14:textId="77777777" w:rsidR="00BD1271" w:rsidRPr="004F4D42" w:rsidRDefault="00BD1271" w:rsidP="00BD1271">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Número de bicicletas que circulan diariamente por la Avenida Isidro Fabela en cualquier dirección. </w:t>
      </w:r>
    </w:p>
    <w:p w14:paraId="1F0AFC86" w14:textId="77777777" w:rsidR="00BD1271" w:rsidRPr="004F4D42" w:rsidRDefault="00BD1271" w:rsidP="00BD1271">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Número de bicicletas que se encuentran registradas en el Municipio de Toluca.</w:t>
      </w:r>
    </w:p>
    <w:p w14:paraId="03866B76" w14:textId="77777777" w:rsidR="00BD1271" w:rsidRPr="004F4D42" w:rsidRDefault="00BD1271" w:rsidP="00BD1271">
      <w:pPr>
        <w:pStyle w:val="Prrafodelista"/>
        <w:numPr>
          <w:ilvl w:val="0"/>
          <w:numId w:val="6"/>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Número de bicicletas que conforman las rodadas y la razón por la cual no ruedan por las ciclovías.</w:t>
      </w:r>
    </w:p>
    <w:p w14:paraId="4DBEB1A4" w14:textId="77777777" w:rsidR="00BD1271" w:rsidRPr="004F4D42" w:rsidRDefault="00BD1271" w:rsidP="00BD1271">
      <w:pPr>
        <w:pStyle w:val="Prrafodelista"/>
        <w:spacing w:line="360" w:lineRule="auto"/>
        <w:ind w:left="0"/>
        <w:jc w:val="both"/>
        <w:rPr>
          <w:rFonts w:ascii="Palatino Linotype" w:eastAsia="MS Mincho" w:hAnsi="Palatino Linotype"/>
        </w:rPr>
      </w:pPr>
    </w:p>
    <w:p w14:paraId="488FA6A7" w14:textId="15F085F1" w:rsidR="00402B2F" w:rsidRPr="004F4D42" w:rsidRDefault="00BD1271" w:rsidP="005029D4">
      <w:pPr>
        <w:pStyle w:val="Prrafodelista"/>
        <w:numPr>
          <w:ilvl w:val="0"/>
          <w:numId w:val="1"/>
        </w:numPr>
        <w:spacing w:line="360" w:lineRule="auto"/>
        <w:jc w:val="both"/>
        <w:rPr>
          <w:rFonts w:ascii="Palatino Linotype" w:eastAsia="MS Mincho" w:hAnsi="Palatino Linotype"/>
        </w:rPr>
      </w:pPr>
      <w:r w:rsidRPr="004F4D42">
        <w:rPr>
          <w:rFonts w:ascii="Palatino Linotype" w:eastAsia="Calibri" w:hAnsi="Palatino Linotype" w:cs="Arial"/>
        </w:rPr>
        <w:t>D</w:t>
      </w:r>
      <w:r w:rsidR="009E3DE7" w:rsidRPr="004F4D42">
        <w:rPr>
          <w:rFonts w:ascii="Palatino Linotype" w:eastAsia="Calibri" w:hAnsi="Palatino Linotype" w:cs="Arial"/>
        </w:rPr>
        <w:t>e acuerdo al artículo 32 de la Ley Orgánica de la Administración Pública del Estado de México, le corresponde lo siguiente:</w:t>
      </w:r>
    </w:p>
    <w:p w14:paraId="5BD36AAF" w14:textId="77777777" w:rsidR="009E3DE7" w:rsidRPr="004F4D42" w:rsidRDefault="009E3DE7" w:rsidP="009E3DE7">
      <w:pPr>
        <w:pStyle w:val="Prrafodelista"/>
        <w:rPr>
          <w:rFonts w:ascii="Palatino Linotype" w:eastAsia="Calibri" w:hAnsi="Palatino Linotype" w:cs="Arial"/>
        </w:rPr>
      </w:pPr>
    </w:p>
    <w:p w14:paraId="5EEA412E" w14:textId="570D1FF9" w:rsidR="009E3DE7" w:rsidRPr="004F4D42" w:rsidRDefault="009E3DE7" w:rsidP="009E3DE7">
      <w:pPr>
        <w:pStyle w:val="Prrafodelista"/>
        <w:spacing w:before="100" w:beforeAutospacing="1" w:after="100" w:afterAutospacing="1" w:line="360" w:lineRule="auto"/>
        <w:ind w:left="567" w:right="616"/>
        <w:jc w:val="both"/>
        <w:rPr>
          <w:rFonts w:ascii="Palatino Linotype" w:eastAsia="Calibri" w:hAnsi="Palatino Linotype" w:cs="Arial"/>
          <w:i/>
          <w:sz w:val="22"/>
        </w:rPr>
      </w:pPr>
      <w:r w:rsidRPr="004F4D42">
        <w:rPr>
          <w:rFonts w:ascii="Palatino Linotype" w:hAnsi="Palatino Linotype"/>
          <w:i/>
          <w:sz w:val="22"/>
        </w:rPr>
        <w:t>Artículo 32.- La Secretaría de Movilidad es la dependencia encargada de planear, formular, dirigir, coordinar, gestionar, evaluar, ejecutar y supervisar las acciones, políticas, programas, protocolos,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w:t>
      </w:r>
    </w:p>
    <w:p w14:paraId="1903FE0C" w14:textId="77777777" w:rsidR="009E3DE7" w:rsidRPr="004F4D42" w:rsidRDefault="009E3DE7" w:rsidP="009E3DE7">
      <w:pPr>
        <w:pStyle w:val="Prrafodelista"/>
        <w:rPr>
          <w:rFonts w:ascii="Palatino Linotype" w:eastAsia="Calibri" w:hAnsi="Palatino Linotype" w:cs="Arial"/>
        </w:rPr>
      </w:pPr>
    </w:p>
    <w:p w14:paraId="5F99594E" w14:textId="77777777" w:rsidR="009E3DE7" w:rsidRPr="004F4D42" w:rsidRDefault="009E3DE7" w:rsidP="009E3DE7">
      <w:pPr>
        <w:pStyle w:val="Prrafodelista"/>
        <w:spacing w:before="100" w:beforeAutospacing="1" w:after="100" w:afterAutospacing="1" w:line="360" w:lineRule="auto"/>
        <w:ind w:left="0"/>
        <w:jc w:val="both"/>
        <w:rPr>
          <w:rFonts w:ascii="Palatino Linotype" w:eastAsia="Calibri" w:hAnsi="Palatino Linotype" w:cs="Arial"/>
        </w:rPr>
      </w:pPr>
    </w:p>
    <w:p w14:paraId="7A79F1D9" w14:textId="139B4176" w:rsidR="009E3DE7" w:rsidRPr="004F4D42" w:rsidRDefault="009E3DE7"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4F4D42">
        <w:rPr>
          <w:rFonts w:ascii="Palatino Linotype" w:eastAsia="Calibri" w:hAnsi="Palatino Linotype" w:cs="Arial"/>
        </w:rPr>
        <w:t>Asimismo, enfatizó que el Sujeto Obligado idóneo para atender el requerimiento del particular es el Sistema de Transporte Masivo y Teleférico del Estado de México, conforme a lo que establece el artículo 17.76 del Código Administrativo del Estado de México, que a la letra señala:</w:t>
      </w:r>
    </w:p>
    <w:p w14:paraId="462B063C" w14:textId="77777777" w:rsidR="009E3DE7" w:rsidRPr="004F4D42" w:rsidRDefault="009E3DE7" w:rsidP="009E3DE7">
      <w:pPr>
        <w:pStyle w:val="Prrafodelista"/>
        <w:spacing w:before="100" w:beforeAutospacing="1" w:after="100" w:afterAutospacing="1" w:line="360" w:lineRule="auto"/>
        <w:ind w:left="0"/>
        <w:jc w:val="both"/>
        <w:rPr>
          <w:rFonts w:ascii="Palatino Linotype" w:eastAsia="Calibri" w:hAnsi="Palatino Linotype" w:cs="Arial"/>
        </w:rPr>
      </w:pPr>
    </w:p>
    <w:p w14:paraId="10843A6E" w14:textId="70E72327" w:rsidR="003A40C9" w:rsidRPr="004F4D42" w:rsidRDefault="009E3DE7" w:rsidP="003A40C9">
      <w:pPr>
        <w:pStyle w:val="Prrafodelista"/>
        <w:spacing w:before="100" w:beforeAutospacing="1" w:after="100" w:afterAutospacing="1" w:line="360" w:lineRule="auto"/>
        <w:ind w:left="0"/>
        <w:jc w:val="center"/>
        <w:rPr>
          <w:rFonts w:ascii="Palatino Linotype" w:hAnsi="Palatino Linotype"/>
          <w:b/>
          <w:i/>
          <w:sz w:val="22"/>
        </w:rPr>
      </w:pPr>
      <w:r w:rsidRPr="004F4D42">
        <w:rPr>
          <w:rFonts w:ascii="Palatino Linotype" w:hAnsi="Palatino Linotype"/>
          <w:b/>
          <w:i/>
          <w:sz w:val="22"/>
        </w:rPr>
        <w:t>CAPÍTULO TERCERO</w:t>
      </w:r>
    </w:p>
    <w:p w14:paraId="2494CB89" w14:textId="6E3C8D92" w:rsidR="003A40C9" w:rsidRPr="004F4D42" w:rsidRDefault="009E3DE7" w:rsidP="003A40C9">
      <w:pPr>
        <w:pStyle w:val="Prrafodelista"/>
        <w:spacing w:before="100" w:beforeAutospacing="1" w:after="100" w:afterAutospacing="1" w:line="360" w:lineRule="auto"/>
        <w:ind w:left="0"/>
        <w:jc w:val="center"/>
        <w:rPr>
          <w:rFonts w:ascii="Palatino Linotype" w:hAnsi="Palatino Linotype"/>
          <w:b/>
          <w:i/>
          <w:sz w:val="22"/>
        </w:rPr>
      </w:pPr>
      <w:r w:rsidRPr="004F4D42">
        <w:rPr>
          <w:rFonts w:ascii="Palatino Linotype" w:hAnsi="Palatino Linotype"/>
          <w:b/>
          <w:i/>
          <w:sz w:val="22"/>
        </w:rPr>
        <w:t>Del Sistema de Transporte Masivo y Teleférico del Estado de México</w:t>
      </w:r>
    </w:p>
    <w:p w14:paraId="7B9B18BD" w14:textId="7B5116DD" w:rsidR="009E3DE7" w:rsidRPr="004F4D42" w:rsidRDefault="009E3DE7" w:rsidP="003A40C9">
      <w:pPr>
        <w:pStyle w:val="Prrafodelista"/>
        <w:spacing w:before="100" w:beforeAutospacing="1" w:after="100" w:afterAutospacing="1" w:line="360" w:lineRule="auto"/>
        <w:ind w:left="567" w:right="616"/>
        <w:jc w:val="both"/>
        <w:rPr>
          <w:rFonts w:ascii="Palatino Linotype" w:eastAsia="Calibri" w:hAnsi="Palatino Linotype" w:cs="Arial"/>
          <w:i/>
          <w:sz w:val="22"/>
        </w:rPr>
      </w:pPr>
      <w:r w:rsidRPr="004F4D42">
        <w:rPr>
          <w:rFonts w:ascii="Palatino Linotype" w:hAnsi="Palatino Linotype"/>
          <w:i/>
          <w:sz w:val="22"/>
        </w:rPr>
        <w:t>Artículo 17.76.- El Sistema de Transporte Masivo y Teleférico del Estado de México, es un organismo público descentralizado, con personalidad jurídica y patrimonio propios, que tiene por objeto la planeación, la coordinación de los programas y acciones relacionados con la infraestructura</w:t>
      </w:r>
      <w:r w:rsidR="003A40C9" w:rsidRPr="004F4D42">
        <w:rPr>
          <w:rFonts w:ascii="Palatino Linotype" w:hAnsi="Palatino Linotype"/>
          <w:i/>
          <w:sz w:val="22"/>
        </w:rPr>
        <w:t xml:space="preserve"> y operación de los sistemas de transporte de alta capacidad y teleférico, las estaciones de transferencia modal y las de origen-destino e intermedias que se requieren para el eficiente funcionamiento del teleférico, así como efectuar investigaciones y estudios que permitan al Gobierno del Estado sustentar las </w:t>
      </w:r>
      <w:r w:rsidR="003A40C9" w:rsidRPr="004F4D42">
        <w:rPr>
          <w:rFonts w:ascii="Palatino Linotype" w:hAnsi="Palatino Linotype"/>
          <w:i/>
          <w:sz w:val="22"/>
        </w:rPr>
        <w:lastRenderedPageBreak/>
        <w:t>solicitudes de concesiones o permisos ante las autoridades federales para la administración, operación, explotación y, en su caso, construcción de transporte de alta capacidad en territorio estatal.</w:t>
      </w:r>
    </w:p>
    <w:p w14:paraId="08110EEA" w14:textId="77777777" w:rsidR="009E3DE7" w:rsidRPr="004F4D42" w:rsidRDefault="009E3DE7" w:rsidP="009E3DE7">
      <w:pPr>
        <w:pStyle w:val="Prrafodelista"/>
        <w:spacing w:before="100" w:beforeAutospacing="1" w:after="100" w:afterAutospacing="1" w:line="360" w:lineRule="auto"/>
        <w:ind w:left="0"/>
        <w:jc w:val="both"/>
        <w:rPr>
          <w:rFonts w:ascii="Palatino Linotype" w:eastAsia="Calibri" w:hAnsi="Palatino Linotype" w:cs="Arial"/>
        </w:rPr>
      </w:pPr>
    </w:p>
    <w:p w14:paraId="3B7C7AF7" w14:textId="095127D8" w:rsidR="009E3DE7" w:rsidRPr="004F4D42" w:rsidRDefault="003A40C9"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4F4D42">
        <w:rPr>
          <w:rFonts w:ascii="Palatino Linotype" w:eastAsia="Calibri" w:hAnsi="Palatino Linotype" w:cs="Arial"/>
        </w:rPr>
        <w:t xml:space="preserve">Además, el </w:t>
      </w:r>
      <w:r w:rsidRPr="004F4D42">
        <w:rPr>
          <w:rFonts w:ascii="Palatino Linotype" w:eastAsia="Calibri" w:hAnsi="Palatino Linotype" w:cs="Arial"/>
          <w:i/>
          <w:sz w:val="22"/>
        </w:rPr>
        <w:t>Acuerdo del Secretario de Movilidad del Estado de México, por el que se delegan facultades en favor del Director General del Organismo Descentralizado denominado Sistema de Transporte Masivo y Teleférico del Estado de México</w:t>
      </w:r>
      <w:r w:rsidRPr="004F4D42">
        <w:rPr>
          <w:rStyle w:val="Refdenotaalpie"/>
          <w:rFonts w:ascii="Palatino Linotype" w:eastAsia="Calibri" w:hAnsi="Palatino Linotype" w:cs="Arial"/>
          <w:i/>
          <w:sz w:val="22"/>
        </w:rPr>
        <w:footnoteReference w:id="6"/>
      </w:r>
      <w:r w:rsidRPr="004F4D42">
        <w:rPr>
          <w:rFonts w:ascii="Palatino Linotype" w:eastAsia="Calibri" w:hAnsi="Palatino Linotype" w:cs="Arial"/>
          <w:i/>
          <w:sz w:val="22"/>
        </w:rPr>
        <w:t xml:space="preserve"> </w:t>
      </w:r>
      <w:r w:rsidRPr="004F4D42">
        <w:rPr>
          <w:rFonts w:ascii="Palatino Linotype" w:eastAsia="Calibri" w:hAnsi="Palatino Linotype" w:cs="Arial"/>
          <w:sz w:val="22"/>
        </w:rPr>
        <w:t xml:space="preserve">publicado en el </w:t>
      </w:r>
      <w:r w:rsidR="00E93630" w:rsidRPr="004F4D42">
        <w:rPr>
          <w:rFonts w:ascii="Palatino Linotype" w:eastAsia="Calibri" w:hAnsi="Palatino Linotype" w:cs="Arial"/>
          <w:sz w:val="22"/>
        </w:rPr>
        <w:t>Periódico Oficial “Gaceta de Gobierno del 29 de septiembre de 2020,</w:t>
      </w:r>
      <w:r w:rsidRPr="004F4D42">
        <w:rPr>
          <w:rFonts w:ascii="Palatino Linotype" w:eastAsia="Calibri" w:hAnsi="Palatino Linotype" w:cs="Arial"/>
          <w:i/>
          <w:sz w:val="22"/>
        </w:rPr>
        <w:t xml:space="preserve"> </w:t>
      </w:r>
      <w:r w:rsidRPr="004F4D42">
        <w:rPr>
          <w:rFonts w:ascii="Palatino Linotype" w:eastAsia="Calibri" w:hAnsi="Palatino Linotype" w:cs="Arial"/>
          <w:sz w:val="22"/>
        </w:rPr>
        <w:t>en el numeral primero dispone lo siguiente:</w:t>
      </w:r>
    </w:p>
    <w:p w14:paraId="097230CF" w14:textId="77777777" w:rsidR="00E93630" w:rsidRPr="004F4D42" w:rsidRDefault="00E93630" w:rsidP="00E93630">
      <w:pPr>
        <w:pStyle w:val="Prrafodelista"/>
        <w:spacing w:before="100" w:beforeAutospacing="1" w:after="100" w:afterAutospacing="1" w:line="360" w:lineRule="auto"/>
        <w:ind w:left="0"/>
        <w:jc w:val="both"/>
        <w:rPr>
          <w:rFonts w:ascii="Palatino Linotype" w:eastAsia="Calibri" w:hAnsi="Palatino Linotype" w:cs="Arial"/>
          <w:sz w:val="22"/>
        </w:rPr>
      </w:pPr>
    </w:p>
    <w:p w14:paraId="7CC73689" w14:textId="16ACEF2D" w:rsidR="00E93630" w:rsidRPr="004F4D42" w:rsidRDefault="00E93630" w:rsidP="00E93630">
      <w:pPr>
        <w:pStyle w:val="Prrafodelista"/>
        <w:spacing w:before="100" w:beforeAutospacing="1" w:after="100" w:afterAutospacing="1" w:line="360" w:lineRule="auto"/>
        <w:ind w:left="567" w:right="616"/>
        <w:jc w:val="both"/>
        <w:rPr>
          <w:rFonts w:ascii="Palatino Linotype" w:eastAsia="Calibri" w:hAnsi="Palatino Linotype" w:cs="Arial"/>
          <w:i/>
          <w:sz w:val="22"/>
        </w:rPr>
      </w:pPr>
      <w:r w:rsidRPr="004F4D42">
        <w:rPr>
          <w:rFonts w:ascii="Palatino Linotype" w:hAnsi="Palatino Linotype"/>
          <w:b/>
          <w:i/>
          <w:sz w:val="22"/>
        </w:rPr>
        <w:t>PRIMERO. Se delega en favor del Director General del Sistema de Transporte Masivo y Teleférico del Estado de México, la facultad de coordinar la creación de infraestructura para la movilidad de los “Sistemas de ciclo-vías</w:t>
      </w:r>
      <w:r w:rsidRPr="004F4D42">
        <w:rPr>
          <w:rFonts w:ascii="Palatino Linotype" w:hAnsi="Palatino Linotype"/>
          <w:i/>
          <w:sz w:val="22"/>
        </w:rPr>
        <w:t>”, prevista en el artículo 16, fracción II, inciso e) de la Ley de Movilidad del Estado de México en correlación con el primer párrafo del artículo 32 de la Ley Orgánica de la Administración Pública del Estado de México, con el objeto de modernizar la infraestructura del Estado de México a través de acciones y estratégicas necesarias para conseguir la movilidad sustentable.</w:t>
      </w:r>
    </w:p>
    <w:p w14:paraId="7FA308C6" w14:textId="77777777" w:rsidR="003A40C9" w:rsidRPr="004F4D42" w:rsidRDefault="003A40C9" w:rsidP="003A40C9">
      <w:pPr>
        <w:pStyle w:val="Prrafodelista"/>
        <w:spacing w:before="100" w:beforeAutospacing="1" w:after="100" w:afterAutospacing="1" w:line="360" w:lineRule="auto"/>
        <w:ind w:left="0"/>
        <w:jc w:val="both"/>
        <w:rPr>
          <w:rFonts w:ascii="Palatino Linotype" w:eastAsia="Calibri" w:hAnsi="Palatino Linotype" w:cs="Arial"/>
          <w:sz w:val="22"/>
        </w:rPr>
      </w:pPr>
    </w:p>
    <w:p w14:paraId="318633D7" w14:textId="402F1849" w:rsidR="009E3DE7" w:rsidRPr="004F4D42" w:rsidRDefault="00E93630" w:rsidP="00402B2F">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4F4D42">
        <w:rPr>
          <w:rFonts w:ascii="Palatino Linotype" w:eastAsia="Calibri" w:hAnsi="Palatino Linotype" w:cs="Arial"/>
        </w:rPr>
        <w:t xml:space="preserve">De lo anterior, se aprecia que, quien tiene atribuciones para generar, administrar y poseer la información relacionada con </w:t>
      </w:r>
      <w:r w:rsidR="00695857" w:rsidRPr="004F4D42">
        <w:rPr>
          <w:rFonts w:ascii="Palatino Linotype" w:eastAsia="Calibri" w:hAnsi="Palatino Linotype" w:cs="Arial"/>
        </w:rPr>
        <w:t>“</w:t>
      </w:r>
      <w:r w:rsidRPr="004F4D42">
        <w:rPr>
          <w:rFonts w:ascii="Palatino Linotype" w:eastAsia="Calibri" w:hAnsi="Palatino Linotype" w:cs="Arial"/>
        </w:rPr>
        <w:t>Sistemas de ciclo-v</w:t>
      </w:r>
      <w:r w:rsidR="00695857" w:rsidRPr="004F4D42">
        <w:rPr>
          <w:rFonts w:ascii="Palatino Linotype" w:eastAsia="Calibri" w:hAnsi="Palatino Linotype" w:cs="Arial"/>
        </w:rPr>
        <w:t>ías” es el Sistema de Transporte Masivo y Teleférico del Estado de México y Municipios que si bien, es un Organismo Descentralizado dependiente de la Secretaría de Movilidad, en materia de transparencia funge como un Sujeto Obligado independiente, de acuerdo al catálogo de Sujetos Obligados, se inserta imagen de referencia:</w:t>
      </w:r>
    </w:p>
    <w:p w14:paraId="69C38B46" w14:textId="57EA2AB1" w:rsidR="00695857" w:rsidRPr="004F4D42" w:rsidRDefault="00695857" w:rsidP="00695857">
      <w:pPr>
        <w:pStyle w:val="Prrafodelista"/>
        <w:spacing w:before="100" w:beforeAutospacing="1" w:after="100" w:afterAutospacing="1" w:line="360" w:lineRule="auto"/>
        <w:ind w:left="0"/>
        <w:jc w:val="both"/>
        <w:rPr>
          <w:rFonts w:ascii="Palatino Linotype" w:eastAsia="Calibri" w:hAnsi="Palatino Linotype" w:cs="Arial"/>
        </w:rPr>
      </w:pPr>
      <w:r w:rsidRPr="004F4D42">
        <w:rPr>
          <w:rFonts w:ascii="Palatino Linotype" w:eastAsia="Calibri" w:hAnsi="Palatino Linotype" w:cs="Arial"/>
          <w:noProof/>
          <w:lang w:eastAsia="es-MX"/>
        </w:rPr>
        <w:lastRenderedPageBreak/>
        <w:drawing>
          <wp:inline distT="0" distB="0" distL="0" distR="0" wp14:anchorId="4D749C85" wp14:editId="0F2A116B">
            <wp:extent cx="5612130" cy="386207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862070"/>
                    </a:xfrm>
                    <a:prstGeom prst="rect">
                      <a:avLst/>
                    </a:prstGeom>
                  </pic:spPr>
                </pic:pic>
              </a:graphicData>
            </a:graphic>
          </wp:inline>
        </w:drawing>
      </w:r>
    </w:p>
    <w:p w14:paraId="5993FCC1" w14:textId="77777777" w:rsidR="00695857" w:rsidRPr="004F4D42" w:rsidRDefault="00695857" w:rsidP="00695857">
      <w:pPr>
        <w:pStyle w:val="Prrafodelista"/>
        <w:spacing w:before="100" w:beforeAutospacing="1" w:after="100" w:afterAutospacing="1" w:line="360" w:lineRule="auto"/>
        <w:ind w:left="0"/>
        <w:jc w:val="both"/>
        <w:rPr>
          <w:rFonts w:ascii="Palatino Linotype" w:eastAsia="Calibri" w:hAnsi="Palatino Linotype" w:cs="Arial"/>
        </w:rPr>
      </w:pPr>
    </w:p>
    <w:p w14:paraId="261C1F79" w14:textId="6AB89C23" w:rsidR="00C47E36" w:rsidRPr="004F4D42" w:rsidRDefault="005029D4" w:rsidP="00F33A7A">
      <w:pPr>
        <w:pStyle w:val="Prrafodelista"/>
        <w:numPr>
          <w:ilvl w:val="0"/>
          <w:numId w:val="1"/>
        </w:numPr>
        <w:spacing w:before="100" w:beforeAutospacing="1" w:after="100" w:afterAutospacing="1" w:line="360" w:lineRule="auto"/>
        <w:jc w:val="both"/>
        <w:rPr>
          <w:rFonts w:ascii="Palatino Linotype" w:eastAsia="Palatino Linotype" w:hAnsi="Palatino Linotype" w:cs="Palatino Linotype"/>
          <w:b/>
        </w:rPr>
      </w:pPr>
      <w:r w:rsidRPr="004F4D42">
        <w:rPr>
          <w:rFonts w:ascii="Palatino Linotype" w:eastAsia="Calibri" w:hAnsi="Palatino Linotype" w:cs="Arial"/>
        </w:rPr>
        <w:t xml:space="preserve">Asimismo, </w:t>
      </w:r>
      <w:r w:rsidR="00C47E36" w:rsidRPr="004F4D42">
        <w:rPr>
          <w:rFonts w:ascii="Palatino Linotype" w:eastAsia="Palatino Linotype" w:hAnsi="Palatino Linotype" w:cs="Palatino Linotype"/>
        </w:rPr>
        <w:t>la Gaceta  de Gobierno, en fecha veintiocho de abril de dos mil veintiuno, siendo de nuestro más amplio interés el siguiente apartado:</w:t>
      </w:r>
    </w:p>
    <w:p w14:paraId="3181EFBA" w14:textId="1FF02912" w:rsidR="00C47E36" w:rsidRPr="004F4D42" w:rsidRDefault="00C47E36" w:rsidP="00C47E36">
      <w:pPr>
        <w:pStyle w:val="Prrafodelista"/>
        <w:spacing w:before="100" w:beforeAutospacing="1" w:after="100" w:afterAutospacing="1" w:line="360" w:lineRule="auto"/>
        <w:ind w:left="0"/>
        <w:jc w:val="center"/>
        <w:rPr>
          <w:rFonts w:ascii="Palatino Linotype" w:eastAsia="Palatino Linotype" w:hAnsi="Palatino Linotype" w:cs="Palatino Linotype"/>
          <w:b/>
        </w:rPr>
      </w:pPr>
      <w:r w:rsidRPr="004F4D42">
        <w:rPr>
          <w:rFonts w:ascii="Palatino Linotype" w:eastAsia="Palatino Linotype" w:hAnsi="Palatino Linotype" w:cs="Palatino Linotype"/>
          <w:b/>
          <w:noProof/>
          <w:lang w:eastAsia="es-MX"/>
        </w:rPr>
        <w:lastRenderedPageBreak/>
        <w:drawing>
          <wp:inline distT="0" distB="0" distL="0" distR="0" wp14:anchorId="0F192BCC" wp14:editId="5154D315">
            <wp:extent cx="3859480" cy="5056353"/>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0028" cy="5070173"/>
                    </a:xfrm>
                    <a:prstGeom prst="rect">
                      <a:avLst/>
                    </a:prstGeom>
                  </pic:spPr>
                </pic:pic>
              </a:graphicData>
            </a:graphic>
          </wp:inline>
        </w:drawing>
      </w:r>
    </w:p>
    <w:p w14:paraId="236C67A0" w14:textId="3FF37A8E" w:rsidR="00C47E36" w:rsidRPr="004F4D42" w:rsidRDefault="00C47E36" w:rsidP="00C47E36">
      <w:pPr>
        <w:pStyle w:val="Prrafodelista"/>
        <w:numPr>
          <w:ilvl w:val="0"/>
          <w:numId w:val="1"/>
        </w:numPr>
        <w:spacing w:line="360" w:lineRule="auto"/>
        <w:jc w:val="both"/>
        <w:rPr>
          <w:rFonts w:ascii="Palatino Linotype" w:eastAsia="Palatino Linotype" w:hAnsi="Palatino Linotype" w:cs="Palatino Linotype"/>
        </w:rPr>
      </w:pPr>
      <w:r w:rsidRPr="004F4D42">
        <w:rPr>
          <w:rFonts w:ascii="Palatino Linotype" w:eastAsia="Palatino Linotype" w:hAnsi="Palatino Linotype" w:cs="Palatino Linotype"/>
        </w:rPr>
        <w:t>De la imagen, se observa que se delegada a favor del Director General del Sistema de Transporte Masivo y Teleférico del Estado de México, la facultad de crear la infraestructura para la movilidad de los sistemas de “ciclo-vias”, prevista en el artículo 16 fracción II de la Ley de Movilidad., que a la letra dice:</w:t>
      </w:r>
    </w:p>
    <w:p w14:paraId="10D02A70" w14:textId="77777777" w:rsidR="00C47E36" w:rsidRPr="004F4D42" w:rsidRDefault="00C47E36" w:rsidP="00C47E36">
      <w:pPr>
        <w:spacing w:line="360" w:lineRule="auto"/>
        <w:jc w:val="both"/>
        <w:rPr>
          <w:rFonts w:ascii="Palatino Linotype" w:eastAsia="Palatino Linotype" w:hAnsi="Palatino Linotype" w:cs="Palatino Linotype"/>
        </w:rPr>
      </w:pPr>
    </w:p>
    <w:p w14:paraId="1CF8BED7" w14:textId="77777777" w:rsidR="00C47E36" w:rsidRPr="004F4D42" w:rsidRDefault="00C47E36" w:rsidP="00C47E36">
      <w:pPr>
        <w:spacing w:line="360" w:lineRule="auto"/>
        <w:ind w:left="851" w:right="900"/>
        <w:jc w:val="both"/>
        <w:rPr>
          <w:rFonts w:ascii="Palatino Linotype" w:eastAsia="Palatino Linotype" w:hAnsi="Palatino Linotype" w:cs="Palatino Linotype"/>
          <w:b/>
          <w:i/>
        </w:rPr>
      </w:pPr>
      <w:r w:rsidRPr="004F4D42">
        <w:rPr>
          <w:rFonts w:ascii="Palatino Linotype" w:eastAsia="Palatino Linotype" w:hAnsi="Palatino Linotype" w:cs="Palatino Linotype"/>
          <w:b/>
          <w:i/>
        </w:rPr>
        <w:t>LEY DE MOVILIDAD DEL ESTADO DE MÉXICO</w:t>
      </w:r>
    </w:p>
    <w:p w14:paraId="0DBE01C5" w14:textId="77777777" w:rsidR="00C47E36" w:rsidRPr="004F4D42" w:rsidRDefault="00C47E36" w:rsidP="00C47E36">
      <w:pPr>
        <w:spacing w:line="360" w:lineRule="auto"/>
        <w:ind w:left="851" w:right="900"/>
        <w:jc w:val="both"/>
        <w:rPr>
          <w:rFonts w:ascii="Palatino Linotype" w:eastAsia="Palatino Linotype" w:hAnsi="Palatino Linotype" w:cs="Palatino Linotype"/>
          <w:i/>
        </w:rPr>
      </w:pPr>
      <w:r w:rsidRPr="004F4D42">
        <w:rPr>
          <w:rFonts w:ascii="Palatino Linotype" w:eastAsia="Palatino Linotype" w:hAnsi="Palatino Linotype" w:cs="Palatino Linotype"/>
          <w:i/>
        </w:rPr>
        <w:t>Artículo 16. Sistema Integral de Movilidad. Los elementos del Sistema Integral de Movilidad, se clasifican en:</w:t>
      </w:r>
    </w:p>
    <w:p w14:paraId="4D5696DE" w14:textId="77777777" w:rsidR="00C47E36" w:rsidRPr="004F4D42" w:rsidRDefault="00C47E36" w:rsidP="00C47E36">
      <w:pPr>
        <w:spacing w:line="360" w:lineRule="auto"/>
        <w:ind w:left="851" w:right="900"/>
        <w:jc w:val="both"/>
        <w:rPr>
          <w:rFonts w:ascii="Palatino Linotype" w:eastAsia="Palatino Linotype" w:hAnsi="Palatino Linotype" w:cs="Palatino Linotype"/>
          <w:i/>
        </w:rPr>
      </w:pPr>
      <w:r w:rsidRPr="004F4D42">
        <w:rPr>
          <w:rFonts w:ascii="Palatino Linotype" w:eastAsia="Palatino Linotype" w:hAnsi="Palatino Linotype" w:cs="Palatino Linotype"/>
          <w:i/>
        </w:rPr>
        <w:lastRenderedPageBreak/>
        <w:t>(…)</w:t>
      </w:r>
    </w:p>
    <w:p w14:paraId="0DE69440" w14:textId="77777777" w:rsidR="00C47E36" w:rsidRPr="004F4D42" w:rsidRDefault="00C47E36" w:rsidP="00C47E36">
      <w:pPr>
        <w:spacing w:line="360" w:lineRule="auto"/>
        <w:ind w:left="851" w:right="900"/>
        <w:jc w:val="both"/>
        <w:rPr>
          <w:rFonts w:ascii="Palatino Linotype" w:eastAsia="Palatino Linotype" w:hAnsi="Palatino Linotype" w:cs="Palatino Linotype"/>
          <w:i/>
        </w:rPr>
      </w:pPr>
      <w:r w:rsidRPr="004F4D42">
        <w:rPr>
          <w:rFonts w:ascii="Palatino Linotype" w:eastAsia="Palatino Linotype" w:hAnsi="Palatino Linotype" w:cs="Palatino Linotype"/>
          <w:i/>
        </w:rPr>
        <w:t>II. Infraestructura para la movilidad: toda aquella que tienda a mejorar la movilidad en el Estado, permita la movilidad de las personas, la operación y/o confinamiento del servicio de transporte, los centros de transferencia modal, las bahías de ascenso y descenso, bases de taxis, sitios, estaciones, terminales, depósito de vehículos cobertizos u otro.</w:t>
      </w:r>
    </w:p>
    <w:p w14:paraId="61D2074E" w14:textId="77777777" w:rsidR="00C47E36" w:rsidRPr="004F4D42" w:rsidRDefault="00C47E36" w:rsidP="00C47E36">
      <w:pPr>
        <w:spacing w:line="360" w:lineRule="auto"/>
        <w:ind w:left="851" w:right="900"/>
        <w:jc w:val="both"/>
        <w:rPr>
          <w:rFonts w:ascii="Palatino Linotype" w:eastAsia="Palatino Linotype" w:hAnsi="Palatino Linotype" w:cs="Palatino Linotype"/>
          <w:i/>
        </w:rPr>
      </w:pPr>
      <w:r w:rsidRPr="004F4D42">
        <w:rPr>
          <w:rFonts w:ascii="Palatino Linotype" w:eastAsia="Palatino Linotype" w:hAnsi="Palatino Linotype" w:cs="Palatino Linotype"/>
          <w:i/>
        </w:rPr>
        <w:t>(…)</w:t>
      </w:r>
    </w:p>
    <w:p w14:paraId="516F340B" w14:textId="77777777" w:rsidR="00C47E36" w:rsidRPr="004F4D42" w:rsidRDefault="00C47E36" w:rsidP="00C47E36">
      <w:pPr>
        <w:spacing w:line="360" w:lineRule="auto"/>
        <w:ind w:left="851" w:right="900"/>
        <w:jc w:val="both"/>
        <w:rPr>
          <w:rFonts w:ascii="Palatino Linotype" w:eastAsia="Palatino Linotype" w:hAnsi="Palatino Linotype" w:cs="Palatino Linotype"/>
          <w:i/>
        </w:rPr>
      </w:pPr>
      <w:r w:rsidRPr="004F4D42">
        <w:rPr>
          <w:rFonts w:ascii="Palatino Linotype" w:eastAsia="Palatino Linotype" w:hAnsi="Palatino Linotype" w:cs="Palatino Linotype"/>
          <w:i/>
        </w:rPr>
        <w:t>e) Sistemas de ciclo-vías.</w:t>
      </w:r>
    </w:p>
    <w:p w14:paraId="15F95194" w14:textId="77777777" w:rsidR="00C47E36" w:rsidRPr="004F4D42" w:rsidRDefault="00C47E36" w:rsidP="00C47E36">
      <w:pPr>
        <w:spacing w:line="360" w:lineRule="auto"/>
        <w:ind w:left="851" w:right="900"/>
        <w:jc w:val="both"/>
        <w:rPr>
          <w:rFonts w:ascii="Palatino Linotype" w:eastAsia="Palatino Linotype" w:hAnsi="Palatino Linotype" w:cs="Palatino Linotype"/>
          <w:i/>
        </w:rPr>
      </w:pPr>
    </w:p>
    <w:p w14:paraId="26EDB795" w14:textId="77777777" w:rsidR="001D195D" w:rsidRPr="004F4D42" w:rsidRDefault="00C47E36" w:rsidP="00C47E36">
      <w:pPr>
        <w:pStyle w:val="Prrafodelista"/>
        <w:numPr>
          <w:ilvl w:val="0"/>
          <w:numId w:val="1"/>
        </w:numPr>
        <w:spacing w:line="360" w:lineRule="auto"/>
        <w:ind w:right="51"/>
        <w:jc w:val="both"/>
        <w:rPr>
          <w:rFonts w:ascii="Palatino Linotype" w:eastAsia="Palatino Linotype" w:hAnsi="Palatino Linotype" w:cs="Palatino Linotype"/>
        </w:rPr>
      </w:pPr>
      <w:r w:rsidRPr="004F4D42">
        <w:rPr>
          <w:rFonts w:ascii="Palatino Linotype" w:eastAsia="Palatino Linotype" w:hAnsi="Palatino Linotype" w:cs="Palatino Linotype"/>
        </w:rPr>
        <w:t xml:space="preserve">No obstante, a ello, dicha Gaceta de Gobierno, </w:t>
      </w:r>
      <w:r w:rsidRPr="004F4D42">
        <w:rPr>
          <w:rFonts w:ascii="Palatino Linotype" w:eastAsia="Palatino Linotype" w:hAnsi="Palatino Linotype" w:cs="Palatino Linotype"/>
          <w:b/>
        </w:rPr>
        <w:t>también refiere que a pesar de delegar atribuciones al Sistema Teleférico, esto es sin perjuicio de que puedan participar otras unidades administrativas de la Secretaría de Movilidad</w:t>
      </w:r>
      <w:r w:rsidRPr="004F4D42">
        <w:rPr>
          <w:rFonts w:ascii="Palatino Linotype" w:eastAsia="Palatino Linotype" w:hAnsi="Palatino Linotype" w:cs="Palatino Linotype"/>
        </w:rPr>
        <w:t xml:space="preserve"> y su órgano desconcentrado Instituto de Transporte del Estado de México.</w:t>
      </w:r>
    </w:p>
    <w:p w14:paraId="44A43A9A" w14:textId="77777777" w:rsidR="001D195D" w:rsidRPr="004F4D42" w:rsidRDefault="001D195D" w:rsidP="001D195D">
      <w:pPr>
        <w:pStyle w:val="Prrafodelista"/>
        <w:spacing w:line="360" w:lineRule="auto"/>
        <w:ind w:left="0" w:right="51"/>
        <w:jc w:val="both"/>
        <w:rPr>
          <w:rFonts w:ascii="Palatino Linotype" w:eastAsia="Palatino Linotype" w:hAnsi="Palatino Linotype" w:cs="Palatino Linotype"/>
        </w:rPr>
      </w:pPr>
    </w:p>
    <w:p w14:paraId="779681E4" w14:textId="77777777" w:rsidR="001D195D" w:rsidRPr="004F4D42" w:rsidRDefault="00C47E36" w:rsidP="00C47E36">
      <w:pPr>
        <w:pStyle w:val="Prrafodelista"/>
        <w:numPr>
          <w:ilvl w:val="0"/>
          <w:numId w:val="1"/>
        </w:numPr>
        <w:spacing w:line="360" w:lineRule="auto"/>
        <w:ind w:right="51"/>
        <w:jc w:val="both"/>
        <w:rPr>
          <w:rFonts w:ascii="Palatino Linotype" w:eastAsia="Palatino Linotype" w:hAnsi="Palatino Linotype" w:cs="Palatino Linotype"/>
        </w:rPr>
      </w:pPr>
      <w:r w:rsidRPr="004F4D42">
        <w:rPr>
          <w:rFonts w:ascii="Palatino Linotype" w:eastAsia="Palatino Linotype" w:hAnsi="Palatino Linotype" w:cs="Palatino Linotype"/>
        </w:rPr>
        <w:t xml:space="preserve">Asimismo, en el mismo acuerdo delegatorio señala que el Director General del Sistema de Transporte Masivo y  Teleférico del Estado de México, </w:t>
      </w:r>
      <w:r w:rsidRPr="004F4D42">
        <w:rPr>
          <w:rFonts w:ascii="Palatino Linotype" w:eastAsia="Palatino Linotype" w:hAnsi="Palatino Linotype" w:cs="Palatino Linotype"/>
          <w:b/>
        </w:rPr>
        <w:t>deberá elaborar y enviar de forma permanente al Secretario de Movilidad, informes relacionados con los planes, programas, acciones y demás gestiones que se realicen durante la ejecución de los proyectos a su cargo.</w:t>
      </w:r>
    </w:p>
    <w:p w14:paraId="3DAD24A3" w14:textId="77777777" w:rsidR="001D195D" w:rsidRPr="004F4D42" w:rsidRDefault="001D195D" w:rsidP="001D195D">
      <w:pPr>
        <w:pStyle w:val="Prrafodelista"/>
        <w:rPr>
          <w:rFonts w:ascii="Palatino Linotype" w:eastAsia="Palatino Linotype" w:hAnsi="Palatino Linotype" w:cs="Palatino Linotype"/>
        </w:rPr>
      </w:pPr>
    </w:p>
    <w:p w14:paraId="2AE9491F" w14:textId="64020CAD" w:rsidR="00C47E36" w:rsidRPr="004F4D42" w:rsidRDefault="00C47E36" w:rsidP="00C47E36">
      <w:pPr>
        <w:pStyle w:val="Prrafodelista"/>
        <w:numPr>
          <w:ilvl w:val="0"/>
          <w:numId w:val="1"/>
        </w:numPr>
        <w:spacing w:line="360" w:lineRule="auto"/>
        <w:ind w:right="51"/>
        <w:jc w:val="both"/>
        <w:rPr>
          <w:rFonts w:ascii="Palatino Linotype" w:eastAsia="Palatino Linotype" w:hAnsi="Palatino Linotype" w:cs="Palatino Linotype"/>
        </w:rPr>
      </w:pPr>
      <w:r w:rsidRPr="004F4D42">
        <w:rPr>
          <w:rFonts w:ascii="Palatino Linotype" w:eastAsia="Palatino Linotype" w:hAnsi="Palatino Linotype" w:cs="Palatino Linotype"/>
        </w:rPr>
        <w:t>En orden de ideas, conviene señalar, la siguiente normatividad:</w:t>
      </w:r>
    </w:p>
    <w:p w14:paraId="52A6E96D" w14:textId="77777777" w:rsidR="00C47E36" w:rsidRPr="004F4D42" w:rsidRDefault="00C47E36" w:rsidP="00C47E36">
      <w:pPr>
        <w:spacing w:line="360" w:lineRule="auto"/>
        <w:jc w:val="both"/>
        <w:rPr>
          <w:rFonts w:ascii="Palatino Linotype" w:eastAsia="Palatino Linotype" w:hAnsi="Palatino Linotype" w:cs="Palatino Linotype"/>
        </w:rPr>
      </w:pPr>
    </w:p>
    <w:p w14:paraId="6855D928" w14:textId="77777777" w:rsidR="00C47E36" w:rsidRPr="004F4D42" w:rsidRDefault="00C47E36" w:rsidP="001D195D">
      <w:pPr>
        <w:spacing w:line="360" w:lineRule="auto"/>
        <w:ind w:left="567" w:right="616"/>
        <w:jc w:val="both"/>
        <w:rPr>
          <w:rFonts w:ascii="Palatino Linotype" w:eastAsia="Palatino Linotype" w:hAnsi="Palatino Linotype" w:cs="Palatino Linotype"/>
          <w:b/>
          <w:i/>
          <w:u w:val="single"/>
        </w:rPr>
      </w:pPr>
      <w:r w:rsidRPr="004F4D42">
        <w:rPr>
          <w:rFonts w:ascii="Palatino Linotype" w:eastAsia="Palatino Linotype" w:hAnsi="Palatino Linotype" w:cs="Palatino Linotype"/>
          <w:b/>
          <w:i/>
          <w:u w:val="single"/>
        </w:rPr>
        <w:t>REGLAMENTO INTERIOR DE LA SECRETARÍA DE MOVILIDAD</w:t>
      </w:r>
    </w:p>
    <w:p w14:paraId="4078B636"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Artículo 15. Las direcciones generales de movilidad tendrán bajo su adscripción delegaciones regionales, con atribuciones en los municipios siguientes:</w:t>
      </w:r>
    </w:p>
    <w:p w14:paraId="71F317EC"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lastRenderedPageBreak/>
        <w:t>I. Dirección General de Movilidad Zona I:</w:t>
      </w:r>
    </w:p>
    <w:p w14:paraId="15E99E91"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 xml:space="preserve">a) Delegación Regional </w:t>
      </w:r>
      <w:r w:rsidRPr="004F4D42">
        <w:rPr>
          <w:rFonts w:ascii="Palatino Linotype" w:eastAsia="Palatino Linotype" w:hAnsi="Palatino Linotype" w:cs="Palatino Linotype"/>
          <w:b/>
          <w:i/>
        </w:rPr>
        <w:t>Toluca:</w:t>
      </w:r>
      <w:r w:rsidRPr="004F4D42">
        <w:rPr>
          <w:rFonts w:ascii="Palatino Linotype" w:eastAsia="Palatino Linotype" w:hAnsi="Palatino Linotype" w:cs="Palatino Linotype"/>
          <w:i/>
        </w:rPr>
        <w:t xml:space="preserve"> Almoloya de Juárez, Almoloya del Río, Atizapán, Calimaya, Capulhuac, Chapultepec, Jiquipilco, Lerma, Metepec, Mexicaltzingo, Ocoyoacac, Otzolotepec, Rayón, San Antonio la Isla, San Mateo Atenco, Temoaya, Tenango del Valle, Texcalyacac, Tianguistenco, Toluca, Xalatlaco, Xonacatlán y Zinacantepec;</w:t>
      </w:r>
    </w:p>
    <w:p w14:paraId="3E74CE75"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b) Delegación Regional Atlacomulco: Acambay, Aculco, Atlacomulco, Chapa de Mota, El Oro, Ixtlahuaca, Jilotepec, Jocotitlán, Morelos, Polotitlán, San Felipe del Progreso, San José del Rincón, Soyaniquilpan de Juárez, Temascalcingo y Timilpan;</w:t>
      </w:r>
    </w:p>
    <w:p w14:paraId="222137AC"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c) Delegación Regional Valle de Bravo: Amanalco, Donato Guerra, Ixtapan del Oro, Otzoloapan, Santo Tomás, Valle de Bravo, Villa de Allende, Villa Victoria y Zacazonapan;</w:t>
      </w:r>
    </w:p>
    <w:p w14:paraId="6F617ACD"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d) Delegación Regional de Tejupilco: Amatepec, Luvianos, San Simón de Guerrero, Tejupilco, Temascaltepec y Tlatlaya;</w:t>
      </w:r>
    </w:p>
    <w:p w14:paraId="09B108F5"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e) Delegación Regional Ixtapan de la Sal: Almoloya de Alquisiras, Coatepec Harinas, Ixtapan de la Sal, Joquicingo, Malinalco, Ocuilan, Sultepec, Tenancingo, Texcaltitlán, Tonatico, Villa Guerrero, Zacualpan y Zumpahuacán;</w:t>
      </w:r>
    </w:p>
    <w:p w14:paraId="67B1437E"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II. Dirección General de Movilidad Zona II:</w:t>
      </w:r>
    </w:p>
    <w:p w14:paraId="16772439"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a) Delegación Regional Naucalpan: Atizapán de Zaragoza, Huixquilucan, Isidro Fabela, Jilotzingo, Naucalpan de Juárez, Nicolás Romero y Tlalnepantla de Baz;</w:t>
      </w:r>
    </w:p>
    <w:p w14:paraId="73B56450"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b) Delegación Regional Cuautitlán Izcalli: Coyotepec, Coacalco de Berriozábal, Cuautitlán, Cuautitlán Izcalli, Huehuetoca, Melchor Ocampo, Teoloyucan, Tepotzotlán, Tultepec, Tultitlán y Villa del Carbón;</w:t>
      </w:r>
    </w:p>
    <w:p w14:paraId="10D64774"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lastRenderedPageBreak/>
        <w:t>c) Delegación Regional Zumpango: Apaxco, Hueypoxtla, Jaltenco, Nextlalpan, Tequixquiac, Tonanitla y Zumpango;</w:t>
      </w:r>
    </w:p>
    <w:p w14:paraId="077FE052"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III. Dirección General de Movilidad Zona III:</w:t>
      </w:r>
    </w:p>
    <w:p w14:paraId="4FCD5F96"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a) Delegación Regional Texcoco: Atenco, Chiautla, Chiconcuac, Papalotla, Tepetlaoxtoc, Texcoco y Tezoyuca;</w:t>
      </w:r>
    </w:p>
    <w:p w14:paraId="14D8E75E"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b) Delegación Regional Ecatepec: Acolman, Axapusco, Ecatepec de Morelos, Nopaltepec, Otumba, San Martín de las Pirámides, Tecámac, Temascalapa y Teotihuacán;</w:t>
      </w:r>
    </w:p>
    <w:p w14:paraId="6030CDE0"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IV. Dirección General de Movilidad Zona IV:</w:t>
      </w:r>
    </w:p>
    <w:p w14:paraId="4B56E437"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a) Delegación Regional Nezahualcóyotl: Chicoloapan, Chimalhuacán, Ixtapaluca, La Paz y Nezahualcóyotl, y</w:t>
      </w:r>
    </w:p>
    <w:p w14:paraId="5F7DE3A7"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b) Delegación Regional Chalco: Amecameca, Atlautla, Ayapango, Chalco, Cocotitlán, Ecatzingo, Juchitepec, Ozumba, Temamatla, Tenango del Aire, Tepetlixpa, Tlalmanalco y Valle de Chalco Solidaridad.</w:t>
      </w:r>
    </w:p>
    <w:p w14:paraId="7B93570E" w14:textId="77777777" w:rsidR="00C47E36" w:rsidRPr="004F4D42" w:rsidRDefault="00C47E36" w:rsidP="001D195D">
      <w:pPr>
        <w:spacing w:line="360" w:lineRule="auto"/>
        <w:ind w:left="567" w:right="616"/>
        <w:jc w:val="both"/>
        <w:rPr>
          <w:rFonts w:ascii="Palatino Linotype" w:eastAsia="Palatino Linotype" w:hAnsi="Palatino Linotype" w:cs="Palatino Linotype"/>
          <w:b/>
          <w:i/>
        </w:rPr>
      </w:pPr>
      <w:r w:rsidRPr="004F4D42">
        <w:rPr>
          <w:rFonts w:ascii="Palatino Linotype" w:eastAsia="Palatino Linotype" w:hAnsi="Palatino Linotype" w:cs="Palatino Linotype"/>
          <w:b/>
          <w:i/>
        </w:rPr>
        <w:t>Artículo 16. Corresponden a las delegaciones regionales, en su respectiva circunscripción territorial, las atribuciones siguientes:</w:t>
      </w:r>
    </w:p>
    <w:p w14:paraId="5E7FA8AC" w14:textId="77777777" w:rsidR="00C47E36" w:rsidRPr="004F4D42" w:rsidRDefault="00C47E36" w:rsidP="001D195D">
      <w:pPr>
        <w:spacing w:line="360" w:lineRule="auto"/>
        <w:ind w:left="567" w:right="616"/>
        <w:jc w:val="both"/>
        <w:rPr>
          <w:rFonts w:ascii="Palatino Linotype" w:eastAsia="Palatino Linotype" w:hAnsi="Palatino Linotype" w:cs="Palatino Linotype"/>
          <w:b/>
          <w:i/>
        </w:rPr>
      </w:pPr>
      <w:r w:rsidRPr="004F4D42">
        <w:rPr>
          <w:rFonts w:ascii="Palatino Linotype" w:eastAsia="Palatino Linotype" w:hAnsi="Palatino Linotype" w:cs="Palatino Linotype"/>
          <w:b/>
          <w:i/>
        </w:rPr>
        <w:t>(…)</w:t>
      </w:r>
    </w:p>
    <w:p w14:paraId="6276C099" w14:textId="77777777" w:rsidR="00C47E36" w:rsidRPr="004F4D42" w:rsidRDefault="00C47E36" w:rsidP="001D195D">
      <w:pPr>
        <w:spacing w:line="360" w:lineRule="auto"/>
        <w:ind w:left="567" w:right="616"/>
        <w:jc w:val="both"/>
        <w:rPr>
          <w:rFonts w:ascii="Palatino Linotype" w:eastAsia="Palatino Linotype" w:hAnsi="Palatino Linotype" w:cs="Palatino Linotype"/>
          <w:b/>
          <w:i/>
        </w:rPr>
      </w:pPr>
      <w:r w:rsidRPr="004F4D42">
        <w:rPr>
          <w:rFonts w:ascii="Palatino Linotype" w:eastAsia="Palatino Linotype" w:hAnsi="Palatino Linotype" w:cs="Palatino Linotype"/>
          <w:b/>
          <w:i/>
        </w:rPr>
        <w:t>VI. Promover la creación de ciclo vías y ciclo estacionamientos, en coordinación con las autoridades estatales y municipales;</w:t>
      </w:r>
    </w:p>
    <w:p w14:paraId="00C79FED"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p>
    <w:p w14:paraId="054F019F" w14:textId="77777777" w:rsidR="00C47E36" w:rsidRPr="004F4D42" w:rsidRDefault="00C47E36" w:rsidP="001D195D">
      <w:pPr>
        <w:spacing w:line="360" w:lineRule="auto"/>
        <w:ind w:left="567" w:right="616"/>
        <w:jc w:val="both"/>
        <w:rPr>
          <w:rFonts w:ascii="Palatino Linotype" w:eastAsia="Palatino Linotype" w:hAnsi="Palatino Linotype" w:cs="Palatino Linotype"/>
          <w:b/>
          <w:i/>
        </w:rPr>
      </w:pPr>
      <w:r w:rsidRPr="004F4D42">
        <w:rPr>
          <w:rFonts w:ascii="Palatino Linotype" w:eastAsia="Palatino Linotype" w:hAnsi="Palatino Linotype" w:cs="Palatino Linotype"/>
          <w:b/>
          <w:i/>
        </w:rPr>
        <w:t>LEY DE MOVILIDAD DEL ESTADO DE MÉXICO</w:t>
      </w:r>
    </w:p>
    <w:p w14:paraId="42FDDEEB"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Artículo 27. Del desarrollo de la movilidad de las zonas urbanas. El eje del desarrollo urbano deberá considerar los siguientes principios:</w:t>
      </w:r>
    </w:p>
    <w:p w14:paraId="205DBE83"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t>(…)</w:t>
      </w:r>
    </w:p>
    <w:p w14:paraId="476279B6" w14:textId="77777777" w:rsidR="00C47E36" w:rsidRPr="004F4D42" w:rsidRDefault="00C47E36" w:rsidP="001D195D">
      <w:pPr>
        <w:spacing w:line="360" w:lineRule="auto"/>
        <w:ind w:left="567" w:right="616"/>
        <w:jc w:val="both"/>
        <w:rPr>
          <w:rFonts w:ascii="Palatino Linotype" w:eastAsia="Palatino Linotype" w:hAnsi="Palatino Linotype" w:cs="Palatino Linotype"/>
          <w:i/>
        </w:rPr>
      </w:pPr>
      <w:r w:rsidRPr="004F4D42">
        <w:rPr>
          <w:rFonts w:ascii="Palatino Linotype" w:eastAsia="Palatino Linotype" w:hAnsi="Palatino Linotype" w:cs="Palatino Linotype"/>
          <w:i/>
        </w:rPr>
        <w:lastRenderedPageBreak/>
        <w:t>II. Prever redes de ciclo-vías, diseñando calles que garanticen la seguridad de los ciclistas y ofreciendo bici-estacionamientos seguros.</w:t>
      </w:r>
    </w:p>
    <w:p w14:paraId="27E417F5" w14:textId="77777777" w:rsidR="00C47E36" w:rsidRPr="004F4D42" w:rsidRDefault="00C47E36" w:rsidP="00C47E36">
      <w:pPr>
        <w:rPr>
          <w:rFonts w:ascii="Palatino Linotype" w:eastAsia="Palatino Linotype" w:hAnsi="Palatino Linotype" w:cs="Palatino Linotype"/>
        </w:rPr>
      </w:pPr>
    </w:p>
    <w:p w14:paraId="71623BCF" w14:textId="4DE6A06A" w:rsidR="00424246" w:rsidRPr="004F4D42" w:rsidRDefault="00C47E36" w:rsidP="00424246">
      <w:pPr>
        <w:pStyle w:val="Prrafodelista"/>
        <w:numPr>
          <w:ilvl w:val="0"/>
          <w:numId w:val="1"/>
        </w:numPr>
        <w:spacing w:line="360" w:lineRule="auto"/>
        <w:jc w:val="both"/>
        <w:rPr>
          <w:rFonts w:ascii="Palatino Linotype" w:eastAsia="Palatino Linotype" w:hAnsi="Palatino Linotype" w:cs="Palatino Linotype"/>
        </w:rPr>
      </w:pPr>
      <w:r w:rsidRPr="004F4D42">
        <w:rPr>
          <w:rFonts w:ascii="Palatino Linotype" w:eastAsia="Palatino Linotype" w:hAnsi="Palatino Linotype" w:cs="Palatino Linotype"/>
        </w:rPr>
        <w:t xml:space="preserve">De acuerdo a lo anterior, </w:t>
      </w:r>
      <w:r w:rsidRPr="004F4D42">
        <w:rPr>
          <w:rFonts w:ascii="Palatino Linotype" w:eastAsia="Palatino Linotype" w:hAnsi="Palatino Linotype" w:cs="Palatino Linotype"/>
          <w:b/>
        </w:rPr>
        <w:t xml:space="preserve">EL SUJETO OBLIGADO </w:t>
      </w:r>
      <w:r w:rsidRPr="004F4D42">
        <w:rPr>
          <w:rFonts w:ascii="Palatino Linotype" w:eastAsia="Palatino Linotype" w:hAnsi="Palatino Linotype" w:cs="Palatino Linotype"/>
        </w:rPr>
        <w:t>tendrán bajo su adscripción delegaciones regionales que dentro de su respectiva circunscripción territorial, promoverá la creación de ciclo vías con las autoridades estatales y municipales, por lo que el eje de desarrollo urbano, tiene como principio, proveer redes de ciclo-vías, que garantice</w:t>
      </w:r>
      <w:r w:rsidR="00BD1271" w:rsidRPr="004F4D42">
        <w:rPr>
          <w:rFonts w:ascii="Palatino Linotype" w:eastAsia="Palatino Linotype" w:hAnsi="Palatino Linotype" w:cs="Palatino Linotype"/>
        </w:rPr>
        <w:t>n la seguridad de los ciclistas, incluyendo aquellas que se encuentran en el Municipio de Toluca de Lerdo.</w:t>
      </w:r>
    </w:p>
    <w:p w14:paraId="143F5CE4" w14:textId="77777777" w:rsidR="00424246" w:rsidRPr="004F4D42" w:rsidRDefault="00424246" w:rsidP="00424246">
      <w:pPr>
        <w:pStyle w:val="Prrafodelista"/>
        <w:spacing w:line="360" w:lineRule="auto"/>
        <w:ind w:left="0"/>
        <w:jc w:val="both"/>
        <w:rPr>
          <w:rFonts w:ascii="Palatino Linotype" w:eastAsia="Palatino Linotype" w:hAnsi="Palatino Linotype" w:cs="Palatino Linotype"/>
        </w:rPr>
      </w:pPr>
    </w:p>
    <w:p w14:paraId="762605C5" w14:textId="765B5D3E" w:rsidR="00424246" w:rsidRPr="004F4D42"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4F4D42">
        <w:rPr>
          <w:rFonts w:ascii="Palatino Linotype" w:eastAsia="Palatino Linotype" w:hAnsi="Palatino Linotype" w:cs="Palatino Linotype"/>
        </w:rPr>
        <w:t xml:space="preserve">Además a lo anterior, </w:t>
      </w:r>
      <w:r w:rsidRPr="004F4D42">
        <w:rPr>
          <w:rFonts w:ascii="Palatino Linotype" w:eastAsia="Palatino Linotype" w:hAnsi="Palatino Linotype" w:cs="Palatino Linotype"/>
          <w:color w:val="000000"/>
        </w:rPr>
        <w:t>el</w:t>
      </w:r>
      <w:r w:rsidRPr="004F4D42">
        <w:rPr>
          <w:rFonts w:ascii="Palatino Linotype" w:eastAsia="Palatino Linotype" w:hAnsi="Palatino Linotype" w:cs="Palatino Linotype"/>
        </w:rPr>
        <w:t xml:space="preserve"> Instituto localizó </w:t>
      </w:r>
      <w:r w:rsidR="00BD1271" w:rsidRPr="004F4D42">
        <w:rPr>
          <w:rFonts w:ascii="Palatino Linotype" w:eastAsia="Palatino Linotype" w:hAnsi="Palatino Linotype" w:cs="Palatino Linotype"/>
        </w:rPr>
        <w:t xml:space="preserve">diversas </w:t>
      </w:r>
      <w:r w:rsidRPr="004F4D42">
        <w:rPr>
          <w:rFonts w:ascii="Palatino Linotype" w:eastAsia="Palatino Linotype" w:hAnsi="Palatino Linotype" w:cs="Palatino Linotype"/>
        </w:rPr>
        <w:t>nota</w:t>
      </w:r>
      <w:r w:rsidR="00BD1271" w:rsidRPr="004F4D42">
        <w:rPr>
          <w:rFonts w:ascii="Palatino Linotype" w:eastAsia="Palatino Linotype" w:hAnsi="Palatino Linotype" w:cs="Palatino Linotype"/>
        </w:rPr>
        <w:t>s</w:t>
      </w:r>
      <w:r w:rsidRPr="004F4D42">
        <w:rPr>
          <w:rFonts w:ascii="Palatino Linotype" w:eastAsia="Palatino Linotype" w:hAnsi="Palatino Linotype" w:cs="Palatino Linotype"/>
        </w:rPr>
        <w:t xml:space="preserve"> periodística</w:t>
      </w:r>
      <w:r w:rsidR="00BD1271" w:rsidRPr="004F4D42">
        <w:rPr>
          <w:rFonts w:ascii="Palatino Linotype" w:eastAsia="Palatino Linotype" w:hAnsi="Palatino Linotype" w:cs="Palatino Linotype"/>
        </w:rPr>
        <w:t>s</w:t>
      </w:r>
      <w:r w:rsidRPr="004F4D42">
        <w:rPr>
          <w:rFonts w:ascii="Palatino Linotype" w:eastAsia="Palatino Linotype" w:hAnsi="Palatino Linotype" w:cs="Palatino Linotype"/>
        </w:rPr>
        <w:t>, denominada</w:t>
      </w:r>
      <w:r w:rsidR="00BD1271" w:rsidRPr="004F4D42">
        <w:rPr>
          <w:rFonts w:ascii="Palatino Linotype" w:eastAsia="Palatino Linotype" w:hAnsi="Palatino Linotype" w:cs="Palatino Linotype"/>
        </w:rPr>
        <w:t>s</w:t>
      </w:r>
      <w:r w:rsidRPr="004F4D42">
        <w:rPr>
          <w:rFonts w:ascii="Palatino Linotype" w:eastAsia="Palatino Linotype" w:hAnsi="Palatino Linotype" w:cs="Palatino Linotype"/>
        </w:rPr>
        <w:t xml:space="preserve"> Proyectan implementación inmediata de ciclo vía de Isidro Fabela, publicado Por el medio de comunicación QUADRARIN Estado de México, el diez de marzo del año dos mil veintidós , tal como se observa en la siguiente liga electrónica y en la captura que se proporciona a manera de ejemplo:</w:t>
      </w:r>
    </w:p>
    <w:p w14:paraId="5DDB559E" w14:textId="77777777" w:rsidR="00424246" w:rsidRPr="004F4D42" w:rsidRDefault="00424246" w:rsidP="00424246">
      <w:pPr>
        <w:spacing w:line="360" w:lineRule="auto"/>
        <w:jc w:val="both"/>
        <w:rPr>
          <w:rFonts w:ascii="Palatino Linotype" w:eastAsia="Palatino Linotype" w:hAnsi="Palatino Linotype" w:cs="Palatino Linotype"/>
          <w:color w:val="0563C1"/>
          <w:u w:val="single"/>
        </w:rPr>
      </w:pPr>
    </w:p>
    <w:p w14:paraId="2BB83B92" w14:textId="77777777" w:rsidR="00424246" w:rsidRPr="004F4D42" w:rsidRDefault="00567934" w:rsidP="00424246">
      <w:pPr>
        <w:pStyle w:val="Prrafodelista"/>
        <w:numPr>
          <w:ilvl w:val="0"/>
          <w:numId w:val="26"/>
        </w:numPr>
        <w:spacing w:line="360" w:lineRule="auto"/>
        <w:jc w:val="both"/>
        <w:rPr>
          <w:rFonts w:ascii="Palatino Linotype" w:eastAsia="Palatino Linotype" w:hAnsi="Palatino Linotype" w:cs="Palatino Linotype"/>
        </w:rPr>
      </w:pPr>
      <w:hyperlink r:id="rId10">
        <w:r w:rsidR="00424246" w:rsidRPr="004F4D42">
          <w:rPr>
            <w:rFonts w:ascii="Palatino Linotype" w:eastAsia="Palatino Linotype" w:hAnsi="Palatino Linotype" w:cs="Palatino Linotype"/>
            <w:color w:val="0563C1"/>
            <w:u w:val="single"/>
          </w:rPr>
          <w:t>https://edomex.quadratin.com.mx/proyectan-implementacion-inmediata-de-ciclovia-de-isidro-fabela/</w:t>
        </w:r>
      </w:hyperlink>
      <w:r w:rsidR="00424246" w:rsidRPr="004F4D42">
        <w:rPr>
          <w:rFonts w:ascii="Palatino Linotype" w:eastAsia="Palatino Linotype" w:hAnsi="Palatino Linotype" w:cs="Palatino Linotype"/>
        </w:rPr>
        <w:t xml:space="preserve"> </w:t>
      </w:r>
    </w:p>
    <w:p w14:paraId="55D2242F" w14:textId="77777777" w:rsidR="00424246" w:rsidRPr="004F4D42" w:rsidRDefault="00424246" w:rsidP="00424246">
      <w:pPr>
        <w:spacing w:line="360" w:lineRule="auto"/>
        <w:jc w:val="both"/>
        <w:rPr>
          <w:rFonts w:ascii="Palatino Linotype" w:eastAsia="Palatino Linotype" w:hAnsi="Palatino Linotype" w:cs="Palatino Linotype"/>
        </w:rPr>
      </w:pPr>
      <w:r w:rsidRPr="004F4D42">
        <w:rPr>
          <w:noProof/>
          <w:lang w:eastAsia="es-MX"/>
        </w:rPr>
        <w:lastRenderedPageBreak/>
        <w:drawing>
          <wp:inline distT="0" distB="0" distL="0" distR="0" wp14:anchorId="209E9780" wp14:editId="7F26C79D">
            <wp:extent cx="5624014" cy="6217741"/>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9178" t="11164" r="40427" b="9436"/>
                    <a:stretch>
                      <a:fillRect/>
                    </a:stretch>
                  </pic:blipFill>
                  <pic:spPr>
                    <a:xfrm>
                      <a:off x="0" y="0"/>
                      <a:ext cx="5624014" cy="6217741"/>
                    </a:xfrm>
                    <a:prstGeom prst="rect">
                      <a:avLst/>
                    </a:prstGeom>
                    <a:ln/>
                  </pic:spPr>
                </pic:pic>
              </a:graphicData>
            </a:graphic>
          </wp:inline>
        </w:drawing>
      </w:r>
    </w:p>
    <w:p w14:paraId="79C2F83C" w14:textId="77777777" w:rsidR="00424246" w:rsidRPr="004F4D42" w:rsidRDefault="00424246" w:rsidP="00424246">
      <w:pPr>
        <w:spacing w:line="360" w:lineRule="auto"/>
        <w:jc w:val="both"/>
      </w:pPr>
      <w:r w:rsidRPr="004F4D42">
        <w:rPr>
          <w:noProof/>
          <w:lang w:eastAsia="es-MX"/>
        </w:rPr>
        <w:lastRenderedPageBreak/>
        <w:drawing>
          <wp:inline distT="0" distB="0" distL="0" distR="0" wp14:anchorId="0DC4C222" wp14:editId="50583BA3">
            <wp:extent cx="5381422" cy="4656463"/>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2403" t="25045" r="44841" b="24562"/>
                    <a:stretch>
                      <a:fillRect/>
                    </a:stretch>
                  </pic:blipFill>
                  <pic:spPr>
                    <a:xfrm>
                      <a:off x="0" y="0"/>
                      <a:ext cx="5381422" cy="4656463"/>
                    </a:xfrm>
                    <a:prstGeom prst="rect">
                      <a:avLst/>
                    </a:prstGeom>
                    <a:ln/>
                  </pic:spPr>
                </pic:pic>
              </a:graphicData>
            </a:graphic>
          </wp:inline>
        </w:drawing>
      </w:r>
    </w:p>
    <w:p w14:paraId="47BA1BD8" w14:textId="77777777" w:rsidR="00424246" w:rsidRPr="004F4D42" w:rsidRDefault="00424246" w:rsidP="00424246">
      <w:pPr>
        <w:spacing w:line="360" w:lineRule="auto"/>
        <w:jc w:val="center"/>
      </w:pPr>
      <w:r w:rsidRPr="004F4D42">
        <w:rPr>
          <w:noProof/>
          <w:lang w:eastAsia="es-MX"/>
        </w:rPr>
        <w:lastRenderedPageBreak/>
        <w:drawing>
          <wp:inline distT="114300" distB="114300" distL="114300" distR="114300" wp14:anchorId="63F4B946" wp14:editId="3E74A332">
            <wp:extent cx="5467350" cy="6772275"/>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67350" cy="6772275"/>
                    </a:xfrm>
                    <a:prstGeom prst="rect">
                      <a:avLst/>
                    </a:prstGeom>
                    <a:ln/>
                  </pic:spPr>
                </pic:pic>
              </a:graphicData>
            </a:graphic>
          </wp:inline>
        </w:drawing>
      </w:r>
    </w:p>
    <w:p w14:paraId="2A15118E" w14:textId="102E2BE0" w:rsidR="00BD1271" w:rsidRPr="004F4D42" w:rsidRDefault="00BD1271" w:rsidP="00424246">
      <w:pPr>
        <w:pStyle w:val="Prrafodelista"/>
        <w:numPr>
          <w:ilvl w:val="0"/>
          <w:numId w:val="1"/>
        </w:numPr>
        <w:spacing w:line="360" w:lineRule="auto"/>
        <w:jc w:val="both"/>
        <w:rPr>
          <w:rFonts w:ascii="Palatino Linotype" w:eastAsia="Palatino Linotype" w:hAnsi="Palatino Linotype" w:cs="Palatino Linotype"/>
        </w:rPr>
      </w:pPr>
      <w:r w:rsidRPr="004F4D42">
        <w:rPr>
          <w:rFonts w:ascii="Palatino Linotype" w:eastAsia="Palatino Linotype" w:hAnsi="Palatino Linotype" w:cs="Palatino Linotype"/>
        </w:rPr>
        <w:t xml:space="preserve">Asimismo, se localizó una el comunicado 0048/2021 de la Coordinación General de Comunicación Social, departamento de Información Periodística, </w:t>
      </w:r>
      <w:r w:rsidRPr="004F4D42">
        <w:rPr>
          <w:rFonts w:ascii="Palatino Linotype" w:eastAsia="Palatino Linotype" w:hAnsi="Palatino Linotype" w:cs="Palatino Linotype"/>
        </w:rPr>
        <w:lastRenderedPageBreak/>
        <w:t>Análisis y Seguimiento de Medios con título “</w:t>
      </w:r>
      <w:r w:rsidRPr="004F4D42">
        <w:rPr>
          <w:rFonts w:ascii="Palatino Linotype" w:eastAsia="Palatino Linotype" w:hAnsi="Palatino Linotype" w:cs="Palatino Linotype"/>
          <w:b/>
          <w:i/>
        </w:rPr>
        <w:t>Ciclovías emergentes en Toluca, alternativa de movilidad”</w:t>
      </w:r>
      <w:r w:rsidRPr="004F4D42">
        <w:rPr>
          <w:rStyle w:val="Refdenotaalpie"/>
          <w:rFonts w:ascii="Palatino Linotype" w:eastAsia="Palatino Linotype" w:hAnsi="Palatino Linotype" w:cs="Palatino Linotype"/>
          <w:b/>
          <w:i/>
        </w:rPr>
        <w:footnoteReference w:id="7"/>
      </w:r>
      <w:r w:rsidRPr="004F4D42">
        <w:rPr>
          <w:rFonts w:ascii="Palatino Linotype" w:eastAsia="Palatino Linotype" w:hAnsi="Palatino Linotype" w:cs="Palatino Linotype"/>
          <w:b/>
          <w:i/>
        </w:rPr>
        <w:t xml:space="preserve"> </w:t>
      </w:r>
      <w:r w:rsidRPr="004F4D42">
        <w:rPr>
          <w:rFonts w:ascii="Palatino Linotype" w:eastAsia="Palatino Linotype" w:hAnsi="Palatino Linotype" w:cs="Palatino Linotype"/>
        </w:rPr>
        <w:t>de fecha treinta (30) de enero de dos mil veintiuno que contiene lo siguiente:</w:t>
      </w:r>
    </w:p>
    <w:p w14:paraId="6067BE60" w14:textId="77777777" w:rsidR="00BD1271" w:rsidRPr="004F4D42" w:rsidRDefault="00BD1271" w:rsidP="00BD1271">
      <w:pPr>
        <w:pStyle w:val="Prrafodelista"/>
        <w:spacing w:line="360" w:lineRule="auto"/>
        <w:ind w:left="0"/>
        <w:jc w:val="both"/>
        <w:rPr>
          <w:rFonts w:ascii="Palatino Linotype" w:eastAsia="Palatino Linotype" w:hAnsi="Palatino Linotype" w:cs="Palatino Linotype"/>
          <w:b/>
          <w:i/>
        </w:rPr>
      </w:pPr>
    </w:p>
    <w:p w14:paraId="5655E726" w14:textId="36FD2B0A" w:rsidR="00BD1271" w:rsidRPr="004F4D42" w:rsidRDefault="00BD1271" w:rsidP="00BD1271">
      <w:pPr>
        <w:pStyle w:val="Prrafodelista"/>
        <w:spacing w:line="360" w:lineRule="auto"/>
        <w:ind w:left="0"/>
        <w:jc w:val="both"/>
        <w:rPr>
          <w:rFonts w:ascii="Palatino Linotype" w:eastAsia="Palatino Linotype" w:hAnsi="Palatino Linotype" w:cs="Palatino Linotype"/>
          <w:b/>
          <w:i/>
        </w:rPr>
      </w:pPr>
      <w:r w:rsidRPr="004F4D42">
        <w:rPr>
          <w:rFonts w:ascii="Palatino Linotype" w:eastAsia="Palatino Linotype" w:hAnsi="Palatino Linotype" w:cs="Palatino Linotype"/>
          <w:b/>
          <w:i/>
          <w:noProof/>
          <w:lang w:eastAsia="es-MX"/>
        </w:rPr>
        <w:drawing>
          <wp:inline distT="0" distB="0" distL="0" distR="0" wp14:anchorId="2968F9AC" wp14:editId="38AD4E63">
            <wp:extent cx="5612130" cy="414401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144010"/>
                    </a:xfrm>
                    <a:prstGeom prst="rect">
                      <a:avLst/>
                    </a:prstGeom>
                  </pic:spPr>
                </pic:pic>
              </a:graphicData>
            </a:graphic>
          </wp:inline>
        </w:drawing>
      </w:r>
    </w:p>
    <w:p w14:paraId="06FF409F" w14:textId="77777777" w:rsidR="00BD1271" w:rsidRPr="004F4D42" w:rsidRDefault="00BD1271" w:rsidP="00BD1271">
      <w:pPr>
        <w:pStyle w:val="Prrafodelista"/>
        <w:spacing w:line="360" w:lineRule="auto"/>
        <w:ind w:left="0"/>
        <w:jc w:val="both"/>
        <w:rPr>
          <w:rFonts w:ascii="Palatino Linotype" w:eastAsia="Palatino Linotype" w:hAnsi="Palatino Linotype" w:cs="Palatino Linotype"/>
          <w:b/>
          <w:i/>
        </w:rPr>
      </w:pPr>
    </w:p>
    <w:p w14:paraId="095EBBC7" w14:textId="77777777" w:rsidR="00BD1271" w:rsidRPr="004F4D42" w:rsidRDefault="00BD1271" w:rsidP="00BD1271">
      <w:pPr>
        <w:pStyle w:val="Prrafodelista"/>
        <w:spacing w:line="360" w:lineRule="auto"/>
        <w:ind w:left="0"/>
        <w:jc w:val="both"/>
        <w:rPr>
          <w:rFonts w:ascii="Palatino Linotype" w:eastAsia="Palatino Linotype" w:hAnsi="Palatino Linotype" w:cs="Palatino Linotype"/>
        </w:rPr>
      </w:pPr>
    </w:p>
    <w:p w14:paraId="04ACDC62" w14:textId="77777777" w:rsidR="00BD1271" w:rsidRPr="004F4D42" w:rsidRDefault="00BD1271" w:rsidP="00BD1271">
      <w:pPr>
        <w:pStyle w:val="Prrafodelista"/>
        <w:spacing w:line="360" w:lineRule="auto"/>
        <w:ind w:left="0"/>
        <w:jc w:val="both"/>
        <w:rPr>
          <w:rFonts w:ascii="Palatino Linotype" w:eastAsia="Palatino Linotype" w:hAnsi="Palatino Linotype" w:cs="Palatino Linotype"/>
        </w:rPr>
      </w:pPr>
    </w:p>
    <w:p w14:paraId="49CB05A9" w14:textId="5EDDB141" w:rsidR="00424246" w:rsidRPr="004F4D42"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4F4D42">
        <w:rPr>
          <w:rFonts w:ascii="Palatino Linotype" w:eastAsia="Palatino Linotype" w:hAnsi="Palatino Linotype" w:cs="Palatino Linotype"/>
        </w:rPr>
        <w:lastRenderedPageBreak/>
        <w:t xml:space="preserve">Con base a lo anterior, podemos concluir que hay un indicio de que </w:t>
      </w:r>
      <w:r w:rsidRPr="004F4D42">
        <w:rPr>
          <w:rFonts w:ascii="Palatino Linotype" w:eastAsia="Palatino Linotype" w:hAnsi="Palatino Linotype" w:cs="Palatino Linotype"/>
          <w:color w:val="000000"/>
        </w:rPr>
        <w:t xml:space="preserve">sí debe obrar en los archivos del </w:t>
      </w:r>
      <w:r w:rsidRPr="004F4D42">
        <w:rPr>
          <w:rFonts w:ascii="Palatino Linotype" w:eastAsia="Palatino Linotype" w:hAnsi="Palatino Linotype" w:cs="Palatino Linotype"/>
          <w:b/>
          <w:color w:val="000000"/>
        </w:rPr>
        <w:t>SUJETO OBLIGADO</w:t>
      </w:r>
      <w:r w:rsidRPr="004F4D42">
        <w:rPr>
          <w:rFonts w:ascii="Palatino Linotype" w:eastAsia="Palatino Linotype" w:hAnsi="Palatino Linotype" w:cs="Palatino Linotype"/>
          <w:color w:val="000000"/>
        </w:rPr>
        <w:t xml:space="preserve"> información relacionada con la i</w:t>
      </w:r>
      <w:r w:rsidRPr="004F4D42">
        <w:rPr>
          <w:rFonts w:ascii="Palatino Linotype" w:eastAsia="Palatino Linotype" w:hAnsi="Palatino Linotype" w:cs="Palatino Linotype"/>
        </w:rPr>
        <w:t>mplementa</w:t>
      </w:r>
      <w:r w:rsidR="00A4351E" w:rsidRPr="004F4D42">
        <w:rPr>
          <w:rFonts w:ascii="Palatino Linotype" w:eastAsia="Palatino Linotype" w:hAnsi="Palatino Linotype" w:cs="Palatino Linotype"/>
        </w:rPr>
        <w:t>ción de proyectos de ciclo-vías emergentes en las avenidas que señaló el particular en su solicitud,</w:t>
      </w:r>
      <w:r w:rsidRPr="004F4D42">
        <w:rPr>
          <w:rFonts w:ascii="Palatino Linotype" w:eastAsia="Palatino Linotype" w:hAnsi="Palatino Linotype" w:cs="Palatino Linotype"/>
        </w:rPr>
        <w:t xml:space="preserve"> sirve de sustento a lo anterior </w:t>
      </w:r>
      <w:r w:rsidRPr="004F4D42">
        <w:rPr>
          <w:rFonts w:ascii="Palatino Linotype" w:eastAsia="Palatino Linotype" w:hAnsi="Palatino Linotype" w:cs="Palatino Linotype"/>
          <w:color w:val="000000"/>
        </w:rPr>
        <w:t>las siguientes tesis jurisprudenciales</w:t>
      </w:r>
      <w:r w:rsidRPr="004F4D42">
        <w:rPr>
          <w:rFonts w:ascii="Palatino Linotype" w:eastAsia="Palatino Linotype" w:hAnsi="Palatino Linotype" w:cs="Palatino Linotype"/>
        </w:rPr>
        <w:t>:</w:t>
      </w:r>
    </w:p>
    <w:p w14:paraId="0CA4F638" w14:textId="77777777" w:rsidR="00424246" w:rsidRPr="004F4D42" w:rsidRDefault="00424246" w:rsidP="00424246">
      <w:pPr>
        <w:spacing w:line="360" w:lineRule="auto"/>
        <w:jc w:val="both"/>
        <w:rPr>
          <w:rFonts w:ascii="Palatino Linotype" w:eastAsia="Palatino Linotype" w:hAnsi="Palatino Linotype" w:cs="Palatino Linotype"/>
        </w:rPr>
      </w:pPr>
    </w:p>
    <w:p w14:paraId="2F86834F" w14:textId="77777777" w:rsidR="00424246" w:rsidRPr="004F4D42" w:rsidRDefault="00424246" w:rsidP="00424246">
      <w:pPr>
        <w:spacing w:line="360" w:lineRule="auto"/>
        <w:ind w:left="567" w:right="616"/>
        <w:rPr>
          <w:rFonts w:ascii="Palatino Linotype" w:eastAsia="Palatino Linotype" w:hAnsi="Palatino Linotype" w:cs="Palatino Linotype"/>
          <w:b/>
          <w:i/>
          <w:sz w:val="22"/>
        </w:rPr>
      </w:pPr>
      <w:r w:rsidRPr="004F4D42">
        <w:rPr>
          <w:rFonts w:ascii="Palatino Linotype" w:eastAsia="Palatino Linotype" w:hAnsi="Palatino Linotype" w:cs="Palatino Linotype"/>
          <w:b/>
          <w:i/>
          <w:sz w:val="22"/>
        </w:rPr>
        <w:t>HECHOS NOTORIOS. CONCEPTOS GENERAL Y JURÍDICO</w:t>
      </w:r>
    </w:p>
    <w:p w14:paraId="566833AE" w14:textId="77777777" w:rsidR="00424246" w:rsidRPr="004F4D42" w:rsidRDefault="00424246" w:rsidP="00424246">
      <w:pPr>
        <w:spacing w:line="276" w:lineRule="auto"/>
        <w:ind w:left="567" w:right="616"/>
        <w:jc w:val="both"/>
        <w:rPr>
          <w:rFonts w:ascii="Palatino Linotype" w:eastAsia="Palatino Linotype" w:hAnsi="Palatino Linotype" w:cs="Palatino Linotype"/>
          <w:i/>
          <w:sz w:val="22"/>
        </w:rPr>
      </w:pPr>
      <w:r w:rsidRPr="004F4D42">
        <w:rPr>
          <w:rFonts w:ascii="Palatino Linotype" w:eastAsia="Palatino Linotype" w:hAnsi="Palatino Linotype" w:cs="Palatino Linotype"/>
          <w:b/>
          <w:i/>
          <w:sz w:val="22"/>
        </w:rPr>
        <w:t xml:space="preserve">Conforme al artículo </w:t>
      </w:r>
      <w:hyperlink r:id="rId15">
        <w:r w:rsidRPr="004F4D42">
          <w:rPr>
            <w:rFonts w:ascii="Palatino Linotype" w:eastAsia="Palatino Linotype" w:hAnsi="Palatino Linotype" w:cs="Palatino Linotype"/>
            <w:b/>
            <w:i/>
            <w:sz w:val="22"/>
          </w:rPr>
          <w:t>88 del Código Federal de Procedimientos Civiles</w:t>
        </w:r>
      </w:hyperlink>
      <w:r w:rsidRPr="004F4D42">
        <w:rPr>
          <w:rFonts w:ascii="Palatino Linotype" w:eastAsia="Palatino Linotype" w:hAnsi="Palatino Linotype" w:cs="Palatino Linotype"/>
          <w:b/>
          <w:i/>
          <w:sz w:val="22"/>
        </w:rPr>
        <w:t xml:space="preserve"> los tribunales pueden invocar hechos notorios aunque no hayan sido alegados ni probados por las partes.</w:t>
      </w:r>
      <w:r w:rsidRPr="004F4D42">
        <w:rPr>
          <w:rFonts w:ascii="Palatino Linotype" w:eastAsia="Palatino Linotype" w:hAnsi="Palatino Linotype" w:cs="Palatino Linotype"/>
          <w:i/>
          <w:sz w:val="22"/>
        </w:rPr>
        <w:t xml:space="preserve"> Por hechos notorios deben entenderse, en general, aquellos que por el conocimiento humano se consideran ciertos e indiscutibles, ya sea que pertenezcan a la historia, a la ciencia, a la naturaleza</w:t>
      </w:r>
      <w:r w:rsidRPr="004F4D42">
        <w:rPr>
          <w:rFonts w:ascii="Palatino Linotype" w:eastAsia="Palatino Linotype" w:hAnsi="Palatino Linotype" w:cs="Palatino Linotype"/>
          <w:b/>
          <w:i/>
          <w:sz w:val="22"/>
        </w:rPr>
        <w:t>, a las vicisitudes de la vida pública actual o a circunstancias comúnmente conocidas en un determinado lugar</w:t>
      </w:r>
      <w:r w:rsidRPr="004F4D42">
        <w:rPr>
          <w:rFonts w:ascii="Palatino Linotype" w:eastAsia="Palatino Linotype" w:hAnsi="Palatino Linotype" w:cs="Palatino Linotype"/>
          <w:i/>
          <w:sz w:val="22"/>
        </w:rPr>
        <w:t xml:space="preserve">, </w:t>
      </w:r>
      <w:r w:rsidRPr="004F4D42">
        <w:rPr>
          <w:rFonts w:ascii="Palatino Linotype" w:eastAsia="Palatino Linotype" w:hAnsi="Palatino Linotype" w:cs="Palatino Linotype"/>
          <w:b/>
          <w:i/>
          <w:sz w:val="22"/>
        </w:rPr>
        <w:t>de modo que toda persona de ese medio esté en condiciones de saberlo</w:t>
      </w:r>
      <w:r w:rsidRPr="004F4D42">
        <w:rPr>
          <w:rFonts w:ascii="Palatino Linotype" w:eastAsia="Palatino Linotype" w:hAnsi="Palatino Linotype" w:cs="Palatino Linotype"/>
          <w:i/>
          <w:sz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6938D13" w14:textId="77777777" w:rsidR="00424246" w:rsidRPr="004F4D42" w:rsidRDefault="00424246" w:rsidP="00424246">
      <w:pPr>
        <w:spacing w:line="276" w:lineRule="auto"/>
        <w:ind w:left="567" w:right="616"/>
        <w:jc w:val="both"/>
        <w:rPr>
          <w:rFonts w:ascii="Palatino Linotype" w:eastAsia="Palatino Linotype" w:hAnsi="Palatino Linotype" w:cs="Palatino Linotype"/>
          <w:i/>
          <w:sz w:val="22"/>
        </w:rPr>
      </w:pPr>
      <w:r w:rsidRPr="004F4D42">
        <w:rPr>
          <w:rFonts w:ascii="Palatino Linotype" w:eastAsia="Palatino Linotype" w:hAnsi="Palatino Linotype" w:cs="Palatino Linotype"/>
          <w:i/>
          <w:sz w:val="22"/>
        </w:rPr>
        <w:t>Controversia constitucional 24/2005. Cámara de Diputados del Congreso de la Unión. 9 de marzo de 2006. Once votos. Ponente: José Ramón Cossío Díaz. Secretarios: Raúl Manuel Mejía Garza y Laura Patricia Rojas Zamudio.</w:t>
      </w:r>
    </w:p>
    <w:p w14:paraId="1597FD34" w14:textId="77777777" w:rsidR="00424246" w:rsidRPr="004F4D42" w:rsidRDefault="00424246" w:rsidP="00424246">
      <w:pPr>
        <w:spacing w:line="276" w:lineRule="auto"/>
        <w:ind w:left="567" w:right="616"/>
        <w:jc w:val="both"/>
        <w:rPr>
          <w:rFonts w:ascii="Palatino Linotype" w:eastAsia="Palatino Linotype" w:hAnsi="Palatino Linotype" w:cs="Palatino Linotype"/>
          <w:i/>
          <w:sz w:val="22"/>
        </w:rPr>
      </w:pPr>
      <w:r w:rsidRPr="004F4D42">
        <w:rPr>
          <w:rFonts w:ascii="Palatino Linotype" w:eastAsia="Palatino Linotype" w:hAnsi="Palatino Linotype" w:cs="Palatino Linotype"/>
          <w:i/>
          <w:sz w:val="22"/>
        </w:rPr>
        <w:t>El Tribunal Pleno, el dieciséis de mayo en curso, aprobó, con el número 74/2006, la tesis jurisprudencial que antecede. México, Distrito Federal, a dieciséis de mayo de dos mil seis.</w:t>
      </w:r>
    </w:p>
    <w:p w14:paraId="02D96B91" w14:textId="77777777" w:rsidR="00424246" w:rsidRPr="004F4D42" w:rsidRDefault="00424246" w:rsidP="00424246">
      <w:pPr>
        <w:spacing w:line="276" w:lineRule="auto"/>
        <w:ind w:left="567" w:right="616"/>
        <w:jc w:val="both"/>
        <w:rPr>
          <w:rFonts w:ascii="Palatino Linotype" w:eastAsia="Palatino Linotype" w:hAnsi="Palatino Linotype" w:cs="Palatino Linotype"/>
          <w:i/>
          <w:sz w:val="22"/>
        </w:rPr>
      </w:pPr>
      <w:r w:rsidRPr="004F4D42">
        <w:rPr>
          <w:rFonts w:ascii="Palatino Linotype" w:eastAsia="Palatino Linotype" w:hAnsi="Palatino Linotype" w:cs="Palatino Linotype"/>
          <w:i/>
          <w:sz w:val="22"/>
        </w:rPr>
        <w:t>Nota: Esta tesis fue objeto de la denuncia relativa a la contradicción de tesis 91/2014, desechada por notoriamente improcedente, mediante acuerdo de 24 de marzo de 2014.”</w:t>
      </w:r>
    </w:p>
    <w:p w14:paraId="6A004B93" w14:textId="77777777" w:rsidR="00424246" w:rsidRPr="004F4D42" w:rsidRDefault="00424246" w:rsidP="00424246">
      <w:pPr>
        <w:rPr>
          <w:rFonts w:ascii="Palatino Linotype" w:eastAsia="Palatino Linotype" w:hAnsi="Palatino Linotype" w:cs="Palatino Linotype"/>
        </w:rPr>
      </w:pPr>
    </w:p>
    <w:p w14:paraId="3254F1B5" w14:textId="16376343" w:rsidR="00424246" w:rsidRPr="004F4D42"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4F4D42">
        <w:rPr>
          <w:rFonts w:ascii="Palatino Linotype" w:eastAsia="Palatino Linotype" w:hAnsi="Palatino Linotype" w:cs="Palatino Linotype"/>
          <w:color w:val="000000"/>
        </w:rPr>
        <w:t>En virtud de todo lo anterior se advierte</w:t>
      </w:r>
      <w:r w:rsidRPr="004F4D42">
        <w:rPr>
          <w:rFonts w:ascii="Palatino Linotype" w:eastAsia="Palatino Linotype" w:hAnsi="Palatino Linotype" w:cs="Palatino Linotype"/>
        </w:rPr>
        <w:t xml:space="preserve">, que la respuesta otorgada por parte del </w:t>
      </w:r>
      <w:r w:rsidRPr="004F4D42">
        <w:rPr>
          <w:rFonts w:ascii="Palatino Linotype" w:eastAsia="Palatino Linotype" w:hAnsi="Palatino Linotype" w:cs="Palatino Linotype"/>
          <w:b/>
        </w:rPr>
        <w:t>SUJETO OBLIGADO</w:t>
      </w:r>
      <w:r w:rsidRPr="004F4D42">
        <w:rPr>
          <w:rFonts w:ascii="Palatino Linotype" w:eastAsia="Palatino Linotype" w:hAnsi="Palatino Linotype" w:cs="Palatino Linotype"/>
        </w:rPr>
        <w:t xml:space="preserve"> no colma el derecho de acceso a la información del </w:t>
      </w:r>
      <w:r w:rsidRPr="004F4D42">
        <w:rPr>
          <w:rFonts w:ascii="Palatino Linotype" w:eastAsia="Palatino Linotype" w:hAnsi="Palatino Linotype" w:cs="Palatino Linotype"/>
          <w:b/>
        </w:rPr>
        <w:t>RECURRENTE</w:t>
      </w:r>
      <w:r w:rsidRPr="004F4D42">
        <w:rPr>
          <w:rFonts w:ascii="Palatino Linotype" w:eastAsia="Palatino Linotype" w:hAnsi="Palatino Linotype" w:cs="Palatino Linotype"/>
        </w:rPr>
        <w:t xml:space="preserve">, toda vez que </w:t>
      </w:r>
      <w:r w:rsidRPr="004F4D42">
        <w:rPr>
          <w:rFonts w:ascii="Palatino Linotype" w:eastAsia="Palatino Linotype" w:hAnsi="Palatino Linotype" w:cs="Palatino Linotype"/>
          <w:b/>
        </w:rPr>
        <w:t>EL SUJETO OBLIGADO</w:t>
      </w:r>
      <w:r w:rsidRPr="004F4D42">
        <w:rPr>
          <w:rFonts w:ascii="Palatino Linotype" w:eastAsia="Palatino Linotype" w:hAnsi="Palatino Linotype" w:cs="Palatino Linotype"/>
        </w:rPr>
        <w:t xml:space="preserve"> como se mencionó con </w:t>
      </w:r>
      <w:r w:rsidRPr="004F4D42">
        <w:rPr>
          <w:rFonts w:ascii="Palatino Linotype" w:eastAsia="Palatino Linotype" w:hAnsi="Palatino Linotype" w:cs="Palatino Linotype"/>
        </w:rPr>
        <w:lastRenderedPageBreak/>
        <w:t>anterioridad, omitió realizar una búsqueda exhaustiva y razonable de los documentos en las demás áreas que pudieran tener la información como son las Direcciones Generales zona I, II, III y IV y el Secretario de Movilidad, ya que dentro de sus atribuciones pudieran contar con la información solicitada</w:t>
      </w:r>
      <w:bookmarkStart w:id="32" w:name="_heading=h.30j0zll" w:colFirst="0" w:colLast="0"/>
      <w:bookmarkEnd w:id="32"/>
      <w:r w:rsidR="00C20A03" w:rsidRPr="004F4D42">
        <w:rPr>
          <w:rFonts w:ascii="Palatino Linotype" w:eastAsia="Palatino Linotype" w:hAnsi="Palatino Linotype" w:cs="Palatino Linotype"/>
        </w:rPr>
        <w:t xml:space="preserve"> y que es relativa a estudios de proyectos de ciclo-vías en </w:t>
      </w:r>
      <w:r w:rsidR="00A4351E" w:rsidRPr="004F4D42">
        <w:rPr>
          <w:rFonts w:ascii="Palatino Linotype" w:eastAsia="Palatino Linotype" w:hAnsi="Palatino Linotype" w:cs="Palatino Linotype"/>
        </w:rPr>
        <w:t>el Municipio de Toluca, el cual se encuentra dentro de su competencia.</w:t>
      </w:r>
    </w:p>
    <w:p w14:paraId="56233548" w14:textId="77777777" w:rsidR="00C20A03" w:rsidRPr="004F4D42" w:rsidRDefault="00C20A03" w:rsidP="00C20A03">
      <w:pPr>
        <w:pStyle w:val="Prrafodelista"/>
        <w:spacing w:line="360" w:lineRule="auto"/>
        <w:ind w:left="0"/>
        <w:jc w:val="both"/>
        <w:rPr>
          <w:rFonts w:ascii="Palatino Linotype" w:eastAsia="Palatino Linotype" w:hAnsi="Palatino Linotype" w:cs="Palatino Linotype"/>
        </w:rPr>
      </w:pPr>
    </w:p>
    <w:p w14:paraId="56028656" w14:textId="41AB0CCD" w:rsidR="00C20A03" w:rsidRPr="004F4D42" w:rsidRDefault="00424246" w:rsidP="00BD1271">
      <w:pPr>
        <w:pStyle w:val="Prrafodelista"/>
        <w:numPr>
          <w:ilvl w:val="0"/>
          <w:numId w:val="1"/>
        </w:numPr>
        <w:spacing w:line="360" w:lineRule="auto"/>
        <w:jc w:val="both"/>
        <w:rPr>
          <w:rFonts w:ascii="Palatino Linotype" w:eastAsia="Palatino Linotype" w:hAnsi="Palatino Linotype" w:cs="Palatino Linotype"/>
        </w:rPr>
      </w:pPr>
      <w:r w:rsidRPr="004F4D42">
        <w:rPr>
          <w:rFonts w:ascii="Palatino Linotype" w:eastAsia="Palatino Linotype" w:hAnsi="Palatino Linotype" w:cs="Palatino Linotype"/>
        </w:rPr>
        <w:t xml:space="preserve">Por todo lo antes expuesto, resulta procedente </w:t>
      </w:r>
      <w:r w:rsidR="00A4351E" w:rsidRPr="004F4D42">
        <w:rPr>
          <w:rFonts w:ascii="Palatino Linotype" w:eastAsia="Palatino Linotype" w:hAnsi="Palatino Linotype" w:cs="Palatino Linotype"/>
          <w:b/>
        </w:rPr>
        <w:t>REVOCAR</w:t>
      </w:r>
      <w:r w:rsidR="00C20A03" w:rsidRPr="004F4D42">
        <w:rPr>
          <w:rFonts w:ascii="Palatino Linotype" w:eastAsia="Palatino Linotype" w:hAnsi="Palatino Linotype" w:cs="Palatino Linotype"/>
        </w:rPr>
        <w:t xml:space="preserve"> </w:t>
      </w:r>
      <w:r w:rsidRPr="004F4D42">
        <w:rPr>
          <w:rFonts w:ascii="Palatino Linotype" w:eastAsia="Palatino Linotype" w:hAnsi="Palatino Linotype" w:cs="Palatino Linotype"/>
        </w:rPr>
        <w:t xml:space="preserve">la respuesta del </w:t>
      </w:r>
      <w:r w:rsidRPr="004F4D42">
        <w:rPr>
          <w:rFonts w:ascii="Palatino Linotype" w:eastAsia="Palatino Linotype" w:hAnsi="Palatino Linotype" w:cs="Palatino Linotype"/>
          <w:b/>
        </w:rPr>
        <w:t>SUJETO OBLIGADO</w:t>
      </w:r>
      <w:r w:rsidRPr="004F4D42">
        <w:rPr>
          <w:rFonts w:ascii="Palatino Linotype" w:eastAsia="Palatino Linotype" w:hAnsi="Palatino Linotype" w:cs="Palatino Linotype"/>
        </w:rPr>
        <w:t xml:space="preserve">, </w:t>
      </w:r>
      <w:r w:rsidR="00C20A03" w:rsidRPr="004F4D42">
        <w:rPr>
          <w:rFonts w:ascii="Palatino Linotype" w:eastAsia="Palatino Linotype" w:hAnsi="Palatino Linotype" w:cs="Palatino Linotype"/>
        </w:rPr>
        <w:t>por resultar parcialmente</w:t>
      </w:r>
      <w:r w:rsidRPr="004F4D42">
        <w:rPr>
          <w:rFonts w:ascii="Palatino Linotype" w:eastAsia="Palatino Linotype" w:hAnsi="Palatino Linotype" w:cs="Palatino Linotype"/>
        </w:rPr>
        <w:t xml:space="preserve"> fundados los motivos de inconformidad planteados por </w:t>
      </w:r>
      <w:r w:rsidRPr="004F4D42">
        <w:rPr>
          <w:rFonts w:ascii="Palatino Linotype" w:eastAsia="Palatino Linotype" w:hAnsi="Palatino Linotype" w:cs="Palatino Linotype"/>
          <w:b/>
        </w:rPr>
        <w:t>EL</w:t>
      </w:r>
      <w:r w:rsidRPr="004F4D42">
        <w:rPr>
          <w:rFonts w:ascii="Palatino Linotype" w:eastAsia="Palatino Linotype" w:hAnsi="Palatino Linotype" w:cs="Palatino Linotype"/>
        </w:rPr>
        <w:t xml:space="preserve"> </w:t>
      </w:r>
      <w:r w:rsidRPr="004F4D42">
        <w:rPr>
          <w:rFonts w:ascii="Palatino Linotype" w:eastAsia="Palatino Linotype" w:hAnsi="Palatino Linotype" w:cs="Palatino Linotype"/>
          <w:b/>
        </w:rPr>
        <w:t>RECURRENTE</w:t>
      </w:r>
      <w:r w:rsidRPr="004F4D42">
        <w:rPr>
          <w:rFonts w:ascii="Palatino Linotype" w:eastAsia="Palatino Linotype" w:hAnsi="Palatino Linotype" w:cs="Palatino Linotype"/>
        </w:rPr>
        <w:t>, motivo por el que se ordena previa búsqueda exha</w:t>
      </w:r>
      <w:r w:rsidR="00A4351E" w:rsidRPr="004F4D42">
        <w:rPr>
          <w:rFonts w:ascii="Palatino Linotype" w:eastAsia="Palatino Linotype" w:hAnsi="Palatino Linotype" w:cs="Palatino Linotype"/>
        </w:rPr>
        <w:t>ustiva y razonable haga entrega de la información requerida, de ser el caso que la información que se ordena entregar contenga datos personales susceptibles de clasificarse como información confidencial, el Sujeto Obligado deberá estar a lo dispuesto en el Considerando Quinto de la presente resolución.</w:t>
      </w:r>
    </w:p>
    <w:p w14:paraId="14737DD9" w14:textId="77777777" w:rsidR="001F3C35" w:rsidRPr="004F4D42" w:rsidRDefault="001F3C35" w:rsidP="001F3C35">
      <w:pPr>
        <w:pStyle w:val="Prrafodelista"/>
        <w:rPr>
          <w:rFonts w:ascii="Palatino Linotype" w:eastAsia="Palatino Linotype" w:hAnsi="Palatino Linotype" w:cs="Palatino Linotype"/>
        </w:rPr>
      </w:pPr>
    </w:p>
    <w:p w14:paraId="1A76A50D" w14:textId="77777777" w:rsidR="001F3C35" w:rsidRPr="004F4D42" w:rsidRDefault="001F3C35" w:rsidP="001F3C35">
      <w:pPr>
        <w:pStyle w:val="Prrafodelista"/>
        <w:numPr>
          <w:ilvl w:val="0"/>
          <w:numId w:val="1"/>
        </w:numPr>
        <w:spacing w:line="360" w:lineRule="auto"/>
        <w:ind w:right="-91"/>
        <w:jc w:val="both"/>
        <w:rPr>
          <w:rFonts w:ascii="Palatino Linotype" w:eastAsia="Palatino Linotype" w:hAnsi="Palatino Linotype" w:cs="Palatino Linotype"/>
          <w:b/>
        </w:rPr>
      </w:pPr>
      <w:r w:rsidRPr="004F4D42">
        <w:rPr>
          <w:rFonts w:ascii="Palatino Linotype" w:eastAsia="Palatino Linotype" w:hAnsi="Palatino Linotype" w:cs="Palatino Linotype"/>
        </w:rPr>
        <w:t>Por último y no menos importante, un punto a destacar es que</w:t>
      </w:r>
      <w:r w:rsidRPr="004F4D42">
        <w:rPr>
          <w:rFonts w:ascii="Palatino Linotype" w:eastAsia="Palatino Linotype" w:hAnsi="Palatino Linotype" w:cs="Palatino Linotype"/>
          <w:b/>
        </w:rPr>
        <w:t xml:space="preserve"> </w:t>
      </w:r>
      <w:r w:rsidRPr="004F4D42">
        <w:rPr>
          <w:rFonts w:ascii="Palatino Linotype" w:hAnsi="Palatino Linotype" w:cs="Arial"/>
          <w:bCs/>
        </w:rPr>
        <w:t xml:space="preserve">el Derecho de Acceso a la Información Pública, a diferencia de otros derechos, </w:t>
      </w:r>
      <w:r w:rsidRPr="004F4D42">
        <w:rPr>
          <w:rFonts w:ascii="Palatino Linotype" w:hAnsi="Palatino Linotype"/>
        </w:rPr>
        <w:t xml:space="preserve">permite que los propios particulares actúen sin la necesidad de contar con un representante legal, conforme lo señala el artículo 152 y 178 de la </w:t>
      </w:r>
      <w:r w:rsidRPr="004F4D42">
        <w:rPr>
          <w:rFonts w:ascii="Palatino Linotype" w:hAnsi="Palatino Linotype" w:cs="Arial"/>
        </w:rPr>
        <w:t>Ley de Transparencia y Acceso a la Información Pública del Estado de México y Municipios:</w:t>
      </w:r>
    </w:p>
    <w:p w14:paraId="54A69579" w14:textId="77777777" w:rsidR="001F3C35" w:rsidRPr="004F4D42" w:rsidRDefault="001F3C35" w:rsidP="001F3C35">
      <w:pPr>
        <w:pStyle w:val="Prrafodelista"/>
        <w:rPr>
          <w:rFonts w:ascii="Palatino Linotype" w:hAnsi="Palatino Linotype" w:cs="Arial"/>
        </w:rPr>
      </w:pPr>
    </w:p>
    <w:p w14:paraId="15C1342D" w14:textId="77777777" w:rsidR="001F3C35" w:rsidRPr="004F4D42" w:rsidRDefault="001F3C35" w:rsidP="001F3C35">
      <w:pPr>
        <w:autoSpaceDE w:val="0"/>
        <w:autoSpaceDN w:val="0"/>
        <w:adjustRightInd w:val="0"/>
        <w:spacing w:line="360" w:lineRule="auto"/>
        <w:ind w:left="567" w:right="616"/>
        <w:jc w:val="both"/>
        <w:rPr>
          <w:rFonts w:ascii="Palatino Linotype" w:hAnsi="Palatino Linotype" w:cs="Bookman Old Style"/>
          <w:i/>
          <w:sz w:val="22"/>
        </w:rPr>
      </w:pPr>
      <w:r w:rsidRPr="004F4D42">
        <w:rPr>
          <w:rFonts w:ascii="Palatino Linotype" w:hAnsi="Palatino Linotype" w:cs="Bookman Old Style,Bold"/>
          <w:b/>
          <w:bCs/>
          <w:i/>
          <w:sz w:val="22"/>
        </w:rPr>
        <w:t xml:space="preserve">Artículo 152. </w:t>
      </w:r>
      <w:r w:rsidRPr="004F4D42">
        <w:rPr>
          <w:rFonts w:ascii="Palatino Linotype" w:hAnsi="Palatino Linotype" w:cs="Bookman Old Style"/>
          <w:b/>
          <w:i/>
          <w:sz w:val="22"/>
          <w:u w:val="single"/>
        </w:rPr>
        <w:t>Cualquier persona por sí misma o a través de su representante, podrá presentar solicitud de acceso a información</w:t>
      </w:r>
      <w:r w:rsidRPr="004F4D42">
        <w:rPr>
          <w:rFonts w:ascii="Palatino Linotype" w:hAnsi="Palatino Linotype" w:cs="Bookman Old Style"/>
          <w:i/>
          <w:sz w:val="22"/>
        </w:rPr>
        <w:t xml:space="preserve"> ante la Unidad de Transparencia, a través del sistema electrónico o de la Plataforma Nacional, en la oficina u oficinas designadas para ello, vía correo electrónico, correo postal, mensajería, </w:t>
      </w:r>
      <w:r w:rsidRPr="004F4D42">
        <w:rPr>
          <w:rFonts w:ascii="Palatino Linotype" w:hAnsi="Palatino Linotype" w:cs="Bookman Old Style"/>
          <w:i/>
          <w:sz w:val="22"/>
        </w:rPr>
        <w:lastRenderedPageBreak/>
        <w:t>telégrafo, verbalmente o cualquier medio aprobado por el Instituto o por el Sistema Nacional.</w:t>
      </w:r>
    </w:p>
    <w:p w14:paraId="2FFB676F" w14:textId="77777777" w:rsidR="001F3C35" w:rsidRPr="004F4D42" w:rsidRDefault="001F3C35" w:rsidP="001F3C35">
      <w:pPr>
        <w:autoSpaceDE w:val="0"/>
        <w:autoSpaceDN w:val="0"/>
        <w:adjustRightInd w:val="0"/>
        <w:spacing w:line="360" w:lineRule="auto"/>
        <w:ind w:left="567" w:right="616"/>
        <w:jc w:val="both"/>
        <w:rPr>
          <w:rFonts w:ascii="Palatino Linotype" w:hAnsi="Palatino Linotype" w:cs="Arial"/>
          <w:i/>
        </w:rPr>
      </w:pPr>
      <w:r w:rsidRPr="004F4D42">
        <w:rPr>
          <w:rFonts w:ascii="Palatino Linotype" w:hAnsi="Palatino Linotype" w:cs="Bookman Old Style,Bold"/>
          <w:b/>
          <w:bCs/>
          <w:i/>
          <w:sz w:val="22"/>
        </w:rPr>
        <w:t>…</w:t>
      </w:r>
    </w:p>
    <w:p w14:paraId="5ABBD2EE" w14:textId="77777777" w:rsidR="001F3C35" w:rsidRPr="004F4D42" w:rsidRDefault="001F3C35" w:rsidP="001F3C35">
      <w:pPr>
        <w:pStyle w:val="Prrafodelista"/>
        <w:spacing w:line="360" w:lineRule="auto"/>
        <w:ind w:left="567" w:right="616"/>
        <w:jc w:val="both"/>
        <w:rPr>
          <w:rFonts w:ascii="Palatino Linotype" w:hAnsi="Palatino Linotype" w:cs="Arial"/>
          <w:i/>
          <w:color w:val="000000" w:themeColor="text1"/>
        </w:rPr>
      </w:pPr>
      <w:r w:rsidRPr="004F4D42">
        <w:rPr>
          <w:rFonts w:ascii="Palatino Linotype" w:hAnsi="Palatino Linotype"/>
          <w:i/>
        </w:rPr>
        <w:t>Artículo 178.</w:t>
      </w:r>
      <w:r w:rsidRPr="004F4D42">
        <w:rPr>
          <w:rFonts w:ascii="Palatino Linotype" w:hAnsi="Palatino Linotype"/>
          <w:b/>
          <w:i/>
        </w:rPr>
        <w:t xml:space="preserve"> </w:t>
      </w:r>
      <w:r w:rsidRPr="004F4D42">
        <w:rPr>
          <w:rFonts w:ascii="Palatino Linotype" w:hAnsi="Palatino Linotype"/>
          <w:b/>
          <w:i/>
          <w:u w:val="single"/>
        </w:rPr>
        <w:t>El solicitante podrá interponer, por sí mismo</w:t>
      </w:r>
      <w:r w:rsidRPr="004F4D42">
        <w:rPr>
          <w:rFonts w:ascii="Palatino Linotype" w:hAnsi="Palatino Linotype"/>
          <w:i/>
          <w:u w:val="single"/>
        </w:rPr>
        <w:t xml:space="preserve"> </w:t>
      </w:r>
      <w:r w:rsidRPr="004F4D42">
        <w:rPr>
          <w:rFonts w:ascii="Palatino Linotype" w:hAnsi="Palatino Linotype"/>
          <w:b/>
          <w:i/>
          <w:u w:val="single"/>
        </w:rPr>
        <w:t>o a través de su representante, de manera directa o por medios electrónicos, recurso de revisión</w:t>
      </w:r>
      <w:r w:rsidRPr="004F4D42">
        <w:rPr>
          <w:rFonts w:ascii="Palatino Linotype" w:hAnsi="Palatino Linotype"/>
          <w:i/>
        </w:rPr>
        <w:t xml:space="preserve"> ante el Instituto o ante la Unidad de Transparencia que haya conocido de la solicitud dentro de los quince días hábiles, siguientes a la fecha de la notificación de la respuesta.</w:t>
      </w:r>
    </w:p>
    <w:p w14:paraId="7297EAD8" w14:textId="77777777" w:rsidR="001F3C35" w:rsidRPr="004F4D42" w:rsidRDefault="001F3C35" w:rsidP="001F3C35">
      <w:pPr>
        <w:pStyle w:val="Prrafodelista"/>
        <w:tabs>
          <w:tab w:val="left" w:pos="426"/>
          <w:tab w:val="left" w:pos="851"/>
        </w:tabs>
        <w:spacing w:line="360" w:lineRule="auto"/>
        <w:ind w:left="426" w:right="49"/>
        <w:jc w:val="both"/>
        <w:rPr>
          <w:rFonts w:ascii="Palatino Linotype" w:hAnsi="Palatino Linotype"/>
        </w:rPr>
      </w:pPr>
    </w:p>
    <w:p w14:paraId="4919605F" w14:textId="77777777" w:rsidR="001F3C35" w:rsidRPr="004F4D42" w:rsidRDefault="001F3C35" w:rsidP="001F3C35">
      <w:pPr>
        <w:pStyle w:val="Prrafodelista"/>
        <w:numPr>
          <w:ilvl w:val="0"/>
          <w:numId w:val="1"/>
        </w:numPr>
        <w:spacing w:line="360" w:lineRule="auto"/>
        <w:jc w:val="both"/>
        <w:rPr>
          <w:rFonts w:ascii="Palatino Linotype" w:hAnsi="Palatino Linotype"/>
          <w:b/>
        </w:rPr>
      </w:pPr>
      <w:r w:rsidRPr="004F4D42">
        <w:rPr>
          <w:rFonts w:ascii="Palatino Linotype" w:hAnsi="Palatino Linotype" w:cs="Arial"/>
        </w:rPr>
        <w:t xml:space="preserve">De la interpretación de los preceptos legales en cito, se determina que los particulares pueden interponer la solicitud y posteriormente recurso de revisión </w:t>
      </w:r>
      <w:r w:rsidRPr="004F4D42">
        <w:rPr>
          <w:rFonts w:ascii="Palatino Linotype" w:hAnsi="Palatino Linotype" w:cs="Arial"/>
          <w:b/>
        </w:rPr>
        <w:t xml:space="preserve">por sí mismos o a través de un representante; </w:t>
      </w:r>
      <w:r w:rsidRPr="004F4D42">
        <w:rPr>
          <w:rFonts w:ascii="Palatino Linotype" w:hAnsi="Palatino Linotype" w:cs="Arial"/>
        </w:rPr>
        <w:t xml:space="preserve">ante dicha aseveración,  se desconoce si en el presente asunto el particular formuló su solicitud por medio de un representante legal experto en la materia o por sí mismo, a falta de dicho elemento, se presume que los particulares presentan su solicitud por sí mismos y que éstos, </w:t>
      </w:r>
      <w:r w:rsidRPr="004F4D42">
        <w:rPr>
          <w:rFonts w:ascii="Palatino Linotype" w:hAnsi="Palatino Linotype" w:cs="Arial"/>
          <w:b/>
        </w:rPr>
        <w:t>pueden no ser expertos en la materia.</w:t>
      </w:r>
    </w:p>
    <w:p w14:paraId="6D92F8BF" w14:textId="77777777" w:rsidR="001F3C35" w:rsidRPr="004F4D42" w:rsidRDefault="001F3C35" w:rsidP="001F3C35">
      <w:pPr>
        <w:pStyle w:val="Prrafodelista"/>
        <w:spacing w:line="360" w:lineRule="auto"/>
        <w:ind w:left="0"/>
        <w:jc w:val="both"/>
        <w:rPr>
          <w:rFonts w:ascii="Palatino Linotype" w:hAnsi="Palatino Linotype"/>
          <w:b/>
        </w:rPr>
      </w:pPr>
    </w:p>
    <w:p w14:paraId="3A5DA83B" w14:textId="4D349095" w:rsidR="001F3C35" w:rsidRPr="004F4D42" w:rsidRDefault="001F3C35" w:rsidP="001F3C35">
      <w:pPr>
        <w:pStyle w:val="Prrafodelista"/>
        <w:numPr>
          <w:ilvl w:val="0"/>
          <w:numId w:val="1"/>
        </w:numPr>
        <w:spacing w:line="360" w:lineRule="auto"/>
        <w:jc w:val="both"/>
        <w:rPr>
          <w:rFonts w:ascii="Palatino Linotype" w:eastAsia="Palatino Linotype" w:hAnsi="Palatino Linotype" w:cs="Palatino Linotype"/>
        </w:rPr>
      </w:pPr>
      <w:r w:rsidRPr="004F4D42">
        <w:rPr>
          <w:rFonts w:ascii="Palatino Linotype" w:hAnsi="Palatino Linotype"/>
        </w:rPr>
        <w:t xml:space="preserve">Es por ello que, al no tener certeza si los particulares actúan a través de un representante legal que nace la necesidad de actuar bajo estricto apego al principio de eficacia y con fundamento en </w:t>
      </w:r>
      <w:r w:rsidRPr="004F4D42">
        <w:rPr>
          <w:rFonts w:ascii="Palatino Linotype" w:hAnsi="Palatino Linotype"/>
          <w:szCs w:val="22"/>
        </w:rPr>
        <w:t>los artículos 13</w:t>
      </w:r>
      <w:r w:rsidRPr="004F4D42">
        <w:rPr>
          <w:rStyle w:val="Refdenotaalpie"/>
          <w:szCs w:val="22"/>
        </w:rPr>
        <w:footnoteReference w:id="8"/>
      </w:r>
      <w:r w:rsidRPr="004F4D42">
        <w:rPr>
          <w:rFonts w:ascii="Palatino Linotype" w:hAnsi="Palatino Linotype"/>
          <w:szCs w:val="22"/>
        </w:rPr>
        <w:t xml:space="preserve"> y 181</w:t>
      </w:r>
      <w:r w:rsidRPr="004F4D42">
        <w:rPr>
          <w:rStyle w:val="Refdenotaalpie"/>
          <w:szCs w:val="22"/>
        </w:rPr>
        <w:footnoteReference w:id="9"/>
      </w:r>
      <w:r w:rsidRPr="004F4D42">
        <w:rPr>
          <w:rFonts w:ascii="Palatino Linotype" w:hAnsi="Palatino Linotype"/>
          <w:szCs w:val="22"/>
        </w:rPr>
        <w:t xml:space="preserve"> penúltimo párrafo de la Ley </w:t>
      </w:r>
      <w:r w:rsidRPr="004F4D42">
        <w:rPr>
          <w:rFonts w:ascii="Palatino Linotype" w:hAnsi="Palatino Linotype"/>
          <w:szCs w:val="22"/>
        </w:rPr>
        <w:lastRenderedPageBreak/>
        <w:t xml:space="preserve">de Transparencia y Acceso a la Información Pública del Estado de México y Municipios </w:t>
      </w:r>
      <w:r w:rsidRPr="004F4D42">
        <w:rPr>
          <w:rFonts w:ascii="Palatino Linotype" w:hAnsi="Palatino Linotype"/>
          <w:b/>
          <w:szCs w:val="22"/>
        </w:rPr>
        <w:t xml:space="preserve">deberá suplir dicha deficiencia a favor del recurrente, </w:t>
      </w:r>
      <w:r w:rsidRPr="004F4D42">
        <w:rPr>
          <w:rFonts w:ascii="Palatino Linotype" w:eastAsia="Palatino Linotype" w:hAnsi="Palatino Linotype" w:cs="Palatino Linotype"/>
        </w:rPr>
        <w:t>en cuanto a la temporalidad; toda vez que se la simple lectura a la solicitud, no se advierte que señale o precise una temporalidad de la cual requiere la información; en consecuencia, el Sujeto Obligado debe realizar una búsqueda exhaustiva y razonable de la información a efecto de que proporcione la que corresponde al año inmediato anterior a la fecha en la que se presentó la solicitud, es decir, del seis (6) de julio de dos mil veintiuno al seis (6) de julio de dos mil veintidós.</w:t>
      </w:r>
    </w:p>
    <w:p w14:paraId="360BA831" w14:textId="77777777" w:rsidR="001F3C35" w:rsidRPr="004F4D42" w:rsidRDefault="001F3C35" w:rsidP="001F3C35">
      <w:pPr>
        <w:pStyle w:val="Prrafodelista"/>
        <w:spacing w:line="360" w:lineRule="auto"/>
        <w:ind w:left="0" w:right="-91"/>
        <w:jc w:val="both"/>
        <w:rPr>
          <w:rFonts w:ascii="Palatino Linotype" w:eastAsia="Palatino Linotype" w:hAnsi="Palatino Linotype" w:cs="Palatino Linotype"/>
        </w:rPr>
      </w:pPr>
    </w:p>
    <w:p w14:paraId="78402196" w14:textId="77777777" w:rsidR="001F3C35" w:rsidRPr="004F4D42" w:rsidRDefault="001F3C35" w:rsidP="001F3C35">
      <w:pPr>
        <w:pStyle w:val="Prrafodelista"/>
        <w:numPr>
          <w:ilvl w:val="0"/>
          <w:numId w:val="1"/>
        </w:numPr>
        <w:autoSpaceDE w:val="0"/>
        <w:autoSpaceDN w:val="0"/>
        <w:adjustRightInd w:val="0"/>
        <w:spacing w:line="360" w:lineRule="auto"/>
        <w:jc w:val="both"/>
        <w:rPr>
          <w:rFonts w:ascii="Palatino Linotype" w:hAnsi="Palatino Linotype" w:cs="Arial"/>
          <w:lang w:eastAsia="es-MX"/>
        </w:rPr>
      </w:pPr>
      <w:r w:rsidRPr="004F4D42">
        <w:rPr>
          <w:rFonts w:ascii="Palatino Linotype" w:hAnsi="Palatino Linotype" w:cs="Arial"/>
        </w:rPr>
        <w:t>Sirve de sustento a lo anterior el criterio número 9/13 emitido por el entonces Instituto Federal de Acceso a la Información Pública, cuyo texto y sentido literal es el siguiente:</w:t>
      </w:r>
    </w:p>
    <w:p w14:paraId="4F5563C3" w14:textId="77777777" w:rsidR="001F3C35" w:rsidRPr="004F4D42" w:rsidRDefault="001F3C35" w:rsidP="001F3C35">
      <w:pPr>
        <w:pStyle w:val="Prrafodelista"/>
        <w:rPr>
          <w:rFonts w:ascii="Palatino Linotype" w:hAnsi="Palatino Linotype" w:cs="Arial"/>
          <w:lang w:eastAsia="es-MX"/>
        </w:rPr>
      </w:pPr>
    </w:p>
    <w:p w14:paraId="19E11BD0" w14:textId="77777777" w:rsidR="001F3C35" w:rsidRPr="004F4D42" w:rsidRDefault="001F3C35" w:rsidP="001F3C35">
      <w:pPr>
        <w:pStyle w:val="Prrafodelista"/>
        <w:tabs>
          <w:tab w:val="left" w:pos="567"/>
        </w:tabs>
        <w:spacing w:line="360" w:lineRule="auto"/>
        <w:ind w:left="567" w:right="567"/>
        <w:jc w:val="both"/>
        <w:rPr>
          <w:rFonts w:ascii="Palatino Linotype" w:hAnsi="Palatino Linotype" w:cs="Arial"/>
          <w:i/>
        </w:rPr>
      </w:pPr>
      <w:r w:rsidRPr="004F4D42">
        <w:rPr>
          <w:rFonts w:ascii="Palatino Linotype" w:hAnsi="Palatino Linotype" w:cs="Arial"/>
          <w:i/>
        </w:rPr>
        <w:t>“</w:t>
      </w:r>
      <w:r w:rsidRPr="004F4D42">
        <w:rPr>
          <w:rFonts w:ascii="Palatino Linotype" w:hAnsi="Palatino Linotype" w:cs="Arial"/>
          <w:b/>
          <w:i/>
        </w:rPr>
        <w:t>Periodo de búsqueda de la información, cuando no se precisa en la solicitud de información</w:t>
      </w:r>
      <w:r w:rsidRPr="004F4D42">
        <w:rPr>
          <w:rFonts w:ascii="Palatino Linotype" w:hAnsi="Palatino Linotype" w:cs="Arial"/>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4F4D42">
        <w:rPr>
          <w:rFonts w:ascii="Palatino Linotype" w:hAnsi="Palatino Linotype" w:cs="Arial"/>
          <w:b/>
          <w:i/>
        </w:rPr>
        <w:t>deberá interpretarse que su requerimiento se refiere al del año inmediato anterior contado a partir de la fecha en que se presentó la solicitud</w:t>
      </w:r>
      <w:r w:rsidRPr="004F4D42">
        <w:rPr>
          <w:rFonts w:ascii="Palatino Linotype" w:hAnsi="Palatino Linotype" w:cs="Arial"/>
          <w:i/>
        </w:rPr>
        <w:t>. Lo anterior permite que los sujetos obligados cuenten con mayores elementos para precisar y localizar la información solicitada.”</w:t>
      </w:r>
    </w:p>
    <w:p w14:paraId="6BF4CA95" w14:textId="77777777" w:rsidR="001F3C35" w:rsidRPr="004F4D42" w:rsidRDefault="001F3C35" w:rsidP="001F3C35">
      <w:pPr>
        <w:pStyle w:val="Prrafodelista"/>
        <w:spacing w:line="360" w:lineRule="auto"/>
        <w:ind w:left="0"/>
        <w:jc w:val="both"/>
        <w:rPr>
          <w:rFonts w:ascii="Palatino Linotype" w:hAnsi="Palatino Linotype"/>
          <w:color w:val="000000"/>
          <w:szCs w:val="22"/>
        </w:rPr>
      </w:pPr>
    </w:p>
    <w:p w14:paraId="03E2B52E" w14:textId="555EC6F2" w:rsidR="00A4351E" w:rsidRPr="004F4D42" w:rsidRDefault="00A4351E" w:rsidP="00BD1271">
      <w:pPr>
        <w:pStyle w:val="Prrafodelista"/>
        <w:numPr>
          <w:ilvl w:val="0"/>
          <w:numId w:val="1"/>
        </w:numPr>
        <w:spacing w:line="360" w:lineRule="auto"/>
        <w:jc w:val="both"/>
        <w:rPr>
          <w:rFonts w:ascii="Palatino Linotype" w:eastAsia="Palatino Linotype" w:hAnsi="Palatino Linotype" w:cs="Palatino Linotype"/>
        </w:rPr>
      </w:pPr>
      <w:r w:rsidRPr="004F4D42">
        <w:rPr>
          <w:rFonts w:ascii="Palatino Linotype" w:eastAsia="Palatino Linotype" w:hAnsi="Palatino Linotype" w:cs="Palatino Linotype"/>
        </w:rPr>
        <w:lastRenderedPageBreak/>
        <w:t>Ahora bien, de ser el caso que no se localice con la información relativa a estudios de aforo, número de bicicletas que circulan en las ciclovías, número de bicicletas registradas en Toluca, número de bicicletas que conforman las rodadas y la razón por la que no ruedan por las ciclovías, el Sujeto Obligado deberá de manifestar las razones que expliquen las causas por las que no se cuenta con la información.</w:t>
      </w:r>
    </w:p>
    <w:p w14:paraId="64188B38" w14:textId="77777777" w:rsidR="005029D4" w:rsidRPr="004F4D42" w:rsidRDefault="005029D4" w:rsidP="005029D4">
      <w:pPr>
        <w:pStyle w:val="Prrafodelista"/>
        <w:rPr>
          <w:rFonts w:ascii="Palatino Linotype" w:eastAsia="Palatino Linotype" w:hAnsi="Palatino Linotype" w:cs="Palatino Linotype"/>
        </w:rPr>
      </w:pPr>
    </w:p>
    <w:p w14:paraId="38B5ABBC" w14:textId="77777777" w:rsidR="00C20A03" w:rsidRPr="004F4D42" w:rsidRDefault="00C20A03" w:rsidP="00C20A03">
      <w:pPr>
        <w:pStyle w:val="Ttulo1"/>
        <w:rPr>
          <w:b/>
          <w:lang w:val="es-ES_tradnl"/>
        </w:rPr>
      </w:pPr>
      <w:bookmarkStart w:id="33" w:name="_Toc87549682"/>
      <w:r w:rsidRPr="004F4D42">
        <w:rPr>
          <w:b/>
          <w:lang w:val="es-ES_tradnl"/>
        </w:rPr>
        <w:t>QUINTO. De la versión pública.</w:t>
      </w:r>
      <w:bookmarkEnd w:id="33"/>
    </w:p>
    <w:p w14:paraId="2C8A1361" w14:textId="77777777" w:rsidR="00C20A03" w:rsidRPr="004F4D42" w:rsidRDefault="00C20A03" w:rsidP="00C20A03">
      <w:pPr>
        <w:rPr>
          <w:rFonts w:ascii="Palatino Linotype" w:hAnsi="Palatino Linotype"/>
          <w:lang w:val="es-ES_tradnl"/>
        </w:rPr>
      </w:pPr>
    </w:p>
    <w:p w14:paraId="48164009" w14:textId="77777777" w:rsidR="00C20A03" w:rsidRPr="004F4D42" w:rsidRDefault="00C20A03" w:rsidP="00C20A03">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4" w:name="_Toc48135362"/>
      <w:bookmarkStart w:id="35" w:name="_Toc72309902"/>
      <w:bookmarkStart w:id="36" w:name="_Toc73643041"/>
      <w:bookmarkStart w:id="37" w:name="_Toc73911519"/>
      <w:bookmarkStart w:id="38" w:name="_Toc87549683"/>
      <w:r w:rsidRPr="004F4D42">
        <w:rPr>
          <w:rFonts w:cs="Times New Roman"/>
          <w:b/>
          <w:color w:val="000000" w:themeColor="text1"/>
          <w:szCs w:val="24"/>
          <w:lang w:eastAsia="es-ES_tradnl"/>
        </w:rPr>
        <w:t>Nociones generales.</w:t>
      </w:r>
      <w:bookmarkEnd w:id="34"/>
      <w:bookmarkEnd w:id="35"/>
      <w:bookmarkEnd w:id="36"/>
      <w:bookmarkEnd w:id="37"/>
      <w:bookmarkEnd w:id="38"/>
      <w:r w:rsidRPr="004F4D42">
        <w:rPr>
          <w:rFonts w:cs="Times New Roman"/>
          <w:b/>
          <w:color w:val="000000" w:themeColor="text1"/>
          <w:szCs w:val="24"/>
          <w:lang w:eastAsia="es-ES_tradnl"/>
        </w:rPr>
        <w:t xml:space="preserve"> </w:t>
      </w:r>
    </w:p>
    <w:p w14:paraId="18A38445" w14:textId="77777777" w:rsidR="00C20A03" w:rsidRPr="004F4D42" w:rsidRDefault="00C20A03" w:rsidP="00C20A03">
      <w:pPr>
        <w:rPr>
          <w:rFonts w:ascii="Palatino Linotype" w:hAnsi="Palatino Linotype"/>
          <w:lang w:eastAsia="es-ES_tradnl"/>
        </w:rPr>
      </w:pPr>
    </w:p>
    <w:p w14:paraId="54160D3A" w14:textId="77777777" w:rsidR="00C20A03" w:rsidRPr="004F4D42" w:rsidRDefault="00C20A03" w:rsidP="00C20A03">
      <w:pPr>
        <w:pStyle w:val="Prrafodelista"/>
        <w:numPr>
          <w:ilvl w:val="0"/>
          <w:numId w:val="1"/>
        </w:numPr>
        <w:tabs>
          <w:tab w:val="left" w:pos="284"/>
        </w:tabs>
        <w:spacing w:line="360" w:lineRule="auto"/>
        <w:ind w:right="49"/>
        <w:jc w:val="both"/>
        <w:rPr>
          <w:rFonts w:ascii="Palatino Linotype" w:hAnsi="Palatino Linotype" w:cs="Arial"/>
          <w:color w:val="000000"/>
        </w:rPr>
      </w:pPr>
      <w:r w:rsidRPr="004F4D42">
        <w:rPr>
          <w:rFonts w:ascii="Palatino Linotype" w:hAnsi="Palatino Linotype" w:cs="Arial"/>
          <w:color w:val="000000"/>
        </w:rPr>
        <w:t>Debe destacarse que, debido a la naturaleza de la información solicitada</w:t>
      </w:r>
      <w:r w:rsidRPr="004F4D42">
        <w:rPr>
          <w:rFonts w:ascii="Palatino Linotype" w:hAnsi="Palatino Linotype" w:cs="Arial"/>
          <w:b/>
          <w:color w:val="000000"/>
        </w:rPr>
        <w:t xml:space="preserve">, </w:t>
      </w:r>
      <w:r w:rsidRPr="004F4D42">
        <w:rPr>
          <w:rFonts w:ascii="Palatino Linotype" w:hAnsi="Palatino Linotype" w:cs="Arial"/>
          <w:color w:val="000000"/>
        </w:rPr>
        <w:t xml:space="preserve">eventualmente pudiera obrar datos personales susceptibles de protegerse, así como información susceptible de clasificarse como reservada, el </w:t>
      </w:r>
      <w:r w:rsidRPr="004F4D42">
        <w:rPr>
          <w:rFonts w:ascii="Palatino Linotype" w:hAnsi="Palatino Linotype" w:cs="Arial"/>
          <w:b/>
          <w:bCs/>
          <w:color w:val="000000"/>
        </w:rPr>
        <w:t xml:space="preserve">Sujeto Obligado </w:t>
      </w:r>
      <w:r w:rsidRPr="004F4D42">
        <w:rPr>
          <w:rFonts w:ascii="Palatino Linotype" w:hAnsi="Palatino Linotype" w:cs="Arial"/>
          <w:color w:val="000000"/>
        </w:rPr>
        <w:t xml:space="preserve">deberá de hacer la adecuada versión pública, protegiendo los datos que no son susceptibles de ser proporcionados. </w:t>
      </w:r>
    </w:p>
    <w:p w14:paraId="6D0652D1" w14:textId="77777777" w:rsidR="00C20A03" w:rsidRPr="004F4D42" w:rsidRDefault="00C20A03" w:rsidP="00C20A03">
      <w:pPr>
        <w:pStyle w:val="Prrafodelista"/>
        <w:tabs>
          <w:tab w:val="left" w:pos="0"/>
          <w:tab w:val="left" w:pos="284"/>
        </w:tabs>
        <w:spacing w:line="360" w:lineRule="auto"/>
        <w:ind w:left="0" w:right="49"/>
        <w:jc w:val="both"/>
        <w:rPr>
          <w:rFonts w:ascii="Palatino Linotype" w:eastAsia="MS Mincho" w:hAnsi="Palatino Linotype"/>
          <w:lang w:val="es-ES"/>
        </w:rPr>
      </w:pPr>
    </w:p>
    <w:p w14:paraId="26A41995" w14:textId="77777777" w:rsidR="00C20A03" w:rsidRPr="004F4D42" w:rsidRDefault="00C20A03" w:rsidP="00C20A03">
      <w:pPr>
        <w:numPr>
          <w:ilvl w:val="0"/>
          <w:numId w:val="1"/>
        </w:numPr>
        <w:tabs>
          <w:tab w:val="left" w:pos="284"/>
        </w:tabs>
        <w:spacing w:line="360" w:lineRule="auto"/>
        <w:ind w:right="49"/>
        <w:contextualSpacing/>
        <w:jc w:val="both"/>
        <w:rPr>
          <w:rFonts w:ascii="Palatino Linotype" w:hAnsi="Palatino Linotype" w:cs="Arial"/>
          <w:color w:val="000000"/>
        </w:rPr>
      </w:pPr>
      <w:r w:rsidRPr="004F4D42">
        <w:rPr>
          <w:rFonts w:ascii="Palatino Linotype" w:hAnsi="Palatino Linotype" w:cs="Arial"/>
          <w:color w:val="000000"/>
        </w:rPr>
        <w:t xml:space="preserve">No pasa desapercibido para este Órgano Garante que los </w:t>
      </w:r>
      <w:r w:rsidRPr="004F4D42">
        <w:rPr>
          <w:rFonts w:ascii="Palatino Linotype" w:hAnsi="Palatino Linotype" w:cs="Arial"/>
          <w:b/>
          <w:bCs/>
          <w:color w:val="000000"/>
        </w:rPr>
        <w:t xml:space="preserve">Sujetos Obligados </w:t>
      </w:r>
      <w:r w:rsidRPr="004F4D42">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763423" w14:textId="77777777" w:rsidR="00C20A03" w:rsidRPr="004F4D42" w:rsidRDefault="00C20A03" w:rsidP="00C20A03">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C20A03" w:rsidRPr="004F4D42" w14:paraId="7F3079E8" w14:textId="77777777" w:rsidTr="00F33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1BACF5F" w14:textId="77777777" w:rsidR="00C20A03" w:rsidRPr="004F4D42" w:rsidRDefault="00C20A03" w:rsidP="00F33A7A">
            <w:pPr>
              <w:tabs>
                <w:tab w:val="left" w:pos="284"/>
              </w:tabs>
              <w:spacing w:line="360" w:lineRule="auto"/>
              <w:rPr>
                <w:rFonts w:ascii="Palatino Linotype" w:hAnsi="Palatino Linotype"/>
                <w:bCs w:val="0"/>
                <w:sz w:val="20"/>
              </w:rPr>
            </w:pPr>
            <w:r w:rsidRPr="004F4D42">
              <w:rPr>
                <w:rFonts w:ascii="Palatino Linotype" w:hAnsi="Palatino Linotype" w:cstheme="majorBidi"/>
                <w:sz w:val="20"/>
              </w:rPr>
              <w:lastRenderedPageBreak/>
              <w:t>a) Requisitos previos.</w:t>
            </w:r>
          </w:p>
        </w:tc>
        <w:tc>
          <w:tcPr>
            <w:tcW w:w="6667" w:type="dxa"/>
            <w:hideMark/>
          </w:tcPr>
          <w:p w14:paraId="06B2533F" w14:textId="77777777" w:rsidR="00C20A03" w:rsidRPr="004F4D42" w:rsidRDefault="00C20A03" w:rsidP="00F33A7A">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4F4D42">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2304DC4" w14:textId="77777777" w:rsidR="00C20A03" w:rsidRPr="004F4D42" w:rsidRDefault="00C20A03" w:rsidP="00F33A7A">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4F4D42">
              <w:rPr>
                <w:rFonts w:ascii="Palatino Linotype" w:hAnsi="Palatino Linotype" w:cs="Arial"/>
                <w:color w:val="000000"/>
                <w:sz w:val="20"/>
              </w:rPr>
              <w:t>Al hacerlo tienen que precisar de qué información se trata, señalando el supuesto de clasificación (confidencialidad o reserva).</w:t>
            </w:r>
          </w:p>
          <w:p w14:paraId="1223FC52" w14:textId="77777777" w:rsidR="00C20A03" w:rsidRPr="004F4D42" w:rsidRDefault="00C20A03" w:rsidP="00F33A7A">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4F4D42">
              <w:rPr>
                <w:rFonts w:ascii="Palatino Linotype" w:hAnsi="Palatino Linotype" w:cs="Arial"/>
                <w:color w:val="000000"/>
                <w:sz w:val="20"/>
              </w:rPr>
              <w:t>Además, se debe señalar el procedimiento, de los tres que establecen los artículos 132 y 106 de la Ley Estatal y General, respectivamente.</w:t>
            </w:r>
          </w:p>
          <w:p w14:paraId="09939E67" w14:textId="77777777" w:rsidR="00C20A03" w:rsidRPr="004F4D42" w:rsidRDefault="00C20A03" w:rsidP="00F33A7A">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4F4D42">
              <w:rPr>
                <w:rFonts w:ascii="Palatino Linotype" w:hAnsi="Palatino Linotype" w:cs="Arial"/>
                <w:color w:val="000000"/>
                <w:sz w:val="20"/>
              </w:rPr>
              <w:t xml:space="preserve">El último de estos requisitos previos consiste en que no se pueden emitir acuerdos de carácter general ni particular, esto es, </w:t>
            </w:r>
            <w:r w:rsidRPr="004F4D42">
              <w:rPr>
                <w:rFonts w:ascii="Palatino Linotype" w:hAnsi="Palatino Linotype" w:cs="Arial"/>
                <w:color w:val="000000"/>
                <w:sz w:val="20"/>
                <w:u w:val="single"/>
              </w:rPr>
              <w:t>no se puede hacer un acuerdo para clasificar de manera general todos los documentos de un expediente o área, sin</w:t>
            </w:r>
            <w:r w:rsidRPr="004F4D42">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C20A03" w:rsidRPr="004F4D42" w14:paraId="6CA2904B" w14:textId="77777777" w:rsidTr="00F33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1C1A4BC" w14:textId="77777777" w:rsidR="00C20A03" w:rsidRPr="004F4D42" w:rsidRDefault="00C20A03" w:rsidP="00F33A7A">
            <w:pPr>
              <w:tabs>
                <w:tab w:val="left" w:pos="284"/>
              </w:tabs>
              <w:spacing w:line="360" w:lineRule="auto"/>
              <w:rPr>
                <w:rFonts w:ascii="Palatino Linotype" w:hAnsi="Palatino Linotype"/>
                <w:bCs w:val="0"/>
                <w:sz w:val="20"/>
              </w:rPr>
            </w:pPr>
            <w:r w:rsidRPr="004F4D42">
              <w:rPr>
                <w:rFonts w:ascii="Palatino Linotype" w:hAnsi="Palatino Linotype" w:cstheme="majorBidi"/>
                <w:sz w:val="20"/>
              </w:rPr>
              <w:t>b) Supuestos de clasificación.</w:t>
            </w:r>
          </w:p>
        </w:tc>
        <w:tc>
          <w:tcPr>
            <w:tcW w:w="6667" w:type="dxa"/>
            <w:hideMark/>
          </w:tcPr>
          <w:p w14:paraId="7CD95FB0" w14:textId="77777777" w:rsidR="00C20A03" w:rsidRPr="004F4D42" w:rsidRDefault="00C20A03" w:rsidP="00F33A7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3A38E744" w14:textId="77777777" w:rsidR="00C20A03" w:rsidRPr="004F4D42" w:rsidRDefault="00C20A03" w:rsidP="00F33A7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40CDDB7" w14:textId="77777777" w:rsidR="00C20A03" w:rsidRPr="004F4D42" w:rsidRDefault="00C20A03" w:rsidP="00F33A7A">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4F4D42">
              <w:rPr>
                <w:rFonts w:ascii="Palatino Linotype" w:hAnsi="Palatino Linotype" w:cs="Arial"/>
                <w:color w:val="000000"/>
                <w:sz w:val="20"/>
              </w:rPr>
              <w:t xml:space="preserve">El </w:t>
            </w:r>
            <w:r w:rsidRPr="004F4D42">
              <w:rPr>
                <w:rFonts w:ascii="Palatino Linotype" w:hAnsi="Palatino Linotype" w:cs="Arial"/>
                <w:b/>
                <w:color w:val="000000"/>
                <w:sz w:val="20"/>
              </w:rPr>
              <w:t>Sujeto Obligado</w:t>
            </w:r>
            <w:r w:rsidRPr="004F4D42">
              <w:rPr>
                <w:rFonts w:ascii="Palatino Linotype" w:hAnsi="Palatino Linotype" w:cs="Arial"/>
                <w:color w:val="000000"/>
                <w:sz w:val="20"/>
              </w:rPr>
              <w:t xml:space="preserve"> debe identificar claramente el tipo de información y hacer un juicio de subsunción o encaje para acreditar que el supuesto de </w:t>
            </w:r>
            <w:r w:rsidRPr="004F4D42">
              <w:rPr>
                <w:rFonts w:ascii="Palatino Linotype" w:hAnsi="Palatino Linotype" w:cs="Arial"/>
                <w:color w:val="000000"/>
                <w:sz w:val="20"/>
              </w:rPr>
              <w:lastRenderedPageBreak/>
              <w:t>hecho corresponde estrictamente con la hipótesis jurídica. Esto también lo debe de realizar el servidor público habilitado y el titular del área que administra la información.</w:t>
            </w:r>
          </w:p>
        </w:tc>
      </w:tr>
      <w:tr w:rsidR="00C20A03" w:rsidRPr="004F4D42" w14:paraId="3D5491E8" w14:textId="77777777" w:rsidTr="00F33A7A">
        <w:tc>
          <w:tcPr>
            <w:cnfStyle w:val="001000000000" w:firstRow="0" w:lastRow="0" w:firstColumn="1" w:lastColumn="0" w:oddVBand="0" w:evenVBand="0" w:oddHBand="0" w:evenHBand="0" w:firstRowFirstColumn="0" w:firstRowLastColumn="0" w:lastRowFirstColumn="0" w:lastRowLastColumn="0"/>
            <w:tcW w:w="1838" w:type="dxa"/>
            <w:hideMark/>
          </w:tcPr>
          <w:p w14:paraId="33866CC8" w14:textId="77777777" w:rsidR="00C20A03" w:rsidRPr="004F4D42" w:rsidRDefault="00C20A03" w:rsidP="00F33A7A">
            <w:pPr>
              <w:tabs>
                <w:tab w:val="left" w:pos="284"/>
              </w:tabs>
              <w:spacing w:line="360" w:lineRule="auto"/>
              <w:rPr>
                <w:rFonts w:ascii="Palatino Linotype" w:hAnsi="Palatino Linotype"/>
                <w:bCs w:val="0"/>
                <w:sz w:val="20"/>
              </w:rPr>
            </w:pPr>
            <w:r w:rsidRPr="004F4D42">
              <w:rPr>
                <w:rFonts w:ascii="Palatino Linotype" w:hAnsi="Palatino Linotype" w:cstheme="majorBidi"/>
                <w:sz w:val="20"/>
              </w:rPr>
              <w:lastRenderedPageBreak/>
              <w:t>c) Formalidades para emitir el acuerdo de clasificación.</w:t>
            </w:r>
          </w:p>
        </w:tc>
        <w:tc>
          <w:tcPr>
            <w:tcW w:w="6667" w:type="dxa"/>
            <w:hideMark/>
          </w:tcPr>
          <w:p w14:paraId="4707FEE9" w14:textId="77777777" w:rsidR="00C20A03" w:rsidRPr="004F4D42" w:rsidRDefault="00C20A03" w:rsidP="00F33A7A">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18CB0AB6" w14:textId="77777777" w:rsidR="00C20A03" w:rsidRPr="004F4D42" w:rsidRDefault="00C20A03" w:rsidP="00F33A7A">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 xml:space="preserve">Es necesario que </w:t>
            </w:r>
            <w:r w:rsidRPr="004F4D42">
              <w:rPr>
                <w:rFonts w:ascii="Palatino Linotype" w:hAnsi="Palatino Linotype" w:cs="Arial"/>
                <w:b/>
                <w:color w:val="000000"/>
                <w:sz w:val="20"/>
                <w:u w:val="single"/>
              </w:rPr>
              <w:t>el acto reúna con los requisitos elementales</w:t>
            </w:r>
            <w:r w:rsidRPr="004F4D42">
              <w:rPr>
                <w:rFonts w:ascii="Palatino Linotype" w:hAnsi="Palatino Linotype" w:cs="Arial"/>
                <w:color w:val="000000"/>
                <w:sz w:val="20"/>
              </w:rPr>
              <w:t>, entre ellos, que la autoridad que va a emitir el acto de autoridad sea la legalmente facultada para ello.</w:t>
            </w:r>
          </w:p>
          <w:p w14:paraId="4066A855" w14:textId="77777777" w:rsidR="00C20A03" w:rsidRPr="004F4D42" w:rsidRDefault="00C20A03" w:rsidP="00F33A7A">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4F4D42">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20A03" w:rsidRPr="004F4D42" w14:paraId="26E4DC87" w14:textId="77777777" w:rsidTr="00F33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6E40A1" w14:textId="77777777" w:rsidR="00C20A03" w:rsidRPr="004F4D42" w:rsidRDefault="00C20A03" w:rsidP="00F33A7A">
            <w:pPr>
              <w:tabs>
                <w:tab w:val="left" w:pos="284"/>
              </w:tabs>
              <w:spacing w:line="360" w:lineRule="auto"/>
              <w:rPr>
                <w:rFonts w:ascii="Palatino Linotype" w:hAnsi="Palatino Linotype"/>
                <w:b w:val="0"/>
                <w:sz w:val="20"/>
              </w:rPr>
            </w:pPr>
          </w:p>
          <w:p w14:paraId="50B2480A" w14:textId="77777777" w:rsidR="00C20A03" w:rsidRPr="004F4D42" w:rsidRDefault="00C20A03" w:rsidP="00F33A7A">
            <w:pPr>
              <w:tabs>
                <w:tab w:val="left" w:pos="284"/>
              </w:tabs>
              <w:spacing w:line="360" w:lineRule="auto"/>
              <w:jc w:val="both"/>
              <w:rPr>
                <w:rFonts w:ascii="Palatino Linotype" w:hAnsi="Palatino Linotype"/>
                <w:bCs w:val="0"/>
                <w:sz w:val="20"/>
              </w:rPr>
            </w:pPr>
            <w:r w:rsidRPr="004F4D42">
              <w:rPr>
                <w:rFonts w:ascii="Palatino Linotype" w:hAnsi="Palatino Linotype" w:cs="Arial"/>
                <w:color w:val="000000"/>
                <w:sz w:val="20"/>
              </w:rPr>
              <w:t xml:space="preserve">d) Requisitos de fondo del acuerdo de clasificación. </w:t>
            </w:r>
          </w:p>
        </w:tc>
        <w:tc>
          <w:tcPr>
            <w:tcW w:w="6667" w:type="dxa"/>
            <w:hideMark/>
          </w:tcPr>
          <w:p w14:paraId="628282AB" w14:textId="77777777" w:rsidR="00C20A03" w:rsidRPr="004F4D42" w:rsidRDefault="00C20A03" w:rsidP="00F33A7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F4D42">
              <w:rPr>
                <w:rFonts w:ascii="Palatino Linotype" w:hAnsi="Palatino Linotype" w:cs="Arial"/>
                <w:b/>
                <w:color w:val="000000"/>
                <w:sz w:val="20"/>
              </w:rPr>
              <w:t>Sujetos Obligados</w:t>
            </w:r>
            <w:r w:rsidRPr="004F4D42">
              <w:rPr>
                <w:rFonts w:ascii="Palatino Linotype" w:hAnsi="Palatino Linotype" w:cs="Arial"/>
                <w:color w:val="000000"/>
                <w:sz w:val="20"/>
              </w:rPr>
              <w:t xml:space="preserve">, por lo que deberán fundar y motivar debidamente la clasificación. </w:t>
            </w:r>
          </w:p>
          <w:p w14:paraId="43DBCE8F" w14:textId="77777777" w:rsidR="00C20A03" w:rsidRPr="004F4D42" w:rsidRDefault="00C20A03" w:rsidP="00F33A7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 xml:space="preserve">De lo anterior, se desprende que para una correcta </w:t>
            </w:r>
            <w:r w:rsidRPr="004F4D42">
              <w:rPr>
                <w:rFonts w:ascii="Palatino Linotype" w:hAnsi="Palatino Linotype" w:cs="Arial"/>
                <w:b/>
                <w:color w:val="000000"/>
                <w:sz w:val="20"/>
              </w:rPr>
              <w:t>clasificación total o parcial</w:t>
            </w:r>
            <w:r w:rsidRPr="004F4D42">
              <w:rPr>
                <w:rFonts w:ascii="Palatino Linotype" w:hAnsi="Palatino Linotype" w:cs="Arial"/>
                <w:color w:val="000000"/>
                <w:sz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w:t>
            </w:r>
            <w:r w:rsidRPr="004F4D42">
              <w:rPr>
                <w:rFonts w:ascii="Palatino Linotype" w:hAnsi="Palatino Linotype" w:cs="Arial"/>
                <w:color w:val="000000"/>
                <w:sz w:val="20"/>
              </w:rPr>
              <w:lastRenderedPageBreak/>
              <w:t>que le dieron origen y las razones por las que se deben aplicar al caso concreto.</w:t>
            </w:r>
          </w:p>
          <w:p w14:paraId="62902820" w14:textId="77777777" w:rsidR="00C20A03" w:rsidRPr="004F4D42" w:rsidRDefault="00C20A03" w:rsidP="00F33A7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F604E35" w14:textId="77777777" w:rsidR="00C20A03" w:rsidRPr="004F4D42" w:rsidRDefault="00C20A03" w:rsidP="00F33A7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3CA52763" w14:textId="77777777" w:rsidR="00C20A03" w:rsidRPr="004F4D42" w:rsidRDefault="00C20A03" w:rsidP="00F33A7A">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 xml:space="preserve">Ahora bien, </w:t>
            </w:r>
            <w:r w:rsidRPr="004F4D42">
              <w:rPr>
                <w:rFonts w:ascii="Palatino Linotype" w:hAnsi="Palatino Linotype" w:cs="Arial"/>
                <w:b/>
                <w:color w:val="000000"/>
                <w:sz w:val="20"/>
                <w:u w:val="single"/>
              </w:rPr>
              <w:t>para cada caso además de fundar y motivar</w:t>
            </w:r>
            <w:r w:rsidRPr="004F4D42">
              <w:rPr>
                <w:rFonts w:ascii="Palatino Linotype" w:hAnsi="Palatino Linotype" w:cs="Arial"/>
                <w:color w:val="000000"/>
                <w:sz w:val="20"/>
              </w:rPr>
              <w:t xml:space="preserve">, se debe identificar con claridad que datos contenidos en las documentales que son susceptibles de suprimirse, por ejemplo; </w:t>
            </w:r>
            <w:r w:rsidRPr="004F4D42">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20A03" w:rsidRPr="004F4D42" w14:paraId="771DE790" w14:textId="77777777" w:rsidTr="00F33A7A">
        <w:tc>
          <w:tcPr>
            <w:cnfStyle w:val="001000000000" w:firstRow="0" w:lastRow="0" w:firstColumn="1" w:lastColumn="0" w:oddVBand="0" w:evenVBand="0" w:oddHBand="0" w:evenHBand="0" w:firstRowFirstColumn="0" w:firstRowLastColumn="0" w:lastRowFirstColumn="0" w:lastRowLastColumn="0"/>
            <w:tcW w:w="1838" w:type="dxa"/>
          </w:tcPr>
          <w:p w14:paraId="34ECFF89" w14:textId="77777777" w:rsidR="00C20A03" w:rsidRPr="004F4D42" w:rsidRDefault="00C20A03" w:rsidP="00F33A7A">
            <w:pPr>
              <w:tabs>
                <w:tab w:val="left" w:pos="284"/>
              </w:tabs>
              <w:spacing w:line="360" w:lineRule="auto"/>
              <w:ind w:right="49"/>
              <w:jc w:val="both"/>
              <w:rPr>
                <w:rFonts w:ascii="Palatino Linotype" w:hAnsi="Palatino Linotype" w:cs="Arial"/>
                <w:bCs w:val="0"/>
                <w:sz w:val="20"/>
              </w:rPr>
            </w:pPr>
            <w:r w:rsidRPr="004F4D42">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0313F21B" w14:textId="77777777" w:rsidR="00C20A03" w:rsidRPr="004F4D42" w:rsidRDefault="00C20A03" w:rsidP="00F33A7A">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2F3BA64A" w14:textId="77777777" w:rsidR="00C20A03" w:rsidRPr="004F4D42" w:rsidRDefault="00C20A03" w:rsidP="00F33A7A">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4F4D42">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E672C5E" w14:textId="77777777" w:rsidR="00C20A03" w:rsidRPr="004F4D42" w:rsidRDefault="00C20A03" w:rsidP="00F33A7A">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4F4D42">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w:t>
            </w:r>
            <w:r w:rsidRPr="004F4D42">
              <w:rPr>
                <w:rFonts w:ascii="Palatino Linotype" w:hAnsi="Palatino Linotype" w:cs="Arial"/>
                <w:color w:val="000000"/>
                <w:sz w:val="20"/>
              </w:rPr>
              <w:lastRenderedPageBreak/>
              <w:t>ser posible, la realización de la consulta, procede, fundando y motivando, la clasificación.</w:t>
            </w:r>
          </w:p>
        </w:tc>
      </w:tr>
    </w:tbl>
    <w:p w14:paraId="51498236" w14:textId="77777777" w:rsidR="00C20A03" w:rsidRPr="004F4D42" w:rsidRDefault="00C20A03" w:rsidP="00C20A03">
      <w:pPr>
        <w:pStyle w:val="Prrafodelista"/>
        <w:tabs>
          <w:tab w:val="left" w:pos="284"/>
        </w:tabs>
        <w:ind w:left="0"/>
        <w:rPr>
          <w:rFonts w:ascii="Palatino Linotype" w:hAnsi="Palatino Linotype" w:cs="Arial"/>
          <w:color w:val="000000"/>
        </w:rPr>
      </w:pPr>
    </w:p>
    <w:p w14:paraId="0C15380C" w14:textId="77777777" w:rsidR="00C20A03" w:rsidRPr="004F4D42" w:rsidRDefault="00C20A03" w:rsidP="00C20A03">
      <w:pPr>
        <w:pStyle w:val="Prrafodelista"/>
        <w:numPr>
          <w:ilvl w:val="0"/>
          <w:numId w:val="1"/>
        </w:numPr>
        <w:tabs>
          <w:tab w:val="left" w:pos="284"/>
        </w:tabs>
        <w:spacing w:line="360" w:lineRule="auto"/>
        <w:jc w:val="both"/>
        <w:rPr>
          <w:rFonts w:ascii="Palatino Linotype" w:hAnsi="Palatino Linotype" w:cs="Arial"/>
          <w:color w:val="000000"/>
        </w:rPr>
      </w:pPr>
      <w:r w:rsidRPr="004F4D42">
        <w:rPr>
          <w:rFonts w:ascii="Palatino Linotype" w:hAnsi="Palatino Linotype" w:cs="Arial"/>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441019AC" w14:textId="77777777" w:rsidR="00C20A03" w:rsidRPr="004F4D42" w:rsidRDefault="00C20A03" w:rsidP="00C20A03">
      <w:pPr>
        <w:pStyle w:val="Prrafodelista"/>
        <w:shd w:val="clear" w:color="auto" w:fill="FFFFFF"/>
        <w:spacing w:before="240" w:after="240" w:line="360" w:lineRule="auto"/>
        <w:ind w:left="0"/>
        <w:jc w:val="both"/>
        <w:rPr>
          <w:rFonts w:ascii="Palatino Linotype" w:hAnsi="Palatino Linotype" w:cs="Arial"/>
        </w:rPr>
      </w:pPr>
    </w:p>
    <w:p w14:paraId="278A67F8" w14:textId="338B0ED5" w:rsidR="001C4F63" w:rsidRPr="004F4D42" w:rsidRDefault="001C4F63" w:rsidP="001C4F63">
      <w:pPr>
        <w:pStyle w:val="Prrafodelista"/>
        <w:numPr>
          <w:ilvl w:val="0"/>
          <w:numId w:val="1"/>
        </w:numPr>
        <w:spacing w:line="360" w:lineRule="auto"/>
        <w:jc w:val="both"/>
        <w:rPr>
          <w:rFonts w:ascii="Palatino Linotype" w:hAnsi="Palatino Linotype" w:cs="Arial"/>
        </w:rPr>
      </w:pPr>
      <w:r w:rsidRPr="004F4D42">
        <w:rPr>
          <w:rFonts w:ascii="Palatino Linotype" w:eastAsia="Times New Roman" w:hAnsi="Palatino Linotype" w:cs="Arial"/>
          <w:color w:val="222222"/>
          <w:lang w:eastAsia="es-MX"/>
        </w:rPr>
        <w:t xml:space="preserve">Por lo anteriormente expuesto y fundado, este </w:t>
      </w:r>
      <w:r w:rsidRPr="004F4D42">
        <w:rPr>
          <w:rFonts w:ascii="Palatino Linotype" w:eastAsia="Times New Roman" w:hAnsi="Palatino Linotype" w:cs="Arial"/>
          <w:b/>
          <w:bCs/>
          <w:color w:val="222222"/>
          <w:lang w:eastAsia="es-MX"/>
        </w:rPr>
        <w:t>ÓRGANO GARANTE</w:t>
      </w:r>
      <w:r w:rsidRPr="004F4D42">
        <w:rPr>
          <w:rFonts w:ascii="Palatino Linotype" w:eastAsia="Times New Roman" w:hAnsi="Palatino Linotype" w:cs="Arial"/>
          <w:color w:val="222222"/>
          <w:lang w:eastAsia="es-MX"/>
        </w:rPr>
        <w:t xml:space="preserve"> emite los siguientes:</w:t>
      </w:r>
    </w:p>
    <w:p w14:paraId="18C7D92B" w14:textId="77777777" w:rsidR="009959DB" w:rsidRPr="004F4D42"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87456497"/>
      <w:r w:rsidRPr="004F4D42">
        <w:rPr>
          <w:b/>
          <w:color w:val="000000" w:themeColor="text1"/>
          <w:szCs w:val="24"/>
        </w:rPr>
        <w:t>R E S O L U T I V O S</w:t>
      </w:r>
      <w:bookmarkEnd w:id="23"/>
      <w:bookmarkEnd w:id="24"/>
      <w:bookmarkEnd w:id="39"/>
      <w:bookmarkEnd w:id="40"/>
      <w:bookmarkEnd w:id="41"/>
    </w:p>
    <w:p w14:paraId="47F35804" w14:textId="77777777" w:rsidR="00B54CAF" w:rsidRPr="004F4D42" w:rsidRDefault="00B54CAF" w:rsidP="00014006">
      <w:pPr>
        <w:spacing w:line="360" w:lineRule="auto"/>
        <w:jc w:val="both"/>
        <w:rPr>
          <w:rFonts w:ascii="Palatino Linotype" w:eastAsia="Times New Roman" w:hAnsi="Palatino Linotype" w:cs="Arial"/>
          <w:b/>
        </w:rPr>
      </w:pPr>
    </w:p>
    <w:p w14:paraId="4C0A5705" w14:textId="77777777" w:rsidR="00C20A03" w:rsidRPr="004F4D42" w:rsidRDefault="00C20A03" w:rsidP="00B54CAF">
      <w:pPr>
        <w:spacing w:line="360" w:lineRule="auto"/>
        <w:jc w:val="both"/>
        <w:rPr>
          <w:rFonts w:ascii="Palatino Linotype" w:eastAsia="Times New Roman" w:hAnsi="Palatino Linotype" w:cs="Arial"/>
          <w:b/>
        </w:rPr>
      </w:pPr>
    </w:p>
    <w:p w14:paraId="345974DE" w14:textId="310EA555" w:rsidR="00C20A03" w:rsidRPr="004F4D42" w:rsidRDefault="00C20A03" w:rsidP="00C20A03">
      <w:pPr>
        <w:spacing w:line="360" w:lineRule="auto"/>
        <w:jc w:val="both"/>
        <w:rPr>
          <w:rFonts w:ascii="Palatino Linotype" w:eastAsia="Times New Roman" w:hAnsi="Palatino Linotype" w:cs="Times New Roman"/>
        </w:rPr>
      </w:pPr>
      <w:bookmarkStart w:id="42" w:name="_Toc450120669"/>
      <w:bookmarkStart w:id="43" w:name="_Toc460947011"/>
      <w:r w:rsidRPr="004F4D42">
        <w:rPr>
          <w:rFonts w:ascii="Palatino Linotype" w:eastAsia="Times New Roman" w:hAnsi="Palatino Linotype" w:cs="Arial"/>
          <w:b/>
        </w:rPr>
        <w:t>PRIMERO.</w:t>
      </w:r>
      <w:r w:rsidRPr="004F4D42">
        <w:rPr>
          <w:rFonts w:ascii="Palatino Linotype" w:eastAsia="Times New Roman" w:hAnsi="Palatino Linotype" w:cs="Arial"/>
          <w:b/>
          <w:sz w:val="28"/>
        </w:rPr>
        <w:t xml:space="preserve"> </w:t>
      </w:r>
      <w:r w:rsidRPr="004F4D42">
        <w:rPr>
          <w:rFonts w:ascii="Palatino Linotype" w:eastAsia="Times New Roman" w:hAnsi="Palatino Linotype" w:cs="Arial"/>
        </w:rPr>
        <w:t>Resultan fundadas las</w:t>
      </w:r>
      <w:r w:rsidRPr="004F4D42">
        <w:rPr>
          <w:rFonts w:ascii="Palatino Linotype" w:eastAsia="Times New Roman" w:hAnsi="Palatino Linotype" w:cs="Arial"/>
          <w:b/>
        </w:rPr>
        <w:t xml:space="preserve"> </w:t>
      </w:r>
      <w:r w:rsidRPr="004F4D42">
        <w:rPr>
          <w:rFonts w:ascii="Palatino Linotype" w:eastAsia="Times New Roman" w:hAnsi="Palatino Linotype" w:cs="Arial"/>
          <w:lang w:val="es-ES"/>
        </w:rPr>
        <w:t xml:space="preserve">razones o motivos de inconformidad hechos valer </w:t>
      </w:r>
      <w:r w:rsidRPr="004F4D42">
        <w:rPr>
          <w:rFonts w:ascii="Palatino Linotype" w:eastAsia="Calibri" w:hAnsi="Palatino Linotype" w:cs="Arial"/>
          <w:lang w:val="es-ES"/>
        </w:rPr>
        <w:t xml:space="preserve">en el recurso de revisión </w:t>
      </w:r>
      <w:r w:rsidR="007F0D1B" w:rsidRPr="004F4D42">
        <w:rPr>
          <w:rFonts w:ascii="Palatino Linotype" w:eastAsia="Calibri" w:hAnsi="Palatino Linotype" w:cs="Arial"/>
          <w:b/>
          <w:lang w:val="es-ES"/>
        </w:rPr>
        <w:t>13033</w:t>
      </w:r>
      <w:r w:rsidR="007F0D1B" w:rsidRPr="004F4D42">
        <w:rPr>
          <w:rFonts w:ascii="Palatino Linotype" w:hAnsi="Palatino Linotype"/>
          <w:b/>
          <w:szCs w:val="22"/>
        </w:rPr>
        <w:t>/INFOEM/IP/RR/2022</w:t>
      </w:r>
      <w:r w:rsidRPr="004F4D42">
        <w:rPr>
          <w:rFonts w:ascii="Palatino Linotype" w:eastAsia="Times New Roman" w:hAnsi="Palatino Linotype" w:cs="Times New Roman"/>
          <w:b/>
        </w:rPr>
        <w:t xml:space="preserve"> </w:t>
      </w:r>
      <w:r w:rsidRPr="004F4D42">
        <w:rPr>
          <w:rFonts w:ascii="Palatino Linotype" w:eastAsia="Times New Roman" w:hAnsi="Palatino Linotype" w:cs="Times New Roman"/>
        </w:rPr>
        <w:t>en términos de los</w:t>
      </w:r>
      <w:r w:rsidRPr="004F4D42">
        <w:rPr>
          <w:rFonts w:ascii="Palatino Linotype" w:eastAsia="Times New Roman" w:hAnsi="Palatino Linotype" w:cs="Times New Roman"/>
          <w:b/>
          <w:bCs/>
        </w:rPr>
        <w:t xml:space="preserve"> Considerandos</w:t>
      </w:r>
      <w:r w:rsidRPr="004F4D42">
        <w:rPr>
          <w:rFonts w:ascii="Palatino Linotype" w:eastAsia="Times New Roman" w:hAnsi="Palatino Linotype" w:cs="Times New Roman"/>
        </w:rPr>
        <w:t xml:space="preserve"> </w:t>
      </w:r>
      <w:r w:rsidRPr="004F4D42">
        <w:rPr>
          <w:rFonts w:ascii="Palatino Linotype" w:eastAsia="Times New Roman" w:hAnsi="Palatino Linotype" w:cs="Times New Roman"/>
          <w:b/>
        </w:rPr>
        <w:t>CUARTO y QUINTO</w:t>
      </w:r>
      <w:r w:rsidRPr="004F4D42">
        <w:rPr>
          <w:rFonts w:ascii="Palatino Linotype" w:eastAsia="Times New Roman" w:hAnsi="Palatino Linotype" w:cs="Times New Roman"/>
        </w:rPr>
        <w:t xml:space="preserve"> de la presente resolución.</w:t>
      </w:r>
    </w:p>
    <w:p w14:paraId="66E52F14" w14:textId="77777777" w:rsidR="00C20A03" w:rsidRPr="004F4D42" w:rsidRDefault="00C20A03" w:rsidP="00C20A03">
      <w:pPr>
        <w:spacing w:line="360" w:lineRule="auto"/>
        <w:contextualSpacing/>
        <w:jc w:val="both"/>
        <w:rPr>
          <w:rFonts w:ascii="Palatino Linotype" w:eastAsia="Calibri" w:hAnsi="Palatino Linotype" w:cs="Arial"/>
          <w:b/>
          <w:bCs/>
          <w:lang w:val="es-ES"/>
        </w:rPr>
      </w:pPr>
    </w:p>
    <w:p w14:paraId="014C0895" w14:textId="1B532DAB" w:rsidR="00C20A03" w:rsidRPr="004F4D42" w:rsidRDefault="00C20A03" w:rsidP="00C20A03">
      <w:pPr>
        <w:pStyle w:val="Sinespaciado"/>
        <w:spacing w:line="360" w:lineRule="auto"/>
        <w:jc w:val="both"/>
        <w:rPr>
          <w:rFonts w:ascii="Palatino Linotype" w:eastAsia="Calibri" w:hAnsi="Palatino Linotype" w:cs="Arial"/>
          <w:bCs/>
          <w:lang w:val="es-ES"/>
        </w:rPr>
      </w:pPr>
      <w:r w:rsidRPr="004F4D42">
        <w:rPr>
          <w:rFonts w:ascii="Palatino Linotype" w:eastAsia="Calibri" w:hAnsi="Palatino Linotype" w:cs="Arial"/>
          <w:b/>
          <w:bCs/>
          <w:lang w:val="es-ES"/>
        </w:rPr>
        <w:t xml:space="preserve">SEGUNDO. Se </w:t>
      </w:r>
      <w:r w:rsidR="00A4351E" w:rsidRPr="004F4D42">
        <w:rPr>
          <w:rFonts w:ascii="Palatino Linotype" w:eastAsia="Calibri" w:hAnsi="Palatino Linotype" w:cs="Arial"/>
          <w:b/>
          <w:bCs/>
          <w:lang w:val="es-ES"/>
        </w:rPr>
        <w:t>REVOCA</w:t>
      </w:r>
      <w:r w:rsidRPr="004F4D42">
        <w:rPr>
          <w:rFonts w:ascii="Palatino Linotype" w:eastAsia="Calibri" w:hAnsi="Palatino Linotype" w:cs="Arial"/>
          <w:b/>
          <w:bCs/>
          <w:lang w:val="es-ES"/>
        </w:rPr>
        <w:t xml:space="preserve"> </w:t>
      </w:r>
      <w:r w:rsidRPr="004F4D42">
        <w:rPr>
          <w:rFonts w:ascii="Palatino Linotype" w:eastAsia="Calibri" w:hAnsi="Palatino Linotype" w:cs="Arial"/>
          <w:bCs/>
          <w:lang w:val="es-ES"/>
        </w:rPr>
        <w:t>la respuesta emitida por</w:t>
      </w:r>
      <w:r w:rsidRPr="004F4D42">
        <w:rPr>
          <w:rFonts w:ascii="Palatino Linotype" w:eastAsia="Calibri" w:hAnsi="Palatino Linotype" w:cs="Arial"/>
          <w:b/>
          <w:bCs/>
          <w:lang w:val="es-ES"/>
        </w:rPr>
        <w:t xml:space="preserve"> la Secretaría de Movilidad</w:t>
      </w:r>
      <w:r w:rsidRPr="004F4D42">
        <w:rPr>
          <w:rFonts w:ascii="Palatino Linotype" w:hAnsi="Palatino Linotype"/>
          <w:b/>
          <w:bCs/>
          <w:color w:val="000000"/>
          <w:sz w:val="28"/>
          <w:szCs w:val="22"/>
        </w:rPr>
        <w:t xml:space="preserve"> </w:t>
      </w:r>
      <w:r w:rsidRPr="004F4D42">
        <w:rPr>
          <w:rFonts w:ascii="Palatino Linotype" w:eastAsia="Calibri" w:hAnsi="Palatino Linotype" w:cs="Arial"/>
          <w:bCs/>
          <w:lang w:val="es-ES"/>
        </w:rPr>
        <w:t>y se</w:t>
      </w:r>
      <w:r w:rsidRPr="004F4D42">
        <w:rPr>
          <w:rFonts w:ascii="Palatino Linotype" w:eastAsia="Calibri" w:hAnsi="Palatino Linotype" w:cs="Arial"/>
          <w:b/>
          <w:bCs/>
          <w:lang w:val="es-ES"/>
        </w:rPr>
        <w:t xml:space="preserve"> ORDENA </w:t>
      </w:r>
      <w:r w:rsidRPr="004F4D42">
        <w:rPr>
          <w:rFonts w:ascii="Palatino Linotype" w:eastAsia="Calibri" w:hAnsi="Palatino Linotype" w:cs="Arial"/>
          <w:bCs/>
          <w:lang w:val="es-ES"/>
        </w:rPr>
        <w:t xml:space="preserve">entregar vía </w:t>
      </w:r>
      <w:r w:rsidRPr="004F4D42">
        <w:rPr>
          <w:rFonts w:ascii="Palatino Linotype" w:eastAsia="Calibri" w:hAnsi="Palatino Linotype" w:cs="Arial"/>
          <w:b/>
          <w:bCs/>
          <w:lang w:val="es-ES"/>
        </w:rPr>
        <w:t>Sistema de Acceso a la Información Mexiquense (SAIMEX</w:t>
      </w:r>
      <w:r w:rsidR="00C94C99" w:rsidRPr="004F4D42">
        <w:rPr>
          <w:rFonts w:ascii="Palatino Linotype" w:eastAsia="Calibri" w:hAnsi="Palatino Linotype" w:cs="Arial"/>
          <w:b/>
          <w:bCs/>
          <w:lang w:val="es-ES"/>
        </w:rPr>
        <w:t>)</w:t>
      </w:r>
      <w:r w:rsidRPr="004F4D42">
        <w:rPr>
          <w:rFonts w:ascii="Palatino Linotype" w:eastAsia="Calibri" w:hAnsi="Palatino Linotype" w:cs="Arial"/>
          <w:b/>
          <w:bCs/>
          <w:lang w:val="es-ES"/>
        </w:rPr>
        <w:t>,</w:t>
      </w:r>
      <w:r w:rsidRPr="004F4D42">
        <w:rPr>
          <w:rFonts w:ascii="Palatino Linotype" w:eastAsia="Calibri" w:hAnsi="Palatino Linotype" w:cs="Arial"/>
          <w:lang w:val="es-ES"/>
        </w:rPr>
        <w:t xml:space="preserve"> de ser el caso en versión pública, </w:t>
      </w:r>
      <w:r w:rsidR="00A4351E" w:rsidRPr="004F4D42">
        <w:rPr>
          <w:rFonts w:ascii="Palatino Linotype" w:eastAsia="Calibri" w:hAnsi="Palatino Linotype" w:cs="Arial"/>
          <w:lang w:val="es-ES"/>
        </w:rPr>
        <w:t>Los documentos donde conste l</w:t>
      </w:r>
      <w:r w:rsidRPr="004F4D42">
        <w:rPr>
          <w:rFonts w:ascii="Palatino Linotype" w:eastAsia="Calibri" w:hAnsi="Palatino Linotype" w:cs="Arial"/>
          <w:lang w:val="es-ES"/>
        </w:rPr>
        <w:t>a</w:t>
      </w:r>
      <w:r w:rsidRPr="004F4D42">
        <w:rPr>
          <w:rFonts w:ascii="Palatino Linotype" w:eastAsia="Calibri" w:hAnsi="Palatino Linotype" w:cs="Arial"/>
          <w:bCs/>
          <w:lang w:val="es-ES"/>
        </w:rPr>
        <w:t xml:space="preserve"> siguiente información:</w:t>
      </w:r>
    </w:p>
    <w:p w14:paraId="5CF1E856" w14:textId="77777777" w:rsidR="00C20A03" w:rsidRPr="004F4D42" w:rsidRDefault="00C20A03" w:rsidP="00C20A03">
      <w:pPr>
        <w:spacing w:line="360" w:lineRule="auto"/>
        <w:ind w:right="-93"/>
        <w:jc w:val="both"/>
        <w:rPr>
          <w:rFonts w:ascii="Palatino Linotype" w:hAnsi="Palatino Linotype" w:cs="Tahoma"/>
          <w:sz w:val="22"/>
          <w:szCs w:val="22"/>
          <w:lang w:val="es-ES"/>
        </w:rPr>
      </w:pPr>
    </w:p>
    <w:p w14:paraId="683BFE69" w14:textId="1F3653F4" w:rsidR="00A4351E" w:rsidRPr="004F4D42" w:rsidRDefault="00A4351E" w:rsidP="00A4351E">
      <w:pPr>
        <w:pStyle w:val="Prrafodelista"/>
        <w:numPr>
          <w:ilvl w:val="0"/>
          <w:numId w:val="27"/>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 xml:space="preserve">Estudios de aforo en la avenida Miguel Hidalgo, José Vicente Villada y Paseo Colón, en su tramo donde construyeron la ciclovía, así como el número de </w:t>
      </w:r>
      <w:r w:rsidRPr="004F4D42">
        <w:rPr>
          <w:rFonts w:ascii="Palatino Linotype" w:hAnsi="Palatino Linotype"/>
          <w:bCs/>
          <w:color w:val="000000"/>
          <w:szCs w:val="22"/>
        </w:rPr>
        <w:lastRenderedPageBreak/>
        <w:t>bici</w:t>
      </w:r>
      <w:r w:rsidR="000D0A10" w:rsidRPr="004F4D42">
        <w:rPr>
          <w:rFonts w:ascii="Palatino Linotype" w:hAnsi="Palatino Linotype"/>
          <w:bCs/>
          <w:color w:val="000000"/>
          <w:szCs w:val="22"/>
        </w:rPr>
        <w:t>cletas que circulan en dichas ci</w:t>
      </w:r>
      <w:r w:rsidRPr="004F4D42">
        <w:rPr>
          <w:rFonts w:ascii="Palatino Linotype" w:hAnsi="Palatino Linotype"/>
          <w:bCs/>
          <w:color w:val="000000"/>
          <w:szCs w:val="22"/>
        </w:rPr>
        <w:t>clov</w:t>
      </w:r>
      <w:r w:rsidR="009F07FE" w:rsidRPr="004F4D42">
        <w:rPr>
          <w:rFonts w:ascii="Palatino Linotype" w:hAnsi="Palatino Linotype"/>
          <w:bCs/>
          <w:color w:val="000000"/>
          <w:szCs w:val="22"/>
        </w:rPr>
        <w:t>ías del seis (6) de julio de dos mil veintiuno al seis (6) de julio de dos mil veintidós;</w:t>
      </w:r>
    </w:p>
    <w:p w14:paraId="36472C93" w14:textId="3DF49C22" w:rsidR="00A4351E" w:rsidRPr="004F4D42" w:rsidRDefault="00A4351E" w:rsidP="00A4351E">
      <w:pPr>
        <w:pStyle w:val="Prrafodelista"/>
        <w:numPr>
          <w:ilvl w:val="0"/>
          <w:numId w:val="27"/>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Número de bicicletas que circulan diariamente por la Avenida Isidro</w:t>
      </w:r>
      <w:r w:rsidR="009F07FE" w:rsidRPr="004F4D42">
        <w:rPr>
          <w:rFonts w:ascii="Palatino Linotype" w:hAnsi="Palatino Linotype"/>
          <w:bCs/>
          <w:color w:val="000000"/>
          <w:szCs w:val="22"/>
        </w:rPr>
        <w:t xml:space="preserve"> Fabela en cualquier dirección del seis (6) de julio de dos mil veintiuno al seis (6) de julio de dos mil veintidós.</w:t>
      </w:r>
    </w:p>
    <w:p w14:paraId="6385DB37" w14:textId="1CE56BEA" w:rsidR="00A4351E" w:rsidRPr="004F4D42" w:rsidRDefault="00A4351E" w:rsidP="00A4351E">
      <w:pPr>
        <w:pStyle w:val="Prrafodelista"/>
        <w:numPr>
          <w:ilvl w:val="0"/>
          <w:numId w:val="27"/>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Número de bicicletas que se encuentran registradas en el Muni</w:t>
      </w:r>
      <w:r w:rsidR="009F07FE" w:rsidRPr="004F4D42">
        <w:rPr>
          <w:rFonts w:ascii="Palatino Linotype" w:hAnsi="Palatino Linotype"/>
          <w:bCs/>
          <w:color w:val="000000"/>
          <w:szCs w:val="22"/>
        </w:rPr>
        <w:t>cipio de Toluca al seis (6) de julio de dos mil veintidós.</w:t>
      </w:r>
    </w:p>
    <w:p w14:paraId="2137C8B0" w14:textId="5F330ED9" w:rsidR="00A4351E" w:rsidRPr="004F4D42" w:rsidRDefault="00A4351E" w:rsidP="00A4351E">
      <w:pPr>
        <w:pStyle w:val="Prrafodelista"/>
        <w:numPr>
          <w:ilvl w:val="0"/>
          <w:numId w:val="27"/>
        </w:numPr>
        <w:spacing w:line="360" w:lineRule="auto"/>
        <w:ind w:right="49"/>
        <w:jc w:val="both"/>
        <w:rPr>
          <w:rFonts w:ascii="Palatino Linotype" w:hAnsi="Palatino Linotype"/>
          <w:bCs/>
          <w:color w:val="000000"/>
          <w:szCs w:val="22"/>
        </w:rPr>
      </w:pPr>
      <w:r w:rsidRPr="004F4D42">
        <w:rPr>
          <w:rFonts w:ascii="Palatino Linotype" w:hAnsi="Palatino Linotype"/>
          <w:bCs/>
          <w:color w:val="000000"/>
          <w:szCs w:val="22"/>
        </w:rPr>
        <w:t>Número de bicicletas que conforman las rodadas y la razón por la c</w:t>
      </w:r>
      <w:r w:rsidR="009F07FE" w:rsidRPr="004F4D42">
        <w:rPr>
          <w:rFonts w:ascii="Palatino Linotype" w:hAnsi="Palatino Linotype"/>
          <w:bCs/>
          <w:color w:val="000000"/>
          <w:szCs w:val="22"/>
        </w:rPr>
        <w:t>ual no ruedan por las ciclovías al seis (6) de julio de dos mil veintidós.</w:t>
      </w:r>
    </w:p>
    <w:p w14:paraId="70A608A4" w14:textId="77777777" w:rsidR="00C20A03" w:rsidRPr="004F4D42" w:rsidRDefault="00C20A03" w:rsidP="00C20A03">
      <w:pPr>
        <w:pStyle w:val="Prrafodelista"/>
        <w:spacing w:line="360" w:lineRule="auto"/>
        <w:ind w:right="49"/>
        <w:jc w:val="both"/>
        <w:rPr>
          <w:rFonts w:ascii="Palatino Linotype" w:eastAsia="Palatino Linotype" w:hAnsi="Palatino Linotype" w:cs="Palatino Linotype"/>
          <w:b/>
        </w:rPr>
      </w:pPr>
    </w:p>
    <w:p w14:paraId="2CA66A2C" w14:textId="77777777" w:rsidR="00C20A03" w:rsidRPr="004F4D42" w:rsidRDefault="00C20A03" w:rsidP="00C20A03">
      <w:pPr>
        <w:spacing w:line="360" w:lineRule="auto"/>
        <w:jc w:val="both"/>
        <w:rPr>
          <w:rFonts w:ascii="Palatino Linotype" w:eastAsia="Calibri" w:hAnsi="Palatino Linotype" w:cs="Arial"/>
        </w:rPr>
      </w:pPr>
      <w:r w:rsidRPr="004F4D4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2B4D584" w14:textId="77777777" w:rsidR="00C20A03" w:rsidRPr="004F4D42" w:rsidRDefault="00C20A03" w:rsidP="00C20A03">
      <w:pPr>
        <w:spacing w:line="360" w:lineRule="auto"/>
        <w:jc w:val="both"/>
        <w:rPr>
          <w:rFonts w:ascii="Palatino Linotype" w:eastAsia="Calibri" w:hAnsi="Palatino Linotype" w:cs="Arial"/>
        </w:rPr>
      </w:pPr>
    </w:p>
    <w:p w14:paraId="2E6FEEF0" w14:textId="03B7739A" w:rsidR="00C20A03" w:rsidRPr="004F4D42" w:rsidRDefault="00C20A03" w:rsidP="00C20A03">
      <w:pPr>
        <w:spacing w:line="360" w:lineRule="auto"/>
        <w:jc w:val="both"/>
        <w:rPr>
          <w:rFonts w:ascii="Palatino Linotype" w:eastAsia="Calibri" w:hAnsi="Palatino Linotype" w:cs="Arial"/>
        </w:rPr>
      </w:pPr>
      <w:r w:rsidRPr="004F4D42">
        <w:rPr>
          <w:rFonts w:ascii="Palatino Linotype" w:eastAsia="Calibri" w:hAnsi="Palatino Linotype" w:cs="Arial"/>
        </w:rPr>
        <w:t xml:space="preserve">De ser el caso de que la información que se ordena entregar en </w:t>
      </w:r>
      <w:r w:rsidR="009F07FE" w:rsidRPr="004F4D42">
        <w:rPr>
          <w:rFonts w:ascii="Palatino Linotype" w:eastAsia="Calibri" w:hAnsi="Palatino Linotype" w:cs="Arial"/>
        </w:rPr>
        <w:t>los</w:t>
      </w:r>
      <w:r w:rsidRPr="004F4D42">
        <w:rPr>
          <w:rFonts w:ascii="Palatino Linotype" w:eastAsia="Calibri" w:hAnsi="Palatino Linotype" w:cs="Arial"/>
        </w:rPr>
        <w:t xml:space="preserve"> numeral</w:t>
      </w:r>
      <w:r w:rsidR="009F07FE" w:rsidRPr="004F4D42">
        <w:rPr>
          <w:rFonts w:ascii="Palatino Linotype" w:eastAsia="Calibri" w:hAnsi="Palatino Linotype" w:cs="Arial"/>
        </w:rPr>
        <w:t>es</w:t>
      </w:r>
      <w:r w:rsidRPr="004F4D42">
        <w:rPr>
          <w:rFonts w:ascii="Palatino Linotype" w:eastAsia="Calibri" w:hAnsi="Palatino Linotype" w:cs="Arial"/>
        </w:rPr>
        <w:t xml:space="preserve"> 1</w:t>
      </w:r>
      <w:r w:rsidR="009F07FE" w:rsidRPr="004F4D42">
        <w:rPr>
          <w:rFonts w:ascii="Palatino Linotype" w:eastAsia="Calibri" w:hAnsi="Palatino Linotype" w:cs="Arial"/>
        </w:rPr>
        <w:t>, 2, 3 y/o 4</w:t>
      </w:r>
      <w:r w:rsidRPr="004F4D42">
        <w:rPr>
          <w:rFonts w:ascii="Palatino Linotype" w:eastAsia="Calibri" w:hAnsi="Palatino Linotype" w:cs="Arial"/>
        </w:rPr>
        <w:t xml:space="preserve"> no haya sido generada, el Sujeto Obligado deberá de manifestar las razones que expliquen las causas por las que no se cuenta con la información.</w:t>
      </w:r>
    </w:p>
    <w:p w14:paraId="0743F7B9" w14:textId="77777777" w:rsidR="00C20A03" w:rsidRPr="004F4D42" w:rsidRDefault="00C20A03" w:rsidP="00C20A03">
      <w:pPr>
        <w:spacing w:line="360" w:lineRule="auto"/>
        <w:jc w:val="both"/>
        <w:rPr>
          <w:rFonts w:ascii="Palatino Linotype" w:eastAsia="Calibri" w:hAnsi="Palatino Linotype" w:cs="Arial"/>
        </w:rPr>
      </w:pPr>
    </w:p>
    <w:p w14:paraId="55833099" w14:textId="77777777" w:rsidR="00C20A03" w:rsidRPr="004F4D42" w:rsidRDefault="00C20A03" w:rsidP="00C20A03">
      <w:pPr>
        <w:tabs>
          <w:tab w:val="left" w:pos="8080"/>
        </w:tabs>
        <w:spacing w:line="360" w:lineRule="auto"/>
        <w:ind w:right="49"/>
        <w:contextualSpacing/>
        <w:jc w:val="both"/>
        <w:rPr>
          <w:rFonts w:ascii="Palatino Linotype" w:eastAsia="Palatino Linotype" w:hAnsi="Palatino Linotype" w:cs="Palatino Linotype"/>
          <w:b/>
        </w:rPr>
      </w:pPr>
      <w:r w:rsidRPr="004F4D42">
        <w:rPr>
          <w:rFonts w:ascii="Palatino Linotype" w:eastAsia="Palatino Linotype" w:hAnsi="Palatino Linotype" w:cs="Palatino Linotype"/>
          <w:b/>
        </w:rPr>
        <w:t xml:space="preserve">TERCERO. Notifíquese </w:t>
      </w:r>
      <w:r w:rsidRPr="004F4D42">
        <w:rPr>
          <w:rFonts w:ascii="Palatino Linotype" w:eastAsia="Palatino Linotype" w:hAnsi="Palatino Linotype" w:cs="Palatino Linotype"/>
        </w:rPr>
        <w:t xml:space="preserve">al Titular de la Unidad de Transparencia del </w:t>
      </w:r>
      <w:r w:rsidRPr="004F4D42">
        <w:rPr>
          <w:rFonts w:ascii="Palatino Linotype" w:eastAsia="Palatino Linotype" w:hAnsi="Palatino Linotype" w:cs="Palatino Linotype"/>
          <w:b/>
        </w:rPr>
        <w:t>SUJETO OBLIGADO</w:t>
      </w:r>
      <w:r w:rsidRPr="004F4D4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F4D42">
        <w:rPr>
          <w:rFonts w:ascii="Palatino Linotype" w:hAnsi="Palatino Linotype"/>
          <w:color w:val="222222"/>
          <w:shd w:val="clear" w:color="auto" w:fill="FFFFFF"/>
        </w:rPr>
        <w:t xml:space="preserve">vigente, dé cumplimiento a lo ordenado dentro del </w:t>
      </w:r>
      <w:r w:rsidRPr="004F4D42">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24EC46DC" w14:textId="77777777" w:rsidR="00C20A03" w:rsidRPr="004F4D42" w:rsidRDefault="00C20A03" w:rsidP="00C20A03">
      <w:pPr>
        <w:pStyle w:val="Sinespaciado"/>
        <w:spacing w:line="360" w:lineRule="auto"/>
        <w:jc w:val="both"/>
        <w:rPr>
          <w:rFonts w:ascii="Palatino Linotype" w:eastAsia="Times New Roman" w:hAnsi="Palatino Linotype" w:cs="Arial"/>
          <w:b/>
        </w:rPr>
      </w:pPr>
    </w:p>
    <w:p w14:paraId="17672145" w14:textId="77777777" w:rsidR="00C20A03" w:rsidRPr="004F4D42" w:rsidRDefault="00C20A03" w:rsidP="00C20A03">
      <w:pPr>
        <w:spacing w:line="360" w:lineRule="auto"/>
        <w:jc w:val="both"/>
        <w:rPr>
          <w:rFonts w:ascii="Palatino Linotype" w:eastAsia="Calibri" w:hAnsi="Palatino Linotype" w:cs="Arial"/>
          <w:bCs/>
        </w:rPr>
      </w:pPr>
      <w:r w:rsidRPr="004F4D42">
        <w:rPr>
          <w:rFonts w:ascii="Palatino Linotype" w:hAnsi="Palatino Linotype" w:cs="Arial"/>
          <w:b/>
        </w:rPr>
        <w:t xml:space="preserve">CUARTO. </w:t>
      </w:r>
      <w:r w:rsidRPr="004F4D4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740225" w14:textId="77777777" w:rsidR="00C20A03" w:rsidRPr="004F4D42" w:rsidRDefault="00C20A03" w:rsidP="00C20A03">
      <w:pPr>
        <w:pStyle w:val="Sinespaciado"/>
        <w:spacing w:line="360" w:lineRule="auto"/>
        <w:jc w:val="both"/>
        <w:rPr>
          <w:rFonts w:ascii="Palatino Linotype" w:eastAsia="Times New Roman" w:hAnsi="Palatino Linotype" w:cs="Arial"/>
          <w:b/>
        </w:rPr>
      </w:pPr>
    </w:p>
    <w:p w14:paraId="7F833A7A" w14:textId="77777777" w:rsidR="00C20A03" w:rsidRPr="004F4D42" w:rsidRDefault="00C20A03" w:rsidP="00C20A03">
      <w:pPr>
        <w:pStyle w:val="Sinespaciado"/>
        <w:spacing w:line="360" w:lineRule="auto"/>
        <w:jc w:val="both"/>
        <w:rPr>
          <w:rFonts w:ascii="Palatino Linotype" w:eastAsia="Times New Roman" w:hAnsi="Palatino Linotype" w:cs="Times New Roman"/>
          <w:color w:val="222222"/>
          <w:lang w:val="es-ES" w:eastAsia="es-MX"/>
        </w:rPr>
      </w:pPr>
      <w:r w:rsidRPr="004F4D42">
        <w:rPr>
          <w:rFonts w:ascii="Palatino Linotype" w:eastAsia="Times New Roman" w:hAnsi="Palatino Linotype" w:cs="Arial"/>
          <w:b/>
        </w:rPr>
        <w:t xml:space="preserve">QUINTO. </w:t>
      </w:r>
      <w:r w:rsidRPr="004F4D42">
        <w:rPr>
          <w:rFonts w:ascii="Palatino Linotype" w:eastAsia="Times New Roman" w:hAnsi="Palatino Linotype" w:cs="Times New Roman"/>
          <w:b/>
          <w:bCs/>
          <w:color w:val="222222"/>
          <w:lang w:val="es-ES"/>
        </w:rPr>
        <w:t xml:space="preserve">Notifíquese </w:t>
      </w:r>
      <w:r w:rsidRPr="004F4D42">
        <w:rPr>
          <w:rFonts w:ascii="Palatino Linotype" w:eastAsia="Times New Roman" w:hAnsi="Palatino Linotype" w:cs="Times New Roman"/>
          <w:bCs/>
          <w:color w:val="222222"/>
          <w:lang w:val="es-ES"/>
        </w:rPr>
        <w:t xml:space="preserve">al </w:t>
      </w:r>
      <w:r w:rsidRPr="004F4D42">
        <w:rPr>
          <w:rFonts w:ascii="Palatino Linotype" w:eastAsia="Times New Roman" w:hAnsi="Palatino Linotype" w:cs="Times New Roman"/>
          <w:b/>
          <w:color w:val="222222"/>
          <w:lang w:val="es-ES"/>
        </w:rPr>
        <w:t>RECURRENTE</w:t>
      </w:r>
      <w:r w:rsidRPr="004F4D42">
        <w:rPr>
          <w:rFonts w:ascii="Palatino Linotype" w:eastAsia="Times New Roman" w:hAnsi="Palatino Linotype" w:cs="Times New Roman"/>
          <w:color w:val="222222"/>
          <w:lang w:val="es-ES" w:eastAsia="es-MX"/>
        </w:rPr>
        <w:t xml:space="preserve"> la presente resolución vía SAIMEX.</w:t>
      </w:r>
    </w:p>
    <w:p w14:paraId="68674FE1" w14:textId="77777777" w:rsidR="00C20A03" w:rsidRPr="004F4D42" w:rsidRDefault="00C20A03" w:rsidP="00C20A03">
      <w:pPr>
        <w:pStyle w:val="Sinespaciado"/>
        <w:spacing w:line="360" w:lineRule="auto"/>
        <w:jc w:val="both"/>
        <w:rPr>
          <w:rFonts w:ascii="Palatino Linotype" w:eastAsia="Times New Roman" w:hAnsi="Palatino Linotype" w:cs="Times New Roman"/>
          <w:color w:val="222222"/>
          <w:lang w:val="es-ES" w:eastAsia="es-MX"/>
        </w:rPr>
      </w:pPr>
    </w:p>
    <w:p w14:paraId="5E706ACA" w14:textId="77777777" w:rsidR="00C20A03" w:rsidRPr="004F4D42" w:rsidRDefault="00C20A03" w:rsidP="00C20A03">
      <w:pPr>
        <w:pStyle w:val="Sinespaciado"/>
        <w:spacing w:line="360" w:lineRule="auto"/>
        <w:jc w:val="both"/>
        <w:rPr>
          <w:rFonts w:ascii="Palatino Linotype" w:hAnsi="Palatino Linotype"/>
          <w:color w:val="222222"/>
          <w:shd w:val="clear" w:color="auto" w:fill="FFFFFF"/>
          <w:lang w:val="es-ES"/>
        </w:rPr>
      </w:pPr>
      <w:r w:rsidRPr="004F4D42">
        <w:rPr>
          <w:rFonts w:ascii="Palatino Linotype" w:hAnsi="Palatino Linotype"/>
          <w:b/>
        </w:rPr>
        <w:t>SEXTO.</w:t>
      </w:r>
      <w:r w:rsidRPr="004F4D42">
        <w:rPr>
          <w:rFonts w:ascii="Palatino Linotype" w:eastAsia="Times New Roman" w:hAnsi="Palatino Linotype" w:cs="Times New Roman"/>
          <w:color w:val="222222"/>
          <w:lang w:val="es-ES" w:eastAsia="es-MX"/>
        </w:rPr>
        <w:t xml:space="preserve"> Se hace del conocimiento del </w:t>
      </w:r>
      <w:r w:rsidRPr="004F4D42">
        <w:rPr>
          <w:rFonts w:ascii="Palatino Linotype" w:eastAsia="Times New Roman" w:hAnsi="Palatino Linotype" w:cs="Times New Roman"/>
          <w:b/>
          <w:bCs/>
          <w:color w:val="222222"/>
          <w:lang w:val="es-ES" w:eastAsia="es-MX"/>
        </w:rPr>
        <w:t>RECURRENTE</w:t>
      </w:r>
      <w:r w:rsidRPr="004F4D42">
        <w:rPr>
          <w:rFonts w:ascii="Palatino Linotype" w:eastAsia="Times New Roman" w:hAnsi="Palatino Linotype" w:cs="Times New Roman"/>
          <w:color w:val="222222"/>
          <w:lang w:eastAsia="es-MX"/>
        </w:rPr>
        <w:t xml:space="preserve"> que,</w:t>
      </w:r>
      <w:r w:rsidRPr="004F4D42">
        <w:rPr>
          <w:rFonts w:ascii="Palatino Linotype" w:eastAsia="Times New Roman" w:hAnsi="Palatino Linotype" w:cs="Arial"/>
          <w:b/>
          <w:lang w:val="es-ES"/>
        </w:rPr>
        <w:t xml:space="preserve"> </w:t>
      </w:r>
      <w:r w:rsidRPr="004F4D42">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w:t>
      </w:r>
      <w:r w:rsidRPr="004F4D42">
        <w:rPr>
          <w:rFonts w:ascii="Palatino Linotype" w:hAnsi="Palatino Linotype"/>
          <w:color w:val="000000"/>
          <w:shd w:val="clear" w:color="auto" w:fill="FFFFFF"/>
        </w:rPr>
        <w:t xml:space="preserve">en caso de que considere que la resolución le cause algún perjuicio podrá impugnarla vía </w:t>
      </w:r>
      <w:r w:rsidRPr="004F4D42">
        <w:rPr>
          <w:rFonts w:ascii="Palatino Linotype" w:hAnsi="Palatino Linotype"/>
          <w:color w:val="222222"/>
          <w:shd w:val="clear" w:color="auto" w:fill="FFFFFF"/>
          <w:lang w:val="es-ES"/>
        </w:rPr>
        <w:t>juicio de amparo en los términos de las leyes aplicables.</w:t>
      </w:r>
    </w:p>
    <w:p w14:paraId="28CB6B64" w14:textId="77777777" w:rsidR="00DB4643" w:rsidRPr="008628BF" w:rsidRDefault="00DB4643" w:rsidP="00DB4643">
      <w:pPr>
        <w:spacing w:before="240" w:after="240" w:line="360" w:lineRule="auto"/>
        <w:ind w:firstLine="1"/>
        <w:jc w:val="both"/>
        <w:rPr>
          <w:rFonts w:ascii="Palatino Linotype" w:hAnsi="Palatino Linotype"/>
          <w:smallCaps/>
        </w:rPr>
      </w:pPr>
      <w:bookmarkStart w:id="44" w:name="_Hlk129792997"/>
      <w:bookmarkEnd w:id="42"/>
      <w:bookmarkEnd w:id="43"/>
      <w:r w:rsidRPr="004F4D42">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(12) DE ABRIL DE DOS MIL VEINTITRÉS, ANTE EL SECRETARIO TÉCNICO DEL PLENO ALEXIS TAPIA RAMÍREZ.</w:t>
      </w:r>
      <w:bookmarkStart w:id="45" w:name="_GoBack"/>
      <w:bookmarkEnd w:id="45"/>
      <w:r w:rsidRPr="008628BF">
        <w:rPr>
          <w:rStyle w:val="Referenciasutil"/>
          <w:rFonts w:ascii="Palatino Linotype" w:hAnsi="Palatino Linotype"/>
          <w:color w:val="auto"/>
        </w:rPr>
        <w:t xml:space="preserve"> </w:t>
      </w:r>
      <w:bookmarkEnd w:id="44"/>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6"/>
      <w:footerReference w:type="default" r:id="rId17"/>
      <w:headerReference w:type="first" r:id="rId18"/>
      <w:footerReference w:type="first" r:id="rId19"/>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E6082" w14:textId="77777777" w:rsidR="00567934" w:rsidRDefault="00567934" w:rsidP="00587366">
      <w:r>
        <w:separator/>
      </w:r>
    </w:p>
  </w:endnote>
  <w:endnote w:type="continuationSeparator" w:id="0">
    <w:p w14:paraId="1498CB57" w14:textId="77777777" w:rsidR="00567934" w:rsidRDefault="0056793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BD1271" w:rsidRPr="00883450" w:rsidRDefault="00BD127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F4D42">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F4D42">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47B193F0" w:rsidR="00BD1271" w:rsidRDefault="00BD12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BD1271" w:rsidRPr="00883450" w:rsidRDefault="00BD127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F4D42" w:rsidRPr="004F4D4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F4D42" w:rsidRPr="004F4D42">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0A9A2B26" w:rsidR="00BD1271" w:rsidRPr="00883450" w:rsidRDefault="00BD127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DBD5E" w14:textId="77777777" w:rsidR="00567934" w:rsidRDefault="00567934" w:rsidP="00587366">
      <w:r>
        <w:separator/>
      </w:r>
    </w:p>
  </w:footnote>
  <w:footnote w:type="continuationSeparator" w:id="0">
    <w:p w14:paraId="7BB570E1" w14:textId="77777777" w:rsidR="00567934" w:rsidRDefault="00567934" w:rsidP="00587366">
      <w:r>
        <w:continuationSeparator/>
      </w:r>
    </w:p>
  </w:footnote>
  <w:footnote w:id="1">
    <w:p w14:paraId="32D56466" w14:textId="77777777" w:rsidR="00BD1271" w:rsidRDefault="00BD1271" w:rsidP="008E4483">
      <w:pPr>
        <w:pStyle w:val="Textonotapie"/>
      </w:pPr>
      <w:r>
        <w:rPr>
          <w:rStyle w:val="Refdenotaalpie"/>
        </w:rPr>
        <w:footnoteRef/>
      </w:r>
      <w:r>
        <w:t xml:space="preserve"> Convención Americana sobre Derechos Humanos. Artículo 13.</w:t>
      </w:r>
    </w:p>
  </w:footnote>
  <w:footnote w:id="2">
    <w:p w14:paraId="3F7967D5" w14:textId="77777777" w:rsidR="00BD1271" w:rsidRDefault="00BD1271"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BD1271" w:rsidRDefault="00BD1271"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BD1271" w:rsidRDefault="00BD1271" w:rsidP="008E4483">
      <w:pPr>
        <w:pStyle w:val="Textonotapie"/>
      </w:pPr>
      <w:r>
        <w:rPr>
          <w:rStyle w:val="Refdenotaalpie"/>
        </w:rPr>
        <w:footnoteRef/>
      </w:r>
      <w:r>
        <w:t xml:space="preserve"> Ibídem. Parr. 87.</w:t>
      </w:r>
    </w:p>
  </w:footnote>
  <w:footnote w:id="5">
    <w:p w14:paraId="1C437D52" w14:textId="77777777" w:rsidR="00BD1271" w:rsidRDefault="00BD1271"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BD1271" w:rsidRDefault="00BD1271" w:rsidP="008E4483">
      <w:pPr>
        <w:pStyle w:val="Textonotapie"/>
      </w:pPr>
      <w:r>
        <w:t>II. Eficacia: Obligación del Instituto para tutelar, de manera efectiva, el derecho de acceso a la información;</w:t>
      </w:r>
    </w:p>
    <w:p w14:paraId="707D8AAF" w14:textId="77777777" w:rsidR="00BD1271" w:rsidRDefault="00BD1271" w:rsidP="008E4483">
      <w:pPr>
        <w:pStyle w:val="Textonotapie"/>
      </w:pPr>
      <w:r>
        <w:t xml:space="preserve">… </w:t>
      </w:r>
    </w:p>
  </w:footnote>
  <w:footnote w:id="6">
    <w:p w14:paraId="7E3A1D85" w14:textId="7F5441C0" w:rsidR="00BD1271" w:rsidRDefault="00BD1271">
      <w:pPr>
        <w:pStyle w:val="Textonotapie"/>
      </w:pPr>
      <w:r>
        <w:rPr>
          <w:rStyle w:val="Refdenotaalpie"/>
        </w:rPr>
        <w:footnoteRef/>
      </w:r>
      <w:r>
        <w:t xml:space="preserve"> Disponible para su consulta </w:t>
      </w:r>
      <w:hyperlink r:id="rId1" w:history="1">
        <w:r w:rsidRPr="00960DB2">
          <w:rPr>
            <w:rStyle w:val="Hipervnculo"/>
          </w:rPr>
          <w:t>https://cemer.edomex.gob.mx/node/708</w:t>
        </w:r>
      </w:hyperlink>
    </w:p>
  </w:footnote>
  <w:footnote w:id="7">
    <w:p w14:paraId="2CC14843" w14:textId="08D8EA9A" w:rsidR="00BD1271" w:rsidRDefault="00BD1271">
      <w:pPr>
        <w:pStyle w:val="Textonotapie"/>
      </w:pPr>
      <w:r>
        <w:rPr>
          <w:rStyle w:val="Refdenotaalpie"/>
        </w:rPr>
        <w:footnoteRef/>
      </w:r>
      <w:r>
        <w:t xml:space="preserve"> Disponible para su consulta en </w:t>
      </w:r>
      <w:hyperlink r:id="rId2" w:anchor=":~:text=La%20ciclov%C3%ADa%20emergente%20de%20Crist%C3%B3bal,y%20Moderna%20de%20la%20Cruz" w:history="1">
        <w:r w:rsidRPr="00296D1B">
          <w:rPr>
            <w:rStyle w:val="Hipervnculo"/>
          </w:rPr>
          <w:t>https://www2.toluca.gob.mx/ciclovias-emergentes-en-toluca-alternativa-segura-de-movilidad/#:~:text=La%20ciclov%C3%ADa%20emergente%20de%20Crist%C3%B3bal,y%20Moderna%20de%20la%20Cruz</w:t>
        </w:r>
      </w:hyperlink>
      <w:r w:rsidRPr="00BD1271">
        <w:t>.</w:t>
      </w:r>
    </w:p>
    <w:p w14:paraId="730EA864" w14:textId="77777777" w:rsidR="00BD1271" w:rsidRDefault="00BD1271">
      <w:pPr>
        <w:pStyle w:val="Textonotapie"/>
      </w:pPr>
    </w:p>
  </w:footnote>
  <w:footnote w:id="8">
    <w:p w14:paraId="67B02D24" w14:textId="77777777" w:rsidR="001F3C35" w:rsidRPr="00EE3517" w:rsidRDefault="001F3C35" w:rsidP="001F3C35">
      <w:pPr>
        <w:autoSpaceDE w:val="0"/>
        <w:autoSpaceDN w:val="0"/>
        <w:adjustRightInd w:val="0"/>
        <w:jc w:val="both"/>
        <w:rPr>
          <w:rFonts w:cstheme="majorHAnsi"/>
          <w:i/>
        </w:rPr>
      </w:pPr>
      <w:r>
        <w:rPr>
          <w:rStyle w:val="Refdenotaalpie"/>
        </w:rPr>
        <w:footnoteRef/>
      </w:r>
      <w:r>
        <w:t xml:space="preserve"> </w:t>
      </w:r>
      <w:r w:rsidRPr="00EE3517">
        <w:rPr>
          <w:rFonts w:cstheme="majorHAnsi"/>
          <w:b/>
          <w:bCs/>
          <w:i/>
        </w:rPr>
        <w:t xml:space="preserve">Artículo 13. </w:t>
      </w:r>
      <w:r w:rsidRPr="00EE3517">
        <w:rPr>
          <w:rFonts w:cstheme="majorHAnsi"/>
          <w:i/>
        </w:rPr>
        <w:t>El Instituto, en el ámbito de sus atribuciones, deberá suplir cualquier deficiencia para garantizar el ejercicio del derecho de acceso a la información.</w:t>
      </w:r>
    </w:p>
  </w:footnote>
  <w:footnote w:id="9">
    <w:p w14:paraId="6CC0AEEB" w14:textId="77777777" w:rsidR="001F3C35" w:rsidRPr="00EE3517" w:rsidRDefault="001F3C35" w:rsidP="001F3C35">
      <w:pPr>
        <w:autoSpaceDE w:val="0"/>
        <w:autoSpaceDN w:val="0"/>
        <w:adjustRightInd w:val="0"/>
        <w:jc w:val="both"/>
        <w:rPr>
          <w:rFonts w:cstheme="majorHAnsi"/>
          <w:i/>
        </w:rPr>
      </w:pPr>
      <w:r w:rsidRPr="00EE3517">
        <w:rPr>
          <w:rStyle w:val="Refdenotaalpie"/>
          <w:rFonts w:cstheme="majorHAnsi"/>
          <w:b/>
          <w:i/>
        </w:rPr>
        <w:footnoteRef/>
      </w:r>
      <w:r w:rsidRPr="00EE3517">
        <w:rPr>
          <w:rFonts w:cstheme="majorHAnsi"/>
          <w:b/>
          <w:i/>
        </w:rPr>
        <w:t xml:space="preserve"> Artículo 181</w:t>
      </w:r>
      <w:r w:rsidRPr="00EE3517">
        <w:rPr>
          <w:rFonts w:cstheme="majorHAnsi"/>
          <w:i/>
        </w:rPr>
        <w:t>. …</w:t>
      </w:r>
    </w:p>
    <w:p w14:paraId="37035C57" w14:textId="77777777" w:rsidR="001F3C35" w:rsidRPr="00EE3517" w:rsidRDefault="001F3C35" w:rsidP="001F3C35">
      <w:pPr>
        <w:autoSpaceDE w:val="0"/>
        <w:autoSpaceDN w:val="0"/>
        <w:adjustRightInd w:val="0"/>
        <w:jc w:val="both"/>
        <w:rPr>
          <w:rFonts w:cstheme="majorHAnsi"/>
          <w:i/>
        </w:rPr>
      </w:pPr>
      <w:r w:rsidRPr="00EE3517">
        <w:rPr>
          <w:rFonts w:cstheme="majorHAnsi"/>
          <w:i/>
        </w:rPr>
        <w:t>…</w:t>
      </w:r>
    </w:p>
    <w:p w14:paraId="16FA4FE6" w14:textId="77777777" w:rsidR="001F3C35" w:rsidRDefault="001F3C35" w:rsidP="001F3C35">
      <w:pPr>
        <w:autoSpaceDE w:val="0"/>
        <w:autoSpaceDN w:val="0"/>
        <w:adjustRightInd w:val="0"/>
        <w:jc w:val="both"/>
      </w:pPr>
      <w:r w:rsidRPr="00EE3517">
        <w:rPr>
          <w:rFonts w:cstheme="majorHAnsi"/>
          <w:i/>
        </w:rPr>
        <w:t>Durante el procedimiento deberá aplicarse la suplencia de la queja a favor del recurrente, sin cambiar los hechos expuestos, asegurándose de que las partes puedan presentar, de manera oral o escrita, los argumentos que funden y motiven sus pretensiones</w:t>
      </w:r>
      <w:r w:rsidRPr="00EE3517">
        <w:rPr>
          <w:rFonts w:cs="Bookman Old Styl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BD1271" w:rsidRPr="00025127" w14:paraId="07F2896E" w14:textId="77777777" w:rsidTr="00FA0F09">
      <w:trPr>
        <w:trHeight w:val="138"/>
        <w:jc w:val="right"/>
      </w:trPr>
      <w:tc>
        <w:tcPr>
          <w:tcW w:w="3260" w:type="dxa"/>
          <w:vAlign w:val="center"/>
        </w:tcPr>
        <w:p w14:paraId="4A5B1974" w14:textId="44CA9AFE" w:rsidR="00BD1271" w:rsidRPr="00025127" w:rsidRDefault="00BD1271"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5236E87" w:rsidR="00BD1271" w:rsidRPr="00025127" w:rsidRDefault="00BD1271" w:rsidP="00755146">
          <w:pPr>
            <w:pStyle w:val="Encabezado"/>
            <w:jc w:val="both"/>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3033</w:t>
          </w:r>
          <w:r w:rsidRPr="001E50B9">
            <w:rPr>
              <w:rFonts w:ascii="Palatino Linotype" w:hAnsi="Palatino Linotype"/>
              <w:b/>
              <w:sz w:val="22"/>
              <w:szCs w:val="22"/>
            </w:rPr>
            <w:t>/INFOEM/IP/RR/2022</w:t>
          </w:r>
        </w:p>
      </w:tc>
    </w:tr>
    <w:tr w:rsidR="00BD1271" w:rsidRPr="00025127" w14:paraId="1B5D8690" w14:textId="77777777" w:rsidTr="00FA0F09">
      <w:trPr>
        <w:trHeight w:val="233"/>
        <w:jc w:val="right"/>
      </w:trPr>
      <w:tc>
        <w:tcPr>
          <w:tcW w:w="3260" w:type="dxa"/>
          <w:vAlign w:val="center"/>
        </w:tcPr>
        <w:p w14:paraId="3903F2C6" w14:textId="22D569F8" w:rsidR="00BD1271" w:rsidRPr="00025127" w:rsidRDefault="00BD1271"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FA590BE" w:rsidR="00BD1271" w:rsidRPr="00025127" w:rsidRDefault="00BD1271" w:rsidP="00FD2865">
          <w:pPr>
            <w:pStyle w:val="Encabezado"/>
            <w:jc w:val="both"/>
            <w:rPr>
              <w:rFonts w:ascii="Palatino Linotype" w:hAnsi="Palatino Linotype"/>
              <w:b/>
              <w:sz w:val="22"/>
              <w:szCs w:val="22"/>
            </w:rPr>
          </w:pPr>
          <w:r>
            <w:rPr>
              <w:rFonts w:ascii="Palatino Linotype" w:eastAsia="Calibri" w:hAnsi="Palatino Linotype" w:cs="Arial"/>
              <w:b/>
              <w:bCs/>
              <w:lang w:val="es-ES"/>
            </w:rPr>
            <w:t>Secretaría de Movilidad</w:t>
          </w:r>
        </w:p>
      </w:tc>
    </w:tr>
    <w:tr w:rsidR="00BD1271" w:rsidRPr="00025127" w14:paraId="095EB01B" w14:textId="77777777" w:rsidTr="00FA0F09">
      <w:trPr>
        <w:trHeight w:val="321"/>
        <w:jc w:val="right"/>
      </w:trPr>
      <w:tc>
        <w:tcPr>
          <w:tcW w:w="3260" w:type="dxa"/>
          <w:vAlign w:val="center"/>
        </w:tcPr>
        <w:p w14:paraId="6E000A51" w14:textId="05E1861A" w:rsidR="00BD1271" w:rsidRPr="00025127" w:rsidRDefault="00BD1271"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BD1271" w:rsidRPr="00025127" w:rsidRDefault="00BD1271"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BD1271" w:rsidRDefault="00BD1271"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BD1271" w:rsidRDefault="00567934"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BD1271">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D1271" w:rsidRPr="00025127" w14:paraId="0A3256F2" w14:textId="77777777" w:rsidTr="006E6B65">
      <w:trPr>
        <w:trHeight w:val="138"/>
        <w:jc w:val="right"/>
      </w:trPr>
      <w:tc>
        <w:tcPr>
          <w:tcW w:w="3261" w:type="dxa"/>
          <w:vAlign w:val="center"/>
        </w:tcPr>
        <w:p w14:paraId="3D80769D" w14:textId="316F11F8" w:rsidR="00BD1271" w:rsidRPr="00743FFA" w:rsidRDefault="00BD1271"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2E140955" w:rsidR="00BD1271" w:rsidRPr="00743FFA" w:rsidRDefault="00BD1271" w:rsidP="007F0D1B">
          <w:pPr>
            <w:pStyle w:val="Encabezado"/>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3033</w:t>
          </w:r>
          <w:r w:rsidRPr="001E50B9">
            <w:rPr>
              <w:rFonts w:ascii="Palatino Linotype" w:hAnsi="Palatino Linotype"/>
              <w:b/>
              <w:sz w:val="22"/>
              <w:szCs w:val="22"/>
            </w:rPr>
            <w:t>/INFOEM/IP/RR/2022</w:t>
          </w:r>
        </w:p>
      </w:tc>
    </w:tr>
    <w:tr w:rsidR="00BD1271" w:rsidRPr="00025127" w14:paraId="128C8B3C" w14:textId="77777777" w:rsidTr="006E6B65">
      <w:trPr>
        <w:trHeight w:val="233"/>
        <w:jc w:val="right"/>
      </w:trPr>
      <w:tc>
        <w:tcPr>
          <w:tcW w:w="3261" w:type="dxa"/>
          <w:vAlign w:val="center"/>
        </w:tcPr>
        <w:p w14:paraId="483E3371" w14:textId="66B1BC74" w:rsidR="00BD1271" w:rsidRPr="00743FFA" w:rsidRDefault="00BD1271"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58BE7BFD" w:rsidR="00BD1271" w:rsidRPr="00743FFA" w:rsidRDefault="00BD1271" w:rsidP="001E50B9">
          <w:pPr>
            <w:pStyle w:val="Encabezado"/>
            <w:rPr>
              <w:rFonts w:ascii="Palatino Linotype" w:hAnsi="Palatino Linotype"/>
              <w:b/>
              <w:sz w:val="22"/>
              <w:szCs w:val="22"/>
            </w:rPr>
          </w:pPr>
        </w:p>
      </w:tc>
    </w:tr>
    <w:tr w:rsidR="00BD1271" w:rsidRPr="00025127" w14:paraId="41BE0704" w14:textId="77777777" w:rsidTr="006E6B65">
      <w:trPr>
        <w:trHeight w:val="321"/>
        <w:jc w:val="right"/>
      </w:trPr>
      <w:tc>
        <w:tcPr>
          <w:tcW w:w="3261" w:type="dxa"/>
          <w:vAlign w:val="center"/>
        </w:tcPr>
        <w:p w14:paraId="34C64148" w14:textId="10C6C8A9" w:rsidR="00BD1271" w:rsidRPr="00743FFA" w:rsidRDefault="00BD1271"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1B5CF8B8" w:rsidR="00BD1271" w:rsidRPr="00743FFA" w:rsidRDefault="00BD1271" w:rsidP="00285BA4">
          <w:pPr>
            <w:pStyle w:val="Encabezado"/>
            <w:jc w:val="both"/>
            <w:rPr>
              <w:rFonts w:ascii="Palatino Linotype" w:hAnsi="Palatino Linotype"/>
              <w:b/>
              <w:sz w:val="22"/>
              <w:szCs w:val="22"/>
            </w:rPr>
          </w:pPr>
          <w:r>
            <w:rPr>
              <w:rFonts w:ascii="Palatino Linotype" w:eastAsia="Calibri" w:hAnsi="Palatino Linotype" w:cs="Arial"/>
              <w:b/>
              <w:bCs/>
              <w:lang w:val="es-ES"/>
            </w:rPr>
            <w:t>Secretaría de Movilidad</w:t>
          </w:r>
        </w:p>
      </w:tc>
    </w:tr>
    <w:tr w:rsidR="00BD1271" w:rsidRPr="00025127" w14:paraId="0C8B6193" w14:textId="77777777" w:rsidTr="006E6B65">
      <w:trPr>
        <w:trHeight w:val="321"/>
        <w:jc w:val="right"/>
      </w:trPr>
      <w:tc>
        <w:tcPr>
          <w:tcW w:w="3261" w:type="dxa"/>
          <w:vAlign w:val="center"/>
        </w:tcPr>
        <w:p w14:paraId="321FFAFF" w14:textId="0E8C2CE7" w:rsidR="00BD1271" w:rsidRPr="00743FFA" w:rsidRDefault="00BD1271"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BD1271" w:rsidRPr="00743FFA" w:rsidRDefault="00BD1271"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BD1271" w:rsidRDefault="00BD127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1F77F2"/>
    <w:multiLevelType w:val="hybridMultilevel"/>
    <w:tmpl w:val="80C0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8" w15:restartNumberingAfterBreak="0">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3" w15:restartNumberingAfterBreak="0">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0" w15:restartNumberingAfterBreak="0">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74F06300"/>
    <w:multiLevelType w:val="hybridMultilevel"/>
    <w:tmpl w:val="972CE0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15:restartNumberingAfterBreak="0">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num w:numId="1">
    <w:abstractNumId w:val="9"/>
  </w:num>
  <w:num w:numId="2">
    <w:abstractNumId w:val="16"/>
  </w:num>
  <w:num w:numId="3">
    <w:abstractNumId w:val="0"/>
  </w:num>
  <w:num w:numId="4">
    <w:abstractNumId w:val="9"/>
  </w:num>
  <w:num w:numId="5">
    <w:abstractNumId w:val="3"/>
  </w:num>
  <w:num w:numId="6">
    <w:abstractNumId w:val="11"/>
  </w:num>
  <w:num w:numId="7">
    <w:abstractNumId w:val="20"/>
  </w:num>
  <w:num w:numId="8">
    <w:abstractNumId w:val="10"/>
  </w:num>
  <w:num w:numId="9">
    <w:abstractNumId w:val="19"/>
  </w:num>
  <w:num w:numId="10">
    <w:abstractNumId w:val="23"/>
  </w:num>
  <w:num w:numId="11">
    <w:abstractNumId w:val="17"/>
  </w:num>
  <w:num w:numId="12">
    <w:abstractNumId w:val="24"/>
  </w:num>
  <w:num w:numId="13">
    <w:abstractNumId w:val="14"/>
  </w:num>
  <w:num w:numId="14">
    <w:abstractNumId w:val="5"/>
  </w:num>
  <w:num w:numId="15">
    <w:abstractNumId w:val="12"/>
  </w:num>
  <w:num w:numId="16">
    <w:abstractNumId w:val="4"/>
  </w:num>
  <w:num w:numId="17">
    <w:abstractNumId w:val="21"/>
  </w:num>
  <w:num w:numId="18">
    <w:abstractNumId w:val="15"/>
  </w:num>
  <w:num w:numId="19">
    <w:abstractNumId w:val="7"/>
  </w:num>
  <w:num w:numId="20">
    <w:abstractNumId w:val="8"/>
  </w:num>
  <w:num w:numId="21">
    <w:abstractNumId w:val="9"/>
  </w:num>
  <w:num w:numId="22">
    <w:abstractNumId w:val="6"/>
  </w:num>
  <w:num w:numId="23">
    <w:abstractNumId w:val="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5"/>
  </w:num>
  <w:num w:numId="26">
    <w:abstractNumId w:val="13"/>
  </w:num>
  <w:num w:numId="27">
    <w:abstractNumId w:val="18"/>
  </w:num>
  <w:num w:numId="28">
    <w:abstractNumId w:val="22"/>
  </w:num>
  <w:num w:numId="2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236"/>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0A10"/>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3596"/>
    <w:rsid w:val="001E3F91"/>
    <w:rsid w:val="001E4146"/>
    <w:rsid w:val="001E4152"/>
    <w:rsid w:val="001E489D"/>
    <w:rsid w:val="001E4C30"/>
    <w:rsid w:val="001E50B9"/>
    <w:rsid w:val="001E5BE5"/>
    <w:rsid w:val="001E5C94"/>
    <w:rsid w:val="001E6822"/>
    <w:rsid w:val="001E74A5"/>
    <w:rsid w:val="001E7B9E"/>
    <w:rsid w:val="001F025B"/>
    <w:rsid w:val="001F2B8C"/>
    <w:rsid w:val="001F3773"/>
    <w:rsid w:val="001F3C35"/>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43B"/>
    <w:rsid w:val="002C570D"/>
    <w:rsid w:val="002C6561"/>
    <w:rsid w:val="002C6DB3"/>
    <w:rsid w:val="002D0E3D"/>
    <w:rsid w:val="002D10C8"/>
    <w:rsid w:val="002D147E"/>
    <w:rsid w:val="002D1A38"/>
    <w:rsid w:val="002D1A9E"/>
    <w:rsid w:val="002D1AA7"/>
    <w:rsid w:val="002D1EBB"/>
    <w:rsid w:val="002D28CB"/>
    <w:rsid w:val="002D2E16"/>
    <w:rsid w:val="002D356E"/>
    <w:rsid w:val="002D35AE"/>
    <w:rsid w:val="002D373C"/>
    <w:rsid w:val="002D65B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AA9"/>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1FFB"/>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B2F"/>
    <w:rsid w:val="00402F25"/>
    <w:rsid w:val="00403249"/>
    <w:rsid w:val="004078C8"/>
    <w:rsid w:val="004102DE"/>
    <w:rsid w:val="00412696"/>
    <w:rsid w:val="00412E24"/>
    <w:rsid w:val="004130AB"/>
    <w:rsid w:val="00413D35"/>
    <w:rsid w:val="004147B1"/>
    <w:rsid w:val="00416727"/>
    <w:rsid w:val="0042068A"/>
    <w:rsid w:val="0042267F"/>
    <w:rsid w:val="0042356B"/>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4D42"/>
    <w:rsid w:val="004F663C"/>
    <w:rsid w:val="004F766F"/>
    <w:rsid w:val="004F785F"/>
    <w:rsid w:val="004F78B7"/>
    <w:rsid w:val="004F7944"/>
    <w:rsid w:val="00500224"/>
    <w:rsid w:val="00501B93"/>
    <w:rsid w:val="005029D4"/>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24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34"/>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0144"/>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1E57"/>
    <w:rsid w:val="007E5125"/>
    <w:rsid w:val="007E5DB4"/>
    <w:rsid w:val="007E5EC6"/>
    <w:rsid w:val="007E6334"/>
    <w:rsid w:val="007E64B6"/>
    <w:rsid w:val="007E72DF"/>
    <w:rsid w:val="007F0617"/>
    <w:rsid w:val="007F089C"/>
    <w:rsid w:val="007F0D1B"/>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E7"/>
    <w:rsid w:val="009E3DF8"/>
    <w:rsid w:val="009E4942"/>
    <w:rsid w:val="009E55A7"/>
    <w:rsid w:val="009E6A7E"/>
    <w:rsid w:val="009E6E48"/>
    <w:rsid w:val="009F07FE"/>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332"/>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51E"/>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271"/>
    <w:rsid w:val="00BD1B67"/>
    <w:rsid w:val="00BD2E8E"/>
    <w:rsid w:val="00BD335B"/>
    <w:rsid w:val="00BD33B6"/>
    <w:rsid w:val="00BD3D7F"/>
    <w:rsid w:val="00BD4097"/>
    <w:rsid w:val="00BD4163"/>
    <w:rsid w:val="00BD47D0"/>
    <w:rsid w:val="00BD490E"/>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4C99"/>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1B17"/>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643"/>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A5F"/>
    <w:rsid w:val="00E506E7"/>
    <w:rsid w:val="00E507A5"/>
    <w:rsid w:val="00E50851"/>
    <w:rsid w:val="00E51A57"/>
    <w:rsid w:val="00E525B8"/>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0DD6"/>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2232"/>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3A7"/>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3A7A"/>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5CFC"/>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507"/>
    <w:rsid w:val="00FD7996"/>
    <w:rsid w:val="00FD7B5E"/>
    <w:rsid w:val="00FD7EFE"/>
    <w:rsid w:val="00FE1B40"/>
    <w:rsid w:val="00FE2025"/>
    <w:rsid w:val="00FE27B7"/>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0E06"/>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styleId="Referenciasutil">
    <w:name w:val="Subtle Reference"/>
    <w:basedOn w:val="Fuentedeprrafopredeter"/>
    <w:uiPriority w:val="31"/>
    <w:qFormat/>
    <w:rsid w:val="00DB4643"/>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84008">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8104482">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92958336">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02998036">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1466745">
      <w:bodyDiv w:val="1"/>
      <w:marLeft w:val="0"/>
      <w:marRight w:val="0"/>
      <w:marTop w:val="0"/>
      <w:marBottom w:val="0"/>
      <w:divBdr>
        <w:top w:val="none" w:sz="0" w:space="0" w:color="auto"/>
        <w:left w:val="none" w:sz="0" w:space="0" w:color="auto"/>
        <w:bottom w:val="none" w:sz="0" w:space="0" w:color="auto"/>
        <w:right w:val="none" w:sz="0" w:space="0" w:color="auto"/>
      </w:divBdr>
    </w:div>
    <w:div w:id="209272646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s://edomex.quadratin.com.mx/proyectan-implementacion-inmediata-de-ciclovia-de-isidro-fabel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2.toluca.gob.mx/ciclovias-emergentes-en-toluca-alternativa-segura-de-movilidad/" TargetMode="External"/><Relationship Id="rId1" Type="http://schemas.openxmlformats.org/officeDocument/2006/relationships/hyperlink" Target="https://cemer.edomex.gob.mx/node/7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2BDFE-AB19-40B1-AEB4-251189D2F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10263</Words>
  <Characters>56450</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5</cp:revision>
  <cp:lastPrinted>2019-12-11T01:19:00Z</cp:lastPrinted>
  <dcterms:created xsi:type="dcterms:W3CDTF">2023-04-12T18:44:00Z</dcterms:created>
  <dcterms:modified xsi:type="dcterms:W3CDTF">2023-04-12T22:22:00Z</dcterms:modified>
</cp:coreProperties>
</file>