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29A" w:rsidRPr="002B0890" w:rsidRDefault="002B0890">
      <w:pPr>
        <w:spacing w:line="360" w:lineRule="auto"/>
        <w:jc w:val="both"/>
        <w:rPr>
          <w:rFonts w:ascii="Palatino Linotype" w:eastAsia="Palatino Linotype" w:hAnsi="Palatino Linotype" w:cs="Palatino Linotype"/>
        </w:rPr>
      </w:pPr>
      <w:bookmarkStart w:id="0" w:name="_heading=h.tyjcwt" w:colFirst="0" w:colLast="0"/>
      <w:bookmarkEnd w:id="0"/>
      <w:r w:rsidRPr="002B089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veintitrés de noviembre de dos mil veintitrés. </w:t>
      </w: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2B0890">
      <w:pPr>
        <w:spacing w:line="360" w:lineRule="auto"/>
        <w:jc w:val="both"/>
        <w:rPr>
          <w:rFonts w:ascii="Palatino Linotype" w:eastAsia="Palatino Linotype" w:hAnsi="Palatino Linotype" w:cs="Palatino Linotype"/>
        </w:rPr>
      </w:pPr>
      <w:bookmarkStart w:id="1" w:name="_heading=h.3znysh7" w:colFirst="0" w:colLast="0"/>
      <w:bookmarkEnd w:id="1"/>
      <w:r w:rsidRPr="002B0890">
        <w:rPr>
          <w:rFonts w:ascii="Palatino Linotype" w:eastAsia="Palatino Linotype" w:hAnsi="Palatino Linotype" w:cs="Palatino Linotype"/>
          <w:b/>
        </w:rPr>
        <w:t>VISTO</w:t>
      </w:r>
      <w:r w:rsidRPr="002B0890">
        <w:rPr>
          <w:rFonts w:ascii="Palatino Linotype" w:eastAsia="Palatino Linotype" w:hAnsi="Palatino Linotype" w:cs="Palatino Linotype"/>
        </w:rPr>
        <w:t xml:space="preserve"> el expediente formado con motivo del recurso de revisión </w:t>
      </w:r>
      <w:r w:rsidRPr="002B0890">
        <w:rPr>
          <w:rFonts w:ascii="Palatino Linotype" w:eastAsia="Palatino Linotype" w:hAnsi="Palatino Linotype" w:cs="Palatino Linotype"/>
          <w:b/>
        </w:rPr>
        <w:t>01819/INFOEM/IP/RR/2023</w:t>
      </w:r>
      <w:r w:rsidRPr="002B0890">
        <w:rPr>
          <w:rFonts w:ascii="Palatino Linotype" w:eastAsia="Palatino Linotype" w:hAnsi="Palatino Linotype" w:cs="Palatino Linotype"/>
        </w:rPr>
        <w:t>, interpuesto por una persona que dijo ser</w:t>
      </w:r>
      <w:r w:rsidR="00C3564F">
        <w:rPr>
          <w:rFonts w:ascii="Palatino Linotype" w:eastAsia="Palatino Linotype" w:hAnsi="Palatino Linotype" w:cs="Palatino Linotype"/>
          <w:b/>
        </w:rPr>
        <w:t xml:space="preserve"> XXXXXXXX XXXX XX,</w:t>
      </w:r>
      <w:r w:rsidRPr="002B0890">
        <w:rPr>
          <w:rFonts w:ascii="Palatino Linotype" w:eastAsia="Palatino Linotype" w:hAnsi="Palatino Linotype" w:cs="Palatino Linotype"/>
          <w:b/>
        </w:rPr>
        <w:t xml:space="preserve"> </w:t>
      </w:r>
      <w:r w:rsidRPr="002B0890">
        <w:rPr>
          <w:rFonts w:ascii="Palatino Linotype" w:eastAsia="Palatino Linotype" w:hAnsi="Palatino Linotype" w:cs="Palatino Linotype"/>
        </w:rPr>
        <w:t>a quien en lo subsecuente nos referiremos como</w:t>
      </w:r>
      <w:r w:rsidRPr="002B0890">
        <w:rPr>
          <w:rFonts w:ascii="Palatino Linotype" w:eastAsia="Palatino Linotype" w:hAnsi="Palatino Linotype" w:cs="Palatino Linotype"/>
          <w:b/>
        </w:rPr>
        <w:t xml:space="preserve"> LA PARTE RECURRENTE,</w:t>
      </w:r>
      <w:r w:rsidRPr="002B0890">
        <w:rPr>
          <w:rFonts w:ascii="Palatino Linotype" w:eastAsia="Palatino Linotype" w:hAnsi="Palatino Linotype" w:cs="Palatino Linotype"/>
        </w:rPr>
        <w:t xml:space="preserve"> en contra de la respuesta a la solicitud </w:t>
      </w:r>
      <w:r w:rsidRPr="002B0890">
        <w:rPr>
          <w:rFonts w:ascii="Palatino Linotype" w:eastAsia="Palatino Linotype" w:hAnsi="Palatino Linotype" w:cs="Palatino Linotype"/>
          <w:b/>
        </w:rPr>
        <w:t>00308/ECATEPEC/IP/2023</w:t>
      </w:r>
      <w:r w:rsidRPr="002B0890">
        <w:rPr>
          <w:rFonts w:ascii="Palatino Linotype" w:eastAsia="Palatino Linotype" w:hAnsi="Palatino Linotype" w:cs="Palatino Linotype"/>
        </w:rPr>
        <w:t xml:space="preserve"> por parte del</w:t>
      </w:r>
      <w:r w:rsidRPr="002B0890">
        <w:rPr>
          <w:rFonts w:ascii="Palatino Linotype" w:eastAsia="Palatino Linotype" w:hAnsi="Palatino Linotype" w:cs="Palatino Linotype"/>
          <w:b/>
        </w:rPr>
        <w:t xml:space="preserve"> Ayuntamiento de Ecatepec de Morelos, </w:t>
      </w:r>
      <w:r w:rsidRPr="002B0890">
        <w:rPr>
          <w:rFonts w:ascii="Palatino Linotype" w:eastAsia="Palatino Linotype" w:hAnsi="Palatino Linotype" w:cs="Palatino Linotype"/>
        </w:rPr>
        <w:t xml:space="preserve">a quien en lo sucesivo se le denominará como </w:t>
      </w:r>
      <w:r w:rsidRPr="002B0890">
        <w:rPr>
          <w:rFonts w:ascii="Palatino Linotype" w:eastAsia="Palatino Linotype" w:hAnsi="Palatino Linotype" w:cs="Palatino Linotype"/>
          <w:b/>
        </w:rPr>
        <w:t xml:space="preserve">EL SUJETO OBLIGADO, </w:t>
      </w:r>
      <w:r w:rsidRPr="002B0890">
        <w:rPr>
          <w:rFonts w:ascii="Palatino Linotype" w:eastAsia="Palatino Linotype" w:hAnsi="Palatino Linotype" w:cs="Palatino Linotype"/>
        </w:rPr>
        <w:t>se procede a dictar la presente resolución con base en los siguientes</w:t>
      </w: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2B0890">
      <w:pPr>
        <w:numPr>
          <w:ilvl w:val="0"/>
          <w:numId w:val="10"/>
        </w:numPr>
        <w:pBdr>
          <w:top w:val="nil"/>
          <w:left w:val="nil"/>
          <w:bottom w:val="nil"/>
          <w:right w:val="nil"/>
          <w:between w:val="nil"/>
        </w:pBdr>
        <w:spacing w:line="360" w:lineRule="auto"/>
        <w:jc w:val="center"/>
        <w:rPr>
          <w:rFonts w:ascii="Palatino Linotype" w:eastAsia="Palatino Linotype" w:hAnsi="Palatino Linotype" w:cs="Palatino Linotype"/>
          <w:b/>
        </w:rPr>
      </w:pPr>
      <w:r w:rsidRPr="002B0890">
        <w:rPr>
          <w:rFonts w:ascii="Palatino Linotype" w:eastAsia="Palatino Linotype" w:hAnsi="Palatino Linotype" w:cs="Palatino Linotype"/>
          <w:b/>
        </w:rPr>
        <w:t>A N T E C E D E N T E S:</w:t>
      </w:r>
    </w:p>
    <w:p w:rsidR="001E029A" w:rsidRPr="002B0890" w:rsidRDefault="001E029A">
      <w:pPr>
        <w:pBdr>
          <w:top w:val="nil"/>
          <w:left w:val="nil"/>
          <w:bottom w:val="nil"/>
          <w:right w:val="nil"/>
          <w:between w:val="nil"/>
        </w:pBdr>
        <w:spacing w:line="360" w:lineRule="auto"/>
        <w:ind w:left="1080"/>
        <w:rPr>
          <w:rFonts w:ascii="Palatino Linotype" w:eastAsia="Palatino Linotype" w:hAnsi="Palatino Linotype" w:cs="Palatino Linotype"/>
          <w:b/>
        </w:rPr>
      </w:pPr>
    </w:p>
    <w:p w:rsidR="001E029A" w:rsidRPr="002B0890" w:rsidRDefault="002B0890">
      <w:pPr>
        <w:spacing w:line="360" w:lineRule="auto"/>
        <w:jc w:val="both"/>
        <w:rPr>
          <w:rFonts w:ascii="Palatino Linotype" w:eastAsia="Palatino Linotype" w:hAnsi="Palatino Linotype" w:cs="Palatino Linotype"/>
        </w:rPr>
      </w:pPr>
      <w:bookmarkStart w:id="2" w:name="_heading=h.gjdgxs" w:colFirst="0" w:colLast="0"/>
      <w:bookmarkEnd w:id="2"/>
      <w:r w:rsidRPr="002B0890">
        <w:rPr>
          <w:rFonts w:ascii="Palatino Linotype" w:eastAsia="Palatino Linotype" w:hAnsi="Palatino Linotype" w:cs="Palatino Linotype"/>
          <w:b/>
        </w:rPr>
        <w:t>1. Solicitud de acceso a la información.</w:t>
      </w:r>
      <w:r w:rsidRPr="002B0890">
        <w:rPr>
          <w:rFonts w:ascii="Palatino Linotype" w:eastAsia="Palatino Linotype" w:hAnsi="Palatino Linotype" w:cs="Palatino Linotype"/>
        </w:rPr>
        <w:t xml:space="preserve"> El</w:t>
      </w:r>
      <w:r w:rsidRPr="002B0890">
        <w:rPr>
          <w:rFonts w:ascii="Palatino Linotype" w:eastAsia="Palatino Linotype" w:hAnsi="Palatino Linotype" w:cs="Palatino Linotype"/>
          <w:b/>
        </w:rPr>
        <w:t xml:space="preserve"> veintidós de marzo de dos mil veintitrés,</w:t>
      </w:r>
      <w:r w:rsidRPr="002B0890">
        <w:rPr>
          <w:rFonts w:ascii="Palatino Linotype" w:eastAsia="Palatino Linotype" w:hAnsi="Palatino Linotype" w:cs="Palatino Linotype"/>
        </w:rPr>
        <w:t xml:space="preserve"> </w:t>
      </w:r>
      <w:r w:rsidRPr="002B0890">
        <w:rPr>
          <w:rFonts w:ascii="Palatino Linotype" w:eastAsia="Palatino Linotype" w:hAnsi="Palatino Linotype" w:cs="Palatino Linotype"/>
          <w:b/>
        </w:rPr>
        <w:t>LA PARTE</w:t>
      </w:r>
      <w:r w:rsidRPr="002B0890">
        <w:rPr>
          <w:rFonts w:ascii="Palatino Linotype" w:eastAsia="Palatino Linotype" w:hAnsi="Palatino Linotype" w:cs="Palatino Linotype"/>
        </w:rPr>
        <w:t xml:space="preserve"> </w:t>
      </w:r>
      <w:r w:rsidRPr="002B0890">
        <w:rPr>
          <w:rFonts w:ascii="Palatino Linotype" w:eastAsia="Palatino Linotype" w:hAnsi="Palatino Linotype" w:cs="Palatino Linotype"/>
          <w:b/>
        </w:rPr>
        <w:t xml:space="preserve">RECURRENTE </w:t>
      </w:r>
      <w:r w:rsidRPr="002B0890">
        <w:rPr>
          <w:rFonts w:ascii="Palatino Linotype" w:eastAsia="Palatino Linotype" w:hAnsi="Palatino Linotype" w:cs="Palatino Linotype"/>
        </w:rPr>
        <w:t>a través del Sistema de Acceso a la Información Mexiquense o SAIMEX</w:t>
      </w:r>
      <w:r w:rsidRPr="002B0890">
        <w:rPr>
          <w:rFonts w:ascii="Palatino Linotype" w:eastAsia="Palatino Linotype" w:hAnsi="Palatino Linotype" w:cs="Palatino Linotype"/>
          <w:b/>
        </w:rPr>
        <w:t>,</w:t>
      </w:r>
      <w:r w:rsidRPr="002B0890">
        <w:rPr>
          <w:rFonts w:ascii="Palatino Linotype" w:eastAsia="Palatino Linotype" w:hAnsi="Palatino Linotype" w:cs="Palatino Linotype"/>
        </w:rPr>
        <w:t xml:space="preserve"> realizó la solicitud de acceso a la información pública</w:t>
      </w:r>
      <w:r w:rsidRPr="002B0890">
        <w:rPr>
          <w:rFonts w:ascii="Palatino Linotype" w:eastAsia="Palatino Linotype" w:hAnsi="Palatino Linotype" w:cs="Palatino Linotype"/>
          <w:b/>
        </w:rPr>
        <w:t xml:space="preserve"> 00308/ECATEPEC/IP/2023</w:t>
      </w:r>
      <w:r w:rsidRPr="002B0890">
        <w:rPr>
          <w:rFonts w:ascii="Palatino Linotype" w:eastAsia="Palatino Linotype" w:hAnsi="Palatino Linotype" w:cs="Palatino Linotype"/>
        </w:rPr>
        <w:t>, en la cual requirió de:</w:t>
      </w:r>
    </w:p>
    <w:p w:rsidR="001E029A" w:rsidRPr="002B0890" w:rsidRDefault="001E029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 xml:space="preserve">“Se me entregue toda la información relacionada con el </w:t>
      </w:r>
      <w:r w:rsidRPr="002B0890">
        <w:rPr>
          <w:rFonts w:ascii="Palatino Linotype" w:eastAsia="Palatino Linotype" w:hAnsi="Palatino Linotype" w:cs="Palatino Linotype"/>
          <w:b/>
          <w:i/>
          <w:sz w:val="22"/>
          <w:szCs w:val="22"/>
        </w:rPr>
        <w:t>presupuesto ejercido por la Secretaria del Ayuntamiento durante el año 2021, 2022 y 2023.</w:t>
      </w:r>
      <w:r w:rsidRPr="002B0890">
        <w:rPr>
          <w:rFonts w:ascii="Palatino Linotype" w:eastAsia="Palatino Linotype" w:hAnsi="Palatino Linotype" w:cs="Palatino Linotype"/>
          <w:i/>
          <w:sz w:val="22"/>
          <w:szCs w:val="22"/>
        </w:rPr>
        <w:t xml:space="preserve"> De igual forma solicito se me entregue la información sobre el </w:t>
      </w:r>
      <w:r w:rsidRPr="002B0890">
        <w:rPr>
          <w:rFonts w:ascii="Palatino Linotype" w:eastAsia="Palatino Linotype" w:hAnsi="Palatino Linotype" w:cs="Palatino Linotype"/>
          <w:b/>
          <w:i/>
          <w:sz w:val="22"/>
          <w:szCs w:val="22"/>
        </w:rPr>
        <w:t xml:space="preserve">presupuesto </w:t>
      </w:r>
      <w:proofErr w:type="gramStart"/>
      <w:r w:rsidRPr="002B0890">
        <w:rPr>
          <w:rFonts w:ascii="Palatino Linotype" w:eastAsia="Palatino Linotype" w:hAnsi="Palatino Linotype" w:cs="Palatino Linotype"/>
          <w:b/>
          <w:i/>
          <w:sz w:val="22"/>
          <w:szCs w:val="22"/>
        </w:rPr>
        <w:t>asignado</w:t>
      </w:r>
      <w:proofErr w:type="gramEnd"/>
      <w:r w:rsidRPr="002B0890">
        <w:rPr>
          <w:rFonts w:ascii="Palatino Linotype" w:eastAsia="Palatino Linotype" w:hAnsi="Palatino Linotype" w:cs="Palatino Linotype"/>
          <w:b/>
          <w:i/>
          <w:sz w:val="22"/>
          <w:szCs w:val="22"/>
        </w:rPr>
        <w:t xml:space="preserve"> durante el 2023, desglosado por Capitulo y partida presupuestal.</w:t>
      </w:r>
      <w:r w:rsidRPr="002B0890">
        <w:rPr>
          <w:rFonts w:ascii="Palatino Linotype" w:eastAsia="Palatino Linotype" w:hAnsi="Palatino Linotype" w:cs="Palatino Linotype"/>
          <w:i/>
          <w:sz w:val="22"/>
          <w:szCs w:val="22"/>
        </w:rPr>
        <w:t xml:space="preserve"> Debiendo aclarar que en la </w:t>
      </w:r>
      <w:proofErr w:type="spellStart"/>
      <w:r w:rsidRPr="002B0890">
        <w:rPr>
          <w:rFonts w:ascii="Palatino Linotype" w:eastAsia="Palatino Linotype" w:hAnsi="Palatino Linotype" w:cs="Palatino Linotype"/>
          <w:i/>
          <w:sz w:val="22"/>
          <w:szCs w:val="22"/>
        </w:rPr>
        <w:t>pagina</w:t>
      </w:r>
      <w:proofErr w:type="spellEnd"/>
      <w:r w:rsidRPr="002B0890">
        <w:rPr>
          <w:rFonts w:ascii="Palatino Linotype" w:eastAsia="Palatino Linotype" w:hAnsi="Palatino Linotype" w:cs="Palatino Linotype"/>
          <w:i/>
          <w:sz w:val="22"/>
          <w:szCs w:val="22"/>
        </w:rPr>
        <w:t xml:space="preserve"> de transparencia del ayuntamiento no aparece esa información.” (Sic) </w:t>
      </w:r>
    </w:p>
    <w:p w:rsidR="001E029A" w:rsidRPr="002B0890" w:rsidRDefault="001E029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b/>
        </w:rPr>
        <w:lastRenderedPageBreak/>
        <w:t>Modalidad de Entrega:</w:t>
      </w:r>
      <w:r w:rsidRPr="002B0890">
        <w:rPr>
          <w:rFonts w:ascii="Palatino Linotype" w:eastAsia="Palatino Linotype" w:hAnsi="Palatino Linotype" w:cs="Palatino Linotype"/>
        </w:rPr>
        <w:t xml:space="preserve"> A través del SAIMEX.</w:t>
      </w: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2B0890">
      <w:pPr>
        <w:spacing w:line="360" w:lineRule="auto"/>
        <w:jc w:val="both"/>
        <w:rPr>
          <w:rFonts w:ascii="Palatino Linotype" w:eastAsia="Palatino Linotype" w:hAnsi="Palatino Linotype" w:cs="Palatino Linotype"/>
          <w:b/>
        </w:rPr>
      </w:pPr>
      <w:r w:rsidRPr="002B0890">
        <w:rPr>
          <w:rFonts w:ascii="Palatino Linotype" w:eastAsia="Palatino Linotype" w:hAnsi="Palatino Linotype" w:cs="Palatino Linotype"/>
          <w:b/>
        </w:rPr>
        <w:t xml:space="preserve">2. Respuesta. </w:t>
      </w:r>
      <w:r w:rsidRPr="002B0890">
        <w:rPr>
          <w:rFonts w:ascii="Palatino Linotype" w:eastAsia="Palatino Linotype" w:hAnsi="Palatino Linotype" w:cs="Palatino Linotype"/>
        </w:rPr>
        <w:t>El cinco de abril de dos mil veintitrés,</w:t>
      </w:r>
      <w:r w:rsidRPr="002B0890">
        <w:rPr>
          <w:rFonts w:ascii="Palatino Linotype" w:eastAsia="Palatino Linotype" w:hAnsi="Palatino Linotype" w:cs="Palatino Linotype"/>
          <w:b/>
        </w:rPr>
        <w:t xml:space="preserve"> EL SUJETO OBLIGADO </w:t>
      </w:r>
      <w:r w:rsidRPr="002B0890">
        <w:rPr>
          <w:rFonts w:ascii="Palatino Linotype" w:eastAsia="Palatino Linotype" w:hAnsi="Palatino Linotype" w:cs="Palatino Linotype"/>
        </w:rPr>
        <w:t xml:space="preserve">remitió a la persona solicitante la respuesta a su solicitud de acceso a la información, sin embargo, este día resulta inhábil en términos del Calendario Oficial en materia de Transparencia, Acceso a la Información y Protección de Datos Personales del Estado de México y Municipios aprobado por el Pleno del </w:t>
      </w:r>
      <w:proofErr w:type="spellStart"/>
      <w:r w:rsidRPr="002B0890">
        <w:rPr>
          <w:rFonts w:ascii="Palatino Linotype" w:eastAsia="Palatino Linotype" w:hAnsi="Palatino Linotype" w:cs="Palatino Linotype"/>
        </w:rPr>
        <w:t>Infoem</w:t>
      </w:r>
      <w:proofErr w:type="spellEnd"/>
      <w:r w:rsidRPr="002B0890">
        <w:rPr>
          <w:rFonts w:ascii="Palatino Linotype" w:eastAsia="Palatino Linotype" w:hAnsi="Palatino Linotype" w:cs="Palatino Linotype"/>
        </w:rPr>
        <w:t xml:space="preserve"> para el años dos mil veintitrés, teniéndose por presentada hasta el </w:t>
      </w:r>
      <w:r w:rsidRPr="002B0890">
        <w:rPr>
          <w:rFonts w:ascii="Palatino Linotype" w:eastAsia="Palatino Linotype" w:hAnsi="Palatino Linotype" w:cs="Palatino Linotype"/>
          <w:b/>
        </w:rPr>
        <w:t>diez de abril de dos mil veintitrés,</w:t>
      </w:r>
      <w:r w:rsidRPr="002B0890">
        <w:rPr>
          <w:rFonts w:ascii="Palatino Linotype" w:eastAsia="Palatino Linotype" w:hAnsi="Palatino Linotype" w:cs="Palatino Linotype"/>
        </w:rPr>
        <w:t xml:space="preserve"> al tenor siguiente: </w:t>
      </w:r>
    </w:p>
    <w:p w:rsidR="001E029A" w:rsidRPr="002B0890" w:rsidRDefault="001E029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“Ecatepec de Morelos, México a 05 de Abril de 2023</w:t>
      </w: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 xml:space="preserve">Nombre del solicitante: C. </w:t>
      </w:r>
      <w:r w:rsidR="00C3564F">
        <w:rPr>
          <w:rFonts w:ascii="Palatino Linotype" w:eastAsia="Palatino Linotype" w:hAnsi="Palatino Linotype" w:cs="Palatino Linotype"/>
          <w:i/>
          <w:sz w:val="22"/>
          <w:szCs w:val="22"/>
        </w:rPr>
        <w:t>XXXXXXXXXXX</w:t>
      </w:r>
      <w:bookmarkStart w:id="3" w:name="_GoBack"/>
      <w:bookmarkEnd w:id="3"/>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Folio de la solicitud: 00308/ECATEPEC/IP/2023</w:t>
      </w: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El H. Ayuntamiento Constitucional de Ecatepec de Morelos hace de su conocimiento la respuesta emitida por, Tesorería Municipal, la cual se anexa al presente en formato PDF.</w:t>
      </w: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ATENTAMENTE</w:t>
      </w: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 xml:space="preserve">Lic. </w:t>
      </w:r>
      <w:proofErr w:type="spellStart"/>
      <w:r w:rsidRPr="002B0890">
        <w:rPr>
          <w:rFonts w:ascii="Palatino Linotype" w:eastAsia="Palatino Linotype" w:hAnsi="Palatino Linotype" w:cs="Palatino Linotype"/>
          <w:i/>
          <w:sz w:val="22"/>
          <w:szCs w:val="22"/>
        </w:rPr>
        <w:t>Brianda</w:t>
      </w:r>
      <w:proofErr w:type="spellEnd"/>
      <w:r w:rsidRPr="002B0890">
        <w:rPr>
          <w:rFonts w:ascii="Palatino Linotype" w:eastAsia="Palatino Linotype" w:hAnsi="Palatino Linotype" w:cs="Palatino Linotype"/>
          <w:i/>
          <w:sz w:val="22"/>
          <w:szCs w:val="22"/>
        </w:rPr>
        <w:t xml:space="preserve"> Eunice </w:t>
      </w:r>
      <w:proofErr w:type="spellStart"/>
      <w:r w:rsidRPr="002B0890">
        <w:rPr>
          <w:rFonts w:ascii="Palatino Linotype" w:eastAsia="Palatino Linotype" w:hAnsi="Palatino Linotype" w:cs="Palatino Linotype"/>
          <w:i/>
          <w:sz w:val="22"/>
          <w:szCs w:val="22"/>
        </w:rPr>
        <w:t>Iberri</w:t>
      </w:r>
      <w:proofErr w:type="spellEnd"/>
      <w:r w:rsidRPr="002B0890">
        <w:rPr>
          <w:rFonts w:ascii="Palatino Linotype" w:eastAsia="Palatino Linotype" w:hAnsi="Palatino Linotype" w:cs="Palatino Linotype"/>
          <w:i/>
          <w:sz w:val="22"/>
          <w:szCs w:val="22"/>
        </w:rPr>
        <w:t xml:space="preserve"> Estrada” (Sic) </w:t>
      </w:r>
    </w:p>
    <w:p w:rsidR="001E029A" w:rsidRPr="002B0890" w:rsidRDefault="001E029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Además se hizo acompañar de los archivos que se enlistan: </w:t>
      </w: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2B0890">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rPr>
      </w:pPr>
      <w:proofErr w:type="spellStart"/>
      <w:r w:rsidRPr="002B0890">
        <w:rPr>
          <w:rFonts w:ascii="Palatino Linotype" w:eastAsia="Palatino Linotype" w:hAnsi="Palatino Linotype" w:cs="Palatino Linotype"/>
          <w:b/>
        </w:rPr>
        <w:t>edoavegrdepg</w:t>
      </w:r>
      <w:proofErr w:type="spellEnd"/>
      <w:r w:rsidRPr="002B0890">
        <w:rPr>
          <w:rFonts w:ascii="Palatino Linotype" w:eastAsia="Palatino Linotype" w:hAnsi="Palatino Linotype" w:cs="Palatino Linotype"/>
          <w:b/>
        </w:rPr>
        <w:t xml:space="preserve"> 2021.pdf: </w:t>
      </w: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Contiene el Estado de Avance Presupuestal de Egresos del primero de enero al treinta y uno de diciembre de dos mil veintiuno de la Dependencia D00 Secretaría del Ayuntamiento, del cual se inserta la primera página: </w:t>
      </w:r>
    </w:p>
    <w:p w:rsidR="001E029A" w:rsidRPr="002B0890" w:rsidRDefault="002B0890">
      <w:pPr>
        <w:spacing w:line="360" w:lineRule="auto"/>
        <w:jc w:val="center"/>
        <w:rPr>
          <w:rFonts w:ascii="Palatino Linotype" w:eastAsia="Palatino Linotype" w:hAnsi="Palatino Linotype" w:cs="Palatino Linotype"/>
        </w:rPr>
      </w:pPr>
      <w:r w:rsidRPr="002B0890">
        <w:rPr>
          <w:noProof/>
        </w:rPr>
        <w:lastRenderedPageBreak/>
        <w:drawing>
          <wp:inline distT="0" distB="0" distL="0" distR="0">
            <wp:extent cx="5222759" cy="3925638"/>
            <wp:effectExtent l="0" t="0" r="0" b="0"/>
            <wp:docPr id="14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222759" cy="3925638"/>
                    </a:xfrm>
                    <a:prstGeom prst="rect">
                      <a:avLst/>
                    </a:prstGeom>
                    <a:ln/>
                  </pic:spPr>
                </pic:pic>
              </a:graphicData>
            </a:graphic>
          </wp:inline>
        </w:drawing>
      </w:r>
    </w:p>
    <w:p w:rsidR="001E029A" w:rsidRPr="002B0890" w:rsidRDefault="001E029A">
      <w:pPr>
        <w:spacing w:line="360" w:lineRule="auto"/>
        <w:jc w:val="both"/>
        <w:rPr>
          <w:rFonts w:ascii="Palatino Linotype" w:eastAsia="Palatino Linotype" w:hAnsi="Palatino Linotype" w:cs="Palatino Linotype"/>
          <w:b/>
        </w:rPr>
      </w:pPr>
    </w:p>
    <w:p w:rsidR="001E029A" w:rsidRPr="002B0890" w:rsidRDefault="002B0890">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rPr>
      </w:pPr>
      <w:proofErr w:type="spellStart"/>
      <w:r w:rsidRPr="002B0890">
        <w:rPr>
          <w:rFonts w:ascii="Palatino Linotype" w:eastAsia="Palatino Linotype" w:hAnsi="Palatino Linotype" w:cs="Palatino Linotype"/>
          <w:b/>
        </w:rPr>
        <w:t>edoavegrdepg</w:t>
      </w:r>
      <w:proofErr w:type="spellEnd"/>
      <w:r w:rsidRPr="002B0890">
        <w:rPr>
          <w:rFonts w:ascii="Palatino Linotype" w:eastAsia="Palatino Linotype" w:hAnsi="Palatino Linotype" w:cs="Palatino Linotype"/>
          <w:b/>
        </w:rPr>
        <w:t xml:space="preserve"> 2022.pdf</w:t>
      </w: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Contiene el Estado de Avance Presupuestal de Egresos en el que se advierte el presupuesto ejercido por la “DEPENDENCIA D00, SECRETARÍA DEL AYUNTAMIENTO” del uno de enero al treinta y uno de diciembre de dos mil veintidós; documento del cual se inserta en el presente, la primera página. </w:t>
      </w: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noProof/>
        </w:rPr>
        <w:lastRenderedPageBreak/>
        <w:drawing>
          <wp:inline distT="0" distB="0" distL="0" distR="0">
            <wp:extent cx="5612130" cy="4035425"/>
            <wp:effectExtent l="0" t="0" r="0" b="0"/>
            <wp:docPr id="14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612130" cy="4035425"/>
                    </a:xfrm>
                    <a:prstGeom prst="rect">
                      <a:avLst/>
                    </a:prstGeom>
                    <a:ln/>
                  </pic:spPr>
                </pic:pic>
              </a:graphicData>
            </a:graphic>
          </wp:inline>
        </w:drawing>
      </w: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2B089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rPr>
      </w:pPr>
      <w:r w:rsidRPr="002B0890">
        <w:rPr>
          <w:rFonts w:ascii="Palatino Linotype" w:eastAsia="Palatino Linotype" w:hAnsi="Palatino Linotype" w:cs="Palatino Linotype"/>
          <w:b/>
        </w:rPr>
        <w:t xml:space="preserve">308-23.pdf. </w:t>
      </w:r>
      <w:r w:rsidRPr="002B0890">
        <w:rPr>
          <w:rFonts w:ascii="Palatino Linotype" w:eastAsia="Palatino Linotype" w:hAnsi="Palatino Linotype" w:cs="Palatino Linotype"/>
        </w:rPr>
        <w:t xml:space="preserve">Integrado por los siguientes documentos: </w:t>
      </w: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Escrito de fecha cinco de abril de dos mil veintitrés emitido por la Unidad de Transparencia mediante el cual se remite la respuesta de la Tesorería Municipal. </w:t>
      </w: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Oficio </w:t>
      </w:r>
      <w:r w:rsidRPr="002B0890">
        <w:rPr>
          <w:rFonts w:ascii="Palatino Linotype" w:eastAsia="Palatino Linotype" w:hAnsi="Palatino Linotype" w:cs="Palatino Linotype"/>
          <w:i/>
        </w:rPr>
        <w:t>TM/ECA/2112/2023</w:t>
      </w:r>
      <w:r w:rsidRPr="002B0890">
        <w:rPr>
          <w:rFonts w:ascii="Palatino Linotype" w:eastAsia="Palatino Linotype" w:hAnsi="Palatino Linotype" w:cs="Palatino Linotype"/>
        </w:rPr>
        <w:t xml:space="preserve"> de la Tesorería Municipal de fecha tres de abril de dos mil veintitrés por medio del que señaló que luego de una búsqueda exhaustiva en los archivos de esa Unidad Administrativa, lo referente al Presupuesto de Egresos Autorizado para el año dos mil veintitrés, estaría disponible para su consulta en </w:t>
      </w:r>
      <w:hyperlink r:id="rId10">
        <w:r w:rsidRPr="002B0890">
          <w:rPr>
            <w:rFonts w:ascii="Palatino Linotype" w:eastAsia="Palatino Linotype" w:hAnsi="Palatino Linotype" w:cs="Palatino Linotype"/>
            <w:u w:val="single"/>
          </w:rPr>
          <w:t>https://ecatepec.gob.mx/transparencia-conac</w:t>
        </w:r>
      </w:hyperlink>
      <w:r w:rsidRPr="002B0890">
        <w:rPr>
          <w:rFonts w:ascii="Palatino Linotype" w:eastAsia="Palatino Linotype" w:hAnsi="Palatino Linotype" w:cs="Palatino Linotype"/>
        </w:rPr>
        <w:t xml:space="preserve"> </w:t>
      </w: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Además de referir que adjunto al presente anexaría el presupuesto ejercido por la Secretaria del Ayuntamiento en los años dos mil veintiuno y dos mil veintidós, y dijo que del presupuesto del año dos mil veintitrés, fue el dieciocho de marzo del dos mil veintitrés había sido aprobado y el mismo estaba en proceso de ser publicado. </w:t>
      </w: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Asimismo, contiene capturas de pantalla de la página oficial del Ayuntamiento donde constan documentos como son los Estados Analíticos del Presupuesto de Egresos Detallado y la Carátula del Presupuesto de Egresos de 2023. </w:t>
      </w:r>
    </w:p>
    <w:p w:rsidR="001E029A" w:rsidRPr="002B0890" w:rsidRDefault="001E029A">
      <w:pPr>
        <w:spacing w:line="360" w:lineRule="auto"/>
        <w:jc w:val="both"/>
        <w:rPr>
          <w:rFonts w:ascii="Palatino Linotype" w:eastAsia="Palatino Linotype" w:hAnsi="Palatino Linotype" w:cs="Palatino Linotype"/>
          <w:b/>
        </w:rPr>
      </w:pP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b/>
        </w:rPr>
        <w:t xml:space="preserve">3. Interposición del recurso de revisión. </w:t>
      </w:r>
      <w:r w:rsidRPr="002B0890">
        <w:rPr>
          <w:rFonts w:ascii="Palatino Linotype" w:eastAsia="Palatino Linotype" w:hAnsi="Palatino Linotype" w:cs="Palatino Linotype"/>
        </w:rPr>
        <w:t xml:space="preserve">Inconforme la entonces persona solicitante con la respuesta del </w:t>
      </w:r>
      <w:r w:rsidRPr="002B0890">
        <w:rPr>
          <w:rFonts w:ascii="Palatino Linotype" w:eastAsia="Palatino Linotype" w:hAnsi="Palatino Linotype" w:cs="Palatino Linotype"/>
          <w:b/>
        </w:rPr>
        <w:t>SUJETO OBLIGADO</w:t>
      </w:r>
      <w:r w:rsidRPr="002B0890">
        <w:rPr>
          <w:rFonts w:ascii="Palatino Linotype" w:eastAsia="Palatino Linotype" w:hAnsi="Palatino Linotype" w:cs="Palatino Linotype"/>
        </w:rPr>
        <w:t>, el día</w:t>
      </w:r>
      <w:r w:rsidRPr="002B0890">
        <w:rPr>
          <w:rFonts w:ascii="Palatino Linotype" w:eastAsia="Palatino Linotype" w:hAnsi="Palatino Linotype" w:cs="Palatino Linotype"/>
          <w:b/>
        </w:rPr>
        <w:t xml:space="preserve"> </w:t>
      </w:r>
      <w:r w:rsidRPr="002B0890">
        <w:rPr>
          <w:rFonts w:ascii="Palatino Linotype" w:eastAsia="Palatino Linotype" w:hAnsi="Palatino Linotype" w:cs="Palatino Linotype"/>
        </w:rPr>
        <w:t xml:space="preserve">siete de abril de dos mil veintitrés, interpuso el recurso de revisión a través del SAIMEX, mismo que no se tuvo por interpuesto sino hasta el </w:t>
      </w:r>
      <w:r w:rsidRPr="002B0890">
        <w:rPr>
          <w:rFonts w:ascii="Palatino Linotype" w:eastAsia="Palatino Linotype" w:hAnsi="Palatino Linotype" w:cs="Palatino Linotype"/>
          <w:b/>
        </w:rPr>
        <w:t>diez de abril de dos mil veintitrés</w:t>
      </w:r>
      <w:r w:rsidRPr="002B0890">
        <w:rPr>
          <w:rFonts w:ascii="Palatino Linotype" w:eastAsia="Palatino Linotype" w:hAnsi="Palatino Linotype" w:cs="Palatino Linotype"/>
        </w:rPr>
        <w:t xml:space="preserve"> en razón del Calendario Oficial aprobado por el Pleno del </w:t>
      </w:r>
      <w:proofErr w:type="spellStart"/>
      <w:r w:rsidRPr="002B0890">
        <w:rPr>
          <w:rFonts w:ascii="Palatino Linotype" w:eastAsia="Palatino Linotype" w:hAnsi="Palatino Linotype" w:cs="Palatino Linotype"/>
        </w:rPr>
        <w:t>Infoem</w:t>
      </w:r>
      <w:proofErr w:type="spellEnd"/>
      <w:r w:rsidRPr="002B0890">
        <w:rPr>
          <w:rFonts w:ascii="Palatino Linotype" w:eastAsia="Palatino Linotype" w:hAnsi="Palatino Linotype" w:cs="Palatino Linotype"/>
        </w:rPr>
        <w:t xml:space="preserve"> para el año dos mil veintitrés y se manifestó de la siguiente manera:</w:t>
      </w: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2B0890">
      <w:pPr>
        <w:tabs>
          <w:tab w:val="left" w:pos="2745"/>
        </w:tabs>
        <w:spacing w:line="360" w:lineRule="auto"/>
        <w:jc w:val="both"/>
        <w:rPr>
          <w:rFonts w:ascii="Palatino Linotype" w:eastAsia="Palatino Linotype" w:hAnsi="Palatino Linotype" w:cs="Palatino Linotype"/>
          <w:b/>
        </w:rPr>
      </w:pPr>
      <w:r w:rsidRPr="002B0890">
        <w:rPr>
          <w:rFonts w:ascii="Palatino Linotype" w:eastAsia="Palatino Linotype" w:hAnsi="Palatino Linotype" w:cs="Palatino Linotype"/>
          <w:b/>
        </w:rPr>
        <w:t xml:space="preserve">Acto impugnado: </w:t>
      </w:r>
    </w:p>
    <w:p w:rsidR="001E029A" w:rsidRPr="002B0890" w:rsidRDefault="001E029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 xml:space="preserve">“LA RESPUESTA DE LA AUTORIDAD.” (Sic) </w:t>
      </w:r>
    </w:p>
    <w:p w:rsidR="001E029A" w:rsidRPr="002B0890" w:rsidRDefault="001E029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b/>
        </w:rPr>
        <w:t>Razones o motivos de inconformidad</w:t>
      </w:r>
      <w:r w:rsidRPr="002B0890">
        <w:rPr>
          <w:rFonts w:ascii="Palatino Linotype" w:eastAsia="Palatino Linotype" w:hAnsi="Palatino Linotype" w:cs="Palatino Linotype"/>
        </w:rPr>
        <w:t>:</w:t>
      </w:r>
    </w:p>
    <w:p w:rsidR="001E029A" w:rsidRPr="002B0890" w:rsidRDefault="001E029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 xml:space="preserve">“NO SE ENCUENTRA TODA LA INFORMACION SOLICITADA” (Sic)  </w:t>
      </w:r>
    </w:p>
    <w:p w:rsidR="001E029A" w:rsidRPr="002B0890" w:rsidRDefault="001E029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1E029A" w:rsidRPr="002B0890" w:rsidRDefault="002B0890">
      <w:pPr>
        <w:spacing w:line="360" w:lineRule="auto"/>
        <w:ind w:right="51"/>
        <w:jc w:val="both"/>
        <w:rPr>
          <w:rFonts w:ascii="Palatino Linotype" w:eastAsia="Palatino Linotype" w:hAnsi="Palatino Linotype" w:cs="Palatino Linotype"/>
        </w:rPr>
      </w:pPr>
      <w:r w:rsidRPr="002B0890">
        <w:rPr>
          <w:rFonts w:ascii="Palatino Linotype" w:eastAsia="Palatino Linotype" w:hAnsi="Palatino Linotype" w:cs="Palatino Linotype"/>
          <w:b/>
        </w:rPr>
        <w:lastRenderedPageBreak/>
        <w:t xml:space="preserve">4. Turno. </w:t>
      </w:r>
      <w:r w:rsidRPr="002B0890">
        <w:rPr>
          <w:rFonts w:ascii="Palatino Linotype" w:eastAsia="Palatino Linotype" w:hAnsi="Palatino Linotype" w:cs="Palatino Linotype"/>
        </w:rPr>
        <w:t xml:space="preserve">De conformidad con el artículo 185 fracción I de la Ley de Transparencia, el presente recurso de revisión se turnó por el sistema electrónico de este Instituto, a la </w:t>
      </w:r>
      <w:r w:rsidRPr="002B0890">
        <w:rPr>
          <w:rFonts w:ascii="Palatino Linotype" w:eastAsia="Palatino Linotype" w:hAnsi="Palatino Linotype" w:cs="Palatino Linotype"/>
          <w:b/>
        </w:rPr>
        <w:t xml:space="preserve">Comisionada Guadalupe Ramírez Peña, </w:t>
      </w:r>
      <w:r w:rsidRPr="002B0890">
        <w:rPr>
          <w:rFonts w:ascii="Palatino Linotype" w:eastAsia="Palatino Linotype" w:hAnsi="Palatino Linotype" w:cs="Palatino Linotype"/>
        </w:rPr>
        <w:t xml:space="preserve">a efecto de que analizara sobre su admisión o su </w:t>
      </w:r>
      <w:proofErr w:type="spellStart"/>
      <w:r w:rsidRPr="002B0890">
        <w:rPr>
          <w:rFonts w:ascii="Palatino Linotype" w:eastAsia="Palatino Linotype" w:hAnsi="Palatino Linotype" w:cs="Palatino Linotype"/>
        </w:rPr>
        <w:t>desechamiento</w:t>
      </w:r>
      <w:proofErr w:type="spellEnd"/>
      <w:r w:rsidRPr="002B0890">
        <w:rPr>
          <w:rFonts w:ascii="Palatino Linotype" w:eastAsia="Palatino Linotype" w:hAnsi="Palatino Linotype" w:cs="Palatino Linotype"/>
        </w:rPr>
        <w:t>.</w:t>
      </w:r>
    </w:p>
    <w:p w:rsidR="001E029A" w:rsidRPr="002B0890" w:rsidRDefault="001E029A">
      <w:pPr>
        <w:spacing w:line="360" w:lineRule="auto"/>
        <w:ind w:right="51"/>
        <w:jc w:val="both"/>
        <w:rPr>
          <w:rFonts w:ascii="Palatino Linotype" w:eastAsia="Palatino Linotype" w:hAnsi="Palatino Linotype" w:cs="Palatino Linotype"/>
        </w:rPr>
      </w:pPr>
    </w:p>
    <w:p w:rsidR="001E029A" w:rsidRPr="002B0890" w:rsidRDefault="002B0890">
      <w:pPr>
        <w:spacing w:line="360" w:lineRule="auto"/>
        <w:jc w:val="both"/>
        <w:rPr>
          <w:rFonts w:ascii="Palatino Linotype" w:eastAsia="Palatino Linotype" w:hAnsi="Palatino Linotype" w:cs="Palatino Linotype"/>
          <w:b/>
        </w:rPr>
      </w:pPr>
      <w:r w:rsidRPr="002B0890">
        <w:rPr>
          <w:rFonts w:ascii="Palatino Linotype" w:eastAsia="Palatino Linotype" w:hAnsi="Palatino Linotype" w:cs="Palatino Linotype"/>
          <w:b/>
        </w:rPr>
        <w:t>5. Admisión del Recurso de revisión.</w:t>
      </w:r>
      <w:r w:rsidRPr="002B0890">
        <w:rPr>
          <w:rFonts w:ascii="Palatino Linotype" w:eastAsia="Palatino Linotype" w:hAnsi="Palatino Linotype" w:cs="Palatino Linotype"/>
        </w:rPr>
        <w:t xml:space="preserve"> El</w:t>
      </w:r>
      <w:r w:rsidRPr="002B0890">
        <w:rPr>
          <w:rFonts w:ascii="Palatino Linotype" w:eastAsia="Palatino Linotype" w:hAnsi="Palatino Linotype" w:cs="Palatino Linotype"/>
          <w:b/>
        </w:rPr>
        <w:t xml:space="preserve"> trece de abril dos mil veintitrés, </w:t>
      </w:r>
      <w:r w:rsidRPr="002B0890">
        <w:rPr>
          <w:rFonts w:ascii="Palatino Linotype" w:eastAsia="Palatino Linotype" w:hAnsi="Palatino Linotype" w:cs="Palatino Linotype"/>
        </w:rPr>
        <w:t xml:space="preserve">este Instituto de Transparencia, admitió a trámite el recurso de revisión que ahora se resuelve, dando un plazo máximo de siete días hábiles para que las partes manifestaran lo que a su derecho resultara conveniente, ofrecieran pruebas, formularan alegatos y </w:t>
      </w:r>
      <w:r w:rsidRPr="002B0890">
        <w:rPr>
          <w:rFonts w:ascii="Palatino Linotype" w:eastAsia="Palatino Linotype" w:hAnsi="Palatino Linotype" w:cs="Palatino Linotype"/>
          <w:b/>
        </w:rPr>
        <w:t xml:space="preserve">EL SUJETO OBLIGADO </w:t>
      </w:r>
      <w:r w:rsidRPr="002B0890">
        <w:rPr>
          <w:rFonts w:ascii="Palatino Linotype" w:eastAsia="Palatino Linotype" w:hAnsi="Palatino Linotype" w:cs="Palatino Linotype"/>
        </w:rPr>
        <w:t>presentara su Informe Justificado.</w:t>
      </w:r>
    </w:p>
    <w:p w:rsidR="001E029A" w:rsidRPr="002B0890" w:rsidRDefault="001E029A">
      <w:pPr>
        <w:spacing w:line="360" w:lineRule="auto"/>
        <w:jc w:val="both"/>
        <w:rPr>
          <w:rFonts w:ascii="Palatino Linotype" w:eastAsia="Palatino Linotype" w:hAnsi="Palatino Linotype" w:cs="Palatino Linotype"/>
          <w:b/>
        </w:rPr>
      </w:pPr>
    </w:p>
    <w:p w:rsidR="001E029A" w:rsidRPr="002B0890" w:rsidRDefault="002B0890">
      <w:pPr>
        <w:spacing w:line="360" w:lineRule="auto"/>
        <w:ind w:right="49"/>
        <w:jc w:val="both"/>
        <w:rPr>
          <w:rFonts w:ascii="Palatino Linotype" w:eastAsia="Palatino Linotype" w:hAnsi="Palatino Linotype" w:cs="Palatino Linotype"/>
        </w:rPr>
      </w:pPr>
      <w:bookmarkStart w:id="4" w:name="_heading=h.2s8eyo1" w:colFirst="0" w:colLast="0"/>
      <w:bookmarkEnd w:id="4"/>
      <w:r w:rsidRPr="002B0890">
        <w:rPr>
          <w:rFonts w:ascii="Palatino Linotype" w:eastAsia="Palatino Linotype" w:hAnsi="Palatino Linotype" w:cs="Palatino Linotype"/>
          <w:b/>
        </w:rPr>
        <w:t>6. Manifestaciones</w:t>
      </w:r>
      <w:r w:rsidRPr="002B0890">
        <w:rPr>
          <w:rFonts w:ascii="Palatino Linotype" w:eastAsia="Palatino Linotype" w:hAnsi="Palatino Linotype" w:cs="Palatino Linotype"/>
        </w:rPr>
        <w:t xml:space="preserve">. De las constancias que integran el expediente electrónico en que se actúa se advierte que </w:t>
      </w:r>
      <w:r w:rsidRPr="002B0890">
        <w:rPr>
          <w:rFonts w:ascii="Palatino Linotype" w:eastAsia="Palatino Linotype" w:hAnsi="Palatino Linotype" w:cs="Palatino Linotype"/>
          <w:b/>
        </w:rPr>
        <w:t xml:space="preserve">EL SUJETO OBLIGADO </w:t>
      </w:r>
      <w:r w:rsidRPr="002B0890">
        <w:rPr>
          <w:rFonts w:ascii="Palatino Linotype" w:eastAsia="Palatino Linotype" w:hAnsi="Palatino Linotype" w:cs="Palatino Linotype"/>
        </w:rPr>
        <w:t xml:space="preserve">remitió su Informe Justificado el pasado ocho de noviembre de dos mil veintitrés, mismo que se puso a la vista de </w:t>
      </w:r>
      <w:r w:rsidRPr="002B0890">
        <w:rPr>
          <w:rFonts w:ascii="Palatino Linotype" w:eastAsia="Palatino Linotype" w:hAnsi="Palatino Linotype" w:cs="Palatino Linotype"/>
          <w:b/>
        </w:rPr>
        <w:t>LA PARTE RECURRENTE</w:t>
      </w:r>
      <w:r w:rsidRPr="002B0890">
        <w:rPr>
          <w:rFonts w:ascii="Palatino Linotype" w:eastAsia="Palatino Linotype" w:hAnsi="Palatino Linotype" w:cs="Palatino Linotype"/>
        </w:rPr>
        <w:t xml:space="preserve"> el mismo día y consta de la información que sigue remitida en el archivo que se describe: </w:t>
      </w:r>
    </w:p>
    <w:p w:rsidR="001E029A" w:rsidRPr="002B0890" w:rsidRDefault="001E029A">
      <w:pPr>
        <w:spacing w:line="360" w:lineRule="auto"/>
        <w:ind w:right="49"/>
        <w:jc w:val="both"/>
        <w:rPr>
          <w:rFonts w:ascii="Palatino Linotype" w:eastAsia="Palatino Linotype" w:hAnsi="Palatino Linotype" w:cs="Palatino Linotype"/>
        </w:rPr>
      </w:pPr>
    </w:p>
    <w:p w:rsidR="001E029A" w:rsidRPr="002B0890" w:rsidRDefault="00C3564F">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rPr>
      </w:pPr>
      <w:hyperlink r:id="rId11">
        <w:r w:rsidR="002B0890" w:rsidRPr="002B0890">
          <w:rPr>
            <w:rFonts w:ascii="Palatino Linotype" w:eastAsia="Palatino Linotype" w:hAnsi="Palatino Linotype" w:cs="Palatino Linotype"/>
            <w:b/>
          </w:rPr>
          <w:t>1819-23.pdf</w:t>
        </w:r>
      </w:hyperlink>
      <w:r w:rsidR="002B0890" w:rsidRPr="002B0890">
        <w:rPr>
          <w:rFonts w:ascii="Palatino Linotype" w:eastAsia="Palatino Linotype" w:hAnsi="Palatino Linotype" w:cs="Palatino Linotype"/>
          <w:b/>
        </w:rPr>
        <w:t xml:space="preserve">. </w:t>
      </w:r>
      <w:r w:rsidR="002B0890" w:rsidRPr="002B0890">
        <w:rPr>
          <w:rFonts w:ascii="Palatino Linotype" w:eastAsia="Palatino Linotype" w:hAnsi="Palatino Linotype" w:cs="Palatino Linotype"/>
        </w:rPr>
        <w:t xml:space="preserve">Contiene los siguientes documentos: </w:t>
      </w:r>
    </w:p>
    <w:p w:rsidR="001E029A" w:rsidRPr="002B0890" w:rsidRDefault="002B0890">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Oficio de fecha siete de noviembre de dos mil veintitrés mediante el cual se hace de conocimiento de </w:t>
      </w:r>
      <w:r w:rsidRPr="002B0890">
        <w:rPr>
          <w:rFonts w:ascii="Palatino Linotype" w:eastAsia="Palatino Linotype" w:hAnsi="Palatino Linotype" w:cs="Palatino Linotype"/>
          <w:b/>
        </w:rPr>
        <w:t>LA PARTE RECURRENTE</w:t>
      </w:r>
      <w:r w:rsidRPr="002B0890">
        <w:rPr>
          <w:rFonts w:ascii="Palatino Linotype" w:eastAsia="Palatino Linotype" w:hAnsi="Palatino Linotype" w:cs="Palatino Linotype"/>
        </w:rPr>
        <w:t xml:space="preserve"> la respuesta emitida por la Tesorería Municipal. </w:t>
      </w:r>
    </w:p>
    <w:p w:rsidR="001E029A" w:rsidRPr="002B0890" w:rsidRDefault="001E029A">
      <w:pPr>
        <w:spacing w:line="360" w:lineRule="auto"/>
        <w:ind w:right="49"/>
        <w:jc w:val="both"/>
        <w:rPr>
          <w:rFonts w:ascii="Palatino Linotype" w:eastAsia="Palatino Linotype" w:hAnsi="Palatino Linotype" w:cs="Palatino Linotype"/>
        </w:rPr>
      </w:pPr>
    </w:p>
    <w:p w:rsidR="001E029A" w:rsidRPr="002B0890" w:rsidRDefault="002B0890">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2B0890">
        <w:rPr>
          <w:rFonts w:ascii="Palatino Linotype" w:eastAsia="Palatino Linotype" w:hAnsi="Palatino Linotype" w:cs="Palatino Linotype"/>
        </w:rPr>
        <w:lastRenderedPageBreak/>
        <w:t xml:space="preserve">Oficio </w:t>
      </w:r>
      <w:r w:rsidRPr="002B0890">
        <w:rPr>
          <w:rFonts w:ascii="Palatino Linotype" w:eastAsia="Palatino Linotype" w:hAnsi="Palatino Linotype" w:cs="Palatino Linotype"/>
          <w:i/>
        </w:rPr>
        <w:t>TM/ECA/7240/2023</w:t>
      </w:r>
      <w:r w:rsidRPr="002B0890">
        <w:rPr>
          <w:rFonts w:ascii="Palatino Linotype" w:eastAsia="Palatino Linotype" w:hAnsi="Palatino Linotype" w:cs="Palatino Linotype"/>
        </w:rPr>
        <w:t xml:space="preserve"> de fecha tres de noviembre de dos mil veintitrés, suscrito y signado por la Tesorera Municipal, mediante el cual ratifica la respuesta inicial. </w:t>
      </w:r>
    </w:p>
    <w:p w:rsidR="001E029A" w:rsidRPr="002B0890" w:rsidRDefault="001E029A">
      <w:pPr>
        <w:pBdr>
          <w:top w:val="nil"/>
          <w:left w:val="nil"/>
          <w:bottom w:val="nil"/>
          <w:right w:val="nil"/>
          <w:between w:val="nil"/>
        </w:pBdr>
        <w:ind w:left="720"/>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ind w:left="720" w:right="49"/>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Además al igual que en la respuesta, remitió capturas de pantalla de los Estados Analíticos del ejercicio del Presupuesto de Egresos en su Clasificación Administrativa localizables en el link referido en el párrafo anterior. </w:t>
      </w: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Por su cuenta, una vez conocido el Informe Justificado, </w:t>
      </w:r>
      <w:r w:rsidRPr="002B0890">
        <w:rPr>
          <w:rFonts w:ascii="Palatino Linotype" w:eastAsia="Palatino Linotype" w:hAnsi="Palatino Linotype" w:cs="Palatino Linotype"/>
          <w:b/>
        </w:rPr>
        <w:t>LA PARTE RECURRENTE</w:t>
      </w:r>
      <w:r w:rsidRPr="002B0890">
        <w:rPr>
          <w:rFonts w:ascii="Palatino Linotype" w:eastAsia="Palatino Linotype" w:hAnsi="Palatino Linotype" w:cs="Palatino Linotype"/>
        </w:rPr>
        <w:t xml:space="preserve"> omitió realizar alguna manifestación al respecto, tal y como se hace constar: </w:t>
      </w: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2B0890">
      <w:pPr>
        <w:spacing w:line="360" w:lineRule="auto"/>
        <w:jc w:val="center"/>
        <w:rPr>
          <w:rFonts w:ascii="Palatino Linotype" w:eastAsia="Palatino Linotype" w:hAnsi="Palatino Linotype" w:cs="Palatino Linotype"/>
        </w:rPr>
      </w:pPr>
      <w:r w:rsidRPr="002B0890">
        <w:rPr>
          <w:noProof/>
        </w:rPr>
        <w:drawing>
          <wp:inline distT="0" distB="0" distL="0" distR="0">
            <wp:extent cx="4681046" cy="2248364"/>
            <wp:effectExtent l="0" t="0" r="0" b="0"/>
            <wp:docPr id="1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681046" cy="2248364"/>
                    </a:xfrm>
                    <a:prstGeom prst="rect">
                      <a:avLst/>
                    </a:prstGeom>
                    <a:ln/>
                  </pic:spPr>
                </pic:pic>
              </a:graphicData>
            </a:graphic>
          </wp:inline>
        </w:drawing>
      </w:r>
    </w:p>
    <w:p w:rsidR="001E029A" w:rsidRPr="002B0890" w:rsidRDefault="001E029A">
      <w:pPr>
        <w:spacing w:line="360" w:lineRule="auto"/>
        <w:jc w:val="both"/>
        <w:rPr>
          <w:rFonts w:ascii="Palatino Linotype" w:eastAsia="Palatino Linotype" w:hAnsi="Palatino Linotype" w:cs="Palatino Linotype"/>
          <w:b/>
        </w:rPr>
      </w:pPr>
    </w:p>
    <w:p w:rsidR="001E029A" w:rsidRPr="002B0890" w:rsidRDefault="002B0890">
      <w:pPr>
        <w:widowControl w:val="0"/>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b/>
        </w:rPr>
        <w:t>7. Ampliación del plazo para emitir resolución.</w:t>
      </w:r>
      <w:r w:rsidRPr="002B0890">
        <w:rPr>
          <w:rFonts w:ascii="Palatino Linotype" w:eastAsia="Palatino Linotype" w:hAnsi="Palatino Linotype" w:cs="Palatino Linotype"/>
        </w:rPr>
        <w:t xml:space="preserve"> El </w:t>
      </w:r>
      <w:r w:rsidRPr="002B0890">
        <w:rPr>
          <w:rFonts w:ascii="Palatino Linotype" w:eastAsia="Palatino Linotype" w:hAnsi="Palatino Linotype" w:cs="Palatino Linotype"/>
          <w:b/>
        </w:rPr>
        <w:t>ocho de noviembre de dos mil veintitrés,</w:t>
      </w:r>
      <w:r w:rsidRPr="002B0890">
        <w:rPr>
          <w:rFonts w:ascii="Palatino Linotype" w:eastAsia="Palatino Linotype" w:hAnsi="Palatino Linotype" w:cs="Palatino Linotype"/>
        </w:rPr>
        <w:t xml:space="preserve"> fue cuando este Instituto de Transparencia, Acceso a la Información Pública y Protección de Datos Personales del Estado de México y Municipios, con </w:t>
      </w:r>
      <w:r w:rsidRPr="002B0890">
        <w:rPr>
          <w:rFonts w:ascii="Palatino Linotype" w:eastAsia="Palatino Linotype" w:hAnsi="Palatino Linotype" w:cs="Palatino Linotype"/>
        </w:rPr>
        <w:lastRenderedPageBreak/>
        <w:t>fundamento en el artículo 181, párrafo tercero, de la Ley de Transparencia y Acceso a la Información Pública del Estado de México y Municipios, determinó ampliar el plazo para emitir la presente resolución.</w:t>
      </w:r>
    </w:p>
    <w:p w:rsidR="001E029A" w:rsidRPr="002B0890" w:rsidRDefault="001E029A">
      <w:pPr>
        <w:widowControl w:val="0"/>
        <w:spacing w:line="360" w:lineRule="auto"/>
        <w:jc w:val="both"/>
        <w:rPr>
          <w:rFonts w:ascii="Palatino Linotype" w:eastAsia="Palatino Linotype" w:hAnsi="Palatino Linotype" w:cs="Palatino Linotype"/>
        </w:rPr>
      </w:pPr>
    </w:p>
    <w:p w:rsidR="001E029A" w:rsidRPr="002B0890" w:rsidRDefault="002B0890">
      <w:pPr>
        <w:widowControl w:val="0"/>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incrementó aproximadamente un 300%, circunstancia atípica que ha rebasado las capacidades técnicas y humanas del personal encargado de la proyección de las resoluciones a dichos medios de impugnación.</w:t>
      </w:r>
    </w:p>
    <w:p w:rsidR="001E029A" w:rsidRPr="002B0890" w:rsidRDefault="001E029A">
      <w:pPr>
        <w:widowControl w:val="0"/>
        <w:spacing w:line="360" w:lineRule="auto"/>
        <w:jc w:val="both"/>
        <w:rPr>
          <w:rFonts w:ascii="Palatino Linotype" w:eastAsia="Palatino Linotype" w:hAnsi="Palatino Linotype" w:cs="Palatino Linotype"/>
        </w:rPr>
      </w:pPr>
    </w:p>
    <w:p w:rsidR="001E029A" w:rsidRPr="002B0890" w:rsidRDefault="002B0890">
      <w:pPr>
        <w:widowControl w:val="0"/>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1E029A" w:rsidRPr="002B0890" w:rsidRDefault="001E029A">
      <w:pPr>
        <w:widowControl w:val="0"/>
        <w:spacing w:line="360" w:lineRule="auto"/>
        <w:jc w:val="both"/>
        <w:rPr>
          <w:rFonts w:ascii="Palatino Linotype" w:eastAsia="Palatino Linotype" w:hAnsi="Palatino Linotype" w:cs="Palatino Linotype"/>
        </w:rPr>
      </w:pPr>
    </w:p>
    <w:p w:rsidR="001E029A" w:rsidRPr="002B0890" w:rsidRDefault="002B0890">
      <w:pPr>
        <w:widowControl w:val="0"/>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1E029A" w:rsidRPr="002B0890" w:rsidRDefault="001E029A">
      <w:pPr>
        <w:widowControl w:val="0"/>
        <w:spacing w:line="360" w:lineRule="auto"/>
        <w:jc w:val="both"/>
        <w:rPr>
          <w:rFonts w:ascii="Palatino Linotype" w:eastAsia="Palatino Linotype" w:hAnsi="Palatino Linotype" w:cs="Palatino Linotype"/>
        </w:rPr>
      </w:pPr>
    </w:p>
    <w:p w:rsidR="001E029A" w:rsidRPr="002B0890" w:rsidRDefault="002B0890">
      <w:pPr>
        <w:widowControl w:val="0"/>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1E029A" w:rsidRPr="002B0890" w:rsidRDefault="001E029A">
      <w:pPr>
        <w:widowControl w:val="0"/>
        <w:spacing w:line="360" w:lineRule="auto"/>
        <w:jc w:val="both"/>
        <w:rPr>
          <w:rFonts w:ascii="Palatino Linotype" w:eastAsia="Palatino Linotype" w:hAnsi="Palatino Linotype" w:cs="Palatino Linotype"/>
        </w:rPr>
      </w:pPr>
    </w:p>
    <w:p w:rsidR="001E029A" w:rsidRPr="002B0890" w:rsidRDefault="002B0890">
      <w:pPr>
        <w:widowControl w:val="0"/>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1E029A" w:rsidRPr="002B0890" w:rsidRDefault="001E029A">
      <w:pPr>
        <w:widowControl w:val="0"/>
        <w:spacing w:line="360" w:lineRule="auto"/>
        <w:jc w:val="both"/>
        <w:rPr>
          <w:rFonts w:ascii="Palatino Linotype" w:eastAsia="Palatino Linotype" w:hAnsi="Palatino Linotype" w:cs="Palatino Linotype"/>
        </w:rPr>
      </w:pPr>
    </w:p>
    <w:p w:rsidR="001E029A" w:rsidRPr="002B0890" w:rsidRDefault="002B0890">
      <w:pPr>
        <w:widowControl w:val="0"/>
        <w:numPr>
          <w:ilvl w:val="0"/>
          <w:numId w:val="2"/>
        </w:num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b/>
        </w:rPr>
        <w:t xml:space="preserve">Complejidad del Asunto: </w:t>
      </w:r>
      <w:r w:rsidRPr="002B0890">
        <w:rPr>
          <w:rFonts w:ascii="Palatino Linotype" w:eastAsia="Palatino Linotype" w:hAnsi="Palatino Linotype" w:cs="Palatino Linotype"/>
        </w:rPr>
        <w:t xml:space="preserve">La complejidad de la prueba, la pluralidad de sujetos procesales, el tiempo transcurrido, las características y contexto del recurso. </w:t>
      </w:r>
    </w:p>
    <w:p w:rsidR="001E029A" w:rsidRPr="002B0890" w:rsidRDefault="002B0890">
      <w:pPr>
        <w:widowControl w:val="0"/>
        <w:numPr>
          <w:ilvl w:val="0"/>
          <w:numId w:val="2"/>
        </w:num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b/>
        </w:rPr>
        <w:t>Actividad Procesal del interesado:</w:t>
      </w:r>
      <w:r w:rsidRPr="002B0890">
        <w:rPr>
          <w:rFonts w:ascii="Palatino Linotype" w:eastAsia="Palatino Linotype" w:hAnsi="Palatino Linotype" w:cs="Palatino Linotype"/>
        </w:rPr>
        <w:t xml:space="preserve"> Acciones u omisiones del interesado.</w:t>
      </w:r>
    </w:p>
    <w:p w:rsidR="001E029A" w:rsidRPr="002B0890" w:rsidRDefault="002B0890">
      <w:pPr>
        <w:widowControl w:val="0"/>
        <w:numPr>
          <w:ilvl w:val="0"/>
          <w:numId w:val="2"/>
        </w:num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b/>
        </w:rPr>
        <w:t>Conducta de la Autoridad:</w:t>
      </w:r>
      <w:r w:rsidRPr="002B0890">
        <w:rPr>
          <w:rFonts w:ascii="Palatino Linotype" w:eastAsia="Palatino Linotype" w:hAnsi="Palatino Linotype" w:cs="Palatino Linotype"/>
        </w:rPr>
        <w:t xml:space="preserve"> Las Acciones u omisiones realizadas en el procedimiento. Así como si la autoridad actuó con la debida diligencia.</w:t>
      </w:r>
    </w:p>
    <w:p w:rsidR="001E029A" w:rsidRPr="002B0890" w:rsidRDefault="002B0890">
      <w:pPr>
        <w:widowControl w:val="0"/>
        <w:numPr>
          <w:ilvl w:val="0"/>
          <w:numId w:val="2"/>
        </w:num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b/>
        </w:rPr>
        <w:t>La afectación generada en la situación jurídica de la persona involucrada en el proceso:</w:t>
      </w:r>
      <w:r w:rsidRPr="002B0890">
        <w:rPr>
          <w:rFonts w:ascii="Palatino Linotype" w:eastAsia="Palatino Linotype" w:hAnsi="Palatino Linotype" w:cs="Palatino Linotype"/>
        </w:rPr>
        <w:t xml:space="preserve"> Violación a sus derechos humanos.</w:t>
      </w:r>
    </w:p>
    <w:p w:rsidR="001E029A" w:rsidRPr="002B0890" w:rsidRDefault="001E029A">
      <w:pPr>
        <w:widowControl w:val="0"/>
        <w:spacing w:line="360" w:lineRule="auto"/>
        <w:jc w:val="both"/>
        <w:rPr>
          <w:rFonts w:ascii="Palatino Linotype" w:eastAsia="Palatino Linotype" w:hAnsi="Palatino Linotype" w:cs="Palatino Linotype"/>
        </w:rPr>
      </w:pPr>
    </w:p>
    <w:p w:rsidR="001E029A" w:rsidRPr="002B0890" w:rsidRDefault="002B0890">
      <w:pPr>
        <w:widowControl w:val="0"/>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1E029A" w:rsidRPr="002B0890" w:rsidRDefault="001E029A">
      <w:pPr>
        <w:widowControl w:val="0"/>
        <w:spacing w:line="360" w:lineRule="auto"/>
        <w:jc w:val="both"/>
        <w:rPr>
          <w:rFonts w:ascii="Palatino Linotype" w:eastAsia="Palatino Linotype" w:hAnsi="Palatino Linotype" w:cs="Palatino Linotype"/>
        </w:rPr>
      </w:pPr>
    </w:p>
    <w:p w:rsidR="001E029A" w:rsidRPr="002B0890" w:rsidRDefault="002B0890">
      <w:pPr>
        <w:widowControl w:val="0"/>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Argumento que encuentra sustento en la jurisprudencia P</w:t>
      </w:r>
      <w:proofErr w:type="gramStart"/>
      <w:r w:rsidRPr="002B0890">
        <w:rPr>
          <w:rFonts w:ascii="Palatino Linotype" w:eastAsia="Palatino Linotype" w:hAnsi="Palatino Linotype" w:cs="Palatino Linotype"/>
        </w:rPr>
        <w:t>./</w:t>
      </w:r>
      <w:proofErr w:type="gramEnd"/>
      <w:r w:rsidRPr="002B0890">
        <w:rPr>
          <w:rFonts w:ascii="Palatino Linotype" w:eastAsia="Palatino Linotype" w:hAnsi="Palatino Linotype" w:cs="Palatino Linotype"/>
        </w:rPr>
        <w:t xml:space="preserve">J. 32/92 emitida por el Pleno de la Suprema Corte de Justicia de la Nación de rubro </w:t>
      </w:r>
      <w:r w:rsidRPr="002B0890">
        <w:rPr>
          <w:rFonts w:ascii="Palatino Linotype" w:eastAsia="Palatino Linotype" w:hAnsi="Palatino Linotype" w:cs="Palatino Linotype"/>
          <w:b/>
          <w:i/>
        </w:rPr>
        <w:t>“TÉRMINOS PROCESALES. PARA DETERMINAR SI UN FUNCIONARIO JUDICIAL ACTUÓ INDEBIDAMENTE POR NO RESPETARLOS SE DEBE ATENDER AL PRESUPUESTO QUE CONSIDERÓ EL LEGISLADOR AL FIJARLOS Y LAS CARACTERÍSTICAS DEL CASO.”</w:t>
      </w:r>
      <w:r w:rsidRPr="002B0890">
        <w:rPr>
          <w:rFonts w:ascii="Palatino Linotype" w:eastAsia="Palatino Linotype" w:hAnsi="Palatino Linotype" w:cs="Palatino Linotype"/>
          <w:b/>
        </w:rPr>
        <w:t>,</w:t>
      </w:r>
      <w:r w:rsidRPr="002B0890">
        <w:rPr>
          <w:rFonts w:ascii="Palatino Linotype" w:eastAsia="Palatino Linotype" w:hAnsi="Palatino Linotype" w:cs="Palatino Linotype"/>
        </w:rPr>
        <w:t xml:space="preserve"> visible en la Gaceta del Seminario Judicial de la Federación con el registro digital 205635.</w:t>
      </w:r>
    </w:p>
    <w:p w:rsidR="001E029A" w:rsidRPr="002B0890" w:rsidRDefault="001E029A">
      <w:pPr>
        <w:widowControl w:val="0"/>
        <w:spacing w:line="360" w:lineRule="auto"/>
        <w:jc w:val="both"/>
        <w:rPr>
          <w:rFonts w:ascii="Palatino Linotype" w:eastAsia="Palatino Linotype" w:hAnsi="Palatino Linotype" w:cs="Palatino Linotype"/>
        </w:rPr>
      </w:pPr>
    </w:p>
    <w:p w:rsidR="001E029A" w:rsidRPr="002B0890" w:rsidRDefault="002B0890">
      <w:pPr>
        <w:widowControl w:val="0"/>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1E029A" w:rsidRPr="002B0890" w:rsidRDefault="001E029A">
      <w:pPr>
        <w:widowControl w:val="0"/>
        <w:spacing w:line="360" w:lineRule="auto"/>
        <w:jc w:val="both"/>
        <w:rPr>
          <w:rFonts w:ascii="Palatino Linotype" w:eastAsia="Palatino Linotype" w:hAnsi="Palatino Linotype" w:cs="Palatino Linotype"/>
        </w:rPr>
      </w:pPr>
    </w:p>
    <w:p w:rsidR="001E029A" w:rsidRPr="002B0890" w:rsidRDefault="002B0890">
      <w:pPr>
        <w:widowControl w:val="0"/>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1E029A" w:rsidRPr="002B0890" w:rsidRDefault="001E029A">
      <w:pPr>
        <w:widowControl w:val="0"/>
        <w:spacing w:line="360" w:lineRule="auto"/>
        <w:jc w:val="both"/>
        <w:rPr>
          <w:rFonts w:ascii="Palatino Linotype" w:eastAsia="Palatino Linotype" w:hAnsi="Palatino Linotype" w:cs="Palatino Linotype"/>
        </w:rPr>
      </w:pPr>
    </w:p>
    <w:p w:rsidR="001E029A" w:rsidRPr="002B0890" w:rsidRDefault="002B0890">
      <w:pPr>
        <w:widowControl w:val="0"/>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b/>
          <w:i/>
        </w:rPr>
        <w:lastRenderedPageBreak/>
        <w:t>“PLAZO RAZONABLE PARA RESOLVER. DIMENSIÓN Y EFECTOS DE ESTE CONCEPTO CUANDO SE ADUCE EXCESIVA CARGA DE TRABAJO.”</w:t>
      </w:r>
      <w:r w:rsidRPr="002B0890">
        <w:rPr>
          <w:rFonts w:ascii="Palatino Linotype" w:eastAsia="Palatino Linotype" w:hAnsi="Palatino Linotype" w:cs="Palatino Linotype"/>
        </w:rPr>
        <w:t xml:space="preserve"> consultable en el Seminario Judicial de la Federación y su gaceta, con el registro digital 2002351.</w:t>
      </w:r>
    </w:p>
    <w:p w:rsidR="001E029A" w:rsidRPr="002B0890" w:rsidRDefault="001E029A">
      <w:pPr>
        <w:widowControl w:val="0"/>
        <w:spacing w:line="360" w:lineRule="auto"/>
        <w:jc w:val="both"/>
        <w:rPr>
          <w:rFonts w:ascii="Palatino Linotype" w:eastAsia="Palatino Linotype" w:hAnsi="Palatino Linotype" w:cs="Palatino Linotype"/>
        </w:rPr>
      </w:pPr>
    </w:p>
    <w:p w:rsidR="001E029A" w:rsidRPr="002B0890" w:rsidRDefault="002B0890">
      <w:pPr>
        <w:widowControl w:val="0"/>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b/>
          <w:i/>
        </w:rPr>
        <w:t>“PLAZO RAZONABLE PARA RESOLVER. CONCEPTO Y ELEMENTOS QUE LO INTEGRAN A LA LUZ DEL DERECHO INTERNACIONAL DE LOS DERECHOS HUMANOS.”</w:t>
      </w:r>
      <w:r w:rsidRPr="002B0890">
        <w:rPr>
          <w:rFonts w:ascii="Palatino Linotype" w:eastAsia="Palatino Linotype" w:hAnsi="Palatino Linotype" w:cs="Palatino Linotype"/>
          <w:b/>
        </w:rPr>
        <w:t>,</w:t>
      </w:r>
      <w:r w:rsidRPr="002B0890">
        <w:rPr>
          <w:rFonts w:ascii="Palatino Linotype" w:eastAsia="Palatino Linotype" w:hAnsi="Palatino Linotype" w:cs="Palatino Linotype"/>
        </w:rPr>
        <w:t xml:space="preserve"> visible en el Seminario Judicial de la Federación y su gaceta, con el registro digital 2002350.</w:t>
      </w:r>
    </w:p>
    <w:p w:rsidR="001E029A" w:rsidRPr="002B0890" w:rsidRDefault="001E029A">
      <w:pPr>
        <w:widowControl w:val="0"/>
        <w:spacing w:line="360" w:lineRule="auto"/>
        <w:jc w:val="both"/>
        <w:rPr>
          <w:rFonts w:ascii="Palatino Linotype" w:eastAsia="Palatino Linotype" w:hAnsi="Palatino Linotype" w:cs="Palatino Linotype"/>
        </w:rPr>
      </w:pPr>
    </w:p>
    <w:p w:rsidR="001E029A" w:rsidRPr="002B0890" w:rsidRDefault="002B0890">
      <w:pPr>
        <w:widowControl w:val="0"/>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1E029A" w:rsidRPr="002B0890" w:rsidRDefault="001E029A">
      <w:pPr>
        <w:widowControl w:val="0"/>
        <w:spacing w:line="360" w:lineRule="auto"/>
        <w:jc w:val="both"/>
        <w:rPr>
          <w:rFonts w:ascii="Palatino Linotype" w:eastAsia="Palatino Linotype" w:hAnsi="Palatino Linotype" w:cs="Palatino Linotype"/>
        </w:rPr>
      </w:pP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b/>
        </w:rPr>
        <w:t xml:space="preserve">8. Cierre de instrucción. </w:t>
      </w:r>
      <w:r w:rsidRPr="002B0890">
        <w:rPr>
          <w:rFonts w:ascii="Palatino Linotype" w:eastAsia="Palatino Linotype" w:hAnsi="Palatino Linotype" w:cs="Palatino Linotype"/>
        </w:rPr>
        <w:t>Una vez transcurrido el periodo otorgado a las partes para realizar sus manifestaciones y no habiendo documentos que integrar al expediente, con fecha</w:t>
      </w:r>
      <w:r w:rsidRPr="002B0890">
        <w:rPr>
          <w:rFonts w:ascii="Palatino Linotype" w:eastAsia="Palatino Linotype" w:hAnsi="Palatino Linotype" w:cs="Palatino Linotype"/>
          <w:b/>
        </w:rPr>
        <w:t xml:space="preserve"> catorce de noviembre de dos mil veintitrés</w:t>
      </w:r>
      <w:r w:rsidRPr="002B0890">
        <w:rPr>
          <w:rFonts w:ascii="Palatino Linotype" w:eastAsia="Palatino Linotype" w:hAnsi="Palatino Linotype" w:cs="Palatino Linotype"/>
        </w:rPr>
        <w:t xml:space="preserve">, la </w:t>
      </w:r>
      <w:r w:rsidRPr="002B0890">
        <w:rPr>
          <w:rFonts w:ascii="Palatino Linotype" w:eastAsia="Palatino Linotype" w:hAnsi="Palatino Linotype" w:cs="Palatino Linotype"/>
          <w:b/>
        </w:rPr>
        <w:t>Comisionada Ponente</w:t>
      </w:r>
      <w:r w:rsidRPr="002B0890">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rsidR="001E029A" w:rsidRPr="002B0890" w:rsidRDefault="001E029A">
      <w:pPr>
        <w:widowControl w:val="0"/>
        <w:spacing w:line="360" w:lineRule="auto"/>
        <w:jc w:val="both"/>
        <w:rPr>
          <w:rFonts w:ascii="Palatino Linotype" w:eastAsia="Palatino Linotype" w:hAnsi="Palatino Linotype" w:cs="Palatino Linotype"/>
        </w:rPr>
      </w:pPr>
    </w:p>
    <w:p w:rsidR="001E029A" w:rsidRPr="002B0890" w:rsidRDefault="001E029A">
      <w:pPr>
        <w:spacing w:line="360" w:lineRule="auto"/>
        <w:jc w:val="both"/>
        <w:rPr>
          <w:rFonts w:ascii="Palatino Linotype" w:eastAsia="Palatino Linotype" w:hAnsi="Palatino Linotype" w:cs="Palatino Linotype"/>
          <w:b/>
        </w:rPr>
      </w:pP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lastRenderedPageBreak/>
        <w:t>En razón de que fue debidamente sustanciado el expediente electrónico y no existe diligencia pendiente de desahogo, se emite la Resolución que conforme a Derecho proceda, y</w:t>
      </w:r>
    </w:p>
    <w:p w:rsidR="001E029A" w:rsidRPr="002B0890" w:rsidRDefault="001E029A">
      <w:pPr>
        <w:spacing w:line="360" w:lineRule="auto"/>
        <w:jc w:val="both"/>
        <w:rPr>
          <w:rFonts w:ascii="Palatino Linotype" w:eastAsia="Palatino Linotype" w:hAnsi="Palatino Linotype" w:cs="Palatino Linotype"/>
          <w:sz w:val="22"/>
          <w:szCs w:val="22"/>
        </w:rPr>
      </w:pPr>
    </w:p>
    <w:p w:rsidR="001E029A" w:rsidRPr="002B0890" w:rsidRDefault="002B0890">
      <w:pPr>
        <w:widowControl w:val="0"/>
        <w:numPr>
          <w:ilvl w:val="0"/>
          <w:numId w:val="10"/>
        </w:numPr>
        <w:pBdr>
          <w:top w:val="nil"/>
          <w:left w:val="nil"/>
          <w:bottom w:val="nil"/>
          <w:right w:val="nil"/>
          <w:between w:val="nil"/>
        </w:pBdr>
        <w:spacing w:line="360" w:lineRule="auto"/>
        <w:jc w:val="center"/>
        <w:rPr>
          <w:rFonts w:ascii="Palatino Linotype" w:eastAsia="Palatino Linotype" w:hAnsi="Palatino Linotype" w:cs="Palatino Linotype"/>
          <w:b/>
        </w:rPr>
      </w:pPr>
      <w:r w:rsidRPr="002B0890">
        <w:rPr>
          <w:rFonts w:ascii="Palatino Linotype" w:eastAsia="Palatino Linotype" w:hAnsi="Palatino Linotype" w:cs="Palatino Linotype"/>
          <w:b/>
        </w:rPr>
        <w:t>C O N S I D E R A N D O:</w:t>
      </w:r>
    </w:p>
    <w:p w:rsidR="001E029A" w:rsidRPr="002B0890" w:rsidRDefault="001E029A">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b/>
        </w:rPr>
        <w:t>PRIMERO. COMPETENCIA.</w:t>
      </w:r>
      <w:r w:rsidRPr="002B0890">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2B0890">
        <w:rPr>
          <w:rFonts w:ascii="Palatino Linotype" w:eastAsia="Palatino Linotype" w:hAnsi="Palatino Linotype" w:cs="Palatino Linotype"/>
          <w:b/>
        </w:rPr>
        <w:t>LA PARTE RECURRENTE</w:t>
      </w:r>
      <w:r w:rsidRPr="002B0890">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b/>
        </w:rPr>
        <w:t>SEGUNDO. OPORTUNIDAD Y PROCEDIBILIDAD DEL RECURSO DE REVISIÓN</w:t>
      </w:r>
      <w:r w:rsidRPr="002B0890">
        <w:rPr>
          <w:rFonts w:ascii="Palatino Linotype" w:eastAsia="Palatino Linotype" w:hAnsi="Palatino Linotype" w:cs="Palatino Linotype"/>
        </w:rPr>
        <w:t xml:space="preserve">. Previo al estudio del fondo del asunto, se procede a analizar los requisitos de oportunidad y </w:t>
      </w:r>
      <w:proofErr w:type="spellStart"/>
      <w:r w:rsidRPr="002B0890">
        <w:rPr>
          <w:rFonts w:ascii="Palatino Linotype" w:eastAsia="Palatino Linotype" w:hAnsi="Palatino Linotype" w:cs="Palatino Linotype"/>
        </w:rPr>
        <w:t>procedibilidad</w:t>
      </w:r>
      <w:proofErr w:type="spellEnd"/>
      <w:r w:rsidRPr="002B0890">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El recurso de revisión fue interpuesto el </w:t>
      </w:r>
      <w:r w:rsidRPr="002B0890">
        <w:rPr>
          <w:rFonts w:ascii="Palatino Linotype" w:eastAsia="Palatino Linotype" w:hAnsi="Palatino Linotype" w:cs="Palatino Linotype"/>
          <w:b/>
        </w:rPr>
        <w:t>diez de abril de dos mil veintitrés</w:t>
      </w:r>
      <w:r w:rsidRPr="002B0890">
        <w:rPr>
          <w:rFonts w:ascii="Palatino Linotype" w:eastAsia="Palatino Linotype" w:hAnsi="Palatino Linotype" w:cs="Palatino Linotype"/>
        </w:rPr>
        <w:t xml:space="preserve">, es decir, </w:t>
      </w:r>
      <w:r w:rsidRPr="002B0890">
        <w:rPr>
          <w:rFonts w:ascii="Palatino Linotype" w:eastAsia="Palatino Linotype" w:hAnsi="Palatino Linotype" w:cs="Palatino Linotype"/>
          <w:b/>
        </w:rPr>
        <w:t>el mismo día</w:t>
      </w:r>
      <w:r w:rsidRPr="002B0890">
        <w:rPr>
          <w:rFonts w:ascii="Palatino Linotype" w:eastAsia="Palatino Linotype" w:hAnsi="Palatino Linotype" w:cs="Palatino Linotype"/>
        </w:rPr>
        <w:t xml:space="preserve"> en que </w:t>
      </w:r>
      <w:r w:rsidRPr="002B0890">
        <w:rPr>
          <w:rFonts w:ascii="Palatino Linotype" w:eastAsia="Palatino Linotype" w:hAnsi="Palatino Linotype" w:cs="Palatino Linotype"/>
          <w:b/>
        </w:rPr>
        <w:t>EL SUJETO OBLIGADO</w:t>
      </w:r>
      <w:r w:rsidRPr="002B0890">
        <w:rPr>
          <w:rFonts w:ascii="Palatino Linotype" w:eastAsia="Palatino Linotype" w:hAnsi="Palatino Linotype" w:cs="Palatino Linotype"/>
        </w:rPr>
        <w:t xml:space="preserve"> respondió a la solicitud de información. </w:t>
      </w: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Sin que contraríe a lo anterior, el artículo 178 de la Ley de Transparencia, refiere que el plazo de quince días hábiles se contará </w:t>
      </w:r>
      <w:r w:rsidRPr="002B0890">
        <w:rPr>
          <w:rFonts w:ascii="Palatino Linotype" w:eastAsia="Palatino Linotype" w:hAnsi="Palatino Linotype" w:cs="Palatino Linotype"/>
          <w:b/>
        </w:rPr>
        <w:t>a partir del día siguiente de la fecha en que el afectado tuvo conocimiento de la resolución</w:t>
      </w:r>
      <w:r w:rsidRPr="002B0890">
        <w:rPr>
          <w:rFonts w:ascii="Palatino Linotype" w:eastAsia="Palatino Linotype" w:hAnsi="Palatino Linotype" w:cs="Palatino Linotype"/>
        </w:rPr>
        <w:t xml:space="preserve"> materia de impugnación, ya que ello debe entenderse para el efecto de que transcurrido dicho plazo ya no podrá presentarse el medio de impugnación o si es que se presenta, el mismo se considerará extemporáneo, </w:t>
      </w:r>
      <w:r w:rsidRPr="002B0890">
        <w:rPr>
          <w:rFonts w:ascii="Palatino Linotype" w:eastAsia="Palatino Linotype" w:hAnsi="Palatino Linotype" w:cs="Palatino Linotype"/>
          <w:b/>
        </w:rPr>
        <w:t>no así cuando el medio de defensa se interponga antes de que comience a correr el plazo legal;</w:t>
      </w:r>
      <w:r w:rsidRPr="002B0890">
        <w:rPr>
          <w:rFonts w:ascii="Palatino Linotype" w:eastAsia="Palatino Linotype" w:hAnsi="Palatino Linotype" w:cs="Palatino Linotype"/>
        </w:rPr>
        <w:t xml:space="preserve"> tiene aplicación por analogía, la jurisprudencia 1ª. /J.41/2015, publicada en el Semanario Judicial de la Federación y su Gaceta, Libro 19, Junio de 2015, Tomo I, página 569 de la Décima época que lleva por rubro y texto los siguientes:</w:t>
      </w:r>
    </w:p>
    <w:p w:rsidR="001E029A" w:rsidRPr="002B0890" w:rsidRDefault="001E029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2B0890">
        <w:rPr>
          <w:rFonts w:ascii="Palatino Linotype" w:eastAsia="Palatino Linotype" w:hAnsi="Palatino Linotype" w:cs="Palatino Linotype"/>
          <w:i/>
          <w:sz w:val="22"/>
          <w:szCs w:val="22"/>
        </w:rPr>
        <w:t>.</w:t>
      </w:r>
    </w:p>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Al mismo tiempo, por cuanto hace a la </w:t>
      </w:r>
      <w:proofErr w:type="spellStart"/>
      <w:r w:rsidRPr="002B0890">
        <w:rPr>
          <w:rFonts w:ascii="Palatino Linotype" w:eastAsia="Palatino Linotype" w:hAnsi="Palatino Linotype" w:cs="Palatino Linotype"/>
        </w:rPr>
        <w:t>procedibilidad</w:t>
      </w:r>
      <w:proofErr w:type="spellEnd"/>
      <w:r w:rsidRPr="002B0890">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A efecto de sustentar lo anterior, es de suma importancia mencionar que si bien </w:t>
      </w:r>
      <w:r w:rsidRPr="002B0890">
        <w:rPr>
          <w:rFonts w:ascii="Palatino Linotype" w:eastAsia="Palatino Linotype" w:hAnsi="Palatino Linotype" w:cs="Palatino Linotype"/>
          <w:b/>
        </w:rPr>
        <w:t>LA PARTE RECURRENTE</w:t>
      </w:r>
      <w:r w:rsidRPr="002B0890">
        <w:rPr>
          <w:rFonts w:ascii="Palatino Linotype" w:eastAsia="Palatino Linotype" w:hAnsi="Palatino Linotype" w:cs="Palatino Linotype"/>
        </w:rPr>
        <w:t xml:space="preserve"> </w:t>
      </w:r>
      <w:r w:rsidRPr="002B0890">
        <w:rPr>
          <w:rFonts w:ascii="Palatino Linotype" w:eastAsia="Palatino Linotype" w:hAnsi="Palatino Linotype" w:cs="Palatino Linotype"/>
          <w:b/>
        </w:rPr>
        <w:t>no proporcionó nombre completo</w:t>
      </w:r>
      <w:r w:rsidRPr="002B0890">
        <w:rPr>
          <w:rFonts w:ascii="Palatino Linotype" w:eastAsia="Palatino Linotype" w:hAnsi="Palatino Linotype" w:cs="Palatino Linotype"/>
        </w:rPr>
        <w:t xml:space="preserve"> para ser identificada</w:t>
      </w:r>
      <w:r w:rsidRPr="002B0890">
        <w:rPr>
          <w:rFonts w:ascii="Palatino Linotype" w:eastAsia="Palatino Linotype" w:hAnsi="Palatino Linotype" w:cs="Palatino Linotype"/>
          <w:b/>
        </w:rPr>
        <w:t xml:space="preserve"> </w:t>
      </w:r>
      <w:r w:rsidRPr="002B0890">
        <w:rPr>
          <w:rFonts w:ascii="Palatino Linotype" w:eastAsia="Palatino Linotype" w:hAnsi="Palatino Linotype" w:cs="Palatino Linotype"/>
        </w:rPr>
        <w:t>como se advierte en el detalle de seguimiento del SAIMEX, sin embargo, el no proporcionarlo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1E029A" w:rsidRPr="002B0890" w:rsidRDefault="001E029A">
      <w:pPr>
        <w:pBdr>
          <w:top w:val="nil"/>
          <w:left w:val="nil"/>
          <w:bottom w:val="nil"/>
          <w:right w:val="nil"/>
          <w:between w:val="nil"/>
        </w:pBdr>
        <w:ind w:left="864" w:right="864"/>
        <w:jc w:val="both"/>
        <w:rPr>
          <w:rFonts w:ascii="Palatino Linotype" w:eastAsia="Palatino Linotype" w:hAnsi="Palatino Linotype" w:cs="Palatino Linotype"/>
          <w:i/>
        </w:rPr>
      </w:pPr>
    </w:p>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b/>
          <w:i/>
          <w:sz w:val="22"/>
          <w:szCs w:val="22"/>
        </w:rPr>
        <w:t>Las solicitudes</w:t>
      </w:r>
      <w:r w:rsidRPr="002B0890">
        <w:rPr>
          <w:rFonts w:ascii="Palatino Linotype" w:eastAsia="Palatino Linotype" w:hAnsi="Palatino Linotype" w:cs="Palatino Linotype"/>
          <w:i/>
          <w:sz w:val="22"/>
          <w:szCs w:val="22"/>
        </w:rPr>
        <w:t xml:space="preserve"> anónimas, </w:t>
      </w:r>
      <w:r w:rsidRPr="002B0890">
        <w:rPr>
          <w:rFonts w:ascii="Palatino Linotype" w:eastAsia="Palatino Linotype" w:hAnsi="Palatino Linotype" w:cs="Palatino Linotype"/>
          <w:b/>
          <w:i/>
          <w:sz w:val="22"/>
          <w:szCs w:val="22"/>
        </w:rPr>
        <w:t>con</w:t>
      </w:r>
      <w:r w:rsidRPr="002B0890">
        <w:rPr>
          <w:rFonts w:ascii="Palatino Linotype" w:eastAsia="Palatino Linotype" w:hAnsi="Palatino Linotype" w:cs="Palatino Linotype"/>
          <w:i/>
          <w:sz w:val="22"/>
          <w:szCs w:val="22"/>
        </w:rPr>
        <w:t xml:space="preserve"> nombre incompleto o </w:t>
      </w:r>
      <w:r w:rsidRPr="002B0890">
        <w:rPr>
          <w:rFonts w:ascii="Palatino Linotype" w:eastAsia="Palatino Linotype" w:hAnsi="Palatino Linotype" w:cs="Palatino Linotype"/>
          <w:b/>
          <w:i/>
          <w:sz w:val="22"/>
          <w:szCs w:val="22"/>
        </w:rPr>
        <w:t>seudónimo</w:t>
      </w:r>
      <w:r w:rsidRPr="002B0890">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rsidR="001E029A" w:rsidRPr="002B0890" w:rsidRDefault="001E029A">
      <w:pPr>
        <w:pBdr>
          <w:top w:val="nil"/>
          <w:left w:val="nil"/>
          <w:bottom w:val="nil"/>
          <w:right w:val="nil"/>
          <w:between w:val="nil"/>
        </w:pBdr>
        <w:ind w:left="864" w:right="864"/>
        <w:jc w:val="both"/>
        <w:rPr>
          <w:rFonts w:ascii="Palatino Linotype" w:eastAsia="Palatino Linotype" w:hAnsi="Palatino Linotype" w:cs="Palatino Linotype"/>
          <w:i/>
        </w:rPr>
      </w:pP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o seudónimo de </w:t>
      </w:r>
      <w:r w:rsidRPr="002B0890">
        <w:rPr>
          <w:rFonts w:ascii="Palatino Linotype" w:eastAsia="Palatino Linotype" w:hAnsi="Palatino Linotype" w:cs="Palatino Linotype"/>
          <w:b/>
        </w:rPr>
        <w:t>LA PARTE RECURRENTE,</w:t>
      </w:r>
      <w:r w:rsidRPr="002B0890">
        <w:rPr>
          <w:rFonts w:ascii="Palatino Linotype" w:eastAsia="Palatino Linotype" w:hAnsi="Palatino Linotype" w:cs="Palatino Linotype"/>
        </w:rPr>
        <w:t xml:space="preserve"> por lo que, en el presente </w:t>
      </w:r>
      <w:r w:rsidRPr="002B0890">
        <w:rPr>
          <w:rFonts w:ascii="Palatino Linotype" w:eastAsia="Palatino Linotype" w:hAnsi="Palatino Linotype" w:cs="Palatino Linotype"/>
        </w:rPr>
        <w:lastRenderedPageBreak/>
        <w:t>caso, al haber sido presentado el recurso de revisión vía SAIMEX, dicho requisito resulta innecesario.</w:t>
      </w: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Asimismo, por cuanto hace a la </w:t>
      </w:r>
      <w:proofErr w:type="spellStart"/>
      <w:r w:rsidRPr="002B0890">
        <w:rPr>
          <w:rFonts w:ascii="Palatino Linotype" w:eastAsia="Palatino Linotype" w:hAnsi="Palatino Linotype" w:cs="Palatino Linotype"/>
        </w:rPr>
        <w:t>procedibilidad</w:t>
      </w:r>
      <w:proofErr w:type="spellEnd"/>
      <w:r w:rsidRPr="002B0890">
        <w:rPr>
          <w:rFonts w:ascii="Palatino Linotype" w:eastAsia="Palatino Linotype" w:hAnsi="Palatino Linotype" w:cs="Palatino Linotype"/>
        </w:rPr>
        <w:t xml:space="preserve"> del recurso de revisión, es de suma importancia señalar que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Finalmente, se advierte que resulta procedente la interposición del recurso, según lo manifestado por el recurrente en sus motivos de inconformidad, de acuerdo a la fracción V del artículo 179 del ordenamiento legal citado, que a la letra dicen: </w:t>
      </w:r>
    </w:p>
    <w:p w:rsidR="001E029A" w:rsidRPr="002B0890" w:rsidRDefault="001E029A">
      <w:pPr>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b/>
          <w:i/>
          <w:sz w:val="22"/>
          <w:szCs w:val="22"/>
        </w:rPr>
        <w:t>Artículo 179.</w:t>
      </w:r>
      <w:r w:rsidRPr="002B0890">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2B0890">
        <w:rPr>
          <w:rFonts w:ascii="Palatino Linotype" w:eastAsia="Palatino Linotype" w:hAnsi="Palatino Linotype" w:cs="Palatino Linotype"/>
          <w:b/>
          <w:i/>
          <w:sz w:val="22"/>
          <w:szCs w:val="22"/>
        </w:rPr>
        <w:t xml:space="preserve"> (…)</w:t>
      </w:r>
    </w:p>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2B0890">
        <w:rPr>
          <w:rFonts w:ascii="Palatino Linotype" w:eastAsia="Palatino Linotype" w:hAnsi="Palatino Linotype" w:cs="Palatino Linotype"/>
          <w:b/>
          <w:i/>
          <w:sz w:val="22"/>
          <w:szCs w:val="22"/>
        </w:rPr>
        <w:t>V. La entrega de información incompleta;</w:t>
      </w:r>
    </w:p>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2B0890">
        <w:rPr>
          <w:rFonts w:ascii="Palatino Linotype" w:eastAsia="Palatino Linotype" w:hAnsi="Palatino Linotype" w:cs="Palatino Linotype"/>
          <w:b/>
          <w:i/>
          <w:sz w:val="22"/>
          <w:szCs w:val="22"/>
        </w:rPr>
        <w:t>(…)</w:t>
      </w:r>
    </w:p>
    <w:p w:rsidR="001E029A" w:rsidRPr="002B0890" w:rsidRDefault="001E029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b/>
        </w:rPr>
        <w:t xml:space="preserve">TERCERO. MATERIA DE LA REVISIÓN. </w:t>
      </w:r>
      <w:r w:rsidRPr="002B0890">
        <w:rPr>
          <w:rFonts w:ascii="Palatino Linotype" w:eastAsia="Palatino Linotype" w:hAnsi="Palatino Linotype" w:cs="Palatino Linotype"/>
        </w:rPr>
        <w:t>De la revisión a las constancias y documentos que obran en el expediente electrónico se advierte, que el tema sobre el que este Órgano Garante se pronunciará será: verificar si la respuesta otorgada por</w:t>
      </w:r>
      <w:r w:rsidRPr="002B0890">
        <w:rPr>
          <w:rFonts w:ascii="Palatino Linotype" w:eastAsia="Palatino Linotype" w:hAnsi="Palatino Linotype" w:cs="Palatino Linotype"/>
          <w:b/>
        </w:rPr>
        <w:t xml:space="preserve"> EL SUJETO OBLIGADO </w:t>
      </w:r>
      <w:r w:rsidRPr="002B0890">
        <w:rPr>
          <w:rFonts w:ascii="Palatino Linotype" w:eastAsia="Palatino Linotype" w:hAnsi="Palatino Linotype" w:cs="Palatino Linotype"/>
        </w:rPr>
        <w:t>es adecuada y suficiente para satisfacer el Derecho de Acceso a la Información Pública</w:t>
      </w:r>
      <w:r w:rsidRPr="002B0890">
        <w:rPr>
          <w:rFonts w:ascii="Palatino Linotype" w:eastAsia="Palatino Linotype" w:hAnsi="Palatino Linotype" w:cs="Palatino Linotype"/>
          <w:b/>
        </w:rPr>
        <w:t xml:space="preserve"> </w:t>
      </w:r>
      <w:r w:rsidRPr="002B0890">
        <w:rPr>
          <w:rFonts w:ascii="Palatino Linotype" w:eastAsia="Palatino Linotype" w:hAnsi="Palatino Linotype" w:cs="Palatino Linotype"/>
        </w:rPr>
        <w:t xml:space="preserve">de </w:t>
      </w:r>
      <w:r w:rsidRPr="002B0890">
        <w:rPr>
          <w:rFonts w:ascii="Palatino Linotype" w:eastAsia="Palatino Linotype" w:hAnsi="Palatino Linotype" w:cs="Palatino Linotype"/>
          <w:b/>
        </w:rPr>
        <w:t>LA PARTE RECURRENTE,</w:t>
      </w:r>
      <w:r w:rsidRPr="002B0890">
        <w:rPr>
          <w:rFonts w:ascii="Palatino Linotype" w:eastAsia="Palatino Linotype" w:hAnsi="Palatino Linotype" w:cs="Palatino Linotype"/>
        </w:rPr>
        <w:t xml:space="preserve"> o en su defecto, en caso de ser procedente, ordenar la entrega de información oportuna.</w:t>
      </w: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b/>
        </w:rPr>
        <w:t xml:space="preserve">CUARTO. ESTUDIO DEL ASUNTO. </w:t>
      </w:r>
      <w:r w:rsidRPr="002B0890">
        <w:rPr>
          <w:rFonts w:ascii="Palatino Linotype" w:eastAsia="Palatino Linotype" w:hAnsi="Palatino Linotype" w:cs="Palatino Linotype"/>
        </w:rPr>
        <w:t xml:space="preserve">Antes de entrar al análisis de los pronunciamientos del </w:t>
      </w:r>
      <w:r w:rsidRPr="002B0890">
        <w:rPr>
          <w:rFonts w:ascii="Palatino Linotype" w:eastAsia="Palatino Linotype" w:hAnsi="Palatino Linotype" w:cs="Palatino Linotype"/>
          <w:b/>
        </w:rPr>
        <w:t>SUJETO OBLIGADO</w:t>
      </w:r>
      <w:r w:rsidRPr="002B0890">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1E029A" w:rsidRPr="002B0890" w:rsidRDefault="001E029A">
      <w:pPr>
        <w:pBdr>
          <w:top w:val="nil"/>
          <w:left w:val="nil"/>
          <w:bottom w:val="nil"/>
          <w:right w:val="nil"/>
          <w:between w:val="nil"/>
        </w:pBdr>
        <w:ind w:left="864" w:right="864"/>
        <w:jc w:val="both"/>
        <w:rPr>
          <w:rFonts w:ascii="Palatino Linotype" w:eastAsia="Palatino Linotype" w:hAnsi="Palatino Linotype" w:cs="Palatino Linotype"/>
          <w:i/>
        </w:rPr>
      </w:pPr>
    </w:p>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2B0890">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1E029A" w:rsidRPr="002B0890" w:rsidRDefault="001E029A"/>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2B0890">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1E029A" w:rsidRPr="002B0890" w:rsidRDefault="001E029A"/>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rPr>
      </w:pPr>
      <w:r w:rsidRPr="002B0890">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B0890">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w:t>
      </w:r>
    </w:p>
    <w:p w:rsidR="001E029A" w:rsidRPr="002B0890" w:rsidRDefault="001E029A"/>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rPr>
      </w:pPr>
      <w:r w:rsidRPr="002B0890">
        <w:rPr>
          <w:rFonts w:ascii="Palatino Linotype" w:eastAsia="Palatino Linotype" w:hAnsi="Palatino Linotype" w:cs="Palatino Linotype"/>
          <w:b/>
          <w:i/>
          <w:sz w:val="22"/>
          <w:szCs w:val="22"/>
        </w:rPr>
        <w:t>Artículo 6o.</w:t>
      </w:r>
    </w:p>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rPr>
      </w:pPr>
      <w:r w:rsidRPr="002B0890">
        <w:rPr>
          <w:rFonts w:ascii="Palatino Linotype" w:eastAsia="Palatino Linotype" w:hAnsi="Palatino Linotype" w:cs="Palatino Linotype"/>
          <w:i/>
          <w:sz w:val="22"/>
          <w:szCs w:val="22"/>
        </w:rPr>
        <w:t>[...]</w:t>
      </w:r>
    </w:p>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b/>
          <w:i/>
          <w:sz w:val="22"/>
          <w:szCs w:val="22"/>
        </w:rPr>
        <w:lastRenderedPageBreak/>
        <w:t xml:space="preserve">A. Para el ejercicio del derecho de acceso a la información, la Federación y </w:t>
      </w:r>
      <w:r w:rsidRPr="002B0890">
        <w:rPr>
          <w:rFonts w:ascii="Palatino Linotype" w:eastAsia="Palatino Linotype" w:hAnsi="Palatino Linotype" w:cs="Palatino Linotype"/>
          <w:b/>
          <w:i/>
          <w:sz w:val="22"/>
          <w:szCs w:val="22"/>
          <w:u w:val="single"/>
        </w:rPr>
        <w:t>las entidades federativas</w:t>
      </w:r>
      <w:r w:rsidRPr="002B0890">
        <w:rPr>
          <w:rFonts w:ascii="Palatino Linotype" w:eastAsia="Palatino Linotype" w:hAnsi="Palatino Linotype" w:cs="Palatino Linotype"/>
          <w:b/>
          <w:i/>
          <w:sz w:val="22"/>
          <w:szCs w:val="22"/>
        </w:rPr>
        <w:t>,</w:t>
      </w:r>
      <w:r w:rsidRPr="002B0890">
        <w:rPr>
          <w:rFonts w:ascii="Palatino Linotype" w:eastAsia="Palatino Linotype" w:hAnsi="Palatino Linotype" w:cs="Palatino Linotype"/>
          <w:i/>
          <w:sz w:val="22"/>
          <w:szCs w:val="22"/>
        </w:rPr>
        <w:t xml:space="preserve"> en el ámbito de sus respectivas competencias, se regirán por los siguientes principios y bases:</w:t>
      </w:r>
    </w:p>
    <w:p w:rsidR="001E029A" w:rsidRPr="002B0890" w:rsidRDefault="001E029A"/>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 </w:t>
      </w:r>
      <w:r w:rsidRPr="002B0890">
        <w:rPr>
          <w:rFonts w:ascii="Palatino Linotype" w:eastAsia="Palatino Linotype" w:hAnsi="Palatino Linotype" w:cs="Palatino Linotype"/>
          <w:b/>
          <w:i/>
          <w:sz w:val="22"/>
          <w:szCs w:val="22"/>
        </w:rPr>
        <w:t xml:space="preserve">I. </w:t>
      </w:r>
      <w:r w:rsidRPr="002B0890">
        <w:rPr>
          <w:rFonts w:ascii="Palatino Linotype" w:eastAsia="Palatino Linotype" w:hAnsi="Palatino Linotype" w:cs="Palatino Linotype"/>
          <w:b/>
          <w:i/>
          <w:sz w:val="22"/>
          <w:szCs w:val="22"/>
          <w:u w:val="single"/>
        </w:rPr>
        <w:t>Toda la información en posesión de cualquier autoridad, entidad, órgano y organismo de los Poderes</w:t>
      </w:r>
      <w:r w:rsidRPr="002B0890">
        <w:rPr>
          <w:rFonts w:ascii="Palatino Linotype" w:eastAsia="Palatino Linotype" w:hAnsi="Palatino Linotype" w:cs="Palatino Linotype"/>
          <w:i/>
          <w:sz w:val="22"/>
          <w:szCs w:val="22"/>
        </w:rPr>
        <w:t xml:space="preserve"> Ejecutivo, Legislativo </w:t>
      </w:r>
      <w:r w:rsidRPr="002B0890">
        <w:rPr>
          <w:rFonts w:ascii="Palatino Linotype" w:eastAsia="Palatino Linotype" w:hAnsi="Palatino Linotype" w:cs="Palatino Linotype"/>
          <w:b/>
          <w:i/>
          <w:sz w:val="22"/>
          <w:szCs w:val="22"/>
          <w:u w:val="single"/>
        </w:rPr>
        <w:t>y Judicial</w:t>
      </w:r>
      <w:r w:rsidRPr="002B0890">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B0890">
        <w:rPr>
          <w:rFonts w:ascii="Palatino Linotype" w:eastAsia="Palatino Linotype" w:hAnsi="Palatino Linotype" w:cs="Palatino Linotype"/>
          <w:b/>
          <w:i/>
          <w:sz w:val="22"/>
          <w:szCs w:val="22"/>
        </w:rPr>
        <w:t>es pública y sólo podrá ser reservada temporalmente por razones de interés público y seguridad nacional,</w:t>
      </w:r>
      <w:r w:rsidRPr="002B0890">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E029A" w:rsidRPr="002B0890" w:rsidRDefault="001E029A"/>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2B0890">
        <w:rPr>
          <w:rFonts w:ascii="Palatino Linotype" w:eastAsia="Palatino Linotype" w:hAnsi="Palatino Linotype" w:cs="Palatino Linotype"/>
          <w:i/>
          <w:sz w:val="22"/>
          <w:szCs w:val="22"/>
        </w:rPr>
        <w:t> </w:t>
      </w:r>
      <w:r w:rsidRPr="002B0890">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1E029A" w:rsidRPr="002B0890" w:rsidRDefault="001E029A"/>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 </w:t>
      </w:r>
      <w:r w:rsidRPr="002B0890">
        <w:rPr>
          <w:rFonts w:ascii="Palatino Linotype" w:eastAsia="Palatino Linotype" w:hAnsi="Palatino Linotype" w:cs="Palatino Linotype"/>
          <w:b/>
          <w:i/>
          <w:sz w:val="22"/>
          <w:szCs w:val="22"/>
        </w:rPr>
        <w:t xml:space="preserve">III. </w:t>
      </w:r>
      <w:r w:rsidRPr="002B0890">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2B0890">
        <w:rPr>
          <w:rFonts w:ascii="Palatino Linotype" w:eastAsia="Palatino Linotype" w:hAnsi="Palatino Linotype" w:cs="Palatino Linotype"/>
          <w:i/>
          <w:sz w:val="22"/>
          <w:szCs w:val="22"/>
        </w:rPr>
        <w:t xml:space="preserve"> a sus datos personales o a la rectificación de éstos.</w:t>
      </w:r>
    </w:p>
    <w:p w:rsidR="001E029A" w:rsidRPr="002B0890" w:rsidRDefault="001E029A"/>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 </w:t>
      </w:r>
      <w:r w:rsidRPr="002B0890">
        <w:rPr>
          <w:rFonts w:ascii="Palatino Linotype" w:eastAsia="Palatino Linotype" w:hAnsi="Palatino Linotype" w:cs="Palatino Linotype"/>
          <w:b/>
          <w:i/>
          <w:sz w:val="22"/>
          <w:szCs w:val="22"/>
        </w:rPr>
        <w:t xml:space="preserve">IV. </w:t>
      </w:r>
      <w:r w:rsidRPr="002B0890">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1E029A" w:rsidRPr="002B0890" w:rsidRDefault="001E029A"/>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b/>
          <w:i/>
          <w:sz w:val="22"/>
          <w:szCs w:val="22"/>
        </w:rPr>
        <w:t xml:space="preserve">V. </w:t>
      </w:r>
      <w:r w:rsidRPr="002B0890">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1E029A" w:rsidRPr="002B0890" w:rsidRDefault="001E029A"/>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 </w:t>
      </w:r>
      <w:r w:rsidRPr="002B0890">
        <w:rPr>
          <w:rFonts w:ascii="Palatino Linotype" w:eastAsia="Palatino Linotype" w:hAnsi="Palatino Linotype" w:cs="Palatino Linotype"/>
          <w:b/>
          <w:i/>
          <w:sz w:val="22"/>
          <w:szCs w:val="22"/>
        </w:rPr>
        <w:t xml:space="preserve">VI. </w:t>
      </w:r>
      <w:r w:rsidRPr="002B0890">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1E029A" w:rsidRPr="002B0890" w:rsidRDefault="001E029A"/>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 </w:t>
      </w:r>
      <w:r w:rsidRPr="002B0890">
        <w:rPr>
          <w:rFonts w:ascii="Palatino Linotype" w:eastAsia="Palatino Linotype" w:hAnsi="Palatino Linotype" w:cs="Palatino Linotype"/>
          <w:b/>
          <w:i/>
          <w:sz w:val="22"/>
          <w:szCs w:val="22"/>
        </w:rPr>
        <w:t xml:space="preserve">VII. </w:t>
      </w:r>
      <w:r w:rsidRPr="002B0890">
        <w:rPr>
          <w:rFonts w:ascii="Palatino Linotype" w:eastAsia="Palatino Linotype" w:hAnsi="Palatino Linotype" w:cs="Palatino Linotype"/>
          <w:i/>
          <w:sz w:val="22"/>
          <w:szCs w:val="22"/>
        </w:rPr>
        <w:t xml:space="preserve">La inobservancia a las disposiciones en materia de acceso a la información pública será sancionada en los términos que dispongan las leyes. </w:t>
      </w:r>
    </w:p>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lastRenderedPageBreak/>
        <w:t>[...]</w:t>
      </w:r>
    </w:p>
    <w:p w:rsidR="001E029A" w:rsidRPr="002B0890" w:rsidRDefault="001E029A"/>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1E029A" w:rsidRPr="002B0890" w:rsidRDefault="001E029A">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b/>
          <w:i/>
          <w:sz w:val="22"/>
          <w:szCs w:val="22"/>
        </w:rPr>
        <w:t>Artículo 4</w:t>
      </w:r>
      <w:r w:rsidRPr="002B0890">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1E029A" w:rsidRPr="002B0890" w:rsidRDefault="001E029A"/>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2B089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1E029A" w:rsidRPr="002B0890" w:rsidRDefault="001E029A"/>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lastRenderedPageBreak/>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1E029A" w:rsidRPr="002B0890" w:rsidRDefault="001E029A">
      <w:pPr>
        <w:pBdr>
          <w:top w:val="nil"/>
          <w:left w:val="nil"/>
          <w:bottom w:val="nil"/>
          <w:right w:val="nil"/>
          <w:between w:val="nil"/>
        </w:pBdr>
        <w:ind w:left="864" w:right="864"/>
        <w:jc w:val="both"/>
        <w:rPr>
          <w:i/>
        </w:rPr>
      </w:pPr>
    </w:p>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b/>
          <w:i/>
          <w:sz w:val="22"/>
          <w:szCs w:val="22"/>
        </w:rPr>
        <w:t>Artículo 12</w:t>
      </w:r>
      <w:r w:rsidRPr="002B0890">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rsidR="001E029A" w:rsidRPr="002B0890" w:rsidRDefault="001E029A">
      <w:pPr>
        <w:pBdr>
          <w:top w:val="nil"/>
          <w:left w:val="nil"/>
          <w:bottom w:val="nil"/>
          <w:right w:val="nil"/>
          <w:between w:val="nil"/>
        </w:pBdr>
        <w:ind w:left="864" w:right="864"/>
        <w:jc w:val="both"/>
        <w:rPr>
          <w:i/>
        </w:rPr>
      </w:pPr>
    </w:p>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1E029A" w:rsidRPr="002B0890" w:rsidRDefault="001E029A">
      <w:pPr>
        <w:pBdr>
          <w:top w:val="nil"/>
          <w:left w:val="nil"/>
          <w:bottom w:val="nil"/>
          <w:right w:val="nil"/>
          <w:between w:val="nil"/>
        </w:pBdr>
        <w:ind w:left="864" w:right="864"/>
        <w:jc w:val="both"/>
        <w:rPr>
          <w:i/>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2B0890">
        <w:rPr>
          <w:rFonts w:ascii="Palatino Linotype" w:eastAsia="Palatino Linotype" w:hAnsi="Palatino Linotype" w:cs="Palatino Linotype"/>
          <w:b/>
        </w:rPr>
        <w:t xml:space="preserve"> </w:t>
      </w:r>
      <w:r w:rsidRPr="002B0890">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2B0890">
        <w:rPr>
          <w:rFonts w:ascii="Palatino Linotype" w:eastAsia="Palatino Linotype" w:hAnsi="Palatino Linotype" w:cs="Palatino Linotype"/>
          <w:i/>
        </w:rPr>
        <w:t>ad hoc</w:t>
      </w:r>
      <w:r w:rsidRPr="002B0890">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1E029A" w:rsidRPr="002B0890" w:rsidRDefault="001E029A">
      <w:pPr>
        <w:pBdr>
          <w:top w:val="nil"/>
          <w:left w:val="nil"/>
          <w:bottom w:val="nil"/>
          <w:right w:val="nil"/>
          <w:between w:val="nil"/>
        </w:pBdr>
        <w:spacing w:line="360" w:lineRule="auto"/>
        <w:jc w:val="both"/>
      </w:pPr>
    </w:p>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03/17</w:t>
      </w:r>
    </w:p>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NO EXISTE OBLIGACIÓN DE ELABORAR DOCUMENTOS AD HOC PARA ATENDER LAS SOLICITUDES DE ACCESO A LA INFORMACIÓN.</w:t>
      </w:r>
    </w:p>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lastRenderedPageBreak/>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E029A" w:rsidRPr="002B0890" w:rsidRDefault="001E029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Por otra parte, y aunado a lo antepuesto, el último párrafo del artículo 24 de la Ley de la materia, dispone que los Sujetos Obligados solo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1E029A" w:rsidRPr="002B0890" w:rsidRDefault="001E029A">
      <w:pPr>
        <w:pBdr>
          <w:top w:val="nil"/>
          <w:left w:val="nil"/>
          <w:bottom w:val="nil"/>
          <w:right w:val="nil"/>
          <w:between w:val="nil"/>
        </w:pBdr>
        <w:spacing w:line="360" w:lineRule="auto"/>
        <w:jc w:val="both"/>
      </w:pPr>
    </w:p>
    <w:p w:rsidR="001E029A" w:rsidRPr="002B0890" w:rsidRDefault="002B0890">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2B0890">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1E029A" w:rsidRPr="002B0890" w:rsidRDefault="001E029A">
      <w:pPr>
        <w:pBdr>
          <w:top w:val="nil"/>
          <w:left w:val="nil"/>
          <w:bottom w:val="nil"/>
          <w:right w:val="nil"/>
          <w:between w:val="nil"/>
        </w:pBdr>
        <w:spacing w:line="360" w:lineRule="auto"/>
        <w:ind w:right="49"/>
        <w:jc w:val="both"/>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w:t>
      </w:r>
      <w:r w:rsidRPr="002B0890">
        <w:rPr>
          <w:rFonts w:ascii="Palatino Linotype" w:eastAsia="Palatino Linotype" w:hAnsi="Palatino Linotype" w:cs="Palatino Linotype"/>
        </w:rPr>
        <w:lastRenderedPageBreak/>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b/>
          <w:i/>
          <w:sz w:val="22"/>
          <w:szCs w:val="22"/>
        </w:rPr>
        <w:t xml:space="preserve">Artículo 3. </w:t>
      </w:r>
      <w:r w:rsidRPr="002B0890">
        <w:rPr>
          <w:rFonts w:ascii="Palatino Linotype" w:eastAsia="Palatino Linotype" w:hAnsi="Palatino Linotype" w:cs="Palatino Linotype"/>
          <w:i/>
          <w:sz w:val="22"/>
          <w:szCs w:val="22"/>
        </w:rPr>
        <w:t>Para los efectos de la presente Ley se entenderá por:</w:t>
      </w:r>
    </w:p>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w:t>
      </w:r>
    </w:p>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b/>
          <w:i/>
          <w:sz w:val="22"/>
          <w:szCs w:val="22"/>
        </w:rPr>
        <w:t>XI. Documento:</w:t>
      </w:r>
      <w:r w:rsidRPr="002B0890">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b/>
          <w:i/>
          <w:sz w:val="22"/>
          <w:szCs w:val="22"/>
        </w:rPr>
        <w:t>(…</w:t>
      </w:r>
      <w:r w:rsidRPr="002B0890">
        <w:rPr>
          <w:rFonts w:ascii="Palatino Linotype" w:eastAsia="Palatino Linotype" w:hAnsi="Palatino Linotype" w:cs="Palatino Linotype"/>
          <w:i/>
          <w:sz w:val="22"/>
          <w:szCs w:val="22"/>
        </w:rPr>
        <w:t>)</w:t>
      </w:r>
    </w:p>
    <w:p w:rsidR="001E029A" w:rsidRPr="002B0890" w:rsidRDefault="001E029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1E029A" w:rsidRPr="002B0890" w:rsidRDefault="002B0890">
      <w:pPr>
        <w:pBdr>
          <w:top w:val="nil"/>
          <w:left w:val="nil"/>
          <w:bottom w:val="nil"/>
          <w:right w:val="nil"/>
          <w:between w:val="nil"/>
        </w:pBdr>
        <w:spacing w:line="360" w:lineRule="auto"/>
        <w:jc w:val="both"/>
      </w:pPr>
      <w:r w:rsidRPr="002B0890">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1E029A" w:rsidRPr="002B0890" w:rsidRDefault="001E029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CRITERIO 0002-11</w:t>
      </w:r>
    </w:p>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 xml:space="preserve">INFORMACIÓN PÚBLICA, CONCEPTO DE, EN MATERIA DE TRANSPARENCIA. INTERPRETACIÓN SISTEMÁTICA DE LOS ARTÍCULOS 2°, FRACCIÓN V, XV, Y XVI, 3°, 4°, 11 Y 41. De conformidad con los artículos antes referidos, el derecho de acceso a la información pública, se </w:t>
      </w:r>
      <w:r w:rsidRPr="002B0890">
        <w:rPr>
          <w:rFonts w:ascii="Palatino Linotype" w:eastAsia="Palatino Linotype" w:hAnsi="Palatino Linotype" w:cs="Palatino Linotype"/>
          <w:i/>
          <w:sz w:val="22"/>
          <w:szCs w:val="22"/>
        </w:rPr>
        <w:lastRenderedPageBreak/>
        <w:t>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En consecuencia el acceso a la información se refiere a que se cumplan cualquiera de los siguientes tres supuestos:</w:t>
      </w:r>
    </w:p>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De ahí que </w:t>
      </w:r>
      <w:r w:rsidRPr="002B0890">
        <w:rPr>
          <w:rFonts w:ascii="Palatino Linotype" w:eastAsia="Palatino Linotype" w:hAnsi="Palatino Linotype" w:cs="Palatino Linotype"/>
          <w:b/>
        </w:rPr>
        <w:t>EL SUJETO OBLIGADO</w:t>
      </w:r>
      <w:r w:rsidRPr="002B0890">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Apuntado lo anterior y del análisis de la solicitud</w:t>
      </w:r>
      <w:r w:rsidRPr="002B0890">
        <w:rPr>
          <w:rFonts w:ascii="Palatino Linotype" w:eastAsia="Palatino Linotype" w:hAnsi="Palatino Linotype" w:cs="Palatino Linotype"/>
          <w:b/>
        </w:rPr>
        <w:t>,</w:t>
      </w:r>
      <w:r w:rsidRPr="002B0890">
        <w:rPr>
          <w:rFonts w:ascii="Palatino Linotype" w:eastAsia="Palatino Linotype" w:hAnsi="Palatino Linotype" w:cs="Palatino Linotype"/>
        </w:rPr>
        <w:t xml:space="preserve"> motivo del recurso de revisión que ahora se resuelve, se advierte que </w:t>
      </w:r>
      <w:r w:rsidRPr="002B0890">
        <w:rPr>
          <w:rFonts w:ascii="Palatino Linotype" w:eastAsia="Palatino Linotype" w:hAnsi="Palatino Linotype" w:cs="Palatino Linotype"/>
          <w:b/>
        </w:rPr>
        <w:t>LA PARTE RECURRENTE</w:t>
      </w:r>
      <w:r w:rsidRPr="002B0890">
        <w:rPr>
          <w:rFonts w:ascii="Palatino Linotype" w:eastAsia="Palatino Linotype" w:hAnsi="Palatino Linotype" w:cs="Palatino Linotype"/>
        </w:rPr>
        <w:t xml:space="preserve"> requirió al </w:t>
      </w:r>
      <w:r w:rsidRPr="002B0890">
        <w:rPr>
          <w:rFonts w:ascii="Palatino Linotype" w:eastAsia="Palatino Linotype" w:hAnsi="Palatino Linotype" w:cs="Palatino Linotype"/>
          <w:b/>
        </w:rPr>
        <w:t>SUJETO OBLIGADO</w:t>
      </w:r>
      <w:r w:rsidRPr="002B0890">
        <w:rPr>
          <w:rFonts w:ascii="Palatino Linotype" w:eastAsia="Palatino Linotype" w:hAnsi="Palatino Linotype" w:cs="Palatino Linotype"/>
        </w:rPr>
        <w:t xml:space="preserve"> le proporcionara lo siguiente:  </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lastRenderedPageBreak/>
        <w:t xml:space="preserve">Presupuesto ejercido por la Secretaria del Ayuntamiento durante los años 2021, 2022 y 2023; y </w:t>
      </w:r>
    </w:p>
    <w:p w:rsidR="001E029A" w:rsidRPr="002B0890" w:rsidRDefault="002B0890">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Presupuesto asignado durante el 2023; desglosado por capitulo y partida presupuestal. </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Recordemos que en un primer momento </w:t>
      </w:r>
      <w:r w:rsidRPr="002B0890">
        <w:rPr>
          <w:rFonts w:ascii="Palatino Linotype" w:eastAsia="Palatino Linotype" w:hAnsi="Palatino Linotype" w:cs="Palatino Linotype"/>
          <w:b/>
        </w:rPr>
        <w:t>EL SUJETO OBLIGADO</w:t>
      </w:r>
      <w:r w:rsidRPr="002B0890">
        <w:rPr>
          <w:rFonts w:ascii="Palatino Linotype" w:eastAsia="Palatino Linotype" w:hAnsi="Palatino Linotype" w:cs="Palatino Linotype"/>
        </w:rPr>
        <w:t xml:space="preserve"> dijo que luego de una búsqueda exhaustiva, lo referente al Presupuesto de Egresos Autorizado para el año dos mil veintitrés, estaría disponible para su consulta en </w:t>
      </w:r>
      <w:hyperlink r:id="rId13">
        <w:r w:rsidRPr="002B0890">
          <w:rPr>
            <w:rFonts w:ascii="Palatino Linotype" w:eastAsia="Palatino Linotype" w:hAnsi="Palatino Linotype" w:cs="Palatino Linotype"/>
            <w:u w:val="single"/>
          </w:rPr>
          <w:t>https://ecatepec.gob.mx/transparencia-conac</w:t>
        </w:r>
      </w:hyperlink>
      <w:r w:rsidRPr="002B0890">
        <w:rPr>
          <w:rFonts w:ascii="Palatino Linotype" w:eastAsia="Palatino Linotype" w:hAnsi="Palatino Linotype" w:cs="Palatino Linotype"/>
        </w:rPr>
        <w:t xml:space="preserve"> </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Además de referir que adjunto al presente anexaría el presupuesto ejercido por la Secretaria del Ayuntamiento en los años dos mil veintiuno y dos mil veintidós, y dijo que del presupuesto del año dos mil veintitrés, fue el dieciocho de marzo del dos mil veintitrés había sido aprobado y el mismo estaba en proceso de ser publicado. </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Además remitió capturas de pantalla para la localización de la información consistentes en: </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center"/>
        <w:rPr>
          <w:rFonts w:ascii="Palatino Linotype" w:eastAsia="Palatino Linotype" w:hAnsi="Palatino Linotype" w:cs="Palatino Linotype"/>
        </w:rPr>
      </w:pPr>
      <w:r w:rsidRPr="002B0890">
        <w:rPr>
          <w:noProof/>
        </w:rPr>
        <w:lastRenderedPageBreak/>
        <w:drawing>
          <wp:inline distT="0" distB="0" distL="0" distR="0">
            <wp:extent cx="6914243" cy="4877053"/>
            <wp:effectExtent l="0" t="0" r="0" b="0"/>
            <wp:docPr id="15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rot="16200000">
                      <a:off x="0" y="0"/>
                      <a:ext cx="6914243" cy="4877053"/>
                    </a:xfrm>
                    <a:prstGeom prst="rect">
                      <a:avLst/>
                    </a:prstGeom>
                    <a:ln/>
                  </pic:spPr>
                </pic:pic>
              </a:graphicData>
            </a:graphic>
          </wp:inline>
        </w:drawing>
      </w:r>
    </w:p>
    <w:p w:rsidR="001E029A" w:rsidRPr="002B0890" w:rsidRDefault="002B0890">
      <w:pPr>
        <w:pBdr>
          <w:top w:val="nil"/>
          <w:left w:val="nil"/>
          <w:bottom w:val="nil"/>
          <w:right w:val="nil"/>
          <w:between w:val="nil"/>
        </w:pBdr>
        <w:spacing w:line="360" w:lineRule="auto"/>
        <w:jc w:val="center"/>
        <w:rPr>
          <w:rFonts w:ascii="Palatino Linotype" w:eastAsia="Palatino Linotype" w:hAnsi="Palatino Linotype" w:cs="Palatino Linotype"/>
        </w:rPr>
      </w:pPr>
      <w:r w:rsidRPr="002B0890">
        <w:rPr>
          <w:noProof/>
        </w:rPr>
        <w:lastRenderedPageBreak/>
        <w:drawing>
          <wp:inline distT="0" distB="0" distL="0" distR="0">
            <wp:extent cx="5612130" cy="3869055"/>
            <wp:effectExtent l="0" t="0" r="0" b="0"/>
            <wp:docPr id="14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612130" cy="3869055"/>
                    </a:xfrm>
                    <a:prstGeom prst="rect">
                      <a:avLst/>
                    </a:prstGeom>
                    <a:ln/>
                  </pic:spPr>
                </pic:pic>
              </a:graphicData>
            </a:graphic>
          </wp:inline>
        </w:drawing>
      </w:r>
    </w:p>
    <w:p w:rsidR="001E029A" w:rsidRPr="002B0890" w:rsidRDefault="001E029A">
      <w:pPr>
        <w:pBdr>
          <w:top w:val="nil"/>
          <w:left w:val="nil"/>
          <w:bottom w:val="nil"/>
          <w:right w:val="nil"/>
          <w:between w:val="nil"/>
        </w:pBdr>
        <w:spacing w:line="360" w:lineRule="auto"/>
        <w:jc w:val="center"/>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Esto no sin dejar de mencionar que de los años dos mil veintiuno y dos mil veintidós remitió los Estados de Avances Presupuestales de Egresos de la Secretaría del Ayuntamiento. </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Atenta a esta situación fue que </w:t>
      </w:r>
      <w:r w:rsidRPr="002B0890">
        <w:rPr>
          <w:rFonts w:ascii="Palatino Linotype" w:eastAsia="Palatino Linotype" w:hAnsi="Palatino Linotype" w:cs="Palatino Linotype"/>
          <w:b/>
        </w:rPr>
        <w:t>LA PARTE RECURRENTE</w:t>
      </w:r>
      <w:r w:rsidRPr="002B0890">
        <w:rPr>
          <w:rFonts w:ascii="Palatino Linotype" w:eastAsia="Palatino Linotype" w:hAnsi="Palatino Linotype" w:cs="Palatino Linotype"/>
        </w:rPr>
        <w:t xml:space="preserve"> decide interponer este medio de impugnación por considerar que no se encuentra la información solicitada, es decir, se actualiza la causal de procedencia para este medio de impugnación cuando la información resulte incompleta. </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lastRenderedPageBreak/>
        <w:t xml:space="preserve">Así pues dentro de la Etapa de Instrucción, tuvimos que </w:t>
      </w:r>
      <w:r w:rsidRPr="002B0890">
        <w:rPr>
          <w:rFonts w:ascii="Palatino Linotype" w:eastAsia="Palatino Linotype" w:hAnsi="Palatino Linotype" w:cs="Palatino Linotype"/>
          <w:b/>
        </w:rPr>
        <w:t>EL SUJETO OBLIGADO</w:t>
      </w:r>
      <w:r w:rsidRPr="002B0890">
        <w:rPr>
          <w:rFonts w:ascii="Palatino Linotype" w:eastAsia="Palatino Linotype" w:hAnsi="Palatino Linotype" w:cs="Palatino Linotype"/>
        </w:rPr>
        <w:t xml:space="preserve"> decidió remitir su Informe Justificado mediante el que la Tesorería Municipal hizo entrega del Presupuesto de Egresos Detallado de los ejercicios fiscales de los años dos mil veintiuno y de enero a septiembre de dos mil veintidós. </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Así como el presupuesto ejercido durante el ejercicio fiscal dos mil veintitrés señaló que puede encontrarse en </w:t>
      </w:r>
      <w:hyperlink r:id="rId16">
        <w:r w:rsidRPr="002B0890">
          <w:rPr>
            <w:rFonts w:ascii="Palatino Linotype" w:eastAsia="Palatino Linotype" w:hAnsi="Palatino Linotype" w:cs="Palatino Linotype"/>
            <w:u w:val="single"/>
          </w:rPr>
          <w:t>http://ecatepec.gob.mx/transparencia-conac</w:t>
        </w:r>
      </w:hyperlink>
      <w:r w:rsidRPr="002B0890">
        <w:rPr>
          <w:rFonts w:ascii="Palatino Linotype" w:eastAsia="Palatino Linotype" w:hAnsi="Palatino Linotype" w:cs="Palatino Linotype"/>
        </w:rPr>
        <w:t xml:space="preserve"> </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Ahora bien, este Instituto de Transparencia del Estado de México verificará el Marco Normativo que faculta o no al </w:t>
      </w:r>
      <w:r w:rsidRPr="002B0890">
        <w:rPr>
          <w:rFonts w:ascii="Palatino Linotype" w:eastAsia="Palatino Linotype" w:hAnsi="Palatino Linotype" w:cs="Palatino Linotype"/>
          <w:b/>
        </w:rPr>
        <w:t>SUJETO OBLIGADO</w:t>
      </w:r>
      <w:r w:rsidRPr="002B0890">
        <w:rPr>
          <w:rFonts w:ascii="Palatino Linotype" w:eastAsia="Palatino Linotype" w:hAnsi="Palatino Linotype" w:cs="Palatino Linotype"/>
        </w:rPr>
        <w:t xml:space="preserve"> para dotar de la información requerida por la persona solicitante y tenemos que: </w:t>
      </w:r>
    </w:p>
    <w:p w:rsidR="001E029A" w:rsidRPr="002B0890" w:rsidRDefault="001E029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2B0890">
        <w:rPr>
          <w:rFonts w:ascii="Palatino Linotype" w:eastAsia="Palatino Linotype" w:hAnsi="Palatino Linotype" w:cs="Palatino Linotype"/>
          <w:b/>
          <w:i/>
          <w:sz w:val="22"/>
          <w:szCs w:val="22"/>
        </w:rPr>
        <w:t xml:space="preserve">LEY ORGÁNICA MUNICIPAL DEL ESTADO DE MÉXICO </w:t>
      </w: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 xml:space="preserve">TITULO IV Régimen Administrativo </w:t>
      </w: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CAPITULO PRIMERO De las Dependencias Administrativas</w:t>
      </w: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 xml:space="preserve">Artículo 87.- Para el despacho, estudio y planeación de los diversos asuntos de la administración municipal, el ayuntamiento contará por lo menos con las siguientes Dependencias: </w:t>
      </w: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w:t>
      </w: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2B0890">
        <w:rPr>
          <w:rFonts w:ascii="Palatino Linotype" w:eastAsia="Palatino Linotype" w:hAnsi="Palatino Linotype" w:cs="Palatino Linotype"/>
          <w:b/>
          <w:i/>
          <w:sz w:val="22"/>
          <w:szCs w:val="22"/>
        </w:rPr>
        <w:t>II. La tesorería municipal.</w:t>
      </w: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w:t>
      </w:r>
    </w:p>
    <w:p w:rsidR="001E029A" w:rsidRPr="002B0890" w:rsidRDefault="001E029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 xml:space="preserve">CAPITULO SEGUNDO De la Tesorería Municipal </w:t>
      </w: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2B0890">
        <w:rPr>
          <w:rFonts w:ascii="Palatino Linotype" w:eastAsia="Palatino Linotype" w:hAnsi="Palatino Linotype" w:cs="Palatino Linotype"/>
          <w:b/>
          <w:i/>
          <w:sz w:val="22"/>
          <w:szCs w:val="22"/>
        </w:rPr>
        <w:t>Artículo 93.- La tesorería municipal es el órgano encargado de la recaudación de los ingresos municipales y responsable de realizar las erogaciones que haga el ayuntamiento.</w:t>
      </w:r>
    </w:p>
    <w:p w:rsidR="001E029A" w:rsidRPr="002B0890" w:rsidRDefault="001E029A">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 xml:space="preserve">Artículo 95.- Son atribuciones del tesorero municipal: </w:t>
      </w: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2B0890">
        <w:rPr>
          <w:rFonts w:ascii="Palatino Linotype" w:eastAsia="Palatino Linotype" w:hAnsi="Palatino Linotype" w:cs="Palatino Linotype"/>
          <w:b/>
          <w:i/>
          <w:sz w:val="22"/>
          <w:szCs w:val="22"/>
        </w:rPr>
        <w:t xml:space="preserve">I. Administrar la hacienda pública municipal, de conformidad con las disposiciones legales aplicables; </w:t>
      </w: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2B0890">
        <w:rPr>
          <w:rFonts w:ascii="Palatino Linotype" w:eastAsia="Palatino Linotype" w:hAnsi="Palatino Linotype" w:cs="Palatino Linotype"/>
          <w:b/>
          <w:i/>
          <w:sz w:val="22"/>
          <w:szCs w:val="22"/>
        </w:rPr>
        <w:t>(…)</w:t>
      </w: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2B0890">
        <w:rPr>
          <w:rFonts w:ascii="Palatino Linotype" w:eastAsia="Palatino Linotype" w:hAnsi="Palatino Linotype" w:cs="Palatino Linotype"/>
          <w:b/>
          <w:i/>
          <w:sz w:val="22"/>
          <w:szCs w:val="22"/>
        </w:rPr>
        <w:lastRenderedPageBreak/>
        <w:t>IV. Llevar los registros contables, financieros y administrativos de los ingresos, egresos, e inventarios;</w:t>
      </w: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w:t>
      </w:r>
    </w:p>
    <w:p w:rsidR="001E029A" w:rsidRPr="002B0890" w:rsidRDefault="001E029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BANDO MUNICIPAL DE ECATEPEC DE MORELOS 2023</w:t>
      </w: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TÍTULO DÉCIMO De las Dependencias de la Administración Pública Municipal</w:t>
      </w: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CAPÍTULO I Disposiciones Generales</w:t>
      </w: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Artículo 44. Para el ejercicio de sus atribuciones, tanto el H. Ayuntamiento como el Presidente Municipal se auxiliarán de las siguientes dependencias que estarán subordinadas a este último:</w:t>
      </w: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w:t>
      </w: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2B0890">
        <w:rPr>
          <w:rFonts w:ascii="Palatino Linotype" w:eastAsia="Palatino Linotype" w:hAnsi="Palatino Linotype" w:cs="Palatino Linotype"/>
          <w:b/>
          <w:i/>
          <w:sz w:val="22"/>
          <w:szCs w:val="22"/>
        </w:rPr>
        <w:t>II. Tesorería Municipal;</w:t>
      </w: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w:t>
      </w:r>
    </w:p>
    <w:p w:rsidR="001E029A" w:rsidRPr="002B0890" w:rsidRDefault="001E029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 xml:space="preserve">CAPÍTULO III De la Tesorería Municipal </w:t>
      </w: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Artículo 47. La Tesorería Municipal es la dependencia encargada de la recaudación de los ingresos municipales y la administración de la Hacienda Pública Municipal, responsable de realizar y verificar las erogaciones y funciones requeridas por el H. Ayuntamiento; el Presidente Municipal Constitucional y demás dependencias de la Administración Pública Municipal, apegadas a la Constitución Política de los Estados Unidos Mexicanos, la Ley General de Contabilidad Gubernamental, la Ley de Disciplina Financiera de las Entidades Federativas y los Municipios, el Código Financiero del Estado de México y Municipios, Ley Orgánica Municipal del Estado de México, la Ley de Gobierno Digital del Estado de México y Municipios, y los demás ordenamientos legales vigentes aplicables a la materia.</w:t>
      </w: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w:t>
      </w:r>
    </w:p>
    <w:p w:rsidR="001E029A" w:rsidRPr="002B0890" w:rsidRDefault="001E029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En esa inteligencia, es dable señalar que el Ayuntamiento de Ecatepec de Morelos es competente para dar contestación a la solicitud de información impugnada, además cobra sentido definir que tanto la respuesta como el Informe Justificado fueron emitidos por la Persona Servidora Pública Habilitada Competente por cuenta de la Tesorería Municipal, siguiendo el procedimiento establecido por el artículo 162 de la Ley de Transparencia y Acceso a la Información Pública del Estado de México y </w:t>
      </w:r>
      <w:r w:rsidRPr="002B0890">
        <w:rPr>
          <w:rFonts w:ascii="Palatino Linotype" w:eastAsia="Palatino Linotype" w:hAnsi="Palatino Linotype" w:cs="Palatino Linotype"/>
        </w:rPr>
        <w:lastRenderedPageBreak/>
        <w:t xml:space="preserve">Municipios, ya que la misma está facultada para dar trámite a la solicitud en comento de conformidad con la fracción XXXIX del artículo tercero de la legislación local vigente en materia de transparencia: </w:t>
      </w:r>
    </w:p>
    <w:p w:rsidR="001E029A" w:rsidRPr="002B0890" w:rsidRDefault="001E029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rsidR="001E029A" w:rsidRPr="002B0890" w:rsidRDefault="001E029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1E029A" w:rsidRPr="002B0890" w:rsidRDefault="002B0890">
      <w:pPr>
        <w:shd w:val="clear" w:color="auto" w:fill="FFFFFF"/>
        <w:spacing w:line="360" w:lineRule="auto"/>
        <w:jc w:val="both"/>
      </w:pPr>
      <w:r w:rsidRPr="002B0890">
        <w:rPr>
          <w:rFonts w:ascii="Palatino Linotype" w:eastAsia="Palatino Linotype" w:hAnsi="Palatino Linotype" w:cs="Palatino Linotype"/>
        </w:rPr>
        <w:t>En este orden de ideas, se advierte que efectivamente la Unidad de Transparencia cumplió con lo expresado en el artículo 162 de la Ley de Transparencia y Acceso a la Información Pública del Estado de México y Municipios, el cual menciona lo siguiente:</w:t>
      </w:r>
    </w:p>
    <w:p w:rsidR="001E029A" w:rsidRPr="002B0890" w:rsidRDefault="001E029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t xml:space="preserve">Artículo 162. Las unidades de transparencia deberán garantizar que las solicitudes </w:t>
      </w:r>
      <w:r w:rsidRPr="002B0890">
        <w:rPr>
          <w:rFonts w:ascii="Palatino Linotype" w:eastAsia="Palatino Linotype" w:hAnsi="Palatino Linotype" w:cs="Palatino Linotype"/>
          <w:b/>
          <w:i/>
          <w:sz w:val="22"/>
          <w:szCs w:val="22"/>
        </w:rPr>
        <w:t xml:space="preserve">se turnen a todas las Áreas competentes </w:t>
      </w:r>
      <w:r w:rsidRPr="002B0890">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En este punto de la resolución conviene centrar nuestro estudio en dos partes, la primera relacionada con el presupuesto ejercido por la Secretaría del Ayuntamiento en los años 2021, 2022 y 2023; y la segunda, relacionada con el presupuesto asignado para el año 2023 desglosado por capítulos y partidas. </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b/>
        </w:rPr>
      </w:pPr>
      <w:r w:rsidRPr="002B0890">
        <w:rPr>
          <w:rFonts w:ascii="Palatino Linotype" w:eastAsia="Palatino Linotype" w:hAnsi="Palatino Linotype" w:cs="Palatino Linotype"/>
          <w:b/>
        </w:rPr>
        <w:t xml:space="preserve">PRIMERA PARTE: PRESUPUESTO EJERCIDO POR LA SECRETARÍA DEL AYUNTAMIENTO EN LOS AÑOS 2021, 2022 Y 2023. </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b/>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De las constancias que integran a este expediente se advierte que en la respuesta a la solicitud de información, </w:t>
      </w:r>
      <w:r w:rsidRPr="002B0890">
        <w:rPr>
          <w:rFonts w:ascii="Palatino Linotype" w:eastAsia="Palatino Linotype" w:hAnsi="Palatino Linotype" w:cs="Palatino Linotype"/>
          <w:b/>
        </w:rPr>
        <w:t>EL SUJETO OBLIGADO</w:t>
      </w:r>
      <w:r w:rsidRPr="002B0890">
        <w:rPr>
          <w:rFonts w:ascii="Palatino Linotype" w:eastAsia="Palatino Linotype" w:hAnsi="Palatino Linotype" w:cs="Palatino Linotype"/>
        </w:rPr>
        <w:t xml:space="preserve"> remitió los siguientes archivos; </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b/>
        </w:rPr>
      </w:pPr>
      <w:proofErr w:type="spellStart"/>
      <w:proofErr w:type="gramStart"/>
      <w:r w:rsidRPr="002B0890">
        <w:rPr>
          <w:rFonts w:ascii="Palatino Linotype" w:eastAsia="Palatino Linotype" w:hAnsi="Palatino Linotype" w:cs="Palatino Linotype"/>
          <w:b/>
        </w:rPr>
        <w:t>edoavegrdepg</w:t>
      </w:r>
      <w:proofErr w:type="spellEnd"/>
      <w:proofErr w:type="gramEnd"/>
      <w:r w:rsidRPr="002B0890">
        <w:rPr>
          <w:rFonts w:ascii="Palatino Linotype" w:eastAsia="Palatino Linotype" w:hAnsi="Palatino Linotype" w:cs="Palatino Linotype"/>
          <w:b/>
        </w:rPr>
        <w:t xml:space="preserve"> 2022.pdf</w:t>
      </w:r>
    </w:p>
    <w:p w:rsidR="001E029A" w:rsidRPr="002B0890" w:rsidRDefault="002B0890">
      <w:pPr>
        <w:pBdr>
          <w:top w:val="nil"/>
          <w:left w:val="nil"/>
          <w:bottom w:val="nil"/>
          <w:right w:val="nil"/>
          <w:between w:val="nil"/>
        </w:pBdr>
        <w:spacing w:line="360" w:lineRule="auto"/>
        <w:jc w:val="center"/>
        <w:rPr>
          <w:rFonts w:ascii="Palatino Linotype" w:eastAsia="Palatino Linotype" w:hAnsi="Palatino Linotype" w:cs="Palatino Linotype"/>
          <w:b/>
        </w:rPr>
      </w:pPr>
      <w:r w:rsidRPr="002B0890">
        <w:rPr>
          <w:noProof/>
        </w:rPr>
        <w:drawing>
          <wp:inline distT="0" distB="0" distL="0" distR="0">
            <wp:extent cx="4618749" cy="3481569"/>
            <wp:effectExtent l="0" t="0" r="0" b="0"/>
            <wp:docPr id="1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618749" cy="3481569"/>
                    </a:xfrm>
                    <a:prstGeom prst="rect">
                      <a:avLst/>
                    </a:prstGeom>
                    <a:ln/>
                  </pic:spPr>
                </pic:pic>
              </a:graphicData>
            </a:graphic>
          </wp:inline>
        </w:drawing>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b/>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b/>
        </w:rPr>
      </w:pPr>
      <w:proofErr w:type="spellStart"/>
      <w:proofErr w:type="gramStart"/>
      <w:r w:rsidRPr="002B0890">
        <w:rPr>
          <w:rFonts w:ascii="Palatino Linotype" w:eastAsia="Palatino Linotype" w:hAnsi="Palatino Linotype" w:cs="Palatino Linotype"/>
          <w:b/>
        </w:rPr>
        <w:t>edoavegrdepg</w:t>
      </w:r>
      <w:proofErr w:type="spellEnd"/>
      <w:proofErr w:type="gramEnd"/>
      <w:r w:rsidRPr="002B0890">
        <w:rPr>
          <w:rFonts w:ascii="Palatino Linotype" w:eastAsia="Palatino Linotype" w:hAnsi="Palatino Linotype" w:cs="Palatino Linotype"/>
          <w:b/>
        </w:rPr>
        <w:t xml:space="preserve"> 2021.pdf</w:t>
      </w:r>
    </w:p>
    <w:p w:rsidR="001E029A" w:rsidRPr="002B0890" w:rsidRDefault="002B0890">
      <w:pPr>
        <w:pBdr>
          <w:top w:val="nil"/>
          <w:left w:val="nil"/>
          <w:bottom w:val="nil"/>
          <w:right w:val="nil"/>
          <w:between w:val="nil"/>
        </w:pBdr>
        <w:spacing w:line="360" w:lineRule="auto"/>
        <w:jc w:val="center"/>
        <w:rPr>
          <w:rFonts w:ascii="Palatino Linotype" w:eastAsia="Palatino Linotype" w:hAnsi="Palatino Linotype" w:cs="Palatino Linotype"/>
          <w:b/>
        </w:rPr>
      </w:pPr>
      <w:r w:rsidRPr="002B0890">
        <w:rPr>
          <w:noProof/>
        </w:rPr>
        <w:lastRenderedPageBreak/>
        <w:drawing>
          <wp:inline distT="0" distB="0" distL="0" distR="0">
            <wp:extent cx="4391514" cy="3327673"/>
            <wp:effectExtent l="0" t="0" r="0" b="0"/>
            <wp:docPr id="1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4391514" cy="3327673"/>
                    </a:xfrm>
                    <a:prstGeom prst="rect">
                      <a:avLst/>
                    </a:prstGeom>
                    <a:ln/>
                  </pic:spPr>
                </pic:pic>
              </a:graphicData>
            </a:graphic>
          </wp:inline>
        </w:drawing>
      </w:r>
    </w:p>
    <w:p w:rsidR="001E029A" w:rsidRPr="002B0890" w:rsidRDefault="001E029A">
      <w:pPr>
        <w:pBdr>
          <w:top w:val="nil"/>
          <w:left w:val="nil"/>
          <w:bottom w:val="nil"/>
          <w:right w:val="nil"/>
          <w:between w:val="nil"/>
        </w:pBdr>
        <w:spacing w:line="360" w:lineRule="auto"/>
        <w:jc w:val="center"/>
        <w:rPr>
          <w:rFonts w:ascii="Palatino Linotype" w:eastAsia="Palatino Linotype" w:hAnsi="Palatino Linotype" w:cs="Palatino Linotype"/>
          <w:b/>
        </w:rPr>
      </w:pP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Aunado a lo anterior, es menester precisar que, de acuerdo con el Manual, dentro del sistema de evaluación de la gestión pública municipal, existen cuatro tipos de reportes que los ayuntamientos deben presentar: el Informe de Ejecución del Plan de Desarrollo Municipal, Informe de Gobierno, el Reporte de Avance Trimestral, y la Cuenta Pública, los cuales son instrumentos para el seguimiento, evaluación de avances y rendición de cuentas. </w:t>
      </w: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En ese sentido, cabe mencionar que para la integración del Informe de Gobierno, se servirá de soporte las fichas técnicas de los indicadores de evaluación del desempeño que integran la Matriz de Indicadores para Resultados (MIR) y los formatos de evaluación </w:t>
      </w:r>
      <w:proofErr w:type="spellStart"/>
      <w:r w:rsidRPr="002B0890">
        <w:rPr>
          <w:rFonts w:ascii="Palatino Linotype" w:eastAsia="Palatino Linotype" w:hAnsi="Palatino Linotype" w:cs="Palatino Linotype"/>
        </w:rPr>
        <w:t>PbRM</w:t>
      </w:r>
      <w:proofErr w:type="spellEnd"/>
      <w:r w:rsidRPr="002B0890">
        <w:rPr>
          <w:rFonts w:ascii="Palatino Linotype" w:eastAsia="Palatino Linotype" w:hAnsi="Palatino Linotype" w:cs="Palatino Linotype"/>
        </w:rPr>
        <w:t xml:space="preserve"> 08b; </w:t>
      </w:r>
      <w:proofErr w:type="spellStart"/>
      <w:r w:rsidRPr="002B0890">
        <w:rPr>
          <w:rFonts w:ascii="Palatino Linotype" w:eastAsia="Palatino Linotype" w:hAnsi="Palatino Linotype" w:cs="Palatino Linotype"/>
        </w:rPr>
        <w:t>PbRM</w:t>
      </w:r>
      <w:proofErr w:type="spellEnd"/>
      <w:r w:rsidRPr="002B0890">
        <w:rPr>
          <w:rFonts w:ascii="Palatino Linotype" w:eastAsia="Palatino Linotype" w:hAnsi="Palatino Linotype" w:cs="Palatino Linotype"/>
        </w:rPr>
        <w:t xml:space="preserve"> 08c; </w:t>
      </w:r>
      <w:proofErr w:type="spellStart"/>
      <w:r w:rsidRPr="002B0890">
        <w:rPr>
          <w:rFonts w:ascii="Palatino Linotype" w:eastAsia="Palatino Linotype" w:hAnsi="Palatino Linotype" w:cs="Palatino Linotype"/>
        </w:rPr>
        <w:t>PbRM</w:t>
      </w:r>
      <w:proofErr w:type="spellEnd"/>
      <w:r w:rsidRPr="002B0890">
        <w:rPr>
          <w:rFonts w:ascii="Palatino Linotype" w:eastAsia="Palatino Linotype" w:hAnsi="Palatino Linotype" w:cs="Palatino Linotype"/>
        </w:rPr>
        <w:t xml:space="preserve"> 09b; </w:t>
      </w:r>
      <w:proofErr w:type="spellStart"/>
      <w:r w:rsidRPr="002B0890">
        <w:rPr>
          <w:rFonts w:ascii="Palatino Linotype" w:eastAsia="Palatino Linotype" w:hAnsi="Palatino Linotype" w:cs="Palatino Linotype"/>
        </w:rPr>
        <w:t>PbRM</w:t>
      </w:r>
      <w:proofErr w:type="spellEnd"/>
      <w:r w:rsidRPr="002B0890">
        <w:rPr>
          <w:rFonts w:ascii="Palatino Linotype" w:eastAsia="Palatino Linotype" w:hAnsi="Palatino Linotype" w:cs="Palatino Linotype"/>
        </w:rPr>
        <w:t xml:space="preserve"> 10a; </w:t>
      </w:r>
      <w:proofErr w:type="spellStart"/>
      <w:r w:rsidRPr="002B0890">
        <w:rPr>
          <w:rFonts w:ascii="Palatino Linotype" w:eastAsia="Palatino Linotype" w:hAnsi="Palatino Linotype" w:cs="Palatino Linotype"/>
        </w:rPr>
        <w:t>PbRM</w:t>
      </w:r>
      <w:proofErr w:type="spellEnd"/>
      <w:r w:rsidRPr="002B0890">
        <w:rPr>
          <w:rFonts w:ascii="Palatino Linotype" w:eastAsia="Palatino Linotype" w:hAnsi="Palatino Linotype" w:cs="Palatino Linotype"/>
        </w:rPr>
        <w:t xml:space="preserve"> 10b; </w:t>
      </w:r>
      <w:proofErr w:type="spellStart"/>
      <w:r w:rsidRPr="002B0890">
        <w:rPr>
          <w:rFonts w:ascii="Palatino Linotype" w:eastAsia="Palatino Linotype" w:hAnsi="Palatino Linotype" w:cs="Palatino Linotype"/>
        </w:rPr>
        <w:t>PbRM</w:t>
      </w:r>
      <w:proofErr w:type="spellEnd"/>
      <w:r w:rsidRPr="002B0890">
        <w:rPr>
          <w:rFonts w:ascii="Palatino Linotype" w:eastAsia="Palatino Linotype" w:hAnsi="Palatino Linotype" w:cs="Palatino Linotype"/>
        </w:rPr>
        <w:t xml:space="preserve"> 10c; </w:t>
      </w:r>
      <w:proofErr w:type="spellStart"/>
      <w:r w:rsidRPr="002B0890">
        <w:rPr>
          <w:rFonts w:ascii="Palatino Linotype" w:eastAsia="Palatino Linotype" w:hAnsi="Palatino Linotype" w:cs="Palatino Linotype"/>
        </w:rPr>
        <w:t>PbRM</w:t>
      </w:r>
      <w:proofErr w:type="spellEnd"/>
      <w:r w:rsidRPr="002B0890">
        <w:rPr>
          <w:rFonts w:ascii="Palatino Linotype" w:eastAsia="Palatino Linotype" w:hAnsi="Palatino Linotype" w:cs="Palatino Linotype"/>
        </w:rPr>
        <w:t xml:space="preserve"> 11, de los cuales, </w:t>
      </w:r>
      <w:r w:rsidRPr="002B0890">
        <w:rPr>
          <w:rFonts w:ascii="Palatino Linotype" w:eastAsia="Palatino Linotype" w:hAnsi="Palatino Linotype" w:cs="Palatino Linotype"/>
          <w:b/>
          <w:u w:val="single"/>
        </w:rPr>
        <w:t xml:space="preserve">podemos destacar el </w:t>
      </w:r>
      <w:proofErr w:type="spellStart"/>
      <w:r w:rsidRPr="002B0890">
        <w:rPr>
          <w:rFonts w:ascii="Palatino Linotype" w:eastAsia="Palatino Linotype" w:hAnsi="Palatino Linotype" w:cs="Palatino Linotype"/>
          <w:b/>
          <w:u w:val="single"/>
        </w:rPr>
        <w:t>PbRM</w:t>
      </w:r>
      <w:proofErr w:type="spellEnd"/>
      <w:r w:rsidRPr="002B0890">
        <w:rPr>
          <w:rFonts w:ascii="Palatino Linotype" w:eastAsia="Palatino Linotype" w:hAnsi="Palatino Linotype" w:cs="Palatino Linotype"/>
          <w:b/>
          <w:u w:val="single"/>
        </w:rPr>
        <w:t xml:space="preserve"> 10a</w:t>
      </w:r>
      <w:r w:rsidRPr="002B0890">
        <w:rPr>
          <w:rFonts w:ascii="Palatino Linotype" w:eastAsia="Palatino Linotype" w:hAnsi="Palatino Linotype" w:cs="Palatino Linotype"/>
        </w:rPr>
        <w:t xml:space="preserve">, que de acuerdo </w:t>
      </w:r>
      <w:r w:rsidRPr="002B0890">
        <w:rPr>
          <w:rFonts w:ascii="Palatino Linotype" w:eastAsia="Palatino Linotype" w:hAnsi="Palatino Linotype" w:cs="Palatino Linotype"/>
        </w:rPr>
        <w:lastRenderedPageBreak/>
        <w:t xml:space="preserve">con el Instructivo de llenado este permite conocer el avance presupuestal de los egresos de forma completa, además de permitir visualizar el avance del presupuesto anual, así </w:t>
      </w:r>
      <w:r w:rsidRPr="002B0890">
        <w:rPr>
          <w:rFonts w:ascii="Palatino Linotype" w:eastAsia="Palatino Linotype" w:hAnsi="Palatino Linotype" w:cs="Palatino Linotype"/>
          <w:b/>
          <w:u w:val="single"/>
        </w:rPr>
        <w:t>como el presupuesto del mes (autorizado y ejercido)</w:t>
      </w:r>
      <w:r w:rsidRPr="002B0890">
        <w:rPr>
          <w:rFonts w:ascii="Palatino Linotype" w:eastAsia="Palatino Linotype" w:hAnsi="Palatino Linotype" w:cs="Palatino Linotype"/>
          <w:b/>
        </w:rPr>
        <w:t xml:space="preserve">; </w:t>
      </w:r>
      <w:r w:rsidRPr="002B0890">
        <w:rPr>
          <w:rFonts w:ascii="Palatino Linotype" w:eastAsia="Palatino Linotype" w:hAnsi="Palatino Linotype" w:cs="Palatino Linotype"/>
        </w:rPr>
        <w:t>y el presupuesto acumulado de dependencias generales (DG), dependencias auxiliares (DA).</w:t>
      </w: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Por otro lado, de conformidad con los ya referidos Lineamientos para la integración y entrega del Informe Trimestral Municipal 2022 del Órgano Superior de Fiscalización del Estado de México, señalan que estos se integran trimestralmente al OSFEM, es actualizado de manera mensual por parte del ente público y el cual también da cuenta del avance presupuestal de este. </w:t>
      </w: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En esos términos tenemos que la información remitida colma lo solicitado por </w:t>
      </w:r>
      <w:r w:rsidRPr="002B0890">
        <w:rPr>
          <w:rFonts w:ascii="Palatino Linotype" w:eastAsia="Palatino Linotype" w:hAnsi="Palatino Linotype" w:cs="Palatino Linotype"/>
          <w:b/>
        </w:rPr>
        <w:t xml:space="preserve">LA PARTE RECURRENTE </w:t>
      </w:r>
      <w:r w:rsidRPr="002B0890">
        <w:rPr>
          <w:rFonts w:ascii="Palatino Linotype" w:eastAsia="Palatino Linotype" w:hAnsi="Palatino Linotype" w:cs="Palatino Linotype"/>
        </w:rPr>
        <w:t xml:space="preserve">para los ejercicios fiscales dos mil veintiuno y dos mil veintidós, pues se visualizan los datos requeridos. </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En este sentido, al existir el referido pronunciamiento para atender el requerimiento de información, es procedente advertir que este Órgano Garante no está facultado para dudar de la veracidad de lo manifestado en respuesta por </w:t>
      </w:r>
      <w:r w:rsidRPr="002B0890">
        <w:rPr>
          <w:rFonts w:ascii="Palatino Linotype" w:eastAsia="Palatino Linotype" w:hAnsi="Palatino Linotype" w:cs="Palatino Linotype"/>
          <w:b/>
        </w:rPr>
        <w:t>EL SUJETO OBLIGADO</w:t>
      </w:r>
      <w:r w:rsidRPr="002B0890">
        <w:rPr>
          <w:rFonts w:ascii="Palatino Linotype" w:eastAsia="Palatino Linotype" w:hAnsi="Palatino Linotype" w:cs="Palatino Linotype"/>
        </w:rPr>
        <w:t xml:space="preserve">, lo cual, se robustece con lo plasmado en el criterio de interpretación para sujetos obligados reiterado histórico con clave de control </w:t>
      </w:r>
      <w:r w:rsidRPr="002B0890">
        <w:rPr>
          <w:rFonts w:ascii="Palatino Linotype" w:eastAsia="Palatino Linotype" w:hAnsi="Palatino Linotype" w:cs="Palatino Linotype"/>
          <w:i/>
        </w:rPr>
        <w:t>SO/031/2010</w:t>
      </w:r>
      <w:r w:rsidRPr="002B0890">
        <w:rPr>
          <w:rFonts w:ascii="Palatino Linotype" w:eastAsia="Palatino Linotype" w:hAnsi="Palatino Linotype" w:cs="Palatino Linotype"/>
        </w:rPr>
        <w:t xml:space="preserve"> emitido por el entonces Instituto Federal de Acceso a la Información y Protección de Datos (IFAI) ahora Instituto Nacional de Transparencia, Acceso a la Información, y Protección de Datos Personales (INAI), que lleva por rubro y texto los siguientes:</w:t>
      </w:r>
    </w:p>
    <w:p w:rsidR="001E029A" w:rsidRPr="002B0890" w:rsidRDefault="001E029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1E029A" w:rsidRPr="002B0890" w:rsidRDefault="002B0890">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B0890">
        <w:rPr>
          <w:rFonts w:ascii="Palatino Linotype" w:eastAsia="Palatino Linotype" w:hAnsi="Palatino Linotype" w:cs="Palatino Linotype"/>
          <w:i/>
          <w:sz w:val="22"/>
          <w:szCs w:val="22"/>
        </w:rPr>
        <w:lastRenderedPageBreak/>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1E029A" w:rsidRPr="002B0890" w:rsidRDefault="001E029A">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No obsta decir que la información por cuanto hace al ejercicio fiscal dos mil veintitrés, de las constancias que integran a este expediente se tiene que </w:t>
      </w:r>
      <w:r w:rsidRPr="002B0890">
        <w:rPr>
          <w:rFonts w:ascii="Palatino Linotype" w:eastAsia="Palatino Linotype" w:hAnsi="Palatino Linotype" w:cs="Palatino Linotype"/>
          <w:b/>
        </w:rPr>
        <w:t xml:space="preserve">EL SUJETO OBLIGADO </w:t>
      </w:r>
      <w:r w:rsidRPr="002B0890">
        <w:rPr>
          <w:rFonts w:ascii="Palatino Linotype" w:eastAsia="Palatino Linotype" w:hAnsi="Palatino Linotype" w:cs="Palatino Linotype"/>
        </w:rPr>
        <w:t xml:space="preserve">no se pronunció al respecto, en ese sentido, lo conveniente es ordenar la entrega de la información, sin embargo es de precisar que aunque la naturaleza de la información es para su remisión trimestral, también lo es que el mismo se actualiza de manera mensual, entonces, como la solicitud de información se interpuso al </w:t>
      </w:r>
      <w:r w:rsidRPr="002B0890">
        <w:rPr>
          <w:rFonts w:ascii="Palatino Linotype" w:eastAsia="Palatino Linotype" w:hAnsi="Palatino Linotype" w:cs="Palatino Linotype"/>
          <w:b/>
        </w:rPr>
        <w:t>SUJETO OBLIGADO</w:t>
      </w:r>
      <w:r w:rsidRPr="002B0890">
        <w:rPr>
          <w:rFonts w:ascii="Palatino Linotype" w:eastAsia="Palatino Linotype" w:hAnsi="Palatino Linotype" w:cs="Palatino Linotype"/>
        </w:rPr>
        <w:t xml:space="preserve"> el veintidós de marzo del año en curso, y por ese motivo el Pleno del </w:t>
      </w:r>
      <w:proofErr w:type="spellStart"/>
      <w:r w:rsidRPr="002B0890">
        <w:rPr>
          <w:rFonts w:ascii="Palatino Linotype" w:eastAsia="Palatino Linotype" w:hAnsi="Palatino Linotype" w:cs="Palatino Linotype"/>
        </w:rPr>
        <w:t>Infoem</w:t>
      </w:r>
      <w:proofErr w:type="spellEnd"/>
      <w:r w:rsidRPr="002B0890">
        <w:rPr>
          <w:rFonts w:ascii="Palatino Linotype" w:eastAsia="Palatino Linotype" w:hAnsi="Palatino Linotype" w:cs="Palatino Linotype"/>
        </w:rPr>
        <w:t xml:space="preserve"> ordena la entrega del presupuesto ejercido por la Secretaría del Ayuntamiento del primero de enero al veintiocho de febrero de dos mil veintitrés. </w:t>
      </w: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b/>
        </w:rPr>
      </w:pPr>
      <w:r w:rsidRPr="002B0890">
        <w:rPr>
          <w:rFonts w:ascii="Palatino Linotype" w:eastAsia="Palatino Linotype" w:hAnsi="Palatino Linotype" w:cs="Palatino Linotype"/>
          <w:b/>
        </w:rPr>
        <w:t xml:space="preserve">SEGUNDA PARTE: PRESUPUESTO ASIGNADO PARA EL AÑO 2023 DESGLOSADO POR CAPITULO Y PARTIDA PRESUPUESTAL. </w:t>
      </w: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lastRenderedPageBreak/>
        <w:t xml:space="preserve">En respuesta, tenemos que </w:t>
      </w:r>
      <w:r w:rsidRPr="002B0890">
        <w:rPr>
          <w:rFonts w:ascii="Palatino Linotype" w:eastAsia="Palatino Linotype" w:hAnsi="Palatino Linotype" w:cs="Palatino Linotype"/>
          <w:b/>
        </w:rPr>
        <w:t>EL SUJETO OBLIGADO</w:t>
      </w:r>
      <w:r w:rsidRPr="002B0890">
        <w:rPr>
          <w:rFonts w:ascii="Palatino Linotype" w:eastAsia="Palatino Linotype" w:hAnsi="Palatino Linotype" w:cs="Palatino Linotype"/>
        </w:rPr>
        <w:t xml:space="preserve"> remitió para conocimiento de </w:t>
      </w:r>
      <w:r w:rsidRPr="002B0890">
        <w:rPr>
          <w:rFonts w:ascii="Palatino Linotype" w:eastAsia="Palatino Linotype" w:hAnsi="Palatino Linotype" w:cs="Palatino Linotype"/>
          <w:b/>
        </w:rPr>
        <w:t>LA PARTE RECURRENTE</w:t>
      </w:r>
      <w:r w:rsidRPr="002B0890">
        <w:rPr>
          <w:rFonts w:ascii="Palatino Linotype" w:eastAsia="Palatino Linotype" w:hAnsi="Palatino Linotype" w:cs="Palatino Linotype"/>
        </w:rPr>
        <w:t xml:space="preserve"> la Carátula del Presupuesto de Egresos 2023, como se muestra: </w:t>
      </w: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2B0890">
      <w:pPr>
        <w:spacing w:line="360" w:lineRule="auto"/>
        <w:jc w:val="both"/>
        <w:rPr>
          <w:rFonts w:ascii="Palatino Linotype" w:eastAsia="Palatino Linotype" w:hAnsi="Palatino Linotype" w:cs="Palatino Linotype"/>
        </w:rPr>
      </w:pPr>
      <w:r w:rsidRPr="002B0890">
        <w:rPr>
          <w:noProof/>
        </w:rPr>
        <w:drawing>
          <wp:inline distT="0" distB="0" distL="0" distR="0">
            <wp:extent cx="5612130" cy="4060190"/>
            <wp:effectExtent l="0" t="0" r="0" b="0"/>
            <wp:docPr id="15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612130" cy="4060190"/>
                    </a:xfrm>
                    <a:prstGeom prst="rect">
                      <a:avLst/>
                    </a:prstGeom>
                    <a:ln/>
                  </pic:spPr>
                </pic:pic>
              </a:graphicData>
            </a:graphic>
          </wp:inline>
        </w:drawing>
      </w: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Además, de manera reiterada tanto en respuesta como en el Informe Justificado remitió una liga electrónica </w:t>
      </w:r>
      <w:hyperlink r:id="rId20">
        <w:r w:rsidRPr="002B0890">
          <w:rPr>
            <w:rFonts w:ascii="Palatino Linotype" w:eastAsia="Palatino Linotype" w:hAnsi="Palatino Linotype" w:cs="Palatino Linotype"/>
            <w:u w:val="single"/>
          </w:rPr>
          <w:t>http://ecatepec.gob.mx/transparencia-conac</w:t>
        </w:r>
      </w:hyperlink>
      <w:r w:rsidRPr="002B0890">
        <w:rPr>
          <w:rFonts w:ascii="Palatino Linotype" w:eastAsia="Palatino Linotype" w:hAnsi="Palatino Linotype" w:cs="Palatino Linotype"/>
        </w:rPr>
        <w:t xml:space="preserve"> con la cual </w:t>
      </w:r>
      <w:r w:rsidRPr="002B0890">
        <w:rPr>
          <w:rFonts w:ascii="Palatino Linotype" w:eastAsia="Palatino Linotype" w:hAnsi="Palatino Linotype" w:cs="Palatino Linotype"/>
          <w:b/>
        </w:rPr>
        <w:t>EL SUJETO OBLIGADO</w:t>
      </w:r>
      <w:r w:rsidRPr="002B0890">
        <w:rPr>
          <w:rFonts w:ascii="Palatino Linotype" w:eastAsia="Palatino Linotype" w:hAnsi="Palatino Linotype" w:cs="Palatino Linotype"/>
        </w:rPr>
        <w:t xml:space="preserve"> pretendió que </w:t>
      </w:r>
      <w:r w:rsidRPr="002B0890">
        <w:rPr>
          <w:rFonts w:ascii="Palatino Linotype" w:eastAsia="Palatino Linotype" w:hAnsi="Palatino Linotype" w:cs="Palatino Linotype"/>
          <w:b/>
        </w:rPr>
        <w:t>LA PARTE RECURRENTE</w:t>
      </w:r>
      <w:r w:rsidRPr="002B0890">
        <w:rPr>
          <w:rFonts w:ascii="Palatino Linotype" w:eastAsia="Palatino Linotype" w:hAnsi="Palatino Linotype" w:cs="Palatino Linotype"/>
        </w:rPr>
        <w:t xml:space="preserve"> se allegara de lo solicitado, sin embargo conviene citar al artículo 161 de la Ley de Transparencia y Acceso a la Información Pública del Estado de México y Municipios, que señala </w:t>
      </w:r>
      <w:r w:rsidRPr="002B0890">
        <w:rPr>
          <w:rFonts w:ascii="Palatino Linotype" w:eastAsia="Palatino Linotype" w:hAnsi="Palatino Linotype" w:cs="Palatino Linotype"/>
        </w:rPr>
        <w:lastRenderedPageBreak/>
        <w:t>diversas características que debe tener la información desde el momento de su generación, publicación y entrega, así como la forma en que se deberá consultar la información, señalando una fuente precisa y concreta, a saber:</w:t>
      </w:r>
    </w:p>
    <w:p w:rsidR="001E029A" w:rsidRPr="002B0890" w:rsidRDefault="001E029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b/>
          <w:i/>
          <w:sz w:val="22"/>
          <w:szCs w:val="22"/>
          <w:u w:val="single"/>
        </w:rPr>
      </w:pPr>
      <w:r w:rsidRPr="002B0890">
        <w:rPr>
          <w:rFonts w:ascii="Palatino Linotype" w:eastAsia="Palatino Linotype" w:hAnsi="Palatino Linotype" w:cs="Palatino Linotype"/>
          <w:b/>
          <w:i/>
          <w:sz w:val="22"/>
          <w:szCs w:val="22"/>
        </w:rPr>
        <w:t>Artículo 161.</w:t>
      </w:r>
      <w:r w:rsidRPr="002B0890">
        <w:rPr>
          <w:rFonts w:ascii="Palatino Linotype" w:eastAsia="Palatino Linotype" w:hAnsi="Palatino Linotype" w:cs="Palatino Linotype"/>
          <w:i/>
          <w:sz w:val="22"/>
          <w:szCs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2B0890">
        <w:rPr>
          <w:rFonts w:ascii="Palatino Linotype" w:eastAsia="Palatino Linotype" w:hAnsi="Palatino Linotype" w:cs="Palatino Linotype"/>
          <w:b/>
          <w:i/>
          <w:sz w:val="22"/>
          <w:szCs w:val="22"/>
        </w:rPr>
        <w:t xml:space="preserve">la fuente, el lugar y la forma en que puede consultar, reproducir o adquirir dicha información en un plazo no mayor a cinco días hábiles. </w:t>
      </w:r>
      <w:r w:rsidRPr="002B0890">
        <w:rPr>
          <w:rFonts w:ascii="Palatino Linotype" w:eastAsia="Palatino Linotype" w:hAnsi="Palatino Linotype" w:cs="Palatino Linotype"/>
          <w:b/>
          <w:i/>
          <w:sz w:val="22"/>
          <w:szCs w:val="22"/>
          <w:u w:val="single"/>
        </w:rPr>
        <w:t>La fuente deberá ser precisa y concreta y no debe implicar que el solicitante realice una búsqueda en toda la información que se encuentre disponible.</w:t>
      </w:r>
    </w:p>
    <w:p w:rsidR="001E029A" w:rsidRPr="002B0890" w:rsidRDefault="002B0890">
      <w:pPr>
        <w:pBdr>
          <w:top w:val="nil"/>
          <w:left w:val="nil"/>
          <w:bottom w:val="nil"/>
          <w:right w:val="nil"/>
          <w:between w:val="nil"/>
        </w:pBdr>
        <w:ind w:left="864" w:right="864"/>
        <w:jc w:val="both"/>
        <w:rPr>
          <w:rFonts w:ascii="Palatino Linotype" w:eastAsia="Palatino Linotype" w:hAnsi="Palatino Linotype" w:cs="Palatino Linotype"/>
          <w:i/>
          <w:sz w:val="22"/>
          <w:szCs w:val="22"/>
          <w:u w:val="single"/>
        </w:rPr>
      </w:pPr>
      <w:r w:rsidRPr="002B0890">
        <w:rPr>
          <w:rFonts w:ascii="Palatino Linotype" w:eastAsia="Palatino Linotype" w:hAnsi="Palatino Linotype" w:cs="Palatino Linotype"/>
          <w:b/>
          <w:i/>
          <w:sz w:val="22"/>
          <w:szCs w:val="22"/>
          <w:u w:val="single"/>
        </w:rPr>
        <w:t>Énfasis añadido</w:t>
      </w:r>
    </w:p>
    <w:p w:rsidR="001E029A" w:rsidRPr="002B0890" w:rsidRDefault="001E029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Del artículo inserto en esta resolución, se establecen las características que debe tener la información desde el momento de su generación, publicación y entrega; de igual manera se contempla el procedimiento a seguir por </w:t>
      </w:r>
      <w:r w:rsidRPr="002B0890">
        <w:rPr>
          <w:rFonts w:ascii="Palatino Linotype" w:eastAsia="Palatino Linotype" w:hAnsi="Palatino Linotype" w:cs="Palatino Linotype"/>
          <w:b/>
        </w:rPr>
        <w:t>EL SUJETO OBLIGADO</w:t>
      </w:r>
      <w:r w:rsidRPr="002B0890">
        <w:rPr>
          <w:rFonts w:ascii="Palatino Linotype" w:eastAsia="Palatino Linotype" w:hAnsi="Palatino Linotype" w:cs="Palatino Linotype"/>
        </w:rPr>
        <w:t xml:space="preserve"> para informar a los solicitantes sobre información que se encuentre disponible en libros, compendios, formatos electrónicos, entre otros, haciéndole saber a la parte solicitante cómo podrá consultar, reproducir o adquirir la información, en un plazo no mayor a </w:t>
      </w:r>
      <w:r w:rsidRPr="002B0890">
        <w:rPr>
          <w:rFonts w:ascii="Palatino Linotype" w:eastAsia="Palatino Linotype" w:hAnsi="Palatino Linotype" w:cs="Palatino Linotype"/>
          <w:b/>
          <w:u w:val="single"/>
        </w:rPr>
        <w:t>cinco días hábiles</w:t>
      </w:r>
      <w:r w:rsidRPr="002B0890">
        <w:rPr>
          <w:rFonts w:ascii="Palatino Linotype" w:eastAsia="Palatino Linotype" w:hAnsi="Palatino Linotype" w:cs="Palatino Linotype"/>
        </w:rPr>
        <w:t>, comprendiendo:</w:t>
      </w:r>
    </w:p>
    <w:p w:rsidR="001E029A" w:rsidRPr="002B0890" w:rsidRDefault="001E029A">
      <w:pPr>
        <w:jc w:val="both"/>
        <w:rPr>
          <w:rFonts w:ascii="Palatino Linotype" w:eastAsia="Palatino Linotype" w:hAnsi="Palatino Linotype" w:cs="Palatino Linotype"/>
        </w:rPr>
      </w:pPr>
    </w:p>
    <w:p w:rsidR="001E029A" w:rsidRPr="002B0890" w:rsidRDefault="002B0890">
      <w:pPr>
        <w:numPr>
          <w:ilvl w:val="0"/>
          <w:numId w:val="5"/>
        </w:numPr>
        <w:jc w:val="both"/>
        <w:rPr>
          <w:rFonts w:ascii="Palatino Linotype" w:eastAsia="Palatino Linotype" w:hAnsi="Palatino Linotype" w:cs="Palatino Linotype"/>
          <w:b/>
        </w:rPr>
      </w:pPr>
      <w:r w:rsidRPr="002B0890">
        <w:rPr>
          <w:rFonts w:ascii="Palatino Linotype" w:eastAsia="Palatino Linotype" w:hAnsi="Palatino Linotype" w:cs="Palatino Linotype"/>
        </w:rPr>
        <w:t>La fuente</w:t>
      </w:r>
    </w:p>
    <w:p w:rsidR="001E029A" w:rsidRPr="002B0890" w:rsidRDefault="002B0890">
      <w:pPr>
        <w:numPr>
          <w:ilvl w:val="0"/>
          <w:numId w:val="5"/>
        </w:numPr>
        <w:jc w:val="both"/>
        <w:rPr>
          <w:rFonts w:ascii="Palatino Linotype" w:eastAsia="Palatino Linotype" w:hAnsi="Palatino Linotype" w:cs="Palatino Linotype"/>
          <w:b/>
        </w:rPr>
      </w:pPr>
      <w:r w:rsidRPr="002B0890">
        <w:rPr>
          <w:rFonts w:ascii="Palatino Linotype" w:eastAsia="Palatino Linotype" w:hAnsi="Palatino Linotype" w:cs="Palatino Linotype"/>
        </w:rPr>
        <w:t>El lugar y</w:t>
      </w:r>
    </w:p>
    <w:p w:rsidR="001E029A" w:rsidRPr="002B0890" w:rsidRDefault="002B0890">
      <w:pPr>
        <w:numPr>
          <w:ilvl w:val="0"/>
          <w:numId w:val="5"/>
        </w:numPr>
        <w:jc w:val="both"/>
        <w:rPr>
          <w:rFonts w:ascii="Palatino Linotype" w:eastAsia="Palatino Linotype" w:hAnsi="Palatino Linotype" w:cs="Palatino Linotype"/>
          <w:b/>
        </w:rPr>
      </w:pPr>
      <w:r w:rsidRPr="002B0890">
        <w:rPr>
          <w:rFonts w:ascii="Palatino Linotype" w:eastAsia="Palatino Linotype" w:hAnsi="Palatino Linotype" w:cs="Palatino Linotype"/>
        </w:rPr>
        <w:t>La forma</w:t>
      </w:r>
    </w:p>
    <w:p w:rsidR="001E029A" w:rsidRPr="002B0890" w:rsidRDefault="001E029A">
      <w:pPr>
        <w:jc w:val="both"/>
        <w:rPr>
          <w:rFonts w:ascii="Palatino Linotype" w:eastAsia="Palatino Linotype" w:hAnsi="Palatino Linotype" w:cs="Palatino Linotype"/>
        </w:rPr>
      </w:pP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Asimismo, se establece que la fuente de la información </w:t>
      </w:r>
      <w:r w:rsidRPr="002B0890">
        <w:rPr>
          <w:rFonts w:ascii="Palatino Linotype" w:eastAsia="Palatino Linotype" w:hAnsi="Palatino Linotype" w:cs="Palatino Linotype"/>
          <w:b/>
        </w:rPr>
        <w:t>deberá ser</w:t>
      </w:r>
      <w:r w:rsidRPr="002B0890">
        <w:rPr>
          <w:rFonts w:ascii="Palatino Linotype" w:eastAsia="Palatino Linotype" w:hAnsi="Palatino Linotype" w:cs="Palatino Linotype"/>
        </w:rPr>
        <w:t>:</w:t>
      </w: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2B0890">
      <w:pPr>
        <w:numPr>
          <w:ilvl w:val="0"/>
          <w:numId w:val="6"/>
        </w:numPr>
        <w:jc w:val="both"/>
        <w:rPr>
          <w:rFonts w:ascii="Palatino Linotype" w:eastAsia="Palatino Linotype" w:hAnsi="Palatino Linotype" w:cs="Palatino Linotype"/>
          <w:b/>
        </w:rPr>
      </w:pPr>
      <w:r w:rsidRPr="002B0890">
        <w:rPr>
          <w:rFonts w:ascii="Palatino Linotype" w:eastAsia="Palatino Linotype" w:hAnsi="Palatino Linotype" w:cs="Palatino Linotype"/>
        </w:rPr>
        <w:t>Precisa</w:t>
      </w:r>
    </w:p>
    <w:p w:rsidR="001E029A" w:rsidRPr="002B0890" w:rsidRDefault="002B0890">
      <w:pPr>
        <w:numPr>
          <w:ilvl w:val="0"/>
          <w:numId w:val="6"/>
        </w:numPr>
        <w:jc w:val="both"/>
        <w:rPr>
          <w:rFonts w:ascii="Palatino Linotype" w:eastAsia="Palatino Linotype" w:hAnsi="Palatino Linotype" w:cs="Palatino Linotype"/>
          <w:b/>
        </w:rPr>
      </w:pPr>
      <w:r w:rsidRPr="002B0890">
        <w:rPr>
          <w:rFonts w:ascii="Palatino Linotype" w:eastAsia="Palatino Linotype" w:hAnsi="Palatino Linotype" w:cs="Palatino Linotype"/>
        </w:rPr>
        <w:t>Concreta</w:t>
      </w:r>
    </w:p>
    <w:p w:rsidR="001E029A" w:rsidRPr="002B0890" w:rsidRDefault="002B0890">
      <w:pPr>
        <w:numPr>
          <w:ilvl w:val="0"/>
          <w:numId w:val="6"/>
        </w:numPr>
        <w:jc w:val="both"/>
        <w:rPr>
          <w:rFonts w:ascii="Palatino Linotype" w:eastAsia="Palatino Linotype" w:hAnsi="Palatino Linotype" w:cs="Palatino Linotype"/>
          <w:b/>
        </w:rPr>
      </w:pPr>
      <w:r w:rsidRPr="002B0890">
        <w:rPr>
          <w:rFonts w:ascii="Palatino Linotype" w:eastAsia="Palatino Linotype" w:hAnsi="Palatino Linotype" w:cs="Palatino Linotype"/>
        </w:rPr>
        <w:lastRenderedPageBreak/>
        <w:t>No debe implicar que el solicitante realice una búsqueda en toda la información que se encuentre disponible.</w:t>
      </w:r>
    </w:p>
    <w:p w:rsidR="001E029A" w:rsidRPr="002B0890" w:rsidRDefault="001E029A">
      <w:pPr>
        <w:jc w:val="both"/>
        <w:rPr>
          <w:rFonts w:ascii="Palatino Linotype" w:eastAsia="Palatino Linotype" w:hAnsi="Palatino Linotype" w:cs="Palatino Linotype"/>
        </w:rPr>
      </w:pP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Imperativos legales que establecen el procedimiento que debe seguir </w:t>
      </w:r>
      <w:r w:rsidRPr="002B0890">
        <w:rPr>
          <w:rFonts w:ascii="Palatino Linotype" w:eastAsia="Palatino Linotype" w:hAnsi="Palatino Linotype" w:cs="Palatino Linotype"/>
          <w:b/>
        </w:rPr>
        <w:t xml:space="preserve">EL SUJETO OBLIGADO </w:t>
      </w:r>
      <w:r w:rsidRPr="002B0890">
        <w:rPr>
          <w:rFonts w:ascii="Palatino Linotype" w:eastAsia="Palatino Linotype" w:hAnsi="Palatino Linotype" w:cs="Palatino Linotype"/>
        </w:rPr>
        <w:t xml:space="preserve">para que pueda tomarse como válida su orientación sobre la forma en que puede consultar la información requerida, y que en la especie no acontece, ello porque contrario a lo que establece </w:t>
      </w:r>
      <w:r w:rsidRPr="002B0890">
        <w:rPr>
          <w:rFonts w:ascii="Palatino Linotype" w:eastAsia="Palatino Linotype" w:hAnsi="Palatino Linotype" w:cs="Palatino Linotype"/>
          <w:b/>
        </w:rPr>
        <w:t>EL SUJETO OBLIGADO</w:t>
      </w:r>
      <w:r w:rsidRPr="002B0890">
        <w:rPr>
          <w:rFonts w:ascii="Palatino Linotype" w:eastAsia="Palatino Linotype" w:hAnsi="Palatino Linotype" w:cs="Palatino Linotype"/>
        </w:rPr>
        <w:t xml:space="preserve">, la fuente donde a su decir se encuentra la información, </w:t>
      </w:r>
      <w:r w:rsidRPr="002B0890">
        <w:rPr>
          <w:rFonts w:ascii="Palatino Linotype" w:eastAsia="Palatino Linotype" w:hAnsi="Palatino Linotype" w:cs="Palatino Linotype"/>
          <w:b/>
          <w:u w:val="single"/>
        </w:rPr>
        <w:t>no es precisa</w:t>
      </w:r>
      <w:r w:rsidRPr="002B0890">
        <w:rPr>
          <w:rFonts w:ascii="Palatino Linotype" w:eastAsia="Palatino Linotype" w:hAnsi="Palatino Linotype" w:cs="Palatino Linotype"/>
        </w:rPr>
        <w:t xml:space="preserve"> por no señalarse el lugar específico donde se encuentra la información solicitada; </w:t>
      </w:r>
      <w:r w:rsidRPr="002B0890">
        <w:rPr>
          <w:rFonts w:ascii="Palatino Linotype" w:eastAsia="Palatino Linotype" w:hAnsi="Palatino Linotype" w:cs="Palatino Linotype"/>
          <w:b/>
          <w:u w:val="single"/>
        </w:rPr>
        <w:t>no es concreta</w:t>
      </w:r>
      <w:r w:rsidRPr="002B0890">
        <w:rPr>
          <w:rFonts w:ascii="Palatino Linotype" w:eastAsia="Palatino Linotype" w:hAnsi="Palatino Linotype" w:cs="Palatino Linotype"/>
        </w:rPr>
        <w:t xml:space="preserve"> porque su fuente no es sólida, sino por el contrario ésta resulta abstracta y desinforma al crear incertidumbre con el cúmulo de información ahí establecida; y por último, su fuente </w:t>
      </w:r>
      <w:r w:rsidRPr="002B0890">
        <w:rPr>
          <w:rFonts w:ascii="Palatino Linotype" w:eastAsia="Palatino Linotype" w:hAnsi="Palatino Linotype" w:cs="Palatino Linotype"/>
          <w:b/>
        </w:rPr>
        <w:t xml:space="preserve">SÍ </w:t>
      </w:r>
      <w:r w:rsidRPr="002B0890">
        <w:rPr>
          <w:rFonts w:ascii="Palatino Linotype" w:eastAsia="Palatino Linotype" w:hAnsi="Palatino Linotype" w:cs="Palatino Linotype"/>
        </w:rPr>
        <w:t>implica que el solicitante realice una búsqueda en toda la información que se encuentra disponible, lo que a todas luces transgrede el numeral citado.</w:t>
      </w: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Por lo anteriormente expuesto, se concluye que </w:t>
      </w:r>
      <w:r w:rsidRPr="002B0890">
        <w:rPr>
          <w:rFonts w:ascii="Palatino Linotype" w:eastAsia="Palatino Linotype" w:hAnsi="Palatino Linotype" w:cs="Palatino Linotype"/>
          <w:b/>
        </w:rPr>
        <w:t>EL SUJETO OBLIGADO</w:t>
      </w:r>
      <w:r w:rsidRPr="002B0890">
        <w:rPr>
          <w:rFonts w:ascii="Palatino Linotype" w:eastAsia="Palatino Linotype" w:hAnsi="Palatino Linotype" w:cs="Palatino Linotype"/>
        </w:rPr>
        <w:t xml:space="preserve"> no colmó las pretensiones realizadas por </w:t>
      </w:r>
      <w:r w:rsidRPr="002B0890">
        <w:rPr>
          <w:rFonts w:ascii="Palatino Linotype" w:eastAsia="Palatino Linotype" w:hAnsi="Palatino Linotype" w:cs="Palatino Linotype"/>
          <w:b/>
        </w:rPr>
        <w:t>LA PARTE RECURRNTE</w:t>
      </w:r>
      <w:r w:rsidRPr="002B0890">
        <w:rPr>
          <w:rFonts w:ascii="Palatino Linotype" w:eastAsia="Palatino Linotype" w:hAnsi="Palatino Linotype" w:cs="Palatino Linotype"/>
        </w:rPr>
        <w:t xml:space="preserve"> con la remisión de la liga electrónica en la respuesta; al respecto, el artículo 161, de la Ley de Transparencia indica que cuando la información requerida esté disponible en internet, todos los Sujetos Obligados </w:t>
      </w:r>
      <w:r w:rsidRPr="002B0890">
        <w:rPr>
          <w:rFonts w:ascii="Palatino Linotype" w:eastAsia="Palatino Linotype" w:hAnsi="Palatino Linotype" w:cs="Palatino Linotype"/>
          <w:b/>
        </w:rPr>
        <w:t xml:space="preserve">deberán hacerlo saber a la parte solicitante en un plazo no mayor a cinco días hábiles; </w:t>
      </w:r>
      <w:r w:rsidRPr="002B0890">
        <w:rPr>
          <w:rFonts w:ascii="Palatino Linotype" w:eastAsia="Palatino Linotype" w:hAnsi="Palatino Linotype" w:cs="Palatino Linotype"/>
        </w:rPr>
        <w:t xml:space="preserve">bajo esa premisa, la respuesta del </w:t>
      </w:r>
      <w:r w:rsidRPr="002B0890">
        <w:rPr>
          <w:rFonts w:ascii="Palatino Linotype" w:eastAsia="Palatino Linotype" w:hAnsi="Palatino Linotype" w:cs="Palatino Linotype"/>
          <w:b/>
        </w:rPr>
        <w:t>SUJETO OBLIGADO</w:t>
      </w:r>
      <w:r w:rsidRPr="002B0890">
        <w:rPr>
          <w:rFonts w:ascii="Palatino Linotype" w:eastAsia="Palatino Linotype" w:hAnsi="Palatino Linotype" w:cs="Palatino Linotype"/>
        </w:rPr>
        <w:t xml:space="preserve"> vulneró el referido dispositivo de la Ley de Transparencia en virtud de que </w:t>
      </w:r>
      <w:r w:rsidRPr="002B0890">
        <w:rPr>
          <w:rFonts w:ascii="Palatino Linotype" w:eastAsia="Palatino Linotype" w:hAnsi="Palatino Linotype" w:cs="Palatino Linotype"/>
          <w:b/>
        </w:rPr>
        <w:t>la respuesta se entregó hasta el octavo día hábil de recibida la petición.</w:t>
      </w:r>
      <w:r w:rsidRPr="002B0890">
        <w:rPr>
          <w:rFonts w:ascii="Palatino Linotype" w:eastAsia="Palatino Linotype" w:hAnsi="Palatino Linotype" w:cs="Palatino Linotype"/>
        </w:rPr>
        <w:t xml:space="preserve"> </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En tal tesitura, recordemos que la persona solicitante, requirió se le informara sobre el presupuesto asignado para el año 2023 desglosado por capitulo y partida </w:t>
      </w:r>
      <w:r w:rsidRPr="002B0890">
        <w:rPr>
          <w:rFonts w:ascii="Palatino Linotype" w:eastAsia="Palatino Linotype" w:hAnsi="Palatino Linotype" w:cs="Palatino Linotype"/>
        </w:rPr>
        <w:lastRenderedPageBreak/>
        <w:t>presupuestal, por lo que es necesario señalar que de conformidad con el artículo 293 del Código Financiero del Estado de México, los capítulos de gasto se dividirán en concepto, partida genérica y partida específica, que representarán las autorizaciones específicas del presupuesto, las cuales se encuentran contenidas en el clasificador por objeto de gasto que debe emitir la Tesorería, mismo que debe guardar congruencia con el clasificador que emita el Consejo Nacional de Armonización Contable y el Consejo de Armonización Contable del Estado de México, a saber:</w:t>
      </w: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“Artículo 293.- Los capítulos de gasto se dividirán en concepto, partida genérica y partida específica, que representarán las autorizaciones específicas del presupuesto, las cuales se encuentran contenidas en el clasificador por objeto de gasto que emita el Consejo Nacional de Armonización Contable y el Consejo de Armonización Contable del Estado de México. </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En el caso de los municipios, corresponderá a su Tesorería emitir el Clasificador por Objeto del Gasto, el cual deberá guardar congruencia y homogeneidad con el señalado en el párrafo anterior.</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Con base en lo anterior el Clasificador por Objeto del Gasto, es el que se estableció en cumplimiento al artículo cuarto transitorio de la Ley General de Contabilidad Gubernamental, el Gobierno del Estado de México, ya que realiza las acciones pertinentes para armonizar los sistemas contables de las dependencias, los poderes Legislativo y Judicial; las entidades públicas, los Órganos Autónomos y los Municipios de la entidad, para que éstos cuenten con un catálogo de partidas presupuestarias que se alinean al Clasificador por Objeto del Gasto autorizado por </w:t>
      </w:r>
      <w:r w:rsidRPr="002B0890">
        <w:rPr>
          <w:rFonts w:ascii="Palatino Linotype" w:eastAsia="Palatino Linotype" w:hAnsi="Palatino Linotype" w:cs="Palatino Linotype"/>
        </w:rPr>
        <w:lastRenderedPageBreak/>
        <w:t>el CONAC, en la reunión celebrada el 28 de mayo del 2010 y que fue publicado en Gaceta del Gobierno del estado de México No. 118 del 23 de junio de 2010.</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Así, al ser un instrumento que permite la obtención de información para el análisis y seguimiento de la gestión financiera gubernamental, es considerado la clasificación operativa que permite conocer en qué se gasta, (base del registro de las transacciones económico – financieras) y a su vez permite cuantificar la demanda de bienes y servicios que realiza el Sector Público; teniendo como objetivos principales los siguientes:</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w:t>
      </w:r>
      <w:r w:rsidRPr="002B0890">
        <w:rPr>
          <w:rFonts w:ascii="Palatino Linotype" w:eastAsia="Palatino Linotype" w:hAnsi="Palatino Linotype" w:cs="Palatino Linotype"/>
        </w:rPr>
        <w:tab/>
        <w:t>Ofrecer información valiosa de la demanda de bienes y servicios que realiza el Sector Público.</w:t>
      </w: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w:t>
      </w:r>
      <w:r w:rsidRPr="002B0890">
        <w:rPr>
          <w:rFonts w:ascii="Palatino Linotype" w:eastAsia="Palatino Linotype" w:hAnsi="Palatino Linotype" w:cs="Palatino Linotype"/>
        </w:rPr>
        <w:tab/>
        <w:t>Permite identificar con claridad y transparencia los bienes y servicios que se adquieren, las transferencias que se realizan y las aplicaciones previstas en el presupuesto.</w:t>
      </w: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w:t>
      </w:r>
      <w:r w:rsidRPr="002B0890">
        <w:rPr>
          <w:rFonts w:ascii="Palatino Linotype" w:eastAsia="Palatino Linotype" w:hAnsi="Palatino Linotype" w:cs="Palatino Linotype"/>
        </w:rPr>
        <w:tab/>
        <w:t>Facilitar la programación de las adquisiciones de bienes y servicios y otras acciones relacionadas con administración de bienes del Estado.</w:t>
      </w: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w:t>
      </w:r>
      <w:r w:rsidRPr="002B0890">
        <w:rPr>
          <w:rFonts w:ascii="Palatino Linotype" w:eastAsia="Palatino Linotype" w:hAnsi="Palatino Linotype" w:cs="Palatino Linotype"/>
        </w:rPr>
        <w:tab/>
        <w:t>En el marco del sistema de cuentas gubernamentales, integradas e interrelacionadas, el Clasificador por Objeto del Gasto es uno de los principales elementos para obtener clasificaciones agregadas.</w:t>
      </w: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w:t>
      </w:r>
      <w:r w:rsidRPr="002B0890">
        <w:rPr>
          <w:rFonts w:ascii="Palatino Linotype" w:eastAsia="Palatino Linotype" w:hAnsi="Palatino Linotype" w:cs="Palatino Linotype"/>
        </w:rPr>
        <w:tab/>
        <w:t>Facilitar el ejercicio del control interno y externo de las transacciones de los entes públicos.</w:t>
      </w: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w:t>
      </w:r>
      <w:r w:rsidRPr="002B0890">
        <w:rPr>
          <w:rFonts w:ascii="Palatino Linotype" w:eastAsia="Palatino Linotype" w:hAnsi="Palatino Linotype" w:cs="Palatino Linotype"/>
        </w:rPr>
        <w:tab/>
        <w:t>Promover el desarrollo y aplicación de los sistemas de programación y gestión del gasto público.</w:t>
      </w: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lastRenderedPageBreak/>
        <w:t>●</w:t>
      </w:r>
      <w:r w:rsidRPr="002B0890">
        <w:rPr>
          <w:rFonts w:ascii="Palatino Linotype" w:eastAsia="Palatino Linotype" w:hAnsi="Palatino Linotype" w:cs="Palatino Linotype"/>
        </w:rPr>
        <w:tab/>
        <w:t>Permitir el análisis de los efectos del gasto público y la proyección del mismo.</w:t>
      </w: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Asimismo, cabe señalar que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 es de observancia obligatoria para las dependencias, entidades públicas y los Municipios, por lo que para la integración de la clave presupuestaria debe considerarse el Clasificador.</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Consecuentemente para identificar el gasto público por su naturaleza económica, durante el proceso de programación e integración del Anteproyecto de Presupuesto, así como para su ejercicio, las unidades ejecutoras deben establecer el vínculo, por capítulo, subcapítulo, partida de gasto genérica y partida de gasto específica, con el componente de la clave presupuestaria correspondiente.</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Para tal efecto, el Manual para la Planeación, Programación y Presupuesto de Egresos Municipal para el Ejercicio Fiscal 2019 , integra como anexo el “Clasificador por objeto del gasto”, el cual se constituye un elemento fundamental del sistema general de cuentas donde cada componente destaca aspectos concretos del </w:t>
      </w:r>
      <w:r w:rsidRPr="002B0890">
        <w:rPr>
          <w:rFonts w:ascii="Palatino Linotype" w:eastAsia="Palatino Linotype" w:hAnsi="Palatino Linotype" w:cs="Palatino Linotype"/>
        </w:rPr>
        <w:lastRenderedPageBreak/>
        <w:t>presupuesto y suministra información que atiende a necesidades diferentes pero enlazadas, permitiendo el vínculo con la contabilidad, es decir, que se trata de un instrumento que permite la obtención de información para el análisis y seguimiento de la gestión financiera gubernamental, por lo cual permite conocer en qué se gasta y cuantificar la demanda de bienes o servicios.</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La estructura del Clasificador, según lo previsto en el anexo, fue diseñada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center"/>
        <w:rPr>
          <w:rFonts w:ascii="Palatino Linotype" w:eastAsia="Palatino Linotype" w:hAnsi="Palatino Linotype" w:cs="Palatino Linotype"/>
        </w:rPr>
      </w:pPr>
      <w:r w:rsidRPr="002B0890">
        <w:rPr>
          <w:noProof/>
        </w:rPr>
        <w:drawing>
          <wp:inline distT="0" distB="0" distL="0" distR="0">
            <wp:extent cx="5324475" cy="962025"/>
            <wp:effectExtent l="0" t="0" r="0" b="0"/>
            <wp:docPr id="1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324475" cy="962025"/>
                    </a:xfrm>
                    <a:prstGeom prst="rect">
                      <a:avLst/>
                    </a:prstGeom>
                    <a:ln/>
                  </pic:spPr>
                </pic:pic>
              </a:graphicData>
            </a:graphic>
          </wp:inline>
        </w:drawing>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Debiendo definir cada una de las partes que lo integran como sigue:</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w:t>
      </w:r>
      <w:r w:rsidRPr="002B0890">
        <w:rPr>
          <w:rFonts w:ascii="Palatino Linotype" w:eastAsia="Palatino Linotype" w:hAnsi="Palatino Linotype" w:cs="Palatino Linotype"/>
        </w:rPr>
        <w:tab/>
        <w:t xml:space="preserve">Capítulo: Es el mayor nivel de agregación que identifica el conjunto homogéneo y ordenado de los bienes y servicios requeridos por los entes públicos. </w:t>
      </w: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w:t>
      </w:r>
      <w:r w:rsidRPr="002B0890">
        <w:rPr>
          <w:rFonts w:ascii="Palatino Linotype" w:eastAsia="Palatino Linotype" w:hAnsi="Palatino Linotype" w:cs="Palatino Linotype"/>
        </w:rPr>
        <w:tab/>
        <w:t xml:space="preserve">Concepto: Son subconjuntos homogéneos y ordenados en forma específica, producto de la desagregación de los bienes y servicios, incluidos en cada capítulo. </w:t>
      </w: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lastRenderedPageBreak/>
        <w:t>●</w:t>
      </w:r>
      <w:r w:rsidRPr="002B0890">
        <w:rPr>
          <w:rFonts w:ascii="Palatino Linotype" w:eastAsia="Palatino Linotype" w:hAnsi="Palatino Linotype" w:cs="Palatino Linotype"/>
        </w:rPr>
        <w:tab/>
        <w:t xml:space="preserve">Partida: Es el nivel de agregación más específico en el cual se describen las expresiones concretas y detalladas de los bienes y servicios que se adquieren y se compone de: </w:t>
      </w:r>
    </w:p>
    <w:p w:rsidR="001E029A" w:rsidRPr="002B0890" w:rsidRDefault="002B0890">
      <w:pPr>
        <w:pBdr>
          <w:top w:val="nil"/>
          <w:left w:val="nil"/>
          <w:bottom w:val="nil"/>
          <w:right w:val="nil"/>
          <w:between w:val="nil"/>
        </w:pBdr>
        <w:spacing w:line="360" w:lineRule="auto"/>
        <w:ind w:firstLine="720"/>
        <w:jc w:val="both"/>
        <w:rPr>
          <w:rFonts w:ascii="Palatino Linotype" w:eastAsia="Palatino Linotype" w:hAnsi="Palatino Linotype" w:cs="Palatino Linotype"/>
        </w:rPr>
      </w:pPr>
      <w:r w:rsidRPr="002B0890">
        <w:rPr>
          <w:rFonts w:ascii="Palatino Linotype" w:eastAsia="Palatino Linotype" w:hAnsi="Palatino Linotype" w:cs="Palatino Linotype"/>
        </w:rPr>
        <w:t>a)</w:t>
      </w:r>
      <w:r w:rsidRPr="002B0890">
        <w:rPr>
          <w:rFonts w:ascii="Palatino Linotype" w:eastAsia="Palatino Linotype" w:hAnsi="Palatino Linotype" w:cs="Palatino Linotype"/>
        </w:rPr>
        <w:tab/>
        <w:t>La Partida Genérica se refiere al tercer dígito, el cual logrará la armonización a todos los niveles de gobierno.</w:t>
      </w:r>
    </w:p>
    <w:p w:rsidR="001E029A" w:rsidRPr="002B0890" w:rsidRDefault="002B0890">
      <w:pPr>
        <w:pBdr>
          <w:top w:val="nil"/>
          <w:left w:val="nil"/>
          <w:bottom w:val="nil"/>
          <w:right w:val="nil"/>
          <w:between w:val="nil"/>
        </w:pBdr>
        <w:spacing w:line="360" w:lineRule="auto"/>
        <w:ind w:left="720"/>
        <w:jc w:val="both"/>
        <w:rPr>
          <w:rFonts w:ascii="Palatino Linotype" w:eastAsia="Palatino Linotype" w:hAnsi="Palatino Linotype" w:cs="Palatino Linotype"/>
        </w:rPr>
      </w:pPr>
      <w:r w:rsidRPr="002B0890">
        <w:rPr>
          <w:rFonts w:ascii="Palatino Linotype" w:eastAsia="Palatino Linotype" w:hAnsi="Palatino Linotype" w:cs="Palatino Linotype"/>
        </w:rPr>
        <w:t>b)</w:t>
      </w:r>
      <w:r w:rsidRPr="002B0890">
        <w:rPr>
          <w:rFonts w:ascii="Palatino Linotype" w:eastAsia="Palatino Linotype" w:hAnsi="Palatino Linotype" w:cs="Palatino Linotype"/>
        </w:rPr>
        <w:tab/>
        <w:t>La Partida Específica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De acuerdo con este nivel de desagregación del Clasificador por Objeto del Gasto Estatal y Municipal, la definición de los Capítulos de gasto es la siguiente: </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b/>
        </w:rPr>
        <w:t xml:space="preserve">1000 SERVICIOS PERSONALES. </w:t>
      </w:r>
      <w:r w:rsidRPr="002B0890">
        <w:rPr>
          <w:rFonts w:ascii="Palatino Linotype" w:eastAsia="Palatino Linotype" w:hAnsi="Palatino Linotype" w:cs="Palatino Linotype"/>
        </w:rPr>
        <w:t>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b/>
        </w:rPr>
        <w:t>2000 MATERIALES Y SUMINISTROS.</w:t>
      </w:r>
      <w:r w:rsidRPr="002B0890">
        <w:rPr>
          <w:rFonts w:ascii="Palatino Linotype" w:eastAsia="Palatino Linotype" w:hAnsi="Palatino Linotype" w:cs="Palatino Linotype"/>
        </w:rPr>
        <w:t xml:space="preserve"> Agrupa las asignaciones destinadas a la adquisición de toda clase de insumos y suministros requeridos para la prestación de bienes y servicios públicos y para el desempeño de las actividades administrativas. </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b/>
        </w:rPr>
        <w:t xml:space="preserve">3000 SERVICIOS GENERALES. </w:t>
      </w:r>
      <w:r w:rsidRPr="002B0890">
        <w:rPr>
          <w:rFonts w:ascii="Palatino Linotype" w:eastAsia="Palatino Linotype" w:hAnsi="Palatino Linotype" w:cs="Palatino Linotype"/>
        </w:rPr>
        <w:t xml:space="preserve">Asignaciones destinadas a cubrir el costo de todo tipo de servicios que se contraten con particulares o instituciones del propio sector público; así como los servicios oficiales requeridos para el desempeño de actividades vinculadas con la función pública. </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b/>
        </w:rPr>
        <w:t>4000 TRANSFERENCIAS, ASIGNACIONES, SUBSIDIOS Y OTRAS AYUDAS.</w:t>
      </w:r>
      <w:r w:rsidRPr="002B0890">
        <w:rPr>
          <w:rFonts w:ascii="Palatino Linotype" w:eastAsia="Palatino Linotype" w:hAnsi="Palatino Linotype" w:cs="Palatino Linotype"/>
        </w:rPr>
        <w:t xml:space="preserve"> 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b/>
        </w:rPr>
        <w:t>5000 BIENES MUEBLES, INMUEBLES E INTANGIBLES.</w:t>
      </w:r>
      <w:r w:rsidRPr="002B0890">
        <w:rPr>
          <w:rFonts w:ascii="Palatino Linotype" w:eastAsia="Palatino Linotype" w:hAnsi="Palatino Linotype" w:cs="Palatino Linotype"/>
        </w:rPr>
        <w:t xml:space="preserve"> 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b/>
        </w:rPr>
        <w:t>6000 INVERSIÓN PÚBLICA.</w:t>
      </w:r>
      <w:r w:rsidRPr="002B0890">
        <w:rPr>
          <w:rFonts w:ascii="Palatino Linotype" w:eastAsia="Palatino Linotype" w:hAnsi="Palatino Linotype" w:cs="Palatino Linotype"/>
        </w:rPr>
        <w:t xml:space="preserve"> Asignaciones destinadas a obras por contrato y proyectos productivos y acciones de fomento. Incluye los gastos en estudios de pre‐inversión y preparación del proyecto. </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b/>
        </w:rPr>
        <w:t>7000 INVERSIONES FINANCIERAS Y OTRAS PROVISIONES.</w:t>
      </w:r>
      <w:r w:rsidRPr="002B0890">
        <w:rPr>
          <w:rFonts w:ascii="Palatino Linotype" w:eastAsia="Palatino Linotype" w:hAnsi="Palatino Linotype" w:cs="Palatino Linotype"/>
        </w:rPr>
        <w:t xml:space="preserve"> Erogaciones que realiza la administración pública en la adquisición de acciones, bonos y otros títulos </w:t>
      </w:r>
      <w:r w:rsidRPr="002B0890">
        <w:rPr>
          <w:rFonts w:ascii="Palatino Linotype" w:eastAsia="Palatino Linotype" w:hAnsi="Palatino Linotype" w:cs="Palatino Linotype"/>
        </w:rPr>
        <w:lastRenderedPageBreak/>
        <w:t xml:space="preserve">y valores; así como en préstamos otorgados a diversos agentes económicos. Se incluyen las aportaciones de capital a las entidades públicas; así como las erogaciones contingentes e imprevistas para el cumplimiento de obligaciones del Gobierno. </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b/>
        </w:rPr>
        <w:t xml:space="preserve">8000 PARTICIPACIONES Y APORTACIONES. </w:t>
      </w:r>
      <w:r w:rsidRPr="002B0890">
        <w:rPr>
          <w:rFonts w:ascii="Palatino Linotype" w:eastAsia="Palatino Linotype" w:hAnsi="Palatino Linotype" w:cs="Palatino Linotype"/>
        </w:rPr>
        <w:t xml:space="preserve">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b/>
        </w:rPr>
        <w:t xml:space="preserve">9000 DEUDA PÚBLICA. </w:t>
      </w:r>
      <w:r w:rsidRPr="002B0890">
        <w:rPr>
          <w:rFonts w:ascii="Palatino Linotype" w:eastAsia="Palatino Linotype" w:hAnsi="Palatino Linotype" w:cs="Palatino Linotype"/>
        </w:rPr>
        <w:t xml:space="preserve">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 </w:t>
      </w: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De la estructura de codificación, se derivan subcapítulos, partidas genéricas y partidas específicas como se ejemplifica a continuación, para mejor referencia:</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center"/>
        <w:rPr>
          <w:rFonts w:ascii="Palatino Linotype" w:eastAsia="Palatino Linotype" w:hAnsi="Palatino Linotype" w:cs="Palatino Linotype"/>
        </w:rPr>
      </w:pPr>
      <w:r w:rsidRPr="002B0890">
        <w:rPr>
          <w:noProof/>
        </w:rPr>
        <w:lastRenderedPageBreak/>
        <w:drawing>
          <wp:inline distT="0" distB="0" distL="0" distR="0">
            <wp:extent cx="5220000" cy="2886002"/>
            <wp:effectExtent l="0" t="0" r="0" b="0"/>
            <wp:docPr id="1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b="13318"/>
                    <a:stretch>
                      <a:fillRect/>
                    </a:stretch>
                  </pic:blipFill>
                  <pic:spPr>
                    <a:xfrm>
                      <a:off x="0" y="0"/>
                      <a:ext cx="5220000" cy="2886002"/>
                    </a:xfrm>
                    <a:prstGeom prst="rect">
                      <a:avLst/>
                    </a:prstGeom>
                    <a:ln/>
                  </pic:spPr>
                </pic:pic>
              </a:graphicData>
            </a:graphic>
          </wp:inline>
        </w:drawing>
      </w:r>
    </w:p>
    <w:p w:rsidR="001E029A" w:rsidRPr="002B0890" w:rsidRDefault="002B0890">
      <w:pPr>
        <w:pBdr>
          <w:top w:val="nil"/>
          <w:left w:val="nil"/>
          <w:bottom w:val="nil"/>
          <w:right w:val="nil"/>
          <w:between w:val="nil"/>
        </w:pBdr>
        <w:spacing w:line="360" w:lineRule="auto"/>
        <w:jc w:val="center"/>
        <w:rPr>
          <w:rFonts w:ascii="Palatino Linotype" w:eastAsia="Palatino Linotype" w:hAnsi="Palatino Linotype" w:cs="Palatino Linotype"/>
        </w:rPr>
      </w:pPr>
      <w:r w:rsidRPr="002B0890">
        <w:rPr>
          <w:noProof/>
        </w:rPr>
        <w:drawing>
          <wp:inline distT="0" distB="0" distL="0" distR="0">
            <wp:extent cx="5220000" cy="2919605"/>
            <wp:effectExtent l="0" t="0" r="0" b="0"/>
            <wp:docPr id="1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b="46875"/>
                    <a:stretch>
                      <a:fillRect/>
                    </a:stretch>
                  </pic:blipFill>
                  <pic:spPr>
                    <a:xfrm>
                      <a:off x="0" y="0"/>
                      <a:ext cx="5220000" cy="2919605"/>
                    </a:xfrm>
                    <a:prstGeom prst="rect">
                      <a:avLst/>
                    </a:prstGeom>
                    <a:ln/>
                  </pic:spPr>
                </pic:pic>
              </a:graphicData>
            </a:graphic>
          </wp:inline>
        </w:drawing>
      </w:r>
    </w:p>
    <w:p w:rsidR="001E029A" w:rsidRPr="002B0890" w:rsidRDefault="002B0890">
      <w:pPr>
        <w:pBdr>
          <w:top w:val="nil"/>
          <w:left w:val="nil"/>
          <w:bottom w:val="nil"/>
          <w:right w:val="nil"/>
          <w:between w:val="nil"/>
        </w:pBdr>
        <w:spacing w:line="360" w:lineRule="auto"/>
        <w:jc w:val="center"/>
        <w:rPr>
          <w:rFonts w:ascii="Palatino Linotype" w:eastAsia="Palatino Linotype" w:hAnsi="Palatino Linotype" w:cs="Palatino Linotype"/>
        </w:rPr>
      </w:pPr>
      <w:r w:rsidRPr="002B0890">
        <w:rPr>
          <w:noProof/>
        </w:rPr>
        <w:lastRenderedPageBreak/>
        <w:drawing>
          <wp:inline distT="0" distB="0" distL="0" distR="0">
            <wp:extent cx="5220000" cy="2170499"/>
            <wp:effectExtent l="0" t="0" r="0" b="0"/>
            <wp:docPr id="1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b="42552"/>
                    <a:stretch>
                      <a:fillRect/>
                    </a:stretch>
                  </pic:blipFill>
                  <pic:spPr>
                    <a:xfrm>
                      <a:off x="0" y="0"/>
                      <a:ext cx="5220000" cy="2170499"/>
                    </a:xfrm>
                    <a:prstGeom prst="rect">
                      <a:avLst/>
                    </a:prstGeom>
                    <a:ln/>
                  </pic:spPr>
                </pic:pic>
              </a:graphicData>
            </a:graphic>
          </wp:inline>
        </w:drawing>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De las imágenes anteriores podemos advertir, por ejemplo, que la erogación por concepto de Sueldos base, se encuentra contemplado en la partida específica 1131, que pertenece a la partida genérica 1130 Sueldos base al personal permanente, del subcapítulo 1100 Remuneraciones al Personal de Carácter Permanente, del capítulo 1000 Servicios Personales.</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Asimismo, que la erogación por concepto de Asignaciones presupuestarias al Poder Ejecutivo, se encuentra contemplado en la partida específica 4111, que pertenece a la partida genérica 4110 Asignaciones presupuestarias al Poder Ejecutivo, del subcapítulo 4100 Transferencias internas y asignaciones al sector público, del capítulo 4000 Transferencias, Asignaciones, Subsidios y Otras Ayudas.</w:t>
      </w: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  </w:t>
      </w: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 xml:space="preserve">En este tenor, es claro que el documento proporcionado por </w:t>
      </w:r>
      <w:r w:rsidRPr="002B0890">
        <w:rPr>
          <w:rFonts w:ascii="Palatino Linotype" w:eastAsia="Palatino Linotype" w:hAnsi="Palatino Linotype" w:cs="Palatino Linotype"/>
          <w:b/>
        </w:rPr>
        <w:t>EL SUJETO OBLIGADO</w:t>
      </w:r>
      <w:r w:rsidRPr="002B0890">
        <w:rPr>
          <w:rFonts w:ascii="Palatino Linotype" w:eastAsia="Palatino Linotype" w:hAnsi="Palatino Linotype" w:cs="Palatino Linotype"/>
        </w:rPr>
        <w:t xml:space="preserve"> como lo fue la Carátula del Presupuesto de Egresos no contiene la información que es del interés de la persona solicitante, en virtud de que da cuenta </w:t>
      </w:r>
      <w:r w:rsidRPr="002B0890">
        <w:rPr>
          <w:rFonts w:ascii="Palatino Linotype" w:eastAsia="Palatino Linotype" w:hAnsi="Palatino Linotype" w:cs="Palatino Linotype"/>
        </w:rPr>
        <w:lastRenderedPageBreak/>
        <w:t xml:space="preserve">de los capítulos pero no así de las partidas genéricas y específicas que fueron solicitadas a ese grado de detalle por </w:t>
      </w:r>
      <w:r w:rsidRPr="002B0890">
        <w:rPr>
          <w:rFonts w:ascii="Palatino Linotype" w:eastAsia="Palatino Linotype" w:hAnsi="Palatino Linotype" w:cs="Palatino Linotype"/>
          <w:b/>
        </w:rPr>
        <w:t>LA PARTE RECURRENTE</w:t>
      </w:r>
      <w:r w:rsidRPr="002B0890">
        <w:rPr>
          <w:rFonts w:ascii="Palatino Linotype" w:eastAsia="Palatino Linotype" w:hAnsi="Palatino Linotype" w:cs="Palatino Linotype"/>
        </w:rPr>
        <w:t xml:space="preserve"> del presupuesto asignado para el ejercicio fiscal dos mil veintitrés, y en ese sentido, por lo visto, lo procedente es ordenar la entrega del documento donde conste el presupuesto asignado al Ayuntamiento de Ecatepec de Morelos para el año dos mil veintitrés. </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rPr>
      </w:pPr>
    </w:p>
    <w:p w:rsidR="001E029A" w:rsidRPr="002B0890" w:rsidRDefault="002B0890">
      <w:pP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2B0890">
      <w:pPr>
        <w:numPr>
          <w:ilvl w:val="0"/>
          <w:numId w:val="1"/>
        </w:numPr>
        <w:pBdr>
          <w:top w:val="nil"/>
          <w:left w:val="nil"/>
          <w:bottom w:val="nil"/>
          <w:right w:val="nil"/>
          <w:between w:val="nil"/>
        </w:pBdr>
        <w:spacing w:line="360" w:lineRule="auto"/>
        <w:jc w:val="center"/>
        <w:rPr>
          <w:rFonts w:ascii="Palatino Linotype" w:eastAsia="Palatino Linotype" w:hAnsi="Palatino Linotype" w:cs="Palatino Linotype"/>
          <w:b/>
        </w:rPr>
      </w:pPr>
      <w:r w:rsidRPr="002B0890">
        <w:rPr>
          <w:rFonts w:ascii="Palatino Linotype" w:eastAsia="Palatino Linotype" w:hAnsi="Palatino Linotype" w:cs="Palatino Linotype"/>
          <w:b/>
        </w:rPr>
        <w:t>R E S U E L V E:</w:t>
      </w:r>
    </w:p>
    <w:p w:rsidR="001E029A" w:rsidRPr="002B0890" w:rsidRDefault="001E029A">
      <w:pPr>
        <w:pBdr>
          <w:top w:val="nil"/>
          <w:left w:val="nil"/>
          <w:bottom w:val="nil"/>
          <w:right w:val="nil"/>
          <w:between w:val="nil"/>
        </w:pBdr>
        <w:spacing w:line="360" w:lineRule="auto"/>
        <w:rPr>
          <w:rFonts w:ascii="Palatino Linotype" w:eastAsia="Palatino Linotype" w:hAnsi="Palatino Linotype" w:cs="Palatino Linotype"/>
          <w:b/>
        </w:rPr>
      </w:pPr>
    </w:p>
    <w:p w:rsidR="001E029A" w:rsidRPr="002B0890" w:rsidRDefault="002B0890">
      <w:pPr>
        <w:spacing w:line="360" w:lineRule="auto"/>
        <w:jc w:val="both"/>
        <w:rPr>
          <w:rFonts w:ascii="Palatino Linotype" w:eastAsia="Palatino Linotype" w:hAnsi="Palatino Linotype" w:cs="Palatino Linotype"/>
          <w:b/>
        </w:rPr>
      </w:pPr>
      <w:r w:rsidRPr="002B0890">
        <w:rPr>
          <w:rFonts w:ascii="Palatino Linotype" w:eastAsia="Palatino Linotype" w:hAnsi="Palatino Linotype" w:cs="Palatino Linotype"/>
          <w:b/>
        </w:rPr>
        <w:t xml:space="preserve">PRIMERO. </w:t>
      </w:r>
      <w:r w:rsidRPr="002B0890">
        <w:rPr>
          <w:rFonts w:ascii="Palatino Linotype" w:eastAsia="Palatino Linotype" w:hAnsi="Palatino Linotype" w:cs="Palatino Linotype"/>
        </w:rPr>
        <w:t>Resultan</w:t>
      </w:r>
      <w:r w:rsidRPr="002B0890">
        <w:rPr>
          <w:rFonts w:ascii="Palatino Linotype" w:eastAsia="Palatino Linotype" w:hAnsi="Palatino Linotype" w:cs="Palatino Linotype"/>
          <w:b/>
        </w:rPr>
        <w:t xml:space="preserve"> FUNDADOS</w:t>
      </w:r>
      <w:r w:rsidRPr="002B0890">
        <w:rPr>
          <w:rFonts w:ascii="Palatino Linotype" w:eastAsia="Palatino Linotype" w:hAnsi="Palatino Linotype" w:cs="Palatino Linotype"/>
        </w:rPr>
        <w:t xml:space="preserve"> los motivos de inconformidad hechos valer por </w:t>
      </w:r>
      <w:r w:rsidRPr="002B0890">
        <w:rPr>
          <w:rFonts w:ascii="Palatino Linotype" w:eastAsia="Palatino Linotype" w:hAnsi="Palatino Linotype" w:cs="Palatino Linotype"/>
          <w:b/>
        </w:rPr>
        <w:t xml:space="preserve">LA PARTE RECURRENTE </w:t>
      </w:r>
      <w:r w:rsidRPr="002B0890">
        <w:rPr>
          <w:rFonts w:ascii="Palatino Linotype" w:eastAsia="Palatino Linotype" w:hAnsi="Palatino Linotype" w:cs="Palatino Linotype"/>
        </w:rPr>
        <w:t xml:space="preserve">en el recurso de revisión </w:t>
      </w:r>
      <w:r w:rsidRPr="002B0890">
        <w:rPr>
          <w:rFonts w:ascii="Palatino Linotype" w:eastAsia="Palatino Linotype" w:hAnsi="Palatino Linotype" w:cs="Palatino Linotype"/>
          <w:b/>
        </w:rPr>
        <w:t xml:space="preserve">01819/INFOEM/IP/RR/2023, </w:t>
      </w:r>
      <w:r w:rsidRPr="002B0890">
        <w:rPr>
          <w:rFonts w:ascii="Palatino Linotype" w:eastAsia="Palatino Linotype" w:hAnsi="Palatino Linotype" w:cs="Palatino Linotype"/>
        </w:rPr>
        <w:t xml:space="preserve">por lo que, en términos del </w:t>
      </w:r>
      <w:r w:rsidRPr="002B0890">
        <w:rPr>
          <w:rFonts w:ascii="Palatino Linotype" w:eastAsia="Palatino Linotype" w:hAnsi="Palatino Linotype" w:cs="Palatino Linotype"/>
          <w:b/>
        </w:rPr>
        <w:t xml:space="preserve">CONSIDERANDO CUARTO </w:t>
      </w:r>
      <w:r w:rsidRPr="002B0890">
        <w:rPr>
          <w:rFonts w:ascii="Palatino Linotype" w:eastAsia="Palatino Linotype" w:hAnsi="Palatino Linotype" w:cs="Palatino Linotype"/>
        </w:rPr>
        <w:t>de la presente resolución, se</w:t>
      </w:r>
      <w:r w:rsidRPr="002B0890">
        <w:rPr>
          <w:rFonts w:ascii="Palatino Linotype" w:eastAsia="Palatino Linotype" w:hAnsi="Palatino Linotype" w:cs="Palatino Linotype"/>
          <w:b/>
        </w:rPr>
        <w:t xml:space="preserve"> MODIFICA </w:t>
      </w:r>
      <w:r w:rsidRPr="002B0890">
        <w:rPr>
          <w:rFonts w:ascii="Palatino Linotype" w:eastAsia="Palatino Linotype" w:hAnsi="Palatino Linotype" w:cs="Palatino Linotype"/>
        </w:rPr>
        <w:t>la respuesta</w:t>
      </w:r>
      <w:r w:rsidRPr="002B0890">
        <w:rPr>
          <w:rFonts w:ascii="Palatino Linotype" w:eastAsia="Palatino Linotype" w:hAnsi="Palatino Linotype" w:cs="Palatino Linotype"/>
          <w:b/>
        </w:rPr>
        <w:t xml:space="preserve"> </w:t>
      </w:r>
      <w:r w:rsidRPr="002B0890">
        <w:rPr>
          <w:rFonts w:ascii="Palatino Linotype" w:eastAsia="Palatino Linotype" w:hAnsi="Palatino Linotype" w:cs="Palatino Linotype"/>
        </w:rPr>
        <w:t xml:space="preserve">del </w:t>
      </w:r>
      <w:r w:rsidRPr="002B0890">
        <w:rPr>
          <w:rFonts w:ascii="Palatino Linotype" w:eastAsia="Palatino Linotype" w:hAnsi="Palatino Linotype" w:cs="Palatino Linotype"/>
          <w:b/>
        </w:rPr>
        <w:t>SUJETO OBLIGADO.</w:t>
      </w:r>
    </w:p>
    <w:p w:rsidR="001E029A" w:rsidRPr="002B0890" w:rsidRDefault="001E029A">
      <w:pPr>
        <w:spacing w:line="360" w:lineRule="auto"/>
        <w:jc w:val="both"/>
        <w:rPr>
          <w:rFonts w:ascii="Palatino Linotype" w:eastAsia="Palatino Linotype" w:hAnsi="Palatino Linotype" w:cs="Palatino Linotype"/>
          <w:b/>
        </w:rPr>
      </w:pPr>
    </w:p>
    <w:p w:rsidR="001E029A" w:rsidRPr="002B0890" w:rsidRDefault="002B0890">
      <w:pPr>
        <w:spacing w:line="360" w:lineRule="auto"/>
        <w:jc w:val="both"/>
        <w:rPr>
          <w:rFonts w:ascii="Palatino Linotype" w:eastAsia="Palatino Linotype" w:hAnsi="Palatino Linotype" w:cs="Palatino Linotype"/>
        </w:rPr>
      </w:pPr>
      <w:bookmarkStart w:id="5" w:name="_heading=h.4d34og8" w:colFirst="0" w:colLast="0"/>
      <w:bookmarkEnd w:id="5"/>
      <w:r w:rsidRPr="002B0890">
        <w:rPr>
          <w:rFonts w:ascii="Palatino Linotype" w:eastAsia="Palatino Linotype" w:hAnsi="Palatino Linotype" w:cs="Palatino Linotype"/>
          <w:b/>
        </w:rPr>
        <w:t xml:space="preserve">SEGUNDO. </w:t>
      </w:r>
      <w:r w:rsidRPr="002B0890">
        <w:rPr>
          <w:rFonts w:ascii="Palatino Linotype" w:eastAsia="Palatino Linotype" w:hAnsi="Palatino Linotype" w:cs="Palatino Linotype"/>
        </w:rPr>
        <w:t xml:space="preserve">Se </w:t>
      </w:r>
      <w:r w:rsidRPr="002B0890">
        <w:rPr>
          <w:rFonts w:ascii="Palatino Linotype" w:eastAsia="Palatino Linotype" w:hAnsi="Palatino Linotype" w:cs="Palatino Linotype"/>
          <w:b/>
        </w:rPr>
        <w:t>ORDENA</w:t>
      </w:r>
      <w:r w:rsidRPr="002B0890">
        <w:rPr>
          <w:rFonts w:ascii="Palatino Linotype" w:eastAsia="Palatino Linotype" w:hAnsi="Palatino Linotype" w:cs="Palatino Linotype"/>
        </w:rPr>
        <w:t xml:space="preserve"> al </w:t>
      </w:r>
      <w:r w:rsidRPr="002B0890">
        <w:rPr>
          <w:rFonts w:ascii="Palatino Linotype" w:eastAsia="Palatino Linotype" w:hAnsi="Palatino Linotype" w:cs="Palatino Linotype"/>
          <w:b/>
        </w:rPr>
        <w:t>SUJETO OBLIGADO</w:t>
      </w:r>
      <w:r w:rsidRPr="002B0890">
        <w:rPr>
          <w:rFonts w:ascii="Palatino Linotype" w:eastAsia="Palatino Linotype" w:hAnsi="Palatino Linotype" w:cs="Palatino Linotype"/>
        </w:rPr>
        <w:t xml:space="preserve">, en términos del </w:t>
      </w:r>
      <w:r w:rsidRPr="002B0890">
        <w:rPr>
          <w:rFonts w:ascii="Palatino Linotype" w:eastAsia="Palatino Linotype" w:hAnsi="Palatino Linotype" w:cs="Palatino Linotype"/>
          <w:b/>
        </w:rPr>
        <w:t xml:space="preserve">CONSIDERANDO CUARTO </w:t>
      </w:r>
      <w:r w:rsidRPr="002B0890">
        <w:rPr>
          <w:rFonts w:ascii="Palatino Linotype" w:eastAsia="Palatino Linotype" w:hAnsi="Palatino Linotype" w:cs="Palatino Linotype"/>
        </w:rPr>
        <w:t xml:space="preserve">de esta resolución, haga entrega, vía SAIMEX, del documento donde conste: </w:t>
      </w: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2B0890">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2B0890">
        <w:rPr>
          <w:rFonts w:ascii="Palatino Linotype" w:eastAsia="Palatino Linotype" w:hAnsi="Palatino Linotype" w:cs="Palatino Linotype"/>
        </w:rPr>
        <w:lastRenderedPageBreak/>
        <w:t>El presupuesto ejercido por la Secretaria del Ayuntamiento durante los meses de enero y febrero de dos mil veintitrés.</w:t>
      </w:r>
    </w:p>
    <w:p w:rsidR="001E029A" w:rsidRPr="002B0890" w:rsidRDefault="002B0890">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2B0890">
        <w:rPr>
          <w:rFonts w:ascii="Palatino Linotype" w:eastAsia="Palatino Linotype" w:hAnsi="Palatino Linotype" w:cs="Palatino Linotype"/>
        </w:rPr>
        <w:t>Presupuesto asignado para el ejercicio fiscal dos mil veintitrés desglosado por capítulo y partida presupuestal del Ayuntamiento de Ecatepec de Morelos.</w:t>
      </w:r>
    </w:p>
    <w:p w:rsidR="001E029A" w:rsidRPr="002B0890" w:rsidRDefault="001E029A">
      <w:pPr>
        <w:pBdr>
          <w:top w:val="nil"/>
          <w:left w:val="nil"/>
          <w:bottom w:val="nil"/>
          <w:right w:val="nil"/>
          <w:between w:val="nil"/>
        </w:pBdr>
        <w:spacing w:line="360" w:lineRule="auto"/>
        <w:ind w:left="720" w:right="49"/>
        <w:jc w:val="both"/>
        <w:rPr>
          <w:rFonts w:ascii="Palatino Linotype" w:eastAsia="Palatino Linotype" w:hAnsi="Palatino Linotype" w:cs="Palatino Linotype"/>
        </w:rPr>
      </w:pPr>
    </w:p>
    <w:p w:rsidR="001E029A" w:rsidRPr="002B0890" w:rsidRDefault="002B0890">
      <w:pPr>
        <w:spacing w:line="360" w:lineRule="auto"/>
        <w:jc w:val="both"/>
        <w:rPr>
          <w:rFonts w:ascii="Palatino Linotype" w:eastAsia="Palatino Linotype" w:hAnsi="Palatino Linotype" w:cs="Palatino Linotype"/>
          <w:b/>
        </w:rPr>
      </w:pPr>
      <w:r w:rsidRPr="002B0890">
        <w:rPr>
          <w:rFonts w:ascii="Palatino Linotype" w:eastAsia="Palatino Linotype" w:hAnsi="Palatino Linotype" w:cs="Palatino Linotype"/>
          <w:b/>
        </w:rPr>
        <w:t xml:space="preserve">TERCERO. NOTIFÍQUESE, </w:t>
      </w:r>
      <w:r w:rsidRPr="002B0890">
        <w:rPr>
          <w:rFonts w:ascii="Palatino Linotype" w:eastAsia="Palatino Linotype" w:hAnsi="Palatino Linotype" w:cs="Palatino Linotype"/>
        </w:rPr>
        <w:t xml:space="preserve">vía SAIMEX, a la Persona Titular de la Unidad de Transparencia del </w:t>
      </w:r>
      <w:r w:rsidRPr="002B0890">
        <w:rPr>
          <w:rFonts w:ascii="Palatino Linotype" w:eastAsia="Palatino Linotype" w:hAnsi="Palatino Linotype" w:cs="Palatino Linotype"/>
          <w:b/>
        </w:rPr>
        <w:t>SUJETO OBLIGADO,</w:t>
      </w:r>
      <w:r w:rsidRPr="002B0890">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b/>
        </w:rPr>
      </w:pPr>
      <w:r w:rsidRPr="002B0890">
        <w:rPr>
          <w:rFonts w:ascii="Palatino Linotype" w:eastAsia="Palatino Linotype" w:hAnsi="Palatino Linotype" w:cs="Palatino Linotype"/>
          <w:b/>
        </w:rPr>
        <w:t xml:space="preserve">CUARTO. </w:t>
      </w:r>
      <w:r w:rsidRPr="002B0890">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2B0890">
        <w:rPr>
          <w:rFonts w:ascii="Palatino Linotype" w:eastAsia="Palatino Linotype" w:hAnsi="Palatino Linotype" w:cs="Palatino Linotype"/>
          <w:b/>
        </w:rPr>
        <w:t>EL SUJETO OBLIGADO</w:t>
      </w:r>
      <w:r w:rsidRPr="002B0890">
        <w:rPr>
          <w:rFonts w:ascii="Palatino Linotype" w:eastAsia="Palatino Linotype" w:hAnsi="Palatino Linotype" w:cs="Palatino Linotype"/>
        </w:rPr>
        <w:t xml:space="preserve"> de manera fundada y motivada, podrá solicitar una ampliación de plazo para el cumplimiento de la presente resolución.</w:t>
      </w:r>
    </w:p>
    <w:p w:rsidR="001E029A" w:rsidRPr="002B0890" w:rsidRDefault="001E029A">
      <w:pPr>
        <w:pBdr>
          <w:top w:val="nil"/>
          <w:left w:val="nil"/>
          <w:bottom w:val="nil"/>
          <w:right w:val="nil"/>
          <w:between w:val="nil"/>
        </w:pBdr>
        <w:spacing w:line="360" w:lineRule="auto"/>
        <w:jc w:val="both"/>
        <w:rPr>
          <w:rFonts w:ascii="Palatino Linotype" w:eastAsia="Palatino Linotype" w:hAnsi="Palatino Linotype" w:cs="Palatino Linotype"/>
          <w:b/>
        </w:rPr>
      </w:pPr>
    </w:p>
    <w:p w:rsidR="001E029A" w:rsidRPr="002B0890" w:rsidRDefault="002B0890">
      <w:pPr>
        <w:pBdr>
          <w:top w:val="nil"/>
          <w:left w:val="nil"/>
          <w:bottom w:val="nil"/>
          <w:right w:val="nil"/>
          <w:between w:val="nil"/>
        </w:pBdr>
        <w:spacing w:line="360" w:lineRule="auto"/>
        <w:jc w:val="both"/>
        <w:rPr>
          <w:rFonts w:ascii="Palatino Linotype" w:eastAsia="Palatino Linotype" w:hAnsi="Palatino Linotype" w:cs="Palatino Linotype"/>
        </w:rPr>
      </w:pPr>
      <w:r w:rsidRPr="002B0890">
        <w:rPr>
          <w:rFonts w:ascii="Palatino Linotype" w:eastAsia="Palatino Linotype" w:hAnsi="Palatino Linotype" w:cs="Palatino Linotype"/>
          <w:b/>
        </w:rPr>
        <w:t xml:space="preserve">QUINTO. </w:t>
      </w:r>
      <w:r w:rsidRPr="002B0890">
        <w:rPr>
          <w:rFonts w:ascii="Palatino Linotype" w:eastAsia="Palatino Linotype" w:hAnsi="Palatino Linotype" w:cs="Palatino Linotype"/>
        </w:rPr>
        <w:t>Notifíquese vía SAIMEX,</w:t>
      </w:r>
      <w:r w:rsidRPr="002B0890">
        <w:rPr>
          <w:rFonts w:ascii="Palatino Linotype" w:eastAsia="Palatino Linotype" w:hAnsi="Palatino Linotype" w:cs="Palatino Linotype"/>
          <w:b/>
        </w:rPr>
        <w:t xml:space="preserve"> </w:t>
      </w:r>
      <w:r w:rsidRPr="002B0890">
        <w:rPr>
          <w:rFonts w:ascii="Palatino Linotype" w:eastAsia="Palatino Linotype" w:hAnsi="Palatino Linotype" w:cs="Palatino Linotype"/>
        </w:rPr>
        <w:t xml:space="preserve">a </w:t>
      </w:r>
      <w:r w:rsidRPr="002B0890">
        <w:rPr>
          <w:rFonts w:ascii="Palatino Linotype" w:eastAsia="Palatino Linotype" w:hAnsi="Palatino Linotype" w:cs="Palatino Linotype"/>
          <w:b/>
        </w:rPr>
        <w:t>LA PARTE</w:t>
      </w:r>
      <w:r w:rsidRPr="002B0890">
        <w:rPr>
          <w:rFonts w:ascii="Palatino Linotype" w:eastAsia="Palatino Linotype" w:hAnsi="Palatino Linotype" w:cs="Palatino Linotype"/>
        </w:rPr>
        <w:t xml:space="preserve"> </w:t>
      </w:r>
      <w:r w:rsidRPr="002B0890">
        <w:rPr>
          <w:rFonts w:ascii="Palatino Linotype" w:eastAsia="Palatino Linotype" w:hAnsi="Palatino Linotype" w:cs="Palatino Linotype"/>
          <w:b/>
        </w:rPr>
        <w:t>RECURRENTE</w:t>
      </w:r>
      <w:r w:rsidRPr="002B0890">
        <w:rPr>
          <w:rFonts w:ascii="Palatino Linotype" w:eastAsia="Palatino Linotype" w:hAnsi="Palatino Linotype" w:cs="Palatino Linotype"/>
        </w:rPr>
        <w:t xml:space="preserve"> la presente resolución, así como que podrá impugnarla vía Juicio de Amparo en los términos de </w:t>
      </w:r>
      <w:r w:rsidRPr="002B0890">
        <w:rPr>
          <w:rFonts w:ascii="Palatino Linotype" w:eastAsia="Palatino Linotype" w:hAnsi="Palatino Linotype" w:cs="Palatino Linotype"/>
        </w:rPr>
        <w:lastRenderedPageBreak/>
        <w:t>las leyes aplicables, de conformidad con lo establecido en el artículo 196 de la Ley de Transparencia y Acceso a la Información Pública del Estado de México y Municipios. </w:t>
      </w:r>
    </w:p>
    <w:p w:rsidR="001E029A" w:rsidRPr="002B0890" w:rsidRDefault="001E029A">
      <w:pPr>
        <w:spacing w:line="360" w:lineRule="auto"/>
        <w:jc w:val="both"/>
        <w:rPr>
          <w:rFonts w:ascii="Palatino Linotype" w:eastAsia="Palatino Linotype" w:hAnsi="Palatino Linotype" w:cs="Palatino Linotype"/>
          <w:b/>
        </w:rPr>
      </w:pPr>
    </w:p>
    <w:p w:rsidR="001E029A" w:rsidRPr="002B0890" w:rsidRDefault="002B0890">
      <w:pPr>
        <w:spacing w:line="360" w:lineRule="auto"/>
        <w:jc w:val="both"/>
        <w:rPr>
          <w:rFonts w:ascii="Palatino Linotype" w:eastAsia="Palatino Linotype" w:hAnsi="Palatino Linotype" w:cs="Palatino Linotype"/>
        </w:rPr>
      </w:pPr>
      <w:bookmarkStart w:id="6" w:name="_heading=h.2et92p0" w:colFirst="0" w:colLast="0"/>
      <w:bookmarkEnd w:id="6"/>
      <w:r w:rsidRPr="002B0890">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SEGUNDA SESIÓN ORDINARIA, CELEBRADA EL VEINTITRÉS DE NOVIEMBRE DE DOS MIL VEINTITRÉS, ANTE EL SECRETARIO TÉCNICO DEL PLENO ALEXIS TAPIA RAMÍREZ.</w:t>
      </w: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1E029A">
      <w:pPr>
        <w:spacing w:line="360" w:lineRule="auto"/>
        <w:jc w:val="both"/>
        <w:rPr>
          <w:rFonts w:ascii="Palatino Linotype" w:eastAsia="Palatino Linotype" w:hAnsi="Palatino Linotype" w:cs="Palatino Linotype"/>
        </w:rPr>
      </w:pPr>
    </w:p>
    <w:p w:rsidR="001E029A" w:rsidRPr="002B0890" w:rsidRDefault="001E029A">
      <w:pPr>
        <w:spacing w:line="360" w:lineRule="auto"/>
        <w:jc w:val="both"/>
        <w:rPr>
          <w:rFonts w:ascii="Palatino Linotype" w:eastAsia="Palatino Linotype" w:hAnsi="Palatino Linotype" w:cs="Palatino Linotype"/>
        </w:rPr>
      </w:pPr>
    </w:p>
    <w:sectPr w:rsidR="001E029A" w:rsidRPr="002B0890">
      <w:headerReference w:type="default" r:id="rId25"/>
      <w:footerReference w:type="default" r:id="rId26"/>
      <w:headerReference w:type="first" r:id="rId27"/>
      <w:footerReference w:type="first" r:id="rId2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06F" w:rsidRDefault="009C506F">
      <w:r>
        <w:separator/>
      </w:r>
    </w:p>
  </w:endnote>
  <w:endnote w:type="continuationSeparator" w:id="0">
    <w:p w:rsidR="009C506F" w:rsidRDefault="009C5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29A" w:rsidRDefault="002B089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3564F">
      <w:rPr>
        <w:rFonts w:ascii="Palatino Linotype" w:eastAsia="Palatino Linotype" w:hAnsi="Palatino Linotype" w:cs="Palatino Linotype"/>
        <w:b/>
        <w:noProof/>
        <w:color w:val="000000"/>
        <w:sz w:val="20"/>
        <w:szCs w:val="20"/>
      </w:rPr>
      <w:t>12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3564F">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rsidR="001E029A" w:rsidRDefault="001E029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29A" w:rsidRDefault="002B089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3564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3564F">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06F" w:rsidRDefault="009C506F">
      <w:r>
        <w:separator/>
      </w:r>
    </w:p>
  </w:footnote>
  <w:footnote w:type="continuationSeparator" w:id="0">
    <w:p w:rsidR="009C506F" w:rsidRDefault="009C50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29A" w:rsidRDefault="002B0890">
    <w:pPr>
      <w:rPr>
        <w:rFonts w:ascii="Cambria" w:eastAsia="Cambria" w:hAnsi="Cambria" w:cs="Cambria"/>
      </w:rPr>
    </w:pPr>
    <w:r>
      <w:rPr>
        <w:noProof/>
      </w:rPr>
      <w:drawing>
        <wp:anchor distT="0" distB="0" distL="0" distR="0" simplePos="0" relativeHeight="251658240" behindDoc="1" locked="0" layoutInCell="1" hidden="0" allowOverlap="1">
          <wp:simplePos x="0" y="0"/>
          <wp:positionH relativeFrom="column">
            <wp:posOffset>-1078864</wp:posOffset>
          </wp:positionH>
          <wp:positionV relativeFrom="paragraph">
            <wp:posOffset>-372744</wp:posOffset>
          </wp:positionV>
          <wp:extent cx="7809865" cy="10165715"/>
          <wp:effectExtent l="0" t="0" r="0" b="0"/>
          <wp:wrapNone/>
          <wp:docPr id="1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9"/>
      <w:tblW w:w="6242" w:type="dxa"/>
      <w:tblInd w:w="2972" w:type="dxa"/>
      <w:tblLayout w:type="fixed"/>
      <w:tblLook w:val="0400" w:firstRow="0" w:lastRow="0" w:firstColumn="0" w:lastColumn="0" w:noHBand="0" w:noVBand="1"/>
    </w:tblPr>
    <w:tblGrid>
      <w:gridCol w:w="2410"/>
      <w:gridCol w:w="3832"/>
    </w:tblGrid>
    <w:tr w:rsidR="001E029A">
      <w:tc>
        <w:tcPr>
          <w:tcW w:w="2410" w:type="dxa"/>
          <w:shd w:val="clear" w:color="auto" w:fill="auto"/>
        </w:tcPr>
        <w:p w:rsidR="001E029A" w:rsidRDefault="002B089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32" w:type="dxa"/>
          <w:shd w:val="clear" w:color="auto" w:fill="auto"/>
          <w:vAlign w:val="center"/>
        </w:tcPr>
        <w:p w:rsidR="001E029A" w:rsidRDefault="002B089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01819/INFOEM/IP/RR/2023</w:t>
          </w:r>
        </w:p>
      </w:tc>
    </w:tr>
    <w:tr w:rsidR="001E029A">
      <w:trPr>
        <w:trHeight w:val="228"/>
      </w:trPr>
      <w:tc>
        <w:tcPr>
          <w:tcW w:w="2410" w:type="dxa"/>
          <w:shd w:val="clear" w:color="auto" w:fill="auto"/>
          <w:vAlign w:val="center"/>
        </w:tcPr>
        <w:p w:rsidR="001E029A" w:rsidRDefault="002B089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32" w:type="dxa"/>
          <w:shd w:val="clear" w:color="auto" w:fill="auto"/>
          <w:vAlign w:val="center"/>
        </w:tcPr>
        <w:p w:rsidR="001E029A" w:rsidRDefault="002B0890">
          <w:pPr>
            <w:ind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1E029A">
      <w:tc>
        <w:tcPr>
          <w:tcW w:w="2410" w:type="dxa"/>
          <w:shd w:val="clear" w:color="auto" w:fill="auto"/>
          <w:vAlign w:val="center"/>
        </w:tcPr>
        <w:p w:rsidR="001E029A" w:rsidRDefault="002B089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32" w:type="dxa"/>
          <w:shd w:val="clear" w:color="auto" w:fill="auto"/>
          <w:vAlign w:val="center"/>
        </w:tcPr>
        <w:p w:rsidR="001E029A" w:rsidRDefault="002B089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E029A" w:rsidRDefault="002B0890">
    <w:pPr>
      <w:rPr>
        <w:rFonts w:ascii="Cambria" w:eastAsia="Cambria" w:hAnsi="Cambria" w:cs="Cambria"/>
      </w:rPr>
    </w:pPr>
    <w:r>
      <w:rPr>
        <w:rFonts w:ascii="Cambria" w:eastAsia="Cambria" w:hAnsi="Cambria" w:cs="Cambr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29A" w:rsidRDefault="002B089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-1089021</wp:posOffset>
          </wp:positionH>
          <wp:positionV relativeFrom="paragraph">
            <wp:posOffset>-459736</wp:posOffset>
          </wp:positionV>
          <wp:extent cx="7809865" cy="10165715"/>
          <wp:effectExtent l="0" t="0" r="0" b="0"/>
          <wp:wrapNone/>
          <wp:docPr id="1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8"/>
      <w:tblW w:w="6379" w:type="dxa"/>
      <w:tblInd w:w="2547" w:type="dxa"/>
      <w:tblLayout w:type="fixed"/>
      <w:tblLook w:val="0400" w:firstRow="0" w:lastRow="0" w:firstColumn="0" w:lastColumn="0" w:noHBand="0" w:noVBand="1"/>
    </w:tblPr>
    <w:tblGrid>
      <w:gridCol w:w="2551"/>
      <w:gridCol w:w="3828"/>
    </w:tblGrid>
    <w:tr w:rsidR="001E029A">
      <w:trPr>
        <w:trHeight w:val="213"/>
      </w:trPr>
      <w:tc>
        <w:tcPr>
          <w:tcW w:w="2551" w:type="dxa"/>
          <w:shd w:val="clear" w:color="auto" w:fill="auto"/>
          <w:vAlign w:val="center"/>
        </w:tcPr>
        <w:p w:rsidR="001E029A" w:rsidRDefault="002B089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28" w:type="dxa"/>
          <w:shd w:val="clear" w:color="auto" w:fill="auto"/>
          <w:vAlign w:val="center"/>
        </w:tcPr>
        <w:p w:rsidR="001E029A" w:rsidRDefault="002B0890">
          <w:pPr>
            <w:tabs>
              <w:tab w:val="left" w:pos="3153"/>
            </w:tabs>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01819/INFOEM/IP/RR/2023</w:t>
          </w:r>
        </w:p>
      </w:tc>
    </w:tr>
    <w:tr w:rsidR="001E029A">
      <w:trPr>
        <w:trHeight w:val="91"/>
      </w:trPr>
      <w:tc>
        <w:tcPr>
          <w:tcW w:w="2551" w:type="dxa"/>
          <w:shd w:val="clear" w:color="auto" w:fill="auto"/>
          <w:vAlign w:val="center"/>
        </w:tcPr>
        <w:p w:rsidR="001E029A" w:rsidRDefault="002B089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828" w:type="dxa"/>
          <w:shd w:val="clear" w:color="auto" w:fill="FFFFFF"/>
          <w:vAlign w:val="center"/>
        </w:tcPr>
        <w:p w:rsidR="001E029A" w:rsidRDefault="00C3564F" w:rsidP="00C3564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 XX</w:t>
          </w:r>
        </w:p>
      </w:tc>
    </w:tr>
    <w:tr w:rsidR="001E029A">
      <w:trPr>
        <w:trHeight w:val="161"/>
      </w:trPr>
      <w:tc>
        <w:tcPr>
          <w:tcW w:w="2551" w:type="dxa"/>
          <w:shd w:val="clear" w:color="auto" w:fill="auto"/>
          <w:vAlign w:val="center"/>
        </w:tcPr>
        <w:p w:rsidR="001E029A" w:rsidRDefault="002B089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28" w:type="dxa"/>
          <w:shd w:val="clear" w:color="auto" w:fill="auto"/>
          <w:vAlign w:val="center"/>
        </w:tcPr>
        <w:p w:rsidR="001E029A" w:rsidRDefault="002B0890">
          <w:pPr>
            <w:ind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1E029A">
      <w:trPr>
        <w:trHeight w:val="102"/>
      </w:trPr>
      <w:tc>
        <w:tcPr>
          <w:tcW w:w="2551" w:type="dxa"/>
          <w:shd w:val="clear" w:color="auto" w:fill="auto"/>
          <w:vAlign w:val="center"/>
        </w:tcPr>
        <w:p w:rsidR="001E029A" w:rsidRDefault="002B089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28" w:type="dxa"/>
          <w:shd w:val="clear" w:color="auto" w:fill="auto"/>
          <w:vAlign w:val="center"/>
        </w:tcPr>
        <w:p w:rsidR="001E029A" w:rsidRDefault="002B089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E029A" w:rsidRDefault="001E02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434E5"/>
    <w:multiLevelType w:val="multilevel"/>
    <w:tmpl w:val="E904C5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B0D1BBA"/>
    <w:multiLevelType w:val="multilevel"/>
    <w:tmpl w:val="BEE04BC4"/>
    <w:lvl w:ilvl="0">
      <w:start w:val="1"/>
      <w:numFmt w:val="bullet"/>
      <w:lvlText w:val="●"/>
      <w:lvlJc w:val="left"/>
      <w:pPr>
        <w:ind w:left="1080" w:hanging="72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D216058"/>
    <w:multiLevelType w:val="multilevel"/>
    <w:tmpl w:val="BC9C5662"/>
    <w:lvl w:ilvl="0">
      <w:start w:val="1"/>
      <w:numFmt w:val="lowerLetter"/>
      <w:pStyle w:val="Listaconvietas3"/>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31A94F90"/>
    <w:multiLevelType w:val="multilevel"/>
    <w:tmpl w:val="26B20004"/>
    <w:lvl w:ilvl="0">
      <w:start w:val="3"/>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22045B0"/>
    <w:multiLevelType w:val="multilevel"/>
    <w:tmpl w:val="727469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8CF260D"/>
    <w:multiLevelType w:val="multilevel"/>
    <w:tmpl w:val="FFD0900E"/>
    <w:lvl w:ilvl="0">
      <w:start w:val="8"/>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C8B5FF2"/>
    <w:multiLevelType w:val="multilevel"/>
    <w:tmpl w:val="17B4BCA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44E01240"/>
    <w:multiLevelType w:val="multilevel"/>
    <w:tmpl w:val="A048654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7B705D92"/>
    <w:multiLevelType w:val="multilevel"/>
    <w:tmpl w:val="065095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E5D1403"/>
    <w:multiLevelType w:val="multilevel"/>
    <w:tmpl w:val="FAF67CB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4"/>
  </w:num>
  <w:num w:numId="4">
    <w:abstractNumId w:val="8"/>
  </w:num>
  <w:num w:numId="5">
    <w:abstractNumId w:val="7"/>
  </w:num>
  <w:num w:numId="6">
    <w:abstractNumId w:val="6"/>
  </w:num>
  <w:num w:numId="7">
    <w:abstractNumId w:val="9"/>
  </w:num>
  <w:num w:numId="8">
    <w:abstractNumId w:val="5"/>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29A"/>
    <w:rsid w:val="001E029A"/>
    <w:rsid w:val="002B0890"/>
    <w:rsid w:val="008A0BE8"/>
    <w:rsid w:val="009C506F"/>
    <w:rsid w:val="00B547EC"/>
    <w:rsid w:val="00C3564F"/>
    <w:rsid w:val="00F532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80D8AF-F005-4908-A77F-992C963AC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6F3"/>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0">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1"/>
    <w:tblPr>
      <w:tblStyleRowBandSize w:val="1"/>
      <w:tblStyleColBandSize w:val="1"/>
      <w:tblCellMar>
        <w:top w:w="0" w:type="dxa"/>
        <w:left w:w="115" w:type="dxa"/>
        <w:bottom w:w="0" w:type="dxa"/>
        <w:right w:w="115" w:type="dxa"/>
      </w:tblCellMar>
    </w:tblPr>
  </w:style>
  <w:style w:type="table" w:customStyle="1" w:styleId="9">
    <w:name w:val="9"/>
    <w:basedOn w:val="TableNormal11"/>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1"/>
    <w:tblPr>
      <w:tblStyleRowBandSize w:val="1"/>
      <w:tblStyleColBandSize w:val="1"/>
      <w:tblCellMar>
        <w:top w:w="0" w:type="dxa"/>
        <w:left w:w="115" w:type="dxa"/>
        <w:bottom w:w="0" w:type="dxa"/>
        <w:right w:w="115" w:type="dxa"/>
      </w:tblCellMar>
    </w:tblPr>
  </w:style>
  <w:style w:type="table" w:customStyle="1" w:styleId="7">
    <w:name w:val="7"/>
    <w:basedOn w:val="TableNormal11"/>
    <w:tblPr>
      <w:tblStyleRowBandSize w:val="1"/>
      <w:tblStyleColBandSize w:val="1"/>
      <w:tblCellMar>
        <w:top w:w="0" w:type="dxa"/>
        <w:left w:w="115" w:type="dxa"/>
        <w:bottom w:w="0" w:type="dxa"/>
        <w:right w:w="115" w:type="dxa"/>
      </w:tblCellMar>
    </w:tblPr>
  </w:style>
  <w:style w:type="table" w:customStyle="1" w:styleId="6">
    <w:name w:val="6"/>
    <w:basedOn w:val="TableNormal20"/>
    <w:tblPr>
      <w:tblStyleRowBandSize w:val="1"/>
      <w:tblStyleColBandSize w:val="1"/>
      <w:tblCellMar>
        <w:top w:w="0" w:type="dxa"/>
        <w:left w:w="115" w:type="dxa"/>
        <w:bottom w:w="0" w:type="dxa"/>
        <w:right w:w="115" w:type="dxa"/>
      </w:tblCellMar>
    </w:tblPr>
  </w:style>
  <w:style w:type="table" w:customStyle="1" w:styleId="5">
    <w:name w:val="5"/>
    <w:basedOn w:val="TableNormal20"/>
    <w:tblPr>
      <w:tblStyleRowBandSize w:val="1"/>
      <w:tblStyleColBandSize w:val="1"/>
      <w:tblCellMar>
        <w:top w:w="0" w:type="dxa"/>
        <w:left w:w="115" w:type="dxa"/>
        <w:bottom w:w="0" w:type="dxa"/>
        <w:right w:w="115" w:type="dxa"/>
      </w:tblCellMar>
    </w:tblPr>
  </w:style>
  <w:style w:type="table" w:customStyle="1" w:styleId="4">
    <w:name w:val="4"/>
    <w:basedOn w:val="TableNormal30"/>
    <w:tblPr>
      <w:tblStyleRowBandSize w:val="1"/>
      <w:tblStyleColBandSize w:val="1"/>
      <w:tblCellMar>
        <w:top w:w="0" w:type="dxa"/>
        <w:left w:w="115" w:type="dxa"/>
        <w:bottom w:w="0" w:type="dxa"/>
        <w:right w:w="115" w:type="dxa"/>
      </w:tblCellMar>
    </w:tblPr>
  </w:style>
  <w:style w:type="table" w:customStyle="1" w:styleId="3">
    <w:name w:val="3"/>
    <w:basedOn w:val="TableNormal30"/>
    <w:tblPr>
      <w:tblStyleRowBandSize w:val="1"/>
      <w:tblStyleColBandSize w:val="1"/>
      <w:tblCellMar>
        <w:top w:w="0" w:type="dxa"/>
        <w:left w:w="115" w:type="dxa"/>
        <w:bottom w:w="0"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tabs>
        <w:tab w:val="num" w:pos="720"/>
      </w:tabs>
      <w:ind w:left="720" w:hanging="720"/>
      <w:contextualSpacing/>
    </w:pPr>
  </w:style>
  <w:style w:type="table" w:customStyle="1" w:styleId="2">
    <w:name w:val="2"/>
    <w:basedOn w:val="TableNormal40"/>
    <w:tblPr>
      <w:tblStyleRowBandSize w:val="1"/>
      <w:tblStyleColBandSize w:val="1"/>
      <w:tblCellMar>
        <w:top w:w="0" w:type="dxa"/>
        <w:left w:w="115" w:type="dxa"/>
        <w:bottom w:w="0" w:type="dxa"/>
        <w:right w:w="115" w:type="dxa"/>
      </w:tblCellMar>
    </w:tblPr>
  </w:style>
  <w:style w:type="table" w:customStyle="1" w:styleId="1">
    <w:name w:val="1"/>
    <w:basedOn w:val="TableNormal40"/>
    <w:tblPr>
      <w:tblStyleRowBandSize w:val="1"/>
      <w:tblStyleColBandSize w:val="1"/>
      <w:tblCellMar>
        <w:top w:w="0" w:type="dxa"/>
        <w:left w:w="115" w:type="dxa"/>
        <w:bottom w:w="0" w:type="dxa"/>
        <w:right w:w="115" w:type="dxa"/>
      </w:tblCellMar>
    </w:tblPr>
  </w:style>
  <w:style w:type="table" w:customStyle="1" w:styleId="23">
    <w:name w:val="23"/>
    <w:basedOn w:val="TableNormal50"/>
    <w:tblPr>
      <w:tblStyleRowBandSize w:val="1"/>
      <w:tblStyleColBandSize w:val="1"/>
      <w:tblCellMar>
        <w:top w:w="0" w:type="dxa"/>
        <w:left w:w="115" w:type="dxa"/>
        <w:bottom w:w="0" w:type="dxa"/>
        <w:right w:w="115" w:type="dxa"/>
      </w:tblCellMar>
    </w:tblPr>
  </w:style>
  <w:style w:type="table" w:customStyle="1" w:styleId="22">
    <w:name w:val="22"/>
    <w:basedOn w:val="TableNormal50"/>
    <w:tblPr>
      <w:tblStyleRowBandSize w:val="1"/>
      <w:tblStyleColBandSize w:val="1"/>
      <w:tblCellMar>
        <w:top w:w="0" w:type="dxa"/>
        <w:left w:w="115" w:type="dxa"/>
        <w:bottom w:w="0" w:type="dxa"/>
        <w:right w:w="115" w:type="dxa"/>
      </w:tblCellMar>
    </w:tblPr>
  </w:style>
  <w:style w:type="table" w:customStyle="1" w:styleId="21">
    <w:name w:val="21"/>
    <w:basedOn w:val="TableNormal60"/>
    <w:tblPr>
      <w:tblStyleRowBandSize w:val="1"/>
      <w:tblStyleColBandSize w:val="1"/>
      <w:tblCellMar>
        <w:top w:w="0" w:type="dxa"/>
        <w:left w:w="115" w:type="dxa"/>
        <w:bottom w:w="0" w:type="dxa"/>
        <w:right w:w="115" w:type="dxa"/>
      </w:tblCellMar>
    </w:tblPr>
  </w:style>
  <w:style w:type="table" w:customStyle="1" w:styleId="20">
    <w:name w:val="20"/>
    <w:basedOn w:val="TableNormal60"/>
    <w:tblPr>
      <w:tblStyleRowBandSize w:val="1"/>
      <w:tblStyleColBandSize w:val="1"/>
      <w:tblCellMar>
        <w:top w:w="0" w:type="dxa"/>
        <w:left w:w="115" w:type="dxa"/>
        <w:bottom w:w="0" w:type="dxa"/>
        <w:right w:w="115" w:type="dxa"/>
      </w:tblCellMar>
    </w:tblPr>
  </w:style>
  <w:style w:type="table" w:customStyle="1" w:styleId="19">
    <w:name w:val="19"/>
    <w:basedOn w:val="TableNormal7"/>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8">
    <w:name w:val="18"/>
    <w:basedOn w:val="TableNormal7"/>
    <w:tblPr>
      <w:tblStyleRowBandSize w:val="1"/>
      <w:tblStyleColBandSize w:val="1"/>
      <w:tblCellMar>
        <w:top w:w="0" w:type="dxa"/>
        <w:left w:w="115" w:type="dxa"/>
        <w:bottom w:w="0" w:type="dxa"/>
        <w:right w:w="115" w:type="dxa"/>
      </w:tblCellMar>
    </w:tblPr>
  </w:style>
  <w:style w:type="table" w:customStyle="1" w:styleId="17">
    <w:name w:val="17"/>
    <w:basedOn w:val="TableNormal7"/>
    <w:tblPr>
      <w:tblStyleRowBandSize w:val="1"/>
      <w:tblStyleColBandSize w:val="1"/>
      <w:tblCellMar>
        <w:top w:w="0" w:type="dxa"/>
        <w:left w:w="115" w:type="dxa"/>
        <w:bottom w:w="0" w:type="dxa"/>
        <w:right w:w="115" w:type="dxa"/>
      </w:tblCellMar>
    </w:tblPr>
  </w:style>
  <w:style w:type="table" w:customStyle="1" w:styleId="16">
    <w:name w:val="16"/>
    <w:basedOn w:val="TableNormal8"/>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5">
    <w:name w:val="15"/>
    <w:basedOn w:val="TableNormal8"/>
    <w:tblPr>
      <w:tblStyleRowBandSize w:val="1"/>
      <w:tblStyleColBandSize w:val="1"/>
      <w:tblCellMar>
        <w:top w:w="0" w:type="dxa"/>
        <w:left w:w="115" w:type="dxa"/>
        <w:bottom w:w="0" w:type="dxa"/>
        <w:right w:w="115" w:type="dxa"/>
      </w:tblCellMar>
    </w:tblPr>
  </w:style>
  <w:style w:type="table" w:customStyle="1" w:styleId="14">
    <w:name w:val="14"/>
    <w:basedOn w:val="TableNormal8"/>
    <w:tblPr>
      <w:tblStyleRowBandSize w:val="1"/>
      <w:tblStyleColBandSize w:val="1"/>
      <w:tblCellMar>
        <w:top w:w="0" w:type="dxa"/>
        <w:left w:w="115" w:type="dxa"/>
        <w:bottom w:w="0" w:type="dxa"/>
        <w:right w:w="115" w:type="dxa"/>
      </w:tblCellMar>
    </w:tblPr>
  </w:style>
  <w:style w:type="table" w:customStyle="1" w:styleId="13">
    <w:name w:val="13"/>
    <w:basedOn w:val="TableNormal9"/>
    <w:tblPr>
      <w:tblStyleRowBandSize w:val="1"/>
      <w:tblStyleColBandSize w:val="1"/>
      <w:tblCellMar>
        <w:top w:w="0" w:type="dxa"/>
        <w:left w:w="115" w:type="dxa"/>
        <w:bottom w:w="0" w:type="dxa"/>
        <w:right w:w="115" w:type="dxa"/>
      </w:tblCellMar>
    </w:tblPr>
  </w:style>
  <w:style w:type="table" w:customStyle="1" w:styleId="12">
    <w:name w:val="12"/>
    <w:basedOn w:val="TableNormal9"/>
    <w:tblPr>
      <w:tblStyleRowBandSize w:val="1"/>
      <w:tblStyleColBandSize w:val="1"/>
      <w:tblCellMar>
        <w:top w:w="0" w:type="dxa"/>
        <w:left w:w="115" w:type="dxa"/>
        <w:bottom w:w="0" w:type="dxa"/>
        <w:right w:w="115" w:type="dxa"/>
      </w:tblCellMar>
    </w:tblPr>
  </w:style>
  <w:style w:type="table" w:customStyle="1" w:styleId="26">
    <w:name w:val="26"/>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5">
    <w:name w:val="25"/>
    <w:basedOn w:val="TableNormal10"/>
    <w:tblPr>
      <w:tblStyleRowBandSize w:val="1"/>
      <w:tblStyleColBandSize w:val="1"/>
      <w:tblCellMar>
        <w:top w:w="0" w:type="dxa"/>
        <w:left w:w="115" w:type="dxa"/>
        <w:bottom w:w="0" w:type="dxa"/>
        <w:right w:w="115" w:type="dxa"/>
      </w:tblCellMar>
    </w:tblPr>
  </w:style>
  <w:style w:type="table" w:customStyle="1" w:styleId="24">
    <w:name w:val="24"/>
    <w:basedOn w:val="TableNormal10"/>
    <w:tblPr>
      <w:tblStyleRowBandSize w:val="1"/>
      <w:tblStyleColBandSize w:val="1"/>
      <w:tblCellMar>
        <w:top w:w="0" w:type="dxa"/>
        <w:left w:w="115" w:type="dxa"/>
        <w:bottom w:w="0" w:type="dxa"/>
        <w:right w:w="115" w:type="dxa"/>
      </w:tblCellMar>
    </w:tblPr>
  </w:style>
  <w:style w:type="table" w:customStyle="1" w:styleId="Tabladelista1clara-nfasis111">
    <w:name w:val="Tabla de lista 1 clara - Énfasis 111"/>
    <w:basedOn w:val="Tablanormal"/>
    <w:uiPriority w:val="46"/>
    <w:rsid w:val="0096387C"/>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ita">
    <w:name w:val="Quote"/>
    <w:basedOn w:val="Normal"/>
    <w:next w:val="Normal"/>
    <w:link w:val="CitaCar"/>
    <w:uiPriority w:val="29"/>
    <w:qFormat/>
    <w:rsid w:val="008A3C5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A3C56"/>
    <w:rPr>
      <w:i/>
      <w:iCs/>
      <w:color w:val="404040" w:themeColor="text1" w:themeTint="BF"/>
    </w:rPr>
  </w:style>
  <w:style w:type="table" w:customStyle="1" w:styleId="a">
    <w:basedOn w:val="TableNormal6"/>
    <w:tblPr>
      <w:tblStyleRowBandSize w:val="1"/>
      <w:tblStyleColBandSize w:val="1"/>
      <w:tblCellMar>
        <w:top w:w="0" w:type="dxa"/>
        <w:left w:w="108" w:type="dxa"/>
        <w:bottom w:w="0" w:type="dxa"/>
        <w:right w:w="108" w:type="dxa"/>
      </w:tblCellMar>
    </w:tblPr>
  </w:style>
  <w:style w:type="table" w:customStyle="1" w:styleId="a0">
    <w:basedOn w:val="TableNormal6"/>
    <w:tblPr>
      <w:tblStyleRowBandSize w:val="1"/>
      <w:tblStyleColBandSize w:val="1"/>
      <w:tblCellMar>
        <w:top w:w="0" w:type="dxa"/>
        <w:left w:w="108" w:type="dxa"/>
        <w:bottom w:w="0" w:type="dxa"/>
        <w:right w:w="108" w:type="dxa"/>
      </w:tblCellMar>
    </w:tblPr>
  </w:style>
  <w:style w:type="table" w:customStyle="1" w:styleId="a2">
    <w:basedOn w:val="TableNormal6"/>
    <w:tblPr>
      <w:tblStyleRowBandSize w:val="1"/>
      <w:tblStyleColBandSize w:val="1"/>
      <w:tblCellMar>
        <w:top w:w="0" w:type="dxa"/>
        <w:left w:w="108" w:type="dxa"/>
        <w:bottom w:w="0" w:type="dxa"/>
        <w:right w:w="108" w:type="dxa"/>
      </w:tblCellMar>
    </w:tblPr>
  </w:style>
  <w:style w:type="table" w:customStyle="1" w:styleId="a3">
    <w:basedOn w:val="TableNormal6"/>
    <w:tblPr>
      <w:tblStyleRowBandSize w:val="1"/>
      <w:tblStyleColBandSize w:val="1"/>
      <w:tblCellMar>
        <w:top w:w="0" w:type="dxa"/>
        <w:left w:w="108" w:type="dxa"/>
        <w:bottom w:w="0" w:type="dxa"/>
        <w:right w:w="108" w:type="dxa"/>
      </w:tblCellMar>
    </w:tblPr>
  </w:style>
  <w:style w:type="table" w:customStyle="1" w:styleId="a4">
    <w:basedOn w:val="TableNormal6"/>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6"/>
    <w:tblPr>
      <w:tblStyleRowBandSize w:val="1"/>
      <w:tblStyleColBandSize w:val="1"/>
      <w:tblCellMar>
        <w:top w:w="0" w:type="dxa"/>
        <w:left w:w="115" w:type="dxa"/>
        <w:bottom w:w="0" w:type="dxa"/>
        <w:right w:w="115" w:type="dxa"/>
      </w:tblCellMar>
    </w:tblPr>
  </w:style>
  <w:style w:type="table" w:customStyle="1" w:styleId="a6">
    <w:basedOn w:val="TableNormal6"/>
    <w:tblPr>
      <w:tblStyleRowBandSize w:val="1"/>
      <w:tblStyleColBandSize w:val="1"/>
      <w:tblCellMar>
        <w:top w:w="0" w:type="dxa"/>
        <w:left w:w="115" w:type="dxa"/>
        <w:bottom w:w="0" w:type="dxa"/>
        <w:right w:w="115" w:type="dxa"/>
      </w:tblCellMar>
    </w:tblPr>
  </w:style>
  <w:style w:type="table" w:customStyle="1" w:styleId="a7">
    <w:basedOn w:val="TableNormal5"/>
    <w:tblPr>
      <w:tblStyleRowBandSize w:val="1"/>
      <w:tblStyleColBandSize w:val="1"/>
      <w:tblCellMar>
        <w:top w:w="0" w:type="dxa"/>
        <w:left w:w="115" w:type="dxa"/>
        <w:bottom w:w="0" w:type="dxa"/>
        <w:right w:w="115" w:type="dxa"/>
      </w:tblCellMar>
    </w:tblPr>
  </w:style>
  <w:style w:type="table" w:customStyle="1" w:styleId="a8">
    <w:basedOn w:val="TableNormal5"/>
    <w:tblPr>
      <w:tblStyleRowBandSize w:val="1"/>
      <w:tblStyleColBandSize w:val="1"/>
      <w:tblCellMar>
        <w:top w:w="0" w:type="dxa"/>
        <w:left w:w="115" w:type="dxa"/>
        <w:bottom w:w="0" w:type="dxa"/>
        <w:right w:w="115" w:type="dxa"/>
      </w:tblCellMar>
    </w:tblPr>
  </w:style>
  <w:style w:type="table" w:customStyle="1" w:styleId="a9">
    <w:basedOn w:val="TableNormal4"/>
    <w:tblPr>
      <w:tblStyleRowBandSize w:val="1"/>
      <w:tblStyleColBandSize w:val="1"/>
      <w:tblCellMar>
        <w:top w:w="0" w:type="dxa"/>
        <w:left w:w="115" w:type="dxa"/>
        <w:bottom w:w="0" w:type="dxa"/>
        <w:right w:w="115" w:type="dxa"/>
      </w:tblCellMar>
    </w:tblPr>
  </w:style>
  <w:style w:type="table" w:customStyle="1" w:styleId="aa">
    <w:basedOn w:val="TableNormal4"/>
    <w:tblPr>
      <w:tblStyleRowBandSize w:val="1"/>
      <w:tblStyleColBandSize w:val="1"/>
      <w:tblCellMar>
        <w:top w:w="0" w:type="dxa"/>
        <w:left w:w="115" w:type="dxa"/>
        <w:bottom w:w="0" w:type="dxa"/>
        <w:right w:w="115" w:type="dxa"/>
      </w:tblCellMar>
    </w:tblPr>
  </w:style>
  <w:style w:type="paragraph" w:customStyle="1" w:styleId="Citas">
    <w:name w:val="Citas"/>
    <w:basedOn w:val="Normal"/>
    <w:qFormat/>
    <w:rsid w:val="00853FB5"/>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ab">
    <w:basedOn w:val="TableNormal3"/>
    <w:tblPr>
      <w:tblStyleRowBandSize w:val="1"/>
      <w:tblStyleColBandSize w:val="1"/>
      <w:tblCellMar>
        <w:top w:w="0" w:type="dxa"/>
        <w:left w:w="108" w:type="dxa"/>
        <w:bottom w:w="0" w:type="dxa"/>
        <w:right w:w="108" w:type="dxa"/>
      </w:tblCellMar>
    </w:tblPr>
  </w:style>
  <w:style w:type="table" w:customStyle="1" w:styleId="ac">
    <w:basedOn w:val="TableNormal3"/>
    <w:tblPr>
      <w:tblStyleRowBandSize w:val="1"/>
      <w:tblStyleColBandSize w:val="1"/>
      <w:tblCellMar>
        <w:top w:w="0" w:type="dxa"/>
        <w:left w:w="108" w:type="dxa"/>
        <w:bottom w:w="0" w:type="dxa"/>
        <w:right w:w="108" w:type="dxa"/>
      </w:tblCellMar>
    </w:tblPr>
  </w:style>
  <w:style w:type="table" w:customStyle="1" w:styleId="ad">
    <w:basedOn w:val="TableNormal3"/>
    <w:tblPr>
      <w:tblStyleRowBandSize w:val="1"/>
      <w:tblStyleColBandSize w:val="1"/>
      <w:tblCellMar>
        <w:top w:w="15" w:type="dxa"/>
        <w:left w:w="15" w:type="dxa"/>
        <w:bottom w:w="15" w:type="dxa"/>
        <w:right w:w="15" w:type="dxa"/>
      </w:tblCellMar>
    </w:tblPr>
  </w:style>
  <w:style w:type="table" w:customStyle="1" w:styleId="ae">
    <w:basedOn w:val="TableNormal3"/>
    <w:tblPr>
      <w:tblStyleRowBandSize w:val="1"/>
      <w:tblStyleColBandSize w:val="1"/>
      <w:tblCellMar>
        <w:top w:w="0" w:type="dxa"/>
        <w:left w:w="115" w:type="dxa"/>
        <w:bottom w:w="0" w:type="dxa"/>
        <w:right w:w="115" w:type="dxa"/>
      </w:tblCellMar>
    </w:tblPr>
  </w:style>
  <w:style w:type="table" w:customStyle="1" w:styleId="af">
    <w:basedOn w:val="TableNormal3"/>
    <w:tblPr>
      <w:tblStyleRowBandSize w:val="1"/>
      <w:tblStyleColBandSize w:val="1"/>
      <w:tblCellMar>
        <w:top w:w="0" w:type="dxa"/>
        <w:left w:w="115" w:type="dxa"/>
        <w:bottom w:w="0" w:type="dxa"/>
        <w:right w:w="115" w:type="dxa"/>
      </w:tblCellMar>
    </w:tblPr>
  </w:style>
  <w:style w:type="table" w:customStyle="1" w:styleId="af0">
    <w:basedOn w:val="TableNormal2"/>
    <w:tblPr>
      <w:tblStyleRowBandSize w:val="1"/>
      <w:tblStyleColBandSize w:val="1"/>
      <w:tblCellMar>
        <w:top w:w="0" w:type="dxa"/>
        <w:left w:w="108" w:type="dxa"/>
        <w:bottom w:w="0" w:type="dxa"/>
        <w:right w:w="108" w:type="dxa"/>
      </w:tblCellMar>
    </w:tblPr>
  </w:style>
  <w:style w:type="table" w:customStyle="1" w:styleId="af1">
    <w:basedOn w:val="TableNormal2"/>
    <w:tblPr>
      <w:tblStyleRowBandSize w:val="1"/>
      <w:tblStyleColBandSize w:val="1"/>
      <w:tblCellMar>
        <w:top w:w="15" w:type="dxa"/>
        <w:left w:w="15" w:type="dxa"/>
        <w:bottom w:w="15" w:type="dxa"/>
        <w:right w:w="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table" w:customStyle="1" w:styleId="af3">
    <w:basedOn w:val="TableNormal2"/>
    <w:tblPr>
      <w:tblStyleRowBandSize w:val="1"/>
      <w:tblStyleColBandSize w:val="1"/>
      <w:tblCellMar>
        <w:top w:w="15" w:type="dxa"/>
        <w:left w:w="115" w:type="dxa"/>
        <w:bottom w:w="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table" w:customStyle="1" w:styleId="af6">
    <w:basedOn w:val="TableNormal1"/>
    <w:tblPr>
      <w:tblStyleRowBandSize w:val="1"/>
      <w:tblStyleColBandSize w:val="1"/>
      <w:tblCellMar>
        <w:top w:w="15" w:type="dxa"/>
        <w:left w:w="115" w:type="dxa"/>
        <w:bottom w:w="15" w:type="dxa"/>
        <w:right w:w="115" w:type="dxa"/>
      </w:tblCellMar>
    </w:tblPr>
  </w:style>
  <w:style w:type="table" w:customStyle="1" w:styleId="af7">
    <w:basedOn w:val="TableNormal1"/>
    <w:tblPr>
      <w:tblStyleRowBandSize w:val="1"/>
      <w:tblStyleColBandSize w:val="1"/>
      <w:tblCellMar>
        <w:top w:w="15" w:type="dxa"/>
        <w:left w:w="115" w:type="dxa"/>
        <w:bottom w:w="15" w:type="dxa"/>
        <w:right w:w="115" w:type="dxa"/>
      </w:tblCellMar>
    </w:tblPr>
  </w:style>
  <w:style w:type="table" w:customStyle="1" w:styleId="af8">
    <w:basedOn w:val="TableNormal0"/>
    <w:tblPr>
      <w:tblStyleRowBandSize w:val="1"/>
      <w:tblStyleColBandSize w:val="1"/>
      <w:tblCellMar>
        <w:top w:w="15" w:type="dxa"/>
        <w:left w:w="115" w:type="dxa"/>
        <w:bottom w:w="15" w:type="dxa"/>
        <w:right w:w="115" w:type="dxa"/>
      </w:tblCellMar>
    </w:tblPr>
  </w:style>
  <w:style w:type="table" w:customStyle="1" w:styleId="af9">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catepec.gob.mx/transparencia-conac" TargetMode="External"/><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ecatepec.gob.mx/transparencia-conac" TargetMode="External"/><Relationship Id="rId20" Type="http://schemas.openxmlformats.org/officeDocument/2006/relationships/hyperlink" Target="http://ecatepec.gob.mx/transparencia-conac"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948541.page"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hyperlink" Target="https://ecatepec.gob.mx/transparencia-conac"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q5F7HahKAk41CTU7uJ3DcuS0fg==">CgMxLjAyCGgudHlqY3d0MgloLjN6bnlzaDcyCGguZ2pkZ3hzMgloLjJzOGV5bzEyCWguNGQzNG9nODIJaC4yZXQ5MnAwOAByITFoRnVaWUxCbHFrN0NkZzlweXE4VTBHcElXX05VZEd4WA==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9357</Words>
  <Characters>51466</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INFOEM563</cp:lastModifiedBy>
  <cp:revision>2</cp:revision>
  <cp:lastPrinted>2023-11-27T16:32:00Z</cp:lastPrinted>
  <dcterms:created xsi:type="dcterms:W3CDTF">2023-12-05T20:01:00Z</dcterms:created>
  <dcterms:modified xsi:type="dcterms:W3CDTF">2023-12-05T20:01:00Z</dcterms:modified>
</cp:coreProperties>
</file>