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C7BD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mayo de dos mil veintitrés. </w:t>
      </w:r>
    </w:p>
    <w:p w14:paraId="4C28AC9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VISTO</w:t>
      </w:r>
      <w:r w:rsidRPr="0020402F">
        <w:rPr>
          <w:rFonts w:ascii="Palatino Linotype" w:eastAsia="Palatino Linotype" w:hAnsi="Palatino Linotype" w:cs="Palatino Linotype"/>
        </w:rPr>
        <w:t xml:space="preserve"> el expediente formado con motivo del recurso de revisión </w:t>
      </w:r>
      <w:r w:rsidRPr="0020402F">
        <w:rPr>
          <w:rFonts w:ascii="Palatino Linotype" w:eastAsia="Palatino Linotype" w:hAnsi="Palatino Linotype" w:cs="Palatino Linotype"/>
          <w:b/>
        </w:rPr>
        <w:t>15064/INFOEM/IP/RR/2022</w:t>
      </w:r>
      <w:r w:rsidRPr="0020402F">
        <w:rPr>
          <w:rFonts w:ascii="Palatino Linotype" w:eastAsia="Palatino Linotype" w:hAnsi="Palatino Linotype" w:cs="Palatino Linotype"/>
        </w:rPr>
        <w:t xml:space="preserve">, interpuesto por </w:t>
      </w:r>
      <w:r w:rsidRPr="0020402F">
        <w:rPr>
          <w:rFonts w:ascii="Palatino Linotype" w:eastAsia="Palatino Linotype" w:hAnsi="Palatino Linotype" w:cs="Palatino Linotype"/>
          <w:b/>
        </w:rPr>
        <w:t>un particular que no proporcionó nombre o seudónimo</w:t>
      </w:r>
      <w:r w:rsidRPr="0020402F">
        <w:rPr>
          <w:rFonts w:ascii="Palatino Linotype" w:eastAsia="Palatino Linotype" w:hAnsi="Palatino Linotype" w:cs="Palatino Linotype"/>
        </w:rPr>
        <w:t>, en lo sucesivo</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rPr>
        <w:t xml:space="preserve">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en contra de la respuesta a su solicitud por parte de la </w:t>
      </w:r>
      <w:r w:rsidRPr="0020402F">
        <w:rPr>
          <w:rFonts w:ascii="Palatino Linotype" w:eastAsia="Palatino Linotype" w:hAnsi="Palatino Linotype" w:cs="Palatino Linotype"/>
          <w:b/>
        </w:rPr>
        <w:t xml:space="preserve">Secretaría de Movilidad, </w:t>
      </w:r>
      <w:r w:rsidRPr="0020402F">
        <w:rPr>
          <w:rFonts w:ascii="Palatino Linotype" w:eastAsia="Palatino Linotype" w:hAnsi="Palatino Linotype" w:cs="Palatino Linotype"/>
        </w:rPr>
        <w:t xml:space="preserve">en lo sucesivo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se procede a dictar la presente resolución con base en los siguientes: </w:t>
      </w:r>
    </w:p>
    <w:p w14:paraId="4F721EDB" w14:textId="77777777" w:rsidR="00CE08AC" w:rsidRPr="0020402F" w:rsidRDefault="00040DB7">
      <w:pPr>
        <w:spacing w:before="240" w:after="240" w:line="360" w:lineRule="auto"/>
        <w:jc w:val="center"/>
        <w:rPr>
          <w:rFonts w:ascii="Palatino Linotype" w:eastAsia="Palatino Linotype" w:hAnsi="Palatino Linotype" w:cs="Palatino Linotype"/>
          <w:b/>
        </w:rPr>
      </w:pPr>
      <w:r w:rsidRPr="0020402F">
        <w:rPr>
          <w:rFonts w:ascii="Palatino Linotype" w:eastAsia="Palatino Linotype" w:hAnsi="Palatino Linotype" w:cs="Palatino Linotype"/>
          <w:b/>
        </w:rPr>
        <w:t>I. A N T E C E D E N T E S</w:t>
      </w:r>
    </w:p>
    <w:p w14:paraId="68169704"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1. Solicitud de acceso a la información.</w:t>
      </w:r>
      <w:r w:rsidRPr="0020402F">
        <w:rPr>
          <w:rFonts w:ascii="Palatino Linotype" w:eastAsia="Palatino Linotype" w:hAnsi="Palatino Linotype" w:cs="Palatino Linotype"/>
        </w:rPr>
        <w:t xml:space="preserve"> Con fecha </w:t>
      </w:r>
      <w:r w:rsidRPr="0020402F">
        <w:rPr>
          <w:rFonts w:ascii="Palatino Linotype" w:eastAsia="Palatino Linotype" w:hAnsi="Palatino Linotype" w:cs="Palatino Linotype"/>
          <w:b/>
        </w:rPr>
        <w:t>veintiuno de septiembre de</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dos mil veintidós,</w:t>
      </w:r>
      <w:r w:rsidRPr="0020402F">
        <w:rPr>
          <w:rFonts w:ascii="Palatino Linotype" w:eastAsia="Palatino Linotype" w:hAnsi="Palatino Linotype" w:cs="Palatino Linotype"/>
        </w:rPr>
        <w:t xml:space="preserve"> la parte </w:t>
      </w:r>
      <w:r w:rsidRPr="0020402F">
        <w:rPr>
          <w:rFonts w:ascii="Palatino Linotype" w:eastAsia="Palatino Linotype" w:hAnsi="Palatino Linotype" w:cs="Palatino Linotype"/>
          <w:b/>
        </w:rPr>
        <w:t xml:space="preserve">Recurrente </w:t>
      </w:r>
      <w:r w:rsidRPr="0020402F">
        <w:rPr>
          <w:rFonts w:ascii="Palatino Linotype" w:eastAsia="Palatino Linotype" w:hAnsi="Palatino Linotype" w:cs="Palatino Linotype"/>
        </w:rPr>
        <w:t xml:space="preserve">presentó, a través del Sistema de Acceso a la Información Mexiquense, en lo subsecuente el </w:t>
      </w:r>
      <w:r w:rsidRPr="0020402F">
        <w:rPr>
          <w:rFonts w:ascii="Palatino Linotype" w:eastAsia="Palatino Linotype" w:hAnsi="Palatino Linotype" w:cs="Palatino Linotype"/>
          <w:b/>
        </w:rPr>
        <w:t>SAIMEX,</w:t>
      </w:r>
      <w:r w:rsidRPr="0020402F">
        <w:rPr>
          <w:rFonts w:ascii="Palatino Linotype" w:eastAsia="Palatino Linotype" w:hAnsi="Palatino Linotype" w:cs="Palatino Linotype"/>
        </w:rPr>
        <w:t xml:space="preserve"> ante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la solicitud de acceso a la información pública, a la que se le asignó el número</w:t>
      </w:r>
      <w:r w:rsidRPr="0020402F">
        <w:rPr>
          <w:rFonts w:ascii="Palatino Linotype" w:eastAsia="Palatino Linotype" w:hAnsi="Palatino Linotype" w:cs="Palatino Linotype"/>
          <w:b/>
        </w:rPr>
        <w:t xml:space="preserve"> 00467/SMOV/IP/2022, </w:t>
      </w:r>
      <w:r w:rsidRPr="0020402F">
        <w:rPr>
          <w:rFonts w:ascii="Palatino Linotype" w:eastAsia="Palatino Linotype" w:hAnsi="Palatino Linotype" w:cs="Palatino Linotype"/>
        </w:rPr>
        <w:t xml:space="preserve">mediante la cual requirió la información siguiente: </w:t>
      </w:r>
    </w:p>
    <w:p w14:paraId="45AC5E07" w14:textId="77777777" w:rsidR="00CE08AC" w:rsidRPr="0020402F" w:rsidRDefault="00040DB7">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20402F">
        <w:rPr>
          <w:rFonts w:ascii="Palatino Linotype" w:eastAsia="Palatino Linotype" w:hAnsi="Palatino Linotype" w:cs="Palatino Linotype"/>
          <w:i/>
          <w:sz w:val="22"/>
          <w:szCs w:val="22"/>
        </w:rPr>
        <w:t xml:space="preserve">“Buena tarde se solicita todos </w:t>
      </w:r>
      <w:proofErr w:type="spellStart"/>
      <w:r w:rsidRPr="0020402F">
        <w:rPr>
          <w:rFonts w:ascii="Palatino Linotype" w:eastAsia="Palatino Linotype" w:hAnsi="Palatino Linotype" w:cs="Palatino Linotype"/>
          <w:i/>
          <w:sz w:val="22"/>
          <w:szCs w:val="22"/>
        </w:rPr>
        <w:t>lo</w:t>
      </w:r>
      <w:proofErr w:type="spellEnd"/>
      <w:r w:rsidRPr="0020402F">
        <w:rPr>
          <w:rFonts w:ascii="Palatino Linotype" w:eastAsia="Palatino Linotype" w:hAnsi="Palatino Linotype" w:cs="Palatino Linotype"/>
          <w:i/>
          <w:sz w:val="22"/>
          <w:szCs w:val="22"/>
        </w:rPr>
        <w:t xml:space="preserve"> contratos de adquisiciones por servicios, arrendamientos, compras o por cual </w:t>
      </w:r>
      <w:proofErr w:type="spellStart"/>
      <w:r w:rsidRPr="0020402F">
        <w:rPr>
          <w:rFonts w:ascii="Palatino Linotype" w:eastAsia="Palatino Linotype" w:hAnsi="Palatino Linotype" w:cs="Palatino Linotype"/>
          <w:i/>
          <w:sz w:val="22"/>
          <w:szCs w:val="22"/>
        </w:rPr>
        <w:t>quier</w:t>
      </w:r>
      <w:proofErr w:type="spellEnd"/>
      <w:r w:rsidRPr="0020402F">
        <w:rPr>
          <w:rFonts w:ascii="Palatino Linotype" w:eastAsia="Palatino Linotype" w:hAnsi="Palatino Linotype" w:cs="Palatino Linotype"/>
          <w:i/>
          <w:sz w:val="22"/>
          <w:szCs w:val="22"/>
        </w:rPr>
        <w:t xml:space="preserve"> concepto de los años 2021 y 2022 y los procesos de licitación o invitación restringida, las facturas pagadas y las </w:t>
      </w:r>
      <w:proofErr w:type="spellStart"/>
      <w:r w:rsidRPr="0020402F">
        <w:rPr>
          <w:rFonts w:ascii="Palatino Linotype" w:eastAsia="Palatino Linotype" w:hAnsi="Palatino Linotype" w:cs="Palatino Linotype"/>
          <w:i/>
          <w:sz w:val="22"/>
          <w:szCs w:val="22"/>
        </w:rPr>
        <w:t>polizas</w:t>
      </w:r>
      <w:proofErr w:type="spellEnd"/>
      <w:r w:rsidRPr="0020402F">
        <w:rPr>
          <w:rFonts w:ascii="Palatino Linotype" w:eastAsia="Palatino Linotype" w:hAnsi="Palatino Linotype" w:cs="Palatino Linotype"/>
          <w:i/>
          <w:sz w:val="22"/>
          <w:szCs w:val="22"/>
        </w:rPr>
        <w:t xml:space="preserve"> de cheques </w:t>
      </w:r>
      <w:proofErr w:type="spellStart"/>
      <w:r w:rsidRPr="0020402F">
        <w:rPr>
          <w:rFonts w:ascii="Palatino Linotype" w:eastAsia="Palatino Linotype" w:hAnsi="Palatino Linotype" w:cs="Palatino Linotype"/>
          <w:i/>
          <w:sz w:val="22"/>
          <w:szCs w:val="22"/>
        </w:rPr>
        <w:t>expedidios</w:t>
      </w:r>
      <w:proofErr w:type="spellEnd"/>
      <w:r w:rsidRPr="0020402F">
        <w:rPr>
          <w:rFonts w:ascii="Palatino Linotype" w:eastAsia="Palatino Linotype" w:hAnsi="Palatino Linotype" w:cs="Palatino Linotype"/>
          <w:i/>
          <w:sz w:val="22"/>
          <w:szCs w:val="22"/>
        </w:rPr>
        <w:t xml:space="preserve"> y pagados por </w:t>
      </w:r>
      <w:proofErr w:type="spellStart"/>
      <w:r w:rsidRPr="0020402F">
        <w:rPr>
          <w:rFonts w:ascii="Palatino Linotype" w:eastAsia="Palatino Linotype" w:hAnsi="Palatino Linotype" w:cs="Palatino Linotype"/>
          <w:i/>
          <w:sz w:val="22"/>
          <w:szCs w:val="22"/>
        </w:rPr>
        <w:t>cualqueir</w:t>
      </w:r>
      <w:proofErr w:type="spellEnd"/>
      <w:r w:rsidRPr="0020402F">
        <w:rPr>
          <w:rFonts w:ascii="Palatino Linotype" w:eastAsia="Palatino Linotype" w:hAnsi="Palatino Linotype" w:cs="Palatino Linotype"/>
          <w:i/>
          <w:sz w:val="22"/>
          <w:szCs w:val="22"/>
        </w:rPr>
        <w:t xml:space="preserve"> concepto en estos años.</w:t>
      </w:r>
      <w:r w:rsidRPr="0020402F">
        <w:rPr>
          <w:rFonts w:ascii="Palatino Linotype" w:eastAsia="Palatino Linotype" w:hAnsi="Palatino Linotype" w:cs="Palatino Linotype"/>
          <w:b/>
          <w:i/>
          <w:sz w:val="22"/>
          <w:szCs w:val="22"/>
        </w:rPr>
        <w:t>”</w:t>
      </w:r>
      <w:r w:rsidRPr="0020402F">
        <w:rPr>
          <w:rFonts w:ascii="Palatino Linotype" w:eastAsia="Palatino Linotype" w:hAnsi="Palatino Linotype" w:cs="Palatino Linotype"/>
          <w:i/>
          <w:sz w:val="22"/>
          <w:szCs w:val="22"/>
        </w:rPr>
        <w:t xml:space="preserve"> (sic) </w:t>
      </w:r>
    </w:p>
    <w:p w14:paraId="00A009C4"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no adjuntó archivos.</w:t>
      </w:r>
    </w:p>
    <w:p w14:paraId="16A341C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Modalidad de Entrega:</w:t>
      </w:r>
      <w:r w:rsidRPr="0020402F">
        <w:rPr>
          <w:rFonts w:ascii="Palatino Linotype" w:eastAsia="Palatino Linotype" w:hAnsi="Palatino Linotype" w:cs="Palatino Linotype"/>
        </w:rPr>
        <w:t xml:space="preserve"> a través </w:t>
      </w:r>
      <w:r w:rsidRPr="0020402F">
        <w:rPr>
          <w:rFonts w:ascii="Palatino Linotype" w:eastAsia="Palatino Linotype" w:hAnsi="Palatino Linotype" w:cs="Palatino Linotype"/>
          <w:b/>
        </w:rPr>
        <w:t>de SAIMEX</w:t>
      </w:r>
    </w:p>
    <w:p w14:paraId="102025A6" w14:textId="77777777" w:rsidR="00CE08AC" w:rsidRPr="0020402F" w:rsidRDefault="00040DB7">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20402F">
        <w:rPr>
          <w:rFonts w:ascii="Palatino Linotype" w:eastAsia="Palatino Linotype" w:hAnsi="Palatino Linotype" w:cs="Palatino Linotype"/>
          <w:b/>
        </w:rPr>
        <w:lastRenderedPageBreak/>
        <w:t xml:space="preserve">2. Respuesta. </w:t>
      </w:r>
      <w:r w:rsidRPr="0020402F">
        <w:rPr>
          <w:rFonts w:ascii="Palatino Linotype" w:eastAsia="Palatino Linotype" w:hAnsi="Palatino Linotype" w:cs="Palatino Linotype"/>
        </w:rPr>
        <w:t>Con fecha</w:t>
      </w:r>
      <w:r w:rsidRPr="0020402F">
        <w:rPr>
          <w:rFonts w:ascii="Palatino Linotype" w:eastAsia="Palatino Linotype" w:hAnsi="Palatino Linotype" w:cs="Palatino Linotype"/>
          <w:b/>
        </w:rPr>
        <w:t xml:space="preserve"> veintitrés de septiembre de dos mil veintidós</w:t>
      </w:r>
      <w:r w:rsidRPr="0020402F">
        <w:rPr>
          <w:rFonts w:ascii="Palatino Linotype" w:eastAsia="Palatino Linotype" w:hAnsi="Palatino Linotype" w:cs="Palatino Linotype"/>
        </w:rPr>
        <w:t xml:space="preserve">,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C511DEB" w14:textId="77777777" w:rsidR="00CE08AC" w:rsidRPr="0020402F" w:rsidRDefault="00040DB7">
      <w:pPr>
        <w:spacing w:before="240" w:after="24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i/>
          <w:sz w:val="22"/>
          <w:szCs w:val="22"/>
        </w:rPr>
        <w:t>“…Se infiere que el Sujeto Obligado que pudieran conocer sobre la solicitud en comento es Secretaría de Finanzas del Gobierno del Estado de México...” (sic)</w:t>
      </w:r>
    </w:p>
    <w:p w14:paraId="0EF5A2F1"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adjuntó el Acuerdo de Incompetencia Total de la solicitud de información pública número </w:t>
      </w:r>
      <w:r w:rsidRPr="0020402F">
        <w:rPr>
          <w:rFonts w:ascii="Palatino Linotype" w:eastAsia="Palatino Linotype" w:hAnsi="Palatino Linotype" w:cs="Palatino Linotype"/>
          <w:b/>
        </w:rPr>
        <w:t xml:space="preserve">00467/SMOV/IP/2022, </w:t>
      </w:r>
      <w:r w:rsidRPr="0020402F">
        <w:rPr>
          <w:rFonts w:ascii="Palatino Linotype" w:eastAsia="Palatino Linotype" w:hAnsi="Palatino Linotype" w:cs="Palatino Linotype"/>
        </w:rPr>
        <w:t>mediante el cual el Titular de la Unidad de Transparencia, con fundamento en el artículo 143 de la Constitución Política del Estados Libre y Soberano de México, informa que las autoridades administrativas únicamente pueden hacer lo que la Ley expresamente les confiere, por lo que el actuar de la Secretaría de Movilidad es de estricta observancia del articulo 32 en su primer párrafo  de la Ley Orgánica de la Administración pública del Estado de México, asimismo, señala que el Sujeto Obligado que pudiera conocer sobre la solicitud en comento es la Secretaría de Finanzas del Gobierno del Estado de México, de conformidad con los artículos 24, fracción XXXVII de la Ley Orgánica de la Administración Pública del Estado de México; 7, fracción XI, inciso h), 32, fracción XXXII del Reglamento Interior de la Secretaría de Finanzas, por lo que con fundamento en el artículo 167 de la Ley de la Materia declinó la competencia para conocer de la solicitud a la Secretaría de Finanzas.</w:t>
      </w:r>
    </w:p>
    <w:p w14:paraId="0078BC30"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3. Interposición del recurso de revisión. </w:t>
      </w:r>
      <w:r w:rsidRPr="0020402F">
        <w:rPr>
          <w:rFonts w:ascii="Palatino Linotype" w:eastAsia="Palatino Linotype" w:hAnsi="Palatino Linotype" w:cs="Palatino Linotype"/>
        </w:rPr>
        <w:t xml:space="preserve">Inconforme con los términos de la respuesta emitida por parte del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el</w:t>
      </w:r>
      <w:r w:rsidRPr="0020402F">
        <w:rPr>
          <w:rFonts w:ascii="Palatino Linotype" w:eastAsia="Palatino Linotype" w:hAnsi="Palatino Linotype" w:cs="Palatino Linotype"/>
          <w:b/>
        </w:rPr>
        <w:t xml:space="preserve"> veintiséis de </w:t>
      </w:r>
      <w:proofErr w:type="gramStart"/>
      <w:r w:rsidRPr="0020402F">
        <w:rPr>
          <w:rFonts w:ascii="Palatino Linotype" w:eastAsia="Palatino Linotype" w:hAnsi="Palatino Linotype" w:cs="Palatino Linotype"/>
          <w:b/>
        </w:rPr>
        <w:t>septiembre  de</w:t>
      </w:r>
      <w:proofErr w:type="gramEnd"/>
      <w:r w:rsidRPr="0020402F">
        <w:rPr>
          <w:rFonts w:ascii="Palatino Linotype" w:eastAsia="Palatino Linotype" w:hAnsi="Palatino Linotype" w:cs="Palatino Linotype"/>
          <w:b/>
        </w:rPr>
        <w:t xml:space="preserve"> dos mil veintidós,</w:t>
      </w:r>
      <w:r w:rsidRPr="0020402F">
        <w:rPr>
          <w:rFonts w:ascii="Palatino Linotype" w:eastAsia="Palatino Linotype" w:hAnsi="Palatino Linotype" w:cs="Palatino Linotype"/>
        </w:rPr>
        <w:t xml:space="preserv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interpuso el recurso de revisión a través de </w:t>
      </w:r>
      <w:r w:rsidRPr="0020402F">
        <w:rPr>
          <w:rFonts w:ascii="Palatino Linotype" w:eastAsia="Palatino Linotype" w:hAnsi="Palatino Linotype" w:cs="Palatino Linotype"/>
          <w:b/>
        </w:rPr>
        <w:t xml:space="preserve">SAIMEX, </w:t>
      </w:r>
      <w:r w:rsidRPr="0020402F">
        <w:rPr>
          <w:rFonts w:ascii="Palatino Linotype" w:eastAsia="Palatino Linotype" w:hAnsi="Palatino Linotype" w:cs="Palatino Linotype"/>
        </w:rPr>
        <w:t>en donde se manifestó de la siguiente manera:</w:t>
      </w:r>
    </w:p>
    <w:p w14:paraId="32D83F9A" w14:textId="77777777" w:rsidR="00CE08AC" w:rsidRPr="0020402F" w:rsidRDefault="00040DB7">
      <w:pPr>
        <w:tabs>
          <w:tab w:val="left" w:pos="2745"/>
        </w:tabs>
        <w:spacing w:before="240" w:after="240" w:line="360" w:lineRule="auto"/>
        <w:jc w:val="both"/>
        <w:rPr>
          <w:rFonts w:ascii="Palatino Linotype" w:eastAsia="Palatino Linotype" w:hAnsi="Palatino Linotype" w:cs="Palatino Linotype"/>
          <w:b/>
        </w:rPr>
      </w:pPr>
      <w:r w:rsidRPr="0020402F">
        <w:rPr>
          <w:rFonts w:ascii="Palatino Linotype" w:eastAsia="Palatino Linotype" w:hAnsi="Palatino Linotype" w:cs="Palatino Linotype"/>
          <w:b/>
        </w:rPr>
        <w:lastRenderedPageBreak/>
        <w:t xml:space="preserve">Acto impugnado: </w:t>
      </w:r>
    </w:p>
    <w:p w14:paraId="2D0CB956" w14:textId="77777777" w:rsidR="00CE08AC" w:rsidRPr="0020402F" w:rsidRDefault="00040DB7">
      <w:pPr>
        <w:tabs>
          <w:tab w:val="left" w:pos="2745"/>
        </w:tabs>
        <w:spacing w:before="240" w:after="24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roofErr w:type="spellStart"/>
      <w:r w:rsidRPr="0020402F">
        <w:rPr>
          <w:rFonts w:ascii="Palatino Linotype" w:eastAsia="Palatino Linotype" w:hAnsi="Palatino Linotype" w:cs="Palatino Linotype"/>
          <w:i/>
          <w:sz w:val="22"/>
          <w:szCs w:val="22"/>
        </w:rPr>
        <w:t>estan</w:t>
      </w:r>
      <w:proofErr w:type="spellEnd"/>
      <w:r w:rsidRPr="0020402F">
        <w:rPr>
          <w:rFonts w:ascii="Palatino Linotype" w:eastAsia="Palatino Linotype" w:hAnsi="Palatino Linotype" w:cs="Palatino Linotype"/>
          <w:i/>
          <w:sz w:val="22"/>
          <w:szCs w:val="22"/>
        </w:rPr>
        <w:t xml:space="preserve"> negando información que es de </w:t>
      </w:r>
      <w:proofErr w:type="spellStart"/>
      <w:r w:rsidRPr="0020402F">
        <w:rPr>
          <w:rFonts w:ascii="Palatino Linotype" w:eastAsia="Palatino Linotype" w:hAnsi="Palatino Linotype" w:cs="Palatino Linotype"/>
          <w:i/>
          <w:sz w:val="22"/>
          <w:szCs w:val="22"/>
        </w:rPr>
        <w:t>interes</w:t>
      </w:r>
      <w:proofErr w:type="spellEnd"/>
      <w:r w:rsidRPr="0020402F">
        <w:rPr>
          <w:rFonts w:ascii="Palatino Linotype" w:eastAsia="Palatino Linotype" w:hAnsi="Palatino Linotype" w:cs="Palatino Linotype"/>
          <w:i/>
          <w:sz w:val="22"/>
          <w:szCs w:val="22"/>
        </w:rPr>
        <w:t xml:space="preserve"> público todas las dependencias tienen procesos de licitación y contratación de conforme a la ley de Contrataciones y </w:t>
      </w:r>
      <w:proofErr w:type="spellStart"/>
      <w:r w:rsidRPr="0020402F">
        <w:rPr>
          <w:rFonts w:ascii="Palatino Linotype" w:eastAsia="Palatino Linotype" w:hAnsi="Palatino Linotype" w:cs="Palatino Linotype"/>
          <w:i/>
          <w:sz w:val="22"/>
          <w:szCs w:val="22"/>
        </w:rPr>
        <w:t>Presupueto</w:t>
      </w:r>
      <w:proofErr w:type="spellEnd"/>
      <w:r w:rsidRPr="0020402F">
        <w:rPr>
          <w:rFonts w:ascii="Palatino Linotype" w:eastAsia="Palatino Linotype" w:hAnsi="Palatino Linotype" w:cs="Palatino Linotype"/>
          <w:i/>
          <w:sz w:val="22"/>
          <w:szCs w:val="22"/>
        </w:rPr>
        <w:t>.” (sic)</w:t>
      </w:r>
    </w:p>
    <w:p w14:paraId="5C2ED4AC" w14:textId="77777777" w:rsidR="00CE08AC" w:rsidRPr="0020402F" w:rsidRDefault="00040DB7">
      <w:pPr>
        <w:spacing w:line="360" w:lineRule="auto"/>
        <w:jc w:val="both"/>
        <w:rPr>
          <w:rFonts w:ascii="Palatino Linotype" w:eastAsia="Palatino Linotype" w:hAnsi="Palatino Linotype" w:cs="Palatino Linotype"/>
        </w:rPr>
      </w:pPr>
      <w:bookmarkStart w:id="2" w:name="_heading=h.30j0zll" w:colFirst="0" w:colLast="0"/>
      <w:bookmarkEnd w:id="2"/>
      <w:r w:rsidRPr="0020402F">
        <w:rPr>
          <w:rFonts w:ascii="Palatino Linotype" w:eastAsia="Palatino Linotype" w:hAnsi="Palatino Linotype" w:cs="Palatino Linotype"/>
          <w:b/>
        </w:rPr>
        <w:t>Y Razones o motivos de inconformidad</w:t>
      </w:r>
      <w:r w:rsidRPr="0020402F">
        <w:rPr>
          <w:rFonts w:ascii="Palatino Linotype" w:eastAsia="Palatino Linotype" w:hAnsi="Palatino Linotype" w:cs="Palatino Linotype"/>
        </w:rPr>
        <w:t xml:space="preserve">: </w:t>
      </w:r>
    </w:p>
    <w:p w14:paraId="0BA1A411" w14:textId="77777777" w:rsidR="00CE08AC" w:rsidRPr="0020402F" w:rsidRDefault="00040DB7">
      <w:pPr>
        <w:tabs>
          <w:tab w:val="left" w:pos="2745"/>
        </w:tabs>
        <w:spacing w:before="240" w:after="24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“Se oculta la información que es de </w:t>
      </w:r>
      <w:proofErr w:type="spellStart"/>
      <w:r w:rsidRPr="0020402F">
        <w:rPr>
          <w:rFonts w:ascii="Palatino Linotype" w:eastAsia="Palatino Linotype" w:hAnsi="Palatino Linotype" w:cs="Palatino Linotype"/>
          <w:i/>
          <w:sz w:val="22"/>
          <w:szCs w:val="22"/>
        </w:rPr>
        <w:t>interes</w:t>
      </w:r>
      <w:proofErr w:type="spellEnd"/>
      <w:r w:rsidRPr="0020402F">
        <w:rPr>
          <w:rFonts w:ascii="Palatino Linotype" w:eastAsia="Palatino Linotype" w:hAnsi="Palatino Linotype" w:cs="Palatino Linotype"/>
          <w:i/>
          <w:sz w:val="22"/>
          <w:szCs w:val="22"/>
        </w:rPr>
        <w:t xml:space="preserve"> público y deben rendir cuentas </w:t>
      </w:r>
      <w:proofErr w:type="gramStart"/>
      <w:r w:rsidRPr="0020402F">
        <w:rPr>
          <w:rFonts w:ascii="Palatino Linotype" w:eastAsia="Palatino Linotype" w:hAnsi="Palatino Linotype" w:cs="Palatino Linotype"/>
          <w:i/>
          <w:sz w:val="22"/>
          <w:szCs w:val="22"/>
        </w:rPr>
        <w:t>de los recurso</w:t>
      </w:r>
      <w:proofErr w:type="gramEnd"/>
      <w:r w:rsidRPr="0020402F">
        <w:rPr>
          <w:rFonts w:ascii="Palatino Linotype" w:eastAsia="Palatino Linotype" w:hAnsi="Palatino Linotype" w:cs="Palatino Linotype"/>
          <w:i/>
          <w:sz w:val="22"/>
          <w:szCs w:val="22"/>
        </w:rPr>
        <w:t xml:space="preserve"> o bien será que se van a partidos políticos.” (sic)</w:t>
      </w:r>
    </w:p>
    <w:p w14:paraId="531FC63D"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4. Turno. </w:t>
      </w:r>
      <w:r w:rsidRPr="0020402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0402F">
        <w:rPr>
          <w:rFonts w:ascii="Palatino Linotype" w:eastAsia="Palatino Linotype" w:hAnsi="Palatino Linotype" w:cs="Palatino Linotype"/>
          <w:b/>
        </w:rPr>
        <w:t xml:space="preserve">Guadalupe Ramírez Peña, </w:t>
      </w:r>
      <w:r w:rsidRPr="0020402F">
        <w:rPr>
          <w:rFonts w:ascii="Palatino Linotype" w:eastAsia="Palatino Linotype" w:hAnsi="Palatino Linotype" w:cs="Palatino Linotype"/>
        </w:rPr>
        <w:t xml:space="preserve">a efecto de que analizara sobre su admisión o su </w:t>
      </w:r>
      <w:proofErr w:type="spellStart"/>
      <w:r w:rsidRPr="0020402F">
        <w:rPr>
          <w:rFonts w:ascii="Palatino Linotype" w:eastAsia="Palatino Linotype" w:hAnsi="Palatino Linotype" w:cs="Palatino Linotype"/>
        </w:rPr>
        <w:t>desechamiento</w:t>
      </w:r>
      <w:proofErr w:type="spellEnd"/>
      <w:r w:rsidRPr="0020402F">
        <w:rPr>
          <w:rFonts w:ascii="Palatino Linotype" w:eastAsia="Palatino Linotype" w:hAnsi="Palatino Linotype" w:cs="Palatino Linotype"/>
        </w:rPr>
        <w:t>.</w:t>
      </w:r>
    </w:p>
    <w:p w14:paraId="0504F67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5. Admisión del Recurso de revisión.</w:t>
      </w:r>
      <w:r w:rsidRPr="0020402F">
        <w:rPr>
          <w:rFonts w:ascii="Palatino Linotype" w:eastAsia="Palatino Linotype" w:hAnsi="Palatino Linotype" w:cs="Palatino Linotype"/>
        </w:rPr>
        <w:t xml:space="preserve"> Con fecha</w:t>
      </w:r>
      <w:r w:rsidRPr="0020402F">
        <w:rPr>
          <w:rFonts w:ascii="Palatino Linotype" w:eastAsia="Palatino Linotype" w:hAnsi="Palatino Linotype" w:cs="Palatino Linotype"/>
          <w:b/>
        </w:rPr>
        <w:t xml:space="preserve"> veintinueve de septiembre de dos mil veintidós, </w:t>
      </w:r>
      <w:r w:rsidRPr="0020402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presentara su informe justificado.</w:t>
      </w:r>
    </w:p>
    <w:p w14:paraId="2A70FB91" w14:textId="77777777" w:rsidR="00CE08AC" w:rsidRPr="0020402F" w:rsidRDefault="00040DB7">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20402F">
        <w:rPr>
          <w:rFonts w:ascii="Palatino Linotype" w:eastAsia="Palatino Linotype" w:hAnsi="Palatino Linotype" w:cs="Palatino Linotype"/>
          <w:b/>
        </w:rPr>
        <w:t>6. Manifestaciones</w:t>
      </w:r>
      <w:r w:rsidRPr="0020402F">
        <w:rPr>
          <w:rFonts w:ascii="Palatino Linotype" w:eastAsia="Palatino Linotype" w:hAnsi="Palatino Linotype" w:cs="Palatino Linotype"/>
        </w:rPr>
        <w:t xml:space="preserve">. En fecha </w:t>
      </w:r>
      <w:r w:rsidRPr="0020402F">
        <w:rPr>
          <w:rFonts w:ascii="Palatino Linotype" w:eastAsia="Palatino Linotype" w:hAnsi="Palatino Linotype" w:cs="Palatino Linotype"/>
          <w:b/>
        </w:rPr>
        <w:t xml:space="preserve">seis de octubre de dos mil veintidós, </w:t>
      </w:r>
      <w:r w:rsidRPr="0020402F">
        <w:rPr>
          <w:rFonts w:ascii="Palatino Linotype" w:eastAsia="Palatino Linotype" w:hAnsi="Palatino Linotype" w:cs="Palatino Linotype"/>
        </w:rPr>
        <w:t xml:space="preserve">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remitió, a través de SAIMEX, el oficio número CCT/UT/0544/2022, signado por el Titular de la Unidad de Transparencia, mediante el cual, con relación </w:t>
      </w:r>
      <w:r w:rsidRPr="0020402F">
        <w:rPr>
          <w:rFonts w:ascii="Palatino Linotype" w:eastAsia="Palatino Linotype" w:hAnsi="Palatino Linotype" w:cs="Palatino Linotype"/>
        </w:rPr>
        <w:lastRenderedPageBreak/>
        <w:t xml:space="preserve">a los motivos de inconformidad aducidos por la parte </w:t>
      </w:r>
      <w:r w:rsidRPr="0020402F">
        <w:rPr>
          <w:rFonts w:ascii="Palatino Linotype" w:eastAsia="Palatino Linotype" w:hAnsi="Palatino Linotype" w:cs="Palatino Linotype"/>
          <w:b/>
        </w:rPr>
        <w:t xml:space="preserve">Recurrente, </w:t>
      </w:r>
      <w:r w:rsidRPr="0020402F">
        <w:rPr>
          <w:rFonts w:ascii="Palatino Linotype" w:eastAsia="Palatino Linotype" w:hAnsi="Palatino Linotype" w:cs="Palatino Linotype"/>
        </w:rPr>
        <w:t xml:space="preserve">manifestó que en ningún momento se negó el derecho de acceso a la información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tomando en consideración que desde el pronunciamiento inicial del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a la solicitud primigenia se declaró la incompetencia total para atender el requerimiento de información, por lo que al no contar con </w:t>
      </w:r>
      <w:proofErr w:type="spellStart"/>
      <w:r w:rsidRPr="0020402F">
        <w:rPr>
          <w:rFonts w:ascii="Palatino Linotype" w:eastAsia="Palatino Linotype" w:hAnsi="Palatino Linotype" w:cs="Palatino Linotype"/>
        </w:rPr>
        <w:t>as</w:t>
      </w:r>
      <w:proofErr w:type="spellEnd"/>
      <w:r w:rsidRPr="0020402F">
        <w:rPr>
          <w:rFonts w:ascii="Palatino Linotype" w:eastAsia="Palatino Linotype" w:hAnsi="Palatino Linotype" w:cs="Palatino Linotype"/>
        </w:rPr>
        <w:t xml:space="preserve"> facultades necesarias para estar en posibilidad de poner a disposición la información a la que se desea acceder, se debe considerar plenamente el principio legal “</w:t>
      </w:r>
      <w:r w:rsidRPr="0020402F">
        <w:rPr>
          <w:rFonts w:ascii="Palatino Linotype" w:eastAsia="Palatino Linotype" w:hAnsi="Palatino Linotype" w:cs="Palatino Linotype"/>
          <w:i/>
        </w:rPr>
        <w:t xml:space="preserve">ad </w:t>
      </w:r>
      <w:proofErr w:type="spellStart"/>
      <w:r w:rsidRPr="0020402F">
        <w:rPr>
          <w:rFonts w:ascii="Palatino Linotype" w:eastAsia="Palatino Linotype" w:hAnsi="Palatino Linotype" w:cs="Palatino Linotype"/>
          <w:i/>
        </w:rPr>
        <w:t>impossibilia</w:t>
      </w:r>
      <w:proofErr w:type="spellEnd"/>
      <w:r w:rsidRPr="0020402F">
        <w:rPr>
          <w:rFonts w:ascii="Palatino Linotype" w:eastAsia="Palatino Linotype" w:hAnsi="Palatino Linotype" w:cs="Palatino Linotype"/>
          <w:i/>
        </w:rPr>
        <w:t xml:space="preserve"> </w:t>
      </w:r>
      <w:proofErr w:type="spellStart"/>
      <w:r w:rsidRPr="0020402F">
        <w:rPr>
          <w:rFonts w:ascii="Palatino Linotype" w:eastAsia="Palatino Linotype" w:hAnsi="Palatino Linotype" w:cs="Palatino Linotype"/>
          <w:i/>
        </w:rPr>
        <w:t>nemo</w:t>
      </w:r>
      <w:proofErr w:type="spellEnd"/>
      <w:r w:rsidRPr="0020402F">
        <w:rPr>
          <w:rFonts w:ascii="Palatino Linotype" w:eastAsia="Palatino Linotype" w:hAnsi="Palatino Linotype" w:cs="Palatino Linotype"/>
          <w:i/>
        </w:rPr>
        <w:t xml:space="preserve"> </w:t>
      </w:r>
      <w:proofErr w:type="spellStart"/>
      <w:r w:rsidRPr="0020402F">
        <w:rPr>
          <w:rFonts w:ascii="Palatino Linotype" w:eastAsia="Palatino Linotype" w:hAnsi="Palatino Linotype" w:cs="Palatino Linotype"/>
          <w:i/>
        </w:rPr>
        <w:t>tenetur</w:t>
      </w:r>
      <w:proofErr w:type="spellEnd"/>
      <w:r w:rsidRPr="0020402F">
        <w:rPr>
          <w:rFonts w:ascii="Palatino Linotype" w:eastAsia="Palatino Linotype" w:hAnsi="Palatino Linotype" w:cs="Palatino Linotype"/>
        </w:rPr>
        <w:t>”, reiterando que es la Secretaría de Finanzas del Gobierno del Estado de México, la dependencia del Ejecutivo que define, formula y ejecuta la política fiscal de la entidad y administra los recursos públicos en pro del bienestar social de la ciudadanía, siendo el Sujeto Obligado que cuenta con las facultades necesarias para atender el requerimiento de información conforme a los artículos 24, fracción XXXVII de la Ley Orgánica de la Administración Pública del Estado de México; 7, fracción XI, inciso h); 32, fracción XXXII del Reglamento Interior de la Secretaría de Finanzas.</w:t>
      </w:r>
    </w:p>
    <w:p w14:paraId="4B6FC191"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Asimismo, señala que de conformidad con el artículo 5 de la Ley de Contratación Pública del Estado de México y Municipios, la Secretaría de Finanzas llevará a cabo los procedimientos de adquisición de bienes o servicios que requieran las dependencias conforme a sus respectivos programas de adquisiciones.</w:t>
      </w:r>
    </w:p>
    <w:p w14:paraId="1961B3F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Mientras que el artículo 27 de la misma Ley establece que la Secretaría de Finanzas podrá adjudicar adquisiciones, arrendamientos y servicios mediante los procedimientos de licitación que ahí se establecen.</w:t>
      </w:r>
    </w:p>
    <w:p w14:paraId="5442C25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En tal sentido, reafirma que la Secretaría de Finanzas es la dependencia del Ejecutivo que cuenta con las facultades para entregar la información a la que dese acceder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siendo un sujeto Obligado diverso de conformidad con el Padrón de Sujetos Obligados aprobado por este Organismo Garante, y solicita en el acto se conforme la respuesta emitida en primera instancia.</w:t>
      </w:r>
    </w:p>
    <w:p w14:paraId="202707E9"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Una vez analizado el documento, se hizo del conocimiento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con la finalidad de que manifestara lo que a su derecho estimara conveniente, no obstante, fue omisa en ejercer dicha prerrogativa.</w:t>
      </w:r>
    </w:p>
    <w:p w14:paraId="146729DF"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7. Ampliación del término para resolver</w:t>
      </w:r>
      <w:r w:rsidRPr="0020402F">
        <w:rPr>
          <w:rFonts w:ascii="Palatino Linotype" w:eastAsia="Palatino Linotype" w:hAnsi="Palatino Linotype" w:cs="Palatino Linotype"/>
        </w:rPr>
        <w:t xml:space="preserve">. En fecha </w:t>
      </w:r>
      <w:r w:rsidRPr="0020402F">
        <w:rPr>
          <w:rFonts w:ascii="Palatino Linotype" w:eastAsia="Palatino Linotype" w:hAnsi="Palatino Linotype" w:cs="Palatino Linotype"/>
          <w:b/>
        </w:rPr>
        <w:t>veintidós de noviembre de dos mil veintidós</w:t>
      </w:r>
      <w:r w:rsidRPr="0020402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4BE1AA4"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C10DC1F"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20402F">
        <w:rPr>
          <w:rFonts w:ascii="Palatino Linotype" w:eastAsia="Palatino Linotype" w:hAnsi="Palatino Linotype" w:cs="Palatino Linotype"/>
        </w:rPr>
        <w:lastRenderedPageBreak/>
        <w:t>órganos jurisdiccionales federales, aplicables también en procedimientos análogos, como el que nos ocupa.</w:t>
      </w:r>
    </w:p>
    <w:p w14:paraId="4DD9633C"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7C0C3B3"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2067C5" w14:textId="77777777" w:rsidR="00CE08AC" w:rsidRPr="0020402F" w:rsidRDefault="00040DB7">
      <w:pPr>
        <w:spacing w:before="240" w:after="240" w:line="360" w:lineRule="auto"/>
        <w:jc w:val="both"/>
        <w:rPr>
          <w:rFonts w:ascii="Palatino Linotype" w:eastAsia="Palatino Linotype" w:hAnsi="Palatino Linotype" w:cs="Palatino Linotype"/>
          <w:strike/>
        </w:rPr>
      </w:pPr>
      <w:r w:rsidRPr="0020402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B39BDD1" w14:textId="77777777" w:rsidR="00CE08AC" w:rsidRPr="0020402F" w:rsidRDefault="00040DB7">
      <w:pPr>
        <w:numPr>
          <w:ilvl w:val="0"/>
          <w:numId w:val="2"/>
        </w:num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133DF2E" w14:textId="77777777" w:rsidR="00CE08AC" w:rsidRPr="0020402F" w:rsidRDefault="00040DB7">
      <w:pPr>
        <w:numPr>
          <w:ilvl w:val="0"/>
          <w:numId w:val="2"/>
        </w:num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Actividad Procesal del interesado. Acciones u omisiones del interesado.</w:t>
      </w:r>
    </w:p>
    <w:p w14:paraId="4E05C2E6" w14:textId="77777777" w:rsidR="00CE08AC" w:rsidRPr="0020402F" w:rsidRDefault="00040DB7">
      <w:pPr>
        <w:numPr>
          <w:ilvl w:val="0"/>
          <w:numId w:val="2"/>
        </w:num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Conducta de la Autoridad: Las Acciones u omisiones realizadas en el procedimiento. Así como si la autoridad actuó con la debida diligencia.</w:t>
      </w:r>
    </w:p>
    <w:p w14:paraId="4E12CD91" w14:textId="77777777" w:rsidR="00CE08AC" w:rsidRPr="0020402F" w:rsidRDefault="00040DB7">
      <w:pPr>
        <w:spacing w:before="240" w:after="240" w:line="360" w:lineRule="auto"/>
        <w:ind w:left="567"/>
        <w:jc w:val="both"/>
        <w:rPr>
          <w:rFonts w:ascii="Palatino Linotype" w:eastAsia="Palatino Linotype" w:hAnsi="Palatino Linotype" w:cs="Palatino Linotype"/>
        </w:rPr>
      </w:pPr>
      <w:r w:rsidRPr="0020402F">
        <w:rPr>
          <w:rFonts w:ascii="Palatino Linotype" w:eastAsia="Palatino Linotype" w:hAnsi="Palatino Linotype" w:cs="Palatino Linotype"/>
        </w:rPr>
        <w:t>d) La afectación generada en la situación jurídica de la persona involucrada en el proceso: Violación a sus derechos humanos.</w:t>
      </w:r>
    </w:p>
    <w:p w14:paraId="42650F9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14CF01" w14:textId="77777777" w:rsidR="00CE08AC" w:rsidRPr="0020402F" w:rsidRDefault="00040DB7">
      <w:pPr>
        <w:spacing w:before="240" w:after="240" w:line="360" w:lineRule="auto"/>
        <w:jc w:val="both"/>
        <w:rPr>
          <w:rFonts w:ascii="Palatino Linotype" w:eastAsia="Palatino Linotype" w:hAnsi="Palatino Linotype" w:cs="Palatino Linotype"/>
          <w:b/>
        </w:rPr>
      </w:pPr>
      <w:r w:rsidRPr="0020402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0402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0402F">
        <w:rPr>
          <w:rFonts w:ascii="Palatino Linotype" w:eastAsia="Palatino Linotype" w:hAnsi="Palatino Linotype" w:cs="Palatino Linotype"/>
        </w:rPr>
        <w:t>, visible en la Gaceta del Seminario Judicial de la Federación con el registro digital 205635.</w:t>
      </w:r>
    </w:p>
    <w:p w14:paraId="4B563274"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DA64D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95C01CD" w14:textId="77777777" w:rsidR="00CE08AC" w:rsidRPr="0020402F" w:rsidRDefault="00040DB7">
      <w:pPr>
        <w:spacing w:before="240" w:after="240"/>
        <w:ind w:left="851" w:right="902"/>
        <w:jc w:val="both"/>
        <w:rPr>
          <w:rFonts w:ascii="Palatino Linotype" w:eastAsia="Palatino Linotype" w:hAnsi="Palatino Linotype" w:cs="Palatino Linotype"/>
          <w:sz w:val="22"/>
          <w:szCs w:val="22"/>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PLAZO RAZONABLE PARA RESOLVER. DIMENSIÓN Y EFECTOS DE ESTE CONCEPTO CUANDO SE ADUCE EXCESIVA CARGA DE TRABAJO</w:t>
      </w: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sz w:val="22"/>
          <w:szCs w:val="22"/>
        </w:rPr>
        <w:t xml:space="preserve"> consultable en el Seminario Judicial de la Federación y su gaceta, con el registro digital 2002351.</w:t>
      </w:r>
    </w:p>
    <w:p w14:paraId="29BDB997" w14:textId="77777777" w:rsidR="00CE08AC" w:rsidRPr="0020402F" w:rsidRDefault="00040DB7">
      <w:pPr>
        <w:spacing w:before="240" w:after="240"/>
        <w:ind w:left="851" w:right="902"/>
        <w:jc w:val="both"/>
        <w:rPr>
          <w:rFonts w:ascii="Palatino Linotype" w:eastAsia="Palatino Linotype" w:hAnsi="Palatino Linotype" w:cs="Palatino Linotype"/>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sz w:val="22"/>
          <w:szCs w:val="22"/>
        </w:rPr>
        <w:t>, visible en el Seminario Judicial de la Federación y su gaceta, con el registro digital 2002350.</w:t>
      </w:r>
    </w:p>
    <w:p w14:paraId="6E859E7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71CEF1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8. Cierre de instrucción. </w:t>
      </w:r>
      <w:r w:rsidRPr="0020402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0402F">
        <w:rPr>
          <w:rFonts w:ascii="Palatino Linotype" w:eastAsia="Palatino Linotype" w:hAnsi="Palatino Linotype" w:cs="Palatino Linotype"/>
          <w:b/>
        </w:rPr>
        <w:t xml:space="preserve">once de mayo de dos mil veintitrés, </w:t>
      </w:r>
      <w:r w:rsidRPr="0020402F">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C0CC6C7"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132AB71" w14:textId="77777777" w:rsidR="00CE08AC" w:rsidRPr="0020402F" w:rsidRDefault="00CE08AC">
      <w:pPr>
        <w:spacing w:before="240" w:after="240" w:line="360" w:lineRule="auto"/>
        <w:jc w:val="both"/>
        <w:rPr>
          <w:rFonts w:ascii="Palatino Linotype" w:eastAsia="Palatino Linotype" w:hAnsi="Palatino Linotype" w:cs="Palatino Linotype"/>
        </w:rPr>
      </w:pPr>
    </w:p>
    <w:p w14:paraId="2FE7DE27" w14:textId="77777777" w:rsidR="00CE08AC" w:rsidRPr="0020402F" w:rsidRDefault="00CE08AC">
      <w:pPr>
        <w:spacing w:before="240" w:after="240" w:line="360" w:lineRule="auto"/>
        <w:jc w:val="both"/>
        <w:rPr>
          <w:rFonts w:ascii="Palatino Linotype" w:eastAsia="Palatino Linotype" w:hAnsi="Palatino Linotype" w:cs="Palatino Linotype"/>
        </w:rPr>
      </w:pPr>
    </w:p>
    <w:p w14:paraId="6D42384F" w14:textId="77777777" w:rsidR="00CE08AC" w:rsidRPr="0020402F" w:rsidRDefault="00040DB7">
      <w:pPr>
        <w:widowControl w:val="0"/>
        <w:spacing w:before="240" w:after="240" w:line="360" w:lineRule="auto"/>
        <w:jc w:val="center"/>
        <w:rPr>
          <w:rFonts w:ascii="Palatino Linotype" w:eastAsia="Palatino Linotype" w:hAnsi="Palatino Linotype" w:cs="Palatino Linotype"/>
          <w:b/>
        </w:rPr>
      </w:pPr>
      <w:r w:rsidRPr="0020402F">
        <w:rPr>
          <w:rFonts w:ascii="Palatino Linotype" w:eastAsia="Palatino Linotype" w:hAnsi="Palatino Linotype" w:cs="Palatino Linotype"/>
          <w:b/>
        </w:rPr>
        <w:lastRenderedPageBreak/>
        <w:t>II. C O N S I D E R A N D O S</w:t>
      </w:r>
    </w:p>
    <w:p w14:paraId="20772D1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Primero. Competencia.</w:t>
      </w:r>
      <w:r w:rsidRPr="0020402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0A28C5" w14:textId="77777777" w:rsidR="00CE08AC" w:rsidRPr="0020402F" w:rsidRDefault="00040DB7">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20402F">
        <w:rPr>
          <w:rFonts w:ascii="Palatino Linotype" w:eastAsia="Palatino Linotype" w:hAnsi="Palatino Linotype" w:cs="Palatino Linotype"/>
          <w:b/>
        </w:rPr>
        <w:t>Segundo. Oportunidad y Procedibilidad del Recurso de Revisión</w:t>
      </w:r>
      <w:r w:rsidRPr="0020402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CADDB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remitió la respuesta a la solicitud de información el día </w:t>
      </w:r>
      <w:r w:rsidRPr="0020402F">
        <w:rPr>
          <w:rFonts w:ascii="Palatino Linotype" w:eastAsia="Palatino Linotype" w:hAnsi="Palatino Linotype" w:cs="Palatino Linotype"/>
          <w:b/>
        </w:rPr>
        <w:t xml:space="preserve">veintitrés de septiembre de dos mil veintidós, </w:t>
      </w:r>
      <w:r w:rsidRPr="0020402F">
        <w:rPr>
          <w:rFonts w:ascii="Palatino Linotype" w:eastAsia="Palatino Linotype" w:hAnsi="Palatino Linotype" w:cs="Palatino Linotype"/>
        </w:rPr>
        <w:t xml:space="preserve">mientras que el recurso de revisión interpuesto por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se tuvo por presentado el día </w:t>
      </w:r>
      <w:r w:rsidRPr="0020402F">
        <w:rPr>
          <w:rFonts w:ascii="Palatino Linotype" w:eastAsia="Palatino Linotype" w:hAnsi="Palatino Linotype" w:cs="Palatino Linotype"/>
          <w:b/>
        </w:rPr>
        <w:t>veintiséis de septiembre de dos mil veintidós</w:t>
      </w:r>
      <w:r w:rsidRPr="0020402F">
        <w:rPr>
          <w:rFonts w:ascii="Palatino Linotype" w:eastAsia="Palatino Linotype" w:hAnsi="Palatino Linotype" w:cs="Palatino Linotype"/>
        </w:rPr>
        <w:t xml:space="preserve">, esto </w:t>
      </w:r>
      <w:r w:rsidRPr="0020402F">
        <w:rPr>
          <w:rFonts w:ascii="Palatino Linotype" w:eastAsia="Palatino Linotype" w:hAnsi="Palatino Linotype" w:cs="Palatino Linotype"/>
        </w:rPr>
        <w:lastRenderedPageBreak/>
        <w:t>es, al siguiente día hábil siguiente en que tuvo conocimiento de la respuesta impugnada.</w:t>
      </w:r>
    </w:p>
    <w:p w14:paraId="30A98323" w14:textId="77777777" w:rsidR="00CE08AC" w:rsidRPr="0020402F" w:rsidRDefault="00040DB7">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20402F">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218A9B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 efecto de sustentar lo anterior, es de suma importancia mencionar que si bien la persona solicitante </w:t>
      </w:r>
      <w:r w:rsidRPr="0020402F">
        <w:rPr>
          <w:rFonts w:ascii="Palatino Linotype" w:eastAsia="Palatino Linotype" w:hAnsi="Palatino Linotype" w:cs="Palatino Linotype"/>
          <w:b/>
        </w:rPr>
        <w:t xml:space="preserve">no proporcionó nombre o seudónimo </w:t>
      </w:r>
      <w:r w:rsidRPr="0020402F">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337659" w14:textId="77777777" w:rsidR="00CE08AC" w:rsidRPr="0020402F" w:rsidRDefault="00040DB7">
      <w:pPr>
        <w:spacing w:before="120" w:after="120"/>
        <w:ind w:left="851" w:right="902"/>
        <w:jc w:val="both"/>
        <w:rPr>
          <w:rFonts w:ascii="Palatino Linotype" w:eastAsia="Palatino Linotype" w:hAnsi="Palatino Linotype" w:cs="Palatino Linotype"/>
        </w:rPr>
      </w:pPr>
      <w:r w:rsidRPr="0020402F">
        <w:rPr>
          <w:rFonts w:ascii="Palatino Linotype" w:eastAsia="Palatino Linotype" w:hAnsi="Palatino Linotype" w:cs="Palatino Linotype"/>
          <w:i/>
        </w:rPr>
        <w:t>"</w:t>
      </w:r>
      <w:r w:rsidRPr="0020402F">
        <w:rPr>
          <w:rFonts w:ascii="Palatino Linotype" w:eastAsia="Palatino Linotype" w:hAnsi="Palatino Linotype" w:cs="Palatino Linotype"/>
          <w:b/>
          <w:i/>
        </w:rPr>
        <w:t>Las solicitudes anónimas</w:t>
      </w:r>
      <w:r w:rsidRPr="0020402F">
        <w:rPr>
          <w:rFonts w:ascii="Palatino Linotype" w:eastAsia="Palatino Linotype" w:hAnsi="Palatino Linotype" w:cs="Palatino Linotype"/>
          <w:i/>
        </w:rPr>
        <w:t xml:space="preserve">, con nombre incompleto o seudónimo </w:t>
      </w:r>
      <w:r w:rsidRPr="0020402F">
        <w:rPr>
          <w:rFonts w:ascii="Palatino Linotype" w:eastAsia="Palatino Linotype" w:hAnsi="Palatino Linotype" w:cs="Palatino Linotype"/>
          <w:b/>
          <w:i/>
        </w:rPr>
        <w:t>serán procedentes para su trámite por parte del sujeto obligado ante quien se presente</w:t>
      </w:r>
      <w:r w:rsidRPr="0020402F">
        <w:rPr>
          <w:rFonts w:ascii="Palatino Linotype" w:eastAsia="Palatino Linotype" w:hAnsi="Palatino Linotype" w:cs="Palatino Linotype"/>
          <w:i/>
        </w:rPr>
        <w:t>. No podrá requerirse información adicional con motivo del nombre proporcionado por el solicitante."</w:t>
      </w:r>
    </w:p>
    <w:p w14:paraId="4C4FF5E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por lo que, en el presente caso, al haber sido presentado el recurso de revisión vía SAIMEX, dicho requisito resulta innecesario.</w:t>
      </w:r>
    </w:p>
    <w:p w14:paraId="3299298F"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en sus motivos de inconformidad, de acuerdo al artículo 179, fracción I del ordenamiento legal citado, que a la letra dice: </w:t>
      </w:r>
    </w:p>
    <w:p w14:paraId="38DC24D9" w14:textId="77777777" w:rsidR="00CE08AC" w:rsidRPr="0020402F" w:rsidRDefault="00040DB7">
      <w:pPr>
        <w:spacing w:before="120" w:after="120"/>
        <w:ind w:left="993"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179.</w:t>
      </w:r>
      <w:r w:rsidRPr="0020402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07E60C3" w14:textId="77777777" w:rsidR="00CE08AC" w:rsidRPr="0020402F" w:rsidRDefault="00040DB7">
      <w:pPr>
        <w:spacing w:before="120" w:after="120"/>
        <w:ind w:left="1134"/>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I. </w:t>
      </w:r>
      <w:r w:rsidRPr="0020402F">
        <w:rPr>
          <w:rFonts w:ascii="Palatino Linotype" w:eastAsia="Palatino Linotype" w:hAnsi="Palatino Linotype" w:cs="Palatino Linotype"/>
          <w:i/>
          <w:sz w:val="22"/>
          <w:szCs w:val="22"/>
        </w:rPr>
        <w:t>La negativa a la información solicitada;”</w:t>
      </w:r>
    </w:p>
    <w:p w14:paraId="3B530111"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Tercero. Materia de la revisión. </w:t>
      </w:r>
      <w:r w:rsidRPr="0020402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0402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0402F">
        <w:rPr>
          <w:rFonts w:ascii="Palatino Linotype" w:eastAsia="Palatino Linotype" w:hAnsi="Palatino Linotype" w:cs="Palatino Linotype"/>
        </w:rPr>
        <w:t xml:space="preserve">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o en su defecto, en caso de ser procedente, ordenar la entrega de información oportuna.</w:t>
      </w:r>
    </w:p>
    <w:p w14:paraId="7A5CB620" w14:textId="77777777" w:rsidR="00CE08AC" w:rsidRPr="0020402F" w:rsidRDefault="00040DB7">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20402F">
        <w:rPr>
          <w:rFonts w:ascii="Palatino Linotype" w:eastAsia="Palatino Linotype" w:hAnsi="Palatino Linotype" w:cs="Palatino Linotype"/>
          <w:b/>
        </w:rPr>
        <w:t xml:space="preserve">Cuarto. Estudio del asunto. </w:t>
      </w:r>
      <w:r w:rsidRPr="0020402F">
        <w:rPr>
          <w:rFonts w:ascii="Palatino Linotype" w:eastAsia="Palatino Linotype" w:hAnsi="Palatino Linotype" w:cs="Palatino Linotype"/>
        </w:rPr>
        <w:t xml:space="preserve">Del análisis de la solicitud de información, motivo del recurso de revisión que ahora se resuelve se advierte que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requirió al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le proporcione, información consistente en lo siguiente:</w:t>
      </w:r>
    </w:p>
    <w:p w14:paraId="51C3D85E" w14:textId="77777777" w:rsidR="00CE08AC" w:rsidRPr="0020402F" w:rsidRDefault="00040DB7">
      <w:pPr>
        <w:spacing w:before="240" w:after="240" w:line="360" w:lineRule="auto"/>
        <w:ind w:left="284" w:right="51"/>
        <w:jc w:val="both"/>
        <w:rPr>
          <w:rFonts w:ascii="Palatino Linotype" w:eastAsia="Palatino Linotype" w:hAnsi="Palatino Linotype" w:cs="Palatino Linotype"/>
        </w:rPr>
      </w:pPr>
      <w:r w:rsidRPr="0020402F">
        <w:rPr>
          <w:rFonts w:ascii="Palatino Linotype" w:eastAsia="Palatino Linotype" w:hAnsi="Palatino Linotype" w:cs="Palatino Linotype"/>
        </w:rPr>
        <w:t>1. Todos los contratos de adquisiciones por servicios, arrendamientos, compras o por cualquier concepto de los años 2021 y 2022, y los procesos de licitación o invitación restringida.</w:t>
      </w:r>
    </w:p>
    <w:p w14:paraId="615079F8" w14:textId="77777777" w:rsidR="00CE08AC" w:rsidRPr="0020402F" w:rsidRDefault="00040DB7">
      <w:pPr>
        <w:spacing w:before="240" w:after="240" w:line="360" w:lineRule="auto"/>
        <w:ind w:left="284" w:right="51"/>
        <w:jc w:val="both"/>
        <w:rPr>
          <w:rFonts w:ascii="Palatino Linotype" w:eastAsia="Palatino Linotype" w:hAnsi="Palatino Linotype" w:cs="Palatino Linotype"/>
        </w:rPr>
      </w:pPr>
      <w:r w:rsidRPr="0020402F">
        <w:rPr>
          <w:rFonts w:ascii="Palatino Linotype" w:eastAsia="Palatino Linotype" w:hAnsi="Palatino Linotype" w:cs="Palatino Linotype"/>
        </w:rPr>
        <w:t>2. Facturas pagadas y pólizas de cheques expedidos y pagados por cualquier concepto en los años 2021 y 2022.</w:t>
      </w:r>
    </w:p>
    <w:p w14:paraId="6764078B" w14:textId="77777777" w:rsidR="00CE08AC" w:rsidRPr="0020402F" w:rsidRDefault="00CE08AC">
      <w:pPr>
        <w:spacing w:before="240" w:after="240" w:line="360" w:lineRule="auto"/>
        <w:ind w:right="51"/>
        <w:jc w:val="both"/>
        <w:rPr>
          <w:rFonts w:ascii="Palatino Linotype" w:eastAsia="Palatino Linotype" w:hAnsi="Palatino Linotype" w:cs="Palatino Linotype"/>
        </w:rPr>
      </w:pPr>
    </w:p>
    <w:p w14:paraId="03824148"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En respuesta,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a través de la Unidad de Transparencia, se declaró incompetente para atender la solicitud de información, declinando dicha competencia en favor de la Secretaria de Finanzas, de conformidad con los artículos 24, fracción XXXVII de la Ley Orgánica de la Administración Pública del Estado de México; 7, fracción XI, inciso h), 32, fracción XXXII del Reglamento Interior de la Secretaría de Finanzas; y 167 de la Ley de Transparencia y Acceso a la Información Pública del Estado de México y Municipios.</w:t>
      </w:r>
    </w:p>
    <w:p w14:paraId="370F1C35"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 motivo de inconformidad, que se le negó información que es de interés público, siendo que todas las dependencias tienen procesos de licitación y contratación de conforme a la Ley de Contrataciones y el Presupuesto.</w:t>
      </w:r>
    </w:p>
    <w:p w14:paraId="59B9E7C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Por otro lado, una vez admitido el presente recurso de revisión, en términos del artículo 185 fracción II</w:t>
      </w:r>
      <w:r w:rsidRPr="0020402F">
        <w:rPr>
          <w:rFonts w:ascii="Palatino Linotype" w:eastAsia="Palatino Linotype" w:hAnsi="Palatino Linotype" w:cs="Palatino Linotype"/>
          <w:vertAlign w:val="superscript"/>
        </w:rPr>
        <w:footnoteReference w:id="1"/>
      </w:r>
      <w:r w:rsidRPr="0020402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BFEBFC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tal sentido,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ratificó en lo sustancial la respuesta emitida en primera instancia reiterando que es la Secretaría de Finanzas del Gobierno del Estado de México, la dependencia del Ejecutivo que define, formula y ejecuta la política fiscal de la entidad y administra los recursos públicos en pro del bienestar </w:t>
      </w:r>
      <w:r w:rsidRPr="0020402F">
        <w:rPr>
          <w:rFonts w:ascii="Palatino Linotype" w:eastAsia="Palatino Linotype" w:hAnsi="Palatino Linotype" w:cs="Palatino Linotype"/>
        </w:rPr>
        <w:lastRenderedPageBreak/>
        <w:t xml:space="preserve">social de la ciudadanía, siendo el Sujeto Obligado que cuenta con las facultades necesarias para atender el requerimiento de información conforme a los artículos 24, fracción XXXVII de la Ley Orgánica de la Administración Pública del Estado de México; 7, fracción XI, inciso h); 32, fracción XXXII del Reglamento Interior de la Secretaría de Finanzas. </w:t>
      </w:r>
      <w:proofErr w:type="gramStart"/>
      <w:r w:rsidRPr="0020402F">
        <w:rPr>
          <w:rFonts w:ascii="Palatino Linotype" w:eastAsia="Palatino Linotype" w:hAnsi="Palatino Linotype" w:cs="Palatino Linotype"/>
        </w:rPr>
        <w:t>Asimismo</w:t>
      </w:r>
      <w:proofErr w:type="gramEnd"/>
      <w:r w:rsidRPr="0020402F">
        <w:rPr>
          <w:rFonts w:ascii="Palatino Linotype" w:eastAsia="Palatino Linotype" w:hAnsi="Palatino Linotype" w:cs="Palatino Linotype"/>
        </w:rPr>
        <w:t xml:space="preserve"> señaló que de conformidad con el artículo 5 de la Ley de Contratación Pública del Estado de México y Municipios, la Secretaría de Finanzas lleva a cabo los procedimientos de adquisición de bienes o servicios que requieran las dependencias conforme a sus respectivos programas de adquisiciones.</w:t>
      </w:r>
    </w:p>
    <w:p w14:paraId="070FE507"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Información que se hizo del conocimiento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a efecto de que manifestara lo que a su derecho estimara conveniente, siendo omisa en ejercer dicha prerrogativa, como se señaló anteriormente.</w:t>
      </w:r>
    </w:p>
    <w:p w14:paraId="07D1E5B5"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1A66120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8CE054F" w14:textId="77777777" w:rsidR="00CE08AC" w:rsidRPr="0020402F" w:rsidRDefault="00040DB7">
      <w:pPr>
        <w:spacing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AE8A14" w14:textId="77777777" w:rsidR="00CE08AC" w:rsidRPr="0020402F" w:rsidRDefault="00CE08AC">
      <w:pPr>
        <w:ind w:left="851" w:right="899"/>
        <w:jc w:val="both"/>
        <w:rPr>
          <w:rFonts w:ascii="Palatino Linotype" w:eastAsia="Palatino Linotype" w:hAnsi="Palatino Linotype" w:cs="Palatino Linotype"/>
          <w:i/>
        </w:rPr>
      </w:pPr>
    </w:p>
    <w:p w14:paraId="2CF40E10" w14:textId="77777777" w:rsidR="00CE08AC" w:rsidRPr="0020402F" w:rsidRDefault="00040DB7">
      <w:pPr>
        <w:ind w:left="851"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 xml:space="preserve">Artículo 3. </w:t>
      </w:r>
      <w:r w:rsidRPr="0020402F">
        <w:rPr>
          <w:rFonts w:ascii="Palatino Linotype" w:eastAsia="Palatino Linotype" w:hAnsi="Palatino Linotype" w:cs="Palatino Linotype"/>
          <w:i/>
          <w:sz w:val="22"/>
          <w:szCs w:val="22"/>
        </w:rPr>
        <w:t>Para los efectos de la presente Ley se entenderá por:</w:t>
      </w:r>
    </w:p>
    <w:p w14:paraId="29CC4BC3" w14:textId="77777777" w:rsidR="00CE08AC" w:rsidRPr="0020402F" w:rsidRDefault="00040DB7">
      <w:pPr>
        <w:ind w:left="1134"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1D834A6A" w14:textId="77777777" w:rsidR="00CE08AC" w:rsidRPr="0020402F" w:rsidRDefault="00040DB7">
      <w:pPr>
        <w:ind w:left="1134"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 Documento:</w:t>
      </w:r>
      <w:r w:rsidRPr="0020402F">
        <w:rPr>
          <w:rFonts w:ascii="Palatino Linotype" w:eastAsia="Palatino Linotype" w:hAnsi="Palatino Linotype" w:cs="Palatino Linotype"/>
          <w:i/>
          <w:sz w:val="22"/>
          <w:szCs w:val="22"/>
        </w:rPr>
        <w:t xml:space="preserve"> Los expedientes, reportes, estudios, actas</w:t>
      </w:r>
      <w:r w:rsidRPr="0020402F">
        <w:rPr>
          <w:rFonts w:ascii="Palatino Linotype" w:eastAsia="Palatino Linotype" w:hAnsi="Palatino Linotype" w:cs="Palatino Linotype"/>
          <w:b/>
          <w:i/>
          <w:sz w:val="22"/>
          <w:szCs w:val="22"/>
        </w:rPr>
        <w:t>,</w:t>
      </w:r>
      <w:r w:rsidRPr="0020402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0CA7E6D" w14:textId="77777777" w:rsidR="00CE08AC" w:rsidRPr="0020402F" w:rsidRDefault="00CE08AC">
      <w:pPr>
        <w:ind w:left="851" w:right="899"/>
        <w:jc w:val="both"/>
        <w:rPr>
          <w:rFonts w:ascii="Palatino Linotype" w:eastAsia="Palatino Linotype" w:hAnsi="Palatino Linotype" w:cs="Palatino Linotype"/>
          <w:sz w:val="22"/>
          <w:szCs w:val="22"/>
        </w:rPr>
      </w:pPr>
    </w:p>
    <w:p w14:paraId="0361051A" w14:textId="77777777" w:rsidR="00CE08AC" w:rsidRPr="0020402F" w:rsidRDefault="00040DB7">
      <w:pPr>
        <w:spacing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20402F">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3C0D6055" w14:textId="77777777" w:rsidR="00CE08AC" w:rsidRPr="0020402F" w:rsidRDefault="00CE08AC">
      <w:pPr>
        <w:ind w:left="851" w:right="899"/>
        <w:jc w:val="both"/>
        <w:rPr>
          <w:rFonts w:ascii="Palatino Linotype" w:eastAsia="Palatino Linotype" w:hAnsi="Palatino Linotype" w:cs="Palatino Linotype"/>
        </w:rPr>
      </w:pPr>
    </w:p>
    <w:p w14:paraId="683564F5" w14:textId="77777777" w:rsidR="00CE08AC" w:rsidRPr="0020402F" w:rsidRDefault="00040DB7">
      <w:pPr>
        <w:ind w:left="851"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sz w:val="22"/>
          <w:szCs w:val="22"/>
        </w:rPr>
        <w:t>“</w:t>
      </w:r>
      <w:r w:rsidRPr="0020402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0402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6F012A" w14:textId="77777777" w:rsidR="00CE08AC" w:rsidRPr="0020402F" w:rsidRDefault="00040DB7">
      <w:pPr>
        <w:ind w:left="851"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w:t>
      </w:r>
      <w:proofErr w:type="gramStart"/>
      <w:r w:rsidRPr="0020402F">
        <w:rPr>
          <w:rFonts w:ascii="Palatino Linotype" w:eastAsia="Palatino Linotype" w:hAnsi="Palatino Linotype" w:cs="Palatino Linotype"/>
          <w:i/>
          <w:sz w:val="22"/>
          <w:szCs w:val="22"/>
        </w:rPr>
        <w:t>consecuencia</w:t>
      </w:r>
      <w:proofErr w:type="gramEnd"/>
      <w:r w:rsidRPr="0020402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48C9342" w14:textId="77777777" w:rsidR="00CE08AC" w:rsidRPr="0020402F" w:rsidRDefault="00040DB7">
      <w:pPr>
        <w:ind w:left="1134" w:right="89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0402F">
        <w:rPr>
          <w:rFonts w:ascii="Palatino Linotype" w:eastAsia="Palatino Linotype" w:hAnsi="Palatino Linotype" w:cs="Palatino Linotype"/>
          <w:i/>
          <w:sz w:val="22"/>
          <w:szCs w:val="22"/>
        </w:rPr>
        <w:t>que</w:t>
      </w:r>
      <w:proofErr w:type="gramEnd"/>
      <w:r w:rsidRPr="0020402F">
        <w:rPr>
          <w:rFonts w:ascii="Palatino Linotype" w:eastAsia="Palatino Linotype" w:hAnsi="Palatino Linotype" w:cs="Palatino Linotype"/>
          <w:i/>
          <w:sz w:val="22"/>
          <w:szCs w:val="22"/>
        </w:rPr>
        <w:t xml:space="preserve"> en ejercicio de las atribuciones conferidas, sea generada por los Sujetos Obligados;</w:t>
      </w:r>
    </w:p>
    <w:p w14:paraId="0FFA0D24" w14:textId="77777777" w:rsidR="00CE08AC" w:rsidRPr="0020402F" w:rsidRDefault="00040DB7">
      <w:pPr>
        <w:ind w:left="1134" w:right="899"/>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20402F">
        <w:rPr>
          <w:rFonts w:ascii="Palatino Linotype" w:eastAsia="Palatino Linotype" w:hAnsi="Palatino Linotype" w:cs="Palatino Linotype"/>
          <w:b/>
          <w:i/>
          <w:sz w:val="22"/>
          <w:szCs w:val="22"/>
        </w:rPr>
        <w:t>que</w:t>
      </w:r>
      <w:proofErr w:type="gramEnd"/>
      <w:r w:rsidRPr="0020402F">
        <w:rPr>
          <w:rFonts w:ascii="Palatino Linotype" w:eastAsia="Palatino Linotype" w:hAnsi="Palatino Linotype" w:cs="Palatino Linotype"/>
          <w:b/>
          <w:i/>
          <w:sz w:val="22"/>
          <w:szCs w:val="22"/>
        </w:rPr>
        <w:t xml:space="preserve"> en ejercicio de las atribuciones conferidas, sea administrada por los Sujetos Obligados, y</w:t>
      </w:r>
    </w:p>
    <w:p w14:paraId="06D6E078" w14:textId="77777777" w:rsidR="00CE08AC" w:rsidRPr="0020402F" w:rsidRDefault="00040DB7">
      <w:pPr>
        <w:ind w:left="1134" w:right="899"/>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20402F">
        <w:rPr>
          <w:rFonts w:ascii="Palatino Linotype" w:eastAsia="Palatino Linotype" w:hAnsi="Palatino Linotype" w:cs="Palatino Linotype"/>
          <w:b/>
          <w:i/>
          <w:sz w:val="22"/>
          <w:szCs w:val="22"/>
        </w:rPr>
        <w:t>que</w:t>
      </w:r>
      <w:proofErr w:type="gramEnd"/>
      <w:r w:rsidRPr="0020402F">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C6E0C85"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E33B9C"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C729BBA"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Ahora bien, en primer lugar, tomando en consideración la respuesta emitida por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se debe señalar que, en términos del artículo 167 de la Ley de Transparencia y Acceso a la Información Pública del Estado de México y Municipios, la declaratoria de incompetencia, cuando sea notoria, se deberá hacer valer en un plazo no mayor a los tres días hábiles posteriores a la recepción de la solicitud y, se deberá, en su caso orientar al solicitante hacia el o los sujetos obligados competentes.</w:t>
      </w:r>
    </w:p>
    <w:p w14:paraId="13CCF010"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el caso concreto, si bien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orientó a la persona solicitante ante la Secretaría de Finanzas al segundo día hábil posterior a la recepción de la solicitud de información, es procedente establecer si la referida declaratoria encuentra sustento legal en competencias y facultades, para lo cual, sirve de apoyo la Ley Orgánica de la Administración Pública del Estado de México y Municipios, que en su artículo 19, contempla lo siguiente:</w:t>
      </w:r>
    </w:p>
    <w:p w14:paraId="38223FD9"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0"/>
          <w:szCs w:val="20"/>
        </w:rPr>
        <w:lastRenderedPageBreak/>
        <w:t>“</w:t>
      </w:r>
      <w:r w:rsidRPr="0020402F">
        <w:rPr>
          <w:rFonts w:ascii="Palatino Linotype" w:eastAsia="Palatino Linotype" w:hAnsi="Palatino Linotype" w:cs="Palatino Linotype"/>
          <w:b/>
          <w:i/>
          <w:sz w:val="22"/>
          <w:szCs w:val="22"/>
        </w:rPr>
        <w:t>Artículo 19</w:t>
      </w:r>
      <w:r w:rsidRPr="0020402F">
        <w:rPr>
          <w:rFonts w:ascii="Palatino Linotype" w:eastAsia="Palatino Linotype" w:hAnsi="Palatino Linotype" w:cs="Palatino Linotype"/>
          <w:i/>
          <w:sz w:val="22"/>
          <w:szCs w:val="22"/>
        </w:rPr>
        <w:t>.- Para el estudio, planeación y despacho de los asuntos, en los diversos ramos de la Administración Pública del Estado, auxiliarán al Titular del Ejecutivo, las siguientes dependencias:</w:t>
      </w:r>
    </w:p>
    <w:p w14:paraId="14F83DDA"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I </w:t>
      </w:r>
      <w:r w:rsidRPr="0020402F">
        <w:rPr>
          <w:rFonts w:ascii="Palatino Linotype" w:eastAsia="Palatino Linotype" w:hAnsi="Palatino Linotype" w:cs="Palatino Linotype"/>
          <w:i/>
          <w:sz w:val="22"/>
          <w:szCs w:val="22"/>
        </w:rPr>
        <w:t>a la</w:t>
      </w:r>
      <w:r w:rsidRPr="0020402F">
        <w:rPr>
          <w:rFonts w:ascii="Palatino Linotype" w:eastAsia="Palatino Linotype" w:hAnsi="Palatino Linotype" w:cs="Palatino Linotype"/>
          <w:b/>
          <w:i/>
          <w:sz w:val="22"/>
          <w:szCs w:val="22"/>
        </w:rPr>
        <w:t xml:space="preserve"> II.</w:t>
      </w:r>
    </w:p>
    <w:p w14:paraId="12699BC1"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Secretaría de Finanzas;</w:t>
      </w:r>
    </w:p>
    <w:p w14:paraId="7889007E"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IV </w:t>
      </w:r>
      <w:r w:rsidRPr="0020402F">
        <w:rPr>
          <w:rFonts w:ascii="Palatino Linotype" w:eastAsia="Palatino Linotype" w:hAnsi="Palatino Linotype" w:cs="Palatino Linotype"/>
          <w:i/>
          <w:sz w:val="22"/>
          <w:szCs w:val="22"/>
        </w:rPr>
        <w:t xml:space="preserve">a la </w:t>
      </w:r>
      <w:r w:rsidRPr="0020402F">
        <w:rPr>
          <w:rFonts w:ascii="Palatino Linotype" w:eastAsia="Palatino Linotype" w:hAnsi="Palatino Linotype" w:cs="Palatino Linotype"/>
          <w:b/>
          <w:i/>
          <w:sz w:val="22"/>
          <w:szCs w:val="22"/>
        </w:rPr>
        <w:t>XV</w:t>
      </w:r>
      <w:r w:rsidRPr="0020402F">
        <w:rPr>
          <w:rFonts w:ascii="Palatino Linotype" w:eastAsia="Palatino Linotype" w:hAnsi="Palatino Linotype" w:cs="Palatino Linotype"/>
          <w:i/>
          <w:sz w:val="22"/>
          <w:szCs w:val="22"/>
        </w:rPr>
        <w:t xml:space="preserve">. </w:t>
      </w:r>
    </w:p>
    <w:p w14:paraId="3AE4E99E"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XVI.</w:t>
      </w:r>
      <w:r w:rsidRPr="0020402F">
        <w:rPr>
          <w:rFonts w:ascii="Palatino Linotype" w:eastAsia="Palatino Linotype" w:hAnsi="Palatino Linotype" w:cs="Palatino Linotype"/>
          <w:i/>
          <w:sz w:val="22"/>
          <w:szCs w:val="22"/>
        </w:rPr>
        <w:t xml:space="preserve"> Secretaría de </w:t>
      </w:r>
      <w:proofErr w:type="gramStart"/>
      <w:r w:rsidRPr="0020402F">
        <w:rPr>
          <w:rFonts w:ascii="Palatino Linotype" w:eastAsia="Palatino Linotype" w:hAnsi="Palatino Linotype" w:cs="Palatino Linotype"/>
          <w:i/>
          <w:sz w:val="22"/>
          <w:szCs w:val="22"/>
        </w:rPr>
        <w:t>Movilidad</w:t>
      </w:r>
      <w:r w:rsidRPr="0020402F">
        <w:t>;</w:t>
      </w:r>
      <w:r w:rsidRPr="0020402F">
        <w:rPr>
          <w:rFonts w:ascii="Palatino Linotype" w:eastAsia="Palatino Linotype" w:hAnsi="Palatino Linotype" w:cs="Palatino Linotype"/>
          <w:i/>
          <w:sz w:val="22"/>
          <w:szCs w:val="22"/>
        </w:rPr>
        <w:t>…</w:t>
      </w:r>
      <w:proofErr w:type="gramEnd"/>
      <w:r w:rsidRPr="0020402F">
        <w:rPr>
          <w:rFonts w:ascii="Palatino Linotype" w:eastAsia="Palatino Linotype" w:hAnsi="Palatino Linotype" w:cs="Palatino Linotype"/>
          <w:i/>
          <w:sz w:val="22"/>
          <w:szCs w:val="22"/>
        </w:rPr>
        <w:t>”</w:t>
      </w:r>
    </w:p>
    <w:p w14:paraId="7AE3385F"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Por cuanto refiere a la Secretaría de Finanzas, cuenta con atribuciones para poseer información relacionada a la adquisición de bienes y contratación de servicios, de conformidad con lo siguiente:</w:t>
      </w:r>
    </w:p>
    <w:p w14:paraId="79F69CE1" w14:textId="77777777" w:rsidR="00CE08AC" w:rsidRPr="0020402F" w:rsidRDefault="00040DB7">
      <w:pPr>
        <w:spacing w:before="120" w:after="120"/>
        <w:ind w:left="851"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24.-</w:t>
      </w:r>
      <w:r w:rsidRPr="0020402F">
        <w:rPr>
          <w:rFonts w:ascii="Palatino Linotype" w:eastAsia="Palatino Linotype" w:hAnsi="Palatino Linotype" w:cs="Palatino Linotype"/>
          <w:i/>
          <w:sz w:val="22"/>
          <w:szCs w:val="22"/>
        </w:rPr>
        <w:t xml:space="preserve"> A la Secretaría de Finanzas, corresponde el despacho de los siguientes asuntos:</w:t>
      </w:r>
    </w:p>
    <w:p w14:paraId="04ED540F"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I </w:t>
      </w:r>
      <w:r w:rsidRPr="0020402F">
        <w:rPr>
          <w:rFonts w:ascii="Palatino Linotype" w:eastAsia="Palatino Linotype" w:hAnsi="Palatino Linotype" w:cs="Palatino Linotype"/>
          <w:i/>
          <w:sz w:val="22"/>
          <w:szCs w:val="22"/>
        </w:rPr>
        <w:t>a la</w:t>
      </w:r>
      <w:r w:rsidRPr="0020402F">
        <w:rPr>
          <w:rFonts w:ascii="Palatino Linotype" w:eastAsia="Palatino Linotype" w:hAnsi="Palatino Linotype" w:cs="Palatino Linotype"/>
          <w:b/>
          <w:i/>
          <w:sz w:val="22"/>
          <w:szCs w:val="22"/>
        </w:rPr>
        <w:t xml:space="preserve"> XXXVI</w:t>
      </w:r>
      <w:r w:rsidRPr="0020402F">
        <w:rPr>
          <w:rFonts w:ascii="Palatino Linotype" w:eastAsia="Palatino Linotype" w:hAnsi="Palatino Linotype" w:cs="Palatino Linotype"/>
          <w:i/>
          <w:sz w:val="22"/>
          <w:szCs w:val="22"/>
        </w:rPr>
        <w:t xml:space="preserve"> …</w:t>
      </w:r>
    </w:p>
    <w:p w14:paraId="1FBE81B8"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XXXVII</w:t>
      </w:r>
      <w:r w:rsidRPr="0020402F">
        <w:rPr>
          <w:rFonts w:ascii="Palatino Linotype" w:eastAsia="Palatino Linotype" w:hAnsi="Palatino Linotype" w:cs="Palatino Linotype"/>
          <w:i/>
          <w:sz w:val="22"/>
          <w:szCs w:val="22"/>
        </w:rPr>
        <w:t>. Adquirir los bienes y servicios que requiera el funcionamiento del Poder Ejecutivo del Estado, con recursos federales o estatales;</w:t>
      </w:r>
    </w:p>
    <w:p w14:paraId="6A832125"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XXXVIII</w:t>
      </w:r>
      <w:r w:rsidRPr="0020402F">
        <w:rPr>
          <w:rFonts w:ascii="Palatino Linotype" w:eastAsia="Palatino Linotype" w:hAnsi="Palatino Linotype" w:cs="Palatino Linotype"/>
          <w:i/>
          <w:sz w:val="22"/>
          <w:szCs w:val="22"/>
        </w:rPr>
        <w:t>. Proveer oportunamente a las dependencias del ejecutivo de los elementos y materiales de trabajo necesarios para el desarrollo de sus funciones;</w:t>
      </w:r>
    </w:p>
    <w:p w14:paraId="439B7636"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XXXIX</w:t>
      </w:r>
      <w:r w:rsidRPr="0020402F">
        <w:rPr>
          <w:rFonts w:ascii="Palatino Linotype" w:eastAsia="Palatino Linotype" w:hAnsi="Palatino Linotype" w:cs="Palatino Linotype"/>
          <w:i/>
          <w:sz w:val="22"/>
          <w:szCs w:val="22"/>
        </w:rPr>
        <w:t>. Levantar y tener al corriente el inventario general de los bienes muebles e inmuebles propiedad del Gobierno del Estado;</w:t>
      </w:r>
    </w:p>
    <w:p w14:paraId="3E12D36E"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XL.</w:t>
      </w:r>
      <w:r w:rsidRPr="0020402F">
        <w:rPr>
          <w:rFonts w:ascii="Palatino Linotype" w:eastAsia="Palatino Linotype" w:hAnsi="Palatino Linotype" w:cs="Palatino Linotype"/>
          <w:i/>
          <w:sz w:val="22"/>
          <w:szCs w:val="22"/>
        </w:rPr>
        <w:t xml:space="preserve"> Administrar y asegurar la conservación y mantenimiento del patrimonio del Gobierno del Estado;</w:t>
      </w:r>
    </w:p>
    <w:p w14:paraId="7345E652" w14:textId="77777777" w:rsidR="00CE08AC" w:rsidRPr="0020402F" w:rsidRDefault="00040DB7">
      <w:pPr>
        <w:spacing w:before="120" w:after="120"/>
        <w:ind w:left="1134" w:right="902"/>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XLI </w:t>
      </w:r>
      <w:r w:rsidRPr="0020402F">
        <w:rPr>
          <w:rFonts w:ascii="Palatino Linotype" w:eastAsia="Palatino Linotype" w:hAnsi="Palatino Linotype" w:cs="Palatino Linotype"/>
          <w:i/>
          <w:sz w:val="22"/>
          <w:szCs w:val="22"/>
        </w:rPr>
        <w:t xml:space="preserve">a la </w:t>
      </w:r>
      <w:r w:rsidRPr="0020402F">
        <w:rPr>
          <w:rFonts w:ascii="Palatino Linotype" w:eastAsia="Palatino Linotype" w:hAnsi="Palatino Linotype" w:cs="Palatino Linotype"/>
          <w:b/>
          <w:i/>
          <w:sz w:val="22"/>
          <w:szCs w:val="22"/>
        </w:rPr>
        <w:t>LXIV</w:t>
      </w:r>
      <w:r w:rsidRPr="0020402F">
        <w:rPr>
          <w:rFonts w:ascii="Palatino Linotype" w:eastAsia="Palatino Linotype" w:hAnsi="Palatino Linotype" w:cs="Palatino Linotype"/>
          <w:i/>
          <w:sz w:val="22"/>
          <w:szCs w:val="22"/>
        </w:rPr>
        <w:t>…”</w:t>
      </w:r>
    </w:p>
    <w:p w14:paraId="5BA1BCF1"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este tenor, como pretendió hacer valer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en respuesta a la solicitud, las adquisiciones, ya sea de bienes o contratación de servicios, ya sea por licitación pública, encuadran en las atribuciones de la Secretaría de Finanzas, respecto a la adquisición de los bienes y servicios que requiera el funcionamiento del Poder Ejecutivo del Estado, con recursos federales o estatales, como lo es la </w:t>
      </w:r>
      <w:r w:rsidRPr="0020402F">
        <w:rPr>
          <w:rFonts w:ascii="Palatino Linotype" w:eastAsia="Palatino Linotype" w:hAnsi="Palatino Linotype" w:cs="Palatino Linotype"/>
        </w:rPr>
        <w:lastRenderedPageBreak/>
        <w:t>Secretaría de Movilidad, y proveer oportunamente a las dependencias del ejecutivo de los elementos y materiales de trabajo necesarios para el desarrollo de sus funciones, pues la Secretaría de Movilidad, es una dependencia del Poder Ejecutivo.</w:t>
      </w:r>
    </w:p>
    <w:p w14:paraId="66DA4BC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Ahora bien, por cuanto hace a las facultades del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es oportuno mencionar que de conformidad con el artículo 32 de la Ley Orgánica de la Administración Pública del Estado de México, es la dependencia encargada de planear, formular, dirigir, coordinar, gestionar, evaluar, ejecutar y supervisar las acciones, 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para lo cual se le confiere el despacho de los siguientes asuntos:</w:t>
      </w:r>
    </w:p>
    <w:p w14:paraId="5F9A1684"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 xml:space="preserve">I. Formular y ejecutar planes, programas y acciones para el desarrollo del transporte y sus servicios conexos, infraestructura vial primaria y comunicaciones de jurisdicción local, incluyendo los relativos a sistemas de transporte masivo o de alta capacidad; </w:t>
      </w:r>
    </w:p>
    <w:p w14:paraId="355E9E25"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II</w:t>
      </w:r>
      <w:r w:rsidRPr="0020402F">
        <w:rPr>
          <w:rFonts w:ascii="Palatino Linotype" w:eastAsia="Palatino Linotype" w:hAnsi="Palatino Linotype" w:cs="Palatino Linotype"/>
        </w:rPr>
        <w:t xml:space="preserve">. Fomentar mecanismos para garantizar el derecho humano a la movilidad eficiente y segura, así como para garantizar que todas las personas en ejercicio de dicho derecho se obliguen a respetar y preservar las condiciones de la infraestructura para la movilidad; </w:t>
      </w:r>
    </w:p>
    <w:p w14:paraId="09E5C344"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III.</w:t>
      </w:r>
      <w:r w:rsidRPr="0020402F">
        <w:rPr>
          <w:rFonts w:ascii="Palatino Linotype" w:eastAsia="Palatino Linotype" w:hAnsi="Palatino Linotype" w:cs="Palatino Linotype"/>
        </w:rPr>
        <w:t xml:space="preserve"> Emitir la evaluación técnica de impacto en materia vial, tratándose de los casos previstos en el artículo 5.35 del Código Administrativo del Estado de México y demás disposiciones jurídicas aplicables; </w:t>
      </w:r>
    </w:p>
    <w:p w14:paraId="4E80C8AA"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lastRenderedPageBreak/>
        <w:t xml:space="preserve">IV. Expedir normas técnicas a que debe sujetarse el establecimiento y operación de la infraestructura vial primaria y las comunicaciones de jurisdicción local; </w:t>
      </w:r>
    </w:p>
    <w:p w14:paraId="3D9F0E1B"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 xml:space="preserve">V. Vigilar el cumplimiento de las disposiciones legales en materia de infraestructura vial primaria, de comunicaciones de jurisdicción local y de transporte público con la intervención que corresponda a otras autoridades; </w:t>
      </w:r>
    </w:p>
    <w:p w14:paraId="19ECEE50"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VI.</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Operar, construir, explotar, conservar, rehabilitar y dar mantenimiento a la infraestructura vial primaria y a las comunicaciones de jurisdicción local, que comprende los sistemas de transporte masivo o de alta capacidad de su competencia, directamente o a través de particulares, mediante el otorgamiento de concesiones y contratos;</w:t>
      </w:r>
      <w:r w:rsidRPr="0020402F">
        <w:rPr>
          <w:rFonts w:ascii="Palatino Linotype" w:eastAsia="Palatino Linotype" w:hAnsi="Palatino Linotype" w:cs="Palatino Linotype"/>
        </w:rPr>
        <w:t xml:space="preserve"> </w:t>
      </w:r>
    </w:p>
    <w:p w14:paraId="317F37FF"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VII.</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Ejecutar acciones técnicas de seguimiento, evaluación y control de avance, calidad y demás características de las obras a que se refiere la fracción anterior, o de la prestación de los servicios en materia de transporte, sin perjuicio de la intervención que en tales materias corresponda a otras autoridades; </w:t>
      </w:r>
    </w:p>
    <w:p w14:paraId="78940FAB"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VIII</w:t>
      </w:r>
      <w:r w:rsidRPr="0020402F">
        <w:rPr>
          <w:rFonts w:ascii="Palatino Linotype" w:eastAsia="Palatino Linotype" w:hAnsi="Palatino Linotype" w:cs="Palatino Linotype"/>
        </w:rPr>
        <w:t>.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632A11C0"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IX</w:t>
      </w:r>
      <w:r w:rsidRPr="0020402F">
        <w:rPr>
          <w:rFonts w:ascii="Palatino Linotype" w:eastAsia="Palatino Linotype" w:hAnsi="Palatino Linotype" w:cs="Palatino Linotype"/>
        </w:rPr>
        <w:t xml:space="preserve">. Determinar el área geográfica de operación de los Servicios Auxiliares de Arrastre, Salvamento, Guarda, Custodia y Depósito de Vehículos. En las zonas de operación en que presten sus servicios más de un Permisionario o Concesionario de los Servicios Auxiliares de Arrastre, Salvamento, Guarda, Custodia y Depósito de Vehículos, respectivamente, la Secretaría, a través de la Subsecretaría y sus Direcciones Generales de Movilidad de Zona, deberá establecer los roles de </w:t>
      </w:r>
      <w:r w:rsidRPr="0020402F">
        <w:rPr>
          <w:rFonts w:ascii="Palatino Linotype" w:eastAsia="Palatino Linotype" w:hAnsi="Palatino Linotype" w:cs="Palatino Linotype"/>
        </w:rPr>
        <w:lastRenderedPageBreak/>
        <w:t xml:space="preserve">servicio, su vigilancia y operatividad, a fin de coordinar de manera armónica la prestación de dichos servicios. Dichos roles de servicio se harán de conocimiento de la Secretaría de Seguridad. </w:t>
      </w:r>
    </w:p>
    <w:p w14:paraId="5FF7CBB0"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w:t>
      </w:r>
      <w:r w:rsidRPr="0020402F">
        <w:rPr>
          <w:rFonts w:ascii="Palatino Linotype" w:eastAsia="Palatino Linotype" w:hAnsi="Palatino Linotype" w:cs="Palatino Linotype"/>
        </w:rPr>
        <w:t xml:space="preserve"> Administrar las vías de cuota a cargo del Estado de México;</w:t>
      </w:r>
    </w:p>
    <w:p w14:paraId="404E1014"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XI.</w:t>
      </w:r>
      <w:r w:rsidRPr="0020402F">
        <w:rPr>
          <w:rFonts w:ascii="Palatino Linotype" w:eastAsia="Palatino Linotype" w:hAnsi="Palatino Linotype" w:cs="Palatino Linotype"/>
        </w:rPr>
        <w:t xml:space="preserve"> Establecer disposiciones de carácter general para el uso de la infraestructura vial primaria y de las comunicaciones de jurisdicción local; </w:t>
      </w:r>
    </w:p>
    <w:p w14:paraId="0DCBB3BF"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XII</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Realizar por sí o a través de particulares la construcción, ampliación, mantenimiento, administración y operación de paradores para facilitar el uso de la infraestructura vial primaria por los servicios de carga; </w:t>
      </w:r>
    </w:p>
    <w:p w14:paraId="5ABB701D"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XIII</w:t>
      </w:r>
      <w:r w:rsidRPr="0020402F">
        <w:rPr>
          <w:rFonts w:ascii="Palatino Linotype" w:eastAsia="Palatino Linotype" w:hAnsi="Palatino Linotype" w:cs="Palatino Linotype"/>
        </w:rPr>
        <w:t xml:space="preserve">. Sancionar el incumplimiento de obligaciones por parte de los titulares de concesiones, permisos o autorizaciones en materia de transporte público, infraestructura vial primaria, paradores y de comunicaciones de jurisdicción local; </w:t>
      </w:r>
    </w:p>
    <w:p w14:paraId="63C8FE8C"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XIV.</w:t>
      </w:r>
      <w:r w:rsidRPr="0020402F">
        <w:rPr>
          <w:rFonts w:ascii="Palatino Linotype" w:eastAsia="Palatino Linotype" w:hAnsi="Palatino Linotype" w:cs="Palatino Linotype"/>
        </w:rPr>
        <w:t xml:space="preserve"> Realizar las tareas relativas a la ingeniería del transporte y a la ingeniería vial y señalamiento de la infraestructura vial primaria, coordinándose con las autoridades municipales respecto de la integración de la infraestructura vial local con la infraestructura vial primaria; </w:t>
      </w:r>
    </w:p>
    <w:p w14:paraId="30DA1DEC"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XV.</w:t>
      </w:r>
      <w:r w:rsidRPr="0020402F">
        <w:rPr>
          <w:rFonts w:ascii="Palatino Linotype" w:eastAsia="Palatino Linotype" w:hAnsi="Palatino Linotype" w:cs="Palatino Linotype"/>
        </w:rPr>
        <w:t xml:space="preserve"> Planear, supervisar, controlar y evaluar las funciones de la Junta de Caminos del Estado de México, del Sistema de Transporte Masivo del Estado de México y del Sistema de Autopistas, Aeropuertos, Servicios Conexos y Auxiliares del Estado de México; </w:t>
      </w:r>
    </w:p>
    <w:p w14:paraId="3ABAB124"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XVI.</w:t>
      </w:r>
      <w:r w:rsidRPr="0020402F">
        <w:rPr>
          <w:rFonts w:ascii="Palatino Linotype" w:eastAsia="Palatino Linotype" w:hAnsi="Palatino Linotype" w:cs="Palatino Linotype"/>
        </w:rPr>
        <w:t xml:space="preserve"> Expedir las bases a que deben sujetarse los concursos públicos para el otorgamiento de concesiones en materia de infraestructura vial primaria y de comunicaciones de jurisdicción local, adjudicarlas, vigilar su ejecución y cumplimiento;</w:t>
      </w:r>
      <w:r w:rsidRPr="0020402F">
        <w:rPr>
          <w:rFonts w:ascii="Palatino Linotype" w:eastAsia="Palatino Linotype" w:hAnsi="Palatino Linotype" w:cs="Palatino Linotype"/>
          <w:b/>
        </w:rPr>
        <w:t xml:space="preserve"> </w:t>
      </w:r>
    </w:p>
    <w:p w14:paraId="272A73B8"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XVII</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Participar con el gobierno federal en la construcción, conservación y administración de aeródromos civiles en territorio estatal</w:t>
      </w:r>
      <w:r w:rsidRPr="0020402F">
        <w:rPr>
          <w:rFonts w:ascii="Palatino Linotype" w:eastAsia="Palatino Linotype" w:hAnsi="Palatino Linotype" w:cs="Palatino Linotype"/>
        </w:rPr>
        <w:t xml:space="preserve">; </w:t>
      </w:r>
    </w:p>
    <w:p w14:paraId="22A611D1"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lastRenderedPageBreak/>
        <w:t>XVIII.</w:t>
      </w:r>
      <w:r w:rsidRPr="0020402F">
        <w:rPr>
          <w:rFonts w:ascii="Palatino Linotype" w:eastAsia="Palatino Linotype" w:hAnsi="Palatino Linotype" w:cs="Palatino Linotype"/>
        </w:rPr>
        <w:t xml:space="preserve"> Promover y organizar la capacitación, investigación y el desarrollo tecnológico en materia de transporte, infraestructura vial y de comunicaciones de jurisdicción local, así como fomentar programas y campañas para promover la educación vial y la cultura de movilidad con el objeto de reducir índices de accidentes, fomentar el trato respetuoso, la sensibilización de la inclusión e igualdad para toda la población, así como combatir el acoso y erradicar la violencia de género en todas sus modalidades, con atención especial a niñas, niños, adultos mayores, personas con discapacidad, mujeres y demás grupos vulnerables; </w:t>
      </w:r>
    </w:p>
    <w:p w14:paraId="58064CB3"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XIX</w:t>
      </w:r>
      <w:r w:rsidRPr="0020402F">
        <w:rPr>
          <w:rFonts w:ascii="Palatino Linotype" w:eastAsia="Palatino Linotype" w:hAnsi="Palatino Linotype" w:cs="Palatino Linotype"/>
        </w:rPr>
        <w:t>. Normar, organizar, integrar, operar y actualizar el Registro Público Estatal de Movilidad y el Registro Estatal de Comunicaciones;</w:t>
      </w:r>
    </w:p>
    <w:p w14:paraId="04B95DB3"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w:t>
      </w:r>
      <w:r w:rsidRPr="0020402F">
        <w:rPr>
          <w:rFonts w:ascii="Palatino Linotype" w:eastAsia="Palatino Linotype" w:hAnsi="Palatino Linotype" w:cs="Palatino Linotype"/>
        </w:rPr>
        <w:t xml:space="preserve"> Participar con los gobiernos federal, y de otras entidades federativas, en su caso en la construcción, operación, explotación y mantenimiento de los sistemas de transporte masivo o de alta capacidad, así como gestionar las concesiones, autorizaciones o permisos que sean necesarios para la utilización de los derechos de vía federales, conforme a la normatividad aplicable; </w:t>
      </w:r>
    </w:p>
    <w:p w14:paraId="564C5A5E"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XXI.</w:t>
      </w:r>
      <w:r w:rsidRPr="0020402F">
        <w:rPr>
          <w:rFonts w:ascii="Palatino Linotype" w:eastAsia="Palatino Linotype" w:hAnsi="Palatino Linotype" w:cs="Palatino Linotype"/>
        </w:rPr>
        <w:t xml:space="preserve"> 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 </w:t>
      </w:r>
    </w:p>
    <w:p w14:paraId="4A33A6C8"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XXII</w:t>
      </w:r>
      <w:r w:rsidRPr="0020402F">
        <w:rPr>
          <w:rFonts w:ascii="Palatino Linotype" w:eastAsia="Palatino Linotype" w:hAnsi="Palatino Linotype" w:cs="Palatino Linotype"/>
        </w:rPr>
        <w:t>. Resolver respecto del uso de la infraestructura vial primaria por los servicios de transporte público y de la construcción de bahías de ascenso y descenso de pasaje, así como determinar el uso restringido de la infraestructura vial;</w:t>
      </w:r>
    </w:p>
    <w:p w14:paraId="3A92304E"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XXIII.</w:t>
      </w:r>
      <w:r w:rsidRPr="0020402F">
        <w:rPr>
          <w:rFonts w:ascii="Palatino Linotype" w:eastAsia="Palatino Linotype" w:hAnsi="Palatino Linotype" w:cs="Palatino Linotype"/>
        </w:rPr>
        <w:t xml:space="preserve">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w:t>
      </w:r>
      <w:r w:rsidRPr="0020402F">
        <w:rPr>
          <w:rFonts w:ascii="Palatino Linotype" w:eastAsia="Palatino Linotype" w:hAnsi="Palatino Linotype" w:cs="Palatino Linotype"/>
        </w:rPr>
        <w:lastRenderedPageBreak/>
        <w:t xml:space="preserve">concesión. Los estudios referidos, podrán ser realizados por instituciones públicas o privadas en término de las disposiciones jurídicas aplicables. </w:t>
      </w:r>
    </w:p>
    <w:p w14:paraId="1553FE86"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XXIV.</w:t>
      </w:r>
      <w:r w:rsidRPr="0020402F">
        <w:rPr>
          <w:rFonts w:ascii="Palatino Linotype" w:eastAsia="Palatino Linotype" w:hAnsi="Palatino Linotype" w:cs="Palatino Linotype"/>
        </w:rPr>
        <w:t xml:space="preserve"> Emitir los lineamientos generales para la emisión de la Evaluación Técnica de Impacto en materia Vial; </w:t>
      </w:r>
    </w:p>
    <w:p w14:paraId="52581A85"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XXV</w:t>
      </w:r>
      <w:r w:rsidRPr="0020402F">
        <w:rPr>
          <w:rFonts w:ascii="Palatino Linotype" w:eastAsia="Palatino Linotype" w:hAnsi="Palatino Linotype" w:cs="Palatino Linotype"/>
        </w:rPr>
        <w:t>. Otorgar a particulares, permisos para el uso y el aprovechamiento de espacios públicos ubicados en el derecho de vía de la infraestructura vial primaria, para su rehabilitación, mantenimiento y operación, con la finalidad de fomentar el desarrollo de áreas de convivencia o interés social;</w:t>
      </w:r>
    </w:p>
    <w:p w14:paraId="18FE30DE"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XXVI.</w:t>
      </w:r>
      <w:r w:rsidRPr="0020402F">
        <w:rPr>
          <w:rFonts w:ascii="Palatino Linotype" w:eastAsia="Palatino Linotype" w:hAnsi="Palatino Linotype" w:cs="Palatino Linotype"/>
        </w:rPr>
        <w:t xml:space="preserve"> Emitir los lineamientos generales para el otorgamiento de los permisos para espacios públicos en las vías primarias de comunicación; </w:t>
      </w:r>
    </w:p>
    <w:p w14:paraId="6AA5723D"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XXVII</w:t>
      </w:r>
      <w:r w:rsidRPr="0020402F">
        <w:rPr>
          <w:rFonts w:ascii="Palatino Linotype" w:eastAsia="Palatino Linotype" w:hAnsi="Palatino Linotype" w:cs="Palatino Linotype"/>
        </w:rPr>
        <w:t xml:space="preserve">.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 </w:t>
      </w:r>
    </w:p>
    <w:p w14:paraId="681C73D6"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XXVIII</w:t>
      </w:r>
      <w:r w:rsidRPr="0020402F">
        <w:rPr>
          <w:rFonts w:ascii="Palatino Linotype" w:eastAsia="Palatino Linotype" w:hAnsi="Palatino Linotype" w:cs="Palatino Linotype"/>
        </w:rPr>
        <w:t xml:space="preserve">. Implementar medidas y acciones para el debido cumplimiento de las obligaciones por parte de los titulares de concesiones, permisos o autorizaciones en materia de transporte público; </w:t>
      </w:r>
    </w:p>
    <w:p w14:paraId="2694C53D"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XXIX. </w:t>
      </w:r>
      <w:r w:rsidRPr="0020402F">
        <w:rPr>
          <w:rFonts w:ascii="Palatino Linotype" w:eastAsia="Palatino Linotype" w:hAnsi="Palatino Linotype" w:cs="Palatino Linotype"/>
        </w:rPr>
        <w:t xml:space="preserve">Autorizar y modificar en todo tiempo rutas, itinerarios, horarios, frecuencias, así como bases, paraderos y terminales del servicio público de transporte y señalar la forma de identificación de los vehículos afectos al servicio público de transporte; </w:t>
      </w:r>
    </w:p>
    <w:p w14:paraId="345F8F9A"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w:t>
      </w:r>
      <w:r w:rsidRPr="0020402F">
        <w:rPr>
          <w:rFonts w:ascii="Palatino Linotype" w:eastAsia="Palatino Linotype" w:hAnsi="Palatino Linotype" w:cs="Palatino Linotype"/>
        </w:rPr>
        <w:t xml:space="preserve">.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 </w:t>
      </w:r>
    </w:p>
    <w:p w14:paraId="5114C3A3"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lastRenderedPageBreak/>
        <w:t>XXXI.</w:t>
      </w:r>
      <w:r w:rsidRPr="0020402F">
        <w:rPr>
          <w:rFonts w:ascii="Palatino Linotype" w:eastAsia="Palatino Linotype" w:hAnsi="Palatino Linotype" w:cs="Palatino Linotype"/>
        </w:rPr>
        <w:t xml:space="preserve"> Aplicar las medidas de seguridad en términos de la legislación vigente; </w:t>
      </w:r>
    </w:p>
    <w:p w14:paraId="24A22300"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XXXII</w:t>
      </w:r>
      <w:r w:rsidRPr="0020402F">
        <w:rPr>
          <w:rFonts w:ascii="Palatino Linotype" w:eastAsia="Palatino Linotype" w:hAnsi="Palatino Linotype" w:cs="Palatino Linotype"/>
        </w:rPr>
        <w:t xml:space="preserve">. Expedir las placas de matriculación, calcomanías, tarjetas de circulación y demás elementos de identificación de los vehículos automotores destinados al transporte público y para prestar un servicio a la población por parte de organismos y dependencias federales, estatales o municipales, que no sean competencia de otras autoridades; </w:t>
      </w:r>
    </w:p>
    <w:p w14:paraId="7B258838"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XXXIII.</w:t>
      </w:r>
      <w:r w:rsidRPr="0020402F">
        <w:rPr>
          <w:rFonts w:ascii="Palatino Linotype" w:eastAsia="Palatino Linotype" w:hAnsi="Palatino Linotype" w:cs="Palatino Linotype"/>
        </w:rPr>
        <w:t xml:space="preserve"> Otorgar las licencias, permisos y autorizaciones que le correspondan para conducir vehículos automotores destinados al transporte en sus diversas clases y modalidades; </w:t>
      </w:r>
    </w:p>
    <w:p w14:paraId="69E7C8A6"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XXXIV. </w:t>
      </w:r>
      <w:r w:rsidRPr="0020402F">
        <w:rPr>
          <w:rFonts w:ascii="Palatino Linotype" w:eastAsia="Palatino Linotype" w:hAnsi="Palatino Linotype" w:cs="Palatino Linotype"/>
        </w:rPr>
        <w:t>Aprobar la implementación y operación del servicio de pago tarifario anticipado para el acceso de la población al servicio público de transporte de pasajeros en las modalidades de colectivo, individual y mixto, y fijar los requisitos mediante disposiciones de carácter general para su aprobación; así como modificar, revocar, rescatar, sustituir o dar por terminadas las mismas;</w:t>
      </w:r>
    </w:p>
    <w:p w14:paraId="7C096F54"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XXXV.</w:t>
      </w:r>
      <w:r w:rsidRPr="0020402F">
        <w:rPr>
          <w:rFonts w:ascii="Palatino Linotype" w:eastAsia="Palatino Linotype" w:hAnsi="Palatino Linotype" w:cs="Palatino Linotype"/>
        </w:rPr>
        <w:t xml:space="preserve"> Aprobar la implementación y operación de los Centros de Gestión y Control Común a través de los cuales se operen redes integradas de transporte, con las que se eficiente el servicio público de pasajeros en las modalidades de colectivo, individual y mixto, y fijar los requisitos mediante disposiciones de carácter general para su aprobación; así como modificar, revocar, rescatar, sustituir o dar por terminadas las mismas; </w:t>
      </w:r>
    </w:p>
    <w:p w14:paraId="1100E05B"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XXXVI</w:t>
      </w:r>
      <w:r w:rsidRPr="0020402F">
        <w:rPr>
          <w:rFonts w:ascii="Palatino Linotype" w:eastAsia="Palatino Linotype" w:hAnsi="Palatino Linotype" w:cs="Palatino Linotype"/>
        </w:rPr>
        <w:t xml:space="preserve">. Definir la operación de las rutas alimentadoras para el transporte de alta capacidad; y </w:t>
      </w:r>
    </w:p>
    <w:p w14:paraId="69ABB9D4"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XXXVII</w:t>
      </w:r>
      <w:r w:rsidRPr="0020402F">
        <w:rPr>
          <w:rFonts w:ascii="Palatino Linotype" w:eastAsia="Palatino Linotype" w:hAnsi="Palatino Linotype" w:cs="Palatino Linotype"/>
        </w:rPr>
        <w:t>. Emitir, en coordinación con las autoridades competentes, protocolos de actuación para prevenir los distintos tipos de violencia contra las mujeres, niñas y adolescentes en el servicio público de transporte.</w:t>
      </w:r>
    </w:p>
    <w:p w14:paraId="7C04F1BF"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XXXVIII.</w:t>
      </w:r>
      <w:r w:rsidRPr="0020402F">
        <w:rPr>
          <w:rFonts w:ascii="Palatino Linotype" w:eastAsia="Palatino Linotype" w:hAnsi="Palatino Linotype" w:cs="Palatino Linotype"/>
        </w:rPr>
        <w:t xml:space="preserve"> Implementar acciones, políticas, programas de capacitación, protocolos y proyectos para fomentar una movilidad segura y con perspectiva género. </w:t>
      </w:r>
    </w:p>
    <w:p w14:paraId="64BB36A1"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lastRenderedPageBreak/>
        <w:t>XXXIX</w:t>
      </w:r>
      <w:r w:rsidRPr="0020402F">
        <w:rPr>
          <w:rFonts w:ascii="Palatino Linotype" w:eastAsia="Palatino Linotype" w:hAnsi="Palatino Linotype" w:cs="Palatino Linotype"/>
        </w:rPr>
        <w:t xml:space="preserve">. Derogada </w:t>
      </w:r>
    </w:p>
    <w:p w14:paraId="7D2B9D45"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 xml:space="preserve">XL. </w:t>
      </w:r>
      <w:r w:rsidRPr="0020402F">
        <w:rPr>
          <w:rFonts w:ascii="Palatino Linotype" w:eastAsia="Palatino Linotype" w:hAnsi="Palatino Linotype" w:cs="Palatino Linotype"/>
        </w:rPr>
        <w:t>Derogada</w:t>
      </w:r>
      <w:r w:rsidRPr="0020402F">
        <w:rPr>
          <w:rFonts w:ascii="Palatino Linotype" w:eastAsia="Palatino Linotype" w:hAnsi="Palatino Linotype" w:cs="Palatino Linotype"/>
          <w:b/>
        </w:rPr>
        <w:t xml:space="preserve"> </w:t>
      </w:r>
    </w:p>
    <w:p w14:paraId="0D3D57A8" w14:textId="77777777" w:rsidR="00CE08AC" w:rsidRPr="0020402F" w:rsidRDefault="00040DB7">
      <w:pPr>
        <w:spacing w:before="240" w:after="24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XLI.</w:t>
      </w:r>
      <w:r w:rsidRPr="0020402F">
        <w:rPr>
          <w:rFonts w:ascii="Palatino Linotype" w:eastAsia="Palatino Linotype" w:hAnsi="Palatino Linotype" w:cs="Palatino Linotype"/>
        </w:rPr>
        <w:t xml:space="preserve"> Derogada </w:t>
      </w:r>
    </w:p>
    <w:p w14:paraId="0558779D" w14:textId="77777777" w:rsidR="00CE08AC" w:rsidRPr="0020402F" w:rsidRDefault="00040DB7">
      <w:pPr>
        <w:spacing w:before="240" w:after="24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XLII. Las demás que le señalen otras leyes, reglamentos y disposiciones jurídicas aplicables.</w:t>
      </w:r>
    </w:p>
    <w:p w14:paraId="2DF182A0"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Para el cumplimiento de dichas atribuciones, conforme a lo establecido en el artículo 3 del Reglamento Interior de la Secretaría de Movilidad, el Titular de la Secretaría de auxilia de las siguientes unidades administrativas.</w:t>
      </w:r>
    </w:p>
    <w:p w14:paraId="252CFDA2" w14:textId="77777777" w:rsidR="00CE08AC" w:rsidRPr="0020402F" w:rsidRDefault="00040DB7">
      <w:pPr>
        <w:spacing w:before="120" w:after="12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w:t>
      </w:r>
      <w:r w:rsidRPr="0020402F">
        <w:rPr>
          <w:rFonts w:ascii="Palatino Linotype" w:eastAsia="Palatino Linotype" w:hAnsi="Palatino Linotype" w:cs="Palatino Linotype"/>
        </w:rPr>
        <w:t xml:space="preserve"> Subsecretaría de Movilidad: </w:t>
      </w:r>
    </w:p>
    <w:p w14:paraId="4A0AEA98" w14:textId="77777777" w:rsidR="00CE08AC" w:rsidRPr="0020402F" w:rsidRDefault="00040DB7">
      <w:pPr>
        <w:spacing w:before="120" w:after="120" w:line="276" w:lineRule="auto"/>
        <w:ind w:left="567"/>
        <w:jc w:val="both"/>
        <w:rPr>
          <w:rFonts w:ascii="Palatino Linotype" w:eastAsia="Palatino Linotype" w:hAnsi="Palatino Linotype" w:cs="Palatino Linotype"/>
          <w:b/>
        </w:rPr>
      </w:pPr>
      <w:r w:rsidRPr="0020402F">
        <w:rPr>
          <w:rFonts w:ascii="Palatino Linotype" w:eastAsia="Palatino Linotype" w:hAnsi="Palatino Linotype" w:cs="Palatino Linotype"/>
          <w:b/>
        </w:rPr>
        <w:t>...</w:t>
      </w:r>
    </w:p>
    <w:p w14:paraId="1FD6B2A5" w14:textId="77777777" w:rsidR="00CE08AC" w:rsidRPr="0020402F" w:rsidRDefault="00040DB7">
      <w:pPr>
        <w:spacing w:before="120" w:after="12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II.</w:t>
      </w:r>
      <w:r w:rsidRPr="0020402F">
        <w:rPr>
          <w:rFonts w:ascii="Palatino Linotype" w:eastAsia="Palatino Linotype" w:hAnsi="Palatino Linotype" w:cs="Palatino Linotype"/>
        </w:rPr>
        <w:t xml:space="preserve"> Dirección General de Vialidad; </w:t>
      </w:r>
    </w:p>
    <w:p w14:paraId="0A902D3A" w14:textId="77777777" w:rsidR="00CE08AC" w:rsidRPr="0020402F" w:rsidRDefault="00040DB7">
      <w:pPr>
        <w:spacing w:before="120" w:after="12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III</w:t>
      </w:r>
      <w:r w:rsidRPr="0020402F">
        <w:rPr>
          <w:rFonts w:ascii="Palatino Linotype" w:eastAsia="Palatino Linotype" w:hAnsi="Palatino Linotype" w:cs="Palatino Linotype"/>
        </w:rPr>
        <w:t>. Dirección General de Asuntos Jurídicos e Igualdad de Género:</w:t>
      </w:r>
    </w:p>
    <w:p w14:paraId="5823AFE8" w14:textId="77777777" w:rsidR="00CE08AC" w:rsidRPr="0020402F" w:rsidRDefault="00040DB7">
      <w:pPr>
        <w:spacing w:before="120" w:after="120" w:line="276" w:lineRule="auto"/>
        <w:ind w:left="567"/>
        <w:jc w:val="both"/>
        <w:rPr>
          <w:rFonts w:ascii="Palatino Linotype" w:eastAsia="Palatino Linotype" w:hAnsi="Palatino Linotype" w:cs="Palatino Linotype"/>
          <w:b/>
        </w:rPr>
      </w:pPr>
      <w:r w:rsidRPr="0020402F">
        <w:rPr>
          <w:rFonts w:ascii="Palatino Linotype" w:eastAsia="Palatino Linotype" w:hAnsi="Palatino Linotype" w:cs="Palatino Linotype"/>
          <w:b/>
        </w:rPr>
        <w:t>...</w:t>
      </w:r>
    </w:p>
    <w:p w14:paraId="6C204D11" w14:textId="77777777" w:rsidR="00CE08AC" w:rsidRPr="0020402F" w:rsidRDefault="00040DB7">
      <w:pPr>
        <w:spacing w:before="120" w:after="12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IV.</w:t>
      </w:r>
      <w:r w:rsidRPr="0020402F">
        <w:rPr>
          <w:rFonts w:ascii="Palatino Linotype" w:eastAsia="Palatino Linotype" w:hAnsi="Palatino Linotype" w:cs="Palatino Linotype"/>
        </w:rPr>
        <w:t xml:space="preserve"> Dirección General del Registro Estatal de Transporte Público: </w:t>
      </w:r>
    </w:p>
    <w:p w14:paraId="2E3973B2" w14:textId="77777777" w:rsidR="00CE08AC" w:rsidRPr="0020402F" w:rsidRDefault="00040DB7">
      <w:pPr>
        <w:spacing w:before="120" w:after="120" w:line="276" w:lineRule="auto"/>
        <w:ind w:left="567"/>
        <w:jc w:val="both"/>
        <w:rPr>
          <w:rFonts w:ascii="Palatino Linotype" w:eastAsia="Palatino Linotype" w:hAnsi="Palatino Linotype" w:cs="Palatino Linotype"/>
          <w:b/>
        </w:rPr>
      </w:pPr>
      <w:r w:rsidRPr="0020402F">
        <w:rPr>
          <w:rFonts w:ascii="Palatino Linotype" w:eastAsia="Palatino Linotype" w:hAnsi="Palatino Linotype" w:cs="Palatino Linotype"/>
          <w:b/>
        </w:rPr>
        <w:t>...</w:t>
      </w:r>
    </w:p>
    <w:p w14:paraId="6D184A81" w14:textId="77777777" w:rsidR="00CE08AC" w:rsidRPr="0020402F" w:rsidRDefault="00040DB7">
      <w:pPr>
        <w:spacing w:before="120" w:after="12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V.</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Coordinación Administrativa y de Gestión Documental; </w:t>
      </w:r>
    </w:p>
    <w:p w14:paraId="57EF24B5" w14:textId="77777777" w:rsidR="00CE08AC" w:rsidRPr="0020402F" w:rsidRDefault="00040DB7">
      <w:pPr>
        <w:spacing w:before="120" w:after="120" w:line="276" w:lineRule="auto"/>
        <w:ind w:left="284"/>
        <w:jc w:val="both"/>
        <w:rPr>
          <w:rFonts w:ascii="Palatino Linotype" w:eastAsia="Palatino Linotype" w:hAnsi="Palatino Linotype" w:cs="Palatino Linotype"/>
        </w:rPr>
      </w:pPr>
      <w:r w:rsidRPr="0020402F">
        <w:rPr>
          <w:rFonts w:ascii="Palatino Linotype" w:eastAsia="Palatino Linotype" w:hAnsi="Palatino Linotype" w:cs="Palatino Linotype"/>
          <w:b/>
        </w:rPr>
        <w:t>VI.</w:t>
      </w:r>
      <w:r w:rsidRPr="0020402F">
        <w:rPr>
          <w:rFonts w:ascii="Palatino Linotype" w:eastAsia="Palatino Linotype" w:hAnsi="Palatino Linotype" w:cs="Palatino Linotype"/>
        </w:rPr>
        <w:t xml:space="preserve"> Coordinación de Estudios y Proyectos Estratégicos: </w:t>
      </w:r>
    </w:p>
    <w:p w14:paraId="0C6018B0" w14:textId="77777777" w:rsidR="00CE08AC" w:rsidRPr="0020402F" w:rsidRDefault="00040DB7">
      <w:pPr>
        <w:spacing w:before="120" w:after="120" w:line="276" w:lineRule="auto"/>
        <w:ind w:left="567"/>
        <w:jc w:val="both"/>
        <w:rPr>
          <w:rFonts w:ascii="Palatino Linotype" w:eastAsia="Palatino Linotype" w:hAnsi="Palatino Linotype" w:cs="Palatino Linotype"/>
          <w:b/>
        </w:rPr>
      </w:pPr>
      <w:r w:rsidRPr="0020402F">
        <w:rPr>
          <w:rFonts w:ascii="Palatino Linotype" w:eastAsia="Palatino Linotype" w:hAnsi="Palatino Linotype" w:cs="Palatino Linotype"/>
          <w:b/>
        </w:rPr>
        <w:t>...</w:t>
      </w:r>
    </w:p>
    <w:p w14:paraId="5D9FBEC0" w14:textId="77777777" w:rsidR="00CE08AC" w:rsidRPr="0020402F" w:rsidRDefault="00040DB7">
      <w:pPr>
        <w:spacing w:before="120" w:after="120" w:line="276" w:lineRule="auto"/>
        <w:ind w:left="284"/>
        <w:jc w:val="both"/>
        <w:rPr>
          <w:rFonts w:ascii="Palatino Linotype" w:eastAsia="Palatino Linotype" w:hAnsi="Palatino Linotype" w:cs="Palatino Linotype"/>
          <w:b/>
        </w:rPr>
      </w:pPr>
      <w:r w:rsidRPr="0020402F">
        <w:rPr>
          <w:rFonts w:ascii="Palatino Linotype" w:eastAsia="Palatino Linotype" w:hAnsi="Palatino Linotype" w:cs="Palatino Linotype"/>
          <w:b/>
        </w:rPr>
        <w:t>VII</w:t>
      </w:r>
      <w:r w:rsidRPr="0020402F">
        <w:rPr>
          <w:rFonts w:ascii="Palatino Linotype" w:eastAsia="Palatino Linotype" w:hAnsi="Palatino Linotype" w:cs="Palatino Linotype"/>
        </w:rPr>
        <w:t>. Coordinación de Informática.</w:t>
      </w:r>
    </w:p>
    <w:p w14:paraId="5465A909"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Siendo importante para el tema que nos ocupa, hacer alusión a las facultades que en su parte conducente se le confieren a la </w:t>
      </w:r>
      <w:r w:rsidRPr="0020402F">
        <w:rPr>
          <w:rFonts w:ascii="Palatino Linotype" w:eastAsia="Palatino Linotype" w:hAnsi="Palatino Linotype" w:cs="Palatino Linotype"/>
          <w:b/>
        </w:rPr>
        <w:t xml:space="preserve">Coordinación Administrativa y de Gestión Documental, </w:t>
      </w:r>
      <w:r w:rsidRPr="0020402F">
        <w:rPr>
          <w:rFonts w:ascii="Palatino Linotype" w:eastAsia="Palatino Linotype" w:hAnsi="Palatino Linotype" w:cs="Palatino Linotype"/>
        </w:rPr>
        <w:t>de conformidad con el artículo 30 del Reglamento Interior, así como en el Manual General de Organización de la Secretaría de Movilidad, a saber:</w:t>
      </w:r>
    </w:p>
    <w:p w14:paraId="5B129D94"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w:t>
      </w:r>
      <w:r w:rsidRPr="0020402F">
        <w:rPr>
          <w:rFonts w:ascii="Palatino Linotype" w:eastAsia="Palatino Linotype" w:hAnsi="Palatino Linotype" w:cs="Palatino Linotype"/>
          <w:b/>
          <w:i/>
          <w:sz w:val="22"/>
          <w:szCs w:val="22"/>
        </w:rPr>
        <w:t>Artículo 30.</w:t>
      </w:r>
      <w:r w:rsidRPr="0020402F">
        <w:rPr>
          <w:rFonts w:ascii="Palatino Linotype" w:eastAsia="Palatino Linotype" w:hAnsi="Palatino Linotype" w:cs="Palatino Linotype"/>
          <w:i/>
          <w:sz w:val="22"/>
          <w:szCs w:val="22"/>
        </w:rPr>
        <w:t xml:space="preserve"> Corresponden a la </w:t>
      </w:r>
      <w:r w:rsidRPr="0020402F">
        <w:rPr>
          <w:rFonts w:ascii="Palatino Linotype" w:eastAsia="Palatino Linotype" w:hAnsi="Palatino Linotype" w:cs="Palatino Linotype"/>
          <w:b/>
          <w:i/>
          <w:sz w:val="22"/>
          <w:szCs w:val="22"/>
        </w:rPr>
        <w:t>Coordinación Administrativa y de Gestión Documental</w:t>
      </w:r>
      <w:r w:rsidRPr="0020402F">
        <w:rPr>
          <w:rFonts w:ascii="Palatino Linotype" w:eastAsia="Palatino Linotype" w:hAnsi="Palatino Linotype" w:cs="Palatino Linotype"/>
          <w:i/>
          <w:sz w:val="22"/>
          <w:szCs w:val="22"/>
        </w:rPr>
        <w:t xml:space="preserve"> las atribuciones siguientes:</w:t>
      </w:r>
    </w:p>
    <w:p w14:paraId="74341266"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Cumplir y hacer cumplir las políticas, normas, lineamientos, procedimientos y demás disposiciones en materia de administración de recursos humanos, materiales y financieros que emita la Secretaría de Finanzas;</w:t>
      </w:r>
    </w:p>
    <w:p w14:paraId="0CB2D8E1"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4436F319"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Coordinar con las unidades administrativas de la Secretaría, la formulación e integración de: </w:t>
      </w:r>
    </w:p>
    <w:p w14:paraId="0B18EB3D" w14:textId="77777777" w:rsidR="00CE08AC" w:rsidRPr="0020402F" w:rsidRDefault="00040DB7">
      <w:pPr>
        <w:spacing w:before="120" w:after="120"/>
        <w:ind w:left="1418" w:right="902" w:firstLine="14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w:t>
      </w:r>
      <w:r w:rsidRPr="0020402F">
        <w:rPr>
          <w:rFonts w:ascii="Palatino Linotype" w:eastAsia="Palatino Linotype" w:hAnsi="Palatino Linotype" w:cs="Palatino Linotype"/>
          <w:i/>
          <w:sz w:val="22"/>
          <w:szCs w:val="22"/>
        </w:rPr>
        <w:t xml:space="preserve"> Los programas anuales de adquisiciones; </w:t>
      </w:r>
    </w:p>
    <w:p w14:paraId="56053EE1" w14:textId="77777777" w:rsidR="00CE08AC" w:rsidRPr="0020402F" w:rsidRDefault="00040DB7">
      <w:pPr>
        <w:spacing w:before="120" w:after="120"/>
        <w:ind w:left="1418" w:right="902" w:firstLine="14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b.</w:t>
      </w:r>
      <w:r w:rsidRPr="0020402F">
        <w:rPr>
          <w:rFonts w:ascii="Palatino Linotype" w:eastAsia="Palatino Linotype" w:hAnsi="Palatino Linotype" w:cs="Palatino Linotype"/>
          <w:i/>
          <w:sz w:val="22"/>
          <w:szCs w:val="22"/>
        </w:rPr>
        <w:t xml:space="preserve"> El anteproyecto de presupuesto de ingresos, egresos y su calendarización; </w:t>
      </w:r>
    </w:p>
    <w:p w14:paraId="224A0EAA"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Supervisar y vigilar la calendarización de los recursos del presupuesto autorizado a la Secretaría; </w:t>
      </w:r>
    </w:p>
    <w:p w14:paraId="0E2149D5"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w:t>
      </w:r>
      <w:r w:rsidRPr="0020402F">
        <w:rPr>
          <w:rFonts w:ascii="Palatino Linotype" w:eastAsia="Palatino Linotype" w:hAnsi="Palatino Linotype" w:cs="Palatino Linotype"/>
          <w:i/>
          <w:sz w:val="22"/>
          <w:szCs w:val="22"/>
        </w:rPr>
        <w:t xml:space="preserve"> Coordinar y controlar la integración de la información financiera sobre el ejercicio del gasto, en coordinación con las unidades ejecutoras de la Secretaría e informar periódicamente a la persona titular de la Secretaría sobre el comportamiento del mismo;</w:t>
      </w:r>
    </w:p>
    <w:p w14:paraId="2E1A1B17"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3A8E095D"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XII.</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u w:val="single"/>
        </w:rPr>
        <w:t>Representar a la Secretaría, en su carácter de Vocal</w:t>
      </w:r>
      <w:r w:rsidRPr="0020402F">
        <w:rPr>
          <w:rFonts w:ascii="Palatino Linotype" w:eastAsia="Palatino Linotype" w:hAnsi="Palatino Linotype" w:cs="Palatino Linotype"/>
          <w:b/>
          <w:i/>
          <w:sz w:val="22"/>
          <w:szCs w:val="22"/>
        </w:rPr>
        <w:t xml:space="preserve">, </w:t>
      </w:r>
      <w:r w:rsidRPr="0020402F">
        <w:rPr>
          <w:rFonts w:ascii="Palatino Linotype" w:eastAsia="Palatino Linotype" w:hAnsi="Palatino Linotype" w:cs="Palatino Linotype"/>
          <w:b/>
          <w:i/>
          <w:sz w:val="22"/>
          <w:szCs w:val="22"/>
          <w:u w:val="single"/>
        </w:rPr>
        <w:t>ante el Comité de Adquisiciones y Servicios, y el Comité de Arrendamientos, Adquisiciones de Inmuebles y Enajenaciones, ambos de la Secretaría de Finanzas</w:t>
      </w:r>
      <w:r w:rsidRPr="0020402F">
        <w:rPr>
          <w:rFonts w:ascii="Palatino Linotype" w:eastAsia="Palatino Linotype" w:hAnsi="Palatino Linotype" w:cs="Palatino Linotype"/>
          <w:i/>
          <w:sz w:val="22"/>
          <w:szCs w:val="22"/>
        </w:rPr>
        <w:t>, de acuerdo con la normatividad aplicable;</w:t>
      </w:r>
    </w:p>
    <w:p w14:paraId="7609FD9D"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XIII.</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u w:val="single"/>
        </w:rPr>
        <w:t>Suscribir</w:t>
      </w:r>
      <w:r w:rsidRPr="0020402F">
        <w:rPr>
          <w:rFonts w:ascii="Palatino Linotype" w:eastAsia="Palatino Linotype" w:hAnsi="Palatino Linotype" w:cs="Palatino Linotype"/>
          <w:b/>
          <w:i/>
          <w:sz w:val="22"/>
          <w:szCs w:val="22"/>
        </w:rPr>
        <w:t xml:space="preserve"> conjuntamente con la persona titular de la unidad administrativa requirente, </w:t>
      </w:r>
      <w:r w:rsidRPr="0020402F">
        <w:rPr>
          <w:rFonts w:ascii="Palatino Linotype" w:eastAsia="Palatino Linotype" w:hAnsi="Palatino Linotype" w:cs="Palatino Linotype"/>
          <w:b/>
          <w:i/>
          <w:sz w:val="22"/>
          <w:szCs w:val="22"/>
          <w:u w:val="single"/>
        </w:rPr>
        <w:t>los contratos pedidos</w:t>
      </w:r>
      <w:r w:rsidRPr="0020402F">
        <w:rPr>
          <w:rFonts w:ascii="Palatino Linotype" w:eastAsia="Palatino Linotype" w:hAnsi="Palatino Linotype" w:cs="Palatino Linotype"/>
          <w:b/>
          <w:i/>
          <w:sz w:val="22"/>
          <w:szCs w:val="22"/>
        </w:rPr>
        <w:t xml:space="preserve"> derivados de procedimientos de adquisición de bienes y/o contratación de servicios</w:t>
      </w:r>
      <w:r w:rsidRPr="0020402F">
        <w:rPr>
          <w:rFonts w:ascii="Palatino Linotype" w:eastAsia="Palatino Linotype" w:hAnsi="Palatino Linotype" w:cs="Palatino Linotype"/>
          <w:i/>
          <w:sz w:val="22"/>
          <w:szCs w:val="22"/>
        </w:rPr>
        <w:t>, con base en la normatividad aplicable;</w:t>
      </w:r>
    </w:p>
    <w:p w14:paraId="78535F27"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31764365"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XVI</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 xml:space="preserve">Gestionar la </w:t>
      </w:r>
      <w:r w:rsidRPr="0020402F">
        <w:rPr>
          <w:rFonts w:ascii="Palatino Linotype" w:eastAsia="Palatino Linotype" w:hAnsi="Palatino Linotype" w:cs="Palatino Linotype"/>
          <w:b/>
          <w:i/>
          <w:sz w:val="22"/>
          <w:szCs w:val="22"/>
          <w:u w:val="single"/>
        </w:rPr>
        <w:t>substanciación de los procedimientos</w:t>
      </w:r>
      <w:r w:rsidRPr="0020402F">
        <w:rPr>
          <w:rFonts w:ascii="Palatino Linotype" w:eastAsia="Palatino Linotype" w:hAnsi="Palatino Linotype" w:cs="Palatino Linotype"/>
          <w:b/>
          <w:i/>
          <w:sz w:val="22"/>
          <w:szCs w:val="22"/>
        </w:rPr>
        <w:t xml:space="preserve"> de </w:t>
      </w:r>
      <w:r w:rsidRPr="0020402F">
        <w:rPr>
          <w:rFonts w:ascii="Palatino Linotype" w:eastAsia="Palatino Linotype" w:hAnsi="Palatino Linotype" w:cs="Palatino Linotype"/>
          <w:b/>
          <w:i/>
          <w:sz w:val="22"/>
          <w:szCs w:val="22"/>
          <w:u w:val="single"/>
        </w:rPr>
        <w:t>adquisición de bienes y servicios</w:t>
      </w:r>
      <w:r w:rsidRPr="0020402F">
        <w:rPr>
          <w:rFonts w:ascii="Palatino Linotype" w:eastAsia="Palatino Linotype" w:hAnsi="Palatino Linotype" w:cs="Palatino Linotype"/>
          <w:i/>
          <w:sz w:val="22"/>
          <w:szCs w:val="22"/>
        </w:rPr>
        <w:t xml:space="preserve">, a petición de las unidades administrativas de la Secretaría encargada de realizarlos; </w:t>
      </w:r>
      <w:r w:rsidRPr="0020402F">
        <w:rPr>
          <w:rFonts w:ascii="Palatino Linotype" w:eastAsia="Palatino Linotype" w:hAnsi="Palatino Linotype" w:cs="Palatino Linotype"/>
          <w:b/>
          <w:i/>
          <w:sz w:val="22"/>
          <w:szCs w:val="22"/>
          <w:u w:val="single"/>
        </w:rPr>
        <w:t>Así como ejecutar los actos de adquisición de bienes y servicios que le correspondan</w:t>
      </w:r>
      <w:r w:rsidRPr="0020402F">
        <w:rPr>
          <w:rFonts w:ascii="Palatino Linotype" w:eastAsia="Palatino Linotype" w:hAnsi="Palatino Linotype" w:cs="Palatino Linotype"/>
          <w:i/>
          <w:sz w:val="22"/>
          <w:szCs w:val="22"/>
        </w:rPr>
        <w:t xml:space="preserve"> en términos de la normativa correspondiente;”</w:t>
      </w:r>
    </w:p>
    <w:p w14:paraId="210446A5" w14:textId="77777777" w:rsidR="00CE08AC" w:rsidRPr="0020402F" w:rsidRDefault="00CE08AC">
      <w:pPr>
        <w:spacing w:before="120" w:after="120"/>
        <w:ind w:left="851" w:right="902"/>
        <w:jc w:val="both"/>
        <w:rPr>
          <w:rFonts w:ascii="Palatino Linotype" w:eastAsia="Palatino Linotype" w:hAnsi="Palatino Linotype" w:cs="Palatino Linotype"/>
          <w:i/>
          <w:sz w:val="22"/>
          <w:szCs w:val="22"/>
        </w:rPr>
      </w:pPr>
    </w:p>
    <w:p w14:paraId="3C16F053"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w:t>
      </w:r>
      <w:r w:rsidRPr="0020402F">
        <w:rPr>
          <w:rFonts w:ascii="Palatino Linotype" w:eastAsia="Palatino Linotype" w:hAnsi="Palatino Linotype" w:cs="Palatino Linotype"/>
          <w:b/>
          <w:i/>
          <w:sz w:val="22"/>
          <w:szCs w:val="22"/>
        </w:rPr>
        <w:t>22000002000000S COORDINACIÓN ADMINISTRATIVA</w:t>
      </w:r>
      <w:r w:rsidRPr="0020402F">
        <w:rPr>
          <w:rFonts w:ascii="Palatino Linotype" w:eastAsia="Palatino Linotype" w:hAnsi="Palatino Linotype" w:cs="Palatino Linotype"/>
          <w:i/>
          <w:sz w:val="22"/>
          <w:szCs w:val="22"/>
        </w:rPr>
        <w:t xml:space="preserve"> </w:t>
      </w:r>
    </w:p>
    <w:p w14:paraId="570E6576" w14:textId="77777777" w:rsidR="00CE08AC" w:rsidRPr="0020402F" w:rsidRDefault="00040DB7">
      <w:pPr>
        <w:spacing w:before="120" w:after="12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OBJETIVO: </w:t>
      </w:r>
    </w:p>
    <w:p w14:paraId="5E573A61" w14:textId="77777777" w:rsidR="00CE08AC" w:rsidRPr="0020402F" w:rsidRDefault="00040DB7">
      <w:pPr>
        <w:spacing w:before="120" w:after="12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i/>
          <w:sz w:val="22"/>
          <w:szCs w:val="22"/>
        </w:rPr>
        <w:t>Planear, coordinar y supervisar las actividades relacionadas con el manejo y aprovechamiento de los recursos humanos, materiales y financieros, así como con la prestación de los servicios generales requeridos por las unidades administrativas de la Secretaría de Movilidad para el desarrollo de sus funciones, conforme a las normas y disposiciones legales vigentes en la materia.</w:t>
      </w:r>
      <w:r w:rsidRPr="0020402F">
        <w:rPr>
          <w:rFonts w:ascii="Palatino Linotype" w:eastAsia="Palatino Linotype" w:hAnsi="Palatino Linotype" w:cs="Palatino Linotype"/>
          <w:i/>
          <w:sz w:val="22"/>
          <w:szCs w:val="22"/>
        </w:rPr>
        <w:br/>
      </w:r>
      <w:r w:rsidRPr="0020402F">
        <w:rPr>
          <w:rFonts w:ascii="Palatino Linotype" w:eastAsia="Palatino Linotype" w:hAnsi="Palatino Linotype" w:cs="Palatino Linotype"/>
          <w:b/>
          <w:i/>
          <w:sz w:val="22"/>
          <w:szCs w:val="22"/>
        </w:rPr>
        <w:t>FUNCIONES:</w:t>
      </w:r>
    </w:p>
    <w:p w14:paraId="53678543" w14:textId="77777777" w:rsidR="00CE08AC" w:rsidRPr="0020402F" w:rsidRDefault="00040DB7">
      <w:pPr>
        <w:numPr>
          <w:ilvl w:val="0"/>
          <w:numId w:val="1"/>
        </w:numPr>
        <w:pBdr>
          <w:top w:val="nil"/>
          <w:left w:val="nil"/>
          <w:bottom w:val="nil"/>
          <w:right w:val="nil"/>
          <w:between w:val="nil"/>
        </w:pBdr>
        <w:tabs>
          <w:tab w:val="left" w:pos="1134"/>
        </w:tabs>
        <w:spacing w:before="120" w:after="120"/>
        <w:ind w:left="851" w:right="902" w:firstLine="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Coordinar la integración del Programa Anual de Adquisiciones de la Secretaría. </w:t>
      </w:r>
    </w:p>
    <w:p w14:paraId="45703601" w14:textId="77777777" w:rsidR="00CE08AC" w:rsidRPr="0020402F" w:rsidRDefault="00040DB7">
      <w:pPr>
        <w:numPr>
          <w:ilvl w:val="0"/>
          <w:numId w:val="1"/>
        </w:numPr>
        <w:pBdr>
          <w:top w:val="nil"/>
          <w:left w:val="nil"/>
          <w:bottom w:val="nil"/>
          <w:right w:val="nil"/>
          <w:between w:val="nil"/>
        </w:pBdr>
        <w:tabs>
          <w:tab w:val="left" w:pos="1134"/>
        </w:tabs>
        <w:spacing w:before="120"/>
        <w:ind w:left="851" w:right="902" w:firstLine="0"/>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Participar en los Comités de Adquisiciones y Servicios y de Arrendamientos, Adquisiciones de Inmuebles y Enajenaciones que integre la Secretaría de Finanzas</w:t>
      </w:r>
      <w:r w:rsidRPr="0020402F">
        <w:rPr>
          <w:b/>
          <w:sz w:val="22"/>
          <w:szCs w:val="22"/>
        </w:rPr>
        <w:t>.</w:t>
      </w:r>
    </w:p>
    <w:p w14:paraId="7CD495F5" w14:textId="77777777" w:rsidR="00CE08AC" w:rsidRPr="0020402F" w:rsidRDefault="00040DB7">
      <w:pPr>
        <w:numPr>
          <w:ilvl w:val="0"/>
          <w:numId w:val="1"/>
        </w:numPr>
        <w:pBdr>
          <w:top w:val="nil"/>
          <w:left w:val="nil"/>
          <w:bottom w:val="nil"/>
          <w:right w:val="nil"/>
          <w:between w:val="nil"/>
        </w:pBdr>
        <w:tabs>
          <w:tab w:val="left" w:pos="1134"/>
        </w:tabs>
        <w:ind w:left="851" w:right="902" w:firstLine="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u w:val="single"/>
        </w:rPr>
        <w:t>Participar en los procedimientos de adquisición y/o contratación de bienes y servicios</w:t>
      </w:r>
      <w:r w:rsidRPr="0020402F">
        <w:rPr>
          <w:rFonts w:ascii="Palatino Linotype" w:eastAsia="Palatino Linotype" w:hAnsi="Palatino Linotype" w:cs="Palatino Linotype"/>
          <w:i/>
          <w:sz w:val="22"/>
          <w:szCs w:val="22"/>
        </w:rPr>
        <w:t xml:space="preserve"> para dar cumplimiento a la </w:t>
      </w:r>
      <w:proofErr w:type="spellStart"/>
      <w:r w:rsidRPr="0020402F">
        <w:rPr>
          <w:rFonts w:ascii="Palatino Linotype" w:eastAsia="Palatino Linotype" w:hAnsi="Palatino Linotype" w:cs="Palatino Linotype"/>
          <w:i/>
          <w:sz w:val="22"/>
          <w:szCs w:val="22"/>
        </w:rPr>
        <w:t>normativida</w:t>
      </w:r>
      <w:proofErr w:type="spellEnd"/>
      <w:r w:rsidRPr="0020402F">
        <w:rPr>
          <w:rFonts w:ascii="Palatino Linotype" w:eastAsia="Palatino Linotype" w:hAnsi="Palatino Linotype" w:cs="Palatino Linotype"/>
          <w:i/>
          <w:sz w:val="22"/>
          <w:szCs w:val="22"/>
        </w:rPr>
        <w:t xml:space="preserve"> </w:t>
      </w:r>
      <w:proofErr w:type="spellStart"/>
      <w:r w:rsidRPr="0020402F">
        <w:rPr>
          <w:rFonts w:ascii="Palatino Linotype" w:eastAsia="Palatino Linotype" w:hAnsi="Palatino Linotype" w:cs="Palatino Linotype"/>
          <w:i/>
          <w:sz w:val="22"/>
          <w:szCs w:val="22"/>
        </w:rPr>
        <w:t>destablecida</w:t>
      </w:r>
      <w:proofErr w:type="spellEnd"/>
      <w:r w:rsidRPr="0020402F">
        <w:rPr>
          <w:rFonts w:ascii="Palatino Linotype" w:eastAsia="Palatino Linotype" w:hAnsi="Palatino Linotype" w:cs="Palatino Linotype"/>
          <w:i/>
          <w:sz w:val="22"/>
          <w:szCs w:val="22"/>
        </w:rPr>
        <w:t>.</w:t>
      </w:r>
    </w:p>
    <w:p w14:paraId="0289D0CB" w14:textId="77777777" w:rsidR="00CE08AC" w:rsidRPr="0020402F" w:rsidRDefault="00040DB7">
      <w:pPr>
        <w:numPr>
          <w:ilvl w:val="0"/>
          <w:numId w:val="1"/>
        </w:numPr>
        <w:pBdr>
          <w:top w:val="nil"/>
          <w:left w:val="nil"/>
          <w:bottom w:val="nil"/>
          <w:right w:val="nil"/>
          <w:between w:val="nil"/>
        </w:pBdr>
        <w:tabs>
          <w:tab w:val="left" w:pos="1134"/>
        </w:tabs>
        <w:spacing w:after="120"/>
        <w:ind w:left="851" w:right="902" w:firstLine="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u w:val="single"/>
        </w:rPr>
        <w:t>Suscribir los convenios y contratos relativos a la adquisición y/o contratación de bienes y servicios</w:t>
      </w:r>
      <w:r w:rsidRPr="0020402F">
        <w:rPr>
          <w:rFonts w:ascii="Palatino Linotype" w:eastAsia="Palatino Linotype" w:hAnsi="Palatino Linotype" w:cs="Palatino Linotype"/>
          <w:i/>
          <w:sz w:val="22"/>
          <w:szCs w:val="22"/>
        </w:rPr>
        <w:t xml:space="preserve"> observando la normatividad establecida.</w:t>
      </w:r>
    </w:p>
    <w:p w14:paraId="7C1BA7BA"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este tenor, la Coordinación Administrativa y de Gestión Documental, como unidad administrativa encargada de coordinar, controlar y dirigir la administración y suministro oportuno y racional de los recursos materiales y financieros, así como los servicios generales que requieran las unidades administrativas de la Secretaría de Movilidad, tiene encomendadas diversas funciones, entre las que destacan representar a la Secretaría de Movilidad en su carácter de Vocal ante los Comités de Adquisiciones y Servicios, y Arrendamientos, Adquisiciones de Inmuebles y Enajenaciones de la Secretaría de Finanzas; suscribir los contratos pedidos derivados de procedimientos de adquisición de bienes y/o contratación de servicios; gestionar la substanciación de los procedimientos de adquisición de bienes y servicios a petición de las unidades administrativas encargadas de realizarlos; la ejecución de los actos de adquisición de bienes y servicios que le correspondan; entre otras, siendo el área competente para conocer la información materia de la </w:t>
      </w:r>
      <w:r w:rsidRPr="0020402F">
        <w:rPr>
          <w:rFonts w:ascii="Palatino Linotype" w:eastAsia="Palatino Linotype" w:hAnsi="Palatino Linotype" w:cs="Palatino Linotype"/>
        </w:rPr>
        <w:lastRenderedPageBreak/>
        <w:t>solicitud, al tener el deber de participar en los Comités de Adquisiciones y Servicios y de Arrendamientos, Adquisiciones de Inmuebles y Enajenaciones que integre la Secretaría de Finanzas, así como en los procedimientos de adquisición y/o contratación de bienes y/o servicios y suscribir con convenios y contratos relativos a la adquisición y/o contratación de bienes y servicios.</w:t>
      </w:r>
    </w:p>
    <w:p w14:paraId="4BFE7C50"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Asimismo, no obsta mencionar que para el desarrollo de sus funciones, se auxilia de la Subdirección de Recursos Materiales, cuyo objetivo, de conformidad con el Manual de Organización de la Secretaría de Movilidad, consiste en coordinar, supervisar y realizar las gestiones para administrar, adquirir, almacenar y suministrar los enseres, bienes, servicios y artículos requeridos por las unidades administrativas adscritas a la Secretaría; así como administrar los sistemas de control de inventario de bienes muebles y equipo, y sus funciones, en su parte conducente, son las siguientes:</w:t>
      </w:r>
    </w:p>
    <w:p w14:paraId="7CF3EFA3"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Supervisar y aprobar la integración y, en su caso, la modificación del Programa Anual de Adquisiciones en conjunto con las unidades administrativas; así como integrar el Programa Anual de Verificaciones de Bienes Muebles de la Secretaría, para presentarlo a consideración de la persona titular de la Coordinación Administrativa.</w:t>
      </w:r>
    </w:p>
    <w:p w14:paraId="353D339B"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Gestionar y tramitar </w:t>
      </w:r>
      <w:r w:rsidRPr="0020402F">
        <w:rPr>
          <w:rFonts w:ascii="Palatino Linotype" w:eastAsia="Palatino Linotype" w:hAnsi="Palatino Linotype" w:cs="Palatino Linotype"/>
          <w:b/>
          <w:u w:val="single"/>
        </w:rPr>
        <w:t>ante la Dirección General de Recursos Materiales de la Secretaría de Finanzas</w:t>
      </w:r>
      <w:r w:rsidRPr="0020402F">
        <w:rPr>
          <w:rFonts w:ascii="Palatino Linotype" w:eastAsia="Palatino Linotype" w:hAnsi="Palatino Linotype" w:cs="Palatino Linotype"/>
          <w:b/>
        </w:rPr>
        <w:t>, la adquisición de bienes y/o servicios</w:t>
      </w:r>
      <w:r w:rsidRPr="0020402F">
        <w:rPr>
          <w:rFonts w:ascii="Palatino Linotype" w:eastAsia="Palatino Linotype" w:hAnsi="Palatino Linotype" w:cs="Palatino Linotype"/>
        </w:rPr>
        <w:t xml:space="preserve"> que requieran las unidades administrativas de la Secretaría.</w:t>
      </w:r>
    </w:p>
    <w:p w14:paraId="07F190A9"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Coordinar las acciones para identificar los requerimientos de recursos financieros de las partidas consolidadas, directas y globales; así como, proponer </w:t>
      </w:r>
      <w:r w:rsidRPr="0020402F">
        <w:rPr>
          <w:rFonts w:ascii="Palatino Linotype" w:eastAsia="Palatino Linotype" w:hAnsi="Palatino Linotype" w:cs="Palatino Linotype"/>
        </w:rPr>
        <w:lastRenderedPageBreak/>
        <w:t>su incorporación y calendarización al anteproyecto de presupuesto de la Secretaría y</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b/>
          <w:u w:val="single"/>
        </w:rPr>
        <w:t>realizar el seguimiento a las contrataciones y adquisiciones, verificando el cumplimiento de las condiciones específicas</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rPr>
        <w:t>para ser remitido a la Subdirección de Finanzas.</w:t>
      </w:r>
    </w:p>
    <w:p w14:paraId="59476495" w14:textId="77777777" w:rsidR="00CE08AC" w:rsidRPr="0020402F" w:rsidRDefault="00040DB7">
      <w:pPr>
        <w:spacing w:before="240" w:after="240" w:line="360" w:lineRule="auto"/>
        <w:ind w:left="284" w:right="49"/>
        <w:jc w:val="both"/>
        <w:rPr>
          <w:rFonts w:ascii="Palatino Linotype" w:eastAsia="Palatino Linotype" w:hAnsi="Palatino Linotype" w:cs="Palatino Linotype"/>
          <w:b/>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Supervisar</w:t>
      </w:r>
      <w:r w:rsidRPr="0020402F">
        <w:rPr>
          <w:rFonts w:ascii="Palatino Linotype" w:eastAsia="Palatino Linotype" w:hAnsi="Palatino Linotype" w:cs="Palatino Linotype"/>
          <w:b/>
        </w:rPr>
        <w:t xml:space="preserve"> conforme a la calendarización del gasto, la presentación en tiempo y forma de las solicitudes y </w:t>
      </w:r>
      <w:r w:rsidRPr="0020402F">
        <w:rPr>
          <w:rFonts w:ascii="Palatino Linotype" w:eastAsia="Palatino Linotype" w:hAnsi="Palatino Linotype" w:cs="Palatino Linotype"/>
          <w:b/>
          <w:u w:val="single"/>
        </w:rPr>
        <w:t>documentación necesaria para la adquisición de bienes o contratación de servicios</w:t>
      </w:r>
      <w:r w:rsidRPr="0020402F">
        <w:rPr>
          <w:rFonts w:ascii="Palatino Linotype" w:eastAsia="Palatino Linotype" w:hAnsi="Palatino Linotype" w:cs="Palatino Linotype"/>
          <w:b/>
        </w:rPr>
        <w:t>.</w:t>
      </w:r>
    </w:p>
    <w:p w14:paraId="22EA8305"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Solicitar a la Subdirección de Finanzas, la suficiencia presupuestal para la adquisición de bienes y servicios.</w:t>
      </w:r>
    </w:p>
    <w:p w14:paraId="19B116F5"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Revisar y validar, en el ámbito de su competencia, la distribución del ejercicio presupuestal, conforme a la recepción y entrega de los bienes y servicios, así como </w:t>
      </w:r>
      <w:r w:rsidRPr="0020402F">
        <w:rPr>
          <w:rFonts w:ascii="Palatino Linotype" w:eastAsia="Palatino Linotype" w:hAnsi="Palatino Linotype" w:cs="Palatino Linotype"/>
          <w:b/>
        </w:rPr>
        <w:t>someter a su pago los documentos comprobatorios de las erogaciones realizadas</w:t>
      </w:r>
      <w:r w:rsidRPr="0020402F">
        <w:rPr>
          <w:rFonts w:ascii="Palatino Linotype" w:eastAsia="Palatino Linotype" w:hAnsi="Palatino Linotype" w:cs="Palatino Linotype"/>
        </w:rPr>
        <w:t xml:space="preserve">, previa revisión del cumplimiento de los requisitos fiscales y administrativos, y de las normas aplicables. </w:t>
      </w:r>
    </w:p>
    <w:p w14:paraId="39CA7B10"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Supervisar, revisar y ejecutar las etapas de los procedimientos adquisitivos que se realicen para la Secretaría,</w:t>
      </w:r>
      <w:r w:rsidRPr="0020402F">
        <w:rPr>
          <w:rFonts w:ascii="Palatino Linotype" w:eastAsia="Palatino Linotype" w:hAnsi="Palatino Linotype" w:cs="Palatino Linotype"/>
        </w:rPr>
        <w:t xml:space="preserve"> de conformidad con la normativa.</w:t>
      </w:r>
    </w:p>
    <w:p w14:paraId="27DFE849"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Supervisar la integración del expediente del procedimiento adquisitivo y presentar las solicitudes con apego a la normativa de adquisiciones de bienes y/o contrataciones de servicios ante la Secretaría de Finanzas</w:t>
      </w:r>
      <w:r w:rsidRPr="0020402F">
        <w:rPr>
          <w:rFonts w:ascii="Palatino Linotype" w:eastAsia="Palatino Linotype" w:hAnsi="Palatino Linotype" w:cs="Palatino Linotype"/>
        </w:rPr>
        <w:t xml:space="preserve">, con cargo a recursos federales o estatales, que requieran las diversas unidades administrativas que integran a la Secretaría, </w:t>
      </w:r>
      <w:r w:rsidRPr="0020402F">
        <w:rPr>
          <w:rFonts w:ascii="Palatino Linotype" w:eastAsia="Palatino Linotype" w:hAnsi="Palatino Linotype" w:cs="Palatino Linotype"/>
          <w:b/>
        </w:rPr>
        <w:t xml:space="preserve">para su instauración, sustanciación y resolución, </w:t>
      </w:r>
      <w:r w:rsidRPr="0020402F">
        <w:rPr>
          <w:rFonts w:ascii="Palatino Linotype" w:eastAsia="Palatino Linotype" w:hAnsi="Palatino Linotype" w:cs="Palatino Linotype"/>
        </w:rPr>
        <w:t xml:space="preserve">según la disponibilidad de su recurso aprobado. </w:t>
      </w:r>
    </w:p>
    <w:p w14:paraId="53DEF955"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 </w:t>
      </w:r>
      <w:r w:rsidRPr="0020402F">
        <w:rPr>
          <w:rFonts w:ascii="Palatino Linotype" w:eastAsia="Palatino Linotype" w:hAnsi="Palatino Linotype" w:cs="Palatino Linotype"/>
          <w:b/>
        </w:rPr>
        <w:t xml:space="preserve">Sustanciar, aprobar y ejecutar los procedimientos de adquisición de bienes y/o contratación de servicios </w:t>
      </w:r>
      <w:r w:rsidRPr="0020402F">
        <w:rPr>
          <w:rFonts w:ascii="Palatino Linotype" w:eastAsia="Palatino Linotype" w:hAnsi="Palatino Linotype" w:cs="Palatino Linotype"/>
          <w:b/>
          <w:u w:val="single"/>
        </w:rPr>
        <w:t>bajo la modalidad de contrato pedido</w:t>
      </w:r>
      <w:r w:rsidRPr="0020402F">
        <w:rPr>
          <w:rFonts w:ascii="Palatino Linotype" w:eastAsia="Palatino Linotype" w:hAnsi="Palatino Linotype" w:cs="Palatino Linotype"/>
        </w:rPr>
        <w:t xml:space="preserve">, que deriven de los diversos requerimientos formulados por las unidades administrativas, de acuerdo a los montos señalados en la normativa aplicable y que no exceda el monto máximo para el caso de adjudicación directa establecido en el Presupuesto de Egresos del Gobierno del Estado. </w:t>
      </w:r>
    </w:p>
    <w:p w14:paraId="2C10104A"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Cotizar y adquirir, en su caso, bienes y servicios a través de contrato pedido cuando su monto así lo permita, de acuerdo con las disposiciones señaladas por la normatividad en la materia. </w:t>
      </w:r>
    </w:p>
    <w:p w14:paraId="7F4DBBA0"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Sustanciar y ejecutar las </w:t>
      </w:r>
      <w:r w:rsidRPr="0020402F">
        <w:rPr>
          <w:rFonts w:ascii="Palatino Linotype" w:eastAsia="Palatino Linotype" w:hAnsi="Palatino Linotype" w:cs="Palatino Linotype"/>
          <w:b/>
          <w:u w:val="single"/>
        </w:rPr>
        <w:t>compras directas</w:t>
      </w:r>
      <w:r w:rsidRPr="0020402F">
        <w:rPr>
          <w:rFonts w:ascii="Palatino Linotype" w:eastAsia="Palatino Linotype" w:hAnsi="Palatino Linotype" w:cs="Palatino Linotype"/>
          <w:b/>
        </w:rPr>
        <w:t xml:space="preserve"> que deriven de los diversos requerimientos formulados por las unidades administrativas</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cuando el importe sea inferior al monto máximo determinado para el fondo fijo de caja</w:t>
      </w:r>
      <w:r w:rsidRPr="0020402F">
        <w:rPr>
          <w:rFonts w:ascii="Palatino Linotype" w:eastAsia="Palatino Linotype" w:hAnsi="Palatino Linotype" w:cs="Palatino Linotype"/>
        </w:rPr>
        <w:t xml:space="preserve">. </w:t>
      </w:r>
    </w:p>
    <w:p w14:paraId="6423D3AC"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Supervisar la recepción, validación y suministro de los bienes y servicios que requieran las unidades administrativas de la Secretaría, para el desarrollo de sus actividades, atendiendo al presupuesto disponible. </w:t>
      </w:r>
    </w:p>
    <w:p w14:paraId="4D7C52B6"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-Verificar que las y los proveedores reciban oportunamente la solicitud de cotización para participar en los procedimientos de contrato pedido y compras directas. </w:t>
      </w:r>
    </w:p>
    <w:p w14:paraId="357DF92B"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Supervisar y validar la evaluación de los costos, condiciones, especificaciones, características, calidad, entre otros requisitos, a fin de seleccionar a la o al proveedor o prestador que ofrezca las mejores condiciones disponibles para el Gobierno del Estado. </w:t>
      </w:r>
    </w:p>
    <w:p w14:paraId="3CCCB36C"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Recibir los bienes adquiridos por la Dirección General de Recursos Materiales de la Secretaría de Finanzas, de acuerdo a la solicitud anual, verificando que éstos cumplan con las características y condiciones establecidas.</w:t>
      </w:r>
    </w:p>
    <w:p w14:paraId="140C170B" w14:textId="77777777" w:rsidR="00CE08AC" w:rsidRPr="0020402F" w:rsidRDefault="00040DB7">
      <w:pPr>
        <w:spacing w:before="240" w:after="240" w:line="360" w:lineRule="auto"/>
        <w:ind w:left="284" w:right="49"/>
        <w:jc w:val="both"/>
        <w:rPr>
          <w:rFonts w:ascii="Palatino Linotype" w:eastAsia="Palatino Linotype" w:hAnsi="Palatino Linotype" w:cs="Palatino Linotype"/>
          <w:b/>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Verificar la adecuada integración y conservación de los expedientes y constancias de los procedimientos adquisitivos de la Secretaría</w:t>
      </w:r>
      <w:r w:rsidRPr="0020402F">
        <w:rPr>
          <w:rFonts w:ascii="Palatino Linotype" w:eastAsia="Palatino Linotype" w:hAnsi="Palatino Linotype" w:cs="Palatino Linotype"/>
          <w:b/>
        </w:rPr>
        <w:t>.</w:t>
      </w:r>
    </w:p>
    <w:p w14:paraId="2EDCCE8C"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Asimismo, es preciso señalar que la Subdirección de Recursos Materiales, según lo dispuesto en el Manual General de Organización se auxilia del Departamento de Adquisiciones, Control y Suministro de Bienes, cuyo objetivo consiste en proporcionar a las unidades administrativas de la Secretaría, los insumos, equipo y materiales que requieran para el desempeño de sus funciones, </w:t>
      </w:r>
      <w:r w:rsidRPr="0020402F">
        <w:rPr>
          <w:rFonts w:ascii="Palatino Linotype" w:eastAsia="Palatino Linotype" w:hAnsi="Palatino Linotype" w:cs="Palatino Linotype"/>
          <w:b/>
        </w:rPr>
        <w:t>con apego a la normatividad y a los procedimientos establecidos</w:t>
      </w:r>
      <w:r w:rsidRPr="0020402F">
        <w:rPr>
          <w:rFonts w:ascii="Palatino Linotype" w:eastAsia="Palatino Linotype" w:hAnsi="Palatino Linotype" w:cs="Palatino Linotype"/>
        </w:rPr>
        <w:t>; así como la operación y actualización del sistema de control de inventario de bienes muebles para el funcionamiento y logro de los objetivos de la dependencia, teniendo como funciones, en su parte conducente, las siguientes:</w:t>
      </w:r>
    </w:p>
    <w:p w14:paraId="67ECAA9F"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Integrar y elaborar el Programa Anual de Adquisiciones, con base en el presupuesto autorizado, para someterlo a consideración de la Subdirección de Recursos Materiales; así como establecer los mecanismos para su seguimiento y control por parte de las unidades administrativas que integran a la Secretaría, de acuerdo con la normatividad en la materia.</w:t>
      </w:r>
    </w:p>
    <w:p w14:paraId="7D5A86D3"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Recopilar, integrar y revisar la información que remitan las unidades administrativas de la Secretaría para elaborar el Programa Anual de Adquisiciones.</w:t>
      </w:r>
    </w:p>
    <w:p w14:paraId="14F35087"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Elaborar los informes de las adquisiciones realizadas para someterlos a la revisión de la Subdirección de Recursos Materiales.</w:t>
      </w:r>
    </w:p>
    <w:p w14:paraId="556518E4"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Elaborar, integrar y presentar solicitudes de adquisiciones de bienes y/o contrataciones de servicios, con cargo a recursos federales o estatales, para satisfacer las necesidades de la Secretaría, según la disponibilidad del recurso aprobado.</w:t>
      </w:r>
    </w:p>
    <w:p w14:paraId="2278D878"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Tramitar ante la Secretaría de Finanzas, a través de la unidad administrativa competente, las solicitudes de adquisiciones de bienes y/o contrataciones de servicios, con cargo a recursos federales o estatales, que requieran las diversas unidades administrativas que integran a la Secretaría, para su instauración, sustanciación y resolución, según la disponibilidad del recurso aprobado.</w:t>
      </w:r>
    </w:p>
    <w:p w14:paraId="11152DD1"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Solicitar a las personas proveedoras y prestadoras de servicios, cotizaciones, evaluar los costos, condiciones, características técnicas y especificaciones, entre otros requisitos, a fin de seleccionar al que ofrezca las mejores condiciones disponibles para el Gobierno del Estado, sometiéndolo a la aprobación de la Subdirección de Recursos Materiales.</w:t>
      </w:r>
    </w:p>
    <w:p w14:paraId="748B6392"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Elaborar, sustanciar y verificar las etapas de los procedimientos de adquisición de bienes y/o contratación de servicios bajo la modalidad de contrato pedido</w:t>
      </w:r>
      <w:r w:rsidRPr="0020402F">
        <w:rPr>
          <w:rFonts w:ascii="Palatino Linotype" w:eastAsia="Palatino Linotype" w:hAnsi="Palatino Linotype" w:cs="Palatino Linotype"/>
        </w:rPr>
        <w:t>, cuyo importe sea superior al monto máximo determinado para el fondo fijo de caja y no exceda del importe que establece el Presupuesto de Egresos del Gobierno del Estado de México para el caso de adjudicación directa.</w:t>
      </w:r>
    </w:p>
    <w:p w14:paraId="2277BE2B"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Suscribir en carácter de unidad requirente y/o usuaria contratos pedidos derivados de procedimientos de adquisición de bienes y/o contratación de servicios, así como dar seguimiento a los mismos.</w:t>
      </w:r>
    </w:p>
    <w:p w14:paraId="66C74146"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Sustanciar y verificar que las compras directas que deriven de los diversos requerimientos formulados por las unidades administrativas cumplan con los requisitos y los montos establecidos en la normativa.</w:t>
      </w:r>
    </w:p>
    <w:p w14:paraId="0520097A" w14:textId="77777777" w:rsidR="00CE08AC" w:rsidRPr="0020402F" w:rsidRDefault="00040DB7">
      <w:pPr>
        <w:spacing w:before="240" w:after="240" w:line="360" w:lineRule="auto"/>
        <w:ind w:left="284" w:right="49"/>
        <w:jc w:val="both"/>
        <w:rPr>
          <w:rFonts w:ascii="Palatino Linotype" w:eastAsia="Palatino Linotype" w:hAnsi="Palatino Linotype" w:cs="Palatino Linotype"/>
          <w:b/>
          <w:u w:val="singl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u w:val="single"/>
        </w:rPr>
        <w:t>Integrar, revisar y resguardar los expedientes de los procesos adquisitivos celebrados y en proceso.</w:t>
      </w:r>
    </w:p>
    <w:p w14:paraId="39184824"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Recibir los bienes y/o servicios requeridos por el área respectiva, así como verificar que éstos cumplan con las condiciones, características, especificaciones técnicas, normas oficiales mexicanas, normas mexicanas y normas internacionales.</w:t>
      </w:r>
    </w:p>
    <w:p w14:paraId="7394571B" w14:textId="77777777" w:rsidR="00CE08AC" w:rsidRPr="0020402F" w:rsidRDefault="00040DB7">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Llevar el seguimiento y control del almacén, mediante la recepción, registro, resguardo y suministro de los bienes adquiridos por la Secretaría.</w:t>
      </w:r>
    </w:p>
    <w:p w14:paraId="1CDE9255" w14:textId="77777777" w:rsidR="00CE08AC" w:rsidRPr="0020402F" w:rsidRDefault="00040DB7">
      <w:pPr>
        <w:spacing w:before="240" w:after="240" w:line="360" w:lineRule="auto"/>
        <w:ind w:right="49"/>
        <w:jc w:val="both"/>
        <w:rPr>
          <w:rFonts w:ascii="Palatino Linotype" w:eastAsia="Palatino Linotype" w:hAnsi="Palatino Linotype" w:cs="Palatino Linotype"/>
          <w:b/>
        </w:rPr>
      </w:pPr>
      <w:r w:rsidRPr="0020402F">
        <w:rPr>
          <w:rFonts w:ascii="Palatino Linotype" w:eastAsia="Palatino Linotype" w:hAnsi="Palatino Linotype" w:cs="Palatino Linotype"/>
        </w:rPr>
        <w:t xml:space="preserve">Como se advierte la </w:t>
      </w:r>
      <w:r w:rsidRPr="0020402F">
        <w:rPr>
          <w:rFonts w:ascii="Palatino Linotype" w:eastAsia="Palatino Linotype" w:hAnsi="Palatino Linotype" w:cs="Palatino Linotype"/>
          <w:b/>
          <w:u w:val="single"/>
        </w:rPr>
        <w:t>Coordinación Administrativa y de Gestión Documental, de la Secretaría de Movilidad</w:t>
      </w:r>
      <w:r w:rsidRPr="0020402F">
        <w:rPr>
          <w:rFonts w:ascii="Palatino Linotype" w:eastAsia="Palatino Linotype" w:hAnsi="Palatino Linotype" w:cs="Palatino Linotype"/>
        </w:rPr>
        <w:t xml:space="preserve">, a través de la Subdirección de Recursos Materiales, misma que se auxilia del Departamento de Adquisiciones, Control y Suministro de Bienes, además de supervisar y aprobar la integración y, en su caso, la modificación del Programa Anual de Adquisiciones, es competente para gestionar y tramitar ante la </w:t>
      </w:r>
      <w:r w:rsidRPr="0020402F">
        <w:rPr>
          <w:rFonts w:ascii="Palatino Linotype" w:eastAsia="Palatino Linotype" w:hAnsi="Palatino Linotype" w:cs="Palatino Linotype"/>
          <w:b/>
        </w:rPr>
        <w:t>Dirección General de Recursos Materiales de la Secretaría de Finanzas</w:t>
      </w:r>
      <w:r w:rsidRPr="0020402F">
        <w:rPr>
          <w:rFonts w:ascii="Palatino Linotype" w:eastAsia="Palatino Linotype" w:hAnsi="Palatino Linotype" w:cs="Palatino Linotype"/>
        </w:rPr>
        <w:t xml:space="preserve">, la adquisición de bienes y/o servicios que requieran las unidades administrativas de la Secretaría; realizar el seguimiento a las contrataciones y adquisiciones verificando </w:t>
      </w:r>
      <w:r w:rsidRPr="0020402F">
        <w:rPr>
          <w:rFonts w:ascii="Palatino Linotype" w:eastAsia="Palatino Linotype" w:hAnsi="Palatino Linotype" w:cs="Palatino Linotype"/>
        </w:rPr>
        <w:lastRenderedPageBreak/>
        <w:t xml:space="preserve">el cumplimiento de las condiciones específicas; supervisar la presentación en tiempo y forma de las solicitudes y documentación necesaria para la adquisición de bienes o contratación de servicios; revisar y validar la distribución del ejercicio presupuestal, conforme a la recepción y entrega de los bienes y servicios, así como someter a su pago los documentos comprobatorios de las erogaciones realizadas; </w:t>
      </w:r>
      <w:r w:rsidRPr="0020402F">
        <w:rPr>
          <w:rFonts w:ascii="Palatino Linotype" w:eastAsia="Palatino Linotype" w:hAnsi="Palatino Linotype" w:cs="Palatino Linotype"/>
          <w:b/>
        </w:rPr>
        <w:t xml:space="preserve">supervisar, revisar y ejecutar las etapas de los procedimientos adquisitivos que se realicen para la Secretaría; supervisar la integración del expediente del procedimiento adquisitivo y presentar las solicitudes con apego a la normativa de adquisiciones de bienes y/o contrataciones de servicios ante la Secretaría de Finanzas, para su instauración, sustanciación y resolución; sustanciar, aprobar y ejecutar los procedimientos de adquisición de bienes y/o contratación de servicios bajo la modalidad de contrato pedido; sustanciar y ejecutar las compras directas que deriven de los diversos requerimientos formulados por las unidades administrativas; </w:t>
      </w:r>
      <w:r w:rsidRPr="0020402F">
        <w:rPr>
          <w:rFonts w:ascii="Palatino Linotype" w:eastAsia="Palatino Linotype" w:hAnsi="Palatino Linotype" w:cs="Palatino Linotype"/>
        </w:rPr>
        <w:t xml:space="preserve">y finalmente, </w:t>
      </w:r>
      <w:r w:rsidRPr="0020402F">
        <w:rPr>
          <w:rFonts w:ascii="Palatino Linotype" w:eastAsia="Palatino Linotype" w:hAnsi="Palatino Linotype" w:cs="Palatino Linotype"/>
          <w:b/>
          <w:u w:val="single"/>
        </w:rPr>
        <w:t>verificar la adecuada integración y conservación de los expedientes y constancias de los procedimientos adquisitivos de la Secretaría.</w:t>
      </w:r>
    </w:p>
    <w:p w14:paraId="21A09388"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De manera que, si bien de conformidad con  lo dispuesto en el artículo 5, párrafo primero</w:t>
      </w:r>
      <w:r w:rsidRPr="0020402F">
        <w:rPr>
          <w:rFonts w:ascii="Palatino Linotype" w:eastAsia="Palatino Linotype" w:hAnsi="Palatino Linotype" w:cs="Palatino Linotype"/>
          <w:vertAlign w:val="superscript"/>
        </w:rPr>
        <w:footnoteReference w:id="2"/>
      </w:r>
      <w:r w:rsidRPr="0020402F">
        <w:rPr>
          <w:rFonts w:ascii="Palatino Linotype" w:eastAsia="Palatino Linotype" w:hAnsi="Palatino Linotype" w:cs="Palatino Linotype"/>
        </w:rPr>
        <w:t xml:space="preserve"> de la Ley de Contratación del Estado de México y Municipios, </w:t>
      </w:r>
      <w:r w:rsidRPr="0020402F">
        <w:rPr>
          <w:rFonts w:ascii="Palatino Linotype" w:eastAsia="Palatino Linotype" w:hAnsi="Palatino Linotype" w:cs="Palatino Linotype"/>
          <w:b/>
        </w:rPr>
        <w:t xml:space="preserve">es la Secretaría de Finanzas la dependencia encargada de llevar a cabo los procedimientos de adquisición de bienes o servicios que requieran las dependencias </w:t>
      </w:r>
      <w:r w:rsidRPr="0020402F">
        <w:rPr>
          <w:rFonts w:ascii="Palatino Linotype" w:eastAsia="Palatino Linotype" w:hAnsi="Palatino Linotype" w:cs="Palatino Linotype"/>
        </w:rPr>
        <w:t>–</w:t>
      </w:r>
      <w:r w:rsidRPr="0020402F">
        <w:rPr>
          <w:rFonts w:ascii="Palatino Linotype" w:eastAsia="Palatino Linotype" w:hAnsi="Palatino Linotype" w:cs="Palatino Linotype"/>
          <w:sz w:val="22"/>
          <w:szCs w:val="22"/>
        </w:rPr>
        <w:t>entre ellas la Secretaría de Movilidad</w:t>
      </w:r>
      <w:r w:rsidRPr="0020402F">
        <w:rPr>
          <w:rFonts w:ascii="Palatino Linotype" w:eastAsia="Palatino Linotype" w:hAnsi="Palatino Linotype" w:cs="Palatino Linotype"/>
        </w:rPr>
        <w:t>-</w:t>
      </w:r>
      <w:r w:rsidRPr="0020402F">
        <w:rPr>
          <w:rFonts w:ascii="Palatino Linotype" w:eastAsia="Palatino Linotype" w:hAnsi="Palatino Linotype" w:cs="Palatino Linotype"/>
          <w:b/>
        </w:rPr>
        <w:t>,</w:t>
      </w:r>
      <w:r w:rsidRPr="0020402F">
        <w:rPr>
          <w:rFonts w:ascii="Palatino Linotype" w:eastAsia="Palatino Linotype" w:hAnsi="Palatino Linotype" w:cs="Palatino Linotype"/>
        </w:rPr>
        <w:t xml:space="preserve"> conforme a sus respectivos programas de adquisiciones, lo cierto es que diversas áreas que integran la estructura orgánica de la Secretaría de Movilidad se encuentran facultadas para  </w:t>
      </w:r>
      <w:r w:rsidRPr="0020402F">
        <w:rPr>
          <w:rFonts w:ascii="Palatino Linotype" w:eastAsia="Palatino Linotype" w:hAnsi="Palatino Linotype" w:cs="Palatino Linotype"/>
        </w:rPr>
        <w:lastRenderedPageBreak/>
        <w:t xml:space="preserve">gestionar al interior de esta los procedimientos de adquisición, por lo tanto se colige que </w:t>
      </w:r>
      <w:r w:rsidRPr="0020402F">
        <w:rPr>
          <w:rFonts w:ascii="Palatino Linotype" w:eastAsia="Palatino Linotype" w:hAnsi="Palatino Linotype" w:cs="Palatino Linotype"/>
          <w:b/>
        </w:rPr>
        <w:t>si es competente para administrar o poseer información relacionada con los mismos</w:t>
      </w:r>
      <w:r w:rsidRPr="0020402F">
        <w:rPr>
          <w:rFonts w:ascii="Palatino Linotype" w:eastAsia="Palatino Linotype" w:hAnsi="Palatino Linotype" w:cs="Palatino Linotype"/>
        </w:rPr>
        <w:t xml:space="preserve">, en virtud de que la Subdirección de Recursos Materiales, cuenta con el deber de </w:t>
      </w:r>
      <w:r w:rsidRPr="0020402F">
        <w:rPr>
          <w:rFonts w:ascii="Palatino Linotype" w:eastAsia="Palatino Linotype" w:hAnsi="Palatino Linotype" w:cs="Palatino Linotype"/>
          <w:b/>
        </w:rPr>
        <w:t xml:space="preserve">verificar integración y conservación de los expedientes y constancias de los procedimientos adquisitivos de la Secretaría de Movilidad </w:t>
      </w:r>
      <w:r w:rsidRPr="0020402F">
        <w:rPr>
          <w:rFonts w:ascii="Palatino Linotype" w:eastAsia="Palatino Linotype" w:hAnsi="Palatino Linotype" w:cs="Palatino Linotype"/>
        </w:rPr>
        <w:t>como ha sido expuesto.</w:t>
      </w:r>
    </w:p>
    <w:p w14:paraId="28489B47"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Asimismo, no debe perderse de vista que la normativa aplicable faculta a la Secretaría de Movilidad</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rPr>
        <w:t xml:space="preserve">de manera expresa, para </w:t>
      </w:r>
      <w:r w:rsidRPr="0020402F">
        <w:rPr>
          <w:rFonts w:ascii="Palatino Linotype" w:eastAsia="Palatino Linotype" w:hAnsi="Palatino Linotype" w:cs="Palatino Linotype"/>
          <w:b/>
        </w:rPr>
        <w:t>sustanciar de los procedimientos de adquisición de bienes y/o contratación de servicios bajo la modalidad de contrato pedido</w:t>
      </w:r>
      <w:r w:rsidRPr="0020402F">
        <w:rPr>
          <w:rFonts w:ascii="Palatino Linotype" w:eastAsia="Palatino Linotype" w:hAnsi="Palatino Linotype" w:cs="Palatino Linotype"/>
        </w:rPr>
        <w:t xml:space="preserve">, así como </w:t>
      </w:r>
      <w:r w:rsidRPr="0020402F">
        <w:rPr>
          <w:rFonts w:ascii="Palatino Linotype" w:eastAsia="Palatino Linotype" w:hAnsi="Palatino Linotype" w:cs="Palatino Linotype"/>
          <w:b/>
        </w:rPr>
        <w:t>sustanciar y ejecutar las compras directas</w:t>
      </w:r>
      <w:r w:rsidRPr="0020402F">
        <w:rPr>
          <w:rFonts w:ascii="Palatino Linotype" w:eastAsia="Palatino Linotype" w:hAnsi="Palatino Linotype" w:cs="Palatino Linotype"/>
        </w:rPr>
        <w:t xml:space="preserve"> que deriven de los diversos requerimientos formulados por las unidades administrativas. </w:t>
      </w:r>
    </w:p>
    <w:p w14:paraId="0479C897"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tal virtud, contrario a lo manifestado por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en atención a la solicitud de información, se estima que si </w:t>
      </w:r>
      <w:r w:rsidRPr="0020402F">
        <w:rPr>
          <w:rFonts w:ascii="Palatino Linotype" w:eastAsia="Palatino Linotype" w:hAnsi="Palatino Linotype" w:cs="Palatino Linotype"/>
          <w:b/>
          <w:u w:val="single"/>
        </w:rPr>
        <w:t>se encuentra en posibilidad de atender la solicitud en el ámbito de sus competencias</w:t>
      </w:r>
      <w:r w:rsidRPr="0020402F">
        <w:rPr>
          <w:rFonts w:ascii="Palatino Linotype" w:eastAsia="Palatino Linotype" w:hAnsi="Palatino Linotype" w:cs="Palatino Linotype"/>
        </w:rPr>
        <w:t>, proporcionando los documentos que integren los procedimientos de adquisición que se hubieran celebrado por cualquier modalidad, del uno de enero de dos mil veintiuno al veintiuno de septiembre de dos mil veintidós, mediante licitación pública, adjudicación directa, invitación restringida o cualquier otra modalidad que la normatividad contemple, siendo procedente, en consecuencia, ordenar que, previa búsqueda exhaustiva y razonable, haga entrega del soporte documental en el estado en el que se encuentre en el que conste lo solicitado y que obre en sus archivos, en versión pública conforme al considerando siguiente.</w:t>
      </w:r>
    </w:p>
    <w:p w14:paraId="4F10FB82"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Lo anterior se estima así toda vez que de las constancias que integran el expediente electrónico en el que se actúa, no se advierte que la Unidad de Transparencia hubiese turnado la solicitud de información a las áreas competentes para generar, administrar o poseer la información materia de la misma, concretarme a la Coordinación Administrativa y de Gestión Documental, sino que de </w:t>
      </w:r>
      <w:r w:rsidRPr="0020402F">
        <w:rPr>
          <w:rFonts w:ascii="Palatino Linotype" w:eastAsia="Palatino Linotype" w:hAnsi="Palatino Linotype" w:cs="Palatino Linotype"/>
          <w:i/>
        </w:rPr>
        <w:t xml:space="preserve">motu proprio </w:t>
      </w:r>
      <w:r w:rsidRPr="0020402F">
        <w:rPr>
          <w:rFonts w:ascii="Palatino Linotype" w:eastAsia="Palatino Linotype" w:hAnsi="Palatino Linotype" w:cs="Palatino Linotype"/>
        </w:rPr>
        <w:t xml:space="preserve">declaró la incompetencia del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incumpliendo con lo previsto en los artículos 53, fracciones II y IV, y 162  de la Ley de Transparencia y Acceso a la Información Pública del Estado de México y Municipios.</w:t>
      </w:r>
    </w:p>
    <w:p w14:paraId="598D7BF9"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otro lado, para efectos de dar cumplimiento  la presente resolución, conviene hacer alusión a lo dispuesto en la Ley de Contratación Pública del Estado de México y Municipios, la cual tiene por objeto regular los actos relativos a la </w:t>
      </w:r>
      <w:r w:rsidRPr="0020402F">
        <w:rPr>
          <w:rFonts w:ascii="Palatino Linotype" w:eastAsia="Palatino Linotype" w:hAnsi="Palatino Linotype" w:cs="Palatino Linotype"/>
          <w:b/>
          <w:u w:val="single"/>
        </w:rPr>
        <w:t>planeación, programación, presupuestación</w:t>
      </w:r>
      <w:r w:rsidRPr="0020402F">
        <w:rPr>
          <w:rFonts w:ascii="Palatino Linotype" w:eastAsia="Palatino Linotype" w:hAnsi="Palatino Linotype" w:cs="Palatino Linotype"/>
        </w:rPr>
        <w:t xml:space="preserve">, ejecución y control de la </w:t>
      </w:r>
      <w:r w:rsidRPr="0020402F">
        <w:rPr>
          <w:rFonts w:ascii="Palatino Linotype" w:eastAsia="Palatino Linotype" w:hAnsi="Palatino Linotype" w:cs="Palatino Linotype"/>
          <w:b/>
          <w:u w:val="single"/>
        </w:rPr>
        <w:t>adquisición</w:t>
      </w:r>
      <w:r w:rsidRPr="0020402F">
        <w:rPr>
          <w:rFonts w:ascii="Palatino Linotype" w:eastAsia="Palatino Linotype" w:hAnsi="Palatino Linotype" w:cs="Palatino Linotype"/>
        </w:rPr>
        <w:t xml:space="preserve">, enajenación y arrendamiento de bienes, y la </w:t>
      </w:r>
      <w:r w:rsidRPr="0020402F">
        <w:rPr>
          <w:rFonts w:ascii="Palatino Linotype" w:eastAsia="Palatino Linotype" w:hAnsi="Palatino Linotype" w:cs="Palatino Linotype"/>
          <w:b/>
          <w:u w:val="single"/>
        </w:rPr>
        <w:t>contratación de servicios de cualquier naturaleza, que realicen las secretarías y las unidades administrativas del Poder Ejecutivo del Estado</w:t>
      </w:r>
      <w:r w:rsidRPr="0020402F">
        <w:rPr>
          <w:rFonts w:ascii="Palatino Linotype" w:eastAsia="Palatino Linotype" w:hAnsi="Palatino Linotype" w:cs="Palatino Linotype"/>
        </w:rPr>
        <w:t xml:space="preserve">; entre ellos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los cuales se adjudicarán a través de licitación pública, invitación restringida o adjudicación directa, mediante convocatoria pública, tal y como lo establecen los artículos 4, 26 y 27 de dicha Ley, los cuales son del tenor siguiente:</w:t>
      </w:r>
    </w:p>
    <w:p w14:paraId="23D9DFD1"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w:t>
      </w:r>
      <w:r w:rsidRPr="0020402F">
        <w:rPr>
          <w:rFonts w:ascii="Palatino Linotype" w:eastAsia="Palatino Linotype" w:hAnsi="Palatino Linotype" w:cs="Palatino Linotype"/>
          <w:i/>
          <w:sz w:val="22"/>
          <w:szCs w:val="22"/>
        </w:rPr>
        <w:t xml:space="preserve"> Para los efectos de esta Ley, </w:t>
      </w:r>
      <w:r w:rsidRPr="0020402F">
        <w:rPr>
          <w:rFonts w:ascii="Palatino Linotype" w:eastAsia="Palatino Linotype" w:hAnsi="Palatino Linotype" w:cs="Palatino Linotype"/>
          <w:b/>
          <w:i/>
          <w:sz w:val="22"/>
          <w:szCs w:val="22"/>
        </w:rPr>
        <w:t>en las adquisiciones, enajenaciones, arrendamientos y servicios, quedan comprendidos</w:t>
      </w:r>
      <w:r w:rsidRPr="0020402F">
        <w:rPr>
          <w:rFonts w:ascii="Palatino Linotype" w:eastAsia="Palatino Linotype" w:hAnsi="Palatino Linotype" w:cs="Palatino Linotype"/>
          <w:i/>
          <w:sz w:val="22"/>
          <w:szCs w:val="22"/>
        </w:rPr>
        <w:t>:</w:t>
      </w:r>
    </w:p>
    <w:p w14:paraId="786C1F07"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La adquisición de bienes muebles.</w:t>
      </w:r>
    </w:p>
    <w:p w14:paraId="66EF4208"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La adquisición de bienes inmuebles, a través de compraventa.</w:t>
      </w:r>
    </w:p>
    <w:p w14:paraId="03C51BBB"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La enajenación de bienes muebles e inmuebles.</w:t>
      </w:r>
    </w:p>
    <w:p w14:paraId="3BC57AD9"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El arrendamiento de bienes muebles e inmuebles. </w:t>
      </w:r>
    </w:p>
    <w:p w14:paraId="2206AD3A"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lastRenderedPageBreak/>
        <w:t>V</w:t>
      </w:r>
      <w:r w:rsidRPr="0020402F">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75304E1A"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w:t>
      </w:r>
      <w:r w:rsidRPr="0020402F">
        <w:rPr>
          <w:rFonts w:ascii="Palatino Linotype" w:eastAsia="Palatino Linotype" w:hAnsi="Palatino Linotype" w:cs="Palatino Linotype"/>
          <w:i/>
          <w:sz w:val="22"/>
          <w:szCs w:val="22"/>
        </w:rPr>
        <w:t xml:space="preserve"> La contratación de los servicios de reconstrucción y mantenimiento de bienes muebles. </w:t>
      </w:r>
    </w:p>
    <w:p w14:paraId="593138F3"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w:t>
      </w:r>
      <w:r w:rsidRPr="0020402F">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5062A5B5"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VIII.</w:t>
      </w:r>
      <w:r w:rsidRPr="0020402F">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737BEC04"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En general, otros actos que impliquen la contratación de servicios de cualquier naturaleza</w:t>
      </w:r>
    </w:p>
    <w:p w14:paraId="741A386E"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26.-</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Las adquisiciones, arrendamientos y servicios se adjudicarán a través de licitaciones públicas</w:t>
      </w:r>
      <w:r w:rsidRPr="0020402F">
        <w:rPr>
          <w:rFonts w:ascii="Palatino Linotype" w:eastAsia="Palatino Linotype" w:hAnsi="Palatino Linotype" w:cs="Palatino Linotype"/>
          <w:i/>
          <w:sz w:val="22"/>
          <w:szCs w:val="22"/>
        </w:rPr>
        <w:t xml:space="preserve">, mediante convocatoria pública. </w:t>
      </w:r>
    </w:p>
    <w:p w14:paraId="2CF3D237"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27.</w:t>
      </w:r>
      <w:r w:rsidRPr="0020402F">
        <w:rPr>
          <w:rFonts w:ascii="Palatino Linotype" w:eastAsia="Palatino Linotype" w:hAnsi="Palatino Linotype" w:cs="Palatino Linotype"/>
          <w:i/>
          <w:sz w:val="22"/>
          <w:szCs w:val="22"/>
        </w:rPr>
        <w:t xml:space="preserve">- La </w:t>
      </w:r>
      <w:r w:rsidRPr="0020402F">
        <w:rPr>
          <w:rFonts w:ascii="Palatino Linotype" w:eastAsia="Palatino Linotype" w:hAnsi="Palatino Linotype" w:cs="Palatino Linotype"/>
          <w:b/>
          <w:i/>
          <w:sz w:val="22"/>
          <w:szCs w:val="22"/>
        </w:rPr>
        <w:t>Secretaría, las entidades</w:t>
      </w:r>
      <w:r w:rsidRPr="0020402F">
        <w:rPr>
          <w:rFonts w:ascii="Palatino Linotype" w:eastAsia="Palatino Linotype" w:hAnsi="Palatino Linotype" w:cs="Palatino Linotype"/>
          <w:i/>
          <w:sz w:val="22"/>
          <w:szCs w:val="22"/>
        </w:rPr>
        <w:t xml:space="preserve">, los tribunales administrativos y los ayuntamientos podrán </w:t>
      </w:r>
      <w:r w:rsidRPr="0020402F">
        <w:rPr>
          <w:rFonts w:ascii="Palatino Linotype" w:eastAsia="Palatino Linotype" w:hAnsi="Palatino Linotype" w:cs="Palatino Linotype"/>
          <w:b/>
          <w:i/>
          <w:sz w:val="22"/>
          <w:szCs w:val="22"/>
        </w:rPr>
        <w:t>adjudicar adquisiciones, arrendamientos y servicios, mediante las excepciones al procedimiento de licitación</w:t>
      </w:r>
      <w:r w:rsidRPr="0020402F">
        <w:rPr>
          <w:rFonts w:ascii="Palatino Linotype" w:eastAsia="Palatino Linotype" w:hAnsi="Palatino Linotype" w:cs="Palatino Linotype"/>
          <w:i/>
          <w:sz w:val="22"/>
          <w:szCs w:val="22"/>
        </w:rPr>
        <w:t xml:space="preserve"> que a continuación se señalan:</w:t>
      </w:r>
    </w:p>
    <w:p w14:paraId="20D4645F"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Invitación restringida.</w:t>
      </w:r>
    </w:p>
    <w:p w14:paraId="0F1B4291"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Adjudicación directa.”</w:t>
      </w:r>
    </w:p>
    <w:p w14:paraId="23D5750B"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4EF7DB98"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Asimismo, es importante precisar que de conformidad con el artículo 3, fracciones II, III y IX de la Ley de Contratación Pública, por Secretaría, dependencia y entidades, se entiende lo siguiente:</w:t>
      </w:r>
    </w:p>
    <w:p w14:paraId="15B043B1"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 xml:space="preserve"> “</w:t>
      </w:r>
      <w:r w:rsidRPr="0020402F">
        <w:rPr>
          <w:rFonts w:ascii="Palatino Linotype" w:eastAsia="Palatino Linotype" w:hAnsi="Palatino Linotype" w:cs="Palatino Linotype"/>
          <w:b/>
          <w:i/>
          <w:sz w:val="22"/>
          <w:szCs w:val="22"/>
        </w:rPr>
        <w:t>Artículo 3</w:t>
      </w:r>
      <w:r w:rsidRPr="0020402F">
        <w:rPr>
          <w:rFonts w:ascii="Palatino Linotype" w:eastAsia="Palatino Linotype" w:hAnsi="Palatino Linotype" w:cs="Palatino Linotype"/>
          <w:i/>
          <w:sz w:val="22"/>
          <w:szCs w:val="22"/>
        </w:rPr>
        <w:t>.- Para los efectos de la presente Ley se entenderá por:</w:t>
      </w:r>
    </w:p>
    <w:p w14:paraId="26219F3D"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72E6BB01"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 Dependencia</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u w:val="single"/>
        </w:rPr>
        <w:t>A las secretarías</w:t>
      </w:r>
      <w:r w:rsidRPr="0020402F">
        <w:rPr>
          <w:rFonts w:ascii="Palatino Linotype" w:eastAsia="Palatino Linotype" w:hAnsi="Palatino Linotype" w:cs="Palatino Linotype"/>
          <w:b/>
          <w:i/>
          <w:sz w:val="22"/>
          <w:szCs w:val="22"/>
        </w:rPr>
        <w:t xml:space="preserve"> y a las unidades administrativas del Poder Ejecutivo del Estado, </w:t>
      </w:r>
      <w:r w:rsidRPr="0020402F">
        <w:rPr>
          <w:rFonts w:ascii="Palatino Linotype" w:eastAsia="Palatino Linotype" w:hAnsi="Palatino Linotype" w:cs="Palatino Linotype"/>
          <w:i/>
          <w:sz w:val="22"/>
          <w:szCs w:val="22"/>
        </w:rPr>
        <w:t>y a la Procuraduría General de Justicia.</w:t>
      </w:r>
    </w:p>
    <w:p w14:paraId="18A0F905" w14:textId="77777777" w:rsidR="00CE08AC" w:rsidRPr="0020402F" w:rsidRDefault="00040DB7">
      <w:pPr>
        <w:spacing w:before="120" w:after="120"/>
        <w:ind w:left="1134" w:right="902"/>
        <w:jc w:val="both"/>
        <w:rPr>
          <w:rFonts w:ascii="Palatino Linotype" w:eastAsia="Palatino Linotype" w:hAnsi="Palatino Linotype" w:cs="Palatino Linotype"/>
          <w:i/>
          <w:sz w:val="20"/>
          <w:szCs w:val="20"/>
        </w:rPr>
      </w:pPr>
      <w:r w:rsidRPr="0020402F">
        <w:rPr>
          <w:rFonts w:ascii="Palatino Linotype" w:eastAsia="Palatino Linotype" w:hAnsi="Palatino Linotype" w:cs="Palatino Linotype"/>
          <w:b/>
          <w:i/>
          <w:sz w:val="22"/>
          <w:szCs w:val="22"/>
        </w:rPr>
        <w:t>III. Entidades</w:t>
      </w:r>
      <w:r w:rsidRPr="0020402F">
        <w:rPr>
          <w:rFonts w:ascii="Palatino Linotype" w:eastAsia="Palatino Linotype" w:hAnsi="Palatino Linotype" w:cs="Palatino Linotype"/>
          <w:i/>
          <w:sz w:val="22"/>
          <w:szCs w:val="22"/>
        </w:rPr>
        <w:t>: A los organismos auxiliares y a los fideicomisos públicos, de carácter estatal o municipal.</w:t>
      </w:r>
    </w:p>
    <w:p w14:paraId="727DFEC5"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66A3B01E"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IX. Secretaría</w:t>
      </w:r>
      <w:r w:rsidRPr="0020402F">
        <w:rPr>
          <w:rFonts w:ascii="Palatino Linotype" w:eastAsia="Palatino Linotype" w:hAnsi="Palatino Linotype" w:cs="Palatino Linotype"/>
          <w:i/>
          <w:sz w:val="22"/>
          <w:szCs w:val="22"/>
        </w:rPr>
        <w:t>: A la Secretaría de Finanzas.”</w:t>
      </w:r>
    </w:p>
    <w:p w14:paraId="30A8661C"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ello, de acuerdo con el artículo 44 de la Ley de Contratación Pública del Estado de México y Municipios, la Secretaría, las entidades, los tribunales administrativos y los ayuntamientos, podrán adquirir y contratar servicios mediante invitación restringida en los siguientes casos: </w:t>
      </w:r>
    </w:p>
    <w:p w14:paraId="476219A3"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44.-</w:t>
      </w:r>
      <w:r w:rsidRPr="0020402F">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197E5769"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Se hubiere declarado desierto un procedimiento de licitación, o</w:t>
      </w:r>
    </w:p>
    <w:p w14:paraId="1EEC1EC7"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636584A5"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489E8B4D"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En la invitación deberá especificarse si en el proceso de asignación aplicará la modalidad de subasta inversa.”</w:t>
      </w:r>
    </w:p>
    <w:p w14:paraId="0552EF41" w14:textId="77777777" w:rsidR="00CE08AC" w:rsidRPr="0020402F" w:rsidRDefault="00040DB7">
      <w:pPr>
        <w:spacing w:before="240" w:after="240"/>
        <w:ind w:right="49"/>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rPr>
        <w:t>Asimismo, el artículo 46 de la Ley referida, menciona que:</w:t>
      </w:r>
    </w:p>
    <w:p w14:paraId="59B141C4"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sz w:val="22"/>
          <w:szCs w:val="22"/>
        </w:rPr>
        <w:t xml:space="preserve"> “</w:t>
      </w:r>
      <w:r w:rsidRPr="0020402F">
        <w:rPr>
          <w:rFonts w:ascii="Palatino Linotype" w:eastAsia="Palatino Linotype" w:hAnsi="Palatino Linotype" w:cs="Palatino Linotype"/>
          <w:b/>
          <w:i/>
          <w:sz w:val="22"/>
          <w:szCs w:val="22"/>
        </w:rPr>
        <w:t>Artículo 46.-</w:t>
      </w:r>
      <w:r w:rsidRPr="0020402F">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0034DC0A" w14:textId="77777777" w:rsidR="00CE08AC" w:rsidRPr="0020402F" w:rsidRDefault="00040DB7">
      <w:pPr>
        <w:spacing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Por otra parte, el artículo 48 de la Ley en cita precisa que, respecto a los procedimientos de Adjudicación Directa, los entes públicos podrán adquirir bienes, arrendar bienes muebles e inmuebles y contratar servicios mediante adjudicación directa cuando: </w:t>
      </w:r>
    </w:p>
    <w:p w14:paraId="06EA2B53" w14:textId="77777777" w:rsidR="00CE08AC" w:rsidRPr="0020402F" w:rsidRDefault="00040DB7">
      <w:pPr>
        <w:tabs>
          <w:tab w:val="left" w:pos="7938"/>
        </w:tabs>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48.-</w:t>
      </w:r>
      <w:r w:rsidRPr="0020402F">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608CD1C3"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1558206B"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70E0535A"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68EAA385"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0C902107"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w:t>
      </w:r>
      <w:r w:rsidRPr="0020402F">
        <w:rPr>
          <w:rFonts w:ascii="Palatino Linotype" w:eastAsia="Palatino Linotype" w:hAnsi="Palatino Linotype" w:cs="Palatino Linotype"/>
          <w:i/>
          <w:sz w:val="22"/>
          <w:szCs w:val="22"/>
        </w:rPr>
        <w:t>. Existan circunstancias que puedan provocar pérdidas o costos adicionales importantes al erario.</w:t>
      </w:r>
    </w:p>
    <w:p w14:paraId="104FB8C0"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w:t>
      </w:r>
      <w:r w:rsidRPr="0020402F">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5D6F61DC"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w:t>
      </w:r>
      <w:r w:rsidRPr="0020402F">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150A1309"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VIII</w:t>
      </w:r>
      <w:r w:rsidRPr="0020402F">
        <w:rPr>
          <w:rFonts w:ascii="Palatino Linotype" w:eastAsia="Palatino Linotype" w:hAnsi="Palatino Linotype" w:cs="Palatino Linotype"/>
          <w:i/>
          <w:sz w:val="22"/>
          <w:szCs w:val="22"/>
        </w:rPr>
        <w:t xml:space="preserve">. Se hubiere rescindido un contrato, por causas imputables al proveedor o que la persona que habiendo resultado ganadora en una licitación, no concurra </w:t>
      </w:r>
      <w:r w:rsidRPr="0020402F">
        <w:rPr>
          <w:rFonts w:ascii="Palatino Linotype" w:eastAsia="Palatino Linotype" w:hAnsi="Palatino Linotype" w:cs="Palatino Linotype"/>
          <w:i/>
          <w:sz w:val="22"/>
          <w:szCs w:val="22"/>
        </w:rPr>
        <w:lastRenderedPageBreak/>
        <w:t>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3E88F924"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IX</w:t>
      </w:r>
      <w:r w:rsidRPr="0020402F">
        <w:rPr>
          <w:rFonts w:ascii="Palatino Linotype" w:eastAsia="Palatino Linotype" w:hAnsi="Palatino Linotype" w:cs="Palatino Linotype"/>
          <w:i/>
          <w:sz w:val="22"/>
          <w:szCs w:val="22"/>
        </w:rPr>
        <w:t>. Se hubiere declarado desierto un procedimiento de invitación restringida.</w:t>
      </w:r>
    </w:p>
    <w:p w14:paraId="27CAAEC0"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w:t>
      </w:r>
      <w:r w:rsidRPr="0020402F">
        <w:rPr>
          <w:rFonts w:ascii="Palatino Linotype" w:eastAsia="Palatino Linotype" w:hAnsi="Palatino Linotype" w:cs="Palatino Linotype"/>
          <w:i/>
          <w:sz w:val="22"/>
          <w:szCs w:val="22"/>
        </w:rPr>
        <w:t xml:space="preserve">. Cuando se aseguren condiciones financieras que permitan al Estado o a los municipios cumplir con la obligación de pago de manera diferida, sin que ello implique un costo financiero adicional o </w:t>
      </w:r>
      <w:proofErr w:type="gramStart"/>
      <w:r w:rsidRPr="0020402F">
        <w:rPr>
          <w:rFonts w:ascii="Palatino Linotype" w:eastAsia="Palatino Linotype" w:hAnsi="Palatino Linotype" w:cs="Palatino Linotype"/>
          <w:i/>
          <w:sz w:val="22"/>
          <w:szCs w:val="22"/>
        </w:rPr>
        <w:t>que</w:t>
      </w:r>
      <w:proofErr w:type="gramEnd"/>
      <w:r w:rsidRPr="0020402F">
        <w:rPr>
          <w:rFonts w:ascii="Palatino Linotype" w:eastAsia="Palatino Linotype" w:hAnsi="Palatino Linotype" w:cs="Palatino Linotype"/>
          <w:i/>
          <w:sz w:val="22"/>
          <w:szCs w:val="22"/>
        </w:rPr>
        <w:t xml:space="preserve"> habiéndolo, sea inferior al del mercado, o</w:t>
      </w:r>
    </w:p>
    <w:p w14:paraId="259EB8F8"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XI. </w:t>
      </w:r>
      <w:r w:rsidRPr="0020402F">
        <w:rPr>
          <w:rFonts w:ascii="Palatino Linotype" w:eastAsia="Palatino Linotype" w:hAnsi="Palatino Linotype" w:cs="Palatino Linotype"/>
          <w:b/>
          <w:i/>
          <w:sz w:val="22"/>
          <w:szCs w:val="22"/>
          <w:u w:val="single"/>
        </w:rPr>
        <w:t>El importe de la operación no rebase los montos establecidos en el Presupuesto de Egresos</w:t>
      </w:r>
      <w:r w:rsidRPr="0020402F">
        <w:rPr>
          <w:rFonts w:ascii="Palatino Linotype" w:eastAsia="Palatino Linotype" w:hAnsi="Palatino Linotype" w:cs="Palatino Linotype"/>
          <w:b/>
          <w:i/>
          <w:sz w:val="22"/>
          <w:szCs w:val="22"/>
        </w:rPr>
        <w:t xml:space="preserve"> del Gobierno del Estado del ejercicio correspondiente. Tratándose de arrendamientos de inmuebles se entenderá por importe de la operación el monto mensual de la renta.</w:t>
      </w:r>
    </w:p>
    <w:p w14:paraId="552AC4EE"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64D1B932" w14:textId="77777777" w:rsidR="00CE08AC" w:rsidRPr="0020402F" w:rsidRDefault="00040DB7">
      <w:pPr>
        <w:tabs>
          <w:tab w:val="left" w:pos="7938"/>
        </w:tabs>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XII</w:t>
      </w:r>
      <w:r w:rsidRPr="0020402F">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5CBAB217" w14:textId="77777777" w:rsidR="00CE08AC" w:rsidRPr="0020402F" w:rsidRDefault="00040DB7">
      <w:pPr>
        <w:tabs>
          <w:tab w:val="left" w:pos="7938"/>
        </w:tabs>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49.-</w:t>
      </w:r>
      <w:r w:rsidRPr="0020402F">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014F110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Asimismo, es imprescindible mencionar que los </w:t>
      </w:r>
      <w:r w:rsidRPr="0020402F">
        <w:rPr>
          <w:rFonts w:ascii="Palatino Linotype" w:eastAsia="Palatino Linotype" w:hAnsi="Palatino Linotype" w:cs="Palatino Linotype"/>
          <w:b/>
        </w:rPr>
        <w:t>contratos pedido</w:t>
      </w:r>
      <w:r w:rsidRPr="0020402F">
        <w:rPr>
          <w:rFonts w:ascii="Palatino Linotype" w:eastAsia="Palatino Linotype" w:hAnsi="Palatino Linotype" w:cs="Palatino Linotype"/>
        </w:rPr>
        <w:t xml:space="preserve">, de conformidad con el artículo 80 dela Ley de Contratación Pública del Estado, son aquellos </w:t>
      </w:r>
      <w:r w:rsidRPr="0020402F">
        <w:rPr>
          <w:rFonts w:ascii="Palatino Linotype" w:eastAsia="Palatino Linotype" w:hAnsi="Palatino Linotype" w:cs="Palatino Linotype"/>
          <w:b/>
        </w:rPr>
        <w:t>instrumentos que permiten a las dependencias</w:t>
      </w:r>
      <w:r w:rsidRPr="0020402F">
        <w:rPr>
          <w:rFonts w:ascii="Palatino Linotype" w:eastAsia="Palatino Linotype" w:hAnsi="Palatino Linotype" w:cs="Palatino Linotype"/>
        </w:rPr>
        <w:t xml:space="preserve">, a las entidades, a los tribunales administrativos y a los ayuntamientos </w:t>
      </w:r>
      <w:r w:rsidRPr="0020402F">
        <w:rPr>
          <w:rFonts w:ascii="Palatino Linotype" w:eastAsia="Palatino Linotype" w:hAnsi="Palatino Linotype" w:cs="Palatino Linotype"/>
          <w:b/>
        </w:rPr>
        <w:t>adquirir bienes o contratar servicios</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por una cantidad que no exceda los montos establecidos para la adjudicación directa</w:t>
      </w:r>
      <w:r w:rsidRPr="0020402F">
        <w:rPr>
          <w:rFonts w:ascii="Palatino Linotype" w:eastAsia="Palatino Linotype" w:hAnsi="Palatino Linotype" w:cs="Palatino Linotype"/>
        </w:rPr>
        <w:t xml:space="preserve">, de conformidad con lo previsto en la fracción XI del artículo 48 de la presente Ley, </w:t>
      </w:r>
      <w:r w:rsidRPr="0020402F">
        <w:rPr>
          <w:rFonts w:ascii="Palatino Linotype" w:eastAsia="Palatino Linotype" w:hAnsi="Palatino Linotype" w:cs="Palatino Linotype"/>
        </w:rPr>
        <w:lastRenderedPageBreak/>
        <w:t>debiendo, las dependencias contratos pedido para la contratación de bienes o de servicios, que realicen al amparo de dicha fracción.</w:t>
      </w:r>
    </w:p>
    <w:p w14:paraId="514CBF89"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Mientras que los artículos 92 y 141 del Reglamento de la Ley, establecen las formalidades que deben observarse para la celebración de los contratos pedido, a saber: </w:t>
      </w:r>
    </w:p>
    <w:p w14:paraId="085CD8FE"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92</w:t>
      </w:r>
      <w:r w:rsidRPr="0020402F">
        <w:rPr>
          <w:rFonts w:ascii="Palatino Linotype" w:eastAsia="Palatino Linotype" w:hAnsi="Palatino Linotype" w:cs="Palatino Linotype"/>
          <w:i/>
          <w:sz w:val="22"/>
          <w:szCs w:val="22"/>
        </w:rPr>
        <w:t xml:space="preserve">.- Para los </w:t>
      </w:r>
      <w:r w:rsidRPr="0020402F">
        <w:rPr>
          <w:rFonts w:ascii="Palatino Linotype" w:eastAsia="Palatino Linotype" w:hAnsi="Palatino Linotype" w:cs="Palatino Linotype"/>
          <w:b/>
          <w:i/>
          <w:sz w:val="22"/>
          <w:szCs w:val="22"/>
        </w:rPr>
        <w:t>procedimientos de adjudicación directa cuyo importe de la operación no rebase los montos establecidos en el Presupuesto de Egresos</w:t>
      </w:r>
      <w:r w:rsidRPr="0020402F">
        <w:rPr>
          <w:rFonts w:ascii="Palatino Linotype" w:eastAsia="Palatino Linotype" w:hAnsi="Palatino Linotype" w:cs="Palatino Linotype"/>
          <w:i/>
          <w:sz w:val="22"/>
          <w:szCs w:val="22"/>
        </w:rPr>
        <w:t xml:space="preserve"> del Gobierno del Estado en el ejercicio correspondiente </w:t>
      </w:r>
      <w:r w:rsidRPr="0020402F">
        <w:rPr>
          <w:rFonts w:ascii="Palatino Linotype" w:eastAsia="Palatino Linotype" w:hAnsi="Palatino Linotype" w:cs="Palatino Linotype"/>
          <w:b/>
          <w:i/>
          <w:sz w:val="22"/>
          <w:szCs w:val="22"/>
        </w:rPr>
        <w:t>y, cuyo importe sea superior al monto determinado para el fondo fijo de caja</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u w:val="single"/>
        </w:rPr>
        <w:t>se deberá celebrar contrato pedido</w:t>
      </w:r>
      <w:r w:rsidRPr="0020402F">
        <w:rPr>
          <w:rFonts w:ascii="Palatino Linotype" w:eastAsia="Palatino Linotype" w:hAnsi="Palatino Linotype" w:cs="Palatino Linotype"/>
          <w:i/>
          <w:sz w:val="22"/>
          <w:szCs w:val="22"/>
        </w:rPr>
        <w:t>, sin que sea necesario observar las disposiciones de los demás artículos de esta Sección.</w:t>
      </w:r>
    </w:p>
    <w:p w14:paraId="6CFD4EA1"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w:t>
      </w:r>
    </w:p>
    <w:p w14:paraId="4CBE65D5"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3F557339" w14:textId="77777777" w:rsidR="00CE08AC" w:rsidRPr="0020402F" w:rsidRDefault="00040DB7">
      <w:pPr>
        <w:spacing w:before="120" w:after="120"/>
        <w:ind w:left="851" w:right="902"/>
        <w:jc w:val="both"/>
        <w:rPr>
          <w:rFonts w:ascii="Palatino Linotype" w:eastAsia="Palatino Linotype" w:hAnsi="Palatino Linotype" w:cs="Palatino Linotype"/>
          <w:i/>
          <w:sz w:val="20"/>
          <w:szCs w:val="20"/>
        </w:rPr>
      </w:pPr>
      <w:r w:rsidRPr="0020402F">
        <w:rPr>
          <w:rFonts w:ascii="Palatino Linotype" w:eastAsia="Palatino Linotype" w:hAnsi="Palatino Linotype" w:cs="Palatino Linotype"/>
          <w:i/>
          <w:sz w:val="22"/>
          <w:szCs w:val="22"/>
        </w:rPr>
        <w:t>En el caso de los municipios, las cotizaciones deberán obtenerse a través de sus áreas de administración.</w:t>
      </w:r>
    </w:p>
    <w:p w14:paraId="4C321930"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38FD2B38"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141</w:t>
      </w:r>
      <w:r w:rsidRPr="0020402F">
        <w:rPr>
          <w:rFonts w:ascii="Palatino Linotype" w:eastAsia="Palatino Linotype" w:hAnsi="Palatino Linotype" w:cs="Palatino Linotype"/>
          <w:i/>
          <w:sz w:val="22"/>
          <w:szCs w:val="22"/>
        </w:rPr>
        <w:t xml:space="preserve">.-Los contratos pedido que </w:t>
      </w:r>
      <w:r w:rsidRPr="0020402F">
        <w:rPr>
          <w:rFonts w:ascii="Palatino Linotype" w:eastAsia="Palatino Linotype" w:hAnsi="Palatino Linotype" w:cs="Palatino Linotype"/>
          <w:b/>
          <w:i/>
          <w:sz w:val="22"/>
          <w:szCs w:val="22"/>
        </w:rPr>
        <w:t>se celebren al amparo del artículo 80 de la Ley</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u w:val="single"/>
        </w:rPr>
        <w:t>se realizarán directamente por las unidades administrativas de las dependencias</w:t>
      </w:r>
      <w:r w:rsidRPr="0020402F">
        <w:rPr>
          <w:rFonts w:ascii="Palatino Linotype" w:eastAsia="Palatino Linotype" w:hAnsi="Palatino Linotype" w:cs="Palatino Linotype"/>
          <w:i/>
          <w:sz w:val="22"/>
          <w:szCs w:val="22"/>
        </w:rPr>
        <w:t xml:space="preserve">, organismos auxiliares, tribunales administrativos y municipios, y serán formalizados con el proveedor que resultó seleccionado del análisis de al menos dos cotizaciones obtenidas, en términos del artículo 92 del </w:t>
      </w:r>
      <w:r w:rsidRPr="0020402F">
        <w:rPr>
          <w:rFonts w:ascii="Palatino Linotype" w:eastAsia="Palatino Linotype" w:hAnsi="Palatino Linotype" w:cs="Palatino Linotype"/>
          <w:i/>
          <w:sz w:val="22"/>
          <w:szCs w:val="22"/>
        </w:rPr>
        <w:lastRenderedPageBreak/>
        <w:t xml:space="preserve">presente Reglamento y que garantice las mejores condiciones en cuanto a precio, calidad, financiamiento, oportunidad y demás circunstancias pertinentes. </w:t>
      </w:r>
    </w:p>
    <w:p w14:paraId="636FC295"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5188B3A8"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Los </w:t>
      </w:r>
      <w:proofErr w:type="gramStart"/>
      <w:r w:rsidRPr="0020402F">
        <w:rPr>
          <w:rFonts w:ascii="Palatino Linotype" w:eastAsia="Palatino Linotype" w:hAnsi="Palatino Linotype" w:cs="Palatino Linotype"/>
          <w:i/>
          <w:sz w:val="22"/>
          <w:szCs w:val="22"/>
        </w:rPr>
        <w:t>contratos pedido</w:t>
      </w:r>
      <w:proofErr w:type="gramEnd"/>
      <w:r w:rsidRPr="0020402F">
        <w:rPr>
          <w:rFonts w:ascii="Palatino Linotype" w:eastAsia="Palatino Linotype" w:hAnsi="Palatino Linotype" w:cs="Palatino Linotype"/>
          <w:i/>
          <w:sz w:val="22"/>
          <w:szCs w:val="22"/>
        </w:rPr>
        <w:t xml:space="preserve"> deberán contener como mínimo lo siguiente: </w:t>
      </w:r>
    </w:p>
    <w:p w14:paraId="04611298"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Descripción, unidad de medida y cantidad de los bienes y/o servicios; </w:t>
      </w:r>
    </w:p>
    <w:p w14:paraId="1B130D8A"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II. </w:t>
      </w:r>
      <w:r w:rsidRPr="0020402F">
        <w:rPr>
          <w:rFonts w:ascii="Palatino Linotype" w:eastAsia="Palatino Linotype" w:hAnsi="Palatino Linotype" w:cs="Palatino Linotype"/>
          <w:i/>
          <w:sz w:val="22"/>
          <w:szCs w:val="22"/>
        </w:rPr>
        <w:t xml:space="preserve">Lugar y plazo de entrega de los bienes o de la prestación de los servicios; </w:t>
      </w:r>
    </w:p>
    <w:p w14:paraId="44FB2313"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Precio unitario de los bienes y/o servicios e importe total; y </w:t>
      </w:r>
    </w:p>
    <w:p w14:paraId="717D75BA"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Garantía de defectos o vicios ocultos, la cual deberá ser hasta por un diez por ciento del importe total del contrato pedido y deberá estar vigente al menos por un año, contado a partir de la fecha de recepción de los bienes. No aplicará lo dispuesto en esta fracción a los proveedores sociales. </w:t>
      </w:r>
    </w:p>
    <w:p w14:paraId="751A5B00"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Los contratantes bajo su responsabilidad y previa justificación documental que deberá obrar en el expediente adquisitivo, podrán exceptuar a los proveedores de otorgar la garantía de defectos o vicios ocultos. </w:t>
      </w:r>
    </w:p>
    <w:p w14:paraId="0F2207B6"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ningún caso se podrá fraccionar el importe de las operaciones con el propósito de quedar comprendidas en este supuesto. </w:t>
      </w:r>
    </w:p>
    <w:p w14:paraId="278E9C92"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w:t>
      </w:r>
    </w:p>
    <w:p w14:paraId="25196382"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porque ponga en riesgo la seguridad del Estado, bastará con obtener sólo una cotización.”</w:t>
      </w:r>
    </w:p>
    <w:p w14:paraId="5A0B3D3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Aunado a lo anterior, respecto de la obra pública, resulta aplicable el Libro Décimo Segundo del Código Administrativo del Estado de México, mismo que tiene por objeto, de conformidad con el artículo 12.1, regular los actos relativos a la </w:t>
      </w:r>
      <w:r w:rsidRPr="0020402F">
        <w:rPr>
          <w:rFonts w:ascii="Palatino Linotype" w:eastAsia="Palatino Linotype" w:hAnsi="Palatino Linotype" w:cs="Palatino Linotype"/>
        </w:rPr>
        <w:lastRenderedPageBreak/>
        <w:t>planeación, programación, presupuestación, adjudicación, contratación, ejecución y control de la obra pública, así como los servicios relacionados con la misma que, por sí o por conducto de terceros, realicen las secretarías y unidades administrativas del Poder Ejecutivo; la Fiscalía General de Justicia; los ayuntamientos de los municipios del Estado; los organismos auxiliares y fideicomisos públicos del Estado y municipios y los tribunales administrativos, y que en su parte conducente establece lo siguiente:</w:t>
      </w:r>
    </w:p>
    <w:p w14:paraId="7C38D373"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12.20</w:t>
      </w:r>
      <w:r w:rsidRPr="0020402F">
        <w:rPr>
          <w:rFonts w:ascii="Palatino Linotype" w:eastAsia="Palatino Linotype" w:hAnsi="Palatino Linotype" w:cs="Palatino Linotype"/>
          <w:i/>
          <w:sz w:val="22"/>
          <w:szCs w:val="22"/>
        </w:rPr>
        <w:t xml:space="preserve">.- Los contratos a que se refiere este Libro, se adjudicarán a través de licitaciones públicas, mediante convocatoria pública. </w:t>
      </w:r>
    </w:p>
    <w:p w14:paraId="2B14ECDF"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12.21</w:t>
      </w:r>
      <w:r w:rsidRPr="0020402F">
        <w:rPr>
          <w:rFonts w:ascii="Palatino Linotype" w:eastAsia="Palatino Linotype" w:hAnsi="Palatino Linotype" w:cs="Palatino Linotype"/>
          <w:i/>
          <w:sz w:val="22"/>
          <w:szCs w:val="22"/>
        </w:rPr>
        <w:t>.- Las dependencias, entidades y ayuntamientos podrán adjudicar contratos para la ejecución de obra pública o servicios relacionados con la misma. mediante las excepciones al procedimiento de licitación siguientes:</w:t>
      </w:r>
    </w:p>
    <w:p w14:paraId="5CCFF7DC"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Invitación restringida; </w:t>
      </w:r>
    </w:p>
    <w:p w14:paraId="31648C63"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Adjudicación directa.</w:t>
      </w:r>
    </w:p>
    <w:p w14:paraId="796A8728"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12.22</w:t>
      </w:r>
      <w:r w:rsidRPr="0020402F">
        <w:rPr>
          <w:rFonts w:ascii="Palatino Linotype" w:eastAsia="Palatino Linotype" w:hAnsi="Palatino Linotype" w:cs="Palatino Linotype"/>
          <w:i/>
          <w:sz w:val="22"/>
          <w:szCs w:val="22"/>
        </w:rPr>
        <w:t xml:space="preserve">.- En el procedimiento de licitación pública deberán establecerse los mismos requisitos y condiciones para todos los participantes, debiendo las dependencias, entidades y ayuntamientos, </w:t>
      </w:r>
      <w:proofErr w:type="gramStart"/>
      <w:r w:rsidRPr="0020402F">
        <w:rPr>
          <w:rFonts w:ascii="Palatino Linotype" w:eastAsia="Palatino Linotype" w:hAnsi="Palatino Linotype" w:cs="Palatino Linotype"/>
          <w:i/>
          <w:sz w:val="22"/>
          <w:szCs w:val="22"/>
        </w:rPr>
        <w:t>proporcionarles</w:t>
      </w:r>
      <w:proofErr w:type="gramEnd"/>
      <w:r w:rsidRPr="0020402F">
        <w:rPr>
          <w:rFonts w:ascii="Palatino Linotype" w:eastAsia="Palatino Linotype" w:hAnsi="Palatino Linotype" w:cs="Palatino Linotype"/>
          <w:i/>
          <w:sz w:val="22"/>
          <w:szCs w:val="22"/>
        </w:rPr>
        <w:t xml:space="preserve"> igual acceso a la información relacionada con dicho procedimiento, a fin de evitar favorecer a algún participante.</w:t>
      </w:r>
    </w:p>
    <w:p w14:paraId="06CFF788"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7357C264"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12.25</w:t>
      </w:r>
      <w:r w:rsidRPr="0020402F">
        <w:rPr>
          <w:rFonts w:ascii="Palatino Linotype" w:eastAsia="Palatino Linotype" w:hAnsi="Palatino Linotype" w:cs="Palatino Linotype"/>
          <w:i/>
          <w:sz w:val="22"/>
          <w:szCs w:val="22"/>
        </w:rPr>
        <w:t xml:space="preserve">.- Las convocatorias públicas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 </w:t>
      </w:r>
    </w:p>
    <w:p w14:paraId="08C97A0E"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El nombre, denominación o razón social de la dependencia, entidad o ayuntamiento convocante; </w:t>
      </w:r>
    </w:p>
    <w:p w14:paraId="345C2B27"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El nombre y la descripción general de la obra o del servicio y el lugar en donde se llevarán a cabo los trabajos; </w:t>
      </w:r>
    </w:p>
    <w:p w14:paraId="4EF03642"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La indicación de si la licitación es nacional o internacional; y en caso de ser internacional, si se realizará o no bajo la cobertura del capítulo de compras </w:t>
      </w:r>
      <w:r w:rsidRPr="0020402F">
        <w:rPr>
          <w:rFonts w:ascii="Palatino Linotype" w:eastAsia="Palatino Linotype" w:hAnsi="Palatino Linotype" w:cs="Palatino Linotype"/>
          <w:i/>
          <w:sz w:val="22"/>
          <w:szCs w:val="22"/>
        </w:rPr>
        <w:lastRenderedPageBreak/>
        <w:t xml:space="preserve">del sector público de alguno de los Tratados de Libre Comercio celebrados por México con otras naciones y el idioma o idiomas, además del español, en que podrán presentarse las proposiciones; </w:t>
      </w:r>
    </w:p>
    <w:p w14:paraId="705E5991"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El origen de los recursos para su ejecución;</w:t>
      </w:r>
    </w:p>
    <w:p w14:paraId="6E9EF67A"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w:t>
      </w:r>
      <w:r w:rsidRPr="0020402F">
        <w:rPr>
          <w:rFonts w:ascii="Palatino Linotype" w:eastAsia="Palatino Linotype" w:hAnsi="Palatino Linotype" w:cs="Palatino Linotype"/>
          <w:i/>
          <w:sz w:val="22"/>
          <w:szCs w:val="22"/>
        </w:rPr>
        <w:t xml:space="preserve"> La forma en que los interesados deberán acreditar su existencia legal, experiencia, capacidad técnica y financiera que se requiera para participar en la licitación, de acuerdo con las características, complejidad y magnitud de los trabajos;</w:t>
      </w:r>
    </w:p>
    <w:p w14:paraId="63628840"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w:t>
      </w:r>
      <w:r w:rsidRPr="0020402F">
        <w:rPr>
          <w:rFonts w:ascii="Palatino Linotype" w:eastAsia="Palatino Linotype" w:hAnsi="Palatino Linotype" w:cs="Palatino Linotype"/>
          <w:i/>
          <w:sz w:val="22"/>
          <w:szCs w:val="22"/>
        </w:rPr>
        <w:t xml:space="preserve">. La indicación de los lugares, fechas, horarios y medios electrónicos en que los interesados podrán obtener las bases de la licitación y en su caso, el costo y forma de pago de las mismas; </w:t>
      </w:r>
    </w:p>
    <w:p w14:paraId="5611E8AC"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w:t>
      </w:r>
      <w:r w:rsidRPr="0020402F">
        <w:rPr>
          <w:rFonts w:ascii="Palatino Linotype" w:eastAsia="Palatino Linotype" w:hAnsi="Palatino Linotype" w:cs="Palatino Linotype"/>
          <w:i/>
          <w:sz w:val="22"/>
          <w:szCs w:val="22"/>
        </w:rPr>
        <w:t xml:space="preserve"> El lugar, fecha y hora de celebración de los actos relativos a la presentación y apertura de proposiciones y a la vista al sitio de realización de los trabajos; </w:t>
      </w:r>
    </w:p>
    <w:p w14:paraId="0817FE22"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VIII.</w:t>
      </w:r>
      <w:r w:rsidRPr="0020402F">
        <w:rPr>
          <w:rFonts w:ascii="Palatino Linotype" w:eastAsia="Palatino Linotype" w:hAnsi="Palatino Linotype" w:cs="Palatino Linotype"/>
          <w:i/>
          <w:sz w:val="22"/>
          <w:szCs w:val="22"/>
        </w:rPr>
        <w:t xml:space="preserve"> Plazo de ejecución de los trabajos, indicando la fecha estimada de inicio de los mismos, así como el importe de la primera asignación, en el caso de que dicho plazo comprenda más de un ejercicio; </w:t>
      </w:r>
    </w:p>
    <w:p w14:paraId="1B7D0431"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IX</w:t>
      </w:r>
      <w:r w:rsidRPr="0020402F">
        <w:rPr>
          <w:rFonts w:ascii="Palatino Linotype" w:eastAsia="Palatino Linotype" w:hAnsi="Palatino Linotype" w:cs="Palatino Linotype"/>
          <w:i/>
          <w:sz w:val="22"/>
          <w:szCs w:val="22"/>
        </w:rPr>
        <w:t xml:space="preserve">. Los porcentajes de los anticipos que, en su caso, se otorgarán; </w:t>
      </w:r>
    </w:p>
    <w:p w14:paraId="26169B3A"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w:t>
      </w:r>
      <w:r w:rsidRPr="0020402F">
        <w:rPr>
          <w:rFonts w:ascii="Palatino Linotype" w:eastAsia="Palatino Linotype" w:hAnsi="Palatino Linotype" w:cs="Palatino Linotype"/>
          <w:i/>
          <w:sz w:val="22"/>
          <w:szCs w:val="22"/>
        </w:rPr>
        <w:t xml:space="preserve">. La indicación de las personas que estén impedidas a participar, conforme con las disposiciones de este Libro; </w:t>
      </w:r>
    </w:p>
    <w:p w14:paraId="4C4DC83A"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w:t>
      </w:r>
      <w:r w:rsidRPr="0020402F">
        <w:rPr>
          <w:rFonts w:ascii="Palatino Linotype" w:eastAsia="Palatino Linotype" w:hAnsi="Palatino Linotype" w:cs="Palatino Linotype"/>
          <w:i/>
          <w:sz w:val="22"/>
          <w:szCs w:val="22"/>
        </w:rPr>
        <w:t xml:space="preserve"> La garantía que deberá otorgarse para asegurar la seriedad de la propuesta; </w:t>
      </w:r>
    </w:p>
    <w:p w14:paraId="5F072FD6"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XII</w:t>
      </w:r>
      <w:r w:rsidRPr="0020402F">
        <w:rPr>
          <w:rFonts w:ascii="Palatino Linotype" w:eastAsia="Palatino Linotype" w:hAnsi="Palatino Linotype" w:cs="Palatino Linotype"/>
          <w:i/>
          <w:sz w:val="22"/>
          <w:szCs w:val="22"/>
        </w:rPr>
        <w:t xml:space="preserve">. Los ejercicios en que deberá pagarse la obra o servicio relacionados con la misma, cuando se trate de pago diferido; </w:t>
      </w:r>
    </w:p>
    <w:p w14:paraId="31C30B9F"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XIII.</w:t>
      </w:r>
      <w:r w:rsidRPr="0020402F">
        <w:rPr>
          <w:rFonts w:ascii="Palatino Linotype" w:eastAsia="Palatino Linotype" w:hAnsi="Palatino Linotype" w:cs="Palatino Linotype"/>
          <w:i/>
          <w:sz w:val="22"/>
          <w:szCs w:val="22"/>
        </w:rPr>
        <w:t xml:space="preserve"> Los demás requisitos generales que deberán cumplir los interesados, según las características, complejidad y magnitud de los trabajos. La Contraloría hará pública la información referente a los procedimientos de adjudicación que determine, a través de los medios de difusión electrónica que establezca. </w:t>
      </w:r>
    </w:p>
    <w:p w14:paraId="22A1954D"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12.26</w:t>
      </w:r>
      <w:r w:rsidRPr="0020402F">
        <w:rPr>
          <w:rFonts w:ascii="Palatino Linotype" w:eastAsia="Palatino Linotype" w:hAnsi="Palatino Linotype" w:cs="Palatino Linotype"/>
          <w:i/>
          <w:sz w:val="22"/>
          <w:szCs w:val="22"/>
        </w:rPr>
        <w:t xml:space="preserve">.- La evaluación de las proposiciones sólo podrá realizarse cuando éstas cumplan con los requisitos establecidos en las bases de licitación. </w:t>
      </w:r>
    </w:p>
    <w:p w14:paraId="2BE969D7"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El Reglamento de este Libro establecerá los procedimientos y criterios para la evaluación de las propuestas y los requisitos de las bases de licitación, las que en todo caso deberán garantizar el cumplimiento del contrato y considerar costas de mercado.</w:t>
      </w:r>
    </w:p>
    <w:p w14:paraId="348E1FCB"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 xml:space="preserve">Lo dispuesto en este artículo será aplicable para los procedimientos de invitación restringida. </w:t>
      </w:r>
    </w:p>
    <w:p w14:paraId="4B667B8C"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12.27.-</w:t>
      </w:r>
      <w:r w:rsidRPr="0020402F">
        <w:rPr>
          <w:rFonts w:ascii="Palatino Linotype" w:eastAsia="Palatino Linotype" w:hAnsi="Palatino Linotype" w:cs="Palatino Linotype"/>
          <w:i/>
          <w:sz w:val="22"/>
          <w:szCs w:val="22"/>
        </w:rPr>
        <w:t xml:space="preserve"> 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 </w:t>
      </w:r>
    </w:p>
    <w:p w14:paraId="359E8AAB"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12.28</w:t>
      </w:r>
      <w:r w:rsidRPr="0020402F">
        <w:rPr>
          <w:rFonts w:ascii="Palatino Linotype" w:eastAsia="Palatino Linotype" w:hAnsi="Palatino Linotype" w:cs="Palatino Linotype"/>
          <w:i/>
          <w:sz w:val="22"/>
          <w:szCs w:val="22"/>
        </w:rPr>
        <w:t>.- El contrato se adjudicará de entre los licitantes, a aquel cuya propuesta cumpla con las bases de licitación y resulte idónea por asegurar las mejores condiciones disponibles en cuanto a precio, calidad, financiamiento, oportunidad y demás circunstancias pertinentes.</w:t>
      </w:r>
    </w:p>
    <w:p w14:paraId="1E3A8FAD"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47A69340"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12.30.-</w:t>
      </w:r>
      <w:r w:rsidRPr="0020402F">
        <w:rPr>
          <w:rFonts w:ascii="Palatino Linotype" w:eastAsia="Palatino Linotype" w:hAnsi="Palatino Linotype" w:cs="Palatino Linotype"/>
          <w:i/>
          <w:sz w:val="22"/>
          <w:szCs w:val="22"/>
        </w:rPr>
        <w:t xml:space="preserve"> 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 La falta de firma de algún licitante no invalidará su contenido y efectos, poniéndose a partir de esa fecha a disposición de los que no hayan asistido, para su conocimiento.</w:t>
      </w:r>
    </w:p>
    <w:p w14:paraId="5C6BC8F4" w14:textId="77777777" w:rsidR="00CE08AC" w:rsidRPr="0020402F" w:rsidRDefault="00040DB7">
      <w:pPr>
        <w:spacing w:before="120" w:after="120"/>
        <w:ind w:left="851" w:right="900"/>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2E091627"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12.33</w:t>
      </w:r>
      <w:r w:rsidRPr="0020402F">
        <w:rPr>
          <w:rFonts w:ascii="Palatino Linotype" w:eastAsia="Palatino Linotype" w:hAnsi="Palatino Linotype" w:cs="Palatino Linotype"/>
          <w:i/>
          <w:sz w:val="22"/>
          <w:szCs w:val="22"/>
        </w:rPr>
        <w:t>.- Las dependencias, entidades y ayuntamientos, bajo su responsabilidad, podrán celebrar contratos a través de las modalidades de invitación restringida y adjudicación directa.</w:t>
      </w:r>
    </w:p>
    <w:p w14:paraId="2DA3A405"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El acreditamiento de los criterios mencionados y la justificación para el ejercicio de la opción, deberán hacerse constar mediante acuerdo del titular de la dependencia o entidad convocante o del cabildo. </w:t>
      </w:r>
    </w:p>
    <w:p w14:paraId="79D82316"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todo caso se invitará o adjudicará de manera directa a personas que cuenten con capacidad de respuesta inmediata, así como con los recursos técnicos, financieros y demás que sean necesarios, de acuerdo con las características, complejidad y magnitud de los trabajos a ejecutar. </w:t>
      </w:r>
    </w:p>
    <w:p w14:paraId="73C709EF"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El titular de la dependencia o entidad autorizada por la Secretaría del Ramo de la contratación de los trabajos, dentro de los cinco primeros días hábiles de cada mes, enviará a la Contraloría un informe relativo a los contratos formalizados durante el mes calendario inmediato anterior. </w:t>
      </w:r>
    </w:p>
    <w:p w14:paraId="35D51B46"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Tendrán la misma obligación los ayuntamientos que contraten obra pública o servicios relacionados con la misma, con cargo total o parcial a recursos estatales.</w:t>
      </w:r>
    </w:p>
    <w:p w14:paraId="4B84133D"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 xml:space="preserve"> El procedimiento de invitación restringida se desarrollará en los términos de la licitación pública, a excepción de la publicación de la convocatoria pública.</w:t>
      </w:r>
    </w:p>
    <w:p w14:paraId="24E2D797"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12.34.</w:t>
      </w:r>
      <w:r w:rsidRPr="0020402F">
        <w:rPr>
          <w:rFonts w:ascii="Palatino Linotype" w:eastAsia="Palatino Linotype" w:hAnsi="Palatino Linotype" w:cs="Palatino Linotype"/>
          <w:i/>
          <w:sz w:val="22"/>
          <w:szCs w:val="22"/>
        </w:rPr>
        <w:t xml:space="preserve">- Las dependencias, entidades y ayuntamientos podrán contratar obra pública o servicios relacionados con la misma, mediante el procedimiento de invitación restringida, cuando: </w:t>
      </w:r>
    </w:p>
    <w:p w14:paraId="2D7579D3"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Se hubiere declarado desierto un procedimiento de licitación; o </w:t>
      </w:r>
    </w:p>
    <w:p w14:paraId="0ECF4F73"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Las obras o servicios a contratar, no rebasen los montos establecidos por el Presupuesto de Egresos del Gobierno del Estado del ejercicio correspondiente. </w:t>
      </w:r>
    </w:p>
    <w:p w14:paraId="4227A04E"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12.35</w:t>
      </w:r>
      <w:r w:rsidRPr="0020402F">
        <w:rPr>
          <w:rFonts w:ascii="Palatino Linotype" w:eastAsia="Palatino Linotype" w:hAnsi="Palatino Linotype" w:cs="Palatino Linotype"/>
          <w:i/>
          <w:sz w:val="22"/>
          <w:szCs w:val="22"/>
        </w:rPr>
        <w:t>.- El procedimiento a que se refiere el artículo anterior, comprende la invitación de tres personas, cuando menos, que serán seleccionadas de entre las que se inscriban en el catálogo de contratistas que para estos efectos opere la Secretaría del Ramo, en los términos que disponga la reglamentación de este Libro.</w:t>
      </w:r>
    </w:p>
    <w:p w14:paraId="053DACA7"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2A152DC1"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12.37</w:t>
      </w:r>
      <w:r w:rsidRPr="0020402F">
        <w:rPr>
          <w:rFonts w:ascii="Palatino Linotype" w:eastAsia="Palatino Linotype" w:hAnsi="Palatino Linotype" w:cs="Palatino Linotype"/>
          <w:i/>
          <w:sz w:val="22"/>
          <w:szCs w:val="22"/>
        </w:rPr>
        <w:t xml:space="preserve">.- Las dependencias, entidades y ayuntamientos podrán adjudicar obra pública o servicios relacionados con la misma, mediante el procedimiento de adjudicación directa, cuando: </w:t>
      </w:r>
    </w:p>
    <w:p w14:paraId="0989099A"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I. </w:t>
      </w:r>
      <w:r w:rsidRPr="0020402F">
        <w:rPr>
          <w:rFonts w:ascii="Palatino Linotype" w:eastAsia="Palatino Linotype" w:hAnsi="Palatino Linotype" w:cs="Palatino Linotype"/>
          <w:i/>
          <w:sz w:val="22"/>
          <w:szCs w:val="22"/>
        </w:rPr>
        <w:t xml:space="preserve">Se trate de restauración de monumentos arqueológicos, artísticos e históricos; </w:t>
      </w:r>
    </w:p>
    <w:p w14:paraId="69420D2B"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II. Para la ejecución de la obra o servicios se requiera contratar al titular de una patente, derechos de autor u otros derechos exclusivos;</w:t>
      </w:r>
    </w:p>
    <w:p w14:paraId="26001B9D"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Se requiera de experiencia, materiales, equipos o técnicas especiales; </w:t>
      </w:r>
    </w:p>
    <w:p w14:paraId="6D302C93"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6C2AFBBC"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w:t>
      </w:r>
      <w:r w:rsidRPr="0020402F">
        <w:rPr>
          <w:rFonts w:ascii="Palatino Linotype" w:eastAsia="Palatino Linotype" w:hAnsi="Palatino Linotype" w:cs="Palatino Linotype"/>
          <w:i/>
          <w:sz w:val="22"/>
          <w:szCs w:val="22"/>
        </w:rPr>
        <w:t xml:space="preserve">. Existan circunstancias que puedan provocar pérdidas o costos adicionales importantes al erario; </w:t>
      </w:r>
    </w:p>
    <w:p w14:paraId="480850B6"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w:t>
      </w:r>
      <w:r w:rsidRPr="0020402F">
        <w:rPr>
          <w:rFonts w:ascii="Palatino Linotype" w:eastAsia="Palatino Linotype" w:hAnsi="Palatino Linotype" w:cs="Palatino Linotype"/>
          <w:i/>
          <w:sz w:val="22"/>
          <w:szCs w:val="22"/>
        </w:rPr>
        <w:t xml:space="preserve">. Pueda comprometerse información de naturaleza confidencial para el Estado o municipios, por razones de seguridad pública; </w:t>
      </w:r>
    </w:p>
    <w:p w14:paraId="020D21E0"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w:t>
      </w:r>
      <w:r w:rsidRPr="0020402F">
        <w:rPr>
          <w:rFonts w:ascii="Palatino Linotype" w:eastAsia="Palatino Linotype" w:hAnsi="Palatino Linotype" w:cs="Palatino Linotype"/>
          <w:i/>
          <w:sz w:val="22"/>
          <w:szCs w:val="22"/>
        </w:rPr>
        <w:t xml:space="preserve">. Existan circunstancias extraordinarias o imprevisibles que generen riesgo o desastre. En este supuesto, la contratación deberá limitarse a lo estrictamente necesario para enfrentar tal eventualidad; </w:t>
      </w:r>
    </w:p>
    <w:p w14:paraId="4CD933FD"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lastRenderedPageBreak/>
        <w:t>VIII</w:t>
      </w:r>
      <w:r w:rsidRPr="0020402F">
        <w:rPr>
          <w:rFonts w:ascii="Palatino Linotype" w:eastAsia="Palatino Linotype" w:hAnsi="Palatino Linotype" w:cs="Palatino Linotype"/>
          <w:i/>
          <w:sz w:val="22"/>
          <w:szCs w:val="22"/>
        </w:rPr>
        <w:t xml:space="preserve">. Se hubiere rescindido un contrato por causas imputables al contratista ganador en una licitación; o la persona que habiendo resultado ganadora no concurra a la celebración del contrato en el plazo que dispone este Libro. </w:t>
      </w:r>
    </w:p>
    <w:p w14:paraId="43AC51CB"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44CAC445"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IX.</w:t>
      </w:r>
      <w:r w:rsidRPr="0020402F">
        <w:rPr>
          <w:rFonts w:ascii="Palatino Linotype" w:eastAsia="Palatino Linotype" w:hAnsi="Palatino Linotype" w:cs="Palatino Linotype"/>
          <w:i/>
          <w:sz w:val="22"/>
          <w:szCs w:val="22"/>
        </w:rPr>
        <w:t xml:space="preserve"> Se hubiere declarado desierto un procedimiento de invitación restringida; </w:t>
      </w:r>
    </w:p>
    <w:p w14:paraId="31D857A5"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w:t>
      </w:r>
      <w:r w:rsidRPr="0020402F">
        <w:rPr>
          <w:rFonts w:ascii="Palatino Linotype" w:eastAsia="Palatino Linotype" w:hAnsi="Palatino Linotype" w:cs="Palatino Linotype"/>
          <w:i/>
          <w:sz w:val="22"/>
          <w:szCs w:val="22"/>
        </w:rPr>
        <w:t xml:space="preserve">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53A720D8"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XI.</w:t>
      </w:r>
      <w:r w:rsidRPr="0020402F">
        <w:rPr>
          <w:rFonts w:ascii="Palatino Linotype" w:eastAsia="Palatino Linotype" w:hAnsi="Palatino Linotype" w:cs="Palatino Linotype"/>
          <w:i/>
          <w:sz w:val="22"/>
          <w:szCs w:val="22"/>
        </w:rPr>
        <w:t xml:space="preserve"> Las obras o servicios a contratar, no rebasen los montos establecidos por el Presupuesto de Egresos del Gobierno del Estado del ejercicio correspondiente.</w:t>
      </w:r>
    </w:p>
    <w:p w14:paraId="4DA3D862"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12.38.</w:t>
      </w:r>
      <w:r w:rsidRPr="0020402F">
        <w:rPr>
          <w:rFonts w:ascii="Palatino Linotype" w:eastAsia="Palatino Linotype" w:hAnsi="Palatino Linotype" w:cs="Palatino Linotype"/>
          <w:i/>
          <w:sz w:val="22"/>
          <w:szCs w:val="22"/>
        </w:rPr>
        <w:t xml:space="preserve">- 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21B1003E"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1E631FC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Cabe señalar que los procedimientos y criterios que las dependencias, órganos de gobierno de las entidades o ayuntamientos deben observar en los procedimientos de adjudicación de la obra pública, se encuentran contenidas en el TÍTULO TERCERO De los Procedimientos de Adjudicación de la Obra Pública, del Reglamento del Libro Décimo Segundo del Código Administrativo del Estado de México.</w:t>
      </w:r>
    </w:p>
    <w:p w14:paraId="5BC77D5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otro lado, de conformidad con el artículo 75 de la Ley de Transparencia y Acceso a la Información Pública del Estado de México y Municipios, los Sujetos Obligados se encuentran constreñidos a poner a disposición de los particulares, de manera </w:t>
      </w:r>
      <w:r w:rsidRPr="0020402F">
        <w:rPr>
          <w:rFonts w:ascii="Palatino Linotype" w:eastAsia="Palatino Linotype" w:hAnsi="Palatino Linotype" w:cs="Palatino Linotype"/>
        </w:rPr>
        <w:lastRenderedPageBreak/>
        <w:t>permanente y actualizada de forma sencilla, precisa y entendible, en los respectivos medios electrónicos, de acuerdo con sus facultades, atribuciones u objeto social, la información por lo menos, de los temas, documentos y políticas que dicho ordenamiento señala.</w:t>
      </w:r>
    </w:p>
    <w:p w14:paraId="0F208791" w14:textId="77777777" w:rsidR="00CE08AC" w:rsidRPr="0020402F" w:rsidRDefault="00040DB7">
      <w:pPr>
        <w:spacing w:before="240" w:after="240" w:line="360" w:lineRule="auto"/>
        <w:jc w:val="both"/>
        <w:rPr>
          <w:rFonts w:ascii="Arial" w:eastAsia="Arial" w:hAnsi="Arial" w:cs="Arial"/>
          <w:sz w:val="18"/>
          <w:szCs w:val="18"/>
        </w:rPr>
      </w:pPr>
      <w:r w:rsidRPr="0020402F">
        <w:rPr>
          <w:rFonts w:ascii="Palatino Linotype" w:eastAsia="Palatino Linotype" w:hAnsi="Palatino Linotype" w:cs="Palatino Linotype"/>
        </w:rPr>
        <w:t>Asimismo, que de acuerdo al artículo 76</w:t>
      </w:r>
      <w:r w:rsidRPr="0020402F">
        <w:rPr>
          <w:rFonts w:ascii="Palatino Linotype" w:eastAsia="Palatino Linotype" w:hAnsi="Palatino Linotype" w:cs="Palatino Linotype"/>
          <w:vertAlign w:val="superscript"/>
        </w:rPr>
        <w:footnoteReference w:id="3"/>
      </w:r>
      <w:r w:rsidRPr="0020402F">
        <w:rPr>
          <w:rFonts w:ascii="Palatino Linotype" w:eastAsia="Palatino Linotype" w:hAnsi="Palatino Linotype" w:cs="Palatino Linotype"/>
        </w:rPr>
        <w:t xml:space="preserve"> de la Ley de Transparencia y Acceso a la Información Pública del Estado de México y Municipios, la publicación de la información derivada de las obligaciones de transparencia, se debe realizar conforme a los criterios establecidos por la misma Ley, además de observar los lineamientos técnicos que emita el Sistema Nacional respecto a los formatos de publicación de la información para asegurar que la información sea veraz, confiable, oportuna, congruente, integral, actualizada, accesible, comprensible y verificable; aunado a que se le impone a los Sujetos Obligados un plazo mínimo de tres meses para llevar a cabo la actualización de información disponible en los medios electrónicos, como se advierte en el artículo 77 de la citada Ley, que es del tenor literal siguiente:</w:t>
      </w:r>
    </w:p>
    <w:p w14:paraId="6DFD7D0C" w14:textId="77777777" w:rsidR="00CE08AC" w:rsidRPr="0020402F" w:rsidRDefault="00040DB7">
      <w:pPr>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77. La información correspondiente a las obligaciones de transparencia deberá actualizarse por lo menos cada tres meses</w:t>
      </w:r>
      <w:r w:rsidRPr="0020402F">
        <w:rPr>
          <w:rFonts w:ascii="Palatino Linotype" w:eastAsia="Palatino Linotype" w:hAnsi="Palatino Linotype" w:cs="Palatino Linotype"/>
          <w:i/>
          <w:sz w:val="22"/>
          <w:szCs w:val="22"/>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14:paraId="30B3181E" w14:textId="77777777" w:rsidR="00CE08AC" w:rsidRPr="0020402F" w:rsidRDefault="00CE08AC">
      <w:pPr>
        <w:ind w:left="851" w:right="900"/>
        <w:jc w:val="both"/>
        <w:rPr>
          <w:rFonts w:ascii="Palatino Linotype" w:eastAsia="Palatino Linotype" w:hAnsi="Palatino Linotype" w:cs="Palatino Linotype"/>
          <w:i/>
          <w:sz w:val="22"/>
          <w:szCs w:val="22"/>
        </w:rPr>
      </w:pPr>
    </w:p>
    <w:p w14:paraId="61B0F9F5" w14:textId="77777777" w:rsidR="00CE08AC" w:rsidRPr="0020402F" w:rsidRDefault="00040DB7">
      <w:pPr>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La publicación de la información deberá indicar el sujeto obligado encargado de generarla, así como la fecha de su última actualización.”</w:t>
      </w:r>
    </w:p>
    <w:p w14:paraId="5D721BA5"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En este tenor,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7D9B7B81" w14:textId="77777777" w:rsidR="00CE08AC" w:rsidRPr="0020402F" w:rsidRDefault="00040DB7">
      <w:pPr>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92</w:t>
      </w:r>
      <w:r w:rsidRPr="0020402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DDF9A6" w14:textId="77777777" w:rsidR="00CE08AC" w:rsidRPr="0020402F" w:rsidRDefault="00040DB7">
      <w:pPr>
        <w:tabs>
          <w:tab w:val="left" w:pos="426"/>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6EBF43D2" w14:textId="77777777" w:rsidR="00CE08AC" w:rsidRPr="0020402F" w:rsidRDefault="00040DB7">
      <w:pPr>
        <w:tabs>
          <w:tab w:val="left" w:pos="426"/>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XXIX.</w:t>
      </w:r>
      <w:r w:rsidRPr="0020402F">
        <w:rPr>
          <w:rFonts w:ascii="Palatino Linotype" w:eastAsia="Palatino Linotype" w:hAnsi="Palatino Linotype" w:cs="Palatino Linotype"/>
          <w:i/>
          <w:sz w:val="22"/>
          <w:szCs w:val="22"/>
        </w:rPr>
        <w:t xml:space="preserve"> La </w:t>
      </w:r>
      <w:r w:rsidRPr="0020402F">
        <w:rPr>
          <w:rFonts w:ascii="Palatino Linotype" w:eastAsia="Palatino Linotype" w:hAnsi="Palatino Linotype" w:cs="Palatino Linotype"/>
          <w:b/>
          <w:i/>
          <w:sz w:val="22"/>
          <w:szCs w:val="22"/>
        </w:rPr>
        <w:t xml:space="preserve">información sobre los procesos y resultados </w:t>
      </w:r>
      <w:r w:rsidRPr="0020402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20402F">
        <w:rPr>
          <w:rFonts w:ascii="Palatino Linotype" w:eastAsia="Palatino Linotype" w:hAnsi="Palatino Linotype" w:cs="Palatino Linotype"/>
          <w:i/>
          <w:sz w:val="22"/>
          <w:szCs w:val="22"/>
          <w:u w:val="single"/>
        </w:rPr>
        <w:t xml:space="preserve">, </w:t>
      </w:r>
      <w:r w:rsidRPr="0020402F">
        <w:rPr>
          <w:rFonts w:ascii="Palatino Linotype" w:eastAsia="Palatino Linotype" w:hAnsi="Palatino Linotype" w:cs="Palatino Linotype"/>
          <w:b/>
          <w:i/>
          <w:sz w:val="22"/>
          <w:szCs w:val="22"/>
        </w:rPr>
        <w:t>incluyendo la versión pública</w:t>
      </w:r>
      <w:r w:rsidRPr="0020402F">
        <w:rPr>
          <w:rFonts w:ascii="Palatino Linotype" w:eastAsia="Palatino Linotype" w:hAnsi="Palatino Linotype" w:cs="Palatino Linotype"/>
          <w:i/>
          <w:sz w:val="22"/>
          <w:szCs w:val="22"/>
        </w:rPr>
        <w:t xml:space="preserve"> del expediente respectivo y </w:t>
      </w:r>
      <w:r w:rsidRPr="0020402F">
        <w:rPr>
          <w:rFonts w:ascii="Palatino Linotype" w:eastAsia="Palatino Linotype" w:hAnsi="Palatino Linotype" w:cs="Palatino Linotype"/>
          <w:b/>
          <w:i/>
          <w:sz w:val="22"/>
          <w:szCs w:val="22"/>
        </w:rPr>
        <w:t>de los contratos celebrados</w:t>
      </w:r>
      <w:r w:rsidRPr="0020402F">
        <w:rPr>
          <w:rFonts w:ascii="Palatino Linotype" w:eastAsia="Palatino Linotype" w:hAnsi="Palatino Linotype" w:cs="Palatino Linotype"/>
          <w:i/>
          <w:sz w:val="22"/>
          <w:szCs w:val="22"/>
        </w:rPr>
        <w:t>, que deberán contener, por los menos, lo siguiente:</w:t>
      </w:r>
    </w:p>
    <w:p w14:paraId="3A99CC6C" w14:textId="77777777" w:rsidR="00CE08AC" w:rsidRPr="0020402F" w:rsidRDefault="00040DB7">
      <w:pPr>
        <w:tabs>
          <w:tab w:val="left" w:pos="426"/>
        </w:tabs>
        <w:spacing w:before="120" w:after="120"/>
        <w:ind w:left="1418"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a) De licitaciones públicas o procedimientos de invitación restringida:</w:t>
      </w:r>
    </w:p>
    <w:p w14:paraId="39440BE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w:t>
      </w:r>
      <w:r w:rsidRPr="0020402F">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02894708"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2)</w:t>
      </w:r>
      <w:r w:rsidRPr="0020402F">
        <w:rPr>
          <w:rFonts w:ascii="Palatino Linotype" w:eastAsia="Palatino Linotype" w:hAnsi="Palatino Linotype" w:cs="Palatino Linotype"/>
          <w:i/>
          <w:sz w:val="22"/>
          <w:szCs w:val="22"/>
        </w:rPr>
        <w:t xml:space="preserve"> Los nombres de los participantes o invitados;</w:t>
      </w:r>
    </w:p>
    <w:p w14:paraId="6776B487"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3)</w:t>
      </w:r>
      <w:r w:rsidRPr="0020402F">
        <w:rPr>
          <w:rFonts w:ascii="Palatino Linotype" w:eastAsia="Palatino Linotype" w:hAnsi="Palatino Linotype" w:cs="Palatino Linotype"/>
          <w:i/>
          <w:sz w:val="22"/>
          <w:szCs w:val="22"/>
        </w:rPr>
        <w:t xml:space="preserve"> El nombre del ganador y las razones que lo justifican;</w:t>
      </w:r>
    </w:p>
    <w:p w14:paraId="4FF888D8"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4)</w:t>
      </w:r>
      <w:r w:rsidRPr="0020402F">
        <w:rPr>
          <w:rFonts w:ascii="Palatino Linotype" w:eastAsia="Palatino Linotype" w:hAnsi="Palatino Linotype" w:cs="Palatino Linotype"/>
          <w:i/>
          <w:sz w:val="22"/>
          <w:szCs w:val="22"/>
        </w:rPr>
        <w:t xml:space="preserve"> El área solicitante y la responsable de su ejecución;</w:t>
      </w:r>
    </w:p>
    <w:p w14:paraId="0CA6A33C"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5)</w:t>
      </w:r>
      <w:r w:rsidRPr="0020402F">
        <w:rPr>
          <w:rFonts w:ascii="Palatino Linotype" w:eastAsia="Palatino Linotype" w:hAnsi="Palatino Linotype" w:cs="Palatino Linotype"/>
          <w:i/>
          <w:sz w:val="22"/>
          <w:szCs w:val="22"/>
        </w:rPr>
        <w:t xml:space="preserve"> Las convocatorias e invitaciones emitidas; </w:t>
      </w:r>
    </w:p>
    <w:p w14:paraId="6FD0E353"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6)</w:t>
      </w:r>
      <w:r w:rsidRPr="0020402F">
        <w:rPr>
          <w:rFonts w:ascii="Palatino Linotype" w:eastAsia="Palatino Linotype" w:hAnsi="Palatino Linotype" w:cs="Palatino Linotype"/>
          <w:i/>
          <w:sz w:val="22"/>
          <w:szCs w:val="22"/>
        </w:rPr>
        <w:t xml:space="preserve"> Los dictámenes y fallo de adjudicación;</w:t>
      </w:r>
    </w:p>
    <w:p w14:paraId="3BADDFA3"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7) </w:t>
      </w:r>
      <w:r w:rsidRPr="0020402F">
        <w:rPr>
          <w:rFonts w:ascii="Palatino Linotype" w:eastAsia="Palatino Linotype" w:hAnsi="Palatino Linotype" w:cs="Palatino Linotype"/>
          <w:i/>
          <w:sz w:val="22"/>
          <w:szCs w:val="22"/>
        </w:rPr>
        <w:t xml:space="preserve">El contrato y, en su caso, sus anexos; </w:t>
      </w:r>
    </w:p>
    <w:p w14:paraId="18694D0E"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lastRenderedPageBreak/>
        <w:t>8)</w:t>
      </w:r>
      <w:r w:rsidRPr="0020402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1ABDC79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9)</w:t>
      </w:r>
      <w:r w:rsidRPr="0020402F">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7D9E937D"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10)</w:t>
      </w:r>
      <w:r w:rsidRPr="0020402F">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478D25FC"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11)</w:t>
      </w:r>
      <w:r w:rsidRPr="0020402F">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0CF70CE4"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12)</w:t>
      </w:r>
      <w:r w:rsidRPr="0020402F">
        <w:rPr>
          <w:rFonts w:ascii="Palatino Linotype" w:eastAsia="Palatino Linotype" w:hAnsi="Palatino Linotype" w:cs="Palatino Linotype"/>
          <w:i/>
          <w:sz w:val="22"/>
          <w:szCs w:val="22"/>
        </w:rPr>
        <w:t xml:space="preserve"> Los informes de avance físico y financiero sobre las obras o servicios contratados; </w:t>
      </w:r>
    </w:p>
    <w:p w14:paraId="7CB64038"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13)</w:t>
      </w:r>
      <w:r w:rsidRPr="0020402F">
        <w:rPr>
          <w:rFonts w:ascii="Palatino Linotype" w:eastAsia="Palatino Linotype" w:hAnsi="Palatino Linotype" w:cs="Palatino Linotype"/>
          <w:i/>
          <w:sz w:val="22"/>
          <w:szCs w:val="22"/>
        </w:rPr>
        <w:t xml:space="preserve"> El convenio de terminación; </w:t>
      </w:r>
    </w:p>
    <w:p w14:paraId="76CAA9CA"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14)</w:t>
      </w:r>
      <w:r w:rsidRPr="0020402F">
        <w:rPr>
          <w:rFonts w:ascii="Palatino Linotype" w:eastAsia="Palatino Linotype" w:hAnsi="Palatino Linotype" w:cs="Palatino Linotype"/>
          <w:i/>
          <w:sz w:val="22"/>
          <w:szCs w:val="22"/>
        </w:rPr>
        <w:t xml:space="preserve"> El finiquito.</w:t>
      </w:r>
    </w:p>
    <w:p w14:paraId="57E0978D" w14:textId="77777777" w:rsidR="00CE08AC" w:rsidRPr="0020402F" w:rsidRDefault="00040DB7">
      <w:pPr>
        <w:tabs>
          <w:tab w:val="left" w:pos="426"/>
        </w:tabs>
        <w:spacing w:before="120" w:after="120"/>
        <w:ind w:left="1418"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b) De las adjudicaciones directas: </w:t>
      </w:r>
    </w:p>
    <w:p w14:paraId="5E22EF1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w:t>
      </w:r>
      <w:r w:rsidRPr="0020402F">
        <w:rPr>
          <w:rFonts w:ascii="Palatino Linotype" w:eastAsia="Palatino Linotype" w:hAnsi="Palatino Linotype" w:cs="Palatino Linotype"/>
          <w:i/>
          <w:sz w:val="22"/>
          <w:szCs w:val="22"/>
        </w:rPr>
        <w:t xml:space="preserve"> La propuesta enviada por el participante; </w:t>
      </w:r>
    </w:p>
    <w:p w14:paraId="7D3B0A49"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2)</w:t>
      </w:r>
      <w:r w:rsidRPr="0020402F">
        <w:rPr>
          <w:rFonts w:ascii="Palatino Linotype" w:eastAsia="Palatino Linotype" w:hAnsi="Palatino Linotype" w:cs="Palatino Linotype"/>
          <w:i/>
          <w:sz w:val="22"/>
          <w:szCs w:val="22"/>
        </w:rPr>
        <w:t xml:space="preserve"> Los motivos y fundamentos legales aplicados para llevarla a cabo;</w:t>
      </w:r>
    </w:p>
    <w:p w14:paraId="5D0696EB"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3)</w:t>
      </w:r>
      <w:r w:rsidRPr="0020402F">
        <w:rPr>
          <w:rFonts w:ascii="Palatino Linotype" w:eastAsia="Palatino Linotype" w:hAnsi="Palatino Linotype" w:cs="Palatino Linotype"/>
          <w:i/>
          <w:sz w:val="22"/>
          <w:szCs w:val="22"/>
        </w:rPr>
        <w:t xml:space="preserve"> La autorización del ejercicio de la opción; </w:t>
      </w:r>
    </w:p>
    <w:p w14:paraId="60D88DB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4) </w:t>
      </w:r>
      <w:r w:rsidRPr="0020402F">
        <w:rPr>
          <w:rFonts w:ascii="Palatino Linotype" w:eastAsia="Palatino Linotype" w:hAnsi="Palatino Linotype" w:cs="Palatino Linotype"/>
          <w:i/>
          <w:sz w:val="22"/>
          <w:szCs w:val="22"/>
        </w:rPr>
        <w:t>En su caso, las cotizaciones consideradas, especificando los nombres de los proveedores y sus montos;</w:t>
      </w:r>
      <w:r w:rsidRPr="0020402F">
        <w:rPr>
          <w:rFonts w:ascii="Palatino Linotype" w:eastAsia="Palatino Linotype" w:hAnsi="Palatino Linotype" w:cs="Palatino Linotype"/>
          <w:b/>
          <w:i/>
          <w:sz w:val="22"/>
          <w:szCs w:val="22"/>
        </w:rPr>
        <w:t xml:space="preserve"> </w:t>
      </w:r>
    </w:p>
    <w:p w14:paraId="6EC15EDF"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5)</w:t>
      </w:r>
      <w:r w:rsidRPr="0020402F">
        <w:rPr>
          <w:rFonts w:ascii="Palatino Linotype" w:eastAsia="Palatino Linotype" w:hAnsi="Palatino Linotype" w:cs="Palatino Linotype"/>
          <w:i/>
          <w:sz w:val="22"/>
          <w:szCs w:val="22"/>
        </w:rPr>
        <w:t xml:space="preserve"> El nombre de la persona física o jurídica colectiva adjudicada; </w:t>
      </w:r>
    </w:p>
    <w:p w14:paraId="0B61967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6)</w:t>
      </w:r>
      <w:r w:rsidRPr="0020402F">
        <w:rPr>
          <w:rFonts w:ascii="Palatino Linotype" w:eastAsia="Palatino Linotype" w:hAnsi="Palatino Linotype" w:cs="Palatino Linotype"/>
          <w:i/>
          <w:sz w:val="22"/>
          <w:szCs w:val="22"/>
        </w:rPr>
        <w:t xml:space="preserve"> La unidad administrativa solicitante y la responsable de su ejecución; </w:t>
      </w:r>
    </w:p>
    <w:p w14:paraId="39D5F3AD"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7) </w:t>
      </w:r>
      <w:r w:rsidRPr="0020402F">
        <w:rPr>
          <w:rFonts w:ascii="Palatino Linotype" w:eastAsia="Palatino Linotype" w:hAnsi="Palatino Linotype" w:cs="Palatino Linotype"/>
          <w:i/>
          <w:sz w:val="22"/>
          <w:szCs w:val="22"/>
        </w:rPr>
        <w:t>El número, fecha, el monto del contrato y el plazo de entrega o de ejecución de los servicios u obra</w:t>
      </w:r>
      <w:r w:rsidRPr="0020402F">
        <w:rPr>
          <w:rFonts w:ascii="Palatino Linotype" w:eastAsia="Palatino Linotype" w:hAnsi="Palatino Linotype" w:cs="Palatino Linotype"/>
          <w:b/>
          <w:i/>
          <w:sz w:val="22"/>
          <w:szCs w:val="22"/>
        </w:rPr>
        <w:t xml:space="preserve">; </w:t>
      </w:r>
    </w:p>
    <w:p w14:paraId="5FF20046"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8)</w:t>
      </w:r>
      <w:r w:rsidRPr="0020402F">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620161C2"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9)</w:t>
      </w:r>
      <w:r w:rsidRPr="0020402F">
        <w:rPr>
          <w:rFonts w:ascii="Palatino Linotype" w:eastAsia="Palatino Linotype" w:hAnsi="Palatino Linotype" w:cs="Palatino Linotype"/>
          <w:i/>
          <w:sz w:val="22"/>
          <w:szCs w:val="22"/>
        </w:rPr>
        <w:t xml:space="preserve"> Los informes de avance sobre las obras o servicios contratados; </w:t>
      </w:r>
    </w:p>
    <w:p w14:paraId="6A1031A1"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10)</w:t>
      </w:r>
      <w:r w:rsidRPr="0020402F">
        <w:rPr>
          <w:rFonts w:ascii="Palatino Linotype" w:eastAsia="Palatino Linotype" w:hAnsi="Palatino Linotype" w:cs="Palatino Linotype"/>
          <w:i/>
          <w:sz w:val="22"/>
          <w:szCs w:val="22"/>
        </w:rPr>
        <w:t xml:space="preserve"> El convenio de terminación; y </w:t>
      </w:r>
    </w:p>
    <w:p w14:paraId="0A4CEBBF" w14:textId="77777777" w:rsidR="00CE08AC" w:rsidRPr="0020402F" w:rsidRDefault="00040DB7">
      <w:pPr>
        <w:tabs>
          <w:tab w:val="left" w:pos="426"/>
        </w:tabs>
        <w:spacing w:before="120" w:after="120"/>
        <w:ind w:left="170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11)</w:t>
      </w:r>
      <w:r w:rsidRPr="0020402F">
        <w:rPr>
          <w:rFonts w:ascii="Palatino Linotype" w:eastAsia="Palatino Linotype" w:hAnsi="Palatino Linotype" w:cs="Palatino Linotype"/>
          <w:i/>
          <w:sz w:val="22"/>
          <w:szCs w:val="22"/>
        </w:rPr>
        <w:t xml:space="preserve"> El finiquito;”</w:t>
      </w:r>
    </w:p>
    <w:p w14:paraId="43FCB45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De esto, se advierte que, los Sujetos Obligados deberán poner a disposición del público la información relativa a procesos y resultados sobre procedimientos de </w:t>
      </w:r>
      <w:r w:rsidRPr="0020402F">
        <w:rPr>
          <w:rFonts w:ascii="Palatino Linotype" w:eastAsia="Palatino Linotype" w:hAnsi="Palatino Linotype" w:cs="Palatino Linotype"/>
        </w:rPr>
        <w:lastRenderedPageBreak/>
        <w:t>adjudicación directa, invitación restringida y licitación de cualquier naturaleza, donde se incluya, en versión pública, el expediente respectivo y los contratos celebrados que, para el caso en particular, los expedientes deberán contener:</w:t>
      </w:r>
    </w:p>
    <w:p w14:paraId="509F18B0" w14:textId="77777777" w:rsidR="00CE08AC" w:rsidRPr="0020402F" w:rsidRDefault="00040DB7">
      <w:pPr>
        <w:spacing w:before="240" w:after="240" w:line="360" w:lineRule="auto"/>
        <w:ind w:left="426"/>
        <w:jc w:val="both"/>
        <w:rPr>
          <w:rFonts w:ascii="Palatino Linotype" w:eastAsia="Palatino Linotype" w:hAnsi="Palatino Linotype" w:cs="Palatino Linotype"/>
        </w:rPr>
      </w:pPr>
      <w:r w:rsidRPr="0020402F">
        <w:rPr>
          <w:rFonts w:ascii="Palatino Linotype" w:eastAsia="Palatino Linotype" w:hAnsi="Palatino Linotype" w:cs="Palatino Linotype"/>
        </w:rPr>
        <w:t>●</w:t>
      </w:r>
      <w:r w:rsidRPr="0020402F">
        <w:rPr>
          <w:rFonts w:ascii="Palatino Linotype" w:eastAsia="Palatino Linotype" w:hAnsi="Palatino Linotype" w:cs="Palatino Linotype"/>
          <w:sz w:val="16"/>
          <w:szCs w:val="16"/>
        </w:rPr>
        <w:t xml:space="preserve">        </w:t>
      </w:r>
      <w:r w:rsidRPr="0020402F">
        <w:rPr>
          <w:rFonts w:ascii="Palatino Linotype" w:eastAsia="Palatino Linotype" w:hAnsi="Palatino Linotype" w:cs="Palatino Linotype"/>
          <w:b/>
        </w:rPr>
        <w:t xml:space="preserve">Invitación restringida: </w:t>
      </w:r>
      <w:r w:rsidRPr="0020402F">
        <w:rPr>
          <w:rFonts w:ascii="Palatino Linotype" w:eastAsia="Palatino Linotype" w:hAnsi="Palatino Linotype" w:cs="Palatino Linotype"/>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28302CA" w14:textId="77777777" w:rsidR="00CE08AC" w:rsidRPr="0020402F" w:rsidRDefault="00040DB7">
      <w:pPr>
        <w:spacing w:before="240" w:after="240" w:line="360" w:lineRule="auto"/>
        <w:ind w:left="426"/>
        <w:jc w:val="both"/>
        <w:rPr>
          <w:rFonts w:ascii="Palatino Linotype" w:eastAsia="Palatino Linotype" w:hAnsi="Palatino Linotype" w:cs="Palatino Linotype"/>
        </w:rPr>
      </w:pPr>
      <w:r w:rsidRPr="0020402F">
        <w:rPr>
          <w:rFonts w:ascii="Palatino Linotype" w:eastAsia="Palatino Linotype" w:hAnsi="Palatino Linotype" w:cs="Palatino Linotype"/>
        </w:rPr>
        <w:t>●</w:t>
      </w:r>
      <w:r w:rsidRPr="0020402F">
        <w:rPr>
          <w:rFonts w:ascii="Palatino Linotype" w:eastAsia="Palatino Linotype" w:hAnsi="Palatino Linotype" w:cs="Palatino Linotype"/>
          <w:sz w:val="16"/>
          <w:szCs w:val="16"/>
        </w:rPr>
        <w:t xml:space="preserve">        </w:t>
      </w:r>
      <w:r w:rsidRPr="0020402F">
        <w:rPr>
          <w:rFonts w:ascii="Palatino Linotype" w:eastAsia="Palatino Linotype" w:hAnsi="Palatino Linotype" w:cs="Palatino Linotype"/>
          <w:b/>
        </w:rPr>
        <w:t xml:space="preserve">Adjudicaciones directas: </w:t>
      </w:r>
      <w:r w:rsidRPr="0020402F">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770EB39B"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ende, de acuerdo a los </w:t>
      </w:r>
      <w:r w:rsidRPr="0020402F">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20402F">
        <w:rPr>
          <w:rFonts w:ascii="Palatino Linotype" w:eastAsia="Palatino Linotype" w:hAnsi="Palatino Linotype" w:cs="Palatino Linotype"/>
        </w:rPr>
        <w:t xml:space="preserve">, que deben de difundir los sujetos obligados en los portales de Internet y en la Plataforma Nacional de Transparencia, para el cumplimiento de la </w:t>
      </w:r>
      <w:r w:rsidRPr="0020402F">
        <w:rPr>
          <w:rFonts w:ascii="Palatino Linotype" w:eastAsia="Palatino Linotype" w:hAnsi="Palatino Linotype" w:cs="Palatino Linotype"/>
        </w:rPr>
        <w:lastRenderedPageBreak/>
        <w:t xml:space="preserve">obligación de transparencia señalada en el artículo 70  fracción XXVIII de la </w:t>
      </w:r>
      <w:r w:rsidRPr="0020402F">
        <w:rPr>
          <w:rFonts w:ascii="Palatino Linotype" w:eastAsia="Palatino Linotype" w:hAnsi="Palatino Linotype" w:cs="Palatino Linotype"/>
          <w:i/>
        </w:rPr>
        <w:t>Ley General de Transparencia y Acceso a la Información Pública</w:t>
      </w:r>
      <w:r w:rsidRPr="0020402F">
        <w:rPr>
          <w:rFonts w:ascii="Palatino Linotype" w:eastAsia="Palatino Linotype" w:hAnsi="Palatino Linotype" w:cs="Palatino Linotype"/>
        </w:rPr>
        <w:t xml:space="preserve">, los sujetos obligados deben publicar información sobre los actos, contratos y convenios celebrados, misma que </w:t>
      </w:r>
      <w:r w:rsidRPr="0020402F">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20402F">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0A0D324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Cabe señalar que, de conformidad con las tablas de aplicabilidad de las obligaciones de transparencia, la fracción XXIX del artículo 92 de la Ley de Transparencia, en sus dos incisos es aplicable a la Secretaría de Movilidad, como se advierte enseguida:</w:t>
      </w:r>
    </w:p>
    <w:p w14:paraId="374FA198" w14:textId="77777777" w:rsidR="00CE08AC" w:rsidRPr="0020402F" w:rsidRDefault="006247BD">
      <w:pPr>
        <w:spacing w:before="240" w:after="240" w:line="360" w:lineRule="auto"/>
        <w:jc w:val="center"/>
        <w:rPr>
          <w:rFonts w:ascii="Palatino Linotype" w:eastAsia="Palatino Linotype" w:hAnsi="Palatino Linotype" w:cs="Palatino Linotype"/>
        </w:rPr>
      </w:pPr>
      <w:r w:rsidRPr="0020402F">
        <w:rPr>
          <w:noProof/>
        </w:rPr>
        <mc:AlternateContent>
          <mc:Choice Requires="wps">
            <w:drawing>
              <wp:anchor distT="0" distB="0" distL="114300" distR="114300" simplePos="0" relativeHeight="251658240" behindDoc="0" locked="0" layoutInCell="1" hidden="0" allowOverlap="1" wp14:anchorId="213CA4C6" wp14:editId="2E89F2CF">
                <wp:simplePos x="0" y="0"/>
                <wp:positionH relativeFrom="column">
                  <wp:posOffset>4619625</wp:posOffset>
                </wp:positionH>
                <wp:positionV relativeFrom="paragraph">
                  <wp:posOffset>1219200</wp:posOffset>
                </wp:positionV>
                <wp:extent cx="282146" cy="323335"/>
                <wp:effectExtent l="0" t="0" r="0" b="0"/>
                <wp:wrapNone/>
                <wp:docPr id="156" name="Conector recto de flecha 156"/>
                <wp:cNvGraphicFramePr/>
                <a:graphic xmlns:a="http://schemas.openxmlformats.org/drawingml/2006/main">
                  <a:graphicData uri="http://schemas.microsoft.com/office/word/2010/wordprocessingShape">
                    <wps:wsp>
                      <wps:cNvCnPr/>
                      <wps:spPr>
                        <a:xfrm rot="10800000">
                          <a:off x="0" y="0"/>
                          <a:ext cx="282146" cy="32333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w:pict>
              <v:shapetype w14:anchorId="774642A5" id="_x0000_t32" coordsize="21600,21600" o:spt="32" o:oned="t" path="m,l21600,21600e" filled="f">
                <v:path arrowok="t" fillok="f" o:connecttype="none"/>
                <o:lock v:ext="edit" shapetype="t"/>
              </v:shapetype>
              <v:shape id="Conector recto de flecha 156" o:spid="_x0000_s1026" type="#_x0000_t32" style="position:absolute;margin-left:363.75pt;margin-top:96pt;width:22.2pt;height:25.45pt;rotation:18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jr9AEAANADAAAOAAAAZHJzL2Uyb0RvYy54bWysU8mO2zAMvRfoPwi6N17SGQRGnDkknV6K&#10;NkDbD2Ak2RagDZQmTv6+lJxmutyK+iBTXB7JR2r7dLGGnRVG7V3Pm1XNmXLCS+3Gnn//9vxuw1lM&#10;4CQY71TPryryp93bN9s5dKr1kzdSISMQF7s59HxKKXRVFcWkLMSVD8qRcfBoIdEVx0oizIRuTdXW&#10;9WM1e5QBvVAxkvawGPmu4A+DEunLMESVmOk51ZbKieU85bPabaEbEcKkxa0M+IcqLGhHSe9QB0jA&#10;XlD/BWW1QB/9kFbC28oPgxaq9EDdNPUf3XydIKjSC5ETw52m+P9gxefzEZmWNLuHR84cWBrSnkYl&#10;kkeG+cekYoNRYgKWfYixOcSOAvfuiLdbDEfM7V8GtAw90dzUmzp/hRXqk10K6dc76eqSmCBlu2mb&#10;95RakGndrtfrh5yiWrAyZsCYPipvWRZ6HhOCHqdERS5VNiUFnD/FtAT+DMjBzj9rY0gPnXFsphSb&#10;hopiAmjZBgOJRBuo/ejGghO90TLH5JCI42lvkJ2B1me/9LPk+M0tJzxAnBa/YloWC/2LkyX5pEB+&#10;cJKlayCCHRHMczXRcmYUvRwSil8CbV79Empwo1l8rZI35ywtZRhHVOVxLAPI0snLa5lL0dPaFDJv&#10;K5738td7iX59iLsfAAAA//8DAFBLAwQUAAYACAAAACEAK+yaLOEAAAALAQAADwAAAGRycy9kb3du&#10;cmV2LnhtbEyPMU/DMBSEdyT+g/WQWCrq1CKEhDgVVEIMVEgEOrC5sYkj4ufIdtvw73lMMJ7udPdd&#10;vZ7dyI4mxMGjhNUyA2aw83rAXsL72+PVLbCYFGo1ejQSvk2EdXN+VqtK+xO+mmObekYlGCslwaY0&#10;VZzHzhqn4tJPBsn79MGpRDL0XAd1onI3cpFlN9ypAWnBqslsrOm+2oOjkbx9wN1i3C7sJn/66ETY&#10;5S/PUl5ezPd3wJKZ018YfvEJHRpi2vsD6shGCYUocoqSUQo6RYmiWJXA9hLEtSiBNzX//6H5AQAA&#10;//8DAFBLAQItABQABgAIAAAAIQC2gziS/gAAAOEBAAATAAAAAAAAAAAAAAAAAAAAAABbQ29udGVu&#10;dF9UeXBlc10ueG1sUEsBAi0AFAAGAAgAAAAhADj9If/WAAAAlAEAAAsAAAAAAAAAAAAAAAAALwEA&#10;AF9yZWxzLy5yZWxzUEsBAi0AFAAGAAgAAAAhAHBD2Ov0AQAA0AMAAA4AAAAAAAAAAAAAAAAALgIA&#10;AGRycy9lMm9Eb2MueG1sUEsBAi0AFAAGAAgAAAAhACvsmizhAAAACwEAAA8AAAAAAAAAAAAAAAAA&#10;TgQAAGRycy9kb3ducmV2LnhtbFBLBQYAAAAABAAEAPMAAABcBQAAAAA=&#10;" strokecolor="#c00000" strokeweight="3pt">
                <v:stroke startarrowwidth="narrow" startarrowlength="short" endarrow="block"/>
              </v:shape>
            </w:pict>
          </mc:Fallback>
        </mc:AlternateContent>
      </w:r>
      <w:r w:rsidRPr="0020402F">
        <w:rPr>
          <w:noProof/>
        </w:rPr>
        <mc:AlternateContent>
          <mc:Choice Requires="wps">
            <w:drawing>
              <wp:anchor distT="0" distB="0" distL="114300" distR="114300" simplePos="0" relativeHeight="251659264" behindDoc="0" locked="0" layoutInCell="1" hidden="0" allowOverlap="1" wp14:anchorId="7D34AF7C" wp14:editId="693D2267">
                <wp:simplePos x="0" y="0"/>
                <wp:positionH relativeFrom="column">
                  <wp:posOffset>2200275</wp:posOffset>
                </wp:positionH>
                <wp:positionV relativeFrom="paragraph">
                  <wp:posOffset>603250</wp:posOffset>
                </wp:positionV>
                <wp:extent cx="924560" cy="765810"/>
                <wp:effectExtent l="19050" t="19050" r="27940" b="15240"/>
                <wp:wrapNone/>
                <wp:docPr id="154" name="Rectángulo 154"/>
                <wp:cNvGraphicFramePr/>
                <a:graphic xmlns:a="http://schemas.openxmlformats.org/drawingml/2006/main">
                  <a:graphicData uri="http://schemas.microsoft.com/office/word/2010/wordprocessingShape">
                    <wps:wsp>
                      <wps:cNvSpPr/>
                      <wps:spPr>
                        <a:xfrm>
                          <a:off x="0" y="0"/>
                          <a:ext cx="924560" cy="765810"/>
                        </a:xfrm>
                        <a:prstGeom prst="rect">
                          <a:avLst/>
                        </a:prstGeom>
                        <a:noFill/>
                        <a:ln w="38100" cap="flat" cmpd="sng">
                          <a:solidFill>
                            <a:srgbClr val="C00000"/>
                          </a:solidFill>
                          <a:prstDash val="solid"/>
                          <a:round/>
                          <a:headEnd type="none" w="sm" len="sm"/>
                          <a:tailEnd type="none" w="sm" len="sm"/>
                        </a:ln>
                      </wps:spPr>
                      <wps:txbx>
                        <w:txbxContent>
                          <w:p w14:paraId="3F32D815" w14:textId="77777777" w:rsidR="00040DB7" w:rsidRDefault="00040DB7">
                            <w:pPr>
                              <w:textDirection w:val="btLr"/>
                            </w:pPr>
                          </w:p>
                        </w:txbxContent>
                      </wps:txbx>
                      <wps:bodyPr spcFirstLastPara="1" wrap="square" lIns="91425" tIns="91425" rIns="91425" bIns="91425" anchor="ctr" anchorCtr="0">
                        <a:noAutofit/>
                      </wps:bodyPr>
                    </wps:wsp>
                  </a:graphicData>
                </a:graphic>
              </wp:anchor>
            </w:drawing>
          </mc:Choice>
          <mc:Fallback>
            <w:pict>
              <v:rect w14:anchorId="079D2114" id="Rectángulo 154" o:spid="_x0000_s1026" style="position:absolute;left:0;text-align:left;margin-left:173.25pt;margin-top:47.5pt;width:72.8pt;height:6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UDIQIAADcEAAAOAAAAZHJzL2Uyb0RvYy54bWysU92uEjEQvjfxHZreywICnkNYTgyIMTnx&#10;EI8+wNDt7jbpn9PCwuP4LL6Y0y4C6oWJcS+6M+105puv3ywejkazg8SgnC35aDDkTFrhKmWbkn/5&#10;vHl1x1mIYCvQzsqSn2TgD8uXLxadn8uxa52uJDJKYsO88yVvY/TzogiilQbCwHlp6bB2aCCSi01R&#10;IXSU3ehiPBzOis5h5dEJGQLtrvtDvsz561qK+FTXQUamS07YYl4xr7u0FssFzBsE3ypxhgH/gMKA&#10;slT0kmoNEdge1R+pjBLogqvjQDhTuLpWQuYeqJvR8LdunlvwMvdC5AR/oSn8v7Ti42GLTFX0dtMJ&#10;ZxYMPdInou37N9vstWNpm0jqfJhT7LPf4tkLZKaOjzWa9Kde2DETe7oQK4+RCdq8H0+mM6Jf0NGb&#10;2fRulIkvrpc9hvheOsOSUXIkAJlOODyGSAUp9GdIqmXdRmmd305b1pX8NaVM+YEkVGuIZBpPTQXb&#10;5DzBaVWlO+l2wGa30sgOQKJYDdOXWqQav4SlgmsIbR+Xj3q5oNvbKhdvJVTvbMXiyRNtlhTOE5pg&#10;ONOS5oGMHBdB6b/HEQBtCUfiumc3WfG4O1KSZO5cdaLXCl5sFIF7hBC3gKTXEZUlDVPBr3tAAqE/&#10;WBLJ/WgynpLobx28dXa3DljROhoNEZGz3lnFPCo95W/30dUqv8YVzBkuqTMTeJ6kJP9bP0dd5335&#10;AwAA//8DAFBLAwQUAAYACAAAACEAEdEEquIAAAAKAQAADwAAAGRycy9kb3ducmV2LnhtbEyPTUvD&#10;QBRF94L/YXiCm2IniU1oYl5KqQjqzipUd9PMaxI6HyEzSeO/d1zp8vEO955bbmat2ESD66xBiJcR&#10;MDK1lZ1pED7en+7WwJwXRgplDSF8k4NNdX1VikLai3mjae8bFkKMKwRC631fcO7qlrRwS9uTCb+T&#10;HbTw4RwaLgdxCeFa8SSKMq5FZ0JDK3ratVSf96NG2J3HZ3fw8ePrdvrMU7V4GRanL8Tbm3n7AMzT&#10;7P9g+NUP6lAFp6MdjXRMIdyvsjSgCHkaNgVglScxsCNCEqcZ8Krk/ydUPwAAAP//AwBQSwECLQAU&#10;AAYACAAAACEAtoM4kv4AAADhAQAAEwAAAAAAAAAAAAAAAAAAAAAAW0NvbnRlbnRfVHlwZXNdLnht&#10;bFBLAQItABQABgAIAAAAIQA4/SH/1gAAAJQBAAALAAAAAAAAAAAAAAAAAC8BAABfcmVscy8ucmVs&#10;c1BLAQItABQABgAIAAAAIQAgZfUDIQIAADcEAAAOAAAAAAAAAAAAAAAAAC4CAABkcnMvZTJvRG9j&#10;LnhtbFBLAQItABQABgAIAAAAIQAR0QSq4gAAAAoBAAAPAAAAAAAAAAAAAAAAAHsEAABkcnMvZG93&#10;bnJldi54bWxQSwUGAAAAAAQABADzAAAAigUAAAAA&#10;" filled="f" strokecolor="#c00000" strokeweight="3pt">
                <v:stroke startarrowwidth="narrow" startarrowlength="short" endarrowwidth="narrow" endarrowlength="short" joinstyle="round"/>
                <v:textbox inset="2.53958mm,2.53958mm,2.53958mm,2.53958mm">
                  <w:txbxContent>
                    <w:p w:rsidR="00040DB7" w:rsidRDefault="00040DB7">
                      <w:pPr>
                        <w:textDirection w:val="btLr"/>
                      </w:pPr>
                    </w:p>
                  </w:txbxContent>
                </v:textbox>
              </v:rect>
            </w:pict>
          </mc:Fallback>
        </mc:AlternateContent>
      </w:r>
      <w:r w:rsidR="00040DB7" w:rsidRPr="0020402F">
        <w:rPr>
          <w:rFonts w:ascii="Palatino Linotype" w:eastAsia="Palatino Linotype" w:hAnsi="Palatino Linotype" w:cs="Palatino Linotype"/>
          <w:noProof/>
        </w:rPr>
        <w:drawing>
          <wp:inline distT="0" distB="0" distL="0" distR="0" wp14:anchorId="695DBB15" wp14:editId="4BDF0386">
            <wp:extent cx="5305425" cy="1323975"/>
            <wp:effectExtent l="0" t="0" r="0" b="0"/>
            <wp:docPr id="1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305425" cy="1323975"/>
                    </a:xfrm>
                    <a:prstGeom prst="rect">
                      <a:avLst/>
                    </a:prstGeom>
                    <a:ln/>
                  </pic:spPr>
                </pic:pic>
              </a:graphicData>
            </a:graphic>
          </wp:inline>
        </w:drawing>
      </w:r>
    </w:p>
    <w:p w14:paraId="04F71419"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Con la finalidad de robustecer lo anterior, es preciso mencionar que este Organismo Garante procedió a realizar la consulta en el portal de Información Pública de Oficio Mexiquense, IPOMEX, de la información publicada por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 xml:space="preserve">en cumplimiento a la obligación de transparencia previamente referida, donde se pudo advertir que efectivamente el portal de la </w:t>
      </w:r>
      <w:r w:rsidRPr="0020402F">
        <w:rPr>
          <w:rFonts w:ascii="Palatino Linotype" w:eastAsia="Palatino Linotype" w:hAnsi="Palatino Linotype" w:cs="Palatino Linotype"/>
          <w:b/>
        </w:rPr>
        <w:t xml:space="preserve">Secretaría de Movilidad </w:t>
      </w:r>
      <w:r w:rsidRPr="0020402F">
        <w:rPr>
          <w:rFonts w:ascii="Palatino Linotype" w:eastAsia="Palatino Linotype" w:hAnsi="Palatino Linotype" w:cs="Palatino Linotype"/>
        </w:rPr>
        <w:t>contiene información que se relaciona con lo solicitado, como se ilustra a continuación a manera de ejemplo:</w:t>
      </w:r>
    </w:p>
    <w:p w14:paraId="15CAA853"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4596FEED" wp14:editId="4CBE9C5E">
            <wp:extent cx="3960000" cy="2406926"/>
            <wp:effectExtent l="0" t="0" r="0" b="0"/>
            <wp:docPr id="1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960000" cy="2406926"/>
                    </a:xfrm>
                    <a:prstGeom prst="rect">
                      <a:avLst/>
                    </a:prstGeom>
                    <a:ln/>
                  </pic:spPr>
                </pic:pic>
              </a:graphicData>
            </a:graphic>
          </wp:inline>
        </w:drawing>
      </w:r>
    </w:p>
    <w:p w14:paraId="1AA83632"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4781ACEC" wp14:editId="54D3AD5A">
            <wp:extent cx="3960000" cy="2443270"/>
            <wp:effectExtent l="0" t="0" r="0" b="0"/>
            <wp:docPr id="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60000" cy="2443270"/>
                    </a:xfrm>
                    <a:prstGeom prst="rect">
                      <a:avLst/>
                    </a:prstGeom>
                    <a:ln/>
                  </pic:spPr>
                </pic:pic>
              </a:graphicData>
            </a:graphic>
          </wp:inline>
        </w:drawing>
      </w:r>
    </w:p>
    <w:p w14:paraId="4233DEE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Como se advierte, en cumplimiento al inciso a), fracción XXIX del artículo 92 de la Ley de la Materia,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cuenta con 25 registros mientras que en cumplimiento al inciso a), fracción XXIX del mismo precepto legal, cuenta con 25 registros, correspondiendo dichos registros con los ejercicios 2020, 2021, 2022 y 2023.</w:t>
      </w:r>
      <w:r w:rsidRPr="0020402F">
        <w:rPr>
          <w:noProof/>
        </w:rPr>
        <mc:AlternateContent>
          <mc:Choice Requires="wps">
            <w:drawing>
              <wp:anchor distT="0" distB="0" distL="114300" distR="114300" simplePos="0" relativeHeight="251660288" behindDoc="0" locked="0" layoutInCell="1" hidden="0" allowOverlap="1" wp14:anchorId="57AE4ACF" wp14:editId="5478BD5E">
                <wp:simplePos x="0" y="0"/>
                <wp:positionH relativeFrom="column">
                  <wp:posOffset>1397000</wp:posOffset>
                </wp:positionH>
                <wp:positionV relativeFrom="paragraph">
                  <wp:posOffset>1460500</wp:posOffset>
                </wp:positionV>
                <wp:extent cx="3810" cy="25400"/>
                <wp:effectExtent l="0" t="0" r="0" b="0"/>
                <wp:wrapNone/>
                <wp:docPr id="158" name="Conector recto de flecha 158"/>
                <wp:cNvGraphicFramePr/>
                <a:graphic xmlns:a="http://schemas.openxmlformats.org/drawingml/2006/main">
                  <a:graphicData uri="http://schemas.microsoft.com/office/word/2010/wordprocessingShape">
                    <wps:wsp>
                      <wps:cNvCnPr/>
                      <wps:spPr>
                        <a:xfrm>
                          <a:off x="4271580" y="3778095"/>
                          <a:ext cx="2148840" cy="381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1460500</wp:posOffset>
                </wp:positionV>
                <wp:extent cx="3810" cy="25400"/>
                <wp:effectExtent b="0" l="0" r="0" t="0"/>
                <wp:wrapNone/>
                <wp:docPr id="158"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3810" cy="25400"/>
                        </a:xfrm>
                        <a:prstGeom prst="rect"/>
                        <a:ln/>
                      </pic:spPr>
                    </pic:pic>
                  </a:graphicData>
                </a:graphic>
              </wp:anchor>
            </w:drawing>
          </mc:Fallback>
        </mc:AlternateContent>
      </w:r>
      <w:r w:rsidRPr="0020402F">
        <w:rPr>
          <w:noProof/>
        </w:rPr>
        <mc:AlternateContent>
          <mc:Choice Requires="wps">
            <w:drawing>
              <wp:anchor distT="0" distB="0" distL="114300" distR="114300" simplePos="0" relativeHeight="251661312" behindDoc="0" locked="0" layoutInCell="1" hidden="0" allowOverlap="1" wp14:anchorId="370594A4" wp14:editId="6C243B15">
                <wp:simplePos x="0" y="0"/>
                <wp:positionH relativeFrom="column">
                  <wp:posOffset>215900</wp:posOffset>
                </wp:positionH>
                <wp:positionV relativeFrom="paragraph">
                  <wp:posOffset>1587500</wp:posOffset>
                </wp:positionV>
                <wp:extent cx="0" cy="25400"/>
                <wp:effectExtent l="0" t="0" r="0" b="0"/>
                <wp:wrapNone/>
                <wp:docPr id="157" name="Conector recto de flecha 157"/>
                <wp:cNvGraphicFramePr/>
                <a:graphic xmlns:a="http://schemas.openxmlformats.org/drawingml/2006/main">
                  <a:graphicData uri="http://schemas.microsoft.com/office/word/2010/wordprocessingShape">
                    <wps:wsp>
                      <wps:cNvCnPr/>
                      <wps:spPr>
                        <a:xfrm>
                          <a:off x="4168954" y="3780000"/>
                          <a:ext cx="2354093"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wp:posOffset>
                </wp:positionH>
                <wp:positionV relativeFrom="paragraph">
                  <wp:posOffset>1587500</wp:posOffset>
                </wp:positionV>
                <wp:extent cx="0" cy="25400"/>
                <wp:effectExtent b="0" l="0" r="0" t="0"/>
                <wp:wrapNone/>
                <wp:docPr id="157"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r w:rsidRPr="0020402F">
        <w:rPr>
          <w:noProof/>
        </w:rPr>
        <mc:AlternateContent>
          <mc:Choice Requires="wps">
            <w:drawing>
              <wp:anchor distT="0" distB="0" distL="114300" distR="114300" simplePos="0" relativeHeight="251662336" behindDoc="0" locked="0" layoutInCell="1" hidden="0" allowOverlap="1" wp14:anchorId="44FB76DC" wp14:editId="7E0BB4DA">
                <wp:simplePos x="0" y="0"/>
                <wp:positionH relativeFrom="column">
                  <wp:posOffset>1358900</wp:posOffset>
                </wp:positionH>
                <wp:positionV relativeFrom="paragraph">
                  <wp:posOffset>1460500</wp:posOffset>
                </wp:positionV>
                <wp:extent cx="3810" cy="25400"/>
                <wp:effectExtent l="0" t="0" r="0" b="0"/>
                <wp:wrapNone/>
                <wp:docPr id="155" name="Conector recto de flecha 155"/>
                <wp:cNvGraphicFramePr/>
                <a:graphic xmlns:a="http://schemas.openxmlformats.org/drawingml/2006/main">
                  <a:graphicData uri="http://schemas.microsoft.com/office/word/2010/wordprocessingShape">
                    <wps:wsp>
                      <wps:cNvCnPr/>
                      <wps:spPr>
                        <a:xfrm>
                          <a:off x="4173817" y="3778095"/>
                          <a:ext cx="2344366" cy="381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1460500</wp:posOffset>
                </wp:positionV>
                <wp:extent cx="3810" cy="25400"/>
                <wp:effectExtent b="0" l="0" r="0" t="0"/>
                <wp:wrapNone/>
                <wp:docPr id="155"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3810" cy="25400"/>
                        </a:xfrm>
                        <a:prstGeom prst="rect"/>
                        <a:ln/>
                      </pic:spPr>
                    </pic:pic>
                  </a:graphicData>
                </a:graphic>
              </wp:anchor>
            </w:drawing>
          </mc:Fallback>
        </mc:AlternateContent>
      </w:r>
    </w:p>
    <w:p w14:paraId="5AFBFDD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Asimismo, se tomó una muestra de la información publicada en dichos registros, observando lo siguiente:</w:t>
      </w:r>
    </w:p>
    <w:p w14:paraId="10470A57" w14:textId="77777777" w:rsidR="00CE08AC" w:rsidRPr="0020402F" w:rsidRDefault="00040DB7">
      <w:pPr>
        <w:spacing w:before="240" w:after="240" w:line="360" w:lineRule="auto"/>
        <w:jc w:val="both"/>
        <w:rPr>
          <w:rFonts w:ascii="Palatino Linotype" w:eastAsia="Palatino Linotype" w:hAnsi="Palatino Linotype" w:cs="Palatino Linotype"/>
          <w:u w:val="single"/>
        </w:rPr>
      </w:pP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Fracción, XXIX, inciso a):</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u w:val="single"/>
        </w:rPr>
        <w:t>Licitación Pública, ejercicio 2021.</w:t>
      </w:r>
    </w:p>
    <w:p w14:paraId="1064532C"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222614B8" wp14:editId="29F5A4B2">
            <wp:extent cx="3960000" cy="4542278"/>
            <wp:effectExtent l="0" t="0" r="0" b="0"/>
            <wp:docPr id="1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960000" cy="4542278"/>
                    </a:xfrm>
                    <a:prstGeom prst="rect">
                      <a:avLst/>
                    </a:prstGeom>
                    <a:ln/>
                  </pic:spPr>
                </pic:pic>
              </a:graphicData>
            </a:graphic>
          </wp:inline>
        </w:drawing>
      </w:r>
    </w:p>
    <w:p w14:paraId="73D76EDC" w14:textId="77777777" w:rsidR="00CE08AC" w:rsidRPr="0020402F" w:rsidRDefault="00040DB7">
      <w:pPr>
        <w:tabs>
          <w:tab w:val="left" w:pos="1276"/>
          <w:tab w:val="left" w:pos="7513"/>
        </w:tabs>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lastRenderedPageBreak/>
        <w:drawing>
          <wp:inline distT="0" distB="0" distL="0" distR="0" wp14:anchorId="4FBC0FF0" wp14:editId="7CBC4AC4">
            <wp:extent cx="3888000" cy="5475130"/>
            <wp:effectExtent l="0" t="0" r="0" b="0"/>
            <wp:docPr id="1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888000" cy="5475130"/>
                    </a:xfrm>
                    <a:prstGeom prst="rect">
                      <a:avLst/>
                    </a:prstGeom>
                    <a:ln/>
                  </pic:spPr>
                </pic:pic>
              </a:graphicData>
            </a:graphic>
          </wp:inline>
        </w:drawing>
      </w:r>
    </w:p>
    <w:tbl>
      <w:tblPr>
        <w:tblStyle w:val="af1"/>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20402F" w:rsidRPr="0020402F" w14:paraId="2BC75DEA" w14:textId="77777777">
        <w:tc>
          <w:tcPr>
            <w:tcW w:w="4414" w:type="dxa"/>
          </w:tcPr>
          <w:p w14:paraId="2AC4F0C0" w14:textId="77777777" w:rsidR="00CE08AC" w:rsidRPr="0020402F" w:rsidRDefault="00040DB7">
            <w:pPr>
              <w:tabs>
                <w:tab w:val="left" w:pos="1276"/>
                <w:tab w:val="left" w:pos="7513"/>
              </w:tabs>
              <w:jc w:val="center"/>
              <w:rPr>
                <w:rFonts w:ascii="Palatino Linotype" w:eastAsia="Palatino Linotype" w:hAnsi="Palatino Linotype" w:cs="Palatino Linotype"/>
              </w:rPr>
            </w:pPr>
            <w:r w:rsidRPr="0020402F">
              <w:rPr>
                <w:rFonts w:ascii="Palatino Linotype" w:eastAsia="Palatino Linotype" w:hAnsi="Palatino Linotype" w:cs="Palatino Linotype"/>
              </w:rPr>
              <w:object w:dxaOrig="3967" w:dyaOrig="2160" w14:anchorId="5E8D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08pt" o:ole="">
                  <v:imagedata r:id="rId20" o:title=""/>
                </v:shape>
                <o:OLEObject Type="Embed" ProgID="PBrush" ShapeID="_x0000_i1025" DrawAspect="Content" ObjectID="_1747487527" r:id="rId21"/>
              </w:object>
            </w:r>
          </w:p>
        </w:tc>
        <w:tc>
          <w:tcPr>
            <w:tcW w:w="4414" w:type="dxa"/>
          </w:tcPr>
          <w:p w14:paraId="6054AEEB" w14:textId="77777777" w:rsidR="00CE08AC" w:rsidRPr="0020402F" w:rsidRDefault="00040DB7">
            <w:pPr>
              <w:tabs>
                <w:tab w:val="left" w:pos="1276"/>
                <w:tab w:val="left" w:pos="7513"/>
              </w:tabs>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6CD95B87" wp14:editId="699939FC">
                  <wp:extent cx="2520000" cy="1399055"/>
                  <wp:effectExtent l="0" t="0" r="0" b="0"/>
                  <wp:docPr id="1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520000" cy="1399055"/>
                          </a:xfrm>
                          <a:prstGeom prst="rect">
                            <a:avLst/>
                          </a:prstGeom>
                          <a:ln/>
                        </pic:spPr>
                      </pic:pic>
                    </a:graphicData>
                  </a:graphic>
                </wp:inline>
              </w:drawing>
            </w:r>
          </w:p>
        </w:tc>
      </w:tr>
    </w:tbl>
    <w:p w14:paraId="1A6AAD1B" w14:textId="77777777" w:rsidR="00CE08AC" w:rsidRPr="0020402F" w:rsidRDefault="00CE08AC">
      <w:pPr>
        <w:jc w:val="both"/>
        <w:rPr>
          <w:rFonts w:ascii="Palatino Linotype" w:eastAsia="Palatino Linotype" w:hAnsi="Palatino Linotype" w:cs="Palatino Linotype"/>
        </w:rPr>
      </w:pPr>
    </w:p>
    <w:p w14:paraId="097FA926" w14:textId="77777777" w:rsidR="00CE08AC" w:rsidRPr="0020402F" w:rsidRDefault="00CE08AC">
      <w:pPr>
        <w:jc w:val="both"/>
        <w:rPr>
          <w:rFonts w:ascii="Palatino Linotype" w:eastAsia="Palatino Linotype" w:hAnsi="Palatino Linotype" w:cs="Palatino Linotype"/>
        </w:rPr>
      </w:pPr>
    </w:p>
    <w:p w14:paraId="0188BD19" w14:textId="77777777" w:rsidR="00CE08AC" w:rsidRPr="0020402F" w:rsidRDefault="00040DB7">
      <w:pPr>
        <w:tabs>
          <w:tab w:val="left" w:pos="1276"/>
          <w:tab w:val="left" w:pos="7513"/>
        </w:tabs>
        <w:spacing w:before="240" w:after="240" w:line="360" w:lineRule="auto"/>
        <w:jc w:val="both"/>
        <w:rPr>
          <w:rFonts w:ascii="Palatino Linotype" w:eastAsia="Palatino Linotype" w:hAnsi="Palatino Linotype" w:cs="Palatino Linotype"/>
          <w:u w:val="single"/>
        </w:rPr>
      </w:pPr>
      <w:r w:rsidRPr="0020402F">
        <w:rPr>
          <w:rFonts w:ascii="Palatino Linotype" w:eastAsia="Palatino Linotype" w:hAnsi="Palatino Linotype" w:cs="Palatino Linotype"/>
          <w:b/>
        </w:rPr>
        <w:lastRenderedPageBreak/>
        <w:t>- Fracción, XXIX</w:t>
      </w:r>
      <w:r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b/>
        </w:rPr>
        <w:t xml:space="preserve">inciso b): </w:t>
      </w:r>
      <w:r w:rsidRPr="0020402F">
        <w:rPr>
          <w:rFonts w:ascii="Palatino Linotype" w:eastAsia="Palatino Linotype" w:hAnsi="Palatino Linotype" w:cs="Palatino Linotype"/>
          <w:u w:val="single"/>
        </w:rPr>
        <w:t>Contrato pedido / adjudicación directa, ejercicio 2022.</w:t>
      </w:r>
    </w:p>
    <w:p w14:paraId="75CB1496" w14:textId="77777777" w:rsidR="00CE08AC" w:rsidRPr="0020402F" w:rsidRDefault="00040DB7">
      <w:pPr>
        <w:tabs>
          <w:tab w:val="left" w:pos="1276"/>
          <w:tab w:val="left" w:pos="7513"/>
        </w:tabs>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365260C6" wp14:editId="115758CF">
            <wp:extent cx="3600000" cy="1584000"/>
            <wp:effectExtent l="0" t="0" r="0" b="0"/>
            <wp:docPr id="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b="67127"/>
                    <a:stretch>
                      <a:fillRect/>
                    </a:stretch>
                  </pic:blipFill>
                  <pic:spPr>
                    <a:xfrm>
                      <a:off x="0" y="0"/>
                      <a:ext cx="3600000" cy="1584000"/>
                    </a:xfrm>
                    <a:prstGeom prst="rect">
                      <a:avLst/>
                    </a:prstGeom>
                    <a:ln/>
                  </pic:spPr>
                </pic:pic>
              </a:graphicData>
            </a:graphic>
          </wp:inline>
        </w:drawing>
      </w:r>
    </w:p>
    <w:p w14:paraId="0AE1BAA7" w14:textId="77777777" w:rsidR="00CE08AC" w:rsidRPr="0020402F" w:rsidRDefault="00040DB7">
      <w:pPr>
        <w:tabs>
          <w:tab w:val="left" w:pos="1276"/>
          <w:tab w:val="left" w:pos="7513"/>
        </w:tabs>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5EF6BE9C" wp14:editId="3AFB5677">
            <wp:extent cx="3600000" cy="3528000"/>
            <wp:effectExtent l="0" t="0" r="0" b="0"/>
            <wp:docPr id="1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33537"/>
                    <a:stretch>
                      <a:fillRect/>
                    </a:stretch>
                  </pic:blipFill>
                  <pic:spPr>
                    <a:xfrm>
                      <a:off x="0" y="0"/>
                      <a:ext cx="3600000" cy="3528000"/>
                    </a:xfrm>
                    <a:prstGeom prst="rect">
                      <a:avLst/>
                    </a:prstGeom>
                    <a:ln/>
                  </pic:spPr>
                </pic:pic>
              </a:graphicData>
            </a:graphic>
          </wp:inline>
        </w:drawing>
      </w:r>
      <w:r w:rsidRPr="0020402F">
        <w:rPr>
          <w:rFonts w:ascii="Palatino Linotype" w:eastAsia="Palatino Linotype" w:hAnsi="Palatino Linotype" w:cs="Palatino Linotype"/>
          <w:noProof/>
        </w:rPr>
        <w:drawing>
          <wp:inline distT="0" distB="0" distL="0" distR="0" wp14:anchorId="5730ED5E" wp14:editId="0B0F1CB2">
            <wp:extent cx="3636000" cy="1296000"/>
            <wp:effectExtent l="0" t="0" r="0" b="0"/>
            <wp:docPr id="1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636000" cy="1296000"/>
                    </a:xfrm>
                    <a:prstGeom prst="rect">
                      <a:avLst/>
                    </a:prstGeom>
                    <a:ln/>
                  </pic:spPr>
                </pic:pic>
              </a:graphicData>
            </a:graphic>
          </wp:inline>
        </w:drawing>
      </w:r>
    </w:p>
    <w:tbl>
      <w:tblPr>
        <w:tblStyle w:val="af2"/>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20402F" w:rsidRPr="0020402F" w14:paraId="00D0372F" w14:textId="77777777">
        <w:tc>
          <w:tcPr>
            <w:tcW w:w="4414" w:type="dxa"/>
          </w:tcPr>
          <w:p w14:paraId="10C256F0" w14:textId="77777777" w:rsidR="00CE08AC" w:rsidRPr="0020402F" w:rsidRDefault="00040DB7">
            <w:pPr>
              <w:tabs>
                <w:tab w:val="left" w:pos="1276"/>
                <w:tab w:val="left" w:pos="7513"/>
              </w:tabs>
              <w:jc w:val="center"/>
              <w:rPr>
                <w:rFonts w:ascii="Palatino Linotype" w:eastAsia="Palatino Linotype" w:hAnsi="Palatino Linotype" w:cs="Palatino Linotype"/>
              </w:rPr>
            </w:pPr>
            <w:r w:rsidRPr="0020402F">
              <w:rPr>
                <w:rFonts w:ascii="Palatino Linotype" w:eastAsia="Palatino Linotype" w:hAnsi="Palatino Linotype" w:cs="Palatino Linotype"/>
                <w:noProof/>
              </w:rPr>
              <w:lastRenderedPageBreak/>
              <w:drawing>
                <wp:inline distT="0" distB="0" distL="0" distR="0" wp14:anchorId="5DCCA191" wp14:editId="0E5F2DC4">
                  <wp:extent cx="2520000" cy="638853"/>
                  <wp:effectExtent l="0" t="0" r="0" b="0"/>
                  <wp:docPr id="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520000" cy="638853"/>
                          </a:xfrm>
                          <a:prstGeom prst="rect">
                            <a:avLst/>
                          </a:prstGeom>
                          <a:ln/>
                        </pic:spPr>
                      </pic:pic>
                    </a:graphicData>
                  </a:graphic>
                </wp:inline>
              </w:drawing>
            </w:r>
          </w:p>
        </w:tc>
        <w:tc>
          <w:tcPr>
            <w:tcW w:w="4414" w:type="dxa"/>
          </w:tcPr>
          <w:p w14:paraId="0A8DE67E" w14:textId="77777777" w:rsidR="00CE08AC" w:rsidRPr="0020402F" w:rsidRDefault="00040DB7">
            <w:pPr>
              <w:tabs>
                <w:tab w:val="left" w:pos="1276"/>
                <w:tab w:val="left" w:pos="7513"/>
              </w:tabs>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746B75DE" wp14:editId="5995B24B">
                  <wp:extent cx="2520000" cy="1407438"/>
                  <wp:effectExtent l="0" t="0" r="0" b="0"/>
                  <wp:docPr id="1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520000" cy="1407438"/>
                          </a:xfrm>
                          <a:prstGeom prst="rect">
                            <a:avLst/>
                          </a:prstGeom>
                          <a:ln/>
                        </pic:spPr>
                      </pic:pic>
                    </a:graphicData>
                  </a:graphic>
                </wp:inline>
              </w:drawing>
            </w:r>
          </w:p>
        </w:tc>
      </w:tr>
    </w:tbl>
    <w:p w14:paraId="4EE1BD85" w14:textId="77777777" w:rsidR="00CE08AC" w:rsidRPr="0020402F" w:rsidRDefault="00040DB7">
      <w:pPr>
        <w:spacing w:before="240" w:after="240" w:line="360" w:lineRule="auto"/>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rPr>
        <w:t xml:space="preserve">En tal sentido, se colige que la información requerida por la persona solicitante, respecto de los documentos que integran los procesos de licitación pública, adjudicación directa o invitación restringida, versa sobre una obligación de transparencia de oficio, y que por tal motivo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w:t>
      </w:r>
    </w:p>
    <w:p w14:paraId="4530810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No obstante de lo anterior, no debe de perderse de vista que en el caso concreto, la persona solicitante requirió  todos los documentos que integren los expedientes de los procedimientos de adquisición, celebrados en cualquier modalidad, por lo que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w:t>
      </w:r>
      <w:r w:rsidRPr="0020402F">
        <w:rPr>
          <w:rFonts w:ascii="Palatino Linotype" w:eastAsia="Palatino Linotype" w:hAnsi="Palatino Linotype" w:cs="Palatino Linotype"/>
          <w:b/>
          <w:u w:val="single"/>
        </w:rPr>
        <w:t xml:space="preserve">que ejecuten </w:t>
      </w:r>
      <w:r w:rsidRPr="0020402F">
        <w:rPr>
          <w:rFonts w:ascii="Palatino Linotype" w:eastAsia="Palatino Linotype" w:hAnsi="Palatino Linotype" w:cs="Palatino Linotype"/>
          <w:b/>
          <w:u w:val="single"/>
        </w:rPr>
        <w:lastRenderedPageBreak/>
        <w:t>obra pública</w:t>
      </w:r>
      <w:r w:rsidRPr="0020402F">
        <w:rPr>
          <w:rFonts w:ascii="Palatino Linotype" w:eastAsia="Palatino Linotype" w:hAnsi="Palatino Linotype" w:cs="Palatino Linotype"/>
        </w:rPr>
        <w:t>; los expedientes de Adjudicación Directa, Invitación Restringida y Licitación Pública, se integran de la siguiente manera:</w:t>
      </w:r>
    </w:p>
    <w:p w14:paraId="70D34D3F"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5EE5CFC5" wp14:editId="3160A151">
            <wp:extent cx="3744000" cy="4716000"/>
            <wp:effectExtent l="0" t="0" r="0" b="0"/>
            <wp:docPr id="1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744000" cy="4716000"/>
                    </a:xfrm>
                    <a:prstGeom prst="rect">
                      <a:avLst/>
                    </a:prstGeom>
                    <a:ln/>
                  </pic:spPr>
                </pic:pic>
              </a:graphicData>
            </a:graphic>
          </wp:inline>
        </w:drawing>
      </w:r>
      <w:r w:rsidRPr="0020402F">
        <w:rPr>
          <w:rFonts w:ascii="Palatino Linotype" w:eastAsia="Palatino Linotype" w:hAnsi="Palatino Linotype" w:cs="Palatino Linotype"/>
          <w:noProof/>
        </w:rPr>
        <w:drawing>
          <wp:inline distT="0" distB="0" distL="0" distR="0" wp14:anchorId="631977B7" wp14:editId="631298C5">
            <wp:extent cx="3672000" cy="1944000"/>
            <wp:effectExtent l="0" t="0" r="0" b="0"/>
            <wp:docPr id="1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672000" cy="1944000"/>
                    </a:xfrm>
                    <a:prstGeom prst="rect">
                      <a:avLst/>
                    </a:prstGeom>
                    <a:ln/>
                  </pic:spPr>
                </pic:pic>
              </a:graphicData>
            </a:graphic>
          </wp:inline>
        </w:drawing>
      </w:r>
    </w:p>
    <w:p w14:paraId="75476A50" w14:textId="77777777" w:rsidR="00CE08AC" w:rsidRPr="0020402F" w:rsidRDefault="00CE08AC">
      <w:pPr>
        <w:spacing w:before="240" w:after="240" w:line="360" w:lineRule="auto"/>
        <w:jc w:val="center"/>
        <w:rPr>
          <w:rFonts w:ascii="Palatino Linotype" w:eastAsia="Palatino Linotype" w:hAnsi="Palatino Linotype" w:cs="Palatino Linotype"/>
        </w:rPr>
      </w:pPr>
    </w:p>
    <w:p w14:paraId="4FC665CA"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drawing>
          <wp:inline distT="0" distB="0" distL="0" distR="0" wp14:anchorId="5B7BAFFB" wp14:editId="331B1809">
            <wp:extent cx="4680000" cy="6006927"/>
            <wp:effectExtent l="0" t="0" r="0" b="0"/>
            <wp:docPr id="1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4680000" cy="6006927"/>
                    </a:xfrm>
                    <a:prstGeom prst="rect">
                      <a:avLst/>
                    </a:prstGeom>
                    <a:ln/>
                  </pic:spPr>
                </pic:pic>
              </a:graphicData>
            </a:graphic>
          </wp:inline>
        </w:drawing>
      </w:r>
    </w:p>
    <w:p w14:paraId="093BD16D"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lastRenderedPageBreak/>
        <w:drawing>
          <wp:inline distT="0" distB="0" distL="0" distR="0" wp14:anchorId="3175E1AB" wp14:editId="125F3324">
            <wp:extent cx="4320000" cy="3014461"/>
            <wp:effectExtent l="0" t="0" r="0" b="0"/>
            <wp:docPr id="1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320000" cy="3014461"/>
                    </a:xfrm>
                    <a:prstGeom prst="rect">
                      <a:avLst/>
                    </a:prstGeom>
                    <a:ln/>
                  </pic:spPr>
                </pic:pic>
              </a:graphicData>
            </a:graphic>
          </wp:inline>
        </w:drawing>
      </w:r>
      <w:r w:rsidRPr="0020402F">
        <w:rPr>
          <w:rFonts w:ascii="Palatino Linotype" w:eastAsia="Palatino Linotype" w:hAnsi="Palatino Linotype" w:cs="Palatino Linotype"/>
          <w:noProof/>
        </w:rPr>
        <w:drawing>
          <wp:inline distT="0" distB="0" distL="0" distR="0" wp14:anchorId="6939B3A2" wp14:editId="65AD3999">
            <wp:extent cx="4104000" cy="2703480"/>
            <wp:effectExtent l="0" t="0" r="0" b="0"/>
            <wp:docPr id="1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104000" cy="2703480"/>
                    </a:xfrm>
                    <a:prstGeom prst="rect">
                      <a:avLst/>
                    </a:prstGeom>
                    <a:ln/>
                  </pic:spPr>
                </pic:pic>
              </a:graphicData>
            </a:graphic>
          </wp:inline>
        </w:drawing>
      </w:r>
    </w:p>
    <w:p w14:paraId="56DDEA4F" w14:textId="77777777" w:rsidR="00CE08AC" w:rsidRPr="0020402F" w:rsidRDefault="00040DB7">
      <w:pPr>
        <w:spacing w:before="240" w:after="240" w:line="360" w:lineRule="auto"/>
        <w:jc w:val="center"/>
        <w:rPr>
          <w:rFonts w:ascii="Palatino Linotype" w:eastAsia="Palatino Linotype" w:hAnsi="Palatino Linotype" w:cs="Palatino Linotype"/>
        </w:rPr>
      </w:pPr>
      <w:r w:rsidRPr="0020402F">
        <w:rPr>
          <w:rFonts w:ascii="Palatino Linotype" w:eastAsia="Palatino Linotype" w:hAnsi="Palatino Linotype" w:cs="Palatino Linotype"/>
          <w:noProof/>
        </w:rPr>
        <w:lastRenderedPageBreak/>
        <w:drawing>
          <wp:inline distT="0" distB="0" distL="0" distR="0" wp14:anchorId="41878410" wp14:editId="06E23FB8">
            <wp:extent cx="4500000" cy="5889077"/>
            <wp:effectExtent l="0" t="0" r="0" b="0"/>
            <wp:docPr id="1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b="1431"/>
                    <a:stretch>
                      <a:fillRect/>
                    </a:stretch>
                  </pic:blipFill>
                  <pic:spPr>
                    <a:xfrm>
                      <a:off x="0" y="0"/>
                      <a:ext cx="4500000" cy="5889077"/>
                    </a:xfrm>
                    <a:prstGeom prst="rect">
                      <a:avLst/>
                    </a:prstGeom>
                    <a:ln/>
                  </pic:spPr>
                </pic:pic>
              </a:graphicData>
            </a:graphic>
          </wp:inline>
        </w:drawing>
      </w:r>
    </w:p>
    <w:p w14:paraId="1A72BCE2"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De las imágenes insertas se advierte que </w:t>
      </w:r>
      <w:r w:rsidRPr="0020402F">
        <w:rPr>
          <w:rFonts w:ascii="Palatino Linotype" w:eastAsia="Palatino Linotype" w:hAnsi="Palatino Linotype" w:cs="Palatino Linotype"/>
          <w:b/>
        </w:rPr>
        <w:t xml:space="preserve">los expedientes únicos de obra pública, en las modalidades de adjudicación directa, invitación restringida y licitación pública, incluyen diversos documentos que no están contemplados dentro de la obligación de transparencia establecida en el artículo 92, fracción XXIX de la Ley de Transparencia y Acceso a la Información Pública del Estado de México y </w:t>
      </w:r>
      <w:r w:rsidRPr="0020402F">
        <w:rPr>
          <w:rFonts w:ascii="Palatino Linotype" w:eastAsia="Palatino Linotype" w:hAnsi="Palatino Linotype" w:cs="Palatino Linotype"/>
          <w:b/>
        </w:rPr>
        <w:lastRenderedPageBreak/>
        <w:t>Municipios</w:t>
      </w:r>
      <w:r w:rsidRPr="0020402F">
        <w:rPr>
          <w:rFonts w:ascii="Palatino Linotype" w:eastAsia="Palatino Linotype" w:hAnsi="Palatino Linotype" w:cs="Palatino Linotype"/>
        </w:rPr>
        <w:t xml:space="preserve">, así como </w:t>
      </w:r>
      <w:r w:rsidRPr="0020402F">
        <w:rPr>
          <w:rFonts w:ascii="Palatino Linotype" w:eastAsia="Palatino Linotype" w:hAnsi="Palatino Linotype" w:cs="Palatino Linotype"/>
          <w:b/>
        </w:rPr>
        <w:t>tampoco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la publicación de los mismos</w:t>
      </w:r>
      <w:r w:rsidRPr="0020402F">
        <w:rPr>
          <w:rFonts w:ascii="Palatino Linotype" w:eastAsia="Palatino Linotype" w:hAnsi="Palatino Linotype" w:cs="Palatino Linotype"/>
        </w:rPr>
        <w:t>, de manera enunciativa, más no limitativa, el expediente único de obra, el proyecto ejecutivo, el proyecto, base, el oficio de autorización de los recursos y el dictamen de procedencia, las bases del concurso  y en su caso los términos de referencia, la invitación a la persona física o moral para presentar su propuesta, el expediente técnico, el proyecto ejecutivo, el presupuesto base, el recibo de pago de las bases del concurso, entre otros.</w:t>
      </w:r>
    </w:p>
    <w:p w14:paraId="3EC4D7F5"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De igual forma, el argumento anterior se robustece con los artículos 67, 69, 71, 90, 93 y 94 del Reglamento de la Ley de Contratación Pública del Estado de México y Municipios, y 30, 41, 46, 47 y 49 del Reglamento del Libro Décimo Segundo del Código Administrativo del Estado De México, que señalan lo siguiente:</w:t>
      </w:r>
    </w:p>
    <w:p w14:paraId="209DB224" w14:textId="77777777" w:rsidR="00CE08AC" w:rsidRPr="0020402F" w:rsidRDefault="00040DB7">
      <w:pPr>
        <w:tabs>
          <w:tab w:val="left" w:pos="5983"/>
        </w:tabs>
        <w:spacing w:before="120" w:after="120"/>
        <w:ind w:left="851"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67</w:t>
      </w:r>
      <w:r w:rsidRPr="0020402F">
        <w:rPr>
          <w:rFonts w:ascii="Palatino Linotype" w:eastAsia="Palatino Linotype" w:hAnsi="Palatino Linotype" w:cs="Palatino Linotype"/>
          <w:i/>
          <w:sz w:val="22"/>
          <w:szCs w:val="22"/>
        </w:rPr>
        <w:t>.- El procedimiento de licitación pública comprende las siguientes fases:</w:t>
      </w:r>
    </w:p>
    <w:p w14:paraId="5CC7C447"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I. Publicación de la convocatoria;</w:t>
      </w:r>
    </w:p>
    <w:p w14:paraId="76C1B048"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II. </w:t>
      </w:r>
      <w:r w:rsidRPr="0020402F">
        <w:rPr>
          <w:rFonts w:ascii="Palatino Linotype" w:eastAsia="Palatino Linotype" w:hAnsi="Palatino Linotype" w:cs="Palatino Linotype"/>
          <w:i/>
          <w:sz w:val="22"/>
          <w:szCs w:val="22"/>
        </w:rPr>
        <w:t>Venta de las bases de licitación;</w:t>
      </w:r>
    </w:p>
    <w:p w14:paraId="7F94A7D9"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III. </w:t>
      </w:r>
      <w:r w:rsidRPr="0020402F">
        <w:rPr>
          <w:rFonts w:ascii="Palatino Linotype" w:eastAsia="Palatino Linotype" w:hAnsi="Palatino Linotype" w:cs="Palatino Linotype"/>
          <w:i/>
          <w:sz w:val="22"/>
          <w:szCs w:val="22"/>
        </w:rPr>
        <w:t>Visita, en su caso, al sitio donde se vayan a suministrar los bienes o a prestar los servicios</w:t>
      </w:r>
      <w:r w:rsidRPr="0020402F">
        <w:rPr>
          <w:rFonts w:ascii="Palatino Linotype" w:eastAsia="Palatino Linotype" w:hAnsi="Palatino Linotype" w:cs="Palatino Linotype"/>
          <w:b/>
          <w:i/>
          <w:sz w:val="22"/>
          <w:szCs w:val="22"/>
        </w:rPr>
        <w:t>;</w:t>
      </w:r>
    </w:p>
    <w:p w14:paraId="04F82D0B"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IV. Junta de aclaraciones, en su caso;</w:t>
      </w:r>
    </w:p>
    <w:p w14:paraId="3FE4A031"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V. Acto de presentación y apertura de propuestas;</w:t>
      </w:r>
    </w:p>
    <w:p w14:paraId="40E23D2F"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VI. Análisis y evaluación de propuestas;</w:t>
      </w:r>
    </w:p>
    <w:p w14:paraId="4252158E"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VII. Dictamen de adjudicación;</w:t>
      </w:r>
    </w:p>
    <w:p w14:paraId="6211CE7D"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VIII. Fallo;</w:t>
      </w:r>
    </w:p>
    <w:p w14:paraId="602B6C72"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IX. Suscripción del contrato; y</w:t>
      </w:r>
    </w:p>
    <w:p w14:paraId="7CEC45D9" w14:textId="77777777" w:rsidR="00CE08AC" w:rsidRPr="0020402F" w:rsidRDefault="00040DB7">
      <w:pPr>
        <w:tabs>
          <w:tab w:val="left" w:pos="5983"/>
        </w:tabs>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X. Suministro de los bienes o inicio de la prestación del servicio.</w:t>
      </w:r>
    </w:p>
    <w:p w14:paraId="0F40A061" w14:textId="77777777" w:rsidR="00CE08AC" w:rsidRPr="0020402F" w:rsidRDefault="00040DB7">
      <w:pPr>
        <w:tabs>
          <w:tab w:val="left" w:pos="5983"/>
        </w:tabs>
        <w:spacing w:before="120" w:after="120"/>
        <w:ind w:left="851"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3D55572B" w14:textId="77777777" w:rsidR="00CE08AC" w:rsidRPr="0020402F" w:rsidRDefault="00040DB7">
      <w:pPr>
        <w:tabs>
          <w:tab w:val="left" w:pos="5983"/>
        </w:tabs>
        <w:spacing w:before="120" w:after="120"/>
        <w:ind w:left="851"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69.-</w:t>
      </w:r>
      <w:r w:rsidRPr="0020402F">
        <w:rPr>
          <w:rFonts w:ascii="Palatino Linotype" w:eastAsia="Palatino Linotype" w:hAnsi="Palatino Linotype" w:cs="Palatino Linotype"/>
          <w:i/>
          <w:sz w:val="22"/>
          <w:szCs w:val="22"/>
        </w:rPr>
        <w:t xml:space="preserve"> En los </w:t>
      </w:r>
      <w:r w:rsidRPr="0020402F">
        <w:rPr>
          <w:rFonts w:ascii="Palatino Linotype" w:eastAsia="Palatino Linotype" w:hAnsi="Palatino Linotype" w:cs="Palatino Linotype"/>
          <w:b/>
          <w:i/>
          <w:sz w:val="22"/>
          <w:szCs w:val="22"/>
        </w:rPr>
        <w:t>procedimientos de licitación pública cuyo monto rebase el equivalente a dos millones</w:t>
      </w:r>
      <w:r w:rsidRPr="0020402F">
        <w:rPr>
          <w:rFonts w:ascii="Palatino Linotype" w:eastAsia="Palatino Linotype" w:hAnsi="Palatino Linotype" w:cs="Palatino Linotype"/>
          <w:i/>
          <w:sz w:val="22"/>
          <w:szCs w:val="22"/>
        </w:rPr>
        <w:t xml:space="preserve"> de salario mínimo general vigente en la Capital del Estado y en aquellos casos en los que el área solicitante así lo determine por su complejidad o impacto que tenga en sus programas sustantivos, </w:t>
      </w:r>
      <w:r w:rsidRPr="0020402F">
        <w:rPr>
          <w:rFonts w:ascii="Palatino Linotype" w:eastAsia="Palatino Linotype" w:hAnsi="Palatino Linotype" w:cs="Palatino Linotype"/>
          <w:b/>
          <w:i/>
          <w:sz w:val="22"/>
          <w:szCs w:val="22"/>
          <w:u w:val="single"/>
        </w:rPr>
        <w:t>será obligatoria la participación de testigos sociales</w:t>
      </w:r>
      <w:r w:rsidRPr="0020402F">
        <w:rPr>
          <w:rFonts w:ascii="Palatino Linotype" w:eastAsia="Palatino Linotype" w:hAnsi="Palatino Linotype" w:cs="Palatino Linotype"/>
          <w:i/>
          <w:sz w:val="22"/>
          <w:szCs w:val="22"/>
        </w:rPr>
        <w:t>, en términos del Título Décimo del Libro Primero del Código Administrativo del Estado de México.</w:t>
      </w:r>
    </w:p>
    <w:p w14:paraId="0DFDF3BA" w14:textId="77777777" w:rsidR="00CE08AC" w:rsidRPr="0020402F" w:rsidRDefault="00040DB7">
      <w:pPr>
        <w:tabs>
          <w:tab w:val="left" w:pos="5983"/>
        </w:tabs>
        <w:spacing w:before="120" w:after="120"/>
        <w:ind w:left="851"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627BD7A6" w14:textId="77777777" w:rsidR="00CE08AC" w:rsidRPr="0020402F" w:rsidRDefault="00040DB7">
      <w:pPr>
        <w:tabs>
          <w:tab w:val="left" w:pos="5983"/>
        </w:tabs>
        <w:spacing w:before="120" w:after="120"/>
        <w:ind w:left="851"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71.-</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Las bases de la licitación pública y de la invitación restringida tendrán un costo de recuperación</w:t>
      </w:r>
      <w:r w:rsidRPr="0020402F">
        <w:rPr>
          <w:rFonts w:ascii="Palatino Linotype" w:eastAsia="Palatino Linotype" w:hAnsi="Palatino Linotype" w:cs="Palatino Linotype"/>
          <w:i/>
          <w:sz w:val="22"/>
          <w:szCs w:val="22"/>
        </w:rPr>
        <w:t>, el cual se autorizará por la Secretaría. El acuerdo que fije los precios correspondientes deberá publicarse en el periódico oficial “Gaceta del Gobierno”.</w:t>
      </w:r>
    </w:p>
    <w:p w14:paraId="440CD42B" w14:textId="77777777" w:rsidR="00CE08AC" w:rsidRPr="0020402F" w:rsidRDefault="00040DB7">
      <w:pPr>
        <w:spacing w:before="120" w:after="120"/>
        <w:ind w:left="851" w:right="1043"/>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3B345FCC" w14:textId="77777777" w:rsidR="00CE08AC" w:rsidRPr="0020402F" w:rsidRDefault="00040DB7">
      <w:pPr>
        <w:spacing w:before="120" w:after="120"/>
        <w:ind w:left="851" w:right="1043"/>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Artículo 90.- En el procedimiento de invitación restringida se deberá observar lo siguiente: </w:t>
      </w:r>
    </w:p>
    <w:p w14:paraId="634BD758" w14:textId="77777777" w:rsidR="00CE08AC" w:rsidRPr="0020402F" w:rsidRDefault="00040DB7">
      <w:pPr>
        <w:spacing w:before="120" w:after="120"/>
        <w:ind w:left="1134" w:right="1043"/>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6F913AAF" w14:textId="77777777" w:rsidR="00CE08AC" w:rsidRPr="0020402F" w:rsidRDefault="00040DB7">
      <w:pPr>
        <w:spacing w:before="120" w:after="120"/>
        <w:ind w:left="1134" w:right="1043"/>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 Las bases de la invitación restringida indicarán los aspectos de la adquisición o contratación;</w:t>
      </w:r>
      <w:r w:rsidRPr="0020402F">
        <w:rPr>
          <w:rFonts w:ascii="Palatino Linotype" w:eastAsia="Palatino Linotype" w:hAnsi="Palatino Linotype" w:cs="Palatino Linotype"/>
          <w:i/>
          <w:sz w:val="22"/>
          <w:szCs w:val="22"/>
        </w:rPr>
        <w:t xml:space="preserve"> y </w:t>
      </w:r>
    </w:p>
    <w:p w14:paraId="3185451C" w14:textId="77777777" w:rsidR="00CE08AC" w:rsidRPr="0020402F" w:rsidRDefault="00040DB7">
      <w:pPr>
        <w:spacing w:before="120" w:after="120"/>
        <w:ind w:left="1134" w:right="1043"/>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III. Serán aplicables</w:t>
      </w:r>
      <w:r w:rsidRPr="0020402F">
        <w:rPr>
          <w:rFonts w:ascii="Palatino Linotype" w:eastAsia="Palatino Linotype" w:hAnsi="Palatino Linotype" w:cs="Palatino Linotype"/>
          <w:i/>
          <w:sz w:val="22"/>
          <w:szCs w:val="22"/>
        </w:rPr>
        <w:t xml:space="preserve">, en lo conducente, </w:t>
      </w:r>
      <w:r w:rsidRPr="0020402F">
        <w:rPr>
          <w:rFonts w:ascii="Palatino Linotype" w:eastAsia="Palatino Linotype" w:hAnsi="Palatino Linotype" w:cs="Palatino Linotype"/>
          <w:b/>
          <w:i/>
          <w:sz w:val="22"/>
          <w:szCs w:val="22"/>
        </w:rPr>
        <w:t>las disposiciones de la licitación pública.</w:t>
      </w:r>
    </w:p>
    <w:p w14:paraId="60B90E9F" w14:textId="77777777" w:rsidR="00CE08AC" w:rsidRPr="0020402F" w:rsidRDefault="00040DB7">
      <w:pPr>
        <w:spacing w:before="120" w:after="120"/>
        <w:ind w:left="851" w:right="1043"/>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3672E698" w14:textId="77777777" w:rsidR="00CE08AC" w:rsidRPr="0020402F" w:rsidRDefault="00040DB7">
      <w:pPr>
        <w:spacing w:before="120" w:after="120"/>
        <w:ind w:left="851"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93</w:t>
      </w:r>
      <w:r w:rsidRPr="0020402F">
        <w:rPr>
          <w:rFonts w:ascii="Palatino Linotype" w:eastAsia="Palatino Linotype" w:hAnsi="Palatino Linotype" w:cs="Palatino Linotype"/>
          <w:i/>
          <w:sz w:val="22"/>
          <w:szCs w:val="22"/>
        </w:rPr>
        <w:t xml:space="preserve">.- La Secretaría, organismos auxiliares, tribunales administrativos y municipios, solicitarán al comité el </w:t>
      </w:r>
      <w:r w:rsidRPr="0020402F">
        <w:rPr>
          <w:rFonts w:ascii="Palatino Linotype" w:eastAsia="Palatino Linotype" w:hAnsi="Palatino Linotype" w:cs="Palatino Linotype"/>
          <w:b/>
          <w:i/>
          <w:sz w:val="22"/>
          <w:szCs w:val="22"/>
        </w:rPr>
        <w:t>dictamen de procedencia del procedimiento de adjudicación directa</w:t>
      </w:r>
      <w:r w:rsidRPr="0020402F">
        <w:rPr>
          <w:rFonts w:ascii="Palatino Linotype" w:eastAsia="Palatino Linotype" w:hAnsi="Palatino Linotype" w:cs="Palatino Linotype"/>
          <w:i/>
          <w:sz w:val="22"/>
          <w:szCs w:val="22"/>
        </w:rPr>
        <w:t xml:space="preserve">, acreditando previamente: </w:t>
      </w:r>
    </w:p>
    <w:p w14:paraId="71052038"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La descripción general de los bienes a adquirir o el servicio a contratar; </w:t>
      </w:r>
    </w:p>
    <w:p w14:paraId="6CB1FDBA"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La justificación o conveniencia de llevar a cabo la adjudicación directa; y </w:t>
      </w:r>
    </w:p>
    <w:p w14:paraId="035FAC4E"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Certificación de suficiencia presupuestaria.</w:t>
      </w:r>
    </w:p>
    <w:p w14:paraId="0861D6D3" w14:textId="77777777" w:rsidR="00CE08AC" w:rsidRPr="0020402F" w:rsidRDefault="00040DB7">
      <w:pPr>
        <w:spacing w:before="120" w:after="120"/>
        <w:ind w:left="1134"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i/>
          <w:sz w:val="22"/>
          <w:szCs w:val="22"/>
        </w:rPr>
        <w:lastRenderedPageBreak/>
        <w:t xml:space="preserve">El oficio </w:t>
      </w:r>
      <w:proofErr w:type="spellStart"/>
      <w:r w:rsidRPr="0020402F">
        <w:rPr>
          <w:rFonts w:ascii="Palatino Linotype" w:eastAsia="Palatino Linotype" w:hAnsi="Palatino Linotype" w:cs="Palatino Linotype"/>
          <w:i/>
          <w:sz w:val="22"/>
          <w:szCs w:val="22"/>
        </w:rPr>
        <w:t>justificatorio</w:t>
      </w:r>
      <w:proofErr w:type="spellEnd"/>
      <w:r w:rsidRPr="0020402F">
        <w:rPr>
          <w:rFonts w:ascii="Palatino Linotype" w:eastAsia="Palatino Linotype" w:hAnsi="Palatino Linotype" w:cs="Palatino Linotype"/>
          <w:i/>
          <w:sz w:val="22"/>
          <w:szCs w:val="22"/>
        </w:rPr>
        <w:t xml:space="preserve"> a que se refiere la fracción II, deberá formularse por el titular de la unidad administrativa interesada en la adquisición de los bienes, la contratación de servicios o el arrendamiento.</w:t>
      </w:r>
    </w:p>
    <w:p w14:paraId="2C7B0FC1" w14:textId="77777777" w:rsidR="00CE08AC" w:rsidRPr="0020402F" w:rsidRDefault="00040DB7">
      <w:pPr>
        <w:spacing w:before="120" w:after="120"/>
        <w:ind w:left="851"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0818344F" w14:textId="77777777" w:rsidR="00CE08AC" w:rsidRPr="0020402F" w:rsidRDefault="00040DB7">
      <w:pPr>
        <w:spacing w:before="120" w:after="120"/>
        <w:ind w:left="851"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94.-</w:t>
      </w:r>
      <w:r w:rsidRPr="0020402F">
        <w:rPr>
          <w:rFonts w:ascii="Palatino Linotype" w:eastAsia="Palatino Linotype" w:hAnsi="Palatino Linotype" w:cs="Palatino Linotype"/>
          <w:i/>
          <w:sz w:val="22"/>
          <w:szCs w:val="22"/>
        </w:rPr>
        <w:t xml:space="preserve"> En el procedimiento de adjudicación directa se observará lo siguiente: </w:t>
      </w:r>
    </w:p>
    <w:p w14:paraId="239B8255"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Las adquisiciones de bienes y la contratación de servicios, se </w:t>
      </w:r>
      <w:proofErr w:type="gramStart"/>
      <w:r w:rsidRPr="0020402F">
        <w:rPr>
          <w:rFonts w:ascii="Palatino Linotype" w:eastAsia="Palatino Linotype" w:hAnsi="Palatino Linotype" w:cs="Palatino Linotype"/>
          <w:i/>
          <w:sz w:val="22"/>
          <w:szCs w:val="22"/>
        </w:rPr>
        <w:t>efectuaran</w:t>
      </w:r>
      <w:proofErr w:type="gramEnd"/>
      <w:r w:rsidRPr="0020402F">
        <w:rPr>
          <w:rFonts w:ascii="Palatino Linotype" w:eastAsia="Palatino Linotype" w:hAnsi="Palatino Linotype" w:cs="Palatino Linotype"/>
          <w:i/>
          <w:sz w:val="22"/>
          <w:szCs w:val="22"/>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1FE3C33C"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7FC58BCA"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La solicitud de participación contendrá, como mínimo, la descripción y cantidad de los bienes o servicios requeridos, lugar, plazo de entrega o duración del servicio y forma de pago</w:t>
      </w:r>
      <w:r w:rsidRPr="0020402F">
        <w:rPr>
          <w:rFonts w:ascii="Palatino Linotype" w:eastAsia="Palatino Linotype" w:hAnsi="Palatino Linotype" w:cs="Palatino Linotype"/>
          <w:i/>
          <w:sz w:val="22"/>
          <w:szCs w:val="22"/>
        </w:rPr>
        <w:t xml:space="preserve">; </w:t>
      </w:r>
    </w:p>
    <w:p w14:paraId="5890D106"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La solicitud de participación deberá señalar el día, hora y lugar en que tendrá verificativo el acto de presentación y apertura de ofertas</w:t>
      </w:r>
      <w:r w:rsidRPr="0020402F">
        <w:rPr>
          <w:rFonts w:ascii="Palatino Linotype" w:eastAsia="Palatino Linotype" w:hAnsi="Palatino Linotype" w:cs="Palatino Linotype"/>
          <w:i/>
          <w:sz w:val="22"/>
          <w:szCs w:val="22"/>
        </w:rPr>
        <w:t xml:space="preserve">; </w:t>
      </w:r>
    </w:p>
    <w:p w14:paraId="46AFAAC5"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w:t>
      </w:r>
      <w:r w:rsidRPr="0020402F">
        <w:rPr>
          <w:rFonts w:ascii="Palatino Linotype" w:eastAsia="Palatino Linotype" w:hAnsi="Palatino Linotype" w:cs="Palatino Linotype"/>
          <w:i/>
          <w:sz w:val="22"/>
          <w:szCs w:val="22"/>
        </w:rPr>
        <w:t xml:space="preserve"> Atendiendo a la naturaleza de los bienes o servicios, la convocante </w:t>
      </w:r>
      <w:r w:rsidRPr="0020402F">
        <w:rPr>
          <w:rFonts w:ascii="Palatino Linotype" w:eastAsia="Palatino Linotype" w:hAnsi="Palatino Linotype" w:cs="Palatino Linotype"/>
          <w:b/>
          <w:i/>
          <w:sz w:val="22"/>
          <w:szCs w:val="22"/>
        </w:rPr>
        <w:t>podrá optar entre celebrar o no junta de aclaraciones</w:t>
      </w:r>
      <w:r w:rsidRPr="0020402F">
        <w:rPr>
          <w:rFonts w:ascii="Palatino Linotype" w:eastAsia="Palatino Linotype" w:hAnsi="Palatino Linotype" w:cs="Palatino Linotype"/>
          <w:i/>
          <w:sz w:val="22"/>
          <w:szCs w:val="22"/>
        </w:rPr>
        <w:t xml:space="preserve">, en términos de lo dispuesto por este Reglamento; </w:t>
      </w:r>
    </w:p>
    <w:p w14:paraId="5C372E5E" w14:textId="77777777" w:rsidR="00CE08AC" w:rsidRPr="0020402F" w:rsidRDefault="00040DB7">
      <w:pPr>
        <w:spacing w:before="120" w:after="120"/>
        <w:ind w:left="1134" w:right="1043"/>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VI</w:t>
      </w:r>
      <w:r w:rsidRPr="0020402F">
        <w:rPr>
          <w:rFonts w:ascii="Palatino Linotype" w:eastAsia="Palatino Linotype" w:hAnsi="Palatino Linotype" w:cs="Palatino Linotype"/>
          <w:i/>
          <w:sz w:val="22"/>
          <w:szCs w:val="22"/>
        </w:rPr>
        <w:t xml:space="preserve">. El servidor público designado por la convocante será el responsable de llevar a cabo el </w:t>
      </w:r>
      <w:r w:rsidRPr="0020402F">
        <w:rPr>
          <w:rFonts w:ascii="Palatino Linotype" w:eastAsia="Palatino Linotype" w:hAnsi="Palatino Linotype" w:cs="Palatino Linotype"/>
          <w:b/>
          <w:i/>
          <w:sz w:val="22"/>
          <w:szCs w:val="22"/>
        </w:rPr>
        <w:t xml:space="preserve">acto de presentación y apertura de propuestas; </w:t>
      </w:r>
    </w:p>
    <w:p w14:paraId="4BFAAE14" w14:textId="77777777" w:rsidR="00CE08AC" w:rsidRPr="0020402F" w:rsidRDefault="00040DB7">
      <w:pPr>
        <w:spacing w:before="120" w:after="120"/>
        <w:ind w:left="1134" w:right="1043"/>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VII.</w:t>
      </w:r>
      <w:r w:rsidRPr="0020402F">
        <w:rPr>
          <w:rFonts w:ascii="Palatino Linotype" w:eastAsia="Palatino Linotype" w:hAnsi="Palatino Linotype" w:cs="Palatino Linotype"/>
          <w:i/>
          <w:sz w:val="22"/>
          <w:szCs w:val="22"/>
        </w:rPr>
        <w:t xml:space="preserve"> Se observarán, en lo conducente, las disposiciones relativas a la </w:t>
      </w:r>
      <w:r w:rsidRPr="0020402F">
        <w:rPr>
          <w:rFonts w:ascii="Palatino Linotype" w:eastAsia="Palatino Linotype" w:hAnsi="Palatino Linotype" w:cs="Palatino Linotype"/>
          <w:b/>
          <w:i/>
          <w:sz w:val="22"/>
          <w:szCs w:val="22"/>
        </w:rPr>
        <w:t>contraoferta;</w:t>
      </w:r>
      <w:r w:rsidRPr="0020402F">
        <w:rPr>
          <w:rFonts w:ascii="Palatino Linotype" w:eastAsia="Palatino Linotype" w:hAnsi="Palatino Linotype" w:cs="Palatino Linotype"/>
          <w:i/>
          <w:sz w:val="22"/>
          <w:szCs w:val="22"/>
        </w:rPr>
        <w:t xml:space="preserve"> y </w:t>
      </w:r>
    </w:p>
    <w:p w14:paraId="6AF51E9D" w14:textId="77777777" w:rsidR="00CE08AC" w:rsidRPr="0020402F" w:rsidRDefault="00040DB7">
      <w:pPr>
        <w:spacing w:before="120" w:after="120"/>
        <w:ind w:left="1134" w:right="1043"/>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VIII</w:t>
      </w:r>
      <w:r w:rsidRPr="0020402F">
        <w:rPr>
          <w:rFonts w:ascii="Palatino Linotype" w:eastAsia="Palatino Linotype" w:hAnsi="Palatino Linotype" w:cs="Palatino Linotype"/>
          <w:i/>
          <w:sz w:val="22"/>
          <w:szCs w:val="22"/>
        </w:rPr>
        <w:t>. El comité será responsable de emitir el dictamen de adjudicación que servirá de base para el fallo de adjudicación; correspondiendo a la convocante emitir dicho fallo, quien lo hará del conocimiento de los licitantes:”</w:t>
      </w:r>
    </w:p>
    <w:p w14:paraId="58A455B5"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lastRenderedPageBreak/>
        <w:t>“</w:t>
      </w:r>
      <w:r w:rsidRPr="0020402F">
        <w:rPr>
          <w:rFonts w:ascii="Palatino Linotype" w:eastAsia="Palatino Linotype" w:hAnsi="Palatino Linotype" w:cs="Palatino Linotype"/>
          <w:b/>
          <w:i/>
          <w:sz w:val="22"/>
          <w:szCs w:val="22"/>
        </w:rPr>
        <w:t>Artículo 30.-</w:t>
      </w:r>
      <w:r w:rsidRPr="0020402F">
        <w:rPr>
          <w:rFonts w:ascii="Palatino Linotype" w:eastAsia="Palatino Linotype" w:hAnsi="Palatino Linotype" w:cs="Palatino Linotype"/>
          <w:i/>
          <w:sz w:val="22"/>
          <w:szCs w:val="22"/>
        </w:rPr>
        <w:t xml:space="preserve"> El procedimiento </w:t>
      </w:r>
      <w:r w:rsidRPr="0020402F">
        <w:rPr>
          <w:rFonts w:ascii="Palatino Linotype" w:eastAsia="Palatino Linotype" w:hAnsi="Palatino Linotype" w:cs="Palatino Linotype"/>
          <w:b/>
          <w:i/>
          <w:sz w:val="22"/>
          <w:szCs w:val="22"/>
        </w:rPr>
        <w:t>de licitación pública</w:t>
      </w:r>
      <w:r w:rsidRPr="0020402F">
        <w:rPr>
          <w:rFonts w:ascii="Palatino Linotype" w:eastAsia="Palatino Linotype" w:hAnsi="Palatino Linotype" w:cs="Palatino Linotype"/>
          <w:i/>
          <w:sz w:val="22"/>
          <w:szCs w:val="22"/>
        </w:rPr>
        <w:t xml:space="preserve"> inicia con la publicación de la convocatoria y concluye con el fallo y adjudicación. Cubrirá las etapas siguientes:</w:t>
      </w:r>
    </w:p>
    <w:p w14:paraId="3378F784"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I. La formulación de las bases de licitación; </w:t>
      </w:r>
    </w:p>
    <w:p w14:paraId="42BC58F9"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II. La publicación de la convocatoria;</w:t>
      </w:r>
    </w:p>
    <w:p w14:paraId="4EAE1003"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III. La venta de las bases de licitación; </w:t>
      </w:r>
    </w:p>
    <w:p w14:paraId="06A92ED7"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IV. La visita al sitio donde se realizarán los trabajos;</w:t>
      </w:r>
      <w:r w:rsidRPr="0020402F">
        <w:rPr>
          <w:rFonts w:ascii="Palatino Linotype" w:eastAsia="Palatino Linotype" w:hAnsi="Palatino Linotype" w:cs="Palatino Linotype"/>
          <w:i/>
          <w:sz w:val="22"/>
          <w:szCs w:val="22"/>
        </w:rPr>
        <w:t xml:space="preserve"> </w:t>
      </w:r>
    </w:p>
    <w:p w14:paraId="2376A93A"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V. Las juntas de aclaraciones; </w:t>
      </w:r>
    </w:p>
    <w:p w14:paraId="1A46D59D"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VI. La presentación y apertura de propuestas; </w:t>
      </w:r>
    </w:p>
    <w:p w14:paraId="2A7D9CB6"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VII. La evaluación de propuestas; y </w:t>
      </w:r>
    </w:p>
    <w:p w14:paraId="2FF1C032"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VIII. El fallo y adjudicación.</w:t>
      </w:r>
    </w:p>
    <w:p w14:paraId="6866FBFA"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51DDA067"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41</w:t>
      </w:r>
      <w:r w:rsidRPr="0020402F">
        <w:rPr>
          <w:rFonts w:ascii="Palatino Linotype" w:eastAsia="Palatino Linotype" w:hAnsi="Palatino Linotype" w:cs="Palatino Linotype"/>
          <w:i/>
          <w:sz w:val="22"/>
          <w:szCs w:val="22"/>
        </w:rPr>
        <w:t>.- La visita al sitio de los trabajos es obligatoria para los interesados y se llevará a cabo el día hábil siguiente al término de la etapa de venta de bases. Tiene el propósito de que los interesados conozcan las condiciones en que se encuentra; el acceso; los servicios de que dispone; las características físicas y ambientales; y, en general, los aspectos relevantes para la formulación de su propuesta. El convocante organizará y guiará la visita al sitio de los trabajos y facilitará el acceso. Acudirán los interesados que cuenten con las bases de licitación, acompañados si lo desean de su personal. Del evento, se levantará acta circunstanciada que relacione a las personas que acudieron y, en su caso, los comentarios que pudieran ser materia de la junta de aclaraciones.</w:t>
      </w:r>
    </w:p>
    <w:p w14:paraId="3E5F6F8D"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46</w:t>
      </w:r>
      <w:r w:rsidRPr="0020402F">
        <w:rPr>
          <w:rFonts w:ascii="Palatino Linotype" w:eastAsia="Palatino Linotype" w:hAnsi="Palatino Linotype" w:cs="Palatino Linotype"/>
          <w:i/>
          <w:sz w:val="22"/>
          <w:szCs w:val="22"/>
        </w:rPr>
        <w:t xml:space="preserve">.- Atendiendo a las características, complejidad y magnitud de los trabajos, el convocante podrá requerir al licitante que en su propuesta incluya la </w:t>
      </w:r>
      <w:r w:rsidRPr="0020402F">
        <w:rPr>
          <w:rFonts w:ascii="Palatino Linotype" w:eastAsia="Palatino Linotype" w:hAnsi="Palatino Linotype" w:cs="Palatino Linotype"/>
          <w:b/>
          <w:i/>
          <w:sz w:val="22"/>
          <w:szCs w:val="22"/>
        </w:rPr>
        <w:t>documentación relacionada con su experiencia profesional</w:t>
      </w:r>
      <w:r w:rsidRPr="0020402F">
        <w:rPr>
          <w:rFonts w:ascii="Palatino Linotype" w:eastAsia="Palatino Linotype" w:hAnsi="Palatino Linotype" w:cs="Palatino Linotype"/>
          <w:i/>
          <w:sz w:val="22"/>
          <w:szCs w:val="22"/>
        </w:rPr>
        <w:t xml:space="preserve">: </w:t>
      </w:r>
    </w:p>
    <w:p w14:paraId="6E474FC8"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I.  a la XIII. </w:t>
      </w:r>
    </w:p>
    <w:p w14:paraId="40CCAA83"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47.-</w:t>
      </w:r>
      <w:r w:rsidRPr="0020402F">
        <w:rPr>
          <w:rFonts w:ascii="Palatino Linotype" w:eastAsia="Palatino Linotype" w:hAnsi="Palatino Linotype" w:cs="Palatino Linotype"/>
          <w:i/>
          <w:sz w:val="22"/>
          <w:szCs w:val="22"/>
        </w:rPr>
        <w:t xml:space="preserve"> En el caso de obras contratadas sobre la base de precios unitarios, el convocante podrá requerir al licitante que en su propuesta incluya la </w:t>
      </w:r>
      <w:r w:rsidRPr="0020402F">
        <w:rPr>
          <w:rFonts w:ascii="Palatino Linotype" w:eastAsia="Palatino Linotype" w:hAnsi="Palatino Linotype" w:cs="Palatino Linotype"/>
          <w:b/>
          <w:i/>
          <w:sz w:val="22"/>
          <w:szCs w:val="22"/>
        </w:rPr>
        <w:t xml:space="preserve">documentación técnica y económica </w:t>
      </w:r>
      <w:r w:rsidRPr="0020402F">
        <w:rPr>
          <w:rFonts w:ascii="Palatino Linotype" w:eastAsia="Palatino Linotype" w:hAnsi="Palatino Linotype" w:cs="Palatino Linotype"/>
          <w:i/>
          <w:sz w:val="22"/>
          <w:szCs w:val="22"/>
        </w:rPr>
        <w:t xml:space="preserve">siguiente: </w:t>
      </w:r>
    </w:p>
    <w:p w14:paraId="06B62B00"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I. a la XIV </w:t>
      </w:r>
    </w:p>
    <w:p w14:paraId="159C5673"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w:t>
      </w:r>
    </w:p>
    <w:p w14:paraId="29AD3D24" w14:textId="77777777" w:rsidR="00CE08AC" w:rsidRPr="0020402F" w:rsidRDefault="00040DB7">
      <w:pPr>
        <w:tabs>
          <w:tab w:val="left" w:pos="5983"/>
        </w:tabs>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49.-</w:t>
      </w:r>
      <w:r w:rsidRPr="0020402F">
        <w:rPr>
          <w:rFonts w:ascii="Palatino Linotype" w:eastAsia="Palatino Linotype" w:hAnsi="Palatino Linotype" w:cs="Palatino Linotype"/>
          <w:i/>
          <w:sz w:val="22"/>
          <w:szCs w:val="22"/>
        </w:rPr>
        <w:t xml:space="preserve"> Los licitantes son los únicos responsables de que sus propuestas sean entregadas en tiempo y forma en el acto de presentación y apertura de </w:t>
      </w:r>
      <w:r w:rsidRPr="0020402F">
        <w:rPr>
          <w:rFonts w:ascii="Palatino Linotype" w:eastAsia="Palatino Linotype" w:hAnsi="Palatino Linotype" w:cs="Palatino Linotype"/>
          <w:i/>
          <w:sz w:val="22"/>
          <w:szCs w:val="22"/>
        </w:rPr>
        <w:lastRenderedPageBreak/>
        <w:t>propuestas. Todos los documentos de la propuesta deberán estar foliados y firmados por el licitante o su representante legal, se entregarán en un sobre cerrado que contendrá:</w:t>
      </w:r>
    </w:p>
    <w:p w14:paraId="760F4CDD"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La documentación legal y administrativa; </w:t>
      </w:r>
    </w:p>
    <w:p w14:paraId="4404C2BB" w14:textId="77777777" w:rsidR="00CE08AC" w:rsidRPr="0020402F" w:rsidRDefault="00040DB7">
      <w:pPr>
        <w:tabs>
          <w:tab w:val="left" w:pos="5983"/>
        </w:tabs>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La propuesta y económica. </w:t>
      </w:r>
    </w:p>
    <w:p w14:paraId="05AF50EF"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31C0A1D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lo que, si bien ha quedado claro que la información que es hoy tema de estudio, por su naturaleza debe encontrarse pública a través del portal de internet establecido para tal efecto, no es óbice para que este sea el único medio por el cual la solicitud pueda ser atendida, máxime que en el caso concreto el soporte documental que pudiera satisfacer el derecho el acceso no necesariamente debe encontrarse en dicho portal, pues incluso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como ya se precisó, establecen los criterios sustantivos de contenido que deben observar los Sujetos Obligados para la publicación de la información en los portales de internet, en el caso de la obligación de transparencia relacionada con los procedimientos de adjudicación contemplan al excepción respecto de la publicación de los documentos fuente, cuando estos sean demasiado extensos, como se lee enseguida: </w:t>
      </w:r>
    </w:p>
    <w:p w14:paraId="460E683D" w14:textId="77777777" w:rsidR="00CE08AC" w:rsidRPr="0020402F" w:rsidRDefault="00040DB7">
      <w:pPr>
        <w:spacing w:before="120" w:after="120"/>
        <w:ind w:left="851" w:right="902"/>
        <w:jc w:val="both"/>
        <w:rPr>
          <w:rFonts w:ascii="Palatino Linotype" w:eastAsia="Palatino Linotype" w:hAnsi="Palatino Linotype" w:cs="Palatino Linotype"/>
        </w:rPr>
      </w:pPr>
      <w:r w:rsidRPr="0020402F">
        <w:rPr>
          <w:rFonts w:ascii="Palatino Linotype" w:eastAsia="Palatino Linotype" w:hAnsi="Palatino Linotype" w:cs="Palatino Linotype"/>
          <w:i/>
          <w:sz w:val="22"/>
          <w:szCs w:val="22"/>
        </w:rPr>
        <w:t xml:space="preserve">“Respecto de los documentos fuente solicitados en los criterios sustantivos que deban ser publicados, </w:t>
      </w:r>
      <w:r w:rsidRPr="0020402F">
        <w:rPr>
          <w:rFonts w:ascii="Palatino Linotype" w:eastAsia="Palatino Linotype" w:hAnsi="Palatino Linotype" w:cs="Palatino Linotype"/>
          <w:b/>
          <w:i/>
          <w:sz w:val="22"/>
          <w:szCs w:val="22"/>
        </w:rPr>
        <w:t xml:space="preserve">tales como contratos, convenios, actas, dictámenes, fallos, convenios modificatorios, informes, entre otros, incluyendo sus </w:t>
      </w:r>
      <w:r w:rsidRPr="0020402F">
        <w:rPr>
          <w:rFonts w:ascii="Palatino Linotype" w:eastAsia="Palatino Linotype" w:hAnsi="Palatino Linotype" w:cs="Palatino Linotype"/>
          <w:b/>
          <w:i/>
          <w:sz w:val="22"/>
          <w:szCs w:val="22"/>
        </w:rPr>
        <w:lastRenderedPageBreak/>
        <w:t xml:space="preserve">anexos correspondientes, </w:t>
      </w:r>
      <w:r w:rsidRPr="0020402F">
        <w:rPr>
          <w:rFonts w:ascii="Palatino Linotype" w:eastAsia="Palatino Linotype" w:hAnsi="Palatino Linotype" w:cs="Palatino Linotype"/>
          <w:b/>
          <w:i/>
          <w:sz w:val="22"/>
          <w:szCs w:val="22"/>
          <w:u w:val="single"/>
        </w:rPr>
        <w:t>exceptuando aquellos que sean demasiado extensos</w:t>
      </w:r>
      <w:r w:rsidRPr="0020402F">
        <w:rPr>
          <w:rFonts w:ascii="Palatino Linotype" w:eastAsia="Palatino Linotype" w:hAnsi="Palatino Linotype" w:cs="Palatino Linotype"/>
          <w:i/>
          <w:sz w:val="22"/>
          <w:szCs w:val="22"/>
        </w:rPr>
        <w:t>, se deberá elaborar versión pública de los mismos</w:t>
      </w:r>
      <w:proofErr w:type="gramStart"/>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sz w:val="18"/>
          <w:szCs w:val="18"/>
        </w:rPr>
        <w:t xml:space="preserve"> </w:t>
      </w:r>
      <w:r w:rsidRPr="0020402F">
        <w:rPr>
          <w:rFonts w:ascii="Palatino Linotype" w:eastAsia="Palatino Linotype" w:hAnsi="Palatino Linotype" w:cs="Palatino Linotype"/>
        </w:rPr>
        <w:t>”</w:t>
      </w:r>
      <w:proofErr w:type="gramEnd"/>
    </w:p>
    <w:p w14:paraId="31C1B48B"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tal sentido, para dar cumplimiento a la resolución, respecto de este punto,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deberá, previa búsqueda exhaustiva y razonable, entregar toda aquella documentación relacionada con los procedimientos de adjudicación en cualquiera de sus modalidades, que corresponda con el periodo señalado por la persona solicitante, que obre en sus archivos, de conformidad con los artículos 12, párrafo segundo y 24 último párrafo de la Ley de Ley de Transparencia y Acceso a la Información Pública del Estado de México y Municipios, en versión pública, conforme al considerando siguiente.</w:t>
      </w:r>
    </w:p>
    <w:p w14:paraId="6F37FDCD"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Siendo importante mencionar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5210A259" w14:textId="77777777" w:rsidR="00CE08AC" w:rsidRPr="0020402F" w:rsidRDefault="00040DB7">
      <w:pPr>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18.</w:t>
      </w:r>
      <w:r w:rsidRPr="0020402F">
        <w:rPr>
          <w:rFonts w:ascii="Palatino Linotype" w:eastAsia="Palatino Linotype" w:hAnsi="Palatino Linotype" w:cs="Palatino Linotype"/>
          <w:i/>
          <w:sz w:val="22"/>
          <w:szCs w:val="22"/>
        </w:rPr>
        <w:t xml:space="preserve"> Los sujetos obligados </w:t>
      </w:r>
      <w:r w:rsidRPr="0020402F">
        <w:rPr>
          <w:rFonts w:ascii="Palatino Linotype" w:eastAsia="Palatino Linotype" w:hAnsi="Palatino Linotype" w:cs="Palatino Linotype"/>
          <w:b/>
          <w:i/>
          <w:sz w:val="22"/>
          <w:szCs w:val="22"/>
        </w:rPr>
        <w:t>deberán documentar todo acto</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que derive del ejercicio de sus facultades, competencias o funciones</w:t>
      </w:r>
      <w:r w:rsidRPr="0020402F">
        <w:rPr>
          <w:rFonts w:ascii="Palatino Linotype" w:eastAsia="Palatino Linotype" w:hAnsi="Palatino Linotype" w:cs="Palatino Linotype"/>
          <w:i/>
          <w:sz w:val="22"/>
          <w:szCs w:val="22"/>
        </w:rPr>
        <w:t>, considerando desde su origen la eventual publicidad y reutilización de la información que generen.</w:t>
      </w:r>
    </w:p>
    <w:p w14:paraId="63311A5B" w14:textId="77777777" w:rsidR="00CE08AC" w:rsidRPr="0020402F" w:rsidRDefault="00040DB7">
      <w:pPr>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6DCCEFB8" w14:textId="77777777" w:rsidR="00CE08AC" w:rsidRPr="0020402F" w:rsidRDefault="00040DB7">
      <w:pPr>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Artículo 24.</w:t>
      </w:r>
      <w:r w:rsidRPr="0020402F">
        <w:rPr>
          <w:rFonts w:ascii="Palatino Linotype" w:eastAsia="Palatino Linotype" w:hAnsi="Palatino Linotype" w:cs="Palatino Linotype"/>
          <w:i/>
          <w:sz w:val="22"/>
          <w:szCs w:val="22"/>
        </w:rPr>
        <w:t xml:space="preserve"> Para el cumplimiento de los objetivos de esta Ley</w:t>
      </w:r>
      <w:r w:rsidRPr="0020402F">
        <w:rPr>
          <w:rFonts w:ascii="Palatino Linotype" w:eastAsia="Palatino Linotype" w:hAnsi="Palatino Linotype" w:cs="Palatino Linotype"/>
          <w:b/>
          <w:i/>
          <w:sz w:val="22"/>
          <w:szCs w:val="22"/>
        </w:rPr>
        <w:t>, los sujetos obligados deberán cumplir con las siguientes obligaciones</w:t>
      </w:r>
      <w:r w:rsidRPr="0020402F">
        <w:rPr>
          <w:rFonts w:ascii="Palatino Linotype" w:eastAsia="Palatino Linotype" w:hAnsi="Palatino Linotype" w:cs="Palatino Linotype"/>
          <w:i/>
          <w:sz w:val="22"/>
          <w:szCs w:val="22"/>
        </w:rPr>
        <w:t>, según corresponda, de acuerdo a su naturaleza:</w:t>
      </w:r>
    </w:p>
    <w:p w14:paraId="6A155DCD" w14:textId="77777777" w:rsidR="00CE08AC" w:rsidRPr="0020402F" w:rsidRDefault="00040DB7">
      <w:pPr>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50BC7A55" w14:textId="77777777" w:rsidR="00CE08AC" w:rsidRPr="0020402F" w:rsidRDefault="00040DB7">
      <w:pPr>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XXII.</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Documentar todo acto que derive del ejercicio de sus facultades, competencias o funciones</w:t>
      </w:r>
      <w:r w:rsidRPr="0020402F">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69ADE831" w14:textId="77777777" w:rsidR="00CE08AC" w:rsidRPr="0020402F" w:rsidRDefault="00040DB7">
      <w:pPr>
        <w:spacing w:before="240" w:after="240" w:line="360" w:lineRule="auto"/>
        <w:ind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otro lado, respecto de las </w:t>
      </w:r>
      <w:r w:rsidRPr="0020402F">
        <w:rPr>
          <w:rFonts w:ascii="Palatino Linotype" w:eastAsia="Palatino Linotype" w:hAnsi="Palatino Linotype" w:cs="Palatino Linotype"/>
          <w:b/>
        </w:rPr>
        <w:t xml:space="preserve">facturas pagadas y las pólizas de cheques expedidos y pagados por cualquier concepto </w:t>
      </w:r>
      <w:r w:rsidRPr="0020402F">
        <w:rPr>
          <w:rFonts w:ascii="Palatino Linotype" w:eastAsia="Palatino Linotype" w:hAnsi="Palatino Linotype" w:cs="Palatino Linotype"/>
        </w:rPr>
        <w:t xml:space="preserve">del uno de enero de dos mil veintiuno al </w:t>
      </w:r>
      <w:r w:rsidRPr="0020402F">
        <w:rPr>
          <w:rFonts w:ascii="Palatino Linotype" w:eastAsia="Palatino Linotype" w:hAnsi="Palatino Linotype" w:cs="Palatino Linotype"/>
        </w:rPr>
        <w:lastRenderedPageBreak/>
        <w:t xml:space="preserve">veintiuno de septiembre de dos mil veintidós, toda vez que, de conformidad con el Manual General de Organización de la Secretaría de Movilidad, la Subdirección de Recursos Materiales tiene la facultad de </w:t>
      </w:r>
      <w:r w:rsidRPr="0020402F">
        <w:rPr>
          <w:rFonts w:ascii="Palatino Linotype" w:eastAsia="Palatino Linotype" w:hAnsi="Palatino Linotype" w:cs="Palatino Linotype"/>
          <w:b/>
        </w:rPr>
        <w:t xml:space="preserve">someter a su pago los documentos comprobatorios de las erogaciones realizadas, </w:t>
      </w:r>
      <w:r w:rsidRPr="0020402F">
        <w:rPr>
          <w:rFonts w:ascii="Palatino Linotype" w:eastAsia="Palatino Linotype" w:hAnsi="Palatino Linotype" w:cs="Palatino Linotype"/>
        </w:rPr>
        <w:t xml:space="preserve">mientras que el Departamento de Control Presupuestal, se encarga de elaborar el trámite de pago respectivo a las y los proveedores de bienes y servicios, por lo que se colige que el soporte documental que dé cuenta de las erogaciones generadas derivado de los procedimientos de adquisición de bienes y contratación de servicios, en cualquiera de sus modalidades, debe obrar en el expediente que la Subdirección de Recursos Materiales se encuentra obligada a resguardar, siendo procedente ordenar, previa búsqueda exhaustiva y razonable, la entrega del soporte documental que dé cuenta de lo solicitado, en el estado en el que se encuentre en los archivos del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conforme al considerando siguiente.</w:t>
      </w:r>
    </w:p>
    <w:p w14:paraId="4FB18D6C" w14:textId="77777777" w:rsidR="00CE08AC" w:rsidRPr="0020402F" w:rsidRDefault="00040DB7">
      <w:pPr>
        <w:spacing w:before="240" w:after="240" w:line="360" w:lineRule="auto"/>
        <w:ind w:right="51"/>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De lo hasta aquí expuesto, se concluye que los motivos de inconformidad de la parte </w:t>
      </w:r>
      <w:r w:rsidRPr="0020402F">
        <w:rPr>
          <w:rFonts w:ascii="Palatino Linotype" w:eastAsia="Palatino Linotype" w:hAnsi="Palatino Linotype" w:cs="Palatino Linotype"/>
          <w:b/>
        </w:rPr>
        <w:t xml:space="preserve">Recurrente </w:t>
      </w:r>
      <w:r w:rsidRPr="0020402F">
        <w:rPr>
          <w:rFonts w:ascii="Palatino Linotype" w:eastAsia="Palatino Linotype" w:hAnsi="Palatino Linotype" w:cs="Palatino Linotype"/>
        </w:rPr>
        <w:t xml:space="preserve">devienen fundados, siendo procedente </w:t>
      </w:r>
      <w:r w:rsidRPr="0020402F">
        <w:rPr>
          <w:rFonts w:ascii="Palatino Linotype" w:eastAsia="Palatino Linotype" w:hAnsi="Palatino Linotype" w:cs="Palatino Linotype"/>
          <w:i/>
        </w:rPr>
        <w:t xml:space="preserve">Revocar </w:t>
      </w:r>
      <w:r w:rsidRPr="0020402F">
        <w:rPr>
          <w:rFonts w:ascii="Palatino Linotype" w:eastAsia="Palatino Linotype" w:hAnsi="Palatino Linotype" w:cs="Palatino Linotype"/>
        </w:rPr>
        <w:t xml:space="preserve">la respuesta proporcionada por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98B381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Quinto. Versión Pública.</w:t>
      </w:r>
      <w:r w:rsidRPr="0020402F">
        <w:rPr>
          <w:rFonts w:ascii="Palatino Linotype" w:eastAsia="Palatino Linotype" w:hAnsi="Palatino Linotype" w:cs="Palatino Linotype"/>
          <w:sz w:val="28"/>
          <w:szCs w:val="28"/>
        </w:rPr>
        <w:t xml:space="preserve"> </w:t>
      </w:r>
      <w:r w:rsidRPr="0020402F">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 xml:space="preserve"> sin menoscabo al derecho a la protección de los datos personales de terceros.</w:t>
      </w:r>
    </w:p>
    <w:p w14:paraId="1CF455C7"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48B7155"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w:t>
      </w:r>
      <w:r w:rsidRPr="0020402F">
        <w:rPr>
          <w:rFonts w:ascii="Palatino Linotype" w:eastAsia="Palatino Linotype" w:hAnsi="Palatino Linotype" w:cs="Palatino Linotype"/>
          <w:b/>
          <w:i/>
          <w:sz w:val="21"/>
          <w:szCs w:val="21"/>
        </w:rPr>
        <w:t>Artículo 3</w:t>
      </w:r>
      <w:r w:rsidRPr="0020402F">
        <w:rPr>
          <w:rFonts w:ascii="Palatino Linotype" w:eastAsia="Palatino Linotype" w:hAnsi="Palatino Linotype" w:cs="Palatino Linotype"/>
          <w:i/>
          <w:sz w:val="21"/>
          <w:szCs w:val="21"/>
        </w:rPr>
        <w:t>. Para los efectos de la presente Ley se entenderá por:</w:t>
      </w:r>
    </w:p>
    <w:p w14:paraId="5487B301"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w:t>
      </w:r>
    </w:p>
    <w:p w14:paraId="74EB0121"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IX. Datos personales</w:t>
      </w:r>
      <w:r w:rsidRPr="0020402F">
        <w:rPr>
          <w:rFonts w:ascii="Palatino Linotype" w:eastAsia="Palatino Linotype" w:hAnsi="Palatino Linotype" w:cs="Palatino Linotype"/>
          <w:i/>
          <w:sz w:val="21"/>
          <w:szCs w:val="21"/>
        </w:rPr>
        <w:t xml:space="preserve">: La información concerniente a una persona, identificada o identificable según lo dispuesto por la Ley de Protección de Datos Personales del Estado de México; </w:t>
      </w:r>
    </w:p>
    <w:p w14:paraId="76975209"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XX. Información clasificada</w:t>
      </w:r>
      <w:r w:rsidRPr="0020402F">
        <w:rPr>
          <w:rFonts w:ascii="Palatino Linotype" w:eastAsia="Palatino Linotype" w:hAnsi="Palatino Linotype" w:cs="Palatino Linotype"/>
          <w:i/>
          <w:sz w:val="21"/>
          <w:szCs w:val="21"/>
        </w:rPr>
        <w:t>: Aquella considerada por la presente Ley como reservada o confidencial;</w:t>
      </w:r>
    </w:p>
    <w:p w14:paraId="263317A3"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XXI. Información confidencial</w:t>
      </w:r>
      <w:r w:rsidRPr="0020402F">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1E7F24"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XLV. Versión pública</w:t>
      </w:r>
      <w:r w:rsidRPr="0020402F">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5A004106"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w:t>
      </w:r>
    </w:p>
    <w:p w14:paraId="56CB5ED1"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Artículo 91.</w:t>
      </w:r>
      <w:r w:rsidRPr="0020402F">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53015762"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Artículo 132</w:t>
      </w:r>
      <w:r w:rsidRPr="0020402F">
        <w:rPr>
          <w:rFonts w:ascii="Palatino Linotype" w:eastAsia="Palatino Linotype" w:hAnsi="Palatino Linotype" w:cs="Palatino Linotype"/>
          <w:i/>
          <w:sz w:val="21"/>
          <w:szCs w:val="21"/>
        </w:rPr>
        <w:t>. La clasificación de la información se llevará a cabo en el momento en que:</w:t>
      </w:r>
    </w:p>
    <w:p w14:paraId="7582342C"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w:t>
      </w:r>
      <w:r w:rsidRPr="0020402F">
        <w:rPr>
          <w:rFonts w:ascii="Palatino Linotype" w:eastAsia="Palatino Linotype" w:hAnsi="Palatino Linotype" w:cs="Palatino Linotype"/>
          <w:i/>
          <w:sz w:val="21"/>
          <w:szCs w:val="21"/>
        </w:rPr>
        <w:t xml:space="preserve"> Se reciba una solicitud de acceso a la información;</w:t>
      </w:r>
    </w:p>
    <w:p w14:paraId="1F187991"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II.</w:t>
      </w:r>
      <w:r w:rsidRPr="0020402F">
        <w:rPr>
          <w:rFonts w:ascii="Palatino Linotype" w:eastAsia="Palatino Linotype" w:hAnsi="Palatino Linotype" w:cs="Palatino Linotype"/>
          <w:i/>
          <w:sz w:val="21"/>
          <w:szCs w:val="21"/>
        </w:rPr>
        <w:t xml:space="preserve"> Se determine mediante resolución de autoridad competente; o</w:t>
      </w:r>
    </w:p>
    <w:p w14:paraId="08FC73A4"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III.</w:t>
      </w:r>
      <w:r w:rsidRPr="0020402F">
        <w:rPr>
          <w:rFonts w:ascii="Palatino Linotype" w:eastAsia="Palatino Linotype" w:hAnsi="Palatino Linotype" w:cs="Palatino Linotype"/>
          <w:i/>
          <w:sz w:val="21"/>
          <w:szCs w:val="21"/>
        </w:rPr>
        <w:t xml:space="preserve"> Se generen versiones públicas para dar cumplimiento a las obligaciones de transparencia previstas en esta Ley.</w:t>
      </w:r>
    </w:p>
    <w:p w14:paraId="57ED0463"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w:t>
      </w:r>
    </w:p>
    <w:p w14:paraId="3ACE3171"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Artículo 143.</w:t>
      </w:r>
      <w:r w:rsidRPr="0020402F">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134B8FF9"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w:t>
      </w:r>
      <w:r w:rsidRPr="0020402F">
        <w:rPr>
          <w:rFonts w:ascii="Palatino Linotype" w:eastAsia="Palatino Linotype" w:hAnsi="Palatino Linotype" w:cs="Palatino Linotype"/>
          <w:i/>
          <w:sz w:val="21"/>
          <w:szCs w:val="21"/>
        </w:rPr>
        <w:t xml:space="preserve"> Se refiera a la información privada y los datos personales concernientes a una persona física o jurídico colectiva identificada o identificable;</w:t>
      </w:r>
    </w:p>
    <w:p w14:paraId="54DF07B7"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lastRenderedPageBreak/>
        <w:t>II.</w:t>
      </w:r>
      <w:r w:rsidRPr="0020402F">
        <w:rPr>
          <w:rFonts w:ascii="Palatino Linotype" w:eastAsia="Palatino Linotype" w:hAnsi="Palatino Linotype" w:cs="Palatino Linotype"/>
          <w:i/>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B37E388" w14:textId="77777777" w:rsidR="00CE08AC" w:rsidRPr="0020402F" w:rsidRDefault="00040DB7">
      <w:pPr>
        <w:spacing w:before="120" w:after="120"/>
        <w:ind w:left="1134"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b/>
          <w:i/>
          <w:sz w:val="21"/>
          <w:szCs w:val="21"/>
        </w:rPr>
        <w:t>III.</w:t>
      </w:r>
      <w:r w:rsidRPr="0020402F">
        <w:rPr>
          <w:rFonts w:ascii="Palatino Linotype" w:eastAsia="Palatino Linotype" w:hAnsi="Palatino Linotype" w:cs="Palatino Linotype"/>
          <w:i/>
          <w:sz w:val="21"/>
          <w:szCs w:val="21"/>
        </w:rPr>
        <w:t xml:space="preserve"> La que presenten los particulares a los sujetos obligados, de conformidad con lo dispuesto por las leyes o los tratados internacionales.</w:t>
      </w:r>
    </w:p>
    <w:p w14:paraId="7A208908"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La información confidencial no estará sujeta a temporalidad alguna y sólo podrán tener acceso a ella los titulares de la misma, sus representantes y los servidores públicos facultados para ello.</w:t>
      </w:r>
    </w:p>
    <w:p w14:paraId="4D35F3B0" w14:textId="77777777" w:rsidR="00CE08AC" w:rsidRPr="0020402F" w:rsidRDefault="00040DB7">
      <w:pPr>
        <w:spacing w:before="120" w:after="120"/>
        <w:ind w:left="851" w:right="902"/>
        <w:jc w:val="both"/>
        <w:rPr>
          <w:rFonts w:ascii="Palatino Linotype" w:eastAsia="Palatino Linotype" w:hAnsi="Palatino Linotype" w:cs="Palatino Linotype"/>
          <w:i/>
          <w:sz w:val="21"/>
          <w:szCs w:val="21"/>
        </w:rPr>
      </w:pPr>
      <w:r w:rsidRPr="0020402F">
        <w:rPr>
          <w:rFonts w:ascii="Palatino Linotype" w:eastAsia="Palatino Linotype" w:hAnsi="Palatino Linotype" w:cs="Palatino Linotype"/>
          <w:i/>
          <w:sz w:val="21"/>
          <w:szCs w:val="21"/>
        </w:rPr>
        <w:t>No se considerará confidencial la información que se encuentre en los registros públicos o en fuentes de acceso público, ni tampoco la que sea considerada por la presente ley como información pública.”</w:t>
      </w:r>
    </w:p>
    <w:p w14:paraId="29D2837A"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C0A9F50"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E8E7830"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Quincuagésimo sexto.</w:t>
      </w:r>
      <w:r w:rsidRPr="0020402F">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AA57ECA"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Quincuagésimo séptimo.</w:t>
      </w:r>
      <w:r w:rsidRPr="0020402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9FDCB73"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lastRenderedPageBreak/>
        <w:t>I.</w:t>
      </w:r>
      <w:r w:rsidRPr="0020402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872B9DD"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451513E" w14:textId="77777777" w:rsidR="00CE08AC" w:rsidRPr="0020402F" w:rsidRDefault="00040DB7">
      <w:pPr>
        <w:spacing w:before="120" w:after="120"/>
        <w:ind w:left="1134"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EA677F7"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20402F">
        <w:rPr>
          <w:rFonts w:ascii="Palatino Linotype" w:eastAsia="Palatino Linotype" w:hAnsi="Palatino Linotype" w:cs="Palatino Linotype"/>
          <w:i/>
          <w:sz w:val="22"/>
          <w:szCs w:val="22"/>
        </w:rPr>
        <w:t>internaciones suscritos</w:t>
      </w:r>
      <w:proofErr w:type="gramEnd"/>
      <w:r w:rsidRPr="0020402F">
        <w:rPr>
          <w:rFonts w:ascii="Palatino Linotype" w:eastAsia="Palatino Linotype" w:hAnsi="Palatino Linotype" w:cs="Palatino Linotype"/>
          <w:i/>
          <w:sz w:val="22"/>
          <w:szCs w:val="22"/>
        </w:rPr>
        <w:t xml:space="preserve"> por el Estado mexicano. </w:t>
      </w:r>
    </w:p>
    <w:p w14:paraId="2354FA4D"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Quincuagésimo octavo</w:t>
      </w:r>
      <w:r w:rsidRPr="0020402F">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E131EF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la fecha de nacimiento, lugar de nacimiento, edad, estado civil, domicilio, clave de elector, numero de OCR, CURP, fotografía, el número de cuenta bancaria, que sean exclusivamente de particulares, entre otros, entre otros.</w:t>
      </w:r>
    </w:p>
    <w:p w14:paraId="0E9785AF"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La </w:t>
      </w:r>
      <w:r w:rsidRPr="0020402F">
        <w:rPr>
          <w:rFonts w:ascii="Palatino Linotype" w:eastAsia="Palatino Linotype" w:hAnsi="Palatino Linotype" w:cs="Palatino Linotype"/>
          <w:i/>
        </w:rPr>
        <w:t xml:space="preserve">fecha de nacimiento, </w:t>
      </w:r>
      <w:r w:rsidRPr="0020402F">
        <w:rPr>
          <w:rFonts w:ascii="Palatino Linotype" w:eastAsia="Palatino Linotype" w:hAnsi="Palatino Linotype" w:cs="Palatino Linotype"/>
        </w:rPr>
        <w:t xml:space="preserve">dato o referencia del alumbramiento de una persona, su publicidad permitiría determinar el tiempo que ha vivido su titular; al ser por ello </w:t>
      </w:r>
      <w:r w:rsidRPr="0020402F">
        <w:rPr>
          <w:rFonts w:ascii="Palatino Linotype" w:eastAsia="Palatino Linotype" w:hAnsi="Palatino Linotype" w:cs="Palatino Linotype"/>
        </w:rPr>
        <w:lastRenderedPageBreak/>
        <w:t>un dato personal que incide en la esfera privada de las personas, requiere de su protección.</w:t>
      </w:r>
    </w:p>
    <w:p w14:paraId="65F03488" w14:textId="77777777" w:rsidR="00CE08AC" w:rsidRPr="0020402F" w:rsidRDefault="00040DB7">
      <w:pPr>
        <w:spacing w:before="240" w:after="240" w:line="360" w:lineRule="auto"/>
        <w:jc w:val="both"/>
        <w:rPr>
          <w:rFonts w:ascii="Palatino Linotype" w:eastAsia="Palatino Linotype" w:hAnsi="Palatino Linotype" w:cs="Palatino Linotype"/>
          <w:i/>
        </w:rPr>
      </w:pPr>
      <w:r w:rsidRPr="0020402F">
        <w:rPr>
          <w:rFonts w:ascii="Palatino Linotype" w:eastAsia="Palatino Linotype" w:hAnsi="Palatino Linotype" w:cs="Palatino Linotype"/>
        </w:rPr>
        <w:t xml:space="preserve">El </w:t>
      </w:r>
      <w:r w:rsidRPr="0020402F">
        <w:rPr>
          <w:rFonts w:ascii="Palatino Linotype" w:eastAsia="Palatino Linotype" w:hAnsi="Palatino Linotype" w:cs="Palatino Linotype"/>
          <w:i/>
        </w:rPr>
        <w:t xml:space="preserve">lugar de nacimiento </w:t>
      </w:r>
      <w:r w:rsidRPr="0020402F">
        <w:rPr>
          <w:rFonts w:ascii="Palatino Linotype" w:eastAsia="Palatino Linotype" w:hAnsi="Palatino Linotype" w:cs="Palatino Linotype"/>
        </w:rPr>
        <w:t>revelaría el estado o país del cual es originario un individuo, lo que permitiría relacionar a una persona física identificada con su origen geográfico o territorial, por lo que se afectaría la intimidad de la persona titular de los mismos</w:t>
      </w:r>
      <w:r w:rsidRPr="0020402F">
        <w:rPr>
          <w:rFonts w:ascii="Palatino Linotype" w:eastAsia="Palatino Linotype" w:hAnsi="Palatino Linotype" w:cs="Palatino Linotype"/>
          <w:i/>
        </w:rPr>
        <w:t>.</w:t>
      </w:r>
    </w:p>
    <w:p w14:paraId="4B1C3AD2"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La </w:t>
      </w:r>
      <w:r w:rsidRPr="0020402F">
        <w:rPr>
          <w:rFonts w:ascii="Palatino Linotype" w:eastAsia="Palatino Linotype" w:hAnsi="Palatino Linotype" w:cs="Palatino Linotype"/>
          <w:i/>
        </w:rPr>
        <w:t>edad</w:t>
      </w:r>
      <w:r w:rsidRPr="0020402F">
        <w:rPr>
          <w:rFonts w:ascii="Palatino Linotype" w:eastAsia="Palatino Linotype" w:hAnsi="Palatino Linotype" w:cs="Palatino Linotype"/>
        </w:rPr>
        <w:t>, se refiere a la información natural del tiempo que ha vivido una persona, que por su propia naturaleza incide en la esfera privada la misma;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150955F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El </w:t>
      </w:r>
      <w:r w:rsidRPr="0020402F">
        <w:rPr>
          <w:rFonts w:ascii="Palatino Linotype" w:eastAsia="Palatino Linotype" w:hAnsi="Palatino Linotype" w:cs="Palatino Linotype"/>
          <w:i/>
        </w:rPr>
        <w:t xml:space="preserve">domicilio </w:t>
      </w:r>
      <w:r w:rsidRPr="0020402F">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 en virtud de tratarse de datos personales que reflejan cuestiones de la vida privada de las personas.</w:t>
      </w:r>
    </w:p>
    <w:p w14:paraId="2233D01B"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La </w:t>
      </w:r>
      <w:r w:rsidRPr="0020402F">
        <w:rPr>
          <w:rFonts w:ascii="Palatino Linotype" w:eastAsia="Palatino Linotype" w:hAnsi="Palatino Linotype" w:cs="Palatino Linotype"/>
          <w:i/>
        </w:rPr>
        <w:t>clave de elector</w:t>
      </w:r>
      <w:r w:rsidRPr="0020402F">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0402F">
        <w:rPr>
          <w:rFonts w:ascii="Palatino Linotype" w:eastAsia="Palatino Linotype" w:hAnsi="Palatino Linotype" w:cs="Palatino Linotype"/>
        </w:rPr>
        <w:t>homoclave</w:t>
      </w:r>
      <w:proofErr w:type="spellEnd"/>
      <w:r w:rsidRPr="0020402F">
        <w:rPr>
          <w:rFonts w:ascii="Palatino Linotype" w:eastAsia="Palatino Linotype" w:hAnsi="Palatino Linotype" w:cs="Palatino Linotype"/>
        </w:rPr>
        <w:t xml:space="preserve"> que distingue a su titular de cualquier otro homónimo, por lo tanto, se trata de un dato personal que debe ser protegido.</w:t>
      </w:r>
    </w:p>
    <w:p w14:paraId="38C35A73"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 xml:space="preserve">El </w:t>
      </w:r>
      <w:r w:rsidRPr="0020402F">
        <w:rPr>
          <w:rFonts w:ascii="Palatino Linotype" w:eastAsia="Palatino Linotype" w:hAnsi="Palatino Linotype" w:cs="Palatino Linotype"/>
          <w:i/>
        </w:rPr>
        <w:t>número de OCR</w:t>
      </w:r>
      <w:r w:rsidRPr="0020402F">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20402F">
        <w:rPr>
          <w:rFonts w:ascii="Palatino Linotype" w:eastAsia="Palatino Linotype" w:hAnsi="Palatino Linotype" w:cs="Palatino Linotype"/>
        </w:rPr>
        <w:t>geoelectoral</w:t>
      </w:r>
      <w:proofErr w:type="spellEnd"/>
      <w:r w:rsidRPr="0020402F">
        <w:rPr>
          <w:rFonts w:ascii="Palatino Linotype" w:eastAsia="Palatino Linotype" w:hAnsi="Palatino Linotype" w:cs="Palatino Linotype"/>
        </w:rPr>
        <w:t xml:space="preserve"> ahí contenida, por lo que es susceptible de resguardarse.</w:t>
      </w:r>
    </w:p>
    <w:p w14:paraId="3971C1EC"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La </w:t>
      </w:r>
      <w:r w:rsidRPr="0020402F">
        <w:rPr>
          <w:rFonts w:ascii="Palatino Linotype" w:eastAsia="Palatino Linotype" w:hAnsi="Palatino Linotype" w:cs="Palatino Linotype"/>
          <w:i/>
        </w:rPr>
        <w:t xml:space="preserve">clave única del registro de población, </w:t>
      </w:r>
      <w:r w:rsidRPr="0020402F">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C2953E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Respecto a la </w:t>
      </w:r>
      <w:r w:rsidRPr="0020402F">
        <w:rPr>
          <w:rFonts w:ascii="Palatino Linotype" w:eastAsia="Palatino Linotype" w:hAnsi="Palatino Linotype" w:cs="Palatino Linotype"/>
          <w:i/>
        </w:rPr>
        <w:t xml:space="preserve">fotografía, </w:t>
      </w:r>
      <w:r w:rsidRPr="0020402F">
        <w:rPr>
          <w:rFonts w:ascii="Palatino Linotype" w:eastAsia="Palatino Linotype" w:hAnsi="Palatino Linotype" w:cs="Palatino Linotype"/>
        </w:rPr>
        <w:t>constituye la reproducción fiel de la imagen de una persona, obtenida en papel a través de la impresión en un rollo o placa por medio de cámara fotográfica, o en formato digital. En este sentido,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38847E3D"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Igualmente, resulta importante destacar que el </w:t>
      </w:r>
      <w:r w:rsidRPr="0020402F">
        <w:rPr>
          <w:rFonts w:ascii="Palatino Linotype" w:eastAsia="Palatino Linotype" w:hAnsi="Palatino Linotype" w:cs="Palatino Linotype"/>
          <w:i/>
        </w:rPr>
        <w:t>número de cuenta bancaria</w:t>
      </w:r>
      <w:r w:rsidRPr="0020402F">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DEBC246"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6888E8A5"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751ED63"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D0CDAF0"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0137F937"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B606628"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14:paraId="1C3BE8B2" w14:textId="77777777" w:rsidR="00CE08AC" w:rsidRPr="0020402F" w:rsidRDefault="00040DB7">
      <w:pPr>
        <w:spacing w:before="240" w:after="24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“Cuentas bancarias y/o CLABE interbancaria de personas físicas y morales privadas.</w:t>
      </w:r>
      <w:r w:rsidRPr="0020402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15AC3A4" w14:textId="77777777" w:rsidR="00CE08AC" w:rsidRPr="0020402F" w:rsidRDefault="00040DB7">
      <w:pPr>
        <w:spacing w:before="240" w:after="24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0402F">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2102F49"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Por cuanto hace al </w:t>
      </w:r>
      <w:r w:rsidRPr="0020402F">
        <w:rPr>
          <w:rFonts w:ascii="Palatino Linotype" w:eastAsia="Palatino Linotype" w:hAnsi="Palatino Linotype" w:cs="Palatino Linotype"/>
          <w:b/>
        </w:rPr>
        <w:t xml:space="preserve">Registro Federal de Contribuyentes (RFC), </w:t>
      </w:r>
      <w:r w:rsidRPr="0020402F">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1F2F303"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w:t>
      </w:r>
      <w:r w:rsidRPr="0020402F">
        <w:rPr>
          <w:rFonts w:ascii="Palatino Linotype" w:eastAsia="Palatino Linotype" w:hAnsi="Palatino Linotype" w:cs="Palatino Linotype"/>
        </w:rPr>
        <w:lastRenderedPageBreak/>
        <w:t>base en los recursos que encuentran su origen en mayor medida en las contribuciones aportados por los gobernados, por lo que debe transparentarse su ejercicio.</w:t>
      </w:r>
    </w:p>
    <w:p w14:paraId="70619EB7"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6C12D082"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28D5F926"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“Registro Federal de Contribuyentes (RFC) de personas físicas proveedoras o contratistas. </w:t>
      </w:r>
      <w:r w:rsidRPr="0020402F">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20402F">
        <w:rPr>
          <w:rFonts w:ascii="Palatino Linotype" w:eastAsia="Palatino Linotype" w:hAnsi="Palatino Linotype" w:cs="Palatino Linotype"/>
          <w:i/>
          <w:sz w:val="22"/>
          <w:szCs w:val="22"/>
        </w:rPr>
        <w:t>ya que</w:t>
      </w:r>
      <w:proofErr w:type="gramEnd"/>
      <w:r w:rsidRPr="0020402F">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33C3EC44"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w:t>
      </w:r>
      <w:r w:rsidRPr="0020402F">
        <w:rPr>
          <w:rFonts w:ascii="Palatino Linotype" w:eastAsia="Palatino Linotype" w:hAnsi="Palatino Linotype" w:cs="Palatino Linotype"/>
        </w:rPr>
        <w:lastRenderedPageBreak/>
        <w:t>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E4BAEC9"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387D5D2A"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r w:rsidRPr="0020402F">
        <w:rPr>
          <w:rFonts w:ascii="Palatino Linotype" w:eastAsia="Palatino Linotype" w:hAnsi="Palatino Linotype" w:cs="Palatino Linotype"/>
          <w:b/>
          <w:i/>
          <w:sz w:val="22"/>
          <w:szCs w:val="22"/>
        </w:rPr>
        <w:t>Artículo 23.</w:t>
      </w:r>
      <w:r w:rsidRPr="0020402F">
        <w:rPr>
          <w:rFonts w:ascii="Palatino Linotype" w:eastAsia="Palatino Linotype" w:hAnsi="Palatino Linotype" w:cs="Palatino Linotype"/>
          <w:i/>
          <w:sz w:val="22"/>
          <w:szCs w:val="22"/>
        </w:rPr>
        <w:t xml:space="preserve"> (…)</w:t>
      </w:r>
    </w:p>
    <w:p w14:paraId="3C6BEFBF"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3D943E9" w14:textId="77777777" w:rsidR="00CE08AC" w:rsidRPr="0020402F" w:rsidRDefault="00040DB7">
      <w:pPr>
        <w:spacing w:before="280" w:after="28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110F0D1A" w14:textId="77777777" w:rsidR="00CE08AC" w:rsidRPr="0020402F" w:rsidRDefault="00040DB7">
      <w:pPr>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“Datos de identificación del representante o apoderado legal.</w:t>
      </w:r>
      <w:r w:rsidRPr="0020402F">
        <w:rPr>
          <w:rFonts w:ascii="Palatino Linotype" w:eastAsia="Palatino Linotype" w:hAnsi="Palatino Linotype" w:cs="Palatino Linotype"/>
          <w:i/>
          <w:sz w:val="22"/>
          <w:szCs w:val="22"/>
        </w:rPr>
        <w:t xml:space="preserve"> </w:t>
      </w:r>
      <w:r w:rsidRPr="0020402F">
        <w:rPr>
          <w:rFonts w:ascii="Palatino Linotype" w:eastAsia="Palatino Linotype" w:hAnsi="Palatino Linotype" w:cs="Palatino Linotype"/>
          <w:b/>
          <w:i/>
          <w:sz w:val="22"/>
          <w:szCs w:val="22"/>
        </w:rPr>
        <w:t xml:space="preserve">Naturaleza jurídica. </w:t>
      </w:r>
      <w:r w:rsidRPr="0020402F">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20402F">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20402F">
        <w:rPr>
          <w:rFonts w:ascii="Palatino Linotype" w:eastAsia="Palatino Linotype" w:hAnsi="Palatino Linotype" w:cs="Palatino Linotype"/>
          <w:i/>
          <w:sz w:val="22"/>
          <w:szCs w:val="22"/>
        </w:rPr>
        <w:t>.”</w:t>
      </w:r>
    </w:p>
    <w:p w14:paraId="09764E8E"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Con base en lo expuesto, se insiste que en la versión pública de los documentos que se ordenan se deben testar aquellos elementos señalados en la presente resolución, </w:t>
      </w:r>
      <w:r w:rsidRPr="0020402F">
        <w:rPr>
          <w:rFonts w:ascii="Palatino Linotype" w:eastAsia="Palatino Linotype" w:hAnsi="Palatino Linotype" w:cs="Palatino Linotype"/>
        </w:rPr>
        <w:lastRenderedPageBreak/>
        <w:t>en el entendido de que debe ser pública toda la demás información relacionada que no encuadre en los conceptos anteriores.</w:t>
      </w:r>
    </w:p>
    <w:p w14:paraId="1AB0423A"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Asimismo, se destaca que la versión pública que elabore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20402F">
        <w:rPr>
          <w:rFonts w:ascii="Palatino Linotype" w:eastAsia="Palatino Linotype" w:hAnsi="Palatino Linotype" w:cs="Palatino Linotype"/>
          <w:b/>
        </w:rPr>
        <w:t>Recurrente</w:t>
      </w:r>
      <w:r w:rsidRPr="0020402F">
        <w:rPr>
          <w:rFonts w:ascii="Palatino Linotype" w:eastAsia="Palatino Linotype" w:hAnsi="Palatino Linotype" w:cs="Palatino Linotype"/>
        </w:rPr>
        <w:t>.</w:t>
      </w:r>
    </w:p>
    <w:p w14:paraId="76E97E16"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De este modo, la versión pública que elabore el </w:t>
      </w:r>
      <w:r w:rsidRPr="0020402F">
        <w:rPr>
          <w:rFonts w:ascii="Palatino Linotype" w:eastAsia="Palatino Linotype" w:hAnsi="Palatino Linotype" w:cs="Palatino Linotype"/>
          <w:b/>
        </w:rPr>
        <w:t xml:space="preserve">Sujeto Obligado </w:t>
      </w:r>
      <w:r w:rsidRPr="0020402F">
        <w:rPr>
          <w:rFonts w:ascii="Palatino Linotype" w:eastAsia="Palatino Linotype" w:hAnsi="Palatino Linotype" w:cs="Palatino Linotype"/>
        </w:rPr>
        <w:t>debe acompañarse del</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motivando la referida clasificación al señalar las </w:t>
      </w:r>
      <w:r w:rsidRPr="0020402F">
        <w:rPr>
          <w:rFonts w:ascii="Palatino Linotype" w:eastAsia="Palatino Linotype" w:hAnsi="Palatino Linotype" w:cs="Palatino Linotype"/>
          <w:b/>
          <w:u w:val="single"/>
        </w:rPr>
        <w:t>razones, motivos o circunstancias especiales</w:t>
      </w:r>
      <w:r w:rsidRPr="0020402F">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76971C15"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lastRenderedPageBreak/>
        <w:t>En relación directa con ello, deberá observar el Lineamiento Quincuagésimo segundo de los Lineamientos Generales en Materia de Clasificación y Desclasificación de la Información, así como para la Elaboración de Versiones Públicas, a saber:</w:t>
      </w:r>
    </w:p>
    <w:p w14:paraId="1E1D48D8"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“Quincuagésimo segundo</w:t>
      </w:r>
      <w:r w:rsidRPr="0020402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8039A5"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 xml:space="preserve">En el caso </w:t>
      </w:r>
      <w:proofErr w:type="spellStart"/>
      <w:r w:rsidRPr="0020402F">
        <w:rPr>
          <w:rFonts w:ascii="Palatino Linotype" w:eastAsia="Palatino Linotype" w:hAnsi="Palatino Linotype" w:cs="Palatino Linotype"/>
          <w:i/>
          <w:sz w:val="22"/>
          <w:szCs w:val="22"/>
        </w:rPr>
        <w:t>especifico</w:t>
      </w:r>
      <w:proofErr w:type="spellEnd"/>
      <w:r w:rsidRPr="0020402F">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6304B1B"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w:t>
      </w:r>
      <w:r w:rsidRPr="0020402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5BE0E52"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w:t>
      </w:r>
      <w:r w:rsidRPr="0020402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7382C85" w14:textId="77777777" w:rsidR="00CE08AC" w:rsidRPr="0020402F" w:rsidRDefault="00040DB7">
      <w:pPr>
        <w:spacing w:before="120" w:after="120"/>
        <w:ind w:left="1134"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III.</w:t>
      </w:r>
      <w:r w:rsidRPr="0020402F">
        <w:rPr>
          <w:rFonts w:ascii="Palatino Linotype" w:eastAsia="Palatino Linotype" w:hAnsi="Palatino Linotype" w:cs="Palatino Linotype"/>
          <w:i/>
          <w:sz w:val="22"/>
          <w:szCs w:val="22"/>
        </w:rPr>
        <w:t xml:space="preserve"> Señalar las personas o instancias autorizadas a acceder a la información clasificada.</w:t>
      </w:r>
    </w:p>
    <w:p w14:paraId="11109DCC" w14:textId="77777777" w:rsidR="00CE08AC" w:rsidRPr="0020402F" w:rsidRDefault="00040DB7">
      <w:pPr>
        <w:spacing w:before="120" w:after="120"/>
        <w:ind w:left="851" w:right="900"/>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582466B" w14:textId="77777777" w:rsidR="00CE08AC" w:rsidRPr="0020402F" w:rsidRDefault="00040DB7">
      <w:pPr>
        <w:spacing w:before="240" w:after="240" w:line="360" w:lineRule="auto"/>
        <w:ind w:right="50"/>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Así como el Lineamiento Quincuagésimo tercero de los Lineamientos </w:t>
      </w:r>
      <w:proofErr w:type="spellStart"/>
      <w:r w:rsidRPr="0020402F">
        <w:rPr>
          <w:rFonts w:ascii="Palatino Linotype" w:eastAsia="Palatino Linotype" w:hAnsi="Palatino Linotype" w:cs="Palatino Linotype"/>
        </w:rPr>
        <w:t>supraindicados</w:t>
      </w:r>
      <w:proofErr w:type="spellEnd"/>
      <w:r w:rsidRPr="0020402F">
        <w:rPr>
          <w:rFonts w:ascii="Palatino Linotype" w:eastAsia="Palatino Linotype" w:hAnsi="Palatino Linotype" w:cs="Palatino Linotype"/>
        </w:rPr>
        <w:t xml:space="preserve">, que establece los formatos para la clasificación de los documentos, conforme a lo siguiente: </w:t>
      </w:r>
    </w:p>
    <w:p w14:paraId="31D45043" w14:textId="77777777" w:rsidR="00CE08AC" w:rsidRPr="0020402F" w:rsidRDefault="00040DB7">
      <w:pPr>
        <w:ind w:left="851" w:right="900"/>
        <w:jc w:val="center"/>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CAPÍTULO VIII</w:t>
      </w:r>
    </w:p>
    <w:p w14:paraId="3917E891" w14:textId="77777777" w:rsidR="00CE08AC" w:rsidRPr="0020402F" w:rsidRDefault="00040DB7">
      <w:pPr>
        <w:ind w:left="851" w:right="900"/>
        <w:jc w:val="center"/>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sz w:val="22"/>
          <w:szCs w:val="22"/>
        </w:rPr>
        <w:t xml:space="preserve">DE LOS ELEMENTOS PARA LA CLASIFICACIÓN </w:t>
      </w:r>
    </w:p>
    <w:p w14:paraId="6541CE6D" w14:textId="77777777" w:rsidR="00CE08AC" w:rsidRPr="0020402F" w:rsidRDefault="00040DB7">
      <w:pPr>
        <w:ind w:left="851" w:right="900"/>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w:t>
      </w:r>
    </w:p>
    <w:p w14:paraId="28991DF1"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b/>
          <w:i/>
          <w:sz w:val="22"/>
          <w:szCs w:val="22"/>
        </w:rPr>
        <w:t xml:space="preserve">Quincuagésimo tercero. </w:t>
      </w:r>
      <w:r w:rsidRPr="0020402F">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20402F">
        <w:rPr>
          <w:rFonts w:ascii="Palatino Linotype" w:eastAsia="Palatino Linotype" w:hAnsi="Palatino Linotype" w:cs="Palatino Linotype"/>
          <w:b/>
          <w:i/>
          <w:sz w:val="22"/>
          <w:szCs w:val="22"/>
        </w:rPr>
        <w:t xml:space="preserve">, </w:t>
      </w:r>
      <w:r w:rsidRPr="0020402F">
        <w:rPr>
          <w:rFonts w:ascii="Palatino Linotype" w:eastAsia="Palatino Linotype" w:hAnsi="Palatino Linotype" w:cs="Palatino Linotype"/>
          <w:i/>
          <w:sz w:val="22"/>
          <w:szCs w:val="22"/>
        </w:rPr>
        <w:t xml:space="preserve">es el </w:t>
      </w:r>
      <w:r w:rsidRPr="0020402F">
        <w:rPr>
          <w:rFonts w:ascii="Palatino Linotype" w:eastAsia="Palatino Linotype" w:hAnsi="Palatino Linotype" w:cs="Palatino Linotype"/>
          <w:i/>
          <w:sz w:val="22"/>
          <w:szCs w:val="22"/>
        </w:rPr>
        <w:lastRenderedPageBreak/>
        <w:t xml:space="preserve">siguiente: </w:t>
      </w:r>
      <w:r w:rsidRPr="0020402F">
        <w:rPr>
          <w:rFonts w:ascii="Palatino Linotype" w:eastAsia="Palatino Linotype" w:hAnsi="Palatino Linotype" w:cs="Palatino Linotype"/>
          <w:b/>
          <w:i/>
          <w:noProof/>
          <w:sz w:val="22"/>
          <w:szCs w:val="22"/>
        </w:rPr>
        <w:drawing>
          <wp:inline distT="0" distB="0" distL="0" distR="0" wp14:anchorId="30B32A85" wp14:editId="6472FE64">
            <wp:extent cx="4295775" cy="295275"/>
            <wp:effectExtent l="0" t="0" r="0" b="0"/>
            <wp:docPr id="1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b="95731"/>
                    <a:stretch>
                      <a:fillRect/>
                    </a:stretch>
                  </pic:blipFill>
                  <pic:spPr>
                    <a:xfrm>
                      <a:off x="0" y="0"/>
                      <a:ext cx="4295775" cy="295275"/>
                    </a:xfrm>
                    <a:prstGeom prst="rect">
                      <a:avLst/>
                    </a:prstGeom>
                    <a:ln/>
                  </pic:spPr>
                </pic:pic>
              </a:graphicData>
            </a:graphic>
          </wp:inline>
        </w:drawing>
      </w:r>
    </w:p>
    <w:p w14:paraId="151E6113" w14:textId="77777777" w:rsidR="00CE08AC" w:rsidRPr="0020402F" w:rsidRDefault="00040DB7">
      <w:pPr>
        <w:spacing w:before="120" w:after="12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noProof/>
          <w:sz w:val="22"/>
          <w:szCs w:val="22"/>
        </w:rPr>
        <w:drawing>
          <wp:inline distT="0" distB="0" distL="0" distR="0" wp14:anchorId="2A962682" wp14:editId="5D501D72">
            <wp:extent cx="4333875" cy="774842"/>
            <wp:effectExtent l="0" t="0" r="0" b="0"/>
            <wp:docPr id="1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t="30881" b="57910"/>
                    <a:stretch>
                      <a:fillRect/>
                    </a:stretch>
                  </pic:blipFill>
                  <pic:spPr>
                    <a:xfrm>
                      <a:off x="0" y="0"/>
                      <a:ext cx="4333875" cy="774842"/>
                    </a:xfrm>
                    <a:prstGeom prst="rect">
                      <a:avLst/>
                    </a:prstGeom>
                    <a:ln/>
                  </pic:spPr>
                </pic:pic>
              </a:graphicData>
            </a:graphic>
          </wp:inline>
        </w:drawing>
      </w:r>
    </w:p>
    <w:p w14:paraId="497EC40F" w14:textId="77777777" w:rsidR="00CE08AC" w:rsidRPr="0020402F" w:rsidRDefault="00040DB7">
      <w:pPr>
        <w:spacing w:before="120" w:after="120"/>
        <w:ind w:left="851" w:right="902"/>
        <w:jc w:val="both"/>
        <w:rPr>
          <w:rFonts w:ascii="Palatino Linotype" w:eastAsia="Palatino Linotype" w:hAnsi="Palatino Linotype" w:cs="Palatino Linotype"/>
          <w:b/>
          <w:i/>
          <w:sz w:val="22"/>
          <w:szCs w:val="22"/>
        </w:rPr>
      </w:pPr>
      <w:r w:rsidRPr="0020402F">
        <w:rPr>
          <w:rFonts w:ascii="Palatino Linotype" w:eastAsia="Palatino Linotype" w:hAnsi="Palatino Linotype" w:cs="Palatino Linotype"/>
          <w:b/>
          <w:i/>
          <w:noProof/>
          <w:sz w:val="22"/>
          <w:szCs w:val="22"/>
        </w:rPr>
        <w:drawing>
          <wp:inline distT="0" distB="0" distL="0" distR="0" wp14:anchorId="65867E8C" wp14:editId="73B19C6B">
            <wp:extent cx="4333875" cy="4014144"/>
            <wp:effectExtent l="0" t="0" r="0" b="0"/>
            <wp:docPr id="1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t="41881"/>
                    <a:stretch>
                      <a:fillRect/>
                    </a:stretch>
                  </pic:blipFill>
                  <pic:spPr>
                    <a:xfrm>
                      <a:off x="0" y="0"/>
                      <a:ext cx="4333875" cy="4014144"/>
                    </a:xfrm>
                    <a:prstGeom prst="rect">
                      <a:avLst/>
                    </a:prstGeom>
                    <a:ln/>
                  </pic:spPr>
                </pic:pic>
              </a:graphicData>
            </a:graphic>
          </wp:inline>
        </w:drawing>
      </w:r>
    </w:p>
    <w:p w14:paraId="1F344918"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Los documentos que integren un expediente reservado en su totalidad no deberán marcarse en lo individual.</w:t>
      </w:r>
    </w:p>
    <w:p w14:paraId="33E4E8CC" w14:textId="77777777" w:rsidR="00CE08AC" w:rsidRPr="0020402F" w:rsidRDefault="00040DB7">
      <w:pPr>
        <w:spacing w:before="120" w:after="120"/>
        <w:ind w:left="851" w:right="902"/>
        <w:jc w:val="both"/>
        <w:rPr>
          <w:rFonts w:ascii="Palatino Linotype" w:eastAsia="Palatino Linotype" w:hAnsi="Palatino Linotype" w:cs="Palatino Linotype"/>
          <w:i/>
          <w:sz w:val="22"/>
          <w:szCs w:val="22"/>
        </w:rPr>
      </w:pPr>
      <w:r w:rsidRPr="0020402F">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6FC3B41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20402F">
        <w:rPr>
          <w:rFonts w:ascii="Palatino Linotype" w:eastAsia="Palatino Linotype" w:hAnsi="Palatino Linotype" w:cs="Palatino Linotype"/>
        </w:rPr>
        <w:lastRenderedPageBreak/>
        <w:t>la Ley de Transparencia y Acceso a la Información Pública del Estado de México y Municipios, este Pleno:</w:t>
      </w:r>
    </w:p>
    <w:p w14:paraId="41E102B1" w14:textId="77777777" w:rsidR="00CE08AC" w:rsidRPr="0020402F" w:rsidRDefault="00040DB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0402F">
        <w:rPr>
          <w:rFonts w:ascii="Palatino Linotype" w:eastAsia="Palatino Linotype" w:hAnsi="Palatino Linotype" w:cs="Palatino Linotype"/>
          <w:b/>
        </w:rPr>
        <w:t>III. R E S U E L V E</w:t>
      </w:r>
    </w:p>
    <w:p w14:paraId="70311172" w14:textId="77777777" w:rsidR="00CE08AC" w:rsidRPr="0020402F" w:rsidRDefault="00040DB7">
      <w:pPr>
        <w:spacing w:before="240" w:after="240" w:line="360" w:lineRule="auto"/>
        <w:jc w:val="both"/>
        <w:rPr>
          <w:rFonts w:ascii="Palatino Linotype" w:eastAsia="Palatino Linotype" w:hAnsi="Palatino Linotype" w:cs="Palatino Linotype"/>
          <w:b/>
        </w:rPr>
      </w:pPr>
      <w:bookmarkStart w:id="7" w:name="_heading=h.1fob9te" w:colFirst="0" w:colLast="0"/>
      <w:bookmarkEnd w:id="7"/>
      <w:r w:rsidRPr="0020402F">
        <w:rPr>
          <w:rFonts w:ascii="Palatino Linotype" w:eastAsia="Palatino Linotype" w:hAnsi="Palatino Linotype" w:cs="Palatino Linotype"/>
          <w:b/>
        </w:rPr>
        <w:t xml:space="preserve">Primero. </w:t>
      </w:r>
      <w:r w:rsidRPr="0020402F">
        <w:rPr>
          <w:rFonts w:ascii="Palatino Linotype" w:eastAsia="Palatino Linotype" w:hAnsi="Palatino Linotype" w:cs="Palatino Linotype"/>
        </w:rPr>
        <w:t>Resultan</w:t>
      </w:r>
      <w:r w:rsidRPr="0020402F">
        <w:rPr>
          <w:rFonts w:ascii="Palatino Linotype" w:eastAsia="Palatino Linotype" w:hAnsi="Palatino Linotype" w:cs="Palatino Linotype"/>
          <w:b/>
        </w:rPr>
        <w:t xml:space="preserve"> fundados</w:t>
      </w:r>
      <w:r w:rsidRPr="0020402F">
        <w:rPr>
          <w:rFonts w:ascii="Palatino Linotype" w:eastAsia="Palatino Linotype" w:hAnsi="Palatino Linotype" w:cs="Palatino Linotype"/>
        </w:rPr>
        <w:t xml:space="preserve"> los motivos de inconformidad hechos valer por la parte </w:t>
      </w:r>
      <w:r w:rsidRPr="0020402F">
        <w:rPr>
          <w:rFonts w:ascii="Palatino Linotype" w:eastAsia="Palatino Linotype" w:hAnsi="Palatino Linotype" w:cs="Palatino Linotype"/>
          <w:b/>
        </w:rPr>
        <w:t xml:space="preserve">Recurrente </w:t>
      </w:r>
      <w:r w:rsidRPr="0020402F">
        <w:rPr>
          <w:rFonts w:ascii="Palatino Linotype" w:eastAsia="Palatino Linotype" w:hAnsi="Palatino Linotype" w:cs="Palatino Linotype"/>
        </w:rPr>
        <w:t xml:space="preserve">en el recurso de revisión </w:t>
      </w:r>
      <w:r w:rsidRPr="0020402F">
        <w:rPr>
          <w:rFonts w:ascii="Palatino Linotype" w:eastAsia="Palatino Linotype" w:hAnsi="Palatino Linotype" w:cs="Palatino Linotype"/>
          <w:b/>
        </w:rPr>
        <w:t xml:space="preserve">15064/INFOEM/IP/RR/2022, </w:t>
      </w:r>
      <w:r w:rsidRPr="0020402F">
        <w:rPr>
          <w:rFonts w:ascii="Palatino Linotype" w:eastAsia="Palatino Linotype" w:hAnsi="Palatino Linotype" w:cs="Palatino Linotype"/>
        </w:rPr>
        <w:t xml:space="preserve">por lo que, en términos del Considerando </w:t>
      </w:r>
      <w:r w:rsidRPr="0020402F">
        <w:rPr>
          <w:rFonts w:ascii="Palatino Linotype" w:eastAsia="Palatino Linotype" w:hAnsi="Palatino Linotype" w:cs="Palatino Linotype"/>
          <w:b/>
        </w:rPr>
        <w:t>Cuarto</w:t>
      </w:r>
      <w:r w:rsidRPr="0020402F">
        <w:rPr>
          <w:rFonts w:ascii="Palatino Linotype" w:eastAsia="Palatino Linotype" w:hAnsi="Palatino Linotype" w:cs="Palatino Linotype"/>
        </w:rPr>
        <w:t xml:space="preserve"> de la presente resolución, se</w:t>
      </w:r>
      <w:r w:rsidRPr="0020402F">
        <w:rPr>
          <w:rFonts w:ascii="Palatino Linotype" w:eastAsia="Palatino Linotype" w:hAnsi="Palatino Linotype" w:cs="Palatino Linotype"/>
          <w:b/>
        </w:rPr>
        <w:t xml:space="preserve"> Revoca </w:t>
      </w:r>
      <w:r w:rsidRPr="0020402F">
        <w:rPr>
          <w:rFonts w:ascii="Palatino Linotype" w:eastAsia="Palatino Linotype" w:hAnsi="Palatino Linotype" w:cs="Palatino Linotype"/>
        </w:rPr>
        <w:t>la respuesta</w:t>
      </w:r>
      <w:r w:rsidRPr="0020402F">
        <w:rPr>
          <w:rFonts w:ascii="Palatino Linotype" w:eastAsia="Palatino Linotype" w:hAnsi="Palatino Linotype" w:cs="Palatino Linotype"/>
          <w:b/>
        </w:rPr>
        <w:t xml:space="preserve"> </w:t>
      </w:r>
      <w:r w:rsidRPr="0020402F">
        <w:rPr>
          <w:rFonts w:ascii="Palatino Linotype" w:eastAsia="Palatino Linotype" w:hAnsi="Palatino Linotype" w:cs="Palatino Linotype"/>
        </w:rPr>
        <w:t xml:space="preserve">del </w:t>
      </w:r>
      <w:r w:rsidRPr="0020402F">
        <w:rPr>
          <w:rFonts w:ascii="Palatino Linotype" w:eastAsia="Palatino Linotype" w:hAnsi="Palatino Linotype" w:cs="Palatino Linotype"/>
          <w:b/>
        </w:rPr>
        <w:t>Sujeto Obligado.</w:t>
      </w:r>
    </w:p>
    <w:p w14:paraId="257737C1" w14:textId="77777777" w:rsidR="00CD49DB" w:rsidRPr="0020402F" w:rsidRDefault="00040DB7" w:rsidP="00734832">
      <w:pPr>
        <w:spacing w:before="240" w:after="240" w:line="360" w:lineRule="auto"/>
        <w:ind w:right="49"/>
        <w:jc w:val="both"/>
        <w:rPr>
          <w:rFonts w:ascii="Palatino Linotype" w:eastAsia="Palatino Linotype" w:hAnsi="Palatino Linotype" w:cs="Palatino Linotype"/>
        </w:rPr>
      </w:pPr>
      <w:bookmarkStart w:id="8" w:name="_heading=h.4d34og8" w:colFirst="0" w:colLast="0"/>
      <w:bookmarkEnd w:id="8"/>
      <w:r w:rsidRPr="0020402F">
        <w:rPr>
          <w:rFonts w:ascii="Palatino Linotype" w:eastAsia="Palatino Linotype" w:hAnsi="Palatino Linotype" w:cs="Palatino Linotype"/>
          <w:b/>
        </w:rPr>
        <w:t xml:space="preserve">Segundo. </w:t>
      </w:r>
      <w:r w:rsidRPr="0020402F">
        <w:rPr>
          <w:rFonts w:ascii="Palatino Linotype" w:eastAsia="Palatino Linotype" w:hAnsi="Palatino Linotype" w:cs="Palatino Linotype"/>
        </w:rPr>
        <w:t xml:space="preserve">Se </w:t>
      </w:r>
      <w:r w:rsidRPr="0020402F">
        <w:rPr>
          <w:rFonts w:ascii="Palatino Linotype" w:eastAsia="Palatino Linotype" w:hAnsi="Palatino Linotype" w:cs="Palatino Linotype"/>
          <w:b/>
        </w:rPr>
        <w:t>Ordena</w:t>
      </w:r>
      <w:r w:rsidRPr="0020402F">
        <w:rPr>
          <w:rFonts w:ascii="Palatino Linotype" w:eastAsia="Palatino Linotype" w:hAnsi="Palatino Linotype" w:cs="Palatino Linotype"/>
        </w:rPr>
        <w:t xml:space="preserve"> al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en términos de los Considerandos </w:t>
      </w:r>
      <w:r w:rsidRPr="0020402F">
        <w:rPr>
          <w:rFonts w:ascii="Palatino Linotype" w:eastAsia="Palatino Linotype" w:hAnsi="Palatino Linotype" w:cs="Palatino Linotype"/>
          <w:b/>
        </w:rPr>
        <w:t xml:space="preserve">Cuarto </w:t>
      </w:r>
      <w:r w:rsidRPr="0020402F">
        <w:rPr>
          <w:rFonts w:ascii="Palatino Linotype" w:eastAsia="Palatino Linotype" w:hAnsi="Palatino Linotype" w:cs="Palatino Linotype"/>
        </w:rPr>
        <w:t xml:space="preserve">y </w:t>
      </w:r>
      <w:r w:rsidRPr="0020402F">
        <w:rPr>
          <w:rFonts w:ascii="Palatino Linotype" w:eastAsia="Palatino Linotype" w:hAnsi="Palatino Linotype" w:cs="Palatino Linotype"/>
          <w:b/>
        </w:rPr>
        <w:t xml:space="preserve">Quinto </w:t>
      </w:r>
      <w:r w:rsidRPr="0020402F">
        <w:rPr>
          <w:rFonts w:ascii="Palatino Linotype" w:eastAsia="Palatino Linotype" w:hAnsi="Palatino Linotype" w:cs="Palatino Linotype"/>
        </w:rPr>
        <w:t xml:space="preserve">de esta resolución, previa búsqueda exhaustiva y razonable, haga entrega, vía SAIMEX, en versión pública, </w:t>
      </w:r>
      <w:r w:rsidR="00CD49DB" w:rsidRPr="0020402F">
        <w:rPr>
          <w:rFonts w:ascii="Palatino Linotype" w:eastAsia="Palatino Linotype" w:hAnsi="Palatino Linotype" w:cs="Palatino Linotype"/>
        </w:rPr>
        <w:t xml:space="preserve">de la información </w:t>
      </w:r>
      <w:r w:rsidR="00EA5217" w:rsidRPr="0020402F">
        <w:rPr>
          <w:rFonts w:ascii="Palatino Linotype" w:eastAsia="Palatino Linotype" w:hAnsi="Palatino Linotype" w:cs="Palatino Linotype"/>
        </w:rPr>
        <w:t>correspondiente</w:t>
      </w:r>
      <w:r w:rsidR="00CD49DB" w:rsidRPr="0020402F">
        <w:rPr>
          <w:rFonts w:ascii="Palatino Linotype" w:eastAsia="Palatino Linotype" w:hAnsi="Palatino Linotype" w:cs="Palatino Linotype"/>
        </w:rPr>
        <w:t xml:space="preserve"> al periodo del</w:t>
      </w:r>
      <w:r w:rsidR="00CD49DB" w:rsidRPr="0020402F">
        <w:rPr>
          <w:rFonts w:ascii="Palatino Linotype" w:eastAsia="Palatino Linotype" w:hAnsi="Palatino Linotype" w:cs="Palatino Linotype"/>
          <w:u w:val="single"/>
        </w:rPr>
        <w:t xml:space="preserve"> uno de enero de dos mil veintiuno al veintiuno de septiembre de dos mil veintidós</w:t>
      </w:r>
      <w:r w:rsidR="00CD49DB" w:rsidRPr="0020402F">
        <w:rPr>
          <w:rFonts w:ascii="Palatino Linotype" w:eastAsia="Palatino Linotype" w:hAnsi="Palatino Linotype" w:cs="Palatino Linotype"/>
        </w:rPr>
        <w:t>,</w:t>
      </w:r>
      <w:r w:rsidR="00EA5217" w:rsidRPr="0020402F">
        <w:rPr>
          <w:rFonts w:ascii="Palatino Linotype" w:eastAsia="Palatino Linotype" w:hAnsi="Palatino Linotype" w:cs="Palatino Linotype"/>
        </w:rPr>
        <w:t xml:space="preserve"> consistente en: </w:t>
      </w:r>
    </w:p>
    <w:p w14:paraId="69A2ABF8" w14:textId="77777777" w:rsidR="00CD49DB" w:rsidRPr="0020402F" w:rsidRDefault="0013683B" w:rsidP="00CD49DB">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1.</w:t>
      </w:r>
      <w:r w:rsidR="00157523" w:rsidRPr="0020402F">
        <w:rPr>
          <w:rFonts w:ascii="Palatino Linotype" w:eastAsia="Palatino Linotype" w:hAnsi="Palatino Linotype" w:cs="Palatino Linotype"/>
        </w:rPr>
        <w:t xml:space="preserve"> Los contratos</w:t>
      </w:r>
      <w:r w:rsidRPr="0020402F">
        <w:rPr>
          <w:rFonts w:ascii="Palatino Linotype" w:eastAsia="Palatino Linotype" w:hAnsi="Palatino Linotype" w:cs="Palatino Linotype"/>
        </w:rPr>
        <w:t xml:space="preserve"> </w:t>
      </w:r>
      <w:r w:rsidR="00157523" w:rsidRPr="0020402F">
        <w:rPr>
          <w:rFonts w:ascii="Palatino Linotype" w:eastAsia="Palatino Linotype" w:hAnsi="Palatino Linotype" w:cs="Palatino Linotype"/>
        </w:rPr>
        <w:t>de adquisición o arrendamiento de bienes, contratación de servi</w:t>
      </w:r>
      <w:r w:rsidR="00CD49DB" w:rsidRPr="0020402F">
        <w:rPr>
          <w:rFonts w:ascii="Palatino Linotype" w:eastAsia="Palatino Linotype" w:hAnsi="Palatino Linotype" w:cs="Palatino Linotype"/>
        </w:rPr>
        <w:t xml:space="preserve">cios, o por cualquier concepto. </w:t>
      </w:r>
    </w:p>
    <w:p w14:paraId="20AC4687" w14:textId="77777777" w:rsidR="00CD49DB" w:rsidRPr="0020402F" w:rsidRDefault="00CD49DB" w:rsidP="00CD49DB">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2. Documentos que den cuenta de los </w:t>
      </w:r>
      <w:r w:rsidR="0013683B" w:rsidRPr="0020402F">
        <w:rPr>
          <w:rFonts w:ascii="Palatino Linotype" w:eastAsia="Palatino Linotype" w:hAnsi="Palatino Linotype" w:cs="Palatino Linotype"/>
        </w:rPr>
        <w:t>procesos de licit</w:t>
      </w:r>
      <w:r w:rsidRPr="0020402F">
        <w:rPr>
          <w:rFonts w:ascii="Palatino Linotype" w:eastAsia="Palatino Linotype" w:hAnsi="Palatino Linotype" w:cs="Palatino Linotype"/>
        </w:rPr>
        <w:t>ación o invitación restringida.</w:t>
      </w:r>
    </w:p>
    <w:p w14:paraId="0C1A5F12" w14:textId="77777777" w:rsidR="0013683B" w:rsidRPr="0020402F" w:rsidRDefault="00CD49DB" w:rsidP="00CD49DB">
      <w:pPr>
        <w:spacing w:before="240" w:after="240" w:line="360" w:lineRule="auto"/>
        <w:ind w:left="284" w:right="49"/>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3. Las </w:t>
      </w:r>
      <w:r w:rsidR="0013683B" w:rsidRPr="0020402F">
        <w:rPr>
          <w:rFonts w:ascii="Palatino Linotype" w:eastAsia="Palatino Linotype" w:hAnsi="Palatino Linotype" w:cs="Palatino Linotype"/>
        </w:rPr>
        <w:t xml:space="preserve">facturas pagadas y las </w:t>
      </w:r>
      <w:r w:rsidRPr="0020402F">
        <w:rPr>
          <w:rFonts w:ascii="Palatino Linotype" w:eastAsia="Palatino Linotype" w:hAnsi="Palatino Linotype" w:cs="Palatino Linotype"/>
        </w:rPr>
        <w:t>pólizas</w:t>
      </w:r>
      <w:r w:rsidR="0013683B" w:rsidRPr="0020402F">
        <w:rPr>
          <w:rFonts w:ascii="Palatino Linotype" w:eastAsia="Palatino Linotype" w:hAnsi="Palatino Linotype" w:cs="Palatino Linotype"/>
        </w:rPr>
        <w:t xml:space="preserve"> de cheques</w:t>
      </w:r>
      <w:r w:rsidR="00734832" w:rsidRPr="0020402F">
        <w:rPr>
          <w:rFonts w:ascii="Palatino Linotype" w:eastAsia="Palatino Linotype" w:hAnsi="Palatino Linotype" w:cs="Palatino Linotype"/>
        </w:rPr>
        <w:t>,</w:t>
      </w:r>
      <w:r w:rsidR="0013683B" w:rsidRPr="0020402F">
        <w:rPr>
          <w:rFonts w:ascii="Palatino Linotype" w:eastAsia="Palatino Linotype" w:hAnsi="Palatino Linotype" w:cs="Palatino Linotype"/>
        </w:rPr>
        <w:t xml:space="preserve"> </w:t>
      </w:r>
      <w:r w:rsidRPr="0020402F">
        <w:rPr>
          <w:rFonts w:ascii="Palatino Linotype" w:eastAsia="Palatino Linotype" w:hAnsi="Palatino Linotype" w:cs="Palatino Linotype"/>
        </w:rPr>
        <w:t>expedidos</w:t>
      </w:r>
      <w:r w:rsidR="0013683B" w:rsidRPr="0020402F">
        <w:rPr>
          <w:rFonts w:ascii="Palatino Linotype" w:eastAsia="Palatino Linotype" w:hAnsi="Palatino Linotype" w:cs="Palatino Linotype"/>
        </w:rPr>
        <w:t xml:space="preserve"> y pagados por </w:t>
      </w:r>
      <w:r w:rsidRPr="0020402F">
        <w:rPr>
          <w:rFonts w:ascii="Palatino Linotype" w:eastAsia="Palatino Linotype" w:hAnsi="Palatino Linotype" w:cs="Palatino Linotype"/>
        </w:rPr>
        <w:t xml:space="preserve">cualquier concepto. </w:t>
      </w:r>
    </w:p>
    <w:p w14:paraId="6ABDE797" w14:textId="77777777" w:rsidR="00CE08AC" w:rsidRPr="0020402F" w:rsidRDefault="00040DB7">
      <w:pPr>
        <w:spacing w:before="240" w:after="240"/>
        <w:ind w:left="284" w:right="51"/>
        <w:jc w:val="both"/>
        <w:rPr>
          <w:rFonts w:ascii="Palatino Linotype" w:eastAsia="Palatino Linotype" w:hAnsi="Palatino Linotype" w:cs="Palatino Linotype"/>
          <w:i/>
          <w:sz w:val="20"/>
          <w:szCs w:val="20"/>
        </w:rPr>
      </w:pPr>
      <w:r w:rsidRPr="0020402F">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20402F">
        <w:rPr>
          <w:rFonts w:ascii="Palatino Linotype" w:eastAsia="Palatino Linotype" w:hAnsi="Palatino Linotype" w:cs="Palatino Linotype"/>
          <w:b/>
          <w:i/>
          <w:sz w:val="20"/>
          <w:szCs w:val="20"/>
        </w:rPr>
        <w:t>Recurrente</w:t>
      </w:r>
      <w:r w:rsidRPr="0020402F">
        <w:rPr>
          <w:rFonts w:ascii="Palatino Linotype" w:eastAsia="Palatino Linotype" w:hAnsi="Palatino Linotype" w:cs="Palatino Linotype"/>
          <w:i/>
          <w:sz w:val="20"/>
          <w:szCs w:val="20"/>
        </w:rPr>
        <w:t>.</w:t>
      </w:r>
    </w:p>
    <w:p w14:paraId="126A7296" w14:textId="77777777" w:rsidR="00CE08AC" w:rsidRPr="0020402F" w:rsidRDefault="00040DB7">
      <w:pPr>
        <w:spacing w:before="240" w:after="240" w:line="360" w:lineRule="auto"/>
        <w:jc w:val="both"/>
        <w:rPr>
          <w:rFonts w:ascii="Palatino Linotype" w:eastAsia="Palatino Linotype" w:hAnsi="Palatino Linotype" w:cs="Palatino Linotype"/>
          <w:b/>
        </w:rPr>
      </w:pPr>
      <w:r w:rsidRPr="0020402F">
        <w:rPr>
          <w:rFonts w:ascii="Palatino Linotype" w:eastAsia="Palatino Linotype" w:hAnsi="Palatino Linotype" w:cs="Palatino Linotype"/>
          <w:b/>
        </w:rPr>
        <w:lastRenderedPageBreak/>
        <w:t xml:space="preserve">Tercero. Notifíquese, </w:t>
      </w:r>
      <w:r w:rsidRPr="0020402F">
        <w:rPr>
          <w:rFonts w:ascii="Palatino Linotype" w:eastAsia="Palatino Linotype" w:hAnsi="Palatino Linotype" w:cs="Palatino Linotype"/>
        </w:rPr>
        <w:t xml:space="preserve">vía </w:t>
      </w:r>
      <w:r w:rsidRPr="0020402F">
        <w:rPr>
          <w:rFonts w:ascii="Palatino Linotype" w:eastAsia="Palatino Linotype" w:hAnsi="Palatino Linotype" w:cs="Palatino Linotype"/>
          <w:b/>
        </w:rPr>
        <w:t>SAIMEX</w:t>
      </w:r>
      <w:r w:rsidRPr="0020402F">
        <w:rPr>
          <w:rFonts w:ascii="Palatino Linotype" w:eastAsia="Palatino Linotype" w:hAnsi="Palatino Linotype" w:cs="Palatino Linotype"/>
        </w:rPr>
        <w:t xml:space="preserve">, al Titular de la Unidad de Transparencia del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BA9918"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0402F">
        <w:rPr>
          <w:rFonts w:ascii="Palatino Linotype" w:eastAsia="Palatino Linotype" w:hAnsi="Palatino Linotype" w:cs="Palatino Linotype"/>
          <w:b/>
        </w:rPr>
        <w:t>Sujeto Obligado</w:t>
      </w:r>
      <w:r w:rsidRPr="0020402F">
        <w:rPr>
          <w:rFonts w:ascii="Palatino Linotype" w:eastAsia="Palatino Linotype" w:hAnsi="Palatino Linotype" w:cs="Palatino Linotype"/>
        </w:rPr>
        <w:t xml:space="preserve"> de manera fundada y motivada, podrá solicitar una ampliación de plazo para el cumplimiento de la presente resolución.</w:t>
      </w:r>
    </w:p>
    <w:p w14:paraId="498FF4D3" w14:textId="77777777" w:rsidR="00CE08AC" w:rsidRPr="0020402F" w:rsidRDefault="00040DB7">
      <w:pPr>
        <w:spacing w:before="240" w:after="240" w:line="360" w:lineRule="auto"/>
        <w:jc w:val="both"/>
        <w:rPr>
          <w:rFonts w:ascii="Palatino Linotype" w:eastAsia="Palatino Linotype" w:hAnsi="Palatino Linotype" w:cs="Palatino Linotype"/>
        </w:rPr>
      </w:pPr>
      <w:r w:rsidRPr="0020402F">
        <w:rPr>
          <w:rFonts w:ascii="Palatino Linotype" w:eastAsia="Palatino Linotype" w:hAnsi="Palatino Linotype" w:cs="Palatino Linotype"/>
          <w:b/>
        </w:rPr>
        <w:t xml:space="preserve">Cuarto.  Notifíquese, </w:t>
      </w:r>
      <w:r w:rsidRPr="0020402F">
        <w:rPr>
          <w:rFonts w:ascii="Palatino Linotype" w:eastAsia="Palatino Linotype" w:hAnsi="Palatino Linotype" w:cs="Palatino Linotype"/>
        </w:rPr>
        <w:t xml:space="preserve">vía </w:t>
      </w:r>
      <w:r w:rsidRPr="0020402F">
        <w:rPr>
          <w:rFonts w:ascii="Palatino Linotype" w:eastAsia="Palatino Linotype" w:hAnsi="Palatino Linotype" w:cs="Palatino Linotype"/>
          <w:b/>
        </w:rPr>
        <w:t>SAIMEX</w:t>
      </w:r>
      <w:r w:rsidRPr="0020402F">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2B02AF4" w14:textId="77777777" w:rsidR="00CE08AC" w:rsidRPr="0020402F" w:rsidRDefault="00040DB7">
      <w:pPr>
        <w:spacing w:line="360" w:lineRule="auto"/>
        <w:jc w:val="both"/>
        <w:rPr>
          <w:rFonts w:ascii="Palatino Linotype" w:eastAsia="Palatino Linotype" w:hAnsi="Palatino Linotype" w:cs="Palatino Linotype"/>
        </w:rPr>
      </w:pPr>
      <w:bookmarkStart w:id="9" w:name="_heading=h.lnxbz9" w:colFirst="0" w:colLast="0"/>
      <w:bookmarkEnd w:id="9"/>
      <w:r w:rsidRPr="0020402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20402F">
        <w:rPr>
          <w:rFonts w:ascii="Palatino Linotype" w:eastAsia="Palatino Linotype" w:hAnsi="Palatino Linotype" w:cs="Palatino Linotype"/>
        </w:rPr>
        <w:lastRenderedPageBreak/>
        <w:t>VILCHIS, MARÍA DEL ROSARIO MEJÍA AYALA, SHARON CRISTINA MORALES MARTÍNEZ, LUIS GUSTAVO PARRA NORIEGA Y GUADALUPE RAMÍREZ PEÑA; EN LA DÉCIMO NOVENA SESIÓN ORDINARIA, CELEBRADA EL VEINTICUATRO DE MAYO DE DOS MIL VEINTITRÉS, ANTE EL SECRETARIO TÉCNICO DEL PLENO ALEXIS TAPIA RAMÍREZ.</w:t>
      </w:r>
    </w:p>
    <w:p w14:paraId="2B6CA67D" w14:textId="77777777" w:rsidR="00CE08AC" w:rsidRPr="0020402F" w:rsidRDefault="00CE08AC">
      <w:pPr>
        <w:rPr>
          <w:rFonts w:ascii="Palatino Linotype" w:eastAsia="Palatino Linotype" w:hAnsi="Palatino Linotype" w:cs="Palatino Linotype"/>
        </w:rPr>
      </w:pPr>
    </w:p>
    <w:p w14:paraId="023BC6B5" w14:textId="77777777" w:rsidR="00CE08AC" w:rsidRPr="0020402F" w:rsidRDefault="009545D3">
      <w:pPr>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7FCAB3B9" wp14:editId="1E5DADFB">
                <wp:simplePos x="0" y="0"/>
                <wp:positionH relativeFrom="column">
                  <wp:posOffset>153242</wp:posOffset>
                </wp:positionH>
                <wp:positionV relativeFrom="paragraph">
                  <wp:posOffset>58744</wp:posOffset>
                </wp:positionV>
                <wp:extent cx="5295014" cy="5730949"/>
                <wp:effectExtent l="0" t="0" r="20320" b="22225"/>
                <wp:wrapNone/>
                <wp:docPr id="1" name="Conector recto 1"/>
                <wp:cNvGraphicFramePr/>
                <a:graphic xmlns:a="http://schemas.openxmlformats.org/drawingml/2006/main">
                  <a:graphicData uri="http://schemas.microsoft.com/office/word/2010/wordprocessingShape">
                    <wps:wsp>
                      <wps:cNvCnPr/>
                      <wps:spPr>
                        <a:xfrm>
                          <a:off x="0" y="0"/>
                          <a:ext cx="5295014" cy="5730949"/>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4A6C84"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05pt,4.65pt" to="429pt,4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mGuwEAAMUDAAAOAAAAZHJzL2Uyb0RvYy54bWysU02P0zAQvSPxHyzfaZKyXWjUdA9dwQVB&#10;xcIP8DrjxpK/NDZN+u8ZO90sAiQE4mLH9nsz895MdneTNewMGLV3HW9WNWfgpO+1O3X865d3r95y&#10;FpNwvTDeQccvEPnd/uWL3RhaWPvBmx6QURAX2zF0fEgptFUV5QBWxJUP4OhRebQi0RFPVY9ipOjW&#10;VOu6vq1Gj31ALyFGur2fH/m+xFcKZPqkVITETMeptlRWLOtjXqv9TrQnFGHQ8lqG+IcqrNCOki6h&#10;7kUS7BvqX0JZLdFHr9JKelt5pbSEooHUNPVPah4GEaBoIXNiWGyK/y+s/Hg+ItM99Y4zJyy16ECN&#10;kskjw7yxJns0htgS9OCOeD3FcMQseFJo805S2FR8vSy+wpSYpMvNerupmxvOJL1t3ryutzfbHLV6&#10;pgeM6T14y/JHx412WbhoxflDTDP0CUK8XM5cQPlKFwMZbNxnUCSGUjaFXcYIDgbZWdAACCnBpdtr&#10;6oLONKWNWYj1n4lXfKZCGbG/IS+Mktm7tJCtdh5/lz1NpQfklprxTw7MurMFj76/lNYUa2hWirnX&#10;uc7D+OO50J//vv13AAAA//8DAFBLAwQUAAYACAAAACEAZD8WstwAAAAIAQAADwAAAGRycy9kb3du&#10;cmV2LnhtbEyPzU7DMBCE70i8g7VI3OgmhaIQ4lSoCMQNtSDO29iNA/4JsZsEnp7lBMfRjGa+qdaz&#10;s2LUQ+yCl5AvMhDaN0F1vpXw+vJwUYCIibwiG7yW8KUjrOvTk4pKFSa/1eMutYJLfCxJgkmpLxFj&#10;Y7SjuAi99uwdwuAosRxaVANNXO4sLrPsGh11nhcM9XpjdPOxOzoJuDXf97ih98/V9PRI89t4QPss&#10;5fnZfHcLIuk5/YXhF5/RoWamfTh6FYWVsLzKOSnh5hIE28Wq4Gt71nleANYV/j9Q/wAAAP//AwBQ&#10;SwECLQAUAAYACAAAACEAtoM4kv4AAADhAQAAEwAAAAAAAAAAAAAAAAAAAAAAW0NvbnRlbnRfVHlw&#10;ZXNdLnhtbFBLAQItABQABgAIAAAAIQA4/SH/1gAAAJQBAAALAAAAAAAAAAAAAAAAAC8BAABfcmVs&#10;cy8ucmVsc1BLAQItABQABgAIAAAAIQAYfzmGuwEAAMUDAAAOAAAAAAAAAAAAAAAAAC4CAABkcnMv&#10;ZTJvRG9jLnhtbFBLAQItABQABgAIAAAAIQBkPxay3AAAAAgBAAAPAAAAAAAAAAAAAAAAABUEAABk&#10;cnMvZG93bnJldi54bWxQSwUGAAAAAAQABADzAAAAHgUAAAAA&#10;" strokecolor="#f68c36 [3049]"/>
            </w:pict>
          </mc:Fallback>
        </mc:AlternateContent>
      </w:r>
    </w:p>
    <w:p w14:paraId="4A42B132" w14:textId="77777777" w:rsidR="00CE08AC" w:rsidRPr="0020402F" w:rsidRDefault="00CE08AC">
      <w:pPr>
        <w:rPr>
          <w:rFonts w:ascii="Palatino Linotype" w:eastAsia="Palatino Linotype" w:hAnsi="Palatino Linotype" w:cs="Palatino Linotype"/>
        </w:rPr>
      </w:pPr>
    </w:p>
    <w:p w14:paraId="7B94A1C8" w14:textId="77777777" w:rsidR="00CE08AC" w:rsidRPr="0020402F" w:rsidRDefault="00CE08AC">
      <w:pPr>
        <w:rPr>
          <w:rFonts w:ascii="Palatino Linotype" w:eastAsia="Palatino Linotype" w:hAnsi="Palatino Linotype" w:cs="Palatino Linotype"/>
        </w:rPr>
      </w:pPr>
    </w:p>
    <w:p w14:paraId="100F659A" w14:textId="77777777" w:rsidR="00CE08AC" w:rsidRPr="0020402F" w:rsidRDefault="00CE08AC">
      <w:pPr>
        <w:rPr>
          <w:rFonts w:ascii="Palatino Linotype" w:eastAsia="Palatino Linotype" w:hAnsi="Palatino Linotype" w:cs="Palatino Linotype"/>
        </w:rPr>
      </w:pPr>
    </w:p>
    <w:p w14:paraId="39B986CF" w14:textId="77777777" w:rsidR="00CE08AC" w:rsidRPr="0020402F" w:rsidRDefault="00CE08AC">
      <w:pPr>
        <w:rPr>
          <w:rFonts w:ascii="Palatino Linotype" w:eastAsia="Palatino Linotype" w:hAnsi="Palatino Linotype" w:cs="Palatino Linotype"/>
        </w:rPr>
      </w:pPr>
    </w:p>
    <w:p w14:paraId="1D758014" w14:textId="77777777" w:rsidR="00CE08AC" w:rsidRPr="0020402F" w:rsidRDefault="00CE08AC">
      <w:pPr>
        <w:rPr>
          <w:rFonts w:ascii="Palatino Linotype" w:eastAsia="Palatino Linotype" w:hAnsi="Palatino Linotype" w:cs="Palatino Linotype"/>
        </w:rPr>
      </w:pPr>
    </w:p>
    <w:p w14:paraId="3FBF40AE" w14:textId="77777777" w:rsidR="00CE08AC" w:rsidRPr="0020402F" w:rsidRDefault="00CE08AC">
      <w:pPr>
        <w:rPr>
          <w:rFonts w:ascii="Palatino Linotype" w:eastAsia="Palatino Linotype" w:hAnsi="Palatino Linotype" w:cs="Palatino Linotype"/>
        </w:rPr>
      </w:pPr>
    </w:p>
    <w:p w14:paraId="27211CA4" w14:textId="77777777" w:rsidR="00CE08AC" w:rsidRPr="0020402F" w:rsidRDefault="00CE08AC">
      <w:pPr>
        <w:rPr>
          <w:rFonts w:ascii="Palatino Linotype" w:eastAsia="Palatino Linotype" w:hAnsi="Palatino Linotype" w:cs="Palatino Linotype"/>
        </w:rPr>
      </w:pPr>
    </w:p>
    <w:p w14:paraId="3C5499B8" w14:textId="77777777" w:rsidR="00CE08AC" w:rsidRPr="0020402F" w:rsidRDefault="00CE08AC">
      <w:pPr>
        <w:rPr>
          <w:rFonts w:ascii="Palatino Linotype" w:eastAsia="Palatino Linotype" w:hAnsi="Palatino Linotype" w:cs="Palatino Linotype"/>
        </w:rPr>
      </w:pPr>
    </w:p>
    <w:p w14:paraId="1499EF07" w14:textId="77777777" w:rsidR="00CE08AC" w:rsidRPr="0020402F" w:rsidRDefault="00CE08AC">
      <w:pPr>
        <w:rPr>
          <w:rFonts w:ascii="Palatino Linotype" w:eastAsia="Palatino Linotype" w:hAnsi="Palatino Linotype" w:cs="Palatino Linotype"/>
        </w:rPr>
      </w:pPr>
    </w:p>
    <w:p w14:paraId="7073A872" w14:textId="77777777" w:rsidR="00CE08AC" w:rsidRPr="0020402F" w:rsidRDefault="00CE08AC">
      <w:pPr>
        <w:spacing w:line="360" w:lineRule="auto"/>
        <w:jc w:val="both"/>
        <w:rPr>
          <w:rFonts w:ascii="Palatino Linotype" w:eastAsia="Palatino Linotype" w:hAnsi="Palatino Linotype" w:cs="Palatino Linotype"/>
        </w:rPr>
      </w:pPr>
      <w:bookmarkStart w:id="10" w:name="_heading=h.3rdcrjn" w:colFirst="0" w:colLast="0"/>
      <w:bookmarkEnd w:id="10"/>
    </w:p>
    <w:p w14:paraId="20121381" w14:textId="77777777" w:rsidR="00CE08AC" w:rsidRPr="0020402F" w:rsidRDefault="00CE08AC">
      <w:pPr>
        <w:spacing w:line="360" w:lineRule="auto"/>
        <w:jc w:val="both"/>
        <w:rPr>
          <w:rFonts w:ascii="Palatino Linotype" w:eastAsia="Palatino Linotype" w:hAnsi="Palatino Linotype" w:cs="Palatino Linotype"/>
        </w:rPr>
      </w:pPr>
    </w:p>
    <w:p w14:paraId="7082F987" w14:textId="77777777" w:rsidR="00CE08AC" w:rsidRPr="0020402F" w:rsidRDefault="00CE08AC">
      <w:pPr>
        <w:spacing w:line="360" w:lineRule="auto"/>
        <w:jc w:val="both"/>
        <w:rPr>
          <w:rFonts w:ascii="Palatino Linotype" w:eastAsia="Palatino Linotype" w:hAnsi="Palatino Linotype" w:cs="Palatino Linotype"/>
        </w:rPr>
      </w:pPr>
    </w:p>
    <w:p w14:paraId="6BAB9CB0" w14:textId="77777777" w:rsidR="00CE08AC" w:rsidRPr="0020402F" w:rsidRDefault="00CE08AC">
      <w:pPr>
        <w:spacing w:line="360" w:lineRule="auto"/>
        <w:jc w:val="both"/>
        <w:rPr>
          <w:rFonts w:ascii="Palatino Linotype" w:eastAsia="Palatino Linotype" w:hAnsi="Palatino Linotype" w:cs="Palatino Linotype"/>
        </w:rPr>
      </w:pPr>
      <w:bookmarkStart w:id="11" w:name="_heading=h.1t3h5sf" w:colFirst="0" w:colLast="0"/>
      <w:bookmarkEnd w:id="11"/>
    </w:p>
    <w:p w14:paraId="31A6F477" w14:textId="77777777" w:rsidR="00CE08AC" w:rsidRPr="0020402F" w:rsidRDefault="00CE08AC">
      <w:pPr>
        <w:spacing w:line="360" w:lineRule="auto"/>
        <w:jc w:val="both"/>
        <w:rPr>
          <w:rFonts w:ascii="Palatino Linotype" w:eastAsia="Palatino Linotype" w:hAnsi="Palatino Linotype" w:cs="Palatino Linotype"/>
        </w:rPr>
      </w:pPr>
    </w:p>
    <w:p w14:paraId="6CFD3BB0" w14:textId="77777777" w:rsidR="00CE08AC" w:rsidRPr="0020402F" w:rsidRDefault="00CE08AC">
      <w:pPr>
        <w:spacing w:line="360" w:lineRule="auto"/>
        <w:jc w:val="both"/>
        <w:rPr>
          <w:rFonts w:ascii="Palatino Linotype" w:eastAsia="Palatino Linotype" w:hAnsi="Palatino Linotype" w:cs="Palatino Linotype"/>
        </w:rPr>
      </w:pPr>
    </w:p>
    <w:p w14:paraId="49E7D38F" w14:textId="77777777" w:rsidR="00CE08AC" w:rsidRPr="0020402F" w:rsidRDefault="00CE08AC">
      <w:pPr>
        <w:spacing w:line="360" w:lineRule="auto"/>
        <w:jc w:val="both"/>
        <w:rPr>
          <w:rFonts w:ascii="Palatino Linotype" w:eastAsia="Palatino Linotype" w:hAnsi="Palatino Linotype" w:cs="Palatino Linotype"/>
        </w:rPr>
      </w:pPr>
    </w:p>
    <w:p w14:paraId="5DAC0245" w14:textId="77777777" w:rsidR="00CE08AC" w:rsidRPr="0020402F" w:rsidRDefault="00CE08AC">
      <w:pPr>
        <w:spacing w:line="360" w:lineRule="auto"/>
        <w:jc w:val="both"/>
        <w:rPr>
          <w:rFonts w:ascii="Palatino Linotype" w:eastAsia="Palatino Linotype" w:hAnsi="Palatino Linotype" w:cs="Palatino Linotype"/>
        </w:rPr>
      </w:pPr>
    </w:p>
    <w:p w14:paraId="2ADFEB6E" w14:textId="77777777" w:rsidR="00CE08AC" w:rsidRPr="0020402F" w:rsidRDefault="00CE08AC">
      <w:pPr>
        <w:spacing w:line="360" w:lineRule="auto"/>
        <w:jc w:val="both"/>
        <w:rPr>
          <w:rFonts w:ascii="Palatino Linotype" w:eastAsia="Palatino Linotype" w:hAnsi="Palatino Linotype" w:cs="Palatino Linotype"/>
        </w:rPr>
      </w:pPr>
    </w:p>
    <w:p w14:paraId="6B57B70C" w14:textId="77777777" w:rsidR="00CE08AC" w:rsidRPr="0020402F" w:rsidRDefault="00CE08AC">
      <w:pPr>
        <w:spacing w:line="360" w:lineRule="auto"/>
        <w:jc w:val="both"/>
        <w:rPr>
          <w:rFonts w:ascii="Palatino Linotype" w:eastAsia="Palatino Linotype" w:hAnsi="Palatino Linotype" w:cs="Palatino Linotype"/>
        </w:rPr>
      </w:pPr>
    </w:p>
    <w:p w14:paraId="1F162A44" w14:textId="77777777" w:rsidR="00CE08AC" w:rsidRPr="0020402F" w:rsidRDefault="00CE08AC">
      <w:pPr>
        <w:spacing w:line="360" w:lineRule="auto"/>
        <w:jc w:val="both"/>
        <w:rPr>
          <w:rFonts w:ascii="Palatino Linotype" w:eastAsia="Palatino Linotype" w:hAnsi="Palatino Linotype" w:cs="Palatino Linotype"/>
        </w:rPr>
      </w:pPr>
    </w:p>
    <w:p w14:paraId="3060438D" w14:textId="77777777" w:rsidR="00CE08AC" w:rsidRPr="0020402F" w:rsidRDefault="00CE08AC">
      <w:pPr>
        <w:spacing w:line="360" w:lineRule="auto"/>
        <w:jc w:val="both"/>
        <w:rPr>
          <w:rFonts w:ascii="Palatino Linotype" w:eastAsia="Palatino Linotype" w:hAnsi="Palatino Linotype" w:cs="Palatino Linotype"/>
        </w:rPr>
      </w:pPr>
    </w:p>
    <w:p w14:paraId="780C51AF" w14:textId="77777777" w:rsidR="00CE08AC" w:rsidRPr="0020402F" w:rsidRDefault="00CE08AC">
      <w:pPr>
        <w:spacing w:line="360" w:lineRule="auto"/>
        <w:jc w:val="both"/>
        <w:rPr>
          <w:rFonts w:ascii="Palatino Linotype" w:eastAsia="Palatino Linotype" w:hAnsi="Palatino Linotype" w:cs="Palatino Linotype"/>
        </w:rPr>
      </w:pPr>
    </w:p>
    <w:p w14:paraId="0BA6A222" w14:textId="77777777" w:rsidR="00CE08AC" w:rsidRPr="0020402F" w:rsidRDefault="00CE08AC">
      <w:pPr>
        <w:spacing w:line="360" w:lineRule="auto"/>
        <w:jc w:val="both"/>
        <w:rPr>
          <w:rFonts w:ascii="Palatino Linotype" w:eastAsia="Palatino Linotype" w:hAnsi="Palatino Linotype" w:cs="Palatino Linotype"/>
        </w:rPr>
      </w:pPr>
    </w:p>
    <w:p w14:paraId="12A6BA10" w14:textId="77777777" w:rsidR="00CE08AC" w:rsidRPr="0020402F" w:rsidRDefault="00CE08AC">
      <w:pPr>
        <w:spacing w:line="360" w:lineRule="auto"/>
        <w:jc w:val="both"/>
        <w:rPr>
          <w:rFonts w:ascii="Palatino Linotype" w:eastAsia="Palatino Linotype" w:hAnsi="Palatino Linotype" w:cs="Palatino Linotype"/>
        </w:rPr>
      </w:pPr>
    </w:p>
    <w:sectPr w:rsidR="00CE08AC" w:rsidRPr="0020402F">
      <w:headerReference w:type="default" r:id="rId34"/>
      <w:footerReference w:type="default" r:id="rId35"/>
      <w:headerReference w:type="first" r:id="rId36"/>
      <w:footerReference w:type="first" r:id="rId3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EBEBF" w14:textId="77777777" w:rsidR="002D4393" w:rsidRDefault="002D4393">
      <w:r>
        <w:separator/>
      </w:r>
    </w:p>
  </w:endnote>
  <w:endnote w:type="continuationSeparator" w:id="0">
    <w:p w14:paraId="0212C5E0" w14:textId="77777777" w:rsidR="002D4393" w:rsidRDefault="002D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0B3F" w14:textId="77777777" w:rsidR="00040DB7" w:rsidRDefault="00040D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5B50">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5B50">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5078544A" w14:textId="77777777" w:rsidR="00040DB7" w:rsidRDefault="00040DB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EC18" w14:textId="77777777" w:rsidR="00040DB7" w:rsidRDefault="00040D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5B5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5B50">
      <w:rPr>
        <w:rFonts w:ascii="Palatino Linotype" w:eastAsia="Palatino Linotype" w:hAnsi="Palatino Linotype" w:cs="Palatino Linotype"/>
        <w:b/>
        <w:noProof/>
        <w:color w:val="000000"/>
        <w:sz w:val="20"/>
        <w:szCs w:val="20"/>
      </w:rPr>
      <w:t>83</w:t>
    </w:r>
    <w:r>
      <w:rPr>
        <w:rFonts w:ascii="Palatino Linotype" w:eastAsia="Palatino Linotype" w:hAnsi="Palatino Linotype" w:cs="Palatino Linotype"/>
        <w:b/>
        <w:color w:val="000000"/>
        <w:sz w:val="20"/>
        <w:szCs w:val="20"/>
      </w:rPr>
      <w:fldChar w:fldCharType="end"/>
    </w:r>
  </w:p>
  <w:p w14:paraId="007A0C3F" w14:textId="77777777" w:rsidR="00040DB7" w:rsidRDefault="00040DB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82DB6" w14:textId="77777777" w:rsidR="002D4393" w:rsidRDefault="002D4393">
      <w:r>
        <w:separator/>
      </w:r>
    </w:p>
  </w:footnote>
  <w:footnote w:type="continuationSeparator" w:id="0">
    <w:p w14:paraId="71D05DA9" w14:textId="77777777" w:rsidR="002D4393" w:rsidRDefault="002D4393">
      <w:r>
        <w:continuationSeparator/>
      </w:r>
    </w:p>
  </w:footnote>
  <w:footnote w:id="1">
    <w:p w14:paraId="4F764C98" w14:textId="77777777" w:rsidR="00040DB7" w:rsidRDefault="00040DB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865320C" w14:textId="77777777" w:rsidR="00040DB7" w:rsidRDefault="00040DB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D3DAD22" w14:textId="77777777" w:rsidR="00040DB7" w:rsidRDefault="00040DB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5</w:t>
      </w:r>
      <w:r>
        <w:rPr>
          <w:rFonts w:ascii="Palatino Linotype" w:eastAsia="Palatino Linotype" w:hAnsi="Palatino Linotype" w:cs="Palatino Linotype"/>
          <w:color w:val="000000"/>
          <w:sz w:val="16"/>
          <w:szCs w:val="16"/>
        </w:rPr>
        <w:t xml:space="preserve">.- La </w:t>
      </w:r>
      <w:r>
        <w:rPr>
          <w:rFonts w:ascii="Palatino Linotype" w:eastAsia="Palatino Linotype" w:hAnsi="Palatino Linotype" w:cs="Palatino Linotype"/>
          <w:b/>
          <w:color w:val="000000"/>
          <w:sz w:val="16"/>
          <w:szCs w:val="16"/>
        </w:rPr>
        <w:t xml:space="preserve">Secretaría llevará a cabo los procedimientos de adquisición de bienes o servicios que requieran las dependencias, </w:t>
      </w:r>
      <w:r>
        <w:rPr>
          <w:rFonts w:ascii="Palatino Linotype" w:eastAsia="Palatino Linotype" w:hAnsi="Palatino Linotype" w:cs="Palatino Linotype"/>
          <w:color w:val="000000"/>
          <w:sz w:val="16"/>
          <w:szCs w:val="16"/>
        </w:rPr>
        <w:t>conforme a sus respectivos programas de adquisiciones.</w:t>
      </w:r>
    </w:p>
  </w:footnote>
  <w:footnote w:id="3">
    <w:p w14:paraId="3227C2BA" w14:textId="77777777" w:rsidR="00040DB7" w:rsidRDefault="00040DB7">
      <w:pPr>
        <w:tabs>
          <w:tab w:val="left" w:pos="6521"/>
        </w:tabs>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b/>
          <w:sz w:val="16"/>
          <w:szCs w:val="16"/>
        </w:rPr>
        <w:t xml:space="preserve">Artículo 76. </w:t>
      </w:r>
      <w:r>
        <w:rPr>
          <w:rFonts w:ascii="Palatino Linotype" w:eastAsia="Palatino Linotype" w:hAnsi="Palatino Linotype" w:cs="Palatino Linotype"/>
          <w:sz w:val="16"/>
          <w:szCs w:val="16"/>
        </w:rPr>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3A661716" w14:textId="77777777" w:rsidR="00040DB7" w:rsidRDefault="00040DB7">
      <w:pPr>
        <w:tabs>
          <w:tab w:val="left" w:pos="6521"/>
        </w:tabs>
        <w:jc w:val="both"/>
        <w:rPr>
          <w:rFonts w:ascii="Palatino Linotype" w:eastAsia="Palatino Linotype" w:hAnsi="Palatino Linotype" w:cs="Palatino Linotype"/>
          <w:sz w:val="16"/>
          <w:szCs w:val="16"/>
        </w:rPr>
      </w:pPr>
    </w:p>
    <w:p w14:paraId="799085B3" w14:textId="77777777" w:rsidR="00040DB7" w:rsidRDefault="00040DB7">
      <w:pPr>
        <w:tabs>
          <w:tab w:val="left" w:pos="6521"/>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publicación de la información derivada de las obligaciones de transparencia deberá sujetarse a los lineamientos para la homologación en la presentación de la información a la que hace referencia este Título por parte de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9767" w14:textId="77777777" w:rsidR="00040DB7" w:rsidRDefault="00040DB7">
    <w:pPr>
      <w:rPr>
        <w:rFonts w:ascii="Cambria" w:eastAsia="Cambria" w:hAnsi="Cambria" w:cs="Cambria"/>
        <w:color w:val="000000"/>
      </w:rPr>
    </w:pPr>
    <w:r>
      <w:rPr>
        <w:noProof/>
      </w:rPr>
      <w:drawing>
        <wp:anchor distT="0" distB="0" distL="0" distR="0" simplePos="0" relativeHeight="251658240" behindDoc="1" locked="0" layoutInCell="1" hidden="0" allowOverlap="1" wp14:anchorId="7A456AFD" wp14:editId="542657A8">
          <wp:simplePos x="0" y="0"/>
          <wp:positionH relativeFrom="column">
            <wp:posOffset>-1080119</wp:posOffset>
          </wp:positionH>
          <wp:positionV relativeFrom="paragraph">
            <wp:posOffset>-488297</wp:posOffset>
          </wp:positionV>
          <wp:extent cx="7809865" cy="10165715"/>
          <wp:effectExtent l="0" t="0" r="0" b="0"/>
          <wp:wrapNone/>
          <wp:docPr id="1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040DB7" w14:paraId="0AF5A890" w14:textId="77777777">
      <w:tc>
        <w:tcPr>
          <w:tcW w:w="2489" w:type="dxa"/>
          <w:shd w:val="clear" w:color="auto" w:fill="auto"/>
        </w:tcPr>
        <w:p w14:paraId="13AA2C94"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27CDB4C" w14:textId="77777777" w:rsidR="00040DB7" w:rsidRDefault="00040D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15064/INFOEM/IP/RR/2022</w:t>
          </w:r>
        </w:p>
      </w:tc>
    </w:tr>
    <w:tr w:rsidR="00040DB7" w14:paraId="53251D09" w14:textId="77777777">
      <w:trPr>
        <w:trHeight w:val="228"/>
      </w:trPr>
      <w:tc>
        <w:tcPr>
          <w:tcW w:w="2489" w:type="dxa"/>
          <w:shd w:val="clear" w:color="auto" w:fill="auto"/>
          <w:vAlign w:val="center"/>
        </w:tcPr>
        <w:p w14:paraId="0D504767"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BCFEF88" w14:textId="77777777" w:rsidR="00040DB7" w:rsidRDefault="00040DB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040DB7" w14:paraId="23B3DE17" w14:textId="77777777">
      <w:tc>
        <w:tcPr>
          <w:tcW w:w="2489" w:type="dxa"/>
          <w:shd w:val="clear" w:color="auto" w:fill="auto"/>
          <w:vAlign w:val="center"/>
        </w:tcPr>
        <w:p w14:paraId="51D7B30B" w14:textId="77777777" w:rsidR="00040DB7" w:rsidRDefault="00040DB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AFC7F7E" w14:textId="77777777" w:rsidR="00040DB7" w:rsidRDefault="00040D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5BDF9D" w14:textId="77777777" w:rsidR="00040DB7" w:rsidRDefault="00040DB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147F" w14:textId="77777777" w:rsidR="00040DB7" w:rsidRDefault="00040DB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DFDA9A9" wp14:editId="6762AC3B">
          <wp:simplePos x="0" y="0"/>
          <wp:positionH relativeFrom="column">
            <wp:posOffset>-1080125</wp:posOffset>
          </wp:positionH>
          <wp:positionV relativeFrom="paragraph">
            <wp:posOffset>-262868</wp:posOffset>
          </wp:positionV>
          <wp:extent cx="7809865" cy="10165715"/>
          <wp:effectExtent l="0" t="0" r="0" b="0"/>
          <wp:wrapNone/>
          <wp:docPr id="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670" w:type="dxa"/>
      <w:tblInd w:w="3261" w:type="dxa"/>
      <w:tblLayout w:type="fixed"/>
      <w:tblLook w:val="0400" w:firstRow="0" w:lastRow="0" w:firstColumn="0" w:lastColumn="0" w:noHBand="0" w:noVBand="1"/>
    </w:tblPr>
    <w:tblGrid>
      <w:gridCol w:w="2551"/>
      <w:gridCol w:w="3119"/>
    </w:tblGrid>
    <w:tr w:rsidR="00040DB7" w14:paraId="699BA802" w14:textId="77777777">
      <w:tc>
        <w:tcPr>
          <w:tcW w:w="2551" w:type="dxa"/>
          <w:shd w:val="clear" w:color="auto" w:fill="auto"/>
          <w:vAlign w:val="center"/>
        </w:tcPr>
        <w:p w14:paraId="2F7628D3"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308F493" w14:textId="77777777" w:rsidR="00040DB7" w:rsidRDefault="00040DB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15064/INFOEM/IP/RR/2022</w:t>
          </w:r>
        </w:p>
      </w:tc>
    </w:tr>
    <w:tr w:rsidR="00040DB7" w14:paraId="1ABAA3E6" w14:textId="77777777">
      <w:trPr>
        <w:trHeight w:val="130"/>
      </w:trPr>
      <w:tc>
        <w:tcPr>
          <w:tcW w:w="2551" w:type="dxa"/>
          <w:shd w:val="clear" w:color="auto" w:fill="auto"/>
          <w:vAlign w:val="center"/>
        </w:tcPr>
        <w:p w14:paraId="13893131"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130DDD3" w14:textId="77777777" w:rsidR="00040DB7" w:rsidRDefault="00040DB7">
          <w:pPr>
            <w:ind w:left="-45"/>
            <w:jc w:val="both"/>
            <w:rPr>
              <w:rFonts w:ascii="Palatino Linotype" w:eastAsia="Palatino Linotype" w:hAnsi="Palatino Linotype" w:cs="Palatino Linotype"/>
              <w:b/>
              <w:sz w:val="22"/>
              <w:szCs w:val="22"/>
            </w:rPr>
          </w:pPr>
        </w:p>
      </w:tc>
    </w:tr>
    <w:tr w:rsidR="00040DB7" w14:paraId="0F17B2F9" w14:textId="77777777">
      <w:trPr>
        <w:trHeight w:val="228"/>
      </w:trPr>
      <w:tc>
        <w:tcPr>
          <w:tcW w:w="2551" w:type="dxa"/>
          <w:shd w:val="clear" w:color="auto" w:fill="auto"/>
          <w:vAlign w:val="center"/>
        </w:tcPr>
        <w:p w14:paraId="052E6388"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FAD1BFD" w14:textId="77777777" w:rsidR="00040DB7" w:rsidRDefault="00040DB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040DB7" w14:paraId="0AB7D08B" w14:textId="77777777">
      <w:tc>
        <w:tcPr>
          <w:tcW w:w="2551" w:type="dxa"/>
          <w:shd w:val="clear" w:color="auto" w:fill="auto"/>
          <w:vAlign w:val="center"/>
        </w:tcPr>
        <w:p w14:paraId="1B39A9D0" w14:textId="77777777" w:rsidR="00040DB7" w:rsidRDefault="00040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E34629D" w14:textId="77777777" w:rsidR="00040DB7" w:rsidRDefault="00040DB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C81E1E" w14:textId="77777777" w:rsidR="00040DB7" w:rsidRDefault="00040DB7">
    <w:pPr>
      <w:pBdr>
        <w:top w:val="nil"/>
        <w:left w:val="nil"/>
        <w:bottom w:val="nil"/>
        <w:right w:val="nil"/>
        <w:between w:val="nil"/>
      </w:pBdr>
      <w:tabs>
        <w:tab w:val="center" w:pos="4252"/>
        <w:tab w:val="right" w:pos="8504"/>
      </w:tabs>
      <w:rPr>
        <w:rFonts w:ascii="Cambria" w:eastAsia="Cambria" w:hAnsi="Cambria" w:cs="Cambria"/>
        <w:color w:val="000000"/>
      </w:rPr>
    </w:pPr>
  </w:p>
  <w:p w14:paraId="40383286" w14:textId="77777777" w:rsidR="00040DB7" w:rsidRDefault="00040D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C3304"/>
    <w:multiLevelType w:val="multilevel"/>
    <w:tmpl w:val="96245C3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7F200C"/>
    <w:multiLevelType w:val="multilevel"/>
    <w:tmpl w:val="467A11BC"/>
    <w:lvl w:ilvl="0">
      <w:start w:val="1"/>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 w15:restartNumberingAfterBreak="0">
    <w:nsid w:val="65B94013"/>
    <w:multiLevelType w:val="multilevel"/>
    <w:tmpl w:val="9EE09BE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AC"/>
    <w:rsid w:val="00040DB7"/>
    <w:rsid w:val="000B5B0B"/>
    <w:rsid w:val="0013683B"/>
    <w:rsid w:val="00157523"/>
    <w:rsid w:val="0020402F"/>
    <w:rsid w:val="00206069"/>
    <w:rsid w:val="002D4393"/>
    <w:rsid w:val="00390E65"/>
    <w:rsid w:val="003D3DC6"/>
    <w:rsid w:val="00591DC4"/>
    <w:rsid w:val="006247BD"/>
    <w:rsid w:val="00734832"/>
    <w:rsid w:val="0075345E"/>
    <w:rsid w:val="008C4457"/>
    <w:rsid w:val="009545D3"/>
    <w:rsid w:val="00CD49DB"/>
    <w:rsid w:val="00CE08AC"/>
    <w:rsid w:val="00EA5217"/>
    <w:rsid w:val="00FC5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2B4E74"/>
  <w15:docId w15:val="{FC9DD840-8747-49C8-966D-C9574657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numPr>
        <w:numId w:val="3"/>
      </w:numPr>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48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21.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yn/DEFlPvqu4h5LLap0en0reIA==">AMUW2mWy5ILpPFnP+6A13VQcwrg1+8o3ku+FIPH1n1lCq7pQMyHTDxskEyNHDgHJlot8eSbCVOpHIlWf1m4vPhi8mmryLNQU8dh8jesQptip+QVKBVo5KpFVXtjSgtUhoAZMvQxdnY+9xLf7zUAyohm1BFIpdA3KMjX3QEGHNjf4mQbhyp8IFOjX4wMbDdPc8vWhZy10TLfzr0q9vhGfn7qgWkAJlF+QrNepTEOkDa9oMsxYJ6t4la0wiRjZfqwMB/QXzVOYUPp2Oa2rjyhrBWQwDcXwaKFc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20041</Words>
  <Characters>110229</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2023-05-26T16:15:00Z</cp:lastPrinted>
  <dcterms:created xsi:type="dcterms:W3CDTF">2023-06-05T22:26:00Z</dcterms:created>
  <dcterms:modified xsi:type="dcterms:W3CDTF">2023-06-05T22:26:00Z</dcterms:modified>
</cp:coreProperties>
</file>