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E349" w14:textId="77777777" w:rsidR="00CC56D8" w:rsidRPr="0024200F" w:rsidRDefault="00CC56D8" w:rsidP="00CC56D8">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rPr>
        <w:t>seis de diciembre de dos mil veintitrés</w:t>
      </w:r>
      <w:r w:rsidRPr="0024200F">
        <w:rPr>
          <w:rFonts w:ascii="Palatino Linotype" w:hAnsi="Palatino Linotype"/>
        </w:rPr>
        <w:t>.</w:t>
      </w:r>
    </w:p>
    <w:p w14:paraId="1BA22184" w14:textId="77777777" w:rsidR="00CC56D8" w:rsidRPr="0024200F" w:rsidRDefault="00CC56D8" w:rsidP="00CC56D8">
      <w:pPr>
        <w:spacing w:line="360" w:lineRule="auto"/>
        <w:jc w:val="both"/>
        <w:rPr>
          <w:rFonts w:ascii="Palatino Linotype" w:hAnsi="Palatino Linotype"/>
        </w:rPr>
      </w:pPr>
    </w:p>
    <w:p w14:paraId="35EC8F0F" w14:textId="77777777" w:rsidR="00CC56D8" w:rsidRPr="00BF0355" w:rsidRDefault="00CC56D8" w:rsidP="00CC56D8">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2069EE">
        <w:rPr>
          <w:rFonts w:ascii="Palatino Linotype" w:hAnsi="Palatino Linotype"/>
          <w:b/>
        </w:rPr>
        <w:t>0</w:t>
      </w:r>
      <w:r>
        <w:rPr>
          <w:rFonts w:ascii="Palatino Linotype" w:hAnsi="Palatino Linotype"/>
          <w:b/>
        </w:rPr>
        <w:t xml:space="preserve">7815/INFOEM/IP/RR/2023, </w:t>
      </w:r>
      <w:r w:rsidRPr="00BF0355">
        <w:rPr>
          <w:rFonts w:ascii="Palatino Linotype" w:eastAsiaTheme="minorHAnsi" w:hAnsi="Palatino Linotype" w:cs="Arial"/>
          <w:lang w:val="es-MX" w:eastAsia="en-US"/>
        </w:rPr>
        <w:t xml:space="preserve">interpuesto por </w:t>
      </w:r>
      <w:r>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el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del </w:t>
      </w:r>
      <w:r>
        <w:rPr>
          <w:rFonts w:ascii="Palatino Linotype" w:hAnsi="Palatino Linotype"/>
          <w:b/>
        </w:rPr>
        <w:t xml:space="preserve">Ayuntamiento </w:t>
      </w:r>
      <w:r w:rsidRPr="003A3CD7">
        <w:rPr>
          <w:rFonts w:ascii="Palatino Linotype" w:hAnsi="Palatino Linotype"/>
          <w:b/>
        </w:rPr>
        <w:t xml:space="preserve">de </w:t>
      </w:r>
      <w:r w:rsidRPr="00CC56D8">
        <w:rPr>
          <w:rFonts w:ascii="Palatino Linotype" w:hAnsi="Palatino Linotype"/>
          <w:b/>
        </w:rPr>
        <w:t>Atizapán</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4F38FE93" w14:textId="77777777" w:rsidR="00CC56D8" w:rsidRPr="002478BC" w:rsidRDefault="00CC56D8" w:rsidP="00CC56D8">
      <w:pPr>
        <w:spacing w:line="360" w:lineRule="auto"/>
        <w:jc w:val="both"/>
        <w:rPr>
          <w:rFonts w:ascii="Palatino Linotype" w:hAnsi="Palatino Linotype"/>
          <w:b/>
          <w:bCs/>
          <w:spacing w:val="60"/>
          <w:lang w:val="es-ES_tradnl"/>
        </w:rPr>
      </w:pPr>
    </w:p>
    <w:p w14:paraId="588B3C38" w14:textId="77777777" w:rsidR="00CC56D8" w:rsidRPr="0024200F" w:rsidRDefault="00CC56D8" w:rsidP="00CC56D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709222FB" w14:textId="77777777" w:rsidR="00CC56D8" w:rsidRPr="0024200F" w:rsidRDefault="00CC56D8" w:rsidP="00CC56D8">
      <w:pPr>
        <w:spacing w:line="360" w:lineRule="auto"/>
        <w:jc w:val="center"/>
        <w:rPr>
          <w:rFonts w:ascii="Palatino Linotype" w:hAnsi="Palatino Linotype"/>
          <w:b/>
          <w:bCs/>
          <w:spacing w:val="60"/>
          <w:lang w:val="es-ES_tradnl"/>
        </w:rPr>
      </w:pPr>
    </w:p>
    <w:p w14:paraId="3154F3F1" w14:textId="77777777" w:rsidR="00CC56D8" w:rsidRDefault="00CC56D8" w:rsidP="00CC56D8">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231F28AA" w14:textId="77777777" w:rsidR="00CC56D8" w:rsidRPr="0024200F" w:rsidRDefault="00CC56D8" w:rsidP="00CC56D8">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nueve de octubre de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 xml:space="preserve">00132/ATIZAPAN/IP/2023, </w:t>
      </w:r>
      <w:r w:rsidRPr="0024200F">
        <w:rPr>
          <w:rFonts w:ascii="Palatino Linotype" w:hAnsi="Palatino Linotype"/>
        </w:rPr>
        <w:t>mediante la cual solicitó, lo siguiente:</w:t>
      </w:r>
    </w:p>
    <w:p w14:paraId="7D67B980" w14:textId="77777777" w:rsidR="00CC56D8" w:rsidRDefault="00CC56D8" w:rsidP="00CC56D8">
      <w:pPr>
        <w:spacing w:line="360" w:lineRule="auto"/>
        <w:jc w:val="both"/>
        <w:rPr>
          <w:rFonts w:ascii="Palatino Linotype" w:hAnsi="Palatino Linotype" w:cs="Arial"/>
        </w:rPr>
      </w:pPr>
    </w:p>
    <w:p w14:paraId="0F44691A" w14:textId="77777777" w:rsidR="00CC56D8" w:rsidRPr="008B31F6" w:rsidRDefault="00CC56D8" w:rsidP="00CC56D8">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Pr>
          <w:rFonts w:ascii="Palatino Linotype" w:hAnsi="Palatino Linotype"/>
          <w:bCs/>
          <w:i/>
          <w:sz w:val="22"/>
        </w:rPr>
        <w:t>Atlas de Riesgo</w:t>
      </w:r>
      <w:r w:rsidRPr="00A80205">
        <w:rPr>
          <w:rFonts w:ascii="Palatino Linotype" w:hAnsi="Palatino Linotype"/>
          <w:bCs/>
          <w:i/>
          <w:sz w:val="22"/>
        </w:rPr>
        <w:t xml:space="preserve"> 2022 y 2023</w:t>
      </w:r>
      <w:r w:rsidRPr="00577386">
        <w:rPr>
          <w:rFonts w:ascii="Palatino Linotype" w:hAnsi="Palatino Linotype"/>
          <w:bCs/>
          <w:i/>
          <w:sz w:val="22"/>
        </w:rPr>
        <w:t>.</w:t>
      </w:r>
      <w:r>
        <w:rPr>
          <w:rFonts w:ascii="Palatino Linotype" w:hAnsi="Palatino Linotype"/>
          <w:bCs/>
          <w:i/>
          <w:sz w:val="22"/>
        </w:rPr>
        <w:t xml:space="preserve">” </w:t>
      </w:r>
      <w:r w:rsidRPr="008B31F6">
        <w:rPr>
          <w:rFonts w:ascii="Palatino Linotype" w:hAnsi="Palatino Linotype"/>
          <w:bCs/>
          <w:i/>
          <w:sz w:val="22"/>
        </w:rPr>
        <w:t>(Sic)</w:t>
      </w:r>
    </w:p>
    <w:p w14:paraId="4E80B8D3" w14:textId="77777777" w:rsidR="00CC56D8" w:rsidRPr="00B02F4C" w:rsidRDefault="00CC56D8" w:rsidP="00CC56D8">
      <w:pPr>
        <w:spacing w:line="360" w:lineRule="auto"/>
        <w:ind w:left="567" w:right="616"/>
        <w:jc w:val="both"/>
        <w:rPr>
          <w:rFonts w:ascii="Palatino Linotype" w:hAnsi="Palatino Linotype"/>
          <w:bCs/>
        </w:rPr>
      </w:pPr>
    </w:p>
    <w:p w14:paraId="3B3F6133" w14:textId="77777777" w:rsidR="00CC56D8" w:rsidRPr="003500B0" w:rsidRDefault="00CC56D8" w:rsidP="00CC56D8">
      <w:pPr>
        <w:spacing w:line="360" w:lineRule="auto"/>
        <w:jc w:val="both"/>
        <w:rPr>
          <w:rFonts w:ascii="Palatino Linotype" w:hAnsi="Palatino Linotype"/>
          <w:szCs w:val="28"/>
          <w:lang w:val="es-MX"/>
        </w:rPr>
      </w:pPr>
    </w:p>
    <w:p w14:paraId="0980C69C" w14:textId="77777777" w:rsidR="00CC56D8" w:rsidRDefault="00CC56D8" w:rsidP="00CC56D8">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2C50036C" w14:textId="77777777" w:rsidR="00CC56D8" w:rsidRDefault="00CC56D8" w:rsidP="00CC56D8">
      <w:pPr>
        <w:spacing w:line="360" w:lineRule="auto"/>
        <w:jc w:val="both"/>
        <w:rPr>
          <w:rFonts w:ascii="Palatino Linotype" w:hAnsi="Palatino Linotype"/>
          <w:b/>
          <w:sz w:val="28"/>
          <w:szCs w:val="28"/>
          <w:lang w:val="es-MX"/>
        </w:rPr>
      </w:pPr>
    </w:p>
    <w:p w14:paraId="14A01B48" w14:textId="77777777" w:rsidR="00CC56D8" w:rsidRDefault="00CC56D8" w:rsidP="00CC56D8">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14:paraId="5D4352D9" w14:textId="77777777" w:rsidR="00CC56D8" w:rsidRDefault="00CC56D8" w:rsidP="00CC56D8">
      <w:pPr>
        <w:spacing w:line="360" w:lineRule="auto"/>
        <w:jc w:val="both"/>
        <w:rPr>
          <w:rFonts w:ascii="Palatino Linotype" w:hAnsi="Palatino Linotype"/>
        </w:rPr>
      </w:pPr>
      <w:r w:rsidRPr="00F1796C">
        <w:rPr>
          <w:rFonts w:ascii="Palatino Linotype" w:hAnsi="Palatino Linotype"/>
        </w:rPr>
        <w:lastRenderedPageBreak/>
        <w:t>Como se advierte de las constancias del e</w:t>
      </w:r>
      <w:r>
        <w:rPr>
          <w:rFonts w:ascii="Palatino Linotype" w:hAnsi="Palatino Linotype"/>
        </w:rPr>
        <w:t>xpediente electrónico, en fecha veintisiete de octubre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7ACE49C9" w14:textId="77777777" w:rsidR="00CC56D8" w:rsidRDefault="00CC56D8" w:rsidP="00CC56D8">
      <w:pPr>
        <w:spacing w:line="360" w:lineRule="auto"/>
        <w:jc w:val="both"/>
        <w:rPr>
          <w:rFonts w:ascii="Palatino Linotype" w:hAnsi="Palatino Linotype"/>
        </w:rPr>
      </w:pPr>
    </w:p>
    <w:p w14:paraId="56F1A6FE" w14:textId="77777777" w:rsidR="00CC56D8" w:rsidRPr="00CC56D8" w:rsidRDefault="00CC56D8" w:rsidP="00CC56D8">
      <w:pPr>
        <w:spacing w:line="276" w:lineRule="auto"/>
        <w:ind w:left="567" w:right="616"/>
        <w:jc w:val="right"/>
        <w:rPr>
          <w:rFonts w:ascii="Palatino Linotype" w:hAnsi="Palatino Linotype"/>
          <w:bCs/>
          <w:i/>
          <w:sz w:val="22"/>
        </w:rPr>
      </w:pPr>
      <w:r w:rsidRPr="00157DDD">
        <w:rPr>
          <w:rFonts w:ascii="Palatino Linotype" w:hAnsi="Palatino Linotype"/>
          <w:bCs/>
          <w:i/>
          <w:sz w:val="22"/>
        </w:rPr>
        <w:t>“</w:t>
      </w:r>
      <w:r w:rsidRPr="00CC56D8">
        <w:rPr>
          <w:rFonts w:ascii="Palatino Linotype" w:hAnsi="Palatino Linotype"/>
          <w:bCs/>
          <w:i/>
          <w:sz w:val="22"/>
        </w:rPr>
        <w:t>Atizapán, México a 27 de Octubre de 2023</w:t>
      </w:r>
    </w:p>
    <w:p w14:paraId="0FA04B99" w14:textId="77777777" w:rsidR="00CC56D8" w:rsidRPr="00CC56D8" w:rsidRDefault="00CC56D8" w:rsidP="00CC56D8">
      <w:pPr>
        <w:spacing w:line="276" w:lineRule="auto"/>
        <w:ind w:left="567" w:right="616"/>
        <w:jc w:val="right"/>
        <w:rPr>
          <w:rFonts w:ascii="Palatino Linotype" w:hAnsi="Palatino Linotype"/>
          <w:bCs/>
          <w:i/>
          <w:sz w:val="22"/>
        </w:rPr>
      </w:pPr>
      <w:r w:rsidRPr="00CC56D8">
        <w:rPr>
          <w:rFonts w:ascii="Palatino Linotype" w:hAnsi="Palatino Linotype"/>
          <w:bCs/>
          <w:i/>
          <w:sz w:val="22"/>
        </w:rPr>
        <w:t>Nombre del solicitante: C. Solicitante</w:t>
      </w:r>
    </w:p>
    <w:p w14:paraId="1380E096" w14:textId="77777777" w:rsidR="00CC56D8" w:rsidRPr="00CC56D8" w:rsidRDefault="00CC56D8" w:rsidP="00CC56D8">
      <w:pPr>
        <w:spacing w:line="276" w:lineRule="auto"/>
        <w:ind w:left="567" w:right="616"/>
        <w:jc w:val="right"/>
        <w:rPr>
          <w:rFonts w:ascii="Palatino Linotype" w:hAnsi="Palatino Linotype"/>
          <w:bCs/>
          <w:i/>
          <w:sz w:val="22"/>
        </w:rPr>
      </w:pPr>
      <w:r w:rsidRPr="00CC56D8">
        <w:rPr>
          <w:rFonts w:ascii="Palatino Linotype" w:hAnsi="Palatino Linotype"/>
          <w:bCs/>
          <w:i/>
          <w:sz w:val="22"/>
        </w:rPr>
        <w:t>Folio de la solicitud: 00132/ATIZAPAN/IP/2023</w:t>
      </w:r>
    </w:p>
    <w:p w14:paraId="52349037" w14:textId="77777777" w:rsidR="00CC56D8" w:rsidRPr="00CC56D8" w:rsidRDefault="00CC56D8" w:rsidP="00CC56D8">
      <w:pPr>
        <w:spacing w:line="276" w:lineRule="auto"/>
        <w:ind w:left="567" w:right="616"/>
        <w:jc w:val="both"/>
        <w:rPr>
          <w:rFonts w:ascii="Palatino Linotype" w:hAnsi="Palatino Linotype"/>
          <w:bCs/>
          <w:i/>
          <w:sz w:val="22"/>
        </w:rPr>
      </w:pPr>
      <w:r w:rsidRPr="00CC56D8">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8D70E3" w14:textId="77777777" w:rsidR="00CC56D8" w:rsidRPr="00CC56D8" w:rsidRDefault="00CC56D8" w:rsidP="00CC56D8">
      <w:pPr>
        <w:spacing w:line="276" w:lineRule="auto"/>
        <w:ind w:left="567" w:right="616"/>
        <w:jc w:val="both"/>
        <w:rPr>
          <w:rFonts w:ascii="Palatino Linotype" w:hAnsi="Palatino Linotype"/>
          <w:bCs/>
          <w:i/>
          <w:sz w:val="22"/>
        </w:rPr>
      </w:pPr>
      <w:r w:rsidRPr="00CC56D8">
        <w:rPr>
          <w:rFonts w:ascii="Palatino Linotype" w:hAnsi="Palatino Linotype"/>
          <w:bCs/>
          <w:i/>
          <w:sz w:val="22"/>
        </w:rPr>
        <w:t>Se hace entrega del documento maestro denominado "Atlas de Riesgo de Atizapán Santa Cruz 2023"</w:t>
      </w:r>
    </w:p>
    <w:p w14:paraId="5E308550" w14:textId="77777777" w:rsidR="00CC56D8" w:rsidRPr="00CC56D8" w:rsidRDefault="00CC56D8" w:rsidP="00CC56D8">
      <w:pPr>
        <w:spacing w:line="276" w:lineRule="auto"/>
        <w:ind w:left="567" w:right="616"/>
        <w:jc w:val="both"/>
        <w:rPr>
          <w:rFonts w:ascii="Palatino Linotype" w:hAnsi="Palatino Linotype"/>
          <w:bCs/>
          <w:i/>
          <w:sz w:val="22"/>
        </w:rPr>
      </w:pPr>
      <w:r w:rsidRPr="00CC56D8">
        <w:rPr>
          <w:rFonts w:ascii="Palatino Linotype" w:hAnsi="Palatino Linotype"/>
          <w:bCs/>
          <w:i/>
          <w:sz w:val="22"/>
        </w:rPr>
        <w:t>ATENTAMENTE</w:t>
      </w:r>
    </w:p>
    <w:p w14:paraId="06772788" w14:textId="77777777" w:rsidR="00CC56D8" w:rsidRPr="00157DDD" w:rsidRDefault="00CC56D8" w:rsidP="00CC56D8">
      <w:pPr>
        <w:spacing w:line="276" w:lineRule="auto"/>
        <w:ind w:left="567" w:right="616"/>
        <w:jc w:val="both"/>
        <w:rPr>
          <w:rFonts w:ascii="Palatino Linotype" w:hAnsi="Palatino Linotype"/>
          <w:bCs/>
          <w:i/>
          <w:sz w:val="22"/>
        </w:rPr>
      </w:pPr>
      <w:r w:rsidRPr="00CC56D8">
        <w:rPr>
          <w:rFonts w:ascii="Palatino Linotype" w:hAnsi="Palatino Linotype"/>
          <w:bCs/>
          <w:i/>
          <w:sz w:val="22"/>
        </w:rPr>
        <w:t>L. P. Ralph Bastida Muñoz</w:t>
      </w:r>
      <w:r>
        <w:rPr>
          <w:rFonts w:ascii="Palatino Linotype" w:hAnsi="Palatino Linotype"/>
          <w:bCs/>
          <w:i/>
          <w:sz w:val="22"/>
        </w:rPr>
        <w:t>”</w:t>
      </w:r>
    </w:p>
    <w:p w14:paraId="24343B3D" w14:textId="77777777" w:rsidR="00CC56D8" w:rsidRDefault="00CC56D8" w:rsidP="00CC56D8">
      <w:pPr>
        <w:spacing w:line="360" w:lineRule="auto"/>
        <w:jc w:val="both"/>
        <w:rPr>
          <w:rFonts w:ascii="Palatino Linotype" w:hAnsi="Palatino Linotype" w:cs="Arial"/>
        </w:rPr>
      </w:pPr>
    </w:p>
    <w:p w14:paraId="02D15ACC" w14:textId="77777777" w:rsidR="00CC56D8" w:rsidRDefault="00CC56D8" w:rsidP="00CC56D8">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0" w:name="_Hlk82038214"/>
      <w:r>
        <w:rPr>
          <w:rFonts w:ascii="Palatino Linotype" w:hAnsi="Palatino Linotype" w:cs="Arial"/>
        </w:rPr>
        <w:t>el</w:t>
      </w:r>
      <w:r w:rsidRPr="006F3258">
        <w:rPr>
          <w:rFonts w:ascii="Palatino Linotype" w:hAnsi="Palatino Linotype" w:cs="Arial"/>
        </w:rPr>
        <w:t xml:space="preserve"> archivo electrónico denominado </w:t>
      </w:r>
      <w:bookmarkEnd w:id="0"/>
      <w:r w:rsidRPr="0033050B">
        <w:rPr>
          <w:rFonts w:ascii="Palatino Linotype" w:hAnsi="Palatino Linotype" w:cs="Arial"/>
          <w:b/>
        </w:rPr>
        <w:t>“</w:t>
      </w:r>
      <w:r w:rsidRPr="00CC56D8">
        <w:rPr>
          <w:rFonts w:ascii="Palatino Linotype" w:hAnsi="Palatino Linotype" w:cs="Arial"/>
          <w:b/>
          <w:i/>
        </w:rPr>
        <w:t>15068_ARM_Atizapán Doc. Maestro 2023.pdf</w:t>
      </w:r>
      <w:r>
        <w:rPr>
          <w:rFonts w:ascii="Palatino Linotype" w:hAnsi="Palatino Linotype" w:cs="Arial"/>
          <w:b/>
          <w:i/>
        </w:rPr>
        <w:t>”</w:t>
      </w:r>
      <w:r w:rsidRPr="006F3258">
        <w:rPr>
          <w:rFonts w:ascii="Palatino Linotype" w:hAnsi="Palatino Linotype" w:cs="Arial"/>
        </w:rPr>
        <w:t xml:space="preserve">; mismo que no se reproduce por ser del conocimiento de las parte, sin embargo, será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3494EA19" w14:textId="77777777" w:rsidR="00CC56D8" w:rsidRDefault="00CC56D8" w:rsidP="00CC56D8">
      <w:pPr>
        <w:spacing w:line="360" w:lineRule="auto"/>
        <w:ind w:right="616"/>
        <w:jc w:val="both"/>
        <w:rPr>
          <w:rFonts w:ascii="Palatino Linotype" w:hAnsi="Palatino Linotype"/>
          <w:bCs/>
        </w:rPr>
      </w:pPr>
    </w:p>
    <w:p w14:paraId="4FE59E72" w14:textId="77777777" w:rsidR="00CC56D8" w:rsidRDefault="00CC56D8" w:rsidP="00CC56D8">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14:paraId="36FC5255" w14:textId="77777777" w:rsidR="00CC56D8" w:rsidRDefault="00CC56D8" w:rsidP="00CC56D8">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Pr>
          <w:rFonts w:ascii="Palatino Linotype" w:hAnsi="Palatino Linotype"/>
        </w:rPr>
        <w:t>ocho de noviembre de dos mil veintitrés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7815/INFOEM/IP/RR/2023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08EF5555" w14:textId="77777777" w:rsidR="00CC56D8" w:rsidRDefault="00CC56D8" w:rsidP="00CC56D8">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14:paraId="60A9582C" w14:textId="77777777" w:rsidR="00CC56D8" w:rsidRDefault="00CC56D8" w:rsidP="00CC56D8">
      <w:pPr>
        <w:pStyle w:val="INFOEM"/>
        <w:spacing w:line="240" w:lineRule="auto"/>
      </w:pPr>
      <w:r>
        <w:t>“</w:t>
      </w:r>
      <w:r w:rsidRPr="00CC56D8">
        <w:t>La respuesta</w:t>
      </w:r>
      <w:r>
        <w:t>” (Sic)</w:t>
      </w:r>
    </w:p>
    <w:p w14:paraId="5BA875F6" w14:textId="77777777" w:rsidR="00CC56D8" w:rsidRPr="00CA3287" w:rsidRDefault="00CC56D8" w:rsidP="00CC56D8">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lastRenderedPageBreak/>
        <w:t>M</w:t>
      </w:r>
      <w:r w:rsidRPr="00CA3287">
        <w:rPr>
          <w:rFonts w:ascii="Palatino Linotype" w:hAnsi="Palatino Linotype" w:cs="Arial"/>
          <w:b/>
        </w:rPr>
        <w:t>otivos o razones de inconformidad</w:t>
      </w:r>
      <w:r>
        <w:rPr>
          <w:rFonts w:ascii="Palatino Linotype" w:hAnsi="Palatino Linotype" w:cs="Arial"/>
        </w:rPr>
        <w:t>:</w:t>
      </w:r>
    </w:p>
    <w:p w14:paraId="68C2405F" w14:textId="77777777" w:rsidR="00CC56D8" w:rsidRDefault="00CC56D8" w:rsidP="00CC56D8">
      <w:pPr>
        <w:pStyle w:val="INFOEM"/>
      </w:pPr>
      <w:r>
        <w:rPr>
          <w:lang w:val="es-ES"/>
        </w:rPr>
        <w:t>“</w:t>
      </w:r>
      <w:r w:rsidRPr="00CC56D8">
        <w:rPr>
          <w:lang w:val="es-ES"/>
        </w:rPr>
        <w:t>Pedí 2022 y 2023, solo entregan uno que al parecer es de 2023</w:t>
      </w:r>
      <w:r w:rsidRPr="004D4906">
        <w:rPr>
          <w:lang w:val="es-ES"/>
        </w:rPr>
        <w:t>.</w:t>
      </w:r>
      <w:r>
        <w:rPr>
          <w:lang w:val="es-ES"/>
        </w:rPr>
        <w:t>” (Sic)</w:t>
      </w:r>
    </w:p>
    <w:p w14:paraId="7F2C6CD3" w14:textId="77777777" w:rsidR="00CC56D8" w:rsidRDefault="00CC56D8" w:rsidP="00CC56D8">
      <w:pPr>
        <w:spacing w:before="240" w:line="360" w:lineRule="auto"/>
        <w:jc w:val="both"/>
        <w:rPr>
          <w:rFonts w:ascii="Palatino Linotype" w:hAnsi="Palatino Linotype" w:cs="Arial"/>
          <w:b/>
          <w:sz w:val="28"/>
          <w:szCs w:val="22"/>
          <w:lang w:val="es-MX"/>
        </w:rPr>
      </w:pPr>
    </w:p>
    <w:p w14:paraId="6657E591" w14:textId="77777777" w:rsidR="00CC56D8" w:rsidRPr="002C3EC8" w:rsidRDefault="00CC56D8" w:rsidP="00CC56D8">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550EE2E3" w14:textId="77777777" w:rsidR="00CC56D8" w:rsidRPr="002C3EC8" w:rsidRDefault="00CC56D8" w:rsidP="00CC56D8">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Pr>
          <w:rFonts w:ascii="Palatino Linotype" w:hAnsi="Palatino Linotype"/>
          <w:b/>
        </w:rPr>
        <w:t>catorce de noviembre de dos mil veintitrés</w:t>
      </w:r>
      <w:r w:rsidRPr="002C3EC8">
        <w:rPr>
          <w:rFonts w:ascii="Palatino Linotype" w:hAnsi="Palatino Linotype"/>
        </w:rPr>
        <w:t>, determinándose en ellos, un plazo de siete días para que las partes manifestaran lo que a su derecho corresponda en términos del numeral ya citado.</w:t>
      </w:r>
    </w:p>
    <w:p w14:paraId="3722F7EE" w14:textId="77777777" w:rsidR="00CC56D8" w:rsidRDefault="00CC56D8" w:rsidP="00CC56D8">
      <w:pPr>
        <w:spacing w:line="360" w:lineRule="auto"/>
        <w:ind w:right="49"/>
        <w:jc w:val="both"/>
        <w:rPr>
          <w:rFonts w:ascii="Palatino Linotype" w:hAnsi="Palatino Linotype" w:cs="Arial"/>
          <w:lang w:val="es-ES_tradnl"/>
        </w:rPr>
      </w:pPr>
    </w:p>
    <w:p w14:paraId="538E3AA7" w14:textId="77777777" w:rsidR="00CC56D8" w:rsidRPr="002C5D52" w:rsidRDefault="00CC56D8" w:rsidP="00CC56D8">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126D06AA" w14:textId="77777777" w:rsidR="00CC56D8" w:rsidRPr="00DD3A8A" w:rsidRDefault="00CC56D8" w:rsidP="00CC56D8">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sus informes justificados.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7BA5741B" w14:textId="77777777" w:rsidR="00CC56D8" w:rsidRPr="00DD3A8A" w:rsidRDefault="00CC56D8" w:rsidP="00CC56D8">
      <w:pPr>
        <w:spacing w:line="360" w:lineRule="auto"/>
        <w:rPr>
          <w:rFonts w:ascii="Palatino Linotype" w:hAnsi="Palatino Linotype" w:cs="Arial"/>
        </w:rPr>
      </w:pPr>
    </w:p>
    <w:p w14:paraId="15643389" w14:textId="77777777" w:rsidR="00CC56D8" w:rsidRPr="00DD3A8A" w:rsidRDefault="00CC56D8" w:rsidP="00CC56D8">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4019CED5" w14:textId="77777777" w:rsidR="00CC56D8" w:rsidRDefault="00CC56D8" w:rsidP="00CC56D8">
      <w:pPr>
        <w:spacing w:line="360" w:lineRule="auto"/>
        <w:jc w:val="both"/>
        <w:rPr>
          <w:rFonts w:ascii="Palatino Linotype" w:eastAsia="Calibri" w:hAnsi="Palatino Linotype" w:cs="Arial"/>
          <w:b/>
          <w:sz w:val="28"/>
          <w:szCs w:val="28"/>
          <w:lang w:val="es-MX" w:eastAsia="en-US"/>
        </w:rPr>
      </w:pPr>
    </w:p>
    <w:p w14:paraId="3920A6D5" w14:textId="77777777" w:rsidR="00CC56D8" w:rsidRDefault="00CC56D8" w:rsidP="00CC56D8">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14:paraId="34AD10F9" w14:textId="77777777" w:rsidR="00CC56D8" w:rsidRDefault="00CC56D8" w:rsidP="00CC56D8">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Pr>
          <w:rFonts w:ascii="Palatino Linotype" w:eastAsia="Calibri" w:hAnsi="Palatino Linotype" w:cs="Arial"/>
          <w:b/>
          <w:lang w:val="es-MX" w:eastAsia="en-US"/>
        </w:rPr>
        <w:t>veintisiete de noviembre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6E70E0E5" w14:textId="77777777" w:rsidR="00CC56D8" w:rsidRDefault="00CC56D8" w:rsidP="00CC56D8">
      <w:pPr>
        <w:spacing w:line="360" w:lineRule="auto"/>
        <w:jc w:val="both"/>
        <w:rPr>
          <w:rFonts w:ascii="Palatino Linotype" w:eastAsia="Calibri" w:hAnsi="Palatino Linotype" w:cs="Arial"/>
          <w:lang w:val="es-MX" w:eastAsia="en-US"/>
        </w:rPr>
      </w:pPr>
    </w:p>
    <w:p w14:paraId="7B70931F" w14:textId="77777777" w:rsidR="00CC56D8" w:rsidRPr="00E3454E" w:rsidRDefault="00CC56D8" w:rsidP="00CC56D8">
      <w:pPr>
        <w:spacing w:line="360" w:lineRule="auto"/>
        <w:jc w:val="both"/>
        <w:rPr>
          <w:rFonts w:ascii="Palatino Linotype" w:eastAsia="Calibri" w:hAnsi="Palatino Linotype" w:cs="Arial"/>
          <w:lang w:val="es-MX" w:eastAsia="en-US"/>
        </w:rPr>
      </w:pPr>
    </w:p>
    <w:p w14:paraId="28C8F5B0" w14:textId="77777777" w:rsidR="00CC56D8" w:rsidRPr="0024200F" w:rsidRDefault="00CC56D8" w:rsidP="00CC56D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0862A4B" w14:textId="77777777" w:rsidR="00CC56D8" w:rsidRPr="00825F67" w:rsidRDefault="00CC56D8" w:rsidP="00CC56D8">
      <w:pPr>
        <w:spacing w:line="360" w:lineRule="auto"/>
        <w:ind w:right="49"/>
        <w:jc w:val="both"/>
        <w:rPr>
          <w:rFonts w:ascii="Palatino Linotype" w:hAnsi="Palatino Linotype"/>
          <w:szCs w:val="28"/>
        </w:rPr>
      </w:pPr>
    </w:p>
    <w:p w14:paraId="7611526A" w14:textId="77777777" w:rsidR="00CC56D8" w:rsidRPr="00FB3150" w:rsidRDefault="00CC56D8" w:rsidP="00CC56D8">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11939E2D" w14:textId="77777777" w:rsidR="00CC56D8" w:rsidRPr="002C3EC8" w:rsidRDefault="00CC56D8" w:rsidP="00CC56D8">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6, apartado A, fracción IV de la Constitución Política de los Estados Unidos Mexicanos; 5, párrafos trigésimo segundo</w:t>
      </w:r>
      <w:r>
        <w:rPr>
          <w:rFonts w:ascii="Palatino Linotype" w:eastAsia="Calibri" w:hAnsi="Palatino Linotype"/>
          <w:color w:val="000000" w:themeColor="text1"/>
        </w:rPr>
        <w:t xml:space="preserve"> y </w:t>
      </w:r>
      <w:r w:rsidRPr="002C3EC8">
        <w:rPr>
          <w:rFonts w:ascii="Palatino Linotype" w:eastAsia="Calibri" w:hAnsi="Palatino Linotype"/>
          <w:color w:val="000000" w:themeColor="text1"/>
        </w:rPr>
        <w:t>trigésimo</w:t>
      </w:r>
      <w:r>
        <w:rPr>
          <w:rFonts w:ascii="Palatino Linotype" w:eastAsia="Calibri" w:hAnsi="Palatino Linotype"/>
          <w:color w:val="000000" w:themeColor="text1"/>
        </w:rPr>
        <w:t xml:space="preserve"> tercero</w:t>
      </w:r>
      <w:r w:rsidRPr="002C3EC8">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 xml:space="preserve">de la Ley de Transparencia y Acceso a la Información Pública del Estado de México y Municipios; </w:t>
      </w:r>
      <w:r>
        <w:rPr>
          <w:rFonts w:ascii="Palatino Linotype" w:eastAsia="Calibri" w:hAnsi="Palatino Linotype" w:cs="Arial"/>
          <w:color w:val="000000" w:themeColor="text1"/>
        </w:rPr>
        <w:t>6, 9 fracciones I y XXIII</w:t>
      </w:r>
      <w:r w:rsidRPr="002C3EC8">
        <w:rPr>
          <w:rFonts w:ascii="Palatino Linotype" w:eastAsia="Calibri" w:hAnsi="Palatino Linotype" w:cs="Arial"/>
          <w:color w:val="000000" w:themeColor="text1"/>
        </w:rPr>
        <w:t xml:space="preserve">, y 11 del Reglamento Interior del </w:t>
      </w:r>
      <w:r w:rsidRPr="002C3EC8">
        <w:rPr>
          <w:rFonts w:ascii="Palatino Linotype" w:eastAsia="Calibri" w:hAnsi="Palatino Linotype" w:cs="Arial"/>
          <w:color w:val="000000" w:themeColor="text1"/>
        </w:rPr>
        <w:lastRenderedPageBreak/>
        <w:t>Instituto de Transparencia, Acceso a la Información Pública y Protección de Datos Personales del Estado de México y Municipios.</w:t>
      </w:r>
    </w:p>
    <w:p w14:paraId="6727ECF3" w14:textId="77777777" w:rsidR="00CC56D8" w:rsidRPr="002C3EC8" w:rsidRDefault="00CC56D8" w:rsidP="00CC56D8">
      <w:pPr>
        <w:spacing w:before="240" w:line="360" w:lineRule="auto"/>
        <w:jc w:val="both"/>
        <w:rPr>
          <w:rFonts w:ascii="Palatino Linotype" w:eastAsia="Calibri" w:hAnsi="Palatino Linotype"/>
          <w:b/>
          <w:color w:val="000000" w:themeColor="text1"/>
        </w:rPr>
      </w:pPr>
    </w:p>
    <w:p w14:paraId="01BA26DC" w14:textId="77777777" w:rsidR="00CC56D8" w:rsidRPr="002C3EC8" w:rsidRDefault="00CC56D8" w:rsidP="00CC56D8">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D716DB5" w14:textId="77777777" w:rsidR="00CC56D8" w:rsidRPr="00207E23" w:rsidRDefault="00CC56D8" w:rsidP="00CC56D8">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38AA3E7" w14:textId="77777777" w:rsidR="00CC56D8" w:rsidRPr="00821CCD" w:rsidRDefault="00CC56D8" w:rsidP="00CC56D8">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8BEBC05" w14:textId="77777777" w:rsidR="00CC56D8" w:rsidRPr="00821CCD" w:rsidRDefault="00CC56D8" w:rsidP="00CC56D8">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83FE342" w14:textId="77777777" w:rsidR="00CC56D8" w:rsidRPr="00821CCD" w:rsidRDefault="00CC56D8" w:rsidP="00CC56D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5FE33D8" w14:textId="77777777" w:rsidR="00CC56D8" w:rsidRPr="00821CCD" w:rsidRDefault="00CC56D8" w:rsidP="00CC56D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7417A947" w14:textId="77777777" w:rsidR="00CC56D8" w:rsidRPr="00821CCD" w:rsidRDefault="00CC56D8" w:rsidP="00CC56D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AC5F164" w14:textId="77777777" w:rsidR="00CC56D8" w:rsidRPr="00821CCD" w:rsidRDefault="00CC56D8" w:rsidP="00CC56D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6CA790C" w14:textId="77777777" w:rsidR="00CC56D8" w:rsidRPr="00821CCD" w:rsidRDefault="00CC56D8" w:rsidP="00CC56D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0929488" w14:textId="77777777" w:rsidR="00CC56D8" w:rsidRPr="00821CCD" w:rsidRDefault="00CC56D8" w:rsidP="00CC56D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lastRenderedPageBreak/>
        <w:t>VI. Las razones o motivos de inconformidad;</w:t>
      </w:r>
    </w:p>
    <w:p w14:paraId="5258F0B5" w14:textId="77777777" w:rsidR="00CC56D8" w:rsidRPr="00821CCD" w:rsidRDefault="00CC56D8" w:rsidP="00CC56D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39173EA6" w14:textId="77777777" w:rsidR="00CC56D8" w:rsidRPr="00821CCD" w:rsidRDefault="00CC56D8" w:rsidP="00CC56D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BCB398D" w14:textId="77777777" w:rsidR="00CC56D8" w:rsidRPr="00821CCD" w:rsidRDefault="00CC56D8" w:rsidP="00CC56D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4E6BA87E" w14:textId="77777777" w:rsidR="00CC56D8" w:rsidRPr="00821CCD" w:rsidRDefault="00CC56D8" w:rsidP="00CC56D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132BD48D" w14:textId="77777777" w:rsidR="00CC56D8" w:rsidRPr="00821CCD" w:rsidRDefault="00CC56D8" w:rsidP="00CC56D8">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385D27B" w14:textId="77777777" w:rsidR="00CC56D8" w:rsidRPr="00821CCD" w:rsidRDefault="00CC56D8" w:rsidP="00CC56D8">
      <w:pPr>
        <w:autoSpaceDE w:val="0"/>
        <w:autoSpaceDN w:val="0"/>
        <w:adjustRightInd w:val="0"/>
        <w:spacing w:before="240" w:line="360" w:lineRule="auto"/>
        <w:jc w:val="both"/>
        <w:rPr>
          <w:rFonts w:ascii="Palatino Linotype" w:hAnsi="Palatino Linotype"/>
        </w:rPr>
      </w:pPr>
    </w:p>
    <w:p w14:paraId="0FE88770" w14:textId="77777777" w:rsidR="00CC56D8" w:rsidRPr="00821CCD" w:rsidRDefault="00CC56D8" w:rsidP="00CC56D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CC56D8" w:rsidRPr="00821CCD" w14:paraId="36E14E44" w14:textId="77777777" w:rsidTr="00A65809">
        <w:trPr>
          <w:trHeight w:val="1360"/>
        </w:trPr>
        <w:tc>
          <w:tcPr>
            <w:tcW w:w="7982" w:type="dxa"/>
          </w:tcPr>
          <w:p w14:paraId="66A0837D"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C846A34" w14:textId="77777777" w:rsidR="00CC56D8" w:rsidRPr="00821CCD" w:rsidRDefault="00CC56D8" w:rsidP="00CC56D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CC56D8" w:rsidRPr="00821CCD" w14:paraId="575DE810" w14:textId="77777777" w:rsidTr="00A65809">
        <w:trPr>
          <w:jc w:val="center"/>
        </w:trPr>
        <w:tc>
          <w:tcPr>
            <w:tcW w:w="8075" w:type="dxa"/>
          </w:tcPr>
          <w:p w14:paraId="7EEB557B" w14:textId="77777777" w:rsidR="00CC56D8" w:rsidRPr="00821CCD" w:rsidRDefault="00CC56D8" w:rsidP="00A6580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53B54FC"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038006A"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2F74DD8B"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163DADD"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ED0210E" w14:textId="77777777" w:rsidR="00CC56D8" w:rsidRPr="00821CCD" w:rsidRDefault="00CC56D8" w:rsidP="00A6580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1910EF1" w14:textId="77777777" w:rsidR="00CC56D8" w:rsidRPr="00821CCD" w:rsidRDefault="00CC56D8" w:rsidP="00A6580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4F7333A" w14:textId="77777777" w:rsidR="00CC56D8" w:rsidRPr="00821CCD" w:rsidRDefault="00CC56D8" w:rsidP="00A6580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A7525B0"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B33C72C"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0C6CD51B"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638127F"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02A79FC"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2896AF4F"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7D03FCB"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4B2C1D45" w14:textId="77777777" w:rsidR="00CC56D8" w:rsidRPr="00821CCD" w:rsidRDefault="00CC56D8" w:rsidP="00A6580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66BC7B0" w14:textId="77777777" w:rsidR="00CC56D8" w:rsidRPr="00821CCD" w:rsidRDefault="00CC56D8" w:rsidP="00A6580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1FD8B329" w14:textId="77777777" w:rsidR="00CC56D8" w:rsidRPr="00821CCD" w:rsidRDefault="00CC56D8" w:rsidP="00A6580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89C822E" w14:textId="77777777" w:rsidR="00CC56D8" w:rsidRPr="00821CCD" w:rsidRDefault="00CC56D8" w:rsidP="00CC56D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373B0CC8" w14:textId="77777777" w:rsidR="00CC56D8" w:rsidRPr="00821CCD" w:rsidRDefault="00CC56D8" w:rsidP="00CC56D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En conclusión, se cubrieron los requisitos de procedencia y procedibilidad y conforme a las constancias que obran en el expediente.</w:t>
      </w:r>
    </w:p>
    <w:p w14:paraId="6F6627F9" w14:textId="77777777" w:rsidR="00CC56D8" w:rsidRDefault="00CC56D8" w:rsidP="00CC56D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D187B0F" w14:textId="77777777" w:rsidR="00CC56D8" w:rsidRPr="002C3EC8" w:rsidRDefault="00CC56D8" w:rsidP="00CC56D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6F35D52C" w14:textId="77777777" w:rsidR="00CC56D8" w:rsidRPr="002C3EC8" w:rsidRDefault="00CC56D8" w:rsidP="00CC56D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3FFA4F" w14:textId="77777777" w:rsidR="00CC56D8" w:rsidRPr="002C3EC8" w:rsidRDefault="00CC56D8" w:rsidP="00CC56D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54729652" w14:textId="77777777" w:rsidR="00CC56D8" w:rsidRDefault="00CC56D8" w:rsidP="00CC56D8">
      <w:pPr>
        <w:tabs>
          <w:tab w:val="left" w:pos="709"/>
        </w:tabs>
        <w:spacing w:before="240" w:line="360" w:lineRule="auto"/>
        <w:ind w:right="51"/>
        <w:jc w:val="both"/>
        <w:rPr>
          <w:rFonts w:ascii="Palatino Linotype" w:hAnsi="Palatino Linotype"/>
          <w:b/>
          <w:sz w:val="28"/>
          <w:szCs w:val="28"/>
        </w:rPr>
      </w:pPr>
    </w:p>
    <w:p w14:paraId="4AFD97BD" w14:textId="77777777" w:rsidR="00CC56D8" w:rsidRPr="002C3EC8" w:rsidRDefault="00CC56D8" w:rsidP="00CC56D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DB3003A" w14:textId="77777777" w:rsidR="00CC56D8" w:rsidRDefault="00CC56D8" w:rsidP="00CC56D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71CB7B7" w14:textId="77777777" w:rsidR="00CC56D8" w:rsidRDefault="00CC56D8" w:rsidP="00CC56D8">
      <w:pPr>
        <w:autoSpaceDE w:val="0"/>
        <w:autoSpaceDN w:val="0"/>
        <w:adjustRightInd w:val="0"/>
        <w:ind w:left="567" w:right="567"/>
        <w:jc w:val="right"/>
        <w:rPr>
          <w:rFonts w:ascii="Palatino Linotype" w:eastAsia="Calibri" w:hAnsi="Palatino Linotype" w:cs="Arial"/>
        </w:rPr>
      </w:pPr>
    </w:p>
    <w:p w14:paraId="03C0D10F" w14:textId="77777777" w:rsidR="00CC56D8" w:rsidRPr="00A779C7" w:rsidRDefault="00CC56D8" w:rsidP="00CC56D8">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1720DD4E" w14:textId="77777777" w:rsidR="00CC56D8" w:rsidRDefault="00CC56D8" w:rsidP="00CC56D8">
      <w:pPr>
        <w:tabs>
          <w:tab w:val="left" w:pos="1828"/>
        </w:tabs>
        <w:spacing w:line="360" w:lineRule="auto"/>
        <w:jc w:val="both"/>
        <w:rPr>
          <w:rFonts w:ascii="Palatino Linotype" w:hAnsi="Palatino Linotype" w:cs="Tahoma"/>
          <w:bCs/>
        </w:rPr>
      </w:pPr>
    </w:p>
    <w:p w14:paraId="62D6BD4B" w14:textId="77777777" w:rsidR="00CC56D8" w:rsidRPr="00C45EC2" w:rsidRDefault="00CC56D8" w:rsidP="00CC56D8">
      <w:pPr>
        <w:pStyle w:val="Prrafodelista"/>
        <w:numPr>
          <w:ilvl w:val="0"/>
          <w:numId w:val="6"/>
        </w:numPr>
        <w:spacing w:before="240" w:line="360" w:lineRule="auto"/>
        <w:jc w:val="both"/>
        <w:rPr>
          <w:rFonts w:ascii="Palatino Linotype" w:hAnsi="Palatino Linotype" w:cs="Tahoma"/>
          <w:bCs/>
        </w:rPr>
      </w:pPr>
      <w:r w:rsidRPr="00C45EC2">
        <w:rPr>
          <w:rFonts w:ascii="Palatino Linotype" w:hAnsi="Palatino Linotype" w:cs="Tahoma"/>
          <w:bCs/>
        </w:rPr>
        <w:lastRenderedPageBreak/>
        <w:t>Atlas de Riesgos</w:t>
      </w:r>
      <w:r>
        <w:rPr>
          <w:rFonts w:ascii="Palatino Linotype" w:hAnsi="Palatino Linotype" w:cs="Tahoma"/>
          <w:bCs/>
        </w:rPr>
        <w:t xml:space="preserve"> de:</w:t>
      </w:r>
    </w:p>
    <w:p w14:paraId="6328DCC8" w14:textId="77777777" w:rsidR="00CC56D8" w:rsidRDefault="00CC56D8" w:rsidP="00CC56D8">
      <w:pPr>
        <w:pStyle w:val="Prrafodelista"/>
        <w:numPr>
          <w:ilvl w:val="0"/>
          <w:numId w:val="2"/>
        </w:numPr>
        <w:spacing w:before="240" w:line="360" w:lineRule="auto"/>
        <w:jc w:val="both"/>
        <w:rPr>
          <w:rFonts w:ascii="Palatino Linotype" w:hAnsi="Palatino Linotype" w:cs="Tahoma"/>
          <w:bCs/>
        </w:rPr>
      </w:pPr>
      <w:r>
        <w:rPr>
          <w:rFonts w:ascii="Palatino Linotype" w:hAnsi="Palatino Linotype" w:cs="Tahoma"/>
          <w:bCs/>
        </w:rPr>
        <w:t xml:space="preserve">2022 </w:t>
      </w:r>
    </w:p>
    <w:p w14:paraId="31AACC22" w14:textId="77777777" w:rsidR="00CC56D8" w:rsidRDefault="00CC56D8" w:rsidP="00CC56D8">
      <w:pPr>
        <w:pStyle w:val="Prrafodelista"/>
        <w:numPr>
          <w:ilvl w:val="0"/>
          <w:numId w:val="2"/>
        </w:numPr>
        <w:spacing w:before="240" w:line="360" w:lineRule="auto"/>
        <w:jc w:val="both"/>
        <w:rPr>
          <w:rFonts w:ascii="Palatino Linotype" w:hAnsi="Palatino Linotype" w:cs="Tahoma"/>
          <w:bCs/>
        </w:rPr>
      </w:pPr>
      <w:r>
        <w:rPr>
          <w:rFonts w:ascii="Palatino Linotype" w:hAnsi="Palatino Linotype" w:cs="Tahoma"/>
          <w:bCs/>
        </w:rPr>
        <w:t>2023</w:t>
      </w:r>
      <w:r w:rsidRPr="00C45EC2">
        <w:rPr>
          <w:rFonts w:ascii="Palatino Linotype" w:hAnsi="Palatino Linotype" w:cs="Tahoma"/>
          <w:bCs/>
        </w:rPr>
        <w:t xml:space="preserve"> </w:t>
      </w:r>
    </w:p>
    <w:p w14:paraId="00660847" w14:textId="77777777" w:rsidR="00CC56D8" w:rsidRPr="001106D5" w:rsidRDefault="00CC56D8" w:rsidP="00CC56D8">
      <w:pPr>
        <w:spacing w:before="240" w:line="360" w:lineRule="auto"/>
        <w:jc w:val="both"/>
        <w:rPr>
          <w:rFonts w:ascii="Palatino Linotype" w:hAnsi="Palatino Linotype" w:cs="Arial"/>
          <w:b/>
        </w:rPr>
      </w:pPr>
      <w:r w:rsidRPr="00D65BFF">
        <w:rPr>
          <w:rFonts w:ascii="Palatino Linotype" w:hAnsi="Palatino Linotype" w:cs="Arial"/>
        </w:rPr>
        <w:t xml:space="preserve">De conformidad con las constancias que obran en el expediente electrónico, se observa que el </w:t>
      </w:r>
      <w:r w:rsidRPr="00D65BFF">
        <w:rPr>
          <w:rFonts w:ascii="Palatino Linotype" w:hAnsi="Palatino Linotype" w:cs="Arial"/>
          <w:b/>
        </w:rPr>
        <w:t>Sujeto</w:t>
      </w:r>
      <w:r w:rsidRPr="001106D5">
        <w:rPr>
          <w:rFonts w:ascii="Palatino Linotype" w:hAnsi="Palatino Linotype" w:cs="Arial"/>
          <w:b/>
        </w:rPr>
        <w:t xml:space="preserve">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00132/ATIZAPAN/IP/2023</w:t>
      </w:r>
      <w:r w:rsidRPr="001106D5">
        <w:rPr>
          <w:rFonts w:ascii="Palatino Linotype" w:hAnsi="Palatino Linotype" w:cs="Arial"/>
          <w:b/>
        </w:rPr>
        <w:t xml:space="preserve">; </w:t>
      </w:r>
      <w:r>
        <w:rPr>
          <w:rFonts w:ascii="Palatino Linotype" w:hAnsi="Palatino Linotype" w:cs="Arial"/>
        </w:rPr>
        <w:t xml:space="preserve">para la cual adjuntó los </w:t>
      </w:r>
      <w:r w:rsidRPr="001106D5">
        <w:rPr>
          <w:rFonts w:ascii="Palatino Linotype" w:hAnsi="Palatino Linotype" w:cs="Arial"/>
        </w:rPr>
        <w:t>archivos electrónicos que a continuación se describe</w:t>
      </w:r>
      <w:r>
        <w:rPr>
          <w:rFonts w:ascii="Palatino Linotype" w:hAnsi="Palatino Linotype" w:cs="Arial"/>
        </w:rPr>
        <w:t>n</w:t>
      </w:r>
      <w:r w:rsidRPr="001106D5">
        <w:rPr>
          <w:rFonts w:ascii="Palatino Linotype" w:hAnsi="Palatino Linotype" w:cs="Arial"/>
          <w:b/>
        </w:rPr>
        <w:t>:</w:t>
      </w:r>
    </w:p>
    <w:p w14:paraId="655829B0" w14:textId="77777777" w:rsidR="00CC56D8" w:rsidRDefault="00CC56D8" w:rsidP="00CC56D8">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024430FD" w14:textId="77777777" w:rsidR="00CC56D8" w:rsidRPr="00F66BD9" w:rsidRDefault="00CC56D8" w:rsidP="00CC56D8">
      <w:pPr>
        <w:pStyle w:val="Prrafodelista"/>
        <w:numPr>
          <w:ilvl w:val="0"/>
          <w:numId w:val="3"/>
        </w:numPr>
        <w:pBdr>
          <w:top w:val="nil"/>
          <w:left w:val="nil"/>
          <w:bottom w:val="nil"/>
          <w:right w:val="nil"/>
          <w:between w:val="nil"/>
        </w:pBdr>
        <w:spacing w:line="360" w:lineRule="auto"/>
        <w:contextualSpacing/>
        <w:jc w:val="both"/>
        <w:rPr>
          <w:rFonts w:ascii="Palatino Linotype" w:hAnsi="Palatino Linotype"/>
          <w:b/>
          <w:i/>
        </w:rPr>
      </w:pPr>
      <w:r w:rsidRPr="00CC56D8">
        <w:rPr>
          <w:rFonts w:ascii="Palatino Linotype" w:hAnsi="Palatino Linotype"/>
          <w:b/>
          <w:i/>
        </w:rPr>
        <w:t>15068_ARM_Atizapán Doc. Maestro 2023.pdf</w:t>
      </w:r>
      <w:r>
        <w:rPr>
          <w:rFonts w:ascii="Palatino Linotype" w:hAnsi="Palatino Linotype"/>
          <w:b/>
          <w:i/>
        </w:rPr>
        <w:t xml:space="preserve">: </w:t>
      </w:r>
      <w:r>
        <w:rPr>
          <w:rFonts w:ascii="Palatino Linotype" w:hAnsi="Palatino Linotype"/>
        </w:rPr>
        <w:t>constante de ciento noventa fojas, en formato PDF, mismo que contiene el Atlas de Riesgos Zinacantepec, Estado de México 2023.</w:t>
      </w:r>
    </w:p>
    <w:p w14:paraId="0D1818EE" w14:textId="77777777" w:rsidR="00CC56D8" w:rsidRDefault="00CC56D8" w:rsidP="00CC56D8">
      <w:pPr>
        <w:pStyle w:val="Sinespaciado"/>
        <w:spacing w:before="240" w:line="360" w:lineRule="auto"/>
        <w:ind w:left="720"/>
        <w:rPr>
          <w:rFonts w:ascii="Palatino Linotype" w:hAnsi="Palatino Linotype" w:cs="Arial"/>
          <w:b/>
          <w:sz w:val="24"/>
        </w:rPr>
      </w:pPr>
    </w:p>
    <w:p w14:paraId="70810CB8" w14:textId="77777777" w:rsidR="00CC56D8" w:rsidRDefault="00CC56D8" w:rsidP="00CC56D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42AE4">
        <w:rPr>
          <w:rFonts w:ascii="Palatino Linotype" w:eastAsia="Palatino Linotype" w:hAnsi="Palatino Linotype" w:cs="Palatino Linotype"/>
          <w:color w:val="000000"/>
        </w:rPr>
        <w:t xml:space="preserve">Ante las respuestas emitidas por el </w:t>
      </w:r>
      <w:r w:rsidRPr="00B72FD2">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w:t>
      </w:r>
      <w:r w:rsidRPr="00142AE4">
        <w:rPr>
          <w:rFonts w:ascii="Palatino Linotype" w:eastAsia="Palatino Linotype" w:hAnsi="Palatino Linotype" w:cs="Palatino Linotype"/>
          <w:color w:val="000000"/>
        </w:rPr>
        <w:t xml:space="preserve"> </w:t>
      </w:r>
      <w:r w:rsidRPr="00B72FD2">
        <w:rPr>
          <w:rFonts w:ascii="Palatino Linotype" w:eastAsia="Palatino Linotype" w:hAnsi="Palatino Linotype" w:cs="Palatino Linotype"/>
          <w:b/>
          <w:color w:val="000000"/>
        </w:rPr>
        <w:t>Recurrente</w:t>
      </w:r>
      <w:r w:rsidRPr="00142AE4">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Pr="00CC56D8">
        <w:rPr>
          <w:rFonts w:ascii="Palatino Linotype" w:hAnsi="Palatino Linotype"/>
          <w:i/>
        </w:rPr>
        <w:t>Pedí 2022 y 2023, solo entregan uno que al parecer es de 2023</w:t>
      </w:r>
      <w:r w:rsidRPr="00142AE4">
        <w:rPr>
          <w:rFonts w:ascii="Palatino Linotype" w:hAnsi="Palatino Linotype"/>
          <w:i/>
        </w:rPr>
        <w:t>” (Sic)</w:t>
      </w:r>
      <w:r w:rsidRPr="00142AE4">
        <w:rPr>
          <w:rFonts w:ascii="Palatino Linotype" w:hAnsi="Palatino Linotype" w:cs="Arial"/>
          <w:bCs/>
        </w:rPr>
        <w:t xml:space="preserve">. </w:t>
      </w:r>
    </w:p>
    <w:p w14:paraId="21D1F0C3" w14:textId="77777777" w:rsidR="00CC56D8" w:rsidRDefault="00CC56D8" w:rsidP="00CC56D8">
      <w:pPr>
        <w:pStyle w:val="Sinespaciado"/>
        <w:spacing w:line="360" w:lineRule="auto"/>
        <w:jc w:val="both"/>
        <w:rPr>
          <w:rFonts w:ascii="Palatino Linotype" w:hAnsi="Palatino Linotype" w:cs="Arial"/>
        </w:rPr>
      </w:pPr>
    </w:p>
    <w:p w14:paraId="0E0E3233" w14:textId="77777777" w:rsidR="00CC56D8" w:rsidRPr="004F49F2" w:rsidRDefault="00CC56D8" w:rsidP="00CC56D8">
      <w:pPr>
        <w:tabs>
          <w:tab w:val="left" w:pos="8789"/>
        </w:tabs>
        <w:spacing w:line="360" w:lineRule="auto"/>
        <w:ind w:right="49"/>
        <w:jc w:val="both"/>
        <w:rPr>
          <w:rFonts w:ascii="Palatino Linotype" w:hAnsi="Palatino Linotype"/>
          <w:i/>
        </w:rPr>
      </w:pPr>
      <w:r>
        <w:rPr>
          <w:rFonts w:ascii="Palatino Linotype" w:hAnsi="Palatino Linotype"/>
        </w:rPr>
        <w:t xml:space="preserve"> </w:t>
      </w:r>
      <w:r w:rsidRPr="006765FC">
        <w:rPr>
          <w:rFonts w:ascii="Palatino Linotype" w:eastAsia="Palatino Linotype" w:hAnsi="Palatino Linotype" w:cs="Palatino Linotype"/>
        </w:rPr>
        <w:t>En primer lugar, es de señalar que de los motivos de inconformidad en cita se aprecia que el particular</w:t>
      </w:r>
      <w:r>
        <w:rPr>
          <w:rFonts w:ascii="Palatino Linotype" w:eastAsia="Palatino Linotype" w:hAnsi="Palatino Linotype" w:cs="Palatino Linotype"/>
        </w:rPr>
        <w:t xml:space="preserve"> únicamente se inconforma sobre la falta de entrega del Atlas de Riesgo de 2022,</w:t>
      </w:r>
      <w:r w:rsidRPr="006765FC">
        <w:rPr>
          <w:rFonts w:ascii="Palatino Linotype" w:eastAsia="Palatino Linotype" w:hAnsi="Palatino Linotype" w:cs="Palatino Linotype"/>
        </w:rPr>
        <w:t xml:space="preserve"> sin que se aprecie</w:t>
      </w:r>
      <w:r>
        <w:rPr>
          <w:rFonts w:ascii="Palatino Linotype" w:eastAsia="Palatino Linotype" w:hAnsi="Palatino Linotype" w:cs="Palatino Linotype"/>
        </w:rPr>
        <w:t xml:space="preserve"> inconformidad alguna respecto del Atlas de Riesgo 2023.</w:t>
      </w:r>
    </w:p>
    <w:p w14:paraId="51A87B55" w14:textId="77777777" w:rsidR="00CC56D8" w:rsidRPr="006765FC" w:rsidRDefault="00CC56D8" w:rsidP="00CC56D8">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14:paraId="47905D8C" w14:textId="77777777" w:rsidR="00CC56D8" w:rsidRPr="006765FC" w:rsidRDefault="00CC56D8" w:rsidP="00CC56D8">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8618C65" w14:textId="77777777" w:rsidR="00CC56D8" w:rsidRPr="006765FC" w:rsidRDefault="00CC56D8" w:rsidP="00CC56D8">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14:paraId="2153AB93" w14:textId="77777777" w:rsidR="00CC56D8" w:rsidRPr="006765FC" w:rsidRDefault="00CC56D8" w:rsidP="00CC56D8">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21E9F8AD" w14:textId="77777777" w:rsidR="00CC56D8" w:rsidRPr="006765FC" w:rsidRDefault="00CC56D8" w:rsidP="00CC56D8">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5C942" w14:textId="77777777" w:rsidR="00CC56D8" w:rsidRPr="00566986" w:rsidRDefault="00CC56D8" w:rsidP="00CC56D8">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t xml:space="preserve">Para mayor abundamiento, también resulta aplicable el criterio 01/20 emitido por el </w:t>
      </w:r>
      <w:r w:rsidRPr="00566986">
        <w:rPr>
          <w:rFonts w:ascii="Palatino Linotype" w:eastAsia="Palatino Linotype" w:hAnsi="Palatino Linotype" w:cs="Palatino Linotype"/>
        </w:rPr>
        <w:lastRenderedPageBreak/>
        <w:t xml:space="preserve">Instituto Nacional de Transparencia, Acceso a la Información Pública y Protección de Datos Personales, que a la letra estipula lo siguiente: </w:t>
      </w:r>
    </w:p>
    <w:p w14:paraId="1B36BC99" w14:textId="77777777" w:rsidR="00CC56D8" w:rsidRDefault="00CC56D8" w:rsidP="00CC56D8">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DEE0856" w14:textId="77777777" w:rsidR="00CC56D8" w:rsidRDefault="00CC56D8" w:rsidP="00CC56D8">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14:paraId="4FC27B0C" w14:textId="77777777" w:rsidR="00CC56D8" w:rsidRDefault="00CC56D8" w:rsidP="00CC56D8">
      <w:pPr>
        <w:pBdr>
          <w:top w:val="nil"/>
          <w:left w:val="nil"/>
          <w:bottom w:val="nil"/>
          <w:right w:val="nil"/>
          <w:between w:val="nil"/>
        </w:pBdr>
        <w:spacing w:line="360" w:lineRule="auto"/>
        <w:contextualSpacing/>
        <w:jc w:val="both"/>
        <w:rPr>
          <w:rFonts w:ascii="Palatino Linotype" w:hAnsi="Palatino Linotype"/>
        </w:rPr>
      </w:pPr>
      <w:r w:rsidRPr="00150DC1">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150DC1">
        <w:rPr>
          <w:rFonts w:ascii="Palatino Linotype" w:hAnsi="Palatino Linotype"/>
          <w:b/>
        </w:rPr>
        <w:t>Sujeto Obligado</w:t>
      </w:r>
      <w:r w:rsidRPr="00150DC1">
        <w:rPr>
          <w:rFonts w:ascii="Palatino Linotype" w:hAnsi="Palatino Linotype"/>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2F750DA" w14:textId="77777777" w:rsidR="00CC56D8" w:rsidRPr="004F5188" w:rsidRDefault="00CC56D8" w:rsidP="00CC56D8">
      <w:pPr>
        <w:spacing w:line="360" w:lineRule="auto"/>
        <w:contextualSpacing/>
        <w:jc w:val="both"/>
        <w:rPr>
          <w:rFonts w:ascii="Palatino Linotype" w:eastAsia="Palatino Linotype" w:hAnsi="Palatino Linotype" w:cs="Palatino Linotype"/>
          <w:b/>
        </w:rPr>
      </w:pPr>
    </w:p>
    <w:p w14:paraId="14E59EB4" w14:textId="77777777" w:rsidR="00CC56D8" w:rsidRDefault="00CC56D8" w:rsidP="00CC56D8">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Ahora bien, e</w:t>
      </w:r>
      <w:r w:rsidRPr="00313F8E">
        <w:rPr>
          <w:rFonts w:ascii="Palatino Linotype" w:hAnsi="Palatino Linotype"/>
        </w:rPr>
        <w:t>l artículo 81 TER, fracción I, de la Ley Orgánica Municipal del Estado de México contempla</w:t>
      </w:r>
      <w:r>
        <w:rPr>
          <w:rFonts w:ascii="Palatino Linotype" w:hAnsi="Palatino Linotype"/>
        </w:rPr>
        <w:t xml:space="preserve"> </w:t>
      </w:r>
      <w:r w:rsidRPr="00313F8E">
        <w:rPr>
          <w:rFonts w:ascii="Palatino Linotype" w:hAnsi="Palatino Linotype"/>
        </w:rPr>
        <w:t xml:space="preserve">como atribución del Consejo Municipal de Protección Civil identificar </w:t>
      </w:r>
      <w:r w:rsidR="0023174D">
        <w:rPr>
          <w:rFonts w:ascii="Palatino Linotype" w:hAnsi="Palatino Linotype"/>
        </w:rPr>
        <w:t>el</w:t>
      </w:r>
      <w:r w:rsidRPr="00313F8E">
        <w:rPr>
          <w:rFonts w:ascii="Palatino Linotype" w:hAnsi="Palatino Linotype"/>
        </w:rPr>
        <w:t xml:space="preserve"> Atlas de Riesgos</w:t>
      </w:r>
      <w:r>
        <w:rPr>
          <w:rFonts w:ascii="Palatino Linotype" w:hAnsi="Palatino Linotype"/>
        </w:rPr>
        <w:t xml:space="preserve"> Municipales:</w:t>
      </w:r>
    </w:p>
    <w:p w14:paraId="48061B42" w14:textId="77777777" w:rsidR="00CC56D8" w:rsidRDefault="00CC56D8" w:rsidP="00CC56D8">
      <w:pPr>
        <w:pStyle w:val="Citas"/>
        <w:rPr>
          <w:lang w:val="es-ES"/>
        </w:rPr>
      </w:pPr>
      <w:r w:rsidRPr="00313F8E">
        <w:rPr>
          <w:b/>
          <w:lang w:val="es-ES"/>
        </w:rPr>
        <w:t>Artículo 81 TER.-</w:t>
      </w:r>
      <w:r w:rsidRPr="00313F8E">
        <w:rPr>
          <w:lang w:val="es-ES"/>
        </w:rPr>
        <w:t xml:space="preserve"> Cada Ayuntamiento constituirá un consejo municipal de protección civil que encabezará el presidente municipal, con funciones de órgano de consulta y participación de los sectores público, social y privado para la prevención y </w:t>
      </w:r>
      <w:r w:rsidRPr="00313F8E">
        <w:rPr>
          <w:lang w:val="es-ES"/>
        </w:rPr>
        <w:lastRenderedPageBreak/>
        <w:t xml:space="preserve">adopción de acuerdos, ejecución de acciones y en general, de todas las actividades necesarias para la atención inmediata y eficaz de los asuntos relacionados con situaciones de emergencia, desastre, o calamidad pública que afecten a la población. </w:t>
      </w:r>
    </w:p>
    <w:p w14:paraId="2D5091D6" w14:textId="77777777" w:rsidR="00CC56D8" w:rsidRDefault="00CC56D8" w:rsidP="00CC56D8">
      <w:pPr>
        <w:pStyle w:val="Citas"/>
        <w:rPr>
          <w:lang w:val="es-ES"/>
        </w:rPr>
      </w:pPr>
      <w:r w:rsidRPr="00313F8E">
        <w:rPr>
          <w:lang w:val="es-ES"/>
        </w:rPr>
        <w:t xml:space="preserve">Son atribuciones de los Consejos Municipales de Protección Civil: </w:t>
      </w:r>
    </w:p>
    <w:p w14:paraId="06F796F0" w14:textId="77777777" w:rsidR="00CC56D8" w:rsidRDefault="00CC56D8" w:rsidP="00CC56D8">
      <w:pPr>
        <w:pStyle w:val="Citas"/>
        <w:numPr>
          <w:ilvl w:val="0"/>
          <w:numId w:val="4"/>
        </w:numPr>
        <w:rPr>
          <w:lang w:val="es-ES"/>
        </w:rPr>
      </w:pPr>
      <w:r w:rsidRPr="00313F8E">
        <w:rPr>
          <w:b/>
          <w:lang w:val="es-ES"/>
        </w:rPr>
        <w:t xml:space="preserve">Identificar en un Atlas de Riesgos Municipal, </w:t>
      </w:r>
      <w:r w:rsidRPr="00A15FD2">
        <w:rPr>
          <w:b/>
          <w:u w:val="single"/>
          <w:lang w:val="es-ES"/>
        </w:rPr>
        <w:t>que deberá actualizarse permanentemente y publicarse en la Gaceta Municipal durante el primer año de gestión de cada ayuntamiento</w:t>
      </w:r>
      <w:r w:rsidRPr="00313F8E">
        <w:rPr>
          <w:b/>
          <w:lang w:val="es-ES"/>
        </w:rPr>
        <w:t>,</w:t>
      </w:r>
      <w:r w:rsidRPr="00313F8E">
        <w:rPr>
          <w:lang w:val="es-ES"/>
        </w:rPr>
        <w:t xml:space="preserve"> sitios que por sus características específicas puedan ser escenarios de situaciones de emergencia, desastre o calamidad públicas;</w:t>
      </w:r>
    </w:p>
    <w:p w14:paraId="636620A5" w14:textId="77777777" w:rsidR="00CC56D8" w:rsidRPr="00313F8E" w:rsidRDefault="00CC56D8" w:rsidP="00CC56D8">
      <w:pPr>
        <w:pStyle w:val="Citas"/>
      </w:pPr>
    </w:p>
    <w:p w14:paraId="5FFF4144" w14:textId="77777777" w:rsidR="00CC56D8" w:rsidRDefault="00CC56D8" w:rsidP="00CC56D8">
      <w:pPr>
        <w:pBdr>
          <w:top w:val="nil"/>
          <w:left w:val="nil"/>
          <w:bottom w:val="nil"/>
          <w:right w:val="nil"/>
          <w:between w:val="nil"/>
        </w:pBdr>
        <w:spacing w:line="360" w:lineRule="auto"/>
        <w:contextualSpacing/>
        <w:jc w:val="both"/>
        <w:rPr>
          <w:rFonts w:ascii="Palatino Linotype" w:hAnsi="Palatino Linotype"/>
        </w:rPr>
      </w:pPr>
      <w:r w:rsidRPr="00313F8E">
        <w:rPr>
          <w:rFonts w:ascii="Palatino Linotype" w:hAnsi="Palatino Linotype"/>
        </w:rPr>
        <w:t>Así mismo la Ley de Transparencia y Acceso a la Información Pública del Estado de México y Municipios, contempla en su numeral 94, fracción I, inciso J) que, además de las obligaciones de transparencia común a que se refiere el Capítulo II, los sujetos obligados de los municipios deberán poner a disposición del público y actualizar la información del atlas es</w:t>
      </w:r>
      <w:r>
        <w:rPr>
          <w:rFonts w:ascii="Palatino Linotype" w:hAnsi="Palatino Linotype"/>
        </w:rPr>
        <w:t>tatal de riesgos, por municipio:</w:t>
      </w:r>
    </w:p>
    <w:p w14:paraId="5E77BA0C" w14:textId="77777777" w:rsidR="00CC56D8" w:rsidRDefault="00CC56D8" w:rsidP="00CC56D8">
      <w:pPr>
        <w:pStyle w:val="Citas"/>
        <w:rPr>
          <w:lang w:val="es-ES"/>
        </w:rPr>
      </w:pPr>
      <w:r w:rsidRPr="00313F8E">
        <w:rPr>
          <w:b/>
          <w:lang w:val="es-ES"/>
        </w:rPr>
        <w:t xml:space="preserve">Artículo 94. </w:t>
      </w:r>
      <w:r w:rsidRPr="00313F8E">
        <w:rPr>
          <w:lang w:val="es-ES"/>
        </w:rPr>
        <w:t xml:space="preserve">Además de las obligaciones de transparencia común a que se refiere el Capítulo II de este Título, los sujetos obligados del Poder Ejecutivo Local y municipales, deberán poner a disposición del público y actualizar la siguiente información: </w:t>
      </w:r>
    </w:p>
    <w:p w14:paraId="3229513A" w14:textId="77777777" w:rsidR="00CC56D8" w:rsidRDefault="00CC56D8" w:rsidP="00CC56D8">
      <w:pPr>
        <w:pStyle w:val="Citas"/>
        <w:numPr>
          <w:ilvl w:val="0"/>
          <w:numId w:val="5"/>
        </w:numPr>
        <w:rPr>
          <w:lang w:val="es-ES"/>
        </w:rPr>
      </w:pPr>
      <w:r w:rsidRPr="00313F8E">
        <w:rPr>
          <w:lang w:val="es-ES"/>
        </w:rPr>
        <w:t>En el caso del Poder Ejecutivo y los Municipios, en el ámbito de su competencia:</w:t>
      </w:r>
    </w:p>
    <w:p w14:paraId="761DE300" w14:textId="77777777" w:rsidR="00CC56D8" w:rsidRDefault="00CC56D8" w:rsidP="00CC56D8">
      <w:pPr>
        <w:pStyle w:val="Citas"/>
        <w:ind w:left="1571"/>
        <w:rPr>
          <w:lang w:val="es-ES"/>
        </w:rPr>
      </w:pPr>
      <w:r>
        <w:rPr>
          <w:lang w:val="es-ES"/>
        </w:rPr>
        <w:t>(…)</w:t>
      </w:r>
    </w:p>
    <w:p w14:paraId="739A7B65" w14:textId="77777777" w:rsidR="00CC56D8" w:rsidRPr="00313F8E" w:rsidRDefault="00CC56D8" w:rsidP="00CC56D8">
      <w:pPr>
        <w:pStyle w:val="Citas"/>
        <w:ind w:left="1571"/>
        <w:rPr>
          <w:b/>
          <w:lang w:val="es-ES"/>
        </w:rPr>
      </w:pPr>
      <w:r w:rsidRPr="00313F8E">
        <w:rPr>
          <w:b/>
          <w:lang w:val="es-ES"/>
        </w:rPr>
        <w:lastRenderedPageBreak/>
        <w:t>j) En materia de protección civil el atlas estatal de riesgos, por municipio; y</w:t>
      </w:r>
    </w:p>
    <w:p w14:paraId="087CD066" w14:textId="77777777" w:rsidR="00CC56D8" w:rsidRDefault="00CC56D8" w:rsidP="00CC56D8">
      <w:pPr>
        <w:pStyle w:val="Citas"/>
        <w:ind w:left="1571"/>
      </w:pPr>
      <w:r>
        <w:rPr>
          <w:lang w:val="es-ES"/>
        </w:rPr>
        <w:t>(…)</w:t>
      </w:r>
    </w:p>
    <w:p w14:paraId="37539287" w14:textId="77777777" w:rsidR="00CC56D8" w:rsidRPr="007F42D9" w:rsidRDefault="00CC56D8" w:rsidP="00CC56D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hAnsi="Palatino Linotype"/>
        </w:rPr>
        <w:t xml:space="preserve"> </w:t>
      </w:r>
    </w:p>
    <w:p w14:paraId="1C2904BC" w14:textId="77777777" w:rsidR="00644615" w:rsidRDefault="00644615" w:rsidP="00644615">
      <w:pPr>
        <w:tabs>
          <w:tab w:val="left" w:pos="709"/>
        </w:tabs>
        <w:spacing w:before="240" w:line="360" w:lineRule="auto"/>
        <w:ind w:right="51"/>
        <w:jc w:val="both"/>
        <w:rPr>
          <w:rFonts w:ascii="Palatino Linotype" w:hAnsi="Palatino Linotype"/>
        </w:rPr>
      </w:pPr>
      <w:r>
        <w:rPr>
          <w:rFonts w:ascii="Palatino Linotype" w:hAnsi="Palatino Linotype"/>
        </w:rPr>
        <w:t xml:space="preserve">Por lo anterior, existe la obligación de generar el Atlas de Riesgo y publicarlo durante el primer año de gestión de cada Ayuntamiento, sin embargo, el </w:t>
      </w:r>
      <w:r w:rsidR="00BF616F">
        <w:rPr>
          <w:rFonts w:ascii="Palatino Linotype" w:hAnsi="Palatino Linotype"/>
        </w:rPr>
        <w:t xml:space="preserve">Sujeto Obligado no se pronunció. </w:t>
      </w:r>
    </w:p>
    <w:p w14:paraId="6CA762E8" w14:textId="77777777" w:rsidR="00644615" w:rsidRDefault="00644615" w:rsidP="00644615">
      <w:pPr>
        <w:tabs>
          <w:tab w:val="left" w:pos="709"/>
        </w:tabs>
        <w:spacing w:before="240" w:line="360" w:lineRule="auto"/>
        <w:ind w:right="51"/>
        <w:jc w:val="both"/>
        <w:rPr>
          <w:rFonts w:ascii="Palatino Linotype" w:hAnsi="Palatino Linotype"/>
        </w:rPr>
      </w:pPr>
      <w:r>
        <w:rPr>
          <w:rFonts w:ascii="Palatino Linotype" w:hAnsi="Palatino Linotype"/>
        </w:rPr>
        <w:t>Robustecen lo anterior, los Criterios de Evaluación: Atlas de Riesgos Municipales del Estado de México 2022, mismos que establecen las fechas de entrega siguientes:</w:t>
      </w:r>
    </w:p>
    <w:p w14:paraId="6C8A4A7A" w14:textId="77777777" w:rsidR="00644615" w:rsidRDefault="00644615" w:rsidP="00644615">
      <w:pPr>
        <w:tabs>
          <w:tab w:val="left" w:pos="709"/>
        </w:tabs>
        <w:spacing w:before="240" w:line="360" w:lineRule="auto"/>
        <w:ind w:right="51"/>
        <w:jc w:val="both"/>
        <w:rPr>
          <w:rFonts w:ascii="Palatino Linotype" w:hAnsi="Palatino Linotype"/>
        </w:rPr>
      </w:pPr>
      <w:r>
        <w:rPr>
          <w:rFonts w:ascii="Palatino Linotype" w:hAnsi="Palatino Linotype"/>
          <w:noProof/>
          <w:lang w:val="es-MX" w:eastAsia="es-MX"/>
        </w:rPr>
        <w:drawing>
          <wp:inline distT="0" distB="0" distL="0" distR="0" wp14:anchorId="4C702ACC" wp14:editId="0626A064">
            <wp:extent cx="5791200" cy="3390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3390900"/>
                    </a:xfrm>
                    <a:prstGeom prst="rect">
                      <a:avLst/>
                    </a:prstGeom>
                    <a:noFill/>
                    <a:ln>
                      <a:noFill/>
                    </a:ln>
                  </pic:spPr>
                </pic:pic>
              </a:graphicData>
            </a:graphic>
          </wp:inline>
        </w:drawing>
      </w:r>
    </w:p>
    <w:p w14:paraId="10580F41" w14:textId="77777777" w:rsidR="00644615" w:rsidRDefault="00644615" w:rsidP="00644615">
      <w:pPr>
        <w:tabs>
          <w:tab w:val="left" w:pos="709"/>
        </w:tabs>
        <w:spacing w:before="240" w:line="360" w:lineRule="auto"/>
        <w:ind w:right="51"/>
        <w:jc w:val="both"/>
        <w:rPr>
          <w:rFonts w:ascii="Palatino Linotype" w:hAnsi="Palatino Linotype"/>
        </w:rPr>
      </w:pPr>
      <w:r>
        <w:rPr>
          <w:rFonts w:ascii="Palatino Linotype" w:hAnsi="Palatino Linotype"/>
        </w:rPr>
        <w:t xml:space="preserve">Aunado a ello, la solicitud ingreso en fecha </w:t>
      </w:r>
      <w:r w:rsidR="0023174D">
        <w:rPr>
          <w:rFonts w:ascii="Palatino Linotype" w:hAnsi="Palatino Linotype"/>
        </w:rPr>
        <w:t>nueve de octubre</w:t>
      </w:r>
      <w:r>
        <w:rPr>
          <w:rFonts w:ascii="Palatino Linotype" w:hAnsi="Palatino Linotype"/>
        </w:rPr>
        <w:t xml:space="preserve"> de dos mil veintitrés, po</w:t>
      </w:r>
      <w:r>
        <w:rPr>
          <w:rFonts w:ascii="Palatino Linotype" w:hAnsi="Palatino Linotype" w:cs="Tahoma"/>
        </w:rPr>
        <w:t xml:space="preserve">r lo que, al haber transcurrido el plazo establecido por la normatividad aplicable, resulta </w:t>
      </w:r>
      <w:r>
        <w:rPr>
          <w:rFonts w:ascii="Palatino Linotype" w:hAnsi="Palatino Linotype" w:cs="Tahoma"/>
        </w:rPr>
        <w:lastRenderedPageBreak/>
        <w:t xml:space="preserve">dable ordenar el </w:t>
      </w:r>
      <w:r>
        <w:rPr>
          <w:rFonts w:ascii="Palatino Linotype" w:hAnsi="Palatino Linotype"/>
        </w:rPr>
        <w:t>Acuerdo que emita el Comité de Transparencia por el cual se declare formalmente la inexistencia del Atlas de Riesgo de 2022.</w:t>
      </w:r>
    </w:p>
    <w:p w14:paraId="1D4DD781" w14:textId="77777777" w:rsidR="00644615" w:rsidRDefault="00644615" w:rsidP="00644615">
      <w:pPr>
        <w:spacing w:line="360" w:lineRule="auto"/>
        <w:jc w:val="both"/>
        <w:rPr>
          <w:rFonts w:ascii="Palatino Linotype" w:eastAsia="Palatino Linotype" w:hAnsi="Palatino Linotype" w:cs="Palatino Linotype"/>
        </w:rPr>
      </w:pPr>
    </w:p>
    <w:p w14:paraId="4E512DC1" w14:textId="77777777" w:rsidR="00644615" w:rsidRDefault="00644615" w:rsidP="00644615">
      <w:pPr>
        <w:tabs>
          <w:tab w:val="left" w:pos="709"/>
        </w:tabs>
        <w:spacing w:line="360" w:lineRule="auto"/>
        <w:jc w:val="both"/>
        <w:rPr>
          <w:rFonts w:ascii="Palatino Linotype" w:hAnsi="Palatino Linotype"/>
          <w:b/>
          <w:i/>
          <w:sz w:val="28"/>
          <w:szCs w:val="28"/>
        </w:rPr>
      </w:pPr>
      <w:r>
        <w:rPr>
          <w:rFonts w:ascii="Palatino Linotype" w:hAnsi="Palatino Linotype"/>
          <w:b/>
          <w:i/>
          <w:sz w:val="28"/>
          <w:szCs w:val="28"/>
        </w:rPr>
        <w:t>De la declaratoria de inexistencia</w:t>
      </w:r>
    </w:p>
    <w:p w14:paraId="1B55204E" w14:textId="77777777" w:rsidR="00644615" w:rsidRDefault="00644615" w:rsidP="00644615">
      <w:pPr>
        <w:tabs>
          <w:tab w:val="left" w:pos="709"/>
        </w:tabs>
        <w:spacing w:line="360" w:lineRule="auto"/>
        <w:jc w:val="both"/>
        <w:rPr>
          <w:rFonts w:ascii="Palatino Linotype" w:hAnsi="Palatino Linotype"/>
        </w:rPr>
      </w:pPr>
      <w:r>
        <w:rPr>
          <w:rFonts w:ascii="Palatino Linotype" w:hAnsi="Palatino Linotype"/>
          <w:bCs/>
        </w:rPr>
        <w:t xml:space="preserve">Declaratoria que </w:t>
      </w:r>
      <w:r>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p>
    <w:p w14:paraId="2BC505FC"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b/>
          <w:bCs/>
          <w:i/>
          <w:iCs/>
        </w:rPr>
        <w:t xml:space="preserve">“Artículo 19. </w:t>
      </w:r>
      <w:r>
        <w:rPr>
          <w:rFonts w:ascii="Palatino Linotype" w:hAnsi="Palatino Linotype"/>
          <w:i/>
          <w:iCs/>
          <w:u w:val="single"/>
        </w:rPr>
        <w:t>Se presume que la información debe existir si se refiere a las facultades, competencias y funciones que los ordenamientos jurídicos aplicables otorgan a los sujetos obligados. </w:t>
      </w:r>
    </w:p>
    <w:p w14:paraId="4083707C"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i/>
          <w:iCs/>
        </w:rPr>
        <w:t>(…)</w:t>
      </w:r>
    </w:p>
    <w:p w14:paraId="0D7F1A05"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i/>
          <w:iCs/>
        </w:rPr>
        <w:t xml:space="preserve">Si el sujeto obligado, en el ejercicio de sus atribuciones, debía generar, poseer o administrar la información, pero ésta no se encuentra, </w:t>
      </w:r>
      <w:r>
        <w:rPr>
          <w:rFonts w:ascii="Palatino Linotype" w:hAnsi="Palatino Linotype"/>
          <w:i/>
          <w:iCs/>
          <w:u w:val="single"/>
        </w:rPr>
        <w:t>el Comité de transparencia deberá emitir un acuerdo de inexistencia, debidamente fundado y motivado, en el que detalle las razones del por qué no obra en sus archivos.</w:t>
      </w:r>
    </w:p>
    <w:p w14:paraId="6015E48B"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b/>
          <w:bCs/>
          <w:i/>
          <w:iCs/>
        </w:rPr>
        <w:t>Artículo 49.</w:t>
      </w:r>
      <w:r>
        <w:rPr>
          <w:rFonts w:ascii="Palatino Linotype" w:hAnsi="Palatino Linotype"/>
          <w:i/>
          <w:iCs/>
        </w:rPr>
        <w:t xml:space="preserve"> Los </w:t>
      </w:r>
      <w:r>
        <w:rPr>
          <w:rFonts w:ascii="Palatino Linotype" w:hAnsi="Palatino Linotype"/>
          <w:i/>
          <w:iCs/>
          <w:u w:val="single"/>
        </w:rPr>
        <w:t xml:space="preserve">Comités de Transparencia </w:t>
      </w:r>
      <w:r>
        <w:rPr>
          <w:rFonts w:ascii="Palatino Linotype" w:hAnsi="Palatino Linotype"/>
          <w:i/>
          <w:iCs/>
        </w:rPr>
        <w:t>tendrán las siguientes atribuciones:</w:t>
      </w:r>
    </w:p>
    <w:p w14:paraId="42ED8136"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i/>
        </w:rPr>
        <w:t>II. Confirmar, modificar o revocar las determinaciones que en materia de ampliación del plazo de respuesta, clasificación de la información</w:t>
      </w:r>
      <w:r>
        <w:rPr>
          <w:rFonts w:ascii="Palatino Linotype" w:hAnsi="Palatino Linotype"/>
          <w:i/>
          <w:u w:val="single"/>
        </w:rPr>
        <w:t xml:space="preserve"> y declaración de inexistencia </w:t>
      </w:r>
      <w:r>
        <w:rPr>
          <w:rFonts w:ascii="Palatino Linotype" w:hAnsi="Palatino Linotype"/>
          <w:i/>
        </w:rPr>
        <w:t>o de incompetencia realicen los titulares de las áreas de los sujetos obligados;</w:t>
      </w:r>
    </w:p>
    <w:p w14:paraId="2C82D0DB" w14:textId="77777777" w:rsidR="00644615" w:rsidRDefault="00644615" w:rsidP="00644615">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 xml:space="preserve">XIII. </w:t>
      </w:r>
      <w:r>
        <w:rPr>
          <w:rFonts w:ascii="Palatino Linotype" w:hAnsi="Palatino Linotype"/>
          <w:i/>
          <w:u w:val="single"/>
        </w:rPr>
        <w:t>Dictaminar las declaratorias de inexistencia de la información que les remitan las unidades administrativas y resolver en consecuencia</w:t>
      </w:r>
      <w:r>
        <w:rPr>
          <w:rFonts w:ascii="Palatino Linotype" w:hAnsi="Palatino Linotype"/>
          <w:i/>
        </w:rPr>
        <w:t>;</w:t>
      </w:r>
    </w:p>
    <w:p w14:paraId="31932C0A" w14:textId="77777777" w:rsidR="00644615" w:rsidRDefault="00644615" w:rsidP="00644615">
      <w:pPr>
        <w:tabs>
          <w:tab w:val="left" w:pos="709"/>
        </w:tabs>
        <w:spacing w:before="240" w:line="360" w:lineRule="auto"/>
        <w:ind w:left="851" w:right="851"/>
        <w:jc w:val="both"/>
        <w:rPr>
          <w:rFonts w:ascii="Palatino Linotype" w:hAnsi="Palatino Linotype"/>
          <w:b/>
          <w:i/>
          <w:u w:val="single"/>
        </w:rPr>
      </w:pPr>
      <w:r>
        <w:rPr>
          <w:rFonts w:ascii="Palatino Linotype" w:hAnsi="Palatino Linotype"/>
          <w:b/>
          <w:i/>
          <w:u w:val="single"/>
        </w:rPr>
        <w:t>Artículo 169. Cuando la información no se encuentre en los archivos del sujeto obligado, el Comité de Transparencia:</w:t>
      </w:r>
    </w:p>
    <w:p w14:paraId="760D443C" w14:textId="77777777" w:rsidR="00644615" w:rsidRDefault="00644615" w:rsidP="00644615">
      <w:pPr>
        <w:tabs>
          <w:tab w:val="left" w:pos="709"/>
        </w:tabs>
        <w:spacing w:before="240" w:line="360" w:lineRule="auto"/>
        <w:ind w:left="851" w:right="851"/>
        <w:jc w:val="both"/>
        <w:rPr>
          <w:rFonts w:ascii="Palatino Linotype" w:hAnsi="Palatino Linotype"/>
          <w:b/>
          <w:i/>
        </w:rPr>
      </w:pPr>
      <w:r>
        <w:rPr>
          <w:rFonts w:ascii="Palatino Linotype" w:hAnsi="Palatino Linotype"/>
          <w:b/>
          <w:bCs/>
          <w:i/>
        </w:rPr>
        <w:t xml:space="preserve">I. </w:t>
      </w:r>
      <w:r>
        <w:rPr>
          <w:rFonts w:ascii="Palatino Linotype" w:hAnsi="Palatino Linotype"/>
          <w:i/>
          <w:u w:val="single"/>
        </w:rPr>
        <w:t>Analizará el caso y tomará las medidas necesarias para localizar la información;</w:t>
      </w:r>
    </w:p>
    <w:p w14:paraId="75FFB25F" w14:textId="77777777" w:rsidR="00644615" w:rsidRDefault="00644615" w:rsidP="00644615">
      <w:pPr>
        <w:tabs>
          <w:tab w:val="left" w:pos="709"/>
        </w:tabs>
        <w:spacing w:before="240" w:line="360" w:lineRule="auto"/>
        <w:ind w:left="851" w:right="851"/>
        <w:jc w:val="both"/>
        <w:rPr>
          <w:rFonts w:ascii="Palatino Linotype" w:hAnsi="Palatino Linotype"/>
          <w:b/>
          <w:i/>
        </w:rPr>
      </w:pPr>
      <w:r>
        <w:rPr>
          <w:rFonts w:ascii="Palatino Linotype" w:hAnsi="Palatino Linotype"/>
          <w:b/>
          <w:bCs/>
          <w:i/>
        </w:rPr>
        <w:t xml:space="preserve">II. </w:t>
      </w:r>
      <w:r>
        <w:rPr>
          <w:rFonts w:ascii="Palatino Linotype" w:hAnsi="Palatino Linotype"/>
          <w:i/>
          <w:u w:val="single"/>
        </w:rPr>
        <w:t>Expedirá una resolución que confirme la inexistencia del documento;</w:t>
      </w:r>
    </w:p>
    <w:p w14:paraId="6D6ADB06" w14:textId="77777777" w:rsidR="00644615" w:rsidRDefault="00644615" w:rsidP="00644615">
      <w:pPr>
        <w:tabs>
          <w:tab w:val="left" w:pos="709"/>
        </w:tabs>
        <w:spacing w:before="240" w:line="360" w:lineRule="auto"/>
        <w:ind w:left="851" w:right="851"/>
        <w:jc w:val="both"/>
        <w:rPr>
          <w:rFonts w:ascii="Palatino Linotype" w:hAnsi="Palatino Linotype"/>
          <w:b/>
          <w:i/>
        </w:rPr>
      </w:pPr>
      <w:r>
        <w:rPr>
          <w:rFonts w:ascii="Palatino Linotype" w:hAnsi="Palatino Linotype"/>
          <w:b/>
          <w:bCs/>
          <w:i/>
        </w:rPr>
        <w:t xml:space="preserve">III. </w:t>
      </w:r>
      <w:r>
        <w:rPr>
          <w:rFonts w:ascii="Palatino Linotype"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7616067" w14:textId="77777777" w:rsidR="00644615" w:rsidRDefault="00644615" w:rsidP="00644615">
      <w:pPr>
        <w:tabs>
          <w:tab w:val="left" w:pos="709"/>
        </w:tabs>
        <w:spacing w:before="240" w:line="360" w:lineRule="auto"/>
        <w:ind w:left="851" w:right="851"/>
        <w:jc w:val="both"/>
        <w:rPr>
          <w:rFonts w:ascii="Palatino Linotype" w:hAnsi="Palatino Linotype"/>
          <w:i/>
          <w:u w:val="single"/>
        </w:rPr>
      </w:pPr>
      <w:r>
        <w:rPr>
          <w:rFonts w:ascii="Palatino Linotype" w:hAnsi="Palatino Linotype"/>
          <w:b/>
          <w:bCs/>
          <w:i/>
        </w:rPr>
        <w:t xml:space="preserve">IV. </w:t>
      </w:r>
      <w:r>
        <w:rPr>
          <w:rFonts w:ascii="Palatino Linotype" w:hAnsi="Palatino Linotype"/>
          <w:i/>
          <w:u w:val="single"/>
        </w:rPr>
        <w:t>Notificará al órgano interno de control o equivalente del sujeto obligado quien, en su caso, deberá iniciar el procedimiento de responsabilidad administrativa que corresponda.</w:t>
      </w:r>
    </w:p>
    <w:p w14:paraId="2DBC2690" w14:textId="77777777" w:rsidR="00644615" w:rsidRDefault="00644615" w:rsidP="00644615">
      <w:pPr>
        <w:tabs>
          <w:tab w:val="left" w:pos="709"/>
        </w:tabs>
        <w:spacing w:before="240" w:line="360" w:lineRule="auto"/>
        <w:ind w:left="851" w:right="851"/>
        <w:jc w:val="both"/>
        <w:rPr>
          <w:rFonts w:ascii="Palatino Linotype" w:hAnsi="Palatino Linotype"/>
          <w:i/>
          <w:u w:val="single"/>
        </w:rPr>
      </w:pPr>
      <w:r>
        <w:rPr>
          <w:rFonts w:ascii="Palatino Linotype" w:hAnsi="Palatino Linotype"/>
          <w:i/>
          <w:u w:val="single"/>
        </w:rPr>
        <w:t>La Unidad de Transparencia deberá notificarlo al solicitante por escrito, en un plazo que no exceda de quince días hábiles contados a partir del día siguiente a la presentación de la solicitud.</w:t>
      </w:r>
    </w:p>
    <w:p w14:paraId="26201F4E" w14:textId="77777777" w:rsidR="00644615" w:rsidRDefault="00644615" w:rsidP="00644615">
      <w:pPr>
        <w:tabs>
          <w:tab w:val="left" w:pos="709"/>
        </w:tabs>
        <w:spacing w:before="240" w:line="360" w:lineRule="auto"/>
        <w:ind w:left="851" w:right="851"/>
        <w:jc w:val="both"/>
        <w:rPr>
          <w:rFonts w:ascii="Palatino Linotype" w:hAnsi="Palatino Linotype"/>
          <w:i/>
          <w:u w:val="single"/>
        </w:rPr>
      </w:pPr>
      <w:r>
        <w:rPr>
          <w:rFonts w:ascii="Palatino Linotype" w:hAnsi="Palatino Linotype"/>
          <w:i/>
          <w:u w:val="single"/>
        </w:rPr>
        <w:lastRenderedPageBreak/>
        <w:t>Este plazo podrá ampliarse hasta por otros siete días hábiles, siempre que existan razones para ello, debiendo notificarse por escrito al solicitante.</w:t>
      </w:r>
    </w:p>
    <w:p w14:paraId="395DC7A2" w14:textId="77777777" w:rsidR="00644615" w:rsidRDefault="00644615" w:rsidP="00644615">
      <w:pPr>
        <w:tabs>
          <w:tab w:val="left" w:pos="709"/>
        </w:tabs>
        <w:spacing w:before="240" w:line="360" w:lineRule="auto"/>
        <w:ind w:left="851" w:right="851"/>
        <w:jc w:val="both"/>
        <w:rPr>
          <w:rFonts w:ascii="Palatino Linotype" w:hAnsi="Palatino Linotype"/>
          <w:b/>
          <w:i/>
          <w:iCs/>
        </w:rPr>
      </w:pPr>
      <w:r>
        <w:rPr>
          <w:rFonts w:ascii="Palatino Linotype" w:hAnsi="Palatino Linotype"/>
          <w:b/>
          <w:i/>
        </w:rPr>
        <w:t>Artículo 170</w:t>
      </w:r>
      <w:r>
        <w:rPr>
          <w:rFonts w:ascii="Palatino Linotype" w:hAnsi="Palatino Linotype"/>
          <w:b/>
          <w:bCs/>
          <w:i/>
          <w:iCs/>
        </w:rPr>
        <w:t>.</w:t>
      </w:r>
      <w:r>
        <w:rPr>
          <w:rFonts w:ascii="Palatino Linotype" w:hAnsi="Palatino Linotype"/>
          <w:i/>
          <w:iCs/>
        </w:rPr>
        <w:t xml:space="preserve"> </w:t>
      </w:r>
      <w:r>
        <w:rPr>
          <w:rFonts w:ascii="Palatino Linotype" w:hAnsi="Palatino Linotype"/>
          <w:i/>
          <w:iCs/>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iCs/>
        </w:rPr>
        <w:t xml:space="preserve">” </w:t>
      </w:r>
      <w:r>
        <w:rPr>
          <w:rFonts w:ascii="Palatino Linotype" w:hAnsi="Palatino Linotype"/>
          <w:b/>
          <w:i/>
          <w:iCs/>
        </w:rPr>
        <w:t>[Sic]</w:t>
      </w:r>
    </w:p>
    <w:p w14:paraId="5DC05297" w14:textId="77777777" w:rsidR="00644615" w:rsidRDefault="00644615" w:rsidP="00644615">
      <w:pPr>
        <w:tabs>
          <w:tab w:val="left" w:pos="709"/>
        </w:tabs>
        <w:ind w:left="567" w:right="567"/>
        <w:jc w:val="both"/>
        <w:rPr>
          <w:rFonts w:ascii="Palatino Linotype" w:hAnsi="Palatino Linotype"/>
          <w:i/>
        </w:rPr>
      </w:pPr>
    </w:p>
    <w:p w14:paraId="362D424C" w14:textId="77777777" w:rsidR="00644615" w:rsidRDefault="00644615" w:rsidP="00644615">
      <w:pPr>
        <w:spacing w:line="360" w:lineRule="auto"/>
        <w:jc w:val="both"/>
        <w:rPr>
          <w:rFonts w:ascii="Palatino Linotype" w:hAnsi="Palatino Linotype"/>
        </w:rPr>
      </w:pPr>
      <w:r>
        <w:rPr>
          <w:rFonts w:ascii="Palatino Linotype" w:hAnsi="Palatino Linotype" w:cs="Arial"/>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0155367A" w14:textId="77777777" w:rsidR="00644615" w:rsidRDefault="00644615" w:rsidP="006446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aplicable el Criterio 04/19 emitido por el Instituto Nacional de Transparencia, Acceso a la Información y Protección de Datos Personales, que a la letra estipula lo siguiente:</w:t>
      </w:r>
    </w:p>
    <w:p w14:paraId="3D17AA22" w14:textId="77777777" w:rsidR="00644615" w:rsidRDefault="00644615" w:rsidP="00644615">
      <w:pPr>
        <w:pStyle w:val="Citas"/>
        <w:rPr>
          <w:b/>
        </w:rPr>
      </w:pPr>
      <w:r>
        <w:rPr>
          <w:b/>
        </w:rPr>
        <w:t xml:space="preserve">“PROPÓSITO DE LA DECLARACIÓN FORMAL DE INEXISTENCIA. </w:t>
      </w:r>
    </w:p>
    <w:p w14:paraId="4FE69C97" w14:textId="77777777" w:rsidR="00644615" w:rsidRDefault="00644615" w:rsidP="00644615">
      <w:pPr>
        <w:pStyle w:val="Citas"/>
        <w:rPr>
          <w:b/>
        </w:rPr>
      </w:pPr>
      <w:r>
        <w:t>El propósito de que los Comités de Transparencia emitan una declaración que confirme la inexistencia de la información solicitada,</w:t>
      </w:r>
      <w:r>
        <w:rPr>
          <w:b/>
          <w:bCs/>
        </w:rPr>
        <w:t xml:space="preserve"> </w:t>
      </w:r>
      <w:r>
        <w:rPr>
          <w:b/>
          <w:bCs/>
          <w:u w:val="single"/>
        </w:rPr>
        <w:t xml:space="preserve">es garantizar al solicitante que se realizaron las gestiones necesarias para la ubicación de la información de su interés; por lo cual, el acta en el que se haga constar esa </w:t>
      </w:r>
      <w:r>
        <w:rPr>
          <w:b/>
          <w:bCs/>
          <w:u w:val="single"/>
        </w:rPr>
        <w:lastRenderedPageBreak/>
        <w:t>declaración formal de inexistencia</w:t>
      </w:r>
      <w:r>
        <w:t xml:space="preserve">, debe contener los elementos suficientes para generar en los solicitantes la certeza del carácter exhaustivo de la búsqueda de lo solicitado.” </w:t>
      </w:r>
      <w:r>
        <w:rPr>
          <w:b/>
        </w:rPr>
        <w:t xml:space="preserve">[Sic] </w:t>
      </w:r>
    </w:p>
    <w:p w14:paraId="5D1221AC" w14:textId="77777777" w:rsidR="00644615" w:rsidRDefault="00644615" w:rsidP="00644615">
      <w:pPr>
        <w:spacing w:line="360" w:lineRule="auto"/>
        <w:jc w:val="both"/>
        <w:rPr>
          <w:rFonts w:ascii="Palatino Linotype" w:eastAsia="Palatino Linotype" w:hAnsi="Palatino Linotype" w:cs="Palatino Linotype"/>
        </w:rPr>
      </w:pPr>
    </w:p>
    <w:p w14:paraId="1BA2B501" w14:textId="77777777" w:rsidR="00644615" w:rsidRDefault="00644615" w:rsidP="006446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con el propósito de otorgarle certeza jurídica a </w:t>
      </w:r>
      <w:r>
        <w:rPr>
          <w:rFonts w:ascii="Palatino Linotype" w:eastAsia="Palatino Linotype" w:hAnsi="Palatino Linotype" w:cs="Palatino Linotype"/>
          <w:b/>
          <w:bCs/>
        </w:rPr>
        <w:t>el Recurrente</w:t>
      </w:r>
      <w:r>
        <w:rPr>
          <w:rFonts w:ascii="Palatino Linotype" w:eastAsia="Palatino Linotype" w:hAnsi="Palatino Linotype" w:cs="Palatino Linotype"/>
        </w:rPr>
        <w:t xml:space="preserve"> de que se realizaron las acciones necesarias durante la búsqueda exhaustiva y razonable de la información, sin que esta fuera localizada, resulta procedente ordenar la entrega del acuerdo en cita. </w:t>
      </w:r>
    </w:p>
    <w:p w14:paraId="4C06A1F5" w14:textId="77777777" w:rsidR="00CC56D8" w:rsidRDefault="00CC56D8" w:rsidP="00CC56D8">
      <w:pPr>
        <w:spacing w:line="360" w:lineRule="auto"/>
        <w:contextualSpacing/>
        <w:jc w:val="both"/>
        <w:rPr>
          <w:rFonts w:ascii="Palatino Linotype" w:hAnsi="Palatino Linotype"/>
        </w:rPr>
      </w:pPr>
    </w:p>
    <w:p w14:paraId="35800F7E" w14:textId="77777777" w:rsidR="00CC56D8" w:rsidRPr="009C2D81" w:rsidRDefault="00CC56D8" w:rsidP="00CC56D8">
      <w:pPr>
        <w:tabs>
          <w:tab w:val="left" w:pos="709"/>
        </w:tabs>
        <w:spacing w:before="240" w:line="360" w:lineRule="auto"/>
        <w:ind w:right="51"/>
        <w:jc w:val="both"/>
        <w:rPr>
          <w:rFonts w:ascii="Palatino Linotype" w:hAnsi="Palatino Linotype"/>
        </w:rPr>
      </w:pPr>
      <w:r w:rsidRPr="000F5B7E">
        <w:rPr>
          <w:rFonts w:ascii="Palatino Linotype" w:hAnsi="Palatino Linotype"/>
        </w:rPr>
        <w:t>En mérito de lo expuesto en líneas anteriores</w:t>
      </w:r>
      <w:r w:rsidRPr="00303522">
        <w:rPr>
          <w:rFonts w:ascii="Palatino Linotype" w:hAnsi="Palatino Linotype"/>
        </w:rPr>
        <w:t>,</w:t>
      </w:r>
      <w:r>
        <w:rPr>
          <w:rFonts w:ascii="Palatino Linotype" w:hAnsi="Palatino Linotype"/>
          <w:b/>
        </w:rPr>
        <w:t xml:space="preserve"> </w:t>
      </w:r>
      <w:r w:rsidRPr="00D5257A">
        <w:rPr>
          <w:rFonts w:ascii="Palatino Linotype" w:hAnsi="Palatino Linotype"/>
        </w:rPr>
        <w:t xml:space="preserve">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la respuesta a la solicitud de información</w:t>
      </w:r>
      <w:r>
        <w:rPr>
          <w:rFonts w:ascii="Palatino Linotype" w:hAnsi="Palatino Linotype"/>
        </w:rPr>
        <w:t xml:space="preserve"> </w:t>
      </w:r>
      <w:r>
        <w:rPr>
          <w:rFonts w:ascii="Palatino Linotype" w:hAnsi="Palatino Linotype" w:cs="Arial"/>
          <w:b/>
          <w:bCs/>
        </w:rPr>
        <w:t xml:space="preserve">00132/ATIZAPAN/IP/2023, </w:t>
      </w:r>
      <w:r>
        <w:rPr>
          <w:rFonts w:ascii="Palatino Linotype" w:hAnsi="Palatino Linotype" w:cs="Arial"/>
        </w:rPr>
        <w:t xml:space="preserve">que ha sido materia del presente fallo. </w:t>
      </w:r>
    </w:p>
    <w:p w14:paraId="0CDF264D" w14:textId="77777777" w:rsidR="00CC56D8" w:rsidRDefault="00CC56D8" w:rsidP="00CC56D8">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67CCFD0F" w14:textId="77777777" w:rsidR="00CC56D8" w:rsidRPr="00E24C12" w:rsidRDefault="00CC56D8" w:rsidP="00CC56D8">
      <w:pPr>
        <w:pStyle w:val="Prrafodelista"/>
        <w:spacing w:before="240" w:after="240" w:line="360" w:lineRule="auto"/>
        <w:ind w:left="0"/>
        <w:jc w:val="both"/>
        <w:rPr>
          <w:rFonts w:ascii="Palatino Linotype" w:hAnsi="Palatino Linotype"/>
        </w:rPr>
      </w:pPr>
    </w:p>
    <w:p w14:paraId="3E152548" w14:textId="77777777" w:rsidR="00CC56D8" w:rsidRPr="009A71E1" w:rsidRDefault="00CC56D8" w:rsidP="00CC56D8">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C440629" w14:textId="77777777" w:rsidR="00CC56D8" w:rsidRDefault="00CC56D8" w:rsidP="00CC56D8">
      <w:pPr>
        <w:spacing w:before="240" w:line="360" w:lineRule="auto"/>
        <w:jc w:val="both"/>
        <w:rPr>
          <w:rFonts w:ascii="Palatino Linotype" w:hAnsi="Palatino Linotype" w:cs="Arial"/>
        </w:rPr>
      </w:pPr>
      <w:r w:rsidRPr="00342946">
        <w:rPr>
          <w:rFonts w:ascii="Palatino Linotype" w:hAnsi="Palatino Linotype" w:cs="Arial"/>
          <w:b/>
          <w:sz w:val="28"/>
          <w:lang w:val="es-ES_tradnl"/>
        </w:rPr>
        <w:t>PRIMERO.</w:t>
      </w:r>
      <w:r w:rsidRPr="00342946">
        <w:rPr>
          <w:rFonts w:ascii="Palatino Linotype" w:hAnsi="Palatino Linotype" w:cs="Arial"/>
          <w:lang w:val="es-ES_tradnl"/>
        </w:rPr>
        <w:t xml:space="preserve"> </w:t>
      </w:r>
      <w:r w:rsidRPr="00342946">
        <w:rPr>
          <w:rFonts w:ascii="Palatino Linotype" w:hAnsi="Palatino Linotype" w:cs="Arial"/>
        </w:rPr>
        <w:t xml:space="preserve">Se </w:t>
      </w:r>
      <w:r>
        <w:rPr>
          <w:rFonts w:ascii="Palatino Linotype" w:hAnsi="Palatino Linotype" w:cs="Arial"/>
          <w:b/>
        </w:rPr>
        <w:t>MODIFICA</w:t>
      </w:r>
      <w:r w:rsidRPr="00342946">
        <w:rPr>
          <w:rFonts w:ascii="Palatino Linotype" w:hAnsi="Palatino Linotype" w:cs="Arial"/>
          <w:b/>
        </w:rPr>
        <w:t xml:space="preserve"> </w:t>
      </w:r>
      <w:r w:rsidRPr="00342946">
        <w:rPr>
          <w:rFonts w:ascii="Palatino Linotype" w:hAnsi="Palatino Linotype" w:cs="Arial"/>
        </w:rPr>
        <w:t xml:space="preserve">la respuesta entregada por </w:t>
      </w:r>
      <w:r w:rsidRPr="00342946">
        <w:rPr>
          <w:rFonts w:ascii="Palatino Linotype" w:hAnsi="Palatino Linotype" w:cs="Arial"/>
          <w:b/>
        </w:rPr>
        <w:t xml:space="preserve">EL SUJETO OBLIGADO, </w:t>
      </w:r>
      <w:r w:rsidRPr="00342946">
        <w:rPr>
          <w:rFonts w:ascii="Palatino Linotype" w:hAnsi="Palatino Linotype" w:cs="Arial"/>
        </w:rPr>
        <w:t xml:space="preserve">a la solicitud de información número </w:t>
      </w:r>
      <w:r>
        <w:rPr>
          <w:rFonts w:ascii="Palatino Linotype" w:hAnsi="Palatino Linotype" w:cs="Arial"/>
          <w:b/>
          <w:bCs/>
        </w:rPr>
        <w:t>00132/ATIZAPAN/IP/2023</w:t>
      </w:r>
      <w:r w:rsidRPr="00342946">
        <w:rPr>
          <w:rFonts w:ascii="Palatino Linotype" w:hAnsi="Palatino Linotype" w:cs="Arial"/>
          <w:b/>
          <w:bCs/>
        </w:rPr>
        <w:t xml:space="preserve">, </w:t>
      </w:r>
      <w:r w:rsidRPr="00342946">
        <w:rPr>
          <w:rFonts w:ascii="Palatino Linotype" w:hAnsi="Palatino Linotype" w:cs="Arial"/>
        </w:rPr>
        <w:t xml:space="preserve">por resultar parcialmente fundados los motivos de inconformidad que arguye </w:t>
      </w:r>
      <w:r w:rsidRPr="00342946">
        <w:rPr>
          <w:rFonts w:ascii="Palatino Linotype" w:hAnsi="Palatino Linotype" w:cs="Arial"/>
          <w:b/>
        </w:rPr>
        <w:t xml:space="preserve">EL RECURRENTE, </w:t>
      </w:r>
      <w:r w:rsidRPr="00342946">
        <w:rPr>
          <w:rFonts w:ascii="Palatino Linotype" w:hAnsi="Palatino Linotype" w:cs="Arial"/>
        </w:rPr>
        <w:t xml:space="preserve">en términos del </w:t>
      </w:r>
      <w:r w:rsidRPr="00342946">
        <w:rPr>
          <w:rFonts w:ascii="Palatino Linotype" w:hAnsi="Palatino Linotype" w:cs="Arial"/>
          <w:b/>
        </w:rPr>
        <w:t xml:space="preserve">Considerando CUARTO </w:t>
      </w:r>
      <w:r>
        <w:rPr>
          <w:rFonts w:ascii="Palatino Linotype" w:hAnsi="Palatino Linotype" w:cs="Arial"/>
        </w:rPr>
        <w:t>de la presente resolución.</w:t>
      </w:r>
    </w:p>
    <w:p w14:paraId="68AD25EA" w14:textId="77777777" w:rsidR="00CC56D8" w:rsidRDefault="00CC56D8" w:rsidP="00CC56D8">
      <w:pPr>
        <w:spacing w:before="240" w:line="360" w:lineRule="auto"/>
        <w:jc w:val="both"/>
        <w:rPr>
          <w:rFonts w:ascii="Palatino Linotype" w:hAnsi="Palatino Linotype" w:cs="Arial"/>
        </w:rPr>
      </w:pPr>
    </w:p>
    <w:p w14:paraId="559465BD" w14:textId="77777777" w:rsidR="00CC56D8" w:rsidRPr="00342946" w:rsidRDefault="00CC56D8" w:rsidP="00CC56D8">
      <w:pPr>
        <w:spacing w:before="240" w:line="360" w:lineRule="auto"/>
        <w:jc w:val="both"/>
        <w:rPr>
          <w:rFonts w:ascii="Palatino Linotype" w:hAnsi="Palatino Linotype" w:cs="Arial"/>
        </w:rPr>
      </w:pPr>
      <w:r w:rsidRPr="00342946">
        <w:rPr>
          <w:rFonts w:ascii="Palatino Linotype" w:hAnsi="Palatino Linotype" w:cs="Arial"/>
          <w:b/>
          <w:sz w:val="28"/>
          <w:lang w:val="es-ES_tradnl"/>
        </w:rPr>
        <w:t>SEGUNDO.</w:t>
      </w:r>
      <w:r w:rsidRPr="00342946">
        <w:rPr>
          <w:rFonts w:ascii="Palatino Linotype" w:hAnsi="Palatino Linotype" w:cs="Arial"/>
          <w:sz w:val="28"/>
        </w:rPr>
        <w:t xml:space="preserve"> </w:t>
      </w:r>
      <w:r w:rsidRPr="00342946">
        <w:rPr>
          <w:rFonts w:ascii="Palatino Linotype" w:hAnsi="Palatino Linotype" w:cs="Arial"/>
        </w:rPr>
        <w:t xml:space="preserve">Se </w:t>
      </w:r>
      <w:r w:rsidRPr="00342946">
        <w:rPr>
          <w:rFonts w:ascii="Palatino Linotype" w:hAnsi="Palatino Linotype" w:cs="Arial"/>
          <w:b/>
        </w:rPr>
        <w:t>ORDENA</w:t>
      </w:r>
      <w:r w:rsidRPr="00342946">
        <w:rPr>
          <w:rFonts w:ascii="Palatino Linotype" w:hAnsi="Palatino Linotype" w:cs="Arial"/>
        </w:rPr>
        <w:t xml:space="preserve"> al </w:t>
      </w:r>
      <w:r w:rsidRPr="00342946">
        <w:rPr>
          <w:rFonts w:ascii="Palatino Linotype" w:hAnsi="Palatino Linotype" w:cs="Arial"/>
          <w:b/>
        </w:rPr>
        <w:t>SUJETO OBLIGADO</w:t>
      </w:r>
      <w:r w:rsidRPr="00342946">
        <w:rPr>
          <w:rFonts w:ascii="Palatino Linotype" w:hAnsi="Palatino Linotype" w:cs="Arial"/>
        </w:rPr>
        <w:t xml:space="preserve"> a fin de entregar a </w:t>
      </w:r>
      <w:r>
        <w:rPr>
          <w:rFonts w:ascii="Palatino Linotype" w:hAnsi="Palatino Linotype" w:cs="Arial"/>
          <w:b/>
          <w:bCs/>
        </w:rPr>
        <w:t>EL</w:t>
      </w:r>
      <w:r w:rsidRPr="00342946">
        <w:rPr>
          <w:rFonts w:ascii="Palatino Linotype" w:hAnsi="Palatino Linotype" w:cs="Arial"/>
          <w:b/>
        </w:rPr>
        <w:t xml:space="preserve"> RECURRENTE </w:t>
      </w:r>
      <w:r w:rsidRPr="00342946">
        <w:rPr>
          <w:rFonts w:ascii="Palatino Linotype" w:hAnsi="Palatino Linotype" w:cs="Arial"/>
        </w:rPr>
        <w:t xml:space="preserve">en términos del Considerando </w:t>
      </w:r>
      <w:r w:rsidRPr="00342946">
        <w:rPr>
          <w:rFonts w:ascii="Palatino Linotype" w:hAnsi="Palatino Linotype" w:cs="Arial"/>
          <w:b/>
        </w:rPr>
        <w:t xml:space="preserve">CUARTO </w:t>
      </w:r>
      <w:r w:rsidRPr="00342946">
        <w:rPr>
          <w:rFonts w:ascii="Palatino Linotype" w:hAnsi="Palatino Linotype" w:cs="Arial"/>
        </w:rPr>
        <w:t>de esta resolución</w:t>
      </w:r>
      <w:r w:rsidRPr="00342946">
        <w:rPr>
          <w:rFonts w:ascii="Palatino Linotype" w:hAnsi="Palatino Linotype" w:cs="Arial"/>
          <w:b/>
        </w:rPr>
        <w:t xml:space="preserve">, </w:t>
      </w:r>
      <w:r w:rsidRPr="00342946">
        <w:rPr>
          <w:rFonts w:ascii="Palatino Linotype" w:hAnsi="Palatino Linotype" w:cs="Arial"/>
        </w:rPr>
        <w:t xml:space="preserve">a través del Sistema de Acceso a la Información Mexiquense </w:t>
      </w:r>
      <w:r w:rsidRPr="00342946">
        <w:rPr>
          <w:rFonts w:ascii="Palatino Linotype" w:hAnsi="Palatino Linotype" w:cs="Arial"/>
          <w:b/>
        </w:rPr>
        <w:t xml:space="preserve">(SAIMEX), </w:t>
      </w:r>
      <w:r w:rsidRPr="00342946">
        <w:rPr>
          <w:rFonts w:ascii="Palatino Linotype" w:hAnsi="Palatino Linotype" w:cs="Arial"/>
        </w:rPr>
        <w:t>de lo siguiente:</w:t>
      </w:r>
    </w:p>
    <w:p w14:paraId="390FD46F" w14:textId="77777777" w:rsidR="00644615" w:rsidRDefault="00644615" w:rsidP="00644615">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rPr>
        <w:t>Acuerdo que emita el Comité de Transparencia por el cual se declare formalmente la inexistencia del Atlas de Riesgo de 2022.</w:t>
      </w:r>
    </w:p>
    <w:p w14:paraId="2F5578D2" w14:textId="77777777" w:rsidR="00CC56D8" w:rsidRDefault="00CC56D8" w:rsidP="00CC56D8">
      <w:pPr>
        <w:autoSpaceDE w:val="0"/>
        <w:autoSpaceDN w:val="0"/>
        <w:adjustRightInd w:val="0"/>
        <w:spacing w:before="240" w:line="360" w:lineRule="auto"/>
        <w:jc w:val="both"/>
        <w:rPr>
          <w:rFonts w:ascii="Palatino Linotype" w:hAnsi="Palatino Linotype" w:cs="Arial"/>
          <w:b/>
          <w:sz w:val="28"/>
          <w:szCs w:val="28"/>
        </w:rPr>
      </w:pPr>
    </w:p>
    <w:p w14:paraId="7D08E99A" w14:textId="77777777" w:rsidR="00CC56D8" w:rsidRDefault="00CC56D8" w:rsidP="00CC56D8">
      <w:pPr>
        <w:autoSpaceDE w:val="0"/>
        <w:autoSpaceDN w:val="0"/>
        <w:adjustRightInd w:val="0"/>
        <w:spacing w:before="240" w:line="360" w:lineRule="auto"/>
        <w:jc w:val="both"/>
        <w:rPr>
          <w:rFonts w:ascii="Palatino Linotype" w:hAnsi="Palatino Linotype" w:cs="Arial"/>
        </w:rPr>
      </w:pPr>
      <w:r w:rsidRPr="00D62F3F">
        <w:rPr>
          <w:rFonts w:ascii="Palatino Linotype" w:hAnsi="Palatino Linotype" w:cs="Arial"/>
          <w:b/>
          <w:sz w:val="28"/>
          <w:szCs w:val="28"/>
        </w:rPr>
        <w:t>TERCERO.</w:t>
      </w:r>
      <w:r>
        <w:rPr>
          <w:rFonts w:ascii="Palatino Linotype" w:hAnsi="Palatino Linotype" w:cs="Arial"/>
          <w:b/>
        </w:rPr>
        <w:t xml:space="preserve"> </w:t>
      </w:r>
      <w:r w:rsidRPr="002A12F5">
        <w:rPr>
          <w:rFonts w:ascii="Palatino Linotype" w:hAnsi="Palatino Linotype" w:cs="Arial"/>
          <w:b/>
        </w:rPr>
        <w:t>Notifíquese</w:t>
      </w:r>
      <w:r w:rsidRPr="002A12F5">
        <w:rPr>
          <w:rFonts w:ascii="Palatino Linotype" w:hAnsi="Palatino Linotype" w:cs="Arial"/>
          <w:b/>
          <w:i/>
        </w:rPr>
        <w:t xml:space="preserve"> </w:t>
      </w:r>
      <w:r w:rsidRPr="002A12F5">
        <w:rPr>
          <w:rFonts w:ascii="Palatino Linotype" w:hAnsi="Palatino Linotype" w:cs="Arial"/>
        </w:rPr>
        <w:t>al Titular de la Unidad de Transparencia del</w:t>
      </w:r>
      <w:r w:rsidRPr="002A12F5">
        <w:rPr>
          <w:rFonts w:ascii="Palatino Linotype" w:hAnsi="Palatino Linotype" w:cs="Arial"/>
          <w:b/>
        </w:rPr>
        <w:t xml:space="preserve"> SUJETO OBLIGADO</w:t>
      </w:r>
      <w:r w:rsidRPr="002A12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rPr>
        <w:t xml:space="preserve">o del plazo de </w:t>
      </w:r>
      <w:r>
        <w:rPr>
          <w:rFonts w:ascii="Palatino Linotype" w:hAnsi="Palatino Linotype" w:cs="Arial"/>
        </w:rPr>
        <w:t>diez</w:t>
      </w:r>
      <w:r w:rsidRPr="00D05C83">
        <w:rPr>
          <w:rFonts w:ascii="Palatino Linotype" w:hAnsi="Palatino Linotype" w:cs="Arial"/>
        </w:rPr>
        <w:t xml:space="preserve"> días hábiles, debiendo informar a este Instituto en un plazo de tres días hábiles siguientes sobre el cumplimient</w:t>
      </w:r>
      <w:r>
        <w:rPr>
          <w:rFonts w:ascii="Palatino Linotype" w:hAnsi="Palatino Linotype" w:cs="Arial"/>
        </w:rPr>
        <w:t xml:space="preserve">o dado a la presente resolución,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F6A690" w14:textId="77777777" w:rsidR="00CC56D8" w:rsidRDefault="00CC56D8" w:rsidP="00CC56D8">
      <w:pPr>
        <w:autoSpaceDE w:val="0"/>
        <w:autoSpaceDN w:val="0"/>
        <w:adjustRightInd w:val="0"/>
        <w:spacing w:before="240" w:line="360" w:lineRule="auto"/>
        <w:jc w:val="both"/>
        <w:rPr>
          <w:rFonts w:ascii="Palatino Linotype" w:hAnsi="Palatino Linotype" w:cs="Arial"/>
        </w:rPr>
      </w:pPr>
    </w:p>
    <w:p w14:paraId="6660D89F" w14:textId="77777777" w:rsidR="00CC56D8" w:rsidRDefault="00CC56D8" w:rsidP="00CC56D8">
      <w:pPr>
        <w:autoSpaceDE w:val="0"/>
        <w:autoSpaceDN w:val="0"/>
        <w:adjustRightInd w:val="0"/>
        <w:spacing w:line="360" w:lineRule="auto"/>
        <w:jc w:val="both"/>
        <w:rPr>
          <w:rFonts w:ascii="Palatino Linotype" w:hAnsi="Palatino Linotype" w:cs="Arial"/>
        </w:rPr>
      </w:pPr>
      <w:r w:rsidRPr="00342946">
        <w:rPr>
          <w:rFonts w:ascii="Palatino Linotype" w:hAnsi="Palatino Linotype" w:cs="Arial"/>
          <w:b/>
          <w:sz w:val="28"/>
          <w:szCs w:val="26"/>
        </w:rPr>
        <w:t>CUARTO</w:t>
      </w:r>
      <w:r w:rsidRPr="000F5B7E">
        <w:rPr>
          <w:rFonts w:ascii="Palatino Linotype" w:hAnsi="Palatino Linotype" w:cs="Arial"/>
          <w:b/>
          <w:sz w:val="26"/>
          <w:szCs w:val="26"/>
        </w:rPr>
        <w:t>.</w:t>
      </w:r>
      <w:r w:rsidRPr="000F5B7E">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6344B3" w14:textId="77777777" w:rsidR="00CC56D8" w:rsidRPr="005751B7" w:rsidRDefault="00CC56D8" w:rsidP="00CC56D8">
      <w:pPr>
        <w:autoSpaceDE w:val="0"/>
        <w:autoSpaceDN w:val="0"/>
        <w:adjustRightInd w:val="0"/>
        <w:spacing w:line="360" w:lineRule="auto"/>
        <w:jc w:val="both"/>
        <w:rPr>
          <w:rFonts w:ascii="Palatino Linotype" w:hAnsi="Palatino Linotype" w:cs="Arial"/>
        </w:rPr>
      </w:pPr>
    </w:p>
    <w:p w14:paraId="774F40F2" w14:textId="77777777" w:rsidR="00CC56D8" w:rsidRPr="00F77047" w:rsidRDefault="00CC56D8" w:rsidP="00CC56D8">
      <w:pPr>
        <w:spacing w:line="360" w:lineRule="auto"/>
        <w:jc w:val="both"/>
        <w:rPr>
          <w:rFonts w:ascii="Palatino Linotype" w:hAnsi="Palatino Linotype" w:cs="Arial"/>
          <w:b/>
          <w:sz w:val="18"/>
        </w:rPr>
      </w:pPr>
    </w:p>
    <w:p w14:paraId="367B6D6A" w14:textId="77777777" w:rsidR="00CC56D8" w:rsidRPr="004565BE" w:rsidRDefault="00CC56D8" w:rsidP="00CC56D8">
      <w:pPr>
        <w:autoSpaceDE w:val="0"/>
        <w:autoSpaceDN w:val="0"/>
        <w:adjustRightInd w:val="0"/>
        <w:spacing w:line="360" w:lineRule="auto"/>
        <w:jc w:val="both"/>
        <w:rPr>
          <w:rFonts w:ascii="Palatino Linotype" w:hAnsi="Palatino Linotype" w:cs="Arial"/>
        </w:rPr>
      </w:pPr>
      <w:r w:rsidRPr="004565BE">
        <w:rPr>
          <w:rFonts w:ascii="Palatino Linotype" w:hAnsi="Palatino Linotype"/>
          <w:b/>
          <w:sz w:val="28"/>
          <w:szCs w:val="28"/>
        </w:rPr>
        <w:t>QUINTO.</w:t>
      </w:r>
      <w:r w:rsidRPr="004565BE">
        <w:rPr>
          <w:rFonts w:ascii="Palatino Linotype" w:hAnsi="Palatino Linotype"/>
          <w:b/>
        </w:rPr>
        <w:t xml:space="preserve"> </w:t>
      </w:r>
      <w:r w:rsidR="00644615">
        <w:rPr>
          <w:rFonts w:ascii="Palatino Linotype" w:hAnsi="Palatino Linotype" w:cs="Arial"/>
          <w:b/>
        </w:rPr>
        <w:t>Notifíquese</w:t>
      </w:r>
      <w:r w:rsidR="00644615">
        <w:rPr>
          <w:rFonts w:ascii="Palatino Linotype" w:hAnsi="Palatino Linotype" w:cs="Arial"/>
        </w:rPr>
        <w:t xml:space="preserve"> a través del Sistema de Acceso a la Información Mexiquense </w:t>
      </w:r>
      <w:r w:rsidR="00644615">
        <w:rPr>
          <w:rFonts w:ascii="Palatino Linotype" w:hAnsi="Palatino Linotype" w:cs="Arial"/>
          <w:b/>
        </w:rPr>
        <w:t>(SAIMEX),</w:t>
      </w:r>
      <w:r w:rsidR="00644615">
        <w:rPr>
          <w:rFonts w:ascii="Palatino Linotype" w:hAnsi="Palatino Linotype" w:cs="Arial"/>
        </w:rPr>
        <w:t xml:space="preserve"> al</w:t>
      </w:r>
      <w:r w:rsidR="00644615">
        <w:rPr>
          <w:rFonts w:ascii="Palatino Linotype" w:hAnsi="Palatino Linotype" w:cs="Arial"/>
          <w:b/>
          <w:bCs/>
        </w:rPr>
        <w:t xml:space="preserve"> RECURRENTE</w:t>
      </w:r>
      <w:r w:rsidR="00644615">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w:t>
      </w:r>
      <w:r w:rsidR="00644615">
        <w:rPr>
          <w:rFonts w:ascii="Palatino Linotype" w:hAnsi="Palatino Linotype" w:cs="Arial"/>
          <w:b/>
        </w:rPr>
        <w:t>Instituto Nacional de Transparencia, Acceso a la Información y Protección de Datos Personales</w:t>
      </w:r>
      <w:r w:rsidR="00644615">
        <w:rPr>
          <w:rFonts w:ascii="Palatino Linotype" w:hAnsi="Palatino Linotype" w:cs="Arial"/>
        </w:rPr>
        <w:t>, o bien, vía Juicio de Amparo en los términos de las leyes aplicables.</w:t>
      </w:r>
    </w:p>
    <w:p w14:paraId="38214BC2" w14:textId="77777777" w:rsidR="00CC56D8" w:rsidRDefault="00CC56D8" w:rsidP="00CC56D8">
      <w:pPr>
        <w:autoSpaceDE w:val="0"/>
        <w:autoSpaceDN w:val="0"/>
        <w:adjustRightInd w:val="0"/>
        <w:spacing w:line="360" w:lineRule="auto"/>
        <w:jc w:val="both"/>
        <w:rPr>
          <w:rFonts w:ascii="Palatino Linotype" w:hAnsi="Palatino Linotype" w:cs="Arial"/>
        </w:rPr>
      </w:pPr>
    </w:p>
    <w:p w14:paraId="7064198E" w14:textId="77777777" w:rsidR="00CC56D8" w:rsidRPr="007C3942" w:rsidRDefault="00CC56D8" w:rsidP="004400BB">
      <w:pPr>
        <w:spacing w:line="360" w:lineRule="auto"/>
        <w:jc w:val="both"/>
        <w:rPr>
          <w:rFonts w:ascii="Palatino Linotype" w:hAnsi="Palatino Linotype" w:cs="Arial"/>
        </w:rPr>
      </w:pPr>
      <w:r w:rsidRPr="007C3942">
        <w:rPr>
          <w:rFonts w:ascii="Palatino Linotype" w:hAnsi="Palatino Linotype" w:cs="Arial"/>
        </w:rPr>
        <w:t xml:space="preserve">ASÍ LO RESUELVE, POR </w:t>
      </w:r>
      <w:r w:rsidR="00470242">
        <w:rPr>
          <w:rFonts w:ascii="Palatino Linotype" w:hAnsi="Palatino Linotype" w:cs="Arial"/>
        </w:rPr>
        <w:t>MAYORÍA</w:t>
      </w:r>
      <w:r w:rsidRPr="007C3942">
        <w:rPr>
          <w:rFonts w:ascii="Palatino Linotype" w:hAnsi="Palatino Linotype" w:cs="Arial"/>
        </w:rPr>
        <w:t xml:space="preserve">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w:t>
      </w:r>
      <w:r w:rsidR="00470242">
        <w:rPr>
          <w:rFonts w:ascii="Palatino Linotype" w:hAnsi="Palatino Linotype" w:cs="Arial"/>
        </w:rPr>
        <w:t>(</w:t>
      </w:r>
      <w:r w:rsidR="007C752F">
        <w:rPr>
          <w:rFonts w:ascii="Palatino Linotype" w:hAnsi="Palatino Linotype" w:cs="Arial"/>
        </w:rPr>
        <w:t xml:space="preserve">EMITIENDO </w:t>
      </w:r>
      <w:r w:rsidR="00470242">
        <w:rPr>
          <w:rFonts w:ascii="Palatino Linotype" w:hAnsi="Palatino Linotype" w:cs="Arial"/>
        </w:rPr>
        <w:t xml:space="preserve">VOTO DISIDENTE CONCURRENTE) </w:t>
      </w:r>
      <w:r>
        <w:rPr>
          <w:rFonts w:ascii="Palatino Linotype" w:hAnsi="Palatino Linotype" w:cs="Arial"/>
        </w:rPr>
        <w:t>Y GUADALUPE RAMÍREZ PEÑA</w:t>
      </w:r>
      <w:r w:rsidR="00470242">
        <w:rPr>
          <w:rFonts w:ascii="Palatino Linotype" w:hAnsi="Palatino Linotype" w:cs="Arial"/>
        </w:rPr>
        <w:t xml:space="preserve"> (</w:t>
      </w:r>
      <w:r w:rsidR="007C752F">
        <w:rPr>
          <w:rFonts w:ascii="Palatino Linotype" w:hAnsi="Palatino Linotype" w:cs="Arial"/>
        </w:rPr>
        <w:t xml:space="preserve">EMITIENDO </w:t>
      </w:r>
      <w:r w:rsidR="00470242">
        <w:rPr>
          <w:rFonts w:ascii="Palatino Linotype" w:hAnsi="Palatino Linotype" w:cs="Arial"/>
        </w:rPr>
        <w:t>VOTO DISIDENTE CONCURRENTE)</w:t>
      </w:r>
      <w:r>
        <w:rPr>
          <w:rFonts w:ascii="Palatino Linotype" w:hAnsi="Palatino Linotype" w:cs="Arial"/>
        </w:rPr>
        <w:t xml:space="preserve">, EN LA </w:t>
      </w:r>
      <w:r w:rsidR="00644615">
        <w:rPr>
          <w:rFonts w:ascii="Palatino Linotype" w:hAnsi="Palatino Linotype" w:cs="Arial"/>
        </w:rPr>
        <w:t>CUADRA</w:t>
      </w:r>
      <w:r>
        <w:rPr>
          <w:rFonts w:ascii="Palatino Linotype" w:hAnsi="Palatino Linotype" w:cs="Arial"/>
        </w:rPr>
        <w:t xml:space="preserve">GÉSIMA </w:t>
      </w:r>
      <w:r w:rsidR="00644615">
        <w:rPr>
          <w:rFonts w:ascii="Palatino Linotype" w:hAnsi="Palatino Linotype" w:cs="Arial"/>
        </w:rPr>
        <w:t>CUARTA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644615">
        <w:rPr>
          <w:rFonts w:ascii="Palatino Linotype" w:hAnsi="Palatino Linotype" w:cs="Arial"/>
        </w:rPr>
        <w:t>SEIS DE DICIEMBRE</w:t>
      </w:r>
      <w:r>
        <w:rPr>
          <w:rFonts w:ascii="Palatino Linotype" w:hAnsi="Palatino Linotype" w:cs="Arial"/>
        </w:rPr>
        <w:t xml:space="preserve"> DE DOS MIL VEINTITRÉS</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2069EE">
        <w:rPr>
          <w:rFonts w:ascii="Palatino Linotype" w:hAnsi="Palatino Linotype" w:cs="Arial"/>
        </w:rPr>
        <w:t>----------</w:t>
      </w:r>
      <w:r w:rsidR="007C752F">
        <w:rPr>
          <w:rFonts w:ascii="Palatino Linotype" w:hAnsi="Palatino Linotype" w:cs="Arial"/>
        </w:rPr>
        <w:t>---</w:t>
      </w:r>
    </w:p>
    <w:p w14:paraId="4B3552BF" w14:textId="77777777" w:rsidR="002069EE" w:rsidRDefault="002069EE" w:rsidP="00CC56D8">
      <w:pPr>
        <w:spacing w:line="360" w:lineRule="auto"/>
        <w:jc w:val="both"/>
        <w:rPr>
          <w:rFonts w:ascii="Palatino Linotype" w:hAnsi="Palatino Linotype" w:cs="Arial"/>
        </w:rPr>
      </w:pPr>
      <w:r w:rsidRPr="009B0943">
        <w:rPr>
          <w:rFonts w:ascii="Palatino Linotype" w:eastAsiaTheme="minorEastAsia" w:hAnsi="Palatino Linotype"/>
          <w:color w:val="000000" w:themeColor="text1"/>
          <w:lang w:val="es-ES_tradnl"/>
        </w:rPr>
        <w:t>-----------------------------</w:t>
      </w:r>
      <w:r>
        <w:rPr>
          <w:rFonts w:ascii="Palatino Linotype" w:eastAsiaTheme="minorEastAsia" w:hAnsi="Palatino Linotype"/>
          <w:color w:val="000000" w:themeColor="text1"/>
          <w:lang w:val="es-ES_tradnl"/>
        </w:rPr>
        <w:t>----------------------</w:t>
      </w:r>
      <w:r w:rsidRPr="009B0943">
        <w:rPr>
          <w:rFonts w:ascii="Palatino Linotype" w:eastAsiaTheme="minorEastAsia" w:hAnsi="Palatino Linotype"/>
          <w:color w:val="000000" w:themeColor="text1"/>
          <w:lang w:val="es-ES_tradnl"/>
        </w:rPr>
        <w:t>--------------------------------</w:t>
      </w:r>
      <w:r>
        <w:rPr>
          <w:rFonts w:ascii="Palatino Linotype" w:eastAsiaTheme="minorEastAsia" w:hAnsi="Palatino Linotype"/>
          <w:color w:val="000000" w:themeColor="text1"/>
          <w:lang w:val="es-ES_tradnl"/>
        </w:rPr>
        <w:t>-------------------------------</w:t>
      </w:r>
    </w:p>
    <w:p w14:paraId="57B45475" w14:textId="77777777" w:rsidR="00CC56D8" w:rsidRPr="005323D1" w:rsidRDefault="00CC56D8" w:rsidP="00CC56D8">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14:paraId="3C18FBFF" w14:textId="77777777" w:rsidR="00CC56D8" w:rsidRDefault="00CC56D8" w:rsidP="00CC56D8"/>
    <w:p w14:paraId="25884A44" w14:textId="77777777" w:rsidR="00CC56D8" w:rsidRDefault="00CC56D8" w:rsidP="00CC56D8"/>
    <w:p w14:paraId="7895EA5E" w14:textId="77777777" w:rsidR="00CC56D8" w:rsidRDefault="00CC56D8" w:rsidP="00CC56D8"/>
    <w:p w14:paraId="2A4D05EC" w14:textId="77777777" w:rsidR="00CC56D8" w:rsidRDefault="00CC56D8" w:rsidP="00CC56D8"/>
    <w:p w14:paraId="67E8E641" w14:textId="77777777" w:rsidR="00CC56D8" w:rsidRDefault="00CC56D8" w:rsidP="00CC56D8"/>
    <w:p w14:paraId="6CD63C4E" w14:textId="77777777" w:rsidR="00CC56D8" w:rsidRDefault="00CC56D8" w:rsidP="00CC56D8"/>
    <w:p w14:paraId="71D45D5E" w14:textId="77777777" w:rsidR="00CC56D8" w:rsidRDefault="00CC56D8" w:rsidP="00CC56D8"/>
    <w:p w14:paraId="7B0EC1AD" w14:textId="77777777" w:rsidR="00CC56D8" w:rsidRDefault="00CC56D8" w:rsidP="00CC56D8"/>
    <w:p w14:paraId="002904A9" w14:textId="77777777" w:rsidR="00CC56D8" w:rsidRDefault="00CC56D8" w:rsidP="00CC56D8"/>
    <w:p w14:paraId="40A46FC8" w14:textId="77777777" w:rsidR="00CC56D8" w:rsidRDefault="00CC56D8" w:rsidP="00CC56D8"/>
    <w:p w14:paraId="7F6121D2" w14:textId="77777777" w:rsidR="00CC56D8" w:rsidRDefault="00CC56D8" w:rsidP="00CC56D8"/>
    <w:p w14:paraId="4C5B7F88" w14:textId="77777777" w:rsidR="00CC56D8" w:rsidRDefault="00CC56D8" w:rsidP="00CC56D8"/>
    <w:p w14:paraId="6D386330" w14:textId="77777777" w:rsidR="00CC56D8" w:rsidRDefault="00CC56D8" w:rsidP="00CC56D8"/>
    <w:p w14:paraId="27422006" w14:textId="77777777" w:rsidR="00CC56D8" w:rsidRDefault="00CC56D8" w:rsidP="00CC56D8"/>
    <w:p w14:paraId="2ED35C20" w14:textId="77777777" w:rsidR="00CC56D8" w:rsidRDefault="00CC56D8" w:rsidP="00CC56D8"/>
    <w:p w14:paraId="7D81F836" w14:textId="77777777" w:rsidR="00CC56D8" w:rsidRDefault="00CC56D8" w:rsidP="00CC56D8"/>
    <w:p w14:paraId="7E1C1F7B" w14:textId="77777777" w:rsidR="00CC56D8" w:rsidRDefault="00CC56D8" w:rsidP="00CC56D8"/>
    <w:p w14:paraId="17F0B93B" w14:textId="77777777" w:rsidR="00CC56D8" w:rsidRDefault="00CC56D8" w:rsidP="00CC56D8"/>
    <w:p w14:paraId="08FED68B" w14:textId="77777777" w:rsidR="00CC56D8" w:rsidRDefault="00CC56D8" w:rsidP="00CC56D8"/>
    <w:p w14:paraId="33793843" w14:textId="77777777" w:rsidR="007040DB" w:rsidRDefault="007040DB"/>
    <w:sectPr w:rsidR="007040DB" w:rsidSect="00C45EC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9905" w14:textId="77777777" w:rsidR="00CC56D8" w:rsidRDefault="00CC56D8" w:rsidP="00CC56D8">
      <w:r>
        <w:separator/>
      </w:r>
    </w:p>
  </w:endnote>
  <w:endnote w:type="continuationSeparator" w:id="0">
    <w:p w14:paraId="1BEFB8D8" w14:textId="77777777" w:rsidR="00CC56D8" w:rsidRDefault="00CC56D8" w:rsidP="00CC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4BE5" w14:textId="77777777" w:rsidR="00415A76" w:rsidRPr="00A2780F" w:rsidRDefault="00644615"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C752F">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C752F">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49BC" w14:textId="77777777" w:rsidR="00415A76" w:rsidRPr="00070856" w:rsidRDefault="00644615"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C752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C752F">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A975" w14:textId="77777777" w:rsidR="00CC56D8" w:rsidRDefault="00CC56D8" w:rsidP="00CC56D8">
      <w:r>
        <w:separator/>
      </w:r>
    </w:p>
  </w:footnote>
  <w:footnote w:type="continuationSeparator" w:id="0">
    <w:p w14:paraId="060CD14D" w14:textId="77777777" w:rsidR="00CC56D8" w:rsidRDefault="00CC56D8" w:rsidP="00CC56D8">
      <w:r>
        <w:continuationSeparator/>
      </w:r>
    </w:p>
  </w:footnote>
  <w:footnote w:id="1">
    <w:p w14:paraId="5ECB3754" w14:textId="77777777" w:rsidR="00CC56D8" w:rsidRPr="005552A8" w:rsidRDefault="00CC56D8" w:rsidP="00CC56D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166AD5" w14:textId="77777777" w:rsidR="00CC56D8" w:rsidRPr="005552A8" w:rsidRDefault="00CC56D8" w:rsidP="00CC56D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C45EC2" w:rsidRPr="008F2CCC" w14:paraId="47432988" w14:textId="77777777" w:rsidTr="00C45EC2">
      <w:tc>
        <w:tcPr>
          <w:tcW w:w="3620" w:type="dxa"/>
          <w:shd w:val="clear" w:color="auto" w:fill="auto"/>
        </w:tcPr>
        <w:p w14:paraId="5F985E64" w14:textId="77777777" w:rsidR="00415A76" w:rsidRPr="007E5FC4" w:rsidRDefault="0064461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36A120B" w14:textId="77777777" w:rsidR="00415A76" w:rsidRPr="00664658" w:rsidRDefault="002069EE" w:rsidP="0057738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CC56D8">
            <w:rPr>
              <w:rFonts w:ascii="Palatino Linotype" w:hAnsi="Palatino Linotype"/>
              <w:b/>
              <w:sz w:val="22"/>
              <w:szCs w:val="22"/>
              <w:lang w:val="es-ES_tradnl"/>
            </w:rPr>
            <w:t>78</w:t>
          </w:r>
          <w:r w:rsidR="00644615">
            <w:rPr>
              <w:rFonts w:ascii="Palatino Linotype" w:hAnsi="Palatino Linotype"/>
              <w:b/>
              <w:sz w:val="22"/>
              <w:szCs w:val="22"/>
              <w:lang w:val="es-ES_tradnl"/>
            </w:rPr>
            <w:t>15/INFOEM/IP/RR/2023</w:t>
          </w:r>
        </w:p>
      </w:tc>
    </w:tr>
    <w:tr w:rsidR="00C45EC2" w:rsidRPr="008F2CCC" w14:paraId="0D32F67C" w14:textId="77777777" w:rsidTr="00C45EC2">
      <w:tc>
        <w:tcPr>
          <w:tcW w:w="3620" w:type="dxa"/>
          <w:shd w:val="clear" w:color="auto" w:fill="auto"/>
        </w:tcPr>
        <w:p w14:paraId="769D11DB" w14:textId="77777777" w:rsidR="00415A76" w:rsidRPr="007E5FC4" w:rsidRDefault="0064461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2C2FB65" w14:textId="77777777" w:rsidR="00415A76" w:rsidRPr="00664658" w:rsidRDefault="00644615" w:rsidP="00577386">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CC56D8" w:rsidRPr="00CC56D8">
            <w:rPr>
              <w:rFonts w:ascii="Palatino Linotype" w:hAnsi="Palatino Linotype"/>
              <w:b/>
              <w:sz w:val="22"/>
              <w:szCs w:val="22"/>
            </w:rPr>
            <w:t>Atizapán</w:t>
          </w:r>
        </w:p>
      </w:tc>
    </w:tr>
    <w:tr w:rsidR="00C45EC2" w:rsidRPr="008F2CCC" w14:paraId="37ABA222" w14:textId="77777777" w:rsidTr="00C45EC2">
      <w:trPr>
        <w:trHeight w:val="228"/>
      </w:trPr>
      <w:tc>
        <w:tcPr>
          <w:tcW w:w="3620" w:type="dxa"/>
          <w:shd w:val="clear" w:color="auto" w:fill="auto"/>
        </w:tcPr>
        <w:p w14:paraId="7726ADA4" w14:textId="77777777" w:rsidR="00415A76" w:rsidRPr="007E5FC4" w:rsidRDefault="00644615"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1E05F10" w14:textId="77777777" w:rsidR="00415A76" w:rsidRPr="00664658" w:rsidRDefault="00644615" w:rsidP="00C45E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E77CA77" w14:textId="77777777" w:rsidR="00415A76" w:rsidRDefault="00415A76" w:rsidP="00C45EC2">
    <w:pPr>
      <w:pStyle w:val="Encabezado"/>
      <w:tabs>
        <w:tab w:val="clear" w:pos="4252"/>
        <w:tab w:val="clear" w:pos="8504"/>
        <w:tab w:val="left" w:pos="2326"/>
      </w:tabs>
      <w:rPr>
        <w:rFonts w:ascii="Palatino Linotype" w:hAnsi="Palatino Linotype"/>
        <w:sz w:val="20"/>
      </w:rPr>
    </w:pPr>
  </w:p>
  <w:p w14:paraId="649F2872" w14:textId="77777777" w:rsidR="00415A76" w:rsidRPr="001779E0" w:rsidRDefault="00644615" w:rsidP="00C45E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9A9F0A" wp14:editId="26D43C0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C45EC2" w:rsidRPr="008F2CCC" w14:paraId="74DE8EB1" w14:textId="77777777" w:rsidTr="00C45EC2">
      <w:tc>
        <w:tcPr>
          <w:tcW w:w="2977" w:type="dxa"/>
          <w:shd w:val="clear" w:color="auto" w:fill="auto"/>
        </w:tcPr>
        <w:p w14:paraId="3555F785" w14:textId="77777777" w:rsidR="00415A76" w:rsidRPr="007E5FC4" w:rsidRDefault="0064461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E05857B" w14:textId="77777777" w:rsidR="00415A76" w:rsidRPr="008F2CCC" w:rsidRDefault="002069EE"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CC56D8">
            <w:rPr>
              <w:rFonts w:ascii="Palatino Linotype" w:hAnsi="Palatino Linotype"/>
              <w:b/>
              <w:sz w:val="22"/>
              <w:szCs w:val="22"/>
              <w:lang w:val="es-ES_tradnl"/>
            </w:rPr>
            <w:t>78</w:t>
          </w:r>
          <w:r w:rsidR="00644615">
            <w:rPr>
              <w:rFonts w:ascii="Palatino Linotype" w:hAnsi="Palatino Linotype"/>
              <w:b/>
              <w:sz w:val="22"/>
              <w:szCs w:val="22"/>
              <w:lang w:val="es-ES_tradnl"/>
            </w:rPr>
            <w:t>15/INFOEM/IP/RR/2023</w:t>
          </w:r>
        </w:p>
      </w:tc>
    </w:tr>
    <w:tr w:rsidR="00C45EC2" w:rsidRPr="008F2CCC" w14:paraId="7278DADC" w14:textId="77777777" w:rsidTr="00C45EC2">
      <w:tc>
        <w:tcPr>
          <w:tcW w:w="2977" w:type="dxa"/>
          <w:shd w:val="clear" w:color="auto" w:fill="auto"/>
          <w:vAlign w:val="center"/>
        </w:tcPr>
        <w:p w14:paraId="19151E14" w14:textId="77777777" w:rsidR="00415A76" w:rsidRPr="007E5FC4" w:rsidRDefault="0064461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A2FAFD1" w14:textId="73B02B85" w:rsidR="00415A76" w:rsidRPr="008F2CCC" w:rsidRDefault="00415A76"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C45EC2" w:rsidRPr="008F2CCC" w14:paraId="27EA7157" w14:textId="77777777" w:rsidTr="00C45EC2">
      <w:trPr>
        <w:trHeight w:val="228"/>
      </w:trPr>
      <w:tc>
        <w:tcPr>
          <w:tcW w:w="2977" w:type="dxa"/>
          <w:shd w:val="clear" w:color="auto" w:fill="auto"/>
        </w:tcPr>
        <w:p w14:paraId="21712661" w14:textId="77777777" w:rsidR="00415A76" w:rsidRPr="007E5FC4" w:rsidRDefault="0064461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CDA25D7" w14:textId="77777777" w:rsidR="00415A76" w:rsidRPr="00DC41C8" w:rsidRDefault="00644615" w:rsidP="00A80205">
          <w:pPr>
            <w:spacing w:line="360" w:lineRule="auto"/>
            <w:jc w:val="right"/>
            <w:rPr>
              <w:rFonts w:ascii="Palatino Linotype" w:hAnsi="Palatino Linotype"/>
              <w:b/>
              <w:sz w:val="22"/>
              <w:szCs w:val="22"/>
            </w:rPr>
          </w:pPr>
          <w:r w:rsidRPr="009D7064">
            <w:rPr>
              <w:rFonts w:ascii="Palatino Linotype" w:hAnsi="Palatino Linotype"/>
              <w:b/>
              <w:sz w:val="22"/>
              <w:szCs w:val="22"/>
            </w:rPr>
            <w:t xml:space="preserve">Ayuntamiento de </w:t>
          </w:r>
          <w:r w:rsidR="00CC56D8" w:rsidRPr="00CC56D8">
            <w:rPr>
              <w:rFonts w:ascii="Palatino Linotype" w:hAnsi="Palatino Linotype"/>
              <w:b/>
              <w:sz w:val="22"/>
              <w:szCs w:val="22"/>
            </w:rPr>
            <w:t>Atizapán</w:t>
          </w:r>
        </w:p>
      </w:tc>
    </w:tr>
    <w:tr w:rsidR="00C45EC2" w:rsidRPr="008F2CCC" w14:paraId="12773AAE" w14:textId="77777777" w:rsidTr="00C45EC2">
      <w:tc>
        <w:tcPr>
          <w:tcW w:w="2977" w:type="dxa"/>
          <w:shd w:val="clear" w:color="auto" w:fill="auto"/>
        </w:tcPr>
        <w:p w14:paraId="680ACDFA" w14:textId="77777777" w:rsidR="00415A76" w:rsidRPr="007E5FC4" w:rsidRDefault="00644615"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018CD294" w14:textId="77777777" w:rsidR="00415A76" w:rsidRPr="008F2CCC" w:rsidRDefault="00644615"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312E08F" w14:textId="77777777" w:rsidR="00415A76" w:rsidRPr="009F1AB6" w:rsidRDefault="0064461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0F492F" wp14:editId="607760D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6BB"/>
    <w:multiLevelType w:val="hybridMultilevel"/>
    <w:tmpl w:val="3C6A1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50EA0"/>
    <w:multiLevelType w:val="hybridMultilevel"/>
    <w:tmpl w:val="C4AA6B10"/>
    <w:lvl w:ilvl="0" w:tplc="46F209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503D59"/>
    <w:multiLevelType w:val="hybridMultilevel"/>
    <w:tmpl w:val="619E7A3C"/>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660F61"/>
    <w:multiLevelType w:val="hybridMultilevel"/>
    <w:tmpl w:val="B002B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B50DC1"/>
    <w:multiLevelType w:val="hybridMultilevel"/>
    <w:tmpl w:val="4B2C2FFE"/>
    <w:lvl w:ilvl="0" w:tplc="A9886A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446047356">
    <w:abstractNumId w:val="6"/>
  </w:num>
  <w:num w:numId="2" w16cid:durableId="1725177824">
    <w:abstractNumId w:val="2"/>
  </w:num>
  <w:num w:numId="3" w16cid:durableId="924533086">
    <w:abstractNumId w:val="0"/>
  </w:num>
  <w:num w:numId="4" w16cid:durableId="1274898160">
    <w:abstractNumId w:val="1"/>
  </w:num>
  <w:num w:numId="5" w16cid:durableId="225144269">
    <w:abstractNumId w:val="5"/>
  </w:num>
  <w:num w:numId="6" w16cid:durableId="2131970826">
    <w:abstractNumId w:val="3"/>
  </w:num>
  <w:num w:numId="7" w16cid:durableId="738676688">
    <w:abstractNumId w:val="4"/>
  </w:num>
  <w:num w:numId="8" w16cid:durableId="1948345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D8"/>
    <w:rsid w:val="002069EE"/>
    <w:rsid w:val="0023174D"/>
    <w:rsid w:val="00415A76"/>
    <w:rsid w:val="004400BB"/>
    <w:rsid w:val="00470242"/>
    <w:rsid w:val="00644615"/>
    <w:rsid w:val="007040DB"/>
    <w:rsid w:val="007C752F"/>
    <w:rsid w:val="009A75EE"/>
    <w:rsid w:val="00BF616F"/>
    <w:rsid w:val="00CC56D8"/>
    <w:rsid w:val="00D336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3AF6"/>
  <w15:chartTrackingRefBased/>
  <w15:docId w15:val="{7CFE63CF-765B-49FB-8849-F7F75480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56D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56D8"/>
    <w:rPr>
      <w:rFonts w:eastAsiaTheme="minorEastAsia"/>
      <w:sz w:val="24"/>
      <w:szCs w:val="24"/>
      <w:lang w:val="es-ES_tradnl" w:eastAsia="es-ES"/>
    </w:rPr>
  </w:style>
  <w:style w:type="paragraph" w:styleId="Piedepgina">
    <w:name w:val="footer"/>
    <w:basedOn w:val="Normal"/>
    <w:link w:val="PiedepginaCar"/>
    <w:uiPriority w:val="99"/>
    <w:unhideWhenUsed/>
    <w:rsid w:val="00CC56D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56D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56D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56D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C56D8"/>
    <w:pPr>
      <w:spacing w:after="0" w:line="240" w:lineRule="auto"/>
    </w:pPr>
  </w:style>
  <w:style w:type="character" w:customStyle="1" w:styleId="SinespaciadoCar">
    <w:name w:val="Sin espaciado Car"/>
    <w:aliases w:val="Francesa Car,INAI Car"/>
    <w:link w:val="Sinespaciado"/>
    <w:uiPriority w:val="1"/>
    <w:locked/>
    <w:rsid w:val="00CC56D8"/>
  </w:style>
  <w:style w:type="character" w:styleId="Hipervnculo">
    <w:name w:val="Hyperlink"/>
    <w:aliases w:val="Hipervínculo1,Hipervínculo11,Hipervínculo12,Hipervínculo13,Hipervínculo14,Hipervínculo15"/>
    <w:basedOn w:val="Fuentedeprrafopredeter"/>
    <w:uiPriority w:val="99"/>
    <w:unhideWhenUsed/>
    <w:rsid w:val="00CC56D8"/>
    <w:rPr>
      <w:color w:val="0563C1" w:themeColor="hyperlink"/>
      <w:u w:val="single"/>
    </w:rPr>
  </w:style>
  <w:style w:type="paragraph" w:customStyle="1" w:styleId="INFOEM">
    <w:name w:val="INFOEM"/>
    <w:basedOn w:val="Normal"/>
    <w:qFormat/>
    <w:rsid w:val="00CC56D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C56D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56D8"/>
    <w:rPr>
      <w:vertAlign w:val="superscript"/>
    </w:rPr>
  </w:style>
  <w:style w:type="paragraph" w:customStyle="1" w:styleId="Citas">
    <w:name w:val="Citas"/>
    <w:basedOn w:val="Normal"/>
    <w:qFormat/>
    <w:rsid w:val="00CC56D8"/>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CC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C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7875">
      <w:bodyDiv w:val="1"/>
      <w:marLeft w:val="0"/>
      <w:marRight w:val="0"/>
      <w:marTop w:val="0"/>
      <w:marBottom w:val="0"/>
      <w:divBdr>
        <w:top w:val="none" w:sz="0" w:space="0" w:color="auto"/>
        <w:left w:val="none" w:sz="0" w:space="0" w:color="auto"/>
        <w:bottom w:val="none" w:sz="0" w:space="0" w:color="auto"/>
        <w:right w:val="none" w:sz="0" w:space="0" w:color="auto"/>
      </w:divBdr>
    </w:div>
    <w:div w:id="4156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23</Pages>
  <Words>4623</Words>
  <Characters>25427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institutometepe26@outlook.com</cp:lastModifiedBy>
  <cp:revision>9</cp:revision>
  <dcterms:created xsi:type="dcterms:W3CDTF">2023-11-27T22:15:00Z</dcterms:created>
  <dcterms:modified xsi:type="dcterms:W3CDTF">2024-01-12T20:36:00Z</dcterms:modified>
</cp:coreProperties>
</file>