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3C84" w14:textId="17AD4F6D" w:rsidR="00066B31" w:rsidRPr="00446963" w:rsidRDefault="00066B31" w:rsidP="007E4918">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D71682">
        <w:rPr>
          <w:rFonts w:cs="Tahoma"/>
        </w:rPr>
        <w:t>veintidós</w:t>
      </w:r>
      <w:r w:rsidR="008C77FB">
        <w:rPr>
          <w:rFonts w:cs="Tahoma"/>
        </w:rPr>
        <w:t xml:space="preserve"> </w:t>
      </w:r>
      <w:r w:rsidR="00480903">
        <w:rPr>
          <w:rFonts w:cs="Tahoma"/>
        </w:rPr>
        <w:t xml:space="preserve">de </w:t>
      </w:r>
      <w:r w:rsidR="00D71682">
        <w:rPr>
          <w:rFonts w:cs="Tahoma"/>
        </w:rPr>
        <w:t>febrero</w:t>
      </w:r>
      <w:r w:rsidRPr="00446963">
        <w:rPr>
          <w:rFonts w:cs="Tahoma"/>
        </w:rPr>
        <w:t xml:space="preserve"> de dos mil veinti</w:t>
      </w:r>
      <w:r w:rsidR="00D71682">
        <w:rPr>
          <w:rFonts w:cs="Tahoma"/>
        </w:rPr>
        <w:t>trés</w:t>
      </w:r>
      <w:r w:rsidRPr="00446963">
        <w:rPr>
          <w:rFonts w:cs="Tahoma"/>
        </w:rPr>
        <w:t>.</w:t>
      </w:r>
    </w:p>
    <w:p w14:paraId="53783A9E" w14:textId="77777777" w:rsidR="00066B31" w:rsidRPr="00446963" w:rsidRDefault="00066B31" w:rsidP="007E4918">
      <w:pPr>
        <w:spacing w:after="0" w:line="360" w:lineRule="auto"/>
        <w:rPr>
          <w:rFonts w:cs="Tahoma"/>
          <w:bCs/>
        </w:rPr>
      </w:pPr>
    </w:p>
    <w:p w14:paraId="466D8EC0" w14:textId="4C8E9927" w:rsidR="00066B31" w:rsidRPr="00446963" w:rsidRDefault="00066B31" w:rsidP="007E4918">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bookmarkStart w:id="0" w:name="_Hlk127309089"/>
      <w:r w:rsidR="00D71682" w:rsidRPr="00D71682">
        <w:t>17551/INFOEM/IP/RR/2022</w:t>
      </w:r>
      <w:bookmarkEnd w:id="0"/>
      <w:r w:rsidRPr="00446963">
        <w:rPr>
          <w:rFonts w:cs="Tahoma"/>
        </w:rPr>
        <w:t>, interpuesto por</w:t>
      </w:r>
      <w:r w:rsidR="00480903">
        <w:rPr>
          <w:rFonts w:cs="Tahoma"/>
        </w:rPr>
        <w:t xml:space="preserve"> </w:t>
      </w:r>
      <w:r w:rsidR="00C57139">
        <w:rPr>
          <w:rFonts w:cs="Tahoma"/>
        </w:rPr>
        <w:t>el</w:t>
      </w:r>
      <w:r w:rsidR="00C57139">
        <w:t xml:space="preserve"> </w:t>
      </w:r>
      <w:r w:rsidRPr="00446963">
        <w:rPr>
          <w:rFonts w:cs="Tahoma"/>
        </w:rPr>
        <w:t xml:space="preserve">Recurrente o Particular, en contra de la falta de respuesta del Sujeto Obligado, </w:t>
      </w:r>
      <w:r w:rsidR="008C1D17" w:rsidRPr="008C1D17">
        <w:rPr>
          <w:rFonts w:cs="Tahoma"/>
        </w:rPr>
        <w:t xml:space="preserve">Ayuntamiento </w:t>
      </w:r>
      <w:r w:rsidR="00EA6D62" w:rsidRPr="008C1D17">
        <w:rPr>
          <w:rFonts w:cs="Tahoma"/>
        </w:rPr>
        <w:t xml:space="preserve">de </w:t>
      </w:r>
      <w:r w:rsidR="00C57139" w:rsidRPr="00C57139">
        <w:rPr>
          <w:rFonts w:cs="Tahoma"/>
        </w:rPr>
        <w:t>Zinacantepec</w:t>
      </w:r>
      <w:r w:rsidRPr="00446963">
        <w:rPr>
          <w:rFonts w:cs="Tahoma"/>
        </w:rPr>
        <w:t xml:space="preserve">, a la solicitud de información con número </w:t>
      </w:r>
      <w:r w:rsidR="00C57139" w:rsidRPr="00C57139">
        <w:t>01358/ZINACANT/IP/2022</w:t>
      </w:r>
      <w:r w:rsidRPr="00446963">
        <w:rPr>
          <w:rFonts w:cs="Tahoma"/>
        </w:rPr>
        <w:t>, se emite la presente Resolución, con base en los Antecedentes y Considerandos que</w:t>
      </w:r>
      <w:r w:rsidRPr="00446963">
        <w:rPr>
          <w:rFonts w:cs="Tahoma"/>
          <w:bCs/>
        </w:rPr>
        <w:t xml:space="preserve"> se exponen a continuación:</w:t>
      </w:r>
    </w:p>
    <w:p w14:paraId="740A33F0" w14:textId="77777777" w:rsidR="00066B31" w:rsidRPr="00446963" w:rsidRDefault="00066B31" w:rsidP="007E4918">
      <w:pPr>
        <w:tabs>
          <w:tab w:val="left" w:pos="6735"/>
        </w:tabs>
        <w:spacing w:after="0" w:line="360" w:lineRule="auto"/>
        <w:rPr>
          <w:rFonts w:cs="Tahoma"/>
        </w:rPr>
      </w:pPr>
    </w:p>
    <w:p w14:paraId="4677765F" w14:textId="77777777" w:rsidR="00066B31" w:rsidRPr="00446963" w:rsidRDefault="00066B31" w:rsidP="007E4918">
      <w:pPr>
        <w:tabs>
          <w:tab w:val="center" w:pos="4522"/>
          <w:tab w:val="left" w:pos="7245"/>
        </w:tabs>
        <w:spacing w:after="0" w:line="360" w:lineRule="auto"/>
        <w:jc w:val="center"/>
        <w:rPr>
          <w:rFonts w:cs="Tahoma"/>
          <w:b/>
        </w:rPr>
      </w:pPr>
      <w:r w:rsidRPr="00446963">
        <w:rPr>
          <w:rFonts w:cs="Tahoma"/>
          <w:b/>
        </w:rPr>
        <w:t>A N T E C E D E N T E S:</w:t>
      </w:r>
    </w:p>
    <w:p w14:paraId="700501D6" w14:textId="77777777" w:rsidR="00066B31" w:rsidRPr="00446963" w:rsidRDefault="00066B31" w:rsidP="007E4918">
      <w:pPr>
        <w:spacing w:after="0" w:line="360" w:lineRule="auto"/>
      </w:pPr>
    </w:p>
    <w:p w14:paraId="0B245B18" w14:textId="77777777" w:rsidR="00066B31" w:rsidRPr="00446963" w:rsidRDefault="00066B31" w:rsidP="007E4918">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14:paraId="0CC74E03" w14:textId="77777777" w:rsidR="00066B31" w:rsidRPr="00446963" w:rsidRDefault="00066B31" w:rsidP="007E4918">
      <w:pPr>
        <w:pStyle w:val="Prrafodelista"/>
        <w:tabs>
          <w:tab w:val="left" w:pos="567"/>
        </w:tabs>
        <w:spacing w:line="360" w:lineRule="auto"/>
        <w:ind w:left="0"/>
        <w:jc w:val="both"/>
        <w:rPr>
          <w:rFonts w:ascii="Palatino Linotype" w:hAnsi="Palatino Linotype" w:cs="Tahoma"/>
          <w:color w:val="000000" w:themeColor="text1"/>
          <w:szCs w:val="22"/>
        </w:rPr>
      </w:pPr>
    </w:p>
    <w:p w14:paraId="55087599" w14:textId="511A9D4B" w:rsidR="00066B31" w:rsidRPr="005D7D5D" w:rsidRDefault="00066B31" w:rsidP="007E4918">
      <w:pPr>
        <w:tabs>
          <w:tab w:val="left" w:pos="567"/>
        </w:tabs>
        <w:spacing w:after="0" w:line="360" w:lineRule="auto"/>
        <w:ind w:right="-28"/>
        <w:rPr>
          <w:rFonts w:cs="Tahoma"/>
        </w:rPr>
      </w:pPr>
      <w:r w:rsidRPr="00446963">
        <w:rPr>
          <w:rFonts w:cs="Tahoma"/>
        </w:rPr>
        <w:t xml:space="preserve">Con fecha </w:t>
      </w:r>
      <w:r w:rsidR="00347EDD">
        <w:rPr>
          <w:rFonts w:cs="Tahoma"/>
        </w:rPr>
        <w:t>veintinueve</w:t>
      </w:r>
      <w:r w:rsidR="00043C41">
        <w:rPr>
          <w:rFonts w:cs="Tahoma"/>
        </w:rPr>
        <w:t xml:space="preserve"> de </w:t>
      </w:r>
      <w:r w:rsidR="00347EDD">
        <w:rPr>
          <w:rFonts w:cs="Tahoma"/>
        </w:rPr>
        <w:t>noviembre</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347EDD" w:rsidRPr="00347EDD">
        <w:t>01358/ZINACANT/IP/2022</w:t>
      </w:r>
      <w:r w:rsidRPr="005D7D5D">
        <w:rPr>
          <w:rFonts w:cs="Tahoma"/>
        </w:rPr>
        <w:t>,</w:t>
      </w:r>
      <w:r>
        <w:rPr>
          <w:rFonts w:cs="Tahoma"/>
        </w:rPr>
        <w:t xml:space="preserve"> ante el </w:t>
      </w:r>
      <w:r w:rsidR="00EA6D62" w:rsidRPr="00EA6D62">
        <w:rPr>
          <w:rFonts w:cs="Tahoma"/>
        </w:rPr>
        <w:t xml:space="preserve">Ayuntamiento de </w:t>
      </w:r>
      <w:r w:rsidR="00347EDD" w:rsidRPr="00347EDD">
        <w:rPr>
          <w:rFonts w:cs="Tahoma"/>
        </w:rPr>
        <w:t>Zinacantepec</w:t>
      </w:r>
      <w:r>
        <w:rPr>
          <w:rFonts w:cs="Tahoma"/>
        </w:rPr>
        <w:t>,</w:t>
      </w:r>
      <w:r w:rsidRPr="005D7D5D">
        <w:rPr>
          <w:rFonts w:cs="Tahoma"/>
        </w:rPr>
        <w:t xml:space="preserve"> en los siguientes términos:</w:t>
      </w:r>
    </w:p>
    <w:p w14:paraId="067CC026" w14:textId="77777777" w:rsidR="00FB4AE8" w:rsidRPr="00446963" w:rsidRDefault="00FB4AE8" w:rsidP="007E4918">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130FEFE5" w14:textId="77777777" w:rsidR="00066B31" w:rsidRPr="00DF6F08" w:rsidRDefault="00066B31" w:rsidP="007E4918">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14:paraId="6572CF93" w14:textId="14BEC324" w:rsidR="00066B31" w:rsidRPr="00DF6F08" w:rsidRDefault="00347EDD" w:rsidP="007E4918">
      <w:pPr>
        <w:tabs>
          <w:tab w:val="left" w:pos="4667"/>
        </w:tabs>
        <w:spacing w:after="0" w:line="360" w:lineRule="auto"/>
        <w:ind w:left="567" w:right="567"/>
        <w:rPr>
          <w:rFonts w:cs="Tahoma"/>
          <w:bCs/>
          <w:i/>
          <w:iCs/>
          <w:sz w:val="20"/>
          <w:szCs w:val="20"/>
        </w:rPr>
      </w:pPr>
      <w:r w:rsidRPr="00347EDD">
        <w:rPr>
          <w:i/>
          <w:iCs/>
          <w:color w:val="000000"/>
          <w:sz w:val="20"/>
          <w:szCs w:val="20"/>
        </w:rPr>
        <w:t>SOLICITO TODOS LOS ACUSES DE RECURSOS DE REVISIÓN DEL AYUNTAMIENTO DEL AÑO 2022</w:t>
      </w:r>
      <w:r w:rsidR="00066B31" w:rsidRPr="00DF6F08">
        <w:rPr>
          <w:rFonts w:cs="Tahoma"/>
          <w:bCs/>
          <w:i/>
          <w:iCs/>
          <w:sz w:val="20"/>
          <w:szCs w:val="20"/>
        </w:rPr>
        <w:t xml:space="preserve">” </w:t>
      </w:r>
      <w:r w:rsidR="00066B31" w:rsidRPr="00DF6F08">
        <w:rPr>
          <w:rFonts w:eastAsia="Times New Roman" w:cs="Arial"/>
          <w:bCs/>
          <w:i/>
          <w:iCs/>
          <w:sz w:val="20"/>
          <w:szCs w:val="20"/>
          <w:lang w:eastAsia="es-ES"/>
        </w:rPr>
        <w:t>(Sic)</w:t>
      </w:r>
    </w:p>
    <w:p w14:paraId="190C62D5" w14:textId="77777777" w:rsidR="00FB4AE8" w:rsidRPr="00DF6F08" w:rsidRDefault="00FB4AE8" w:rsidP="007E4918">
      <w:pPr>
        <w:tabs>
          <w:tab w:val="left" w:pos="4667"/>
        </w:tabs>
        <w:spacing w:after="0" w:line="360" w:lineRule="auto"/>
        <w:ind w:left="567" w:right="567"/>
        <w:rPr>
          <w:rFonts w:cs="Tahoma"/>
          <w:bCs/>
          <w:i/>
          <w:sz w:val="20"/>
          <w:szCs w:val="20"/>
        </w:rPr>
      </w:pPr>
    </w:p>
    <w:p w14:paraId="001974F3" w14:textId="77777777" w:rsidR="00066B31" w:rsidRPr="00DF6F08" w:rsidRDefault="00066B31" w:rsidP="007E4918">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14:paraId="6BA8340A" w14:textId="77777777" w:rsidR="00066B31" w:rsidRPr="00DF6F08" w:rsidRDefault="00066B31" w:rsidP="007E4918">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14:paraId="2EE15DF4" w14:textId="77777777" w:rsidR="00066B31" w:rsidRPr="001C232C" w:rsidRDefault="00066B31" w:rsidP="007E4918">
      <w:pPr>
        <w:tabs>
          <w:tab w:val="left" w:pos="567"/>
        </w:tabs>
        <w:spacing w:after="0" w:line="360" w:lineRule="auto"/>
        <w:rPr>
          <w:rFonts w:eastAsia="Calibri" w:cs="Tahoma"/>
          <w:b/>
          <w:bCs/>
          <w:i/>
          <w:iCs/>
          <w:sz w:val="24"/>
          <w:szCs w:val="24"/>
        </w:rPr>
      </w:pPr>
    </w:p>
    <w:p w14:paraId="656012ED" w14:textId="3693EAA0" w:rsidR="00730A1A" w:rsidRDefault="00730A1A" w:rsidP="007E4918">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14:paraId="22227BFE" w14:textId="30D4C3C6" w:rsidR="00730A1A" w:rsidRPr="00730A1A" w:rsidRDefault="00730A1A" w:rsidP="007E4918">
      <w:pPr>
        <w:tabs>
          <w:tab w:val="left" w:pos="4667"/>
        </w:tabs>
        <w:spacing w:after="0" w:line="360" w:lineRule="auto"/>
        <w:rPr>
          <w:rFonts w:eastAsia="Times New Roman" w:cs="Tahoma"/>
          <w:color w:val="auto"/>
          <w:szCs w:val="24"/>
          <w:lang w:val="es-ES" w:eastAsia="es-ES"/>
        </w:rPr>
      </w:pPr>
      <w:r w:rsidRPr="00730A1A">
        <w:rPr>
          <w:rFonts w:eastAsia="Times New Roman" w:cs="Tahoma"/>
          <w:color w:val="auto"/>
          <w:szCs w:val="24"/>
          <w:lang w:eastAsia="es-E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58746D">
        <w:rPr>
          <w:rFonts w:eastAsia="Times New Roman" w:cs="Tahoma"/>
          <w:b/>
          <w:bCs/>
          <w:color w:val="auto"/>
          <w:szCs w:val="24"/>
          <w:lang w:eastAsia="es-ES"/>
        </w:rPr>
        <w:t xml:space="preserve">Ayuntamiento de </w:t>
      </w:r>
      <w:r w:rsidR="00347EDD" w:rsidRPr="00347EDD">
        <w:rPr>
          <w:rFonts w:eastAsia="Times New Roman" w:cs="Tahoma"/>
          <w:b/>
          <w:bCs/>
          <w:color w:val="auto"/>
          <w:szCs w:val="24"/>
          <w:lang w:eastAsia="es-ES"/>
        </w:rPr>
        <w:t>Zinacantepec</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33033FE1" w14:textId="77777777" w:rsidR="00066B31" w:rsidRPr="00446963" w:rsidRDefault="00066B31" w:rsidP="007E4918">
      <w:pPr>
        <w:autoSpaceDE w:val="0"/>
        <w:autoSpaceDN w:val="0"/>
        <w:adjustRightInd w:val="0"/>
        <w:spacing w:after="0" w:line="360" w:lineRule="auto"/>
        <w:rPr>
          <w:rFonts w:cs="Tahoma"/>
          <w:b/>
        </w:rPr>
      </w:pPr>
    </w:p>
    <w:p w14:paraId="1EB66871" w14:textId="589B280B" w:rsidR="00066B31" w:rsidRPr="00446963" w:rsidRDefault="00066B31" w:rsidP="007E4918">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14:paraId="56D17863" w14:textId="77777777" w:rsidR="00066B31" w:rsidRPr="00446963" w:rsidRDefault="00066B31" w:rsidP="007E4918">
      <w:pPr>
        <w:autoSpaceDE w:val="0"/>
        <w:autoSpaceDN w:val="0"/>
        <w:adjustRightInd w:val="0"/>
        <w:spacing w:after="0" w:line="360" w:lineRule="auto"/>
        <w:rPr>
          <w:rFonts w:cs="Tahoma"/>
          <w:b/>
        </w:rPr>
      </w:pPr>
    </w:p>
    <w:p w14:paraId="600DCA6C" w14:textId="221A4AB5" w:rsidR="00610C0E" w:rsidRPr="00610C0E" w:rsidRDefault="00610C0E" w:rsidP="007E4918">
      <w:pPr>
        <w:spacing w:after="0" w:line="360" w:lineRule="auto"/>
        <w:rPr>
          <w:rFonts w:eastAsia="Calibri" w:cs="Times New Roman"/>
          <w:b/>
          <w:bCs/>
        </w:rPr>
      </w:pPr>
      <w:r w:rsidRPr="00610C0E">
        <w:rPr>
          <w:rFonts w:eastAsia="Calibri" w:cs="Times New Roman"/>
          <w:bCs/>
        </w:rPr>
        <w:t xml:space="preserve">Con fecha </w:t>
      </w:r>
      <w:r w:rsidR="009977C2">
        <w:rPr>
          <w:rFonts w:eastAsia="Calibri" w:cs="Times New Roman"/>
          <w:bCs/>
        </w:rPr>
        <w:t>veinti</w:t>
      </w:r>
      <w:r w:rsidR="00235BCF">
        <w:rPr>
          <w:rFonts w:eastAsia="Calibri" w:cs="Times New Roman"/>
          <w:bCs/>
        </w:rPr>
        <w:t>uno</w:t>
      </w:r>
      <w:r w:rsidR="009977C2">
        <w:rPr>
          <w:rFonts w:eastAsia="Calibri" w:cs="Times New Roman"/>
          <w:bCs/>
        </w:rPr>
        <w:t xml:space="preserve"> de</w:t>
      </w:r>
      <w:r>
        <w:rPr>
          <w:rFonts w:eastAsia="Calibri" w:cs="Times New Roman"/>
          <w:bCs/>
        </w:rPr>
        <w:t xml:space="preserve"> </w:t>
      </w:r>
      <w:r w:rsidR="00235BCF">
        <w:rPr>
          <w:rFonts w:eastAsia="Calibri" w:cs="Times New Roman"/>
          <w:bCs/>
        </w:rPr>
        <w:t>diciembre</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14:paraId="3F2F78D6" w14:textId="77777777" w:rsidR="00480903" w:rsidRPr="00446963" w:rsidRDefault="00480903" w:rsidP="007E4918">
      <w:pPr>
        <w:autoSpaceDE w:val="0"/>
        <w:autoSpaceDN w:val="0"/>
        <w:adjustRightInd w:val="0"/>
        <w:spacing w:after="0" w:line="360" w:lineRule="auto"/>
        <w:rPr>
          <w:rFonts w:cs="Tahoma"/>
        </w:rPr>
      </w:pPr>
    </w:p>
    <w:p w14:paraId="26E8BDC0" w14:textId="77777777" w:rsidR="00066B31" w:rsidRPr="005A6E3B" w:rsidRDefault="00066B31" w:rsidP="007E4918">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14:paraId="49C43B2D" w14:textId="13F9A08F" w:rsidR="00066B31" w:rsidRDefault="00235BCF" w:rsidP="007E4918">
      <w:pPr>
        <w:autoSpaceDE w:val="0"/>
        <w:autoSpaceDN w:val="0"/>
        <w:adjustRightInd w:val="0"/>
        <w:spacing w:after="0" w:line="360" w:lineRule="auto"/>
        <w:ind w:left="567" w:right="567"/>
        <w:rPr>
          <w:rFonts w:cs="Tahoma"/>
          <w:i/>
          <w:sz w:val="20"/>
          <w:szCs w:val="20"/>
        </w:rPr>
      </w:pPr>
      <w:r w:rsidRPr="00235BCF">
        <w:rPr>
          <w:i/>
          <w:iCs/>
          <w:sz w:val="20"/>
          <w:szCs w:val="20"/>
        </w:rPr>
        <w:t>NO ENTREGA INFORMACIÓN</w:t>
      </w:r>
      <w:r w:rsidR="00066B31" w:rsidRPr="005A6E3B">
        <w:rPr>
          <w:i/>
          <w:sz w:val="20"/>
          <w:szCs w:val="20"/>
        </w:rPr>
        <w:t>”</w:t>
      </w:r>
      <w:r w:rsidR="00066B31" w:rsidRPr="005A6E3B">
        <w:rPr>
          <w:rFonts w:cs="Tahoma"/>
          <w:i/>
          <w:sz w:val="20"/>
          <w:szCs w:val="20"/>
        </w:rPr>
        <w:t xml:space="preserve"> (Sic.)</w:t>
      </w:r>
    </w:p>
    <w:p w14:paraId="0CE1073B" w14:textId="77777777" w:rsidR="00043C41" w:rsidRPr="005A6E3B" w:rsidRDefault="00043C41" w:rsidP="007E4918">
      <w:pPr>
        <w:autoSpaceDE w:val="0"/>
        <w:autoSpaceDN w:val="0"/>
        <w:adjustRightInd w:val="0"/>
        <w:spacing w:after="0" w:line="360" w:lineRule="auto"/>
        <w:ind w:left="567" w:right="567"/>
        <w:rPr>
          <w:rFonts w:cs="Tahoma"/>
          <w:i/>
          <w:sz w:val="20"/>
          <w:szCs w:val="20"/>
        </w:rPr>
      </w:pPr>
    </w:p>
    <w:p w14:paraId="2AF5FC01" w14:textId="77777777" w:rsidR="00066B31" w:rsidRPr="005A6E3B" w:rsidRDefault="00066B31" w:rsidP="007E4918">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14:paraId="39D18A41" w14:textId="68B046C6" w:rsidR="00066B31" w:rsidRPr="005A6E3B" w:rsidRDefault="00235BCF" w:rsidP="007E4918">
      <w:pPr>
        <w:autoSpaceDE w:val="0"/>
        <w:autoSpaceDN w:val="0"/>
        <w:adjustRightInd w:val="0"/>
        <w:spacing w:after="0" w:line="360" w:lineRule="auto"/>
        <w:ind w:left="567" w:right="567"/>
        <w:rPr>
          <w:rFonts w:cs="Tahoma"/>
          <w:i/>
          <w:sz w:val="20"/>
          <w:szCs w:val="20"/>
        </w:rPr>
      </w:pPr>
      <w:r w:rsidRPr="00235BCF">
        <w:rPr>
          <w:i/>
          <w:iCs/>
          <w:sz w:val="20"/>
          <w:szCs w:val="20"/>
        </w:rPr>
        <w:t>NO ENTREGA INFORMACIÓN</w:t>
      </w:r>
      <w:r w:rsidR="00066B31" w:rsidRPr="005A6E3B">
        <w:rPr>
          <w:rFonts w:cs="Tahoma"/>
          <w:i/>
          <w:sz w:val="20"/>
          <w:szCs w:val="20"/>
        </w:rPr>
        <w:t>” (Sic.)</w:t>
      </w:r>
    </w:p>
    <w:p w14:paraId="025E20EB" w14:textId="77777777" w:rsidR="00FC6C9A" w:rsidRPr="00446963" w:rsidRDefault="00FC6C9A" w:rsidP="007E4918">
      <w:pPr>
        <w:spacing w:after="0" w:line="360" w:lineRule="auto"/>
        <w:rPr>
          <w:rFonts w:cs="Tahoma"/>
          <w:bCs/>
        </w:rPr>
      </w:pPr>
    </w:p>
    <w:p w14:paraId="5B83448B" w14:textId="0E4FFDF2" w:rsidR="00066B31" w:rsidRPr="00446963" w:rsidRDefault="00043C41" w:rsidP="007E4918">
      <w:pPr>
        <w:spacing w:after="0" w:line="360" w:lineRule="auto"/>
        <w:rPr>
          <w:rFonts w:eastAsia="Batang" w:cs="Tahoma"/>
          <w:b/>
          <w:bCs/>
        </w:rPr>
      </w:pPr>
      <w:r>
        <w:rPr>
          <w:rFonts w:cs="Tahoma"/>
          <w:b/>
        </w:rPr>
        <w:t>I</w:t>
      </w:r>
      <w:r w:rsidR="00066B31" w:rsidRPr="00446963">
        <w:rPr>
          <w:rFonts w:cs="Tahoma"/>
          <w:b/>
        </w:rPr>
        <w:t xml:space="preserve">V. </w:t>
      </w:r>
      <w:r w:rsidR="00066B31" w:rsidRPr="00446963">
        <w:rPr>
          <w:rFonts w:eastAsia="Batang" w:cs="Tahoma"/>
          <w:b/>
          <w:bCs/>
        </w:rPr>
        <w:t xml:space="preserve">Trámite del </w:t>
      </w:r>
      <w:r w:rsidR="00066B31" w:rsidRPr="00446963">
        <w:rPr>
          <w:rFonts w:cs="Tahoma"/>
          <w:b/>
        </w:rPr>
        <w:t xml:space="preserve">Recurso de Revisión </w:t>
      </w:r>
      <w:r w:rsidR="00066B31" w:rsidRPr="00446963">
        <w:rPr>
          <w:rFonts w:eastAsia="Batang" w:cs="Tahoma"/>
          <w:b/>
          <w:bCs/>
        </w:rPr>
        <w:t>ante este Instituto.</w:t>
      </w:r>
    </w:p>
    <w:p w14:paraId="55E97358" w14:textId="77777777" w:rsidR="00066B31" w:rsidRPr="00446963" w:rsidRDefault="00066B31" w:rsidP="007E4918">
      <w:pPr>
        <w:spacing w:after="0" w:line="360" w:lineRule="auto"/>
        <w:rPr>
          <w:rFonts w:eastAsia="Batang" w:cs="Tahoma"/>
          <w:b/>
          <w:bCs/>
        </w:rPr>
      </w:pPr>
    </w:p>
    <w:p w14:paraId="77FAD18E" w14:textId="2E596085" w:rsidR="00066B31" w:rsidRPr="00446963" w:rsidRDefault="00066B31" w:rsidP="007E4918">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9977C2">
        <w:rPr>
          <w:rFonts w:eastAsia="Batang" w:cs="Tahoma"/>
          <w:bCs/>
        </w:rPr>
        <w:t>veinti</w:t>
      </w:r>
      <w:r w:rsidR="00235BCF">
        <w:rPr>
          <w:rFonts w:eastAsia="Batang" w:cs="Tahoma"/>
          <w:bCs/>
        </w:rPr>
        <w:t>uno</w:t>
      </w:r>
      <w:r w:rsidR="00C8149E">
        <w:rPr>
          <w:rFonts w:eastAsia="Batang" w:cs="Tahoma"/>
          <w:bCs/>
        </w:rPr>
        <w:t xml:space="preserve"> de </w:t>
      </w:r>
      <w:r w:rsidR="00235BCF">
        <w:rPr>
          <w:rFonts w:eastAsia="Batang" w:cs="Tahoma"/>
          <w:bCs/>
        </w:rPr>
        <w:t>diciembre</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00235BCF" w:rsidRPr="00235BCF">
        <w:rPr>
          <w:b/>
          <w:bCs/>
        </w:rPr>
        <w:t>17551/INFOEM/IP/RR/2022</w:t>
      </w:r>
      <w:r w:rsidRPr="00446963">
        <w:rPr>
          <w:rFonts w:eastAsia="Batang" w:cs="Tahoma"/>
          <w:bCs/>
        </w:rPr>
        <w:t xml:space="preserve">, al medio de impugnación que nos ocupa, con base en el sistema </w:t>
      </w:r>
      <w:r w:rsidRPr="00446963">
        <w:rPr>
          <w:rFonts w:eastAsia="Batang" w:cs="Tahoma"/>
          <w:bCs/>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446963" w:rsidRDefault="00066B31" w:rsidP="007E4918">
      <w:pPr>
        <w:spacing w:after="0" w:line="360" w:lineRule="auto"/>
        <w:rPr>
          <w:rFonts w:eastAsia="Batang" w:cs="Tahoma"/>
          <w:bCs/>
        </w:rPr>
      </w:pPr>
    </w:p>
    <w:p w14:paraId="5A1C754E" w14:textId="50761AA1" w:rsidR="00066B31" w:rsidRPr="00446963" w:rsidRDefault="00066B31" w:rsidP="007E4918">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7B1B18">
        <w:rPr>
          <w:rFonts w:eastAsia="Batang" w:cs="Tahoma"/>
          <w:bCs/>
          <w:lang w:val="es-ES_tradnl"/>
        </w:rPr>
        <w:t>once</w:t>
      </w:r>
      <w:r w:rsidR="001067B6">
        <w:rPr>
          <w:rFonts w:eastAsia="Batang" w:cs="Tahoma"/>
          <w:bCs/>
          <w:lang w:val="es-ES_tradnl"/>
        </w:rPr>
        <w:t xml:space="preserve"> </w:t>
      </w:r>
      <w:r w:rsidR="00C8149E">
        <w:rPr>
          <w:rFonts w:eastAsia="Batang" w:cs="Tahoma"/>
          <w:bCs/>
          <w:lang w:val="es-ES_tradnl"/>
        </w:rPr>
        <w:t xml:space="preserve">de </w:t>
      </w:r>
      <w:r w:rsidR="007B1B18">
        <w:rPr>
          <w:rFonts w:eastAsia="Batang" w:cs="Tahoma"/>
          <w:bCs/>
          <w:lang w:val="es-ES_tradnl"/>
        </w:rPr>
        <w:t>enero</w:t>
      </w:r>
      <w:r w:rsidRPr="00446963">
        <w:rPr>
          <w:rFonts w:eastAsia="Batang" w:cs="Tahoma"/>
          <w:bCs/>
          <w:lang w:val="es-ES_tradnl"/>
        </w:rPr>
        <w:t xml:space="preserve"> de dos mil veinti</w:t>
      </w:r>
      <w:r w:rsidR="007B1B18">
        <w:rPr>
          <w:rFonts w:eastAsia="Batang" w:cs="Tahoma"/>
          <w:bCs/>
          <w:lang w:val="es-ES_tradnl"/>
        </w:rPr>
        <w:t>trés</w:t>
      </w:r>
      <w:r w:rsidRPr="00446963">
        <w:rPr>
          <w:rFonts w:eastAsia="Batang" w:cs="Tahoma"/>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B757FD">
        <w:rPr>
          <w:rFonts w:eastAsia="Batang" w:cs="Tahoma"/>
          <w:bCs/>
          <w:lang w:val="es-ES_tradnl"/>
        </w:rPr>
        <w:t>mismo día</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446963" w:rsidRDefault="00066B31" w:rsidP="007E4918">
      <w:pPr>
        <w:spacing w:after="0" w:line="360" w:lineRule="auto"/>
        <w:rPr>
          <w:rFonts w:cs="Tahoma"/>
          <w:bCs/>
        </w:rPr>
      </w:pPr>
    </w:p>
    <w:p w14:paraId="29C75A42" w14:textId="0954B3E8" w:rsidR="00066B31" w:rsidRDefault="00066B31" w:rsidP="007E4918">
      <w:pPr>
        <w:spacing w:after="0" w:line="360" w:lineRule="auto"/>
        <w:rPr>
          <w:rFonts w:cs="Tahoma"/>
          <w:lang w:val="es-ES_tradnl"/>
        </w:rPr>
      </w:pPr>
      <w:r w:rsidRPr="00446963">
        <w:rPr>
          <w:rFonts w:cs="Tahoma"/>
          <w:b/>
        </w:rPr>
        <w:t xml:space="preserve">c) </w:t>
      </w:r>
      <w:r w:rsidRPr="00B046C9">
        <w:rPr>
          <w:rFonts w:cs="Tahoma"/>
          <w:b/>
          <w:bCs/>
          <w:iCs/>
          <w:lang w:val="es-ES"/>
        </w:rPr>
        <w:t>Informe Justificado.</w:t>
      </w:r>
      <w:r w:rsidRPr="00B046C9">
        <w:rPr>
          <w:rFonts w:cs="Tahoma"/>
          <w:bCs/>
          <w:iCs/>
          <w:lang w:val="es-ES"/>
        </w:rPr>
        <w:t xml:space="preserve"> </w:t>
      </w:r>
      <w:r w:rsidR="00EB355E" w:rsidRPr="00B046C9">
        <w:rPr>
          <w:rFonts w:cs="Tahoma"/>
          <w:lang w:val="es-ES_tradnl"/>
        </w:rPr>
        <w:t xml:space="preserve">El </w:t>
      </w:r>
      <w:r w:rsidR="007B1B18" w:rsidRPr="00B046C9">
        <w:rPr>
          <w:rFonts w:cs="Tahoma"/>
          <w:lang w:val="es-ES_tradnl"/>
        </w:rPr>
        <w:t>veinte</w:t>
      </w:r>
      <w:r w:rsidR="00EB355E" w:rsidRPr="00B046C9">
        <w:rPr>
          <w:rFonts w:cs="Tahoma"/>
          <w:lang w:val="es-ES_tradnl"/>
        </w:rPr>
        <w:t xml:space="preserve"> de </w:t>
      </w:r>
      <w:r w:rsidR="007B1B18" w:rsidRPr="00B046C9">
        <w:rPr>
          <w:rFonts w:cs="Tahoma"/>
          <w:lang w:val="es-ES_tradnl"/>
        </w:rPr>
        <w:t>enero</w:t>
      </w:r>
      <w:r w:rsidR="00EB355E">
        <w:rPr>
          <w:rFonts w:cs="Tahoma"/>
          <w:lang w:val="es-ES_tradnl"/>
        </w:rPr>
        <w:t xml:space="preserve"> de dos mil veinti</w:t>
      </w:r>
      <w:r w:rsidR="007B1B18">
        <w:rPr>
          <w:rFonts w:cs="Tahoma"/>
          <w:lang w:val="es-ES_tradnl"/>
        </w:rPr>
        <w:t>trés</w:t>
      </w:r>
      <w:r w:rsidR="00EB355E">
        <w:rPr>
          <w:rFonts w:cs="Tahoma"/>
          <w:lang w:val="es-ES_tradnl"/>
        </w:rPr>
        <w:t>, se recibió, a través de Sistema de Acceso a la Información Mexiquense (SAIMEX), el Informe Justificado del Sujeto Obligado, por medio del oficio</w:t>
      </w:r>
      <w:r w:rsidR="00B757FD">
        <w:rPr>
          <w:rFonts w:cs="Tahoma"/>
          <w:lang w:val="es-ES_tradnl"/>
        </w:rPr>
        <w:t xml:space="preserve"> sin</w:t>
      </w:r>
      <w:r w:rsidR="00EB355E">
        <w:rPr>
          <w:rFonts w:cs="Tahoma"/>
          <w:lang w:val="es-ES_tradnl"/>
        </w:rPr>
        <w:t xml:space="preserve"> número,</w:t>
      </w:r>
      <w:r w:rsidR="00942B4B">
        <w:rPr>
          <w:rFonts w:cs="Tahoma"/>
          <w:lang w:val="es-ES_tradnl"/>
        </w:rPr>
        <w:t xml:space="preserve"> </w:t>
      </w:r>
      <w:r w:rsidR="00EB355E">
        <w:rPr>
          <w:rFonts w:cs="Tahoma"/>
          <w:lang w:val="es-ES_tradnl"/>
        </w:rPr>
        <w:t xml:space="preserve">emitido por el </w:t>
      </w:r>
      <w:r w:rsidR="00B046C9">
        <w:rPr>
          <w:rFonts w:cs="Tahoma"/>
          <w:lang w:val="es-ES_tradnl"/>
        </w:rPr>
        <w:t>Titular de la Unidad de Transparencia y dirigido al Solicitante</w:t>
      </w:r>
      <w:r w:rsidR="00B757FD">
        <w:rPr>
          <w:rFonts w:cs="Tahoma"/>
          <w:lang w:val="es-ES_tradnl"/>
        </w:rPr>
        <w:t xml:space="preserve">, en los términos siguientes: </w:t>
      </w:r>
    </w:p>
    <w:p w14:paraId="4B037ABC" w14:textId="5F885237" w:rsidR="00B757FD" w:rsidRPr="00B715F1" w:rsidRDefault="00B757FD" w:rsidP="007E4918">
      <w:pPr>
        <w:spacing w:after="0" w:line="360" w:lineRule="auto"/>
        <w:ind w:left="567" w:right="567"/>
        <w:rPr>
          <w:rFonts w:cs="Tahoma"/>
          <w:i/>
          <w:iCs/>
          <w:sz w:val="20"/>
          <w:szCs w:val="20"/>
          <w:lang w:val="es-ES_tradnl"/>
        </w:rPr>
      </w:pPr>
    </w:p>
    <w:p w14:paraId="0BC6F29B" w14:textId="266E9C99" w:rsidR="00B757FD" w:rsidRPr="00B715F1" w:rsidRDefault="00B757FD" w:rsidP="007E4918">
      <w:pPr>
        <w:spacing w:after="0" w:line="360" w:lineRule="auto"/>
        <w:ind w:left="567" w:right="567"/>
        <w:rPr>
          <w:rFonts w:cs="Tahoma"/>
          <w:i/>
          <w:iCs/>
          <w:sz w:val="20"/>
          <w:szCs w:val="20"/>
          <w:lang w:val="es-ES_tradnl"/>
        </w:rPr>
      </w:pPr>
      <w:r w:rsidRPr="00B715F1">
        <w:rPr>
          <w:rFonts w:cs="Tahoma"/>
          <w:i/>
          <w:iCs/>
          <w:sz w:val="20"/>
          <w:szCs w:val="20"/>
          <w:lang w:val="es-ES_tradnl"/>
        </w:rPr>
        <w:t>“…</w:t>
      </w:r>
    </w:p>
    <w:p w14:paraId="7BB0FD92" w14:textId="6E9FDE23" w:rsidR="006643B2" w:rsidRPr="006643B2" w:rsidRDefault="006643B2" w:rsidP="006643B2">
      <w:pPr>
        <w:spacing w:after="0" w:line="360" w:lineRule="auto"/>
        <w:ind w:left="567" w:right="567"/>
        <w:rPr>
          <w:rFonts w:cs="Tahoma"/>
          <w:i/>
          <w:iCs/>
          <w:sz w:val="20"/>
          <w:szCs w:val="20"/>
          <w:lang w:val="es-ES_tradnl"/>
        </w:rPr>
      </w:pPr>
      <w:r w:rsidRPr="006643B2">
        <w:rPr>
          <w:rFonts w:cs="Tahoma"/>
          <w:i/>
          <w:iCs/>
          <w:sz w:val="20"/>
          <w:szCs w:val="20"/>
          <w:lang w:val="es-ES_tradnl"/>
        </w:rPr>
        <w:t>Con el fin de poder darle una oportuna contestación al hoy recurrente le informo que este Sujeto Obligado al realizar un análisis en su solicitud procedió a turnar</w:t>
      </w:r>
      <w:r>
        <w:rPr>
          <w:rFonts w:cs="Tahoma"/>
          <w:i/>
          <w:iCs/>
          <w:sz w:val="20"/>
          <w:szCs w:val="20"/>
          <w:lang w:val="es-ES_tradnl"/>
        </w:rPr>
        <w:t>l</w:t>
      </w:r>
      <w:r w:rsidRPr="006643B2">
        <w:rPr>
          <w:rFonts w:cs="Tahoma"/>
          <w:i/>
          <w:iCs/>
          <w:sz w:val="20"/>
          <w:szCs w:val="20"/>
          <w:lang w:val="es-ES_tradnl"/>
        </w:rPr>
        <w:t xml:space="preserve">a al Servidor Público Habilitado poseedor de la información, mismo que informa que dentro de sus archivos no obran, o generan documentos por concepto </w:t>
      </w:r>
      <w:r w:rsidRPr="006643B2">
        <w:rPr>
          <w:rFonts w:cs="Tahoma"/>
          <w:b/>
          <w:bCs/>
          <w:i/>
          <w:iCs/>
          <w:sz w:val="20"/>
          <w:szCs w:val="20"/>
          <w:lang w:val="es-ES_tradnl"/>
        </w:rPr>
        <w:t>"ACUSES DE RECURSOS DE REVISIÓN..."</w:t>
      </w:r>
      <w:r w:rsidRPr="006643B2">
        <w:rPr>
          <w:rFonts w:cs="Tahoma"/>
          <w:i/>
          <w:iCs/>
          <w:sz w:val="20"/>
          <w:szCs w:val="20"/>
          <w:lang w:val="es-ES_tradnl"/>
        </w:rPr>
        <w:t xml:space="preserve">, cabe hacer mención que los recursos de revisión llegan a través del </w:t>
      </w:r>
      <w:r w:rsidRPr="006643B2">
        <w:rPr>
          <w:rFonts w:cs="Tahoma"/>
          <w:b/>
          <w:bCs/>
          <w:i/>
          <w:iCs/>
          <w:sz w:val="20"/>
          <w:szCs w:val="20"/>
          <w:lang w:val="es-ES_tradnl"/>
        </w:rPr>
        <w:t>Sistema de Acceso a la Información Mexiquense (SAIMEX)</w:t>
      </w:r>
      <w:r w:rsidRPr="006643B2">
        <w:rPr>
          <w:rFonts w:cs="Tahoma"/>
          <w:i/>
          <w:iCs/>
          <w:sz w:val="20"/>
          <w:szCs w:val="20"/>
          <w:lang w:val="es-ES_tradnl"/>
        </w:rPr>
        <w:t>, por ende no se generan ningún tipo de acuse de recibido o semejante.</w:t>
      </w:r>
    </w:p>
    <w:p w14:paraId="4FFCCD9A" w14:textId="77777777" w:rsidR="006643B2" w:rsidRPr="006643B2" w:rsidRDefault="006643B2" w:rsidP="006643B2">
      <w:pPr>
        <w:spacing w:after="0" w:line="360" w:lineRule="auto"/>
        <w:ind w:left="567" w:right="567"/>
        <w:rPr>
          <w:rFonts w:cs="Tahoma"/>
          <w:i/>
          <w:iCs/>
          <w:sz w:val="20"/>
          <w:szCs w:val="20"/>
          <w:lang w:val="es-ES_tradnl"/>
        </w:rPr>
      </w:pPr>
    </w:p>
    <w:p w14:paraId="746A99FB" w14:textId="38A22054" w:rsidR="006643B2" w:rsidRPr="006643B2" w:rsidRDefault="006643B2" w:rsidP="006643B2">
      <w:pPr>
        <w:spacing w:after="0" w:line="360" w:lineRule="auto"/>
        <w:ind w:left="567" w:right="567"/>
        <w:rPr>
          <w:rFonts w:cs="Tahoma"/>
          <w:i/>
          <w:iCs/>
          <w:sz w:val="20"/>
          <w:szCs w:val="20"/>
          <w:lang w:val="es-ES_tradnl"/>
        </w:rPr>
      </w:pPr>
      <w:r w:rsidRPr="006643B2">
        <w:rPr>
          <w:rFonts w:cs="Tahoma"/>
          <w:i/>
          <w:iCs/>
          <w:sz w:val="20"/>
          <w:szCs w:val="20"/>
          <w:lang w:val="es-ES_tradnl"/>
        </w:rPr>
        <w:t xml:space="preserve">Por tal razón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w:t>
      </w:r>
      <w:r w:rsidRPr="006643B2">
        <w:rPr>
          <w:rFonts w:cs="Tahoma"/>
          <w:i/>
          <w:iCs/>
          <w:sz w:val="20"/>
          <w:szCs w:val="20"/>
          <w:lang w:val="es-ES_tradnl"/>
        </w:rPr>
        <w:lastRenderedPageBreak/>
        <w:t>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p>
    <w:p w14:paraId="7D1CADD3" w14:textId="337D9930" w:rsidR="00B715F1" w:rsidRPr="00B715F1" w:rsidRDefault="00B715F1" w:rsidP="006643B2">
      <w:pPr>
        <w:spacing w:after="0" w:line="360" w:lineRule="auto"/>
        <w:ind w:left="567" w:right="567"/>
        <w:rPr>
          <w:rFonts w:cs="Tahoma"/>
          <w:i/>
          <w:iCs/>
          <w:sz w:val="20"/>
          <w:szCs w:val="20"/>
          <w:lang w:val="es-ES_tradnl"/>
        </w:rPr>
      </w:pPr>
      <w:r w:rsidRPr="00B715F1">
        <w:rPr>
          <w:rFonts w:cs="Tahoma"/>
          <w:i/>
          <w:iCs/>
          <w:sz w:val="20"/>
          <w:szCs w:val="20"/>
          <w:lang w:val="es-ES_tradnl"/>
        </w:rPr>
        <w:t>…”</w:t>
      </w:r>
    </w:p>
    <w:p w14:paraId="39E813EF" w14:textId="77777777" w:rsidR="00942B4B" w:rsidRPr="00446963" w:rsidRDefault="00942B4B" w:rsidP="007E4918">
      <w:pPr>
        <w:spacing w:after="0" w:line="360" w:lineRule="auto"/>
        <w:rPr>
          <w:rFonts w:cs="Tahoma"/>
          <w:b/>
          <w:lang w:val="es-ES"/>
        </w:rPr>
      </w:pPr>
    </w:p>
    <w:p w14:paraId="44CE8FB8" w14:textId="737F5E48" w:rsidR="00942B4B" w:rsidRDefault="00942B4B" w:rsidP="007E4918">
      <w:pPr>
        <w:spacing w:after="0" w:line="360" w:lineRule="auto"/>
        <w:rPr>
          <w:rFonts w:eastAsia="Calibri" w:cs="Times New Roman"/>
          <w:b/>
          <w:lang w:val="es-ES_tradnl"/>
        </w:rPr>
      </w:pPr>
      <w:r w:rsidRPr="00942B4B">
        <w:rPr>
          <w:rFonts w:eastAsia="Times New Roman" w:cs="Tahoma"/>
          <w:b/>
          <w:color w:val="auto"/>
          <w:szCs w:val="24"/>
          <w:lang w:eastAsia="es-ES"/>
        </w:rPr>
        <w:t>d) Vista del Informe Justificado.</w:t>
      </w:r>
      <w:r w:rsidRPr="00942B4B">
        <w:rPr>
          <w:rFonts w:eastAsia="Calibri" w:cs="Times New Roman"/>
          <w:bCs/>
          <w:lang w:val="es-ES_tradnl"/>
        </w:rPr>
        <w:t xml:space="preserve"> El </w:t>
      </w:r>
      <w:r w:rsidR="002C0882">
        <w:rPr>
          <w:rFonts w:eastAsia="Calibri" w:cs="Times New Roman"/>
          <w:bCs/>
          <w:lang w:val="es-ES_tradnl"/>
        </w:rPr>
        <w:t>treinta y uno</w:t>
      </w:r>
      <w:r w:rsidRPr="00942B4B">
        <w:rPr>
          <w:rFonts w:eastAsia="Calibri" w:cs="Times New Roman"/>
          <w:bCs/>
          <w:lang w:val="es-ES_tradnl"/>
        </w:rPr>
        <w:t xml:space="preserve"> de </w:t>
      </w:r>
      <w:r w:rsidR="002C0882">
        <w:rPr>
          <w:rFonts w:eastAsia="Calibri" w:cs="Times New Roman"/>
          <w:bCs/>
          <w:lang w:val="es-ES_tradnl"/>
        </w:rPr>
        <w:t>enero</w:t>
      </w:r>
      <w:r w:rsidRPr="00942B4B">
        <w:rPr>
          <w:rFonts w:eastAsia="Calibri" w:cs="Times New Roman"/>
          <w:bCs/>
          <w:lang w:val="es-ES_tradnl"/>
        </w:rPr>
        <w:t xml:space="preserve"> de dos mil veinti</w:t>
      </w:r>
      <w:r w:rsidR="002C0882">
        <w:rPr>
          <w:rFonts w:eastAsia="Calibri" w:cs="Times New Roman"/>
          <w:bCs/>
          <w:lang w:val="es-ES_tradnl"/>
        </w:rPr>
        <w:t>trés</w:t>
      </w:r>
      <w:r w:rsidRPr="00942B4B">
        <w:rPr>
          <w:rFonts w:eastAsia="Calibri" w:cs="Times New Roman"/>
          <w:bCs/>
          <w:lang w:val="es-ES_tradnl"/>
        </w:rPr>
        <w:t>, se dictó acuerdo mediante el cual se puso a la vista del Particular el Informe Justificado, entregado por el Sujeto Obligado,</w:t>
      </w:r>
      <w:r>
        <w:rPr>
          <w:rFonts w:eastAsia="Calibri" w:cs="Times New Roman"/>
          <w:bCs/>
          <w:lang w:val="es-ES_tradnl"/>
        </w:rPr>
        <w:t xml:space="preserve"> </w:t>
      </w:r>
      <w:r w:rsidRPr="00942B4B">
        <w:rPr>
          <w:rFonts w:eastAsia="Calibri" w:cs="Times New Roman"/>
          <w:bCs/>
          <w:lang w:val="es-ES_tradnl"/>
        </w:rPr>
        <w:t xml:space="preserve">el cual fue notificado a las partes, a través del Sistema de Acceso a la Información Mexiquense (SAIMEX), el </w:t>
      </w:r>
      <w:r>
        <w:rPr>
          <w:rFonts w:eastAsia="Calibri" w:cs="Times New Roman"/>
          <w:bCs/>
          <w:lang w:val="es-ES_tradnl"/>
        </w:rPr>
        <w:t>mismo día</w:t>
      </w:r>
      <w:r w:rsidRPr="00942B4B">
        <w:rPr>
          <w:rFonts w:eastAsia="Calibri" w:cs="Times New Roman"/>
          <w:bCs/>
          <w:lang w:val="es-ES_tradnl"/>
        </w:rPr>
        <w:t xml:space="preserve">. </w:t>
      </w:r>
      <w:r w:rsidRPr="00942B4B">
        <w:rPr>
          <w:rFonts w:eastAsia="Calibri" w:cs="Times New Roman"/>
          <w:b/>
          <w:lang w:val="es-ES_tradnl"/>
        </w:rPr>
        <w:t>Cabe señalar que el Recurrente fue omiso en realizar alguna manifestación que a su derecho conviniera y asistiera.</w:t>
      </w:r>
    </w:p>
    <w:p w14:paraId="099D1069" w14:textId="77777777" w:rsidR="00B715F1" w:rsidRPr="00942B4B" w:rsidRDefault="00B715F1" w:rsidP="007E4918">
      <w:pPr>
        <w:widowControl w:val="0"/>
        <w:spacing w:after="0" w:line="360" w:lineRule="auto"/>
        <w:rPr>
          <w:rFonts w:eastAsia="Calibri" w:cs="Times New Roman"/>
          <w:b/>
          <w:lang w:val="es-ES_tradnl"/>
        </w:rPr>
      </w:pPr>
    </w:p>
    <w:p w14:paraId="6EA06E35" w14:textId="6A972F9C" w:rsidR="00066B31" w:rsidRPr="00446963" w:rsidRDefault="0043443B" w:rsidP="007E4918">
      <w:pPr>
        <w:spacing w:after="0" w:line="360" w:lineRule="auto"/>
        <w:rPr>
          <w:rFonts w:cs="Tahoma"/>
        </w:rPr>
      </w:pPr>
      <w:r>
        <w:rPr>
          <w:rFonts w:cs="Tahoma"/>
          <w:b/>
        </w:rPr>
        <w:t>f</w:t>
      </w:r>
      <w:r w:rsidR="00066B31" w:rsidRPr="00446963">
        <w:rPr>
          <w:rFonts w:cs="Tahoma"/>
          <w:b/>
          <w:bCs/>
        </w:rPr>
        <w:t>) Cierre de instrucción.</w:t>
      </w:r>
      <w:r w:rsidR="00066B31" w:rsidRPr="00446963">
        <w:rPr>
          <w:rFonts w:cs="Tahoma"/>
        </w:rPr>
        <w:t xml:space="preserve">  El </w:t>
      </w:r>
      <w:r w:rsidR="00A7120A">
        <w:rPr>
          <w:rFonts w:cs="Tahoma"/>
        </w:rPr>
        <w:t>c</w:t>
      </w:r>
      <w:r w:rsidR="002C0882">
        <w:rPr>
          <w:rFonts w:cs="Tahoma"/>
        </w:rPr>
        <w:t>atorce</w:t>
      </w:r>
      <w:r w:rsidR="00C8149E">
        <w:rPr>
          <w:rFonts w:cs="Tahoma"/>
        </w:rPr>
        <w:t xml:space="preserve"> de </w:t>
      </w:r>
      <w:r w:rsidR="002C0882">
        <w:rPr>
          <w:rFonts w:cs="Tahoma"/>
        </w:rPr>
        <w:t xml:space="preserve">febrero </w:t>
      </w:r>
      <w:r w:rsidR="00066B31" w:rsidRPr="00446963">
        <w:rPr>
          <w:rFonts w:cs="Tahoma"/>
        </w:rPr>
        <w:t>de dos mil veinti</w:t>
      </w:r>
      <w:r w:rsidR="002C0882">
        <w:rPr>
          <w:rFonts w:cs="Tahoma"/>
        </w:rPr>
        <w:t>trés</w:t>
      </w:r>
      <w:r w:rsidR="00066B31" w:rsidRPr="00446963">
        <w:rPr>
          <w:rFonts w:cs="Tahoma"/>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00066B31" w:rsidRPr="00446963">
        <w:rPr>
          <w:rFonts w:cs="Tahoma"/>
          <w:lang w:val="es-ES"/>
        </w:rPr>
        <w:t xml:space="preserve">Sistema de Acceso a la Información Mexiquense (SAIMEX), </w:t>
      </w:r>
      <w:r w:rsidR="00C8149E">
        <w:rPr>
          <w:rFonts w:cs="Tahoma"/>
          <w:lang w:val="es-ES"/>
        </w:rPr>
        <w:t>el mismo día</w:t>
      </w:r>
      <w:r w:rsidR="00066B31" w:rsidRPr="00446963">
        <w:rPr>
          <w:rFonts w:cs="Tahoma"/>
        </w:rPr>
        <w:t xml:space="preserve">. </w:t>
      </w:r>
    </w:p>
    <w:p w14:paraId="1BB0C7FD" w14:textId="77777777" w:rsidR="00066B31" w:rsidRPr="00446963" w:rsidRDefault="00066B31" w:rsidP="007E4918">
      <w:pPr>
        <w:spacing w:after="0" w:line="360" w:lineRule="auto"/>
        <w:rPr>
          <w:rFonts w:cs="Tahoma"/>
          <w:b/>
          <w:bCs/>
          <w:lang w:val="es-ES"/>
        </w:rPr>
      </w:pPr>
    </w:p>
    <w:p w14:paraId="67F4FB91" w14:textId="77777777" w:rsidR="00066B31" w:rsidRPr="00446963" w:rsidRDefault="00066B31" w:rsidP="007E4918">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446963" w:rsidRDefault="00066B31" w:rsidP="007E4918">
      <w:pPr>
        <w:spacing w:after="0" w:line="360" w:lineRule="auto"/>
        <w:rPr>
          <w:rFonts w:cs="Tahoma"/>
        </w:rPr>
      </w:pPr>
    </w:p>
    <w:p w14:paraId="5BF6FD9D" w14:textId="77777777" w:rsidR="00066B31" w:rsidRPr="00446963" w:rsidRDefault="00066B31" w:rsidP="007E4918">
      <w:pPr>
        <w:spacing w:after="0" w:line="360" w:lineRule="auto"/>
        <w:jc w:val="center"/>
        <w:rPr>
          <w:rFonts w:cs="Tahoma"/>
          <w:b/>
          <w:lang w:val="es-ES"/>
        </w:rPr>
      </w:pPr>
      <w:r w:rsidRPr="00446963">
        <w:rPr>
          <w:rFonts w:cs="Tahoma"/>
          <w:b/>
          <w:lang w:val="es-ES"/>
        </w:rPr>
        <w:t>CONSIDERANDOS:</w:t>
      </w:r>
    </w:p>
    <w:p w14:paraId="2D6C5172" w14:textId="77777777" w:rsidR="00066B31" w:rsidRPr="00446963" w:rsidRDefault="00066B31" w:rsidP="007E4918">
      <w:pPr>
        <w:spacing w:after="0" w:line="360" w:lineRule="auto"/>
        <w:rPr>
          <w:rFonts w:cs="Tahoma"/>
          <w:b/>
          <w:lang w:val="es-ES"/>
        </w:rPr>
      </w:pPr>
    </w:p>
    <w:p w14:paraId="2F7D3AFC" w14:textId="77777777" w:rsidR="00066B31" w:rsidRPr="00446963" w:rsidRDefault="00066B31" w:rsidP="007E4918">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14:paraId="724CB4B4" w14:textId="77777777" w:rsidR="00066B31" w:rsidRPr="00446963" w:rsidRDefault="00066B31" w:rsidP="007E4918">
      <w:pPr>
        <w:autoSpaceDE w:val="0"/>
        <w:autoSpaceDN w:val="0"/>
        <w:adjustRightInd w:val="0"/>
        <w:spacing w:after="0" w:line="360" w:lineRule="auto"/>
        <w:rPr>
          <w:rFonts w:cs="Tahoma"/>
          <w:b/>
          <w:lang w:val="es-ES"/>
        </w:rPr>
      </w:pPr>
    </w:p>
    <w:p w14:paraId="03BD5175" w14:textId="77777777" w:rsidR="00066B31" w:rsidRPr="00446963" w:rsidRDefault="00066B31" w:rsidP="007E4918">
      <w:pPr>
        <w:spacing w:after="0" w:line="360" w:lineRule="auto"/>
        <w:rPr>
          <w:rFonts w:cs="Times New Roman"/>
        </w:rPr>
      </w:pPr>
      <w:r w:rsidRPr="00446963">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446963" w:rsidRDefault="00514645" w:rsidP="007E4918">
      <w:pPr>
        <w:autoSpaceDE w:val="0"/>
        <w:autoSpaceDN w:val="0"/>
        <w:adjustRightInd w:val="0"/>
        <w:spacing w:after="0" w:line="360" w:lineRule="auto"/>
        <w:rPr>
          <w:rFonts w:eastAsia="Calibri" w:cs="Tahoma"/>
          <w:b/>
          <w:lang w:val="es-ES" w:eastAsia="es-MX"/>
        </w:rPr>
      </w:pPr>
    </w:p>
    <w:p w14:paraId="17781ECE" w14:textId="77777777" w:rsidR="00066B31" w:rsidRDefault="00066B31" w:rsidP="007E4918">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14:paraId="6F19E637" w14:textId="77777777" w:rsidR="00066B31" w:rsidRPr="00446963" w:rsidRDefault="00066B31" w:rsidP="007E4918">
      <w:pPr>
        <w:autoSpaceDE w:val="0"/>
        <w:autoSpaceDN w:val="0"/>
        <w:adjustRightInd w:val="0"/>
        <w:spacing w:after="0" w:line="360" w:lineRule="auto"/>
        <w:rPr>
          <w:rFonts w:cs="Tahoma"/>
          <w:b/>
          <w:lang w:val="es-ES"/>
        </w:rPr>
      </w:pPr>
    </w:p>
    <w:p w14:paraId="4FA1BB66" w14:textId="77777777" w:rsidR="00066B31" w:rsidRPr="00446963" w:rsidRDefault="00066B31" w:rsidP="007E4918">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14:paraId="0A9F15CB" w14:textId="77777777" w:rsidR="00066B31" w:rsidRPr="00446963" w:rsidRDefault="00066B31" w:rsidP="007E4918">
      <w:pPr>
        <w:autoSpaceDE w:val="0"/>
        <w:autoSpaceDN w:val="0"/>
        <w:adjustRightInd w:val="0"/>
        <w:spacing w:after="0" w:line="360" w:lineRule="auto"/>
        <w:rPr>
          <w:rFonts w:cs="Tahoma"/>
          <w:lang w:val="es-ES"/>
        </w:rPr>
      </w:pPr>
    </w:p>
    <w:p w14:paraId="1413C924" w14:textId="77777777" w:rsidR="00066B31" w:rsidRPr="00446963" w:rsidRDefault="00066B31" w:rsidP="007E4918">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14:paraId="56182CFD" w14:textId="77777777" w:rsidR="00066B31" w:rsidRPr="00446963" w:rsidRDefault="00066B31" w:rsidP="007E4918">
      <w:pPr>
        <w:autoSpaceDE w:val="0"/>
        <w:autoSpaceDN w:val="0"/>
        <w:adjustRightInd w:val="0"/>
        <w:spacing w:after="0" w:line="360" w:lineRule="auto"/>
        <w:rPr>
          <w:rFonts w:eastAsia="Calibri" w:cs="Tahoma"/>
          <w:lang w:val="es-ES" w:eastAsia="es-MX"/>
        </w:rPr>
      </w:pPr>
    </w:p>
    <w:p w14:paraId="7882C79D" w14:textId="77777777" w:rsidR="00066B31" w:rsidRPr="00446963" w:rsidRDefault="00066B31" w:rsidP="007E4918">
      <w:pPr>
        <w:spacing w:after="0" w:line="360" w:lineRule="auto"/>
        <w:rPr>
          <w:rFonts w:eastAsia="Times New Roman" w:cs="Tahoma"/>
          <w:lang w:eastAsia="es-ES"/>
        </w:rPr>
      </w:pPr>
      <w:r w:rsidRPr="00446963">
        <w:rPr>
          <w:rFonts w:cs="Tahoma"/>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w:t>
      </w:r>
      <w:r w:rsidRPr="00446963">
        <w:rPr>
          <w:rFonts w:cs="Tahoma"/>
        </w:rPr>
        <w:lastRenderedPageBreak/>
        <w:t>establecidos en el artículo 191 de la Ley de Transparencia y Acceso a la Información Pública del Estado de México y Municipios, por ser improcedente.</w:t>
      </w:r>
    </w:p>
    <w:p w14:paraId="4C30CCD8" w14:textId="77777777" w:rsidR="00066B31" w:rsidRPr="00446963" w:rsidRDefault="00066B31" w:rsidP="007E4918">
      <w:pPr>
        <w:spacing w:after="0" w:line="360" w:lineRule="auto"/>
        <w:rPr>
          <w:rFonts w:cs="Tahoma"/>
        </w:rPr>
      </w:pPr>
      <w:r w:rsidRPr="00446963">
        <w:rPr>
          <w:rFonts w:cs="Tahoma"/>
        </w:rPr>
        <w:t xml:space="preserve">  </w:t>
      </w:r>
    </w:p>
    <w:p w14:paraId="072F4939" w14:textId="51AD6BD0" w:rsidR="00066B31" w:rsidRDefault="00066B31" w:rsidP="007E4918">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50DDEF0" w14:textId="77777777" w:rsidR="00FD5E6D" w:rsidRPr="00446963" w:rsidRDefault="00FD5E6D" w:rsidP="007E4918">
      <w:pPr>
        <w:spacing w:after="0" w:line="360" w:lineRule="auto"/>
        <w:rPr>
          <w:rFonts w:cs="Tahoma"/>
        </w:rPr>
      </w:pPr>
    </w:p>
    <w:p w14:paraId="1C77DA16" w14:textId="77777777" w:rsidR="00066B31" w:rsidRPr="00446963" w:rsidRDefault="00066B31" w:rsidP="007E4918">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CF63B22" w14:textId="77777777" w:rsidR="00066B31" w:rsidRPr="00446963" w:rsidRDefault="00066B31" w:rsidP="007E4918">
      <w:pPr>
        <w:spacing w:after="0" w:line="360" w:lineRule="auto"/>
        <w:rPr>
          <w:rFonts w:cs="Tahoma"/>
          <w:lang w:val="es-ES"/>
        </w:rPr>
      </w:pPr>
    </w:p>
    <w:p w14:paraId="4D476995" w14:textId="77777777" w:rsidR="00066B31" w:rsidRPr="00446963" w:rsidRDefault="00066B31" w:rsidP="007E4918">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14:paraId="47AA57FD" w14:textId="77777777" w:rsidR="00066B31" w:rsidRPr="00446963" w:rsidRDefault="00066B31" w:rsidP="007E4918">
      <w:pPr>
        <w:spacing w:after="0" w:line="360" w:lineRule="auto"/>
        <w:rPr>
          <w:rFonts w:cs="Tahoma"/>
          <w:lang w:val="es-ES"/>
        </w:rPr>
      </w:pPr>
    </w:p>
    <w:p w14:paraId="6CFE5D19" w14:textId="77777777" w:rsidR="00066B31" w:rsidRPr="00446963" w:rsidRDefault="00066B31" w:rsidP="007E4918">
      <w:pPr>
        <w:spacing w:after="0" w:line="360" w:lineRule="auto"/>
        <w:rPr>
          <w:rFonts w:cs="Tahoma"/>
        </w:rPr>
      </w:pPr>
      <w:r w:rsidRPr="00446963">
        <w:rPr>
          <w:rFonts w:cs="Tahoma"/>
          <w:b/>
          <w:bCs/>
        </w:rPr>
        <w:t>Causales de sobreseimiento.</w:t>
      </w:r>
    </w:p>
    <w:p w14:paraId="75468044" w14:textId="77777777" w:rsidR="00066B31" w:rsidRPr="00446963" w:rsidRDefault="00066B31" w:rsidP="007E4918">
      <w:pPr>
        <w:spacing w:after="0" w:line="360" w:lineRule="auto"/>
        <w:rPr>
          <w:rFonts w:cs="Tahoma"/>
        </w:rPr>
      </w:pPr>
    </w:p>
    <w:p w14:paraId="2CB39808" w14:textId="77777777" w:rsidR="00066B31" w:rsidRPr="00446963" w:rsidRDefault="00066B31" w:rsidP="007E4918">
      <w:pPr>
        <w:spacing w:after="0" w:line="360" w:lineRule="auto"/>
        <w:rPr>
          <w:rFonts w:cs="Tahoma"/>
        </w:rPr>
      </w:pPr>
      <w:r w:rsidRPr="00446963">
        <w:rPr>
          <w:rFonts w:cs="Tahoma"/>
        </w:rPr>
        <w:t>Por ser de previo y especial pronunciamiento, este Instituto analiza si se actualiza alguna causal de sobreseimiento.</w:t>
      </w:r>
    </w:p>
    <w:p w14:paraId="00DC30F8" w14:textId="77777777" w:rsidR="00066B31" w:rsidRPr="00446963" w:rsidRDefault="00066B31" w:rsidP="007E4918">
      <w:pPr>
        <w:spacing w:after="0" w:line="360" w:lineRule="auto"/>
        <w:rPr>
          <w:rFonts w:cs="Tahoma"/>
        </w:rPr>
      </w:pPr>
    </w:p>
    <w:p w14:paraId="1A4F4734" w14:textId="77777777" w:rsidR="00066B31" w:rsidRPr="00446963" w:rsidRDefault="00066B31" w:rsidP="007E4918">
      <w:pPr>
        <w:spacing w:after="0" w:line="360" w:lineRule="auto"/>
        <w:rPr>
          <w:rFonts w:cs="Tahoma"/>
        </w:rPr>
      </w:pPr>
      <w:r w:rsidRPr="00446963">
        <w:rPr>
          <w:rFonts w:cs="Tahoma"/>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446963" w:rsidRDefault="00066B31" w:rsidP="007E4918">
      <w:pPr>
        <w:spacing w:after="0" w:line="360" w:lineRule="auto"/>
        <w:rPr>
          <w:rFonts w:cs="Tahoma"/>
        </w:rPr>
      </w:pPr>
    </w:p>
    <w:p w14:paraId="26EA214E" w14:textId="77777777" w:rsidR="00066B31" w:rsidRPr="00446963" w:rsidRDefault="00066B31" w:rsidP="007E4918">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14:paraId="7F0C6A66" w14:textId="77777777" w:rsidR="00066B31" w:rsidRPr="00446963" w:rsidRDefault="00066B31" w:rsidP="007E4918">
      <w:pPr>
        <w:tabs>
          <w:tab w:val="left" w:pos="4962"/>
        </w:tabs>
        <w:spacing w:after="0" w:line="360" w:lineRule="auto"/>
        <w:rPr>
          <w:rFonts w:cs="Tahoma"/>
          <w:lang w:val="es-ES"/>
        </w:rPr>
      </w:pPr>
    </w:p>
    <w:p w14:paraId="1A5ACCAF" w14:textId="77777777" w:rsidR="00066B31" w:rsidRPr="00446963" w:rsidRDefault="00066B31" w:rsidP="007E4918">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14:paraId="286B1258" w14:textId="77777777" w:rsidR="00066B31" w:rsidRPr="00446963" w:rsidRDefault="00066B31" w:rsidP="007E4918">
      <w:pPr>
        <w:spacing w:after="0" w:line="360" w:lineRule="auto"/>
      </w:pPr>
    </w:p>
    <w:p w14:paraId="035B8B87" w14:textId="32BFBA90" w:rsidR="00066B31" w:rsidRDefault="001067B6" w:rsidP="007E4918">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w:t>
      </w:r>
      <w:r>
        <w:rPr>
          <w:rFonts w:ascii="Palatino Linotype" w:eastAsia="Calibri" w:hAnsi="Palatino Linotype" w:cs="Tahoma"/>
          <w:color w:val="000000"/>
          <w:lang w:val="es-ES" w:eastAsia="es-MX"/>
        </w:rPr>
        <w:t xml:space="preserve">icitante requirió </w:t>
      </w:r>
      <w:r w:rsidR="00057293">
        <w:rPr>
          <w:rFonts w:ascii="Palatino Linotype" w:eastAsia="Calibri" w:hAnsi="Palatino Linotype" w:cs="Tahoma"/>
          <w:color w:val="000000"/>
          <w:lang w:val="es-ES" w:eastAsia="es-MX"/>
        </w:rPr>
        <w:t xml:space="preserve">los acuses de los recursos de revisión interpuestos ante el Ayuntamiento de Zinacantepec, al veintinueve de noviembre de dos mil veintidós, fecha de la solicitud. </w:t>
      </w:r>
      <w:r w:rsidR="005A244B">
        <w:rPr>
          <w:rFonts w:ascii="Palatino Linotype" w:eastAsia="Calibri" w:hAnsi="Palatino Linotype" w:cs="Tahoma"/>
          <w:color w:val="000000"/>
          <w:lang w:val="es-ES" w:eastAsia="es-MX"/>
        </w:rPr>
        <w:t xml:space="preserve"> </w:t>
      </w:r>
    </w:p>
    <w:p w14:paraId="52A07EC6" w14:textId="77777777" w:rsidR="005A244B" w:rsidRPr="005A244B" w:rsidRDefault="005A244B" w:rsidP="007E4918">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2C38E8CD" w14:textId="65CB728C" w:rsidR="00C8149E" w:rsidRDefault="00C8149E" w:rsidP="007E4918">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 xml:space="preserve">Así las cosas, una vez admitido y notificado el Recurso de Revisión a las partes, </w:t>
      </w:r>
      <w:r w:rsidR="0043443B">
        <w:rPr>
          <w:rFonts w:ascii="Palatino Linotype" w:hAnsi="Palatino Linotype" w:cs="Tahoma"/>
          <w:sz w:val="22"/>
          <w:szCs w:val="22"/>
          <w:lang w:val="es-ES"/>
        </w:rPr>
        <w:t>el Sujeto Obligado</w:t>
      </w:r>
      <w:r w:rsidR="00FD5E6D">
        <w:rPr>
          <w:rFonts w:ascii="Palatino Linotype" w:hAnsi="Palatino Linotype" w:cs="Tahoma"/>
          <w:sz w:val="22"/>
          <w:szCs w:val="22"/>
          <w:lang w:val="es-ES"/>
        </w:rPr>
        <w:t>, a través de</w:t>
      </w:r>
      <w:r w:rsidR="00334796">
        <w:rPr>
          <w:rFonts w:ascii="Palatino Linotype" w:hAnsi="Palatino Linotype" w:cs="Tahoma"/>
          <w:sz w:val="22"/>
          <w:szCs w:val="22"/>
          <w:lang w:val="es-ES"/>
        </w:rPr>
        <w:t>l Titular de la Unidad de Transparencia</w:t>
      </w:r>
      <w:r w:rsidR="00FD5E6D">
        <w:rPr>
          <w:rFonts w:ascii="Palatino Linotype" w:hAnsi="Palatino Linotype" w:cs="Tahoma"/>
          <w:sz w:val="22"/>
          <w:szCs w:val="22"/>
          <w:lang w:val="es-ES"/>
        </w:rPr>
        <w:t xml:space="preserve">, precisó que no </w:t>
      </w:r>
      <w:r w:rsidR="00334796">
        <w:rPr>
          <w:rFonts w:ascii="Palatino Linotype" w:hAnsi="Palatino Linotype" w:cs="Tahoma"/>
          <w:sz w:val="22"/>
          <w:szCs w:val="22"/>
          <w:lang w:val="es-ES"/>
        </w:rPr>
        <w:t>genera</w:t>
      </w:r>
      <w:r w:rsidR="00882DB6">
        <w:rPr>
          <w:rFonts w:ascii="Palatino Linotype" w:hAnsi="Palatino Linotype" w:cs="Tahoma"/>
          <w:sz w:val="22"/>
          <w:szCs w:val="22"/>
          <w:lang w:val="es-ES"/>
        </w:rPr>
        <w:t>ba</w:t>
      </w:r>
      <w:r w:rsidR="00334796">
        <w:rPr>
          <w:rFonts w:ascii="Palatino Linotype" w:hAnsi="Palatino Linotype" w:cs="Tahoma"/>
          <w:sz w:val="22"/>
          <w:szCs w:val="22"/>
          <w:lang w:val="es-ES"/>
        </w:rPr>
        <w:t xml:space="preserve"> ningún tipo de acuse de recibido o semejante toda vez que los recursos de revisión lleg</w:t>
      </w:r>
      <w:r w:rsidR="00882DB6">
        <w:rPr>
          <w:rFonts w:ascii="Palatino Linotype" w:hAnsi="Palatino Linotype" w:cs="Tahoma"/>
          <w:sz w:val="22"/>
          <w:szCs w:val="22"/>
          <w:lang w:val="es-ES"/>
        </w:rPr>
        <w:t>ab</w:t>
      </w:r>
      <w:r w:rsidR="00334796">
        <w:rPr>
          <w:rFonts w:ascii="Palatino Linotype" w:hAnsi="Palatino Linotype" w:cs="Tahoma"/>
          <w:sz w:val="22"/>
          <w:szCs w:val="22"/>
          <w:lang w:val="es-ES"/>
        </w:rPr>
        <w:t>an a través del Sistema de Acceso a la Información Mexiquense (SAIMEX), por tal motivo no se e</w:t>
      </w:r>
      <w:r w:rsidR="00882DB6">
        <w:rPr>
          <w:rFonts w:ascii="Palatino Linotype" w:hAnsi="Palatino Linotype" w:cs="Tahoma"/>
          <w:sz w:val="22"/>
          <w:szCs w:val="22"/>
          <w:lang w:val="es-ES"/>
        </w:rPr>
        <w:t>ncontraba</w:t>
      </w:r>
      <w:r w:rsidR="00334796">
        <w:rPr>
          <w:rFonts w:ascii="Palatino Linotype" w:hAnsi="Palatino Linotype" w:cs="Tahoma"/>
          <w:sz w:val="22"/>
          <w:szCs w:val="22"/>
          <w:lang w:val="es-ES"/>
        </w:rPr>
        <w:t xml:space="preserve"> en posibilidades de entregar la información solicitada. </w:t>
      </w:r>
    </w:p>
    <w:p w14:paraId="46633F11" w14:textId="77777777" w:rsidR="00066B31" w:rsidRPr="00446963" w:rsidRDefault="00066B31" w:rsidP="007E4918">
      <w:pPr>
        <w:tabs>
          <w:tab w:val="left" w:pos="4962"/>
        </w:tabs>
        <w:spacing w:after="0" w:line="360" w:lineRule="auto"/>
        <w:rPr>
          <w:rFonts w:eastAsia="Calibri" w:cs="Tahoma"/>
          <w:iCs/>
          <w:lang w:val="es-ES" w:eastAsia="es-ES_tradnl"/>
        </w:rPr>
      </w:pPr>
    </w:p>
    <w:p w14:paraId="68774A70" w14:textId="3D676766" w:rsidR="00066B31" w:rsidRPr="00446963" w:rsidRDefault="00066B31" w:rsidP="007E4918">
      <w:pPr>
        <w:tabs>
          <w:tab w:val="left" w:pos="4962"/>
        </w:tabs>
        <w:spacing w:after="0" w:line="360" w:lineRule="auto"/>
        <w:rPr>
          <w:rFonts w:eastAsia="Calibri" w:cs="Tahoma"/>
          <w:bCs/>
        </w:rPr>
      </w:pPr>
      <w:r w:rsidRPr="00446963">
        <w:rPr>
          <w:rFonts w:eastAsia="Calibri" w:cs="Tahoma"/>
          <w:iCs/>
          <w:lang w:val="es-ES" w:eastAsia="es-ES_tradnl"/>
        </w:rPr>
        <w:lastRenderedPageBreak/>
        <w:t>Lo anterior, se desprende de las documentales que obran en los expedientes de referencia, materia de la presente resolución, consistente en: la solicitud de acceso a la información</w:t>
      </w:r>
      <w:r w:rsidR="00FD5E6D">
        <w:rPr>
          <w:rFonts w:eastAsia="Calibri" w:cs="Tahoma"/>
          <w:iCs/>
          <w:lang w:val="es-ES" w:eastAsia="es-ES_tradnl"/>
        </w:rPr>
        <w:t>;</w:t>
      </w:r>
      <w:r w:rsidRPr="00446963">
        <w:rPr>
          <w:rFonts w:eastAsia="Calibri" w:cs="Tahoma"/>
          <w:iCs/>
          <w:lang w:eastAsia="es-ES_tradnl"/>
        </w:rPr>
        <w:t xml:space="preserve"> el escrito recursal</w:t>
      </w:r>
      <w:r w:rsidR="00FD5E6D">
        <w:rPr>
          <w:rFonts w:eastAsia="Calibri" w:cs="Tahoma"/>
          <w:iCs/>
          <w:lang w:eastAsia="es-ES_tradnl"/>
        </w:rPr>
        <w:t xml:space="preserve"> y el Informe Justificado</w:t>
      </w:r>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446963" w:rsidRDefault="00066B31" w:rsidP="007E4918">
      <w:pPr>
        <w:tabs>
          <w:tab w:val="left" w:pos="4962"/>
        </w:tabs>
        <w:spacing w:after="0" w:line="360" w:lineRule="auto"/>
        <w:rPr>
          <w:rFonts w:eastAsia="Calibri" w:cs="Tahoma"/>
          <w:bCs/>
        </w:rPr>
      </w:pPr>
    </w:p>
    <w:p w14:paraId="299AB0F0" w14:textId="77777777" w:rsidR="00066B31" w:rsidRPr="00446963" w:rsidRDefault="00066B31" w:rsidP="007E4918">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14:paraId="2E82BC88" w14:textId="77777777" w:rsidR="00066B31" w:rsidRPr="00446963" w:rsidRDefault="00066B31" w:rsidP="007E4918">
      <w:pPr>
        <w:spacing w:after="0" w:line="360" w:lineRule="auto"/>
        <w:rPr>
          <w:rFonts w:cs="Tahoma"/>
          <w:b/>
        </w:rPr>
      </w:pPr>
    </w:p>
    <w:p w14:paraId="688782F9" w14:textId="77777777" w:rsidR="00066B31" w:rsidRPr="00446963" w:rsidRDefault="00066B31" w:rsidP="007E4918">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446963" w:rsidRDefault="00066B31" w:rsidP="007E4918">
      <w:pPr>
        <w:widowControl w:val="0"/>
        <w:spacing w:after="0" w:line="360" w:lineRule="auto"/>
        <w:rPr>
          <w:rFonts w:eastAsia="Times New Roman" w:cs="Tahoma"/>
          <w:lang w:eastAsia="es-MX"/>
        </w:rPr>
      </w:pPr>
    </w:p>
    <w:p w14:paraId="0C6AAC93" w14:textId="77777777" w:rsidR="00066B31" w:rsidRPr="00446963" w:rsidRDefault="00066B31" w:rsidP="007E4918">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446963" w:rsidRDefault="00066B31" w:rsidP="007E4918">
      <w:pPr>
        <w:widowControl w:val="0"/>
        <w:spacing w:after="0" w:line="360" w:lineRule="auto"/>
        <w:rPr>
          <w:rFonts w:eastAsia="Times New Roman" w:cs="Tahoma"/>
          <w:lang w:eastAsia="es-MX"/>
        </w:rPr>
      </w:pPr>
    </w:p>
    <w:p w14:paraId="73F41E19" w14:textId="77777777" w:rsidR="00066B31" w:rsidRPr="00446963" w:rsidRDefault="00066B31" w:rsidP="007E4918">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446963" w:rsidRDefault="00066B31" w:rsidP="007E4918">
      <w:pPr>
        <w:widowControl w:val="0"/>
        <w:spacing w:after="0" w:line="360" w:lineRule="auto"/>
        <w:rPr>
          <w:rFonts w:eastAsia="Times New Roman" w:cs="Tahoma"/>
          <w:lang w:eastAsia="es-MX"/>
        </w:rPr>
      </w:pPr>
    </w:p>
    <w:p w14:paraId="1C5CE9B0" w14:textId="4C35C362" w:rsidR="00066B31" w:rsidRDefault="00066B31" w:rsidP="007E4918">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729BA8A6" w14:textId="77777777" w:rsidR="00A47EB9" w:rsidRPr="00446963" w:rsidRDefault="00A47EB9" w:rsidP="007E4918">
      <w:pPr>
        <w:widowControl w:val="0"/>
        <w:spacing w:after="0" w:line="360" w:lineRule="auto"/>
        <w:rPr>
          <w:rFonts w:eastAsia="Times New Roman" w:cs="Tahoma"/>
          <w:lang w:eastAsia="es-MX"/>
        </w:rPr>
      </w:pPr>
    </w:p>
    <w:p w14:paraId="337DBABD" w14:textId="77777777" w:rsidR="00066B31" w:rsidRPr="00446963" w:rsidRDefault="00066B31" w:rsidP="007E4918">
      <w:pPr>
        <w:widowControl w:val="0"/>
        <w:spacing w:after="0" w:line="360" w:lineRule="auto"/>
        <w:rPr>
          <w:rFonts w:eastAsia="Times New Roman" w:cs="Tahoma"/>
          <w:lang w:eastAsia="es-MX"/>
        </w:rPr>
      </w:pPr>
      <w:r w:rsidRPr="00446963">
        <w:rPr>
          <w:rFonts w:eastAsia="Times New Roman" w:cs="Tahoma"/>
          <w:lang w:eastAsia="es-MX"/>
        </w:rPr>
        <w:lastRenderedPageBreak/>
        <w:t>El artículo 12, que, quienes generen, recopilen, administren, manejen, procesen, archiven o conserven información pública serán responsables de la misma.</w:t>
      </w:r>
    </w:p>
    <w:p w14:paraId="7971A82B" w14:textId="77777777" w:rsidR="00066B31" w:rsidRDefault="00066B31" w:rsidP="007E4918">
      <w:pPr>
        <w:widowControl w:val="0"/>
        <w:spacing w:after="0" w:line="360" w:lineRule="auto"/>
        <w:rPr>
          <w:rFonts w:eastAsia="Times New Roman" w:cs="Tahoma"/>
          <w:lang w:eastAsia="es-MX"/>
        </w:rPr>
      </w:pPr>
    </w:p>
    <w:p w14:paraId="184D6CB7" w14:textId="77777777" w:rsidR="00066B31" w:rsidRPr="00446963" w:rsidRDefault="00066B31" w:rsidP="007E4918">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446963" w:rsidRDefault="00066B31" w:rsidP="007E4918">
      <w:pPr>
        <w:widowControl w:val="0"/>
        <w:spacing w:after="0" w:line="360" w:lineRule="auto"/>
        <w:rPr>
          <w:rFonts w:eastAsia="Times New Roman" w:cs="Tahoma"/>
          <w:lang w:eastAsia="es-MX"/>
        </w:rPr>
      </w:pPr>
    </w:p>
    <w:p w14:paraId="3EE497AD" w14:textId="77777777" w:rsidR="00066B31" w:rsidRPr="00446963" w:rsidRDefault="00066B31" w:rsidP="007E4918">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F65B48" w14:textId="77777777" w:rsidR="00610C0E" w:rsidRPr="00446963" w:rsidRDefault="00610C0E" w:rsidP="007E4918">
      <w:pPr>
        <w:widowControl w:val="0"/>
        <w:spacing w:after="0" w:line="360" w:lineRule="auto"/>
        <w:rPr>
          <w:rFonts w:eastAsia="Times New Roman" w:cs="Tahoma"/>
          <w:lang w:eastAsia="es-MX"/>
        </w:rPr>
      </w:pPr>
    </w:p>
    <w:p w14:paraId="078B2F21" w14:textId="77777777" w:rsidR="00066B31" w:rsidRPr="00446963" w:rsidRDefault="00066B31" w:rsidP="007E4918">
      <w:pPr>
        <w:spacing w:after="0" w:line="360" w:lineRule="auto"/>
        <w:rPr>
          <w:rFonts w:eastAsia="Times New Roman" w:cs="Tahoma"/>
          <w:b/>
          <w:lang w:val="es-ES" w:eastAsia="es-ES"/>
        </w:rPr>
      </w:pPr>
      <w:r w:rsidRPr="00882DB6">
        <w:rPr>
          <w:rFonts w:eastAsia="Times New Roman" w:cs="Tahoma"/>
          <w:b/>
          <w:lang w:val="es-ES" w:eastAsia="es-ES"/>
        </w:rPr>
        <w:t>QUINTO. Estudio de Fondo.</w:t>
      </w:r>
    </w:p>
    <w:p w14:paraId="1138C427" w14:textId="2D1360A0" w:rsidR="00610C0E" w:rsidRDefault="00610C0E" w:rsidP="007E4918">
      <w:pPr>
        <w:spacing w:after="0" w:line="360" w:lineRule="auto"/>
        <w:rPr>
          <w:rFonts w:eastAsia="Times New Roman" w:cs="Tahoma"/>
          <w:b/>
          <w:lang w:val="es-ES" w:eastAsia="es-ES"/>
        </w:rPr>
      </w:pPr>
    </w:p>
    <w:p w14:paraId="3F8F3CC3" w14:textId="08D4628D" w:rsidR="006A0A0C" w:rsidRPr="006A0A0C" w:rsidRDefault="006A0A0C" w:rsidP="006A0A0C">
      <w:pPr>
        <w:widowControl w:val="0"/>
        <w:spacing w:after="0" w:line="360" w:lineRule="auto"/>
        <w:rPr>
          <w:rFonts w:eastAsia="Times New Roman" w:cs="Tahoma"/>
          <w:color w:val="auto"/>
          <w:lang w:eastAsia="es-MX"/>
        </w:rPr>
      </w:pPr>
      <w:r w:rsidRPr="006A0A0C">
        <w:rPr>
          <w:rFonts w:eastAsia="Times New Roman" w:cs="Tahoma"/>
          <w:color w:val="auto"/>
          <w:lang w:eastAsia="es-MX"/>
        </w:rPr>
        <w:t xml:space="preserve">Expuestas las posturas de las partes, se procede al análisis del agravio hecho valer por la ahora Recurrente, concerniente a la </w:t>
      </w:r>
      <w:r>
        <w:rPr>
          <w:rFonts w:eastAsia="Times New Roman" w:cs="Tahoma"/>
          <w:color w:val="auto"/>
          <w:lang w:eastAsia="es-MX"/>
        </w:rPr>
        <w:t xml:space="preserve">falta de respuesta </w:t>
      </w:r>
      <w:r w:rsidRPr="006A0A0C">
        <w:rPr>
          <w:rFonts w:eastAsia="Times New Roman" w:cs="Tahoma"/>
          <w:color w:val="auto"/>
          <w:lang w:eastAsia="es-MX"/>
        </w:rPr>
        <w:t xml:space="preserve">del Ayuntamiento de </w:t>
      </w:r>
      <w:r>
        <w:rPr>
          <w:rFonts w:eastAsia="Times New Roman" w:cs="Tahoma"/>
          <w:color w:val="auto"/>
          <w:lang w:eastAsia="es-MX"/>
        </w:rPr>
        <w:t>Zinacantepec</w:t>
      </w:r>
      <w:r w:rsidRPr="006A0A0C">
        <w:rPr>
          <w:rFonts w:eastAsia="Times New Roman" w:cs="Tahoma"/>
          <w:color w:val="auto"/>
          <w:lang w:eastAsia="es-MX"/>
        </w:rPr>
        <w:t>, a la solicitud de información.</w:t>
      </w:r>
    </w:p>
    <w:p w14:paraId="751AE199" w14:textId="77777777" w:rsidR="006A0A0C" w:rsidRPr="006A0A0C" w:rsidRDefault="006A0A0C" w:rsidP="006A0A0C">
      <w:pPr>
        <w:spacing w:after="0" w:line="360" w:lineRule="auto"/>
        <w:rPr>
          <w:rFonts w:eastAsia="Times New Roman" w:cs="Tahoma"/>
          <w:bCs/>
          <w:iCs/>
          <w:color w:val="auto"/>
          <w:lang w:eastAsia="es-ES"/>
        </w:rPr>
      </w:pPr>
    </w:p>
    <w:p w14:paraId="234DA5D7" w14:textId="77777777" w:rsidR="006A0A0C" w:rsidRPr="006A0A0C" w:rsidRDefault="006A0A0C" w:rsidP="006A0A0C">
      <w:pPr>
        <w:spacing w:after="0" w:line="360" w:lineRule="auto"/>
        <w:rPr>
          <w:rFonts w:eastAsia="Times New Roman" w:cs="Tahoma"/>
          <w:bCs/>
          <w:iCs/>
          <w:color w:val="auto"/>
          <w:lang w:eastAsia="es-ES"/>
        </w:rPr>
      </w:pPr>
      <w:r w:rsidRPr="006A0A0C">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FB89CC7" w14:textId="77777777" w:rsidR="006A0A0C" w:rsidRPr="006A0A0C" w:rsidRDefault="006A0A0C" w:rsidP="006A0A0C">
      <w:pPr>
        <w:spacing w:after="0" w:line="360" w:lineRule="auto"/>
        <w:rPr>
          <w:rFonts w:eastAsia="Times New Roman" w:cs="Tahoma"/>
          <w:bCs/>
          <w:iCs/>
          <w:color w:val="auto"/>
          <w:lang w:eastAsia="es-ES"/>
        </w:rPr>
      </w:pPr>
    </w:p>
    <w:p w14:paraId="78635608" w14:textId="77777777" w:rsidR="006A0A0C" w:rsidRPr="006A0A0C" w:rsidRDefault="006A0A0C" w:rsidP="006A0A0C">
      <w:pPr>
        <w:numPr>
          <w:ilvl w:val="0"/>
          <w:numId w:val="1"/>
        </w:numPr>
        <w:spacing w:after="0" w:line="360" w:lineRule="auto"/>
        <w:rPr>
          <w:rFonts w:eastAsia="Times New Roman" w:cs="Tahoma"/>
          <w:bCs/>
          <w:iCs/>
          <w:color w:val="auto"/>
          <w:lang w:eastAsia="es-ES"/>
        </w:rPr>
      </w:pPr>
      <w:r w:rsidRPr="006A0A0C">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5E865A6" w14:textId="77777777" w:rsidR="006A0A0C" w:rsidRPr="006A0A0C" w:rsidRDefault="006A0A0C" w:rsidP="006A0A0C">
      <w:pPr>
        <w:spacing w:after="0" w:line="360" w:lineRule="auto"/>
        <w:ind w:left="720"/>
        <w:rPr>
          <w:rFonts w:eastAsia="Times New Roman" w:cs="Tahoma"/>
          <w:bCs/>
          <w:iCs/>
          <w:color w:val="auto"/>
          <w:lang w:eastAsia="es-ES"/>
        </w:rPr>
      </w:pPr>
    </w:p>
    <w:p w14:paraId="0F9044C9" w14:textId="77777777" w:rsidR="006A0A0C" w:rsidRPr="006A0A0C" w:rsidRDefault="006A0A0C" w:rsidP="006A0A0C">
      <w:pPr>
        <w:numPr>
          <w:ilvl w:val="0"/>
          <w:numId w:val="1"/>
        </w:numPr>
        <w:spacing w:after="0" w:line="360" w:lineRule="auto"/>
        <w:rPr>
          <w:rFonts w:eastAsia="Times New Roman" w:cs="Tahoma"/>
          <w:bCs/>
          <w:iCs/>
          <w:color w:val="auto"/>
          <w:lang w:eastAsia="es-ES"/>
        </w:rPr>
      </w:pPr>
      <w:r w:rsidRPr="006A0A0C">
        <w:rPr>
          <w:rFonts w:eastAsia="Times New Roman" w:cs="Tahoma"/>
          <w:bCs/>
          <w:iCs/>
          <w:color w:val="auto"/>
          <w:lang w:eastAsia="es-ES"/>
        </w:rPr>
        <w:lastRenderedPageBreak/>
        <w:t>Transparentar la gestión pública, mediante la difusión de la información generada por los Sujetos Obligados, y</w:t>
      </w:r>
    </w:p>
    <w:p w14:paraId="2CAB7E54" w14:textId="77777777" w:rsidR="006A0A0C" w:rsidRPr="006A0A0C" w:rsidRDefault="006A0A0C" w:rsidP="006A0A0C">
      <w:pPr>
        <w:spacing w:after="0" w:line="360" w:lineRule="auto"/>
        <w:ind w:left="720"/>
        <w:contextualSpacing/>
        <w:rPr>
          <w:rFonts w:eastAsia="Times New Roman" w:cs="Tahoma"/>
          <w:bCs/>
          <w:iCs/>
          <w:color w:val="auto"/>
          <w:lang w:eastAsia="es-ES"/>
        </w:rPr>
      </w:pPr>
    </w:p>
    <w:p w14:paraId="4A1A35E8" w14:textId="77777777" w:rsidR="006A0A0C" w:rsidRPr="006A0A0C" w:rsidRDefault="006A0A0C" w:rsidP="006A0A0C">
      <w:pPr>
        <w:numPr>
          <w:ilvl w:val="0"/>
          <w:numId w:val="1"/>
        </w:numPr>
        <w:spacing w:after="0" w:line="360" w:lineRule="auto"/>
        <w:rPr>
          <w:rFonts w:eastAsia="Times New Roman" w:cs="Tahoma"/>
          <w:bCs/>
          <w:iCs/>
          <w:color w:val="auto"/>
          <w:lang w:eastAsia="es-ES"/>
        </w:rPr>
      </w:pPr>
      <w:r w:rsidRPr="006A0A0C">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6A92D381" w14:textId="77777777" w:rsidR="006A0A0C" w:rsidRPr="006A0A0C" w:rsidRDefault="006A0A0C" w:rsidP="006A0A0C">
      <w:pPr>
        <w:spacing w:after="0" w:line="360" w:lineRule="auto"/>
        <w:rPr>
          <w:rFonts w:eastAsia="Times New Roman" w:cs="Tahoma"/>
          <w:bCs/>
          <w:iCs/>
          <w:color w:val="auto"/>
          <w:lang w:eastAsia="es-ES"/>
        </w:rPr>
      </w:pPr>
    </w:p>
    <w:p w14:paraId="1DC8EDFB" w14:textId="77777777" w:rsidR="006A0A0C" w:rsidRPr="006A0A0C" w:rsidRDefault="006A0A0C" w:rsidP="006A0A0C">
      <w:pPr>
        <w:spacing w:after="0" w:line="360" w:lineRule="auto"/>
        <w:rPr>
          <w:rFonts w:eastAsia="Times New Roman" w:cs="Tahoma"/>
          <w:bCs/>
          <w:iCs/>
          <w:color w:val="auto"/>
          <w:lang w:eastAsia="es-ES"/>
        </w:rPr>
      </w:pPr>
      <w:r w:rsidRPr="006A0A0C">
        <w:rPr>
          <w:rFonts w:eastAsia="Times New Roman" w:cs="Tahoma"/>
          <w:bCs/>
          <w:iCs/>
          <w:color w:val="auto"/>
          <w:lang w:eastAsia="es-ES"/>
        </w:rPr>
        <w:t xml:space="preserve">Conforme a lo anterior, se deprende que </w:t>
      </w:r>
      <w:r w:rsidRPr="006A0A0C">
        <w:rPr>
          <w:rFonts w:eastAsia="Times New Roman" w:cs="Tahoma"/>
          <w:b/>
          <w:bCs/>
          <w:iCs/>
          <w:color w:val="auto"/>
          <w:lang w:eastAsia="es-ES"/>
        </w:rPr>
        <w:t>los objetivos de la Ley de la materia,</w:t>
      </w:r>
      <w:r w:rsidRPr="006A0A0C">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05E8229" w14:textId="77777777" w:rsidR="006A0A0C" w:rsidRPr="006A0A0C" w:rsidRDefault="006A0A0C" w:rsidP="006A0A0C">
      <w:pPr>
        <w:spacing w:after="0" w:line="360" w:lineRule="auto"/>
        <w:rPr>
          <w:rFonts w:eastAsia="Times New Roman" w:cs="Tahoma"/>
          <w:bCs/>
          <w:iCs/>
          <w:color w:val="auto"/>
          <w:lang w:eastAsia="es-ES"/>
        </w:rPr>
      </w:pPr>
    </w:p>
    <w:p w14:paraId="04B43FC8" w14:textId="77777777" w:rsidR="006A0A0C" w:rsidRPr="006A0A0C" w:rsidRDefault="006A0A0C" w:rsidP="006A0A0C">
      <w:pPr>
        <w:widowControl w:val="0"/>
        <w:spacing w:after="0" w:line="360" w:lineRule="auto"/>
        <w:rPr>
          <w:rFonts w:eastAsia="Times New Roman" w:cs="Tahoma"/>
          <w:bCs/>
          <w:iCs/>
          <w:color w:val="auto"/>
          <w:lang w:eastAsia="es-ES"/>
        </w:rPr>
      </w:pPr>
      <w:r w:rsidRPr="006A0A0C">
        <w:rPr>
          <w:rFonts w:eastAsia="Times New Roman" w:cs="Tahoma"/>
          <w:bCs/>
          <w:iCs/>
          <w:color w:val="auto"/>
          <w:lang w:eastAsia="es-ES"/>
        </w:rPr>
        <w:t xml:space="preserve">En ese orden de ideas, para la atención de las solicitudes de acceso a la información, debe privilegiarse el </w:t>
      </w:r>
      <w:r w:rsidRPr="006A0A0C">
        <w:rPr>
          <w:rFonts w:eastAsia="Times New Roman" w:cs="Tahoma"/>
          <w:b/>
          <w:bCs/>
          <w:iCs/>
          <w:color w:val="auto"/>
          <w:lang w:eastAsia="es-ES"/>
        </w:rPr>
        <w:t>principio de máxima publicidad</w:t>
      </w:r>
      <w:r w:rsidRPr="006A0A0C">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2FEAA56" w14:textId="77777777" w:rsidR="006A0A0C" w:rsidRPr="006A0A0C" w:rsidRDefault="006A0A0C" w:rsidP="006A0A0C">
      <w:pPr>
        <w:spacing w:after="0" w:line="360" w:lineRule="auto"/>
        <w:rPr>
          <w:rFonts w:eastAsia="Times New Roman" w:cs="Tahoma"/>
          <w:bCs/>
          <w:iCs/>
          <w:color w:val="auto"/>
          <w:lang w:eastAsia="es-ES"/>
        </w:rPr>
      </w:pPr>
    </w:p>
    <w:p w14:paraId="7ED958DD" w14:textId="77777777" w:rsidR="006A0A0C" w:rsidRPr="006A0A0C" w:rsidRDefault="006A0A0C" w:rsidP="006A0A0C">
      <w:pPr>
        <w:spacing w:after="0" w:line="360" w:lineRule="auto"/>
        <w:rPr>
          <w:rFonts w:eastAsia="Times New Roman" w:cs="Tahoma"/>
          <w:bCs/>
          <w:iCs/>
          <w:color w:val="auto"/>
          <w:lang w:eastAsia="es-ES"/>
        </w:rPr>
      </w:pPr>
      <w:r w:rsidRPr="006A0A0C">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3331C42" w14:textId="77777777" w:rsidR="006A0A0C" w:rsidRPr="006A0A0C" w:rsidRDefault="006A0A0C" w:rsidP="006A0A0C">
      <w:pPr>
        <w:spacing w:after="0" w:line="360" w:lineRule="auto"/>
        <w:rPr>
          <w:rFonts w:eastAsia="Times New Roman" w:cs="Tahoma"/>
          <w:bCs/>
          <w:iCs/>
          <w:color w:val="auto"/>
          <w:lang w:eastAsia="es-ES"/>
        </w:rPr>
      </w:pPr>
    </w:p>
    <w:p w14:paraId="0ACFF835" w14:textId="77777777" w:rsidR="006A0A0C" w:rsidRPr="006A0A0C" w:rsidRDefault="006A0A0C" w:rsidP="006A0A0C">
      <w:pPr>
        <w:numPr>
          <w:ilvl w:val="0"/>
          <w:numId w:val="2"/>
        </w:numPr>
        <w:spacing w:after="0" w:line="360" w:lineRule="auto"/>
        <w:rPr>
          <w:rFonts w:eastAsia="Times New Roman" w:cs="Tahoma"/>
          <w:bCs/>
          <w:iCs/>
          <w:color w:val="auto"/>
          <w:lang w:eastAsia="es-ES"/>
        </w:rPr>
      </w:pPr>
      <w:r w:rsidRPr="006A0A0C">
        <w:rPr>
          <w:rFonts w:eastAsia="Times New Roman" w:cs="Tahoma"/>
          <w:bCs/>
          <w:iCs/>
          <w:color w:val="auto"/>
          <w:lang w:eastAsia="es-ES"/>
        </w:rPr>
        <w:t xml:space="preserve">Las Unidades de Transparencia de los Sujetos Obligados deben garantizar las medidas y condiciones de accesibilidad para que toda persona puede ejercer el derecho de acceso </w:t>
      </w:r>
      <w:r w:rsidRPr="006A0A0C">
        <w:rPr>
          <w:rFonts w:eastAsia="Times New Roman" w:cs="Tahoma"/>
          <w:bCs/>
          <w:iCs/>
          <w:color w:val="auto"/>
          <w:lang w:eastAsia="es-ES"/>
        </w:rPr>
        <w:lastRenderedPageBreak/>
        <w:t>a la información; por lo que, son las responsables de hacer las notificaciones correspondientes, además de llevar a cabo de todas las gestiones necesarias para facilitar el acceso de la información;</w:t>
      </w:r>
    </w:p>
    <w:p w14:paraId="6771AFD7" w14:textId="77777777" w:rsidR="006A0A0C" w:rsidRPr="006A0A0C" w:rsidRDefault="006A0A0C" w:rsidP="006A0A0C">
      <w:pPr>
        <w:spacing w:after="0" w:line="360" w:lineRule="auto"/>
        <w:ind w:left="720"/>
        <w:rPr>
          <w:rFonts w:eastAsia="Times New Roman" w:cs="Tahoma"/>
          <w:bCs/>
          <w:iCs/>
          <w:color w:val="auto"/>
          <w:lang w:eastAsia="es-ES"/>
        </w:rPr>
      </w:pPr>
    </w:p>
    <w:p w14:paraId="0F73B9DA" w14:textId="77777777" w:rsidR="006A0A0C" w:rsidRPr="006A0A0C" w:rsidRDefault="006A0A0C" w:rsidP="006A0A0C">
      <w:pPr>
        <w:numPr>
          <w:ilvl w:val="0"/>
          <w:numId w:val="2"/>
        </w:numPr>
        <w:spacing w:after="0" w:line="360" w:lineRule="auto"/>
        <w:rPr>
          <w:rFonts w:eastAsia="Times New Roman" w:cs="Tahoma"/>
          <w:bCs/>
          <w:iCs/>
          <w:color w:val="auto"/>
          <w:lang w:eastAsia="es-ES"/>
        </w:rPr>
      </w:pPr>
      <w:r w:rsidRPr="006A0A0C">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5ADA581" w14:textId="77777777" w:rsidR="006A0A0C" w:rsidRPr="006A0A0C" w:rsidRDefault="006A0A0C" w:rsidP="006A0A0C">
      <w:pPr>
        <w:spacing w:after="0" w:line="360" w:lineRule="auto"/>
        <w:ind w:left="720"/>
        <w:contextualSpacing/>
        <w:rPr>
          <w:rFonts w:eastAsia="Times New Roman" w:cs="Tahoma"/>
          <w:bCs/>
          <w:iCs/>
          <w:color w:val="auto"/>
          <w:lang w:eastAsia="es-ES"/>
        </w:rPr>
      </w:pPr>
    </w:p>
    <w:p w14:paraId="51B32060" w14:textId="77777777" w:rsidR="006A0A0C" w:rsidRPr="006A0A0C" w:rsidRDefault="006A0A0C" w:rsidP="006A0A0C">
      <w:pPr>
        <w:numPr>
          <w:ilvl w:val="0"/>
          <w:numId w:val="2"/>
        </w:numPr>
        <w:spacing w:after="0" w:line="360" w:lineRule="auto"/>
        <w:rPr>
          <w:rFonts w:eastAsia="Times New Roman" w:cs="Tahoma"/>
          <w:bCs/>
          <w:iCs/>
          <w:color w:val="auto"/>
          <w:lang w:eastAsia="es-ES"/>
        </w:rPr>
      </w:pPr>
      <w:r w:rsidRPr="006A0A0C">
        <w:rPr>
          <w:rFonts w:eastAsia="Times New Roman" w:cs="Tahoma"/>
          <w:bCs/>
          <w:iCs/>
          <w:color w:val="auto"/>
          <w:lang w:eastAsia="es-ES"/>
        </w:rPr>
        <w:t xml:space="preserve">Las respuestas a los requerimientos informativos deberán notificarse al interesado en el menor tiempo posible, que no podrá exceder </w:t>
      </w:r>
      <w:r w:rsidRPr="006A0A0C">
        <w:rPr>
          <w:rFonts w:eastAsia="Times New Roman" w:cs="Tahoma"/>
          <w:b/>
          <w:bCs/>
          <w:iCs/>
          <w:color w:val="auto"/>
          <w:lang w:eastAsia="es-ES"/>
        </w:rPr>
        <w:t>quince días, contados a partir del día siguiente a la presentación de ésta.</w:t>
      </w:r>
      <w:r w:rsidRPr="006A0A0C">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FEDECE6" w14:textId="77777777" w:rsidR="006A0A0C" w:rsidRPr="006A0A0C" w:rsidRDefault="006A0A0C" w:rsidP="006A0A0C">
      <w:pPr>
        <w:spacing w:after="0" w:line="360" w:lineRule="auto"/>
        <w:rPr>
          <w:rFonts w:eastAsia="Times New Roman" w:cs="Tahoma"/>
          <w:bCs/>
          <w:iCs/>
          <w:color w:val="auto"/>
          <w:lang w:eastAsia="es-ES"/>
        </w:rPr>
      </w:pPr>
    </w:p>
    <w:p w14:paraId="45A60E38" w14:textId="77777777" w:rsidR="006A0A0C" w:rsidRPr="006A0A0C" w:rsidRDefault="006A0A0C" w:rsidP="006A0A0C">
      <w:pPr>
        <w:numPr>
          <w:ilvl w:val="0"/>
          <w:numId w:val="2"/>
        </w:numPr>
        <w:spacing w:after="0" w:line="360" w:lineRule="auto"/>
        <w:rPr>
          <w:rFonts w:eastAsia="Times New Roman" w:cs="Tahoma"/>
          <w:b/>
          <w:bCs/>
          <w:iCs/>
          <w:color w:val="auto"/>
          <w:lang w:eastAsia="es-ES"/>
        </w:rPr>
      </w:pPr>
      <w:r w:rsidRPr="006A0A0C">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A0A0C">
        <w:rPr>
          <w:rFonts w:eastAsia="Times New Roman" w:cs="Tahoma"/>
          <w:b/>
          <w:bCs/>
          <w:iCs/>
          <w:color w:val="auto"/>
          <w:lang w:eastAsia="es-ES"/>
        </w:rPr>
        <w:t>que se encuentren en sus archivos o que estén constreñidos a elaborar;</w:t>
      </w:r>
    </w:p>
    <w:p w14:paraId="0E7C4BF2" w14:textId="77777777" w:rsidR="006A0A0C" w:rsidRPr="006A0A0C" w:rsidRDefault="006A0A0C" w:rsidP="006A0A0C">
      <w:pPr>
        <w:spacing w:after="0" w:line="360" w:lineRule="auto"/>
        <w:ind w:left="720"/>
        <w:contextualSpacing/>
        <w:rPr>
          <w:rFonts w:eastAsia="Times New Roman" w:cs="Tahoma"/>
          <w:b/>
          <w:bCs/>
          <w:iCs/>
          <w:color w:val="auto"/>
          <w:lang w:eastAsia="es-ES"/>
        </w:rPr>
      </w:pPr>
    </w:p>
    <w:p w14:paraId="517A2EF9" w14:textId="77777777" w:rsidR="006A0A0C" w:rsidRPr="006A0A0C" w:rsidRDefault="006A0A0C" w:rsidP="006A0A0C">
      <w:pPr>
        <w:numPr>
          <w:ilvl w:val="0"/>
          <w:numId w:val="2"/>
        </w:numPr>
        <w:spacing w:after="0" w:line="360" w:lineRule="auto"/>
        <w:rPr>
          <w:rFonts w:eastAsia="Times New Roman" w:cs="Tahoma"/>
          <w:b/>
          <w:bCs/>
          <w:iCs/>
          <w:color w:val="auto"/>
          <w:lang w:eastAsia="es-ES"/>
        </w:rPr>
      </w:pPr>
      <w:r w:rsidRPr="006A0A0C">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768D8CD" w14:textId="77777777" w:rsidR="006A0A0C" w:rsidRPr="006A0A0C" w:rsidRDefault="006A0A0C" w:rsidP="006A0A0C">
      <w:pPr>
        <w:spacing w:after="0" w:line="360" w:lineRule="auto"/>
        <w:ind w:left="720"/>
        <w:contextualSpacing/>
        <w:rPr>
          <w:rFonts w:eastAsia="Times New Roman" w:cs="Tahoma"/>
          <w:b/>
          <w:bCs/>
          <w:iCs/>
          <w:color w:val="auto"/>
          <w:lang w:eastAsia="es-ES"/>
        </w:rPr>
      </w:pPr>
    </w:p>
    <w:p w14:paraId="6C522236" w14:textId="77777777" w:rsidR="006A0A0C" w:rsidRPr="006A0A0C" w:rsidRDefault="006A0A0C" w:rsidP="006A0A0C">
      <w:pPr>
        <w:numPr>
          <w:ilvl w:val="0"/>
          <w:numId w:val="2"/>
        </w:numPr>
        <w:spacing w:after="0" w:line="360" w:lineRule="auto"/>
        <w:rPr>
          <w:rFonts w:eastAsia="Times New Roman" w:cs="Tahoma"/>
          <w:b/>
          <w:bCs/>
          <w:iCs/>
          <w:color w:val="auto"/>
          <w:lang w:eastAsia="es-ES"/>
        </w:rPr>
      </w:pPr>
      <w:r w:rsidRPr="006A0A0C">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5F7677B" w14:textId="77777777" w:rsidR="006A0A0C" w:rsidRPr="006A0A0C" w:rsidRDefault="006A0A0C" w:rsidP="006A0A0C">
      <w:pPr>
        <w:spacing w:after="0" w:line="360" w:lineRule="auto"/>
        <w:rPr>
          <w:rFonts w:eastAsia="Times New Roman" w:cs="Tahoma"/>
          <w:b/>
          <w:bCs/>
          <w:iCs/>
          <w:color w:val="auto"/>
          <w:lang w:eastAsia="es-ES"/>
        </w:rPr>
      </w:pPr>
    </w:p>
    <w:p w14:paraId="1F49A8E3" w14:textId="033C1E6F" w:rsidR="006A0A0C" w:rsidRPr="006A0A0C" w:rsidRDefault="006A0A0C" w:rsidP="006A0A0C">
      <w:pPr>
        <w:spacing w:after="0" w:line="360" w:lineRule="auto"/>
        <w:rPr>
          <w:rFonts w:eastAsia="Calibri" w:cs="Tahoma"/>
          <w:b/>
          <w:lang w:val="es-ES"/>
        </w:rPr>
      </w:pPr>
      <w:r w:rsidRPr="006A0A0C">
        <w:rPr>
          <w:rFonts w:eastAsia="Times New Roman" w:cs="Tahoma"/>
          <w:bCs/>
          <w:iCs/>
          <w:color w:val="auto"/>
          <w:lang w:eastAsia="es-ES"/>
        </w:rPr>
        <w:t xml:space="preserve">Una vez establecido lo anterior, es de indicar que el agravio del Particular consistió en que, a la fecha de interposición del Recurso de Revisión, el </w:t>
      </w:r>
      <w:r w:rsidR="0012659F" w:rsidRPr="0012659F">
        <w:rPr>
          <w:rFonts w:eastAsia="Calibri" w:cs="Tahoma"/>
        </w:rPr>
        <w:t>Ayuntamiento de Zinacantepec</w:t>
      </w:r>
      <w:r w:rsidRPr="006A0A0C">
        <w:rPr>
          <w:rFonts w:eastAsia="Times New Roman" w:cs="Tahoma"/>
          <w:iCs/>
          <w:color w:val="auto"/>
          <w:lang w:eastAsia="es-ES"/>
        </w:rPr>
        <w:t>,</w:t>
      </w:r>
      <w:r w:rsidRPr="006A0A0C">
        <w:rPr>
          <w:rFonts w:eastAsia="Times New Roman" w:cs="Tahoma"/>
          <w:bCs/>
          <w:iCs/>
          <w:color w:val="auto"/>
          <w:lang w:eastAsia="es-ES"/>
        </w:rPr>
        <w:t xml:space="preserve"> no había registrado respuesta al requerimiento de acceso a la información, el cual se presentó </w:t>
      </w:r>
      <w:r w:rsidRPr="006A0A0C">
        <w:rPr>
          <w:rFonts w:eastAsia="Times New Roman" w:cs="Tahoma"/>
          <w:b/>
          <w:iCs/>
          <w:color w:val="auto"/>
          <w:lang w:eastAsia="es-ES"/>
        </w:rPr>
        <w:t xml:space="preserve">el </w:t>
      </w:r>
      <w:r w:rsidR="0012659F" w:rsidRPr="0012659F">
        <w:rPr>
          <w:rFonts w:eastAsia="Times New Roman" w:cs="Tahoma"/>
          <w:b/>
          <w:iCs/>
          <w:color w:val="auto"/>
          <w:lang w:eastAsia="es-ES"/>
        </w:rPr>
        <w:t>veintinueve de noviembre de dos mil veintidós</w:t>
      </w:r>
      <w:r w:rsidRPr="006A0A0C">
        <w:rPr>
          <w:rFonts w:eastAsia="Calibri" w:cs="Tahoma"/>
          <w:b/>
          <w:lang w:val="es-ES"/>
        </w:rPr>
        <w:t>.</w:t>
      </w:r>
    </w:p>
    <w:p w14:paraId="67E0BFB7" w14:textId="77777777" w:rsidR="006A0A0C" w:rsidRPr="006A0A0C" w:rsidRDefault="006A0A0C" w:rsidP="006A0A0C">
      <w:pPr>
        <w:spacing w:after="0" w:line="360" w:lineRule="auto"/>
        <w:rPr>
          <w:rFonts w:eastAsia="Times New Roman" w:cs="Tahoma"/>
          <w:b/>
          <w:bCs/>
          <w:iCs/>
          <w:color w:val="auto"/>
          <w:lang w:eastAsia="es-ES"/>
        </w:rPr>
      </w:pPr>
    </w:p>
    <w:p w14:paraId="3427B29D" w14:textId="15024BB3" w:rsidR="006A0A0C" w:rsidRPr="006A0A0C" w:rsidRDefault="006A0A0C" w:rsidP="006A0A0C">
      <w:pPr>
        <w:spacing w:after="0" w:line="360" w:lineRule="auto"/>
        <w:rPr>
          <w:rFonts w:eastAsia="Batang" w:cs="Tahoma"/>
          <w:color w:val="0D0D0D" w:themeColor="text1" w:themeTint="F2"/>
          <w:lang w:val="es-ES"/>
        </w:rPr>
      </w:pPr>
      <w:r w:rsidRPr="006A0A0C">
        <w:rPr>
          <w:rFonts w:eastAsia="Calibri" w:cs="Tahoma"/>
          <w:bCs/>
          <w:color w:val="000000"/>
        </w:rPr>
        <w:t xml:space="preserve">En ese orden de ideas, el plazo con el que contaba el Sujeto Obligado para emitir contestación al requerimiento de información, </w:t>
      </w:r>
      <w:r w:rsidR="0012659F" w:rsidRPr="0012659F">
        <w:rPr>
          <w:rFonts w:eastAsia="Calibri" w:cs="Tahoma"/>
          <w:b/>
          <w:bCs/>
          <w:color w:val="000000"/>
        </w:rPr>
        <w:t xml:space="preserve">comenzó a correr el treinta de noviembre y feneció el veinte de diciembre, ambos de la presente anualidad; </w:t>
      </w:r>
      <w:r w:rsidR="0012659F" w:rsidRPr="0012659F">
        <w:rPr>
          <w:rFonts w:eastAsia="Calibri" w:cs="Tahoma"/>
          <w:color w:val="000000"/>
        </w:rPr>
        <w:t>lo anterior, sin contar los días tres, cuatro, diez, once, diecisiete y dieciocho de diciembre, todos del dos mil veintidós, al ser inhábiles, de conformidad con los artículos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veintidós y enero dos mil veintitrés.</w:t>
      </w:r>
    </w:p>
    <w:p w14:paraId="71FBF06C" w14:textId="77777777" w:rsidR="006A0A0C" w:rsidRPr="006A0A0C" w:rsidRDefault="006A0A0C" w:rsidP="006A0A0C">
      <w:pPr>
        <w:spacing w:after="0" w:line="360" w:lineRule="auto"/>
        <w:rPr>
          <w:rFonts w:eastAsia="Calibri" w:cs="Tahoma"/>
          <w:color w:val="000000"/>
        </w:rPr>
      </w:pPr>
    </w:p>
    <w:p w14:paraId="694352B2" w14:textId="77777777" w:rsidR="006A0A0C" w:rsidRPr="006A0A0C" w:rsidRDefault="006A0A0C" w:rsidP="006A0A0C">
      <w:pPr>
        <w:spacing w:after="0" w:line="360" w:lineRule="auto"/>
        <w:rPr>
          <w:rFonts w:eastAsia="Calibri" w:cs="Tahoma"/>
          <w:color w:val="000000"/>
          <w:lang w:val="es-ES"/>
        </w:rPr>
      </w:pPr>
      <w:r w:rsidRPr="006A0A0C">
        <w:rPr>
          <w:rFonts w:eastAsia="Calibri" w:cs="Tahoma"/>
          <w:bCs/>
          <w:color w:val="000000"/>
        </w:rPr>
        <w:t xml:space="preserve">Así, este Instituto verificó que, en efecto, no se registró respuesta a la solicitud de información del ahora Recurrente, en el </w:t>
      </w:r>
      <w:r w:rsidRPr="006A0A0C">
        <w:rPr>
          <w:rFonts w:eastAsia="Calibri" w:cs="Tahoma"/>
          <w:color w:val="000000"/>
          <w:lang w:val="es-ES"/>
        </w:rPr>
        <w:t>Sistema de Acceso a la Información Mexiquense (SAIMEX), tal como se observa a continuación:</w:t>
      </w:r>
    </w:p>
    <w:p w14:paraId="56C8736B" w14:textId="77777777" w:rsidR="006A0A0C" w:rsidRPr="006A0A0C" w:rsidRDefault="006A0A0C" w:rsidP="006A0A0C">
      <w:pPr>
        <w:autoSpaceDE w:val="0"/>
        <w:autoSpaceDN w:val="0"/>
        <w:adjustRightInd w:val="0"/>
        <w:spacing w:after="0" w:line="360" w:lineRule="auto"/>
        <w:rPr>
          <w:noProof/>
        </w:rPr>
      </w:pPr>
    </w:p>
    <w:p w14:paraId="6300BA44" w14:textId="78131E55" w:rsidR="006A0A0C" w:rsidRPr="006A0A0C" w:rsidRDefault="0012659F" w:rsidP="006A0A0C">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val="es-ES" w:eastAsia="es-ES"/>
        </w:rPr>
        <w:lastRenderedPageBreak/>
        <w:drawing>
          <wp:inline distT="0" distB="0" distL="0" distR="0" wp14:anchorId="4B5DC7B2" wp14:editId="4E436A6A">
            <wp:extent cx="3133947" cy="16573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7648" cy="1659307"/>
                    </a:xfrm>
                    <a:prstGeom prst="rect">
                      <a:avLst/>
                    </a:prstGeom>
                    <a:noFill/>
                  </pic:spPr>
                </pic:pic>
              </a:graphicData>
            </a:graphic>
          </wp:inline>
        </w:drawing>
      </w:r>
    </w:p>
    <w:p w14:paraId="2DF6C036" w14:textId="77777777" w:rsidR="006A0A0C" w:rsidRPr="006A0A0C" w:rsidRDefault="006A0A0C" w:rsidP="006A0A0C">
      <w:pPr>
        <w:tabs>
          <w:tab w:val="left" w:pos="4962"/>
        </w:tabs>
        <w:spacing w:after="0" w:line="360" w:lineRule="auto"/>
        <w:rPr>
          <w:rFonts w:eastAsia="Calibri" w:cs="Tahoma"/>
          <w:bCs/>
          <w:color w:val="000000"/>
        </w:rPr>
      </w:pPr>
    </w:p>
    <w:p w14:paraId="6E38949B" w14:textId="7BFD28AF" w:rsidR="006A0A0C" w:rsidRPr="006A0A0C" w:rsidRDefault="006A0A0C" w:rsidP="006A0A0C">
      <w:pPr>
        <w:tabs>
          <w:tab w:val="left" w:pos="4962"/>
        </w:tabs>
        <w:spacing w:after="0" w:line="360" w:lineRule="auto"/>
        <w:rPr>
          <w:rFonts w:eastAsia="Calibri" w:cs="Tahoma"/>
          <w:b/>
          <w:color w:val="000000"/>
        </w:rPr>
      </w:pPr>
      <w:r w:rsidRPr="006A0A0C">
        <w:rPr>
          <w:rFonts w:eastAsia="Calibri" w:cs="Tahoma"/>
          <w:bCs/>
          <w:color w:val="000000"/>
        </w:rPr>
        <w:t xml:space="preserve">Conforme a lo anterior, se colige que, tal como lo precisó el Recurrente, el </w:t>
      </w:r>
      <w:r w:rsidRPr="006A0A0C">
        <w:rPr>
          <w:rFonts w:eastAsia="Calibri" w:cs="Tahoma"/>
        </w:rPr>
        <w:t xml:space="preserve">Ayuntamiento de </w:t>
      </w:r>
      <w:r w:rsidR="0012659F" w:rsidRPr="0012659F">
        <w:rPr>
          <w:rFonts w:eastAsia="Calibri" w:cs="Tahoma"/>
        </w:rPr>
        <w:t>Zinacantepec</w:t>
      </w:r>
      <w:r w:rsidRPr="006A0A0C">
        <w:rPr>
          <w:rFonts w:eastAsia="Calibri" w:cs="Tahoma"/>
          <w:color w:val="000000"/>
        </w:rPr>
        <w:t>, no</w:t>
      </w:r>
      <w:r w:rsidRPr="006A0A0C">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6A0A0C">
        <w:rPr>
          <w:rFonts w:eastAsia="Calibri" w:cs="Tahoma"/>
          <w:b/>
          <w:color w:val="000000"/>
        </w:rPr>
        <w:t xml:space="preserve">tenía hasta </w:t>
      </w:r>
      <w:r w:rsidR="0012659F">
        <w:rPr>
          <w:rFonts w:eastAsia="Calibri" w:cs="Tahoma"/>
          <w:b/>
          <w:color w:val="000000"/>
        </w:rPr>
        <w:t xml:space="preserve">el </w:t>
      </w:r>
      <w:r w:rsidR="0012659F" w:rsidRPr="0012659F">
        <w:rPr>
          <w:rFonts w:eastAsia="Calibri" w:cs="Tahoma"/>
          <w:b/>
          <w:color w:val="000000"/>
        </w:rPr>
        <w:t>veinte de diciembre de dos mil veintidós</w:t>
      </w:r>
      <w:r w:rsidRPr="006A0A0C">
        <w:rPr>
          <w:rFonts w:eastAsia="Calibri" w:cs="Tahoma"/>
          <w:bCs/>
          <w:color w:val="000000"/>
        </w:rPr>
        <w:t xml:space="preserve">, para realizar dicha situación, por lo que es evidente que el agravio es </w:t>
      </w:r>
      <w:r w:rsidRPr="006A0A0C">
        <w:rPr>
          <w:rFonts w:eastAsia="Calibri" w:cs="Tahoma"/>
          <w:b/>
          <w:color w:val="000000"/>
        </w:rPr>
        <w:t xml:space="preserve">FUNDADO. </w:t>
      </w:r>
    </w:p>
    <w:p w14:paraId="0BA9F8F8" w14:textId="77777777" w:rsidR="006A0A0C" w:rsidRPr="006A0A0C" w:rsidRDefault="006A0A0C" w:rsidP="006A0A0C">
      <w:pPr>
        <w:tabs>
          <w:tab w:val="left" w:pos="4962"/>
        </w:tabs>
        <w:spacing w:after="0" w:line="360" w:lineRule="auto"/>
        <w:rPr>
          <w:rFonts w:eastAsia="Calibri" w:cs="Tahoma"/>
          <w:bCs/>
          <w:color w:val="000000"/>
        </w:rPr>
      </w:pPr>
    </w:p>
    <w:p w14:paraId="12C102E9" w14:textId="77777777" w:rsidR="006A0A0C" w:rsidRPr="006A0A0C" w:rsidRDefault="006A0A0C" w:rsidP="006A0A0C">
      <w:pPr>
        <w:spacing w:after="0" w:line="360" w:lineRule="auto"/>
        <w:rPr>
          <w:rFonts w:eastAsia="Calibri" w:cs="Tahoma"/>
          <w:color w:val="auto"/>
        </w:rPr>
      </w:pPr>
      <w:r w:rsidRPr="006A0A0C">
        <w:rPr>
          <w:rFonts w:eastAsia="Calibri" w:cs="Tahoma"/>
          <w:color w:val="auto"/>
        </w:rPr>
        <w:t>No obstante, lo anterior, durante la substanciación del Medio de Impugnación, el Ente Recurrido emitió respuesta; por lo cual, se procede analizar si con esta satisface el requerimiento de información realizado por el Solicitante.</w:t>
      </w:r>
    </w:p>
    <w:p w14:paraId="11995CB2" w14:textId="77777777" w:rsidR="006A0A0C" w:rsidRPr="006A0A0C" w:rsidRDefault="006A0A0C" w:rsidP="006A0A0C">
      <w:pPr>
        <w:tabs>
          <w:tab w:val="left" w:pos="4962"/>
        </w:tabs>
        <w:spacing w:after="0" w:line="360" w:lineRule="auto"/>
        <w:rPr>
          <w:rFonts w:eastAsia="Calibri" w:cs="Tahoma"/>
          <w:bCs/>
          <w:color w:val="000000"/>
        </w:rPr>
      </w:pPr>
    </w:p>
    <w:p w14:paraId="177AD151" w14:textId="7CB0DA76" w:rsidR="0012659F" w:rsidRPr="00421D2E" w:rsidRDefault="0012659F" w:rsidP="0012659F">
      <w:pPr>
        <w:tabs>
          <w:tab w:val="left" w:pos="4962"/>
        </w:tabs>
        <w:spacing w:after="0" w:line="360" w:lineRule="auto"/>
        <w:rPr>
          <w:rFonts w:eastAsia="Calibri" w:cs="Tahoma"/>
          <w:iCs/>
          <w:color w:val="auto"/>
          <w:lang w:val="es-ES" w:eastAsia="es-ES"/>
        </w:rPr>
      </w:pPr>
      <w:r>
        <w:rPr>
          <w:rFonts w:eastAsia="Calibri" w:cs="Tahoma"/>
          <w:iCs/>
          <w:color w:val="auto"/>
          <w:lang w:val="es-ES" w:eastAsia="es-ES"/>
        </w:rPr>
        <w:t>En principio</w:t>
      </w:r>
      <w:r w:rsidRPr="00421D2E">
        <w:rPr>
          <w:rFonts w:eastAsia="Calibri" w:cs="Tahoma"/>
          <w:iCs/>
          <w:color w:val="auto"/>
          <w:lang w:val="es-ES" w:eastAsia="es-ES"/>
        </w:rPr>
        <w:t>, resulta necesario traer a colación los artículos 50, 51, 52 y 53 de la Ley de Transparencia y Acceso a la Información Pública del estado de México y Municipios, que precisan el procedimiento para la atención de las solicitudes de acceso a la información, conforme a lo siguiente:</w:t>
      </w:r>
    </w:p>
    <w:p w14:paraId="5DBCDFB3" w14:textId="77777777" w:rsidR="0012659F" w:rsidRPr="00421D2E" w:rsidRDefault="0012659F" w:rsidP="0012659F">
      <w:pPr>
        <w:tabs>
          <w:tab w:val="left" w:pos="4962"/>
        </w:tabs>
        <w:spacing w:after="0" w:line="360" w:lineRule="auto"/>
        <w:rPr>
          <w:rFonts w:eastAsia="Calibri" w:cs="Tahoma"/>
          <w:iCs/>
          <w:color w:val="auto"/>
          <w:lang w:val="es-ES" w:eastAsia="es-ES"/>
        </w:rPr>
      </w:pPr>
    </w:p>
    <w:p w14:paraId="31DEB69C" w14:textId="77777777" w:rsidR="0012659F" w:rsidRPr="00421D2E" w:rsidRDefault="0012659F" w:rsidP="0012659F">
      <w:pPr>
        <w:numPr>
          <w:ilvl w:val="0"/>
          <w:numId w:val="17"/>
        </w:numPr>
        <w:tabs>
          <w:tab w:val="left" w:pos="4962"/>
        </w:tabs>
        <w:spacing w:after="0" w:line="360" w:lineRule="auto"/>
        <w:contextualSpacing/>
        <w:jc w:val="left"/>
        <w:rPr>
          <w:rFonts w:eastAsia="Calibri" w:cs="Tahoma"/>
          <w:iCs/>
          <w:color w:val="auto"/>
          <w:lang w:val="es-ES" w:eastAsia="es-ES"/>
        </w:rPr>
      </w:pPr>
      <w:r w:rsidRPr="00421D2E">
        <w:rPr>
          <w:rFonts w:eastAsia="Calibri" w:cs="Tahoma"/>
          <w:iCs/>
          <w:color w:val="auto"/>
          <w:lang w:val="es-ES" w:eastAsia="es-ES"/>
        </w:rPr>
        <w:t>Los Sujetos Obligados contarán con una Unidad de Transparencia para la atención de las solicitudes de información;</w:t>
      </w:r>
    </w:p>
    <w:p w14:paraId="48105DAE" w14:textId="77777777" w:rsidR="0012659F" w:rsidRPr="00421D2E" w:rsidRDefault="0012659F" w:rsidP="0012659F">
      <w:pPr>
        <w:tabs>
          <w:tab w:val="left" w:pos="4962"/>
        </w:tabs>
        <w:spacing w:after="0" w:line="360" w:lineRule="auto"/>
        <w:ind w:left="360"/>
        <w:contextualSpacing/>
        <w:rPr>
          <w:rFonts w:eastAsia="Calibri" w:cs="Tahoma"/>
          <w:iCs/>
          <w:color w:val="auto"/>
          <w:lang w:val="es-ES" w:eastAsia="es-ES"/>
        </w:rPr>
      </w:pPr>
    </w:p>
    <w:p w14:paraId="36E6C257" w14:textId="77777777" w:rsidR="0012659F" w:rsidRPr="00421D2E" w:rsidRDefault="0012659F" w:rsidP="0012659F">
      <w:pPr>
        <w:numPr>
          <w:ilvl w:val="0"/>
          <w:numId w:val="17"/>
        </w:numPr>
        <w:tabs>
          <w:tab w:val="left" w:pos="4962"/>
        </w:tabs>
        <w:spacing w:after="0" w:line="360" w:lineRule="auto"/>
        <w:contextualSpacing/>
        <w:rPr>
          <w:rFonts w:eastAsia="Calibri" w:cs="Tahoma"/>
          <w:iCs/>
          <w:color w:val="auto"/>
          <w:lang w:val="es-ES" w:eastAsia="es-ES"/>
        </w:rPr>
      </w:pPr>
      <w:r w:rsidRPr="00421D2E">
        <w:rPr>
          <w:rFonts w:eastAsia="Calibri" w:cs="Tahoma"/>
          <w:iCs/>
          <w:color w:val="auto"/>
          <w:lang w:val="es-ES" w:eastAsia="es-ES"/>
        </w:rPr>
        <w:lastRenderedPageBreak/>
        <w:t>Se designará a un responsable para atender la Unidad de Transparencia, dicha área será la encargada de tramitar y gestionar la atención a las solicitudes de información;</w:t>
      </w:r>
    </w:p>
    <w:p w14:paraId="4DBA4D2F" w14:textId="77777777" w:rsidR="0012659F" w:rsidRPr="00421D2E" w:rsidRDefault="0012659F" w:rsidP="0012659F">
      <w:pPr>
        <w:tabs>
          <w:tab w:val="left" w:pos="4962"/>
        </w:tabs>
        <w:spacing w:after="0" w:line="360" w:lineRule="auto"/>
        <w:ind w:left="720"/>
        <w:contextualSpacing/>
        <w:rPr>
          <w:rFonts w:eastAsia="Calibri" w:cs="Tahoma"/>
          <w:iCs/>
          <w:color w:val="auto"/>
          <w:lang w:val="es-ES" w:eastAsia="es-ES"/>
        </w:rPr>
      </w:pPr>
    </w:p>
    <w:p w14:paraId="7F2FEC25" w14:textId="77777777" w:rsidR="0012659F" w:rsidRPr="00421D2E" w:rsidRDefault="0012659F" w:rsidP="0012659F">
      <w:pPr>
        <w:numPr>
          <w:ilvl w:val="0"/>
          <w:numId w:val="17"/>
        </w:numPr>
        <w:tabs>
          <w:tab w:val="left" w:pos="4962"/>
        </w:tabs>
        <w:spacing w:after="0" w:line="360" w:lineRule="auto"/>
        <w:contextualSpacing/>
        <w:rPr>
          <w:rFonts w:eastAsia="Calibri" w:cs="Tahoma"/>
          <w:iCs/>
          <w:color w:val="auto"/>
          <w:lang w:val="es-ES" w:eastAsia="es-ES"/>
        </w:rPr>
      </w:pPr>
      <w:r w:rsidRPr="00421D2E">
        <w:rPr>
          <w:rFonts w:eastAsia="Calibri" w:cs="Tahoma"/>
          <w:iCs/>
          <w:color w:val="auto"/>
          <w:lang w:val="es-ES" w:eastAsia="es-ES"/>
        </w:rPr>
        <w:t>Las solicitudes de acceso a la información y la información entregada, así como las resoluciones de los recursos que se promuevan, serán públicas;</w:t>
      </w:r>
    </w:p>
    <w:p w14:paraId="6C83531B" w14:textId="77777777" w:rsidR="0012659F" w:rsidRPr="00421D2E" w:rsidRDefault="0012659F" w:rsidP="0012659F">
      <w:pPr>
        <w:spacing w:after="0" w:line="240" w:lineRule="auto"/>
        <w:ind w:left="720"/>
        <w:contextualSpacing/>
        <w:rPr>
          <w:rFonts w:eastAsia="Calibri" w:cs="Tahoma"/>
          <w:iCs/>
          <w:color w:val="auto"/>
          <w:lang w:val="es-ES" w:eastAsia="es-ES"/>
        </w:rPr>
      </w:pPr>
    </w:p>
    <w:p w14:paraId="051822D5" w14:textId="77777777" w:rsidR="0012659F" w:rsidRPr="00421D2E" w:rsidRDefault="0012659F" w:rsidP="0012659F">
      <w:pPr>
        <w:numPr>
          <w:ilvl w:val="0"/>
          <w:numId w:val="17"/>
        </w:numPr>
        <w:tabs>
          <w:tab w:val="left" w:pos="4962"/>
        </w:tabs>
        <w:spacing w:after="0" w:line="360" w:lineRule="auto"/>
        <w:contextualSpacing/>
        <w:rPr>
          <w:rFonts w:eastAsia="Calibri" w:cs="Tahoma"/>
          <w:iCs/>
          <w:color w:val="auto"/>
          <w:lang w:val="es-ES" w:eastAsia="es-ES"/>
        </w:rPr>
      </w:pPr>
      <w:r w:rsidRPr="00421D2E">
        <w:rPr>
          <w:rFonts w:eastAsia="Calibri" w:cs="Tahoma"/>
          <w:iCs/>
          <w:color w:val="auto"/>
          <w:lang w:val="es-ES" w:eastAsia="es-ES"/>
        </w:rPr>
        <w:t xml:space="preserve">La Unidad de Transparencia tendrá entre otras funciones, las siguientes: </w:t>
      </w:r>
    </w:p>
    <w:p w14:paraId="09FCE7C6" w14:textId="77777777" w:rsidR="0012659F" w:rsidRPr="00421D2E" w:rsidRDefault="0012659F" w:rsidP="0012659F">
      <w:pPr>
        <w:spacing w:after="0" w:line="240" w:lineRule="auto"/>
        <w:ind w:left="720"/>
        <w:contextualSpacing/>
        <w:rPr>
          <w:rFonts w:eastAsia="Calibri" w:cs="Tahoma"/>
          <w:iCs/>
          <w:color w:val="auto"/>
          <w:lang w:val="es-ES" w:eastAsia="es-ES"/>
        </w:rPr>
      </w:pPr>
    </w:p>
    <w:p w14:paraId="465458B7" w14:textId="77777777" w:rsidR="0012659F" w:rsidRPr="00421D2E" w:rsidRDefault="0012659F" w:rsidP="00882DB6">
      <w:pPr>
        <w:numPr>
          <w:ilvl w:val="0"/>
          <w:numId w:val="21"/>
        </w:numPr>
        <w:tabs>
          <w:tab w:val="left" w:pos="4962"/>
        </w:tabs>
        <w:spacing w:after="0" w:line="360" w:lineRule="auto"/>
        <w:ind w:left="1418" w:hanging="414"/>
        <w:contextualSpacing/>
        <w:rPr>
          <w:rFonts w:eastAsia="Calibri" w:cs="Tahoma"/>
          <w:iCs/>
          <w:color w:val="auto"/>
          <w:lang w:val="es-ES" w:eastAsia="es-ES"/>
        </w:rPr>
      </w:pPr>
      <w:r w:rsidRPr="00421D2E">
        <w:rPr>
          <w:rFonts w:eastAsia="Calibri" w:cs="Tahoma"/>
          <w:iCs/>
          <w:color w:val="auto"/>
          <w:lang w:val="es-ES" w:eastAsia="es-ES"/>
        </w:rPr>
        <w:t>Recabar, difundir y actualizar la información relativa a las obligaciones comunes de transparencia;</w:t>
      </w:r>
    </w:p>
    <w:p w14:paraId="2CDC50C1" w14:textId="77777777" w:rsidR="0012659F" w:rsidRPr="00421D2E" w:rsidRDefault="0012659F" w:rsidP="00882DB6">
      <w:pPr>
        <w:numPr>
          <w:ilvl w:val="0"/>
          <w:numId w:val="21"/>
        </w:numPr>
        <w:tabs>
          <w:tab w:val="left" w:pos="4962"/>
        </w:tabs>
        <w:spacing w:after="0" w:line="360" w:lineRule="auto"/>
        <w:ind w:left="1418" w:hanging="414"/>
        <w:contextualSpacing/>
        <w:rPr>
          <w:rFonts w:eastAsia="Calibri" w:cs="Tahoma"/>
          <w:iCs/>
          <w:color w:val="auto"/>
          <w:lang w:val="es-ES" w:eastAsia="es-ES"/>
        </w:rPr>
      </w:pPr>
      <w:r w:rsidRPr="00421D2E">
        <w:rPr>
          <w:rFonts w:eastAsia="Calibri" w:cs="Tahoma"/>
          <w:iCs/>
          <w:color w:val="auto"/>
          <w:lang w:val="es-ES" w:eastAsia="es-ES"/>
        </w:rPr>
        <w:t>Recibir, tramitar y dar respuesta a las solicitudes de acceso a la información;</w:t>
      </w:r>
    </w:p>
    <w:p w14:paraId="1B12C1A6" w14:textId="46F32A6D" w:rsidR="0012659F" w:rsidRPr="00421D2E" w:rsidRDefault="0012659F" w:rsidP="00882DB6">
      <w:pPr>
        <w:numPr>
          <w:ilvl w:val="0"/>
          <w:numId w:val="21"/>
        </w:numPr>
        <w:tabs>
          <w:tab w:val="left" w:pos="4962"/>
        </w:tabs>
        <w:spacing w:after="0" w:line="360" w:lineRule="auto"/>
        <w:ind w:left="1418" w:hanging="414"/>
        <w:contextualSpacing/>
        <w:rPr>
          <w:rFonts w:eastAsia="Calibri" w:cs="Tahoma"/>
          <w:iCs/>
          <w:color w:val="auto"/>
          <w:lang w:val="es-ES" w:eastAsia="es-ES"/>
        </w:rPr>
      </w:pPr>
      <w:r w:rsidRPr="00421D2E">
        <w:rPr>
          <w:rFonts w:eastAsia="Calibri" w:cs="Tahoma"/>
          <w:iCs/>
          <w:color w:val="auto"/>
          <w:lang w:val="es-ES" w:eastAsia="es-ES"/>
        </w:rPr>
        <w:t>Realizar el trámite interno para la atención de las solicitudes de acceso a la información</w:t>
      </w:r>
      <w:r w:rsidR="00882DB6">
        <w:rPr>
          <w:rFonts w:eastAsia="Calibri" w:cs="Tahoma"/>
          <w:iCs/>
          <w:color w:val="auto"/>
          <w:lang w:val="es-ES" w:eastAsia="es-ES"/>
        </w:rPr>
        <w:t>, y</w:t>
      </w:r>
    </w:p>
    <w:p w14:paraId="399BC65C" w14:textId="62851DF7" w:rsidR="0012659F" w:rsidRPr="00421D2E" w:rsidRDefault="0012659F" w:rsidP="00882DB6">
      <w:pPr>
        <w:numPr>
          <w:ilvl w:val="0"/>
          <w:numId w:val="21"/>
        </w:numPr>
        <w:tabs>
          <w:tab w:val="left" w:pos="4962"/>
        </w:tabs>
        <w:spacing w:after="0" w:line="360" w:lineRule="auto"/>
        <w:ind w:left="1418" w:hanging="414"/>
        <w:contextualSpacing/>
        <w:rPr>
          <w:rFonts w:eastAsia="Calibri" w:cs="Tahoma"/>
          <w:iCs/>
          <w:color w:val="auto"/>
          <w:lang w:val="es-ES" w:eastAsia="es-ES"/>
        </w:rPr>
      </w:pPr>
      <w:r w:rsidRPr="00421D2E">
        <w:rPr>
          <w:rFonts w:eastAsia="Calibri" w:cs="Tahoma"/>
          <w:iCs/>
          <w:color w:val="auto"/>
          <w:lang w:val="es-ES" w:eastAsia="es-ES"/>
        </w:rPr>
        <w:t xml:space="preserve">Llevar a cabo un registro de las solicitudes de acceso a la información, </w:t>
      </w:r>
      <w:r w:rsidR="00882DB6">
        <w:rPr>
          <w:rFonts w:eastAsia="Calibri" w:cs="Tahoma"/>
          <w:iCs/>
          <w:color w:val="auto"/>
          <w:lang w:val="es-ES" w:eastAsia="es-ES"/>
        </w:rPr>
        <w:t>sus respuestas, resolución de los recursos de revisión y el</w:t>
      </w:r>
      <w:r w:rsidRPr="00421D2E">
        <w:rPr>
          <w:rFonts w:eastAsia="Calibri" w:cs="Tahoma"/>
          <w:iCs/>
          <w:color w:val="auto"/>
          <w:lang w:val="es-ES" w:eastAsia="es-ES"/>
        </w:rPr>
        <w:t xml:space="preserve"> cumplimiento a las </w:t>
      </w:r>
      <w:r w:rsidR="00882DB6">
        <w:rPr>
          <w:rFonts w:eastAsia="Calibri" w:cs="Tahoma"/>
          <w:iCs/>
          <w:color w:val="auto"/>
          <w:lang w:val="es-ES" w:eastAsia="es-ES"/>
        </w:rPr>
        <w:t>resoluciones de estos.</w:t>
      </w:r>
    </w:p>
    <w:p w14:paraId="0FF9E428" w14:textId="77777777" w:rsidR="00882DB6" w:rsidRPr="00421D2E" w:rsidRDefault="00882DB6" w:rsidP="0012659F">
      <w:pPr>
        <w:tabs>
          <w:tab w:val="left" w:pos="4962"/>
        </w:tabs>
        <w:spacing w:after="0" w:line="360" w:lineRule="auto"/>
        <w:contextualSpacing/>
        <w:rPr>
          <w:rFonts w:eastAsia="Calibri" w:cs="Tahoma"/>
          <w:iCs/>
          <w:color w:val="auto"/>
          <w:lang w:val="es-ES" w:eastAsia="es-ES"/>
        </w:rPr>
      </w:pPr>
    </w:p>
    <w:p w14:paraId="6ECB7C9F" w14:textId="77777777" w:rsidR="00882DB6" w:rsidRDefault="0012659F" w:rsidP="0012659F">
      <w:pPr>
        <w:tabs>
          <w:tab w:val="left" w:pos="4962"/>
        </w:tabs>
        <w:spacing w:after="0" w:line="360" w:lineRule="auto"/>
        <w:contextualSpacing/>
        <w:rPr>
          <w:rFonts w:eastAsia="Calibri" w:cs="Tahoma"/>
          <w:iCs/>
          <w:color w:val="auto"/>
          <w:lang w:val="es-ES" w:eastAsia="es-ES"/>
        </w:rPr>
      </w:pPr>
      <w:r w:rsidRPr="00421D2E">
        <w:rPr>
          <w:rFonts w:eastAsia="Calibri" w:cs="Tahoma"/>
          <w:iCs/>
          <w:color w:val="auto"/>
          <w:lang w:val="es-ES" w:eastAsia="es-ES"/>
        </w:rPr>
        <w:t>Conforme a lo anterior, se logra vislumbrar que las Unidades de Transparencia, son las encargadas de recibir, tramitar y dar respuesta a las solicitudes de acceso a la información pública</w:t>
      </w:r>
      <w:r w:rsidR="00882DB6">
        <w:rPr>
          <w:rFonts w:eastAsia="Calibri" w:cs="Tahoma"/>
          <w:iCs/>
          <w:color w:val="auto"/>
          <w:lang w:val="es-ES" w:eastAsia="es-ES"/>
        </w:rPr>
        <w:t>; así como, cumplir las resoluciones que se emitan en los Recursos de Revisión presentados en contra de la respuesta emitida.</w:t>
      </w:r>
    </w:p>
    <w:p w14:paraId="283B1AD3" w14:textId="62C46754" w:rsidR="00882DB6" w:rsidRDefault="00882DB6" w:rsidP="0012659F">
      <w:pPr>
        <w:tabs>
          <w:tab w:val="left" w:pos="4962"/>
        </w:tabs>
        <w:spacing w:after="0" w:line="360" w:lineRule="auto"/>
        <w:contextualSpacing/>
        <w:rPr>
          <w:rFonts w:eastAsia="Calibri" w:cs="Tahoma"/>
          <w:iCs/>
          <w:color w:val="auto"/>
          <w:lang w:val="es-ES" w:eastAsia="es-ES"/>
        </w:rPr>
      </w:pPr>
    </w:p>
    <w:p w14:paraId="23BCE493" w14:textId="18A76D3C" w:rsidR="00A457AD" w:rsidRDefault="00A457AD" w:rsidP="0012659F">
      <w:pPr>
        <w:tabs>
          <w:tab w:val="left" w:pos="4962"/>
        </w:tabs>
        <w:spacing w:after="0" w:line="360" w:lineRule="auto"/>
        <w:contextualSpacing/>
        <w:rPr>
          <w:rFonts w:eastAsia="Calibri" w:cs="Tahoma"/>
          <w:iCs/>
          <w:color w:val="auto"/>
          <w:lang w:val="es-ES" w:eastAsia="es-ES"/>
        </w:rPr>
      </w:pPr>
      <w:r>
        <w:rPr>
          <w:rFonts w:eastAsia="Calibri" w:cs="Tahoma"/>
          <w:iCs/>
          <w:color w:val="auto"/>
          <w:lang w:val="es-ES" w:eastAsia="es-ES"/>
        </w:rPr>
        <w:t>Lo cual guarda relevancia, pues conforme al artículo 56 de la Ley de Transparencia y Acceso a la Información Pública del Estado de México y Municipios, las Unidades de Transparencia, acatarán las resoluciones, lineamientos y criterios del Instituto, además que atenderán los requerimientos de informes realizados por dicho Organismo Autónomo.</w:t>
      </w:r>
    </w:p>
    <w:p w14:paraId="37517E14" w14:textId="4C5E8C86" w:rsidR="00A457AD" w:rsidRDefault="00A457AD" w:rsidP="0012659F">
      <w:pPr>
        <w:tabs>
          <w:tab w:val="left" w:pos="4962"/>
        </w:tabs>
        <w:spacing w:after="0" w:line="360" w:lineRule="auto"/>
        <w:contextualSpacing/>
        <w:rPr>
          <w:rFonts w:eastAsia="Calibri" w:cs="Tahoma"/>
          <w:iCs/>
          <w:color w:val="auto"/>
          <w:lang w:val="es-ES" w:eastAsia="es-ES"/>
        </w:rPr>
      </w:pPr>
    </w:p>
    <w:p w14:paraId="6241C08D" w14:textId="77777777" w:rsidR="00A457AD" w:rsidRDefault="00A457AD" w:rsidP="0012659F">
      <w:pPr>
        <w:tabs>
          <w:tab w:val="left" w:pos="4962"/>
        </w:tabs>
        <w:spacing w:after="0" w:line="360" w:lineRule="auto"/>
        <w:contextualSpacing/>
        <w:rPr>
          <w:rFonts w:eastAsia="Calibri" w:cs="Tahoma"/>
          <w:iCs/>
          <w:color w:val="auto"/>
          <w:lang w:val="es-ES" w:eastAsia="es-ES"/>
        </w:rPr>
      </w:pPr>
    </w:p>
    <w:p w14:paraId="4D9F9A09" w14:textId="68A437D7" w:rsidR="0095680C" w:rsidRDefault="0012659F" w:rsidP="00A457AD">
      <w:pPr>
        <w:tabs>
          <w:tab w:val="left" w:pos="4962"/>
        </w:tabs>
        <w:spacing w:after="0" w:line="360" w:lineRule="auto"/>
        <w:contextualSpacing/>
        <w:rPr>
          <w:rFonts w:eastAsia="Calibri" w:cs="Tahoma"/>
          <w:bCs/>
        </w:rPr>
      </w:pPr>
      <w:r>
        <w:rPr>
          <w:rFonts w:eastAsia="Times New Roman" w:cs="Tahoma"/>
          <w:color w:val="auto"/>
          <w:lang w:eastAsia="es-MX"/>
        </w:rPr>
        <w:lastRenderedPageBreak/>
        <w:t xml:space="preserve"> </w:t>
      </w:r>
      <w:r w:rsidR="00A457AD">
        <w:rPr>
          <w:rFonts w:eastAsia="Times New Roman" w:cs="Tahoma"/>
          <w:color w:val="auto"/>
          <w:lang w:eastAsia="es-MX"/>
        </w:rPr>
        <w:t xml:space="preserve">Por otra parte, el artículo 185, fracción II, precisa que admitido el Recurso de Revisión, el Comisionado Ponente integrará el expediente respectivo y lo pondrá a disposición de las partes, para que, en un plazo máximo de siete días hábiles, manifiesten lo que a derecho convenga; lo cual guarda relevancia, pues conforme a los </w:t>
      </w:r>
      <w:r w:rsidR="0095680C" w:rsidRPr="00110067">
        <w:rPr>
          <w:rFonts w:eastAsia="Calibri" w:cs="Tahoma"/>
          <w:bCs/>
        </w:rPr>
        <w:t>artículos 3°, fracción XI, y 4° de la Ley de Transparencia y Acceso a la</w:t>
      </w:r>
      <w:r w:rsidR="0095680C">
        <w:rPr>
          <w:rFonts w:eastAsia="Calibri" w:cs="Tahoma"/>
          <w:bCs/>
        </w:rPr>
        <w:t xml:space="preserve"> </w:t>
      </w:r>
      <w:r w:rsidR="0095680C" w:rsidRPr="00110067">
        <w:rPr>
          <w:rFonts w:eastAsia="Calibri" w:cs="Tahoma"/>
          <w:bCs/>
        </w:rPr>
        <w:t xml:space="preserve">Información Pública del Estado de México y Municipios, precisan que </w:t>
      </w:r>
      <w:r w:rsidR="0095680C" w:rsidRPr="00110067">
        <w:rPr>
          <w:rFonts w:eastAsia="Calibri" w:cs="Tahoma"/>
          <w:b/>
        </w:rPr>
        <w:t>todos los documentos generados, obtenidos, adquiridos, transformados, administrados o en posesión de sujetos obligados son públicos</w:t>
      </w:r>
      <w:r w:rsidR="0095680C" w:rsidRPr="00110067">
        <w:rPr>
          <w:rFonts w:eastAsia="Calibri" w:cs="Tahoma"/>
          <w:bCs/>
        </w:rPr>
        <w:t>, entendiendo a estos, como los expedientes, reportes, estudios, actas,</w:t>
      </w:r>
      <w:r w:rsidR="0095680C">
        <w:rPr>
          <w:rFonts w:eastAsia="Calibri" w:cs="Tahoma"/>
          <w:bCs/>
        </w:rPr>
        <w:t xml:space="preserve"> </w:t>
      </w:r>
      <w:r w:rsidR="0095680C" w:rsidRPr="00110067">
        <w:rPr>
          <w:rFonts w:eastAsia="Calibri" w:cs="Tahoma"/>
          <w:bCs/>
        </w:rPr>
        <w:t>resoluciones, oficios, correspondencia, acuerdos, directivas, directrices, circulares, contratos,</w:t>
      </w:r>
      <w:r w:rsidR="0095680C">
        <w:rPr>
          <w:rFonts w:eastAsia="Calibri" w:cs="Tahoma"/>
          <w:bCs/>
        </w:rPr>
        <w:t xml:space="preserve"> </w:t>
      </w:r>
      <w:r w:rsidR="0095680C" w:rsidRPr="00110067">
        <w:rPr>
          <w:rFonts w:eastAsia="Calibri" w:cs="Tahoma"/>
          <w:bCs/>
        </w:rPr>
        <w:t>convenios, instructivos, notas, memorandos, estadísticas o cualquier otro</w:t>
      </w:r>
      <w:r w:rsidR="0095680C">
        <w:rPr>
          <w:rFonts w:eastAsia="Calibri" w:cs="Tahoma"/>
          <w:bCs/>
        </w:rPr>
        <w:t xml:space="preserve"> </w:t>
      </w:r>
      <w:r w:rsidR="0095680C" w:rsidRPr="00110067">
        <w:rPr>
          <w:rFonts w:eastAsia="Calibri" w:cs="Tahoma"/>
          <w:bCs/>
        </w:rPr>
        <w:t xml:space="preserve">documento </w:t>
      </w:r>
      <w:r w:rsidR="0095680C">
        <w:rPr>
          <w:rFonts w:eastAsia="Calibri" w:cs="Tahoma"/>
          <w:bCs/>
        </w:rPr>
        <w:t>que dé cuenta d</w:t>
      </w:r>
      <w:r w:rsidR="0095680C" w:rsidRPr="00110067">
        <w:rPr>
          <w:rFonts w:eastAsia="Calibri" w:cs="Tahoma"/>
          <w:bCs/>
        </w:rPr>
        <w:t>el</w:t>
      </w:r>
      <w:r w:rsidR="0095680C">
        <w:rPr>
          <w:rFonts w:eastAsia="Calibri" w:cs="Tahoma"/>
          <w:bCs/>
        </w:rPr>
        <w:t xml:space="preserve"> </w:t>
      </w:r>
      <w:r w:rsidR="0095680C" w:rsidRPr="00110067">
        <w:rPr>
          <w:rFonts w:eastAsia="Calibri" w:cs="Tahoma"/>
          <w:bCs/>
        </w:rPr>
        <w:t xml:space="preserve">ejercicio de </w:t>
      </w:r>
      <w:r w:rsidR="0095680C">
        <w:rPr>
          <w:rFonts w:eastAsia="Calibri" w:cs="Tahoma"/>
          <w:bCs/>
        </w:rPr>
        <w:t xml:space="preserve">las </w:t>
      </w:r>
      <w:r w:rsidR="0095680C" w:rsidRPr="00110067">
        <w:rPr>
          <w:rFonts w:eastAsia="Calibri" w:cs="Tahoma"/>
          <w:bCs/>
        </w:rPr>
        <w:t>funciones, facultades y competencias de los sujetos obligad</w:t>
      </w:r>
      <w:r w:rsidR="0095680C">
        <w:rPr>
          <w:rFonts w:eastAsia="Calibri" w:cs="Tahoma"/>
          <w:bCs/>
        </w:rPr>
        <w:t>os.</w:t>
      </w:r>
    </w:p>
    <w:p w14:paraId="342F249F" w14:textId="77777777" w:rsidR="00110067" w:rsidRDefault="00110067" w:rsidP="00110067">
      <w:pPr>
        <w:spacing w:after="0" w:line="360" w:lineRule="auto"/>
        <w:rPr>
          <w:rFonts w:eastAsia="Calibri" w:cs="Tahoma"/>
          <w:bCs/>
        </w:rPr>
      </w:pPr>
    </w:p>
    <w:p w14:paraId="3078E73E" w14:textId="16272359" w:rsidR="00A91A45" w:rsidRPr="00A91A45" w:rsidRDefault="00A91A45" w:rsidP="00A91A45">
      <w:pPr>
        <w:spacing w:after="0" w:line="360" w:lineRule="auto"/>
        <w:rPr>
          <w:rFonts w:eastAsia="Calibri" w:cs="Tahoma"/>
          <w:bCs/>
        </w:rPr>
      </w:pPr>
      <w:r w:rsidRPr="00A91A45">
        <w:rPr>
          <w:rFonts w:eastAsia="Calibri" w:cs="Tahoma"/>
          <w:bCs/>
        </w:rPr>
        <w:t xml:space="preserve">Conforme a lo anterior, se logra vislumbrar que la pretensión del ahora Recurrente es obtener </w:t>
      </w:r>
      <w:r>
        <w:rPr>
          <w:rFonts w:eastAsia="Calibri" w:cs="Tahoma"/>
          <w:bCs/>
        </w:rPr>
        <w:t xml:space="preserve">los acuses de los </w:t>
      </w:r>
      <w:r w:rsidR="00A457AD">
        <w:rPr>
          <w:rFonts w:eastAsia="Calibri" w:cs="Tahoma"/>
          <w:bCs/>
        </w:rPr>
        <w:t>R</w:t>
      </w:r>
      <w:r>
        <w:rPr>
          <w:rFonts w:eastAsia="Calibri" w:cs="Tahoma"/>
          <w:bCs/>
        </w:rPr>
        <w:t xml:space="preserve">ecursos de </w:t>
      </w:r>
      <w:r w:rsidR="00A457AD">
        <w:rPr>
          <w:rFonts w:eastAsia="Calibri" w:cs="Tahoma"/>
          <w:bCs/>
        </w:rPr>
        <w:t>R</w:t>
      </w:r>
      <w:r>
        <w:rPr>
          <w:rFonts w:eastAsia="Calibri" w:cs="Tahoma"/>
          <w:bCs/>
        </w:rPr>
        <w:t xml:space="preserve">evisión interpuestos ante el Ayuntamiento de Zinacantepec, </w:t>
      </w:r>
      <w:r w:rsidR="00A457AD">
        <w:rPr>
          <w:rFonts w:eastAsia="Calibri" w:cs="Tahoma"/>
          <w:bCs/>
        </w:rPr>
        <w:t>del primero de enero</w:t>
      </w:r>
      <w:r>
        <w:rPr>
          <w:rFonts w:eastAsia="Calibri" w:cs="Tahoma"/>
          <w:bCs/>
        </w:rPr>
        <w:t xml:space="preserve"> al veintinueve de noviembre de dos mil veintidós</w:t>
      </w:r>
      <w:r w:rsidR="00A457AD">
        <w:rPr>
          <w:rFonts w:eastAsia="Calibri" w:cs="Tahoma"/>
          <w:bCs/>
        </w:rPr>
        <w:t>, fecha en que se presentó la solicitud de información.</w:t>
      </w:r>
    </w:p>
    <w:p w14:paraId="294C138F" w14:textId="77777777" w:rsidR="00A91A45" w:rsidRPr="00A91A45" w:rsidRDefault="00A91A45" w:rsidP="00A91A45">
      <w:pPr>
        <w:spacing w:after="0" w:line="360" w:lineRule="auto"/>
        <w:rPr>
          <w:rFonts w:eastAsia="Calibri" w:cs="Tahoma"/>
          <w:bCs/>
          <w:sz w:val="20"/>
        </w:rPr>
      </w:pPr>
    </w:p>
    <w:p w14:paraId="66972D36" w14:textId="2703B828" w:rsidR="00A91A45" w:rsidRDefault="00A91A45" w:rsidP="00A91A45">
      <w:pPr>
        <w:spacing w:after="0" w:line="360" w:lineRule="auto"/>
        <w:rPr>
          <w:rFonts w:eastAsia="Calibri" w:cs="Times New Roman"/>
          <w:bCs/>
          <w:lang w:val="es-ES"/>
        </w:rPr>
      </w:pPr>
      <w:r w:rsidRPr="00A91A45">
        <w:rPr>
          <w:rFonts w:eastAsia="Calibri" w:cs="Tahoma"/>
          <w:bCs/>
          <w:szCs w:val="24"/>
        </w:rPr>
        <w:t>Establecido lo anterior, se procede analizar la información entregada</w:t>
      </w:r>
      <w:r w:rsidR="000D1866">
        <w:rPr>
          <w:rFonts w:eastAsia="Calibri" w:cs="Tahoma"/>
          <w:bCs/>
          <w:szCs w:val="24"/>
        </w:rPr>
        <w:t xml:space="preserve"> durante la sustanciación del medio de impugnación</w:t>
      </w:r>
      <w:r w:rsidRPr="00A91A45">
        <w:rPr>
          <w:rFonts w:eastAsia="Calibri" w:cs="Tahoma"/>
          <w:bCs/>
          <w:szCs w:val="24"/>
        </w:rPr>
        <w:t xml:space="preserve">, para lo cual, en principio de las constancias que obran en el expediente, </w:t>
      </w:r>
      <w:r w:rsidRPr="00A91A45">
        <w:rPr>
          <w:rFonts w:eastAsia="Calibri" w:cs="Times New Roman"/>
        </w:rPr>
        <w:t xml:space="preserve">se logra advertir que el Sujeto Obligado turno la solicitud de información a la </w:t>
      </w:r>
      <w:r w:rsidR="000D1866">
        <w:rPr>
          <w:rFonts w:eastAsia="Calibri" w:cs="Times New Roman"/>
        </w:rPr>
        <w:t>Unidad de Transparencia</w:t>
      </w:r>
      <w:r w:rsidRPr="00A91A45">
        <w:rPr>
          <w:rFonts w:eastAsia="Calibri" w:cs="Times New Roman"/>
          <w:bCs/>
          <w:iCs/>
        </w:rPr>
        <w:t xml:space="preserve">; por lo que, </w:t>
      </w:r>
      <w:r w:rsidRPr="00A91A45">
        <w:rPr>
          <w:rFonts w:eastAsia="Calibri" w:cs="Times New Roman"/>
          <w:bCs/>
          <w:lang w:val="es-ES"/>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0B08E33" w14:textId="77777777" w:rsidR="000D1866" w:rsidRPr="00527E16" w:rsidRDefault="000D1866" w:rsidP="000D1866">
      <w:pPr>
        <w:spacing w:after="0" w:line="360" w:lineRule="auto"/>
        <w:ind w:right="-93"/>
        <w:rPr>
          <w:rFonts w:cs="Tahoma"/>
          <w:lang w:val="es-ES"/>
        </w:rPr>
      </w:pPr>
    </w:p>
    <w:p w14:paraId="304BEE4E" w14:textId="77777777" w:rsidR="000D1866" w:rsidRPr="00527E16" w:rsidRDefault="000D1866" w:rsidP="000D1866">
      <w:pPr>
        <w:numPr>
          <w:ilvl w:val="0"/>
          <w:numId w:val="11"/>
        </w:numPr>
        <w:spacing w:after="0" w:line="360" w:lineRule="auto"/>
        <w:rPr>
          <w:rFonts w:eastAsia="Calibri" w:cs="Tahoma"/>
          <w:bCs/>
          <w:lang w:val="es-ES"/>
        </w:rPr>
      </w:pPr>
      <w:r w:rsidRPr="00527E16">
        <w:rPr>
          <w:rFonts w:eastAsia="Calibri" w:cs="Tahoma"/>
          <w:bCs/>
          <w:lang w:val="es-ES"/>
        </w:rPr>
        <w:t xml:space="preserve">Las Unidades de Transparencia garantizarán que las solicitudes de acceso a la información se turnen a todas las áreas competentes que cuenten con la información o </w:t>
      </w:r>
      <w:r w:rsidRPr="00527E16">
        <w:rPr>
          <w:rFonts w:eastAsia="Calibri" w:cs="Tahoma"/>
          <w:bCs/>
          <w:lang w:val="es-ES"/>
        </w:rPr>
        <w:lastRenderedPageBreak/>
        <w:t>deban tenerla -de acuerdo a las facultades, competencias y funciones-, con el objeto de que dichas áreas realicen una búsqueda exhaustiva y razonable de la información requerida, y</w:t>
      </w:r>
    </w:p>
    <w:p w14:paraId="6C01ED84" w14:textId="77777777" w:rsidR="000D1866" w:rsidRPr="00527E16" w:rsidRDefault="000D1866" w:rsidP="000D1866">
      <w:pPr>
        <w:spacing w:after="0" w:line="360" w:lineRule="auto"/>
        <w:ind w:left="720"/>
        <w:rPr>
          <w:rFonts w:eastAsia="Calibri" w:cs="Tahoma"/>
          <w:bCs/>
          <w:lang w:val="es-ES"/>
        </w:rPr>
      </w:pPr>
    </w:p>
    <w:p w14:paraId="2101D039" w14:textId="77777777" w:rsidR="000D1866" w:rsidRPr="00527E16" w:rsidRDefault="000D1866" w:rsidP="000D1866">
      <w:pPr>
        <w:numPr>
          <w:ilvl w:val="0"/>
          <w:numId w:val="11"/>
        </w:numPr>
        <w:spacing w:after="0" w:line="360" w:lineRule="auto"/>
        <w:rPr>
          <w:rFonts w:eastAsia="Calibri" w:cs="Tahoma"/>
          <w:bCs/>
          <w:lang w:val="es-ES"/>
        </w:rPr>
      </w:pPr>
      <w:r w:rsidRPr="00527E16">
        <w:rPr>
          <w:rFonts w:eastAsia="Calibri" w:cs="Tahoma"/>
          <w:bCs/>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D9DEA81" w14:textId="77777777" w:rsidR="000D1866" w:rsidRPr="00527E16" w:rsidRDefault="000D1866" w:rsidP="000D1866">
      <w:pPr>
        <w:spacing w:after="0" w:line="360" w:lineRule="auto"/>
        <w:rPr>
          <w:rFonts w:eastAsia="Calibri" w:cs="Tahoma"/>
          <w:bCs/>
        </w:rPr>
      </w:pPr>
    </w:p>
    <w:p w14:paraId="0E3A41DD" w14:textId="5C82549D" w:rsidR="000D1866" w:rsidRDefault="000D1866" w:rsidP="000D1866">
      <w:pPr>
        <w:tabs>
          <w:tab w:val="left" w:pos="4962"/>
        </w:tabs>
        <w:spacing w:after="0" w:line="360" w:lineRule="auto"/>
        <w:rPr>
          <w:rFonts w:eastAsia="Calibri" w:cs="Tahoma"/>
          <w:bCs/>
        </w:rPr>
      </w:pPr>
      <w:r w:rsidRPr="00527E16">
        <w:rPr>
          <w:rFonts w:eastAsia="Calibri" w:cs="Tahoma"/>
          <w:bCs/>
        </w:rPr>
        <w:t>Atendiendo a lo dispuesto en los preceptos legales de referencia, a efecto de determinar si el Sujeto Obligado cumplió con el procedimiento de búsqueda, resulta necesario citar</w:t>
      </w:r>
      <w:r>
        <w:rPr>
          <w:rFonts w:eastAsia="Calibri" w:cs="Tahoma"/>
          <w:bCs/>
        </w:rPr>
        <w:t xml:space="preserve"> los artículos 21, fracción VI</w:t>
      </w:r>
      <w:r w:rsidRPr="00527E16">
        <w:rPr>
          <w:rFonts w:eastAsia="Calibri" w:cs="Tahoma"/>
          <w:bCs/>
        </w:rPr>
        <w:t xml:space="preserve"> y </w:t>
      </w:r>
      <w:r>
        <w:rPr>
          <w:rFonts w:eastAsia="Calibri" w:cs="Tahoma"/>
          <w:bCs/>
        </w:rPr>
        <w:t>26, segundo párrafo</w:t>
      </w:r>
      <w:r w:rsidRPr="00527E16">
        <w:rPr>
          <w:rFonts w:eastAsia="Calibri" w:cs="Tahoma"/>
          <w:bCs/>
        </w:rPr>
        <w:t xml:space="preserve"> </w:t>
      </w:r>
      <w:r w:rsidRPr="00527E16">
        <w:rPr>
          <w:rFonts w:eastAsia="Calibri" w:cs="Tahoma"/>
          <w:iCs/>
          <w:color w:val="auto"/>
          <w:lang w:val="es-ES" w:eastAsia="es-ES"/>
        </w:rPr>
        <w:t xml:space="preserve">del </w:t>
      </w:r>
      <w:r>
        <w:rPr>
          <w:rFonts w:eastAsia="Calibri" w:cs="Tahoma"/>
          <w:iCs/>
          <w:color w:val="auto"/>
          <w:lang w:val="es-ES" w:eastAsia="es-ES"/>
        </w:rPr>
        <w:t>Bando Municipal, dos mil veintidós, del Ayuntamiento de Zinacantepec</w:t>
      </w:r>
      <w:r w:rsidRPr="00527E16">
        <w:rPr>
          <w:rFonts w:eastAsia="Calibri" w:cs="Tahoma"/>
          <w:iCs/>
          <w:color w:val="auto"/>
          <w:lang w:val="es-ES" w:eastAsia="es-ES"/>
        </w:rPr>
        <w:t xml:space="preserve">, </w:t>
      </w:r>
      <w:r w:rsidRPr="00527E16">
        <w:rPr>
          <w:rFonts w:eastAsia="Calibri" w:cs="Tahoma"/>
          <w:bCs/>
        </w:rPr>
        <w:t xml:space="preserve">que precisa que el Ente Recurrido, para el ejercicio de sus funciones cuenta con la Unidad de Transparencia, encargada </w:t>
      </w:r>
      <w:r w:rsidR="00D95E90">
        <w:rPr>
          <w:rFonts w:eastAsia="Calibri" w:cs="Tahoma"/>
          <w:bCs/>
        </w:rPr>
        <w:t>de ver todas las cuestiones relacionadas con la Transparencia y el derecho de acceso a la información pública.</w:t>
      </w:r>
    </w:p>
    <w:p w14:paraId="7AFD5E80" w14:textId="77777777" w:rsidR="00D95E90" w:rsidRDefault="00D95E90" w:rsidP="00D95E90">
      <w:pPr>
        <w:spacing w:after="0" w:line="360" w:lineRule="auto"/>
        <w:rPr>
          <w:rFonts w:eastAsia="Calibri" w:cs="Tahoma"/>
          <w:bCs/>
        </w:rPr>
      </w:pPr>
    </w:p>
    <w:p w14:paraId="6E6D1166" w14:textId="33E63B8C" w:rsidR="00D95E90" w:rsidRPr="006A0A0C" w:rsidRDefault="00D95E90" w:rsidP="00D95E90">
      <w:pPr>
        <w:spacing w:after="0" w:line="360" w:lineRule="auto"/>
        <w:rPr>
          <w:rFonts w:eastAsia="Calibri" w:cs="Tahoma"/>
          <w:bCs/>
        </w:rPr>
      </w:pPr>
      <w:r>
        <w:rPr>
          <w:rFonts w:eastAsia="Calibri" w:cs="Tahoma"/>
          <w:bCs/>
        </w:rPr>
        <w:t>Así</w:t>
      </w:r>
      <w:r>
        <w:rPr>
          <w:rFonts w:eastAsia="Calibri" w:cs="Tahoma"/>
        </w:rPr>
        <w:t xml:space="preserve">, </w:t>
      </w:r>
      <w:r w:rsidRPr="003E46E9">
        <w:rPr>
          <w:rFonts w:eastAsia="Calibri" w:cs="Tahoma"/>
        </w:rPr>
        <w:t xml:space="preserve">se colige que el Ente Recurrido cuenta con un área específica para conocer de la información, a saber, la </w:t>
      </w:r>
      <w:r>
        <w:rPr>
          <w:rFonts w:eastAsia="Calibri" w:cs="Tahoma"/>
        </w:rPr>
        <w:t>Unidad de Transparencia</w:t>
      </w:r>
      <w:r w:rsidRPr="003E46E9">
        <w:rPr>
          <w:rFonts w:eastAsia="Calibri" w:cs="Tahoma"/>
        </w:rPr>
        <w:t>,</w:t>
      </w:r>
      <w:r>
        <w:rPr>
          <w:rFonts w:eastAsia="Calibri" w:cs="Tahoma"/>
        </w:rPr>
        <w:t xml:space="preserve"> encargada de ver las cuestiones relacionadas con las solicitudes de acceso a la información y los recursos de revisión interpuestos ante las </w:t>
      </w:r>
      <w:r>
        <w:rPr>
          <w:rFonts w:eastAsia="Calibri" w:cs="Tahoma"/>
        </w:rPr>
        <w:t>expuestas</w:t>
      </w:r>
      <w:r>
        <w:rPr>
          <w:rFonts w:eastAsia="Calibri" w:cs="Tahoma"/>
        </w:rPr>
        <w:t xml:space="preserve"> proporcionadas ante dichas solicitudes; </w:t>
      </w:r>
      <w:r w:rsidRPr="003E46E9">
        <w:rPr>
          <w:rFonts w:eastAsia="Calibri" w:cs="Tahoma"/>
        </w:rPr>
        <w:t xml:space="preserve">por lo que, el </w:t>
      </w:r>
      <w:r w:rsidRPr="003E46E9">
        <w:rPr>
          <w:rFonts w:eastAsia="Calibri" w:cs="Tahoma"/>
          <w:bCs/>
        </w:rPr>
        <w:t xml:space="preserve">Ayuntamiento de </w:t>
      </w:r>
      <w:r>
        <w:rPr>
          <w:rFonts w:eastAsia="Calibri" w:cs="Tahoma"/>
          <w:bCs/>
        </w:rPr>
        <w:t>Zinacantepec</w:t>
      </w:r>
      <w:r w:rsidRPr="003E46E9">
        <w:rPr>
          <w:rFonts w:eastAsia="Calibri" w:cs="Tahoma"/>
        </w:rPr>
        <w:t>, cumplió con lo establecido en el 162 de la Ley de Transparencia y Acceso a la Información Pública del Estado de México y Municipios</w:t>
      </w:r>
      <w:r w:rsidRPr="003E46E9">
        <w:rPr>
          <w:rFonts w:eastAsia="Calibri" w:cs="Tahoma"/>
          <w:b/>
          <w:bCs/>
        </w:rPr>
        <w:t xml:space="preserve">, </w:t>
      </w:r>
      <w:r w:rsidRPr="003E46E9">
        <w:rPr>
          <w:rFonts w:eastAsia="Calibri" w:cs="Tahoma"/>
        </w:rPr>
        <w:t>pues gestion</w:t>
      </w:r>
      <w:r>
        <w:rPr>
          <w:rFonts w:eastAsia="Calibri" w:cs="Tahoma"/>
        </w:rPr>
        <w:t>ó</w:t>
      </w:r>
      <w:r w:rsidRPr="003E46E9">
        <w:rPr>
          <w:rFonts w:eastAsia="Calibri" w:cs="Tahoma"/>
        </w:rPr>
        <w:t xml:space="preserve"> el requerimiento informativo al área competente.</w:t>
      </w:r>
    </w:p>
    <w:p w14:paraId="52D10A5E" w14:textId="38879FC6" w:rsidR="00D95E90" w:rsidRDefault="00D95E90" w:rsidP="000D1866">
      <w:pPr>
        <w:tabs>
          <w:tab w:val="left" w:pos="4962"/>
        </w:tabs>
        <w:spacing w:after="0" w:line="360" w:lineRule="auto"/>
        <w:rPr>
          <w:rFonts w:eastAsia="Calibri" w:cs="Tahoma"/>
          <w:bCs/>
        </w:rPr>
      </w:pPr>
    </w:p>
    <w:p w14:paraId="3025BDF3" w14:textId="667A70F5" w:rsidR="0017250B" w:rsidRDefault="00D95E90" w:rsidP="000D1866">
      <w:pPr>
        <w:tabs>
          <w:tab w:val="left" w:pos="4962"/>
        </w:tabs>
        <w:spacing w:after="0" w:line="360" w:lineRule="auto"/>
        <w:rPr>
          <w:rFonts w:eastAsia="Calibri" w:cs="Tahoma"/>
          <w:bCs/>
        </w:rPr>
      </w:pPr>
      <w:r>
        <w:t>Ahora bien, dicha área precisó que no genera ningún tipo de acuse de recibido o semejante de los Recursos de Revisión, toda vez que llegan a través del Sistema de Acceso a la Información Mexiquense (SAIMEX)</w:t>
      </w:r>
      <w:r>
        <w:t xml:space="preserve">; al respecto, </w:t>
      </w:r>
      <w:r w:rsidR="006D25A8">
        <w:rPr>
          <w:rFonts w:eastAsia="Calibri" w:cs="Tahoma"/>
          <w:bCs/>
        </w:rPr>
        <w:t>los</w:t>
      </w:r>
      <w:r w:rsidR="00B96ADD">
        <w:rPr>
          <w:rFonts w:eastAsia="Calibri" w:cs="Tahoma"/>
          <w:bCs/>
        </w:rPr>
        <w:t xml:space="preserve"> artículos</w:t>
      </w:r>
      <w:r w:rsidR="0017250B">
        <w:rPr>
          <w:rFonts w:eastAsia="Calibri" w:cs="Tahoma"/>
          <w:bCs/>
        </w:rPr>
        <w:t xml:space="preserve"> </w:t>
      </w:r>
      <w:r w:rsidR="0017250B" w:rsidRPr="0017250B">
        <w:rPr>
          <w:rFonts w:eastAsia="Calibri" w:cs="Tahoma"/>
          <w:bCs/>
        </w:rPr>
        <w:t>152</w:t>
      </w:r>
      <w:r w:rsidR="006D25A8">
        <w:rPr>
          <w:rFonts w:eastAsia="Calibri" w:cs="Tahoma"/>
          <w:bCs/>
        </w:rPr>
        <w:t xml:space="preserve"> y </w:t>
      </w:r>
      <w:r w:rsidR="006D25A8" w:rsidRPr="0017250B">
        <w:rPr>
          <w:rFonts w:eastAsia="Calibri" w:cs="Tahoma"/>
          <w:bCs/>
        </w:rPr>
        <w:t>1</w:t>
      </w:r>
      <w:r w:rsidR="006D25A8">
        <w:rPr>
          <w:rFonts w:eastAsia="Calibri" w:cs="Tahoma"/>
          <w:bCs/>
        </w:rPr>
        <w:t xml:space="preserve">56 </w:t>
      </w:r>
      <w:r w:rsidR="00B96ADD">
        <w:rPr>
          <w:rFonts w:eastAsia="Calibri" w:cs="Tahoma"/>
          <w:bCs/>
        </w:rPr>
        <w:t xml:space="preserve">de la Ley de </w:t>
      </w:r>
      <w:r w:rsidR="00B96ADD" w:rsidRPr="00B96ADD">
        <w:rPr>
          <w:rFonts w:eastAsia="Calibri" w:cs="Tahoma"/>
          <w:bCs/>
        </w:rPr>
        <w:t xml:space="preserve">Transparencia y Acceso </w:t>
      </w:r>
      <w:r w:rsidR="00B96ADD" w:rsidRPr="00B96ADD">
        <w:rPr>
          <w:rFonts w:eastAsia="Calibri" w:cs="Tahoma"/>
          <w:bCs/>
        </w:rPr>
        <w:lastRenderedPageBreak/>
        <w:t>a la Información Pública del Estado de México y Municipios</w:t>
      </w:r>
      <w:r w:rsidR="00B96ADD">
        <w:rPr>
          <w:rFonts w:eastAsia="Calibri" w:cs="Tahoma"/>
          <w:bCs/>
        </w:rPr>
        <w:t>, establece</w:t>
      </w:r>
      <w:r w:rsidR="006D25A8">
        <w:rPr>
          <w:rFonts w:eastAsia="Calibri" w:cs="Tahoma"/>
          <w:bCs/>
        </w:rPr>
        <w:t xml:space="preserve">n que cualquier persona por sí misma o a través de su representante, podrá presentar solicitud de información </w:t>
      </w:r>
      <w:r w:rsidR="00A457AD">
        <w:rPr>
          <w:rFonts w:eastAsia="Calibri" w:cs="Tahoma"/>
          <w:bCs/>
        </w:rPr>
        <w:t xml:space="preserve">o Recursos de Revisión, </w:t>
      </w:r>
      <w:r w:rsidR="006D25A8">
        <w:rPr>
          <w:rFonts w:eastAsia="Calibri" w:cs="Tahoma"/>
          <w:bCs/>
        </w:rPr>
        <w:t>a través de sistemas electrónicos como la Plataforma Nacional o la Plataforma que para tales efectos habilite el Instituto</w:t>
      </w:r>
      <w:r w:rsidR="007320B5">
        <w:rPr>
          <w:rFonts w:eastAsia="Calibri" w:cs="Tahoma"/>
          <w:bCs/>
        </w:rPr>
        <w:t xml:space="preserve">, en ese sentido cabe precisar que </w:t>
      </w:r>
      <w:r w:rsidR="00A457AD">
        <w:rPr>
          <w:rFonts w:eastAsia="Calibri" w:cs="Tahoma"/>
          <w:bCs/>
        </w:rPr>
        <w:t>este Instituto, en materia de acceso a la información pública cuenta con el</w:t>
      </w:r>
      <w:r w:rsidR="007320B5">
        <w:rPr>
          <w:rFonts w:eastAsia="Calibri" w:cs="Tahoma"/>
          <w:bCs/>
        </w:rPr>
        <w:t xml:space="preserve"> </w:t>
      </w:r>
      <w:r w:rsidR="007320B5" w:rsidRPr="007320B5">
        <w:rPr>
          <w:rFonts w:eastAsia="Calibri" w:cs="Tahoma"/>
          <w:bCs/>
        </w:rPr>
        <w:t>Sistema de Acceso a la Información Mexiquense (SAIMEX)</w:t>
      </w:r>
      <w:r w:rsidR="007320B5">
        <w:rPr>
          <w:rFonts w:eastAsia="Calibri" w:cs="Tahoma"/>
          <w:bCs/>
        </w:rPr>
        <w:t>.</w:t>
      </w:r>
    </w:p>
    <w:p w14:paraId="708D7274" w14:textId="1CB3CA4C" w:rsidR="006D25A8" w:rsidRDefault="006D25A8" w:rsidP="000D1866">
      <w:pPr>
        <w:tabs>
          <w:tab w:val="left" w:pos="4962"/>
        </w:tabs>
        <w:spacing w:after="0" w:line="360" w:lineRule="auto"/>
        <w:rPr>
          <w:rFonts w:eastAsia="Calibri" w:cs="Tahoma"/>
          <w:bCs/>
        </w:rPr>
      </w:pPr>
    </w:p>
    <w:p w14:paraId="3AB63234" w14:textId="3EDB87E9" w:rsidR="007320B5" w:rsidRDefault="00D95E90" w:rsidP="000D1866">
      <w:pPr>
        <w:tabs>
          <w:tab w:val="left" w:pos="4962"/>
        </w:tabs>
        <w:spacing w:after="0" w:line="360" w:lineRule="auto"/>
      </w:pPr>
      <w:r>
        <w:t>En ese sentido,</w:t>
      </w:r>
      <w:r w:rsidR="007320B5">
        <w:t xml:space="preserve"> </w:t>
      </w:r>
      <w:r w:rsidR="00A457AD">
        <w:t>dicho Sistema</w:t>
      </w:r>
      <w:r w:rsidR="007320B5">
        <w:t xml:space="preserve"> es una plataforma tecnológica diseñada y administrada por este Instituto, destinada a la presentación, registro y seguimiento de las solicitudes de información </w:t>
      </w:r>
      <w:r>
        <w:t>e interposición de Recursos de Revisión</w:t>
      </w:r>
      <w:r w:rsidR="007320B5">
        <w:t xml:space="preserve">. En ese sentido, esta plataforma tecnológica puede ser vista desde tres ángulos: </w:t>
      </w:r>
    </w:p>
    <w:p w14:paraId="27EEF3EF" w14:textId="77777777" w:rsidR="0095680C" w:rsidRDefault="0095680C" w:rsidP="000D1866">
      <w:pPr>
        <w:tabs>
          <w:tab w:val="left" w:pos="4962"/>
        </w:tabs>
        <w:spacing w:after="0" w:line="360" w:lineRule="auto"/>
      </w:pPr>
    </w:p>
    <w:p w14:paraId="62E684CA" w14:textId="4DB7DD2D" w:rsidR="00D95E90" w:rsidRDefault="007320B5" w:rsidP="00074DEC">
      <w:pPr>
        <w:spacing w:after="0" w:line="360" w:lineRule="auto"/>
      </w:pPr>
      <w:r>
        <w:rPr>
          <w:rFonts w:eastAsia="Calibri" w:cs="Tahoma"/>
          <w:bCs/>
        </w:rPr>
        <w:t>Atento a lo anterior</w:t>
      </w:r>
      <w:r w:rsidR="00074DEC">
        <w:rPr>
          <w:rFonts w:eastAsia="Calibri" w:cs="Tahoma"/>
          <w:bCs/>
        </w:rPr>
        <w:t xml:space="preserve">, se localizaron las </w:t>
      </w:r>
      <w:r w:rsidR="00074DEC" w:rsidRPr="00074DEC">
        <w:rPr>
          <w:rFonts w:eastAsia="Calibri" w:cs="Tahoma"/>
          <w:bCs/>
        </w:rPr>
        <w:t>Guías de uso del sistema SAIMEX</w:t>
      </w:r>
      <w:r w:rsidR="00074DEC">
        <w:rPr>
          <w:rFonts w:eastAsia="Calibri" w:cs="Tahoma"/>
          <w:bCs/>
        </w:rPr>
        <w:t xml:space="preserve"> (</w:t>
      </w:r>
      <w:hyperlink r:id="rId9" w:history="1">
        <w:r w:rsidR="00074DEC" w:rsidRPr="000021A2">
          <w:rPr>
            <w:rStyle w:val="Hipervnculo"/>
            <w:rFonts w:eastAsia="Calibri" w:cs="Tahoma"/>
            <w:bCs/>
          </w:rPr>
          <w:t>https://www.saimex.org.mx/saimex/guias.html</w:t>
        </w:r>
      </w:hyperlink>
      <w:r w:rsidR="00074DEC" w:rsidRPr="00074DEC">
        <w:rPr>
          <w:rFonts w:eastAsia="Calibri" w:cs="Tahoma"/>
          <w:bCs/>
        </w:rPr>
        <w:t>,</w:t>
      </w:r>
      <w:r w:rsidR="00074DEC">
        <w:rPr>
          <w:rFonts w:eastAsia="Calibri" w:cs="Tahoma"/>
          <w:bCs/>
        </w:rPr>
        <w:t xml:space="preserve"> consultadas el trece de febrero de dos mil veintitrés a las catorce horas), que precisan que</w:t>
      </w:r>
      <w:r w:rsidR="00074DEC" w:rsidRPr="00DB29FF">
        <w:rPr>
          <w:rFonts w:eastAsia="Calibri" w:cs="Tahoma"/>
          <w:b/>
          <w:bCs/>
        </w:rPr>
        <w:t xml:space="preserve"> </w:t>
      </w:r>
      <w:r w:rsidRPr="00DB29FF">
        <w:rPr>
          <w:b/>
          <w:bCs/>
        </w:rPr>
        <w:t xml:space="preserve">el sistema cuenta con una opción para generar el acuse </w:t>
      </w:r>
      <w:r w:rsidR="0060153C" w:rsidRPr="00DB29FF">
        <w:rPr>
          <w:b/>
          <w:bCs/>
        </w:rPr>
        <w:t xml:space="preserve">del </w:t>
      </w:r>
      <w:r w:rsidRPr="00DB29FF">
        <w:rPr>
          <w:b/>
          <w:bCs/>
        </w:rPr>
        <w:t>Recurso de Revisión</w:t>
      </w:r>
      <w:r>
        <w:t xml:space="preserve"> y de los archivos</w:t>
      </w:r>
      <w:r w:rsidR="00DB29FF">
        <w:t xml:space="preserve"> </w:t>
      </w:r>
      <w:r>
        <w:t>que el solicitante</w:t>
      </w:r>
      <w:r w:rsidR="00DB29FF">
        <w:t>,</w:t>
      </w:r>
      <w:r w:rsidR="00DB29FF" w:rsidRPr="00DB29FF">
        <w:t xml:space="preserve"> </w:t>
      </w:r>
      <w:r w:rsidR="00DB29FF">
        <w:t>en su caso,</w:t>
      </w:r>
      <w:r>
        <w:t xml:space="preserve"> haya adjuntado</w:t>
      </w:r>
      <w:r w:rsidR="0060153C">
        <w:t>, en relación a la solicitud de información</w:t>
      </w:r>
      <w:r w:rsidR="00D95E90">
        <w:t>, tal como se muestra a continuación:</w:t>
      </w:r>
    </w:p>
    <w:p w14:paraId="21ACEBE7" w14:textId="01E2CD9F" w:rsidR="00D95E90" w:rsidRDefault="00D95E90" w:rsidP="00074DEC">
      <w:pPr>
        <w:spacing w:after="0" w:line="360" w:lineRule="auto"/>
      </w:pPr>
    </w:p>
    <w:p w14:paraId="74F6F1EC" w14:textId="60B63D5F" w:rsidR="00D95E90" w:rsidRDefault="00D95E90" w:rsidP="00074DEC">
      <w:pPr>
        <w:spacing w:after="0" w:line="360" w:lineRule="auto"/>
      </w:pPr>
      <w:r>
        <w:rPr>
          <w:noProof/>
        </w:rPr>
        <w:drawing>
          <wp:inline distT="0" distB="0" distL="0" distR="0" wp14:anchorId="4A5D5ED2" wp14:editId="0BFDA56E">
            <wp:extent cx="5791835" cy="2438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 b="23369"/>
                    <a:stretch/>
                  </pic:blipFill>
                  <pic:spPr bwMode="auto">
                    <a:xfrm>
                      <a:off x="0" y="0"/>
                      <a:ext cx="5791835" cy="2438400"/>
                    </a:xfrm>
                    <a:prstGeom prst="rect">
                      <a:avLst/>
                    </a:prstGeom>
                    <a:ln>
                      <a:noFill/>
                    </a:ln>
                    <a:extLst>
                      <a:ext uri="{53640926-AAD7-44D8-BBD7-CCE9431645EC}">
                        <a14:shadowObscured xmlns:a14="http://schemas.microsoft.com/office/drawing/2010/main"/>
                      </a:ext>
                    </a:extLst>
                  </pic:spPr>
                </pic:pic>
              </a:graphicData>
            </a:graphic>
          </wp:inline>
        </w:drawing>
      </w:r>
    </w:p>
    <w:p w14:paraId="31656E55" w14:textId="06972BB6" w:rsidR="00D95E90" w:rsidRDefault="00D95E90" w:rsidP="00074DEC">
      <w:pPr>
        <w:spacing w:after="0" w:line="360" w:lineRule="auto"/>
      </w:pPr>
      <w:r>
        <w:rPr>
          <w:noProof/>
        </w:rPr>
        <w:lastRenderedPageBreak/>
        <w:drawing>
          <wp:inline distT="0" distB="0" distL="0" distR="0" wp14:anchorId="7074899B" wp14:editId="5234ADDF">
            <wp:extent cx="5791835" cy="20681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068195"/>
                    </a:xfrm>
                    <a:prstGeom prst="rect">
                      <a:avLst/>
                    </a:prstGeom>
                  </pic:spPr>
                </pic:pic>
              </a:graphicData>
            </a:graphic>
          </wp:inline>
        </w:drawing>
      </w:r>
    </w:p>
    <w:p w14:paraId="4B2FE9F8" w14:textId="77777777" w:rsidR="00D95E90" w:rsidRDefault="00D95E90" w:rsidP="00074DEC">
      <w:pPr>
        <w:spacing w:after="0" w:line="360" w:lineRule="auto"/>
      </w:pPr>
    </w:p>
    <w:p w14:paraId="7BB6CA57" w14:textId="082FA9C3" w:rsidR="00D95E90" w:rsidRDefault="00D95E90" w:rsidP="00074DEC">
      <w:pPr>
        <w:spacing w:after="0" w:line="360" w:lineRule="auto"/>
      </w:pPr>
      <w:r>
        <w:t>Conforme a lo anterior, se logra vislumbrar que el Sistema de Acceso a la Información Mexiquense, cuenta con mecanismos específicos para que los Particulares, los Sujetos Obligados y este Instituto, puedan generar el Acuse del Recurso de Revisión, para resguardar en sus archivos; además, que las Unidades de Transparencia lo pueden utilizar para entregárselos a los servidores públicos habilitados, con el fin de que manifiesten lo que a derecho convenga.</w:t>
      </w:r>
    </w:p>
    <w:p w14:paraId="3D11F52C" w14:textId="77777777" w:rsidR="00D95E90" w:rsidRDefault="00D95E90" w:rsidP="00074DEC">
      <w:pPr>
        <w:spacing w:after="0" w:line="360" w:lineRule="auto"/>
      </w:pPr>
    </w:p>
    <w:p w14:paraId="1EAD2044" w14:textId="34A96C26" w:rsidR="00DB29FF" w:rsidRDefault="00651BCD" w:rsidP="00DB29FF">
      <w:pPr>
        <w:spacing w:after="0" w:line="360" w:lineRule="auto"/>
        <w:rPr>
          <w:rFonts w:eastAsia="Times New Roman" w:cs="Tahoma"/>
          <w:color w:val="auto"/>
          <w:lang w:val="es-ES" w:eastAsia="es-ES"/>
        </w:rPr>
      </w:pPr>
      <w:r>
        <w:t>Conforme a lo anterior, se logra advertir que el</w:t>
      </w:r>
      <w:r w:rsidR="00DB29FF">
        <w:t xml:space="preserve"> pronunciamiento </w:t>
      </w:r>
      <w:r>
        <w:t>de la Unidad de Transparencia</w:t>
      </w:r>
      <w:r w:rsidR="00DB29FF">
        <w:t xml:space="preserve"> resulta </w:t>
      </w:r>
      <w:r w:rsidR="00DB29FF">
        <w:rPr>
          <w:b/>
          <w:bCs/>
        </w:rPr>
        <w:t xml:space="preserve">incongruente, </w:t>
      </w:r>
      <w:r w:rsidR="00DB29FF">
        <w:t xml:space="preserve">pues contrario a lo señalado por el área, si cuenta con atribuciones para contar con la información peticionada, pues </w:t>
      </w:r>
      <w:r w:rsidR="00213FE8">
        <w:t>es la encargada de dar seguimiento a l</w:t>
      </w:r>
      <w:r>
        <w:t>os Recursos de Revisión</w:t>
      </w:r>
      <w:r w:rsidR="00DB29FF">
        <w:t xml:space="preserve">; al respecto, </w:t>
      </w:r>
      <w:r w:rsidR="00DB29FF" w:rsidRPr="00DC16CF">
        <w:rPr>
          <w:rFonts w:eastAsia="Calibri" w:cs="Times New Roman"/>
        </w:rPr>
        <w:t xml:space="preserve">el </w:t>
      </w:r>
      <w:r w:rsidR="00DB29FF" w:rsidRPr="00DC16CF">
        <w:rPr>
          <w:rFonts w:eastAsia="Times New Roman" w:cs="Tahoma"/>
          <w:color w:val="auto"/>
          <w:lang w:val="es-ES" w:eastAsia="es-ES"/>
        </w:rPr>
        <w:t>artículo 1.8, fracción IX, del Código Administrativo del Estado de México, establece que para que un acto administrativo tenga validez, deberá guardar congruencia con lo solicitado</w:t>
      </w:r>
      <w:r w:rsidR="00DB29FF">
        <w:rPr>
          <w:rFonts w:eastAsia="Times New Roman" w:cs="Tahoma"/>
          <w:color w:val="auto"/>
          <w:lang w:val="es-ES" w:eastAsia="es-ES"/>
        </w:rPr>
        <w:t>.</w:t>
      </w:r>
    </w:p>
    <w:p w14:paraId="7F14A799" w14:textId="77777777" w:rsidR="00BD1833" w:rsidRDefault="00BD1833" w:rsidP="00DB29FF">
      <w:pPr>
        <w:spacing w:after="0" w:line="360" w:lineRule="auto"/>
        <w:rPr>
          <w:rFonts w:eastAsia="Times New Roman" w:cs="Tahoma"/>
          <w:color w:val="auto"/>
          <w:lang w:val="es-ES" w:eastAsia="es-ES"/>
        </w:rPr>
      </w:pPr>
    </w:p>
    <w:p w14:paraId="72BB9CE7" w14:textId="77777777" w:rsidR="00DB29FF" w:rsidRPr="00DC16CF" w:rsidRDefault="00DB29FF" w:rsidP="00DB29FF">
      <w:pPr>
        <w:spacing w:after="0" w:line="360" w:lineRule="auto"/>
        <w:rPr>
          <w:rFonts w:eastAsia="Calibri" w:cs="Tahoma"/>
          <w:bCs/>
          <w:color w:val="auto"/>
          <w:lang w:val="es-ES"/>
        </w:rPr>
      </w:pPr>
      <w:r>
        <w:rPr>
          <w:rFonts w:eastAsia="Times New Roman" w:cs="Tahoma"/>
          <w:color w:val="auto"/>
          <w:lang w:val="es-ES" w:eastAsia="es-ES"/>
        </w:rPr>
        <w:t>A</w:t>
      </w:r>
      <w:r w:rsidRPr="00DC16CF">
        <w:rPr>
          <w:rFonts w:eastAsia="Times New Roman" w:cs="Tahoma"/>
          <w:color w:val="auto"/>
          <w:lang w:val="es-ES" w:eastAsia="es-ES"/>
        </w:rPr>
        <w:t>s</w:t>
      </w:r>
      <w:r w:rsidRPr="00DC16CF">
        <w:rPr>
          <w:rFonts w:eastAsia="Times New Roman" w:cs="Times New Roman"/>
          <w:color w:val="auto"/>
          <w:lang w:val="es-ES" w:eastAsia="es-ES"/>
        </w:rPr>
        <w:t>imismo,</w:t>
      </w:r>
      <w:r w:rsidRPr="00DC16CF">
        <w:rPr>
          <w:rFonts w:eastAsia="Times New Roman" w:cs="Tahoma"/>
          <w:color w:val="auto"/>
          <w:szCs w:val="20"/>
          <w:lang w:eastAsia="es-MX"/>
        </w:rPr>
        <w:t xml:space="preserve"> resulta necesario traer</w:t>
      </w:r>
      <w:r w:rsidRPr="00DC16CF">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14:paraId="02AFFD5D" w14:textId="77777777" w:rsidR="006A0A0C" w:rsidRPr="006A0A0C" w:rsidRDefault="006A0A0C" w:rsidP="006A0A0C">
      <w:pPr>
        <w:spacing w:after="0" w:line="360" w:lineRule="auto"/>
      </w:pPr>
    </w:p>
    <w:p w14:paraId="3497788E" w14:textId="77777777" w:rsidR="006A0A0C" w:rsidRPr="006A0A0C" w:rsidRDefault="006A0A0C" w:rsidP="006A0A0C">
      <w:pPr>
        <w:spacing w:after="0" w:line="360" w:lineRule="auto"/>
        <w:ind w:left="567" w:right="567"/>
        <w:rPr>
          <w:i/>
          <w:iCs/>
          <w:sz w:val="20"/>
          <w:szCs w:val="20"/>
        </w:rPr>
      </w:pPr>
      <w:r w:rsidRPr="006A0A0C">
        <w:rPr>
          <w:b/>
          <w:bCs/>
          <w:i/>
          <w:iCs/>
          <w:sz w:val="20"/>
          <w:szCs w:val="20"/>
        </w:rPr>
        <w:lastRenderedPageBreak/>
        <w:t>“Congruencia y exhaustividad. Sus alcances para garantizar el derecho de acceso a la información.</w:t>
      </w:r>
      <w:r w:rsidRPr="006A0A0C">
        <w:rPr>
          <w:i/>
          <w:iCs/>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6A0A0C">
        <w:rPr>
          <w:b/>
          <w:bCs/>
          <w:i/>
          <w:iCs/>
          <w:sz w:val="20"/>
          <w:szCs w:val="20"/>
        </w:rPr>
        <w:t>la exhaustividad significa que dicha respuesta se refiera expresamente a cada uno de los puntos solicitados</w:t>
      </w:r>
      <w:r w:rsidRPr="006A0A0C">
        <w:rPr>
          <w:i/>
          <w:iCs/>
          <w:sz w:val="20"/>
          <w:szCs w:val="20"/>
        </w:rPr>
        <w:t xml:space="preserve">. Por lo anterior, los sujetos obligados cumplirán con los principios de congruencia y exhaustividad, cuando las respuestas que emitan guarden una relación lógica con lo solicitado y </w:t>
      </w:r>
      <w:r w:rsidRPr="006A0A0C">
        <w:rPr>
          <w:b/>
          <w:bCs/>
          <w:i/>
          <w:iCs/>
          <w:sz w:val="20"/>
          <w:szCs w:val="20"/>
        </w:rPr>
        <w:t>atiendan de manera puntual y expresa, cada uno de los contenidos de información.”</w:t>
      </w:r>
      <w:r w:rsidRPr="006A0A0C">
        <w:rPr>
          <w:i/>
          <w:iCs/>
          <w:sz w:val="20"/>
          <w:szCs w:val="20"/>
        </w:rPr>
        <w:t xml:space="preserve"> </w:t>
      </w:r>
    </w:p>
    <w:p w14:paraId="31F8BA07" w14:textId="77777777" w:rsidR="006A0A0C" w:rsidRPr="006A0A0C" w:rsidRDefault="006A0A0C" w:rsidP="006A0A0C">
      <w:pPr>
        <w:spacing w:after="0" w:line="360" w:lineRule="auto"/>
      </w:pPr>
    </w:p>
    <w:p w14:paraId="75BD4B14" w14:textId="77777777" w:rsidR="00BD1833" w:rsidRPr="00DC16CF" w:rsidRDefault="00BD1833" w:rsidP="00BD1833">
      <w:pPr>
        <w:spacing w:after="0" w:line="360" w:lineRule="auto"/>
        <w:rPr>
          <w:rFonts w:eastAsia="Calibri" w:cs="Times New Roman"/>
          <w:lang w:val="es-ES"/>
        </w:rPr>
      </w:pPr>
      <w:bookmarkStart w:id="1" w:name="_Hlk76480431"/>
      <w:r w:rsidRPr="00DC16CF">
        <w:rPr>
          <w:rFonts w:eastAsia="Calibri" w:cs="Times New Roman"/>
        </w:rPr>
        <w:t xml:space="preserve">Del citado criterio, se desprende que </w:t>
      </w:r>
      <w:r w:rsidRPr="00DC16CF">
        <w:rPr>
          <w:rFonts w:eastAsia="Calibri" w:cs="Times New Roman"/>
          <w:bCs/>
        </w:rPr>
        <w:t>todo acto administrativo debe apegarse al</w:t>
      </w:r>
      <w:r w:rsidRPr="00DC16CF">
        <w:rPr>
          <w:rFonts w:eastAsia="Calibri" w:cs="Times New Roman"/>
          <w:lang w:val="es-ES"/>
        </w:rPr>
        <w:t xml:space="preserve"> </w:t>
      </w:r>
      <w:r w:rsidRPr="00DC16CF">
        <w:rPr>
          <w:rFonts w:eastAsia="Calibri" w:cs="Times New Roman"/>
          <w:b/>
          <w:lang w:val="es-ES"/>
        </w:rPr>
        <w:t xml:space="preserve">Principio de Congruencia, </w:t>
      </w:r>
      <w:r w:rsidRPr="00DC16CF">
        <w:rPr>
          <w:rFonts w:eastAsia="Calibri" w:cs="Times New Roman"/>
          <w:lang w:val="es-ES"/>
        </w:rPr>
        <w:t>el cual</w:t>
      </w:r>
      <w:r w:rsidRPr="00DC16CF">
        <w:rPr>
          <w:rFonts w:eastAsia="Calibri" w:cs="Times New Roman"/>
          <w:b/>
          <w:lang w:val="es-ES"/>
        </w:rPr>
        <w:t xml:space="preserve"> </w:t>
      </w:r>
      <w:r w:rsidRPr="00DC16CF">
        <w:rPr>
          <w:rFonts w:eastAsia="Calibri" w:cs="Times New Roman"/>
          <w:lang w:val="es-ES"/>
        </w:rPr>
        <w:t>implica que exista concordancia entre el requerimiento formulado y la respuesta entregada.</w:t>
      </w:r>
    </w:p>
    <w:p w14:paraId="79F63386" w14:textId="77777777" w:rsidR="00BD1833" w:rsidRPr="00DC16CF" w:rsidRDefault="00BD1833" w:rsidP="00BD1833">
      <w:pPr>
        <w:spacing w:after="0" w:line="360" w:lineRule="auto"/>
        <w:rPr>
          <w:rFonts w:eastAsia="Calibri" w:cs="Times New Roman"/>
          <w:bCs/>
          <w:lang w:val="es-ES_tradnl"/>
        </w:rPr>
      </w:pPr>
    </w:p>
    <w:p w14:paraId="7523A638" w14:textId="09146153" w:rsidR="00BD1833" w:rsidRPr="00DC16CF" w:rsidRDefault="00BD1833" w:rsidP="00BD1833">
      <w:pPr>
        <w:spacing w:after="0" w:line="360" w:lineRule="auto"/>
        <w:ind w:right="-28"/>
        <w:rPr>
          <w:rFonts w:eastAsia="Times New Roman" w:cs="Tahoma"/>
          <w:b/>
          <w:bCs/>
          <w:iCs/>
          <w:color w:val="auto"/>
          <w:lang w:val="es-ES" w:eastAsia="es-ES"/>
        </w:rPr>
      </w:pPr>
      <w:r w:rsidRPr="00DC16CF">
        <w:rPr>
          <w:rFonts w:eastAsia="Times New Roman" w:cs="Tahoma"/>
          <w:iCs/>
          <w:color w:val="auto"/>
          <w:lang w:val="es-ES" w:eastAsia="es-ES"/>
        </w:rPr>
        <w:t xml:space="preserve">Conforme a lo expuesto, se considera que la respuesta proporcionada incumplió con el Principio </w:t>
      </w:r>
      <w:r>
        <w:rPr>
          <w:rFonts w:eastAsia="Times New Roman" w:cs="Tahoma"/>
          <w:iCs/>
          <w:color w:val="auto"/>
          <w:lang w:val="es-ES" w:eastAsia="es-ES"/>
        </w:rPr>
        <w:t>mencionado</w:t>
      </w:r>
      <w:r w:rsidRPr="00DC16CF">
        <w:rPr>
          <w:rFonts w:eastAsia="Times New Roman" w:cs="Tahoma"/>
          <w:iCs/>
          <w:color w:val="auto"/>
          <w:lang w:val="es-ES" w:eastAsia="es-ES"/>
        </w:rPr>
        <w:t xml:space="preserve">, pues como se refirió la respuesta entregada </w:t>
      </w:r>
      <w:r>
        <w:rPr>
          <w:rFonts w:eastAsia="Times New Roman" w:cs="Tahoma"/>
          <w:iCs/>
          <w:color w:val="auto"/>
          <w:lang w:val="es-ES" w:eastAsia="es-ES"/>
        </w:rPr>
        <w:t>no guarda congruencia</w:t>
      </w:r>
      <w:r w:rsidRPr="00DC16CF">
        <w:rPr>
          <w:rFonts w:eastAsia="Times New Roman" w:cs="Tahoma"/>
          <w:iCs/>
          <w:color w:val="auto"/>
          <w:lang w:val="es-ES" w:eastAsia="es-ES"/>
        </w:rPr>
        <w:t xml:space="preserve">, pues en el presente caso, </w:t>
      </w:r>
      <w:r>
        <w:rPr>
          <w:rFonts w:eastAsia="Times New Roman" w:cs="Tahoma"/>
          <w:iCs/>
          <w:color w:val="auto"/>
          <w:lang w:val="es-ES" w:eastAsia="es-ES"/>
        </w:rPr>
        <w:t>la Unidad de Transparencia, si cuenta con atribuciones para contar con lo peticionado</w:t>
      </w:r>
      <w:r w:rsidRPr="00DC16CF">
        <w:rPr>
          <w:rFonts w:eastAsia="Times New Roman" w:cs="Tahoma"/>
          <w:iCs/>
          <w:color w:val="auto"/>
          <w:lang w:val="es-ES" w:eastAsia="es-ES"/>
        </w:rPr>
        <w:t xml:space="preserve">, lo cual da como resultado que el agravio sea </w:t>
      </w:r>
      <w:r w:rsidRPr="00DC16CF">
        <w:rPr>
          <w:rFonts w:eastAsia="Times New Roman" w:cs="Tahoma"/>
          <w:b/>
          <w:bCs/>
          <w:iCs/>
          <w:color w:val="auto"/>
          <w:lang w:val="es-ES" w:eastAsia="es-ES"/>
        </w:rPr>
        <w:t>FUNDADO.</w:t>
      </w:r>
    </w:p>
    <w:p w14:paraId="73ACAD00" w14:textId="77777777" w:rsidR="00BD1833" w:rsidRPr="00A04FA6" w:rsidRDefault="00BD1833" w:rsidP="00BD1833">
      <w:pPr>
        <w:spacing w:after="0" w:line="360" w:lineRule="auto"/>
        <w:rPr>
          <w:rFonts w:eastAsia="Calibri" w:cs="Times New Roman"/>
          <w:bCs/>
          <w:color w:val="000000"/>
        </w:rPr>
      </w:pPr>
    </w:p>
    <w:p w14:paraId="4275C02D" w14:textId="39816ACB" w:rsidR="00BD1833" w:rsidRDefault="00BD1833" w:rsidP="00BD1833">
      <w:pPr>
        <w:tabs>
          <w:tab w:val="left" w:pos="2694"/>
        </w:tabs>
        <w:spacing w:after="0" w:line="360" w:lineRule="auto"/>
        <w:rPr>
          <w:rFonts w:eastAsia="Times New Roman" w:cs="Tahoma"/>
          <w:bCs/>
          <w:iCs/>
          <w:color w:val="000000"/>
          <w:lang w:val="es-ES" w:eastAsia="es-MX"/>
        </w:rPr>
      </w:pPr>
      <w:r>
        <w:rPr>
          <w:rFonts w:eastAsia="Times New Roman" w:cs="Tahoma"/>
          <w:bCs/>
          <w:iCs/>
          <w:color w:val="000000"/>
          <w:lang w:val="es-ES" w:eastAsia="es-MX"/>
        </w:rPr>
        <w:t xml:space="preserve">Conforme a lo anterior y para atender el requerimiento de información, el Sujeto Obligado deberá realizar una búsqueda exhaustiva y razonable en todas las unidades administrativas competentes, entre las cuales no podrá omitir a la Unidad de Transparencia, a efecto de proporcione los documentos que den cuenta de los </w:t>
      </w:r>
      <w:r w:rsidR="00651BCD">
        <w:rPr>
          <w:rFonts w:eastAsia="Times New Roman" w:cs="Tahoma"/>
          <w:bCs/>
          <w:iCs/>
          <w:color w:val="000000"/>
          <w:lang w:val="es-ES" w:eastAsia="es-MX"/>
        </w:rPr>
        <w:t>R</w:t>
      </w:r>
      <w:r>
        <w:rPr>
          <w:rFonts w:eastAsia="Times New Roman" w:cs="Tahoma"/>
          <w:bCs/>
          <w:iCs/>
          <w:color w:val="000000"/>
          <w:lang w:val="es-ES" w:eastAsia="es-MX"/>
        </w:rPr>
        <w:t xml:space="preserve">ecursos de </w:t>
      </w:r>
      <w:r w:rsidR="00651BCD">
        <w:rPr>
          <w:rFonts w:eastAsia="Times New Roman" w:cs="Tahoma"/>
          <w:bCs/>
          <w:iCs/>
          <w:color w:val="000000"/>
          <w:lang w:val="es-ES" w:eastAsia="es-MX"/>
        </w:rPr>
        <w:t>R</w:t>
      </w:r>
      <w:r>
        <w:rPr>
          <w:rFonts w:eastAsia="Times New Roman" w:cs="Tahoma"/>
          <w:bCs/>
          <w:iCs/>
          <w:color w:val="000000"/>
          <w:lang w:val="es-ES" w:eastAsia="es-MX"/>
        </w:rPr>
        <w:t xml:space="preserve">evisión </w:t>
      </w:r>
      <w:r w:rsidR="00651BCD">
        <w:rPr>
          <w:rFonts w:eastAsia="Times New Roman" w:cs="Tahoma"/>
          <w:bCs/>
          <w:iCs/>
          <w:color w:val="000000"/>
          <w:lang w:val="es-ES" w:eastAsia="es-MX"/>
        </w:rPr>
        <w:t xml:space="preserve">(formato, acuses </w:t>
      </w:r>
      <w:proofErr w:type="spellStart"/>
      <w:r w:rsidR="00651BCD">
        <w:rPr>
          <w:rFonts w:eastAsia="Times New Roman" w:cs="Tahoma"/>
          <w:bCs/>
          <w:iCs/>
          <w:color w:val="000000"/>
          <w:lang w:val="es-ES" w:eastAsia="es-MX"/>
        </w:rPr>
        <w:t>u</w:t>
      </w:r>
      <w:proofErr w:type="spellEnd"/>
      <w:r w:rsidR="00651BCD">
        <w:rPr>
          <w:rFonts w:eastAsia="Times New Roman" w:cs="Tahoma"/>
          <w:bCs/>
          <w:iCs/>
          <w:color w:val="000000"/>
          <w:lang w:val="es-ES" w:eastAsia="es-MX"/>
        </w:rPr>
        <w:t xml:space="preserve"> homólogo), </w:t>
      </w:r>
      <w:r>
        <w:rPr>
          <w:rFonts w:eastAsia="Times New Roman" w:cs="Tahoma"/>
          <w:bCs/>
          <w:iCs/>
          <w:color w:val="000000"/>
          <w:lang w:val="es-ES" w:eastAsia="es-MX"/>
        </w:rPr>
        <w:t xml:space="preserve">interpuestos ante el Ayuntamiento de Zinacantepec, </w:t>
      </w:r>
      <w:r w:rsidR="00651BCD">
        <w:rPr>
          <w:rFonts w:eastAsia="Times New Roman" w:cs="Tahoma"/>
          <w:bCs/>
          <w:iCs/>
          <w:color w:val="000000"/>
          <w:lang w:val="es-ES" w:eastAsia="es-MX"/>
        </w:rPr>
        <w:t xml:space="preserve">del primero de enero </w:t>
      </w:r>
      <w:r>
        <w:rPr>
          <w:rFonts w:eastAsia="Times New Roman" w:cs="Tahoma"/>
          <w:bCs/>
          <w:iCs/>
          <w:color w:val="000000"/>
          <w:lang w:val="es-ES" w:eastAsia="es-MX"/>
        </w:rPr>
        <w:t xml:space="preserve">al veintinueve de noviembre de dos mil </w:t>
      </w:r>
      <w:r w:rsidR="00651BCD">
        <w:rPr>
          <w:rFonts w:eastAsia="Times New Roman" w:cs="Tahoma"/>
          <w:bCs/>
          <w:iCs/>
          <w:color w:val="000000"/>
          <w:lang w:val="es-ES" w:eastAsia="es-MX"/>
        </w:rPr>
        <w:t>veintidós</w:t>
      </w:r>
      <w:r>
        <w:rPr>
          <w:rFonts w:eastAsia="Times New Roman" w:cs="Tahoma"/>
          <w:bCs/>
          <w:iCs/>
          <w:color w:val="000000"/>
          <w:lang w:val="es-ES" w:eastAsia="es-MX"/>
        </w:rPr>
        <w:t>.</w:t>
      </w:r>
    </w:p>
    <w:p w14:paraId="3A5A5CD5" w14:textId="77777777" w:rsidR="00BD1833" w:rsidRDefault="00BD1833" w:rsidP="00BD1833">
      <w:pPr>
        <w:tabs>
          <w:tab w:val="left" w:pos="4962"/>
        </w:tabs>
        <w:spacing w:after="0" w:line="360" w:lineRule="auto"/>
        <w:rPr>
          <w:rFonts w:eastAsia="Times New Roman" w:cs="Tahoma"/>
          <w:bCs/>
          <w:color w:val="auto"/>
          <w:lang w:val="es-ES_tradnl" w:eastAsia="es-ES"/>
        </w:rPr>
      </w:pPr>
    </w:p>
    <w:p w14:paraId="37A83318" w14:textId="48BDF2A9" w:rsidR="00BD1833" w:rsidRDefault="00BD1833" w:rsidP="00BD1833">
      <w:pPr>
        <w:tabs>
          <w:tab w:val="left" w:pos="4962"/>
        </w:tabs>
        <w:spacing w:after="0" w:line="360" w:lineRule="auto"/>
        <w:rPr>
          <w:rFonts w:eastAsia="Times New Roman" w:cs="Tahoma"/>
          <w:color w:val="auto"/>
          <w:lang w:eastAsia="es-ES"/>
        </w:rPr>
      </w:pPr>
      <w:r>
        <w:rPr>
          <w:rFonts w:eastAsia="Calibri" w:cs="Tahoma"/>
          <w:bCs/>
          <w:iCs/>
          <w:color w:val="auto"/>
        </w:rPr>
        <w:lastRenderedPageBreak/>
        <w:t>D</w:t>
      </w:r>
      <w:r w:rsidRPr="00E0193D">
        <w:rPr>
          <w:rFonts w:eastAsia="Calibri" w:cs="Tahoma"/>
          <w:bCs/>
          <w:iCs/>
          <w:color w:val="auto"/>
        </w:rPr>
        <w:t>icha situación, toma sustento en</w:t>
      </w:r>
      <w:r w:rsidRPr="00E0193D">
        <w:rPr>
          <w:rFonts w:eastAsia="Calibri" w:cs="Tahoma"/>
          <w:bCs/>
          <w:color w:val="auto"/>
        </w:rPr>
        <w:t xml:space="preserve"> el</w:t>
      </w:r>
      <w:r w:rsidRPr="00E0193D">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A131284" w14:textId="77777777" w:rsidR="00BD1833" w:rsidRPr="00E0193D" w:rsidRDefault="00BD1833" w:rsidP="00BD1833">
      <w:pPr>
        <w:tabs>
          <w:tab w:val="left" w:pos="4962"/>
        </w:tabs>
        <w:spacing w:after="0" w:line="360" w:lineRule="auto"/>
        <w:rPr>
          <w:rFonts w:eastAsia="Times New Roman" w:cs="Tahoma"/>
          <w:color w:val="auto"/>
          <w:lang w:eastAsia="es-ES"/>
        </w:rPr>
      </w:pPr>
    </w:p>
    <w:p w14:paraId="65270DA4" w14:textId="2D22E0BC" w:rsidR="00BD1833" w:rsidRDefault="00BD1833" w:rsidP="00651BCD">
      <w:pPr>
        <w:tabs>
          <w:tab w:val="left" w:pos="4962"/>
        </w:tabs>
        <w:spacing w:after="0" w:line="360" w:lineRule="auto"/>
        <w:rPr>
          <w:rFonts w:eastAsia="Times New Roman" w:cs="Tahoma"/>
          <w:color w:val="auto"/>
          <w:lang w:eastAsia="es-ES"/>
        </w:rPr>
      </w:pPr>
      <w:r w:rsidRPr="00E0193D">
        <w:rPr>
          <w:rFonts w:eastAsia="Times New Roman" w:cs="Tahoma"/>
          <w:color w:val="auto"/>
          <w:lang w:eastAsia="es-ES"/>
        </w:rPr>
        <w:t xml:space="preserve">De esta manera, </w:t>
      </w:r>
      <w:r w:rsidRPr="00E0193D">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E0193D">
        <w:rPr>
          <w:rFonts w:eastAsia="Times New Roman" w:cs="Tahoma"/>
          <w:i/>
          <w:color w:val="auto"/>
          <w:lang w:eastAsia="es-ES"/>
        </w:rPr>
        <w:t>ad hoc</w:t>
      </w:r>
      <w:r w:rsidRPr="00E0193D">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E1463BD" w14:textId="77777777" w:rsidR="00651BCD" w:rsidRPr="00E0193D" w:rsidRDefault="00651BCD" w:rsidP="00651BCD">
      <w:pPr>
        <w:tabs>
          <w:tab w:val="left" w:pos="4962"/>
        </w:tabs>
        <w:spacing w:after="0" w:line="360" w:lineRule="auto"/>
        <w:rPr>
          <w:rFonts w:eastAsia="Times New Roman" w:cs="Tahoma"/>
          <w:color w:val="auto"/>
          <w:szCs w:val="24"/>
          <w:lang w:val="es-ES" w:eastAsia="es-ES"/>
        </w:rPr>
      </w:pPr>
    </w:p>
    <w:p w14:paraId="26432E83" w14:textId="77777777" w:rsidR="00BD1833" w:rsidRPr="00E776C4" w:rsidRDefault="00BD1833" w:rsidP="00BD1833">
      <w:pPr>
        <w:spacing w:after="0" w:line="360" w:lineRule="auto"/>
        <w:rPr>
          <w:rFonts w:eastAsia="Times New Roman" w:cs="Tahoma"/>
          <w:bCs/>
          <w:iCs/>
          <w:color w:val="0D0D0D"/>
          <w:lang w:val="es-ES" w:eastAsia="es-ES"/>
        </w:rPr>
      </w:pPr>
      <w:r w:rsidRPr="00E0193D">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Pr>
          <w:rFonts w:eastAsia="Times New Roman" w:cs="Tahoma"/>
          <w:color w:val="auto"/>
          <w:lang w:val="es-ES" w:eastAsia="es-ES"/>
        </w:rPr>
        <w:t>los documentos donde conste la información peticionada.</w:t>
      </w:r>
    </w:p>
    <w:p w14:paraId="7A5C1A93" w14:textId="77777777" w:rsidR="00BD1833" w:rsidRDefault="00BD1833" w:rsidP="00BD1833">
      <w:pPr>
        <w:spacing w:after="0" w:line="360" w:lineRule="auto"/>
        <w:ind w:right="-28"/>
        <w:rPr>
          <w:rFonts w:eastAsia="Times New Roman" w:cs="Tahoma"/>
          <w:iCs/>
          <w:color w:val="auto"/>
          <w:lang w:eastAsia="es-ES"/>
        </w:rPr>
      </w:pPr>
    </w:p>
    <w:bookmarkEnd w:id="1"/>
    <w:p w14:paraId="252EF6E6" w14:textId="19951FCA" w:rsidR="000C06FC" w:rsidRPr="007313F8" w:rsidRDefault="000C06FC" w:rsidP="000C06FC">
      <w:pPr>
        <w:spacing w:after="0" w:line="360" w:lineRule="auto"/>
        <w:rPr>
          <w:rFonts w:eastAsia="Calibri" w:cs="Tahoma"/>
          <w:bCs/>
          <w:iCs/>
          <w:lang w:val="es-ES"/>
        </w:rPr>
      </w:pPr>
      <w:r w:rsidRPr="007313F8">
        <w:rPr>
          <w:rFonts w:eastAsia="Calibri" w:cs="Tahoma"/>
          <w:bCs/>
          <w:iCs/>
          <w:lang w:val="es-ES_tradnl"/>
        </w:rPr>
        <w:t>No pasa desapercibido para este Instituto que los documentos que den cuenta de lo solicitado, pudieran contener datos o información clasificada</w:t>
      </w:r>
      <w:r w:rsidR="00651BCD">
        <w:rPr>
          <w:rFonts w:eastAsia="Calibri" w:cs="Tahoma"/>
          <w:bCs/>
          <w:iCs/>
          <w:lang w:val="es-ES_tradnl"/>
        </w:rPr>
        <w:t>, como son los datos personales de los solicitantes de información, tal como nombre, domicilio o correo electrónico</w:t>
      </w:r>
      <w:r w:rsidRPr="007313F8">
        <w:rPr>
          <w:rFonts w:eastAsia="Calibri" w:cs="Tahoma"/>
          <w:bCs/>
          <w:iCs/>
          <w:lang w:val="es-ES_tradnl"/>
        </w:rPr>
        <w:t>; a</w:t>
      </w:r>
      <w:r w:rsidRPr="007313F8">
        <w:rPr>
          <w:rFonts w:eastAsia="Calibri"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409DE53" w14:textId="77777777" w:rsidR="000C06FC" w:rsidRPr="007313F8" w:rsidRDefault="000C06FC" w:rsidP="000C06FC">
      <w:pPr>
        <w:spacing w:after="0" w:line="360" w:lineRule="auto"/>
        <w:rPr>
          <w:rFonts w:eastAsia="Calibri" w:cs="Tahoma"/>
          <w:bCs/>
          <w:iCs/>
          <w:lang w:val="es-ES"/>
        </w:rPr>
      </w:pPr>
      <w:r w:rsidRPr="007313F8">
        <w:rPr>
          <w:rFonts w:eastAsia="Calibri" w:cs="Tahoma"/>
          <w:bCs/>
          <w:iCs/>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13C96B3" w14:textId="77777777" w:rsidR="00066B31" w:rsidRDefault="00066B31" w:rsidP="007E4918">
      <w:pPr>
        <w:spacing w:after="0" w:line="360" w:lineRule="auto"/>
        <w:rPr>
          <w:rFonts w:eastAsia="Calibri" w:cs="Tahoma"/>
          <w:bCs/>
        </w:rPr>
      </w:pPr>
    </w:p>
    <w:p w14:paraId="436FBF8F" w14:textId="77777777" w:rsidR="000C06FC" w:rsidRPr="00446963" w:rsidRDefault="000C06FC" w:rsidP="000C06FC">
      <w:pPr>
        <w:spacing w:after="0" w:line="360" w:lineRule="auto"/>
        <w:rPr>
          <w:rFonts w:eastAsia="Times New Roman" w:cs="Tahoma"/>
          <w:b/>
          <w:lang w:eastAsia="es-ES"/>
        </w:rPr>
      </w:pPr>
      <w:r w:rsidRPr="00446963">
        <w:rPr>
          <w:rFonts w:eastAsia="Times New Roman" w:cs="Tahoma"/>
          <w:b/>
          <w:lang w:eastAsia="es-ES"/>
        </w:rPr>
        <w:t xml:space="preserve">SEXTO. Decisión. </w:t>
      </w:r>
    </w:p>
    <w:p w14:paraId="3114B86D" w14:textId="77777777" w:rsidR="000C06FC" w:rsidRPr="00446963" w:rsidRDefault="000C06FC" w:rsidP="000C06FC">
      <w:pPr>
        <w:spacing w:after="0" w:line="360" w:lineRule="auto"/>
        <w:rPr>
          <w:rFonts w:eastAsia="Times New Roman" w:cs="Tahoma"/>
          <w:lang w:eastAsia="es-ES"/>
        </w:rPr>
      </w:pPr>
    </w:p>
    <w:p w14:paraId="565C7348" w14:textId="6AFC6973" w:rsidR="000C06FC" w:rsidRPr="000C06FC" w:rsidRDefault="000C06FC" w:rsidP="00651BCD">
      <w:pPr>
        <w:spacing w:after="0" w:line="360" w:lineRule="auto"/>
        <w:ind w:right="-93"/>
        <w:rPr>
          <w:rFonts w:eastAsia="Calibri" w:cs="Tahoma"/>
          <w:bCs/>
          <w:color w:val="000000"/>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ORDENAR</w:t>
      </w:r>
      <w:r>
        <w:rPr>
          <w:rFonts w:eastAsia="Times New Roman" w:cs="Tahoma"/>
          <w:b/>
          <w:lang w:eastAsia="es-ES"/>
        </w:rPr>
        <w:t xml:space="preserve"> </w:t>
      </w:r>
      <w:r w:rsidR="00651BCD">
        <w:rPr>
          <w:rFonts w:eastAsia="Times New Roman" w:cs="Tahoma"/>
          <w:color w:val="auto"/>
          <w:lang w:eastAsia="es-ES"/>
        </w:rPr>
        <w:t>al Sujeto Obligado</w:t>
      </w:r>
      <w:r w:rsidRPr="008A47E2">
        <w:rPr>
          <w:rFonts w:eastAsia="Times New Roman" w:cs="Tahoma"/>
          <w:bCs/>
          <w:color w:val="auto"/>
          <w:lang w:eastAsia="es-ES"/>
        </w:rPr>
        <w:t xml:space="preserve">, a efecto de que, previa </w:t>
      </w:r>
      <w:r w:rsidRPr="008A47E2">
        <w:rPr>
          <w:rFonts w:eastAsia="Calibri" w:cs="Tahoma"/>
          <w:iCs/>
          <w:color w:val="auto"/>
          <w:lang w:eastAsia="es-ES_tradnl"/>
        </w:rPr>
        <w:t xml:space="preserve">búsqueda exhaustiva y razonable, en todas las áreas competentes, entre las cuales no podrá omitir a </w:t>
      </w:r>
      <w:r w:rsidRPr="008A47E2">
        <w:rPr>
          <w:rFonts w:eastAsia="Calibri" w:cs="Tahoma"/>
          <w:bCs/>
          <w:iCs/>
          <w:color w:val="auto"/>
          <w:lang w:eastAsia="es-ES_tradnl"/>
        </w:rPr>
        <w:t xml:space="preserve">la </w:t>
      </w:r>
      <w:r>
        <w:rPr>
          <w:rFonts w:eastAsia="Calibri" w:cs="Tahoma"/>
          <w:bCs/>
          <w:iCs/>
          <w:color w:val="auto"/>
          <w:lang w:eastAsia="es-ES_tradnl"/>
        </w:rPr>
        <w:t xml:space="preserve"> </w:t>
      </w:r>
      <w:r w:rsidRPr="000C06FC">
        <w:rPr>
          <w:rFonts w:eastAsia="Calibri" w:cs="Tahoma"/>
          <w:bCs/>
          <w:iCs/>
          <w:color w:val="auto"/>
          <w:lang w:eastAsia="es-ES_tradnl"/>
        </w:rPr>
        <w:t>Unidad de Transparencia</w:t>
      </w:r>
      <w:r w:rsidRPr="000C06FC">
        <w:rPr>
          <w:rFonts w:eastAsia="Times New Roman" w:cs="Tahoma"/>
          <w:color w:val="auto"/>
          <w:lang w:eastAsia="es-ES"/>
        </w:rPr>
        <w:t>,</w:t>
      </w:r>
      <w:r w:rsidRPr="008A47E2">
        <w:rPr>
          <w:rFonts w:eastAsia="Times New Roman" w:cs="Tahoma"/>
          <w:color w:val="auto"/>
          <w:lang w:eastAsia="es-ES"/>
        </w:rPr>
        <w:t xml:space="preserve"> </w:t>
      </w:r>
      <w:r w:rsidRPr="008A47E2">
        <w:rPr>
          <w:rFonts w:eastAsia="Times New Roman" w:cs="Tahoma"/>
          <w:bCs/>
          <w:color w:val="auto"/>
          <w:lang w:eastAsia="es-ES"/>
        </w:rPr>
        <w:t xml:space="preserve"> entregue, a través del Sistema de Acceso a la Información Mexiquense (SAIMEX), </w:t>
      </w:r>
      <w:r w:rsidRPr="008A47E2">
        <w:rPr>
          <w:rFonts w:eastAsia="Times New Roman" w:cs="Tahoma"/>
          <w:color w:val="auto"/>
          <w:lang w:val="es-ES" w:eastAsia="es-ES"/>
        </w:rPr>
        <w:t>en su caso</w:t>
      </w:r>
      <w:r>
        <w:rPr>
          <w:rFonts w:eastAsia="Times New Roman" w:cs="Tahoma"/>
          <w:color w:val="auto"/>
          <w:lang w:val="es-ES" w:eastAsia="es-ES"/>
        </w:rPr>
        <w:t>,</w:t>
      </w:r>
      <w:r w:rsidRPr="008A47E2">
        <w:rPr>
          <w:rFonts w:eastAsia="Times New Roman" w:cs="Tahoma"/>
          <w:color w:val="auto"/>
          <w:lang w:val="es-ES" w:eastAsia="es-ES"/>
        </w:rPr>
        <w:t xml:space="preserve"> en versión pública, </w:t>
      </w:r>
      <w:r w:rsidR="00651BCD">
        <w:rPr>
          <w:rFonts w:eastAsia="Times New Roman" w:cs="Tahoma"/>
          <w:bCs/>
          <w:iCs/>
          <w:color w:val="000000"/>
          <w:lang w:val="es-ES" w:eastAsia="es-MX"/>
        </w:rPr>
        <w:t xml:space="preserve">los documentos donde consten </w:t>
      </w:r>
      <w:bookmarkStart w:id="2" w:name="_Hlk127396511"/>
      <w:r w:rsidR="00651BCD">
        <w:rPr>
          <w:rFonts w:eastAsia="Times New Roman" w:cs="Tahoma"/>
          <w:bCs/>
          <w:iCs/>
          <w:color w:val="000000"/>
          <w:lang w:val="es-ES" w:eastAsia="es-MX"/>
        </w:rPr>
        <w:t>los Recursos de Revisión (formatos, acuses u homólogos), interpuestos del primero de enero al veintinueve de noviembre de dos mil veintidós.</w:t>
      </w:r>
      <w:bookmarkEnd w:id="2"/>
      <w:r w:rsidR="00651BCD">
        <w:rPr>
          <w:rFonts w:eastAsia="Times New Roman" w:cs="Tahoma"/>
          <w:bCs/>
          <w:iCs/>
          <w:color w:val="000000"/>
          <w:lang w:val="es-ES" w:eastAsia="es-MX"/>
        </w:rPr>
        <w:t xml:space="preserve"> </w:t>
      </w:r>
      <w:r w:rsidRPr="008A47E2">
        <w:rPr>
          <w:rFonts w:eastAsia="Calibri" w:cs="Tahoma"/>
          <w:iCs/>
          <w:color w:val="auto"/>
          <w:lang w:eastAsia="es-ES_tradnl"/>
        </w:rPr>
        <w:t>Además, de ser necesario, deberá proporcionar el Acuerdo de Clasificación donde el Comité de Transparencia, confirme la eliminación de los datos o información clasificada, en la versión pública</w:t>
      </w:r>
      <w:r w:rsidR="00651BCD">
        <w:rPr>
          <w:rFonts w:eastAsia="Calibri" w:cs="Tahoma"/>
          <w:iCs/>
          <w:color w:val="auto"/>
          <w:lang w:eastAsia="es-ES_tradnl"/>
        </w:rPr>
        <w:t>.</w:t>
      </w:r>
    </w:p>
    <w:p w14:paraId="33BF6E85" w14:textId="77777777" w:rsidR="000C06FC" w:rsidRDefault="000C06FC" w:rsidP="000C06FC">
      <w:pPr>
        <w:spacing w:after="0" w:line="360" w:lineRule="auto"/>
        <w:rPr>
          <w:rFonts w:eastAsia="Times New Roman" w:cs="Tahoma"/>
          <w:lang w:eastAsia="es-ES"/>
        </w:rPr>
      </w:pPr>
    </w:p>
    <w:p w14:paraId="51FFA43B" w14:textId="77777777" w:rsidR="000C06FC" w:rsidRDefault="000C06FC" w:rsidP="000C06FC">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14:paraId="574C42F3" w14:textId="77777777" w:rsidR="000C06FC" w:rsidRPr="00446963" w:rsidRDefault="000C06FC" w:rsidP="000C06FC">
      <w:pPr>
        <w:autoSpaceDE w:val="0"/>
        <w:autoSpaceDN w:val="0"/>
        <w:adjustRightInd w:val="0"/>
        <w:spacing w:after="0" w:line="360" w:lineRule="auto"/>
        <w:rPr>
          <w:rFonts w:eastAsia="Calibri" w:cs="Tahoma"/>
          <w:b/>
          <w:bCs/>
          <w:iCs/>
          <w:lang w:val="es-ES"/>
        </w:rPr>
      </w:pPr>
    </w:p>
    <w:p w14:paraId="23B1441D" w14:textId="77777777" w:rsidR="000C06FC" w:rsidRDefault="000C06FC" w:rsidP="000C06FC">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Pr>
          <w:rFonts w:eastAsia="Calibri" w:cs="Tahoma"/>
          <w:bCs/>
          <w:iCs/>
          <w:lang w:val="es-ES"/>
        </w:rPr>
        <w:t xml:space="preserve">Ayuntamiento de </w:t>
      </w:r>
      <w:r w:rsidRPr="00944705">
        <w:rPr>
          <w:rFonts w:eastAsia="Calibri" w:cs="Tahoma"/>
          <w:bCs/>
          <w:iCs/>
          <w:lang w:val="es-ES"/>
        </w:rPr>
        <w:t>Zinacantepec</w:t>
      </w:r>
      <w:r w:rsidRPr="00446963">
        <w:rPr>
          <w:rFonts w:eastAsia="Calibri" w:cs="Tahoma"/>
          <w:bCs/>
          <w:iCs/>
          <w:lang w:val="es-ES"/>
        </w:rPr>
        <w:t xml:space="preserve"> no emitió contestación alguna, por lo que, deberá dar trámite al requerimiento de información y en su caso, entregarle la documentación solicitada.</w:t>
      </w:r>
    </w:p>
    <w:p w14:paraId="628ECC39" w14:textId="77777777" w:rsidR="000C06FC" w:rsidRPr="00446963" w:rsidRDefault="000C06FC" w:rsidP="000C06FC">
      <w:pPr>
        <w:widowControl w:val="0"/>
        <w:autoSpaceDE w:val="0"/>
        <w:autoSpaceDN w:val="0"/>
        <w:adjustRightInd w:val="0"/>
        <w:spacing w:after="0" w:line="360" w:lineRule="auto"/>
        <w:rPr>
          <w:rFonts w:eastAsia="Calibri" w:cs="Tahoma"/>
          <w:bCs/>
          <w:iCs/>
          <w:lang w:val="es-ES"/>
        </w:rPr>
      </w:pPr>
    </w:p>
    <w:p w14:paraId="1B3D8FAF" w14:textId="77777777" w:rsidR="000C06FC" w:rsidRPr="00446963" w:rsidRDefault="000C06FC" w:rsidP="000C06FC">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w:t>
      </w:r>
      <w:r w:rsidRPr="00446963">
        <w:rPr>
          <w:rFonts w:eastAsia="Calibri" w:cs="Tahoma"/>
          <w:bCs/>
          <w:iCs/>
          <w:lang w:val="es-ES" w:eastAsia="es-ES_tradnl"/>
        </w:rPr>
        <w:lastRenderedPageBreak/>
        <w:t xml:space="preserve">y Municipios, tiene derecho a interponer nuevamente Recurso de Revisión ante este Instituto, por la respuesta que dé el Sujeto Obligado, en cumplimiento a esta Resolución. </w:t>
      </w:r>
    </w:p>
    <w:p w14:paraId="23BDF269" w14:textId="77777777" w:rsidR="000C06FC" w:rsidRDefault="000C06FC" w:rsidP="000C06FC">
      <w:pPr>
        <w:spacing w:after="0" w:line="360" w:lineRule="auto"/>
        <w:rPr>
          <w:rFonts w:eastAsia="Calibri" w:cs="Tahoma"/>
          <w:bCs/>
          <w:iCs/>
          <w:lang w:val="es-ES" w:eastAsia="es-ES_tradnl"/>
        </w:rPr>
      </w:pPr>
    </w:p>
    <w:p w14:paraId="490964B6" w14:textId="77777777" w:rsidR="000C06FC" w:rsidRPr="00446963" w:rsidRDefault="000C06FC" w:rsidP="000C06FC">
      <w:pPr>
        <w:spacing w:after="0" w:line="360" w:lineRule="auto"/>
        <w:rPr>
          <w:rFonts w:eastAsia="Calibri" w:cs="Tahoma"/>
          <w:bCs/>
          <w:iCs/>
        </w:rPr>
      </w:pPr>
      <w:r w:rsidRPr="00446963">
        <w:rPr>
          <w:rFonts w:eastAsia="Calibri" w:cs="Tahoma"/>
          <w:bCs/>
          <w:iCs/>
        </w:rPr>
        <w:t xml:space="preserve">La labor </w:t>
      </w:r>
      <w:r>
        <w:rPr>
          <w:rFonts w:eastAsia="Calibri" w:cs="Tahoma"/>
          <w:bCs/>
          <w:iCs/>
        </w:rPr>
        <w:t>del Instituto de Transparencia, Acceso a la Información Pública y Protección de Datos Personales del Estado de México y Municipios</w:t>
      </w:r>
      <w:r w:rsidRPr="00446963">
        <w:rPr>
          <w:rFonts w:eastAsia="Calibri" w:cs="Tahoma"/>
          <w:bCs/>
          <w:iCs/>
        </w:rPr>
        <w:t>, es apoyar a la población a acceder a la información pública y garantizar la protección de sus datos personales.</w:t>
      </w:r>
    </w:p>
    <w:p w14:paraId="0869674C" w14:textId="77777777" w:rsidR="000C06FC" w:rsidRDefault="000C06FC" w:rsidP="000C06FC">
      <w:pPr>
        <w:spacing w:after="0" w:line="360" w:lineRule="auto"/>
        <w:rPr>
          <w:rFonts w:eastAsia="Calibri" w:cs="Tahoma"/>
          <w:bCs/>
          <w:iCs/>
          <w:lang w:val="es-ES" w:eastAsia="es-ES_tradnl"/>
        </w:rPr>
      </w:pPr>
    </w:p>
    <w:p w14:paraId="4B8B91B7" w14:textId="1FFFCD40" w:rsidR="000C06FC" w:rsidRDefault="000C06FC" w:rsidP="000C06FC">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14:paraId="3371CCB8" w14:textId="77777777" w:rsidR="00651BCD" w:rsidRDefault="00651BCD" w:rsidP="000C06FC">
      <w:pPr>
        <w:spacing w:after="0" w:line="360" w:lineRule="auto"/>
        <w:ind w:right="-93"/>
        <w:rPr>
          <w:rFonts w:eastAsia="Times New Roman" w:cs="Tahoma"/>
          <w:b/>
          <w:lang w:eastAsia="es-ES"/>
        </w:rPr>
      </w:pPr>
    </w:p>
    <w:p w14:paraId="4461F51E" w14:textId="77777777" w:rsidR="000C06FC" w:rsidRDefault="000C06FC" w:rsidP="000C06FC">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Pr>
          <w:rFonts w:eastAsia="Times New Roman" w:cs="Tahoma"/>
          <w:lang w:eastAsia="es-ES"/>
        </w:rPr>
        <w:t xml:space="preserve">Ayuntamiento de </w:t>
      </w:r>
      <w:r w:rsidRPr="00944705">
        <w:rPr>
          <w:rFonts w:eastAsia="Times New Roman" w:cs="Tahoma"/>
          <w:lang w:eastAsia="es-ES"/>
        </w:rPr>
        <w:t>Zinacantepec</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14:paraId="7D055F5B" w14:textId="77777777" w:rsidR="000C06FC" w:rsidRPr="00446963" w:rsidRDefault="000C06FC" w:rsidP="000C06FC">
      <w:pPr>
        <w:spacing w:after="0" w:line="360" w:lineRule="auto"/>
        <w:ind w:right="-93"/>
        <w:rPr>
          <w:rFonts w:eastAsia="Times New Roman" w:cs="Tahoma"/>
          <w:lang w:eastAsia="es-ES"/>
        </w:rPr>
      </w:pPr>
    </w:p>
    <w:p w14:paraId="52280FA2" w14:textId="77777777" w:rsidR="000C06FC" w:rsidRDefault="000C06FC" w:rsidP="000C06FC">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14:paraId="65EC9124" w14:textId="77777777" w:rsidR="000C06FC" w:rsidRDefault="000C06FC" w:rsidP="000C06FC">
      <w:pPr>
        <w:spacing w:after="0" w:line="360" w:lineRule="auto"/>
        <w:ind w:right="-93"/>
        <w:rPr>
          <w:rFonts w:eastAsia="Calibri" w:cs="Tahoma"/>
          <w:bCs/>
        </w:rPr>
      </w:pPr>
    </w:p>
    <w:p w14:paraId="3F89035F" w14:textId="77777777" w:rsidR="000C06FC" w:rsidRDefault="000C06FC" w:rsidP="000C06FC">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06531F91" w14:textId="77777777" w:rsidR="000C06FC" w:rsidRPr="00446963" w:rsidRDefault="000C06FC" w:rsidP="000C06FC">
      <w:pPr>
        <w:spacing w:after="0" w:line="360" w:lineRule="auto"/>
        <w:ind w:right="-93"/>
        <w:rPr>
          <w:rFonts w:eastAsia="Calibri" w:cs="Tahoma"/>
          <w:bCs/>
        </w:rPr>
      </w:pPr>
    </w:p>
    <w:p w14:paraId="3DEEBF2A" w14:textId="77777777" w:rsidR="000C06FC" w:rsidRDefault="000C06FC" w:rsidP="000C06FC">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B287EA9" w14:textId="77777777" w:rsidR="000C06FC" w:rsidRPr="00446963" w:rsidRDefault="000C06FC" w:rsidP="000C06FC">
      <w:pPr>
        <w:spacing w:after="0" w:line="360" w:lineRule="auto"/>
        <w:ind w:right="-93"/>
        <w:rPr>
          <w:rFonts w:eastAsia="Calibri" w:cs="Tahoma"/>
          <w:bCs/>
        </w:rPr>
      </w:pPr>
    </w:p>
    <w:p w14:paraId="2B8FC90D" w14:textId="77777777" w:rsidR="000C06FC" w:rsidRPr="00446963" w:rsidRDefault="000C06FC" w:rsidP="000C06FC">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14:paraId="4620BF47" w14:textId="77777777" w:rsidR="000C06FC" w:rsidRDefault="000C06FC" w:rsidP="000C06FC">
      <w:pPr>
        <w:spacing w:after="0" w:line="360" w:lineRule="auto"/>
        <w:ind w:right="-93"/>
        <w:rPr>
          <w:rFonts w:eastAsia="Calibri" w:cs="Tahoma"/>
          <w:bCs/>
        </w:rPr>
      </w:pPr>
    </w:p>
    <w:p w14:paraId="7156F28A" w14:textId="77777777" w:rsidR="000C06FC" w:rsidRPr="00446963" w:rsidRDefault="000C06FC" w:rsidP="000C06FC">
      <w:pPr>
        <w:spacing w:after="0" w:line="360" w:lineRule="auto"/>
        <w:rPr>
          <w:rFonts w:eastAsia="Calibri" w:cs="Tahoma"/>
          <w:bCs/>
        </w:rPr>
      </w:pPr>
      <w:r w:rsidRPr="00446963">
        <w:rPr>
          <w:rFonts w:eastAsia="Calibri" w:cs="Tahoma"/>
          <w:bCs/>
        </w:rPr>
        <w:t>Por lo expuesto y fundado, este Pleno:</w:t>
      </w:r>
    </w:p>
    <w:p w14:paraId="2FA3799E" w14:textId="77777777" w:rsidR="000C06FC" w:rsidRDefault="000C06FC" w:rsidP="000C06FC">
      <w:pPr>
        <w:spacing w:after="0" w:line="360" w:lineRule="auto"/>
        <w:jc w:val="center"/>
        <w:rPr>
          <w:rFonts w:eastAsia="Calibri" w:cs="Tahoma"/>
          <w:b/>
          <w:bCs/>
        </w:rPr>
      </w:pPr>
    </w:p>
    <w:p w14:paraId="2D7D6204" w14:textId="77777777" w:rsidR="000C06FC" w:rsidRDefault="000C06FC" w:rsidP="000C06FC">
      <w:pPr>
        <w:spacing w:after="0" w:line="360" w:lineRule="auto"/>
        <w:jc w:val="center"/>
        <w:rPr>
          <w:rFonts w:eastAsia="Calibri" w:cs="Tahoma"/>
          <w:b/>
          <w:bCs/>
        </w:rPr>
      </w:pPr>
      <w:r w:rsidRPr="00446963">
        <w:rPr>
          <w:rFonts w:eastAsia="Calibri" w:cs="Tahoma"/>
          <w:b/>
          <w:bCs/>
        </w:rPr>
        <w:t>R E S U E L V E:</w:t>
      </w:r>
    </w:p>
    <w:p w14:paraId="3E25EF19" w14:textId="77777777" w:rsidR="000C06FC" w:rsidRPr="00446963" w:rsidRDefault="000C06FC" w:rsidP="000C06FC">
      <w:pPr>
        <w:spacing w:after="0" w:line="360" w:lineRule="auto"/>
        <w:jc w:val="center"/>
        <w:rPr>
          <w:rFonts w:eastAsia="Calibri" w:cs="Tahoma"/>
          <w:b/>
          <w:bCs/>
        </w:rPr>
      </w:pPr>
    </w:p>
    <w:p w14:paraId="50525C09" w14:textId="77777777" w:rsidR="000C06FC" w:rsidRPr="00446963" w:rsidRDefault="000C06FC" w:rsidP="000C06FC">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944705">
        <w:rPr>
          <w:b/>
          <w:bCs/>
        </w:rPr>
        <w:t>17551/INFOEM/IP/RR/2022</w:t>
      </w:r>
      <w:r w:rsidRPr="00446963">
        <w:rPr>
          <w:rFonts w:eastAsia="Calibri" w:cs="Tahoma"/>
          <w:bCs/>
        </w:rPr>
        <w:t xml:space="preserve">, en términos de los Considerando </w:t>
      </w:r>
      <w:r w:rsidRPr="005D0E19">
        <w:rPr>
          <w:rFonts w:eastAsia="Calibri" w:cs="Tahoma"/>
        </w:rPr>
        <w:t>QUINTO y SEXTO de</w:t>
      </w:r>
      <w:r w:rsidRPr="00446963">
        <w:rPr>
          <w:rFonts w:eastAsia="Calibri" w:cs="Tahoma"/>
          <w:bCs/>
        </w:rPr>
        <w:t xml:space="preserve"> la presente Resolución.</w:t>
      </w:r>
    </w:p>
    <w:p w14:paraId="02A1A9D4" w14:textId="77777777" w:rsidR="000C06FC" w:rsidRPr="00446963" w:rsidRDefault="000C06FC" w:rsidP="000C06FC">
      <w:pPr>
        <w:spacing w:after="0" w:line="360" w:lineRule="auto"/>
        <w:rPr>
          <w:rFonts w:eastAsia="Calibri" w:cs="Tahoma"/>
          <w:bCs/>
        </w:rPr>
      </w:pPr>
    </w:p>
    <w:p w14:paraId="0EFCD45A" w14:textId="6312EDED" w:rsidR="000C06FC" w:rsidRDefault="000C06FC" w:rsidP="000C06FC">
      <w:pPr>
        <w:tabs>
          <w:tab w:val="left" w:pos="4962"/>
        </w:tabs>
        <w:spacing w:after="0" w:line="360" w:lineRule="auto"/>
        <w:rPr>
          <w:rFonts w:cs="Tahoma"/>
          <w:bCs/>
          <w:iCs/>
          <w:lang w:val="es-ES_tradnl"/>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a efecto de que</w:t>
      </w:r>
      <w:r>
        <w:rPr>
          <w:rFonts w:cs="Arial"/>
          <w:b/>
          <w:bCs/>
        </w:rPr>
        <w:t xml:space="preserve">, </w:t>
      </w:r>
      <w:r w:rsidRPr="008A47E2">
        <w:rPr>
          <w:rFonts w:cs="Arial"/>
        </w:rPr>
        <w:t>previa búsqueda exhaustiva</w:t>
      </w:r>
      <w:r>
        <w:rPr>
          <w:rFonts w:cs="Arial"/>
          <w:b/>
          <w:bCs/>
        </w:rPr>
        <w:t xml:space="preserve"> </w:t>
      </w:r>
      <w:r>
        <w:rPr>
          <w:rFonts w:cs="Arial"/>
        </w:rPr>
        <w:t xml:space="preserve">y razonable en las unidades administrativas competentes, entregue a través del Sistema de Acceso a la Información Mexiquense (SAIMEX), </w:t>
      </w:r>
      <w:r>
        <w:rPr>
          <w:rFonts w:cs="Tahoma"/>
          <w:bCs/>
          <w:iCs/>
          <w:lang w:val="es-ES_tradnl"/>
        </w:rPr>
        <w:t xml:space="preserve">en su caso, en versión </w:t>
      </w:r>
      <w:r w:rsidR="00651BCD">
        <w:rPr>
          <w:rFonts w:cs="Tahoma"/>
          <w:bCs/>
          <w:iCs/>
          <w:lang w:val="es-ES_tradnl"/>
        </w:rPr>
        <w:t>pública, los documentos donde conste</w:t>
      </w:r>
      <w:r>
        <w:rPr>
          <w:rFonts w:cs="Tahoma"/>
          <w:bCs/>
          <w:iCs/>
          <w:lang w:val="es-ES_tradnl"/>
        </w:rPr>
        <w:t xml:space="preserve"> lo siguiente:</w:t>
      </w:r>
    </w:p>
    <w:p w14:paraId="146B4C3A" w14:textId="77777777" w:rsidR="000C06FC" w:rsidRPr="00A86453" w:rsidRDefault="000C06FC" w:rsidP="000C06FC">
      <w:pPr>
        <w:tabs>
          <w:tab w:val="left" w:pos="4962"/>
        </w:tabs>
        <w:spacing w:after="0" w:line="360" w:lineRule="auto"/>
        <w:rPr>
          <w:rFonts w:cs="Tahoma"/>
        </w:rPr>
      </w:pPr>
    </w:p>
    <w:p w14:paraId="16163EA0" w14:textId="475E9A99" w:rsidR="000C06FC" w:rsidRPr="00651BCD" w:rsidRDefault="00651BCD" w:rsidP="00651BCD">
      <w:pPr>
        <w:pStyle w:val="Prrafodelista"/>
        <w:numPr>
          <w:ilvl w:val="0"/>
          <w:numId w:val="22"/>
        </w:numPr>
        <w:tabs>
          <w:tab w:val="left" w:pos="4962"/>
        </w:tabs>
        <w:spacing w:line="360" w:lineRule="auto"/>
        <w:rPr>
          <w:rFonts w:ascii="Palatino Linotype" w:hAnsi="Palatino Linotype" w:cs="Arial"/>
        </w:rPr>
      </w:pPr>
      <w:r>
        <w:rPr>
          <w:rFonts w:ascii="Palatino Linotype" w:hAnsi="Palatino Linotype" w:cs="Tahoma"/>
          <w:bCs/>
          <w:iCs/>
          <w:color w:val="000000"/>
          <w:lang w:val="es-ES" w:eastAsia="es-MX"/>
        </w:rPr>
        <w:t xml:space="preserve">Los </w:t>
      </w:r>
      <w:r w:rsidRPr="00651BCD">
        <w:rPr>
          <w:rFonts w:ascii="Palatino Linotype" w:hAnsi="Palatino Linotype" w:cs="Tahoma"/>
          <w:bCs/>
          <w:iCs/>
          <w:color w:val="000000"/>
          <w:lang w:val="es-ES" w:eastAsia="es-MX"/>
        </w:rPr>
        <w:t>Recursos de Revisión (formatos, acuses u homólogos), interpuestos del primero de enero al veintinueve de noviembre de dos mil veintidós.</w:t>
      </w:r>
    </w:p>
    <w:p w14:paraId="135DB407" w14:textId="77777777" w:rsidR="00651BCD" w:rsidRPr="00651BCD" w:rsidRDefault="00651BCD" w:rsidP="00651BCD">
      <w:pPr>
        <w:pStyle w:val="Prrafodelista"/>
        <w:tabs>
          <w:tab w:val="left" w:pos="4962"/>
        </w:tabs>
        <w:spacing w:line="360" w:lineRule="auto"/>
        <w:rPr>
          <w:rFonts w:ascii="Palatino Linotype" w:hAnsi="Palatino Linotype" w:cs="Arial"/>
        </w:rPr>
      </w:pPr>
    </w:p>
    <w:p w14:paraId="4A3626E1" w14:textId="127166BC" w:rsidR="000C06FC" w:rsidRPr="000C06FC" w:rsidRDefault="000C06FC" w:rsidP="000C06FC">
      <w:pPr>
        <w:tabs>
          <w:tab w:val="left" w:pos="4962"/>
        </w:tabs>
        <w:spacing w:after="0" w:line="360" w:lineRule="auto"/>
        <w:rPr>
          <w:rFonts w:eastAsia="Calibri" w:cs="Tahoma"/>
          <w:bCs/>
          <w:color w:val="000000"/>
        </w:rPr>
      </w:pPr>
      <w:r w:rsidRPr="008A47E2">
        <w:rPr>
          <w:rFonts w:eastAsia="Calibri" w:cs="Tahoma"/>
          <w:iCs/>
          <w:color w:val="auto"/>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A7E5EAE" w14:textId="77777777" w:rsidR="000C06FC" w:rsidRPr="00446963" w:rsidRDefault="000C06FC" w:rsidP="000C06FC">
      <w:pPr>
        <w:spacing w:after="0" w:line="360" w:lineRule="auto"/>
        <w:rPr>
          <w:rFonts w:eastAsia="Calibri" w:cs="Tahoma"/>
          <w:iCs/>
          <w:lang w:eastAsia="es-ES_tradnl"/>
        </w:rPr>
      </w:pPr>
    </w:p>
    <w:p w14:paraId="7D0303FC" w14:textId="77777777" w:rsidR="000C06FC" w:rsidRDefault="000C06FC" w:rsidP="000C06FC">
      <w:pPr>
        <w:spacing w:after="0" w:line="360" w:lineRule="auto"/>
        <w:rPr>
          <w:rFonts w:eastAsia="Times New Roman" w:cs="Tahoma"/>
          <w:bCs/>
          <w:lang w:val="es-ES_tradnl" w:eastAsia="es-ES"/>
        </w:rPr>
      </w:pPr>
      <w:r w:rsidRPr="00446963">
        <w:rPr>
          <w:rFonts w:eastAsia="Calibri" w:cs="Tahoma"/>
          <w:b/>
          <w:bCs/>
        </w:rPr>
        <w:lastRenderedPageBreak/>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77BCE563" w14:textId="77777777" w:rsidR="000C06FC" w:rsidRPr="00D3278C" w:rsidRDefault="000C06FC" w:rsidP="000C06FC">
      <w:pPr>
        <w:spacing w:after="0" w:line="360" w:lineRule="auto"/>
        <w:rPr>
          <w:rFonts w:eastAsia="Times New Roman" w:cs="Tahoma"/>
          <w:bCs/>
          <w:lang w:eastAsia="es-ES"/>
        </w:rPr>
      </w:pPr>
    </w:p>
    <w:p w14:paraId="24B8F722" w14:textId="77777777" w:rsidR="000C06FC" w:rsidRPr="00446963" w:rsidRDefault="000C06FC" w:rsidP="000C06FC">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6EDAA0B" w14:textId="77777777" w:rsidR="000C06FC" w:rsidRDefault="000C06FC" w:rsidP="000C06FC">
      <w:pPr>
        <w:spacing w:after="0" w:line="360" w:lineRule="auto"/>
        <w:rPr>
          <w:rFonts w:eastAsia="Times New Roman" w:cs="Tahoma"/>
          <w:lang w:eastAsia="es-ES"/>
        </w:rPr>
      </w:pPr>
    </w:p>
    <w:p w14:paraId="46A147E7" w14:textId="77777777" w:rsidR="000C06FC" w:rsidRPr="00446963" w:rsidRDefault="000C06FC" w:rsidP="000C06FC">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5055F1" w14:textId="77777777" w:rsidR="000C06FC" w:rsidRPr="00446963" w:rsidRDefault="000C06FC" w:rsidP="000C06FC">
      <w:pPr>
        <w:spacing w:after="0" w:line="360" w:lineRule="auto"/>
        <w:rPr>
          <w:rFonts w:eastAsia="Calibri" w:cs="Tahoma"/>
          <w:bCs/>
          <w:lang w:val="es-ES_tradnl"/>
        </w:rPr>
      </w:pPr>
    </w:p>
    <w:p w14:paraId="08FDBD0B" w14:textId="77777777" w:rsidR="000C06FC" w:rsidRPr="00446963" w:rsidRDefault="000C06FC" w:rsidP="000C06FC">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94A1535" w14:textId="77777777" w:rsidR="000C06FC" w:rsidRPr="00446963" w:rsidRDefault="000C06FC" w:rsidP="000C06FC">
      <w:pPr>
        <w:spacing w:after="0" w:line="360" w:lineRule="auto"/>
        <w:rPr>
          <w:rFonts w:eastAsia="Calibri" w:cs="Tahoma"/>
          <w:bCs/>
          <w:lang w:val="es-ES_tradnl"/>
        </w:rPr>
      </w:pPr>
    </w:p>
    <w:p w14:paraId="7A1C4D4B" w14:textId="77777777" w:rsidR="000C06FC" w:rsidRDefault="000C06FC" w:rsidP="000C06FC">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14:paraId="44CF22BB" w14:textId="77777777" w:rsidR="000C06FC" w:rsidRPr="00175A70" w:rsidRDefault="000C06FC" w:rsidP="000C06FC">
      <w:pPr>
        <w:spacing w:after="0" w:line="360" w:lineRule="auto"/>
      </w:pPr>
      <w:r w:rsidRPr="00446963">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t xml:space="preserve">SÉPTIMA </w:t>
      </w:r>
      <w:r w:rsidRPr="00446963">
        <w:t xml:space="preserve">SESIÓN ORDINARIA CELEBRADA EL </w:t>
      </w:r>
      <w:r>
        <w:t>VEINTIDÓS DE FEBRER</w:t>
      </w:r>
      <w:r w:rsidRPr="00446963">
        <w:t xml:space="preserve"> DE DOS MIL VEINTI</w:t>
      </w:r>
      <w:r>
        <w:t>TRÉS</w:t>
      </w:r>
      <w:r w:rsidRPr="00446963">
        <w:t>, ANTE EL SECRETARIO TÉCNICO DEL PLENO, ALEXIS TAPIA RAMÍREZ.</w:t>
      </w:r>
    </w:p>
    <w:p w14:paraId="5974349A" w14:textId="77777777" w:rsidR="000C06FC" w:rsidRDefault="000C06FC" w:rsidP="000C06FC">
      <w:pPr>
        <w:spacing w:after="0" w:line="360" w:lineRule="auto"/>
        <w:jc w:val="left"/>
        <w:rPr>
          <w:rFonts w:eastAsia="Times New Roman" w:cs="Tahoma"/>
          <w:lang w:eastAsia="es-MX"/>
        </w:rPr>
      </w:pPr>
      <w:r>
        <w:rPr>
          <w:rFonts w:eastAsia="Times New Roman" w:cs="Tahoma"/>
          <w:lang w:eastAsia="es-MX"/>
        </w:rPr>
        <w:br w:type="page"/>
      </w:r>
    </w:p>
    <w:p w14:paraId="5A12DB86" w14:textId="77777777" w:rsidR="000C06FC" w:rsidRDefault="000C06FC" w:rsidP="000C06FC">
      <w:pPr>
        <w:spacing w:after="0" w:line="360" w:lineRule="auto"/>
      </w:pPr>
    </w:p>
    <w:p w14:paraId="2FAE3A47" w14:textId="77777777" w:rsidR="00E439ED" w:rsidRDefault="00E439ED" w:rsidP="007E4918">
      <w:pPr>
        <w:spacing w:after="0" w:line="360" w:lineRule="auto"/>
      </w:pPr>
    </w:p>
    <w:sectPr w:rsidR="00E439ED" w:rsidSect="008C644E">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C3D8" w14:textId="77777777" w:rsidR="00EF4489" w:rsidRDefault="00EF4489" w:rsidP="00066B31">
      <w:pPr>
        <w:spacing w:after="0" w:line="240" w:lineRule="auto"/>
      </w:pPr>
      <w:r>
        <w:separator/>
      </w:r>
    </w:p>
  </w:endnote>
  <w:endnote w:type="continuationSeparator" w:id="0">
    <w:p w14:paraId="669EECB3" w14:textId="77777777" w:rsidR="00EF4489" w:rsidRDefault="00EF4489"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Content>
      <w:sdt>
        <w:sdtPr>
          <w:id w:val="1114872018"/>
          <w:docPartObj>
            <w:docPartGallery w:val="Page Numbers (Top of Page)"/>
            <w:docPartUnique/>
          </w:docPartObj>
        </w:sdt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Content>
      <w:sdt>
        <w:sdtPr>
          <w:id w:val="1890534867"/>
          <w:docPartObj>
            <w:docPartGallery w:val="Page Numbers (Top of Page)"/>
            <w:docPartUnique/>
          </w:docPartObj>
        </w:sdt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2F7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2F72">
              <w:rPr>
                <w:b/>
                <w:bCs/>
                <w:noProof/>
              </w:rPr>
              <w:t>20</w:t>
            </w:r>
            <w:r>
              <w:rPr>
                <w:b/>
                <w:bCs/>
                <w:sz w:val="24"/>
                <w:szCs w:val="24"/>
              </w:rPr>
              <w:fldChar w:fldCharType="end"/>
            </w:r>
          </w:p>
        </w:sdtContent>
      </w:sdt>
    </w:sdtContent>
  </w:sdt>
  <w:p w14:paraId="42C147CB" w14:textId="77777777" w:rsidR="008C644E"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Content>
      <w:sdt>
        <w:sdtPr>
          <w:id w:val="-1769616900"/>
          <w:docPartObj>
            <w:docPartGallery w:val="Page Numbers (Top of Page)"/>
            <w:docPartUnique/>
          </w:docPartObj>
        </w:sdt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2F7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2F72">
              <w:rPr>
                <w:b/>
                <w:bCs/>
                <w:noProof/>
              </w:rPr>
              <w:t>20</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7402" w14:textId="77777777" w:rsidR="00EF4489" w:rsidRDefault="00EF4489" w:rsidP="00066B31">
      <w:pPr>
        <w:spacing w:after="0" w:line="240" w:lineRule="auto"/>
      </w:pPr>
      <w:r>
        <w:separator/>
      </w:r>
    </w:p>
  </w:footnote>
  <w:footnote w:type="continuationSeparator" w:id="0">
    <w:p w14:paraId="4D23A874" w14:textId="77777777" w:rsidR="00EF4489" w:rsidRDefault="00EF4489"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000000"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000000"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215307F7" w:rsidR="008C644E" w:rsidRPr="008C644E" w:rsidRDefault="0058746D" w:rsidP="00A075BA">
                <w:pPr>
                  <w:pStyle w:val="Encabezado"/>
                </w:pPr>
                <w:r>
                  <w:rPr>
                    <w:lang w:val="es-MX"/>
                  </w:rPr>
                  <w:t>Ayuntamiento de Chicoloapan</w:t>
                </w:r>
              </w:p>
            </w:tc>
            <w:tc>
              <w:tcPr>
                <w:tcW w:w="3402" w:type="dxa"/>
              </w:tcPr>
              <w:p w14:paraId="13DD28B6" w14:textId="77777777" w:rsidR="008C644E" w:rsidRPr="008C644E" w:rsidRDefault="00000000"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000000" w:rsidP="008C644E">
                <w:pPr>
                  <w:pStyle w:val="Encabezado"/>
                </w:pPr>
              </w:p>
            </w:tc>
          </w:tr>
        </w:tbl>
        <w:p w14:paraId="1FBF3105" w14:textId="77777777" w:rsidR="008C644E" w:rsidRPr="008C644E" w:rsidRDefault="00000000" w:rsidP="008C644E">
          <w:pPr>
            <w:pStyle w:val="Encabezado"/>
            <w:rPr>
              <w:b/>
            </w:rPr>
          </w:pPr>
        </w:p>
      </w:tc>
    </w:tr>
  </w:tbl>
  <w:p w14:paraId="14486D0A" w14:textId="77777777" w:rsidR="008C644E" w:rsidRDefault="00000000">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14:paraId="4EA32E14" w14:textId="77777777" w:rsidTr="00D36646">
      <w:trPr>
        <w:trHeight w:val="1435"/>
      </w:trPr>
      <w:tc>
        <w:tcPr>
          <w:tcW w:w="3402" w:type="dxa"/>
        </w:tcPr>
        <w:p w14:paraId="423C2A31" w14:textId="77777777" w:rsidR="008C644E" w:rsidRDefault="00000000"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000000"/>
        <w:tbl>
          <w:tblPr>
            <w:tblStyle w:val="Tablaconcuadrcula"/>
            <w:tblW w:w="643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02"/>
            <w:gridCol w:w="4135"/>
          </w:tblGrid>
          <w:tr w:rsidR="00217680" w14:paraId="4460AAC6" w14:textId="77777777" w:rsidTr="007A1164">
            <w:trPr>
              <w:trHeight w:val="149"/>
            </w:trPr>
            <w:tc>
              <w:tcPr>
                <w:tcW w:w="2302" w:type="dxa"/>
                <w:hideMark/>
              </w:tcPr>
              <w:p w14:paraId="309907ED" w14:textId="77777777" w:rsidR="00217680" w:rsidRDefault="00217680" w:rsidP="00217680">
                <w:pPr>
                  <w:tabs>
                    <w:tab w:val="right" w:pos="8838"/>
                  </w:tabs>
                  <w:ind w:left="-74" w:right="61"/>
                  <w:rPr>
                    <w:rFonts w:eastAsia="Calibri" w:cs="Tahoma"/>
                    <w:b/>
                  </w:rPr>
                </w:pPr>
                <w:bookmarkStart w:id="3" w:name="_Hlk12526980"/>
                <w:r>
                  <w:rPr>
                    <w:rFonts w:eastAsia="Calibri" w:cs="Tahoma"/>
                    <w:b/>
                  </w:rPr>
                  <w:t>Recurso de Revisión:</w:t>
                </w:r>
              </w:p>
            </w:tc>
            <w:tc>
              <w:tcPr>
                <w:tcW w:w="4135" w:type="dxa"/>
                <w:hideMark/>
              </w:tcPr>
              <w:p w14:paraId="79D1E809" w14:textId="2C1BEF6E" w:rsidR="00217680" w:rsidRDefault="007A1164" w:rsidP="00217680">
                <w:pPr>
                  <w:tabs>
                    <w:tab w:val="right" w:pos="8838"/>
                  </w:tabs>
                  <w:ind w:left="76" w:right="-105"/>
                  <w:rPr>
                    <w:rFonts w:eastAsia="Calibri" w:cs="Tahoma"/>
                    <w:bCs/>
                  </w:rPr>
                </w:pPr>
                <w:r w:rsidRPr="007A1164">
                  <w:t>17551/INFOEM/IP/RR/2022</w:t>
                </w:r>
              </w:p>
            </w:tc>
            <w:bookmarkEnd w:id="3"/>
          </w:tr>
          <w:tr w:rsidR="00217680" w14:paraId="2B8E7492" w14:textId="77777777" w:rsidTr="007A1164">
            <w:trPr>
              <w:trHeight w:val="293"/>
            </w:trPr>
            <w:tc>
              <w:tcPr>
                <w:tcW w:w="2302" w:type="dxa"/>
                <w:hideMark/>
              </w:tcPr>
              <w:p w14:paraId="4B844598" w14:textId="77777777" w:rsidR="00217680" w:rsidRDefault="00217680" w:rsidP="008C644E">
                <w:pPr>
                  <w:tabs>
                    <w:tab w:val="right" w:pos="8838"/>
                  </w:tabs>
                  <w:ind w:left="-74" w:right="-105"/>
                  <w:rPr>
                    <w:rFonts w:eastAsia="Calibri" w:cs="Tahoma"/>
                    <w:b/>
                  </w:rPr>
                </w:pPr>
                <w:r>
                  <w:rPr>
                    <w:rFonts w:eastAsia="Calibri" w:cs="Tahoma"/>
                    <w:b/>
                  </w:rPr>
                  <w:t>Sujeto Obligado:</w:t>
                </w:r>
              </w:p>
            </w:tc>
            <w:tc>
              <w:tcPr>
                <w:tcW w:w="4135" w:type="dxa"/>
                <w:hideMark/>
              </w:tcPr>
              <w:p w14:paraId="2C6EC5FD" w14:textId="79E35A31" w:rsidR="00217680" w:rsidRPr="008C644E" w:rsidRDefault="007A1164" w:rsidP="00217680">
                <w:pPr>
                  <w:tabs>
                    <w:tab w:val="left" w:pos="2834"/>
                    <w:tab w:val="right" w:pos="8838"/>
                  </w:tabs>
                  <w:ind w:left="76" w:right="-105"/>
                  <w:rPr>
                    <w:rFonts w:eastAsia="Calibri" w:cs="Tahoma"/>
                  </w:rPr>
                </w:pPr>
                <w:r w:rsidRPr="007A1164">
                  <w:rPr>
                    <w:rFonts w:eastAsia="Calibri" w:cs="Tahoma"/>
                    <w:lang w:val="es-MX"/>
                  </w:rPr>
                  <w:t>Ayuntamiento de Zinacantepec</w:t>
                </w:r>
              </w:p>
            </w:tc>
          </w:tr>
          <w:tr w:rsidR="00217680" w14:paraId="4CA944CC" w14:textId="77777777" w:rsidTr="007A1164">
            <w:trPr>
              <w:trHeight w:val="293"/>
            </w:trPr>
            <w:tc>
              <w:tcPr>
                <w:tcW w:w="2302" w:type="dxa"/>
                <w:hideMark/>
              </w:tcPr>
              <w:p w14:paraId="131AC3D5" w14:textId="77777777" w:rsidR="00217680" w:rsidRDefault="00217680" w:rsidP="008C644E">
                <w:pPr>
                  <w:tabs>
                    <w:tab w:val="right" w:pos="8838"/>
                  </w:tabs>
                  <w:ind w:left="-74" w:right="-105"/>
                  <w:rPr>
                    <w:rFonts w:eastAsia="Calibri" w:cs="Tahoma"/>
                    <w:b/>
                  </w:rPr>
                </w:pPr>
                <w:r>
                  <w:rPr>
                    <w:rFonts w:eastAsia="Calibri" w:cs="Tahoma"/>
                    <w:b/>
                  </w:rPr>
                  <w:t xml:space="preserve">Comisionado Ponente: </w:t>
                </w:r>
              </w:p>
            </w:tc>
            <w:tc>
              <w:tcPr>
                <w:tcW w:w="4135" w:type="dxa"/>
                <w:hideMark/>
              </w:tcPr>
              <w:p w14:paraId="04D77E1A" w14:textId="77777777" w:rsidR="00217680" w:rsidRDefault="00217680" w:rsidP="00217680">
                <w:pPr>
                  <w:tabs>
                    <w:tab w:val="right" w:pos="8838"/>
                  </w:tabs>
                  <w:ind w:left="76" w:right="-105"/>
                  <w:rPr>
                    <w:rFonts w:eastAsia="Calibri" w:cs="Tahoma"/>
                    <w:b/>
                  </w:rPr>
                </w:pPr>
                <w:r>
                  <w:rPr>
                    <w:rFonts w:eastAsia="Calibri" w:cs="Tahoma"/>
                  </w:rPr>
                  <w:t>Luis Gustavo Parra Noriega</w:t>
                </w:r>
              </w:p>
            </w:tc>
          </w:tr>
        </w:tbl>
        <w:p w14:paraId="14C1172F" w14:textId="77777777" w:rsidR="008C644E" w:rsidRDefault="00000000" w:rsidP="008C644E">
          <w:pPr>
            <w:tabs>
              <w:tab w:val="right" w:pos="8838"/>
            </w:tabs>
            <w:spacing w:line="256" w:lineRule="auto"/>
            <w:ind w:left="-28"/>
            <w:rPr>
              <w:rFonts w:ascii="Arial" w:eastAsia="Calibri" w:hAnsi="Arial" w:cs="Arial"/>
              <w:b/>
            </w:rPr>
          </w:pPr>
        </w:p>
      </w:tc>
    </w:tr>
  </w:tbl>
  <w:p w14:paraId="652BA475" w14:textId="77777777" w:rsidR="008C644E" w:rsidRDefault="00000000">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104.6pt;margin-top:-129.6pt;width:663.5pt;height:12in;z-index:-25165875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8C644E" w:rsidRPr="008C644E" w14:paraId="7C3509A9" w14:textId="77777777" w:rsidTr="007A1164">
      <w:trPr>
        <w:trHeight w:val="1435"/>
      </w:trPr>
      <w:tc>
        <w:tcPr>
          <w:tcW w:w="2127" w:type="dxa"/>
        </w:tcPr>
        <w:p w14:paraId="7A9E3827" w14:textId="77777777" w:rsidR="008C644E" w:rsidRPr="008C644E" w:rsidRDefault="00000000" w:rsidP="007A1164">
          <w:pPr>
            <w:pStyle w:val="Encabezado"/>
            <w:tabs>
              <w:tab w:val="clear" w:pos="8838"/>
              <w:tab w:val="right" w:pos="1920"/>
            </w:tabs>
          </w:pPr>
        </w:p>
      </w:tc>
      <w:tc>
        <w:tcPr>
          <w:tcW w:w="6945" w:type="dxa"/>
          <w:hideMark/>
        </w:tcPr>
        <w:tbl>
          <w:tblPr>
            <w:tblStyle w:val="Tablaconcuadrcula"/>
            <w:tblW w:w="1304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678"/>
            <w:gridCol w:w="3402"/>
            <w:gridCol w:w="3402"/>
          </w:tblGrid>
          <w:tr w:rsidR="003F2F0B" w:rsidRPr="008C644E" w14:paraId="1551C454" w14:textId="77777777" w:rsidTr="007A1164">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3678" w:type="dxa"/>
                <w:hideMark/>
              </w:tcPr>
              <w:p w14:paraId="11F4479A" w14:textId="411CBEE3" w:rsidR="003F2F0B" w:rsidRPr="00AC018A" w:rsidRDefault="007A1164" w:rsidP="00217680">
                <w:pPr>
                  <w:pStyle w:val="Encabezado"/>
                </w:pPr>
                <w:r w:rsidRPr="007A1164">
                  <w:rPr>
                    <w:color w:val="000000"/>
                  </w:rPr>
                  <w:t>17551/INFOEM/IP/RR/2022</w:t>
                </w:r>
              </w:p>
            </w:tc>
            <w:tc>
              <w:tcPr>
                <w:tcW w:w="3402" w:type="dxa"/>
              </w:tcPr>
              <w:p w14:paraId="636B91F8" w14:textId="77777777" w:rsidR="003F2F0B" w:rsidRPr="008C644E" w:rsidRDefault="00000000" w:rsidP="008C644E">
                <w:pPr>
                  <w:pStyle w:val="Encabezado"/>
                  <w:rPr>
                    <w:bCs/>
                  </w:rPr>
                </w:pPr>
              </w:p>
            </w:tc>
            <w:tc>
              <w:tcPr>
                <w:tcW w:w="3402" w:type="dxa"/>
              </w:tcPr>
              <w:p w14:paraId="30CBCBAF" w14:textId="77777777" w:rsidR="003F2F0B" w:rsidRPr="008C644E" w:rsidRDefault="00000000" w:rsidP="008C644E">
                <w:pPr>
                  <w:pStyle w:val="Encabezado"/>
                  <w:rPr>
                    <w:bCs/>
                  </w:rPr>
                </w:pPr>
              </w:p>
            </w:tc>
          </w:tr>
          <w:tr w:rsidR="003F2F0B" w:rsidRPr="008C644E" w14:paraId="61DAE09E" w14:textId="77777777" w:rsidTr="007A1164">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3678" w:type="dxa"/>
              </w:tcPr>
              <w:p w14:paraId="0ECB40A9" w14:textId="5B890835" w:rsidR="003F2F0B" w:rsidRPr="008C644E" w:rsidRDefault="00000000" w:rsidP="00217680">
                <w:pPr>
                  <w:pStyle w:val="Encabezado"/>
                </w:pPr>
              </w:p>
            </w:tc>
            <w:tc>
              <w:tcPr>
                <w:tcW w:w="3402" w:type="dxa"/>
              </w:tcPr>
              <w:p w14:paraId="267C41A1" w14:textId="77777777" w:rsidR="003F2F0B" w:rsidRPr="008C644E" w:rsidRDefault="00000000" w:rsidP="008C644E">
                <w:pPr>
                  <w:pStyle w:val="Encabezado"/>
                </w:pPr>
              </w:p>
            </w:tc>
            <w:tc>
              <w:tcPr>
                <w:tcW w:w="3402" w:type="dxa"/>
              </w:tcPr>
              <w:p w14:paraId="07EE73BD" w14:textId="77777777" w:rsidR="003F2F0B" w:rsidRPr="008C644E" w:rsidRDefault="00000000" w:rsidP="008C644E">
                <w:pPr>
                  <w:pStyle w:val="Encabezado"/>
                </w:pPr>
              </w:p>
            </w:tc>
          </w:tr>
          <w:tr w:rsidR="003F2F0B" w:rsidRPr="008C644E" w14:paraId="7C378614" w14:textId="77777777" w:rsidTr="007A1164">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3678" w:type="dxa"/>
                <w:hideMark/>
              </w:tcPr>
              <w:p w14:paraId="6FB2FFED" w14:textId="064D38CF" w:rsidR="003F2F0B" w:rsidRPr="008C644E" w:rsidRDefault="007A1164" w:rsidP="00217680">
                <w:pPr>
                  <w:pStyle w:val="Encabezado"/>
                </w:pPr>
                <w:r w:rsidRPr="007A1164">
                  <w:rPr>
                    <w:lang w:val="es-MX"/>
                  </w:rPr>
                  <w:t>Ayuntamiento de Zinacantepec</w:t>
                </w:r>
              </w:p>
            </w:tc>
            <w:tc>
              <w:tcPr>
                <w:tcW w:w="3402" w:type="dxa"/>
              </w:tcPr>
              <w:p w14:paraId="41110A01" w14:textId="77777777" w:rsidR="003F2F0B" w:rsidRPr="008C644E" w:rsidRDefault="00000000" w:rsidP="008C644E">
                <w:pPr>
                  <w:pStyle w:val="Encabezado"/>
                </w:pPr>
              </w:p>
            </w:tc>
            <w:tc>
              <w:tcPr>
                <w:tcW w:w="3402" w:type="dxa"/>
              </w:tcPr>
              <w:p w14:paraId="45B99936" w14:textId="77777777" w:rsidR="003F2F0B" w:rsidRPr="008C644E" w:rsidRDefault="00000000" w:rsidP="008C644E">
                <w:pPr>
                  <w:pStyle w:val="Encabezado"/>
                </w:pPr>
              </w:p>
            </w:tc>
          </w:tr>
          <w:tr w:rsidR="003F2F0B" w:rsidRPr="008C644E" w14:paraId="439AC6E2" w14:textId="77777777" w:rsidTr="007A1164">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3678" w:type="dxa"/>
                <w:hideMark/>
              </w:tcPr>
              <w:p w14:paraId="4E9C6E5C" w14:textId="77777777" w:rsidR="003F2F0B" w:rsidRPr="008C644E" w:rsidRDefault="001D2F08" w:rsidP="00217680">
                <w:pPr>
                  <w:pStyle w:val="Encabezado"/>
                  <w:rPr>
                    <w:b/>
                  </w:rPr>
                </w:pPr>
                <w:r w:rsidRPr="008C644E">
                  <w:t>Luis Gustavo Parra Noriega</w:t>
                </w:r>
              </w:p>
            </w:tc>
            <w:tc>
              <w:tcPr>
                <w:tcW w:w="3402" w:type="dxa"/>
              </w:tcPr>
              <w:p w14:paraId="624292D1" w14:textId="77777777" w:rsidR="003F2F0B" w:rsidRPr="008C644E" w:rsidRDefault="00000000" w:rsidP="008C644E">
                <w:pPr>
                  <w:pStyle w:val="Encabezado"/>
                </w:pPr>
              </w:p>
            </w:tc>
            <w:tc>
              <w:tcPr>
                <w:tcW w:w="3402" w:type="dxa"/>
              </w:tcPr>
              <w:p w14:paraId="2F073C23" w14:textId="77777777" w:rsidR="003F2F0B" w:rsidRPr="008C644E" w:rsidRDefault="00000000" w:rsidP="008C644E">
                <w:pPr>
                  <w:pStyle w:val="Encabezado"/>
                </w:pPr>
              </w:p>
            </w:tc>
          </w:tr>
        </w:tbl>
        <w:p w14:paraId="23CCA079" w14:textId="77777777" w:rsidR="008C644E" w:rsidRPr="008C644E" w:rsidRDefault="00000000" w:rsidP="008C644E">
          <w:pPr>
            <w:pStyle w:val="Encabezado"/>
            <w:rPr>
              <w:b/>
            </w:rPr>
          </w:pPr>
        </w:p>
      </w:tc>
    </w:tr>
  </w:tbl>
  <w:p w14:paraId="19C09215" w14:textId="77777777" w:rsidR="008C644E" w:rsidRDefault="00000000">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35.5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3D68"/>
    <w:multiLevelType w:val="hybridMultilevel"/>
    <w:tmpl w:val="FF98054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A2E2999"/>
    <w:multiLevelType w:val="hybridMultilevel"/>
    <w:tmpl w:val="2BC2F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52B48"/>
    <w:multiLevelType w:val="hybridMultilevel"/>
    <w:tmpl w:val="579EC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091E96"/>
    <w:multiLevelType w:val="hybridMultilevel"/>
    <w:tmpl w:val="17BAB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472DAE"/>
    <w:multiLevelType w:val="hybridMultilevel"/>
    <w:tmpl w:val="CDE417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2A660B2"/>
    <w:multiLevelType w:val="hybridMultilevel"/>
    <w:tmpl w:val="D618D1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59E21E0"/>
    <w:multiLevelType w:val="hybridMultilevel"/>
    <w:tmpl w:val="DF50A19A"/>
    <w:lvl w:ilvl="0" w:tplc="080A0001">
      <w:start w:val="1"/>
      <w:numFmt w:val="bullet"/>
      <w:lvlText w:val=""/>
      <w:lvlJc w:val="left"/>
      <w:pPr>
        <w:ind w:left="1440" w:hanging="72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CFA7250"/>
    <w:multiLevelType w:val="hybridMultilevel"/>
    <w:tmpl w:val="49C0A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EF7EA1"/>
    <w:multiLevelType w:val="hybridMultilevel"/>
    <w:tmpl w:val="5D3AF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6E36A86"/>
    <w:multiLevelType w:val="hybridMultilevel"/>
    <w:tmpl w:val="D2AA815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74797F"/>
    <w:multiLevelType w:val="hybridMultilevel"/>
    <w:tmpl w:val="B86E04C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2993661"/>
    <w:multiLevelType w:val="hybridMultilevel"/>
    <w:tmpl w:val="A6C8CB2E"/>
    <w:lvl w:ilvl="0" w:tplc="080A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770145D2"/>
    <w:multiLevelType w:val="hybridMultilevel"/>
    <w:tmpl w:val="F3A8F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CD2ABA"/>
    <w:multiLevelType w:val="hybridMultilevel"/>
    <w:tmpl w:val="BA143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80919662">
    <w:abstractNumId w:val="8"/>
  </w:num>
  <w:num w:numId="2" w16cid:durableId="533469134">
    <w:abstractNumId w:val="19"/>
  </w:num>
  <w:num w:numId="3" w16cid:durableId="1578133241">
    <w:abstractNumId w:val="4"/>
  </w:num>
  <w:num w:numId="4" w16cid:durableId="2047483336">
    <w:abstractNumId w:val="10"/>
  </w:num>
  <w:num w:numId="5" w16cid:durableId="1361515813">
    <w:abstractNumId w:val="13"/>
  </w:num>
  <w:num w:numId="6" w16cid:durableId="1070427386">
    <w:abstractNumId w:val="1"/>
  </w:num>
  <w:num w:numId="7" w16cid:durableId="1785692011">
    <w:abstractNumId w:val="0"/>
  </w:num>
  <w:num w:numId="8" w16cid:durableId="284652888">
    <w:abstractNumId w:val="21"/>
  </w:num>
  <w:num w:numId="9" w16cid:durableId="1766998176">
    <w:abstractNumId w:val="20"/>
  </w:num>
  <w:num w:numId="10" w16cid:durableId="579096050">
    <w:abstractNumId w:val="14"/>
  </w:num>
  <w:num w:numId="11" w16cid:durableId="1876238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5690872">
    <w:abstractNumId w:val="2"/>
  </w:num>
  <w:num w:numId="13" w16cid:durableId="1952541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2247959">
    <w:abstractNumId w:val="7"/>
  </w:num>
  <w:num w:numId="15" w16cid:durableId="920065128">
    <w:abstractNumId w:val="12"/>
  </w:num>
  <w:num w:numId="16" w16cid:durableId="114715659">
    <w:abstractNumId w:val="6"/>
  </w:num>
  <w:num w:numId="17" w16cid:durableId="101729441">
    <w:abstractNumId w:val="11"/>
  </w:num>
  <w:num w:numId="18" w16cid:durableId="484397516">
    <w:abstractNumId w:val="9"/>
  </w:num>
  <w:num w:numId="19" w16cid:durableId="96875075">
    <w:abstractNumId w:val="15"/>
  </w:num>
  <w:num w:numId="20" w16cid:durableId="1049650038">
    <w:abstractNumId w:val="5"/>
  </w:num>
  <w:num w:numId="21" w16cid:durableId="1483959728">
    <w:abstractNumId w:val="18"/>
  </w:num>
  <w:num w:numId="22" w16cid:durableId="1744719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16875"/>
    <w:rsid w:val="00043C41"/>
    <w:rsid w:val="00057293"/>
    <w:rsid w:val="00066B31"/>
    <w:rsid w:val="00074DEC"/>
    <w:rsid w:val="00085698"/>
    <w:rsid w:val="000C06FC"/>
    <w:rsid w:val="000D1866"/>
    <w:rsid w:val="000E1C0A"/>
    <w:rsid w:val="001067B6"/>
    <w:rsid w:val="00110067"/>
    <w:rsid w:val="00117E3C"/>
    <w:rsid w:val="00124078"/>
    <w:rsid w:val="0012659F"/>
    <w:rsid w:val="00134D79"/>
    <w:rsid w:val="00141B6B"/>
    <w:rsid w:val="00143985"/>
    <w:rsid w:val="001443E6"/>
    <w:rsid w:val="0017250B"/>
    <w:rsid w:val="00175A70"/>
    <w:rsid w:val="001B6ECC"/>
    <w:rsid w:val="001C232C"/>
    <w:rsid w:val="001D2F08"/>
    <w:rsid w:val="001F6EDB"/>
    <w:rsid w:val="002128C8"/>
    <w:rsid w:val="00213FE8"/>
    <w:rsid w:val="00217680"/>
    <w:rsid w:val="00235BCF"/>
    <w:rsid w:val="002609B4"/>
    <w:rsid w:val="00284270"/>
    <w:rsid w:val="00295A50"/>
    <w:rsid w:val="002A348E"/>
    <w:rsid w:val="002C0882"/>
    <w:rsid w:val="002E072E"/>
    <w:rsid w:val="002F321B"/>
    <w:rsid w:val="00305156"/>
    <w:rsid w:val="00334796"/>
    <w:rsid w:val="00340B45"/>
    <w:rsid w:val="00347EDD"/>
    <w:rsid w:val="003902F4"/>
    <w:rsid w:val="0039740F"/>
    <w:rsid w:val="003B1418"/>
    <w:rsid w:val="003E46E9"/>
    <w:rsid w:val="0040726D"/>
    <w:rsid w:val="00407871"/>
    <w:rsid w:val="004219AE"/>
    <w:rsid w:val="0043443B"/>
    <w:rsid w:val="00446BCA"/>
    <w:rsid w:val="00467485"/>
    <w:rsid w:val="00480903"/>
    <w:rsid w:val="0048610B"/>
    <w:rsid w:val="004A3CD3"/>
    <w:rsid w:val="004F28D7"/>
    <w:rsid w:val="005027D8"/>
    <w:rsid w:val="00514645"/>
    <w:rsid w:val="00544546"/>
    <w:rsid w:val="005447DD"/>
    <w:rsid w:val="00546806"/>
    <w:rsid w:val="00553821"/>
    <w:rsid w:val="00576074"/>
    <w:rsid w:val="00586AED"/>
    <w:rsid w:val="0058746D"/>
    <w:rsid w:val="00596EAE"/>
    <w:rsid w:val="005A244B"/>
    <w:rsid w:val="005A52B5"/>
    <w:rsid w:val="005D0E19"/>
    <w:rsid w:val="005E0900"/>
    <w:rsid w:val="0060153C"/>
    <w:rsid w:val="00602F72"/>
    <w:rsid w:val="00610C0E"/>
    <w:rsid w:val="006162AE"/>
    <w:rsid w:val="006166D7"/>
    <w:rsid w:val="00631995"/>
    <w:rsid w:val="006477E3"/>
    <w:rsid w:val="00650071"/>
    <w:rsid w:val="00651BCD"/>
    <w:rsid w:val="006643B2"/>
    <w:rsid w:val="00670F18"/>
    <w:rsid w:val="006710D3"/>
    <w:rsid w:val="00676D85"/>
    <w:rsid w:val="00683E77"/>
    <w:rsid w:val="00684F08"/>
    <w:rsid w:val="00687622"/>
    <w:rsid w:val="006A0A0C"/>
    <w:rsid w:val="006A635A"/>
    <w:rsid w:val="006D25A8"/>
    <w:rsid w:val="00725283"/>
    <w:rsid w:val="00730A1A"/>
    <w:rsid w:val="007320B5"/>
    <w:rsid w:val="007610ED"/>
    <w:rsid w:val="00797F24"/>
    <w:rsid w:val="007A1164"/>
    <w:rsid w:val="007A6CC7"/>
    <w:rsid w:val="007B1B18"/>
    <w:rsid w:val="007C7A30"/>
    <w:rsid w:val="007E4918"/>
    <w:rsid w:val="00804CA6"/>
    <w:rsid w:val="00844830"/>
    <w:rsid w:val="00855239"/>
    <w:rsid w:val="00856485"/>
    <w:rsid w:val="008668AD"/>
    <w:rsid w:val="00880564"/>
    <w:rsid w:val="00882DB6"/>
    <w:rsid w:val="008A47E2"/>
    <w:rsid w:val="008B763E"/>
    <w:rsid w:val="008C02D4"/>
    <w:rsid w:val="008C1D17"/>
    <w:rsid w:val="008C77FB"/>
    <w:rsid w:val="008D5408"/>
    <w:rsid w:val="00901E5D"/>
    <w:rsid w:val="00912D29"/>
    <w:rsid w:val="00942B4B"/>
    <w:rsid w:val="00944705"/>
    <w:rsid w:val="00955BB1"/>
    <w:rsid w:val="0095680C"/>
    <w:rsid w:val="00957133"/>
    <w:rsid w:val="00970BAD"/>
    <w:rsid w:val="00972568"/>
    <w:rsid w:val="00973B1D"/>
    <w:rsid w:val="00994C60"/>
    <w:rsid w:val="009977C2"/>
    <w:rsid w:val="009E5385"/>
    <w:rsid w:val="00A04FA6"/>
    <w:rsid w:val="00A0672F"/>
    <w:rsid w:val="00A31B95"/>
    <w:rsid w:val="00A457AD"/>
    <w:rsid w:val="00A47EB9"/>
    <w:rsid w:val="00A637E0"/>
    <w:rsid w:val="00A7120A"/>
    <w:rsid w:val="00A85BCF"/>
    <w:rsid w:val="00A86453"/>
    <w:rsid w:val="00A91A45"/>
    <w:rsid w:val="00A94C96"/>
    <w:rsid w:val="00AC049B"/>
    <w:rsid w:val="00AD0645"/>
    <w:rsid w:val="00AE4F75"/>
    <w:rsid w:val="00AE7420"/>
    <w:rsid w:val="00AF6B6D"/>
    <w:rsid w:val="00B046C9"/>
    <w:rsid w:val="00B10FB4"/>
    <w:rsid w:val="00B44AA0"/>
    <w:rsid w:val="00B5786A"/>
    <w:rsid w:val="00B715F1"/>
    <w:rsid w:val="00B757FD"/>
    <w:rsid w:val="00B96ADD"/>
    <w:rsid w:val="00BA3CB3"/>
    <w:rsid w:val="00BC0571"/>
    <w:rsid w:val="00BD1833"/>
    <w:rsid w:val="00C02DCC"/>
    <w:rsid w:val="00C324CF"/>
    <w:rsid w:val="00C522D9"/>
    <w:rsid w:val="00C57139"/>
    <w:rsid w:val="00C76478"/>
    <w:rsid w:val="00C8149E"/>
    <w:rsid w:val="00C95234"/>
    <w:rsid w:val="00C95585"/>
    <w:rsid w:val="00C97744"/>
    <w:rsid w:val="00CF314E"/>
    <w:rsid w:val="00D21B4C"/>
    <w:rsid w:val="00D3278C"/>
    <w:rsid w:val="00D351D6"/>
    <w:rsid w:val="00D445DD"/>
    <w:rsid w:val="00D56577"/>
    <w:rsid w:val="00D71682"/>
    <w:rsid w:val="00D85B4A"/>
    <w:rsid w:val="00D95E90"/>
    <w:rsid w:val="00D96A6D"/>
    <w:rsid w:val="00DB29FF"/>
    <w:rsid w:val="00DC16CF"/>
    <w:rsid w:val="00DC1DF4"/>
    <w:rsid w:val="00DE0ED4"/>
    <w:rsid w:val="00DF6F08"/>
    <w:rsid w:val="00E07C9D"/>
    <w:rsid w:val="00E11DED"/>
    <w:rsid w:val="00E17462"/>
    <w:rsid w:val="00E27D8C"/>
    <w:rsid w:val="00E439ED"/>
    <w:rsid w:val="00E679DD"/>
    <w:rsid w:val="00E80CD3"/>
    <w:rsid w:val="00EA6D62"/>
    <w:rsid w:val="00EB2DBC"/>
    <w:rsid w:val="00EB355E"/>
    <w:rsid w:val="00EB36B4"/>
    <w:rsid w:val="00ED7E78"/>
    <w:rsid w:val="00EE0DDB"/>
    <w:rsid w:val="00EF4489"/>
    <w:rsid w:val="00EF6128"/>
    <w:rsid w:val="00F301D5"/>
    <w:rsid w:val="00F36FEE"/>
    <w:rsid w:val="00F54281"/>
    <w:rsid w:val="00F911FB"/>
    <w:rsid w:val="00FB4AE8"/>
    <w:rsid w:val="00FC6C9A"/>
    <w:rsid w:val="00FD5E6D"/>
    <w:rsid w:val="00FE795A"/>
    <w:rsid w:val="00FF51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875"/>
    <w:pPr>
      <w:jc w:val="both"/>
    </w:pPr>
    <w:rPr>
      <w:rFonts w:ascii="Palatino Linotype" w:hAnsi="Palatino Linotype"/>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7610ED"/>
    <w:rPr>
      <w:color w:val="605E5C"/>
      <w:shd w:val="clear" w:color="auto" w:fill="E1DFDD"/>
    </w:rPr>
  </w:style>
  <w:style w:type="character" w:styleId="Hipervnculovisitado">
    <w:name w:val="FollowedHyperlink"/>
    <w:basedOn w:val="Fuentedeprrafopredeter"/>
    <w:uiPriority w:val="99"/>
    <w:semiHidden/>
    <w:unhideWhenUsed/>
    <w:rsid w:val="00143985"/>
    <w:rPr>
      <w:color w:val="954F72" w:themeColor="followedHyperlink"/>
      <w:u w:val="single"/>
    </w:rPr>
  </w:style>
  <w:style w:type="character" w:styleId="Refdecomentario">
    <w:name w:val="annotation reference"/>
    <w:basedOn w:val="Fuentedeprrafopredeter"/>
    <w:uiPriority w:val="99"/>
    <w:semiHidden/>
    <w:unhideWhenUsed/>
    <w:rsid w:val="0060153C"/>
    <w:rPr>
      <w:sz w:val="16"/>
      <w:szCs w:val="16"/>
    </w:rPr>
  </w:style>
  <w:style w:type="paragraph" w:styleId="Textocomentario">
    <w:name w:val="annotation text"/>
    <w:basedOn w:val="Normal"/>
    <w:link w:val="TextocomentarioCar"/>
    <w:uiPriority w:val="99"/>
    <w:semiHidden/>
    <w:unhideWhenUsed/>
    <w:rsid w:val="006015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153C"/>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60153C"/>
    <w:rPr>
      <w:b/>
      <w:bCs/>
    </w:rPr>
  </w:style>
  <w:style w:type="character" w:customStyle="1" w:styleId="AsuntodelcomentarioCar">
    <w:name w:val="Asunto del comentario Car"/>
    <w:basedOn w:val="TextocomentarioCar"/>
    <w:link w:val="Asuntodelcomentario"/>
    <w:uiPriority w:val="99"/>
    <w:semiHidden/>
    <w:rsid w:val="0060153C"/>
    <w:rPr>
      <w:rFonts w:ascii="Palatino Linotype" w:hAnsi="Palatino Linotype"/>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4645965">
      <w:bodyDiv w:val="1"/>
      <w:marLeft w:val="0"/>
      <w:marRight w:val="0"/>
      <w:marTop w:val="0"/>
      <w:marBottom w:val="0"/>
      <w:divBdr>
        <w:top w:val="none" w:sz="0" w:space="0" w:color="auto"/>
        <w:left w:val="none" w:sz="0" w:space="0" w:color="auto"/>
        <w:bottom w:val="none" w:sz="0" w:space="0" w:color="auto"/>
        <w:right w:val="none" w:sz="0" w:space="0" w:color="auto"/>
      </w:divBdr>
    </w:div>
    <w:div w:id="70856213">
      <w:bodyDiv w:val="1"/>
      <w:marLeft w:val="0"/>
      <w:marRight w:val="0"/>
      <w:marTop w:val="0"/>
      <w:marBottom w:val="0"/>
      <w:divBdr>
        <w:top w:val="none" w:sz="0" w:space="0" w:color="auto"/>
        <w:left w:val="none" w:sz="0" w:space="0" w:color="auto"/>
        <w:bottom w:val="none" w:sz="0" w:space="0" w:color="auto"/>
        <w:right w:val="none" w:sz="0" w:space="0" w:color="auto"/>
      </w:divBdr>
      <w:divsChild>
        <w:div w:id="587734832">
          <w:marLeft w:val="0"/>
          <w:marRight w:val="0"/>
          <w:marTop w:val="0"/>
          <w:marBottom w:val="0"/>
          <w:divBdr>
            <w:top w:val="none" w:sz="0" w:space="0" w:color="auto"/>
            <w:left w:val="none" w:sz="0" w:space="0" w:color="auto"/>
            <w:bottom w:val="none" w:sz="0" w:space="0" w:color="auto"/>
            <w:right w:val="none" w:sz="0" w:space="0" w:color="auto"/>
          </w:divBdr>
        </w:div>
        <w:div w:id="135953439">
          <w:marLeft w:val="0"/>
          <w:marRight w:val="0"/>
          <w:marTop w:val="0"/>
          <w:marBottom w:val="0"/>
          <w:divBdr>
            <w:top w:val="none" w:sz="0" w:space="0" w:color="auto"/>
            <w:left w:val="none" w:sz="0" w:space="0" w:color="auto"/>
            <w:bottom w:val="none" w:sz="0" w:space="0" w:color="auto"/>
            <w:right w:val="none" w:sz="0" w:space="0" w:color="auto"/>
          </w:divBdr>
        </w:div>
        <w:div w:id="1497184971">
          <w:marLeft w:val="0"/>
          <w:marRight w:val="0"/>
          <w:marTop w:val="0"/>
          <w:marBottom w:val="0"/>
          <w:divBdr>
            <w:top w:val="none" w:sz="0" w:space="0" w:color="auto"/>
            <w:left w:val="none" w:sz="0" w:space="0" w:color="auto"/>
            <w:bottom w:val="none" w:sz="0" w:space="0" w:color="auto"/>
            <w:right w:val="none" w:sz="0" w:space="0" w:color="auto"/>
          </w:divBdr>
        </w:div>
        <w:div w:id="453868952">
          <w:marLeft w:val="0"/>
          <w:marRight w:val="0"/>
          <w:marTop w:val="0"/>
          <w:marBottom w:val="0"/>
          <w:divBdr>
            <w:top w:val="none" w:sz="0" w:space="0" w:color="auto"/>
            <w:left w:val="none" w:sz="0" w:space="0" w:color="auto"/>
            <w:bottom w:val="none" w:sz="0" w:space="0" w:color="auto"/>
            <w:right w:val="none" w:sz="0" w:space="0" w:color="auto"/>
          </w:divBdr>
        </w:div>
        <w:div w:id="1817450070">
          <w:marLeft w:val="0"/>
          <w:marRight w:val="0"/>
          <w:marTop w:val="0"/>
          <w:marBottom w:val="0"/>
          <w:divBdr>
            <w:top w:val="none" w:sz="0" w:space="0" w:color="auto"/>
            <w:left w:val="none" w:sz="0" w:space="0" w:color="auto"/>
            <w:bottom w:val="none" w:sz="0" w:space="0" w:color="auto"/>
            <w:right w:val="none" w:sz="0" w:space="0" w:color="auto"/>
          </w:divBdr>
        </w:div>
        <w:div w:id="2120760337">
          <w:marLeft w:val="0"/>
          <w:marRight w:val="0"/>
          <w:marTop w:val="0"/>
          <w:marBottom w:val="0"/>
          <w:divBdr>
            <w:top w:val="none" w:sz="0" w:space="0" w:color="auto"/>
            <w:left w:val="none" w:sz="0" w:space="0" w:color="auto"/>
            <w:bottom w:val="none" w:sz="0" w:space="0" w:color="auto"/>
            <w:right w:val="none" w:sz="0" w:space="0" w:color="auto"/>
          </w:divBdr>
        </w:div>
        <w:div w:id="1762290692">
          <w:marLeft w:val="0"/>
          <w:marRight w:val="0"/>
          <w:marTop w:val="0"/>
          <w:marBottom w:val="0"/>
          <w:divBdr>
            <w:top w:val="none" w:sz="0" w:space="0" w:color="auto"/>
            <w:left w:val="none" w:sz="0" w:space="0" w:color="auto"/>
            <w:bottom w:val="none" w:sz="0" w:space="0" w:color="auto"/>
            <w:right w:val="none" w:sz="0" w:space="0" w:color="auto"/>
          </w:divBdr>
        </w:div>
      </w:divsChild>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301235197">
      <w:bodyDiv w:val="1"/>
      <w:marLeft w:val="0"/>
      <w:marRight w:val="0"/>
      <w:marTop w:val="0"/>
      <w:marBottom w:val="0"/>
      <w:divBdr>
        <w:top w:val="none" w:sz="0" w:space="0" w:color="auto"/>
        <w:left w:val="none" w:sz="0" w:space="0" w:color="auto"/>
        <w:bottom w:val="none" w:sz="0" w:space="0" w:color="auto"/>
        <w:right w:val="none" w:sz="0" w:space="0" w:color="auto"/>
      </w:divBdr>
    </w:div>
    <w:div w:id="538131840">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716315577">
      <w:bodyDiv w:val="1"/>
      <w:marLeft w:val="0"/>
      <w:marRight w:val="0"/>
      <w:marTop w:val="0"/>
      <w:marBottom w:val="0"/>
      <w:divBdr>
        <w:top w:val="none" w:sz="0" w:space="0" w:color="auto"/>
        <w:left w:val="none" w:sz="0" w:space="0" w:color="auto"/>
        <w:bottom w:val="none" w:sz="0" w:space="0" w:color="auto"/>
        <w:right w:val="none" w:sz="0" w:space="0" w:color="auto"/>
      </w:divBdr>
    </w:div>
    <w:div w:id="929197027">
      <w:bodyDiv w:val="1"/>
      <w:marLeft w:val="0"/>
      <w:marRight w:val="0"/>
      <w:marTop w:val="0"/>
      <w:marBottom w:val="0"/>
      <w:divBdr>
        <w:top w:val="none" w:sz="0" w:space="0" w:color="auto"/>
        <w:left w:val="none" w:sz="0" w:space="0" w:color="auto"/>
        <w:bottom w:val="none" w:sz="0" w:space="0" w:color="auto"/>
        <w:right w:val="none" w:sz="0" w:space="0" w:color="auto"/>
      </w:divBdr>
    </w:div>
    <w:div w:id="990644491">
      <w:bodyDiv w:val="1"/>
      <w:marLeft w:val="0"/>
      <w:marRight w:val="0"/>
      <w:marTop w:val="0"/>
      <w:marBottom w:val="0"/>
      <w:divBdr>
        <w:top w:val="none" w:sz="0" w:space="0" w:color="auto"/>
        <w:left w:val="none" w:sz="0" w:space="0" w:color="auto"/>
        <w:bottom w:val="none" w:sz="0" w:space="0" w:color="auto"/>
        <w:right w:val="none" w:sz="0" w:space="0" w:color="auto"/>
      </w:divBdr>
    </w:div>
    <w:div w:id="1032609328">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02708711">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guia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7362-2E50-45CD-8655-4D301475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6217</Words>
  <Characters>34198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José Fernando Lobato Rodríguez</cp:lastModifiedBy>
  <cp:revision>2</cp:revision>
  <dcterms:created xsi:type="dcterms:W3CDTF">2023-02-16T05:35:00Z</dcterms:created>
  <dcterms:modified xsi:type="dcterms:W3CDTF">2023-02-16T05:35:00Z</dcterms:modified>
</cp:coreProperties>
</file>