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86E67" w14:textId="77777777" w:rsidR="009F09BC" w:rsidRPr="00B755E2" w:rsidRDefault="009F09BC" w:rsidP="00855290">
      <w:pPr>
        <w:tabs>
          <w:tab w:val="left" w:pos="3465"/>
        </w:tabs>
        <w:spacing w:line="360" w:lineRule="auto"/>
        <w:jc w:val="both"/>
        <w:rPr>
          <w:rFonts w:ascii="Palatino Linotype" w:hAnsi="Palatino Linotype"/>
        </w:rPr>
      </w:pPr>
      <w:r w:rsidRPr="00B755E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F3020" w:rsidRPr="00B755E2">
        <w:rPr>
          <w:rFonts w:ascii="Palatino Linotype" w:hAnsi="Palatino Linotype"/>
        </w:rPr>
        <w:t>veintitrés (23) de agosto</w:t>
      </w:r>
      <w:r w:rsidR="007B3617" w:rsidRPr="00B755E2">
        <w:rPr>
          <w:rFonts w:ascii="Palatino Linotype" w:hAnsi="Palatino Linotype"/>
        </w:rPr>
        <w:t xml:space="preserve"> de dos mil veintitrés</w:t>
      </w:r>
      <w:r w:rsidRPr="00B755E2">
        <w:rPr>
          <w:rFonts w:ascii="Palatino Linotype" w:hAnsi="Palatino Linotype"/>
        </w:rPr>
        <w:t>.</w:t>
      </w:r>
    </w:p>
    <w:p w14:paraId="672A6659" w14:textId="77777777" w:rsidR="00A054B6" w:rsidRPr="00B755E2" w:rsidRDefault="00A054B6" w:rsidP="00855290">
      <w:pPr>
        <w:tabs>
          <w:tab w:val="left" w:pos="3465"/>
        </w:tabs>
        <w:spacing w:line="360" w:lineRule="auto"/>
        <w:jc w:val="both"/>
        <w:rPr>
          <w:rFonts w:ascii="Palatino Linotype" w:hAnsi="Palatino Linotype"/>
        </w:rPr>
      </w:pPr>
    </w:p>
    <w:p w14:paraId="603ADF21" w14:textId="160AFF46" w:rsidR="009F09BC" w:rsidRPr="00B755E2" w:rsidRDefault="009F09BC" w:rsidP="00855290">
      <w:pPr>
        <w:spacing w:line="360" w:lineRule="auto"/>
        <w:jc w:val="both"/>
        <w:rPr>
          <w:rFonts w:ascii="Palatino Linotype" w:hAnsi="Palatino Linotype"/>
        </w:rPr>
      </w:pPr>
      <w:r w:rsidRPr="00B755E2">
        <w:rPr>
          <w:rFonts w:ascii="Palatino Linotype" w:hAnsi="Palatino Linotype"/>
          <w:b/>
        </w:rPr>
        <w:t>VISTO</w:t>
      </w:r>
      <w:r w:rsidRPr="00B755E2">
        <w:rPr>
          <w:rFonts w:ascii="Palatino Linotype" w:hAnsi="Palatino Linotype"/>
        </w:rPr>
        <w:t xml:space="preserve"> </w:t>
      </w:r>
      <w:r w:rsidR="008A699B" w:rsidRPr="00B755E2">
        <w:rPr>
          <w:rFonts w:ascii="Palatino Linotype" w:hAnsi="Palatino Linotype"/>
        </w:rPr>
        <w:t>e</w:t>
      </w:r>
      <w:r w:rsidRPr="00B755E2">
        <w:rPr>
          <w:rFonts w:ascii="Palatino Linotype" w:hAnsi="Palatino Linotype"/>
        </w:rPr>
        <w:t xml:space="preserve">l expediente electrónico formado con motivo del recurso de revisión </w:t>
      </w:r>
      <w:r w:rsidR="00BF3020" w:rsidRPr="00B755E2">
        <w:rPr>
          <w:rFonts w:ascii="Palatino Linotype" w:hAnsi="Palatino Linotype"/>
          <w:b/>
        </w:rPr>
        <w:t>07628</w:t>
      </w:r>
      <w:r w:rsidR="007B3617" w:rsidRPr="00B755E2">
        <w:rPr>
          <w:rFonts w:ascii="Palatino Linotype" w:hAnsi="Palatino Linotype"/>
          <w:b/>
        </w:rPr>
        <w:t>/INFOEM/IP/RR/2022</w:t>
      </w:r>
      <w:r w:rsidRPr="00B755E2">
        <w:rPr>
          <w:rFonts w:ascii="Palatino Linotype" w:hAnsi="Palatino Linotype"/>
        </w:rPr>
        <w:t>,</w:t>
      </w:r>
      <w:r w:rsidRPr="00B755E2">
        <w:rPr>
          <w:rFonts w:ascii="Palatino Linotype" w:hAnsi="Palatino Linotype" w:cs="Arial"/>
          <w:b/>
          <w:bCs/>
        </w:rPr>
        <w:t xml:space="preserve"> </w:t>
      </w:r>
      <w:r w:rsidRPr="00B755E2">
        <w:rPr>
          <w:rFonts w:ascii="Palatino Linotype" w:hAnsi="Palatino Linotype"/>
        </w:rPr>
        <w:t>promovido</w:t>
      </w:r>
      <w:r w:rsidR="00E65521" w:rsidRPr="00B755E2">
        <w:rPr>
          <w:rFonts w:ascii="Palatino Linotype" w:hAnsi="Palatino Linotype"/>
        </w:rPr>
        <w:t xml:space="preserve"> por</w:t>
      </w:r>
      <w:r w:rsidRPr="00B755E2">
        <w:rPr>
          <w:rFonts w:ascii="Palatino Linotype" w:hAnsi="Palatino Linotype"/>
        </w:rPr>
        <w:t xml:space="preserve"> </w:t>
      </w:r>
      <w:r w:rsidR="00C20D3F" w:rsidRPr="00B755E2">
        <w:rPr>
          <w:rFonts w:ascii="Palatino Linotype" w:hAnsi="Palatino Linotype"/>
          <w:b/>
          <w:bCs/>
        </w:rPr>
        <w:t xml:space="preserve">XXX </w:t>
      </w:r>
      <w:proofErr w:type="spellStart"/>
      <w:r w:rsidR="00C20D3F" w:rsidRPr="00B755E2">
        <w:rPr>
          <w:rFonts w:ascii="Palatino Linotype" w:hAnsi="Palatino Linotype"/>
          <w:b/>
          <w:bCs/>
        </w:rPr>
        <w:t>XXX</w:t>
      </w:r>
      <w:proofErr w:type="spellEnd"/>
      <w:r w:rsidR="00C20D3F" w:rsidRPr="00B755E2">
        <w:rPr>
          <w:rFonts w:ascii="Palatino Linotype" w:hAnsi="Palatino Linotype"/>
          <w:b/>
          <w:bCs/>
        </w:rPr>
        <w:t xml:space="preserve"> </w:t>
      </w:r>
      <w:proofErr w:type="spellStart"/>
      <w:r w:rsidR="00C20D3F" w:rsidRPr="00B755E2">
        <w:rPr>
          <w:rFonts w:ascii="Palatino Linotype" w:hAnsi="Palatino Linotype"/>
          <w:b/>
          <w:bCs/>
        </w:rPr>
        <w:t>XXX</w:t>
      </w:r>
      <w:proofErr w:type="spellEnd"/>
      <w:r w:rsidRPr="00B755E2">
        <w:rPr>
          <w:rFonts w:ascii="Palatino Linotype" w:hAnsi="Palatino Linotype"/>
        </w:rPr>
        <w:t xml:space="preserve">, a quien en lo sucesivo se le identificará como </w:t>
      </w:r>
      <w:r w:rsidR="00555688" w:rsidRPr="00B755E2">
        <w:rPr>
          <w:rFonts w:ascii="Palatino Linotype" w:hAnsi="Palatino Linotype"/>
          <w:b/>
        </w:rPr>
        <w:t>LA</w:t>
      </w:r>
      <w:r w:rsidRPr="00B755E2">
        <w:rPr>
          <w:rFonts w:ascii="Palatino Linotype" w:hAnsi="Palatino Linotype"/>
          <w:b/>
        </w:rPr>
        <w:t xml:space="preserve"> RECURRENTE</w:t>
      </w:r>
      <w:r w:rsidRPr="00B755E2">
        <w:rPr>
          <w:rFonts w:ascii="Palatino Linotype" w:hAnsi="Palatino Linotype" w:cs="Arial"/>
        </w:rPr>
        <w:t>, en contra de la respuesta de</w:t>
      </w:r>
      <w:r w:rsidR="007B3617" w:rsidRPr="00B755E2">
        <w:rPr>
          <w:rFonts w:ascii="Palatino Linotype" w:hAnsi="Palatino Linotype" w:cs="Arial"/>
        </w:rPr>
        <w:t xml:space="preserve"> </w:t>
      </w:r>
      <w:r w:rsidRPr="00B755E2">
        <w:rPr>
          <w:rFonts w:ascii="Palatino Linotype" w:hAnsi="Palatino Linotype" w:cs="Arial"/>
        </w:rPr>
        <w:t>l</w:t>
      </w:r>
      <w:r w:rsidR="007B3617" w:rsidRPr="00B755E2">
        <w:rPr>
          <w:rFonts w:ascii="Palatino Linotype" w:hAnsi="Palatino Linotype" w:cs="Arial"/>
        </w:rPr>
        <w:t>a</w:t>
      </w:r>
      <w:r w:rsidRPr="00B755E2">
        <w:rPr>
          <w:rFonts w:ascii="Palatino Linotype" w:hAnsi="Palatino Linotype" w:cs="Arial"/>
        </w:rPr>
        <w:t xml:space="preserve"> </w:t>
      </w:r>
      <w:r w:rsidR="007B3617" w:rsidRPr="00B755E2">
        <w:rPr>
          <w:rFonts w:ascii="Palatino Linotype" w:hAnsi="Palatino Linotype" w:cs="Arial"/>
          <w:b/>
        </w:rPr>
        <w:t>Procuraduría de Protección al Ambiente del Estado de México</w:t>
      </w:r>
      <w:r w:rsidRPr="00B755E2">
        <w:rPr>
          <w:rFonts w:ascii="Palatino Linotype" w:hAnsi="Palatino Linotype" w:cs="Arial"/>
          <w:b/>
        </w:rPr>
        <w:t>,</w:t>
      </w:r>
      <w:r w:rsidRPr="00B755E2">
        <w:rPr>
          <w:rFonts w:ascii="Palatino Linotype" w:hAnsi="Palatino Linotype"/>
          <w:b/>
        </w:rPr>
        <w:t xml:space="preserve"> </w:t>
      </w:r>
      <w:r w:rsidRPr="00B755E2">
        <w:rPr>
          <w:rFonts w:ascii="Palatino Linotype" w:hAnsi="Palatino Linotype"/>
        </w:rPr>
        <w:t xml:space="preserve">en </w:t>
      </w:r>
      <w:r w:rsidR="00555688" w:rsidRPr="00B755E2">
        <w:rPr>
          <w:rFonts w:ascii="Palatino Linotype" w:hAnsi="Palatino Linotype"/>
        </w:rPr>
        <w:t>adelante</w:t>
      </w:r>
      <w:r w:rsidRPr="00B755E2">
        <w:rPr>
          <w:rFonts w:ascii="Palatino Linotype" w:hAnsi="Palatino Linotype"/>
        </w:rPr>
        <w:t xml:space="preserve"> el</w:t>
      </w:r>
      <w:r w:rsidRPr="00B755E2">
        <w:rPr>
          <w:rFonts w:ascii="Palatino Linotype" w:hAnsi="Palatino Linotype"/>
          <w:b/>
        </w:rPr>
        <w:t xml:space="preserve"> SUJETO OBLIGADO</w:t>
      </w:r>
      <w:r w:rsidRPr="00B755E2">
        <w:rPr>
          <w:rFonts w:ascii="Palatino Linotype" w:hAnsi="Palatino Linotype"/>
        </w:rPr>
        <w:t>, se procede a dictar la presente resolución, con base en los siguientes:</w:t>
      </w:r>
    </w:p>
    <w:p w14:paraId="0A37501D" w14:textId="77777777" w:rsidR="007C3761" w:rsidRPr="00B755E2" w:rsidRDefault="007C3761" w:rsidP="00855290">
      <w:pPr>
        <w:spacing w:line="360" w:lineRule="auto"/>
        <w:jc w:val="both"/>
        <w:rPr>
          <w:rFonts w:ascii="Palatino Linotype" w:hAnsi="Palatino Linotype"/>
          <w:b/>
        </w:rPr>
      </w:pPr>
    </w:p>
    <w:p w14:paraId="0F10BAA5" w14:textId="77777777" w:rsidR="009F09BC" w:rsidRPr="00B755E2" w:rsidRDefault="009F09BC" w:rsidP="00855290">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B755E2">
        <w:rPr>
          <w:rFonts w:ascii="Palatino Linotype" w:hAnsi="Palatino Linotype"/>
          <w:b/>
          <w:color w:val="000000" w:themeColor="text1"/>
          <w:sz w:val="24"/>
          <w:szCs w:val="24"/>
        </w:rPr>
        <w:t>ANTECEDENTES</w:t>
      </w:r>
      <w:bookmarkEnd w:id="0"/>
      <w:bookmarkEnd w:id="1"/>
      <w:bookmarkEnd w:id="2"/>
    </w:p>
    <w:p w14:paraId="5DAB6C7B" w14:textId="77777777" w:rsidR="007C3761" w:rsidRPr="00B755E2" w:rsidRDefault="007C3761" w:rsidP="00855290">
      <w:pPr>
        <w:spacing w:line="360" w:lineRule="auto"/>
        <w:rPr>
          <w:rFonts w:ascii="Palatino Linotype" w:hAnsi="Palatino Linotype"/>
        </w:rPr>
      </w:pPr>
    </w:p>
    <w:p w14:paraId="518811A3" w14:textId="2F281B2A" w:rsidR="009F09BC" w:rsidRPr="00B755E2" w:rsidRDefault="009F09BC" w:rsidP="00B7267C">
      <w:pPr>
        <w:pStyle w:val="Prrafodelista"/>
        <w:numPr>
          <w:ilvl w:val="0"/>
          <w:numId w:val="1"/>
        </w:numPr>
        <w:spacing w:line="360" w:lineRule="auto"/>
        <w:ind w:left="0" w:firstLine="0"/>
        <w:jc w:val="both"/>
        <w:rPr>
          <w:rFonts w:ascii="Palatino Linotype" w:eastAsia="Calibri" w:hAnsi="Palatino Linotype" w:cs="Arial"/>
          <w:lang w:val="es-ES"/>
        </w:rPr>
      </w:pPr>
      <w:r w:rsidRPr="00B755E2">
        <w:rPr>
          <w:rFonts w:ascii="Palatino Linotype" w:eastAsia="Calibri" w:hAnsi="Palatino Linotype" w:cs="Arial"/>
          <w:lang w:val="es-ES"/>
        </w:rPr>
        <w:t xml:space="preserve">El día </w:t>
      </w:r>
      <w:r w:rsidR="00BF3020" w:rsidRPr="00B755E2">
        <w:rPr>
          <w:rFonts w:ascii="Palatino Linotype" w:eastAsia="Calibri" w:hAnsi="Palatino Linotype" w:cs="Arial"/>
          <w:b/>
          <w:lang w:val="es-ES"/>
        </w:rPr>
        <w:t>uno (01) de abril</w:t>
      </w:r>
      <w:r w:rsidR="00065792" w:rsidRPr="00B755E2">
        <w:rPr>
          <w:rFonts w:ascii="Palatino Linotype" w:eastAsia="Calibri" w:hAnsi="Palatino Linotype" w:cs="Arial"/>
          <w:b/>
          <w:lang w:val="es-ES"/>
        </w:rPr>
        <w:t xml:space="preserve"> de dos mil veintidós</w:t>
      </w:r>
      <w:r w:rsidRPr="00B755E2">
        <w:rPr>
          <w:rFonts w:ascii="Palatino Linotype" w:hAnsi="Palatino Linotype"/>
          <w:b/>
        </w:rPr>
        <w:t xml:space="preserve">, </w:t>
      </w:r>
      <w:r w:rsidRPr="00B755E2">
        <w:rPr>
          <w:rFonts w:ascii="Palatino Linotype" w:eastAsia="Calibri" w:hAnsi="Palatino Linotype" w:cs="Arial"/>
          <w:lang w:val="es-ES"/>
        </w:rPr>
        <w:t xml:space="preserve">se presentó ante el </w:t>
      </w:r>
      <w:r w:rsidRPr="00B755E2">
        <w:rPr>
          <w:rFonts w:ascii="Palatino Linotype" w:eastAsia="Calibri" w:hAnsi="Palatino Linotype" w:cs="Arial"/>
          <w:b/>
          <w:lang w:val="es-ES"/>
        </w:rPr>
        <w:t>SUJETO OBLIGADO</w:t>
      </w:r>
      <w:r w:rsidRPr="00B755E2">
        <w:rPr>
          <w:rFonts w:ascii="Palatino Linotype" w:eastAsia="Calibri" w:hAnsi="Palatino Linotype" w:cs="Arial"/>
        </w:rPr>
        <w:t xml:space="preserve"> vía </w:t>
      </w:r>
      <w:r w:rsidR="00A03F8F" w:rsidRPr="00B755E2">
        <w:rPr>
          <w:rFonts w:ascii="Palatino Linotype" w:eastAsia="Calibri" w:hAnsi="Palatino Linotype" w:cs="Arial"/>
        </w:rPr>
        <w:t>Sistema de Acceso a la Información Mexiquense (</w:t>
      </w:r>
      <w:r w:rsidR="008A699B" w:rsidRPr="00B755E2">
        <w:rPr>
          <w:rFonts w:ascii="Palatino Linotype" w:eastAsia="Calibri" w:hAnsi="Palatino Linotype" w:cs="Arial"/>
          <w:b/>
          <w:lang w:val="es-ES"/>
        </w:rPr>
        <w:t>SAIMEX</w:t>
      </w:r>
      <w:r w:rsidR="00A03F8F" w:rsidRPr="00B755E2">
        <w:rPr>
          <w:rFonts w:ascii="Palatino Linotype" w:eastAsia="Calibri" w:hAnsi="Palatino Linotype" w:cs="Arial"/>
          <w:lang w:val="es-ES"/>
        </w:rPr>
        <w:t>)</w:t>
      </w:r>
      <w:r w:rsidR="008A699B" w:rsidRPr="00B755E2">
        <w:rPr>
          <w:rFonts w:ascii="Palatino Linotype" w:eastAsia="Calibri" w:hAnsi="Palatino Linotype" w:cs="Arial"/>
          <w:lang w:val="es-ES"/>
        </w:rPr>
        <w:t>, la solicitud</w:t>
      </w:r>
      <w:r w:rsidRPr="00B755E2">
        <w:rPr>
          <w:rFonts w:ascii="Palatino Linotype" w:eastAsia="Calibri" w:hAnsi="Palatino Linotype" w:cs="Arial"/>
          <w:lang w:val="es-ES"/>
        </w:rPr>
        <w:t xml:space="preserve"> de información pública</w:t>
      </w:r>
      <w:r w:rsidR="008A699B" w:rsidRPr="00B755E2">
        <w:rPr>
          <w:rFonts w:ascii="Palatino Linotype" w:eastAsia="Calibri" w:hAnsi="Palatino Linotype" w:cs="Arial"/>
          <w:lang w:val="es-ES"/>
        </w:rPr>
        <w:t xml:space="preserve"> registrada</w:t>
      </w:r>
      <w:r w:rsidRPr="00B755E2">
        <w:rPr>
          <w:rFonts w:ascii="Palatino Linotype" w:eastAsia="Calibri" w:hAnsi="Palatino Linotype" w:cs="Arial"/>
          <w:lang w:val="es-ES"/>
        </w:rPr>
        <w:t xml:space="preserve"> con </w:t>
      </w:r>
      <w:r w:rsidR="008A699B" w:rsidRPr="00B755E2">
        <w:rPr>
          <w:rFonts w:ascii="Palatino Linotype" w:eastAsia="Calibri" w:hAnsi="Palatino Linotype" w:cs="Arial"/>
          <w:lang w:val="es-ES"/>
        </w:rPr>
        <w:t xml:space="preserve">el </w:t>
      </w:r>
      <w:r w:rsidRPr="00B755E2">
        <w:rPr>
          <w:rFonts w:ascii="Palatino Linotype" w:eastAsia="Calibri" w:hAnsi="Palatino Linotype" w:cs="Arial"/>
          <w:lang w:val="es-ES"/>
        </w:rPr>
        <w:t>número</w:t>
      </w:r>
      <w:r w:rsidRPr="00B755E2">
        <w:rPr>
          <w:rFonts w:ascii="Palatino Linotype" w:hAnsi="Palatino Linotype"/>
          <w:b/>
          <w:bCs/>
          <w:color w:val="000000" w:themeColor="text1"/>
        </w:rPr>
        <w:t xml:space="preserve"> </w:t>
      </w:r>
      <w:r w:rsidR="00477E91" w:rsidRPr="00B755E2">
        <w:rPr>
          <w:rFonts w:ascii="Palatino Linotype" w:hAnsi="Palatino Linotype"/>
          <w:b/>
          <w:bCs/>
          <w:color w:val="000000" w:themeColor="text1"/>
        </w:rPr>
        <w:t>00061/PROPAEM/IP/2022</w:t>
      </w:r>
      <w:r w:rsidRPr="00B755E2">
        <w:rPr>
          <w:rFonts w:ascii="Palatino Linotype" w:hAnsi="Palatino Linotype"/>
          <w:b/>
          <w:bCs/>
          <w:color w:val="000000" w:themeColor="text1"/>
        </w:rPr>
        <w:t xml:space="preserve">; </w:t>
      </w:r>
      <w:r w:rsidR="00555688" w:rsidRPr="00B755E2">
        <w:rPr>
          <w:rFonts w:ascii="Palatino Linotype" w:eastAsia="Calibri" w:hAnsi="Palatino Linotype" w:cs="Arial"/>
          <w:lang w:val="es-ES"/>
        </w:rPr>
        <w:t>en la que</w:t>
      </w:r>
      <w:r w:rsidRPr="00B755E2">
        <w:rPr>
          <w:rFonts w:ascii="Palatino Linotype" w:eastAsia="Calibri" w:hAnsi="Palatino Linotype" w:cs="Arial"/>
          <w:lang w:val="es-ES"/>
        </w:rPr>
        <w:t xml:space="preserve"> solicitó la siguiente información:</w:t>
      </w:r>
    </w:p>
    <w:p w14:paraId="02EB378F" w14:textId="77777777" w:rsidR="008A699B" w:rsidRPr="00B755E2" w:rsidRDefault="008A699B" w:rsidP="00855290">
      <w:pPr>
        <w:pStyle w:val="Prrafodelista"/>
        <w:spacing w:line="360" w:lineRule="auto"/>
        <w:ind w:left="0"/>
        <w:jc w:val="both"/>
        <w:rPr>
          <w:rFonts w:ascii="Palatino Linotype" w:eastAsia="Calibri" w:hAnsi="Palatino Linotype" w:cs="Arial"/>
          <w:lang w:val="es-ES"/>
        </w:rPr>
      </w:pPr>
    </w:p>
    <w:p w14:paraId="6E49BA75" w14:textId="77777777" w:rsidR="009F09BC" w:rsidRPr="00B755E2" w:rsidRDefault="005B0E26" w:rsidP="00477E91">
      <w:pPr>
        <w:ind w:left="851" w:right="616"/>
        <w:jc w:val="both"/>
        <w:rPr>
          <w:rFonts w:ascii="Palatino Linotype" w:hAnsi="Palatino Linotype"/>
          <w:i/>
        </w:rPr>
      </w:pPr>
      <w:r w:rsidRPr="00B755E2">
        <w:rPr>
          <w:rFonts w:ascii="Palatino Linotype" w:hAnsi="Palatino Linotype"/>
          <w:i/>
        </w:rPr>
        <w:t>"</w:t>
      </w:r>
      <w:r w:rsidR="00477E91" w:rsidRPr="00B755E2">
        <w:rPr>
          <w:rFonts w:ascii="Verdana" w:hAnsi="Verdana"/>
          <w:color w:val="000000"/>
          <w:sz w:val="14"/>
          <w:szCs w:val="14"/>
        </w:rPr>
        <w:t xml:space="preserve"> </w:t>
      </w:r>
      <w:r w:rsidR="00477E91" w:rsidRPr="00B755E2">
        <w:rPr>
          <w:rFonts w:ascii="Palatino Linotype" w:hAnsi="Palatino Linotype"/>
          <w:i/>
        </w:rPr>
        <w:t>Copia digital de cada uno de los convenios que la Procuraduría de Protección al Ambiente del Estado de México ha firmado mediante el programa “Compensadores Ambientales”, desde el 1 enero de 2015 hasta la fecha.</w:t>
      </w:r>
      <w:r w:rsidR="007B3617" w:rsidRPr="00B755E2">
        <w:rPr>
          <w:rFonts w:ascii="Palatino Linotype" w:hAnsi="Palatino Linotype"/>
          <w:i/>
        </w:rPr>
        <w:t>”</w:t>
      </w:r>
    </w:p>
    <w:p w14:paraId="6A05A809" w14:textId="77777777" w:rsidR="009D10FD" w:rsidRPr="00B755E2" w:rsidRDefault="009D10FD" w:rsidP="009D10FD">
      <w:pPr>
        <w:pStyle w:val="Prrafodelista"/>
        <w:spacing w:line="360" w:lineRule="auto"/>
        <w:ind w:left="709" w:right="34"/>
        <w:jc w:val="both"/>
        <w:rPr>
          <w:rFonts w:ascii="Palatino Linotype" w:hAnsi="Palatino Linotype"/>
        </w:rPr>
      </w:pPr>
    </w:p>
    <w:p w14:paraId="417DCA42" w14:textId="77777777" w:rsidR="009F09BC" w:rsidRPr="00B755E2" w:rsidRDefault="009F09BC" w:rsidP="00E65521">
      <w:pPr>
        <w:pStyle w:val="Prrafodelista"/>
        <w:numPr>
          <w:ilvl w:val="0"/>
          <w:numId w:val="2"/>
        </w:numPr>
        <w:spacing w:line="360" w:lineRule="auto"/>
        <w:ind w:left="709" w:right="34"/>
        <w:jc w:val="both"/>
        <w:rPr>
          <w:rFonts w:ascii="Palatino Linotype" w:hAnsi="Palatino Linotype"/>
        </w:rPr>
      </w:pPr>
      <w:r w:rsidRPr="00B755E2">
        <w:rPr>
          <w:rFonts w:ascii="Palatino Linotype" w:eastAsia="Times New Roman" w:hAnsi="Palatino Linotype" w:cs="Arial"/>
          <w:lang w:val="es-ES"/>
        </w:rPr>
        <w:lastRenderedPageBreak/>
        <w:t>Se eligió como modalidad de entrega de la información</w:t>
      </w:r>
      <w:r w:rsidRPr="00B755E2">
        <w:rPr>
          <w:rFonts w:ascii="Palatino Linotype" w:hAnsi="Palatino Linotype"/>
        </w:rPr>
        <w:t>: A través de</w:t>
      </w:r>
      <w:r w:rsidR="00B72462" w:rsidRPr="00B755E2">
        <w:rPr>
          <w:rFonts w:ascii="Palatino Linotype" w:hAnsi="Palatino Linotype"/>
        </w:rPr>
        <w:t>l</w:t>
      </w:r>
      <w:r w:rsidR="005B0E26" w:rsidRPr="00B755E2">
        <w:rPr>
          <w:rFonts w:ascii="Palatino Linotype" w:hAnsi="Palatino Linotype"/>
          <w:b/>
        </w:rPr>
        <w:t xml:space="preserve"> SAIMEX.</w:t>
      </w:r>
    </w:p>
    <w:p w14:paraId="5A39BBE3" w14:textId="77777777" w:rsidR="008A699B" w:rsidRPr="00B755E2" w:rsidRDefault="008A699B" w:rsidP="00855290">
      <w:pPr>
        <w:pStyle w:val="Prrafodelista"/>
        <w:spacing w:line="360" w:lineRule="auto"/>
        <w:ind w:left="851" w:right="34"/>
        <w:jc w:val="both"/>
        <w:rPr>
          <w:rFonts w:ascii="Palatino Linotype" w:hAnsi="Palatino Linotype"/>
        </w:rPr>
      </w:pPr>
    </w:p>
    <w:p w14:paraId="52D4B649" w14:textId="77777777" w:rsidR="00477E91" w:rsidRPr="00B755E2" w:rsidRDefault="00477E91" w:rsidP="00B72462">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B755E2">
        <w:rPr>
          <w:rFonts w:ascii="Palatino Linotype" w:hAnsi="Palatino Linotype" w:cs="Arial"/>
          <w:color w:val="000000" w:themeColor="text1"/>
        </w:rPr>
        <w:t xml:space="preserve">El uno (01) de abril de dos mil veintidós, se realizó un requerimiento al servidor público habilitado. </w:t>
      </w:r>
    </w:p>
    <w:p w14:paraId="41C8F396" w14:textId="77777777" w:rsidR="00477E91" w:rsidRPr="00B755E2" w:rsidRDefault="00477E91" w:rsidP="00477E91">
      <w:pPr>
        <w:pStyle w:val="Prrafodelista"/>
        <w:tabs>
          <w:tab w:val="left" w:pos="0"/>
        </w:tabs>
        <w:spacing w:line="360" w:lineRule="auto"/>
        <w:ind w:left="0" w:right="49"/>
        <w:jc w:val="both"/>
        <w:rPr>
          <w:rFonts w:ascii="Palatino Linotype" w:hAnsi="Palatino Linotype" w:cs="Arial"/>
          <w:i/>
          <w:color w:val="000000" w:themeColor="text1"/>
        </w:rPr>
      </w:pPr>
    </w:p>
    <w:p w14:paraId="6FE32AAA" w14:textId="0BC23E05" w:rsidR="009D10FD" w:rsidRPr="00B755E2" w:rsidRDefault="00B72462" w:rsidP="00B72462">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B755E2">
        <w:rPr>
          <w:rFonts w:ascii="Palatino Linotype" w:hAnsi="Palatino Linotype" w:cs="Arial"/>
          <w:color w:val="000000" w:themeColor="text1"/>
        </w:rPr>
        <w:t xml:space="preserve">El </w:t>
      </w:r>
      <w:r w:rsidR="00477E91" w:rsidRPr="00B755E2">
        <w:rPr>
          <w:rFonts w:ascii="Palatino Linotype" w:hAnsi="Palatino Linotype" w:cs="Arial"/>
          <w:color w:val="000000" w:themeColor="text1"/>
        </w:rPr>
        <w:t>veintinueve (29) de abril</w:t>
      </w:r>
      <w:r w:rsidR="005B0E26" w:rsidRPr="00B755E2">
        <w:rPr>
          <w:rFonts w:ascii="Palatino Linotype" w:hAnsi="Palatino Linotype" w:cs="Arial"/>
          <w:color w:val="000000" w:themeColor="text1"/>
        </w:rPr>
        <w:t xml:space="preserve"> </w:t>
      </w:r>
      <w:r w:rsidR="00103A3A" w:rsidRPr="00B755E2">
        <w:rPr>
          <w:rFonts w:ascii="Palatino Linotype" w:hAnsi="Palatino Linotype" w:cs="Arial"/>
          <w:color w:val="000000" w:themeColor="text1"/>
        </w:rPr>
        <w:t xml:space="preserve">de dos mil veintidós, el </w:t>
      </w:r>
      <w:r w:rsidR="00103A3A" w:rsidRPr="00B755E2">
        <w:rPr>
          <w:rFonts w:ascii="Palatino Linotype" w:hAnsi="Palatino Linotype" w:cs="Arial"/>
          <w:b/>
          <w:color w:val="000000" w:themeColor="text1"/>
        </w:rPr>
        <w:t>SUJETO OBLIGADO</w:t>
      </w:r>
      <w:r w:rsidR="00103A3A" w:rsidRPr="00B755E2">
        <w:rPr>
          <w:rFonts w:ascii="Palatino Linotype" w:hAnsi="Palatino Linotype" w:cs="Arial"/>
          <w:color w:val="000000" w:themeColor="text1"/>
        </w:rPr>
        <w:t xml:space="preserve"> </w:t>
      </w:r>
      <w:r w:rsidR="006F1C39" w:rsidRPr="00B755E2">
        <w:rPr>
          <w:rFonts w:ascii="Palatino Linotype" w:hAnsi="Palatino Linotype" w:cs="Arial"/>
          <w:color w:val="000000" w:themeColor="text1"/>
        </w:rPr>
        <w:t xml:space="preserve">dio respuesta a través </w:t>
      </w:r>
      <w:r w:rsidR="005B0E26" w:rsidRPr="00B755E2">
        <w:rPr>
          <w:rFonts w:ascii="Palatino Linotype" w:hAnsi="Palatino Linotype" w:cs="Arial"/>
          <w:color w:val="000000" w:themeColor="text1"/>
        </w:rPr>
        <w:t>de</w:t>
      </w:r>
      <w:r w:rsidR="00477E91" w:rsidRPr="00B755E2">
        <w:rPr>
          <w:rFonts w:ascii="Palatino Linotype" w:hAnsi="Palatino Linotype" w:cs="Arial"/>
          <w:color w:val="000000" w:themeColor="text1"/>
        </w:rPr>
        <w:t>l</w:t>
      </w:r>
      <w:r w:rsidR="00103F2A" w:rsidRPr="00B755E2">
        <w:rPr>
          <w:rFonts w:ascii="Palatino Linotype" w:hAnsi="Palatino Linotype" w:cs="Arial"/>
          <w:color w:val="000000" w:themeColor="text1"/>
        </w:rPr>
        <w:t xml:space="preserve"> archivo electrónico</w:t>
      </w:r>
      <w:r w:rsidR="00477E91" w:rsidRPr="00B755E2">
        <w:rPr>
          <w:rFonts w:ascii="Palatino Linotype" w:hAnsi="Palatino Linotype" w:cs="Arial"/>
          <w:color w:val="000000" w:themeColor="text1"/>
        </w:rPr>
        <w:t xml:space="preserve"> denominado </w:t>
      </w:r>
      <w:hyperlink r:id="rId8" w:tgtFrame="_blank" w:history="1">
        <w:r w:rsidR="00477E91" w:rsidRPr="00B755E2">
          <w:rPr>
            <w:rStyle w:val="Hipervnculo"/>
            <w:rFonts w:ascii="Palatino Linotype" w:hAnsi="Palatino Linotype" w:cs="Arial"/>
            <w:b/>
            <w:bCs/>
            <w:i/>
          </w:rPr>
          <w:t>SAIMEX 61 - 3. Respuesta para el solicitante.pdf</w:t>
        </w:r>
      </w:hyperlink>
      <w:r w:rsidR="006F1C39" w:rsidRPr="00B755E2">
        <w:rPr>
          <w:rFonts w:ascii="Palatino Linotype" w:hAnsi="Palatino Linotype" w:cs="Arial"/>
          <w:b/>
          <w:color w:val="000000" w:themeColor="text1"/>
        </w:rPr>
        <w:t xml:space="preserve">, </w:t>
      </w:r>
      <w:r w:rsidR="007C565A" w:rsidRPr="00B755E2">
        <w:rPr>
          <w:rFonts w:ascii="Palatino Linotype" w:hAnsi="Palatino Linotype" w:cs="Arial"/>
          <w:color w:val="000000" w:themeColor="text1"/>
        </w:rPr>
        <w:t>en los que</w:t>
      </w:r>
      <w:r w:rsidRPr="00B755E2">
        <w:rPr>
          <w:rFonts w:ascii="Palatino Linotype" w:hAnsi="Palatino Linotype" w:cs="Arial"/>
          <w:color w:val="000000" w:themeColor="text1"/>
        </w:rPr>
        <w:t xml:space="preserve"> </w:t>
      </w:r>
      <w:r w:rsidRPr="00B755E2">
        <w:rPr>
          <w:rFonts w:ascii="Palatino Linotype" w:hAnsi="Palatino Linotype" w:cs="Arial"/>
          <w:i/>
          <w:color w:val="000000" w:themeColor="text1"/>
        </w:rPr>
        <w:t xml:space="preserve">grosso modo, </w:t>
      </w:r>
      <w:r w:rsidRPr="00B755E2">
        <w:rPr>
          <w:rFonts w:ascii="Palatino Linotype" w:hAnsi="Palatino Linotype" w:cs="Arial"/>
          <w:color w:val="000000" w:themeColor="text1"/>
        </w:rPr>
        <w:t>se clasificó la información como reservada por estar contenido en expedientes administrativos seguidos en forma de juicio que no han causado estado.</w:t>
      </w:r>
    </w:p>
    <w:p w14:paraId="72A3D3EC" w14:textId="77777777" w:rsidR="00B72462" w:rsidRPr="00B755E2" w:rsidRDefault="00B72462" w:rsidP="00B72462">
      <w:pPr>
        <w:pStyle w:val="Prrafodelista"/>
        <w:spacing w:line="360" w:lineRule="auto"/>
        <w:ind w:left="0"/>
        <w:jc w:val="both"/>
        <w:rPr>
          <w:rFonts w:ascii="Palatino Linotype" w:hAnsi="Palatino Linotype" w:cs="Arial"/>
          <w:i/>
          <w:color w:val="000000" w:themeColor="text1"/>
        </w:rPr>
      </w:pPr>
    </w:p>
    <w:p w14:paraId="3375E5AC" w14:textId="77777777" w:rsidR="009F09BC" w:rsidRPr="00B755E2" w:rsidRDefault="009F09BC" w:rsidP="00B7267C">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B755E2">
        <w:rPr>
          <w:rFonts w:ascii="Palatino Linotype" w:eastAsia="Times New Roman" w:hAnsi="Palatino Linotype" w:cs="Arial"/>
          <w:color w:val="000000" w:themeColor="text1"/>
          <w:lang w:val="es-ES"/>
        </w:rPr>
        <w:t>E</w:t>
      </w:r>
      <w:r w:rsidR="002C4997" w:rsidRPr="00B755E2">
        <w:rPr>
          <w:rFonts w:ascii="Palatino Linotype" w:eastAsia="Times New Roman" w:hAnsi="Palatino Linotype" w:cs="Arial"/>
          <w:color w:val="000000" w:themeColor="text1"/>
          <w:lang w:val="es-ES"/>
        </w:rPr>
        <w:t xml:space="preserve">l </w:t>
      </w:r>
      <w:r w:rsidR="00477E91" w:rsidRPr="00B755E2">
        <w:rPr>
          <w:rFonts w:ascii="Palatino Linotype" w:eastAsia="Times New Roman" w:hAnsi="Palatino Linotype" w:cs="Arial"/>
          <w:color w:val="000000" w:themeColor="text1"/>
          <w:lang w:val="es-ES"/>
        </w:rPr>
        <w:t>diez (10) de mayo</w:t>
      </w:r>
      <w:r w:rsidRPr="00B755E2">
        <w:rPr>
          <w:rFonts w:ascii="Palatino Linotype" w:eastAsia="Times New Roman" w:hAnsi="Palatino Linotype" w:cs="Arial"/>
          <w:color w:val="000000" w:themeColor="text1"/>
          <w:lang w:val="es-ES"/>
        </w:rPr>
        <w:t xml:space="preserve"> de </w:t>
      </w:r>
      <w:r w:rsidR="007C3761" w:rsidRPr="00B755E2">
        <w:rPr>
          <w:rFonts w:ascii="Palatino Linotype" w:eastAsia="Times New Roman" w:hAnsi="Palatino Linotype" w:cs="Arial"/>
          <w:color w:val="000000" w:themeColor="text1"/>
          <w:lang w:val="es-ES"/>
        </w:rPr>
        <w:t>dos mil veintidós</w:t>
      </w:r>
      <w:r w:rsidRPr="00B755E2">
        <w:rPr>
          <w:rFonts w:ascii="Palatino Linotype" w:eastAsia="Times New Roman" w:hAnsi="Palatino Linotype" w:cs="Arial"/>
          <w:color w:val="000000" w:themeColor="text1"/>
          <w:lang w:val="es-ES"/>
        </w:rPr>
        <w:t xml:space="preserve">, el particular interpuso </w:t>
      </w:r>
      <w:r w:rsidR="002C4997" w:rsidRPr="00B755E2">
        <w:rPr>
          <w:rFonts w:ascii="Palatino Linotype" w:eastAsia="Times New Roman" w:hAnsi="Palatino Linotype" w:cs="Arial"/>
          <w:color w:val="000000" w:themeColor="text1"/>
          <w:lang w:val="es-ES"/>
        </w:rPr>
        <w:t>e</w:t>
      </w:r>
      <w:r w:rsidRPr="00B755E2">
        <w:rPr>
          <w:rFonts w:ascii="Palatino Linotype" w:eastAsia="Times New Roman" w:hAnsi="Palatino Linotype" w:cs="Arial"/>
          <w:color w:val="000000" w:themeColor="text1"/>
          <w:lang w:val="es-ES"/>
        </w:rPr>
        <w:t>l recurso de revisión en contra de la respuesta,</w:t>
      </w:r>
      <w:r w:rsidR="00C23EB6" w:rsidRPr="00B755E2">
        <w:rPr>
          <w:rFonts w:ascii="Palatino Linotype" w:eastAsia="Times New Roman" w:hAnsi="Palatino Linotype" w:cs="Arial"/>
          <w:color w:val="000000" w:themeColor="text1"/>
          <w:lang w:val="es-ES"/>
        </w:rPr>
        <w:t xml:space="preserve"> en el que se establecieron</w:t>
      </w:r>
      <w:r w:rsidRPr="00B755E2">
        <w:rPr>
          <w:rFonts w:ascii="Palatino Linotype" w:eastAsia="Times New Roman" w:hAnsi="Palatino Linotype" w:cs="Arial"/>
          <w:color w:val="000000" w:themeColor="text1"/>
          <w:lang w:val="es-ES"/>
        </w:rPr>
        <w:t xml:space="preserve"> l</w:t>
      </w:r>
      <w:r w:rsidR="002C4997" w:rsidRPr="00B755E2">
        <w:rPr>
          <w:rFonts w:ascii="Palatino Linotype" w:eastAsia="Times New Roman" w:hAnsi="Palatino Linotype" w:cs="Arial"/>
          <w:color w:val="000000" w:themeColor="text1"/>
          <w:lang w:val="es-ES"/>
        </w:rPr>
        <w:t>a</w:t>
      </w:r>
      <w:r w:rsidRPr="00B755E2">
        <w:rPr>
          <w:rFonts w:ascii="Palatino Linotype" w:eastAsia="Times New Roman" w:hAnsi="Palatino Linotype" w:cs="Arial"/>
          <w:color w:val="000000" w:themeColor="text1"/>
          <w:lang w:val="es-ES"/>
        </w:rPr>
        <w:t xml:space="preserve">s </w:t>
      </w:r>
      <w:r w:rsidR="002C4997" w:rsidRPr="00B755E2">
        <w:rPr>
          <w:rFonts w:ascii="Palatino Linotype" w:eastAsia="Times New Roman" w:hAnsi="Palatino Linotype" w:cs="Arial"/>
          <w:color w:val="000000" w:themeColor="text1"/>
          <w:lang w:val="es-ES"/>
        </w:rPr>
        <w:t>siguientes</w:t>
      </w:r>
      <w:r w:rsidRPr="00B755E2">
        <w:rPr>
          <w:rFonts w:ascii="Palatino Linotype" w:eastAsia="Times New Roman" w:hAnsi="Palatino Linotype" w:cs="Arial"/>
          <w:color w:val="000000" w:themeColor="text1"/>
          <w:lang w:val="es-ES"/>
        </w:rPr>
        <w:t xml:space="preserve"> razones o motivos de inconformidad:</w:t>
      </w:r>
    </w:p>
    <w:p w14:paraId="0D0B940D" w14:textId="77777777" w:rsidR="00E65C7F" w:rsidRPr="00B755E2" w:rsidRDefault="00E65C7F" w:rsidP="00E65C7F">
      <w:pPr>
        <w:pStyle w:val="Prrafodelista"/>
        <w:tabs>
          <w:tab w:val="left" w:pos="0"/>
        </w:tabs>
        <w:spacing w:line="360" w:lineRule="auto"/>
        <w:ind w:left="0" w:right="49"/>
        <w:jc w:val="both"/>
        <w:rPr>
          <w:rFonts w:ascii="Palatino Linotype" w:hAnsi="Palatino Linotype" w:cs="Arial"/>
          <w:i/>
          <w:color w:val="000000" w:themeColor="text1"/>
          <w:sz w:val="22"/>
        </w:rPr>
      </w:pPr>
    </w:p>
    <w:p w14:paraId="0A5CABE5" w14:textId="77777777" w:rsidR="009F09BC" w:rsidRPr="00B755E2" w:rsidRDefault="009F09BC" w:rsidP="00B72462">
      <w:pPr>
        <w:pStyle w:val="Prrafodelista"/>
        <w:numPr>
          <w:ilvl w:val="0"/>
          <w:numId w:val="2"/>
        </w:numPr>
        <w:spacing w:line="360" w:lineRule="auto"/>
        <w:jc w:val="both"/>
        <w:rPr>
          <w:rFonts w:ascii="Palatino Linotype" w:hAnsi="Palatino Linotype"/>
          <w:i/>
          <w:color w:val="000000" w:themeColor="text1"/>
          <w:sz w:val="22"/>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B755E2">
        <w:rPr>
          <w:rStyle w:val="Ttulo2Car"/>
          <w:rFonts w:ascii="Palatino Linotype" w:hAnsi="Palatino Linotype"/>
          <w:b/>
          <w:color w:val="auto"/>
          <w:sz w:val="22"/>
          <w:szCs w:val="24"/>
        </w:rPr>
        <w:t>Acto impugnado</w:t>
      </w:r>
      <w:bookmarkEnd w:id="3"/>
      <w:r w:rsidRPr="00B755E2">
        <w:rPr>
          <w:rStyle w:val="Ttulo2Car"/>
          <w:rFonts w:ascii="Palatino Linotype" w:hAnsi="Palatino Linotype"/>
          <w:b/>
          <w:color w:val="000000" w:themeColor="text1"/>
          <w:sz w:val="22"/>
          <w:szCs w:val="24"/>
        </w:rPr>
        <w:t xml:space="preserve">: </w:t>
      </w:r>
      <w:r w:rsidRPr="00B755E2">
        <w:rPr>
          <w:rStyle w:val="Ttulo2Car"/>
          <w:rFonts w:ascii="Palatino Linotype" w:hAnsi="Palatino Linotype"/>
          <w:i/>
          <w:color w:val="000000" w:themeColor="text1"/>
          <w:sz w:val="22"/>
          <w:szCs w:val="24"/>
        </w:rPr>
        <w:t>“</w:t>
      </w:r>
      <w:bookmarkEnd w:id="4"/>
      <w:bookmarkEnd w:id="5"/>
      <w:bookmarkEnd w:id="6"/>
      <w:bookmarkEnd w:id="7"/>
      <w:bookmarkEnd w:id="8"/>
      <w:bookmarkEnd w:id="9"/>
      <w:bookmarkEnd w:id="10"/>
      <w:r w:rsidR="00477E91" w:rsidRPr="00B755E2">
        <w:rPr>
          <w:rFonts w:ascii="Palatino Linotype" w:eastAsiaTheme="majorEastAsia" w:hAnsi="Palatino Linotype" w:cstheme="majorBidi"/>
          <w:i/>
          <w:color w:val="000000" w:themeColor="text1"/>
          <w:sz w:val="22"/>
        </w:rPr>
        <w:t>Niega entregar la información</w:t>
      </w:r>
      <w:r w:rsidRPr="00B755E2">
        <w:rPr>
          <w:rFonts w:ascii="Palatino Linotype" w:hAnsi="Palatino Linotype"/>
          <w:sz w:val="22"/>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0E27B00A" w14:textId="77777777" w:rsidR="002F7EE0" w:rsidRPr="00B755E2" w:rsidRDefault="002F7EE0" w:rsidP="002F7EE0">
      <w:pPr>
        <w:pStyle w:val="Prrafodelista"/>
        <w:spacing w:line="360" w:lineRule="auto"/>
        <w:ind w:left="1004"/>
        <w:jc w:val="both"/>
        <w:rPr>
          <w:rFonts w:ascii="Palatino Linotype" w:hAnsi="Palatino Linotype"/>
          <w:i/>
          <w:color w:val="000000" w:themeColor="text1"/>
          <w:sz w:val="22"/>
        </w:rPr>
      </w:pPr>
    </w:p>
    <w:p w14:paraId="34941085" w14:textId="77777777" w:rsidR="009F09BC" w:rsidRPr="00B755E2" w:rsidRDefault="009F09BC" w:rsidP="00D02221">
      <w:pPr>
        <w:pStyle w:val="Prrafodelista"/>
        <w:numPr>
          <w:ilvl w:val="0"/>
          <w:numId w:val="2"/>
        </w:numPr>
        <w:spacing w:line="360" w:lineRule="auto"/>
        <w:jc w:val="both"/>
        <w:rPr>
          <w:rFonts w:ascii="Palatino Linotype" w:hAnsi="Palatino Linotype"/>
          <w:i/>
          <w:color w:val="000000" w:themeColor="text1"/>
          <w:sz w:val="22"/>
        </w:rPr>
      </w:pPr>
      <w:bookmarkStart w:id="127" w:name="_Toc53584977"/>
      <w:bookmarkStart w:id="128" w:name="_Toc60925404"/>
      <w:bookmarkStart w:id="129" w:name="_Toc81364834"/>
      <w:bookmarkStart w:id="130" w:name="_Toc81390611"/>
      <w:bookmarkStart w:id="131" w:name="_Toc82611034"/>
      <w:bookmarkStart w:id="132" w:name="_Toc83128577"/>
      <w:r w:rsidRPr="00B755E2">
        <w:rPr>
          <w:rStyle w:val="Ttulo2Car"/>
          <w:rFonts w:ascii="Palatino Linotype" w:hAnsi="Palatino Linotype"/>
          <w:b/>
          <w:color w:val="000000" w:themeColor="text1"/>
          <w:sz w:val="22"/>
          <w:szCs w:val="24"/>
        </w:rPr>
        <w:t>Razones o Motivos de inconformidad:</w:t>
      </w:r>
      <w:bookmarkEnd w:id="68"/>
      <w:bookmarkEnd w:id="127"/>
      <w:bookmarkEnd w:id="128"/>
      <w:bookmarkEnd w:id="129"/>
      <w:bookmarkEnd w:id="130"/>
      <w:bookmarkEnd w:id="131"/>
      <w:bookmarkEnd w:id="132"/>
      <w:r w:rsidRPr="00B755E2">
        <w:rPr>
          <w:rFonts w:ascii="Palatino Linotype" w:hAnsi="Palatino Linotype"/>
          <w:b/>
          <w:color w:val="000000" w:themeColor="text1"/>
          <w:sz w:val="22"/>
        </w:rPr>
        <w:t xml:space="preserve"> </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D3321E" w:rsidRPr="00B755E2">
        <w:rPr>
          <w:rFonts w:ascii="Palatino Linotype" w:hAnsi="Palatino Linotype"/>
          <w:i/>
          <w:color w:val="000000" w:themeColor="text1"/>
          <w:sz w:val="22"/>
        </w:rPr>
        <w:t>“</w:t>
      </w:r>
      <w:r w:rsidR="00477E91" w:rsidRPr="00B755E2">
        <w:rPr>
          <w:rFonts w:ascii="Palatino Linotype" w:hAnsi="Palatino Linotype"/>
          <w:i/>
          <w:color w:val="000000" w:themeColor="text1"/>
          <w:sz w:val="22"/>
        </w:rPr>
        <w:t xml:space="preserve">Considero que la información debe ser entregada al tratarse de información de interés público, ya que concierne a temas de medio ambiente, así como aun programa de carácter gubernamental denominado “Compensadores Ambientales”. Una muestra del interés público es que fue el propio gobierno quien dio a conocer la firma de estos acuerdos y del programa al difundir la noticia en su portal oficial y en medios de comunicación. Esta difusión la realizó el gobierno precisamente porque es de interés público, y no puede darse de forma parcial, ya </w:t>
      </w:r>
      <w:r w:rsidR="00477E91" w:rsidRPr="00B755E2">
        <w:rPr>
          <w:rFonts w:ascii="Palatino Linotype" w:hAnsi="Palatino Linotype"/>
          <w:i/>
          <w:color w:val="000000" w:themeColor="text1"/>
          <w:sz w:val="22"/>
        </w:rPr>
        <w:lastRenderedPageBreak/>
        <w:t>que violenta el derecho a la información pública. Adjunto publicaciones a las que hago referencia y solicito que por favor se instruya al sujeto a entregar la información y documentos solicitados por esta vía. Gracias. 1.- https://www.gem.gob.mx/medios/w2detalle_f.aspx?tser=w9YXrXU8ie4%3D&amp;f=2PQXLaUljyU%3D 2.- https://edomexaldia.com/firman-gem-y-walmart-mexico-convenios-de-compensacion-ambiental/</w:t>
      </w:r>
      <w:r w:rsidR="00D3321E" w:rsidRPr="00B755E2">
        <w:rPr>
          <w:rFonts w:ascii="Palatino Linotype" w:hAnsi="Palatino Linotype"/>
          <w:i/>
          <w:color w:val="000000" w:themeColor="text1"/>
          <w:sz w:val="22"/>
        </w:rPr>
        <w:t>”</w:t>
      </w:r>
    </w:p>
    <w:p w14:paraId="60061E4C" w14:textId="77777777" w:rsidR="00E80237" w:rsidRPr="00B755E2" w:rsidRDefault="00E80237" w:rsidP="00E80237">
      <w:pPr>
        <w:pStyle w:val="Prrafodelista"/>
        <w:spacing w:line="360" w:lineRule="auto"/>
        <w:ind w:left="1004"/>
        <w:jc w:val="both"/>
        <w:rPr>
          <w:rFonts w:ascii="Palatino Linotype" w:hAnsi="Palatino Linotype"/>
          <w:color w:val="000000" w:themeColor="text1"/>
        </w:rPr>
      </w:pPr>
    </w:p>
    <w:p w14:paraId="3B67A107" w14:textId="0666432B" w:rsidR="009F09BC" w:rsidRPr="00B755E2" w:rsidRDefault="00CC5B2F" w:rsidP="00855290">
      <w:pPr>
        <w:pStyle w:val="Prrafodelista"/>
        <w:numPr>
          <w:ilvl w:val="0"/>
          <w:numId w:val="1"/>
        </w:numPr>
        <w:spacing w:line="360" w:lineRule="auto"/>
        <w:ind w:left="0" w:firstLine="0"/>
        <w:jc w:val="both"/>
        <w:rPr>
          <w:rFonts w:ascii="Palatino Linotype" w:hAnsi="Palatino Linotype"/>
          <w:i/>
        </w:rPr>
      </w:pPr>
      <w:r w:rsidRPr="00B755E2">
        <w:rPr>
          <w:rFonts w:ascii="Palatino Linotype" w:eastAsia="Calibri" w:hAnsi="Palatino Linotype" w:cs="Arial"/>
          <w:lang w:val="es-ES"/>
        </w:rPr>
        <w:t>La Comisionada</w:t>
      </w:r>
      <w:r w:rsidR="009F09BC" w:rsidRPr="00B755E2">
        <w:rPr>
          <w:rFonts w:ascii="Palatino Linotype" w:eastAsia="Calibri" w:hAnsi="Palatino Linotype" w:cs="Arial"/>
          <w:lang w:val="es-ES"/>
        </w:rPr>
        <w:t xml:space="preserve"> Ponente</w:t>
      </w:r>
      <w:r w:rsidR="00555688" w:rsidRPr="00B755E2">
        <w:rPr>
          <w:rFonts w:ascii="Palatino Linotype" w:eastAsia="Calibri" w:hAnsi="Palatino Linotype" w:cs="Arial"/>
          <w:lang w:val="es-ES"/>
        </w:rPr>
        <w:t>,</w:t>
      </w:r>
      <w:r w:rsidR="009F09BC" w:rsidRPr="00B755E2">
        <w:rPr>
          <w:rFonts w:ascii="Palatino Linotype" w:eastAsia="Calibri" w:hAnsi="Palatino Linotype" w:cs="Arial"/>
          <w:lang w:val="es-ES"/>
        </w:rPr>
        <w:t xml:space="preserve"> con fundamento en lo dispuesto por el artículo 185 fracción II de la ley de la materia, a través del acuerdo de admisión de fecha </w:t>
      </w:r>
      <w:r w:rsidR="00477E91" w:rsidRPr="00B755E2">
        <w:rPr>
          <w:rFonts w:ascii="Palatino Linotype" w:eastAsia="Calibri" w:hAnsi="Palatino Linotype" w:cs="Arial"/>
          <w:lang w:val="es-ES"/>
        </w:rPr>
        <w:t>trece (13) de mayo de dos mil veintidós</w:t>
      </w:r>
      <w:r w:rsidR="00A03F8F" w:rsidRPr="00B755E2">
        <w:rPr>
          <w:rFonts w:ascii="Palatino Linotype" w:eastAsia="Calibri" w:hAnsi="Palatino Linotype" w:cs="Arial"/>
          <w:lang w:val="es-ES"/>
        </w:rPr>
        <w:t>,</w:t>
      </w:r>
      <w:r w:rsidR="00DA782E" w:rsidRPr="00B755E2">
        <w:rPr>
          <w:rFonts w:ascii="Palatino Linotype" w:eastAsia="Calibri" w:hAnsi="Palatino Linotype" w:cs="Arial"/>
          <w:lang w:val="es-ES"/>
        </w:rPr>
        <w:t xml:space="preserve"> </w:t>
      </w:r>
      <w:r w:rsidR="009F09BC" w:rsidRPr="00B755E2">
        <w:rPr>
          <w:rFonts w:ascii="Palatino Linotype" w:eastAsia="Calibri" w:hAnsi="Palatino Linotype" w:cs="Arial"/>
          <w:lang w:val="es-ES"/>
        </w:rPr>
        <w:t xml:space="preserve">puso a disposición de las partes el expediente electrónico </w:t>
      </w:r>
      <w:r w:rsidR="009F09BC" w:rsidRPr="00B755E2">
        <w:rPr>
          <w:rFonts w:ascii="Palatino Linotype" w:eastAsia="Calibri" w:hAnsi="Palatino Linotype" w:cs="Arial"/>
        </w:rPr>
        <w:t xml:space="preserve">vía </w:t>
      </w:r>
      <w:r w:rsidR="009F09BC" w:rsidRPr="00B755E2">
        <w:rPr>
          <w:rFonts w:ascii="Palatino Linotype" w:eastAsia="Calibri" w:hAnsi="Palatino Linotype" w:cs="Arial"/>
          <w:b/>
          <w:lang w:val="es-ES"/>
        </w:rPr>
        <w:t xml:space="preserve">SAIMEX </w:t>
      </w:r>
      <w:r w:rsidR="009F09BC" w:rsidRPr="00B755E2">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B755E2">
        <w:rPr>
          <w:rFonts w:ascii="Palatino Linotype" w:eastAsia="Calibri" w:hAnsi="Palatino Linotype" w:cs="Arial"/>
          <w:b/>
          <w:lang w:val="es-ES"/>
        </w:rPr>
        <w:t>SUJETO OBLIGADO</w:t>
      </w:r>
      <w:r w:rsidR="009F09BC" w:rsidRPr="00B755E2">
        <w:rPr>
          <w:rFonts w:ascii="Palatino Linotype" w:eastAsia="Calibri" w:hAnsi="Palatino Linotype" w:cs="Arial"/>
          <w:lang w:val="es-ES"/>
        </w:rPr>
        <w:t xml:space="preserve"> presentará el Informe Justificado procedente.</w:t>
      </w:r>
    </w:p>
    <w:p w14:paraId="44EAFD9C" w14:textId="77777777" w:rsidR="00477E91" w:rsidRPr="00B755E2" w:rsidRDefault="00477E91" w:rsidP="00477E91">
      <w:pPr>
        <w:pStyle w:val="Prrafodelista"/>
        <w:spacing w:line="360" w:lineRule="auto"/>
        <w:ind w:left="0"/>
        <w:jc w:val="both"/>
        <w:rPr>
          <w:rFonts w:ascii="Palatino Linotype" w:hAnsi="Palatino Linotype"/>
          <w:i/>
        </w:rPr>
      </w:pPr>
    </w:p>
    <w:p w14:paraId="61DC2F02" w14:textId="77777777" w:rsidR="00ED6E75" w:rsidRPr="00B755E2" w:rsidRDefault="009F09BC" w:rsidP="00855290">
      <w:pPr>
        <w:pStyle w:val="Prrafodelista"/>
        <w:numPr>
          <w:ilvl w:val="0"/>
          <w:numId w:val="1"/>
        </w:numPr>
        <w:spacing w:line="360" w:lineRule="auto"/>
        <w:ind w:left="0" w:firstLine="0"/>
        <w:jc w:val="both"/>
        <w:rPr>
          <w:rFonts w:ascii="Palatino Linotype" w:hAnsi="Palatino Linotype"/>
          <w:color w:val="000000"/>
          <w:lang w:val="es"/>
        </w:rPr>
      </w:pPr>
      <w:r w:rsidRPr="00B755E2">
        <w:rPr>
          <w:rFonts w:ascii="Palatino Linotype" w:hAnsi="Palatino Linotype"/>
          <w:color w:val="000000"/>
        </w:rPr>
        <w:t xml:space="preserve">El </w:t>
      </w:r>
      <w:r w:rsidRPr="00B755E2">
        <w:rPr>
          <w:rFonts w:ascii="Palatino Linotype" w:hAnsi="Palatino Linotype"/>
          <w:b/>
          <w:color w:val="000000"/>
        </w:rPr>
        <w:t>SUJETO OBLIGADO</w:t>
      </w:r>
      <w:r w:rsidR="007A6A1A" w:rsidRPr="00B755E2">
        <w:rPr>
          <w:rFonts w:ascii="Palatino Linotype" w:hAnsi="Palatino Linotype"/>
          <w:color w:val="000000"/>
        </w:rPr>
        <w:t xml:space="preserve"> </w:t>
      </w:r>
      <w:r w:rsidR="00103F2A" w:rsidRPr="00B755E2">
        <w:rPr>
          <w:rFonts w:ascii="Palatino Linotype" w:hAnsi="Palatino Linotype"/>
          <w:color w:val="000000"/>
        </w:rPr>
        <w:t xml:space="preserve">en fecha </w:t>
      </w:r>
      <w:r w:rsidR="00477E91" w:rsidRPr="00B755E2">
        <w:rPr>
          <w:rFonts w:ascii="Palatino Linotype" w:hAnsi="Palatino Linotype"/>
          <w:color w:val="000000"/>
        </w:rPr>
        <w:t>veinticuatro (24) de mayo de dos mil veintidós</w:t>
      </w:r>
      <w:r w:rsidR="00103F2A" w:rsidRPr="00B755E2">
        <w:rPr>
          <w:rFonts w:ascii="Palatino Linotype" w:hAnsi="Palatino Linotype"/>
          <w:color w:val="000000"/>
        </w:rPr>
        <w:t>, rindió</w:t>
      </w:r>
      <w:r w:rsidR="004E05B2" w:rsidRPr="00B755E2">
        <w:rPr>
          <w:rFonts w:ascii="Palatino Linotype" w:hAnsi="Palatino Linotype"/>
          <w:color w:val="000000"/>
        </w:rPr>
        <w:t xml:space="preserve"> el informe justificado correspondiente</w:t>
      </w:r>
      <w:r w:rsidR="00477E91" w:rsidRPr="00B755E2">
        <w:rPr>
          <w:rFonts w:ascii="Palatino Linotype" w:hAnsi="Palatino Linotype"/>
          <w:color w:val="000000"/>
        </w:rPr>
        <w:t xml:space="preserve"> a través del archivo denominado </w:t>
      </w:r>
      <w:r w:rsidR="00477E91" w:rsidRPr="00B755E2">
        <w:rPr>
          <w:rFonts w:ascii="Palatino Linotype" w:hAnsi="Palatino Linotype"/>
          <w:b/>
          <w:color w:val="000000"/>
        </w:rPr>
        <w:t>SAIMEX_61-RR7628-InformeJustificado.pdf</w:t>
      </w:r>
      <w:r w:rsidR="00103F2A" w:rsidRPr="00B755E2">
        <w:rPr>
          <w:rFonts w:ascii="Palatino Linotype" w:hAnsi="Palatino Linotype"/>
          <w:color w:val="000000"/>
        </w:rPr>
        <w:t xml:space="preserve">, </w:t>
      </w:r>
      <w:r w:rsidR="00D02221" w:rsidRPr="00B755E2">
        <w:rPr>
          <w:rFonts w:ascii="Palatino Linotype" w:hAnsi="Palatino Linotype"/>
          <w:color w:val="000000"/>
        </w:rPr>
        <w:t>mismo que</w:t>
      </w:r>
      <w:r w:rsidR="00D3321E" w:rsidRPr="00B755E2">
        <w:rPr>
          <w:rFonts w:ascii="Palatino Linotype" w:hAnsi="Palatino Linotype"/>
          <w:color w:val="000000"/>
        </w:rPr>
        <w:t xml:space="preserve"> </w:t>
      </w:r>
      <w:r w:rsidR="00A7007A" w:rsidRPr="00B755E2">
        <w:rPr>
          <w:rFonts w:ascii="Palatino Linotype" w:hAnsi="Palatino Linotype"/>
          <w:color w:val="000000"/>
        </w:rPr>
        <w:t xml:space="preserve">no </w:t>
      </w:r>
      <w:r w:rsidR="00D3321E" w:rsidRPr="00B755E2">
        <w:rPr>
          <w:rFonts w:ascii="Palatino Linotype" w:hAnsi="Palatino Linotype"/>
          <w:color w:val="000000"/>
        </w:rPr>
        <w:t>se hizo del conocimiento del solicitante</w:t>
      </w:r>
      <w:r w:rsidR="00A7007A" w:rsidRPr="00B755E2">
        <w:rPr>
          <w:rFonts w:ascii="Palatino Linotype" w:hAnsi="Palatino Linotype"/>
          <w:color w:val="000000"/>
        </w:rPr>
        <w:t xml:space="preserve">, toda vez que en el mismo tiene inmerso </w:t>
      </w:r>
      <w:r w:rsidR="00046DD0" w:rsidRPr="00B755E2">
        <w:rPr>
          <w:rFonts w:ascii="Palatino Linotype" w:hAnsi="Palatino Linotype"/>
          <w:color w:val="000000"/>
        </w:rPr>
        <w:t>el nombre de un particular</w:t>
      </w:r>
      <w:r w:rsidR="002C4997" w:rsidRPr="00B755E2">
        <w:rPr>
          <w:rFonts w:ascii="Palatino Linotype" w:hAnsi="Palatino Linotype"/>
          <w:color w:val="000000"/>
        </w:rPr>
        <w:t xml:space="preserve">. </w:t>
      </w:r>
      <w:r w:rsidRPr="00B755E2">
        <w:rPr>
          <w:rFonts w:ascii="Palatino Linotype" w:hAnsi="Palatino Linotype"/>
          <w:color w:val="000000"/>
        </w:rPr>
        <w:t xml:space="preserve">Por su parte </w:t>
      </w:r>
      <w:r w:rsidR="0068467A" w:rsidRPr="00B755E2">
        <w:rPr>
          <w:rFonts w:ascii="Palatino Linotype" w:hAnsi="Palatino Linotype"/>
          <w:b/>
          <w:color w:val="000000"/>
        </w:rPr>
        <w:t xml:space="preserve">EL RECURRENTE </w:t>
      </w:r>
      <w:r w:rsidR="00BE2912" w:rsidRPr="00B755E2">
        <w:rPr>
          <w:rFonts w:ascii="Palatino Linotype" w:hAnsi="Palatino Linotype"/>
          <w:color w:val="000000"/>
        </w:rPr>
        <w:t xml:space="preserve">realizó manifestaciones a través del archivo denominado </w:t>
      </w:r>
      <w:hyperlink r:id="rId9" w:history="1">
        <w:r w:rsidR="00BE2912" w:rsidRPr="00B755E2">
          <w:rPr>
            <w:rStyle w:val="Hipervnculo"/>
            <w:rFonts w:ascii="Palatino Linotype" w:hAnsi="Palatino Linotype"/>
            <w:b/>
            <w:bCs/>
          </w:rPr>
          <w:t>Resp.docx</w:t>
        </w:r>
      </w:hyperlink>
      <w:r w:rsidR="00BE2912" w:rsidRPr="00B755E2">
        <w:rPr>
          <w:rFonts w:ascii="Palatino Linotype" w:hAnsi="Palatino Linotype"/>
          <w:color w:val="000000"/>
        </w:rPr>
        <w:t xml:space="preserve">, en el que manifestó </w:t>
      </w:r>
      <w:r w:rsidR="00BE2912" w:rsidRPr="00B755E2">
        <w:rPr>
          <w:rFonts w:ascii="Palatino Linotype" w:hAnsi="Palatino Linotype"/>
          <w:i/>
          <w:color w:val="000000"/>
        </w:rPr>
        <w:t>“</w:t>
      </w:r>
      <w:r w:rsidR="00BE2912" w:rsidRPr="00B755E2">
        <w:rPr>
          <w:rFonts w:ascii="Palatino Linotype" w:hAnsi="Palatino Linotype"/>
          <w:i/>
          <w:color w:val="000000"/>
          <w:lang w:val="es"/>
        </w:rPr>
        <w:t>Los ya manifestados en la interposición del recurso de revisión”.</w:t>
      </w:r>
    </w:p>
    <w:p w14:paraId="4905B69E" w14:textId="77777777" w:rsidR="00555688" w:rsidRPr="00B755E2" w:rsidRDefault="00555688" w:rsidP="00555688">
      <w:pPr>
        <w:pStyle w:val="Prrafodelista"/>
        <w:rPr>
          <w:rFonts w:ascii="Palatino Linotype" w:hAnsi="Palatino Linotype"/>
          <w:color w:val="000000"/>
          <w:lang w:val="es"/>
        </w:rPr>
      </w:pPr>
    </w:p>
    <w:p w14:paraId="1C2B6D1D" w14:textId="77777777" w:rsidR="00555688" w:rsidRPr="00B755E2" w:rsidRDefault="00555688" w:rsidP="00555688">
      <w:pPr>
        <w:spacing w:line="360" w:lineRule="auto"/>
        <w:jc w:val="both"/>
        <w:rPr>
          <w:rFonts w:ascii="Palatino Linotype" w:hAnsi="Palatino Linotype"/>
          <w:color w:val="000000"/>
          <w:lang w:val="es"/>
        </w:rPr>
      </w:pPr>
    </w:p>
    <w:p w14:paraId="09EBDCB3" w14:textId="55FBE565" w:rsidR="00C11344" w:rsidRPr="00B755E2" w:rsidRDefault="00C11344" w:rsidP="00D3321E">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B755E2">
        <w:rPr>
          <w:rFonts w:ascii="Palatino Linotype" w:hAnsi="Palatino Linotype"/>
          <w:color w:val="000000" w:themeColor="text1"/>
        </w:rPr>
        <w:lastRenderedPageBreak/>
        <w:t xml:space="preserve">El doce (12) de diciembre de dos mil veintidós, se notificó el acuerdo </w:t>
      </w:r>
      <w:r w:rsidR="007C565A" w:rsidRPr="00B755E2">
        <w:rPr>
          <w:rFonts w:ascii="Palatino Linotype" w:hAnsi="Palatino Linotype"/>
          <w:color w:val="000000" w:themeColor="text1"/>
        </w:rPr>
        <w:t>en el que</w:t>
      </w:r>
      <w:r w:rsidRPr="00B755E2">
        <w:rPr>
          <w:rFonts w:ascii="Palatino Linotype" w:hAnsi="Palatino Linotype"/>
          <w:color w:val="000000" w:themeColor="text1"/>
        </w:rPr>
        <w:t xml:space="preserve"> se aprobó la ampliación de plazo para emitir resolución.</w:t>
      </w:r>
    </w:p>
    <w:p w14:paraId="4B94D5A5" w14:textId="77777777" w:rsidR="00C11344" w:rsidRPr="00B755E2" w:rsidRDefault="00C11344" w:rsidP="00C11344">
      <w:pPr>
        <w:pStyle w:val="Prrafodelista"/>
        <w:spacing w:line="360" w:lineRule="auto"/>
        <w:ind w:left="0"/>
        <w:contextualSpacing w:val="0"/>
        <w:jc w:val="both"/>
        <w:rPr>
          <w:rFonts w:ascii="Palatino Linotype" w:hAnsi="Palatino Linotype"/>
          <w:color w:val="000000" w:themeColor="text1"/>
        </w:rPr>
      </w:pPr>
    </w:p>
    <w:p w14:paraId="58CEB36B" w14:textId="77777777" w:rsidR="00C11344" w:rsidRPr="00B755E2" w:rsidRDefault="00C11344" w:rsidP="00C11344">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B755E2">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DEEC669" w14:textId="77777777" w:rsidR="00C11344" w:rsidRPr="00B755E2" w:rsidRDefault="00C11344" w:rsidP="00C11344">
      <w:pPr>
        <w:pStyle w:val="Prrafodelista"/>
        <w:spacing w:line="360" w:lineRule="auto"/>
        <w:ind w:left="0"/>
        <w:contextualSpacing w:val="0"/>
        <w:jc w:val="both"/>
        <w:rPr>
          <w:rFonts w:ascii="Palatino Linotype" w:hAnsi="Palatino Linotype"/>
          <w:color w:val="000000" w:themeColor="text1"/>
        </w:rPr>
      </w:pPr>
    </w:p>
    <w:p w14:paraId="23F5134C" w14:textId="77777777" w:rsidR="00C11344" w:rsidRPr="00B755E2" w:rsidRDefault="00C11344" w:rsidP="00C11344">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B755E2">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656B9AB" w14:textId="77777777" w:rsidR="00C11344" w:rsidRPr="00B755E2" w:rsidRDefault="00C11344" w:rsidP="00C11344">
      <w:pPr>
        <w:pStyle w:val="Prrafodelista"/>
        <w:spacing w:line="360" w:lineRule="auto"/>
        <w:ind w:left="0"/>
        <w:contextualSpacing w:val="0"/>
        <w:jc w:val="both"/>
        <w:rPr>
          <w:rFonts w:ascii="Palatino Linotype" w:hAnsi="Palatino Linotype"/>
          <w:color w:val="000000" w:themeColor="text1"/>
        </w:rPr>
      </w:pPr>
    </w:p>
    <w:p w14:paraId="7B6B90B4" w14:textId="77777777" w:rsidR="00C11344" w:rsidRPr="00B755E2" w:rsidRDefault="00C11344" w:rsidP="00C11344">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B755E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5FB0818" w14:textId="77777777" w:rsidR="00C11344" w:rsidRPr="00B755E2" w:rsidRDefault="00C11344" w:rsidP="00C11344">
      <w:pPr>
        <w:pStyle w:val="Prrafodelista"/>
        <w:spacing w:line="360" w:lineRule="auto"/>
        <w:ind w:left="0"/>
        <w:contextualSpacing w:val="0"/>
        <w:jc w:val="both"/>
        <w:rPr>
          <w:rFonts w:ascii="Palatino Linotype" w:hAnsi="Palatino Linotype"/>
          <w:color w:val="000000" w:themeColor="text1"/>
        </w:rPr>
      </w:pPr>
    </w:p>
    <w:p w14:paraId="14308F19" w14:textId="77777777" w:rsidR="00C11344" w:rsidRPr="00B755E2" w:rsidRDefault="00C11344" w:rsidP="00C11344">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B755E2">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49F31CB" w14:textId="77777777" w:rsidR="00C11344" w:rsidRPr="00B755E2" w:rsidRDefault="00C11344" w:rsidP="00C11344">
      <w:pPr>
        <w:pStyle w:val="Prrafodelista"/>
        <w:spacing w:line="360" w:lineRule="auto"/>
        <w:ind w:left="0"/>
        <w:contextualSpacing w:val="0"/>
        <w:jc w:val="both"/>
        <w:rPr>
          <w:rFonts w:ascii="Palatino Linotype" w:hAnsi="Palatino Linotype"/>
          <w:color w:val="000000" w:themeColor="text1"/>
        </w:rPr>
      </w:pPr>
    </w:p>
    <w:p w14:paraId="159FF560" w14:textId="77777777" w:rsidR="00C11344" w:rsidRPr="00B755E2" w:rsidRDefault="00C11344" w:rsidP="00C11344">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B755E2">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53128261" w14:textId="77777777" w:rsidR="00C11344" w:rsidRPr="00B755E2" w:rsidRDefault="00C11344" w:rsidP="00C11344">
      <w:pPr>
        <w:pStyle w:val="Prrafodelista"/>
        <w:spacing w:line="360" w:lineRule="auto"/>
        <w:ind w:left="0"/>
        <w:contextualSpacing w:val="0"/>
        <w:jc w:val="both"/>
        <w:rPr>
          <w:rFonts w:ascii="Palatino Linotype" w:hAnsi="Palatino Linotype"/>
          <w:sz w:val="22"/>
        </w:rPr>
      </w:pPr>
    </w:p>
    <w:p w14:paraId="62486C05" w14:textId="34B4594B" w:rsidR="00C11344" w:rsidRPr="00B755E2" w:rsidRDefault="00C11344" w:rsidP="00555688">
      <w:pPr>
        <w:pStyle w:val="Prrafodelista"/>
        <w:numPr>
          <w:ilvl w:val="0"/>
          <w:numId w:val="29"/>
        </w:numPr>
        <w:spacing w:line="360" w:lineRule="auto"/>
        <w:jc w:val="both"/>
        <w:rPr>
          <w:rFonts w:ascii="Palatino Linotype" w:hAnsi="Palatino Linotype"/>
          <w:sz w:val="22"/>
        </w:rPr>
      </w:pPr>
      <w:r w:rsidRPr="00B755E2">
        <w:rPr>
          <w:rFonts w:ascii="Palatino Linotype" w:hAnsi="Palatino Linotype"/>
          <w:sz w:val="22"/>
        </w:rPr>
        <w:t xml:space="preserve">Complejidad del Asunto: La complejidad de la prueba, la pluralidad de sujetos procesales, el tiempo transcurrido, las características y contexto del recurso. </w:t>
      </w:r>
    </w:p>
    <w:p w14:paraId="4101652C" w14:textId="08086D14" w:rsidR="00C11344" w:rsidRPr="00B755E2" w:rsidRDefault="00C11344" w:rsidP="00C11344">
      <w:pPr>
        <w:pStyle w:val="Prrafodelista"/>
        <w:numPr>
          <w:ilvl w:val="0"/>
          <w:numId w:val="29"/>
        </w:numPr>
        <w:spacing w:line="360" w:lineRule="auto"/>
        <w:jc w:val="both"/>
        <w:rPr>
          <w:rFonts w:ascii="Palatino Linotype" w:hAnsi="Palatino Linotype"/>
          <w:sz w:val="22"/>
        </w:rPr>
      </w:pPr>
      <w:r w:rsidRPr="00B755E2">
        <w:rPr>
          <w:rFonts w:ascii="Palatino Linotype" w:hAnsi="Palatino Linotype"/>
          <w:sz w:val="22"/>
        </w:rPr>
        <w:t>Actividad Procesal del interesado. Acci</w:t>
      </w:r>
      <w:r w:rsidR="00555688" w:rsidRPr="00B755E2">
        <w:rPr>
          <w:rFonts w:ascii="Palatino Linotype" w:hAnsi="Palatino Linotype"/>
          <w:sz w:val="22"/>
        </w:rPr>
        <w:t>ones u omisiones del interesado.</w:t>
      </w:r>
    </w:p>
    <w:p w14:paraId="4B99056E" w14:textId="05BC2AAE" w:rsidR="00C11344" w:rsidRPr="00B755E2" w:rsidRDefault="00C11344" w:rsidP="00555688">
      <w:pPr>
        <w:pStyle w:val="Prrafodelista"/>
        <w:numPr>
          <w:ilvl w:val="0"/>
          <w:numId w:val="29"/>
        </w:numPr>
        <w:spacing w:line="360" w:lineRule="auto"/>
        <w:jc w:val="both"/>
        <w:rPr>
          <w:rFonts w:ascii="Palatino Linotype" w:hAnsi="Palatino Linotype"/>
          <w:sz w:val="22"/>
        </w:rPr>
      </w:pPr>
      <w:r w:rsidRPr="00B755E2">
        <w:rPr>
          <w:rFonts w:ascii="Palatino Linotype" w:hAnsi="Palatino Linotype"/>
          <w:sz w:val="22"/>
        </w:rPr>
        <w:t>Conducta de la Autoridad: Las Acciones u omisiones realizadas en el procedimiento. Así como si la autoridad actuó con la debida diligencia.</w:t>
      </w:r>
    </w:p>
    <w:p w14:paraId="2FA9DD00" w14:textId="77777777" w:rsidR="00C11344" w:rsidRPr="00B755E2" w:rsidRDefault="00C11344" w:rsidP="00C11344">
      <w:pPr>
        <w:spacing w:line="360" w:lineRule="auto"/>
        <w:ind w:left="567"/>
        <w:jc w:val="both"/>
        <w:rPr>
          <w:rFonts w:ascii="Palatino Linotype" w:hAnsi="Palatino Linotype"/>
          <w:sz w:val="22"/>
        </w:rPr>
      </w:pPr>
      <w:r w:rsidRPr="00B755E2">
        <w:rPr>
          <w:rFonts w:ascii="Palatino Linotype" w:hAnsi="Palatino Linotype"/>
          <w:sz w:val="22"/>
        </w:rPr>
        <w:t>d) La afectación generada en la situación jurídica de la persona involucrada en el proceso: Violación a sus derechos humanos.</w:t>
      </w:r>
    </w:p>
    <w:p w14:paraId="1299C43A" w14:textId="77777777" w:rsidR="00C11344" w:rsidRPr="00B755E2" w:rsidRDefault="00C11344" w:rsidP="00C11344">
      <w:pPr>
        <w:pStyle w:val="Prrafodelista"/>
        <w:spacing w:line="360" w:lineRule="auto"/>
        <w:ind w:left="0"/>
        <w:contextualSpacing w:val="0"/>
        <w:jc w:val="both"/>
        <w:rPr>
          <w:rFonts w:ascii="Palatino Linotype" w:hAnsi="Palatino Linotype"/>
          <w:color w:val="000000" w:themeColor="text1"/>
          <w:sz w:val="22"/>
        </w:rPr>
      </w:pPr>
    </w:p>
    <w:p w14:paraId="0D52DEC5" w14:textId="77777777" w:rsidR="00C11344" w:rsidRPr="00B755E2" w:rsidRDefault="00C11344" w:rsidP="00C11344">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B755E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DDBEF00" w14:textId="77777777" w:rsidR="00C11344" w:rsidRPr="00B755E2" w:rsidRDefault="00C11344" w:rsidP="00C11344">
      <w:pPr>
        <w:pStyle w:val="Prrafodelista"/>
        <w:spacing w:line="360" w:lineRule="auto"/>
        <w:ind w:left="0"/>
        <w:contextualSpacing w:val="0"/>
        <w:jc w:val="both"/>
        <w:rPr>
          <w:rFonts w:ascii="Palatino Linotype" w:hAnsi="Palatino Linotype"/>
          <w:color w:val="000000" w:themeColor="text1"/>
        </w:rPr>
      </w:pPr>
    </w:p>
    <w:p w14:paraId="1A7875B3" w14:textId="77777777" w:rsidR="00C11344" w:rsidRPr="00B755E2" w:rsidRDefault="00C11344" w:rsidP="00C11344">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B755E2">
        <w:rPr>
          <w:rFonts w:ascii="Palatino Linotype" w:hAnsi="Palatino Linotype"/>
        </w:rPr>
        <w:lastRenderedPageBreak/>
        <w:t xml:space="preserve">Argumento que encuentra sustento en la jurisprudencia P./J. 32/92 emitida por el Pleno de la Suprema Corte de Justicia de la Nación de rubro </w:t>
      </w:r>
      <w:r w:rsidRPr="00B755E2">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B755E2">
        <w:rPr>
          <w:rFonts w:ascii="Palatino Linotype" w:hAnsi="Palatino Linotype"/>
        </w:rPr>
        <w:t>, visible en la Gaceta del Seminario Judicial de la Federación con el registro digital 205635.</w:t>
      </w:r>
    </w:p>
    <w:p w14:paraId="3461D779" w14:textId="77777777" w:rsidR="00C11344" w:rsidRPr="00B755E2" w:rsidRDefault="00C11344" w:rsidP="00C11344">
      <w:pPr>
        <w:pStyle w:val="Prrafodelista"/>
        <w:spacing w:line="360" w:lineRule="auto"/>
        <w:ind w:left="0"/>
        <w:contextualSpacing w:val="0"/>
        <w:jc w:val="both"/>
        <w:rPr>
          <w:rFonts w:ascii="Palatino Linotype" w:hAnsi="Palatino Linotype"/>
          <w:color w:val="000000" w:themeColor="text1"/>
        </w:rPr>
      </w:pPr>
    </w:p>
    <w:p w14:paraId="7D0DC08C" w14:textId="719879AE" w:rsidR="00C11344" w:rsidRPr="00B755E2" w:rsidRDefault="00C11344" w:rsidP="00C11344">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B755E2">
        <w:rPr>
          <w:rFonts w:ascii="Palatino Linotype" w:hAnsi="Palatino Linotype"/>
        </w:rPr>
        <w:t xml:space="preserve">Razones por las </w:t>
      </w:r>
      <w:r w:rsidR="007C565A" w:rsidRPr="00B755E2">
        <w:rPr>
          <w:rFonts w:ascii="Palatino Linotype" w:hAnsi="Palatino Linotype"/>
        </w:rPr>
        <w:t xml:space="preserve">que </w:t>
      </w:r>
      <w:r w:rsidRPr="00B755E2">
        <w:rPr>
          <w:rFonts w:ascii="Palatino Linotype" w:hAnsi="Palatino Linotype"/>
        </w:rPr>
        <w:t>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A7FE3B2" w14:textId="77777777" w:rsidR="00555688" w:rsidRPr="00B755E2" w:rsidRDefault="00555688" w:rsidP="00555688">
      <w:pPr>
        <w:pStyle w:val="Prrafodelista"/>
        <w:rPr>
          <w:rFonts w:ascii="Palatino Linotype" w:hAnsi="Palatino Linotype"/>
          <w:color w:val="000000" w:themeColor="text1"/>
        </w:rPr>
      </w:pPr>
    </w:p>
    <w:p w14:paraId="1EBE02D8" w14:textId="77777777" w:rsidR="00555688" w:rsidRPr="00B755E2" w:rsidRDefault="00555688" w:rsidP="00555688">
      <w:pPr>
        <w:spacing w:line="360" w:lineRule="auto"/>
        <w:jc w:val="both"/>
        <w:rPr>
          <w:rFonts w:ascii="Palatino Linotype" w:hAnsi="Palatino Linotype"/>
          <w:color w:val="000000" w:themeColor="text1"/>
        </w:rPr>
      </w:pPr>
    </w:p>
    <w:p w14:paraId="5DAF3B5F" w14:textId="77777777" w:rsidR="00C11344" w:rsidRPr="00B755E2" w:rsidRDefault="00C11344" w:rsidP="00C11344">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B755E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CF2D8B6" w14:textId="77777777" w:rsidR="00C11344" w:rsidRPr="00B755E2" w:rsidRDefault="00C11344" w:rsidP="00C11344">
      <w:pPr>
        <w:pStyle w:val="Prrafodelista"/>
        <w:spacing w:line="360" w:lineRule="auto"/>
        <w:ind w:left="0"/>
        <w:contextualSpacing w:val="0"/>
        <w:jc w:val="both"/>
        <w:rPr>
          <w:rFonts w:ascii="Palatino Linotype" w:hAnsi="Palatino Linotype"/>
          <w:color w:val="000000" w:themeColor="text1"/>
        </w:rPr>
      </w:pPr>
    </w:p>
    <w:p w14:paraId="5297C29D" w14:textId="77777777" w:rsidR="00C11344" w:rsidRPr="00B755E2" w:rsidRDefault="00C11344" w:rsidP="00C11344">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B755E2">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0FB78278" w14:textId="77777777" w:rsidR="00C11344" w:rsidRPr="00B755E2" w:rsidRDefault="00C11344" w:rsidP="00C11344">
      <w:pPr>
        <w:pStyle w:val="Prrafodelista"/>
        <w:spacing w:line="360" w:lineRule="auto"/>
        <w:ind w:left="0"/>
        <w:contextualSpacing w:val="0"/>
        <w:jc w:val="both"/>
        <w:rPr>
          <w:rFonts w:ascii="Palatino Linotype" w:hAnsi="Palatino Linotype"/>
          <w:sz w:val="22"/>
        </w:rPr>
      </w:pPr>
    </w:p>
    <w:p w14:paraId="4F541C6E" w14:textId="77777777" w:rsidR="00C11344" w:rsidRPr="00B755E2" w:rsidRDefault="00C11344" w:rsidP="00C11344">
      <w:pPr>
        <w:spacing w:line="360" w:lineRule="auto"/>
        <w:ind w:left="851" w:right="822"/>
        <w:jc w:val="both"/>
        <w:rPr>
          <w:rFonts w:ascii="Palatino Linotype" w:hAnsi="Palatino Linotype"/>
          <w:sz w:val="22"/>
        </w:rPr>
      </w:pPr>
      <w:r w:rsidRPr="00B755E2">
        <w:rPr>
          <w:rFonts w:ascii="Palatino Linotype" w:hAnsi="Palatino Linotype"/>
          <w:i/>
          <w:sz w:val="22"/>
        </w:rPr>
        <w:t>“PLAZO RAZONABLE PARA RESOLVER. DIMENSIÓN Y EFECTOS DE ESTE CONCEPTO CUANDO SE ADUCE EXCESIVA CARGA DE TRABAJO.”</w:t>
      </w:r>
      <w:r w:rsidRPr="00B755E2">
        <w:rPr>
          <w:rFonts w:ascii="Palatino Linotype" w:hAnsi="Palatino Linotype"/>
          <w:sz w:val="22"/>
        </w:rPr>
        <w:t xml:space="preserve"> consultable en el Seminario Judicial de la Federación y su gaceta, con el registro digital 2002351.</w:t>
      </w:r>
    </w:p>
    <w:p w14:paraId="1FC39945" w14:textId="77777777" w:rsidR="00C11344" w:rsidRPr="00B755E2" w:rsidRDefault="00C11344" w:rsidP="00C11344">
      <w:pPr>
        <w:spacing w:line="360" w:lineRule="auto"/>
        <w:ind w:left="851" w:right="822"/>
        <w:jc w:val="both"/>
        <w:rPr>
          <w:rFonts w:ascii="Palatino Linotype" w:hAnsi="Palatino Linotype"/>
          <w:b/>
          <w:sz w:val="22"/>
        </w:rPr>
      </w:pPr>
    </w:p>
    <w:p w14:paraId="0516877B" w14:textId="77777777" w:rsidR="00C11344" w:rsidRPr="00B755E2" w:rsidRDefault="00C11344" w:rsidP="00C11344">
      <w:pPr>
        <w:spacing w:line="360" w:lineRule="auto"/>
        <w:ind w:left="851" w:right="822"/>
        <w:jc w:val="both"/>
        <w:rPr>
          <w:rFonts w:ascii="Palatino Linotype" w:hAnsi="Palatino Linotype"/>
          <w:sz w:val="22"/>
        </w:rPr>
      </w:pPr>
      <w:r w:rsidRPr="00B755E2">
        <w:rPr>
          <w:rFonts w:ascii="Palatino Linotype" w:hAnsi="Palatino Linotype"/>
          <w:i/>
          <w:sz w:val="22"/>
        </w:rPr>
        <w:t>“PLAZO RAZONABLE PARA RESOLVER. CONCEPTO Y ELEMENTOS QUE LO INTEGRAN A LA LUZ DEL DERECHO INTERNACIONAL DE LOS DERECHOS HUMANOS.”</w:t>
      </w:r>
      <w:r w:rsidRPr="00B755E2">
        <w:rPr>
          <w:rFonts w:ascii="Palatino Linotype" w:hAnsi="Palatino Linotype"/>
          <w:sz w:val="22"/>
        </w:rPr>
        <w:t>, visible en el Seminario Judicial de la Federación y su gaceta, con el registro digital 2002350.</w:t>
      </w:r>
    </w:p>
    <w:p w14:paraId="0562CB0E" w14:textId="77777777" w:rsidR="00C11344" w:rsidRPr="00B755E2" w:rsidRDefault="00C11344" w:rsidP="00C11344">
      <w:pPr>
        <w:pStyle w:val="Prrafodelista"/>
        <w:spacing w:line="360" w:lineRule="auto"/>
        <w:ind w:left="0"/>
        <w:contextualSpacing w:val="0"/>
        <w:jc w:val="both"/>
        <w:rPr>
          <w:rFonts w:ascii="Palatino Linotype" w:hAnsi="Palatino Linotype"/>
          <w:color w:val="000000" w:themeColor="text1"/>
        </w:rPr>
      </w:pPr>
    </w:p>
    <w:p w14:paraId="1737727D" w14:textId="77777777" w:rsidR="00C11344" w:rsidRPr="00B755E2" w:rsidRDefault="00C11344" w:rsidP="00C11344">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B755E2">
        <w:rPr>
          <w:rFonts w:ascii="Palatino Linotype" w:hAnsi="Palatino Linotype"/>
        </w:rPr>
        <w:t xml:space="preserve">Por ello, este Organismo Garante comprometido con la tutela de los derechos humanos confiados, señala que este exceso de plazo legal para resolver el presente asunto, resulta de carácter excepcional. </w:t>
      </w:r>
    </w:p>
    <w:p w14:paraId="34CE0A41" w14:textId="77777777" w:rsidR="00C11344" w:rsidRPr="00B755E2" w:rsidRDefault="00C11344" w:rsidP="00C11344">
      <w:pPr>
        <w:pStyle w:val="Prrafodelista"/>
        <w:spacing w:line="360" w:lineRule="auto"/>
        <w:ind w:left="0"/>
        <w:contextualSpacing w:val="0"/>
        <w:jc w:val="both"/>
        <w:rPr>
          <w:rFonts w:ascii="Palatino Linotype" w:hAnsi="Palatino Linotype"/>
          <w:b/>
          <w:color w:val="000000" w:themeColor="text1"/>
        </w:rPr>
      </w:pPr>
    </w:p>
    <w:p w14:paraId="6B4CBF54" w14:textId="77777777" w:rsidR="009F09BC" w:rsidRPr="00B755E2" w:rsidRDefault="004E05B2" w:rsidP="00D3321E">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B755E2">
        <w:rPr>
          <w:rFonts w:ascii="Palatino Linotype" w:hAnsi="Palatino Linotype"/>
        </w:rPr>
        <w:t>Mediante acuerdo</w:t>
      </w:r>
      <w:r w:rsidR="00FF161F" w:rsidRPr="00B755E2">
        <w:rPr>
          <w:rFonts w:ascii="Palatino Linotype" w:hAnsi="Palatino Linotype"/>
        </w:rPr>
        <w:t xml:space="preserve"> de fecha</w:t>
      </w:r>
      <w:r w:rsidR="0001674C" w:rsidRPr="00B755E2">
        <w:rPr>
          <w:rFonts w:ascii="Palatino Linotype" w:hAnsi="Palatino Linotype"/>
        </w:rPr>
        <w:t xml:space="preserve"> </w:t>
      </w:r>
      <w:r w:rsidR="00C95894" w:rsidRPr="00B755E2">
        <w:rPr>
          <w:rFonts w:ascii="Palatino Linotype" w:hAnsi="Palatino Linotype"/>
        </w:rPr>
        <w:t>quince (15)</w:t>
      </w:r>
      <w:r w:rsidR="006157DB" w:rsidRPr="00B755E2">
        <w:rPr>
          <w:rFonts w:ascii="Palatino Linotype" w:hAnsi="Palatino Linotype"/>
        </w:rPr>
        <w:t xml:space="preserve"> </w:t>
      </w:r>
      <w:r w:rsidR="00D02221" w:rsidRPr="00B755E2">
        <w:rPr>
          <w:rFonts w:ascii="Palatino Linotype" w:hAnsi="Palatino Linotype"/>
        </w:rPr>
        <w:t>d</w:t>
      </w:r>
      <w:r w:rsidR="0001674C" w:rsidRPr="00B755E2">
        <w:rPr>
          <w:rFonts w:ascii="Palatino Linotype" w:hAnsi="Palatino Linotype"/>
        </w:rPr>
        <w:t>e</w:t>
      </w:r>
      <w:r w:rsidR="00D02221" w:rsidRPr="00B755E2">
        <w:rPr>
          <w:rFonts w:ascii="Palatino Linotype" w:hAnsi="Palatino Linotype"/>
        </w:rPr>
        <w:t xml:space="preserve"> </w:t>
      </w:r>
      <w:r w:rsidR="006157DB" w:rsidRPr="00B755E2">
        <w:rPr>
          <w:rFonts w:ascii="Palatino Linotype" w:hAnsi="Palatino Linotype"/>
        </w:rPr>
        <w:t xml:space="preserve">agosto </w:t>
      </w:r>
      <w:r w:rsidR="00D02221" w:rsidRPr="00B755E2">
        <w:rPr>
          <w:rFonts w:ascii="Palatino Linotype" w:hAnsi="Palatino Linotype"/>
        </w:rPr>
        <w:t>dos mil veintitrés</w:t>
      </w:r>
      <w:r w:rsidR="0001674C" w:rsidRPr="00B755E2">
        <w:rPr>
          <w:rFonts w:ascii="Palatino Linotype" w:hAnsi="Palatino Linotype"/>
        </w:rPr>
        <w:t xml:space="preserve">, </w:t>
      </w:r>
      <w:r w:rsidR="00FF161F" w:rsidRPr="00B755E2">
        <w:rPr>
          <w:rFonts w:ascii="Palatino Linotype" w:hAnsi="Palatino Linotype"/>
        </w:rPr>
        <w:t xml:space="preserve">se </w:t>
      </w:r>
      <w:r w:rsidR="00A03F8F" w:rsidRPr="00B755E2">
        <w:rPr>
          <w:rFonts w:ascii="Palatino Linotype" w:hAnsi="Palatino Linotype"/>
        </w:rPr>
        <w:t>decretó el cierre de in</w:t>
      </w:r>
      <w:r w:rsidR="00D02221" w:rsidRPr="00B755E2">
        <w:rPr>
          <w:rFonts w:ascii="Palatino Linotype" w:hAnsi="Palatino Linotype"/>
        </w:rPr>
        <w:t>strucción</w:t>
      </w:r>
      <w:r w:rsidR="00933A28" w:rsidRPr="00B755E2">
        <w:rPr>
          <w:rFonts w:ascii="Palatino Linotype" w:hAnsi="Palatino Linotype"/>
        </w:rPr>
        <w:t>;</w:t>
      </w:r>
      <w:r w:rsidR="0001674C" w:rsidRPr="00B755E2">
        <w:rPr>
          <w:rFonts w:ascii="Palatino Linotype" w:hAnsi="Palatino Linotype"/>
        </w:rPr>
        <w:t xml:space="preserve"> </w:t>
      </w:r>
      <w:r w:rsidR="009F09BC" w:rsidRPr="00B755E2">
        <w:rPr>
          <w:rFonts w:ascii="Palatino Linotype" w:hAnsi="Palatino Linotype" w:cs="Arial"/>
        </w:rPr>
        <w:t>por lo que no habiendo más que hacer constar, y ----</w:t>
      </w:r>
      <w:r w:rsidR="006157DB" w:rsidRPr="00B755E2">
        <w:rPr>
          <w:rFonts w:ascii="Palatino Linotype" w:hAnsi="Palatino Linotype" w:cs="Arial"/>
        </w:rPr>
        <w:t>----------</w:t>
      </w:r>
    </w:p>
    <w:p w14:paraId="62EBF3C5" w14:textId="77777777" w:rsidR="00D3321E" w:rsidRPr="00B755E2" w:rsidRDefault="00D3321E" w:rsidP="00D3321E">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p>
    <w:p w14:paraId="50771C1E" w14:textId="77777777" w:rsidR="009F09BC" w:rsidRPr="00B755E2" w:rsidRDefault="009F09BC" w:rsidP="00D3321E">
      <w:pPr>
        <w:pStyle w:val="Ttulo1"/>
        <w:spacing w:before="0" w:line="360" w:lineRule="auto"/>
        <w:jc w:val="center"/>
        <w:rPr>
          <w:rFonts w:ascii="Palatino Linotype" w:hAnsi="Palatino Linotype"/>
          <w:b/>
          <w:color w:val="000000" w:themeColor="text1"/>
          <w:sz w:val="24"/>
          <w:szCs w:val="24"/>
        </w:rPr>
      </w:pPr>
      <w:r w:rsidRPr="00B755E2">
        <w:rPr>
          <w:rFonts w:ascii="Palatino Linotype" w:hAnsi="Palatino Linotype"/>
          <w:b/>
          <w:color w:val="000000" w:themeColor="text1"/>
          <w:sz w:val="24"/>
          <w:szCs w:val="24"/>
        </w:rPr>
        <w:t>CONSIDERANDO</w:t>
      </w:r>
      <w:bookmarkEnd w:id="133"/>
      <w:bookmarkEnd w:id="134"/>
    </w:p>
    <w:p w14:paraId="6D98A12B" w14:textId="77777777" w:rsidR="009F09BC" w:rsidRPr="00B755E2" w:rsidRDefault="009F09BC" w:rsidP="00D3321E">
      <w:pPr>
        <w:spacing w:line="360" w:lineRule="auto"/>
        <w:rPr>
          <w:rFonts w:ascii="Palatino Linotype" w:hAnsi="Palatino Linotype"/>
          <w:lang w:val="es-MX" w:eastAsia="en-US"/>
        </w:rPr>
      </w:pPr>
    </w:p>
    <w:p w14:paraId="72597D45" w14:textId="77777777" w:rsidR="009F09BC" w:rsidRPr="00B755E2" w:rsidRDefault="009F09BC" w:rsidP="00D3321E">
      <w:pPr>
        <w:pStyle w:val="Ttulo2"/>
        <w:spacing w:before="0" w:line="360" w:lineRule="auto"/>
        <w:rPr>
          <w:rFonts w:ascii="Palatino Linotype" w:hAnsi="Palatino Linotype"/>
          <w:b/>
          <w:color w:val="auto"/>
          <w:sz w:val="24"/>
          <w:szCs w:val="24"/>
        </w:rPr>
      </w:pPr>
      <w:bookmarkStart w:id="135" w:name="_Toc491791303"/>
      <w:bookmarkStart w:id="136" w:name="_Toc83128579"/>
      <w:r w:rsidRPr="00B755E2">
        <w:rPr>
          <w:rFonts w:ascii="Palatino Linotype" w:hAnsi="Palatino Linotype"/>
          <w:b/>
          <w:color w:val="auto"/>
          <w:sz w:val="24"/>
          <w:szCs w:val="24"/>
        </w:rPr>
        <w:t>PRIMERO. De la competencia</w:t>
      </w:r>
      <w:bookmarkEnd w:id="135"/>
      <w:bookmarkEnd w:id="136"/>
    </w:p>
    <w:p w14:paraId="2946DB82" w14:textId="77777777" w:rsidR="009F09BC" w:rsidRPr="00B755E2" w:rsidRDefault="009F09BC" w:rsidP="00D3321E">
      <w:pPr>
        <w:spacing w:line="360" w:lineRule="auto"/>
        <w:rPr>
          <w:rFonts w:ascii="Palatino Linotype" w:hAnsi="Palatino Linotype"/>
          <w:lang w:val="es-MX" w:eastAsia="en-US"/>
        </w:rPr>
      </w:pPr>
    </w:p>
    <w:p w14:paraId="4AF39C38" w14:textId="5A3AB295" w:rsidR="00380600" w:rsidRPr="00B755E2" w:rsidRDefault="3A01F7A7" w:rsidP="00380600">
      <w:pPr>
        <w:pStyle w:val="Prrafodelista"/>
        <w:numPr>
          <w:ilvl w:val="0"/>
          <w:numId w:val="1"/>
        </w:numPr>
        <w:spacing w:line="360" w:lineRule="auto"/>
        <w:ind w:left="0" w:firstLine="0"/>
        <w:jc w:val="both"/>
        <w:rPr>
          <w:rFonts w:ascii="Palatino Linotype" w:hAnsi="Palatino Linotype"/>
        </w:rPr>
      </w:pPr>
      <w:r w:rsidRPr="00B755E2">
        <w:rPr>
          <w:rFonts w:ascii="Palatino Linotype" w:hAnsi="Palatino Linotype"/>
        </w:rPr>
        <w:lastRenderedPageBreak/>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w:t>
      </w:r>
      <w:r w:rsidRPr="00B755E2">
        <w:rPr>
          <w:rFonts w:ascii="Palatino Linotype" w:hAnsi="Palatino Linotype"/>
          <w:b/>
          <w:bCs/>
        </w:rPr>
        <w:t>Constitución Política de los Estados Unidos Mexicanos</w:t>
      </w:r>
      <w:r w:rsidRPr="00B755E2">
        <w:rPr>
          <w:rFonts w:ascii="Palatino Linotype" w:hAnsi="Palatino Linotype"/>
        </w:rPr>
        <w:t xml:space="preserve">; 5, párrafos trigésimo segundo y trigésimo tercero fracciones IV y V, de la </w:t>
      </w:r>
      <w:r w:rsidRPr="00B755E2">
        <w:rPr>
          <w:rFonts w:ascii="Palatino Linotype" w:hAnsi="Palatino Linotype"/>
          <w:b/>
          <w:bCs/>
        </w:rPr>
        <w:t>Constitución Política del Estado Libre y Soberano de México</w:t>
      </w:r>
      <w:r w:rsidRPr="00B755E2">
        <w:rPr>
          <w:rFonts w:ascii="Palatino Linotype" w:hAnsi="Palatino Linotype"/>
        </w:rPr>
        <w:t xml:space="preserve">; artículos 1, 2 fracción II, 13, 29, 36 fracciones I y II, 176, 178, 179, 181 párrafo tercero y 185 de la </w:t>
      </w:r>
      <w:r w:rsidRPr="00B755E2">
        <w:rPr>
          <w:rFonts w:ascii="Palatino Linotype" w:hAnsi="Palatino Linotype"/>
          <w:b/>
          <w:bCs/>
        </w:rPr>
        <w:t>Ley de Transparencia y Acceso a la Información Pública del Estado de México y Municipios</w:t>
      </w:r>
      <w:r w:rsidRPr="00B755E2">
        <w:rPr>
          <w:rFonts w:ascii="Palatino Linotype" w:hAnsi="Palatino Linotype"/>
        </w:rPr>
        <w:t xml:space="preserve">; 7 y  9 fracciones I y XXIV  y 11 del </w:t>
      </w:r>
      <w:r w:rsidRPr="00B755E2">
        <w:rPr>
          <w:rFonts w:ascii="Palatino Linotype" w:hAnsi="Palatino Linotype"/>
          <w:b/>
          <w:bCs/>
        </w:rPr>
        <w:t>Reglamento Interior del Instituto de Transparencia, Acceso a la Información Pública y Protección de Datos Personales del Estado de México y Municipios</w:t>
      </w:r>
      <w:r w:rsidRPr="00B755E2">
        <w:rPr>
          <w:rFonts w:ascii="Palatino Linotype" w:hAnsi="Palatino Linotype"/>
        </w:rPr>
        <w:t>.</w:t>
      </w:r>
    </w:p>
    <w:p w14:paraId="5997CC1D" w14:textId="77777777" w:rsidR="00380600" w:rsidRPr="00B755E2" w:rsidRDefault="00380600" w:rsidP="00855290">
      <w:pPr>
        <w:pStyle w:val="Ttulo2"/>
        <w:spacing w:before="0" w:line="360" w:lineRule="auto"/>
        <w:rPr>
          <w:rFonts w:ascii="Palatino Linotype" w:hAnsi="Palatino Linotype"/>
          <w:b/>
          <w:color w:val="auto"/>
          <w:sz w:val="24"/>
          <w:szCs w:val="24"/>
        </w:rPr>
      </w:pPr>
      <w:bookmarkStart w:id="137" w:name="_Toc491791304"/>
      <w:bookmarkStart w:id="138" w:name="_Toc83128580"/>
    </w:p>
    <w:p w14:paraId="36B97C31" w14:textId="77777777" w:rsidR="009F09BC" w:rsidRPr="00B755E2" w:rsidRDefault="009F09BC" w:rsidP="00855290">
      <w:pPr>
        <w:pStyle w:val="Ttulo2"/>
        <w:spacing w:before="0" w:line="360" w:lineRule="auto"/>
        <w:rPr>
          <w:rFonts w:ascii="Palatino Linotype" w:hAnsi="Palatino Linotype"/>
          <w:b/>
          <w:color w:val="auto"/>
          <w:sz w:val="24"/>
          <w:szCs w:val="24"/>
        </w:rPr>
      </w:pPr>
      <w:r w:rsidRPr="00B755E2">
        <w:rPr>
          <w:rFonts w:ascii="Palatino Linotype" w:hAnsi="Palatino Linotype"/>
          <w:b/>
          <w:color w:val="auto"/>
          <w:sz w:val="24"/>
          <w:szCs w:val="24"/>
        </w:rPr>
        <w:t>SEGUNDO. De la oportunidad y procedencia.</w:t>
      </w:r>
      <w:bookmarkEnd w:id="137"/>
      <w:bookmarkEnd w:id="138"/>
    </w:p>
    <w:p w14:paraId="110FFD37" w14:textId="77777777" w:rsidR="009F09BC" w:rsidRPr="00B755E2" w:rsidRDefault="009F09BC" w:rsidP="00855290">
      <w:pPr>
        <w:spacing w:line="360" w:lineRule="auto"/>
        <w:rPr>
          <w:rFonts w:ascii="Palatino Linotype" w:hAnsi="Palatino Linotype"/>
          <w:lang w:val="es-MX" w:eastAsia="en-US"/>
        </w:rPr>
      </w:pPr>
    </w:p>
    <w:p w14:paraId="3723DFAF" w14:textId="77777777" w:rsidR="009F09BC" w:rsidRPr="00B755E2" w:rsidRDefault="00425842" w:rsidP="00B7267C">
      <w:pPr>
        <w:pStyle w:val="Prrafodelista"/>
        <w:numPr>
          <w:ilvl w:val="0"/>
          <w:numId w:val="1"/>
        </w:numPr>
        <w:spacing w:line="360" w:lineRule="auto"/>
        <w:ind w:left="0" w:firstLine="0"/>
        <w:jc w:val="both"/>
        <w:rPr>
          <w:rFonts w:ascii="Palatino Linotype" w:hAnsi="Palatino Linotype"/>
        </w:rPr>
      </w:pPr>
      <w:r w:rsidRPr="00B755E2">
        <w:rPr>
          <w:rFonts w:ascii="Palatino Linotype" w:eastAsia="Calibri" w:hAnsi="Palatino Linotype" w:cs="Arial"/>
        </w:rPr>
        <w:t>El</w:t>
      </w:r>
      <w:r w:rsidR="00AD63B4" w:rsidRPr="00B755E2">
        <w:rPr>
          <w:rFonts w:ascii="Palatino Linotype" w:eastAsia="Calibri" w:hAnsi="Palatino Linotype" w:cs="Arial"/>
        </w:rPr>
        <w:t xml:space="preserve"> </w:t>
      </w:r>
      <w:r w:rsidR="009F09BC" w:rsidRPr="00B755E2">
        <w:rPr>
          <w:rFonts w:ascii="Palatino Linotype" w:eastAsia="Calibri" w:hAnsi="Palatino Linotype" w:cs="Arial"/>
        </w:rPr>
        <w:t xml:space="preserve">medio de impugnación fue presentado a través del </w:t>
      </w:r>
      <w:r w:rsidR="009F09BC" w:rsidRPr="00B755E2">
        <w:rPr>
          <w:rFonts w:ascii="Palatino Linotype" w:eastAsia="Calibri" w:hAnsi="Palatino Linotype" w:cs="Arial"/>
          <w:b/>
        </w:rPr>
        <w:t>SAIMEX,</w:t>
      </w:r>
      <w:r w:rsidR="009F09BC" w:rsidRPr="00B755E2">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B755E2">
        <w:rPr>
          <w:rFonts w:ascii="Palatino Linotype" w:eastAsia="Calibri" w:hAnsi="Palatino Linotype" w:cs="Arial"/>
          <w:b/>
        </w:rPr>
        <w:t>SUJETO OBLIGADO</w:t>
      </w:r>
      <w:r w:rsidRPr="00B755E2">
        <w:rPr>
          <w:rFonts w:ascii="Palatino Linotype" w:eastAsia="Calibri" w:hAnsi="Palatino Linotype" w:cs="Arial"/>
        </w:rPr>
        <w:t xml:space="preserve"> entregó su</w:t>
      </w:r>
      <w:r w:rsidR="009F09BC" w:rsidRPr="00B755E2">
        <w:rPr>
          <w:rFonts w:ascii="Palatino Linotype" w:eastAsia="Calibri" w:hAnsi="Palatino Linotype" w:cs="Arial"/>
        </w:rPr>
        <w:t xml:space="preserve"> respuesta </w:t>
      </w:r>
      <w:r w:rsidRPr="00B755E2">
        <w:rPr>
          <w:rFonts w:ascii="Palatino Linotype" w:eastAsia="Calibri" w:hAnsi="Palatino Linotype" w:cs="Arial"/>
        </w:rPr>
        <w:t>e</w:t>
      </w:r>
      <w:r w:rsidR="00672571" w:rsidRPr="00B755E2">
        <w:rPr>
          <w:rFonts w:ascii="Palatino Linotype" w:eastAsia="Calibri" w:hAnsi="Palatino Linotype" w:cs="Arial"/>
        </w:rPr>
        <w:t xml:space="preserve">l </w:t>
      </w:r>
      <w:r w:rsidR="00C95894" w:rsidRPr="00B755E2">
        <w:rPr>
          <w:rFonts w:ascii="Palatino Linotype" w:eastAsia="Calibri" w:hAnsi="Palatino Linotype" w:cs="Arial"/>
        </w:rPr>
        <w:t xml:space="preserve">veintinueve (29) de abril </w:t>
      </w:r>
      <w:r w:rsidR="00D02221" w:rsidRPr="00B755E2">
        <w:rPr>
          <w:rFonts w:ascii="Palatino Linotype" w:eastAsia="Calibri" w:hAnsi="Palatino Linotype" w:cs="Arial"/>
        </w:rPr>
        <w:t xml:space="preserve"> </w:t>
      </w:r>
      <w:r w:rsidRPr="00B755E2">
        <w:rPr>
          <w:rFonts w:ascii="Palatino Linotype" w:eastAsia="Calibri" w:hAnsi="Palatino Linotype" w:cs="Arial"/>
        </w:rPr>
        <w:t>de dos mil veintidós</w:t>
      </w:r>
      <w:r w:rsidR="009F09BC" w:rsidRPr="00B755E2">
        <w:rPr>
          <w:rFonts w:ascii="Palatino Linotype" w:eastAsia="Calibri" w:hAnsi="Palatino Linotype" w:cs="Arial"/>
        </w:rPr>
        <w:t xml:space="preserve">, </w:t>
      </w:r>
      <w:r w:rsidR="009F09BC" w:rsidRPr="00B755E2">
        <w:rPr>
          <w:rFonts w:ascii="Palatino Linotype" w:hAnsi="Palatino Linotype" w:cs="Arial"/>
        </w:rPr>
        <w:t xml:space="preserve">de tal forma que </w:t>
      </w:r>
      <w:r w:rsidRPr="00B755E2">
        <w:rPr>
          <w:rFonts w:ascii="Palatino Linotype" w:hAnsi="Palatino Linotype" w:cs="Arial"/>
        </w:rPr>
        <w:t>e</w:t>
      </w:r>
      <w:r w:rsidR="009F09BC" w:rsidRPr="00B755E2">
        <w:rPr>
          <w:rFonts w:ascii="Palatino Linotype" w:hAnsi="Palatino Linotype" w:cs="Arial"/>
        </w:rPr>
        <w:t xml:space="preserve">l plazo para interponer </w:t>
      </w:r>
      <w:r w:rsidRPr="00B755E2">
        <w:rPr>
          <w:rFonts w:ascii="Palatino Linotype" w:hAnsi="Palatino Linotype" w:cs="Arial"/>
        </w:rPr>
        <w:t>e</w:t>
      </w:r>
      <w:r w:rsidR="009F09BC" w:rsidRPr="00B755E2">
        <w:rPr>
          <w:rFonts w:ascii="Palatino Linotype" w:hAnsi="Palatino Linotype" w:cs="Arial"/>
        </w:rPr>
        <w:t xml:space="preserve">l recurso de revisión </w:t>
      </w:r>
      <w:r w:rsidRPr="00B755E2">
        <w:rPr>
          <w:rFonts w:ascii="Palatino Linotype" w:hAnsi="Palatino Linotype" w:cs="Arial"/>
        </w:rPr>
        <w:t>transcurrió</w:t>
      </w:r>
      <w:r w:rsidR="009F09BC" w:rsidRPr="00B755E2">
        <w:rPr>
          <w:rFonts w:ascii="Palatino Linotype" w:hAnsi="Palatino Linotype" w:cs="Arial"/>
        </w:rPr>
        <w:t xml:space="preserve"> del día </w:t>
      </w:r>
      <w:r w:rsidR="00C95894" w:rsidRPr="00B755E2">
        <w:rPr>
          <w:rFonts w:ascii="Palatino Linotype" w:hAnsi="Palatino Linotype" w:cs="Arial"/>
        </w:rPr>
        <w:t>dos (02) al veintitrés (23) de mayo de dos mil veintidós</w:t>
      </w:r>
      <w:r w:rsidR="0001674C" w:rsidRPr="00B755E2">
        <w:rPr>
          <w:rFonts w:ascii="Palatino Linotype" w:hAnsi="Palatino Linotype" w:cs="Arial"/>
        </w:rPr>
        <w:t>; e</w:t>
      </w:r>
      <w:r w:rsidR="009F09BC" w:rsidRPr="00B755E2">
        <w:rPr>
          <w:rFonts w:ascii="Palatino Linotype" w:hAnsi="Palatino Linotype" w:cs="Arial"/>
        </w:rPr>
        <w:t xml:space="preserve">n consecuencia, el ahora </w:t>
      </w:r>
      <w:r w:rsidR="009F09BC" w:rsidRPr="00B755E2">
        <w:rPr>
          <w:rFonts w:ascii="Palatino Linotype" w:hAnsi="Palatino Linotype" w:cs="Arial"/>
          <w:b/>
        </w:rPr>
        <w:t>RECURRENTE</w:t>
      </w:r>
      <w:r w:rsidR="009F09BC" w:rsidRPr="00B755E2">
        <w:rPr>
          <w:rFonts w:ascii="Palatino Linotype" w:hAnsi="Palatino Linotype" w:cs="Arial"/>
        </w:rPr>
        <w:t xml:space="preserve"> presentó </w:t>
      </w:r>
      <w:r w:rsidR="00CA1063" w:rsidRPr="00B755E2">
        <w:rPr>
          <w:rFonts w:ascii="Palatino Linotype" w:hAnsi="Palatino Linotype" w:cs="Arial"/>
        </w:rPr>
        <w:t xml:space="preserve">su inconformidad el día </w:t>
      </w:r>
      <w:r w:rsidR="00C95894" w:rsidRPr="00B755E2">
        <w:rPr>
          <w:rFonts w:ascii="Palatino Linotype" w:hAnsi="Palatino Linotype" w:cs="Arial"/>
        </w:rPr>
        <w:t>diez (10) de mayo</w:t>
      </w:r>
      <w:r w:rsidR="00672571" w:rsidRPr="00B755E2">
        <w:rPr>
          <w:rFonts w:ascii="Palatino Linotype" w:hAnsi="Palatino Linotype" w:cs="Arial"/>
        </w:rPr>
        <w:t xml:space="preserve"> de dos mil veintidós</w:t>
      </w:r>
      <w:r w:rsidR="00780124" w:rsidRPr="00B755E2">
        <w:rPr>
          <w:rFonts w:ascii="Palatino Linotype" w:hAnsi="Palatino Linotype" w:cs="Arial"/>
        </w:rPr>
        <w:t xml:space="preserve">; es decir </w:t>
      </w:r>
      <w:r w:rsidR="00EF0CCB" w:rsidRPr="00B755E2">
        <w:rPr>
          <w:rFonts w:ascii="Palatino Linotype" w:hAnsi="Palatino Linotype" w:cs="Arial"/>
        </w:rPr>
        <w:t>dentro d</w:t>
      </w:r>
      <w:r w:rsidR="00780124" w:rsidRPr="00B755E2">
        <w:rPr>
          <w:rFonts w:ascii="Palatino Linotype" w:hAnsi="Palatino Linotype" w:cs="Arial"/>
        </w:rPr>
        <w:t>el plazo legalmente establecido para tal efecto.</w:t>
      </w:r>
    </w:p>
    <w:p w14:paraId="6B699379" w14:textId="77777777" w:rsidR="008E34A5" w:rsidRPr="00B755E2" w:rsidRDefault="008E34A5" w:rsidP="008E34A5">
      <w:pPr>
        <w:pStyle w:val="Prrafodelista"/>
        <w:spacing w:line="360" w:lineRule="auto"/>
        <w:ind w:left="0"/>
        <w:jc w:val="both"/>
        <w:rPr>
          <w:rFonts w:ascii="Palatino Linotype" w:hAnsi="Palatino Linotype"/>
        </w:rPr>
      </w:pPr>
    </w:p>
    <w:p w14:paraId="0AC497E6" w14:textId="77777777" w:rsidR="00E57A52" w:rsidRPr="00B755E2" w:rsidRDefault="00C95894" w:rsidP="00B7267C">
      <w:pPr>
        <w:pStyle w:val="Prrafodelista"/>
        <w:numPr>
          <w:ilvl w:val="0"/>
          <w:numId w:val="1"/>
        </w:numPr>
        <w:spacing w:line="360" w:lineRule="auto"/>
        <w:ind w:left="0" w:firstLine="0"/>
        <w:jc w:val="both"/>
        <w:rPr>
          <w:rFonts w:ascii="Palatino Linotype" w:hAnsi="Palatino Linotype"/>
        </w:rPr>
      </w:pPr>
      <w:r w:rsidRPr="00B755E2">
        <w:rPr>
          <w:rFonts w:ascii="Palatino Linotype" w:eastAsia="Calibri" w:hAnsi="Palatino Linotype" w:cs="Arial"/>
        </w:rPr>
        <w:lastRenderedPageBreak/>
        <w:t>Por otra parte</w:t>
      </w:r>
      <w:r w:rsidR="00E57A52" w:rsidRPr="00B755E2">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FE9F23F" w14:textId="77777777" w:rsidR="00CF0D2B" w:rsidRPr="00B755E2" w:rsidRDefault="00CF0D2B" w:rsidP="00A1757E">
      <w:pPr>
        <w:spacing w:line="360" w:lineRule="auto"/>
        <w:rPr>
          <w:rFonts w:ascii="Palatino Linotype" w:hAnsi="Palatino Linotype"/>
        </w:rPr>
      </w:pPr>
    </w:p>
    <w:p w14:paraId="0463A3C8" w14:textId="77777777" w:rsidR="009F09BC" w:rsidRPr="00B755E2" w:rsidRDefault="00A1757E" w:rsidP="00855290">
      <w:pPr>
        <w:pStyle w:val="Ttulo1"/>
        <w:spacing w:before="0" w:line="360" w:lineRule="auto"/>
        <w:rPr>
          <w:rFonts w:ascii="Palatino Linotype" w:hAnsi="Palatino Linotype"/>
          <w:b/>
          <w:color w:val="000000" w:themeColor="text1"/>
          <w:sz w:val="24"/>
          <w:szCs w:val="24"/>
        </w:rPr>
      </w:pPr>
      <w:bookmarkStart w:id="139" w:name="_Toc87274189"/>
      <w:r w:rsidRPr="00B755E2">
        <w:rPr>
          <w:rFonts w:ascii="Palatino Linotype" w:hAnsi="Palatino Linotype" w:cs="Arial"/>
          <w:b/>
          <w:color w:val="000000" w:themeColor="text1"/>
          <w:sz w:val="24"/>
        </w:rPr>
        <w:t xml:space="preserve">TERCERO. </w:t>
      </w:r>
      <w:bookmarkStart w:id="140" w:name="_Toc34246179"/>
      <w:bookmarkStart w:id="141" w:name="_Toc50033991"/>
      <w:bookmarkStart w:id="142" w:name="_Toc51259588"/>
      <w:bookmarkStart w:id="143" w:name="_Toc83128581"/>
      <w:bookmarkStart w:id="144" w:name="_Toc501021589"/>
      <w:bookmarkEnd w:id="139"/>
      <w:r w:rsidR="009F09BC" w:rsidRPr="00B755E2">
        <w:rPr>
          <w:rFonts w:ascii="Palatino Linotype" w:hAnsi="Palatino Linotype"/>
          <w:b/>
          <w:color w:val="000000" w:themeColor="text1"/>
          <w:sz w:val="24"/>
          <w:szCs w:val="24"/>
        </w:rPr>
        <w:t xml:space="preserve">Del planteamiento de la </w:t>
      </w:r>
      <w:r w:rsidR="009F09BC" w:rsidRPr="00B755E2">
        <w:rPr>
          <w:rFonts w:ascii="Palatino Linotype" w:hAnsi="Palatino Linotype"/>
          <w:b/>
          <w:i/>
          <w:color w:val="000000" w:themeColor="text1"/>
          <w:sz w:val="24"/>
          <w:szCs w:val="24"/>
        </w:rPr>
        <w:t>Litis</w:t>
      </w:r>
      <w:r w:rsidR="009F09BC" w:rsidRPr="00B755E2">
        <w:rPr>
          <w:rFonts w:ascii="Palatino Linotype" w:hAnsi="Palatino Linotype"/>
          <w:b/>
          <w:color w:val="000000" w:themeColor="text1"/>
          <w:sz w:val="24"/>
          <w:szCs w:val="24"/>
        </w:rPr>
        <w:t>.</w:t>
      </w:r>
      <w:bookmarkEnd w:id="140"/>
      <w:bookmarkEnd w:id="141"/>
      <w:bookmarkEnd w:id="142"/>
      <w:bookmarkEnd w:id="143"/>
      <w:bookmarkEnd w:id="144"/>
    </w:p>
    <w:p w14:paraId="1F72F646" w14:textId="77777777" w:rsidR="009F09BC" w:rsidRPr="00B755E2" w:rsidRDefault="009F09BC" w:rsidP="00855290">
      <w:pPr>
        <w:spacing w:line="360" w:lineRule="auto"/>
        <w:rPr>
          <w:rFonts w:ascii="Palatino Linotype" w:hAnsi="Palatino Linotype"/>
          <w:lang w:val="es-MX" w:eastAsia="en-US"/>
        </w:rPr>
      </w:pPr>
    </w:p>
    <w:p w14:paraId="7DC843C6" w14:textId="77777777" w:rsidR="009F09BC" w:rsidRPr="00B755E2" w:rsidRDefault="009F09BC" w:rsidP="00B7267C">
      <w:pPr>
        <w:pStyle w:val="Prrafodelista"/>
        <w:numPr>
          <w:ilvl w:val="0"/>
          <w:numId w:val="1"/>
        </w:numPr>
        <w:spacing w:line="360" w:lineRule="auto"/>
        <w:ind w:left="0" w:firstLine="0"/>
        <w:jc w:val="both"/>
        <w:rPr>
          <w:rFonts w:ascii="Palatino Linotype" w:hAnsi="Palatino Linotype" w:cs="Arial"/>
        </w:rPr>
      </w:pPr>
      <w:r w:rsidRPr="00B755E2">
        <w:rPr>
          <w:rFonts w:ascii="Palatino Linotype" w:hAnsi="Palatino Linotype" w:cs="Arial"/>
        </w:rPr>
        <w:t xml:space="preserve">Se </w:t>
      </w:r>
      <w:r w:rsidRPr="00B755E2">
        <w:rPr>
          <w:rFonts w:ascii="Palatino Linotype" w:hAnsi="Palatino Linotype"/>
        </w:rPr>
        <w:t>solicitó</w:t>
      </w:r>
      <w:r w:rsidRPr="00B755E2">
        <w:rPr>
          <w:rFonts w:ascii="Palatino Linotype" w:hAnsi="Palatino Linotype" w:cs="Arial"/>
        </w:rPr>
        <w:t xml:space="preserve"> </w:t>
      </w:r>
      <w:r w:rsidR="00AD63B4" w:rsidRPr="00B755E2">
        <w:rPr>
          <w:rFonts w:ascii="Palatino Linotype" w:hAnsi="Palatino Linotype" w:cs="Arial"/>
        </w:rPr>
        <w:t>tener acceso,</w:t>
      </w:r>
      <w:r w:rsidR="008E34A5" w:rsidRPr="00B755E2">
        <w:rPr>
          <w:rFonts w:ascii="Palatino Linotype" w:hAnsi="Palatino Linotype" w:cs="Arial"/>
        </w:rPr>
        <w:t xml:space="preserve"> al soporte documental donde conste o se advierta</w:t>
      </w:r>
      <w:r w:rsidR="00AD63B4" w:rsidRPr="00B755E2">
        <w:rPr>
          <w:rFonts w:ascii="Palatino Linotype" w:hAnsi="Palatino Linotype" w:cs="Arial"/>
        </w:rPr>
        <w:t xml:space="preserve"> la</w:t>
      </w:r>
      <w:r w:rsidR="008E34A5" w:rsidRPr="00B755E2">
        <w:rPr>
          <w:rFonts w:ascii="Palatino Linotype" w:hAnsi="Palatino Linotype" w:cs="Arial"/>
        </w:rPr>
        <w:t xml:space="preserve"> siguiente</w:t>
      </w:r>
      <w:r w:rsidR="00AD63B4" w:rsidRPr="00B755E2">
        <w:rPr>
          <w:rFonts w:ascii="Palatino Linotype" w:hAnsi="Palatino Linotype" w:cs="Arial"/>
        </w:rPr>
        <w:t xml:space="preserve"> </w:t>
      </w:r>
      <w:r w:rsidRPr="00B755E2">
        <w:rPr>
          <w:rFonts w:ascii="Palatino Linotype" w:hAnsi="Palatino Linotype" w:cs="Arial"/>
        </w:rPr>
        <w:t>información que a continuación se desagrega:</w:t>
      </w:r>
    </w:p>
    <w:p w14:paraId="08CE6F91" w14:textId="77777777" w:rsidR="009F09BC" w:rsidRPr="00B755E2" w:rsidRDefault="009F09BC" w:rsidP="00855290">
      <w:pPr>
        <w:pStyle w:val="Prrafodelista"/>
        <w:spacing w:line="360" w:lineRule="auto"/>
        <w:ind w:left="0"/>
        <w:jc w:val="both"/>
        <w:rPr>
          <w:rFonts w:ascii="Palatino Linotype" w:hAnsi="Palatino Linotype" w:cs="Arial"/>
          <w:sz w:val="22"/>
        </w:rPr>
      </w:pPr>
    </w:p>
    <w:p w14:paraId="0A33F48A" w14:textId="77777777" w:rsidR="00BC18CF" w:rsidRPr="00B755E2" w:rsidRDefault="00A2738F" w:rsidP="00A2738F">
      <w:pPr>
        <w:pStyle w:val="Prrafodelista"/>
        <w:numPr>
          <w:ilvl w:val="0"/>
          <w:numId w:val="6"/>
        </w:numPr>
        <w:spacing w:line="360" w:lineRule="auto"/>
        <w:jc w:val="both"/>
        <w:rPr>
          <w:rFonts w:ascii="Palatino Linotype" w:hAnsi="Palatino Linotype" w:cs="Arial"/>
          <w:sz w:val="22"/>
        </w:rPr>
      </w:pPr>
      <w:r w:rsidRPr="00B755E2">
        <w:rPr>
          <w:rFonts w:ascii="Palatino Linotype" w:hAnsi="Palatino Linotype" w:cs="Arial"/>
          <w:sz w:val="22"/>
        </w:rPr>
        <w:t xml:space="preserve">Convenios que la Procuraduría de Protección al Ambiente del Estado de México ha firmado mediante el programa </w:t>
      </w:r>
      <w:r w:rsidRPr="00B755E2">
        <w:rPr>
          <w:rFonts w:ascii="Palatino Linotype" w:hAnsi="Palatino Linotype" w:cs="Arial"/>
          <w:i/>
          <w:sz w:val="22"/>
        </w:rPr>
        <w:t>“Compensadores Ambientales”</w:t>
      </w:r>
      <w:r w:rsidRPr="00B755E2">
        <w:rPr>
          <w:rFonts w:ascii="Palatino Linotype" w:hAnsi="Palatino Linotype" w:cs="Arial"/>
          <w:sz w:val="22"/>
        </w:rPr>
        <w:t xml:space="preserve"> del 1 enero de 2015 al 23 de noviembre de 2022.</w:t>
      </w:r>
    </w:p>
    <w:p w14:paraId="61CDCEAD" w14:textId="77777777" w:rsidR="00BC18CF" w:rsidRPr="00B755E2" w:rsidRDefault="00BC18CF" w:rsidP="00855290">
      <w:pPr>
        <w:pStyle w:val="Prrafodelista"/>
        <w:spacing w:line="360" w:lineRule="auto"/>
        <w:rPr>
          <w:rFonts w:ascii="Palatino Linotype" w:hAnsi="Palatino Linotype" w:cs="Arial"/>
          <w:b/>
          <w:sz w:val="22"/>
        </w:rPr>
      </w:pPr>
    </w:p>
    <w:p w14:paraId="2E3B1C58" w14:textId="77777777" w:rsidR="00780124" w:rsidRPr="00B755E2" w:rsidRDefault="006F3EF7" w:rsidP="0096209D">
      <w:pPr>
        <w:numPr>
          <w:ilvl w:val="0"/>
          <w:numId w:val="1"/>
        </w:numPr>
        <w:spacing w:line="360" w:lineRule="auto"/>
        <w:ind w:left="0" w:firstLine="0"/>
        <w:contextualSpacing/>
        <w:jc w:val="both"/>
        <w:rPr>
          <w:rFonts w:ascii="Palatino Linotype" w:hAnsi="Palatino Linotype" w:cs="Arial"/>
        </w:rPr>
      </w:pPr>
      <w:r w:rsidRPr="00B755E2">
        <w:rPr>
          <w:rFonts w:ascii="Palatino Linotype" w:hAnsi="Palatino Linotype" w:cs="Arial"/>
        </w:rPr>
        <w:t xml:space="preserve">En respuesta, el </w:t>
      </w:r>
      <w:r w:rsidRPr="00B755E2">
        <w:rPr>
          <w:rFonts w:ascii="Palatino Linotype" w:hAnsi="Palatino Linotype" w:cs="Arial"/>
          <w:b/>
        </w:rPr>
        <w:t>SUJETO OBLIGADO</w:t>
      </w:r>
      <w:r w:rsidRPr="00B755E2">
        <w:rPr>
          <w:rFonts w:ascii="Palatino Linotype" w:hAnsi="Palatino Linotype" w:cs="Arial"/>
        </w:rPr>
        <w:t xml:space="preserve"> </w:t>
      </w:r>
      <w:r w:rsidR="00A2738F" w:rsidRPr="00B755E2">
        <w:rPr>
          <w:rFonts w:ascii="Palatino Linotype" w:hAnsi="Palatino Linotype" w:cs="Arial"/>
        </w:rPr>
        <w:t>clasificó la información por estar contenida en expedientes seguidos en forma de juicio que no han causado estado</w:t>
      </w:r>
      <w:r w:rsidR="00E54AAE" w:rsidRPr="00B755E2">
        <w:rPr>
          <w:rFonts w:ascii="Palatino Linotype" w:hAnsi="Palatino Linotype" w:cs="Arial"/>
        </w:rPr>
        <w:t xml:space="preserve">; </w:t>
      </w:r>
      <w:r w:rsidR="00A2738F" w:rsidRPr="00B755E2">
        <w:rPr>
          <w:rFonts w:ascii="Palatino Linotype" w:hAnsi="Palatino Linotype" w:cs="Arial"/>
        </w:rPr>
        <w:t>inconforme</w:t>
      </w:r>
      <w:r w:rsidR="006F6482" w:rsidRPr="00B755E2">
        <w:rPr>
          <w:rFonts w:ascii="Palatino Linotype" w:hAnsi="Palatino Linotype" w:cs="Arial"/>
        </w:rPr>
        <w:t>,</w:t>
      </w:r>
      <w:r w:rsidR="00E54AAE" w:rsidRPr="00B755E2">
        <w:rPr>
          <w:rFonts w:ascii="Palatino Linotype" w:hAnsi="Palatino Linotype" w:cs="Arial"/>
        </w:rPr>
        <w:t xml:space="preserve"> </w:t>
      </w:r>
      <w:r w:rsidR="009F09BC" w:rsidRPr="00B755E2">
        <w:rPr>
          <w:rFonts w:ascii="Palatino Linotype" w:hAnsi="Palatino Linotype" w:cs="Arial"/>
          <w:b/>
        </w:rPr>
        <w:t>EL PARTICULAR</w:t>
      </w:r>
      <w:r w:rsidR="00112D7E" w:rsidRPr="00B755E2">
        <w:rPr>
          <w:rFonts w:ascii="Palatino Linotype" w:hAnsi="Palatino Linotype" w:cs="Arial"/>
          <w:b/>
        </w:rPr>
        <w:t>,</w:t>
      </w:r>
      <w:r w:rsidR="009F09BC" w:rsidRPr="00B755E2">
        <w:rPr>
          <w:rFonts w:ascii="Palatino Linotype" w:hAnsi="Palatino Linotype" w:cs="Arial"/>
          <w:b/>
        </w:rPr>
        <w:t xml:space="preserve"> </w:t>
      </w:r>
      <w:r w:rsidR="00402466" w:rsidRPr="00B755E2">
        <w:rPr>
          <w:rFonts w:ascii="Palatino Linotype" w:hAnsi="Palatino Linotype" w:cs="Arial"/>
        </w:rPr>
        <w:t>interpuso recurso de revisión</w:t>
      </w:r>
      <w:r w:rsidR="009F09BC" w:rsidRPr="00B755E2">
        <w:rPr>
          <w:rFonts w:ascii="Palatino Linotype" w:hAnsi="Palatino Linotype" w:cs="Arial"/>
        </w:rPr>
        <w:t xml:space="preserve">, </w:t>
      </w:r>
      <w:r w:rsidR="00A2738F" w:rsidRPr="00B755E2">
        <w:rPr>
          <w:rFonts w:ascii="Palatino Linotype" w:hAnsi="Palatino Linotype" w:cs="Arial"/>
        </w:rPr>
        <w:t xml:space="preserve">en contra de la respuesta </w:t>
      </w:r>
      <w:r w:rsidR="00402466" w:rsidRPr="00B755E2">
        <w:rPr>
          <w:rFonts w:ascii="Palatino Linotype" w:hAnsi="Palatino Linotype" w:cs="Arial"/>
        </w:rPr>
        <w:t>señalando</w:t>
      </w:r>
      <w:r w:rsidR="009F09BC" w:rsidRPr="00B755E2">
        <w:rPr>
          <w:rFonts w:ascii="Palatino Linotype" w:hAnsi="Palatino Linotype" w:cs="Arial"/>
        </w:rPr>
        <w:t xml:space="preserve"> </w:t>
      </w:r>
      <w:r w:rsidR="00CF0D2B" w:rsidRPr="00B755E2">
        <w:rPr>
          <w:rFonts w:ascii="Palatino Linotype" w:hAnsi="Palatino Linotype" w:cs="Arial"/>
          <w:i/>
        </w:rPr>
        <w:t>grosso modo</w:t>
      </w:r>
      <w:r w:rsidR="00780124" w:rsidRPr="00B755E2">
        <w:rPr>
          <w:rFonts w:ascii="Palatino Linotype" w:hAnsi="Palatino Linotype" w:cs="Arial"/>
        </w:rPr>
        <w:t xml:space="preserve">, </w:t>
      </w:r>
      <w:r w:rsidR="00A2738F" w:rsidRPr="00B755E2">
        <w:rPr>
          <w:rFonts w:ascii="Palatino Linotype" w:hAnsi="Palatino Linotype" w:cs="Arial"/>
        </w:rPr>
        <w:t>la negativa a la entrega de la información</w:t>
      </w:r>
      <w:r w:rsidR="00846C1E" w:rsidRPr="00B755E2">
        <w:rPr>
          <w:rFonts w:ascii="Palatino Linotype" w:hAnsi="Palatino Linotype" w:cs="Arial"/>
        </w:rPr>
        <w:t>.</w:t>
      </w:r>
    </w:p>
    <w:p w14:paraId="6BB9E253" w14:textId="77777777" w:rsidR="00846C1E" w:rsidRPr="00B755E2" w:rsidRDefault="00846C1E" w:rsidP="00846C1E">
      <w:pPr>
        <w:spacing w:line="360" w:lineRule="auto"/>
        <w:contextualSpacing/>
        <w:jc w:val="both"/>
        <w:rPr>
          <w:rFonts w:ascii="Palatino Linotype" w:hAnsi="Palatino Linotype" w:cs="Arial"/>
        </w:rPr>
      </w:pPr>
    </w:p>
    <w:p w14:paraId="21EBB5FF" w14:textId="46FC54F8" w:rsidR="009F09BC" w:rsidRPr="00B755E2" w:rsidRDefault="009F09BC" w:rsidP="00B7267C">
      <w:pPr>
        <w:numPr>
          <w:ilvl w:val="0"/>
          <w:numId w:val="1"/>
        </w:numPr>
        <w:spacing w:line="360" w:lineRule="auto"/>
        <w:ind w:left="0" w:firstLine="0"/>
        <w:contextualSpacing/>
        <w:jc w:val="both"/>
        <w:rPr>
          <w:rFonts w:ascii="Palatino Linotype" w:eastAsia="MS Mincho" w:hAnsi="Palatino Linotype" w:cs="Arial"/>
        </w:rPr>
      </w:pPr>
      <w:r w:rsidRPr="00B755E2">
        <w:rPr>
          <w:rFonts w:ascii="Palatino Linotype" w:eastAsia="MS Mincho" w:hAnsi="Palatino Linotype" w:cs="Arial"/>
        </w:rPr>
        <w:t xml:space="preserve">En </w:t>
      </w:r>
      <w:r w:rsidRPr="00B755E2">
        <w:rPr>
          <w:rFonts w:ascii="Palatino Linotype" w:hAnsi="Palatino Linotype" w:cs="Arial"/>
          <w:lang w:eastAsia="es-MX"/>
        </w:rPr>
        <w:t>dichas</w:t>
      </w:r>
      <w:r w:rsidRPr="00B755E2">
        <w:rPr>
          <w:rFonts w:ascii="Palatino Linotype" w:eastAsia="Times New Roman" w:hAnsi="Palatino Linotype" w:cs="Arial"/>
        </w:rPr>
        <w:t xml:space="preserve"> condiciones, la </w:t>
      </w:r>
      <w:r w:rsidRPr="00B755E2">
        <w:rPr>
          <w:rFonts w:ascii="Palatino Linotype" w:eastAsia="Times New Roman" w:hAnsi="Palatino Linotype" w:cs="Arial"/>
          <w:i/>
        </w:rPr>
        <w:t>Litis</w:t>
      </w:r>
      <w:r w:rsidRPr="00B755E2">
        <w:rPr>
          <w:rFonts w:ascii="Palatino Linotype" w:eastAsia="Times New Roman" w:hAnsi="Palatino Linotype" w:cs="Arial"/>
        </w:rPr>
        <w:t xml:space="preserve"> a resolver en este recurso se circunscribe a </w:t>
      </w:r>
      <w:r w:rsidRPr="00B755E2">
        <w:rPr>
          <w:rFonts w:ascii="Palatino Linotype" w:hAnsi="Palatino Linotype" w:cs="Arial"/>
        </w:rPr>
        <w:t>determinar</w:t>
      </w:r>
      <w:r w:rsidRPr="00B755E2">
        <w:rPr>
          <w:rFonts w:ascii="Palatino Linotype" w:eastAsia="Times New Roman" w:hAnsi="Palatino Linotype" w:cs="Arial"/>
        </w:rPr>
        <w:t xml:space="preserve"> </w:t>
      </w:r>
      <w:r w:rsidRPr="00B755E2">
        <w:rPr>
          <w:rFonts w:ascii="Palatino Linotype" w:hAnsi="Palatino Linotype" w:cs="Arial"/>
        </w:rPr>
        <w:t>si</w:t>
      </w:r>
      <w:r w:rsidRPr="00B755E2">
        <w:rPr>
          <w:rFonts w:ascii="Palatino Linotype" w:eastAsia="Times New Roman" w:hAnsi="Palatino Linotype" w:cs="Arial"/>
        </w:rPr>
        <w:t xml:space="preserve"> </w:t>
      </w:r>
      <w:r w:rsidR="009A1604" w:rsidRPr="00B755E2">
        <w:rPr>
          <w:rFonts w:ascii="Palatino Linotype" w:eastAsia="MS Mincho" w:hAnsi="Palatino Linotype" w:cs="Arial"/>
        </w:rPr>
        <w:t>se actualizan la causal</w:t>
      </w:r>
      <w:r w:rsidRPr="00B755E2">
        <w:rPr>
          <w:rFonts w:ascii="Palatino Linotype" w:eastAsia="MS Mincho" w:hAnsi="Palatino Linotype" w:cs="Arial"/>
        </w:rPr>
        <w:t xml:space="preserve"> de procedencia prevista en el artículo 179, fracción </w:t>
      </w:r>
      <w:r w:rsidR="00A2738F" w:rsidRPr="00B755E2">
        <w:rPr>
          <w:rFonts w:ascii="Palatino Linotype" w:eastAsia="MS Mincho" w:hAnsi="Palatino Linotype" w:cs="Arial"/>
          <w:b/>
        </w:rPr>
        <w:t>l</w:t>
      </w:r>
      <w:r w:rsidR="001C0503" w:rsidRPr="00B755E2">
        <w:rPr>
          <w:rFonts w:ascii="Palatino Linotype" w:eastAsia="MS Mincho" w:hAnsi="Palatino Linotype" w:cs="Arial"/>
        </w:rPr>
        <w:t xml:space="preserve"> </w:t>
      </w:r>
      <w:r w:rsidRPr="00B755E2">
        <w:rPr>
          <w:rFonts w:ascii="Palatino Linotype" w:eastAsia="MS Mincho" w:hAnsi="Palatino Linotype" w:cs="Arial"/>
        </w:rPr>
        <w:t xml:space="preserve">de la </w:t>
      </w:r>
      <w:r w:rsidRPr="00B755E2">
        <w:rPr>
          <w:rFonts w:ascii="Palatino Linotype" w:eastAsia="MS Mincho" w:hAnsi="Palatino Linotype" w:cs="Arial"/>
          <w:b/>
        </w:rPr>
        <w:t>Ley de Transparencia y Acceso a la Información Pública del Estado de México y Municipios</w:t>
      </w:r>
      <w:r w:rsidRPr="00B755E2">
        <w:rPr>
          <w:rFonts w:ascii="Palatino Linotype" w:eastAsia="MS Mincho" w:hAnsi="Palatino Linotype" w:cs="Arial"/>
        </w:rPr>
        <w:t xml:space="preserve">; </w:t>
      </w:r>
      <w:r w:rsidR="009A1604" w:rsidRPr="00B755E2">
        <w:rPr>
          <w:rFonts w:ascii="Palatino Linotype" w:eastAsia="Times New Roman" w:hAnsi="Palatino Linotype" w:cs="Arial"/>
          <w:color w:val="000000" w:themeColor="text1"/>
          <w:lang w:val="es-ES" w:eastAsia="es-MX"/>
        </w:rPr>
        <w:t>fracción</w:t>
      </w:r>
      <w:r w:rsidRPr="00B755E2">
        <w:rPr>
          <w:rFonts w:ascii="Palatino Linotype" w:eastAsia="Times New Roman" w:hAnsi="Palatino Linotype" w:cs="Arial"/>
          <w:color w:val="000000" w:themeColor="text1"/>
          <w:lang w:val="es-ES" w:eastAsia="es-MX"/>
        </w:rPr>
        <w:t xml:space="preserve"> que determina </w:t>
      </w:r>
      <w:r w:rsidR="009A1604" w:rsidRPr="00B755E2">
        <w:rPr>
          <w:rFonts w:ascii="Palatino Linotype" w:eastAsia="Times New Roman" w:hAnsi="Palatino Linotype" w:cs="Arial"/>
          <w:color w:val="000000" w:themeColor="text1"/>
          <w:lang w:val="es-ES" w:eastAsia="es-MX"/>
        </w:rPr>
        <w:t>la hipótesis jurídica</w:t>
      </w:r>
      <w:r w:rsidRPr="00B755E2">
        <w:rPr>
          <w:rFonts w:ascii="Palatino Linotype" w:eastAsia="Times New Roman" w:hAnsi="Palatino Linotype" w:cs="Arial"/>
          <w:color w:val="000000" w:themeColor="text1"/>
          <w:lang w:val="es-ES" w:eastAsia="es-MX"/>
        </w:rPr>
        <w:t xml:space="preserve"> </w:t>
      </w:r>
      <w:r w:rsidR="00A2738F" w:rsidRPr="00B755E2">
        <w:rPr>
          <w:rFonts w:ascii="Palatino Linotype" w:eastAsia="Times New Roman" w:hAnsi="Palatino Linotype" w:cs="Arial"/>
          <w:color w:val="000000" w:themeColor="text1"/>
          <w:lang w:val="es-ES" w:eastAsia="es-MX"/>
        </w:rPr>
        <w:t xml:space="preserve">relativa a la </w:t>
      </w:r>
      <w:r w:rsidR="00A2738F" w:rsidRPr="00B755E2">
        <w:rPr>
          <w:rFonts w:ascii="Palatino Linotype" w:eastAsia="Times New Roman" w:hAnsi="Palatino Linotype" w:cs="Arial"/>
          <w:color w:val="000000" w:themeColor="text1"/>
          <w:lang w:val="es-ES" w:eastAsia="es-MX"/>
        </w:rPr>
        <w:lastRenderedPageBreak/>
        <w:t>negativa a la información solicitada</w:t>
      </w:r>
      <w:r w:rsidRPr="00B755E2">
        <w:rPr>
          <w:rFonts w:ascii="Palatino Linotype" w:eastAsia="Times New Roman" w:hAnsi="Palatino Linotype" w:cs="Arial"/>
          <w:color w:val="000000" w:themeColor="text1"/>
          <w:lang w:val="es-ES" w:eastAsia="es-MX"/>
        </w:rPr>
        <w:t xml:space="preserve">; </w:t>
      </w:r>
      <w:r w:rsidR="007C565A" w:rsidRPr="00B755E2">
        <w:rPr>
          <w:rFonts w:ascii="Palatino Linotype" w:eastAsia="MS Mincho" w:hAnsi="Palatino Linotype" w:cs="Arial"/>
        </w:rPr>
        <w:t>contexto del que</w:t>
      </w:r>
      <w:r w:rsidRPr="00B755E2">
        <w:rPr>
          <w:rFonts w:ascii="Palatino Linotype" w:eastAsia="MS Mincho" w:hAnsi="Palatino Linotype" w:cs="Arial"/>
        </w:rPr>
        <w:t xml:space="preserve"> se dolió </w:t>
      </w:r>
      <w:r w:rsidRPr="00B755E2">
        <w:rPr>
          <w:rFonts w:ascii="Palatino Linotype" w:eastAsia="MS Mincho" w:hAnsi="Palatino Linotype" w:cs="Arial"/>
          <w:b/>
        </w:rPr>
        <w:t xml:space="preserve">EL RECURRENTE </w:t>
      </w:r>
      <w:r w:rsidRPr="00B755E2">
        <w:rPr>
          <w:rFonts w:ascii="Palatino Linotype" w:eastAsia="MS Mincho" w:hAnsi="Palatino Linotype" w:cs="Arial"/>
        </w:rPr>
        <w:t>al momento de interponer su inconformidad.</w:t>
      </w:r>
      <w:r w:rsidRPr="00B755E2">
        <w:rPr>
          <w:rFonts w:ascii="Palatino Linotype" w:eastAsia="Times New Roman" w:hAnsi="Palatino Linotype" w:cs="Arial"/>
          <w:color w:val="000000" w:themeColor="text1"/>
          <w:lang w:val="es-ES" w:eastAsia="es-MX"/>
        </w:rPr>
        <w:t xml:space="preserve"> De modo tal </w:t>
      </w:r>
      <w:r w:rsidRPr="00B755E2">
        <w:rPr>
          <w:rFonts w:ascii="Palatino Linotype" w:hAnsi="Palatino Linotype" w:cs="Arial"/>
          <w:color w:val="000000" w:themeColor="text1"/>
        </w:rPr>
        <w:t xml:space="preserve">que el presente recurso de revisión se abocara en determinar si el </w:t>
      </w:r>
      <w:r w:rsidRPr="00B755E2">
        <w:rPr>
          <w:rFonts w:ascii="Palatino Linotype" w:hAnsi="Palatino Linotype" w:cs="Arial"/>
          <w:b/>
          <w:color w:val="000000" w:themeColor="text1"/>
        </w:rPr>
        <w:t>SUJETO</w:t>
      </w:r>
      <w:r w:rsidRPr="00B755E2">
        <w:rPr>
          <w:rFonts w:ascii="Palatino Linotype" w:hAnsi="Palatino Linotype" w:cs="Arial"/>
          <w:color w:val="000000" w:themeColor="text1"/>
        </w:rPr>
        <w:t xml:space="preserve"> </w:t>
      </w:r>
      <w:r w:rsidRPr="00B755E2">
        <w:rPr>
          <w:rFonts w:ascii="Palatino Linotype" w:hAnsi="Palatino Linotype" w:cs="Arial"/>
          <w:b/>
          <w:color w:val="000000" w:themeColor="text1"/>
        </w:rPr>
        <w:t>OBLIGADO</w:t>
      </w:r>
      <w:r w:rsidRPr="00B755E2">
        <w:rPr>
          <w:rFonts w:ascii="Palatino Linotype" w:hAnsi="Palatino Linotype" w:cs="Arial"/>
          <w:color w:val="000000" w:themeColor="text1"/>
        </w:rPr>
        <w:t xml:space="preserve"> con su respuesta ciertamente </w:t>
      </w:r>
      <w:r w:rsidRPr="00B755E2">
        <w:rPr>
          <w:rFonts w:ascii="Palatino Linotype" w:eastAsia="Times New Roman" w:hAnsi="Palatino Linotype"/>
          <w:color w:val="000000" w:themeColor="text1"/>
        </w:rPr>
        <w:t>actualiza la causal de procedencia</w:t>
      </w:r>
      <w:r w:rsidRPr="00B755E2">
        <w:rPr>
          <w:rFonts w:ascii="Palatino Linotype" w:eastAsia="Times New Roman" w:hAnsi="Palatino Linotype"/>
          <w:b/>
          <w:color w:val="000000" w:themeColor="text1"/>
        </w:rPr>
        <w:t xml:space="preserve"> </w:t>
      </w:r>
      <w:r w:rsidRPr="00B755E2">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14:paraId="23DE523C" w14:textId="77777777" w:rsidR="007210B9" w:rsidRPr="00B755E2" w:rsidRDefault="007210B9" w:rsidP="007210B9">
      <w:pPr>
        <w:pStyle w:val="Prrafodelista"/>
        <w:rPr>
          <w:rFonts w:ascii="Palatino Linotype" w:eastAsia="MS Mincho" w:hAnsi="Palatino Linotype" w:cs="Arial"/>
        </w:rPr>
      </w:pPr>
    </w:p>
    <w:p w14:paraId="3F58AB8F" w14:textId="77777777" w:rsidR="009F09BC" w:rsidRPr="00B755E2" w:rsidRDefault="00A2738F" w:rsidP="00855290">
      <w:pPr>
        <w:pStyle w:val="Ttulo2"/>
        <w:spacing w:before="0" w:line="360" w:lineRule="auto"/>
        <w:rPr>
          <w:rFonts w:ascii="Palatino Linotype" w:hAnsi="Palatino Linotype"/>
          <w:b/>
          <w:color w:val="000000" w:themeColor="text1"/>
          <w:sz w:val="24"/>
          <w:szCs w:val="24"/>
        </w:rPr>
      </w:pPr>
      <w:bookmarkStart w:id="145" w:name="_Toc495427545"/>
      <w:bookmarkStart w:id="146" w:name="_Toc23414596"/>
      <w:bookmarkStart w:id="147" w:name="_Toc34819433"/>
      <w:bookmarkStart w:id="148" w:name="_Toc51259589"/>
      <w:bookmarkStart w:id="149" w:name="_Toc83128582"/>
      <w:r w:rsidRPr="00B755E2">
        <w:rPr>
          <w:rFonts w:ascii="Palatino Linotype" w:hAnsi="Palatino Linotype"/>
          <w:b/>
          <w:color w:val="000000" w:themeColor="text1"/>
          <w:sz w:val="24"/>
          <w:szCs w:val="24"/>
        </w:rPr>
        <w:t>CUAR</w:t>
      </w:r>
      <w:r w:rsidR="009F09BC" w:rsidRPr="00B755E2">
        <w:rPr>
          <w:rFonts w:ascii="Palatino Linotype" w:hAnsi="Palatino Linotype"/>
          <w:b/>
          <w:color w:val="000000" w:themeColor="text1"/>
          <w:sz w:val="24"/>
          <w:szCs w:val="24"/>
        </w:rPr>
        <w:t>TO. Del estudio y resolución del asunto.</w:t>
      </w:r>
      <w:bookmarkEnd w:id="145"/>
      <w:bookmarkEnd w:id="146"/>
      <w:bookmarkEnd w:id="147"/>
      <w:bookmarkEnd w:id="148"/>
      <w:bookmarkEnd w:id="149"/>
    </w:p>
    <w:p w14:paraId="52E56223" w14:textId="77777777" w:rsidR="00B54047" w:rsidRPr="00B755E2" w:rsidRDefault="00B54047" w:rsidP="00855290">
      <w:pPr>
        <w:pStyle w:val="Prrafodelista"/>
        <w:spacing w:line="360" w:lineRule="auto"/>
        <w:ind w:left="0"/>
        <w:jc w:val="both"/>
        <w:rPr>
          <w:rFonts w:ascii="Palatino Linotype" w:eastAsia="MS Mincho" w:hAnsi="Palatino Linotype" w:cs="Arial"/>
        </w:rPr>
      </w:pPr>
    </w:p>
    <w:p w14:paraId="107B3441" w14:textId="77777777" w:rsidR="00041530" w:rsidRPr="00B755E2" w:rsidRDefault="000845EF" w:rsidP="00041530">
      <w:pPr>
        <w:numPr>
          <w:ilvl w:val="0"/>
          <w:numId w:val="1"/>
        </w:numPr>
        <w:spacing w:line="360" w:lineRule="auto"/>
        <w:ind w:left="0" w:firstLine="0"/>
        <w:contextualSpacing/>
        <w:jc w:val="both"/>
        <w:rPr>
          <w:rFonts w:ascii="Palatino Linotype" w:eastAsia="MS Mincho" w:hAnsi="Palatino Linotype" w:cs="Arial"/>
        </w:rPr>
      </w:pPr>
      <w:r w:rsidRPr="00B755E2">
        <w:rPr>
          <w:rFonts w:ascii="Palatino Linotype" w:eastAsia="MS Mincho" w:hAnsi="Palatino Linotype" w:cs="Arial"/>
        </w:rPr>
        <w:t xml:space="preserve">Como se señaló, el hoy </w:t>
      </w:r>
      <w:r w:rsidRPr="00B755E2">
        <w:rPr>
          <w:rFonts w:ascii="Palatino Linotype" w:eastAsia="MS Mincho" w:hAnsi="Palatino Linotype" w:cs="Arial"/>
          <w:b/>
        </w:rPr>
        <w:t xml:space="preserve">RECURRENTE, </w:t>
      </w:r>
      <w:r w:rsidRPr="00B755E2">
        <w:rPr>
          <w:rFonts w:ascii="Palatino Linotype" w:eastAsia="MS Mincho" w:hAnsi="Palatino Linotype" w:cs="Arial"/>
        </w:rPr>
        <w:t xml:space="preserve">pretende acceder al soporte documental integro de convenios signados por el </w:t>
      </w:r>
      <w:r w:rsidRPr="00B755E2">
        <w:rPr>
          <w:rFonts w:ascii="Palatino Linotype" w:eastAsia="MS Mincho" w:hAnsi="Palatino Linotype" w:cs="Arial"/>
          <w:b/>
        </w:rPr>
        <w:t>SUJETO OBLIGADO</w:t>
      </w:r>
      <w:r w:rsidRPr="00B755E2">
        <w:rPr>
          <w:rFonts w:ascii="Palatino Linotype" w:eastAsia="MS Mincho" w:hAnsi="Palatino Linotype" w:cs="Arial"/>
        </w:rPr>
        <w:t xml:space="preserve">, en respuesta como ya se mencionó, se clasificó la información </w:t>
      </w:r>
      <w:r w:rsidR="00041530" w:rsidRPr="00B755E2">
        <w:rPr>
          <w:rFonts w:ascii="Palatino Linotype" w:eastAsia="MS Mincho" w:hAnsi="Palatino Linotype" w:cs="Arial"/>
        </w:rPr>
        <w:t>sumado a que se subrayó, que la Procuraduría de Protección al Ambiente del Estado de México no celebra convenidos dentro del Programa de referencia, sino que los convenios de compensación ambiental, forman parte del procedimiento administrativo en materia ambiental.</w:t>
      </w:r>
    </w:p>
    <w:p w14:paraId="07547A01" w14:textId="77777777" w:rsidR="00041530" w:rsidRPr="00B755E2" w:rsidRDefault="00041530" w:rsidP="00A7007A">
      <w:pPr>
        <w:spacing w:line="360" w:lineRule="auto"/>
        <w:ind w:left="360"/>
        <w:contextualSpacing/>
        <w:jc w:val="both"/>
        <w:rPr>
          <w:rFonts w:ascii="Palatino Linotype" w:eastAsia="MS Mincho" w:hAnsi="Palatino Linotype" w:cs="Arial"/>
        </w:rPr>
      </w:pPr>
    </w:p>
    <w:p w14:paraId="28FC4D3F" w14:textId="77777777" w:rsidR="000845EF" w:rsidRPr="00B755E2" w:rsidRDefault="00041530" w:rsidP="00041530">
      <w:pPr>
        <w:numPr>
          <w:ilvl w:val="0"/>
          <w:numId w:val="1"/>
        </w:numPr>
        <w:spacing w:line="360" w:lineRule="auto"/>
        <w:ind w:left="0" w:firstLine="0"/>
        <w:contextualSpacing/>
        <w:jc w:val="both"/>
        <w:rPr>
          <w:rFonts w:ascii="Palatino Linotype" w:eastAsia="MS Mincho" w:hAnsi="Palatino Linotype" w:cs="Arial"/>
        </w:rPr>
      </w:pPr>
      <w:r w:rsidRPr="00B755E2">
        <w:rPr>
          <w:rFonts w:ascii="Palatino Linotype" w:eastAsia="MS Mincho" w:hAnsi="Palatino Linotype" w:cs="Arial"/>
        </w:rPr>
        <w:t xml:space="preserve">Lo anterior, no implica que no deba ser procedente la solicitud de información, al otorgar el solicitante una clara expresión documental de la información a la que se desea acceder, por lo que en un correcto actuar la </w:t>
      </w:r>
      <w:r w:rsidR="0068467A" w:rsidRPr="00B755E2">
        <w:rPr>
          <w:rFonts w:ascii="Palatino Linotype" w:eastAsia="MS Mincho" w:hAnsi="Palatino Linotype" w:cs="Arial"/>
        </w:rPr>
        <w:t>P</w:t>
      </w:r>
      <w:r w:rsidRPr="00B755E2">
        <w:rPr>
          <w:rFonts w:ascii="Palatino Linotype" w:eastAsia="MS Mincho" w:hAnsi="Palatino Linotype" w:cs="Arial"/>
        </w:rPr>
        <w:t>rocuraduría dio curso a la atención de la solicitud conforme a lo establecido en diversos criterios emitidos por el Órgano Garante Nacional.</w:t>
      </w:r>
    </w:p>
    <w:p w14:paraId="5043CB0F" w14:textId="77777777" w:rsidR="00041530" w:rsidRPr="00B755E2" w:rsidRDefault="00041530" w:rsidP="00041530">
      <w:pPr>
        <w:spacing w:line="360" w:lineRule="auto"/>
        <w:contextualSpacing/>
        <w:jc w:val="both"/>
        <w:rPr>
          <w:rFonts w:ascii="Palatino Linotype" w:eastAsia="MS Mincho" w:hAnsi="Palatino Linotype" w:cs="Arial"/>
        </w:rPr>
      </w:pPr>
    </w:p>
    <w:p w14:paraId="5724276A" w14:textId="4E467B04" w:rsidR="000845EF" w:rsidRPr="00B755E2" w:rsidRDefault="00041530" w:rsidP="00041530">
      <w:pPr>
        <w:numPr>
          <w:ilvl w:val="0"/>
          <w:numId w:val="1"/>
        </w:numPr>
        <w:spacing w:line="360" w:lineRule="auto"/>
        <w:ind w:left="0" w:firstLine="0"/>
        <w:contextualSpacing/>
        <w:jc w:val="both"/>
        <w:rPr>
          <w:rFonts w:ascii="Palatino Linotype" w:eastAsia="MS Mincho" w:hAnsi="Palatino Linotype" w:cs="Arial"/>
        </w:rPr>
      </w:pPr>
      <w:r w:rsidRPr="00B755E2">
        <w:rPr>
          <w:rFonts w:ascii="Palatino Linotype" w:eastAsia="MS Mincho" w:hAnsi="Palatino Linotype" w:cs="Arial"/>
        </w:rPr>
        <w:lastRenderedPageBreak/>
        <w:t xml:space="preserve">En esa tesitura, si bien es cierto lo requerido no son en estricto sentido los procedimientos sustanciados; también lo es que se solicita información contenidos dentro de los mismos, como se desprende del </w:t>
      </w:r>
      <w:r w:rsidR="007C565A" w:rsidRPr="00B755E2">
        <w:rPr>
          <w:rFonts w:ascii="Palatino Linotype" w:eastAsia="MS Mincho" w:hAnsi="Palatino Linotype" w:cs="Arial"/>
        </w:rPr>
        <w:t>artículo</w:t>
      </w:r>
      <w:r w:rsidRPr="00B755E2">
        <w:rPr>
          <w:rFonts w:ascii="Palatino Linotype" w:eastAsia="MS Mincho" w:hAnsi="Palatino Linotype" w:cs="Arial"/>
        </w:rPr>
        <w:t xml:space="preserve"> 2.237 del </w:t>
      </w:r>
      <w:r w:rsidRPr="00B755E2">
        <w:rPr>
          <w:rFonts w:ascii="Palatino Linotype" w:eastAsia="MS Mincho" w:hAnsi="Palatino Linotype" w:cs="Arial"/>
          <w:b/>
        </w:rPr>
        <w:t>Código para la Biodiversidad del Estado de México</w:t>
      </w:r>
      <w:r w:rsidRPr="00B755E2">
        <w:rPr>
          <w:rFonts w:ascii="Palatino Linotype" w:eastAsia="MS Mincho" w:hAnsi="Palatino Linotype" w:cs="Arial"/>
        </w:rPr>
        <w:t>, a saber:</w:t>
      </w:r>
    </w:p>
    <w:p w14:paraId="07459315" w14:textId="77777777" w:rsidR="0078492D" w:rsidRPr="00B755E2" w:rsidRDefault="0078492D" w:rsidP="0078492D">
      <w:pPr>
        <w:spacing w:line="360" w:lineRule="auto"/>
        <w:contextualSpacing/>
        <w:jc w:val="both"/>
        <w:rPr>
          <w:rFonts w:ascii="Palatino Linotype" w:eastAsia="MS Mincho" w:hAnsi="Palatino Linotype" w:cs="Arial"/>
        </w:rPr>
      </w:pPr>
    </w:p>
    <w:p w14:paraId="4E9574C8" w14:textId="77777777" w:rsidR="00041530" w:rsidRPr="00B755E2" w:rsidRDefault="006F066D" w:rsidP="0078492D">
      <w:pPr>
        <w:spacing w:line="360" w:lineRule="auto"/>
        <w:ind w:left="851" w:right="616"/>
        <w:contextualSpacing/>
        <w:jc w:val="both"/>
        <w:rPr>
          <w:rFonts w:ascii="Palatino Linotype" w:eastAsia="MS Mincho" w:hAnsi="Palatino Linotype" w:cs="Arial"/>
          <w:i/>
          <w:sz w:val="22"/>
        </w:rPr>
      </w:pPr>
      <w:r w:rsidRPr="00B755E2">
        <w:rPr>
          <w:rFonts w:ascii="Palatino Linotype" w:eastAsia="MS Mincho" w:hAnsi="Palatino Linotype" w:cs="Arial"/>
          <w:i/>
          <w:sz w:val="22"/>
        </w:rPr>
        <w:t xml:space="preserve">“Artículo 2.237. Una vez recibidos los alegatos o transcurrido el término para presentarlos, la Secretaría o el Ayuntamiento correspondiente procederán dentro de los veinte días hábiles siguientes a dictar por escrito la resolución respectiva, misma que se notificará al interesado personalmente o por correo certificado con acuse de recibo. Durante el procedimiento y antes de que se dicte resolución, el interesado y la Secretaría o el Ayuntamiento a petición del primero </w:t>
      </w:r>
      <w:r w:rsidRPr="00B755E2">
        <w:rPr>
          <w:rFonts w:ascii="Palatino Linotype" w:eastAsia="MS Mincho" w:hAnsi="Palatino Linotype" w:cs="Arial"/>
          <w:b/>
          <w:i/>
          <w:sz w:val="22"/>
        </w:rPr>
        <w:t>podrán convenir la realización de las acciones de restauración o compensación de daños necesarias para la corrección de las presuntas irregularidades observadas. La instrumentación, evaluación y sanción de dicho convenio se llevará a cabo en los términos del artículo 2.251 siguiente</w:t>
      </w:r>
      <w:r w:rsidRPr="00B755E2">
        <w:rPr>
          <w:rFonts w:ascii="Palatino Linotype" w:eastAsia="MS Mincho" w:hAnsi="Palatino Linotype" w:cs="Arial"/>
          <w:i/>
          <w:sz w:val="22"/>
        </w:rPr>
        <w:t>.”</w:t>
      </w:r>
    </w:p>
    <w:p w14:paraId="6537F28F" w14:textId="77777777" w:rsidR="006F066D" w:rsidRPr="00B755E2" w:rsidRDefault="006F066D" w:rsidP="0078492D">
      <w:pPr>
        <w:spacing w:line="360" w:lineRule="auto"/>
        <w:ind w:left="851" w:right="616"/>
        <w:contextualSpacing/>
        <w:jc w:val="both"/>
        <w:rPr>
          <w:rFonts w:ascii="Palatino Linotype" w:eastAsia="MS Mincho" w:hAnsi="Palatino Linotype" w:cs="Arial"/>
          <w:i/>
          <w:sz w:val="22"/>
        </w:rPr>
      </w:pPr>
    </w:p>
    <w:p w14:paraId="19204C09" w14:textId="77777777" w:rsidR="006F066D" w:rsidRPr="00B755E2" w:rsidRDefault="006F066D" w:rsidP="0078492D">
      <w:pPr>
        <w:spacing w:line="360" w:lineRule="auto"/>
        <w:ind w:left="851" w:right="616"/>
        <w:contextualSpacing/>
        <w:jc w:val="both"/>
        <w:rPr>
          <w:rFonts w:ascii="Palatino Linotype" w:eastAsia="MS Mincho" w:hAnsi="Palatino Linotype" w:cs="Arial"/>
          <w:i/>
          <w:sz w:val="22"/>
        </w:rPr>
      </w:pPr>
      <w:r w:rsidRPr="00B755E2">
        <w:rPr>
          <w:rFonts w:ascii="Palatino Linotype" w:eastAsia="MS Mincho" w:hAnsi="Palatino Linotype" w:cs="Arial"/>
          <w:i/>
          <w:sz w:val="22"/>
        </w:rPr>
        <w:t>Artículo 2.251. Cuando se presenten emergencias ecológicas o contingencias ambientales que no rebasen el territorio del Estado y no requieran de la acción exclusiva de la Federación o en casos de contaminación con repercusiones peligrosas para la biodiversidad, los ecosistemas y sus componentes, la salud pública, el titular del Poder Ejecutivo a través de la Secretaría y los Ayuntamientos podrán ordenar como medida de seguridad la retención de sustancias o materiales contaminantes, la clausura temporal, parcial o total de las fuentes contaminantes y promoverán ante las autoridades competentes en los términos de las disposiciones aplicables, la ejecución de las medidas de seguridad que se establezcan para tal efecto.</w:t>
      </w:r>
    </w:p>
    <w:p w14:paraId="0657C811" w14:textId="77777777" w:rsidR="006F066D" w:rsidRPr="00B755E2" w:rsidRDefault="006F066D" w:rsidP="0078492D">
      <w:pPr>
        <w:spacing w:line="360" w:lineRule="auto"/>
        <w:ind w:left="851" w:right="616"/>
        <w:contextualSpacing/>
        <w:jc w:val="both"/>
        <w:rPr>
          <w:rFonts w:ascii="Palatino Linotype" w:eastAsia="MS Mincho" w:hAnsi="Palatino Linotype" w:cs="Arial"/>
          <w:i/>
          <w:sz w:val="22"/>
        </w:rPr>
      </w:pPr>
      <w:r w:rsidRPr="00B755E2">
        <w:rPr>
          <w:rFonts w:ascii="Palatino Linotype" w:eastAsia="MS Mincho" w:hAnsi="Palatino Linotype" w:cs="Arial"/>
          <w:i/>
          <w:sz w:val="22"/>
        </w:rPr>
        <w:lastRenderedPageBreak/>
        <w:t>Cuando los ordenamientos a que se refiere el párrafo anterior, no incluyan medidas de seguridad para hacer frente a los riesgos de desequilibrio ecológico, la Secretaría o los Ayuntamientos previa opinión de las autoridades competentes, emitirán las disposiciones conducentes.</w:t>
      </w:r>
    </w:p>
    <w:p w14:paraId="6DFB9E20" w14:textId="77777777" w:rsidR="006F066D" w:rsidRPr="00B755E2" w:rsidRDefault="006F066D" w:rsidP="0078492D">
      <w:pPr>
        <w:spacing w:line="360" w:lineRule="auto"/>
        <w:ind w:left="851" w:right="616"/>
        <w:contextualSpacing/>
        <w:jc w:val="both"/>
        <w:rPr>
          <w:rFonts w:ascii="Palatino Linotype" w:eastAsia="MS Mincho" w:hAnsi="Palatino Linotype" w:cs="Arial"/>
          <w:i/>
          <w:sz w:val="22"/>
        </w:rPr>
      </w:pPr>
    </w:p>
    <w:p w14:paraId="68C57AEE" w14:textId="77777777" w:rsidR="006F066D" w:rsidRPr="00B755E2" w:rsidRDefault="006F066D" w:rsidP="0078492D">
      <w:pPr>
        <w:spacing w:line="360" w:lineRule="auto"/>
        <w:ind w:left="851" w:right="616"/>
        <w:contextualSpacing/>
        <w:jc w:val="both"/>
        <w:rPr>
          <w:rFonts w:ascii="Palatino Linotype" w:eastAsia="MS Mincho" w:hAnsi="Palatino Linotype" w:cs="Arial"/>
          <w:sz w:val="22"/>
        </w:rPr>
      </w:pPr>
      <w:r w:rsidRPr="00B755E2">
        <w:rPr>
          <w:rFonts w:ascii="Palatino Linotype" w:eastAsia="MS Mincho" w:hAnsi="Palatino Linotype" w:cs="Arial"/>
          <w:sz w:val="22"/>
        </w:rPr>
        <w:t>(Énfasis añadido)</w:t>
      </w:r>
    </w:p>
    <w:p w14:paraId="70DF9E56" w14:textId="77777777" w:rsidR="006F066D" w:rsidRPr="00B755E2" w:rsidRDefault="006F066D" w:rsidP="00041530">
      <w:pPr>
        <w:spacing w:line="360" w:lineRule="auto"/>
        <w:contextualSpacing/>
        <w:jc w:val="both"/>
        <w:rPr>
          <w:rFonts w:ascii="Palatino Linotype" w:eastAsia="MS Mincho" w:hAnsi="Palatino Linotype" w:cs="Arial"/>
        </w:rPr>
      </w:pPr>
    </w:p>
    <w:p w14:paraId="68405CA0" w14:textId="18B966FA" w:rsidR="00041530" w:rsidRPr="00B755E2" w:rsidRDefault="006F066D" w:rsidP="006F066D">
      <w:pPr>
        <w:numPr>
          <w:ilvl w:val="0"/>
          <w:numId w:val="1"/>
        </w:numPr>
        <w:spacing w:line="360" w:lineRule="auto"/>
        <w:ind w:left="0" w:firstLine="0"/>
        <w:contextualSpacing/>
        <w:jc w:val="both"/>
        <w:rPr>
          <w:rFonts w:ascii="Palatino Linotype" w:eastAsia="MS Mincho" w:hAnsi="Palatino Linotype" w:cs="Arial"/>
        </w:rPr>
      </w:pPr>
      <w:r w:rsidRPr="00B755E2">
        <w:rPr>
          <w:rFonts w:ascii="Palatino Linotype" w:eastAsia="MS Mincho" w:hAnsi="Palatino Linotype" w:cs="Arial"/>
        </w:rPr>
        <w:t xml:space="preserve">Como se aprecia, lo solicitado ciertamente forma parte de los procedimientos administrativos, motivo por el </w:t>
      </w:r>
      <w:r w:rsidR="007C565A" w:rsidRPr="00B755E2">
        <w:rPr>
          <w:rFonts w:ascii="Palatino Linotype" w:eastAsia="MS Mincho" w:hAnsi="Palatino Linotype" w:cs="Arial"/>
        </w:rPr>
        <w:t>que</w:t>
      </w:r>
      <w:r w:rsidRPr="00B755E2">
        <w:rPr>
          <w:rFonts w:ascii="Palatino Linotype" w:eastAsia="MS Mincho" w:hAnsi="Palatino Linotype" w:cs="Arial"/>
        </w:rPr>
        <w:t xml:space="preserve"> el </w:t>
      </w:r>
      <w:r w:rsidRPr="00B755E2">
        <w:rPr>
          <w:rFonts w:ascii="Palatino Linotype" w:eastAsia="MS Mincho" w:hAnsi="Palatino Linotype" w:cs="Arial"/>
          <w:b/>
        </w:rPr>
        <w:t>SUJETO OBLIGADO</w:t>
      </w:r>
      <w:r w:rsidRPr="00B755E2">
        <w:rPr>
          <w:rFonts w:ascii="Palatino Linotype" w:eastAsia="MS Mincho" w:hAnsi="Palatino Linotype" w:cs="Arial"/>
        </w:rPr>
        <w:t xml:space="preserve"> arguye una imposibilidad de hacerla pública por no causar estado, al no existir una resolución. En ese sentido, la Ley de Transparencia y Acceso a la Información Pública del Estado de México y Municipios, establece en su artículo 140 </w:t>
      </w:r>
      <w:r w:rsidR="00D52DAB" w:rsidRPr="00B755E2">
        <w:rPr>
          <w:rFonts w:ascii="Palatino Linotype" w:eastAsia="MS Mincho" w:hAnsi="Palatino Linotype" w:cs="Arial"/>
        </w:rPr>
        <w:t xml:space="preserve">fracción VIII, </w:t>
      </w:r>
      <w:r w:rsidRPr="00B755E2">
        <w:rPr>
          <w:rFonts w:ascii="Palatino Linotype" w:eastAsia="MS Mincho" w:hAnsi="Palatino Linotype" w:cs="Arial"/>
        </w:rPr>
        <w:t>lo siguiente:</w:t>
      </w:r>
    </w:p>
    <w:p w14:paraId="44E871BC" w14:textId="77777777" w:rsidR="006F066D" w:rsidRPr="00B755E2" w:rsidRDefault="006F066D" w:rsidP="006F066D">
      <w:pPr>
        <w:spacing w:line="360" w:lineRule="auto"/>
        <w:contextualSpacing/>
        <w:jc w:val="both"/>
        <w:rPr>
          <w:rFonts w:ascii="Palatino Linotype" w:eastAsia="MS Mincho" w:hAnsi="Palatino Linotype" w:cs="Arial"/>
        </w:rPr>
      </w:pPr>
    </w:p>
    <w:p w14:paraId="655BF60D" w14:textId="77777777" w:rsidR="006F066D" w:rsidRPr="00B755E2" w:rsidRDefault="006F066D" w:rsidP="0078492D">
      <w:pPr>
        <w:spacing w:line="360" w:lineRule="auto"/>
        <w:ind w:left="851" w:right="618"/>
        <w:contextualSpacing/>
        <w:jc w:val="both"/>
        <w:rPr>
          <w:rFonts w:ascii="Palatino Linotype" w:eastAsia="MS Mincho" w:hAnsi="Palatino Linotype" w:cs="Arial"/>
          <w:i/>
          <w:sz w:val="22"/>
        </w:rPr>
      </w:pPr>
      <w:r w:rsidRPr="00B755E2">
        <w:rPr>
          <w:rFonts w:ascii="Palatino Linotype" w:eastAsia="MS Mincho" w:hAnsi="Palatino Linotype" w:cs="Arial"/>
          <w:i/>
          <w:sz w:val="22"/>
        </w:rPr>
        <w:t>“Artículo 140. El acceso a la información pública será restringido excepcionalmente, cuando por razones de interés público, ésta sea clasificada como reservada, conforme a los criterios siguientes:</w:t>
      </w:r>
    </w:p>
    <w:p w14:paraId="2B3D4F80" w14:textId="77777777" w:rsidR="006F066D" w:rsidRPr="00B755E2" w:rsidRDefault="006F066D" w:rsidP="0078492D">
      <w:pPr>
        <w:spacing w:line="360" w:lineRule="auto"/>
        <w:ind w:left="851" w:right="618"/>
        <w:contextualSpacing/>
        <w:jc w:val="both"/>
        <w:rPr>
          <w:rFonts w:ascii="Palatino Linotype" w:eastAsia="MS Mincho" w:hAnsi="Palatino Linotype" w:cs="Arial"/>
          <w:i/>
          <w:sz w:val="22"/>
        </w:rPr>
      </w:pPr>
      <w:r w:rsidRPr="00B755E2">
        <w:rPr>
          <w:rFonts w:ascii="Palatino Linotype" w:eastAsia="MS Mincho" w:hAnsi="Palatino Linotype" w:cs="Arial"/>
          <w:i/>
          <w:sz w:val="22"/>
        </w:rPr>
        <w:t>...</w:t>
      </w:r>
    </w:p>
    <w:p w14:paraId="24C29292" w14:textId="77777777" w:rsidR="006F066D" w:rsidRPr="00B755E2" w:rsidRDefault="006F066D" w:rsidP="0078492D">
      <w:pPr>
        <w:spacing w:line="360" w:lineRule="auto"/>
        <w:ind w:left="851" w:right="618"/>
        <w:contextualSpacing/>
        <w:jc w:val="both"/>
        <w:rPr>
          <w:rFonts w:ascii="Palatino Linotype" w:eastAsia="MS Mincho" w:hAnsi="Palatino Linotype" w:cs="Arial"/>
          <w:i/>
          <w:sz w:val="22"/>
        </w:rPr>
      </w:pPr>
      <w:r w:rsidRPr="00B755E2">
        <w:rPr>
          <w:rFonts w:ascii="Palatino Linotype" w:eastAsia="MS Mincho" w:hAnsi="Palatino Linotype" w:cs="Arial"/>
          <w:i/>
          <w:sz w:val="22"/>
        </w:rPr>
        <w:t xml:space="preserve">VIII. </w:t>
      </w:r>
      <w:r w:rsidRPr="00B755E2">
        <w:rPr>
          <w:rFonts w:ascii="Palatino Linotype" w:eastAsia="MS Mincho" w:hAnsi="Palatino Linotype" w:cs="Arial"/>
          <w:b/>
          <w:i/>
          <w:sz w:val="22"/>
        </w:rPr>
        <w:t>Vulnere la conducción de los expedientes judiciales o de los procedimientos administrativos seguidos en forma de juicio, en tanto no hayan quedado firmes</w:t>
      </w:r>
      <w:r w:rsidRPr="00B755E2">
        <w:rPr>
          <w:rFonts w:ascii="Palatino Linotype" w:eastAsia="MS Mincho" w:hAnsi="Palatino Linotype" w:cs="Arial"/>
          <w:i/>
          <w:sz w:val="22"/>
        </w:rPr>
        <w:t>;</w:t>
      </w:r>
    </w:p>
    <w:p w14:paraId="13931745" w14:textId="77777777" w:rsidR="006F066D" w:rsidRPr="00B755E2" w:rsidRDefault="006F066D" w:rsidP="0078492D">
      <w:pPr>
        <w:spacing w:line="360" w:lineRule="auto"/>
        <w:ind w:left="851" w:right="618"/>
        <w:contextualSpacing/>
        <w:jc w:val="both"/>
        <w:rPr>
          <w:rFonts w:ascii="Palatino Linotype" w:eastAsia="MS Mincho" w:hAnsi="Palatino Linotype" w:cs="Arial"/>
          <w:i/>
          <w:sz w:val="22"/>
        </w:rPr>
      </w:pPr>
      <w:r w:rsidRPr="00B755E2">
        <w:rPr>
          <w:rFonts w:ascii="Palatino Linotype" w:eastAsia="MS Mincho" w:hAnsi="Palatino Linotype" w:cs="Arial"/>
          <w:i/>
          <w:sz w:val="22"/>
        </w:rPr>
        <w:t>…”</w:t>
      </w:r>
    </w:p>
    <w:p w14:paraId="144A5D23" w14:textId="77777777" w:rsidR="006F066D" w:rsidRPr="00B755E2" w:rsidRDefault="006F066D" w:rsidP="006F066D">
      <w:pPr>
        <w:spacing w:line="360" w:lineRule="auto"/>
        <w:contextualSpacing/>
        <w:jc w:val="both"/>
        <w:rPr>
          <w:rFonts w:ascii="Palatino Linotype" w:eastAsia="MS Mincho" w:hAnsi="Palatino Linotype" w:cs="Arial"/>
        </w:rPr>
      </w:pPr>
    </w:p>
    <w:p w14:paraId="47614625" w14:textId="77777777" w:rsidR="00D52DAB" w:rsidRPr="00B755E2" w:rsidRDefault="00D52DAB" w:rsidP="00D52DAB">
      <w:pPr>
        <w:numPr>
          <w:ilvl w:val="0"/>
          <w:numId w:val="1"/>
        </w:numPr>
        <w:spacing w:line="360" w:lineRule="auto"/>
        <w:ind w:left="0" w:firstLine="0"/>
        <w:contextualSpacing/>
        <w:jc w:val="both"/>
        <w:rPr>
          <w:rFonts w:ascii="Palatino Linotype" w:eastAsia="MS Mincho" w:hAnsi="Palatino Linotype" w:cs="Arial"/>
        </w:rPr>
      </w:pPr>
      <w:r w:rsidRPr="00B755E2">
        <w:rPr>
          <w:rFonts w:ascii="Palatino Linotype" w:eastAsia="MS Mincho" w:hAnsi="Palatino Linotype" w:cs="Arial"/>
        </w:rPr>
        <w:t>Por su parte los Lineamientos Generales Para la Clasificación y Desclasificación de da Información Pública, señalan al respecto lo siguiente:</w:t>
      </w:r>
    </w:p>
    <w:p w14:paraId="738610EB" w14:textId="77777777" w:rsidR="00D52DAB" w:rsidRPr="00B755E2" w:rsidRDefault="00D52DAB" w:rsidP="00D52DAB">
      <w:pPr>
        <w:spacing w:line="360" w:lineRule="auto"/>
        <w:contextualSpacing/>
        <w:jc w:val="both"/>
        <w:rPr>
          <w:rFonts w:ascii="Palatino Linotype" w:eastAsia="MS Mincho" w:hAnsi="Palatino Linotype" w:cs="Arial"/>
        </w:rPr>
      </w:pPr>
    </w:p>
    <w:p w14:paraId="3B3C85BF" w14:textId="77777777" w:rsidR="00D52DAB" w:rsidRPr="00B755E2" w:rsidRDefault="00D52DAB" w:rsidP="0078492D">
      <w:pPr>
        <w:spacing w:line="360" w:lineRule="auto"/>
        <w:ind w:left="851" w:right="616"/>
        <w:contextualSpacing/>
        <w:jc w:val="both"/>
        <w:rPr>
          <w:rFonts w:ascii="Palatino Linotype" w:eastAsia="MS Mincho" w:hAnsi="Palatino Linotype" w:cs="Arial"/>
          <w:i/>
          <w:sz w:val="22"/>
        </w:rPr>
      </w:pPr>
      <w:r w:rsidRPr="00B755E2">
        <w:rPr>
          <w:rFonts w:ascii="Palatino Linotype" w:eastAsia="MS Mincho" w:hAnsi="Palatino Linotype" w:cs="Arial"/>
          <w:i/>
          <w:sz w:val="22"/>
        </w:rPr>
        <w:lastRenderedPageBreak/>
        <w:t>“VIGÉSIMO SEXTO. La información se clasificará como reservada en los términos de la fracción IV del artículo 41 de la Ley, siempre que se trate de expedientes de juicioso procedimientos que no hayan causado estado, con excepción de los casos en los que sea inexcusable la tutela del derecho de protección de datos personales, tales como:</w:t>
      </w:r>
    </w:p>
    <w:p w14:paraId="4EC1DC99" w14:textId="77777777" w:rsidR="00D52DAB" w:rsidRPr="00B755E2" w:rsidRDefault="00D52DAB" w:rsidP="0078492D">
      <w:pPr>
        <w:spacing w:line="360" w:lineRule="auto"/>
        <w:ind w:left="851" w:right="616"/>
        <w:contextualSpacing/>
        <w:jc w:val="both"/>
        <w:rPr>
          <w:rFonts w:ascii="Palatino Linotype" w:eastAsia="MS Mincho" w:hAnsi="Palatino Linotype" w:cs="Arial"/>
          <w:i/>
          <w:sz w:val="22"/>
        </w:rPr>
      </w:pPr>
      <w:r w:rsidRPr="00B755E2">
        <w:rPr>
          <w:rFonts w:ascii="Palatino Linotype" w:eastAsia="MS Mincho" w:hAnsi="Palatino Linotype" w:cs="Arial"/>
          <w:i/>
          <w:sz w:val="22"/>
        </w:rPr>
        <w:t xml:space="preserve">I. </w:t>
      </w:r>
      <w:r w:rsidRPr="00B755E2">
        <w:rPr>
          <w:rFonts w:ascii="Palatino Linotype" w:eastAsia="MS Mincho" w:hAnsi="Palatino Linotype" w:cs="Arial"/>
          <w:b/>
          <w:i/>
          <w:sz w:val="22"/>
        </w:rPr>
        <w:t>Procesos y procedimientos sustanciados ante los tribunales judiciales y administrativos del Estado</w:t>
      </w:r>
      <w:r w:rsidRPr="00B755E2">
        <w:rPr>
          <w:rFonts w:ascii="Palatino Linotype" w:eastAsia="MS Mincho" w:hAnsi="Palatino Linotype" w:cs="Arial"/>
          <w:i/>
          <w:sz w:val="22"/>
        </w:rPr>
        <w:t>;</w:t>
      </w:r>
    </w:p>
    <w:p w14:paraId="74FEB394" w14:textId="77777777" w:rsidR="00D52DAB" w:rsidRPr="00B755E2" w:rsidRDefault="00D52DAB" w:rsidP="0078492D">
      <w:pPr>
        <w:spacing w:line="360" w:lineRule="auto"/>
        <w:ind w:left="851" w:right="616"/>
        <w:contextualSpacing/>
        <w:jc w:val="both"/>
        <w:rPr>
          <w:rFonts w:ascii="Palatino Linotype" w:eastAsia="MS Mincho" w:hAnsi="Palatino Linotype" w:cs="Arial"/>
          <w:i/>
          <w:sz w:val="22"/>
        </w:rPr>
      </w:pPr>
      <w:r w:rsidRPr="00B755E2">
        <w:rPr>
          <w:rFonts w:ascii="Palatino Linotype" w:eastAsia="MS Mincho" w:hAnsi="Palatino Linotype" w:cs="Arial"/>
          <w:i/>
          <w:sz w:val="22"/>
        </w:rPr>
        <w:t>II. Procedimientos de responsabilidad laboral;</w:t>
      </w:r>
    </w:p>
    <w:p w14:paraId="2ECEEA86" w14:textId="77777777" w:rsidR="00D52DAB" w:rsidRPr="00B755E2" w:rsidRDefault="00D52DAB" w:rsidP="0078492D">
      <w:pPr>
        <w:spacing w:line="360" w:lineRule="auto"/>
        <w:ind w:left="851" w:right="616"/>
        <w:contextualSpacing/>
        <w:jc w:val="both"/>
        <w:rPr>
          <w:rFonts w:ascii="Palatino Linotype" w:eastAsia="MS Mincho" w:hAnsi="Palatino Linotype" w:cs="Arial"/>
          <w:i/>
          <w:sz w:val="22"/>
        </w:rPr>
      </w:pPr>
      <w:r w:rsidRPr="00B755E2">
        <w:rPr>
          <w:rFonts w:ascii="Palatino Linotype" w:eastAsia="MS Mincho" w:hAnsi="Palatino Linotype" w:cs="Arial"/>
          <w:i/>
          <w:sz w:val="22"/>
        </w:rPr>
        <w:t>III. Procedimientos de responsabilidad administrativa;</w:t>
      </w:r>
    </w:p>
    <w:p w14:paraId="0DE109D2" w14:textId="77777777" w:rsidR="00D52DAB" w:rsidRPr="00B755E2" w:rsidRDefault="00D52DAB" w:rsidP="0078492D">
      <w:pPr>
        <w:spacing w:line="360" w:lineRule="auto"/>
        <w:ind w:left="851" w:right="616"/>
        <w:contextualSpacing/>
        <w:jc w:val="both"/>
        <w:rPr>
          <w:rFonts w:ascii="Palatino Linotype" w:eastAsia="MS Mincho" w:hAnsi="Palatino Linotype" w:cs="Arial"/>
          <w:i/>
          <w:sz w:val="22"/>
        </w:rPr>
      </w:pPr>
      <w:r w:rsidRPr="00B755E2">
        <w:rPr>
          <w:rFonts w:ascii="Palatino Linotype" w:eastAsia="MS Mincho" w:hAnsi="Palatino Linotype" w:cs="Arial"/>
          <w:i/>
          <w:sz w:val="22"/>
        </w:rPr>
        <w:t>IV. Procedimientos de queja ante las áreas de inspección general de policía, asuntos internos o Comisión de Honor y Justicia;</w:t>
      </w:r>
    </w:p>
    <w:p w14:paraId="76138918" w14:textId="77777777" w:rsidR="00D52DAB" w:rsidRPr="00B755E2" w:rsidRDefault="00D52DAB" w:rsidP="0078492D">
      <w:pPr>
        <w:spacing w:line="360" w:lineRule="auto"/>
        <w:ind w:left="851" w:right="616"/>
        <w:contextualSpacing/>
        <w:jc w:val="both"/>
        <w:rPr>
          <w:rFonts w:ascii="Palatino Linotype" w:eastAsia="MS Mincho" w:hAnsi="Palatino Linotype" w:cs="Arial"/>
          <w:i/>
          <w:sz w:val="22"/>
        </w:rPr>
      </w:pPr>
      <w:r w:rsidRPr="00B755E2">
        <w:rPr>
          <w:rFonts w:ascii="Palatino Linotype" w:eastAsia="MS Mincho" w:hAnsi="Palatino Linotype" w:cs="Arial"/>
          <w:i/>
          <w:sz w:val="22"/>
        </w:rPr>
        <w:t>V. Las actuaciones derivadas del procedimiento en materia de medios de justicia alternativa;</w:t>
      </w:r>
    </w:p>
    <w:p w14:paraId="1CB88289" w14:textId="77777777" w:rsidR="00D52DAB" w:rsidRPr="00B755E2" w:rsidRDefault="00D52DAB" w:rsidP="0078492D">
      <w:pPr>
        <w:spacing w:line="360" w:lineRule="auto"/>
        <w:ind w:left="851" w:right="616"/>
        <w:contextualSpacing/>
        <w:jc w:val="both"/>
        <w:rPr>
          <w:rFonts w:ascii="Palatino Linotype" w:eastAsia="MS Mincho" w:hAnsi="Palatino Linotype" w:cs="Arial"/>
          <w:i/>
          <w:sz w:val="22"/>
        </w:rPr>
      </w:pPr>
      <w:r w:rsidRPr="00B755E2">
        <w:rPr>
          <w:rFonts w:ascii="Palatino Linotype" w:eastAsia="MS Mincho" w:hAnsi="Palatino Linotype" w:cs="Arial"/>
          <w:i/>
          <w:sz w:val="22"/>
        </w:rPr>
        <w:t>VI. Los procedimientos de queja ante la Comisión Estatal de Derechos Humanos: y</w:t>
      </w:r>
    </w:p>
    <w:p w14:paraId="3F14E946" w14:textId="77777777" w:rsidR="00D52DAB" w:rsidRPr="00B755E2" w:rsidRDefault="00D52DAB" w:rsidP="0078492D">
      <w:pPr>
        <w:spacing w:line="360" w:lineRule="auto"/>
        <w:ind w:left="851" w:right="616"/>
        <w:contextualSpacing/>
        <w:jc w:val="both"/>
        <w:rPr>
          <w:rFonts w:ascii="Palatino Linotype" w:eastAsia="MS Mincho" w:hAnsi="Palatino Linotype" w:cs="Arial"/>
          <w:i/>
          <w:sz w:val="22"/>
        </w:rPr>
      </w:pPr>
      <w:r w:rsidRPr="00B755E2">
        <w:rPr>
          <w:rFonts w:ascii="Palatino Linotype" w:eastAsia="MS Mincho" w:hAnsi="Palatino Linotype" w:cs="Arial"/>
          <w:i/>
          <w:sz w:val="22"/>
        </w:rPr>
        <w:t>VII. Procedimientos de responsabilidad patrimonial.</w:t>
      </w:r>
    </w:p>
    <w:p w14:paraId="511D2C24" w14:textId="77777777" w:rsidR="00D52DAB" w:rsidRPr="00B755E2" w:rsidRDefault="00D52DAB" w:rsidP="0078492D">
      <w:pPr>
        <w:spacing w:line="360" w:lineRule="auto"/>
        <w:ind w:left="851" w:right="616"/>
        <w:contextualSpacing/>
        <w:jc w:val="both"/>
        <w:rPr>
          <w:rFonts w:ascii="Palatino Linotype" w:eastAsia="MS Mincho" w:hAnsi="Palatino Linotype" w:cs="Arial"/>
          <w:i/>
          <w:sz w:val="22"/>
        </w:rPr>
      </w:pPr>
      <w:r w:rsidRPr="00B755E2">
        <w:rPr>
          <w:rFonts w:ascii="Palatino Linotype" w:eastAsia="MS Mincho" w:hAnsi="Palatino Linotype" w:cs="Arial"/>
          <w:i/>
          <w:sz w:val="22"/>
        </w:rPr>
        <w:t>En todos los casos se deberá fundamentar y motivar, informando del estado procesal que guarda.</w:t>
      </w:r>
    </w:p>
    <w:p w14:paraId="001262C8" w14:textId="77777777" w:rsidR="00D52DAB" w:rsidRPr="00B755E2" w:rsidRDefault="00D52DAB" w:rsidP="0078492D">
      <w:pPr>
        <w:spacing w:line="360" w:lineRule="auto"/>
        <w:ind w:left="851" w:right="616"/>
        <w:contextualSpacing/>
        <w:jc w:val="both"/>
        <w:rPr>
          <w:rFonts w:ascii="Palatino Linotype" w:eastAsia="MS Mincho" w:hAnsi="Palatino Linotype" w:cs="Arial"/>
          <w:i/>
          <w:sz w:val="22"/>
        </w:rPr>
      </w:pPr>
      <w:r w:rsidRPr="00B755E2">
        <w:rPr>
          <w:rFonts w:ascii="Palatino Linotype" w:eastAsia="MS Mincho" w:hAnsi="Palatino Linotype" w:cs="Arial"/>
          <w:i/>
          <w:sz w:val="22"/>
        </w:rPr>
        <w:t>Para los efectos de la fracción IV del artículo 41 de la Ley, se entiende que una resolución es definitiva, cuando pone fin al procedimiento en términos de las disposiciones legales aplicables y haya sido dictada por la autoridad competente para conocer de éste.</w:t>
      </w:r>
    </w:p>
    <w:p w14:paraId="3560938D" w14:textId="77777777" w:rsidR="00D52DAB" w:rsidRPr="00B755E2" w:rsidRDefault="00D52DAB" w:rsidP="0078492D">
      <w:pPr>
        <w:spacing w:line="360" w:lineRule="auto"/>
        <w:ind w:left="851" w:right="616"/>
        <w:contextualSpacing/>
        <w:jc w:val="both"/>
        <w:rPr>
          <w:rFonts w:ascii="Palatino Linotype" w:eastAsia="MS Mincho" w:hAnsi="Palatino Linotype" w:cs="Arial"/>
          <w:i/>
          <w:sz w:val="22"/>
        </w:rPr>
      </w:pPr>
      <w:r w:rsidRPr="00B755E2">
        <w:rPr>
          <w:rFonts w:ascii="Palatino Linotype" w:eastAsia="MS Mincho" w:hAnsi="Palatino Linotype" w:cs="Arial"/>
          <w:b/>
          <w:i/>
          <w:sz w:val="22"/>
        </w:rPr>
        <w:t xml:space="preserve">Para el caso de los procedimientos administrativos seguidos en forma de juicio en los que no se hubiere dictado una resolución definitiva, pero que hayan sido archivados de manera definitiva por medio de un acuerdo, éstos no se considerarán como información reservada, y por lo tanto, las </w:t>
      </w:r>
      <w:r w:rsidRPr="00B755E2">
        <w:rPr>
          <w:rFonts w:ascii="Palatino Linotype" w:eastAsia="MS Mincho" w:hAnsi="Palatino Linotype" w:cs="Arial"/>
          <w:b/>
          <w:i/>
          <w:sz w:val="22"/>
        </w:rPr>
        <w:lastRenderedPageBreak/>
        <w:t>actuaciones que deriven de los mismos, será información de libre acceso, ya que se les tendrá por concluidos</w:t>
      </w:r>
      <w:r w:rsidRPr="00B755E2">
        <w:rPr>
          <w:rFonts w:ascii="Palatino Linotype" w:eastAsia="MS Mincho" w:hAnsi="Palatino Linotype" w:cs="Arial"/>
          <w:i/>
          <w:sz w:val="22"/>
        </w:rPr>
        <w:t>.”</w:t>
      </w:r>
    </w:p>
    <w:p w14:paraId="637805D2" w14:textId="77777777" w:rsidR="00D52DAB" w:rsidRPr="00B755E2" w:rsidRDefault="00D52DAB" w:rsidP="0078492D">
      <w:pPr>
        <w:spacing w:line="360" w:lineRule="auto"/>
        <w:ind w:left="851" w:right="616"/>
        <w:contextualSpacing/>
        <w:jc w:val="both"/>
        <w:rPr>
          <w:rFonts w:ascii="Palatino Linotype" w:eastAsia="MS Mincho" w:hAnsi="Palatino Linotype" w:cs="Arial"/>
          <w:sz w:val="22"/>
        </w:rPr>
      </w:pPr>
    </w:p>
    <w:p w14:paraId="478A6095" w14:textId="77777777" w:rsidR="006F066D" w:rsidRPr="00B755E2" w:rsidRDefault="003F5298" w:rsidP="00D45D1F">
      <w:pPr>
        <w:numPr>
          <w:ilvl w:val="0"/>
          <w:numId w:val="1"/>
        </w:numPr>
        <w:spacing w:line="360" w:lineRule="auto"/>
        <w:ind w:left="0" w:firstLine="0"/>
        <w:contextualSpacing/>
        <w:jc w:val="both"/>
        <w:rPr>
          <w:rFonts w:ascii="Palatino Linotype" w:eastAsia="MS Mincho" w:hAnsi="Palatino Linotype" w:cs="Arial"/>
        </w:rPr>
      </w:pPr>
      <w:r w:rsidRPr="00B755E2">
        <w:rPr>
          <w:rFonts w:ascii="Palatino Linotype" w:eastAsia="MS Mincho" w:hAnsi="Palatino Linotype" w:cs="Arial"/>
        </w:rPr>
        <w:t xml:space="preserve">Luego entonces, como bien se refiere en la respuesta, el derecho de acceso a la información pública, encuentra una excepción cuando lo solicitado corresponde o forma parte de un procedimiento administrativo seguido en forma de </w:t>
      </w:r>
      <w:r w:rsidR="00B6795A" w:rsidRPr="00B755E2">
        <w:rPr>
          <w:rFonts w:ascii="Palatino Linotype" w:eastAsia="MS Mincho" w:hAnsi="Palatino Linotype" w:cs="Arial"/>
        </w:rPr>
        <w:t>juicio no concluido</w:t>
      </w:r>
      <w:r w:rsidRPr="00B755E2">
        <w:rPr>
          <w:rFonts w:ascii="Palatino Linotype" w:eastAsia="MS Mincho" w:hAnsi="Palatino Linotype" w:cs="Arial"/>
        </w:rPr>
        <w:t>, como se desprende del caso concreto.</w:t>
      </w:r>
    </w:p>
    <w:p w14:paraId="463F29E8" w14:textId="77777777" w:rsidR="00D52DAB" w:rsidRPr="00B755E2" w:rsidRDefault="00D52DAB" w:rsidP="00D52DAB">
      <w:pPr>
        <w:spacing w:line="360" w:lineRule="auto"/>
        <w:contextualSpacing/>
        <w:jc w:val="both"/>
        <w:rPr>
          <w:rFonts w:ascii="Palatino Linotype" w:eastAsia="MS Mincho" w:hAnsi="Palatino Linotype" w:cs="Arial"/>
        </w:rPr>
      </w:pPr>
    </w:p>
    <w:p w14:paraId="355F3CB3" w14:textId="315212F6" w:rsidR="00D52DAB" w:rsidRPr="00B755E2" w:rsidRDefault="00D52DAB" w:rsidP="00D45D1F">
      <w:pPr>
        <w:numPr>
          <w:ilvl w:val="0"/>
          <w:numId w:val="1"/>
        </w:numPr>
        <w:spacing w:line="360" w:lineRule="auto"/>
        <w:ind w:left="0" w:firstLine="0"/>
        <w:contextualSpacing/>
        <w:jc w:val="both"/>
        <w:rPr>
          <w:rFonts w:ascii="Palatino Linotype" w:eastAsia="MS Mincho" w:hAnsi="Palatino Linotype" w:cs="Arial"/>
        </w:rPr>
      </w:pPr>
      <w:r w:rsidRPr="00B755E2">
        <w:rPr>
          <w:rFonts w:ascii="Palatino Linotype" w:eastAsia="MS Mincho" w:hAnsi="Palatino Linotype" w:cs="Arial"/>
        </w:rPr>
        <w:t xml:space="preserve">Asimismo, si bien se solicitó, y existe, </w:t>
      </w:r>
      <w:r w:rsidR="007C565A" w:rsidRPr="00B755E2">
        <w:rPr>
          <w:rFonts w:ascii="Palatino Linotype" w:eastAsia="MS Mincho" w:hAnsi="Palatino Linotype" w:cs="Arial"/>
        </w:rPr>
        <w:t>información</w:t>
      </w:r>
      <w:r w:rsidRPr="00B755E2">
        <w:rPr>
          <w:rFonts w:ascii="Palatino Linotype" w:eastAsia="MS Mincho" w:hAnsi="Palatino Linotype" w:cs="Arial"/>
        </w:rPr>
        <w:t xml:space="preserve"> con más de 7 años de antigüedad, esta no se encuentra archivada aunque no haya causado estado, pues existe un pronunciamiento expreso de la Procuraduría en el sentido de que se encuentran en trámite, por lo que no resulta aplicable la excepción de Lineamiento en comento.</w:t>
      </w:r>
    </w:p>
    <w:p w14:paraId="3B7B4B86" w14:textId="77777777" w:rsidR="003F5298" w:rsidRPr="00B755E2" w:rsidRDefault="003F5298" w:rsidP="003F5298">
      <w:pPr>
        <w:spacing w:line="360" w:lineRule="auto"/>
        <w:contextualSpacing/>
        <w:jc w:val="both"/>
        <w:rPr>
          <w:rFonts w:ascii="Palatino Linotype" w:eastAsia="MS Mincho" w:hAnsi="Palatino Linotype" w:cs="Arial"/>
        </w:rPr>
      </w:pPr>
    </w:p>
    <w:p w14:paraId="405377AD" w14:textId="77777777" w:rsidR="006F066D" w:rsidRPr="00B755E2" w:rsidRDefault="003F5298" w:rsidP="00D45D1F">
      <w:pPr>
        <w:numPr>
          <w:ilvl w:val="0"/>
          <w:numId w:val="1"/>
        </w:numPr>
        <w:spacing w:line="360" w:lineRule="auto"/>
        <w:ind w:left="0" w:firstLine="0"/>
        <w:contextualSpacing/>
        <w:jc w:val="both"/>
        <w:rPr>
          <w:rFonts w:ascii="Palatino Linotype" w:eastAsia="MS Mincho" w:hAnsi="Palatino Linotype" w:cs="Arial"/>
        </w:rPr>
      </w:pPr>
      <w:r w:rsidRPr="00B755E2">
        <w:rPr>
          <w:rFonts w:ascii="Palatino Linotype" w:eastAsia="MS Mincho" w:hAnsi="Palatino Linotype" w:cs="Arial"/>
        </w:rPr>
        <w:t>Ahora bien, debe establecerse que resulta ocioso realizar un estudio pormenorizado de la fuente obligacional de la Procuraduría, para determinar si genera, posee o administra los convenios solicitados, en virtud de que esta ya asumió que cuenta con ellos, tan es así que los clasificó como reservados; asimismo indico el número de convenios con los que cuenta, atendiendo al lapso temporal de la información establecido por el particular.</w:t>
      </w:r>
    </w:p>
    <w:p w14:paraId="3A0FF5F2" w14:textId="77777777" w:rsidR="003F5298" w:rsidRPr="00B755E2" w:rsidRDefault="003F5298" w:rsidP="003F5298">
      <w:pPr>
        <w:pStyle w:val="Prrafodelista"/>
        <w:rPr>
          <w:rFonts w:ascii="Palatino Linotype" w:eastAsia="MS Mincho" w:hAnsi="Palatino Linotype" w:cs="Arial"/>
        </w:rPr>
      </w:pPr>
    </w:p>
    <w:p w14:paraId="209EB2FE" w14:textId="5349E353" w:rsidR="00C1546B" w:rsidRPr="00B755E2" w:rsidRDefault="003F5298" w:rsidP="00C1546B">
      <w:pPr>
        <w:numPr>
          <w:ilvl w:val="0"/>
          <w:numId w:val="1"/>
        </w:numPr>
        <w:spacing w:line="360" w:lineRule="auto"/>
        <w:ind w:left="0" w:firstLine="0"/>
        <w:contextualSpacing/>
        <w:jc w:val="both"/>
        <w:rPr>
          <w:rFonts w:ascii="Palatino Linotype" w:eastAsia="MS Mincho" w:hAnsi="Palatino Linotype" w:cs="Arial"/>
        </w:rPr>
      </w:pPr>
      <w:r w:rsidRPr="00B755E2">
        <w:rPr>
          <w:rFonts w:ascii="Palatino Linotype" w:eastAsia="MS Mincho" w:hAnsi="Palatino Linotype" w:cs="Arial"/>
        </w:rPr>
        <w:t>Al respecto</w:t>
      </w:r>
      <w:r w:rsidR="00C1546B" w:rsidRPr="00B755E2">
        <w:rPr>
          <w:rFonts w:ascii="Palatino Linotype" w:eastAsia="MS Mincho" w:hAnsi="Palatino Linotype" w:cs="Arial"/>
        </w:rPr>
        <w:t>,</w:t>
      </w:r>
      <w:r w:rsidRPr="00B755E2">
        <w:rPr>
          <w:rFonts w:ascii="Palatino Linotype" w:eastAsia="MS Mincho" w:hAnsi="Palatino Linotype" w:cs="Arial"/>
        </w:rPr>
        <w:t xml:space="preserve"> la Procuraduría </w:t>
      </w:r>
      <w:r w:rsidR="00C1546B" w:rsidRPr="00B755E2">
        <w:rPr>
          <w:rFonts w:ascii="Palatino Linotype" w:eastAsia="MS Mincho" w:hAnsi="Palatino Linotype" w:cs="Arial"/>
        </w:rPr>
        <w:t xml:space="preserve">informó que del </w:t>
      </w:r>
      <w:r w:rsidR="00C1546B" w:rsidRPr="00B755E2">
        <w:rPr>
          <w:rFonts w:ascii="Palatino Linotype" w:eastAsia="MS Mincho" w:hAnsi="Palatino Linotype" w:cs="Arial"/>
          <w:b/>
        </w:rPr>
        <w:t>uno de enero de dos mil quince</w:t>
      </w:r>
      <w:r w:rsidR="00C1546B" w:rsidRPr="00B755E2">
        <w:rPr>
          <w:rFonts w:ascii="Palatino Linotype" w:eastAsia="MS Mincho" w:hAnsi="Palatino Linotype" w:cs="Arial"/>
        </w:rPr>
        <w:t xml:space="preserve"> al </w:t>
      </w:r>
      <w:r w:rsidR="00C1546B" w:rsidRPr="00B755E2">
        <w:rPr>
          <w:rFonts w:ascii="Palatino Linotype" w:eastAsia="MS Mincho" w:hAnsi="Palatino Linotype" w:cs="Arial"/>
          <w:b/>
        </w:rPr>
        <w:t>veintinueve de mayo de dos veinte,</w:t>
      </w:r>
      <w:r w:rsidR="00C1546B" w:rsidRPr="00B755E2">
        <w:rPr>
          <w:rFonts w:ascii="Palatino Linotype" w:eastAsia="MS Mincho" w:hAnsi="Palatino Linotype" w:cs="Arial"/>
        </w:rPr>
        <w:t xml:space="preserve"> suscribió </w:t>
      </w:r>
      <w:r w:rsidR="0078492D" w:rsidRPr="00B755E2">
        <w:rPr>
          <w:rFonts w:ascii="Palatino Linotype" w:eastAsia="MS Mincho" w:hAnsi="Palatino Linotype" w:cs="Arial"/>
        </w:rPr>
        <w:t>sesenta y cuatro</w:t>
      </w:r>
      <w:r w:rsidR="00C1546B" w:rsidRPr="00B755E2">
        <w:rPr>
          <w:rFonts w:ascii="Palatino Linotype" w:eastAsia="MS Mincho" w:hAnsi="Palatino Linotype" w:cs="Arial"/>
        </w:rPr>
        <w:t xml:space="preserve"> convenios de compensación con diversas empresas infractoras de la normatividad ambiental, los </w:t>
      </w:r>
      <w:r w:rsidR="007C565A" w:rsidRPr="00B755E2">
        <w:rPr>
          <w:rFonts w:ascii="Palatino Linotype" w:eastAsia="MS Mincho" w:hAnsi="Palatino Linotype" w:cs="Arial"/>
        </w:rPr>
        <w:t>que</w:t>
      </w:r>
      <w:r w:rsidR="00C1546B" w:rsidRPr="00B755E2">
        <w:rPr>
          <w:rFonts w:ascii="Palatino Linotype" w:eastAsia="MS Mincho" w:hAnsi="Palatino Linotype" w:cs="Arial"/>
        </w:rPr>
        <w:t xml:space="preserve"> cuentan con expedientes en trámite, que no han causado estado; que del </w:t>
      </w:r>
      <w:r w:rsidR="00C1546B" w:rsidRPr="00B755E2">
        <w:rPr>
          <w:rFonts w:ascii="Palatino Linotype" w:eastAsia="MS Mincho" w:hAnsi="Palatino Linotype" w:cs="Arial"/>
          <w:b/>
        </w:rPr>
        <w:t xml:space="preserve">treinta </w:t>
      </w:r>
      <w:r w:rsidR="00C1546B" w:rsidRPr="00B755E2">
        <w:rPr>
          <w:rFonts w:ascii="Palatino Linotype" w:eastAsia="MS Mincho" w:hAnsi="Palatino Linotype" w:cs="Arial"/>
          <w:b/>
        </w:rPr>
        <w:lastRenderedPageBreak/>
        <w:t>de mayo de dos mil veinte</w:t>
      </w:r>
      <w:r w:rsidR="00C1546B" w:rsidRPr="00B755E2">
        <w:rPr>
          <w:rFonts w:ascii="Palatino Linotype" w:eastAsia="MS Mincho" w:hAnsi="Palatino Linotype" w:cs="Arial"/>
        </w:rPr>
        <w:t xml:space="preserve"> al </w:t>
      </w:r>
      <w:r w:rsidR="00C1546B" w:rsidRPr="00B755E2">
        <w:rPr>
          <w:rFonts w:ascii="Palatino Linotype" w:eastAsia="MS Mincho" w:hAnsi="Palatino Linotype" w:cs="Arial"/>
          <w:b/>
        </w:rPr>
        <w:t>uno de abril de dos mil veintidós</w:t>
      </w:r>
      <w:r w:rsidR="0078492D" w:rsidRPr="00B755E2">
        <w:rPr>
          <w:rFonts w:ascii="Palatino Linotype" w:eastAsia="MS Mincho" w:hAnsi="Palatino Linotype" w:cs="Arial"/>
        </w:rPr>
        <w:t>, se suscribieron cinco</w:t>
      </w:r>
      <w:r w:rsidR="00C1546B" w:rsidRPr="00B755E2">
        <w:rPr>
          <w:rFonts w:ascii="Palatino Linotype" w:eastAsia="MS Mincho" w:hAnsi="Palatino Linotype" w:cs="Arial"/>
        </w:rPr>
        <w:t xml:space="preserve"> convenios de compensación que se encuentran en sustanciación dentro de la Subdirección de Atención y</w:t>
      </w:r>
      <w:r w:rsidR="00BA0EDC" w:rsidRPr="00B755E2">
        <w:rPr>
          <w:rFonts w:ascii="Palatino Linotype" w:eastAsia="MS Mincho" w:hAnsi="Palatino Linotype" w:cs="Arial"/>
        </w:rPr>
        <w:t xml:space="preserve"> Seguimiento de Procedimientos.</w:t>
      </w:r>
    </w:p>
    <w:p w14:paraId="5630AD66" w14:textId="77777777" w:rsidR="00C1546B" w:rsidRPr="00B755E2" w:rsidRDefault="00C1546B" w:rsidP="00C1546B">
      <w:pPr>
        <w:pStyle w:val="Prrafodelista"/>
        <w:rPr>
          <w:rFonts w:ascii="Palatino Linotype" w:eastAsia="MS Mincho" w:hAnsi="Palatino Linotype" w:cs="Arial"/>
        </w:rPr>
      </w:pPr>
    </w:p>
    <w:p w14:paraId="49168629" w14:textId="19B84612" w:rsidR="00D45D1F" w:rsidRPr="00B755E2" w:rsidRDefault="00C1546B" w:rsidP="00C1546B">
      <w:pPr>
        <w:numPr>
          <w:ilvl w:val="0"/>
          <w:numId w:val="1"/>
        </w:numPr>
        <w:spacing w:line="360" w:lineRule="auto"/>
        <w:ind w:left="0" w:firstLine="0"/>
        <w:contextualSpacing/>
        <w:jc w:val="both"/>
        <w:rPr>
          <w:rFonts w:ascii="Palatino Linotype" w:eastAsia="MS Mincho" w:hAnsi="Palatino Linotype" w:cs="Arial"/>
        </w:rPr>
      </w:pPr>
      <w:r w:rsidRPr="00B755E2">
        <w:rPr>
          <w:rFonts w:ascii="Palatino Linotype" w:eastAsia="MS Mincho" w:hAnsi="Palatino Linotype" w:cs="Arial"/>
        </w:rPr>
        <w:t xml:space="preserve">Luego entonces, se advierte que el </w:t>
      </w:r>
      <w:r w:rsidRPr="00B755E2">
        <w:rPr>
          <w:rFonts w:ascii="Palatino Linotype" w:eastAsia="MS Mincho" w:hAnsi="Palatino Linotype" w:cs="Arial"/>
          <w:b/>
        </w:rPr>
        <w:t>SUJETO OBLIGADO</w:t>
      </w:r>
      <w:r w:rsidRPr="00B755E2">
        <w:rPr>
          <w:rFonts w:ascii="Palatino Linotype" w:eastAsia="MS Mincho" w:hAnsi="Palatino Linotype" w:cs="Arial"/>
        </w:rPr>
        <w:t xml:space="preserve">, abarcó el lapso temporal de la </w:t>
      </w:r>
      <w:r w:rsidR="007C565A" w:rsidRPr="00B755E2">
        <w:rPr>
          <w:rFonts w:ascii="Palatino Linotype" w:eastAsia="MS Mincho" w:hAnsi="Palatino Linotype" w:cs="Arial"/>
        </w:rPr>
        <w:t>información</w:t>
      </w:r>
      <w:r w:rsidRPr="00B755E2">
        <w:rPr>
          <w:rFonts w:ascii="Palatino Linotype" w:eastAsia="MS Mincho" w:hAnsi="Palatino Linotype" w:cs="Arial"/>
        </w:rPr>
        <w:t xml:space="preserve"> solicitada. Ahora bien, respecto de sus pronunciamientos, relativos al número de procedimientos y de su estado procesal, debe señalarse que este Instituto no cuenta con facultades para dudar de su </w:t>
      </w:r>
      <w:r w:rsidR="00D45D1F" w:rsidRPr="00B755E2">
        <w:rPr>
          <w:rFonts w:ascii="Palatino Linotype" w:eastAsia="Palatino Linotype" w:hAnsi="Palatino Linotype" w:cs="Palatino Linotype"/>
          <w:color w:val="000000"/>
        </w:rPr>
        <w:t xml:space="preserve">veracidad de la </w:t>
      </w:r>
      <w:r w:rsidR="00D45D1F" w:rsidRPr="00B755E2">
        <w:rPr>
          <w:rFonts w:ascii="Palatino Linotype" w:eastAsia="MS Mincho" w:hAnsi="Palatino Linotype" w:cs="Arial"/>
        </w:rPr>
        <w:t>información</w:t>
      </w:r>
      <w:r w:rsidR="00D45D1F" w:rsidRPr="00B755E2">
        <w:rPr>
          <w:rFonts w:ascii="Palatino Linotype" w:eastAsia="Palatino Linotype" w:hAnsi="Palatino Linotype" w:cs="Palatino Linotype"/>
          <w:color w:val="000000"/>
        </w:rPr>
        <w:t xml:space="preserve"> que le fue entregada al hoy </w:t>
      </w:r>
      <w:r w:rsidR="00D45D1F" w:rsidRPr="00B755E2">
        <w:rPr>
          <w:rFonts w:ascii="Palatino Linotype" w:eastAsia="Palatino Linotype" w:hAnsi="Palatino Linotype" w:cs="Palatino Linotype"/>
          <w:b/>
          <w:color w:val="000000"/>
        </w:rPr>
        <w:t>RECURRENTE</w:t>
      </w:r>
      <w:r w:rsidR="00D45D1F" w:rsidRPr="00B755E2">
        <w:rPr>
          <w:rFonts w:ascii="Palatino Linotype" w:eastAsia="Palatino Linotype" w:hAnsi="Palatino Linotype" w:cs="Palatino Linotype"/>
          <w:color w:val="000000"/>
        </w:rPr>
        <w:t xml:space="preserve">, </w:t>
      </w:r>
      <w:r w:rsidR="00D45D1F" w:rsidRPr="00B755E2">
        <w:rPr>
          <w:rFonts w:ascii="Palatino Linotype" w:hAnsi="Palatino Linotype" w:cs="Arial"/>
        </w:rPr>
        <w:t xml:space="preserve">situación que se aleja de las atribuciones de este </w:t>
      </w:r>
      <w:r w:rsidR="00944522" w:rsidRPr="00B755E2">
        <w:rPr>
          <w:rFonts w:ascii="Palatino Linotype" w:hAnsi="Palatino Linotype" w:cs="Arial"/>
        </w:rPr>
        <w:t>Órgano</w:t>
      </w:r>
      <w:r w:rsidR="00B14295" w:rsidRPr="00B755E2">
        <w:rPr>
          <w:rFonts w:ascii="Palatino Linotype" w:hAnsi="Palatino Linotype" w:cs="Arial"/>
        </w:rPr>
        <w:t xml:space="preserve"> Garante,</w:t>
      </w:r>
      <w:r w:rsidR="00D45D1F" w:rsidRPr="00B755E2">
        <w:rPr>
          <w:rFonts w:ascii="Palatino Linotype" w:hAnsi="Palatino Linotype" w:cs="Arial"/>
        </w:rPr>
        <w:t xml:space="preserve"> </w:t>
      </w:r>
      <w:r w:rsidR="00D45D1F" w:rsidRPr="00B755E2">
        <w:rPr>
          <w:rFonts w:ascii="Palatino Linotype" w:hAnsi="Palatino Linotype"/>
          <w:i/>
          <w:color w:val="000000"/>
        </w:rPr>
        <w:t>máxime</w:t>
      </w:r>
      <w:r w:rsidR="00D45D1F" w:rsidRPr="00B755E2">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61829076" w14:textId="77777777" w:rsidR="0098151A" w:rsidRPr="00B755E2" w:rsidRDefault="0098151A" w:rsidP="0098151A">
      <w:pPr>
        <w:pStyle w:val="Prrafodelista"/>
        <w:rPr>
          <w:rFonts w:ascii="Palatino Linotype" w:hAnsi="Palatino Linotype"/>
        </w:rPr>
      </w:pPr>
    </w:p>
    <w:p w14:paraId="5CC37689" w14:textId="77777777" w:rsidR="00D45D1F" w:rsidRPr="00B755E2" w:rsidRDefault="00D45D1F" w:rsidP="00D45D1F">
      <w:pPr>
        <w:numPr>
          <w:ilvl w:val="0"/>
          <w:numId w:val="1"/>
        </w:numPr>
        <w:spacing w:line="360" w:lineRule="auto"/>
        <w:ind w:left="0" w:firstLine="0"/>
        <w:contextualSpacing/>
        <w:jc w:val="both"/>
        <w:rPr>
          <w:rFonts w:ascii="Palatino Linotype" w:hAnsi="Palatino Linotype"/>
        </w:rPr>
      </w:pPr>
      <w:r w:rsidRPr="00B755E2">
        <w:rPr>
          <w:rFonts w:ascii="Palatino Linotype" w:eastAsia="Palatino Linotype" w:hAnsi="Palatino Linotype" w:cs="Palatino Linotype"/>
          <w:color w:val="000000"/>
        </w:rPr>
        <w:t>Sirviendo</w:t>
      </w:r>
      <w:r w:rsidRPr="00B755E2">
        <w:rPr>
          <w:rFonts w:ascii="Palatino Linotype" w:hAnsi="Palatino Linotype"/>
        </w:rPr>
        <w:t xml:space="preserve"> de apoyo a lo anterior por analogía, el criterio 31-10 emitido por el ahora </w:t>
      </w:r>
      <w:r w:rsidRPr="00B755E2">
        <w:rPr>
          <w:rFonts w:ascii="Palatino Linotype" w:hAnsi="Palatino Linotype"/>
          <w:color w:val="000000" w:themeColor="text1"/>
        </w:rPr>
        <w:t>Instituto</w:t>
      </w:r>
      <w:r w:rsidRPr="00B755E2">
        <w:rPr>
          <w:rFonts w:ascii="Palatino Linotype" w:hAnsi="Palatino Linotype"/>
        </w:rPr>
        <w:t xml:space="preserve"> </w:t>
      </w:r>
      <w:r w:rsidRPr="00B755E2">
        <w:rPr>
          <w:rFonts w:ascii="Palatino Linotype" w:eastAsia="Palatino Linotype" w:hAnsi="Palatino Linotype" w:cs="Palatino Linotype"/>
          <w:color w:val="000000"/>
        </w:rPr>
        <w:t>Nacional</w:t>
      </w:r>
      <w:r w:rsidRPr="00B755E2">
        <w:rPr>
          <w:rFonts w:ascii="Palatino Linotype" w:hAnsi="Palatino Linotype"/>
        </w:rPr>
        <w:t xml:space="preserve"> de Transparencia, Acceso a la Información y Protección de Datos Personales, que a la letra dice:</w:t>
      </w:r>
    </w:p>
    <w:p w14:paraId="2BA226A1" w14:textId="77777777" w:rsidR="00D45D1F" w:rsidRPr="00B755E2" w:rsidRDefault="00D45D1F" w:rsidP="00BA0EDC">
      <w:pPr>
        <w:pStyle w:val="Prrafodelista"/>
        <w:spacing w:line="360" w:lineRule="auto"/>
        <w:ind w:left="851"/>
        <w:rPr>
          <w:rFonts w:ascii="Palatino Linotype" w:hAnsi="Palatino Linotype"/>
        </w:rPr>
      </w:pPr>
    </w:p>
    <w:p w14:paraId="42780251" w14:textId="77777777" w:rsidR="00D45D1F" w:rsidRPr="00B755E2" w:rsidRDefault="00D45D1F" w:rsidP="00BA0EDC">
      <w:pPr>
        <w:pStyle w:val="Default"/>
        <w:spacing w:line="360" w:lineRule="auto"/>
        <w:ind w:left="851" w:right="616"/>
        <w:jc w:val="both"/>
        <w:rPr>
          <w:rFonts w:ascii="Palatino Linotype" w:hAnsi="Palatino Linotype"/>
          <w:i/>
          <w:sz w:val="22"/>
        </w:rPr>
      </w:pPr>
      <w:r w:rsidRPr="00B755E2">
        <w:rPr>
          <w:rFonts w:ascii="Palatino Linotype" w:hAnsi="Palatino Linotype"/>
          <w:i/>
          <w:sz w:val="22"/>
        </w:rPr>
        <w:t xml:space="preserve">“El Instituto Federal de Acceso a la Información y Protección de Datos </w:t>
      </w:r>
      <w:r w:rsidRPr="00B755E2">
        <w:rPr>
          <w:rFonts w:ascii="Palatino Linotype" w:hAnsi="Palatino Linotype"/>
          <w:b/>
          <w:i/>
          <w:sz w:val="22"/>
        </w:rPr>
        <w:t>no cuenta con facultades para pronunciarse respecto de la veracidad de los documentos proporcionados por los sujetos obligados.</w:t>
      </w:r>
      <w:r w:rsidRPr="00B755E2">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w:t>
      </w:r>
      <w:r w:rsidRPr="00B755E2">
        <w:rPr>
          <w:rFonts w:ascii="Palatino Linotype" w:hAnsi="Palatino Linotype"/>
          <w:i/>
          <w:sz w:val="22"/>
        </w:rPr>
        <w:lastRenderedPageBreak/>
        <w:t>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7AD93B2" w14:textId="77777777" w:rsidR="00D45D1F" w:rsidRPr="00B755E2" w:rsidRDefault="00D45D1F" w:rsidP="00D45D1F">
      <w:pPr>
        <w:pStyle w:val="Default"/>
        <w:spacing w:line="360" w:lineRule="auto"/>
        <w:ind w:left="851" w:right="850"/>
        <w:jc w:val="both"/>
        <w:rPr>
          <w:rFonts w:ascii="Palatino Linotype" w:hAnsi="Palatino Linotype"/>
          <w:i/>
        </w:rPr>
      </w:pPr>
    </w:p>
    <w:p w14:paraId="310BF3B8" w14:textId="0131D4B4" w:rsidR="00D45D1F" w:rsidRPr="00B755E2" w:rsidRDefault="00D45D1F" w:rsidP="00D45D1F">
      <w:pPr>
        <w:numPr>
          <w:ilvl w:val="0"/>
          <w:numId w:val="1"/>
        </w:numPr>
        <w:spacing w:line="360" w:lineRule="auto"/>
        <w:ind w:left="0" w:firstLine="0"/>
        <w:contextualSpacing/>
        <w:jc w:val="both"/>
        <w:rPr>
          <w:rFonts w:ascii="Palatino Linotype" w:hAnsi="Palatino Linotype"/>
          <w:i/>
        </w:rPr>
      </w:pPr>
      <w:r w:rsidRPr="00B755E2">
        <w:rPr>
          <w:rFonts w:ascii="Palatino Linotype" w:hAnsi="Palatino Linotype" w:cs="Arial"/>
        </w:rPr>
        <w:t>Así como lo dispuesto por</w:t>
      </w:r>
      <w:r w:rsidRPr="00B755E2">
        <w:rPr>
          <w:rFonts w:ascii="Palatino Linotype" w:hAnsi="Palatino Linotype"/>
        </w:rPr>
        <w:t xml:space="preserve"> la </w:t>
      </w:r>
      <w:r w:rsidRPr="00B755E2">
        <w:rPr>
          <w:rFonts w:ascii="Palatino Linotype" w:hAnsi="Palatino Linotype"/>
          <w:b/>
        </w:rPr>
        <w:t xml:space="preserve">Ley de Transparencia y Acceso a la Información Pública del </w:t>
      </w:r>
      <w:r w:rsidRPr="00B755E2">
        <w:rPr>
          <w:rFonts w:ascii="Palatino Linotype" w:hAnsi="Palatino Linotype" w:cs="Arial"/>
        </w:rPr>
        <w:t>Estado</w:t>
      </w:r>
      <w:r w:rsidRPr="00B755E2">
        <w:rPr>
          <w:rFonts w:ascii="Palatino Linotype" w:hAnsi="Palatino Linotype"/>
          <w:b/>
        </w:rPr>
        <w:t xml:space="preserve"> de México y Municipios</w:t>
      </w:r>
      <w:r w:rsidRPr="00B755E2">
        <w:rPr>
          <w:rFonts w:ascii="Palatino Linotype" w:hAnsi="Palatino Linotype"/>
        </w:rPr>
        <w:t xml:space="preserve"> en su artículo 3, </w:t>
      </w:r>
      <w:r w:rsidR="007C565A" w:rsidRPr="00B755E2">
        <w:rPr>
          <w:rFonts w:ascii="Palatino Linotype" w:hAnsi="Palatino Linotype"/>
        </w:rPr>
        <w:t>que</w:t>
      </w:r>
      <w:r w:rsidRPr="00B755E2">
        <w:rPr>
          <w:rFonts w:ascii="Palatino Linotype" w:hAnsi="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0DE4B5B7" w14:textId="77777777" w:rsidR="00D45D1F" w:rsidRPr="00B755E2" w:rsidRDefault="00D45D1F" w:rsidP="00D45D1F">
      <w:pPr>
        <w:pStyle w:val="Prrafodelista"/>
        <w:spacing w:line="360" w:lineRule="auto"/>
        <w:ind w:left="0"/>
        <w:jc w:val="both"/>
        <w:rPr>
          <w:rFonts w:ascii="Palatino Linotype" w:hAnsi="Palatino Linotype"/>
          <w:i/>
        </w:rPr>
      </w:pPr>
    </w:p>
    <w:p w14:paraId="79F3A170" w14:textId="77777777" w:rsidR="00D45D1F" w:rsidRPr="00B755E2" w:rsidRDefault="00D45D1F" w:rsidP="00BA0EDC">
      <w:pPr>
        <w:pStyle w:val="Prrafodelista"/>
        <w:spacing w:line="360" w:lineRule="auto"/>
        <w:ind w:left="851" w:right="680"/>
        <w:jc w:val="both"/>
        <w:rPr>
          <w:rFonts w:ascii="Palatino Linotype" w:hAnsi="Palatino Linotype" w:cs="Arial"/>
          <w:b/>
          <w:i/>
          <w:sz w:val="22"/>
        </w:rPr>
      </w:pPr>
      <w:r w:rsidRPr="00B755E2">
        <w:rPr>
          <w:rFonts w:ascii="Palatino Linotype" w:hAnsi="Palatino Linotype" w:cs="Arial"/>
          <w:i/>
          <w:sz w:val="22"/>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B755E2">
        <w:rPr>
          <w:rFonts w:ascii="Palatino Linotype" w:hAnsi="Palatino Linotype" w:cs="Arial"/>
          <w:b/>
          <w:i/>
          <w:sz w:val="22"/>
        </w:rPr>
        <w:t>Los Sujetos Obligados deben poner en práctica, políticas y programas de acceso a la información que se apeguen a criterios de publicidad, veracidad, oportunidad, precisión y suficiencia en beneficio de los solicitantes.</w:t>
      </w:r>
    </w:p>
    <w:p w14:paraId="66204FF1" w14:textId="77777777" w:rsidR="00D45D1F" w:rsidRPr="00B755E2" w:rsidRDefault="00D45D1F" w:rsidP="00D45D1F">
      <w:pPr>
        <w:spacing w:line="360" w:lineRule="auto"/>
        <w:ind w:right="902"/>
        <w:jc w:val="both"/>
        <w:rPr>
          <w:rFonts w:ascii="Palatino Linotype" w:hAnsi="Palatino Linotype" w:cs="Arial"/>
          <w:b/>
        </w:rPr>
      </w:pPr>
    </w:p>
    <w:p w14:paraId="35783AA9" w14:textId="77777777" w:rsidR="00D45D1F" w:rsidRPr="00B755E2" w:rsidRDefault="00D45D1F" w:rsidP="0098151A">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B755E2">
        <w:rPr>
          <w:rFonts w:ascii="Palatino Linotype" w:hAnsi="Palatino Linotype" w:cs="Arial"/>
        </w:rPr>
        <w:lastRenderedPageBreak/>
        <w:t>Numerales</w:t>
      </w:r>
      <w:r w:rsidRPr="00B755E2">
        <w:rPr>
          <w:rFonts w:ascii="Palatino Linotype" w:hAnsi="Palatino Linotype" w:cs="Arial"/>
          <w:noProof/>
          <w:lang w:eastAsia="es-MX"/>
        </w:rPr>
        <w:t xml:space="preserve"> que compelen al </w:t>
      </w:r>
      <w:r w:rsidRPr="00B755E2">
        <w:rPr>
          <w:rFonts w:ascii="Palatino Linotype" w:hAnsi="Palatino Linotype" w:cs="Arial"/>
          <w:b/>
          <w:noProof/>
          <w:lang w:eastAsia="es-MX"/>
        </w:rPr>
        <w:t>SUJETO OBLIGADO</w:t>
      </w:r>
      <w:r w:rsidRPr="00B755E2">
        <w:rPr>
          <w:rFonts w:ascii="Palatino Linotype" w:hAnsi="Palatino Linotype" w:cs="Arial"/>
          <w:noProof/>
          <w:lang w:eastAsia="es-MX"/>
        </w:rPr>
        <w:t xml:space="preserve"> apegarse en todo momento a los </w:t>
      </w:r>
      <w:r w:rsidRPr="00B755E2">
        <w:rPr>
          <w:rFonts w:ascii="Palatino Linotype" w:hAnsi="Palatino Linotype" w:cs="Arial"/>
        </w:rPr>
        <w:t>criterios</w:t>
      </w:r>
      <w:r w:rsidRPr="00B755E2">
        <w:rPr>
          <w:rFonts w:ascii="Palatino Linotype" w:hAnsi="Palatino Linotype" w:cs="Arial"/>
          <w:noProof/>
          <w:lang w:eastAsia="es-MX"/>
        </w:rPr>
        <w:t xml:space="preserve"> ya expuestos, impidiendo a este Órgano Colegiado cuestionar</w:t>
      </w:r>
      <w:r w:rsidR="00BA0EDC" w:rsidRPr="00B755E2">
        <w:rPr>
          <w:rFonts w:ascii="Palatino Linotype" w:hAnsi="Palatino Linotype" w:cs="Arial"/>
          <w:noProof/>
          <w:lang w:eastAsia="es-MX"/>
        </w:rPr>
        <w:t xml:space="preserve"> la veracidad de la información.</w:t>
      </w:r>
    </w:p>
    <w:p w14:paraId="2DBF0D7D" w14:textId="77777777" w:rsidR="00B14295" w:rsidRPr="00B755E2" w:rsidRDefault="00B14295" w:rsidP="00B14295">
      <w:pPr>
        <w:spacing w:line="360" w:lineRule="auto"/>
        <w:contextualSpacing/>
        <w:jc w:val="both"/>
        <w:rPr>
          <w:rFonts w:ascii="Palatino Linotype" w:eastAsia="Palatino Linotype" w:hAnsi="Palatino Linotype" w:cs="Palatino Linotype"/>
          <w:color w:val="000000"/>
        </w:rPr>
      </w:pPr>
    </w:p>
    <w:p w14:paraId="1510B180" w14:textId="3F420329" w:rsidR="0098151A" w:rsidRPr="00B755E2" w:rsidRDefault="3A01F7A7" w:rsidP="00280FDC">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B755E2">
        <w:rPr>
          <w:rFonts w:ascii="Palatino Linotype" w:eastAsia="Palatino Linotype" w:hAnsi="Palatino Linotype" w:cs="Palatino Linotype"/>
          <w:color w:val="000000" w:themeColor="text1"/>
        </w:rPr>
        <w:t xml:space="preserve">Ahora bien, respecto a las formalidades que implica la reserva de información, el </w:t>
      </w:r>
      <w:r w:rsidRPr="00B755E2">
        <w:rPr>
          <w:rFonts w:ascii="Palatino Linotype" w:eastAsia="Palatino Linotype" w:hAnsi="Palatino Linotype" w:cs="Palatino Linotype"/>
          <w:b/>
          <w:bCs/>
          <w:color w:val="000000" w:themeColor="text1"/>
        </w:rPr>
        <w:t>SUJETO OBLIGADO,</w:t>
      </w:r>
      <w:r w:rsidRPr="00B755E2">
        <w:rPr>
          <w:rFonts w:ascii="Palatino Linotype" w:eastAsia="Palatino Linotype" w:hAnsi="Palatino Linotype" w:cs="Palatino Linotype"/>
          <w:color w:val="000000" w:themeColor="text1"/>
        </w:rPr>
        <w:t xml:space="preserve"> en su respuesta adjuntó como anexos las Actas de la Tercera y Cuarta Sesión Extraordinarias de 2020 y 2022 respectivamente del Comité de Transparencia de la procuraduría de Protección al Ambiente del Estado de México, </w:t>
      </w:r>
      <w:r w:rsidR="007C565A" w:rsidRPr="00B755E2">
        <w:rPr>
          <w:rFonts w:ascii="Palatino Linotype" w:eastAsia="Palatino Linotype" w:hAnsi="Palatino Linotype" w:cs="Palatino Linotype"/>
          <w:color w:val="000000" w:themeColor="text1"/>
        </w:rPr>
        <w:t>en el que</w:t>
      </w:r>
      <w:r w:rsidRPr="00B755E2">
        <w:rPr>
          <w:rFonts w:ascii="Palatino Linotype" w:eastAsia="Palatino Linotype" w:hAnsi="Palatino Linotype" w:cs="Palatino Linotype"/>
          <w:color w:val="000000" w:themeColor="text1"/>
        </w:rPr>
        <w:t xml:space="preserve"> se aprobó la reserva de información correspondiente a los expedientes administrativos con convenios de compensación ambiental celebrados por la Procuraduría de Protección al Ambiente del Estado de México.</w:t>
      </w:r>
    </w:p>
    <w:p w14:paraId="6B62F1B3" w14:textId="77777777" w:rsidR="00A40414" w:rsidRPr="00B755E2" w:rsidRDefault="00A40414" w:rsidP="00A40414">
      <w:pPr>
        <w:pStyle w:val="Prrafodelista"/>
        <w:rPr>
          <w:rFonts w:ascii="Palatino Linotype" w:eastAsia="Palatino Linotype" w:hAnsi="Palatino Linotype" w:cs="Palatino Linotype"/>
          <w:color w:val="000000"/>
        </w:rPr>
      </w:pPr>
    </w:p>
    <w:p w14:paraId="1510A63B" w14:textId="3304DE15" w:rsidR="00A40414" w:rsidRPr="00B755E2" w:rsidRDefault="00A40414" w:rsidP="00B6795A">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B755E2">
        <w:rPr>
          <w:rFonts w:ascii="Palatino Linotype" w:eastAsia="Palatino Linotype" w:hAnsi="Palatino Linotype" w:cs="Palatino Linotype"/>
          <w:color w:val="000000"/>
        </w:rPr>
        <w:t xml:space="preserve">Luego entonces, se advierte que </w:t>
      </w:r>
      <w:r w:rsidR="00DE3E5E" w:rsidRPr="00B755E2">
        <w:rPr>
          <w:rFonts w:ascii="Palatino Linotype" w:eastAsia="Palatino Linotype" w:hAnsi="Palatino Linotype" w:cs="Palatino Linotype"/>
          <w:color w:val="000000"/>
        </w:rPr>
        <w:t xml:space="preserve">lo solicitado en la solicitud de información de mérito, </w:t>
      </w:r>
      <w:r w:rsidRPr="00B755E2">
        <w:rPr>
          <w:rFonts w:ascii="Palatino Linotype" w:eastAsia="Palatino Linotype" w:hAnsi="Palatino Linotype" w:cs="Palatino Linotype"/>
          <w:color w:val="000000"/>
        </w:rPr>
        <w:t xml:space="preserve">corresponde a información inmersa en soporte documental clasificado como reservado con anterioridad a la respuesta de la solicitud; no obstante los acuerdos remitidos se desestiman </w:t>
      </w:r>
      <w:r w:rsidR="00B6795A" w:rsidRPr="00B755E2">
        <w:rPr>
          <w:rFonts w:ascii="Palatino Linotype" w:eastAsia="Palatino Linotype" w:hAnsi="Palatino Linotype" w:cs="Palatino Linotype"/>
          <w:color w:val="000000"/>
        </w:rPr>
        <w:t>(</w:t>
      </w:r>
      <w:r w:rsidR="00B6795A" w:rsidRPr="00B755E2">
        <w:rPr>
          <w:rFonts w:ascii="Palatino Linotype" w:eastAsia="Palatino Linotype" w:hAnsi="Palatino Linotype" w:cs="Palatino Linotype"/>
          <w:i/>
          <w:color w:val="000000"/>
        </w:rPr>
        <w:t>suponiendo sin conceder resultara procedente la clasificación como se precisara más adelante</w:t>
      </w:r>
      <w:r w:rsidR="00B6795A" w:rsidRPr="00B755E2">
        <w:rPr>
          <w:rFonts w:ascii="Palatino Linotype" w:eastAsia="Palatino Linotype" w:hAnsi="Palatino Linotype" w:cs="Palatino Linotype"/>
          <w:color w:val="000000"/>
        </w:rPr>
        <w:t xml:space="preserve">) </w:t>
      </w:r>
      <w:r w:rsidRPr="00B755E2">
        <w:rPr>
          <w:rFonts w:ascii="Palatino Linotype" w:eastAsia="Palatino Linotype" w:hAnsi="Palatino Linotype" w:cs="Palatino Linotype"/>
          <w:color w:val="000000"/>
        </w:rPr>
        <w:t xml:space="preserve">como soporte para el presente asunto, en los que se sustente una clasificación de la </w:t>
      </w:r>
      <w:r w:rsidR="007C565A" w:rsidRPr="00B755E2">
        <w:rPr>
          <w:rFonts w:ascii="Palatino Linotype" w:eastAsia="Palatino Linotype" w:hAnsi="Palatino Linotype" w:cs="Palatino Linotype"/>
          <w:color w:val="000000"/>
        </w:rPr>
        <w:t>información</w:t>
      </w:r>
      <w:r w:rsidRPr="00B755E2">
        <w:rPr>
          <w:rFonts w:ascii="Palatino Linotype" w:eastAsia="Palatino Linotype" w:hAnsi="Palatino Linotype" w:cs="Palatino Linotype"/>
          <w:color w:val="000000"/>
        </w:rPr>
        <w:t xml:space="preserve"> por las siguientes consideraciones.</w:t>
      </w:r>
    </w:p>
    <w:p w14:paraId="02F2C34E" w14:textId="77777777" w:rsidR="00BA0EDC" w:rsidRPr="00B755E2" w:rsidRDefault="00BA0EDC" w:rsidP="00BA0EDC">
      <w:pPr>
        <w:spacing w:line="360" w:lineRule="auto"/>
        <w:contextualSpacing/>
        <w:jc w:val="both"/>
        <w:rPr>
          <w:rFonts w:ascii="Palatino Linotype" w:eastAsia="Palatino Linotype" w:hAnsi="Palatino Linotype" w:cs="Palatino Linotype"/>
          <w:color w:val="000000"/>
        </w:rPr>
      </w:pPr>
    </w:p>
    <w:p w14:paraId="02D8EB37" w14:textId="77777777" w:rsidR="00A40414" w:rsidRPr="00B755E2" w:rsidRDefault="00A40414" w:rsidP="00A40414">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B755E2">
        <w:rPr>
          <w:rFonts w:ascii="Palatino Linotype" w:hAnsi="Palatino Linotype"/>
          <w:color w:val="000000"/>
        </w:rPr>
        <w:t xml:space="preserve">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w:t>
      </w:r>
      <w:r w:rsidRPr="00B755E2">
        <w:rPr>
          <w:rFonts w:ascii="Palatino Linotype" w:hAnsi="Palatino Linotype"/>
          <w:color w:val="000000"/>
        </w:rPr>
        <w:lastRenderedPageBreak/>
        <w:t xml:space="preserve">señalando las razones, motivos o circunstancias es una parte del acuerdo y otra parte, distinta, es la que corresponde a la prueba de daño, la que debe aplicarse caso por caso, esto es, </w:t>
      </w:r>
      <w:r w:rsidRPr="00B755E2">
        <w:rPr>
          <w:rFonts w:ascii="Palatino Linotype" w:hAnsi="Palatino Linotype"/>
          <w:b/>
          <w:color w:val="000000"/>
        </w:rPr>
        <w:t>no se puede hacer una prueba de daño de un expediente completo, sino de cada uno de los documentos que lo integran</w:t>
      </w:r>
      <w:r w:rsidRPr="00B755E2">
        <w:rPr>
          <w:rFonts w:ascii="Palatino Linotype" w:hAnsi="Palatino Linotype"/>
          <w:color w:val="000000"/>
        </w:rPr>
        <w:t>.</w:t>
      </w:r>
    </w:p>
    <w:p w14:paraId="680A4E5D" w14:textId="77777777" w:rsidR="00EF581A" w:rsidRPr="00B755E2" w:rsidRDefault="00EF581A" w:rsidP="00EF581A">
      <w:pPr>
        <w:pStyle w:val="Prrafodelista"/>
        <w:rPr>
          <w:rFonts w:ascii="Palatino Linotype" w:hAnsi="Palatino Linotype"/>
          <w:color w:val="000000"/>
        </w:rPr>
      </w:pPr>
    </w:p>
    <w:p w14:paraId="5EDE945C" w14:textId="77777777" w:rsidR="00EF581A" w:rsidRPr="00B755E2" w:rsidRDefault="00EF581A" w:rsidP="00A40414">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B755E2">
        <w:rPr>
          <w:rFonts w:ascii="Palatino Linotype" w:hAnsi="Palatino Linotype"/>
          <w:color w:val="000000"/>
        </w:rPr>
        <w:t xml:space="preserve">En esa tesitura, como se desprende de las actas entregadas, se clasifican expedientes completos; </w:t>
      </w:r>
      <w:r w:rsidRPr="00B755E2">
        <w:rPr>
          <w:rFonts w:ascii="Palatino Linotype" w:hAnsi="Palatino Linotype"/>
          <w:b/>
          <w:color w:val="000000"/>
        </w:rPr>
        <w:t>no así el soporte documental requerido en la solicitud de información que nos ocupa</w:t>
      </w:r>
      <w:r w:rsidRPr="00B755E2">
        <w:rPr>
          <w:rFonts w:ascii="Palatino Linotype" w:hAnsi="Palatino Linotype"/>
          <w:color w:val="000000"/>
        </w:rPr>
        <w:t>.</w:t>
      </w:r>
    </w:p>
    <w:p w14:paraId="19219836" w14:textId="77777777" w:rsidR="00EF581A" w:rsidRPr="00B755E2" w:rsidRDefault="00EF581A" w:rsidP="00EF581A">
      <w:pPr>
        <w:pStyle w:val="Prrafodelista"/>
        <w:rPr>
          <w:rFonts w:ascii="Palatino Linotype" w:hAnsi="Palatino Linotype"/>
          <w:color w:val="000000"/>
        </w:rPr>
      </w:pPr>
    </w:p>
    <w:p w14:paraId="66E9808B" w14:textId="77777777" w:rsidR="00EF581A" w:rsidRPr="00B755E2" w:rsidRDefault="00EF581A" w:rsidP="00EF581A">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B755E2">
        <w:rPr>
          <w:rFonts w:ascii="Palatino Linotype" w:hAnsi="Palatino Linotype"/>
          <w:color w:val="000000"/>
        </w:rPr>
        <w:t>Para aplicar la prueba de daño, se deberán de precisar las razones objetivas por las que la apertura genera una afectación, acreditando que:</w:t>
      </w:r>
    </w:p>
    <w:p w14:paraId="296FEF7D" w14:textId="77777777" w:rsidR="00EF581A" w:rsidRPr="00B755E2" w:rsidRDefault="00EF581A" w:rsidP="00EF581A">
      <w:pPr>
        <w:pStyle w:val="Prrafodelista"/>
        <w:tabs>
          <w:tab w:val="left" w:pos="0"/>
          <w:tab w:val="left" w:pos="142"/>
        </w:tabs>
        <w:spacing w:line="360" w:lineRule="auto"/>
        <w:ind w:left="0"/>
        <w:jc w:val="both"/>
        <w:rPr>
          <w:rFonts w:ascii="Palatino Linotype" w:hAnsi="Palatino Linotype"/>
          <w:color w:val="000000"/>
          <w:sz w:val="22"/>
        </w:rPr>
      </w:pPr>
    </w:p>
    <w:p w14:paraId="7194DBDC" w14:textId="25E19BEE" w:rsidR="0068467A" w:rsidRPr="00B755E2" w:rsidRDefault="00EF581A" w:rsidP="00555688">
      <w:pPr>
        <w:numPr>
          <w:ilvl w:val="1"/>
          <w:numId w:val="1"/>
        </w:numPr>
        <w:tabs>
          <w:tab w:val="left" w:pos="426"/>
        </w:tabs>
        <w:spacing w:after="160" w:line="360" w:lineRule="auto"/>
        <w:ind w:left="1134" w:hanging="436"/>
        <w:contextualSpacing/>
        <w:jc w:val="both"/>
        <w:rPr>
          <w:rFonts w:ascii="Palatino Linotype" w:hAnsi="Palatino Linotype"/>
          <w:iCs/>
          <w:color w:val="000000"/>
          <w:sz w:val="22"/>
        </w:rPr>
      </w:pPr>
      <w:r w:rsidRPr="00B755E2">
        <w:rPr>
          <w:rFonts w:ascii="Palatino Linotype" w:hAnsi="Palatino Linotype"/>
          <w:color w:val="000000"/>
          <w:sz w:val="22"/>
        </w:rPr>
        <w:t xml:space="preserve">La </w:t>
      </w:r>
      <w:r w:rsidRPr="00B755E2">
        <w:rPr>
          <w:rFonts w:ascii="Palatino Linotype" w:hAnsi="Palatino Linotype"/>
          <w:iCs/>
          <w:color w:val="000000"/>
          <w:sz w:val="22"/>
        </w:rPr>
        <w:t xml:space="preserve">divulgación de la información representa un riesgo real, demostrable e identificable del perjuicio significativo al interés público o a la seguridad pública; </w:t>
      </w:r>
    </w:p>
    <w:p w14:paraId="769D0D3C" w14:textId="2BE97D3B" w:rsidR="0068467A" w:rsidRPr="00B755E2" w:rsidRDefault="00EF581A" w:rsidP="0068467A">
      <w:pPr>
        <w:numPr>
          <w:ilvl w:val="1"/>
          <w:numId w:val="1"/>
        </w:numPr>
        <w:tabs>
          <w:tab w:val="left" w:pos="426"/>
        </w:tabs>
        <w:spacing w:after="160" w:line="360" w:lineRule="auto"/>
        <w:ind w:left="1134" w:hanging="436"/>
        <w:contextualSpacing/>
        <w:jc w:val="both"/>
        <w:rPr>
          <w:rFonts w:ascii="Palatino Linotype" w:hAnsi="Palatino Linotype"/>
          <w:iCs/>
          <w:color w:val="000000"/>
          <w:sz w:val="22"/>
        </w:rPr>
      </w:pPr>
      <w:r w:rsidRPr="00B755E2">
        <w:rPr>
          <w:rFonts w:ascii="Palatino Linotype" w:hAnsi="Palatino Linotype"/>
          <w:iCs/>
          <w:color w:val="000000"/>
          <w:sz w:val="22"/>
        </w:rPr>
        <w:t xml:space="preserve">El riesgo de perjuicio que supondría la divulgación supera el interés público general de que se difunda; y </w:t>
      </w:r>
    </w:p>
    <w:p w14:paraId="1818524E" w14:textId="77777777" w:rsidR="00EF581A" w:rsidRPr="00B755E2" w:rsidRDefault="00EF581A" w:rsidP="00D52DAB">
      <w:pPr>
        <w:numPr>
          <w:ilvl w:val="1"/>
          <w:numId w:val="1"/>
        </w:numPr>
        <w:tabs>
          <w:tab w:val="left" w:pos="426"/>
        </w:tabs>
        <w:spacing w:after="160" w:line="360" w:lineRule="auto"/>
        <w:ind w:left="1134" w:hanging="436"/>
        <w:contextualSpacing/>
        <w:jc w:val="both"/>
        <w:rPr>
          <w:rFonts w:ascii="Palatino Linotype" w:hAnsi="Palatino Linotype"/>
          <w:iCs/>
          <w:color w:val="000000"/>
          <w:sz w:val="22"/>
        </w:rPr>
      </w:pPr>
      <w:r w:rsidRPr="00B755E2">
        <w:rPr>
          <w:rFonts w:ascii="Palatino Linotype" w:hAnsi="Palatino Linotype"/>
          <w:iCs/>
          <w:color w:val="000000"/>
          <w:sz w:val="22"/>
        </w:rPr>
        <w:t>La limitación se adecua al principio de proporcionalidad y representa el medio menos restrictivo disponible para evitar el perjuicio.</w:t>
      </w:r>
    </w:p>
    <w:p w14:paraId="37760957" w14:textId="77777777" w:rsidR="00555688" w:rsidRPr="00B755E2" w:rsidRDefault="00555688" w:rsidP="00555688">
      <w:pPr>
        <w:tabs>
          <w:tab w:val="left" w:pos="426"/>
        </w:tabs>
        <w:spacing w:after="160" w:line="360" w:lineRule="auto"/>
        <w:ind w:left="698"/>
        <w:contextualSpacing/>
        <w:jc w:val="both"/>
        <w:rPr>
          <w:rFonts w:ascii="Palatino Linotype" w:hAnsi="Palatino Linotype"/>
          <w:iCs/>
          <w:color w:val="000000"/>
          <w:sz w:val="22"/>
        </w:rPr>
      </w:pPr>
    </w:p>
    <w:p w14:paraId="467C7E11" w14:textId="77777777" w:rsidR="00EF581A" w:rsidRPr="00B755E2" w:rsidRDefault="00EF581A" w:rsidP="00EF581A">
      <w:pPr>
        <w:pStyle w:val="Prrafodelista"/>
        <w:numPr>
          <w:ilvl w:val="0"/>
          <w:numId w:val="1"/>
        </w:numPr>
        <w:tabs>
          <w:tab w:val="left" w:pos="0"/>
          <w:tab w:val="left" w:pos="142"/>
        </w:tabs>
        <w:spacing w:line="360" w:lineRule="auto"/>
        <w:ind w:left="0" w:firstLine="0"/>
        <w:jc w:val="both"/>
        <w:rPr>
          <w:rFonts w:ascii="Palatino Linotype" w:eastAsia="Calibri" w:hAnsi="Palatino Linotype"/>
          <w:color w:val="000000"/>
          <w:lang w:eastAsia="es-ES_tradnl"/>
        </w:rPr>
      </w:pPr>
      <w:r w:rsidRPr="00B755E2">
        <w:rPr>
          <w:rFonts w:ascii="Palatino Linotype" w:hAnsi="Palatino Linotype"/>
          <w:color w:val="000000"/>
        </w:rPr>
        <w:t>Sobre</w:t>
      </w:r>
      <w:r w:rsidRPr="00B755E2">
        <w:rPr>
          <w:rFonts w:ascii="Palatino Linotype" w:eastAsia="Calibri" w:hAnsi="Palatino Linotype"/>
          <w:color w:val="000000"/>
          <w:lang w:eastAsia="es-ES_tradnl"/>
        </w:rPr>
        <w:t xml:space="preserve"> el primer supuesto consideremos que según el diccionario del español jurídico, por riesgo podemos entender “la contingencia o proximidad de un daño”,</w:t>
      </w:r>
      <w:r w:rsidRPr="00B755E2">
        <w:rPr>
          <w:rFonts w:ascii="Palatino Linotype" w:eastAsia="Calibri" w:hAnsi="Palatino Linotype"/>
          <w:color w:val="000000"/>
          <w:vertAlign w:val="superscript"/>
          <w:lang w:eastAsia="es-ES_tradnl"/>
        </w:rPr>
        <w:footnoteReference w:id="1"/>
      </w:r>
      <w:r w:rsidRPr="00B755E2">
        <w:rPr>
          <w:rFonts w:ascii="Palatino Linotype" w:eastAsia="Calibri" w:hAnsi="Palatino Linotype"/>
          <w:color w:val="000000"/>
          <w:lang w:eastAsia="es-ES_tradnl"/>
        </w:rPr>
        <w:t xml:space="preserve"> mientras que el daño es considerado como un “perjuicio o lesión”</w:t>
      </w:r>
      <w:r w:rsidRPr="00B755E2">
        <w:rPr>
          <w:rFonts w:ascii="Palatino Linotype" w:eastAsia="Calibri" w:hAnsi="Palatino Linotype"/>
          <w:color w:val="000000"/>
          <w:vertAlign w:val="superscript"/>
          <w:lang w:eastAsia="es-ES_tradnl"/>
        </w:rPr>
        <w:footnoteReference w:id="2"/>
      </w:r>
      <w:r w:rsidRPr="00B755E2">
        <w:rPr>
          <w:rFonts w:ascii="Palatino Linotype" w:eastAsia="Calibri" w:hAnsi="Palatino Linotype"/>
          <w:color w:val="000000"/>
          <w:lang w:eastAsia="es-ES_tradnl"/>
        </w:rPr>
        <w:t xml:space="preserve">, mientras que </w:t>
      </w:r>
      <w:r w:rsidRPr="00B755E2">
        <w:rPr>
          <w:rFonts w:ascii="Palatino Linotype" w:eastAsia="Calibri" w:hAnsi="Palatino Linotype"/>
          <w:color w:val="000000"/>
          <w:lang w:eastAsia="es-ES_tradnl"/>
        </w:rPr>
        <w:lastRenderedPageBreak/>
        <w:t>según el Diccionario de la Lengua Española, lo real es</w:t>
      </w:r>
      <w:r w:rsidRPr="00B755E2">
        <w:rPr>
          <w:rFonts w:ascii="Palatino Linotype" w:eastAsia="Arial Unicode MS" w:hAnsi="Palatino Linotype" w:cs="Arial Unicode MS"/>
          <w:color w:val="000000"/>
          <w:spacing w:val="4"/>
          <w:shd w:val="clear" w:color="auto" w:fill="FFFFFF"/>
          <w:lang w:eastAsia="es-ES_tradnl"/>
        </w:rPr>
        <w:t xml:space="preserve"> lo “</w:t>
      </w:r>
      <w:r w:rsidRPr="00B755E2">
        <w:rPr>
          <w:rFonts w:ascii="Palatino Linotype" w:hAnsi="Palatino Linotype"/>
          <w:color w:val="000000"/>
          <w:lang w:eastAsia="es-ES_tradnl"/>
        </w:rPr>
        <w:t>(que</w:t>
      </w:r>
      <w:r w:rsidRPr="00B755E2">
        <w:rPr>
          <w:rFonts w:ascii="Palatino Linotype" w:eastAsia="Arial Unicode MS" w:hAnsi="Palatino Linotype" w:cs="Arial Unicode MS"/>
          <w:color w:val="000000"/>
          <w:spacing w:val="4"/>
          <w:shd w:val="clear" w:color="auto" w:fill="FFFFFF"/>
          <w:lang w:eastAsia="es-ES_tradnl"/>
        </w:rPr>
        <w:t xml:space="preserve"> </w:t>
      </w:r>
      <w:r w:rsidRPr="00B755E2">
        <w:rPr>
          <w:rFonts w:ascii="Palatino Linotype" w:hAnsi="Palatino Linotype"/>
          <w:color w:val="000000"/>
          <w:lang w:eastAsia="es-ES_tradnl"/>
        </w:rPr>
        <w:t>tiene</w:t>
      </w:r>
      <w:r w:rsidRPr="00B755E2">
        <w:rPr>
          <w:rFonts w:ascii="Palatino Linotype" w:eastAsia="Arial Unicode MS" w:hAnsi="Palatino Linotype" w:cs="Arial Unicode MS"/>
          <w:color w:val="000000"/>
          <w:spacing w:val="4"/>
          <w:shd w:val="clear" w:color="auto" w:fill="FFFFFF"/>
          <w:lang w:eastAsia="es-ES_tradnl"/>
        </w:rPr>
        <w:t xml:space="preserve"> </w:t>
      </w:r>
      <w:r w:rsidRPr="00B755E2">
        <w:rPr>
          <w:rFonts w:ascii="Palatino Linotype" w:hAnsi="Palatino Linotype"/>
          <w:color w:val="000000"/>
          <w:lang w:eastAsia="es-ES_tradnl"/>
        </w:rPr>
        <w:t>existencia</w:t>
      </w:r>
      <w:r w:rsidRPr="00B755E2">
        <w:rPr>
          <w:rFonts w:ascii="Palatino Linotype" w:eastAsia="Arial Unicode MS" w:hAnsi="Palatino Linotype" w:cs="Arial Unicode MS"/>
          <w:color w:val="000000"/>
          <w:spacing w:val="4"/>
          <w:shd w:val="clear" w:color="auto" w:fill="FFFFFF"/>
          <w:lang w:eastAsia="es-ES_tradnl"/>
        </w:rPr>
        <w:t xml:space="preserve"> </w:t>
      </w:r>
      <w:r w:rsidRPr="00B755E2">
        <w:rPr>
          <w:rFonts w:ascii="Palatino Linotype" w:hAnsi="Palatino Linotype"/>
          <w:color w:val="000000"/>
          <w:lang w:eastAsia="es-ES_tradnl"/>
        </w:rPr>
        <w:t>objetiva”,</w:t>
      </w:r>
      <w:r w:rsidRPr="00B755E2">
        <w:rPr>
          <w:rFonts w:ascii="Palatino Linotype" w:hAnsi="Palatino Linotype"/>
          <w:color w:val="000000"/>
          <w:vertAlign w:val="superscript"/>
          <w:lang w:eastAsia="es-ES_tradnl"/>
        </w:rPr>
        <w:footnoteReference w:id="3"/>
      </w:r>
      <w:r w:rsidRPr="00B755E2">
        <w:rPr>
          <w:rFonts w:ascii="Palatino Linotype" w:hAnsi="Palatino Linotype"/>
          <w:color w:val="000000"/>
          <w:lang w:eastAsia="es-ES_tradnl"/>
        </w:rPr>
        <w:t xml:space="preserve"> </w:t>
      </w:r>
      <w:r w:rsidRPr="00B755E2">
        <w:rPr>
          <w:rFonts w:ascii="Palatino Linotype" w:hAnsi="Palatino Linotype"/>
          <w:color w:val="000000"/>
        </w:rPr>
        <w:t>mientras</w:t>
      </w:r>
      <w:r w:rsidRPr="00B755E2">
        <w:rPr>
          <w:rFonts w:ascii="Palatino Linotype" w:eastAsia="Arial Unicode MS" w:hAnsi="Palatino Linotype" w:cs="Arial Unicode MS"/>
          <w:color w:val="000000"/>
          <w:spacing w:val="4"/>
          <w:shd w:val="clear" w:color="auto" w:fill="FFFFFF"/>
          <w:lang w:eastAsia="es-ES_tradnl"/>
        </w:rPr>
        <w:t xml:space="preserve"> que lo demostrables es, según la misma fuente, aquello que se puede demostrar,</w:t>
      </w:r>
      <w:r w:rsidRPr="00B755E2">
        <w:rPr>
          <w:rFonts w:ascii="Palatino Linotype" w:eastAsia="Arial Unicode MS" w:hAnsi="Palatino Linotype" w:cs="Arial Unicode MS"/>
          <w:color w:val="000000"/>
          <w:spacing w:val="4"/>
          <w:shd w:val="clear" w:color="auto" w:fill="FFFFFF"/>
          <w:vertAlign w:val="superscript"/>
          <w:lang w:eastAsia="es-ES_tradnl"/>
        </w:rPr>
        <w:footnoteReference w:id="4"/>
      </w:r>
      <w:r w:rsidRPr="00B755E2">
        <w:rPr>
          <w:rFonts w:ascii="Palatino Linotype" w:eastAsia="Arial Unicode MS" w:hAnsi="Palatino Linotype" w:cs="Arial Unicode MS"/>
          <w:color w:val="000000"/>
          <w:spacing w:val="4"/>
          <w:shd w:val="clear" w:color="auto" w:fill="FFFFFF"/>
          <w:lang w:eastAsia="es-ES_tradnl"/>
        </w:rPr>
        <w:t xml:space="preserve"> es decir, </w:t>
      </w:r>
      <w:r w:rsidRPr="00B755E2">
        <w:rPr>
          <w:rFonts w:ascii="Palatino Linotype" w:eastAsia="Calibri" w:hAnsi="Palatino Linotype"/>
          <w:color w:val="000000"/>
          <w:lang w:eastAsia="en-US"/>
        </w:rPr>
        <w:t xml:space="preserve">“(manifestar, declarar. Probar, sirviéndose de cualquier género de demostración, </w:t>
      </w:r>
      <w:hyperlink r:id="rId10" w:anchor="6nAyKjE" w:history="1">
        <w:r w:rsidRPr="00B755E2">
          <w:rPr>
            <w:rFonts w:ascii="Palatino Linotype" w:eastAsia="Calibri" w:hAnsi="Palatino Linotype"/>
            <w:color w:val="000000"/>
            <w:lang w:eastAsia="en-US"/>
          </w:rPr>
          <w:t>enseñar</w:t>
        </w:r>
      </w:hyperlink>
      <w:r w:rsidRPr="00B755E2">
        <w:rPr>
          <w:rFonts w:ascii="Palatino Linotype" w:eastAsia="Calibri" w:hAnsi="Palatino Linotype"/>
          <w:color w:val="000000"/>
          <w:lang w:eastAsia="en-US"/>
        </w:rPr>
        <w:t xml:space="preserve"> mostrar o exponer algo)”.</w:t>
      </w:r>
      <w:r w:rsidRPr="00B755E2">
        <w:rPr>
          <w:rFonts w:ascii="Palatino Linotype" w:eastAsia="Calibri" w:hAnsi="Palatino Linotype"/>
          <w:color w:val="000000"/>
          <w:vertAlign w:val="superscript"/>
          <w:lang w:eastAsia="en-US"/>
        </w:rPr>
        <w:footnoteReference w:id="5"/>
      </w:r>
      <w:r w:rsidRPr="00B755E2">
        <w:rPr>
          <w:rFonts w:ascii="Palatino Linotype" w:eastAsia="Calibri" w:hAnsi="Palatino Linotype"/>
          <w:color w:val="000000"/>
          <w:lang w:eastAsia="en-US"/>
        </w:rPr>
        <w:t xml:space="preserve"> Mientras que lo identificable es lo que puede ser identificado,</w:t>
      </w:r>
      <w:r w:rsidRPr="00B755E2">
        <w:rPr>
          <w:rFonts w:ascii="Palatino Linotype" w:eastAsia="Calibri" w:hAnsi="Palatino Linotype"/>
          <w:color w:val="000000"/>
          <w:vertAlign w:val="superscript"/>
          <w:lang w:eastAsia="en-US"/>
        </w:rPr>
        <w:footnoteReference w:id="6"/>
      </w:r>
      <w:r w:rsidRPr="00B755E2">
        <w:rPr>
          <w:rFonts w:ascii="Palatino Linotype" w:eastAsia="Calibri" w:hAnsi="Palatino Linotype"/>
          <w:color w:val="000000"/>
          <w:lang w:eastAsia="en-US"/>
        </w:rPr>
        <w:t xml:space="preserve"> esto es,</w:t>
      </w:r>
      <w:r w:rsidRPr="00B755E2">
        <w:rPr>
          <w:rFonts w:ascii="Palatino Linotype" w:eastAsia="Calibri" w:hAnsi="Palatino Linotype"/>
          <w:color w:val="000000"/>
          <w:lang w:eastAsia="es-ES_tradnl"/>
        </w:rPr>
        <w:t xml:space="preserve"> “(dar los datos necesarios para ser reconocido”.</w:t>
      </w:r>
      <w:r w:rsidRPr="00B755E2">
        <w:rPr>
          <w:rFonts w:ascii="Palatino Linotype" w:eastAsia="Calibri" w:hAnsi="Palatino Linotype"/>
          <w:color w:val="000000"/>
          <w:vertAlign w:val="superscript"/>
          <w:lang w:eastAsia="es-ES_tradnl"/>
        </w:rPr>
        <w:footnoteReference w:id="7"/>
      </w:r>
    </w:p>
    <w:p w14:paraId="54CD245A" w14:textId="77777777" w:rsidR="00EF581A" w:rsidRPr="00B755E2" w:rsidRDefault="00EF581A" w:rsidP="00EF581A">
      <w:pPr>
        <w:pStyle w:val="Prrafodelista"/>
        <w:tabs>
          <w:tab w:val="left" w:pos="0"/>
          <w:tab w:val="left" w:pos="142"/>
        </w:tabs>
        <w:spacing w:line="360" w:lineRule="auto"/>
        <w:ind w:left="0"/>
        <w:jc w:val="both"/>
        <w:rPr>
          <w:rFonts w:ascii="Palatino Linotype" w:eastAsia="Calibri" w:hAnsi="Palatino Linotype"/>
          <w:color w:val="000000"/>
          <w:lang w:eastAsia="es-ES_tradnl"/>
        </w:rPr>
      </w:pPr>
    </w:p>
    <w:p w14:paraId="24C4156B" w14:textId="77777777" w:rsidR="00EF581A" w:rsidRPr="00B755E2" w:rsidRDefault="00EF581A" w:rsidP="00EF581A">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B755E2">
        <w:rPr>
          <w:rFonts w:ascii="Palatino Linotype" w:hAnsi="Palatino Linotype"/>
          <w:color w:val="000000"/>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231BE67" w14:textId="77777777" w:rsidR="00EF581A" w:rsidRPr="00B755E2" w:rsidRDefault="00EF581A" w:rsidP="00EF581A">
      <w:pPr>
        <w:pStyle w:val="Prrafodelista"/>
        <w:rPr>
          <w:rFonts w:ascii="Palatino Linotype" w:hAnsi="Palatino Linotype"/>
          <w:color w:val="000000"/>
        </w:rPr>
      </w:pPr>
    </w:p>
    <w:p w14:paraId="302F65CC" w14:textId="77777777" w:rsidR="00EF581A" w:rsidRPr="00B755E2" w:rsidRDefault="00EF581A" w:rsidP="00EF581A">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B755E2">
        <w:rPr>
          <w:rFonts w:ascii="Palatino Linotype" w:hAnsi="Palatino Linotype"/>
          <w:color w:val="000000"/>
        </w:rPr>
        <w:t xml:space="preserve">Identificado ese riesgo, se debe demostrar que el mismo </w:t>
      </w:r>
      <w:r w:rsidRPr="00B755E2">
        <w:rPr>
          <w:rFonts w:ascii="Palatino Linotype" w:hAnsi="Palatino Linotype"/>
          <w:b/>
          <w:color w:val="000000"/>
        </w:rPr>
        <w:t>supera el interés público general</w:t>
      </w:r>
      <w:r w:rsidRPr="00B755E2">
        <w:rPr>
          <w:rFonts w:ascii="Palatino Linotype" w:hAnsi="Palatino Linotype"/>
          <w:color w:val="000000"/>
        </w:rPr>
        <w:t xml:space="preserve"> porque se difunda dicha información. </w:t>
      </w:r>
    </w:p>
    <w:p w14:paraId="36FEB5B0" w14:textId="77777777" w:rsidR="00EF581A" w:rsidRPr="00B755E2" w:rsidRDefault="00EF581A" w:rsidP="00EF581A">
      <w:pPr>
        <w:pStyle w:val="Prrafodelista"/>
        <w:rPr>
          <w:rFonts w:ascii="Palatino Linotype" w:hAnsi="Palatino Linotype"/>
          <w:color w:val="000000"/>
        </w:rPr>
      </w:pPr>
    </w:p>
    <w:p w14:paraId="08E22898" w14:textId="77777777" w:rsidR="00EF581A" w:rsidRPr="00B755E2" w:rsidRDefault="00EF581A" w:rsidP="00EF581A">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B755E2">
        <w:rPr>
          <w:rFonts w:ascii="Palatino Linotype" w:hAnsi="Palatino Linotype"/>
          <w:color w:val="000000"/>
        </w:rPr>
        <w:t>Y, por último,  que la limitación es acorde con el principio de proporcionalidad, para ello, se sugiere emplear los tres juicios propuestos por la Corte Constitucional Colombiana</w:t>
      </w:r>
      <w:r w:rsidRPr="00B755E2">
        <w:rPr>
          <w:rFonts w:ascii="Palatino Linotype" w:hAnsi="Palatino Linotype"/>
          <w:color w:val="000000"/>
          <w:vertAlign w:val="superscript"/>
        </w:rPr>
        <w:footnoteReference w:id="8"/>
      </w:r>
      <w:r w:rsidRPr="00B755E2">
        <w:rPr>
          <w:rFonts w:ascii="Palatino Linotype" w:hAnsi="Palatino Linotype"/>
          <w:color w:val="000000"/>
        </w:rPr>
        <w:t xml:space="preserve">, siguiendo el principio de ponderación propuesto </w:t>
      </w:r>
      <w:r w:rsidRPr="00B755E2">
        <w:rPr>
          <w:rFonts w:ascii="Palatino Linotype" w:hAnsi="Palatino Linotype"/>
          <w:color w:val="000000"/>
        </w:rPr>
        <w:lastRenderedPageBreak/>
        <w:t>por el Tribunal Constitucional Alemán,</w:t>
      </w:r>
      <w:r w:rsidRPr="00B755E2">
        <w:rPr>
          <w:rFonts w:ascii="Palatino Linotype" w:hAnsi="Palatino Linotype"/>
          <w:color w:val="000000"/>
          <w:vertAlign w:val="superscript"/>
        </w:rPr>
        <w:footnoteReference w:id="9"/>
      </w:r>
      <w:r w:rsidRPr="00B755E2">
        <w:rPr>
          <w:rFonts w:ascii="Palatino Linotype" w:hAnsi="Palatino Linotype"/>
          <w:color w:val="000000"/>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30D7AA69" w14:textId="77777777" w:rsidR="00A40414" w:rsidRPr="00B755E2" w:rsidRDefault="00A40414" w:rsidP="00A40414">
      <w:pPr>
        <w:spacing w:line="360" w:lineRule="auto"/>
        <w:contextualSpacing/>
        <w:jc w:val="both"/>
        <w:rPr>
          <w:rFonts w:ascii="Palatino Linotype" w:eastAsia="Palatino Linotype" w:hAnsi="Palatino Linotype" w:cs="Palatino Linotype"/>
          <w:color w:val="000000"/>
        </w:rPr>
      </w:pPr>
    </w:p>
    <w:p w14:paraId="5995E0D4" w14:textId="77777777" w:rsidR="00B6795A" w:rsidRPr="00B755E2" w:rsidRDefault="00B6795A" w:rsidP="0072660E">
      <w:pPr>
        <w:pStyle w:val="Prrafodelista"/>
        <w:numPr>
          <w:ilvl w:val="0"/>
          <w:numId w:val="1"/>
        </w:numPr>
        <w:tabs>
          <w:tab w:val="left" w:pos="0"/>
          <w:tab w:val="left" w:pos="142"/>
        </w:tabs>
        <w:spacing w:line="360" w:lineRule="auto"/>
        <w:ind w:left="0" w:firstLine="0"/>
        <w:jc w:val="both"/>
        <w:rPr>
          <w:rFonts w:ascii="Palatino Linotype" w:eastAsia="MS Mincho" w:hAnsi="Palatino Linotype" w:cs="Arial"/>
          <w:color w:val="000000" w:themeColor="text1"/>
          <w:lang w:val="es-MX"/>
        </w:rPr>
      </w:pPr>
      <w:r w:rsidRPr="00B755E2">
        <w:rPr>
          <w:rFonts w:ascii="Palatino Linotype" w:eastAsia="MS Mincho" w:hAnsi="Palatino Linotype" w:cs="Arial"/>
          <w:color w:val="000000" w:themeColor="text1"/>
          <w:lang w:val="es-MX"/>
        </w:rPr>
        <w:t xml:space="preserve">Acotado lo anterior, es de señalar que </w:t>
      </w:r>
      <w:r w:rsidR="00467EA7" w:rsidRPr="00B755E2">
        <w:rPr>
          <w:rFonts w:ascii="Palatino Linotype" w:eastAsia="MS Mincho" w:hAnsi="Palatino Linotype" w:cs="Arial"/>
          <w:color w:val="000000" w:themeColor="text1"/>
          <w:lang w:val="es-MX"/>
        </w:rPr>
        <w:t xml:space="preserve">se desestima la pretendida clasificación y la aplicabilidad de la prueba de daño, ya que </w:t>
      </w:r>
      <w:r w:rsidRPr="00B755E2">
        <w:rPr>
          <w:rFonts w:ascii="Palatino Linotype" w:eastAsia="MS Mincho" w:hAnsi="Palatino Linotype" w:cs="Arial"/>
          <w:color w:val="000000" w:themeColor="text1"/>
          <w:lang w:val="es-MX"/>
        </w:rPr>
        <w:t xml:space="preserve">como tuvo a bien referir el hoy </w:t>
      </w:r>
      <w:r w:rsidRPr="00B755E2">
        <w:rPr>
          <w:rFonts w:ascii="Palatino Linotype" w:eastAsia="MS Mincho" w:hAnsi="Palatino Linotype" w:cs="Arial"/>
          <w:b/>
          <w:color w:val="000000" w:themeColor="text1"/>
          <w:lang w:val="es-MX"/>
        </w:rPr>
        <w:t>RECURRENTE</w:t>
      </w:r>
      <w:r w:rsidRPr="00B755E2">
        <w:rPr>
          <w:rFonts w:ascii="Palatino Linotype" w:eastAsia="MS Mincho" w:hAnsi="Palatino Linotype" w:cs="Arial"/>
          <w:color w:val="000000" w:themeColor="text1"/>
          <w:lang w:val="es-MX"/>
        </w:rPr>
        <w:t xml:space="preserve"> en su escrito recursal en su parte relativa a: </w:t>
      </w:r>
      <w:r w:rsidRPr="00B755E2">
        <w:rPr>
          <w:rFonts w:ascii="Palatino Linotype" w:eastAsia="MS Mincho" w:hAnsi="Palatino Linotype" w:cs="Arial"/>
          <w:i/>
          <w:color w:val="000000" w:themeColor="text1"/>
          <w:lang w:val="es-MX"/>
        </w:rPr>
        <w:t>“</w:t>
      </w:r>
      <w:r w:rsidR="00BA0EDC" w:rsidRPr="00B755E2">
        <w:rPr>
          <w:rFonts w:ascii="Palatino Linotype" w:eastAsia="MS Mincho" w:hAnsi="Palatino Linotype" w:cs="Arial"/>
          <w:i/>
          <w:color w:val="000000" w:themeColor="text1"/>
        </w:rPr>
        <w:t>Considero que la información debe ser entregada al tratarse de información de interés público, ya que concierne a temas de medio ambiente…</w:t>
      </w:r>
      <w:r w:rsidRPr="00B755E2">
        <w:rPr>
          <w:rFonts w:ascii="Palatino Linotype" w:eastAsia="MS Mincho" w:hAnsi="Palatino Linotype" w:cs="Arial"/>
          <w:i/>
          <w:color w:val="000000" w:themeColor="text1"/>
          <w:lang w:val="es-MX"/>
        </w:rPr>
        <w:t>”</w:t>
      </w:r>
    </w:p>
    <w:p w14:paraId="7196D064" w14:textId="77777777" w:rsidR="00467EA7" w:rsidRPr="00B755E2" w:rsidRDefault="00467EA7" w:rsidP="00467EA7">
      <w:pPr>
        <w:pStyle w:val="Prrafodelista"/>
        <w:rPr>
          <w:rFonts w:ascii="Palatino Linotype" w:eastAsia="MS Mincho" w:hAnsi="Palatino Linotype" w:cs="Arial"/>
          <w:color w:val="000000" w:themeColor="text1"/>
          <w:lang w:val="es-MX"/>
        </w:rPr>
      </w:pPr>
    </w:p>
    <w:p w14:paraId="5EA29731" w14:textId="77777777" w:rsidR="00B6795A" w:rsidRPr="00B755E2" w:rsidRDefault="00467EA7" w:rsidP="0072660E">
      <w:pPr>
        <w:pStyle w:val="Prrafodelista"/>
        <w:numPr>
          <w:ilvl w:val="0"/>
          <w:numId w:val="1"/>
        </w:numPr>
        <w:tabs>
          <w:tab w:val="left" w:pos="0"/>
          <w:tab w:val="left" w:pos="142"/>
        </w:tabs>
        <w:spacing w:line="360" w:lineRule="auto"/>
        <w:ind w:left="0" w:firstLine="0"/>
        <w:jc w:val="both"/>
        <w:rPr>
          <w:rFonts w:ascii="Palatino Linotype" w:eastAsia="MS Mincho" w:hAnsi="Palatino Linotype" w:cs="Arial"/>
          <w:color w:val="000000" w:themeColor="text1"/>
          <w:lang w:val="es-MX"/>
        </w:rPr>
      </w:pPr>
      <w:r w:rsidRPr="00B755E2">
        <w:rPr>
          <w:rFonts w:ascii="Palatino Linotype" w:eastAsia="MS Mincho" w:hAnsi="Palatino Linotype" w:cs="Arial"/>
          <w:color w:val="000000" w:themeColor="text1"/>
          <w:lang w:val="es-MX"/>
        </w:rPr>
        <w:t>Es que s</w:t>
      </w:r>
      <w:r w:rsidR="00B6795A" w:rsidRPr="00B755E2">
        <w:rPr>
          <w:rFonts w:ascii="Palatino Linotype" w:eastAsia="MS Mincho" w:hAnsi="Palatino Linotype" w:cs="Arial"/>
          <w:color w:val="000000" w:themeColor="text1"/>
          <w:lang w:val="es-MX"/>
        </w:rPr>
        <w:t>e discurre que le asiste la razón, toda vez que lo solicitado corresponde a información de carácter de interés público y beneficio social</w:t>
      </w:r>
      <w:r w:rsidR="0072660E" w:rsidRPr="00B755E2">
        <w:rPr>
          <w:rFonts w:ascii="Palatino Linotype" w:eastAsia="MS Mincho" w:hAnsi="Palatino Linotype" w:cs="Arial"/>
          <w:color w:val="000000" w:themeColor="text1"/>
          <w:lang w:val="es-MX"/>
        </w:rPr>
        <w:t xml:space="preserve">, al corresponder a las funciones y atribuciones esenciales de la Procuraduría  de </w:t>
      </w:r>
      <w:r w:rsidR="0072660E" w:rsidRPr="00B755E2">
        <w:rPr>
          <w:rFonts w:ascii="Palatino Linotype" w:eastAsia="MS Mincho" w:hAnsi="Palatino Linotype" w:cs="Arial"/>
          <w:color w:val="000000" w:themeColor="text1"/>
          <w:lang w:val="es-MX"/>
        </w:rPr>
        <w:lastRenderedPageBreak/>
        <w:t>garantizar a las personas el derecho a vivir en un ambiente adecuado para su desarrollo, salud y bienestar, mediante la procuración, vigilancia y difusión del cumplimiento de la normatividad ambiental aplicable al ámbito estatal.</w:t>
      </w:r>
    </w:p>
    <w:p w14:paraId="34FF1C98" w14:textId="77777777" w:rsidR="0072660E" w:rsidRPr="00B755E2" w:rsidRDefault="0072660E" w:rsidP="0072660E">
      <w:pPr>
        <w:pStyle w:val="Prrafodelista"/>
        <w:tabs>
          <w:tab w:val="left" w:pos="0"/>
          <w:tab w:val="left" w:pos="142"/>
        </w:tabs>
        <w:spacing w:line="360" w:lineRule="auto"/>
        <w:ind w:left="0"/>
        <w:jc w:val="both"/>
        <w:rPr>
          <w:rFonts w:ascii="Palatino Linotype" w:eastAsia="MS Mincho" w:hAnsi="Palatino Linotype" w:cs="Arial"/>
          <w:color w:val="000000" w:themeColor="text1"/>
          <w:lang w:val="es-MX"/>
        </w:rPr>
      </w:pPr>
    </w:p>
    <w:p w14:paraId="35043507" w14:textId="77777777" w:rsidR="005C3429" w:rsidRPr="00B755E2" w:rsidRDefault="0072660E" w:rsidP="0054224D">
      <w:pPr>
        <w:numPr>
          <w:ilvl w:val="0"/>
          <w:numId w:val="1"/>
        </w:numPr>
        <w:spacing w:line="360" w:lineRule="auto"/>
        <w:ind w:left="0" w:firstLine="0"/>
        <w:contextualSpacing/>
        <w:jc w:val="both"/>
        <w:rPr>
          <w:rFonts w:ascii="Palatino Linotype" w:hAnsi="Palatino Linotype"/>
          <w:i/>
        </w:rPr>
      </w:pPr>
      <w:r w:rsidRPr="00B755E2">
        <w:rPr>
          <w:rFonts w:ascii="Palatino Linotype" w:eastAsia="MS Mincho" w:hAnsi="Palatino Linotype" w:cs="Arial"/>
          <w:color w:val="000000" w:themeColor="text1"/>
          <w:lang w:val="es-MX"/>
        </w:rPr>
        <w:t>Luego entonces, es que se determina que si bien es cierto se advierte que se actualiza una causal de reserva de la información; también lo es que el interés público es super</w:t>
      </w:r>
      <w:r w:rsidR="0054224D" w:rsidRPr="00B755E2">
        <w:rPr>
          <w:rFonts w:ascii="Palatino Linotype" w:eastAsia="MS Mincho" w:hAnsi="Palatino Linotype" w:cs="Arial"/>
          <w:color w:val="000000" w:themeColor="text1"/>
          <w:lang w:val="es-MX"/>
        </w:rPr>
        <w:t xml:space="preserve">ior para conocer lo solicitado. </w:t>
      </w:r>
      <w:r w:rsidR="00280FDC" w:rsidRPr="00B755E2">
        <w:rPr>
          <w:rFonts w:ascii="Palatino Linotype" w:hAnsi="Palatino Linotype" w:cs="Arial"/>
          <w:color w:val="000000" w:themeColor="text1"/>
        </w:rPr>
        <w:t xml:space="preserve">Así las </w:t>
      </w:r>
      <w:r w:rsidR="00280FDC" w:rsidRPr="00B755E2">
        <w:rPr>
          <w:rFonts w:ascii="Palatino Linotype" w:hAnsi="Palatino Linotype" w:cs="Arial"/>
          <w:lang w:eastAsia="es-MX"/>
        </w:rPr>
        <w:t>cosas</w:t>
      </w:r>
      <w:r w:rsidR="00280FDC" w:rsidRPr="00B755E2">
        <w:rPr>
          <w:rFonts w:ascii="Palatino Linotype" w:hAnsi="Palatino Linotype" w:cs="Arial"/>
          <w:color w:val="000000" w:themeColor="text1"/>
        </w:rPr>
        <w:t xml:space="preserve">, se insiste en que resulta evidente que </w:t>
      </w:r>
      <w:r w:rsidR="00280FDC" w:rsidRPr="00B755E2">
        <w:rPr>
          <w:rFonts w:ascii="Palatino Linotype" w:hAnsi="Palatino Linotype" w:cs="Arial"/>
        </w:rPr>
        <w:t xml:space="preserve">nos encontramos ante una colisión entre </w:t>
      </w:r>
      <w:r w:rsidR="005C3429" w:rsidRPr="00B755E2">
        <w:rPr>
          <w:rFonts w:ascii="Palatino Linotype" w:hAnsi="Palatino Linotype" w:cs="Arial"/>
        </w:rPr>
        <w:t xml:space="preserve">una causal de reserva de </w:t>
      </w:r>
      <w:r w:rsidR="00467EA7" w:rsidRPr="00B755E2">
        <w:rPr>
          <w:rFonts w:ascii="Palatino Linotype" w:hAnsi="Palatino Linotype" w:cs="Arial"/>
        </w:rPr>
        <w:t xml:space="preserve">documentos inmersos en </w:t>
      </w:r>
      <w:r w:rsidR="005C3429" w:rsidRPr="00B755E2">
        <w:rPr>
          <w:rFonts w:ascii="Palatino Linotype" w:hAnsi="Palatino Linotype" w:cs="Arial"/>
        </w:rPr>
        <w:t>procedimientos no concluidos seguidos en forma de juicio</w:t>
      </w:r>
      <w:r w:rsidR="00467EA7" w:rsidRPr="00B755E2">
        <w:rPr>
          <w:rFonts w:ascii="Palatino Linotype" w:hAnsi="Palatino Linotype" w:cs="Arial"/>
        </w:rPr>
        <w:t>,</w:t>
      </w:r>
      <w:r w:rsidR="005C3429" w:rsidRPr="00B755E2">
        <w:rPr>
          <w:rFonts w:ascii="Palatino Linotype" w:hAnsi="Palatino Linotype" w:cs="Arial"/>
        </w:rPr>
        <w:t xml:space="preserve"> frente el interés no sólo del hoy </w:t>
      </w:r>
      <w:r w:rsidR="005C3429" w:rsidRPr="00B755E2">
        <w:rPr>
          <w:rFonts w:ascii="Palatino Linotype" w:hAnsi="Palatino Linotype" w:cs="Arial"/>
          <w:b/>
        </w:rPr>
        <w:t>RECURRENTE</w:t>
      </w:r>
      <w:r w:rsidR="005C3429" w:rsidRPr="00B755E2">
        <w:rPr>
          <w:rFonts w:ascii="Palatino Linotype" w:hAnsi="Palatino Linotype" w:cs="Arial"/>
        </w:rPr>
        <w:t>; sino de toda una sociedad, de conocer que aquellos procedimientos administrativos instaurados por contravenir la legislación ambiental del estado y de su entorno para así tener acceso a su derecho a saber de las acciones de remediación y co</w:t>
      </w:r>
      <w:r w:rsidR="00467EA7" w:rsidRPr="00B755E2">
        <w:rPr>
          <w:rFonts w:ascii="Palatino Linotype" w:hAnsi="Palatino Linotype" w:cs="Arial"/>
        </w:rPr>
        <w:t>mpensación de daños ambientales</w:t>
      </w:r>
      <w:r w:rsidR="005C3429" w:rsidRPr="00B755E2">
        <w:rPr>
          <w:rFonts w:ascii="Palatino Linotype" w:hAnsi="Palatino Linotype" w:cs="Arial"/>
        </w:rPr>
        <w:t xml:space="preserve"> ocasionados.</w:t>
      </w:r>
    </w:p>
    <w:p w14:paraId="6D072C0D" w14:textId="77777777" w:rsidR="005C3429" w:rsidRPr="00B755E2" w:rsidRDefault="005C3429" w:rsidP="005C3429">
      <w:pPr>
        <w:spacing w:line="360" w:lineRule="auto"/>
        <w:jc w:val="both"/>
        <w:rPr>
          <w:rFonts w:ascii="Palatino Linotype" w:eastAsia="Calibri" w:hAnsi="Palatino Linotype" w:cs="Tahoma"/>
          <w:bCs/>
        </w:rPr>
      </w:pPr>
    </w:p>
    <w:p w14:paraId="4D6D2667" w14:textId="77777777" w:rsidR="005C3429" w:rsidRPr="00B755E2" w:rsidRDefault="005C3429" w:rsidP="005C3429">
      <w:pPr>
        <w:numPr>
          <w:ilvl w:val="0"/>
          <w:numId w:val="1"/>
        </w:numPr>
        <w:spacing w:line="360" w:lineRule="auto"/>
        <w:ind w:left="0" w:firstLine="0"/>
        <w:contextualSpacing/>
        <w:jc w:val="both"/>
        <w:rPr>
          <w:rFonts w:ascii="Palatino Linotype" w:eastAsia="Calibri" w:hAnsi="Palatino Linotype" w:cs="Tahoma"/>
          <w:bCs/>
        </w:rPr>
      </w:pPr>
      <w:r w:rsidRPr="00B755E2">
        <w:rPr>
          <w:rFonts w:ascii="Palatino Linotype" w:hAnsi="Palatino Linotype" w:cs="Arial"/>
        </w:rPr>
        <w:t>En ese orden de ideas, suponiendo sin conceder, que se trate de una probable colisión de derechos entre el de acceso a la información del particular</w:t>
      </w:r>
      <w:r w:rsidRPr="00B755E2">
        <w:rPr>
          <w:rFonts w:ascii="Palatino Linotype" w:hAnsi="Palatino Linotype"/>
          <w:b/>
        </w:rPr>
        <w:t xml:space="preserve"> </w:t>
      </w:r>
      <w:r w:rsidRPr="00B755E2">
        <w:rPr>
          <w:rFonts w:ascii="Palatino Linotype" w:hAnsi="Palatino Linotype" w:cs="Arial"/>
        </w:rPr>
        <w:t>y el de protección de los procedimientos a través de la reserva, se debe realizar la ponderación de</w:t>
      </w:r>
      <w:r w:rsidR="00467EA7" w:rsidRPr="00B755E2">
        <w:rPr>
          <w:rFonts w:ascii="Palatino Linotype" w:hAnsi="Palatino Linotype" w:cs="Arial"/>
        </w:rPr>
        <w:t>l derecho</w:t>
      </w:r>
      <w:r w:rsidRPr="00B755E2">
        <w:rPr>
          <w:rFonts w:ascii="Palatino Linotype" w:hAnsi="Palatino Linotype" w:cs="Arial"/>
        </w:rPr>
        <w:t xml:space="preserve">; sobre dicha situación, </w:t>
      </w:r>
      <w:r w:rsidRPr="00B755E2">
        <w:rPr>
          <w:rFonts w:ascii="Palatino Linotype" w:eastAsia="Calibri" w:hAnsi="Palatino Linotype" w:cs="Tahoma"/>
          <w:bCs/>
        </w:rPr>
        <w:t>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atentos a las circunstancias de cada caso en concreto,</w:t>
      </w:r>
      <w:r w:rsidRPr="00B755E2">
        <w:rPr>
          <w:rFonts w:ascii="Palatino Linotype" w:eastAsia="Calibri" w:hAnsi="Palatino Linotype" w:cs="Tahoma"/>
          <w:b/>
          <w:bCs/>
        </w:rPr>
        <w:t xml:space="preserve"> </w:t>
      </w:r>
      <w:r w:rsidRPr="00B755E2">
        <w:rPr>
          <w:rFonts w:ascii="Palatino Linotype" w:eastAsia="Calibri" w:hAnsi="Palatino Linotype" w:cs="Tahoma"/>
          <w:bCs/>
        </w:rPr>
        <w:t xml:space="preserve">tal y como se </w:t>
      </w:r>
      <w:r w:rsidRPr="00B755E2">
        <w:rPr>
          <w:rFonts w:ascii="Palatino Linotype" w:eastAsia="Calibri" w:hAnsi="Palatino Linotype" w:cs="Tahoma"/>
          <w:bCs/>
        </w:rPr>
        <w:lastRenderedPageBreak/>
        <w:t>desprende de la tesis 1a. XLIII/2010, emitida por la Primera Sala de la Suprema Corte de Justicia de la Nación, publicada en el Semanario Judicial de la Federación y su Gaceta, Tomo XXXI, página 928, de marzo de 2010, Novena Época, materia constitucional.</w:t>
      </w:r>
    </w:p>
    <w:p w14:paraId="48A21919" w14:textId="77777777" w:rsidR="005C3429" w:rsidRPr="00B755E2" w:rsidRDefault="005C3429" w:rsidP="005C3429">
      <w:pPr>
        <w:pStyle w:val="Prrafodelista"/>
        <w:spacing w:line="360" w:lineRule="auto"/>
        <w:ind w:left="0"/>
        <w:jc w:val="both"/>
        <w:rPr>
          <w:rFonts w:ascii="Palatino Linotype" w:hAnsi="Palatino Linotype" w:cs="Arial"/>
        </w:rPr>
      </w:pPr>
    </w:p>
    <w:p w14:paraId="711327C0" w14:textId="0C4EB1AE" w:rsidR="005C3429" w:rsidRPr="00B755E2" w:rsidRDefault="005C3429" w:rsidP="005C3429">
      <w:pPr>
        <w:numPr>
          <w:ilvl w:val="0"/>
          <w:numId w:val="1"/>
        </w:numPr>
        <w:spacing w:line="360" w:lineRule="auto"/>
        <w:ind w:left="0" w:firstLine="0"/>
        <w:contextualSpacing/>
        <w:jc w:val="both"/>
        <w:rPr>
          <w:rFonts w:ascii="Palatino Linotype" w:eastAsia="Times New Roman" w:hAnsi="Palatino Linotype" w:cs="Tahoma"/>
          <w:bCs/>
          <w:iCs/>
          <w:lang w:val="es-MX"/>
        </w:rPr>
      </w:pPr>
      <w:r w:rsidRPr="00B755E2">
        <w:rPr>
          <w:rFonts w:ascii="Palatino Linotype" w:eastAsia="Calibri" w:hAnsi="Palatino Linotype" w:cs="Tahoma"/>
          <w:bCs/>
          <w:lang w:val="es-MX"/>
        </w:rPr>
        <w:t>En orden de ideas cuando exista un interés público mayor de acuerdo con las circunstancias del caso, resulta</w:t>
      </w:r>
      <w:r w:rsidRPr="00B755E2">
        <w:rPr>
          <w:rFonts w:ascii="Palatino Linotype" w:eastAsia="Times New Roman" w:hAnsi="Palatino Linotype" w:cs="Tahoma"/>
          <w:bCs/>
          <w:iCs/>
          <w:lang w:val="es-MX"/>
        </w:rPr>
        <w:t xml:space="preserve"> necesario re</w:t>
      </w:r>
      <w:r w:rsidR="00467EA7" w:rsidRPr="00B755E2">
        <w:rPr>
          <w:rFonts w:ascii="Palatino Linotype" w:eastAsia="Times New Roman" w:hAnsi="Palatino Linotype" w:cs="Tahoma"/>
          <w:bCs/>
          <w:iCs/>
          <w:lang w:val="es-MX"/>
        </w:rPr>
        <w:t>alizar una ponderación de los</w:t>
      </w:r>
      <w:r w:rsidRPr="00B755E2">
        <w:rPr>
          <w:rFonts w:ascii="Palatino Linotype" w:eastAsia="Times New Roman" w:hAnsi="Palatino Linotype" w:cs="Tahoma"/>
          <w:bCs/>
          <w:iCs/>
          <w:lang w:val="es-MX"/>
        </w:rPr>
        <w:t xml:space="preserve"> intereses jurídicos tutelados; </w:t>
      </w:r>
      <w:r w:rsidR="007C565A" w:rsidRPr="00B755E2">
        <w:rPr>
          <w:rFonts w:ascii="Palatino Linotype" w:eastAsia="Times New Roman" w:hAnsi="Palatino Linotype" w:cs="Tahoma"/>
          <w:bCs/>
          <w:iCs/>
          <w:lang w:val="es-MX"/>
        </w:rPr>
        <w:t>en el</w:t>
      </w:r>
      <w:r w:rsidRPr="00B755E2">
        <w:rPr>
          <w:rFonts w:ascii="Palatino Linotype" w:eastAsia="Times New Roman" w:hAnsi="Palatino Linotype" w:cs="Tahoma"/>
          <w:bCs/>
          <w:iCs/>
          <w:lang w:val="es-MX"/>
        </w:rPr>
        <w:t xml:space="preserve"> artículo </w:t>
      </w:r>
      <w:r w:rsidRPr="00B755E2">
        <w:rPr>
          <w:rFonts w:ascii="Palatino Linotype" w:eastAsia="Calibri" w:hAnsi="Palatino Linotype" w:cs="Tahoma"/>
          <w:bCs/>
          <w:lang w:val="es-MX"/>
        </w:rPr>
        <w:t>184 de la Ley de Transparencia y Acceso a la Información Pública del Estado de México y Municipios</w:t>
      </w:r>
      <w:r w:rsidRPr="00B755E2">
        <w:rPr>
          <w:rFonts w:ascii="Palatino Linotype" w:eastAsia="Times New Roman" w:hAnsi="Palatino Linotype" w:cs="Tahoma"/>
          <w:bCs/>
          <w:iCs/>
          <w:lang w:val="es-MX"/>
        </w:rPr>
        <w:t xml:space="preserve"> prevé que cuando exista una colisión de derechos, este Instituto, al resolver el Recurso de Revisión, debe aplicar una prueba de interés público con base en los siguientes elementos:</w:t>
      </w:r>
    </w:p>
    <w:p w14:paraId="6BD18F9B" w14:textId="77777777" w:rsidR="005C3429" w:rsidRPr="00B755E2" w:rsidRDefault="005C3429" w:rsidP="005C3429">
      <w:pPr>
        <w:spacing w:line="360" w:lineRule="auto"/>
        <w:ind w:left="426" w:right="49"/>
        <w:contextualSpacing/>
        <w:jc w:val="both"/>
        <w:rPr>
          <w:rFonts w:ascii="Palatino Linotype" w:eastAsia="Times New Roman" w:hAnsi="Palatino Linotype" w:cs="Tahoma"/>
          <w:bCs/>
          <w:iCs/>
          <w:sz w:val="22"/>
          <w:lang w:val="es-MX"/>
        </w:rPr>
      </w:pPr>
    </w:p>
    <w:p w14:paraId="23D09F29" w14:textId="77777777" w:rsidR="005C3429" w:rsidRPr="00B755E2" w:rsidRDefault="005C3429" w:rsidP="005C3429">
      <w:pPr>
        <w:numPr>
          <w:ilvl w:val="0"/>
          <w:numId w:val="25"/>
        </w:numPr>
        <w:spacing w:line="360" w:lineRule="auto"/>
        <w:ind w:left="426" w:right="49" w:hanging="426"/>
        <w:contextualSpacing/>
        <w:jc w:val="both"/>
        <w:rPr>
          <w:rFonts w:ascii="Palatino Linotype" w:eastAsia="Times New Roman" w:hAnsi="Palatino Linotype" w:cs="Tahoma"/>
          <w:bCs/>
          <w:iCs/>
          <w:sz w:val="22"/>
          <w:lang w:val="es-MX"/>
        </w:rPr>
      </w:pPr>
      <w:r w:rsidRPr="00B755E2">
        <w:rPr>
          <w:rFonts w:ascii="Palatino Linotype" w:eastAsia="Times New Roman" w:hAnsi="Palatino Linotype" w:cs="Tahoma"/>
          <w:b/>
          <w:bCs/>
          <w:iCs/>
          <w:sz w:val="22"/>
          <w:lang w:val="es-MX"/>
        </w:rPr>
        <w:t>Idoneidad:</w:t>
      </w:r>
      <w:r w:rsidRPr="00B755E2">
        <w:rPr>
          <w:rFonts w:ascii="Palatino Linotype" w:eastAsia="Times New Roman" w:hAnsi="Palatino Linotype" w:cs="Tahoma"/>
          <w:bCs/>
          <w:iCs/>
          <w:sz w:val="22"/>
          <w:lang w:val="es-MX"/>
        </w:rPr>
        <w:t xml:space="preserve"> La legitimidad del derecho adoptado como preferente, que sea el adecuado para el logro de un fin constitucionalmente válido o apto para conseguir el fin pretendido;</w:t>
      </w:r>
    </w:p>
    <w:p w14:paraId="238601FE" w14:textId="77777777" w:rsidR="005C3429" w:rsidRPr="00B755E2" w:rsidRDefault="005C3429" w:rsidP="005C3429">
      <w:pPr>
        <w:spacing w:line="360" w:lineRule="auto"/>
        <w:ind w:left="426" w:right="49"/>
        <w:contextualSpacing/>
        <w:jc w:val="both"/>
        <w:rPr>
          <w:rFonts w:ascii="Palatino Linotype" w:eastAsia="Times New Roman" w:hAnsi="Palatino Linotype" w:cs="Tahoma"/>
          <w:bCs/>
          <w:iCs/>
          <w:sz w:val="22"/>
          <w:lang w:val="es-MX"/>
        </w:rPr>
      </w:pPr>
    </w:p>
    <w:p w14:paraId="444AD9D8" w14:textId="77777777" w:rsidR="005C3429" w:rsidRPr="00B755E2" w:rsidRDefault="005C3429" w:rsidP="005C3429">
      <w:pPr>
        <w:numPr>
          <w:ilvl w:val="0"/>
          <w:numId w:val="25"/>
        </w:numPr>
        <w:spacing w:line="360" w:lineRule="auto"/>
        <w:ind w:left="426" w:right="49" w:hanging="426"/>
        <w:contextualSpacing/>
        <w:jc w:val="both"/>
        <w:rPr>
          <w:rFonts w:ascii="Palatino Linotype" w:eastAsia="Times New Roman" w:hAnsi="Palatino Linotype" w:cs="Tahoma"/>
          <w:bCs/>
          <w:iCs/>
          <w:sz w:val="22"/>
          <w:lang w:val="es-MX"/>
        </w:rPr>
      </w:pPr>
      <w:r w:rsidRPr="00B755E2">
        <w:rPr>
          <w:rFonts w:ascii="Palatino Linotype" w:eastAsia="Times New Roman" w:hAnsi="Palatino Linotype" w:cs="Tahoma"/>
          <w:b/>
          <w:bCs/>
          <w:iCs/>
          <w:sz w:val="22"/>
          <w:lang w:val="es-MX"/>
        </w:rPr>
        <w:t>Necesidad:</w:t>
      </w:r>
      <w:r w:rsidRPr="00B755E2">
        <w:rPr>
          <w:rFonts w:ascii="Palatino Linotype" w:eastAsia="Times New Roman" w:hAnsi="Palatino Linotype" w:cs="Tahoma"/>
          <w:bCs/>
          <w:iCs/>
          <w:sz w:val="22"/>
          <w:lang w:val="es-MX"/>
        </w:rPr>
        <w:t xml:space="preserve"> La falta de un medio alternativo menos lesivo a la apertura de la información, para satisfacer el interés público, y</w:t>
      </w:r>
    </w:p>
    <w:p w14:paraId="0F3CABC7" w14:textId="77777777" w:rsidR="005C3429" w:rsidRPr="00B755E2" w:rsidRDefault="005C3429" w:rsidP="005C3429">
      <w:pPr>
        <w:pStyle w:val="Prrafodelista"/>
        <w:rPr>
          <w:rFonts w:ascii="Palatino Linotype" w:eastAsia="Times New Roman" w:hAnsi="Palatino Linotype" w:cs="Tahoma"/>
          <w:bCs/>
          <w:iCs/>
          <w:sz w:val="22"/>
          <w:lang w:val="es-MX"/>
        </w:rPr>
      </w:pPr>
    </w:p>
    <w:p w14:paraId="38219D30" w14:textId="77777777" w:rsidR="005C3429" w:rsidRPr="00B755E2" w:rsidRDefault="005C3429" w:rsidP="005C3429">
      <w:pPr>
        <w:numPr>
          <w:ilvl w:val="0"/>
          <w:numId w:val="25"/>
        </w:numPr>
        <w:spacing w:line="360" w:lineRule="auto"/>
        <w:ind w:left="426" w:right="49" w:hanging="426"/>
        <w:contextualSpacing/>
        <w:jc w:val="both"/>
        <w:rPr>
          <w:rFonts w:ascii="Palatino Linotype" w:eastAsia="Times New Roman" w:hAnsi="Palatino Linotype" w:cs="Tahoma"/>
          <w:bCs/>
          <w:iCs/>
          <w:sz w:val="22"/>
          <w:lang w:val="es-MX"/>
        </w:rPr>
      </w:pPr>
      <w:r w:rsidRPr="00B755E2">
        <w:rPr>
          <w:rFonts w:ascii="Palatino Linotype" w:eastAsia="Times New Roman" w:hAnsi="Palatino Linotype" w:cs="Tahoma"/>
          <w:b/>
          <w:bCs/>
          <w:iCs/>
          <w:sz w:val="22"/>
          <w:lang w:val="es-MX"/>
        </w:rPr>
        <w:t>Proporcionalidad:</w:t>
      </w:r>
      <w:r w:rsidRPr="00B755E2">
        <w:rPr>
          <w:rFonts w:ascii="Palatino Linotype" w:eastAsia="Times New Roman" w:hAnsi="Palatino Linotype" w:cs="Tahoma"/>
          <w:bCs/>
          <w:iCs/>
          <w:sz w:val="22"/>
          <w:lang w:val="es-MX"/>
        </w:rPr>
        <w:t xml:space="preserve"> El equilibrio entre perjuicio y beneficio a favor del interés público, a fin de que la decisión tomada represente un beneficio mayor al perjuicio que podría causar a la población.</w:t>
      </w:r>
    </w:p>
    <w:p w14:paraId="5B08B5D1" w14:textId="77777777" w:rsidR="005C3429" w:rsidRPr="00B755E2" w:rsidRDefault="005C3429" w:rsidP="005C3429">
      <w:pPr>
        <w:pStyle w:val="Prrafodelista"/>
        <w:spacing w:line="360" w:lineRule="auto"/>
        <w:ind w:left="0"/>
        <w:jc w:val="both"/>
        <w:rPr>
          <w:rFonts w:ascii="Palatino Linotype" w:hAnsi="Palatino Linotype" w:cs="Arial"/>
        </w:rPr>
      </w:pPr>
    </w:p>
    <w:p w14:paraId="435EAA1D" w14:textId="77777777" w:rsidR="005C3429" w:rsidRPr="00B755E2" w:rsidRDefault="005C3429" w:rsidP="005C3429">
      <w:pPr>
        <w:numPr>
          <w:ilvl w:val="0"/>
          <w:numId w:val="1"/>
        </w:numPr>
        <w:spacing w:line="360" w:lineRule="auto"/>
        <w:ind w:left="0" w:firstLine="0"/>
        <w:contextualSpacing/>
        <w:jc w:val="both"/>
        <w:rPr>
          <w:rFonts w:ascii="Palatino Linotype" w:eastAsia="Calibri" w:hAnsi="Palatino Linotype" w:cs="Tahoma"/>
        </w:rPr>
      </w:pPr>
      <w:r w:rsidRPr="00B755E2">
        <w:rPr>
          <w:rFonts w:ascii="Palatino Linotype" w:eastAsia="Calibri" w:hAnsi="Palatino Linotype" w:cs="Tahoma"/>
        </w:rPr>
        <w:lastRenderedPageBreak/>
        <w:t>En ese orden de ideas, es necesario analizar cada uno de los elementos referidos, partiendo de que, en el caso concreto, se estima como preferente el derecho de acceso a la información, bajo las consideraciones que se verterán a continuación.</w:t>
      </w:r>
    </w:p>
    <w:p w14:paraId="16DEB4AB" w14:textId="77777777" w:rsidR="005C3429" w:rsidRPr="00B755E2" w:rsidRDefault="005C3429" w:rsidP="005C3429">
      <w:pPr>
        <w:pStyle w:val="Prrafodelista"/>
        <w:spacing w:line="360" w:lineRule="auto"/>
        <w:ind w:left="0"/>
        <w:jc w:val="both"/>
        <w:rPr>
          <w:rFonts w:ascii="Palatino Linotype" w:hAnsi="Palatino Linotype" w:cs="Arial"/>
          <w:b/>
        </w:rPr>
      </w:pPr>
    </w:p>
    <w:p w14:paraId="55BBB0E9" w14:textId="77777777" w:rsidR="005C3429" w:rsidRPr="00B755E2" w:rsidRDefault="005C3429" w:rsidP="005C3429">
      <w:pPr>
        <w:pStyle w:val="Prrafodelista"/>
        <w:numPr>
          <w:ilvl w:val="0"/>
          <w:numId w:val="24"/>
        </w:numPr>
        <w:spacing w:line="360" w:lineRule="auto"/>
        <w:jc w:val="both"/>
        <w:rPr>
          <w:rFonts w:ascii="Palatino Linotype" w:hAnsi="Palatino Linotype" w:cs="Arial"/>
          <w:b/>
          <w:sz w:val="22"/>
        </w:rPr>
      </w:pPr>
      <w:r w:rsidRPr="00B755E2">
        <w:rPr>
          <w:rFonts w:ascii="Palatino Linotype" w:hAnsi="Palatino Linotype" w:cs="Arial"/>
          <w:b/>
          <w:sz w:val="22"/>
        </w:rPr>
        <w:t>Juicio de idoneidad.</w:t>
      </w:r>
    </w:p>
    <w:p w14:paraId="0AD9C6F4" w14:textId="77777777" w:rsidR="005C3429" w:rsidRPr="00B755E2" w:rsidRDefault="005C3429" w:rsidP="005C3429">
      <w:pPr>
        <w:spacing w:line="360" w:lineRule="auto"/>
        <w:contextualSpacing/>
        <w:jc w:val="both"/>
        <w:rPr>
          <w:rFonts w:ascii="Palatino Linotype" w:hAnsi="Palatino Linotype" w:cs="Arial"/>
        </w:rPr>
      </w:pPr>
    </w:p>
    <w:p w14:paraId="4A81D860" w14:textId="77777777" w:rsidR="005C3429" w:rsidRPr="00B755E2" w:rsidRDefault="005C3429" w:rsidP="005C3429">
      <w:pPr>
        <w:numPr>
          <w:ilvl w:val="0"/>
          <w:numId w:val="1"/>
        </w:numPr>
        <w:spacing w:line="360" w:lineRule="auto"/>
        <w:ind w:left="0" w:firstLine="0"/>
        <w:contextualSpacing/>
        <w:jc w:val="both"/>
        <w:rPr>
          <w:rFonts w:ascii="Palatino Linotype" w:hAnsi="Palatino Linotype" w:cs="Arial"/>
        </w:rPr>
      </w:pPr>
      <w:r w:rsidRPr="00B755E2">
        <w:rPr>
          <w:rFonts w:ascii="Palatino Linotype" w:hAnsi="Palatino Linotype" w:cs="Arial"/>
        </w:rPr>
        <w:t xml:space="preserve">Esta primera fase del test consiste en identificar si la medida restrictiva persigue </w:t>
      </w:r>
      <w:r w:rsidRPr="00B755E2">
        <w:rPr>
          <w:rFonts w:ascii="Palatino Linotype" w:hAnsi="Palatino Linotype" w:cs="Arial"/>
          <w:iCs/>
        </w:rPr>
        <w:t xml:space="preserve">una </w:t>
      </w:r>
      <w:r w:rsidRPr="00B755E2">
        <w:rPr>
          <w:rFonts w:ascii="Palatino Linotype" w:eastAsia="Calibri" w:hAnsi="Palatino Linotype" w:cs="Tahoma"/>
        </w:rPr>
        <w:t>finalidad</w:t>
      </w:r>
      <w:r w:rsidRPr="00B755E2">
        <w:rPr>
          <w:rFonts w:ascii="Palatino Linotype" w:hAnsi="Palatino Linotype" w:cs="Arial"/>
          <w:iCs/>
        </w:rPr>
        <w:t xml:space="preserve"> constitucionalmente válida</w:t>
      </w:r>
      <w:r w:rsidRPr="00B755E2">
        <w:rPr>
          <w:rFonts w:ascii="Palatino Linotype" w:hAnsi="Palatino Linotype" w:cs="Arial"/>
        </w:rPr>
        <w:t xml:space="preserve">, además de que debe lograr en algún grado la consecución de su fin, y no debe limitar de manera innecesaria o desproporcionada el derecho fundamental en cuestión. </w:t>
      </w:r>
    </w:p>
    <w:p w14:paraId="4B1F511A" w14:textId="77777777" w:rsidR="005C3429" w:rsidRPr="00B755E2" w:rsidRDefault="005C3429" w:rsidP="005C3429">
      <w:pPr>
        <w:pStyle w:val="Prrafodelista"/>
        <w:spacing w:line="360" w:lineRule="auto"/>
        <w:ind w:left="0"/>
        <w:jc w:val="both"/>
        <w:rPr>
          <w:rFonts w:ascii="Palatino Linotype" w:hAnsi="Palatino Linotype" w:cs="Arial"/>
        </w:rPr>
      </w:pPr>
    </w:p>
    <w:p w14:paraId="6C75C684" w14:textId="63E757C4" w:rsidR="005C3429" w:rsidRPr="00B755E2" w:rsidRDefault="005C3429" w:rsidP="000D4E4B">
      <w:pPr>
        <w:numPr>
          <w:ilvl w:val="0"/>
          <w:numId w:val="1"/>
        </w:numPr>
        <w:spacing w:line="360" w:lineRule="auto"/>
        <w:ind w:left="0" w:firstLine="0"/>
        <w:contextualSpacing/>
        <w:jc w:val="both"/>
        <w:rPr>
          <w:rFonts w:ascii="Palatino Linotype" w:hAnsi="Palatino Linotype" w:cs="Arial"/>
        </w:rPr>
      </w:pPr>
      <w:r w:rsidRPr="00B755E2">
        <w:rPr>
          <w:rFonts w:ascii="Palatino Linotype" w:hAnsi="Palatino Linotype" w:cs="Arial"/>
        </w:rPr>
        <w:t xml:space="preserve">En ese contexto, se estima que existe </w:t>
      </w:r>
      <w:r w:rsidRPr="00B755E2">
        <w:rPr>
          <w:rFonts w:ascii="Palatino Linotype" w:hAnsi="Palatino Linotype" w:cs="Arial"/>
          <w:bCs/>
          <w:lang w:val="es-MX"/>
        </w:rPr>
        <w:t xml:space="preserve">un fin constitucionalmente válido para dar a conocer los convenios suscritos, que si bien se encuentran inmersos en procedimientos administrativos no concluidos, </w:t>
      </w:r>
      <w:r w:rsidR="007C565A" w:rsidRPr="00B755E2">
        <w:rPr>
          <w:rFonts w:ascii="Palatino Linotype" w:hAnsi="Palatino Linotype" w:cs="Arial"/>
          <w:bCs/>
          <w:lang w:val="es-MX"/>
        </w:rPr>
        <w:t>que</w:t>
      </w:r>
      <w:r w:rsidRPr="00B755E2">
        <w:rPr>
          <w:rFonts w:ascii="Palatino Linotype" w:hAnsi="Palatino Linotype" w:cs="Arial"/>
          <w:bCs/>
          <w:lang w:val="es-MX"/>
        </w:rPr>
        <w:t xml:space="preserve"> además no serán de acceso al solicitante pues este no requirió tener acceso al soporte documental de las constancias o </w:t>
      </w:r>
      <w:r w:rsidR="000D4E4B" w:rsidRPr="00B755E2">
        <w:rPr>
          <w:rFonts w:ascii="Palatino Linotype" w:hAnsi="Palatino Linotype" w:cs="Arial"/>
          <w:bCs/>
          <w:lang w:val="es-MX"/>
        </w:rPr>
        <w:t>proveídos</w:t>
      </w:r>
      <w:r w:rsidRPr="00B755E2">
        <w:rPr>
          <w:rFonts w:ascii="Palatino Linotype" w:hAnsi="Palatino Linotype" w:cs="Arial"/>
          <w:bCs/>
          <w:lang w:val="es-MX"/>
        </w:rPr>
        <w:t xml:space="preserve"> contenidos en los expedientes</w:t>
      </w:r>
      <w:r w:rsidR="00467EA7" w:rsidRPr="00B755E2">
        <w:rPr>
          <w:rFonts w:ascii="Palatino Linotype" w:hAnsi="Palatino Linotype" w:cs="Arial"/>
          <w:bCs/>
          <w:lang w:val="es-MX"/>
        </w:rPr>
        <w:t xml:space="preserve"> administrativos</w:t>
      </w:r>
      <w:r w:rsidRPr="00B755E2">
        <w:rPr>
          <w:rFonts w:ascii="Palatino Linotype" w:hAnsi="Palatino Linotype" w:cs="Arial"/>
          <w:bCs/>
          <w:lang w:val="es-MX"/>
        </w:rPr>
        <w:t>, sino únicamente los convenios a los que se arribaron</w:t>
      </w:r>
      <w:r w:rsidR="007C565A" w:rsidRPr="00B755E2">
        <w:rPr>
          <w:rFonts w:ascii="Palatino Linotype" w:hAnsi="Palatino Linotype" w:cs="Arial"/>
          <w:bCs/>
          <w:lang w:val="es-MX"/>
        </w:rPr>
        <w:t>,</w:t>
      </w:r>
      <w:r w:rsidRPr="00B755E2">
        <w:rPr>
          <w:rFonts w:ascii="Palatino Linotype" w:hAnsi="Palatino Linotype" w:cs="Arial"/>
          <w:bCs/>
          <w:lang w:val="es-MX"/>
        </w:rPr>
        <w:t xml:space="preserve"> </w:t>
      </w:r>
      <w:r w:rsidR="007C565A" w:rsidRPr="00B755E2">
        <w:rPr>
          <w:rFonts w:ascii="Palatino Linotype" w:hAnsi="Palatino Linotype" w:cs="Arial"/>
          <w:bCs/>
          <w:lang w:val="es-MX"/>
        </w:rPr>
        <w:t xml:space="preserve">mismos que </w:t>
      </w:r>
      <w:r w:rsidRPr="00B755E2">
        <w:rPr>
          <w:rFonts w:ascii="Palatino Linotype" w:hAnsi="Palatino Linotype" w:cs="Arial"/>
          <w:bCs/>
          <w:lang w:val="es-MX"/>
        </w:rPr>
        <w:t xml:space="preserve">dan cuenta </w:t>
      </w:r>
      <w:r w:rsidR="000D4E4B" w:rsidRPr="00B755E2">
        <w:rPr>
          <w:rFonts w:ascii="Palatino Linotype" w:hAnsi="Palatino Linotype" w:cs="Arial"/>
          <w:bCs/>
          <w:lang w:val="es-MX"/>
        </w:rPr>
        <w:t xml:space="preserve">de las </w:t>
      </w:r>
      <w:r w:rsidRPr="00B755E2">
        <w:rPr>
          <w:rFonts w:ascii="Palatino Linotype" w:hAnsi="Palatino Linotype" w:cs="Arial"/>
          <w:bCs/>
          <w:lang w:val="es-MX"/>
        </w:rPr>
        <w:t>acciones de remediación y compensación de daños ambientales, ocasionados</w:t>
      </w:r>
      <w:r w:rsidR="00467EA7" w:rsidRPr="00B755E2">
        <w:rPr>
          <w:rFonts w:ascii="Palatino Linotype" w:hAnsi="Palatino Linotype" w:cs="Arial"/>
          <w:bCs/>
          <w:lang w:val="es-MX"/>
        </w:rPr>
        <w:t xml:space="preserve"> por</w:t>
      </w:r>
      <w:r w:rsidR="000D4E4B" w:rsidRPr="00B755E2">
        <w:rPr>
          <w:rFonts w:ascii="Palatino Linotype" w:hAnsi="Palatino Linotype" w:cs="Arial"/>
          <w:bCs/>
          <w:lang w:val="es-MX"/>
        </w:rPr>
        <w:t xml:space="preserve"> infractores</w:t>
      </w:r>
      <w:r w:rsidR="00467EA7" w:rsidRPr="00B755E2">
        <w:rPr>
          <w:rFonts w:ascii="Palatino Linotype" w:hAnsi="Palatino Linotype" w:cs="Arial"/>
          <w:bCs/>
          <w:lang w:val="es-MX"/>
        </w:rPr>
        <w:t xml:space="preserve"> ambientales</w:t>
      </w:r>
      <w:r w:rsidR="000D4E4B" w:rsidRPr="00B755E2">
        <w:rPr>
          <w:rFonts w:ascii="Palatino Linotype" w:hAnsi="Palatino Linotype" w:cs="Arial"/>
          <w:bCs/>
          <w:lang w:val="es-MX"/>
        </w:rPr>
        <w:t>, así como los montos que eventualmente deban pagar</w:t>
      </w:r>
      <w:r w:rsidR="000D4E4B" w:rsidRPr="00B755E2">
        <w:t xml:space="preserve"> </w:t>
      </w:r>
      <w:r w:rsidR="000D4E4B" w:rsidRPr="00B755E2">
        <w:rPr>
          <w:rFonts w:ascii="Palatino Linotype" w:hAnsi="Palatino Linotype" w:cs="Arial"/>
          <w:bCs/>
          <w:lang w:val="es-MX"/>
        </w:rPr>
        <w:t xml:space="preserve">para garantizar el derecho a vivir en un ambiente sano y adecuado para el desarrollo, salud y bienestar de los Mexiquenses, </w:t>
      </w:r>
      <w:r w:rsidR="007C565A" w:rsidRPr="00B755E2">
        <w:rPr>
          <w:rFonts w:ascii="Palatino Linotype" w:hAnsi="Palatino Linotype" w:cs="Arial"/>
          <w:bCs/>
          <w:lang w:val="es-MX"/>
        </w:rPr>
        <w:t>que</w:t>
      </w:r>
      <w:r w:rsidR="000D4E4B" w:rsidRPr="00B755E2">
        <w:rPr>
          <w:rFonts w:ascii="Palatino Linotype" w:hAnsi="Palatino Linotype" w:cs="Arial"/>
          <w:bCs/>
          <w:lang w:val="es-MX"/>
        </w:rPr>
        <w:t xml:space="preserve"> algunos ya obran en fuentes de acceso público de Internet, y de los </w:t>
      </w:r>
      <w:r w:rsidR="007C565A" w:rsidRPr="00B755E2">
        <w:rPr>
          <w:rFonts w:ascii="Palatino Linotype" w:hAnsi="Palatino Linotype" w:cs="Arial"/>
          <w:bCs/>
          <w:lang w:val="es-MX"/>
        </w:rPr>
        <w:t>que</w:t>
      </w:r>
      <w:r w:rsidR="000D4E4B" w:rsidRPr="00B755E2">
        <w:rPr>
          <w:rFonts w:ascii="Palatino Linotype" w:hAnsi="Palatino Linotype" w:cs="Arial"/>
          <w:bCs/>
          <w:lang w:val="es-MX"/>
        </w:rPr>
        <w:t xml:space="preserve"> la Procuraduría deberá velar por su procuración, vigilancia y difusión del cumplimiento a la normatividad ambiental aplicable en la Entidad;</w:t>
      </w:r>
      <w:r w:rsidRPr="00B755E2">
        <w:rPr>
          <w:rFonts w:ascii="Palatino Linotype" w:hAnsi="Palatino Linotype" w:cs="Arial"/>
          <w:bCs/>
          <w:lang w:val="es-MX"/>
        </w:rPr>
        <w:t xml:space="preserve"> dicho fin es la transparencia y rendición de cuentas.</w:t>
      </w:r>
    </w:p>
    <w:p w14:paraId="65F9C3DC" w14:textId="77777777" w:rsidR="005C3429" w:rsidRPr="00B755E2" w:rsidRDefault="005C3429" w:rsidP="005C3429">
      <w:pPr>
        <w:pStyle w:val="Prrafodelista"/>
        <w:spacing w:line="360" w:lineRule="auto"/>
        <w:ind w:left="0"/>
        <w:jc w:val="both"/>
        <w:rPr>
          <w:rFonts w:ascii="Palatino Linotype" w:hAnsi="Palatino Linotype" w:cs="Arial"/>
        </w:rPr>
      </w:pPr>
    </w:p>
    <w:p w14:paraId="790AF8AA" w14:textId="6825DD34" w:rsidR="006E4579" w:rsidRPr="00B755E2" w:rsidRDefault="005C3429" w:rsidP="006E4579">
      <w:pPr>
        <w:numPr>
          <w:ilvl w:val="0"/>
          <w:numId w:val="1"/>
        </w:numPr>
        <w:spacing w:line="360" w:lineRule="auto"/>
        <w:ind w:left="0" w:firstLine="0"/>
        <w:contextualSpacing/>
        <w:jc w:val="both"/>
        <w:rPr>
          <w:rFonts w:ascii="Palatino Linotype" w:hAnsi="Palatino Linotype" w:cs="Arial"/>
        </w:rPr>
      </w:pPr>
      <w:r w:rsidRPr="00B755E2">
        <w:rPr>
          <w:rFonts w:ascii="Palatino Linotype" w:hAnsi="Palatino Linotype" w:cs="Arial"/>
        </w:rPr>
        <w:t xml:space="preserve">De tal suerte que, la </w:t>
      </w:r>
      <w:r w:rsidR="000D4E4B" w:rsidRPr="00B755E2">
        <w:rPr>
          <w:rFonts w:ascii="Palatino Linotype" w:hAnsi="Palatino Linotype" w:cs="Arial"/>
        </w:rPr>
        <w:t>clasificación como reservada de la información</w:t>
      </w:r>
      <w:r w:rsidRPr="00B755E2">
        <w:rPr>
          <w:rFonts w:ascii="Palatino Linotype" w:hAnsi="Palatino Linotype" w:cs="Arial"/>
        </w:rPr>
        <w:t xml:space="preserve"> dificulta que estos documentos cumplan con el propósito para el </w:t>
      </w:r>
      <w:r w:rsidR="007C565A" w:rsidRPr="00B755E2">
        <w:rPr>
          <w:rFonts w:ascii="Palatino Linotype" w:hAnsi="Palatino Linotype" w:cs="Arial"/>
        </w:rPr>
        <w:t>que</w:t>
      </w:r>
      <w:r w:rsidRPr="00B755E2">
        <w:rPr>
          <w:rFonts w:ascii="Palatino Linotype" w:hAnsi="Palatino Linotype" w:cs="Arial"/>
        </w:rPr>
        <w:t xml:space="preserve"> son </w:t>
      </w:r>
      <w:r w:rsidR="00467EA7" w:rsidRPr="00B755E2">
        <w:rPr>
          <w:rFonts w:ascii="Palatino Linotype" w:hAnsi="Palatino Linotype" w:cs="Arial"/>
        </w:rPr>
        <w:t>suscritos</w:t>
      </w:r>
      <w:r w:rsidRPr="00B755E2">
        <w:rPr>
          <w:rFonts w:ascii="Palatino Linotype" w:hAnsi="Palatino Linotype" w:cs="Arial"/>
        </w:rPr>
        <w:t xml:space="preserve">, es decir, la finalidad constitucionalmente válida es que estos elementos sean medios de identificación </w:t>
      </w:r>
      <w:r w:rsidR="006E4579" w:rsidRPr="00B755E2">
        <w:rPr>
          <w:rFonts w:ascii="Palatino Linotype" w:hAnsi="Palatino Linotype" w:cs="Arial"/>
        </w:rPr>
        <w:t>de las accione</w:t>
      </w:r>
      <w:r w:rsidR="00467EA7" w:rsidRPr="00B755E2">
        <w:rPr>
          <w:rFonts w:ascii="Palatino Linotype" w:hAnsi="Palatino Linotype" w:cs="Arial"/>
        </w:rPr>
        <w:t>s</w:t>
      </w:r>
      <w:r w:rsidR="006E4579" w:rsidRPr="00B755E2">
        <w:rPr>
          <w:rFonts w:ascii="Palatino Linotype" w:hAnsi="Palatino Linotype" w:cs="Arial"/>
        </w:rPr>
        <w:t xml:space="preserve"> emprendidas por la Procuraduría en su compromiso con la sociedad mexiquense para garantizar el derecho a vivir en un ambiente sano.</w:t>
      </w:r>
    </w:p>
    <w:p w14:paraId="5023141B" w14:textId="77777777" w:rsidR="006E4579" w:rsidRPr="00B755E2" w:rsidRDefault="006E4579" w:rsidP="006E4579">
      <w:pPr>
        <w:pStyle w:val="Prrafodelista"/>
        <w:spacing w:line="360" w:lineRule="auto"/>
        <w:rPr>
          <w:rFonts w:ascii="Palatino Linotype" w:hAnsi="Palatino Linotype" w:cs="Arial"/>
        </w:rPr>
      </w:pPr>
    </w:p>
    <w:p w14:paraId="0109BA7D" w14:textId="77777777" w:rsidR="005C3429" w:rsidRPr="00B755E2" w:rsidRDefault="005C3429" w:rsidP="006E4579">
      <w:pPr>
        <w:pStyle w:val="Prrafodelista"/>
        <w:numPr>
          <w:ilvl w:val="0"/>
          <w:numId w:val="24"/>
        </w:numPr>
        <w:spacing w:line="360" w:lineRule="auto"/>
        <w:jc w:val="both"/>
        <w:rPr>
          <w:rFonts w:ascii="Palatino Linotype" w:hAnsi="Palatino Linotype" w:cs="Arial"/>
          <w:b/>
          <w:sz w:val="22"/>
        </w:rPr>
      </w:pPr>
      <w:r w:rsidRPr="00B755E2">
        <w:rPr>
          <w:rFonts w:ascii="Palatino Linotype" w:hAnsi="Palatino Linotype" w:cs="Arial"/>
          <w:b/>
          <w:sz w:val="22"/>
        </w:rPr>
        <w:t>Juicio de necesidad.</w:t>
      </w:r>
    </w:p>
    <w:p w14:paraId="1F3B1409" w14:textId="77777777" w:rsidR="005C3429" w:rsidRPr="00B755E2" w:rsidRDefault="005C3429" w:rsidP="006E4579">
      <w:pPr>
        <w:pStyle w:val="Prrafodelista"/>
        <w:spacing w:line="360" w:lineRule="auto"/>
        <w:ind w:left="0"/>
        <w:jc w:val="both"/>
        <w:rPr>
          <w:rFonts w:ascii="Palatino Linotype" w:hAnsi="Palatino Linotype" w:cs="Arial"/>
        </w:rPr>
      </w:pPr>
    </w:p>
    <w:p w14:paraId="5747A03E" w14:textId="77777777" w:rsidR="005C3429" w:rsidRPr="00B755E2" w:rsidRDefault="005C3429" w:rsidP="006E4579">
      <w:pPr>
        <w:numPr>
          <w:ilvl w:val="0"/>
          <w:numId w:val="1"/>
        </w:numPr>
        <w:spacing w:line="360" w:lineRule="auto"/>
        <w:ind w:left="0" w:firstLine="0"/>
        <w:contextualSpacing/>
        <w:jc w:val="both"/>
        <w:rPr>
          <w:rFonts w:ascii="Palatino Linotype" w:hAnsi="Palatino Linotype" w:cs="Arial"/>
        </w:rPr>
      </w:pPr>
      <w:r w:rsidRPr="00B755E2">
        <w:rPr>
          <w:rFonts w:ascii="Palatino Linotype" w:hAnsi="Palatino Linotype" w:cs="Arial"/>
        </w:rPr>
        <w:t xml:space="preserve">Ahora bien, el juicio de necesidad tiene como objetivo analizar si la medida es necesaria o si, por el contrario, existen medidas alternativas que también sean idóneas pero que afecten en menor grado el derecho fundamental. </w:t>
      </w:r>
    </w:p>
    <w:p w14:paraId="562C75D1" w14:textId="77777777" w:rsidR="005C3429" w:rsidRPr="00B755E2" w:rsidRDefault="005C3429" w:rsidP="005C3429">
      <w:pPr>
        <w:pStyle w:val="Prrafodelista"/>
        <w:spacing w:line="360" w:lineRule="auto"/>
        <w:ind w:left="0"/>
        <w:jc w:val="both"/>
        <w:rPr>
          <w:rFonts w:ascii="Palatino Linotype" w:hAnsi="Palatino Linotype" w:cs="Arial"/>
        </w:rPr>
      </w:pPr>
    </w:p>
    <w:p w14:paraId="40DE13D9" w14:textId="77777777" w:rsidR="006E4579" w:rsidRPr="00B755E2" w:rsidRDefault="005C3429" w:rsidP="006E4579">
      <w:pPr>
        <w:numPr>
          <w:ilvl w:val="0"/>
          <w:numId w:val="1"/>
        </w:numPr>
        <w:spacing w:line="360" w:lineRule="auto"/>
        <w:ind w:left="0" w:firstLine="0"/>
        <w:contextualSpacing/>
        <w:jc w:val="both"/>
        <w:rPr>
          <w:rFonts w:ascii="Palatino Linotype" w:hAnsi="Palatino Linotype" w:cs="Arial"/>
        </w:rPr>
      </w:pPr>
      <w:r w:rsidRPr="00B755E2">
        <w:rPr>
          <w:rFonts w:ascii="Palatino Linotype" w:hAnsi="Palatino Linotype" w:cs="Arial"/>
        </w:rPr>
        <w:t xml:space="preserve">Dicho lo anterior, el contenido en los </w:t>
      </w:r>
      <w:r w:rsidR="006E4579" w:rsidRPr="00B755E2">
        <w:rPr>
          <w:rFonts w:ascii="Palatino Linotype" w:hAnsi="Palatino Linotype" w:cs="Arial"/>
        </w:rPr>
        <w:t>convenios de Compensación Ambiental</w:t>
      </w:r>
      <w:r w:rsidRPr="00B755E2">
        <w:rPr>
          <w:rFonts w:ascii="Palatino Linotype" w:hAnsi="Palatino Linotype" w:cs="Arial"/>
        </w:rPr>
        <w:t xml:space="preserve">, </w:t>
      </w:r>
      <w:r w:rsidR="006E4579" w:rsidRPr="00B755E2">
        <w:rPr>
          <w:rFonts w:ascii="Palatino Linotype" w:hAnsi="Palatino Linotype" w:cs="Arial"/>
        </w:rPr>
        <w:t>y que no fueron clasificados caso por caso, sino a través de expedientes completos no solicitados</w:t>
      </w:r>
      <w:r w:rsidRPr="00B755E2">
        <w:rPr>
          <w:rFonts w:ascii="Palatino Linotype" w:hAnsi="Palatino Linotype" w:cs="Arial"/>
        </w:rPr>
        <w:t xml:space="preserve">, no puede sustituirse por otro, es decir, no existe algún otro elemento que pueda suplir la misma, dada su naturaleza y características, pues </w:t>
      </w:r>
      <w:r w:rsidR="006E4579" w:rsidRPr="00B755E2">
        <w:rPr>
          <w:rFonts w:ascii="Palatino Linotype" w:hAnsi="Palatino Linotype" w:cs="Arial"/>
        </w:rPr>
        <w:t xml:space="preserve">es un documento suscrito entre infractores y el </w:t>
      </w:r>
      <w:r w:rsidR="006E4579" w:rsidRPr="00B755E2">
        <w:rPr>
          <w:rFonts w:ascii="Palatino Linotype" w:hAnsi="Palatino Linotype" w:cs="Arial"/>
          <w:b/>
        </w:rPr>
        <w:t>SUJETO OBLIGADO</w:t>
      </w:r>
      <w:r w:rsidR="006E4579" w:rsidRPr="00B755E2">
        <w:rPr>
          <w:rFonts w:ascii="Palatino Linotype" w:hAnsi="Palatino Linotype" w:cs="Arial"/>
        </w:rPr>
        <w:t>, donde constan los acuerdos</w:t>
      </w:r>
      <w:r w:rsidR="00544B15" w:rsidRPr="00B755E2">
        <w:rPr>
          <w:rFonts w:ascii="Palatino Linotype" w:hAnsi="Palatino Linotype" w:cs="Arial"/>
        </w:rPr>
        <w:t xml:space="preserve"> o convenios</w:t>
      </w:r>
      <w:r w:rsidR="006E4579" w:rsidRPr="00B755E2">
        <w:rPr>
          <w:rFonts w:ascii="Palatino Linotype" w:hAnsi="Palatino Linotype" w:cs="Arial"/>
        </w:rPr>
        <w:t xml:space="preserve"> sobre un asunto, en el caso concreto por la violación a la legislación ambiental del Estado y daños ambientales.</w:t>
      </w:r>
    </w:p>
    <w:p w14:paraId="664355AD" w14:textId="77777777" w:rsidR="006E4579" w:rsidRPr="00B755E2" w:rsidRDefault="006E4579" w:rsidP="006E4579">
      <w:pPr>
        <w:pStyle w:val="Prrafodelista"/>
        <w:rPr>
          <w:rFonts w:ascii="Palatino Linotype" w:hAnsi="Palatino Linotype" w:cs="Arial"/>
        </w:rPr>
      </w:pPr>
    </w:p>
    <w:p w14:paraId="40031D27" w14:textId="77777777" w:rsidR="006E4579" w:rsidRPr="00B755E2" w:rsidRDefault="005C3429" w:rsidP="006E4579">
      <w:pPr>
        <w:numPr>
          <w:ilvl w:val="0"/>
          <w:numId w:val="1"/>
        </w:numPr>
        <w:spacing w:line="360" w:lineRule="auto"/>
        <w:ind w:left="0" w:firstLine="0"/>
        <w:contextualSpacing/>
        <w:jc w:val="both"/>
        <w:rPr>
          <w:rFonts w:ascii="Palatino Linotype" w:hAnsi="Palatino Linotype" w:cs="Arial"/>
        </w:rPr>
      </w:pPr>
      <w:r w:rsidRPr="00B755E2">
        <w:rPr>
          <w:rFonts w:ascii="Palatino Linotype" w:hAnsi="Palatino Linotype" w:cs="Arial"/>
        </w:rPr>
        <w:t xml:space="preserve">Así, no existe algún distintivo que pueda </w:t>
      </w:r>
      <w:r w:rsidR="006E4579" w:rsidRPr="00B755E2">
        <w:rPr>
          <w:rFonts w:ascii="Palatino Linotype" w:hAnsi="Palatino Linotype" w:cs="Arial"/>
        </w:rPr>
        <w:t>remitirse</w:t>
      </w:r>
      <w:r w:rsidRPr="00B755E2">
        <w:rPr>
          <w:rFonts w:ascii="Palatino Linotype" w:hAnsi="Palatino Linotype" w:cs="Arial"/>
        </w:rPr>
        <w:t xml:space="preserve">, </w:t>
      </w:r>
      <w:r w:rsidR="006E4579" w:rsidRPr="00B755E2">
        <w:rPr>
          <w:rFonts w:ascii="Palatino Linotype" w:hAnsi="Palatino Linotype" w:cs="Arial"/>
        </w:rPr>
        <w:t xml:space="preserve">pues </w:t>
      </w:r>
      <w:r w:rsidRPr="00B755E2">
        <w:rPr>
          <w:rFonts w:ascii="Palatino Linotype" w:hAnsi="Palatino Linotype" w:cs="Arial"/>
        </w:rPr>
        <w:t>el acceder a</w:t>
      </w:r>
      <w:r w:rsidR="006E4579" w:rsidRPr="00B755E2">
        <w:rPr>
          <w:rFonts w:ascii="Palatino Linotype" w:hAnsi="Palatino Linotype" w:cs="Arial"/>
        </w:rPr>
        <w:t xml:space="preserve"> los convenios suscritos por las partes</w:t>
      </w:r>
      <w:r w:rsidRPr="00B755E2">
        <w:rPr>
          <w:rFonts w:ascii="Palatino Linotype" w:hAnsi="Palatino Linotype" w:cs="Arial"/>
        </w:rPr>
        <w:t xml:space="preserve">, resulta ser la medida necesaria, para que el </w:t>
      </w:r>
      <w:r w:rsidRPr="00B755E2">
        <w:rPr>
          <w:rFonts w:ascii="Palatino Linotype" w:hAnsi="Palatino Linotype" w:cs="Arial"/>
        </w:rPr>
        <w:lastRenderedPageBreak/>
        <w:t>Solicitante cuente con mayores elementos de convicción respecto a</w:t>
      </w:r>
      <w:r w:rsidR="006E4579" w:rsidRPr="00B755E2">
        <w:rPr>
          <w:rFonts w:ascii="Palatino Linotype" w:hAnsi="Palatino Linotype" w:cs="Arial"/>
        </w:rPr>
        <w:t xml:space="preserve"> </w:t>
      </w:r>
      <w:r w:rsidRPr="00B755E2">
        <w:rPr>
          <w:rFonts w:ascii="Palatino Linotype" w:hAnsi="Palatino Linotype" w:cs="Arial"/>
        </w:rPr>
        <w:t>l</w:t>
      </w:r>
      <w:r w:rsidR="006E4579" w:rsidRPr="00B755E2">
        <w:rPr>
          <w:rFonts w:ascii="Palatino Linotype" w:hAnsi="Palatino Linotype" w:cs="Arial"/>
        </w:rPr>
        <w:t>as</w:t>
      </w:r>
      <w:r w:rsidR="006E4579" w:rsidRPr="00B755E2">
        <w:t xml:space="preserve"> </w:t>
      </w:r>
      <w:r w:rsidR="006E4579" w:rsidRPr="00B755E2">
        <w:rPr>
          <w:rFonts w:ascii="Palatino Linotype" w:hAnsi="Palatino Linotype" w:cs="Arial"/>
        </w:rPr>
        <w:t>acciones de remediación y compensación de daños ambientales.</w:t>
      </w:r>
    </w:p>
    <w:p w14:paraId="1A965116" w14:textId="77777777" w:rsidR="006E4579" w:rsidRPr="00B755E2" w:rsidRDefault="006E4579" w:rsidP="006E4579">
      <w:pPr>
        <w:pStyle w:val="Prrafodelista"/>
        <w:rPr>
          <w:rFonts w:ascii="Palatino Linotype" w:hAnsi="Palatino Linotype" w:cs="Arial"/>
        </w:rPr>
      </w:pPr>
    </w:p>
    <w:p w14:paraId="6E4DE3CB" w14:textId="77777777" w:rsidR="005C3429" w:rsidRPr="00B755E2" w:rsidRDefault="005C3429" w:rsidP="009C0F23">
      <w:pPr>
        <w:numPr>
          <w:ilvl w:val="0"/>
          <w:numId w:val="1"/>
        </w:numPr>
        <w:spacing w:line="360" w:lineRule="auto"/>
        <w:ind w:left="0" w:firstLine="0"/>
        <w:contextualSpacing/>
        <w:jc w:val="both"/>
        <w:rPr>
          <w:rFonts w:ascii="Palatino Linotype" w:hAnsi="Palatino Linotype" w:cs="Arial"/>
        </w:rPr>
      </w:pPr>
      <w:r w:rsidRPr="00B755E2">
        <w:rPr>
          <w:rFonts w:ascii="Palatino Linotype" w:hAnsi="Palatino Linotype" w:cs="Arial"/>
        </w:rPr>
        <w:t xml:space="preserve">Además, que la entrega completa de los </w:t>
      </w:r>
      <w:r w:rsidR="006E4579" w:rsidRPr="00B755E2">
        <w:rPr>
          <w:rFonts w:ascii="Palatino Linotype" w:hAnsi="Palatino Linotype" w:cs="Arial"/>
        </w:rPr>
        <w:t>convenios suscritos</w:t>
      </w:r>
      <w:r w:rsidRPr="00B755E2">
        <w:rPr>
          <w:rFonts w:ascii="Palatino Linotype" w:hAnsi="Palatino Linotype" w:cs="Arial"/>
        </w:rPr>
        <w:t xml:space="preserve">, acredita que </w:t>
      </w:r>
      <w:r w:rsidR="00E70EF0" w:rsidRPr="00B755E2">
        <w:rPr>
          <w:rFonts w:ascii="Palatino Linotype" w:hAnsi="Palatino Linotype" w:cs="Arial"/>
        </w:rPr>
        <w:t>la Procuraduría cumple con sus atribuciones y objetivos torales de garantizar el derecho de toda persona a vivir en un ambiente adecuado para su desarrollo, salud y bienestar, mediante la procuración, vigilancia y difusión del cumplimiento de la normatividad ambiental aplicable así como de las acciones que en su caso proceden cuando conoce de actos, hechos u omisiones que produzcan desequilibrios ecológicos o daños al ambiente, y por violaciones a las disposiciones jurídicas en materia a</w:t>
      </w:r>
      <w:r w:rsidR="009C0F23" w:rsidRPr="00B755E2">
        <w:rPr>
          <w:rFonts w:ascii="Palatino Linotype" w:hAnsi="Palatino Linotype" w:cs="Arial"/>
        </w:rPr>
        <w:t>mbiental</w:t>
      </w:r>
      <w:r w:rsidRPr="00B755E2">
        <w:rPr>
          <w:rFonts w:ascii="Palatino Linotype" w:hAnsi="Palatino Linotype" w:cs="Arial"/>
        </w:rPr>
        <w:t xml:space="preserve">, con lo que se fortalece la cultura de la rendición de cuentas; </w:t>
      </w:r>
      <w:r w:rsidR="009C0F23" w:rsidRPr="00B755E2">
        <w:rPr>
          <w:rFonts w:ascii="Palatino Linotype" w:hAnsi="Palatino Linotype" w:cs="Arial"/>
        </w:rPr>
        <w:t>clasificar el documento donde constan los acuerdos</w:t>
      </w:r>
      <w:r w:rsidR="00467EA7" w:rsidRPr="00B755E2">
        <w:rPr>
          <w:rFonts w:ascii="Palatino Linotype" w:hAnsi="Palatino Linotype" w:cs="Arial"/>
        </w:rPr>
        <w:t xml:space="preserve"> o convenios</w:t>
      </w:r>
      <w:r w:rsidR="009C0F23" w:rsidRPr="00B755E2">
        <w:rPr>
          <w:rFonts w:ascii="Palatino Linotype" w:hAnsi="Palatino Linotype" w:cs="Arial"/>
        </w:rPr>
        <w:t xml:space="preserve"> de las partes</w:t>
      </w:r>
      <w:r w:rsidRPr="00B755E2">
        <w:rPr>
          <w:rFonts w:ascii="Palatino Linotype" w:hAnsi="Palatino Linotype" w:cs="Arial"/>
        </w:rPr>
        <w:t xml:space="preserve"> reduce su valor para </w:t>
      </w:r>
      <w:r w:rsidR="009C0F23" w:rsidRPr="00B755E2">
        <w:rPr>
          <w:rFonts w:ascii="Palatino Linotype" w:hAnsi="Palatino Linotype" w:cs="Arial"/>
        </w:rPr>
        <w:t>la sociedad mexiquense quien será la primordialmente beneficiada</w:t>
      </w:r>
      <w:r w:rsidRPr="00B755E2">
        <w:rPr>
          <w:rFonts w:ascii="Palatino Linotype" w:hAnsi="Palatino Linotype" w:cs="Arial"/>
        </w:rPr>
        <w:t xml:space="preserve"> y disminuye sensiblemente </w:t>
      </w:r>
      <w:r w:rsidR="009C0F23" w:rsidRPr="00B755E2">
        <w:rPr>
          <w:rFonts w:ascii="Palatino Linotype" w:hAnsi="Palatino Linotype" w:cs="Arial"/>
        </w:rPr>
        <w:t>la misión institucional de la Procuraduría consistente en procurar, vigilar y promover permanentemente el cumplimiento de la legislación y normatividad ambiental para contribuir al logro del desarrollo sustentable de la comunidad</w:t>
      </w:r>
      <w:r w:rsidRPr="00B755E2">
        <w:rPr>
          <w:rFonts w:ascii="Palatino Linotype" w:hAnsi="Palatino Linotype" w:cs="Arial"/>
        </w:rPr>
        <w:t>.</w:t>
      </w:r>
    </w:p>
    <w:p w14:paraId="7DF4E37C" w14:textId="77777777" w:rsidR="005C3429" w:rsidRPr="00B755E2" w:rsidRDefault="005C3429" w:rsidP="009C0F23">
      <w:pPr>
        <w:pStyle w:val="Prrafodelista"/>
        <w:spacing w:line="360" w:lineRule="auto"/>
        <w:ind w:left="0"/>
        <w:jc w:val="both"/>
        <w:rPr>
          <w:rFonts w:ascii="Palatino Linotype" w:hAnsi="Palatino Linotype" w:cs="Arial"/>
        </w:rPr>
      </w:pPr>
    </w:p>
    <w:p w14:paraId="3550F3E4" w14:textId="77777777" w:rsidR="005C3429" w:rsidRPr="00B755E2" w:rsidRDefault="005C3429" w:rsidP="009C0F23">
      <w:pPr>
        <w:pStyle w:val="Prrafodelista"/>
        <w:numPr>
          <w:ilvl w:val="0"/>
          <w:numId w:val="24"/>
        </w:numPr>
        <w:spacing w:line="360" w:lineRule="auto"/>
        <w:jc w:val="both"/>
        <w:rPr>
          <w:rFonts w:ascii="Palatino Linotype" w:hAnsi="Palatino Linotype" w:cs="Arial"/>
          <w:b/>
          <w:sz w:val="22"/>
        </w:rPr>
      </w:pPr>
      <w:r w:rsidRPr="00B755E2">
        <w:rPr>
          <w:rFonts w:ascii="Palatino Linotype" w:hAnsi="Palatino Linotype" w:cs="Arial"/>
          <w:b/>
          <w:sz w:val="22"/>
        </w:rPr>
        <w:t>Juicio de estricta proporcionalidad.</w:t>
      </w:r>
    </w:p>
    <w:p w14:paraId="44FB30F8" w14:textId="77777777" w:rsidR="005C3429" w:rsidRPr="00B755E2" w:rsidRDefault="005C3429" w:rsidP="009C0F23">
      <w:pPr>
        <w:pStyle w:val="Prrafodelista"/>
        <w:spacing w:line="360" w:lineRule="auto"/>
        <w:ind w:left="0"/>
        <w:jc w:val="both"/>
        <w:rPr>
          <w:rFonts w:ascii="Palatino Linotype" w:hAnsi="Palatino Linotype" w:cs="Arial"/>
        </w:rPr>
      </w:pPr>
    </w:p>
    <w:p w14:paraId="192B8EF7" w14:textId="77777777" w:rsidR="005C3429" w:rsidRPr="00B755E2" w:rsidRDefault="005C3429" w:rsidP="009C0F23">
      <w:pPr>
        <w:numPr>
          <w:ilvl w:val="0"/>
          <w:numId w:val="1"/>
        </w:numPr>
        <w:spacing w:line="360" w:lineRule="auto"/>
        <w:ind w:left="0" w:firstLine="0"/>
        <w:contextualSpacing/>
        <w:jc w:val="both"/>
        <w:rPr>
          <w:rFonts w:ascii="Palatino Linotype" w:hAnsi="Palatino Linotype" w:cs="Arial"/>
        </w:rPr>
      </w:pPr>
      <w:r w:rsidRPr="00B755E2">
        <w:rPr>
          <w:rFonts w:ascii="Palatino Linotype" w:hAnsi="Palatino Linotype" w:cs="Arial"/>
        </w:rPr>
        <w:t xml:space="preserve">En esta fase, se debe establecer que la medida propuesta debe ser estrictamente proporcional y constituir la mínima afectación posible, de tal forma que </w:t>
      </w:r>
      <w:r w:rsidR="009C0F23" w:rsidRPr="00B755E2">
        <w:rPr>
          <w:rFonts w:ascii="Palatino Linotype" w:hAnsi="Palatino Linotype" w:cs="Arial"/>
        </w:rPr>
        <w:t>la reserva de la información</w:t>
      </w:r>
      <w:r w:rsidRPr="00B755E2">
        <w:rPr>
          <w:rFonts w:ascii="Palatino Linotype" w:hAnsi="Palatino Linotype" w:cs="Arial"/>
        </w:rPr>
        <w:t xml:space="preserve"> retroceda en la estricta e indispensable proporción </w:t>
      </w:r>
      <w:r w:rsidRPr="00B755E2">
        <w:rPr>
          <w:rFonts w:ascii="Palatino Linotype" w:hAnsi="Palatino Linotype" w:cs="Arial"/>
        </w:rPr>
        <w:lastRenderedPageBreak/>
        <w:t>para que el de acc</w:t>
      </w:r>
      <w:r w:rsidR="009C0F23" w:rsidRPr="00B755E2">
        <w:rPr>
          <w:rFonts w:ascii="Palatino Linotype" w:hAnsi="Palatino Linotype" w:cs="Arial"/>
        </w:rPr>
        <w:t>eso a la información prevalezca;</w:t>
      </w:r>
      <w:r w:rsidRPr="00B755E2">
        <w:rPr>
          <w:rFonts w:ascii="Palatino Linotype" w:hAnsi="Palatino Linotype" w:cs="Arial"/>
        </w:rPr>
        <w:t xml:space="preserve"> sin que, desde luego, desaparezca el primero</w:t>
      </w:r>
      <w:r w:rsidR="009C0F23" w:rsidRPr="00B755E2">
        <w:rPr>
          <w:rFonts w:ascii="Palatino Linotype" w:hAnsi="Palatino Linotype" w:cs="Arial"/>
        </w:rPr>
        <w:t>.</w:t>
      </w:r>
    </w:p>
    <w:p w14:paraId="1DA6542E" w14:textId="77777777" w:rsidR="005C3429" w:rsidRPr="00B755E2" w:rsidRDefault="005C3429" w:rsidP="005C3429">
      <w:pPr>
        <w:pStyle w:val="Prrafodelista"/>
        <w:spacing w:line="360" w:lineRule="auto"/>
        <w:ind w:left="0"/>
        <w:jc w:val="both"/>
        <w:rPr>
          <w:rFonts w:ascii="Palatino Linotype" w:hAnsi="Palatino Linotype" w:cs="Arial"/>
        </w:rPr>
      </w:pPr>
    </w:p>
    <w:p w14:paraId="4F4EFC6E" w14:textId="77777777" w:rsidR="005C3429" w:rsidRPr="00B755E2" w:rsidRDefault="005C3429" w:rsidP="00B012C4">
      <w:pPr>
        <w:numPr>
          <w:ilvl w:val="0"/>
          <w:numId w:val="1"/>
        </w:numPr>
        <w:spacing w:line="360" w:lineRule="auto"/>
        <w:ind w:left="0" w:firstLine="0"/>
        <w:contextualSpacing/>
        <w:jc w:val="both"/>
        <w:rPr>
          <w:rFonts w:ascii="Palatino Linotype" w:hAnsi="Palatino Linotype" w:cs="Arial"/>
        </w:rPr>
      </w:pPr>
      <w:r w:rsidRPr="00B755E2">
        <w:rPr>
          <w:rFonts w:ascii="Palatino Linotype" w:hAnsi="Palatino Linotype" w:cs="Arial"/>
        </w:rPr>
        <w:t xml:space="preserve">Al respecto, </w:t>
      </w:r>
      <w:r w:rsidR="009C0F23" w:rsidRPr="00B755E2">
        <w:rPr>
          <w:rFonts w:ascii="Palatino Linotype" w:hAnsi="Palatino Linotype" w:cs="Arial"/>
        </w:rPr>
        <w:t>debe prevalecer</w:t>
      </w:r>
      <w:r w:rsidRPr="00B755E2">
        <w:rPr>
          <w:rFonts w:ascii="Palatino Linotype" w:hAnsi="Palatino Linotype" w:cs="Arial"/>
        </w:rPr>
        <w:t xml:space="preserve"> la apertura de</w:t>
      </w:r>
      <w:r w:rsidR="009C0F23" w:rsidRPr="00B755E2">
        <w:rPr>
          <w:rFonts w:ascii="Palatino Linotype" w:hAnsi="Palatino Linotype" w:cs="Arial"/>
        </w:rPr>
        <w:t xml:space="preserve"> la información</w:t>
      </w:r>
      <w:r w:rsidRPr="00B755E2">
        <w:rPr>
          <w:rFonts w:ascii="Palatino Linotype" w:hAnsi="Palatino Linotype" w:cs="Arial"/>
        </w:rPr>
        <w:t xml:space="preserve">, con la finalidad de entregar al Solicitante mayores elementos de convicción respecto </w:t>
      </w:r>
      <w:r w:rsidR="009C0F23" w:rsidRPr="00B755E2">
        <w:rPr>
          <w:rFonts w:ascii="Palatino Linotype" w:hAnsi="Palatino Linotype" w:cs="Arial"/>
        </w:rPr>
        <w:t>a las acciones emprendidas por la Procuraduría en uso de sus facultades y atribuciones de derecho público,</w:t>
      </w:r>
      <w:r w:rsidRPr="00B755E2">
        <w:rPr>
          <w:rFonts w:ascii="Palatino Linotype" w:hAnsi="Palatino Linotype" w:cs="Arial"/>
        </w:rPr>
        <w:t xml:space="preserve"> </w:t>
      </w:r>
      <w:r w:rsidR="009C0F23" w:rsidRPr="00B755E2">
        <w:rPr>
          <w:rFonts w:ascii="Palatino Linotype" w:hAnsi="Palatino Linotype" w:cs="Arial"/>
        </w:rPr>
        <w:t xml:space="preserve">clasificando como confidencial únicamente aquellos datos relacionados a particulares con el objeto de salvaguardar sus datos personales que este </w:t>
      </w:r>
      <w:r w:rsidR="00B012C4" w:rsidRPr="00B755E2">
        <w:rPr>
          <w:rFonts w:ascii="Palatino Linotype" w:hAnsi="Palatino Linotype" w:cs="Arial"/>
        </w:rPr>
        <w:t>Órgano</w:t>
      </w:r>
      <w:r w:rsidR="009C0F23" w:rsidRPr="00B755E2">
        <w:rPr>
          <w:rFonts w:ascii="Palatino Linotype" w:hAnsi="Palatino Linotype" w:cs="Arial"/>
        </w:rPr>
        <w:t xml:space="preserve"> Garante tiene el deber de tutelar, esto a través de la elaboración de una</w:t>
      </w:r>
      <w:r w:rsidRPr="00B755E2">
        <w:rPr>
          <w:rFonts w:ascii="Palatino Linotype" w:hAnsi="Palatino Linotype" w:cs="Arial"/>
        </w:rPr>
        <w:t xml:space="preserve"> </w:t>
      </w:r>
      <w:r w:rsidRPr="00B755E2">
        <w:rPr>
          <w:rFonts w:ascii="Palatino Linotype" w:hAnsi="Palatino Linotype" w:cs="Arial"/>
          <w:b/>
          <w:bCs/>
        </w:rPr>
        <w:t>versión pública</w:t>
      </w:r>
      <w:r w:rsidRPr="00B755E2">
        <w:rPr>
          <w:rFonts w:ascii="Palatino Linotype" w:hAnsi="Palatino Linotype" w:cs="Arial"/>
        </w:rPr>
        <w:t>, con esto se pretende que l</w:t>
      </w:r>
      <w:r w:rsidR="00B012C4" w:rsidRPr="00B755E2">
        <w:rPr>
          <w:rFonts w:ascii="Palatino Linotype" w:hAnsi="Palatino Linotype" w:cs="Arial"/>
        </w:rPr>
        <w:t xml:space="preserve">a invasión a la intimidad de particulares que eventualmente obren en los </w:t>
      </w:r>
      <w:r w:rsidR="00544B15" w:rsidRPr="00B755E2">
        <w:rPr>
          <w:rFonts w:ascii="Palatino Linotype" w:hAnsi="Palatino Linotype" w:cs="Arial"/>
        </w:rPr>
        <w:t>Convenios</w:t>
      </w:r>
      <w:r w:rsidR="00B012C4" w:rsidRPr="00B755E2">
        <w:rPr>
          <w:rFonts w:ascii="Palatino Linotype" w:hAnsi="Palatino Linotype" w:cs="Arial"/>
        </w:rPr>
        <w:t>,</w:t>
      </w:r>
      <w:r w:rsidRPr="00B755E2">
        <w:rPr>
          <w:rFonts w:ascii="Palatino Linotype" w:hAnsi="Palatino Linotype" w:cs="Arial"/>
        </w:rPr>
        <w:t xml:space="preserve"> sea estrictamente proporcional, de tal forma que prevalezca el interés público referido, </w:t>
      </w:r>
      <w:r w:rsidR="00B012C4" w:rsidRPr="00B755E2">
        <w:rPr>
          <w:rFonts w:ascii="Palatino Linotype" w:hAnsi="Palatino Linotype" w:cs="Arial"/>
        </w:rPr>
        <w:t>dejando a la vista todo lo relativo a las acciones de remediación y compensación de daños ambientales, así como los montos.</w:t>
      </w:r>
    </w:p>
    <w:p w14:paraId="3041E394" w14:textId="77777777" w:rsidR="005C3429" w:rsidRPr="00B755E2" w:rsidRDefault="005C3429" w:rsidP="005C3429">
      <w:pPr>
        <w:pStyle w:val="Prrafodelista"/>
        <w:spacing w:line="360" w:lineRule="auto"/>
        <w:ind w:left="0"/>
        <w:jc w:val="both"/>
        <w:rPr>
          <w:rFonts w:ascii="Palatino Linotype" w:hAnsi="Palatino Linotype" w:cs="Arial"/>
        </w:rPr>
      </w:pPr>
    </w:p>
    <w:p w14:paraId="0774D447" w14:textId="77777777" w:rsidR="005C3429" w:rsidRPr="00B755E2" w:rsidRDefault="005C3429" w:rsidP="00C97D4A">
      <w:pPr>
        <w:numPr>
          <w:ilvl w:val="0"/>
          <w:numId w:val="1"/>
        </w:numPr>
        <w:spacing w:line="360" w:lineRule="auto"/>
        <w:ind w:left="0" w:firstLine="0"/>
        <w:contextualSpacing/>
        <w:jc w:val="both"/>
        <w:rPr>
          <w:rFonts w:ascii="Palatino Linotype" w:hAnsi="Palatino Linotype" w:cs="Arial"/>
        </w:rPr>
      </w:pPr>
      <w:r w:rsidRPr="00B755E2">
        <w:rPr>
          <w:rFonts w:ascii="Palatino Linotype" w:hAnsi="Palatino Linotype" w:cs="Arial"/>
        </w:rPr>
        <w:t xml:space="preserve">Además, </w:t>
      </w:r>
      <w:r w:rsidR="00B012C4" w:rsidRPr="00B755E2">
        <w:rPr>
          <w:rFonts w:ascii="Palatino Linotype" w:hAnsi="Palatino Linotype" w:cs="Arial"/>
        </w:rPr>
        <w:t>como ya se</w:t>
      </w:r>
      <w:r w:rsidRPr="00B755E2">
        <w:rPr>
          <w:rFonts w:ascii="Palatino Linotype" w:hAnsi="Palatino Linotype" w:cs="Arial"/>
        </w:rPr>
        <w:t xml:space="preserve"> señal</w:t>
      </w:r>
      <w:r w:rsidR="00B012C4" w:rsidRPr="00B755E2">
        <w:rPr>
          <w:rFonts w:ascii="Palatino Linotype" w:hAnsi="Palatino Linotype" w:cs="Arial"/>
        </w:rPr>
        <w:t>ó</w:t>
      </w:r>
      <w:r w:rsidRPr="00B755E2">
        <w:rPr>
          <w:rFonts w:ascii="Palatino Linotype" w:hAnsi="Palatino Linotype" w:cs="Arial"/>
        </w:rPr>
        <w:t xml:space="preserve">, los </w:t>
      </w:r>
      <w:r w:rsidR="00B012C4" w:rsidRPr="00B755E2">
        <w:rPr>
          <w:rFonts w:ascii="Palatino Linotype" w:hAnsi="Palatino Linotype" w:cs="Arial"/>
        </w:rPr>
        <w:t>multicitados acuerdos</w:t>
      </w:r>
      <w:r w:rsidRPr="00B755E2">
        <w:rPr>
          <w:rFonts w:ascii="Palatino Linotype" w:hAnsi="Palatino Linotype" w:cs="Arial"/>
        </w:rPr>
        <w:t>, tiene</w:t>
      </w:r>
      <w:r w:rsidR="00B012C4" w:rsidRPr="00B755E2">
        <w:rPr>
          <w:rFonts w:ascii="Palatino Linotype" w:hAnsi="Palatino Linotype" w:cs="Arial"/>
        </w:rPr>
        <w:t>n</w:t>
      </w:r>
      <w:r w:rsidRPr="00B755E2">
        <w:rPr>
          <w:rFonts w:ascii="Palatino Linotype" w:hAnsi="Palatino Linotype" w:cs="Arial"/>
        </w:rPr>
        <w:t xml:space="preserve"> la finalidad de contar con los elementos necesarios que  permitan a cualquier persona verificar </w:t>
      </w:r>
      <w:r w:rsidR="00B012C4" w:rsidRPr="00B755E2">
        <w:rPr>
          <w:rFonts w:ascii="Palatino Linotype" w:hAnsi="Palatino Linotype" w:cs="Arial"/>
        </w:rPr>
        <w:t>las atribuciones de la Procuraduría de garantizar el derecho de toda persona a vivir en un ambiente adecuado para su desarrollo, salud y bienestar, mediante la procuración, vigilancia y difusión del cumplimiento de la normatividad ambiental.</w:t>
      </w:r>
    </w:p>
    <w:p w14:paraId="722B00AE" w14:textId="77777777" w:rsidR="00B012C4" w:rsidRPr="00B755E2" w:rsidRDefault="00B012C4" w:rsidP="00B012C4">
      <w:pPr>
        <w:spacing w:line="360" w:lineRule="auto"/>
        <w:contextualSpacing/>
        <w:jc w:val="both"/>
        <w:rPr>
          <w:rFonts w:ascii="Palatino Linotype" w:hAnsi="Palatino Linotype" w:cs="Arial"/>
        </w:rPr>
      </w:pPr>
    </w:p>
    <w:p w14:paraId="69B38934" w14:textId="77777777" w:rsidR="005C3429" w:rsidRPr="00B755E2" w:rsidRDefault="005C3429" w:rsidP="00B012C4">
      <w:pPr>
        <w:numPr>
          <w:ilvl w:val="0"/>
          <w:numId w:val="1"/>
        </w:numPr>
        <w:spacing w:line="360" w:lineRule="auto"/>
        <w:ind w:left="0" w:firstLine="0"/>
        <w:contextualSpacing/>
        <w:jc w:val="both"/>
        <w:rPr>
          <w:rFonts w:ascii="Palatino Linotype" w:hAnsi="Palatino Linotype" w:cs="Arial"/>
        </w:rPr>
      </w:pPr>
      <w:r w:rsidRPr="00B755E2">
        <w:rPr>
          <w:rFonts w:ascii="Palatino Linotype" w:hAnsi="Palatino Linotype" w:cs="Arial"/>
        </w:rPr>
        <w:t xml:space="preserve">En este sentido, la estricta proporcionalidad en la valoración de los datos que deben entregarse como públicos, deviene de la naturaleza de los mismos, </w:t>
      </w:r>
      <w:r w:rsidR="00B012C4" w:rsidRPr="00B755E2">
        <w:rPr>
          <w:rFonts w:ascii="Palatino Linotype" w:hAnsi="Palatino Linotype" w:cs="Arial"/>
        </w:rPr>
        <w:t xml:space="preserve"> que es la de ser documentos que dan cuenta de las acciones que procedan ante las autoridades </w:t>
      </w:r>
      <w:r w:rsidR="00B012C4" w:rsidRPr="00B755E2">
        <w:rPr>
          <w:rFonts w:ascii="Palatino Linotype" w:hAnsi="Palatino Linotype" w:cs="Arial"/>
        </w:rPr>
        <w:lastRenderedPageBreak/>
        <w:t>competentes, cuando conozca de actos, hechos u omisiones que produzcan desequilibrios ecológicos o daños al ambiente, y por violaciones a las disposiciones jurídicas en materia Ambiental</w:t>
      </w:r>
      <w:r w:rsidRPr="00B755E2">
        <w:rPr>
          <w:rFonts w:ascii="Palatino Linotype" w:hAnsi="Palatino Linotype" w:cs="Arial"/>
        </w:rPr>
        <w:t xml:space="preserve">; esto implica que la información se encuentra relacionada directamente con </w:t>
      </w:r>
      <w:r w:rsidR="00B012C4" w:rsidRPr="00B755E2">
        <w:rPr>
          <w:rFonts w:ascii="Palatino Linotype" w:hAnsi="Palatino Linotype" w:cs="Arial"/>
        </w:rPr>
        <w:t>el derecho a saber, que repercutirá en su derecho a un ambiente adecuado para el desarrollo de la salud y el bienestar y no así para el vulneración de procedimientos administrativos</w:t>
      </w:r>
      <w:r w:rsidRPr="00B755E2">
        <w:rPr>
          <w:rFonts w:ascii="Palatino Linotype" w:hAnsi="Palatino Linotype" w:cs="Arial"/>
        </w:rPr>
        <w:t>.</w:t>
      </w:r>
    </w:p>
    <w:p w14:paraId="42C6D796" w14:textId="77777777" w:rsidR="005C3429" w:rsidRPr="00B755E2" w:rsidRDefault="005C3429" w:rsidP="00B012C4">
      <w:pPr>
        <w:spacing w:line="360" w:lineRule="auto"/>
        <w:contextualSpacing/>
        <w:jc w:val="both"/>
        <w:rPr>
          <w:rFonts w:ascii="Palatino Linotype" w:hAnsi="Palatino Linotype" w:cs="Arial"/>
        </w:rPr>
      </w:pPr>
    </w:p>
    <w:p w14:paraId="448431ED" w14:textId="1F7C49C1" w:rsidR="00280FDC" w:rsidRPr="00B755E2" w:rsidRDefault="00280FDC" w:rsidP="0032189A">
      <w:pPr>
        <w:numPr>
          <w:ilvl w:val="0"/>
          <w:numId w:val="1"/>
        </w:numPr>
        <w:spacing w:line="360" w:lineRule="auto"/>
        <w:ind w:left="0" w:firstLine="0"/>
        <w:contextualSpacing/>
        <w:jc w:val="both"/>
        <w:rPr>
          <w:rFonts w:ascii="Palatino Linotype" w:hAnsi="Palatino Linotype"/>
        </w:rPr>
      </w:pPr>
      <w:r w:rsidRPr="00B755E2">
        <w:rPr>
          <w:rFonts w:ascii="Palatino Linotype" w:hAnsi="Palatino Linotype" w:cs="Arial"/>
        </w:rPr>
        <w:t xml:space="preserve">En </w:t>
      </w:r>
      <w:r w:rsidRPr="00B755E2">
        <w:rPr>
          <w:rFonts w:ascii="Palatino Linotype" w:hAnsi="Palatino Linotype" w:cs="Arial"/>
          <w:lang w:eastAsia="es-MX"/>
        </w:rPr>
        <w:t>consecuencia</w:t>
      </w:r>
      <w:r w:rsidRPr="00B755E2">
        <w:rPr>
          <w:rFonts w:ascii="Palatino Linotype" w:hAnsi="Palatino Linotype" w:cs="Arial"/>
        </w:rPr>
        <w:t xml:space="preserve">, y atendiendo a las circunstancias del caso particular que nos ocupa, </w:t>
      </w:r>
      <w:r w:rsidR="00B012C4" w:rsidRPr="00B755E2">
        <w:rPr>
          <w:rFonts w:ascii="Palatino Linotype" w:hAnsi="Palatino Linotype" w:cs="Arial"/>
        </w:rPr>
        <w:t>se acredita que se justifican</w:t>
      </w:r>
      <w:r w:rsidRPr="00B755E2">
        <w:rPr>
          <w:rFonts w:ascii="Palatino Linotype" w:hAnsi="Palatino Linotype" w:cs="Arial"/>
        </w:rPr>
        <w:t xml:space="preserve"> las razones y circuns</w:t>
      </w:r>
      <w:r w:rsidR="00B012C4" w:rsidRPr="00B755E2">
        <w:rPr>
          <w:rFonts w:ascii="Palatino Linotype" w:hAnsi="Palatino Linotype" w:cs="Arial"/>
        </w:rPr>
        <w:t>tancias por las que se determina</w:t>
      </w:r>
      <w:r w:rsidRPr="00B755E2">
        <w:rPr>
          <w:rFonts w:ascii="Palatino Linotype" w:hAnsi="Palatino Linotype" w:cs="Arial"/>
        </w:rPr>
        <w:t xml:space="preserve"> </w:t>
      </w:r>
      <w:r w:rsidR="00B012C4" w:rsidRPr="00B755E2">
        <w:rPr>
          <w:rFonts w:ascii="Palatino Linotype" w:hAnsi="Palatino Linotype" w:cs="Arial"/>
        </w:rPr>
        <w:t xml:space="preserve">desestimar la pretendida clasificación de la información como reservada propuesta por el </w:t>
      </w:r>
      <w:r w:rsidR="00B012C4" w:rsidRPr="00B755E2">
        <w:rPr>
          <w:rFonts w:ascii="Palatino Linotype" w:hAnsi="Palatino Linotype" w:cs="Arial"/>
          <w:b/>
        </w:rPr>
        <w:t>SUJETO OBLIGADO</w:t>
      </w:r>
      <w:r w:rsidR="0032189A" w:rsidRPr="00B755E2">
        <w:rPr>
          <w:rFonts w:ascii="Palatino Linotype" w:hAnsi="Palatino Linotype" w:cs="Arial"/>
          <w:b/>
        </w:rPr>
        <w:t xml:space="preserve">, </w:t>
      </w:r>
      <w:r w:rsidR="0032189A" w:rsidRPr="00B755E2">
        <w:rPr>
          <w:rFonts w:ascii="Palatino Linotype" w:hAnsi="Palatino Linotype" w:cs="Arial"/>
        </w:rPr>
        <w:t>en virtud de haberse acreditado</w:t>
      </w:r>
      <w:r w:rsidRPr="00B755E2">
        <w:rPr>
          <w:rFonts w:ascii="Palatino Linotype" w:hAnsi="Palatino Linotype"/>
        </w:rPr>
        <w:t xml:space="preserve">, el interés público </w:t>
      </w:r>
      <w:r w:rsidR="0032189A" w:rsidRPr="00B755E2">
        <w:rPr>
          <w:rFonts w:ascii="Palatino Linotype" w:hAnsi="Palatino Linotype"/>
        </w:rPr>
        <w:t>para</w:t>
      </w:r>
      <w:r w:rsidRPr="00B755E2">
        <w:rPr>
          <w:rFonts w:ascii="Palatino Linotype" w:hAnsi="Palatino Linotype"/>
        </w:rPr>
        <w:t xml:space="preserve"> que la ciudadanía conozca </w:t>
      </w:r>
      <w:r w:rsidR="0032189A" w:rsidRPr="00B755E2">
        <w:rPr>
          <w:rFonts w:ascii="Palatino Linotype" w:hAnsi="Palatino Linotype"/>
        </w:rPr>
        <w:t>puedan conocer los Convenios de Compensación Ambiental suscritos por infractores de su Entidad, al establecerse</w:t>
      </w:r>
      <w:r w:rsidRPr="00B755E2">
        <w:rPr>
          <w:rFonts w:ascii="Palatino Linotype" w:hAnsi="Palatino Linotype"/>
        </w:rPr>
        <w:t xml:space="preserve"> una correcta ponderación </w:t>
      </w:r>
      <w:r w:rsidR="0032189A" w:rsidRPr="00B755E2">
        <w:rPr>
          <w:rFonts w:ascii="Palatino Linotype" w:hAnsi="Palatino Linotype"/>
        </w:rPr>
        <w:t>del cumplimiento de tres juicios previamente analizados</w:t>
      </w:r>
      <w:r w:rsidRPr="00B755E2">
        <w:rPr>
          <w:rFonts w:ascii="Palatino Linotype" w:hAnsi="Palatino Linotype"/>
        </w:rPr>
        <w:t>. La ausencia de cualquiera de los tres, invalida enteramente la invasión d</w:t>
      </w:r>
      <w:r w:rsidR="0032189A" w:rsidRPr="00B755E2">
        <w:rPr>
          <w:rFonts w:ascii="Palatino Linotype" w:hAnsi="Palatino Linotype"/>
        </w:rPr>
        <w:t>el derecho,</w:t>
      </w:r>
      <w:r w:rsidRPr="00B755E2">
        <w:rPr>
          <w:rFonts w:ascii="Palatino Linotype" w:hAnsi="Palatino Linotype"/>
        </w:rPr>
        <w:t xml:space="preserve"> </w:t>
      </w:r>
      <w:r w:rsidR="0032189A" w:rsidRPr="00B755E2">
        <w:rPr>
          <w:rFonts w:ascii="Palatino Linotype" w:hAnsi="Palatino Linotype"/>
        </w:rPr>
        <w:t>e</w:t>
      </w:r>
      <w:r w:rsidRPr="00B755E2">
        <w:rPr>
          <w:rFonts w:ascii="Palatino Linotype" w:hAnsi="Palatino Linotype"/>
        </w:rPr>
        <w:t xml:space="preserve">n este caso, la limitación al derecho a la </w:t>
      </w:r>
      <w:r w:rsidR="0032189A" w:rsidRPr="00B755E2">
        <w:rPr>
          <w:rFonts w:ascii="Palatino Linotype" w:hAnsi="Palatino Linotype"/>
        </w:rPr>
        <w:t>información pública</w:t>
      </w:r>
      <w:r w:rsidRPr="00B755E2">
        <w:rPr>
          <w:rFonts w:ascii="Palatino Linotype" w:hAnsi="Palatino Linotype"/>
        </w:rPr>
        <w:t xml:space="preserve"> </w:t>
      </w:r>
      <w:r w:rsidR="0032189A" w:rsidRPr="00B755E2">
        <w:rPr>
          <w:rFonts w:ascii="Palatino Linotype" w:hAnsi="Palatino Linotype"/>
        </w:rPr>
        <w:t>que fue</w:t>
      </w:r>
      <w:r w:rsidRPr="00B755E2">
        <w:rPr>
          <w:rFonts w:ascii="Palatino Linotype" w:hAnsi="Palatino Linotype"/>
        </w:rPr>
        <w:t xml:space="preserve"> acorde con el principio de proporcionalidad, </w:t>
      </w:r>
      <w:r w:rsidR="0032189A" w:rsidRPr="00B755E2">
        <w:rPr>
          <w:rFonts w:ascii="Palatino Linotype" w:hAnsi="Palatino Linotype"/>
        </w:rPr>
        <w:t>al</w:t>
      </w:r>
      <w:r w:rsidRPr="00B755E2">
        <w:rPr>
          <w:rFonts w:ascii="Palatino Linotype" w:hAnsi="Palatino Linotype"/>
        </w:rPr>
        <w:t>e emplear los tres juicios propuestos por la Corte Constitucional Colombiana,</w:t>
      </w:r>
      <w:r w:rsidRPr="00B755E2">
        <w:rPr>
          <w:rFonts w:ascii="Palatino Linotype" w:hAnsi="Palatino Linotype"/>
          <w:vertAlign w:val="superscript"/>
        </w:rPr>
        <w:footnoteReference w:id="10"/>
      </w:r>
      <w:r w:rsidRPr="00B755E2">
        <w:rPr>
          <w:rFonts w:ascii="Palatino Linotype" w:hAnsi="Palatino Linotype"/>
        </w:rPr>
        <w:t xml:space="preserve"> siguiendo el principio de ponderación propuesto por </w:t>
      </w:r>
      <w:r w:rsidRPr="00B755E2">
        <w:rPr>
          <w:rFonts w:ascii="Palatino Linotype" w:hAnsi="Palatino Linotype"/>
        </w:rPr>
        <w:lastRenderedPageBreak/>
        <w:t>el Tribunal Constitucional Alemán,</w:t>
      </w:r>
      <w:r w:rsidRPr="00B755E2">
        <w:rPr>
          <w:rFonts w:ascii="Palatino Linotype" w:hAnsi="Palatino Linotype"/>
          <w:vertAlign w:val="superscript"/>
        </w:rPr>
        <w:footnoteReference w:id="11"/>
      </w:r>
      <w:r w:rsidRPr="00B755E2">
        <w:rPr>
          <w:rFonts w:ascii="Palatino Linotype" w:hAnsi="Palatino Linotype"/>
          <w:vertAlign w:val="superscript"/>
        </w:rPr>
        <w:t xml:space="preserve"> </w:t>
      </w:r>
      <w:r w:rsidRPr="00B755E2">
        <w:rPr>
          <w:rFonts w:ascii="Palatino Linotype" w:hAnsi="Palatino Linotype"/>
        </w:rPr>
        <w:t xml:space="preserve">el juicio de idoneidad deberá explicar que la medida permite obtener </w:t>
      </w:r>
      <w:r w:rsidRPr="00B755E2">
        <w:rPr>
          <w:rFonts w:ascii="Palatino Linotype" w:hAnsi="Palatino Linotype"/>
          <w:i/>
        </w:rPr>
        <w:t>el fin (constitucionalmente legítimo de acuerdo con el principio de razón suficiente);</w:t>
      </w:r>
      <w:r w:rsidRPr="00B755E2">
        <w:rPr>
          <w:rFonts w:ascii="Palatino Linotype" w:hAnsi="Palatino Linotype"/>
        </w:rPr>
        <w:t xml:space="preserve"> el de necesidad, </w:t>
      </w:r>
      <w:r w:rsidR="007C565A" w:rsidRPr="00B755E2">
        <w:rPr>
          <w:rFonts w:ascii="Palatino Linotype" w:hAnsi="Palatino Linotype"/>
        </w:rPr>
        <w:t>en el que</w:t>
      </w:r>
      <w:r w:rsidRPr="00B755E2">
        <w:rPr>
          <w:rFonts w:ascii="Palatino Linotype" w:hAnsi="Palatino Linotype"/>
        </w:rPr>
        <w:t xml:space="preserve"> se debe acreditar que </w:t>
      </w:r>
      <w:r w:rsidRPr="00B755E2">
        <w:rPr>
          <w:rFonts w:ascii="Palatino Linotype" w:hAnsi="Palatino Linotype"/>
          <w:i/>
        </w:rPr>
        <w:t>no existan medios alternativos igualmente adecuados o idóneos para la obtención del fin, pero menos restrictivos de los principios afectados;</w:t>
      </w:r>
      <w:r w:rsidRPr="00B755E2">
        <w:rPr>
          <w:rFonts w:ascii="Palatino Linotype" w:hAnsi="Palatino Linotype"/>
        </w:rPr>
        <w:t xml:space="preserve"> y, por último, el de </w:t>
      </w:r>
      <w:r w:rsidRPr="00B755E2">
        <w:rPr>
          <w:rFonts w:ascii="Palatino Linotype" w:hAnsi="Palatino Linotype"/>
          <w:i/>
        </w:rPr>
        <w:t>proporcionalidad en sentido estricto, esto es, que el fin que la efectividad del fin que se persigue se alcance en una medida mayor a la afectación de los principios que sufren restricción, y particularmente, del principio de igualdad.</w:t>
      </w:r>
      <w:r w:rsidRPr="00B755E2">
        <w:rPr>
          <w:rFonts w:ascii="Palatino Linotype" w:hAnsi="Palatino Linotype"/>
          <w:i/>
          <w:vertAlign w:val="superscript"/>
        </w:rPr>
        <w:footnoteReference w:id="12"/>
      </w:r>
      <w:r w:rsidRPr="00B755E2">
        <w:rPr>
          <w:rFonts w:ascii="Palatino Linotype" w:hAnsi="Palatino Linotype"/>
          <w:i/>
        </w:rPr>
        <w:t xml:space="preserve"> </w:t>
      </w:r>
    </w:p>
    <w:p w14:paraId="6E1831B3" w14:textId="77777777" w:rsidR="0032189A" w:rsidRPr="00B755E2" w:rsidRDefault="0032189A" w:rsidP="0032189A">
      <w:pPr>
        <w:spacing w:line="360" w:lineRule="auto"/>
        <w:contextualSpacing/>
        <w:jc w:val="both"/>
        <w:rPr>
          <w:rFonts w:ascii="Palatino Linotype" w:hAnsi="Palatino Linotype"/>
        </w:rPr>
      </w:pPr>
    </w:p>
    <w:p w14:paraId="38274642" w14:textId="1A089300" w:rsidR="00280FDC" w:rsidRPr="00B755E2" w:rsidRDefault="00280FDC" w:rsidP="0032189A">
      <w:pPr>
        <w:numPr>
          <w:ilvl w:val="0"/>
          <w:numId w:val="1"/>
        </w:numPr>
        <w:spacing w:line="360" w:lineRule="auto"/>
        <w:ind w:left="0" w:firstLine="0"/>
        <w:contextualSpacing/>
        <w:jc w:val="both"/>
        <w:rPr>
          <w:rFonts w:ascii="Palatino Linotype" w:eastAsia="Calibri" w:hAnsi="Palatino Linotype" w:cs="Arial"/>
          <w:lang w:val="es-MX" w:eastAsia="en-US"/>
        </w:rPr>
      </w:pPr>
      <w:r w:rsidRPr="00B755E2">
        <w:rPr>
          <w:rFonts w:ascii="Palatino Linotype" w:eastAsia="Calibri" w:hAnsi="Palatino Linotype"/>
          <w:lang w:val="es-MX" w:eastAsia="en-US"/>
        </w:rPr>
        <w:t xml:space="preserve">Así, es necesario precisar que la transparencia es un principio jurídico que se </w:t>
      </w:r>
      <w:r w:rsidRPr="00B755E2">
        <w:rPr>
          <w:rFonts w:ascii="Palatino Linotype" w:hAnsi="Palatino Linotype" w:cs="Arial"/>
        </w:rPr>
        <w:t>concreta</w:t>
      </w:r>
      <w:r w:rsidRPr="00B755E2">
        <w:rPr>
          <w:rFonts w:ascii="Palatino Linotype" w:eastAsia="Calibri" w:hAnsi="Palatino Linotype"/>
          <w:lang w:val="es-MX" w:eastAsia="en-US"/>
        </w:rPr>
        <w:t xml:space="preserve"> especialmente en el derecho fundamental de acceder a la información pública y que la aplicación del principio de transparencia y el respeto y garantía del derecho de acceder a la información pública, son elementos indispensables para </w:t>
      </w:r>
      <w:r w:rsidRPr="00B755E2">
        <w:rPr>
          <w:rFonts w:ascii="Palatino Linotype" w:eastAsia="Calibri" w:hAnsi="Palatino Linotype"/>
          <w:lang w:val="es-MX" w:eastAsia="en-US"/>
        </w:rPr>
        <w:lastRenderedPageBreak/>
        <w:t xml:space="preserve">afirmar que existe un verdadero estado social y democrático de derecho, en el </w:t>
      </w:r>
      <w:r w:rsidR="007C565A" w:rsidRPr="00B755E2">
        <w:rPr>
          <w:rFonts w:ascii="Palatino Linotype" w:eastAsia="Calibri" w:hAnsi="Palatino Linotype"/>
          <w:lang w:val="es-MX" w:eastAsia="en-US"/>
        </w:rPr>
        <w:t>que</w:t>
      </w:r>
      <w:r w:rsidRPr="00B755E2">
        <w:rPr>
          <w:rFonts w:ascii="Palatino Linotype" w:eastAsia="Calibri" w:hAnsi="Palatino Linotype"/>
          <w:lang w:val="es-MX" w:eastAsia="en-US"/>
        </w:rPr>
        <w:t xml:space="preserve"> todas las personas pueden participar activamente en los asuntos que las afecten y una Administración Pública comprometida con el bienestar general, que en el presente caso se traduce en el acceso a la información relacionada con las medidas adoptadas</w:t>
      </w:r>
      <w:r w:rsidR="0032189A" w:rsidRPr="00B755E2">
        <w:rPr>
          <w:rFonts w:ascii="Palatino Linotype" w:eastAsia="Calibri" w:hAnsi="Palatino Linotype"/>
          <w:lang w:val="es-MX" w:eastAsia="en-US"/>
        </w:rPr>
        <w:t>, en el caso concreto, en materia ambiental.</w:t>
      </w:r>
      <w:r w:rsidRPr="00B755E2">
        <w:rPr>
          <w:rFonts w:ascii="Palatino Linotype" w:eastAsia="Calibri" w:hAnsi="Palatino Linotype"/>
          <w:lang w:val="es-MX" w:eastAsia="en-US"/>
        </w:rPr>
        <w:t xml:space="preserve"> </w:t>
      </w:r>
    </w:p>
    <w:p w14:paraId="54E11D2A" w14:textId="77777777" w:rsidR="00280FDC" w:rsidRPr="00B755E2" w:rsidRDefault="00280FDC" w:rsidP="00280FDC">
      <w:pPr>
        <w:spacing w:before="240" w:after="240" w:line="360" w:lineRule="auto"/>
        <w:contextualSpacing/>
        <w:jc w:val="both"/>
        <w:rPr>
          <w:rFonts w:ascii="Palatino Linotype" w:eastAsia="Calibri" w:hAnsi="Palatino Linotype" w:cs="Arial"/>
          <w:lang w:val="es-MX" w:eastAsia="en-US"/>
        </w:rPr>
      </w:pPr>
    </w:p>
    <w:p w14:paraId="13CFEAF9" w14:textId="77777777" w:rsidR="00280FDC" w:rsidRPr="00B755E2" w:rsidRDefault="00280FDC" w:rsidP="0032189A">
      <w:pPr>
        <w:numPr>
          <w:ilvl w:val="0"/>
          <w:numId w:val="1"/>
        </w:numPr>
        <w:spacing w:line="360" w:lineRule="auto"/>
        <w:ind w:left="0" w:firstLine="0"/>
        <w:contextualSpacing/>
        <w:jc w:val="both"/>
        <w:rPr>
          <w:rFonts w:ascii="Palatino Linotype" w:eastAsia="Calibri" w:hAnsi="Palatino Linotype" w:cs="Arial"/>
          <w:lang w:val="es-MX" w:eastAsia="en-US"/>
        </w:rPr>
      </w:pPr>
      <w:r w:rsidRPr="00B755E2">
        <w:rPr>
          <w:rFonts w:ascii="Palatino Linotype" w:eastAsia="Calibri" w:hAnsi="Palatino Linotype"/>
          <w:lang w:val="es-MX" w:eastAsia="en-US"/>
        </w:rPr>
        <w:t>Por otra parte, tenemos la rendición de cuenta pública; que supone la capacidad de las instituciones para hacer responsables a los gobernantes de sus actos y decisiones en los distintos niveles de poder. En ese sentido, el principio de rendición de cuentas y la transparencia encuentran un objetivo en común, buscar conciliar el interés colectivo con el interé</w:t>
      </w:r>
      <w:r w:rsidR="0032189A" w:rsidRPr="00B755E2">
        <w:rPr>
          <w:rFonts w:ascii="Palatino Linotype" w:eastAsia="Calibri" w:hAnsi="Palatino Linotype"/>
          <w:lang w:val="es-MX" w:eastAsia="en-US"/>
        </w:rPr>
        <w:t>s particular de los gobernantes;</w:t>
      </w:r>
      <w:r w:rsidRPr="00B755E2">
        <w:rPr>
          <w:rFonts w:ascii="Palatino Linotype" w:eastAsia="Calibri" w:hAnsi="Palatino Linotype"/>
          <w:lang w:val="es-MX" w:eastAsia="en-US"/>
        </w:rPr>
        <w:t xml:space="preserve"> es decir, si todos los que dispongan de algún poder público saben que pueden ser llamados a cuentas, que su acción política, su desempeño gubernamental, el ejercicio de sus funciones y sus decisiones generan efectos positivos o negativos, tendrán mayor diligencia en sus acciones. </w:t>
      </w:r>
    </w:p>
    <w:p w14:paraId="610D4286" w14:textId="77777777" w:rsidR="00544B15" w:rsidRPr="00B755E2" w:rsidRDefault="00544B15" w:rsidP="00544B15">
      <w:pPr>
        <w:pStyle w:val="Ttulo2"/>
        <w:rPr>
          <w:rFonts w:ascii="Palatino Linotype" w:hAnsi="Palatino Linotype"/>
          <w:b/>
          <w:color w:val="auto"/>
          <w:sz w:val="24"/>
        </w:rPr>
      </w:pPr>
      <w:bookmarkStart w:id="150" w:name="_Toc86848768"/>
      <w:r w:rsidRPr="00B755E2">
        <w:rPr>
          <w:rFonts w:ascii="Palatino Linotype" w:hAnsi="Palatino Linotype"/>
          <w:b/>
          <w:color w:val="auto"/>
          <w:sz w:val="24"/>
        </w:rPr>
        <w:t>QUINTO. De la versión pública</w:t>
      </w:r>
      <w:bookmarkEnd w:id="150"/>
    </w:p>
    <w:p w14:paraId="31126E5D" w14:textId="77777777" w:rsidR="0054224D" w:rsidRPr="00B755E2" w:rsidRDefault="0054224D" w:rsidP="0054224D"/>
    <w:p w14:paraId="2DE403A5" w14:textId="77777777" w:rsidR="00544B15" w:rsidRPr="00B755E2" w:rsidRDefault="00544B15" w:rsidP="00544B15">
      <w:pPr>
        <w:rPr>
          <w:lang w:eastAsia="en-US"/>
        </w:rPr>
      </w:pPr>
    </w:p>
    <w:p w14:paraId="31B551AF" w14:textId="47FD190A" w:rsidR="00544B15" w:rsidRPr="00B755E2" w:rsidRDefault="00544B15" w:rsidP="00544B15">
      <w:pPr>
        <w:numPr>
          <w:ilvl w:val="0"/>
          <w:numId w:val="1"/>
        </w:numPr>
        <w:spacing w:line="360" w:lineRule="auto"/>
        <w:ind w:left="0" w:firstLine="0"/>
        <w:contextualSpacing/>
        <w:jc w:val="both"/>
        <w:rPr>
          <w:rFonts w:ascii="Palatino Linotype" w:hAnsi="Palatino Linotype"/>
        </w:rPr>
      </w:pPr>
      <w:r w:rsidRPr="00B755E2">
        <w:rPr>
          <w:rFonts w:ascii="Palatino Linotype" w:hAnsi="Palatino Linotype"/>
        </w:rPr>
        <w:t xml:space="preserve">De la información que se ha tenido a bien ordenar, dada su propia y especial naturaleza eventualmente contienen nombres de particulares u otros datos personales susceptible de ser protegido mediante una versión pública, </w:t>
      </w:r>
      <w:r w:rsidR="007C565A" w:rsidRPr="00B755E2">
        <w:rPr>
          <w:rFonts w:ascii="Palatino Linotype" w:hAnsi="Palatino Linotype"/>
        </w:rPr>
        <w:t xml:space="preserve">que debe </w:t>
      </w:r>
      <w:r w:rsidRPr="00B755E2">
        <w:rPr>
          <w:rFonts w:ascii="Palatino Linotype" w:hAnsi="Palatino Linotype"/>
        </w:rPr>
        <w:t xml:space="preserve">estar soportada por el Acta del Comité de Transparencia que se emita para tal efecto, debiéndola poner a disposición del hoy </w:t>
      </w:r>
      <w:r w:rsidRPr="00B755E2">
        <w:rPr>
          <w:rFonts w:ascii="Palatino Linotype" w:hAnsi="Palatino Linotype"/>
          <w:b/>
        </w:rPr>
        <w:t>RECURRENTE</w:t>
      </w:r>
      <w:r w:rsidRPr="00B755E2">
        <w:rPr>
          <w:rFonts w:ascii="Palatino Linotype" w:hAnsi="Palatino Linotype"/>
        </w:rPr>
        <w:t xml:space="preserve">, por lo que pudiera actualizar la hipótesis jurídica contenida en el artículo 140 fracción I de la Ley de </w:t>
      </w:r>
      <w:r w:rsidRPr="00B755E2">
        <w:rPr>
          <w:rFonts w:ascii="Palatino Linotype" w:hAnsi="Palatino Linotype"/>
        </w:rPr>
        <w:lastRenderedPageBreak/>
        <w:t>Transparencia y Accesos a la Información Pública del Estado de México y Municipios, por comprometer la seguridad pública.</w:t>
      </w:r>
    </w:p>
    <w:p w14:paraId="62431CDC" w14:textId="77777777" w:rsidR="00544B15" w:rsidRPr="00B755E2" w:rsidRDefault="00544B15" w:rsidP="00544B15">
      <w:pPr>
        <w:pStyle w:val="Prrafodelista"/>
        <w:spacing w:line="360" w:lineRule="auto"/>
        <w:ind w:left="0"/>
        <w:jc w:val="both"/>
        <w:rPr>
          <w:rFonts w:ascii="Palatino Linotype" w:hAnsi="Palatino Linotype"/>
        </w:rPr>
      </w:pPr>
    </w:p>
    <w:p w14:paraId="234E53B9" w14:textId="77777777" w:rsidR="00544B15" w:rsidRPr="00B755E2" w:rsidRDefault="00544B15" w:rsidP="00544B15">
      <w:pPr>
        <w:numPr>
          <w:ilvl w:val="0"/>
          <w:numId w:val="1"/>
        </w:numPr>
        <w:spacing w:line="360" w:lineRule="auto"/>
        <w:ind w:left="0" w:firstLine="0"/>
        <w:contextualSpacing/>
        <w:jc w:val="both"/>
        <w:rPr>
          <w:rFonts w:ascii="Palatino Linotype" w:hAnsi="Palatino Linotype" w:cs="Arial"/>
        </w:rPr>
      </w:pPr>
      <w:r w:rsidRPr="00B755E2">
        <w:rPr>
          <w:rFonts w:ascii="Palatino Linotype" w:hAnsi="Palatino Linotype"/>
        </w:rPr>
        <w:t>La</w:t>
      </w:r>
      <w:r w:rsidRPr="00B755E2">
        <w:rPr>
          <w:rFonts w:ascii="Palatino Linotype" w:eastAsia="MS Gothic" w:hAnsi="Palatino Linotype"/>
          <w:szCs w:val="26"/>
        </w:rPr>
        <w:t xml:space="preserve"> </w:t>
      </w:r>
      <w:r w:rsidRPr="00B755E2">
        <w:rPr>
          <w:rFonts w:ascii="Palatino Linotype" w:hAnsi="Palatino Linotype" w:cs="Arial"/>
          <w:color w:val="000000" w:themeColor="text1"/>
        </w:rPr>
        <w:t>clasificación</w:t>
      </w:r>
      <w:r w:rsidRPr="00B755E2">
        <w:rPr>
          <w:rFonts w:ascii="Palatino Linotype" w:eastAsia="MS Gothic" w:hAnsi="Palatino Linotype"/>
          <w:szCs w:val="26"/>
        </w:rPr>
        <w:t xml:space="preserve">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755E2">
        <w:rPr>
          <w:rFonts w:ascii="Palatino Linotype" w:eastAsia="MS Gothic" w:hAnsi="Palatino Linotype"/>
          <w:szCs w:val="26"/>
          <w:vertAlign w:val="superscript"/>
        </w:rPr>
        <w:footnoteReference w:id="13"/>
      </w:r>
      <w:r w:rsidRPr="00B755E2">
        <w:rPr>
          <w:rFonts w:ascii="Palatino Linotype" w:eastAsia="MS Gothic" w:hAnsi="Palatino Linotype"/>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755E2">
        <w:rPr>
          <w:rFonts w:ascii="Palatino Linotype" w:eastAsia="MS Gothic" w:hAnsi="Palatino Linotype"/>
          <w:szCs w:val="26"/>
          <w:vertAlign w:val="superscript"/>
        </w:rPr>
        <w:footnoteReference w:id="14"/>
      </w:r>
      <w:r w:rsidRPr="00B755E2">
        <w:rPr>
          <w:rFonts w:ascii="Palatino Linotype" w:eastAsia="MS Gothic" w:hAnsi="Palatino Linotype"/>
          <w:szCs w:val="26"/>
        </w:rPr>
        <w:t xml:space="preserve"> En este caso, la clasificación total o parcial de la información es un supuesto que tanto la Ley General de Transparencia y Acceso a la Información Pública, en adelante, la Ley General, como la Ley de Transparencia y Acceso a la </w:t>
      </w:r>
      <w:r w:rsidRPr="00B755E2">
        <w:rPr>
          <w:rFonts w:ascii="Palatino Linotype" w:eastAsia="MS Gothic" w:hAnsi="Palatino Linotype"/>
          <w:szCs w:val="26"/>
        </w:rPr>
        <w:lastRenderedPageBreak/>
        <w:t>Información Pública del Estado de México y Municipios, en adelante, la Ley Estatal, establecen, y agotar el procedimiento legalmente establecido, es precisamente lo que permite acreditar el cumplimiento de los otros dos requisitos.</w:t>
      </w:r>
    </w:p>
    <w:p w14:paraId="49E398E2" w14:textId="77777777" w:rsidR="00544B15" w:rsidRPr="00B755E2" w:rsidRDefault="00544B15" w:rsidP="00544B15">
      <w:pPr>
        <w:pStyle w:val="Prrafodelista"/>
        <w:tabs>
          <w:tab w:val="left" w:pos="142"/>
          <w:tab w:val="left" w:pos="284"/>
          <w:tab w:val="left" w:pos="426"/>
        </w:tabs>
        <w:spacing w:line="360" w:lineRule="auto"/>
        <w:ind w:left="0"/>
        <w:jc w:val="both"/>
        <w:rPr>
          <w:rFonts w:ascii="Palatino Linotype" w:hAnsi="Palatino Linotype" w:cs="Arial"/>
        </w:rPr>
      </w:pPr>
    </w:p>
    <w:p w14:paraId="2813B2A3" w14:textId="77777777" w:rsidR="00544B15" w:rsidRPr="00B755E2" w:rsidRDefault="00544B15" w:rsidP="00544B15">
      <w:pPr>
        <w:numPr>
          <w:ilvl w:val="0"/>
          <w:numId w:val="1"/>
        </w:numPr>
        <w:spacing w:line="360" w:lineRule="auto"/>
        <w:ind w:left="0" w:firstLine="0"/>
        <w:contextualSpacing/>
        <w:jc w:val="both"/>
        <w:rPr>
          <w:rFonts w:ascii="Palatino Linotype" w:hAnsi="Palatino Linotype" w:cs="Arial"/>
        </w:rPr>
      </w:pPr>
      <w:r w:rsidRPr="00B755E2">
        <w:rPr>
          <w:rFonts w:ascii="Palatino Linotype" w:eastAsia="MS Gothic" w:hAnsi="Palatino Linotype"/>
          <w:szCs w:val="26"/>
        </w:rPr>
        <w:t xml:space="preserve">El grave problema que enfrentamos en general, los acuerdos de clasificación de la </w:t>
      </w:r>
      <w:r w:rsidRPr="00B755E2">
        <w:rPr>
          <w:rFonts w:ascii="Palatino Linotype" w:hAnsi="Palatino Linotype" w:cs="Arial"/>
          <w:color w:val="000000" w:themeColor="text1"/>
        </w:rPr>
        <w:t>información</w:t>
      </w:r>
      <w:r w:rsidRPr="00B755E2">
        <w:rPr>
          <w:rFonts w:ascii="Palatino Linotype" w:eastAsia="MS Gothic" w:hAnsi="Palatino Linotype"/>
          <w:szCs w:val="26"/>
        </w:rPr>
        <w:t xml:space="preserve"> que emiten los sujetos obligados, siguen sin observar los requisitos, tanto por la complejidad del procedimiento como por la falta de atención de los operadores jurídicos.</w:t>
      </w:r>
    </w:p>
    <w:p w14:paraId="16287F21" w14:textId="77777777" w:rsidR="00544B15" w:rsidRPr="00B755E2" w:rsidRDefault="00544B15" w:rsidP="00544B15">
      <w:pPr>
        <w:pStyle w:val="Prrafodelista"/>
        <w:rPr>
          <w:rFonts w:ascii="Palatino Linotype" w:hAnsi="Palatino Linotype" w:cs="Arial"/>
        </w:rPr>
      </w:pPr>
    </w:p>
    <w:p w14:paraId="26B9C0D4" w14:textId="77777777" w:rsidR="00544B15" w:rsidRPr="00B755E2" w:rsidRDefault="00544B15" w:rsidP="00544B15">
      <w:pPr>
        <w:pStyle w:val="Prrafodelista"/>
        <w:numPr>
          <w:ilvl w:val="0"/>
          <w:numId w:val="26"/>
        </w:numPr>
        <w:tabs>
          <w:tab w:val="left" w:pos="142"/>
          <w:tab w:val="left" w:pos="284"/>
          <w:tab w:val="left" w:pos="426"/>
        </w:tabs>
        <w:spacing w:line="360" w:lineRule="auto"/>
        <w:jc w:val="both"/>
        <w:outlineLvl w:val="2"/>
        <w:rPr>
          <w:rFonts w:ascii="Palatino Linotype" w:hAnsi="Palatino Linotype" w:cs="Arial"/>
          <w:b/>
          <w:sz w:val="22"/>
        </w:rPr>
      </w:pPr>
      <w:bookmarkStart w:id="151" w:name="_Toc86848769"/>
      <w:bookmarkStart w:id="152" w:name="_Toc83128591"/>
      <w:bookmarkStart w:id="153" w:name="_Toc71674122"/>
      <w:bookmarkStart w:id="154" w:name="_Toc71291223"/>
      <w:bookmarkStart w:id="155" w:name="_Toc71290717"/>
      <w:bookmarkStart w:id="156" w:name="_Toc70593358"/>
      <w:bookmarkStart w:id="157" w:name="_Toc70070911"/>
      <w:bookmarkStart w:id="158" w:name="_Toc67584835"/>
      <w:bookmarkStart w:id="159" w:name="_Toc66371800"/>
      <w:bookmarkStart w:id="160" w:name="_Toc65170174"/>
      <w:bookmarkStart w:id="161" w:name="_Toc57154368"/>
      <w:bookmarkStart w:id="162" w:name="_Toc52444649"/>
      <w:bookmarkStart w:id="163" w:name="_Toc51863315"/>
      <w:r w:rsidRPr="00B755E2">
        <w:rPr>
          <w:rFonts w:ascii="Palatino Linotype" w:hAnsi="Palatino Linotype" w:cs="Arial"/>
          <w:b/>
          <w:sz w:val="22"/>
        </w:rPr>
        <w:t>Requisitos previos.</w:t>
      </w:r>
      <w:bookmarkEnd w:id="151"/>
      <w:bookmarkEnd w:id="152"/>
      <w:bookmarkEnd w:id="153"/>
      <w:bookmarkEnd w:id="154"/>
      <w:bookmarkEnd w:id="155"/>
      <w:bookmarkEnd w:id="156"/>
      <w:bookmarkEnd w:id="157"/>
      <w:bookmarkEnd w:id="158"/>
      <w:bookmarkEnd w:id="159"/>
      <w:bookmarkEnd w:id="160"/>
      <w:bookmarkEnd w:id="161"/>
      <w:bookmarkEnd w:id="162"/>
      <w:bookmarkEnd w:id="163"/>
    </w:p>
    <w:p w14:paraId="5BE93A62" w14:textId="77777777" w:rsidR="0054224D" w:rsidRPr="00B755E2" w:rsidRDefault="0054224D" w:rsidP="0054224D">
      <w:pPr>
        <w:pStyle w:val="Prrafodelista"/>
        <w:tabs>
          <w:tab w:val="left" w:pos="142"/>
          <w:tab w:val="left" w:pos="284"/>
          <w:tab w:val="left" w:pos="426"/>
        </w:tabs>
        <w:spacing w:line="360" w:lineRule="auto"/>
        <w:ind w:left="1080"/>
        <w:jc w:val="both"/>
        <w:outlineLvl w:val="2"/>
        <w:rPr>
          <w:rFonts w:ascii="Palatino Linotype" w:hAnsi="Palatino Linotype" w:cs="Arial"/>
          <w:b/>
        </w:rPr>
      </w:pPr>
    </w:p>
    <w:p w14:paraId="0B382471" w14:textId="77777777" w:rsidR="00544B15" w:rsidRPr="00B755E2" w:rsidRDefault="00544B15" w:rsidP="00544B15">
      <w:pPr>
        <w:numPr>
          <w:ilvl w:val="0"/>
          <w:numId w:val="1"/>
        </w:numPr>
        <w:spacing w:line="360" w:lineRule="auto"/>
        <w:ind w:left="0" w:firstLine="0"/>
        <w:contextualSpacing/>
        <w:jc w:val="both"/>
        <w:rPr>
          <w:rFonts w:ascii="Palatino Linotype" w:hAnsi="Palatino Linotype" w:cs="Arial"/>
        </w:rPr>
      </w:pPr>
      <w:r w:rsidRPr="00B755E2">
        <w:rPr>
          <w:rFonts w:ascii="Palatino Linotype" w:eastAsia="MS Gothic" w:hAnsi="Palatino Linotype"/>
          <w:szCs w:val="26"/>
        </w:rPr>
        <w:t xml:space="preserve">Los artículos 122 y 100 de la Ley Estatal y de la Ley General, respectivamente, señalan </w:t>
      </w:r>
      <w:r w:rsidRPr="00B755E2">
        <w:rPr>
          <w:rFonts w:ascii="Palatino Linotype" w:hAnsi="Palatino Linotype"/>
        </w:rPr>
        <w:t>que</w:t>
      </w:r>
      <w:r w:rsidRPr="00B755E2">
        <w:rPr>
          <w:rFonts w:ascii="Palatino Linotype" w:eastAsia="MS Gothic" w:hAnsi="Palatino Linotype"/>
          <w:szCs w:val="26"/>
        </w:rPr>
        <w:t xml:space="preserve"> los </w:t>
      </w:r>
      <w:r w:rsidRPr="00B755E2">
        <w:rPr>
          <w:rFonts w:ascii="Palatino Linotype" w:hAnsi="Palatino Linotype" w:cs="Arial"/>
          <w:color w:val="000000" w:themeColor="text1"/>
        </w:rPr>
        <w:t>sujetos</w:t>
      </w:r>
      <w:r w:rsidRPr="00B755E2">
        <w:rPr>
          <w:rFonts w:ascii="Palatino Linotype" w:eastAsia="MS Gothic" w:hAnsi="Palatino Linotype"/>
          <w:szCs w:val="26"/>
        </w:rPr>
        <w:t xml:space="preserve">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84BA73E" w14:textId="77777777" w:rsidR="00544B15" w:rsidRPr="00B755E2" w:rsidRDefault="00544B15" w:rsidP="00544B15">
      <w:pPr>
        <w:spacing w:line="360" w:lineRule="auto"/>
        <w:contextualSpacing/>
        <w:jc w:val="both"/>
        <w:rPr>
          <w:rFonts w:ascii="Palatino Linotype" w:hAnsi="Palatino Linotype" w:cs="Arial"/>
        </w:rPr>
      </w:pPr>
    </w:p>
    <w:p w14:paraId="5E0FD592" w14:textId="77777777" w:rsidR="00544B15" w:rsidRPr="00B755E2" w:rsidRDefault="00544B15" w:rsidP="00544B15">
      <w:pPr>
        <w:numPr>
          <w:ilvl w:val="0"/>
          <w:numId w:val="1"/>
        </w:numPr>
        <w:spacing w:line="360" w:lineRule="auto"/>
        <w:ind w:left="0" w:firstLine="0"/>
        <w:contextualSpacing/>
        <w:jc w:val="both"/>
        <w:rPr>
          <w:rFonts w:ascii="Palatino Linotype" w:hAnsi="Palatino Linotype" w:cs="Arial"/>
        </w:rPr>
      </w:pPr>
      <w:r w:rsidRPr="00B755E2">
        <w:rPr>
          <w:rFonts w:ascii="Palatino Linotype" w:eastAsia="MS Gothic" w:hAnsi="Palatino Linotype"/>
          <w:szCs w:val="26"/>
        </w:rPr>
        <w:t xml:space="preserve">Además, se debe señalar el procedimiento, de los tres que establecen los artículos 132 y 106 de la Ley Estatal y General, respectivamente, por el que se realiza </w:t>
      </w:r>
      <w:r w:rsidRPr="00B755E2">
        <w:rPr>
          <w:rFonts w:ascii="Palatino Linotype" w:eastAsia="MS Gothic" w:hAnsi="Palatino Linotype"/>
          <w:szCs w:val="26"/>
        </w:rPr>
        <w:lastRenderedPageBreak/>
        <w:t xml:space="preserve">dicha clasificación, a </w:t>
      </w:r>
      <w:r w:rsidRPr="00B755E2">
        <w:rPr>
          <w:rFonts w:ascii="Palatino Linotype" w:hAnsi="Palatino Linotype" w:cs="Arial"/>
          <w:color w:val="000000" w:themeColor="text1"/>
        </w:rPr>
        <w:t>saber</w:t>
      </w:r>
      <w:r w:rsidRPr="00B755E2">
        <w:rPr>
          <w:rFonts w:ascii="Palatino Linotype" w:eastAsia="MS Gothic" w:hAnsi="Palatino Linotype"/>
          <w:szCs w:val="26"/>
        </w:rPr>
        <w:t>, cuando se atiende una solicitud de acceso a la información, porque lo determina una autoridad competente o porque se va a generar una versión pública para cumplir con sus obligaciones.</w:t>
      </w:r>
    </w:p>
    <w:p w14:paraId="34B3F2EB" w14:textId="77777777" w:rsidR="00544B15" w:rsidRPr="00B755E2" w:rsidRDefault="00544B15" w:rsidP="00544B15">
      <w:pPr>
        <w:pStyle w:val="Prrafodelista"/>
        <w:rPr>
          <w:rFonts w:ascii="Palatino Linotype" w:hAnsi="Palatino Linotype" w:cs="Arial"/>
        </w:rPr>
      </w:pPr>
    </w:p>
    <w:p w14:paraId="20C196B9" w14:textId="77777777" w:rsidR="00544B15" w:rsidRPr="00B755E2" w:rsidRDefault="00544B15" w:rsidP="00544B15">
      <w:pPr>
        <w:numPr>
          <w:ilvl w:val="0"/>
          <w:numId w:val="1"/>
        </w:numPr>
        <w:spacing w:line="360" w:lineRule="auto"/>
        <w:ind w:left="0" w:firstLine="0"/>
        <w:contextualSpacing/>
        <w:jc w:val="both"/>
        <w:rPr>
          <w:rFonts w:ascii="Palatino Linotype" w:hAnsi="Palatino Linotype" w:cs="Arial"/>
        </w:rPr>
      </w:pPr>
      <w:r w:rsidRPr="00B755E2">
        <w:rPr>
          <w:rFonts w:ascii="Palatino Linotype" w:eastAsia="MS Gothic" w:hAnsi="Palatino Linotype"/>
          <w:szCs w:val="26"/>
        </w:rPr>
        <w:t xml:space="preserve">El último de estos requisitos previos consiste en que no se pueden emitir acuerdos de </w:t>
      </w:r>
      <w:r w:rsidRPr="00B755E2">
        <w:rPr>
          <w:rFonts w:ascii="Palatino Linotype" w:hAnsi="Palatino Linotype" w:cs="Arial"/>
          <w:color w:val="000000" w:themeColor="text1"/>
        </w:rPr>
        <w:t>carácter</w:t>
      </w:r>
      <w:r w:rsidRPr="00B755E2">
        <w:rPr>
          <w:rFonts w:ascii="Palatino Linotype" w:eastAsia="MS Gothic" w:hAnsi="Palatino Linotype"/>
          <w:szCs w:val="26"/>
        </w:rPr>
        <w:t xml:space="preserve"> general ni particular, según lo disponen los artículos 134 y 108 de la Ley Estatal y de la Ley General, respectivamente, esto es, </w:t>
      </w:r>
      <w:r w:rsidRPr="00B755E2">
        <w:rPr>
          <w:rFonts w:ascii="Palatino Linotype" w:eastAsia="MS Gothic" w:hAnsi="Palatino Linotype"/>
          <w:b/>
          <w:szCs w:val="26"/>
          <w:u w:val="single"/>
        </w:rPr>
        <w:t>no se puede hacer un acuerdo para clasificar de manera general todos los documentos de un expediente o área</w:t>
      </w:r>
      <w:r w:rsidRPr="00B755E2">
        <w:rPr>
          <w:rFonts w:ascii="Palatino Linotype" w:eastAsia="MS Gothic" w:hAnsi="Palatino Linotype"/>
          <w:b/>
          <w:szCs w:val="26"/>
        </w:rPr>
        <w:t xml:space="preserve">,  </w:t>
      </w:r>
      <w:r w:rsidRPr="00B755E2">
        <w:rPr>
          <w:rFonts w:ascii="Palatino Linotype" w:eastAsia="MS Gothic" w:hAnsi="Palatino Linotype"/>
          <w:szCs w:val="26"/>
        </w:rPr>
        <w:t>sin individualizar su análisis y tampoco se puede hacer un acuerdo por cada dato que se vaya a clasificar dentro de un documento con diez datos, por ejemplo, susceptibles de ser clasificados.</w:t>
      </w:r>
    </w:p>
    <w:p w14:paraId="7D34F5C7" w14:textId="77777777" w:rsidR="00544B15" w:rsidRPr="00B755E2" w:rsidRDefault="00544B15" w:rsidP="00544B15">
      <w:pPr>
        <w:pStyle w:val="Prrafodelista"/>
        <w:rPr>
          <w:rFonts w:ascii="Palatino Linotype" w:hAnsi="Palatino Linotype" w:cs="Arial"/>
        </w:rPr>
      </w:pPr>
    </w:p>
    <w:p w14:paraId="3A58AAA2" w14:textId="77777777" w:rsidR="00544B15" w:rsidRPr="00B755E2" w:rsidRDefault="00544B15" w:rsidP="00544B15">
      <w:pPr>
        <w:pStyle w:val="Prrafodelista"/>
        <w:numPr>
          <w:ilvl w:val="0"/>
          <w:numId w:val="26"/>
        </w:numPr>
        <w:tabs>
          <w:tab w:val="left" w:pos="142"/>
          <w:tab w:val="left" w:pos="284"/>
          <w:tab w:val="left" w:pos="426"/>
        </w:tabs>
        <w:spacing w:line="360" w:lineRule="auto"/>
        <w:jc w:val="both"/>
        <w:outlineLvl w:val="2"/>
        <w:rPr>
          <w:rFonts w:ascii="Palatino Linotype" w:hAnsi="Palatino Linotype" w:cs="Arial"/>
          <w:b/>
          <w:sz w:val="22"/>
        </w:rPr>
      </w:pPr>
      <w:bookmarkStart w:id="164" w:name="_Toc86848770"/>
      <w:bookmarkStart w:id="165" w:name="_Toc83128592"/>
      <w:bookmarkStart w:id="166" w:name="_Toc71674123"/>
      <w:bookmarkStart w:id="167" w:name="_Toc71291224"/>
      <w:bookmarkStart w:id="168" w:name="_Toc71290718"/>
      <w:bookmarkStart w:id="169" w:name="_Toc70593359"/>
      <w:bookmarkStart w:id="170" w:name="_Toc70070912"/>
      <w:bookmarkStart w:id="171" w:name="_Toc67584836"/>
      <w:bookmarkStart w:id="172" w:name="_Toc66371801"/>
      <w:bookmarkStart w:id="173" w:name="_Toc65170175"/>
      <w:bookmarkStart w:id="174" w:name="_Toc57154369"/>
      <w:bookmarkStart w:id="175" w:name="_Toc52444650"/>
      <w:bookmarkStart w:id="176" w:name="_Toc51863316"/>
      <w:r w:rsidRPr="00B755E2">
        <w:rPr>
          <w:rFonts w:ascii="Palatino Linotype" w:hAnsi="Palatino Linotype" w:cs="Arial"/>
          <w:b/>
          <w:sz w:val="22"/>
        </w:rPr>
        <w:t>Supuestos de clasificación.</w:t>
      </w:r>
      <w:bookmarkEnd w:id="164"/>
      <w:bookmarkEnd w:id="165"/>
      <w:bookmarkEnd w:id="166"/>
      <w:bookmarkEnd w:id="167"/>
      <w:bookmarkEnd w:id="168"/>
      <w:bookmarkEnd w:id="169"/>
      <w:bookmarkEnd w:id="170"/>
      <w:bookmarkEnd w:id="171"/>
      <w:bookmarkEnd w:id="172"/>
      <w:bookmarkEnd w:id="173"/>
      <w:bookmarkEnd w:id="174"/>
      <w:bookmarkEnd w:id="175"/>
      <w:bookmarkEnd w:id="176"/>
    </w:p>
    <w:p w14:paraId="0B4020A7" w14:textId="77777777" w:rsidR="00544B15" w:rsidRPr="00B755E2" w:rsidRDefault="00544B15" w:rsidP="00544B15">
      <w:pPr>
        <w:pStyle w:val="Prrafodelista"/>
        <w:tabs>
          <w:tab w:val="left" w:pos="142"/>
          <w:tab w:val="left" w:pos="284"/>
          <w:tab w:val="left" w:pos="426"/>
        </w:tabs>
        <w:spacing w:line="360" w:lineRule="auto"/>
        <w:ind w:left="1080"/>
        <w:jc w:val="both"/>
        <w:outlineLvl w:val="2"/>
        <w:rPr>
          <w:rFonts w:ascii="Palatino Linotype" w:hAnsi="Palatino Linotype" w:cs="Arial"/>
          <w:b/>
        </w:rPr>
      </w:pPr>
    </w:p>
    <w:p w14:paraId="2EE160A7" w14:textId="77777777" w:rsidR="00544B15" w:rsidRPr="00B755E2" w:rsidRDefault="00544B15" w:rsidP="00544B15">
      <w:pPr>
        <w:numPr>
          <w:ilvl w:val="0"/>
          <w:numId w:val="1"/>
        </w:numPr>
        <w:spacing w:line="360" w:lineRule="auto"/>
        <w:ind w:left="0" w:firstLine="0"/>
        <w:contextualSpacing/>
        <w:jc w:val="both"/>
        <w:rPr>
          <w:rFonts w:ascii="Palatino Linotype" w:hAnsi="Palatino Linotype" w:cs="Arial"/>
        </w:rPr>
      </w:pPr>
      <w:r w:rsidRPr="00B755E2">
        <w:rPr>
          <w:rFonts w:ascii="Palatino Linotype" w:eastAsia="MS Gothic" w:hAnsi="Palatino Linotype"/>
          <w:szCs w:val="26"/>
        </w:rPr>
        <w:t>Las disposiciones constitucionales y legales en la materia establecen los dos supuestos generales para clasificar la información: por reserva y por confidencialidad.</w:t>
      </w:r>
    </w:p>
    <w:p w14:paraId="1D7B270A" w14:textId="77777777" w:rsidR="00544B15" w:rsidRPr="00B755E2" w:rsidRDefault="00544B15" w:rsidP="00544B15">
      <w:pPr>
        <w:pStyle w:val="Prrafodelista"/>
        <w:tabs>
          <w:tab w:val="left" w:pos="142"/>
          <w:tab w:val="left" w:pos="284"/>
          <w:tab w:val="left" w:pos="426"/>
        </w:tabs>
        <w:spacing w:line="360" w:lineRule="auto"/>
        <w:ind w:left="0"/>
        <w:jc w:val="both"/>
        <w:rPr>
          <w:rFonts w:ascii="Palatino Linotype" w:hAnsi="Palatino Linotype" w:cs="Arial"/>
        </w:rPr>
      </w:pPr>
    </w:p>
    <w:p w14:paraId="5C6204F0" w14:textId="77777777" w:rsidR="00544B15" w:rsidRPr="00B755E2" w:rsidRDefault="00544B15" w:rsidP="00544B15">
      <w:pPr>
        <w:numPr>
          <w:ilvl w:val="0"/>
          <w:numId w:val="1"/>
        </w:numPr>
        <w:spacing w:line="360" w:lineRule="auto"/>
        <w:ind w:left="0" w:firstLine="0"/>
        <w:contextualSpacing/>
        <w:jc w:val="both"/>
        <w:rPr>
          <w:rFonts w:ascii="Palatino Linotype" w:hAnsi="Palatino Linotype" w:cs="Arial"/>
        </w:rPr>
      </w:pPr>
      <w:r w:rsidRPr="00B755E2">
        <w:rPr>
          <w:rFonts w:ascii="Palatino Linotype" w:eastAsia="MS Gothic" w:hAnsi="Palatino Linotype"/>
          <w:szCs w:val="26"/>
        </w:rPr>
        <w:t>Los artículos 143 y 116 de la Ley Estatal y de la Ley General, respectivamente, señalan los supuestos para que la información pueda ser clasificada como confidencial:</w:t>
      </w:r>
    </w:p>
    <w:p w14:paraId="4F904CB7" w14:textId="77777777" w:rsidR="00544B15" w:rsidRPr="00B755E2" w:rsidRDefault="00544B15" w:rsidP="00544B15">
      <w:pPr>
        <w:pStyle w:val="Prrafodelista"/>
        <w:tabs>
          <w:tab w:val="left" w:pos="142"/>
          <w:tab w:val="left" w:pos="284"/>
          <w:tab w:val="left" w:pos="426"/>
        </w:tabs>
        <w:spacing w:line="360" w:lineRule="auto"/>
        <w:ind w:left="0"/>
        <w:jc w:val="both"/>
        <w:rPr>
          <w:rFonts w:ascii="Palatino Linotype" w:hAnsi="Palatino Linotype" w:cs="Arial"/>
          <w:sz w:val="22"/>
        </w:rPr>
      </w:pPr>
    </w:p>
    <w:p w14:paraId="21D30F0D" w14:textId="77777777" w:rsidR="00544B15" w:rsidRPr="00B755E2" w:rsidRDefault="00544B15" w:rsidP="00544B15">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B755E2">
        <w:rPr>
          <w:rFonts w:ascii="Palatino Linotype" w:hAnsi="Palatino Linotype" w:cs="Bookman Old Style"/>
          <w:bCs/>
          <w:i/>
          <w:color w:val="000000"/>
          <w:sz w:val="22"/>
        </w:rPr>
        <w:t xml:space="preserve">“I. </w:t>
      </w:r>
      <w:r w:rsidRPr="00B755E2">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4C9ACACF" w14:textId="77777777" w:rsidR="00544B15" w:rsidRPr="00B755E2" w:rsidRDefault="00544B15" w:rsidP="00544B15">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B755E2">
        <w:rPr>
          <w:rFonts w:ascii="Palatino Linotype" w:hAnsi="Palatino Linotype" w:cs="Bookman Old Style"/>
          <w:bCs/>
          <w:i/>
          <w:color w:val="000000"/>
          <w:sz w:val="22"/>
        </w:rPr>
        <w:t xml:space="preserve">II. </w:t>
      </w:r>
      <w:r w:rsidRPr="00B755E2">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49C35C8" w14:textId="77777777" w:rsidR="00544B15" w:rsidRPr="00B755E2" w:rsidRDefault="00544B15" w:rsidP="00544B15">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B755E2">
        <w:rPr>
          <w:rFonts w:ascii="Palatino Linotype" w:hAnsi="Palatino Linotype" w:cs="Bookman Old Style"/>
          <w:bCs/>
          <w:i/>
          <w:color w:val="000000"/>
          <w:sz w:val="22"/>
        </w:rPr>
        <w:lastRenderedPageBreak/>
        <w:t xml:space="preserve">III. </w:t>
      </w:r>
      <w:r w:rsidRPr="00B755E2">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75988045" w14:textId="77777777" w:rsidR="00544B15" w:rsidRPr="00B755E2" w:rsidRDefault="00544B15" w:rsidP="00544B15">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B755E2">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43BFD6D5" w14:textId="77777777" w:rsidR="00544B15" w:rsidRPr="00B755E2" w:rsidRDefault="00544B15" w:rsidP="00544B15">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B755E2">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06971CD3" w14:textId="77777777" w:rsidR="00544B15" w:rsidRPr="00B755E2" w:rsidRDefault="00544B15" w:rsidP="00544B15">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p>
    <w:p w14:paraId="494BE0AC" w14:textId="77777777" w:rsidR="00544B15" w:rsidRPr="00B755E2" w:rsidRDefault="00544B15" w:rsidP="00544B15">
      <w:pPr>
        <w:numPr>
          <w:ilvl w:val="0"/>
          <w:numId w:val="1"/>
        </w:numPr>
        <w:spacing w:line="360" w:lineRule="auto"/>
        <w:ind w:left="0" w:firstLine="0"/>
        <w:contextualSpacing/>
        <w:jc w:val="both"/>
        <w:rPr>
          <w:rFonts w:ascii="Palatino Linotype" w:hAnsi="Palatino Linotype" w:cs="Arial"/>
        </w:rPr>
      </w:pPr>
      <w:r w:rsidRPr="00B755E2">
        <w:rPr>
          <w:rFonts w:ascii="Palatino Linotype" w:eastAsia="MS Gothic" w:hAnsi="Palatino Linotype"/>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A1F701D" w14:textId="77777777" w:rsidR="00544B15" w:rsidRPr="00B755E2" w:rsidRDefault="00544B15" w:rsidP="00544B15">
      <w:pPr>
        <w:pStyle w:val="Prrafodelista"/>
        <w:spacing w:line="360" w:lineRule="auto"/>
        <w:ind w:left="0"/>
        <w:jc w:val="both"/>
        <w:rPr>
          <w:rFonts w:ascii="Palatino Linotype" w:hAnsi="Palatino Linotype" w:cs="Arial"/>
        </w:rPr>
      </w:pPr>
    </w:p>
    <w:p w14:paraId="37D8ACCA" w14:textId="77777777" w:rsidR="00544B15" w:rsidRPr="00B755E2" w:rsidRDefault="00544B15" w:rsidP="00544B15">
      <w:pPr>
        <w:numPr>
          <w:ilvl w:val="0"/>
          <w:numId w:val="1"/>
        </w:numPr>
        <w:spacing w:line="360" w:lineRule="auto"/>
        <w:ind w:left="0" w:firstLine="0"/>
        <w:contextualSpacing/>
        <w:jc w:val="both"/>
        <w:rPr>
          <w:rFonts w:ascii="Palatino Linotype" w:hAnsi="Palatino Linotype" w:cs="Arial"/>
        </w:rPr>
      </w:pPr>
      <w:r w:rsidRPr="00B755E2">
        <w:rPr>
          <w:rFonts w:ascii="Palatino Linotype" w:eastAsia="MS Gothic" w:hAnsi="Palatino Linotype"/>
          <w:szCs w:val="26"/>
        </w:rPr>
        <w:t xml:space="preserve">Como consecuencia de lo anterior, el </w:t>
      </w:r>
      <w:r w:rsidRPr="00B755E2">
        <w:rPr>
          <w:rFonts w:ascii="Palatino Linotype" w:eastAsia="MS Gothic" w:hAnsi="Palatino Linotype"/>
          <w:b/>
          <w:szCs w:val="26"/>
        </w:rPr>
        <w:t>SUJETO OBLIGADO</w:t>
      </w:r>
      <w:r w:rsidRPr="00B755E2">
        <w:rPr>
          <w:rFonts w:ascii="Palatino Linotype" w:eastAsia="MS Gothic" w:hAnsi="Palatino Linotype"/>
          <w:szCs w:val="26"/>
        </w:rPr>
        <w:t xml:space="preserve"> debe identificar claramente el tipo de información y hacer un juicio de subsunción o encaje</w:t>
      </w:r>
      <w:r w:rsidRPr="00B755E2">
        <w:rPr>
          <w:rFonts w:ascii="Palatino Linotype" w:eastAsia="MS Gothic" w:hAnsi="Palatino Linotype"/>
          <w:szCs w:val="26"/>
          <w:vertAlign w:val="superscript"/>
        </w:rPr>
        <w:footnoteReference w:id="15"/>
      </w:r>
      <w:r w:rsidRPr="00B755E2">
        <w:rPr>
          <w:rFonts w:ascii="Palatino Linotype" w:eastAsia="MS Gothic" w:hAnsi="Palatino Linotype"/>
          <w:szCs w:val="26"/>
        </w:rPr>
        <w:t xml:space="preserve"> para acreditar que el supuesto de hecho corresponde estrictamente con la hipótesis </w:t>
      </w:r>
      <w:r w:rsidRPr="00B755E2">
        <w:rPr>
          <w:rFonts w:ascii="Palatino Linotype" w:eastAsia="MS Gothic" w:hAnsi="Palatino Linotype"/>
          <w:szCs w:val="26"/>
        </w:rPr>
        <w:lastRenderedPageBreak/>
        <w:t>jurídica. Esto también lo debe de realizar el servidor público habilitado y el titular del área que administra la información.</w:t>
      </w:r>
    </w:p>
    <w:p w14:paraId="03EFCA41" w14:textId="77777777" w:rsidR="00544B15" w:rsidRPr="00B755E2" w:rsidRDefault="00544B15" w:rsidP="00544B15">
      <w:pPr>
        <w:pStyle w:val="Prrafodelista"/>
        <w:rPr>
          <w:rFonts w:ascii="Palatino Linotype" w:hAnsi="Palatino Linotype" w:cs="Arial"/>
        </w:rPr>
      </w:pPr>
    </w:p>
    <w:p w14:paraId="5F5B0DB2" w14:textId="77777777" w:rsidR="00544B15" w:rsidRPr="00B755E2" w:rsidRDefault="00544B15" w:rsidP="00544B15">
      <w:pPr>
        <w:numPr>
          <w:ilvl w:val="0"/>
          <w:numId w:val="1"/>
        </w:numPr>
        <w:spacing w:line="360" w:lineRule="auto"/>
        <w:ind w:left="0" w:firstLine="0"/>
        <w:contextualSpacing/>
        <w:jc w:val="both"/>
        <w:rPr>
          <w:rFonts w:ascii="Palatino Linotype" w:hAnsi="Palatino Linotype" w:cs="Arial"/>
        </w:rPr>
      </w:pPr>
      <w:r w:rsidRPr="00B755E2">
        <w:rPr>
          <w:rFonts w:ascii="Palatino Linotype" w:eastAsia="MS Gothic" w:hAnsi="Palatino Linotype"/>
          <w:szCs w:val="26"/>
        </w:rPr>
        <w:t xml:space="preserve"> Al respecto, los Lineamientos Generales en Materia de Clasificación y Desclasificación de la Información, así Como para la Elaboración de Versiones Públicas, por cuanto hace a la clasificación de la información, señalan lo siguiente:</w:t>
      </w:r>
    </w:p>
    <w:p w14:paraId="5F96A722" w14:textId="77777777" w:rsidR="00544B15" w:rsidRPr="00B755E2" w:rsidRDefault="00544B15" w:rsidP="00544B15">
      <w:pPr>
        <w:pStyle w:val="Prrafodelista"/>
        <w:rPr>
          <w:rFonts w:ascii="Palatino Linotype" w:hAnsi="Palatino Linotype" w:cs="Arial"/>
          <w:sz w:val="22"/>
        </w:rPr>
      </w:pPr>
    </w:p>
    <w:p w14:paraId="7387570B" w14:textId="77777777" w:rsidR="00544B15" w:rsidRPr="00B755E2" w:rsidRDefault="00544B15" w:rsidP="00544B15">
      <w:pPr>
        <w:pStyle w:val="Prrafodelista"/>
        <w:tabs>
          <w:tab w:val="left" w:pos="142"/>
          <w:tab w:val="left" w:pos="284"/>
          <w:tab w:val="left" w:pos="426"/>
        </w:tabs>
        <w:ind w:left="567" w:right="567"/>
        <w:jc w:val="both"/>
        <w:rPr>
          <w:rFonts w:ascii="Palatino Linotype" w:hAnsi="Palatino Linotype" w:cs="Arial"/>
          <w:i/>
          <w:sz w:val="22"/>
        </w:rPr>
      </w:pPr>
      <w:r w:rsidRPr="00B755E2">
        <w:rPr>
          <w:rFonts w:ascii="Palatino Linotype" w:hAnsi="Palatino Linotype" w:cs="Arial"/>
          <w:i/>
          <w:sz w:val="22"/>
        </w:rPr>
        <w:t>“</w:t>
      </w:r>
      <w:r w:rsidRPr="00B755E2">
        <w:rPr>
          <w:rFonts w:ascii="Palatino Linotype" w:hAnsi="Palatino Linotype" w:cs="Arial"/>
          <w:b/>
          <w:i/>
          <w:sz w:val="22"/>
        </w:rPr>
        <w:t>Quincuagésimo.</w:t>
      </w:r>
      <w:r w:rsidRPr="00B755E2">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5B95CD12" w14:textId="77777777" w:rsidR="00544B15" w:rsidRPr="00B755E2" w:rsidRDefault="00544B15" w:rsidP="00544B15">
      <w:pPr>
        <w:pStyle w:val="Prrafodelista"/>
        <w:tabs>
          <w:tab w:val="left" w:pos="142"/>
          <w:tab w:val="left" w:pos="284"/>
          <w:tab w:val="left" w:pos="426"/>
        </w:tabs>
        <w:ind w:left="567" w:right="567"/>
        <w:jc w:val="both"/>
        <w:rPr>
          <w:rFonts w:ascii="Palatino Linotype" w:hAnsi="Palatino Linotype" w:cs="Arial"/>
          <w:i/>
          <w:sz w:val="22"/>
        </w:rPr>
      </w:pPr>
    </w:p>
    <w:p w14:paraId="0199102E" w14:textId="77777777" w:rsidR="00544B15" w:rsidRPr="00B755E2" w:rsidRDefault="00544B15" w:rsidP="00544B15">
      <w:pPr>
        <w:pStyle w:val="Prrafodelista"/>
        <w:tabs>
          <w:tab w:val="left" w:pos="142"/>
          <w:tab w:val="left" w:pos="284"/>
          <w:tab w:val="left" w:pos="426"/>
        </w:tabs>
        <w:ind w:left="567" w:right="567"/>
        <w:jc w:val="both"/>
        <w:rPr>
          <w:rFonts w:ascii="Palatino Linotype" w:hAnsi="Palatino Linotype" w:cs="Arial"/>
          <w:i/>
          <w:sz w:val="22"/>
        </w:rPr>
      </w:pPr>
      <w:r w:rsidRPr="00B755E2">
        <w:rPr>
          <w:rFonts w:ascii="Palatino Linotype" w:hAnsi="Palatino Linotype" w:cs="Arial"/>
          <w:b/>
          <w:i/>
          <w:sz w:val="22"/>
        </w:rPr>
        <w:t>Quincuagésimo primero.</w:t>
      </w:r>
      <w:r w:rsidRPr="00B755E2">
        <w:rPr>
          <w:rFonts w:ascii="Palatino Linotype" w:hAnsi="Palatino Linotype" w:cs="Arial"/>
          <w:i/>
          <w:sz w:val="22"/>
        </w:rPr>
        <w:t xml:space="preserve"> La leyenda en los documentos clasificados indicará:</w:t>
      </w:r>
    </w:p>
    <w:p w14:paraId="5DB116C5" w14:textId="77777777" w:rsidR="00544B15" w:rsidRPr="00B755E2" w:rsidRDefault="00544B15" w:rsidP="00544B15">
      <w:pPr>
        <w:pStyle w:val="Prrafodelista"/>
        <w:tabs>
          <w:tab w:val="left" w:pos="142"/>
          <w:tab w:val="left" w:pos="284"/>
          <w:tab w:val="left" w:pos="426"/>
        </w:tabs>
        <w:ind w:left="567" w:right="567"/>
        <w:jc w:val="both"/>
        <w:rPr>
          <w:rFonts w:ascii="Palatino Linotype" w:hAnsi="Palatino Linotype" w:cs="Arial"/>
          <w:i/>
          <w:sz w:val="22"/>
        </w:rPr>
      </w:pPr>
      <w:r w:rsidRPr="00B755E2">
        <w:rPr>
          <w:rFonts w:ascii="Palatino Linotype" w:hAnsi="Palatino Linotype" w:cs="Arial"/>
          <w:i/>
          <w:sz w:val="22"/>
        </w:rPr>
        <w:t>I. La fecha de sesión del Comité de Transparencia en donde se confirmó la clasificación, en su caso;</w:t>
      </w:r>
    </w:p>
    <w:p w14:paraId="105C4C56" w14:textId="77777777" w:rsidR="00544B15" w:rsidRPr="00B755E2" w:rsidRDefault="00544B15" w:rsidP="00544B15">
      <w:pPr>
        <w:pStyle w:val="Prrafodelista"/>
        <w:tabs>
          <w:tab w:val="left" w:pos="142"/>
          <w:tab w:val="left" w:pos="284"/>
          <w:tab w:val="left" w:pos="426"/>
        </w:tabs>
        <w:ind w:left="567" w:right="567"/>
        <w:jc w:val="both"/>
        <w:rPr>
          <w:rFonts w:ascii="Palatino Linotype" w:hAnsi="Palatino Linotype" w:cs="Arial"/>
          <w:i/>
          <w:sz w:val="22"/>
        </w:rPr>
      </w:pPr>
      <w:r w:rsidRPr="00B755E2">
        <w:rPr>
          <w:rFonts w:ascii="Palatino Linotype" w:hAnsi="Palatino Linotype" w:cs="Arial"/>
          <w:i/>
          <w:sz w:val="22"/>
        </w:rPr>
        <w:t>II. El nombre del área;</w:t>
      </w:r>
    </w:p>
    <w:p w14:paraId="22BE4B81" w14:textId="77777777" w:rsidR="00544B15" w:rsidRPr="00B755E2" w:rsidRDefault="00544B15" w:rsidP="00544B15">
      <w:pPr>
        <w:pStyle w:val="Prrafodelista"/>
        <w:tabs>
          <w:tab w:val="left" w:pos="142"/>
          <w:tab w:val="left" w:pos="284"/>
          <w:tab w:val="left" w:pos="426"/>
        </w:tabs>
        <w:ind w:left="567" w:right="567"/>
        <w:jc w:val="both"/>
        <w:rPr>
          <w:rFonts w:ascii="Palatino Linotype" w:hAnsi="Palatino Linotype" w:cs="Arial"/>
          <w:i/>
          <w:sz w:val="22"/>
        </w:rPr>
      </w:pPr>
      <w:r w:rsidRPr="00B755E2">
        <w:rPr>
          <w:rFonts w:ascii="Palatino Linotype" w:hAnsi="Palatino Linotype" w:cs="Arial"/>
          <w:i/>
          <w:sz w:val="22"/>
        </w:rPr>
        <w:t>III. La palabra reservado o confidencial;</w:t>
      </w:r>
    </w:p>
    <w:p w14:paraId="1771B97C" w14:textId="77777777" w:rsidR="00544B15" w:rsidRPr="00B755E2" w:rsidRDefault="00544B15" w:rsidP="00544B15">
      <w:pPr>
        <w:pStyle w:val="Prrafodelista"/>
        <w:tabs>
          <w:tab w:val="left" w:pos="142"/>
          <w:tab w:val="left" w:pos="284"/>
          <w:tab w:val="left" w:pos="426"/>
        </w:tabs>
        <w:ind w:left="567" w:right="567"/>
        <w:jc w:val="both"/>
        <w:rPr>
          <w:rFonts w:ascii="Palatino Linotype" w:hAnsi="Palatino Linotype" w:cs="Arial"/>
          <w:i/>
          <w:sz w:val="22"/>
        </w:rPr>
      </w:pPr>
      <w:r w:rsidRPr="00B755E2">
        <w:rPr>
          <w:rFonts w:ascii="Palatino Linotype" w:hAnsi="Palatino Linotype" w:cs="Arial"/>
          <w:i/>
          <w:sz w:val="22"/>
        </w:rPr>
        <w:t>IV. Las partes o secciones reservadas o confidenciales, en su caso;</w:t>
      </w:r>
    </w:p>
    <w:p w14:paraId="38826814" w14:textId="77777777" w:rsidR="00544B15" w:rsidRPr="00B755E2" w:rsidRDefault="00544B15" w:rsidP="00544B15">
      <w:pPr>
        <w:pStyle w:val="Prrafodelista"/>
        <w:tabs>
          <w:tab w:val="left" w:pos="142"/>
          <w:tab w:val="left" w:pos="284"/>
          <w:tab w:val="left" w:pos="426"/>
        </w:tabs>
        <w:ind w:left="567" w:right="567"/>
        <w:jc w:val="both"/>
        <w:rPr>
          <w:rFonts w:ascii="Palatino Linotype" w:hAnsi="Palatino Linotype" w:cs="Arial"/>
          <w:i/>
          <w:sz w:val="22"/>
        </w:rPr>
      </w:pPr>
      <w:r w:rsidRPr="00B755E2">
        <w:rPr>
          <w:rFonts w:ascii="Palatino Linotype" w:hAnsi="Palatino Linotype" w:cs="Arial"/>
          <w:i/>
          <w:sz w:val="22"/>
        </w:rPr>
        <w:t>V. El fundamento legal;</w:t>
      </w:r>
    </w:p>
    <w:p w14:paraId="077EC9AA" w14:textId="77777777" w:rsidR="00544B15" w:rsidRPr="00B755E2" w:rsidRDefault="00544B15" w:rsidP="00544B15">
      <w:pPr>
        <w:pStyle w:val="Prrafodelista"/>
        <w:tabs>
          <w:tab w:val="left" w:pos="142"/>
          <w:tab w:val="left" w:pos="284"/>
          <w:tab w:val="left" w:pos="426"/>
        </w:tabs>
        <w:ind w:left="567" w:right="567"/>
        <w:jc w:val="both"/>
        <w:rPr>
          <w:rFonts w:ascii="Palatino Linotype" w:hAnsi="Palatino Linotype" w:cs="Arial"/>
          <w:i/>
          <w:sz w:val="22"/>
        </w:rPr>
      </w:pPr>
      <w:r w:rsidRPr="00B755E2">
        <w:rPr>
          <w:rFonts w:ascii="Palatino Linotype" w:hAnsi="Palatino Linotype" w:cs="Arial"/>
          <w:i/>
          <w:sz w:val="22"/>
        </w:rPr>
        <w:t>VI. El periodo de reserva, y</w:t>
      </w:r>
    </w:p>
    <w:p w14:paraId="58CE76D6" w14:textId="77777777" w:rsidR="00544B15" w:rsidRPr="00B755E2" w:rsidRDefault="00544B15" w:rsidP="00544B15">
      <w:pPr>
        <w:pStyle w:val="Prrafodelista"/>
        <w:tabs>
          <w:tab w:val="left" w:pos="142"/>
          <w:tab w:val="left" w:pos="284"/>
          <w:tab w:val="left" w:pos="426"/>
        </w:tabs>
        <w:ind w:left="567" w:right="567"/>
        <w:jc w:val="both"/>
        <w:rPr>
          <w:rFonts w:ascii="Palatino Linotype" w:hAnsi="Palatino Linotype" w:cs="Arial"/>
          <w:i/>
          <w:sz w:val="22"/>
        </w:rPr>
      </w:pPr>
      <w:r w:rsidRPr="00B755E2">
        <w:rPr>
          <w:rFonts w:ascii="Palatino Linotype" w:hAnsi="Palatino Linotype" w:cs="Arial"/>
          <w:i/>
          <w:sz w:val="22"/>
        </w:rPr>
        <w:t>VII. La rúbrica del titular del área.</w:t>
      </w:r>
    </w:p>
    <w:p w14:paraId="5220BBB2" w14:textId="77777777" w:rsidR="00544B15" w:rsidRPr="00B755E2" w:rsidRDefault="00544B15" w:rsidP="00544B15">
      <w:pPr>
        <w:pStyle w:val="Prrafodelista"/>
        <w:tabs>
          <w:tab w:val="left" w:pos="142"/>
          <w:tab w:val="left" w:pos="284"/>
          <w:tab w:val="left" w:pos="426"/>
        </w:tabs>
        <w:ind w:left="567" w:right="567"/>
        <w:jc w:val="both"/>
        <w:rPr>
          <w:rFonts w:ascii="Palatino Linotype" w:hAnsi="Palatino Linotype" w:cs="Arial"/>
          <w:i/>
          <w:sz w:val="22"/>
        </w:rPr>
      </w:pPr>
    </w:p>
    <w:p w14:paraId="53350D59" w14:textId="77777777" w:rsidR="00544B15" w:rsidRPr="00B755E2" w:rsidRDefault="00544B15" w:rsidP="00544B15">
      <w:pPr>
        <w:pStyle w:val="Prrafodelista"/>
        <w:tabs>
          <w:tab w:val="left" w:pos="142"/>
          <w:tab w:val="left" w:pos="284"/>
          <w:tab w:val="left" w:pos="426"/>
        </w:tabs>
        <w:ind w:left="567" w:right="567"/>
        <w:jc w:val="both"/>
        <w:rPr>
          <w:rFonts w:ascii="Palatino Linotype" w:hAnsi="Palatino Linotype" w:cs="Arial"/>
          <w:i/>
          <w:sz w:val="22"/>
        </w:rPr>
      </w:pPr>
      <w:r w:rsidRPr="00B755E2">
        <w:rPr>
          <w:rFonts w:ascii="Palatino Linotype" w:hAnsi="Palatino Linotype" w:cs="Arial"/>
          <w:b/>
          <w:i/>
          <w:sz w:val="22"/>
        </w:rPr>
        <w:t>Quincuagésimo segundo.</w:t>
      </w:r>
      <w:r w:rsidRPr="00B755E2">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33D42B80" w14:textId="77777777" w:rsidR="00544B15" w:rsidRPr="00B755E2" w:rsidRDefault="00544B15" w:rsidP="00544B15">
      <w:pPr>
        <w:pStyle w:val="Prrafodelista"/>
        <w:tabs>
          <w:tab w:val="left" w:pos="142"/>
          <w:tab w:val="left" w:pos="284"/>
          <w:tab w:val="left" w:pos="426"/>
        </w:tabs>
        <w:ind w:left="567" w:right="567"/>
        <w:jc w:val="both"/>
        <w:rPr>
          <w:rFonts w:ascii="Palatino Linotype" w:hAnsi="Palatino Linotype" w:cs="Arial"/>
          <w:i/>
          <w:sz w:val="22"/>
        </w:rPr>
      </w:pPr>
      <w:r w:rsidRPr="00B755E2">
        <w:rPr>
          <w:rFonts w:ascii="Palatino Linotype" w:hAnsi="Palatino Linotype" w:cs="Arial"/>
          <w:i/>
          <w:sz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5DB2991A" w14:textId="77777777" w:rsidR="00544B15" w:rsidRPr="00B755E2" w:rsidRDefault="00544B15" w:rsidP="00544B15">
      <w:pPr>
        <w:pStyle w:val="Prrafodelista"/>
        <w:tabs>
          <w:tab w:val="left" w:pos="142"/>
          <w:tab w:val="left" w:pos="284"/>
          <w:tab w:val="left" w:pos="426"/>
        </w:tabs>
        <w:ind w:left="567" w:right="567"/>
        <w:jc w:val="both"/>
        <w:rPr>
          <w:rFonts w:ascii="Palatino Linotype" w:hAnsi="Palatino Linotype" w:cs="Arial"/>
          <w:i/>
          <w:sz w:val="22"/>
        </w:rPr>
      </w:pPr>
      <w:r w:rsidRPr="00B755E2">
        <w:rPr>
          <w:rFonts w:ascii="Palatino Linotype" w:hAnsi="Palatino Linotype" w:cs="Arial"/>
          <w:b/>
          <w:i/>
          <w:sz w:val="22"/>
        </w:rPr>
        <w:t>Quincuagésimo tercero.</w:t>
      </w:r>
      <w:r w:rsidRPr="00B755E2">
        <w:rPr>
          <w:rFonts w:ascii="Palatino Linotype" w:hAnsi="Palatino Linotype" w:cs="Arial"/>
          <w:i/>
          <w:sz w:val="22"/>
        </w:rPr>
        <w:t xml:space="preserve"> El formato para señalar la clasificación parcial de un documento, es el siguiente:</w:t>
      </w:r>
    </w:p>
    <w:p w14:paraId="13CB595B" w14:textId="77777777" w:rsidR="00544B15" w:rsidRPr="00B755E2" w:rsidRDefault="00544B15" w:rsidP="00544B15">
      <w:pPr>
        <w:pStyle w:val="Prrafodelista"/>
        <w:tabs>
          <w:tab w:val="left" w:pos="142"/>
          <w:tab w:val="left" w:pos="284"/>
          <w:tab w:val="left" w:pos="426"/>
        </w:tabs>
        <w:ind w:left="567" w:right="567"/>
        <w:jc w:val="both"/>
        <w:rPr>
          <w:rFonts w:ascii="Palatino Linotype" w:hAnsi="Palatino Linotype" w:cs="Arial"/>
          <w:i/>
        </w:rPr>
      </w:pPr>
    </w:p>
    <w:p w14:paraId="6D9C8D39" w14:textId="77777777" w:rsidR="00544B15" w:rsidRPr="00B755E2" w:rsidRDefault="00544B15" w:rsidP="00544B15">
      <w:pPr>
        <w:pStyle w:val="Prrafodelista"/>
        <w:tabs>
          <w:tab w:val="left" w:pos="142"/>
          <w:tab w:val="left" w:pos="284"/>
          <w:tab w:val="left" w:pos="426"/>
        </w:tabs>
        <w:spacing w:line="360" w:lineRule="auto"/>
        <w:ind w:left="0"/>
        <w:jc w:val="center"/>
        <w:rPr>
          <w:rFonts w:ascii="Palatino Linotype" w:hAnsi="Palatino Linotype" w:cs="Arial"/>
        </w:rPr>
      </w:pPr>
      <w:r w:rsidRPr="00B755E2">
        <w:rPr>
          <w:rFonts w:ascii="Palatino Linotype" w:hAnsi="Palatino Linotype" w:cs="Arial"/>
          <w:i/>
          <w:noProof/>
          <w:lang w:val="es-MX" w:eastAsia="es-MX"/>
        </w:rPr>
        <w:lastRenderedPageBreak/>
        <w:drawing>
          <wp:inline distT="0" distB="0" distL="0" distR="0" wp14:anchorId="2C23A1B7" wp14:editId="6DFFAF29">
            <wp:extent cx="5041265" cy="4572000"/>
            <wp:effectExtent l="57150" t="57150" r="12128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4740" cy="444182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75E05EE" w14:textId="77777777" w:rsidR="00544B15" w:rsidRPr="00B755E2" w:rsidRDefault="00544B15" w:rsidP="00544B15">
      <w:pPr>
        <w:pStyle w:val="Prrafodelista"/>
        <w:tabs>
          <w:tab w:val="left" w:pos="142"/>
          <w:tab w:val="left" w:pos="284"/>
          <w:tab w:val="left" w:pos="426"/>
        </w:tabs>
        <w:spacing w:line="360" w:lineRule="auto"/>
        <w:ind w:left="0"/>
        <w:jc w:val="both"/>
        <w:rPr>
          <w:rFonts w:ascii="Palatino Linotype" w:hAnsi="Palatino Linotype" w:cs="Arial"/>
        </w:rPr>
      </w:pPr>
    </w:p>
    <w:p w14:paraId="7590FADE" w14:textId="77777777" w:rsidR="00544B15" w:rsidRPr="00B755E2" w:rsidRDefault="00544B15" w:rsidP="00544B15">
      <w:pPr>
        <w:numPr>
          <w:ilvl w:val="0"/>
          <w:numId w:val="1"/>
        </w:numPr>
        <w:spacing w:line="360" w:lineRule="auto"/>
        <w:ind w:left="0" w:firstLine="0"/>
        <w:contextualSpacing/>
        <w:jc w:val="both"/>
        <w:rPr>
          <w:rFonts w:ascii="Palatino Linotype" w:hAnsi="Palatino Linotype" w:cs="Arial"/>
        </w:rPr>
      </w:pPr>
      <w:r w:rsidRPr="00B755E2">
        <w:rPr>
          <w:rFonts w:ascii="Palatino Linotype" w:eastAsia="MS Gothic" w:hAnsi="Palatino Linotype"/>
          <w:szCs w:val="26"/>
        </w:rPr>
        <w:t>Una vez hecho lo anterior, se remite la información al Titular de la Unidad de Transparencia, con el acuerdo de clasificación correspondiente, para que sea sometido al conocimiento del Comité de Transparencia.</w:t>
      </w:r>
    </w:p>
    <w:p w14:paraId="2FC17F8B" w14:textId="77777777" w:rsidR="00544B15" w:rsidRPr="00B755E2" w:rsidRDefault="00544B15" w:rsidP="00544B15">
      <w:pPr>
        <w:spacing w:line="360" w:lineRule="auto"/>
        <w:contextualSpacing/>
        <w:jc w:val="both"/>
        <w:rPr>
          <w:rFonts w:ascii="Palatino Linotype" w:hAnsi="Palatino Linotype" w:cs="Arial"/>
        </w:rPr>
      </w:pPr>
    </w:p>
    <w:p w14:paraId="6A25245F" w14:textId="77777777" w:rsidR="00544B15" w:rsidRPr="00B755E2" w:rsidRDefault="00544B15" w:rsidP="00544B15">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77" w:name="_Toc86848771"/>
      <w:bookmarkStart w:id="178" w:name="_Toc83128593"/>
      <w:bookmarkStart w:id="179" w:name="_Toc71674124"/>
      <w:bookmarkStart w:id="180" w:name="_Toc71291225"/>
      <w:bookmarkStart w:id="181" w:name="_Toc71290719"/>
      <w:bookmarkStart w:id="182" w:name="_Toc70593360"/>
      <w:bookmarkStart w:id="183" w:name="_Toc70070913"/>
      <w:bookmarkStart w:id="184" w:name="_Toc67584837"/>
      <w:bookmarkStart w:id="185" w:name="_Toc66371802"/>
      <w:bookmarkStart w:id="186" w:name="_Toc65170176"/>
      <w:bookmarkStart w:id="187" w:name="_Toc57154370"/>
      <w:bookmarkStart w:id="188" w:name="_Toc52444651"/>
      <w:bookmarkStart w:id="189" w:name="_Toc51863317"/>
      <w:r w:rsidRPr="00B755E2">
        <w:rPr>
          <w:rFonts w:ascii="Palatino Linotype" w:hAnsi="Palatino Linotype" w:cs="Arial"/>
          <w:b/>
        </w:rPr>
        <w:t>III. La intervención del Comité de Transparencia.</w:t>
      </w:r>
      <w:bookmarkEnd w:id="177"/>
      <w:bookmarkEnd w:id="178"/>
      <w:bookmarkEnd w:id="179"/>
      <w:bookmarkEnd w:id="180"/>
      <w:bookmarkEnd w:id="181"/>
      <w:bookmarkEnd w:id="182"/>
      <w:bookmarkEnd w:id="183"/>
      <w:bookmarkEnd w:id="184"/>
      <w:bookmarkEnd w:id="185"/>
      <w:bookmarkEnd w:id="186"/>
      <w:bookmarkEnd w:id="187"/>
      <w:bookmarkEnd w:id="188"/>
      <w:bookmarkEnd w:id="189"/>
    </w:p>
    <w:p w14:paraId="0A4F7224" w14:textId="77777777" w:rsidR="0054224D" w:rsidRPr="00B755E2" w:rsidRDefault="0054224D" w:rsidP="00544B15">
      <w:pPr>
        <w:pStyle w:val="Prrafodelista"/>
        <w:tabs>
          <w:tab w:val="left" w:pos="142"/>
          <w:tab w:val="left" w:pos="284"/>
          <w:tab w:val="left" w:pos="426"/>
        </w:tabs>
        <w:spacing w:line="360" w:lineRule="auto"/>
        <w:ind w:left="0"/>
        <w:jc w:val="both"/>
        <w:outlineLvl w:val="2"/>
        <w:rPr>
          <w:rFonts w:ascii="Palatino Linotype" w:hAnsi="Palatino Linotype" w:cs="Arial"/>
          <w:b/>
        </w:rPr>
      </w:pPr>
    </w:p>
    <w:p w14:paraId="484132E2" w14:textId="77777777" w:rsidR="00544B15" w:rsidRPr="00B755E2" w:rsidRDefault="00544B15" w:rsidP="00544B15">
      <w:pPr>
        <w:pStyle w:val="Prrafodelista"/>
        <w:tabs>
          <w:tab w:val="left" w:pos="142"/>
          <w:tab w:val="left" w:pos="284"/>
          <w:tab w:val="left" w:pos="426"/>
        </w:tabs>
        <w:spacing w:line="360" w:lineRule="auto"/>
        <w:ind w:left="0"/>
        <w:jc w:val="both"/>
        <w:rPr>
          <w:rFonts w:ascii="Palatino Linotype" w:hAnsi="Palatino Linotype" w:cs="Arial"/>
          <w:b/>
        </w:rPr>
      </w:pPr>
      <w:r w:rsidRPr="00B755E2">
        <w:rPr>
          <w:rFonts w:ascii="Palatino Linotype" w:hAnsi="Palatino Linotype" w:cs="Arial"/>
          <w:b/>
        </w:rPr>
        <w:t>a) Formalidades para emitir el Acuerdo de Clasificación.</w:t>
      </w:r>
    </w:p>
    <w:p w14:paraId="1FED8F3B" w14:textId="77777777" w:rsidR="00544B15" w:rsidRPr="00B755E2" w:rsidRDefault="00544B15" w:rsidP="00544B15">
      <w:pPr>
        <w:numPr>
          <w:ilvl w:val="0"/>
          <w:numId w:val="1"/>
        </w:numPr>
        <w:spacing w:line="360" w:lineRule="auto"/>
        <w:ind w:left="0" w:firstLine="0"/>
        <w:contextualSpacing/>
        <w:jc w:val="both"/>
        <w:rPr>
          <w:rFonts w:ascii="Palatino Linotype" w:hAnsi="Palatino Linotype" w:cs="Arial"/>
        </w:rPr>
      </w:pPr>
      <w:r w:rsidRPr="00B755E2">
        <w:rPr>
          <w:rFonts w:ascii="Palatino Linotype" w:eastAsia="MS Gothic" w:hAnsi="Palatino Linotype"/>
          <w:szCs w:val="26"/>
        </w:rPr>
        <w:lastRenderedPageBreak/>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B755E2">
        <w:rPr>
          <w:rFonts w:ascii="Palatino Linotype" w:eastAsia="MS Gothic" w:hAnsi="Palatino Linotype"/>
          <w:b/>
          <w:szCs w:val="26"/>
          <w:u w:val="single"/>
        </w:rPr>
        <w:t>confirmar, modificar o revocar</w:t>
      </w:r>
      <w:r w:rsidRPr="00B755E2">
        <w:rPr>
          <w:rFonts w:ascii="Palatino Linotype" w:eastAsia="MS Gothic" w:hAnsi="Palatino Linotype"/>
          <w:szCs w:val="26"/>
        </w:rPr>
        <w:t xml:space="preserve"> la clasificación de la información que ha hecho el titular del área que administra la información. Por lo tanto, el Comité </w:t>
      </w:r>
      <w:r w:rsidRPr="00B755E2">
        <w:rPr>
          <w:rFonts w:ascii="Palatino Linotype" w:eastAsia="MS Gothic" w:hAnsi="Palatino Linotype"/>
          <w:b/>
          <w:szCs w:val="26"/>
          <w:u w:val="single"/>
        </w:rPr>
        <w:t>no aprueba</w:t>
      </w:r>
      <w:r w:rsidRPr="00B755E2">
        <w:rPr>
          <w:rFonts w:ascii="Palatino Linotype" w:eastAsia="MS Gothic" w:hAnsi="Palatino Linotype"/>
          <w:szCs w:val="26"/>
        </w:rPr>
        <w:t xml:space="preserve"> la clasificación, sino que revisa lo que ha hecho el titular del área y confirma, modifica o revoca la decisión a través de un acuerdo.</w:t>
      </w:r>
    </w:p>
    <w:p w14:paraId="50F40DEB" w14:textId="77777777" w:rsidR="00544B15" w:rsidRPr="00B755E2" w:rsidRDefault="00544B15" w:rsidP="00544B15">
      <w:pPr>
        <w:pStyle w:val="Prrafodelista"/>
        <w:tabs>
          <w:tab w:val="left" w:pos="142"/>
          <w:tab w:val="left" w:pos="284"/>
          <w:tab w:val="left" w:pos="426"/>
        </w:tabs>
        <w:spacing w:line="360" w:lineRule="auto"/>
        <w:ind w:left="0"/>
        <w:jc w:val="both"/>
        <w:rPr>
          <w:rFonts w:ascii="Palatino Linotype" w:hAnsi="Palatino Linotype" w:cs="Arial"/>
        </w:rPr>
      </w:pPr>
    </w:p>
    <w:p w14:paraId="1270CA09" w14:textId="37ABE3A9" w:rsidR="00544B15" w:rsidRPr="00B755E2" w:rsidRDefault="00544B15" w:rsidP="00544B15">
      <w:pPr>
        <w:numPr>
          <w:ilvl w:val="0"/>
          <w:numId w:val="1"/>
        </w:numPr>
        <w:spacing w:line="360" w:lineRule="auto"/>
        <w:ind w:left="0" w:firstLine="0"/>
        <w:contextualSpacing/>
        <w:jc w:val="both"/>
        <w:rPr>
          <w:rFonts w:ascii="Palatino Linotype" w:hAnsi="Palatino Linotype" w:cs="Arial"/>
        </w:rPr>
      </w:pPr>
      <w:r w:rsidRPr="00B755E2">
        <w:rPr>
          <w:rFonts w:ascii="Palatino Linotype" w:eastAsia="MS Gothic" w:hAnsi="Palatino Linotype"/>
          <w:szCs w:val="26"/>
        </w:rPr>
        <w:t xml:space="preserve">Evidentemente, esta decisión implica una restricción a un derecho humano, por lo tanto, puede generar un agravio al particular y, en consecuencia, es necesario que </w:t>
      </w:r>
      <w:r w:rsidRPr="00B755E2">
        <w:rPr>
          <w:rFonts w:ascii="Palatino Linotype" w:eastAsia="MS Gothic" w:hAnsi="Palatino Linotype"/>
          <w:b/>
          <w:szCs w:val="26"/>
          <w:u w:val="single"/>
        </w:rPr>
        <w:t>el acto reúna con los requisitos elementales</w:t>
      </w:r>
      <w:r w:rsidRPr="00B755E2">
        <w:rPr>
          <w:rFonts w:ascii="Palatino Linotype" w:eastAsia="MS Gothic" w:hAnsi="Palatino Linotype"/>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w:t>
      </w:r>
      <w:r w:rsidR="00555688" w:rsidRPr="00B755E2">
        <w:rPr>
          <w:rFonts w:ascii="Palatino Linotype" w:eastAsia="MS Gothic" w:hAnsi="Palatino Linotype"/>
          <w:szCs w:val="26"/>
        </w:rPr>
        <w:t>a de archivos y el titular del Ó</w:t>
      </w:r>
      <w:r w:rsidRPr="00B755E2">
        <w:rPr>
          <w:rFonts w:ascii="Palatino Linotype" w:eastAsia="MS Gothic" w:hAnsi="Palatino Linotype"/>
          <w:szCs w:val="26"/>
        </w:rPr>
        <w:t xml:space="preserve">rgano </w:t>
      </w:r>
      <w:r w:rsidR="00555688" w:rsidRPr="00B755E2">
        <w:rPr>
          <w:rFonts w:ascii="Palatino Linotype" w:eastAsia="MS Gothic" w:hAnsi="Palatino Linotype"/>
          <w:szCs w:val="26"/>
        </w:rPr>
        <w:t>I</w:t>
      </w:r>
      <w:r w:rsidRPr="00B755E2">
        <w:rPr>
          <w:rFonts w:ascii="Palatino Linotype" w:eastAsia="MS Gothic" w:hAnsi="Palatino Linotype"/>
          <w:szCs w:val="26"/>
        </w:rPr>
        <w:t xml:space="preserve">nterno de </w:t>
      </w:r>
      <w:r w:rsidR="00555688" w:rsidRPr="00B755E2">
        <w:rPr>
          <w:rFonts w:ascii="Palatino Linotype" w:eastAsia="MS Gothic" w:hAnsi="Palatino Linotype"/>
          <w:szCs w:val="26"/>
        </w:rPr>
        <w:t>C</w:t>
      </w:r>
      <w:r w:rsidRPr="00B755E2">
        <w:rPr>
          <w:rFonts w:ascii="Palatino Linotype" w:eastAsia="MS Gothic" w:hAnsi="Palatino Linotype"/>
          <w:szCs w:val="26"/>
        </w:rPr>
        <w:t>ontrol</w:t>
      </w:r>
      <w:r w:rsidR="00555688" w:rsidRPr="00B755E2">
        <w:rPr>
          <w:rFonts w:ascii="Palatino Linotype" w:eastAsia="MS Gothic" w:hAnsi="Palatino Linotype"/>
          <w:szCs w:val="26"/>
        </w:rPr>
        <w:t xml:space="preserve"> competente</w:t>
      </w:r>
      <w:r w:rsidRPr="00B755E2">
        <w:rPr>
          <w:rFonts w:ascii="Palatino Linotype" w:eastAsia="MS Gothic" w:hAnsi="Palatino Linotype"/>
          <w:szCs w:val="26"/>
        </w:rPr>
        <w:t>, integrado siempre por un número impar y que no debe de existir dependencia jerárquica entre sus integrantes. Cualquier otra composición del Comité puede generar vicios de legalidad de origen en el acto que restringe un derecho humano.</w:t>
      </w:r>
    </w:p>
    <w:p w14:paraId="77A52294" w14:textId="77777777" w:rsidR="00544B15" w:rsidRPr="00B755E2" w:rsidRDefault="00544B15" w:rsidP="00544B15">
      <w:pPr>
        <w:pStyle w:val="Prrafodelista"/>
        <w:rPr>
          <w:rFonts w:ascii="Palatino Linotype" w:hAnsi="Palatino Linotype" w:cs="Arial"/>
        </w:rPr>
      </w:pPr>
    </w:p>
    <w:p w14:paraId="66B3A4BD" w14:textId="77777777" w:rsidR="00544B15" w:rsidRPr="00B755E2" w:rsidRDefault="00544B15" w:rsidP="00544B15">
      <w:pPr>
        <w:numPr>
          <w:ilvl w:val="0"/>
          <w:numId w:val="1"/>
        </w:numPr>
        <w:spacing w:line="360" w:lineRule="auto"/>
        <w:ind w:left="0" w:firstLine="0"/>
        <w:contextualSpacing/>
        <w:jc w:val="both"/>
        <w:rPr>
          <w:rFonts w:ascii="Palatino Linotype" w:hAnsi="Palatino Linotype" w:cs="Arial"/>
        </w:rPr>
      </w:pPr>
      <w:r w:rsidRPr="00B755E2">
        <w:rPr>
          <w:rFonts w:ascii="Palatino Linotype" w:eastAsia="MS Gothic" w:hAnsi="Palatino Linotype"/>
          <w:szCs w:val="26"/>
        </w:rPr>
        <w:lastRenderedPageBreak/>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07DCDA8" w14:textId="77777777" w:rsidR="00544B15" w:rsidRPr="00B755E2" w:rsidRDefault="00544B15" w:rsidP="00544B15">
      <w:pPr>
        <w:pStyle w:val="Prrafodelista"/>
        <w:tabs>
          <w:tab w:val="left" w:pos="142"/>
          <w:tab w:val="left" w:pos="284"/>
          <w:tab w:val="left" w:pos="426"/>
        </w:tabs>
        <w:spacing w:line="360" w:lineRule="auto"/>
        <w:ind w:left="0"/>
        <w:jc w:val="both"/>
        <w:rPr>
          <w:rFonts w:ascii="Palatino Linotype" w:hAnsi="Palatino Linotype" w:cs="Arial"/>
        </w:rPr>
      </w:pPr>
    </w:p>
    <w:p w14:paraId="5690B1B2" w14:textId="77777777" w:rsidR="00544B15" w:rsidRPr="00B755E2" w:rsidRDefault="00544B15" w:rsidP="00544B15">
      <w:pPr>
        <w:pStyle w:val="Prrafodelista"/>
        <w:numPr>
          <w:ilvl w:val="0"/>
          <w:numId w:val="27"/>
        </w:numPr>
        <w:tabs>
          <w:tab w:val="left" w:pos="142"/>
          <w:tab w:val="left" w:pos="284"/>
          <w:tab w:val="left" w:pos="426"/>
        </w:tabs>
        <w:spacing w:line="360" w:lineRule="auto"/>
        <w:jc w:val="both"/>
        <w:rPr>
          <w:rFonts w:ascii="Palatino Linotype" w:hAnsi="Palatino Linotype" w:cs="Arial"/>
          <w:b/>
        </w:rPr>
      </w:pPr>
      <w:r w:rsidRPr="00B755E2">
        <w:rPr>
          <w:rFonts w:ascii="Palatino Linotype" w:hAnsi="Palatino Linotype" w:cs="Arial"/>
          <w:b/>
        </w:rPr>
        <w:t>Requisitos de fondo del Acuerdo de Clasificación.</w:t>
      </w:r>
    </w:p>
    <w:p w14:paraId="5168DAE5" w14:textId="77777777" w:rsidR="00544B15" w:rsidRPr="00B755E2" w:rsidRDefault="00544B15" w:rsidP="00544B15">
      <w:pPr>
        <w:numPr>
          <w:ilvl w:val="0"/>
          <w:numId w:val="1"/>
        </w:numPr>
        <w:spacing w:line="360" w:lineRule="auto"/>
        <w:ind w:left="0" w:firstLine="0"/>
        <w:contextualSpacing/>
        <w:jc w:val="both"/>
        <w:rPr>
          <w:rFonts w:ascii="Palatino Linotype" w:hAnsi="Palatino Linotype" w:cs="Arial"/>
        </w:rPr>
      </w:pPr>
      <w:r w:rsidRPr="00B755E2">
        <w:rPr>
          <w:rFonts w:ascii="Palatino Linotype" w:eastAsia="MS Gothic" w:hAnsi="Palatino Linotype"/>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50EA2D7" w14:textId="77777777" w:rsidR="00544B15" w:rsidRPr="00B755E2" w:rsidRDefault="00544B15" w:rsidP="00544B15">
      <w:pPr>
        <w:pStyle w:val="Prrafodelista"/>
        <w:spacing w:line="360" w:lineRule="auto"/>
        <w:ind w:left="0"/>
        <w:contextualSpacing w:val="0"/>
        <w:jc w:val="both"/>
        <w:rPr>
          <w:rFonts w:ascii="Palatino Linotype" w:hAnsi="Palatino Linotype" w:cs="Arial"/>
        </w:rPr>
      </w:pPr>
    </w:p>
    <w:p w14:paraId="76F961CE" w14:textId="77777777" w:rsidR="00544B15" w:rsidRPr="00B755E2" w:rsidRDefault="00544B15" w:rsidP="00544B15">
      <w:pPr>
        <w:numPr>
          <w:ilvl w:val="0"/>
          <w:numId w:val="1"/>
        </w:numPr>
        <w:spacing w:line="360" w:lineRule="auto"/>
        <w:ind w:left="0" w:firstLine="0"/>
        <w:contextualSpacing/>
        <w:jc w:val="both"/>
        <w:rPr>
          <w:rFonts w:ascii="Palatino Linotype" w:hAnsi="Palatino Linotype" w:cs="Arial"/>
        </w:rPr>
      </w:pPr>
      <w:r w:rsidRPr="00B755E2">
        <w:rPr>
          <w:rFonts w:ascii="Palatino Linotype" w:eastAsia="MS Gothic" w:hAnsi="Palatino Linotype"/>
          <w:szCs w:val="26"/>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B755E2">
        <w:rPr>
          <w:rFonts w:ascii="Palatino Linotype" w:eastAsia="MS Gothic" w:hAnsi="Palatino Linotype"/>
          <w:szCs w:val="26"/>
        </w:rPr>
        <w:lastRenderedPageBreak/>
        <w:t>fundamentos legales que le dieron origen y las razones por las que se deben aplicar al caso concreto.</w:t>
      </w:r>
    </w:p>
    <w:p w14:paraId="3DD355C9" w14:textId="77777777" w:rsidR="00544B15" w:rsidRPr="00B755E2" w:rsidRDefault="00544B15" w:rsidP="00544B15">
      <w:pPr>
        <w:pStyle w:val="Prrafodelista"/>
        <w:rPr>
          <w:rFonts w:ascii="Palatino Linotype" w:hAnsi="Palatino Linotype" w:cs="Arial"/>
        </w:rPr>
      </w:pPr>
    </w:p>
    <w:p w14:paraId="1D066ADE" w14:textId="77777777" w:rsidR="00544B15" w:rsidRPr="00B755E2" w:rsidRDefault="00544B15" w:rsidP="00544B15">
      <w:pPr>
        <w:numPr>
          <w:ilvl w:val="0"/>
          <w:numId w:val="1"/>
        </w:numPr>
        <w:spacing w:line="360" w:lineRule="auto"/>
        <w:ind w:left="0" w:firstLine="0"/>
        <w:contextualSpacing/>
        <w:jc w:val="both"/>
        <w:rPr>
          <w:rFonts w:ascii="Palatino Linotype" w:hAnsi="Palatino Linotype" w:cs="Arial"/>
        </w:rPr>
      </w:pPr>
      <w:r w:rsidRPr="00B755E2">
        <w:rPr>
          <w:rFonts w:ascii="Palatino Linotype" w:eastAsia="MS Gothic" w:hAnsi="Palatino Linotype"/>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B755E2">
        <w:rPr>
          <w:rFonts w:ascii="Palatino Linotype" w:eastAsia="MS Gothic" w:hAnsi="Palatino Linotype"/>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755E2">
        <w:rPr>
          <w:rFonts w:ascii="Palatino Linotype" w:eastAsia="MS Gothic" w:hAnsi="Palatino Linotype"/>
          <w:szCs w:val="26"/>
        </w:rPr>
        <w:t>....”</w:t>
      </w:r>
      <w:r w:rsidRPr="00B755E2">
        <w:rPr>
          <w:rFonts w:ascii="Palatino Linotype" w:eastAsia="MS Gothic" w:hAnsi="Palatino Linotype"/>
          <w:szCs w:val="26"/>
          <w:vertAlign w:val="superscript"/>
        </w:rPr>
        <w:footnoteReference w:id="16"/>
      </w:r>
    </w:p>
    <w:p w14:paraId="1A81F0B1" w14:textId="77777777" w:rsidR="00544B15" w:rsidRPr="00B755E2" w:rsidRDefault="00544B15" w:rsidP="00544B15">
      <w:pPr>
        <w:pStyle w:val="Prrafodelista"/>
        <w:rPr>
          <w:rFonts w:ascii="Palatino Linotype" w:hAnsi="Palatino Linotype" w:cs="Arial"/>
        </w:rPr>
      </w:pPr>
    </w:p>
    <w:p w14:paraId="4D748C6E" w14:textId="77777777" w:rsidR="00544B15" w:rsidRPr="00B755E2" w:rsidRDefault="00544B15" w:rsidP="00544B15">
      <w:pPr>
        <w:numPr>
          <w:ilvl w:val="0"/>
          <w:numId w:val="1"/>
        </w:numPr>
        <w:spacing w:line="360" w:lineRule="auto"/>
        <w:ind w:left="0" w:firstLine="0"/>
        <w:contextualSpacing/>
        <w:jc w:val="both"/>
        <w:rPr>
          <w:rFonts w:ascii="Palatino Linotype" w:hAnsi="Palatino Linotype" w:cs="Arial"/>
        </w:rPr>
      </w:pPr>
      <w:r w:rsidRPr="00B755E2">
        <w:rPr>
          <w:rFonts w:ascii="Palatino Linotype" w:hAnsi="Palatino Linotype" w:cs="Arial"/>
        </w:rPr>
        <w:t xml:space="preserve"> Por su parte, el </w:t>
      </w:r>
      <w:r w:rsidRPr="00B755E2">
        <w:rPr>
          <w:rFonts w:ascii="Palatino Linotype" w:eastAsia="MS Gothic" w:hAnsi="Palatino Linotype"/>
          <w:szCs w:val="26"/>
        </w:rPr>
        <w:t>intérprete</w:t>
      </w:r>
      <w:r w:rsidRPr="00B755E2">
        <w:rPr>
          <w:rFonts w:ascii="Palatino Linotype" w:hAnsi="Palatino Linotype" w:cs="Arial"/>
        </w:rPr>
        <w:t xml:space="preserve"> judicial del país ha establecido una jurisprudencia respecto a qué debe entenderse por fundamentación y motivación, en los siguientes términos:</w:t>
      </w:r>
    </w:p>
    <w:p w14:paraId="717AAFBA" w14:textId="77777777" w:rsidR="0054224D" w:rsidRPr="00B755E2" w:rsidRDefault="0054224D" w:rsidP="0054224D">
      <w:pPr>
        <w:spacing w:line="360" w:lineRule="auto"/>
        <w:contextualSpacing/>
        <w:jc w:val="both"/>
        <w:rPr>
          <w:rFonts w:ascii="Palatino Linotype" w:hAnsi="Palatino Linotype" w:cs="Arial"/>
          <w:sz w:val="22"/>
        </w:rPr>
      </w:pPr>
    </w:p>
    <w:p w14:paraId="6E8F5F9F" w14:textId="77777777" w:rsidR="00544B15" w:rsidRPr="00B755E2" w:rsidRDefault="00544B15" w:rsidP="00544B15">
      <w:pPr>
        <w:ind w:left="567" w:right="618"/>
        <w:contextualSpacing/>
        <w:jc w:val="both"/>
        <w:rPr>
          <w:rFonts w:ascii="Palatino Linotype" w:hAnsi="Palatino Linotype" w:cs="Arial"/>
          <w:i/>
          <w:color w:val="000000"/>
          <w:sz w:val="22"/>
        </w:rPr>
      </w:pPr>
      <w:r w:rsidRPr="00B755E2">
        <w:rPr>
          <w:rFonts w:ascii="Palatino Linotype" w:hAnsi="Palatino Linotype" w:cs="Arial"/>
          <w:b/>
          <w:i/>
          <w:color w:val="000000"/>
          <w:sz w:val="22"/>
        </w:rPr>
        <w:t>FUNDAMENTACIÓN Y MOTIVACIÓN.</w:t>
      </w:r>
      <w:r w:rsidRPr="00B755E2">
        <w:rPr>
          <w:rFonts w:ascii="Palatino Linotype" w:hAnsi="Palatino Linotype" w:cs="Arial"/>
          <w:i/>
          <w:color w:val="000000"/>
          <w:sz w:val="22"/>
        </w:rPr>
        <w:t xml:space="preserve"> “La </w:t>
      </w:r>
      <w:r w:rsidRPr="00B755E2">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55E2">
        <w:rPr>
          <w:rFonts w:ascii="Palatino Linotype" w:hAnsi="Palatino Linotype" w:cs="Arial"/>
          <w:i/>
          <w:color w:val="000000"/>
          <w:sz w:val="22"/>
        </w:rPr>
        <w:t>.”</w:t>
      </w:r>
    </w:p>
    <w:p w14:paraId="52CB6238" w14:textId="77777777" w:rsidR="00544B15" w:rsidRPr="00B755E2" w:rsidRDefault="00544B15" w:rsidP="00544B15">
      <w:pPr>
        <w:numPr>
          <w:ilvl w:val="0"/>
          <w:numId w:val="1"/>
        </w:numPr>
        <w:spacing w:line="360" w:lineRule="auto"/>
        <w:ind w:left="0" w:firstLine="0"/>
        <w:contextualSpacing/>
        <w:jc w:val="both"/>
        <w:rPr>
          <w:rFonts w:ascii="Palatino Linotype" w:hAnsi="Palatino Linotype" w:cs="Arial"/>
        </w:rPr>
      </w:pPr>
      <w:r w:rsidRPr="00B755E2">
        <w:rPr>
          <w:rFonts w:ascii="Palatino Linotype" w:eastAsia="MS Gothic" w:hAnsi="Palatino Linotype"/>
        </w:rPr>
        <w:lastRenderedPageBreak/>
        <w:t xml:space="preserve"> Así, en un acto de autoridad se cumple con la debida fundamentación cuando se cita el precepto legal aplicable al caso concreto y la debida motivación cuando se </w:t>
      </w:r>
      <w:r w:rsidRPr="00B755E2">
        <w:rPr>
          <w:rFonts w:ascii="Palatino Linotype" w:hAnsi="Palatino Linotype" w:cs="Arial"/>
        </w:rPr>
        <w:t>expresan</w:t>
      </w:r>
      <w:r w:rsidRPr="00B755E2">
        <w:rPr>
          <w:rFonts w:ascii="Palatino Linotype" w:eastAsia="MS Gothic" w:hAnsi="Palatino Linotype"/>
        </w:rPr>
        <w:t xml:space="preserve"> las razones, motivos o circunstancias que tomó en cuenta la autoridad para adecuar el </w:t>
      </w:r>
      <w:r w:rsidRPr="00B755E2">
        <w:rPr>
          <w:rFonts w:ascii="Palatino Linotype" w:eastAsia="MS Gothic" w:hAnsi="Palatino Linotype"/>
          <w:szCs w:val="26"/>
        </w:rPr>
        <w:t>hecho</w:t>
      </w:r>
      <w:r w:rsidRPr="00B755E2">
        <w:rPr>
          <w:rFonts w:ascii="Palatino Linotype" w:eastAsia="MS Gothic" w:hAnsi="Palatino Linotype"/>
        </w:rPr>
        <w:t xml:space="preserve"> a los fundamentos de derecho.</w:t>
      </w:r>
    </w:p>
    <w:p w14:paraId="2908EB2C" w14:textId="77777777" w:rsidR="00544B15" w:rsidRPr="00B755E2" w:rsidRDefault="00544B15" w:rsidP="00544B15">
      <w:pPr>
        <w:pStyle w:val="Prrafodelista"/>
        <w:tabs>
          <w:tab w:val="left" w:pos="142"/>
          <w:tab w:val="left" w:pos="284"/>
          <w:tab w:val="left" w:pos="426"/>
        </w:tabs>
        <w:spacing w:line="360" w:lineRule="auto"/>
        <w:ind w:left="0"/>
        <w:jc w:val="both"/>
        <w:rPr>
          <w:rFonts w:ascii="Palatino Linotype" w:hAnsi="Palatino Linotype" w:cs="Arial"/>
        </w:rPr>
      </w:pPr>
    </w:p>
    <w:p w14:paraId="5A98847B" w14:textId="77777777" w:rsidR="00544B15" w:rsidRPr="00B755E2" w:rsidRDefault="00544B15" w:rsidP="00544B15">
      <w:pPr>
        <w:numPr>
          <w:ilvl w:val="0"/>
          <w:numId w:val="1"/>
        </w:numPr>
        <w:spacing w:line="360" w:lineRule="auto"/>
        <w:ind w:left="0" w:firstLine="0"/>
        <w:contextualSpacing/>
        <w:jc w:val="both"/>
        <w:rPr>
          <w:rFonts w:ascii="Palatino Linotype" w:hAnsi="Palatino Linotype" w:cs="Arial"/>
        </w:rPr>
      </w:pPr>
      <w:r w:rsidRPr="00B755E2">
        <w:rPr>
          <w:rFonts w:ascii="Palatino Linotype" w:eastAsia="MS Gothic" w:hAnsi="Palatino Linotype"/>
        </w:rPr>
        <w:t xml:space="preserve"> En </w:t>
      </w:r>
      <w:r w:rsidRPr="00B755E2">
        <w:rPr>
          <w:rFonts w:ascii="Palatino Linotype" w:eastAsia="MS Gothic" w:hAnsi="Palatino Linotype"/>
          <w:szCs w:val="26"/>
        </w:rPr>
        <w:t>consecuencia</w:t>
      </w:r>
      <w:r w:rsidRPr="00B755E2">
        <w:rPr>
          <w:rFonts w:ascii="Palatino Linotype" w:eastAsia="MS Gothic" w:hAnsi="Palatino Linotype"/>
        </w:rPr>
        <w:t>,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21FD38A" w14:textId="77777777" w:rsidR="00544B15" w:rsidRPr="00B755E2" w:rsidRDefault="00544B15" w:rsidP="00544B15">
      <w:pPr>
        <w:pStyle w:val="Prrafodelista"/>
        <w:tabs>
          <w:tab w:val="left" w:pos="142"/>
          <w:tab w:val="left" w:pos="284"/>
          <w:tab w:val="left" w:pos="426"/>
        </w:tabs>
        <w:spacing w:line="360" w:lineRule="auto"/>
        <w:ind w:left="0"/>
        <w:jc w:val="both"/>
        <w:rPr>
          <w:rFonts w:ascii="Palatino Linotype" w:hAnsi="Palatino Linotype" w:cs="Arial"/>
        </w:rPr>
      </w:pPr>
    </w:p>
    <w:p w14:paraId="1B9CA110" w14:textId="77777777" w:rsidR="00544B15" w:rsidRPr="00B755E2" w:rsidRDefault="00544B15" w:rsidP="00544B15">
      <w:pPr>
        <w:numPr>
          <w:ilvl w:val="0"/>
          <w:numId w:val="1"/>
        </w:numPr>
        <w:spacing w:line="360" w:lineRule="auto"/>
        <w:ind w:left="0" w:firstLine="0"/>
        <w:contextualSpacing/>
        <w:jc w:val="both"/>
        <w:rPr>
          <w:rFonts w:ascii="Palatino Linotype" w:hAnsi="Palatino Linotype" w:cs="Arial"/>
        </w:rPr>
      </w:pPr>
      <w:r w:rsidRPr="00B755E2">
        <w:rPr>
          <w:rFonts w:ascii="Palatino Linotype" w:eastAsia="MS Gothic" w:hAnsi="Palatino Linotype"/>
        </w:rPr>
        <w:t xml:space="preserve"> En </w:t>
      </w:r>
      <w:r w:rsidRPr="00B755E2">
        <w:rPr>
          <w:rFonts w:ascii="Palatino Linotype" w:eastAsia="MS Gothic" w:hAnsi="Palatino Linotype"/>
          <w:szCs w:val="26"/>
        </w:rPr>
        <w:t>ese</w:t>
      </w:r>
      <w:r w:rsidRPr="00B755E2">
        <w:rPr>
          <w:rFonts w:ascii="Palatino Linotype" w:eastAsia="MS Gothic" w:hAnsi="Palatino Linotype"/>
        </w:rPr>
        <w:t xml:space="preserve"> mismo sentido, el numeral trigésimo tercero fracción V de los Lineamientos Generales, precisa que para motivar la clasificación se deben acreditar las circunstancias de tiempo, modo y lugar.</w:t>
      </w:r>
    </w:p>
    <w:p w14:paraId="1FE2DD96" w14:textId="77777777" w:rsidR="003A28A9" w:rsidRPr="00B755E2" w:rsidRDefault="003A28A9" w:rsidP="003A28A9">
      <w:pPr>
        <w:spacing w:line="360" w:lineRule="auto"/>
        <w:contextualSpacing/>
        <w:jc w:val="both"/>
        <w:rPr>
          <w:rFonts w:ascii="Palatino Linotype" w:eastAsia="MS Gothic" w:hAnsi="Palatino Linotype"/>
        </w:rPr>
      </w:pPr>
    </w:p>
    <w:p w14:paraId="3EF2DC6C" w14:textId="77777777" w:rsidR="003A28A9" w:rsidRPr="00B755E2" w:rsidRDefault="003A28A9" w:rsidP="003A28A9">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sidRPr="00B755E2">
        <w:rPr>
          <w:rFonts w:ascii="Palatino Linotype" w:hAnsi="Palatino Linotype" w:cs="Arial"/>
          <w:b/>
          <w:bCs/>
          <w:lang w:eastAsia="es-MX"/>
        </w:rPr>
        <w:t>SEXTO. De la vista a la Dirección General de Protección de Datos Personales.</w:t>
      </w:r>
    </w:p>
    <w:p w14:paraId="27357532" w14:textId="77777777" w:rsidR="003A28A9" w:rsidRPr="00B755E2" w:rsidRDefault="003A28A9" w:rsidP="003A28A9">
      <w:pPr>
        <w:pStyle w:val="Prrafodelista"/>
        <w:tabs>
          <w:tab w:val="left" w:pos="426"/>
        </w:tabs>
        <w:spacing w:before="240" w:after="240" w:line="360" w:lineRule="auto"/>
        <w:ind w:left="0" w:right="51"/>
        <w:jc w:val="both"/>
        <w:rPr>
          <w:rFonts w:ascii="Palatino Linotype" w:hAnsi="Palatino Linotype"/>
          <w:color w:val="000000" w:themeColor="text1"/>
        </w:rPr>
      </w:pPr>
    </w:p>
    <w:p w14:paraId="5C68FD10" w14:textId="77777777" w:rsidR="003A28A9" w:rsidRPr="00B755E2" w:rsidRDefault="003A28A9" w:rsidP="003A28A9">
      <w:pPr>
        <w:pStyle w:val="Prrafodelista"/>
        <w:numPr>
          <w:ilvl w:val="0"/>
          <w:numId w:val="1"/>
        </w:numPr>
        <w:tabs>
          <w:tab w:val="left" w:pos="426"/>
        </w:tabs>
        <w:spacing w:before="240" w:after="240" w:line="360" w:lineRule="auto"/>
        <w:ind w:left="0" w:right="51" w:firstLine="0"/>
        <w:jc w:val="both"/>
        <w:rPr>
          <w:rFonts w:ascii="Palatino Linotype" w:hAnsi="Palatino Linotype" w:cs="Arial"/>
          <w:lang w:eastAsia="es-MX"/>
        </w:rPr>
      </w:pPr>
      <w:r w:rsidRPr="00B755E2">
        <w:rPr>
          <w:rFonts w:ascii="Palatino Linotype" w:hAnsi="Palatino Linotype" w:cs="Arial"/>
          <w:lang w:eastAsia="es-MX"/>
        </w:rPr>
        <w:t>La Ley de Transparencia y Acceso a la Información Pública del Estado de México y Municipios en los artículos 222, fracción V, establece lo siguiente:</w:t>
      </w:r>
    </w:p>
    <w:p w14:paraId="07F023C8" w14:textId="77777777" w:rsidR="003A28A9" w:rsidRPr="00B755E2" w:rsidRDefault="003A28A9" w:rsidP="00D042C8">
      <w:pPr>
        <w:pStyle w:val="Prrafodelista"/>
        <w:tabs>
          <w:tab w:val="left" w:pos="426"/>
        </w:tabs>
        <w:spacing w:before="240" w:after="240" w:line="360" w:lineRule="auto"/>
        <w:ind w:left="851" w:right="616"/>
        <w:jc w:val="both"/>
        <w:rPr>
          <w:rFonts w:ascii="Palatino Linotype" w:hAnsi="Palatino Linotype" w:cs="Arial"/>
          <w:lang w:eastAsia="es-MX"/>
        </w:rPr>
      </w:pPr>
    </w:p>
    <w:p w14:paraId="4E54F05C" w14:textId="77777777" w:rsidR="003A28A9" w:rsidRPr="00B755E2" w:rsidRDefault="003A28A9" w:rsidP="00D042C8">
      <w:pPr>
        <w:spacing w:before="240" w:after="240" w:line="360" w:lineRule="auto"/>
        <w:ind w:left="851" w:right="616"/>
        <w:contextualSpacing/>
        <w:jc w:val="both"/>
        <w:rPr>
          <w:rFonts w:ascii="Palatino Linotype" w:hAnsi="Palatino Linotype" w:cs="Arial"/>
          <w:i/>
          <w:sz w:val="22"/>
        </w:rPr>
      </w:pPr>
      <w:r w:rsidRPr="00B755E2">
        <w:rPr>
          <w:rFonts w:ascii="Palatino Linotype" w:hAnsi="Palatino Linotype" w:cs="Arial"/>
          <w:i/>
          <w:sz w:val="22"/>
        </w:rPr>
        <w:t>“</w:t>
      </w:r>
      <w:r w:rsidRPr="00B755E2">
        <w:rPr>
          <w:rFonts w:ascii="Palatino Linotype" w:hAnsi="Palatino Linotype" w:cs="Arial"/>
          <w:b/>
          <w:bCs/>
          <w:i/>
          <w:sz w:val="22"/>
        </w:rPr>
        <w:t xml:space="preserve">Artículo 143. </w:t>
      </w:r>
      <w:r w:rsidRPr="00B755E2">
        <w:rPr>
          <w:rFonts w:ascii="Palatino Linotype" w:hAnsi="Palatino Linotype" w:cs="Arial"/>
          <w:i/>
          <w:sz w:val="22"/>
        </w:rPr>
        <w:t xml:space="preserve">Para los efectos de esta Ley se considera información </w:t>
      </w:r>
      <w:r w:rsidRPr="00B755E2">
        <w:rPr>
          <w:rFonts w:ascii="Palatino Linotype" w:hAnsi="Palatino Linotype" w:cs="Arial"/>
          <w:b/>
          <w:bCs/>
          <w:i/>
          <w:sz w:val="22"/>
        </w:rPr>
        <w:t>confidencial</w:t>
      </w:r>
      <w:r w:rsidRPr="00B755E2">
        <w:rPr>
          <w:rFonts w:ascii="Palatino Linotype" w:hAnsi="Palatino Linotype" w:cs="Arial"/>
          <w:i/>
          <w:sz w:val="22"/>
        </w:rPr>
        <w:t xml:space="preserve">, la clasificada como tal, de manera permanente, por su naturaleza, cuando: </w:t>
      </w:r>
    </w:p>
    <w:p w14:paraId="290ECC94" w14:textId="77777777" w:rsidR="003A28A9" w:rsidRPr="00B755E2" w:rsidRDefault="003A28A9" w:rsidP="00D042C8">
      <w:pPr>
        <w:spacing w:before="240" w:after="240" w:line="360" w:lineRule="auto"/>
        <w:ind w:left="851" w:right="616"/>
        <w:contextualSpacing/>
        <w:jc w:val="both"/>
        <w:rPr>
          <w:rFonts w:ascii="Palatino Linotype" w:hAnsi="Palatino Linotype" w:cs="Arial"/>
          <w:i/>
          <w:sz w:val="22"/>
        </w:rPr>
      </w:pPr>
      <w:r w:rsidRPr="00B755E2">
        <w:rPr>
          <w:rFonts w:ascii="Palatino Linotype" w:hAnsi="Palatino Linotype" w:cs="Arial"/>
          <w:b/>
          <w:bCs/>
          <w:i/>
          <w:sz w:val="22"/>
        </w:rPr>
        <w:lastRenderedPageBreak/>
        <w:t>I.</w:t>
      </w:r>
      <w:r w:rsidRPr="00B755E2">
        <w:rPr>
          <w:rFonts w:ascii="Palatino Linotype" w:hAnsi="Palatino Linotype" w:cs="Arial"/>
          <w:i/>
          <w:sz w:val="22"/>
        </w:rPr>
        <w:t xml:space="preserve"> </w:t>
      </w:r>
      <w:r w:rsidRPr="00B755E2">
        <w:rPr>
          <w:rFonts w:ascii="Palatino Linotype" w:hAnsi="Palatino Linotype" w:cs="Arial"/>
          <w:b/>
          <w:bCs/>
          <w:i/>
          <w:sz w:val="22"/>
        </w:rPr>
        <w:t>Se refiera a la información privada y los datos personales concernientes a una persona física o jurídico colectiva identificada o identificable</w:t>
      </w:r>
      <w:r w:rsidRPr="00B755E2">
        <w:rPr>
          <w:rFonts w:ascii="Palatino Linotype" w:hAnsi="Palatino Linotype" w:cs="Arial"/>
          <w:i/>
          <w:sz w:val="22"/>
        </w:rPr>
        <w:t>;</w:t>
      </w:r>
    </w:p>
    <w:p w14:paraId="71463B9F" w14:textId="77777777" w:rsidR="003A28A9" w:rsidRPr="00B755E2" w:rsidRDefault="003A28A9" w:rsidP="00D042C8">
      <w:pPr>
        <w:spacing w:before="240" w:after="240" w:line="360" w:lineRule="auto"/>
        <w:ind w:left="851" w:right="616"/>
        <w:contextualSpacing/>
        <w:jc w:val="both"/>
        <w:rPr>
          <w:rFonts w:ascii="Palatino Linotype" w:hAnsi="Palatino Linotype" w:cs="Arial"/>
          <w:i/>
          <w:sz w:val="22"/>
        </w:rPr>
      </w:pPr>
      <w:r w:rsidRPr="00B755E2">
        <w:rPr>
          <w:rFonts w:ascii="Palatino Linotype" w:hAnsi="Palatino Linotype" w:cs="Arial"/>
          <w:i/>
          <w:sz w:val="22"/>
        </w:rPr>
        <w:t xml:space="preserve">…” </w:t>
      </w:r>
    </w:p>
    <w:p w14:paraId="4BDB5498" w14:textId="77777777" w:rsidR="003A28A9" w:rsidRPr="00B755E2" w:rsidRDefault="003A28A9" w:rsidP="00D042C8">
      <w:pPr>
        <w:spacing w:before="240" w:after="240" w:line="360" w:lineRule="auto"/>
        <w:ind w:left="851" w:right="616"/>
        <w:contextualSpacing/>
        <w:jc w:val="both"/>
        <w:rPr>
          <w:rFonts w:ascii="Palatino Linotype" w:hAnsi="Palatino Linotype" w:cs="Arial"/>
          <w:i/>
          <w:sz w:val="22"/>
        </w:rPr>
      </w:pPr>
    </w:p>
    <w:p w14:paraId="6013A07D" w14:textId="77777777" w:rsidR="003A28A9" w:rsidRPr="00B755E2" w:rsidRDefault="003A28A9" w:rsidP="00D042C8">
      <w:pPr>
        <w:spacing w:before="240" w:after="240" w:line="360" w:lineRule="auto"/>
        <w:ind w:left="851" w:right="616"/>
        <w:contextualSpacing/>
        <w:jc w:val="both"/>
        <w:rPr>
          <w:rFonts w:ascii="Palatino Linotype" w:hAnsi="Palatino Linotype" w:cs="Arial"/>
          <w:i/>
          <w:iCs/>
          <w:sz w:val="22"/>
        </w:rPr>
      </w:pPr>
      <w:r w:rsidRPr="00B755E2">
        <w:rPr>
          <w:rFonts w:ascii="Palatino Linotype" w:hAnsi="Palatino Linotype" w:cs="Arial"/>
          <w:i/>
          <w:sz w:val="22"/>
        </w:rPr>
        <w:t>“</w:t>
      </w:r>
      <w:r w:rsidRPr="00B755E2">
        <w:rPr>
          <w:rFonts w:ascii="Palatino Linotype" w:hAnsi="Palatino Linotype" w:cs="Arial"/>
          <w:b/>
          <w:i/>
          <w:iCs/>
          <w:sz w:val="22"/>
        </w:rPr>
        <w:t>Artículo 222.</w:t>
      </w:r>
      <w:r w:rsidRPr="00B755E2">
        <w:rPr>
          <w:rFonts w:ascii="Palatino Linotype" w:hAnsi="Palatino Linotype" w:cs="Arial"/>
          <w:i/>
          <w:iCs/>
          <w:sz w:val="22"/>
        </w:rPr>
        <w:t xml:space="preserve"> Son causas de responsabilidad administrativa de los servidores públicos de los sujetos obligados, por incumplimiento de las obligaciones establecidas en la materia de la presente Ley, las siguientes:</w:t>
      </w:r>
    </w:p>
    <w:p w14:paraId="715C4091" w14:textId="77777777" w:rsidR="003A28A9" w:rsidRPr="00B755E2" w:rsidRDefault="003A28A9" w:rsidP="00D042C8">
      <w:pPr>
        <w:spacing w:before="240" w:after="240" w:line="360" w:lineRule="auto"/>
        <w:ind w:left="851" w:right="616"/>
        <w:contextualSpacing/>
        <w:jc w:val="both"/>
        <w:rPr>
          <w:rFonts w:ascii="Palatino Linotype" w:hAnsi="Palatino Linotype" w:cs="Arial"/>
          <w:bCs/>
          <w:i/>
          <w:iCs/>
          <w:sz w:val="22"/>
        </w:rPr>
      </w:pPr>
      <w:r w:rsidRPr="00B755E2">
        <w:rPr>
          <w:rFonts w:ascii="Palatino Linotype" w:hAnsi="Palatino Linotype" w:cs="Arial"/>
          <w:bCs/>
          <w:i/>
          <w:iCs/>
          <w:sz w:val="22"/>
        </w:rPr>
        <w:t>(...)</w:t>
      </w:r>
    </w:p>
    <w:p w14:paraId="7ACDD6D2" w14:textId="77777777" w:rsidR="003A28A9" w:rsidRPr="00B755E2" w:rsidRDefault="003A28A9" w:rsidP="00D042C8">
      <w:pPr>
        <w:spacing w:before="240" w:after="240" w:line="360" w:lineRule="auto"/>
        <w:ind w:left="851" w:right="616"/>
        <w:contextualSpacing/>
        <w:jc w:val="both"/>
        <w:rPr>
          <w:rFonts w:ascii="Palatino Linotype" w:hAnsi="Palatino Linotype" w:cs="Arial"/>
          <w:bCs/>
          <w:i/>
          <w:iCs/>
          <w:sz w:val="22"/>
        </w:rPr>
      </w:pPr>
      <w:r w:rsidRPr="00B755E2">
        <w:rPr>
          <w:rFonts w:ascii="Palatino Linotype" w:hAnsi="Palatino Linotype" w:cs="Arial"/>
          <w:b/>
          <w:i/>
          <w:iCs/>
          <w:sz w:val="22"/>
        </w:rPr>
        <w:t xml:space="preserve">V. Entregar información clasificada como confidencial </w:t>
      </w:r>
      <w:r w:rsidRPr="00B755E2">
        <w:rPr>
          <w:rFonts w:ascii="Palatino Linotype" w:hAnsi="Palatino Linotype" w:cs="Arial"/>
          <w:bCs/>
          <w:i/>
          <w:iCs/>
          <w:sz w:val="22"/>
        </w:rPr>
        <w:t xml:space="preserve">fuera de los casos previstos por esta Ley; </w:t>
      </w:r>
    </w:p>
    <w:p w14:paraId="0D0592E8" w14:textId="77777777" w:rsidR="003A28A9" w:rsidRPr="00B755E2" w:rsidRDefault="003A28A9" w:rsidP="00D042C8">
      <w:pPr>
        <w:spacing w:before="240" w:after="240" w:line="360" w:lineRule="auto"/>
        <w:ind w:left="851" w:right="616"/>
        <w:contextualSpacing/>
        <w:jc w:val="both"/>
        <w:rPr>
          <w:rFonts w:ascii="Palatino Linotype" w:hAnsi="Palatino Linotype" w:cs="Arial"/>
          <w:i/>
          <w:iCs/>
          <w:sz w:val="22"/>
        </w:rPr>
      </w:pPr>
      <w:r w:rsidRPr="00B755E2">
        <w:rPr>
          <w:rFonts w:ascii="Palatino Linotype" w:hAnsi="Palatino Linotype" w:cs="Arial"/>
          <w:i/>
          <w:iCs/>
          <w:sz w:val="22"/>
        </w:rPr>
        <w:t>(…)”</w:t>
      </w:r>
    </w:p>
    <w:p w14:paraId="7D847E3D" w14:textId="77777777" w:rsidR="003A28A9" w:rsidRPr="00B755E2" w:rsidRDefault="003A28A9" w:rsidP="00D042C8">
      <w:pPr>
        <w:spacing w:before="240" w:after="240" w:line="360" w:lineRule="auto"/>
        <w:ind w:left="851" w:right="616"/>
        <w:contextualSpacing/>
        <w:jc w:val="both"/>
        <w:rPr>
          <w:rFonts w:ascii="Palatino Linotype" w:hAnsi="Palatino Linotype" w:cs="Arial"/>
          <w:sz w:val="22"/>
        </w:rPr>
      </w:pPr>
      <w:r w:rsidRPr="00B755E2">
        <w:rPr>
          <w:rFonts w:ascii="Palatino Linotype" w:hAnsi="Palatino Linotype" w:cs="Arial"/>
          <w:sz w:val="22"/>
        </w:rPr>
        <w:t>(Énfasis añadido)</w:t>
      </w:r>
    </w:p>
    <w:p w14:paraId="2916C19D" w14:textId="77777777" w:rsidR="003A28A9" w:rsidRPr="00B755E2" w:rsidRDefault="003A28A9" w:rsidP="003A28A9">
      <w:pPr>
        <w:pStyle w:val="Prrafodelista"/>
        <w:tabs>
          <w:tab w:val="left" w:pos="426"/>
        </w:tabs>
        <w:spacing w:before="240" w:after="240" w:line="360" w:lineRule="auto"/>
        <w:ind w:left="0" w:right="51"/>
        <w:jc w:val="both"/>
        <w:rPr>
          <w:rFonts w:ascii="Palatino Linotype" w:hAnsi="Palatino Linotype" w:cs="Arial"/>
          <w:lang w:eastAsia="es-MX"/>
        </w:rPr>
      </w:pPr>
    </w:p>
    <w:p w14:paraId="5D5C0FFA" w14:textId="77777777" w:rsidR="003A28A9" w:rsidRPr="00B755E2" w:rsidRDefault="003A28A9" w:rsidP="003A28A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B755E2">
        <w:rPr>
          <w:rFonts w:ascii="Palatino Linotype" w:hAnsi="Palatino Linotype"/>
          <w:color w:val="000000" w:themeColor="text1"/>
        </w:rPr>
        <w:t xml:space="preserve">De </w:t>
      </w:r>
      <w:r w:rsidRPr="00B755E2">
        <w:rPr>
          <w:rFonts w:ascii="Palatino Linotype" w:hAnsi="Palatino Linotype" w:cs="Arial"/>
        </w:rPr>
        <w:t>lo anterior se coligue que una causa de responsabilidad administrativa en la que pueden incurrir los servidores públicos de los Sujetos Obligados es el entregar información que, por su naturaleza, pueda ser clasificada como confidencial.</w:t>
      </w:r>
    </w:p>
    <w:p w14:paraId="74869460" w14:textId="77777777" w:rsidR="003A28A9" w:rsidRPr="00B755E2" w:rsidRDefault="003A28A9" w:rsidP="003A28A9">
      <w:pPr>
        <w:pStyle w:val="Prrafodelista"/>
        <w:tabs>
          <w:tab w:val="left" w:pos="426"/>
        </w:tabs>
        <w:spacing w:before="240" w:after="240" w:line="360" w:lineRule="auto"/>
        <w:ind w:left="0" w:right="51"/>
        <w:jc w:val="both"/>
        <w:rPr>
          <w:rFonts w:ascii="Palatino Linotype" w:hAnsi="Palatino Linotype"/>
          <w:color w:val="000000" w:themeColor="text1"/>
        </w:rPr>
      </w:pPr>
    </w:p>
    <w:p w14:paraId="14CF1933" w14:textId="77777777" w:rsidR="003A28A9" w:rsidRPr="00B755E2" w:rsidRDefault="003A28A9" w:rsidP="003A28A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B755E2">
        <w:rPr>
          <w:rFonts w:ascii="Palatino Linotype" w:hAnsi="Palatino Linotype" w:cs="Arial"/>
          <w:lang w:eastAsia="es-MX"/>
        </w:rPr>
        <w:t xml:space="preserve">En </w:t>
      </w:r>
      <w:r w:rsidRPr="00B755E2">
        <w:rPr>
          <w:rFonts w:ascii="Palatino Linotype" w:hAnsi="Palatino Linotype" w:cs="Arial"/>
        </w:rPr>
        <w:t xml:space="preserve">el presente asunto en particular, de las constancias que obran dentro del expediente digital formado en el SAIMEX, en el apartado de respuesta, se advierte que el </w:t>
      </w:r>
      <w:r w:rsidRPr="00B755E2">
        <w:rPr>
          <w:rFonts w:ascii="Palatino Linotype" w:hAnsi="Palatino Linotype" w:cs="Arial"/>
          <w:b/>
          <w:bCs/>
        </w:rPr>
        <w:t>SUJETO OBLIGADO</w:t>
      </w:r>
      <w:r w:rsidRPr="00B755E2">
        <w:rPr>
          <w:rFonts w:ascii="Palatino Linotype" w:hAnsi="Palatino Linotype" w:cs="Arial"/>
        </w:rPr>
        <w:t xml:space="preserve"> hizo entrega del archivo denominado </w:t>
      </w:r>
      <w:hyperlink r:id="rId12" w:tgtFrame="_blank" w:history="1">
        <w:r w:rsidRPr="00B755E2">
          <w:rPr>
            <w:rStyle w:val="Hipervnculo"/>
            <w:rFonts w:ascii="Palatino Linotype" w:hAnsi="Palatino Linotype" w:cs="Arial"/>
            <w:b/>
            <w:bCs/>
            <w:color w:val="auto"/>
          </w:rPr>
          <w:t>SAIMEX 61 - 3. Respuesta para el solicitante.pdf</w:t>
        </w:r>
      </w:hyperlink>
      <w:r w:rsidR="00D042C8" w:rsidRPr="00B755E2">
        <w:rPr>
          <w:rFonts w:ascii="Palatino Linotype" w:hAnsi="Palatino Linotype" w:cs="Arial"/>
        </w:rPr>
        <w:t>, del que se advierte en la página once, el nombre de un particular</w:t>
      </w:r>
      <w:r w:rsidRPr="00B755E2">
        <w:rPr>
          <w:rFonts w:ascii="Palatino Linotype" w:hAnsi="Palatino Linotype" w:cs="Arial"/>
        </w:rPr>
        <w:t>.</w:t>
      </w:r>
    </w:p>
    <w:p w14:paraId="187F57B8" w14:textId="77777777" w:rsidR="003A28A9" w:rsidRPr="00B755E2" w:rsidRDefault="003A28A9" w:rsidP="003A28A9">
      <w:pPr>
        <w:pStyle w:val="Prrafodelista"/>
        <w:tabs>
          <w:tab w:val="left" w:pos="426"/>
        </w:tabs>
        <w:spacing w:before="240" w:after="240" w:line="360" w:lineRule="auto"/>
        <w:ind w:left="0" w:right="51"/>
        <w:jc w:val="both"/>
        <w:rPr>
          <w:rFonts w:ascii="Palatino Linotype" w:hAnsi="Palatino Linotype"/>
          <w:color w:val="000000" w:themeColor="text1"/>
        </w:rPr>
      </w:pPr>
    </w:p>
    <w:p w14:paraId="71B928AC" w14:textId="77777777" w:rsidR="003A28A9" w:rsidRPr="00B755E2" w:rsidRDefault="003A28A9" w:rsidP="003A28A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B755E2">
        <w:rPr>
          <w:rFonts w:ascii="Palatino Linotype" w:hAnsi="Palatino Linotype" w:cs="Arial"/>
          <w:lang w:eastAsia="es-MX"/>
        </w:rPr>
        <w:t xml:space="preserve">Por </w:t>
      </w:r>
      <w:r w:rsidRPr="00B755E2">
        <w:rPr>
          <w:rFonts w:ascii="Palatino Linotype" w:hAnsi="Palatino Linotype"/>
        </w:rPr>
        <w:t xml:space="preserve">lo tanto, la publicidad del nombre de un particular completamente ajeno al procedimiento que hoy se resuelve actualiza una causa de responsabilidad, por lo </w:t>
      </w:r>
      <w:r w:rsidRPr="00B755E2">
        <w:rPr>
          <w:rFonts w:ascii="Palatino Linotype" w:hAnsi="Palatino Linotype"/>
        </w:rPr>
        <w:lastRenderedPageBreak/>
        <w:t>que, de acuerdo a los artículos 190 y 36, fracción X, de la Ley de Trasparencia y Acceso a la Información Pública del Estado de México y Municipios, la Secretaría Técnica del Pleno hará del conocimiento del Titular de la Dirección de Datos Personales para que, en el ejercicio de sus atribuciones, determine lo conducente.</w:t>
      </w:r>
    </w:p>
    <w:p w14:paraId="54738AF4" w14:textId="77777777" w:rsidR="003A28A9" w:rsidRPr="00B755E2" w:rsidRDefault="003A28A9" w:rsidP="003A28A9">
      <w:pPr>
        <w:pStyle w:val="Prrafodelista"/>
        <w:tabs>
          <w:tab w:val="left" w:pos="426"/>
        </w:tabs>
        <w:spacing w:before="240" w:after="240" w:line="360" w:lineRule="auto"/>
        <w:ind w:left="0" w:right="51"/>
        <w:jc w:val="both"/>
        <w:rPr>
          <w:rFonts w:ascii="Palatino Linotype" w:hAnsi="Palatino Linotype"/>
          <w:color w:val="000000" w:themeColor="text1"/>
        </w:rPr>
      </w:pPr>
    </w:p>
    <w:p w14:paraId="1386BBA4" w14:textId="16CA7FE0" w:rsidR="003A28A9" w:rsidRPr="00B755E2" w:rsidRDefault="003A28A9" w:rsidP="003A28A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B755E2">
        <w:rPr>
          <w:rFonts w:ascii="Palatino Linotype" w:hAnsi="Palatino Linotype" w:cs="Arial"/>
          <w:lang w:eastAsia="es-MX"/>
        </w:rPr>
        <w:t xml:space="preserve">Lo anterior con base en lo dispuesto por el artículo 82, fracción XXVII de la Ley de Protección de Datos Personales en Posesión de Sujetos Obligados del Estado de México y Municipios, así como 14, fracción XXVII, y 24, fracciones V y XI, del  Reglamento Interior del Instituto de Transparencia, Acceso a la Información Pública y Protección de Datos Personales del Estado de México y Municipios,  </w:t>
      </w:r>
      <w:r w:rsidR="007C565A" w:rsidRPr="00B755E2">
        <w:rPr>
          <w:rFonts w:ascii="Palatino Linotype" w:hAnsi="Palatino Linotype" w:cs="Arial"/>
          <w:lang w:eastAsia="es-MX"/>
        </w:rPr>
        <w:t>que</w:t>
      </w:r>
      <w:r w:rsidRPr="00B755E2">
        <w:rPr>
          <w:rFonts w:ascii="Palatino Linotype" w:hAnsi="Palatino Linotype" w:cs="Arial"/>
          <w:lang w:eastAsia="es-MX"/>
        </w:rPr>
        <w:t xml:space="preserve"> establecen lo siguiente:</w:t>
      </w:r>
    </w:p>
    <w:p w14:paraId="46ABBD8F" w14:textId="77777777" w:rsidR="003A28A9" w:rsidRPr="00B755E2" w:rsidRDefault="003A28A9" w:rsidP="003A28A9">
      <w:pPr>
        <w:pStyle w:val="Prrafodelista"/>
        <w:tabs>
          <w:tab w:val="left" w:pos="426"/>
        </w:tabs>
        <w:spacing w:before="240" w:after="240" w:line="360" w:lineRule="auto"/>
        <w:ind w:left="0" w:right="51"/>
        <w:jc w:val="both"/>
        <w:rPr>
          <w:rFonts w:ascii="Palatino Linotype" w:hAnsi="Palatino Linotype"/>
          <w:color w:val="000000" w:themeColor="text1"/>
        </w:rPr>
      </w:pPr>
    </w:p>
    <w:p w14:paraId="437CCE09" w14:textId="77777777" w:rsidR="003A28A9" w:rsidRPr="00B755E2" w:rsidRDefault="003A28A9" w:rsidP="00D042C8">
      <w:pPr>
        <w:pStyle w:val="Prrafodelista"/>
        <w:tabs>
          <w:tab w:val="left" w:pos="426"/>
        </w:tabs>
        <w:spacing w:before="240" w:after="240" w:line="360" w:lineRule="auto"/>
        <w:ind w:left="567" w:right="567"/>
        <w:jc w:val="center"/>
        <w:rPr>
          <w:rFonts w:ascii="Palatino Linotype" w:hAnsi="Palatino Linotype"/>
          <w:b/>
          <w:i/>
          <w:color w:val="000000" w:themeColor="text1"/>
          <w:sz w:val="22"/>
        </w:rPr>
      </w:pPr>
      <w:r w:rsidRPr="00B755E2">
        <w:rPr>
          <w:rFonts w:ascii="Palatino Linotype" w:hAnsi="Palatino Linotype"/>
          <w:b/>
          <w:i/>
          <w:color w:val="000000" w:themeColor="text1"/>
          <w:sz w:val="22"/>
        </w:rPr>
        <w:t>LEY DE PROTECCIÓN DE DATOS PERSONALES EN POSESIÓN DE SUJETOS OBLIGADOS DEL ESTADO DE MÉXICO Y MUNICIPIOS</w:t>
      </w:r>
    </w:p>
    <w:p w14:paraId="06BBA33E" w14:textId="77777777" w:rsidR="003A28A9" w:rsidRPr="00B755E2" w:rsidRDefault="003A28A9" w:rsidP="00D042C8">
      <w:pPr>
        <w:pStyle w:val="Prrafodelista"/>
        <w:tabs>
          <w:tab w:val="left" w:pos="426"/>
        </w:tabs>
        <w:spacing w:before="240" w:after="240" w:line="360" w:lineRule="auto"/>
        <w:ind w:left="567" w:right="567"/>
        <w:jc w:val="both"/>
        <w:rPr>
          <w:rFonts w:ascii="Palatino Linotype" w:hAnsi="Palatino Linotype"/>
          <w:i/>
          <w:color w:val="000000" w:themeColor="text1"/>
          <w:sz w:val="22"/>
        </w:rPr>
      </w:pPr>
    </w:p>
    <w:p w14:paraId="3598C899" w14:textId="77777777" w:rsidR="003A28A9" w:rsidRPr="00B755E2" w:rsidRDefault="003A28A9" w:rsidP="00D042C8">
      <w:pPr>
        <w:pStyle w:val="Prrafodelista"/>
        <w:tabs>
          <w:tab w:val="left" w:pos="426"/>
        </w:tabs>
        <w:spacing w:before="240" w:after="240" w:line="360" w:lineRule="auto"/>
        <w:ind w:left="567" w:right="567"/>
        <w:jc w:val="both"/>
        <w:rPr>
          <w:rFonts w:ascii="Palatino Linotype" w:hAnsi="Palatino Linotype"/>
          <w:b/>
          <w:i/>
          <w:color w:val="000000" w:themeColor="text1"/>
          <w:sz w:val="22"/>
        </w:rPr>
      </w:pPr>
      <w:r w:rsidRPr="00B755E2">
        <w:rPr>
          <w:rFonts w:ascii="Palatino Linotype" w:hAnsi="Palatino Linotype"/>
          <w:i/>
          <w:color w:val="000000" w:themeColor="text1"/>
          <w:sz w:val="22"/>
        </w:rPr>
        <w:t>“</w:t>
      </w:r>
      <w:r w:rsidRPr="00B755E2">
        <w:rPr>
          <w:rFonts w:ascii="Palatino Linotype" w:hAnsi="Palatino Linotype"/>
          <w:b/>
          <w:i/>
          <w:color w:val="000000" w:themeColor="text1"/>
          <w:sz w:val="22"/>
        </w:rPr>
        <w:t xml:space="preserve">Atribuciones del Instituto </w:t>
      </w:r>
    </w:p>
    <w:p w14:paraId="55ABE26A" w14:textId="77777777" w:rsidR="003A28A9" w:rsidRPr="00B755E2" w:rsidRDefault="003A28A9" w:rsidP="00D042C8">
      <w:pPr>
        <w:pStyle w:val="Prrafodelista"/>
        <w:tabs>
          <w:tab w:val="left" w:pos="426"/>
        </w:tabs>
        <w:spacing w:before="240" w:after="240" w:line="360" w:lineRule="auto"/>
        <w:ind w:left="567" w:right="567"/>
        <w:jc w:val="both"/>
        <w:rPr>
          <w:rFonts w:ascii="Palatino Linotype" w:hAnsi="Palatino Linotype"/>
          <w:i/>
          <w:color w:val="000000" w:themeColor="text1"/>
          <w:sz w:val="22"/>
        </w:rPr>
      </w:pPr>
      <w:r w:rsidRPr="00B755E2">
        <w:rPr>
          <w:rFonts w:ascii="Palatino Linotype" w:hAnsi="Palatino Linotype"/>
          <w:b/>
          <w:i/>
          <w:color w:val="000000" w:themeColor="text1"/>
          <w:sz w:val="22"/>
        </w:rPr>
        <w:t>Artículo 82.</w:t>
      </w:r>
      <w:r w:rsidRPr="00B755E2">
        <w:rPr>
          <w:rFonts w:ascii="Palatino Linotype" w:hAnsi="Palatino Linotype"/>
          <w:i/>
          <w:color w:val="000000" w:themeColor="text1"/>
          <w:sz w:val="22"/>
        </w:rPr>
        <w:t xml:space="preserve"> El Instituto, además de las atribuciones encomendadas por la Ley de Transparencia y normatividad aplicable, tendrá las atribuciones siguientes:</w:t>
      </w:r>
    </w:p>
    <w:p w14:paraId="27631554" w14:textId="77777777" w:rsidR="003A28A9" w:rsidRPr="00B755E2" w:rsidRDefault="003A28A9" w:rsidP="00D042C8">
      <w:pPr>
        <w:pStyle w:val="Prrafodelista"/>
        <w:tabs>
          <w:tab w:val="left" w:pos="426"/>
        </w:tabs>
        <w:spacing w:before="240" w:after="240" w:line="360" w:lineRule="auto"/>
        <w:ind w:left="567" w:right="567"/>
        <w:jc w:val="both"/>
        <w:rPr>
          <w:rFonts w:ascii="Palatino Linotype" w:hAnsi="Palatino Linotype"/>
          <w:i/>
          <w:color w:val="000000" w:themeColor="text1"/>
          <w:sz w:val="22"/>
        </w:rPr>
      </w:pPr>
      <w:r w:rsidRPr="00B755E2">
        <w:rPr>
          <w:rFonts w:ascii="Palatino Linotype" w:hAnsi="Palatino Linotype"/>
          <w:i/>
          <w:color w:val="000000" w:themeColor="text1"/>
          <w:sz w:val="22"/>
        </w:rPr>
        <w:t>(…)</w:t>
      </w:r>
    </w:p>
    <w:p w14:paraId="33687C88" w14:textId="77777777" w:rsidR="003A28A9" w:rsidRPr="00B755E2" w:rsidRDefault="003A28A9" w:rsidP="00D042C8">
      <w:pPr>
        <w:pStyle w:val="Prrafodelista"/>
        <w:tabs>
          <w:tab w:val="left" w:pos="426"/>
        </w:tabs>
        <w:spacing w:before="240" w:after="240" w:line="360" w:lineRule="auto"/>
        <w:ind w:left="567" w:right="567"/>
        <w:jc w:val="both"/>
        <w:rPr>
          <w:rFonts w:ascii="Palatino Linotype" w:hAnsi="Palatino Linotype"/>
          <w:i/>
          <w:color w:val="000000" w:themeColor="text1"/>
          <w:sz w:val="22"/>
        </w:rPr>
      </w:pPr>
      <w:r w:rsidRPr="00B755E2">
        <w:rPr>
          <w:rFonts w:ascii="Palatino Linotype" w:hAnsi="Palatino Linotype"/>
          <w:b/>
          <w:i/>
          <w:color w:val="000000" w:themeColor="text1"/>
          <w:sz w:val="22"/>
        </w:rPr>
        <w:t>XXVII.</w:t>
      </w:r>
      <w:r w:rsidRPr="00B755E2">
        <w:rPr>
          <w:rFonts w:ascii="Palatino Linotype" w:hAnsi="Palatino Linotype"/>
          <w:i/>
          <w:color w:val="000000" w:themeColor="text1"/>
          <w:sz w:val="22"/>
        </w:rPr>
        <w:t xml:space="preserve"> Hacer del conocimiento de las autoridades competentes, la probable responsabilidad derivada del incumplimiento de las obligaciones previstas en la presente Ley y en las demás disposiciones que resulten aplicables.</w:t>
      </w:r>
    </w:p>
    <w:p w14:paraId="36D6AAC5" w14:textId="77777777" w:rsidR="003A28A9" w:rsidRPr="00B755E2" w:rsidRDefault="003A28A9" w:rsidP="00D042C8">
      <w:pPr>
        <w:pStyle w:val="Prrafodelista"/>
        <w:tabs>
          <w:tab w:val="left" w:pos="426"/>
        </w:tabs>
        <w:spacing w:before="240" w:after="240" w:line="360" w:lineRule="auto"/>
        <w:ind w:left="567" w:right="567"/>
        <w:jc w:val="both"/>
        <w:rPr>
          <w:rFonts w:ascii="Palatino Linotype" w:hAnsi="Palatino Linotype"/>
          <w:i/>
          <w:color w:val="000000" w:themeColor="text1"/>
          <w:sz w:val="22"/>
        </w:rPr>
      </w:pPr>
      <w:r w:rsidRPr="00B755E2">
        <w:rPr>
          <w:rFonts w:ascii="Palatino Linotype" w:hAnsi="Palatino Linotype"/>
          <w:i/>
          <w:color w:val="000000" w:themeColor="text1"/>
          <w:sz w:val="22"/>
        </w:rPr>
        <w:t>(…)”</w:t>
      </w:r>
    </w:p>
    <w:p w14:paraId="464FCBC1" w14:textId="77777777" w:rsidR="003A28A9" w:rsidRPr="00B755E2" w:rsidRDefault="003A28A9" w:rsidP="003A28A9">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5C8C6B09" w14:textId="77777777" w:rsidR="003A28A9" w:rsidRPr="00B755E2" w:rsidRDefault="003A28A9" w:rsidP="003A28A9">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077B95D8" w14:textId="77777777" w:rsidR="003A28A9" w:rsidRPr="00B755E2" w:rsidRDefault="003A28A9" w:rsidP="00D042C8">
      <w:pPr>
        <w:pStyle w:val="Prrafodelista"/>
        <w:tabs>
          <w:tab w:val="left" w:pos="426"/>
        </w:tabs>
        <w:spacing w:before="240" w:after="240" w:line="360" w:lineRule="auto"/>
        <w:ind w:left="567" w:right="567"/>
        <w:jc w:val="center"/>
        <w:rPr>
          <w:rFonts w:ascii="Palatino Linotype" w:hAnsi="Palatino Linotype"/>
          <w:b/>
          <w:i/>
          <w:color w:val="000000" w:themeColor="text1"/>
          <w:sz w:val="22"/>
        </w:rPr>
      </w:pPr>
      <w:r w:rsidRPr="00B755E2">
        <w:rPr>
          <w:rFonts w:ascii="Palatino Linotype" w:hAnsi="Palatino Linotype"/>
          <w:b/>
          <w:i/>
          <w:color w:val="000000" w:themeColor="text1"/>
          <w:sz w:val="22"/>
        </w:rPr>
        <w:lastRenderedPageBreak/>
        <w:t>REGLAMENTO INTERIOR DEL INSTITUTO DE TRANSPARENCIA, ACCESO A LA INFORMACIÓN PÚBLICA Y PROTECCIÓN DE DATOS PERSONALES DEL ESTADO DE MÉXICO Y MUNICIPIOS</w:t>
      </w:r>
    </w:p>
    <w:p w14:paraId="3382A365" w14:textId="77777777" w:rsidR="003A28A9" w:rsidRPr="00B755E2" w:rsidRDefault="003A28A9" w:rsidP="00D042C8">
      <w:pPr>
        <w:pStyle w:val="Prrafodelista"/>
        <w:tabs>
          <w:tab w:val="left" w:pos="426"/>
        </w:tabs>
        <w:spacing w:before="240" w:after="240" w:line="360" w:lineRule="auto"/>
        <w:ind w:left="567" w:right="567"/>
        <w:jc w:val="center"/>
        <w:rPr>
          <w:rFonts w:ascii="Palatino Linotype" w:hAnsi="Palatino Linotype"/>
          <w:b/>
          <w:i/>
          <w:color w:val="000000" w:themeColor="text1"/>
          <w:sz w:val="22"/>
        </w:rPr>
      </w:pPr>
    </w:p>
    <w:p w14:paraId="28B0591B" w14:textId="77777777" w:rsidR="003A28A9" w:rsidRPr="00B755E2" w:rsidRDefault="003A28A9" w:rsidP="00D042C8">
      <w:pPr>
        <w:pStyle w:val="Prrafodelista"/>
        <w:tabs>
          <w:tab w:val="left" w:pos="426"/>
        </w:tabs>
        <w:spacing w:before="240" w:after="240" w:line="360" w:lineRule="auto"/>
        <w:ind w:left="567" w:right="567"/>
        <w:jc w:val="both"/>
        <w:rPr>
          <w:rFonts w:ascii="Palatino Linotype" w:hAnsi="Palatino Linotype"/>
          <w:i/>
          <w:color w:val="000000" w:themeColor="text1"/>
          <w:sz w:val="22"/>
        </w:rPr>
      </w:pPr>
      <w:r w:rsidRPr="00B755E2">
        <w:rPr>
          <w:rFonts w:ascii="Palatino Linotype" w:hAnsi="Palatino Linotype"/>
          <w:i/>
          <w:color w:val="000000" w:themeColor="text1"/>
          <w:sz w:val="22"/>
        </w:rPr>
        <w:t>“</w:t>
      </w:r>
      <w:r w:rsidRPr="00B755E2">
        <w:rPr>
          <w:rFonts w:ascii="Palatino Linotype" w:hAnsi="Palatino Linotype"/>
          <w:b/>
          <w:i/>
          <w:color w:val="000000" w:themeColor="text1"/>
          <w:sz w:val="22"/>
        </w:rPr>
        <w:t>Artículo 14.</w:t>
      </w:r>
      <w:r w:rsidRPr="00B755E2">
        <w:rPr>
          <w:rFonts w:ascii="Palatino Linotype" w:hAnsi="Palatino Linotype"/>
          <w:i/>
          <w:color w:val="000000" w:themeColor="text1"/>
          <w:sz w:val="22"/>
        </w:rPr>
        <w:t xml:space="preserve"> Corresponde a las y los Comisionados del Instituto ejercer las atribuciones siguientes:</w:t>
      </w:r>
    </w:p>
    <w:p w14:paraId="64AF697C" w14:textId="77777777" w:rsidR="003A28A9" w:rsidRPr="00B755E2" w:rsidRDefault="003A28A9" w:rsidP="00D042C8">
      <w:pPr>
        <w:pStyle w:val="Prrafodelista"/>
        <w:tabs>
          <w:tab w:val="left" w:pos="426"/>
        </w:tabs>
        <w:spacing w:before="240" w:after="240" w:line="360" w:lineRule="auto"/>
        <w:ind w:left="567" w:right="567"/>
        <w:jc w:val="both"/>
        <w:rPr>
          <w:rFonts w:ascii="Palatino Linotype" w:hAnsi="Palatino Linotype"/>
          <w:i/>
          <w:color w:val="000000" w:themeColor="text1"/>
          <w:sz w:val="22"/>
        </w:rPr>
      </w:pPr>
      <w:r w:rsidRPr="00B755E2">
        <w:rPr>
          <w:rFonts w:ascii="Palatino Linotype" w:hAnsi="Palatino Linotype"/>
          <w:i/>
          <w:color w:val="000000" w:themeColor="text1"/>
          <w:sz w:val="22"/>
        </w:rPr>
        <w:t>(…)</w:t>
      </w:r>
    </w:p>
    <w:p w14:paraId="0A9D5604" w14:textId="77777777" w:rsidR="003A28A9" w:rsidRPr="00B755E2" w:rsidRDefault="003A28A9" w:rsidP="00D042C8">
      <w:pPr>
        <w:pStyle w:val="Prrafodelista"/>
        <w:tabs>
          <w:tab w:val="left" w:pos="426"/>
        </w:tabs>
        <w:spacing w:before="240" w:after="240" w:line="360" w:lineRule="auto"/>
        <w:ind w:left="567" w:right="567"/>
        <w:jc w:val="both"/>
        <w:rPr>
          <w:rFonts w:ascii="Palatino Linotype" w:hAnsi="Palatino Linotype"/>
          <w:i/>
          <w:color w:val="000000" w:themeColor="text1"/>
          <w:sz w:val="22"/>
        </w:rPr>
      </w:pPr>
      <w:r w:rsidRPr="00B755E2">
        <w:rPr>
          <w:rFonts w:ascii="Palatino Linotype" w:hAnsi="Palatino Linotype"/>
          <w:b/>
          <w:i/>
          <w:color w:val="000000" w:themeColor="text1"/>
          <w:sz w:val="22"/>
        </w:rPr>
        <w:t>XXVII.</w:t>
      </w:r>
      <w:r w:rsidRPr="00B755E2">
        <w:rPr>
          <w:rFonts w:ascii="Palatino Linotype" w:hAnsi="Palatino Linotype"/>
          <w:i/>
          <w:color w:val="000000" w:themeColor="text1"/>
          <w:sz w:val="22"/>
        </w:rPr>
        <w:t xml:space="preserve"> Instruir la notificación de las presuntas infracciones a las Leyes de la Materia, que adviertan en la sustanciación de los recursos de revisión al Órgano Interno de Control, a la Dirección General Jurídica y de Verificación, o a la Dirección General de Protección de Datos Personales;</w:t>
      </w:r>
    </w:p>
    <w:p w14:paraId="516CDA3B" w14:textId="77777777" w:rsidR="003A28A9" w:rsidRPr="00B755E2" w:rsidRDefault="003A28A9" w:rsidP="00D042C8">
      <w:pPr>
        <w:pStyle w:val="Prrafodelista"/>
        <w:tabs>
          <w:tab w:val="left" w:pos="426"/>
        </w:tabs>
        <w:spacing w:before="240" w:after="240" w:line="360" w:lineRule="auto"/>
        <w:ind w:left="567" w:right="567"/>
        <w:jc w:val="both"/>
        <w:rPr>
          <w:rFonts w:ascii="Palatino Linotype" w:hAnsi="Palatino Linotype"/>
          <w:i/>
          <w:color w:val="000000" w:themeColor="text1"/>
          <w:sz w:val="22"/>
        </w:rPr>
      </w:pPr>
      <w:r w:rsidRPr="00B755E2">
        <w:rPr>
          <w:rFonts w:ascii="Palatino Linotype" w:hAnsi="Palatino Linotype"/>
          <w:i/>
          <w:color w:val="000000" w:themeColor="text1"/>
          <w:sz w:val="22"/>
        </w:rPr>
        <w:t>(…)”</w:t>
      </w:r>
    </w:p>
    <w:p w14:paraId="5C71F136" w14:textId="77777777" w:rsidR="003A28A9" w:rsidRPr="00B755E2" w:rsidRDefault="003A28A9" w:rsidP="00D042C8">
      <w:pPr>
        <w:pStyle w:val="Prrafodelista"/>
        <w:tabs>
          <w:tab w:val="left" w:pos="426"/>
        </w:tabs>
        <w:spacing w:before="240" w:after="240" w:line="360" w:lineRule="auto"/>
        <w:ind w:left="567" w:right="567"/>
        <w:jc w:val="both"/>
        <w:rPr>
          <w:rFonts w:ascii="Palatino Linotype" w:hAnsi="Palatino Linotype"/>
          <w:i/>
          <w:color w:val="000000" w:themeColor="text1"/>
          <w:sz w:val="22"/>
        </w:rPr>
      </w:pPr>
    </w:p>
    <w:p w14:paraId="0FC28C60" w14:textId="77777777" w:rsidR="003A28A9" w:rsidRPr="00B755E2" w:rsidRDefault="003A28A9" w:rsidP="00D042C8">
      <w:pPr>
        <w:pStyle w:val="Prrafodelista"/>
        <w:tabs>
          <w:tab w:val="left" w:pos="426"/>
        </w:tabs>
        <w:spacing w:before="240" w:after="240" w:line="360" w:lineRule="auto"/>
        <w:ind w:left="567" w:right="567"/>
        <w:jc w:val="both"/>
        <w:rPr>
          <w:rFonts w:ascii="Palatino Linotype" w:hAnsi="Palatino Linotype"/>
          <w:i/>
          <w:color w:val="000000" w:themeColor="text1"/>
          <w:sz w:val="22"/>
        </w:rPr>
      </w:pPr>
      <w:r w:rsidRPr="00B755E2">
        <w:rPr>
          <w:rFonts w:ascii="Palatino Linotype" w:hAnsi="Palatino Linotype"/>
          <w:i/>
          <w:color w:val="000000" w:themeColor="text1"/>
          <w:sz w:val="22"/>
        </w:rPr>
        <w:t>“</w:t>
      </w:r>
      <w:r w:rsidRPr="00B755E2">
        <w:rPr>
          <w:rFonts w:ascii="Palatino Linotype" w:hAnsi="Palatino Linotype"/>
          <w:b/>
          <w:i/>
          <w:color w:val="000000" w:themeColor="text1"/>
          <w:sz w:val="22"/>
        </w:rPr>
        <w:t>Artículo 24.</w:t>
      </w:r>
      <w:r w:rsidRPr="00B755E2">
        <w:rPr>
          <w:rFonts w:ascii="Palatino Linotype" w:hAnsi="Palatino Linotype"/>
          <w:i/>
          <w:color w:val="000000" w:themeColor="text1"/>
          <w:sz w:val="22"/>
        </w:rPr>
        <w:t xml:space="preserve"> Corresponde a la Dirección General de Protección de Datos Personales ejercer las atribuciones siguientes:</w:t>
      </w:r>
    </w:p>
    <w:p w14:paraId="49052E84" w14:textId="77777777" w:rsidR="003A28A9" w:rsidRPr="00B755E2" w:rsidRDefault="003A28A9" w:rsidP="00D042C8">
      <w:pPr>
        <w:pStyle w:val="Prrafodelista"/>
        <w:tabs>
          <w:tab w:val="left" w:pos="426"/>
        </w:tabs>
        <w:spacing w:before="240" w:after="240" w:line="360" w:lineRule="auto"/>
        <w:ind w:left="567" w:right="567"/>
        <w:jc w:val="both"/>
        <w:rPr>
          <w:rFonts w:ascii="Palatino Linotype" w:hAnsi="Palatino Linotype"/>
          <w:i/>
          <w:color w:val="000000" w:themeColor="text1"/>
          <w:sz w:val="22"/>
        </w:rPr>
      </w:pPr>
      <w:r w:rsidRPr="00B755E2">
        <w:rPr>
          <w:rFonts w:ascii="Palatino Linotype" w:hAnsi="Palatino Linotype"/>
          <w:i/>
          <w:color w:val="000000" w:themeColor="text1"/>
          <w:sz w:val="22"/>
        </w:rPr>
        <w:t>(…)</w:t>
      </w:r>
    </w:p>
    <w:p w14:paraId="5290DC92" w14:textId="77777777" w:rsidR="003A28A9" w:rsidRPr="00B755E2" w:rsidRDefault="003A28A9" w:rsidP="00D042C8">
      <w:pPr>
        <w:pStyle w:val="Prrafodelista"/>
        <w:tabs>
          <w:tab w:val="left" w:pos="426"/>
        </w:tabs>
        <w:spacing w:before="240" w:after="240" w:line="360" w:lineRule="auto"/>
        <w:ind w:left="567" w:right="567"/>
        <w:jc w:val="both"/>
        <w:rPr>
          <w:rFonts w:ascii="Palatino Linotype" w:hAnsi="Palatino Linotype"/>
          <w:i/>
          <w:color w:val="000000" w:themeColor="text1"/>
          <w:sz w:val="22"/>
        </w:rPr>
      </w:pPr>
      <w:r w:rsidRPr="00B755E2">
        <w:rPr>
          <w:rFonts w:ascii="Palatino Linotype" w:hAnsi="Palatino Linotype"/>
          <w:b/>
          <w:i/>
          <w:color w:val="000000" w:themeColor="text1"/>
          <w:sz w:val="22"/>
        </w:rPr>
        <w:t>V.</w:t>
      </w:r>
      <w:r w:rsidRPr="00B755E2">
        <w:rPr>
          <w:rFonts w:ascii="Palatino Linotype" w:hAnsi="Palatino Linotype"/>
          <w:i/>
          <w:color w:val="000000" w:themeColor="text1"/>
          <w:sz w:val="22"/>
        </w:rPr>
        <w:t xml:space="preserve"> Emitir observaciones y recomendaciones a los Responsables que incumplan la Ley de Protección de Datos e informar al Pleno;</w:t>
      </w:r>
    </w:p>
    <w:p w14:paraId="3CA2C5DF" w14:textId="77777777" w:rsidR="003A28A9" w:rsidRPr="00B755E2" w:rsidRDefault="003A28A9" w:rsidP="00D042C8">
      <w:pPr>
        <w:pStyle w:val="Prrafodelista"/>
        <w:tabs>
          <w:tab w:val="left" w:pos="426"/>
        </w:tabs>
        <w:spacing w:before="240" w:after="240" w:line="360" w:lineRule="auto"/>
        <w:ind w:left="567" w:right="567"/>
        <w:jc w:val="both"/>
        <w:rPr>
          <w:rFonts w:ascii="Palatino Linotype" w:hAnsi="Palatino Linotype"/>
          <w:i/>
          <w:color w:val="000000" w:themeColor="text1"/>
          <w:sz w:val="22"/>
        </w:rPr>
      </w:pPr>
      <w:r w:rsidRPr="00B755E2">
        <w:rPr>
          <w:rFonts w:ascii="Palatino Linotype" w:hAnsi="Palatino Linotype"/>
          <w:i/>
          <w:color w:val="000000" w:themeColor="text1"/>
          <w:sz w:val="22"/>
        </w:rPr>
        <w:t>(…)</w:t>
      </w:r>
    </w:p>
    <w:p w14:paraId="193026DB" w14:textId="77777777" w:rsidR="003A28A9" w:rsidRPr="00B755E2" w:rsidRDefault="003A28A9" w:rsidP="00D042C8">
      <w:pPr>
        <w:pStyle w:val="Prrafodelista"/>
        <w:tabs>
          <w:tab w:val="left" w:pos="426"/>
        </w:tabs>
        <w:spacing w:before="240" w:after="240" w:line="360" w:lineRule="auto"/>
        <w:ind w:left="567" w:right="567"/>
        <w:jc w:val="both"/>
        <w:rPr>
          <w:rFonts w:ascii="Palatino Linotype" w:hAnsi="Palatino Linotype"/>
          <w:i/>
          <w:color w:val="000000" w:themeColor="text1"/>
          <w:sz w:val="22"/>
        </w:rPr>
      </w:pPr>
      <w:r w:rsidRPr="00B755E2">
        <w:rPr>
          <w:rFonts w:ascii="Palatino Linotype" w:hAnsi="Palatino Linotype"/>
          <w:b/>
          <w:i/>
          <w:color w:val="000000" w:themeColor="text1"/>
          <w:sz w:val="22"/>
        </w:rPr>
        <w:t>XI.</w:t>
      </w:r>
      <w:r w:rsidRPr="00B755E2">
        <w:rPr>
          <w:rFonts w:ascii="Palatino Linotype" w:hAnsi="Palatino Linotype"/>
          <w:i/>
          <w:color w:val="000000" w:themeColor="text1"/>
          <w:sz w:val="22"/>
        </w:rPr>
        <w:t xml:space="preserve"> Ejecutar los procedimientos de investigación derivados de posibles violaciones a la seguridad de los datos personales, y en su caso, determinar la práctica de verificaciones e informar al Pleno;</w:t>
      </w:r>
    </w:p>
    <w:p w14:paraId="0AC2EE4D" w14:textId="77777777" w:rsidR="00D042C8" w:rsidRPr="00B755E2" w:rsidRDefault="003A28A9" w:rsidP="00D042C8">
      <w:pPr>
        <w:pStyle w:val="Prrafodelista"/>
        <w:tabs>
          <w:tab w:val="left" w:pos="426"/>
        </w:tabs>
        <w:spacing w:before="240" w:after="240" w:line="360" w:lineRule="auto"/>
        <w:ind w:left="567" w:right="567"/>
        <w:jc w:val="both"/>
        <w:rPr>
          <w:rFonts w:ascii="Palatino Linotype" w:hAnsi="Palatino Linotype"/>
          <w:i/>
          <w:color w:val="000000" w:themeColor="text1"/>
          <w:sz w:val="22"/>
        </w:rPr>
      </w:pPr>
      <w:r w:rsidRPr="00B755E2">
        <w:rPr>
          <w:rFonts w:ascii="Palatino Linotype" w:hAnsi="Palatino Linotype"/>
          <w:i/>
          <w:color w:val="000000" w:themeColor="text1"/>
          <w:sz w:val="22"/>
        </w:rPr>
        <w:t>(…)”</w:t>
      </w:r>
    </w:p>
    <w:p w14:paraId="62199465" w14:textId="77777777" w:rsidR="00D042C8" w:rsidRPr="00B755E2" w:rsidRDefault="00D042C8" w:rsidP="00D042C8">
      <w:pPr>
        <w:pStyle w:val="Prrafodelista"/>
        <w:tabs>
          <w:tab w:val="left" w:pos="426"/>
        </w:tabs>
        <w:spacing w:before="240" w:after="240" w:line="360" w:lineRule="auto"/>
        <w:ind w:left="567" w:right="567"/>
        <w:jc w:val="both"/>
        <w:rPr>
          <w:rFonts w:ascii="Palatino Linotype" w:hAnsi="Palatino Linotype"/>
          <w:i/>
          <w:color w:val="000000" w:themeColor="text1"/>
          <w:sz w:val="22"/>
        </w:rPr>
      </w:pPr>
    </w:p>
    <w:p w14:paraId="11D4DCCB" w14:textId="77777777" w:rsidR="00D042C8" w:rsidRPr="00B755E2" w:rsidRDefault="00D042C8" w:rsidP="00D042C8">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B755E2">
        <w:rPr>
          <w:rFonts w:ascii="Palatino Linotype" w:eastAsia="MS Mincho" w:hAnsi="Palatino Linotype" w:cstheme="majorBidi"/>
        </w:rPr>
        <w:t xml:space="preserve">Por lo tanto, en consecuencia y en mérito de lo expuesto en líneas anteriores, resultan fundadas las razones o motivos de inconformidad hechos valer por el </w:t>
      </w:r>
      <w:r w:rsidRPr="00B755E2">
        <w:rPr>
          <w:rFonts w:ascii="Palatino Linotype" w:eastAsia="MS Mincho" w:hAnsi="Palatino Linotype" w:cstheme="majorBidi"/>
          <w:b/>
        </w:rPr>
        <w:lastRenderedPageBreak/>
        <w:t>RECURRENTE</w:t>
      </w:r>
      <w:r w:rsidRPr="00B755E2">
        <w:rPr>
          <w:rFonts w:ascii="Palatino Linotype" w:eastAsia="MS Mincho" w:hAnsi="Palatino Linotype" w:cstheme="majorBidi"/>
        </w:rPr>
        <w:t xml:space="preserve"> dentro del recurso de revisión </w:t>
      </w:r>
      <w:r w:rsidRPr="00B755E2">
        <w:rPr>
          <w:rFonts w:ascii="Palatino Linotype" w:eastAsia="MS Mincho" w:hAnsi="Palatino Linotype" w:cstheme="majorBidi"/>
          <w:b/>
          <w:bCs/>
        </w:rPr>
        <w:t>07628/INFOEM/IP/RR/2022</w:t>
      </w:r>
      <w:r w:rsidRPr="00B755E2">
        <w:rPr>
          <w:rFonts w:ascii="Palatino Linotype" w:eastAsia="MS Mincho" w:hAnsi="Palatino Linotype" w:cstheme="majorBidi"/>
        </w:rPr>
        <w:t xml:space="preserve">; por ello, y con fundamento en la fracción III del numeral 186 de la Ley de Transparencia y Acceso a la Información Pública del Estado de México y Municipios, se </w:t>
      </w:r>
      <w:r w:rsidRPr="00B755E2">
        <w:rPr>
          <w:rFonts w:ascii="Palatino Linotype" w:eastAsia="MS Mincho" w:hAnsi="Palatino Linotype" w:cstheme="majorBidi"/>
          <w:b/>
        </w:rPr>
        <w:t>REVOCA</w:t>
      </w:r>
      <w:r w:rsidRPr="00B755E2">
        <w:rPr>
          <w:rFonts w:ascii="Palatino Linotype" w:eastAsia="MS Mincho" w:hAnsi="Palatino Linotype" w:cstheme="majorBidi"/>
        </w:rPr>
        <w:t xml:space="preserve"> la respuesta a la solicitud de información número </w:t>
      </w:r>
      <w:r w:rsidRPr="00B755E2">
        <w:rPr>
          <w:rFonts w:ascii="Palatino Linotype" w:eastAsia="MS Mincho" w:hAnsi="Palatino Linotype" w:cstheme="majorBidi"/>
          <w:b/>
          <w:bCs/>
        </w:rPr>
        <w:t>00061/PROPAEM/IP/2022</w:t>
      </w:r>
      <w:r w:rsidRPr="00B755E2">
        <w:rPr>
          <w:rFonts w:ascii="Palatino Linotype" w:eastAsia="MS Mincho" w:hAnsi="Palatino Linotype" w:cstheme="majorBidi"/>
        </w:rPr>
        <w:t>.</w:t>
      </w:r>
    </w:p>
    <w:p w14:paraId="0DA123B1" w14:textId="77777777" w:rsidR="00D042C8" w:rsidRPr="00B755E2" w:rsidRDefault="00D042C8" w:rsidP="00D042C8">
      <w:pPr>
        <w:pStyle w:val="Prrafodelista"/>
        <w:tabs>
          <w:tab w:val="left" w:pos="426"/>
        </w:tabs>
        <w:spacing w:before="240" w:after="240" w:line="360" w:lineRule="auto"/>
        <w:ind w:left="0" w:right="51"/>
        <w:jc w:val="both"/>
        <w:rPr>
          <w:rFonts w:ascii="Palatino Linotype" w:hAnsi="Palatino Linotype"/>
          <w:color w:val="000000" w:themeColor="text1"/>
        </w:rPr>
      </w:pPr>
    </w:p>
    <w:p w14:paraId="1889AC86" w14:textId="77777777" w:rsidR="00D03B93" w:rsidRPr="00B755E2" w:rsidRDefault="00D042C8" w:rsidP="00D042C8">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B755E2">
        <w:rPr>
          <w:rFonts w:ascii="Palatino Linotype" w:hAnsi="Palatino Linotype"/>
          <w:color w:val="000000" w:themeColor="text1"/>
        </w:rPr>
        <w:t xml:space="preserve">Por lo anteriormente expuesto y fundado, este </w:t>
      </w:r>
      <w:r w:rsidRPr="00B755E2">
        <w:rPr>
          <w:rFonts w:ascii="Palatino Linotype" w:hAnsi="Palatino Linotype"/>
          <w:b/>
          <w:color w:val="000000" w:themeColor="text1"/>
        </w:rPr>
        <w:t>ÓRGANO GARANTE</w:t>
      </w:r>
      <w:r w:rsidRPr="00B755E2">
        <w:rPr>
          <w:rFonts w:ascii="Palatino Linotype" w:hAnsi="Palatino Linotype"/>
          <w:color w:val="000000" w:themeColor="text1"/>
        </w:rPr>
        <w:t xml:space="preserve"> emite los siguientes: ------------------------------------------------------------------------------------------------------------------------------------------------------------------------------------------------------------</w:t>
      </w:r>
    </w:p>
    <w:p w14:paraId="33026E1A" w14:textId="77777777" w:rsidR="009F09BC" w:rsidRPr="00B755E2" w:rsidRDefault="009F09BC" w:rsidP="00B912BD">
      <w:pPr>
        <w:pStyle w:val="Ttulo1"/>
        <w:spacing w:before="0" w:line="360" w:lineRule="auto"/>
        <w:jc w:val="center"/>
        <w:rPr>
          <w:rFonts w:ascii="Palatino Linotype" w:eastAsia="Calibri" w:hAnsi="Palatino Linotype"/>
          <w:b/>
          <w:color w:val="000000" w:themeColor="text1"/>
          <w:sz w:val="24"/>
          <w:szCs w:val="24"/>
          <w:lang w:val="es-ES"/>
        </w:rPr>
      </w:pPr>
      <w:bookmarkStart w:id="190" w:name="_Toc504500693"/>
      <w:bookmarkStart w:id="191" w:name="_Toc534742545"/>
      <w:bookmarkStart w:id="192" w:name="_Toc2248738"/>
      <w:bookmarkStart w:id="193" w:name="_Toc34819440"/>
      <w:bookmarkStart w:id="194" w:name="_Toc51259595"/>
      <w:bookmarkStart w:id="195" w:name="_Toc83128595"/>
      <w:r w:rsidRPr="00B755E2">
        <w:rPr>
          <w:rFonts w:ascii="Palatino Linotype" w:eastAsia="Calibri" w:hAnsi="Palatino Linotype"/>
          <w:b/>
          <w:color w:val="000000" w:themeColor="text1"/>
          <w:sz w:val="24"/>
          <w:szCs w:val="24"/>
          <w:lang w:val="es-ES"/>
        </w:rPr>
        <w:t>R E S O L U T I V O S</w:t>
      </w:r>
      <w:bookmarkEnd w:id="190"/>
      <w:bookmarkEnd w:id="191"/>
      <w:bookmarkEnd w:id="192"/>
      <w:bookmarkEnd w:id="193"/>
      <w:bookmarkEnd w:id="194"/>
      <w:bookmarkEnd w:id="195"/>
      <w:r w:rsidRPr="00B755E2">
        <w:rPr>
          <w:rFonts w:ascii="Palatino Linotype" w:eastAsia="Calibri" w:hAnsi="Palatino Linotype"/>
          <w:b/>
          <w:color w:val="000000" w:themeColor="text1"/>
          <w:sz w:val="24"/>
          <w:szCs w:val="24"/>
          <w:lang w:val="es-ES"/>
        </w:rPr>
        <w:t xml:space="preserve"> </w:t>
      </w:r>
    </w:p>
    <w:p w14:paraId="797E50C6" w14:textId="77777777" w:rsidR="009072B7" w:rsidRPr="00B755E2" w:rsidRDefault="009072B7" w:rsidP="00855290">
      <w:pPr>
        <w:spacing w:line="360" w:lineRule="auto"/>
        <w:rPr>
          <w:rFonts w:ascii="Palatino Linotype" w:hAnsi="Palatino Linotype"/>
          <w:lang w:val="es-ES"/>
        </w:rPr>
      </w:pPr>
    </w:p>
    <w:p w14:paraId="1496A623" w14:textId="6BF330D2" w:rsidR="009F09BC" w:rsidRPr="00B755E2" w:rsidRDefault="009F09BC" w:rsidP="00855290">
      <w:pPr>
        <w:spacing w:line="360" w:lineRule="auto"/>
        <w:jc w:val="both"/>
        <w:rPr>
          <w:rFonts w:ascii="Palatino Linotype" w:eastAsia="Times New Roman" w:hAnsi="Palatino Linotype" w:cs="Arial"/>
          <w:lang w:val="es-ES"/>
        </w:rPr>
      </w:pPr>
      <w:r w:rsidRPr="00B755E2">
        <w:rPr>
          <w:rFonts w:ascii="Palatino Linotype" w:eastAsia="Times New Roman" w:hAnsi="Palatino Linotype" w:cs="Arial"/>
          <w:b/>
        </w:rPr>
        <w:t>PRIMERO</w:t>
      </w:r>
      <w:r w:rsidRPr="00B755E2">
        <w:rPr>
          <w:rFonts w:ascii="Palatino Linotype" w:eastAsia="Times New Roman" w:hAnsi="Palatino Linotype" w:cs="Arial"/>
          <w:lang w:val="es-ES"/>
        </w:rPr>
        <w:t>. Resultan</w:t>
      </w:r>
      <w:r w:rsidR="00423514" w:rsidRPr="00B755E2">
        <w:rPr>
          <w:rFonts w:ascii="Palatino Linotype" w:eastAsia="Times New Roman" w:hAnsi="Palatino Linotype" w:cs="Arial"/>
          <w:lang w:val="es-ES"/>
        </w:rPr>
        <w:t xml:space="preserve"> </w:t>
      </w:r>
      <w:r w:rsidRPr="00B755E2">
        <w:rPr>
          <w:rFonts w:ascii="Palatino Linotype" w:eastAsia="Times New Roman" w:hAnsi="Palatino Linotype" w:cs="Arial"/>
          <w:lang w:val="es-ES"/>
        </w:rPr>
        <w:t>fundadas las razones o motivos de inconformidad hechos valer en</w:t>
      </w:r>
      <w:r w:rsidR="009A2251" w:rsidRPr="00B755E2">
        <w:rPr>
          <w:rFonts w:ascii="Palatino Linotype" w:eastAsia="Times New Roman" w:hAnsi="Palatino Linotype" w:cs="Arial"/>
          <w:lang w:val="es-ES"/>
        </w:rPr>
        <w:t xml:space="preserve"> el</w:t>
      </w:r>
      <w:r w:rsidRPr="00B755E2">
        <w:rPr>
          <w:rFonts w:ascii="Palatino Linotype" w:eastAsia="Times New Roman" w:hAnsi="Palatino Linotype" w:cs="Arial"/>
          <w:lang w:val="es-ES"/>
        </w:rPr>
        <w:t xml:space="preserve"> Recurso de Revisión </w:t>
      </w:r>
      <w:r w:rsidR="0054224D" w:rsidRPr="00B755E2">
        <w:rPr>
          <w:rFonts w:ascii="Palatino Linotype" w:hAnsi="Palatino Linotype"/>
          <w:b/>
        </w:rPr>
        <w:t>07628</w:t>
      </w:r>
      <w:r w:rsidR="007B3617" w:rsidRPr="00B755E2">
        <w:rPr>
          <w:rFonts w:ascii="Palatino Linotype" w:hAnsi="Palatino Linotype"/>
          <w:b/>
        </w:rPr>
        <w:t>/INFOEM/IP/RR/2022</w:t>
      </w:r>
      <w:r w:rsidRPr="00B755E2">
        <w:rPr>
          <w:rFonts w:ascii="Palatino Linotype" w:hAnsi="Palatino Linotype"/>
        </w:rPr>
        <w:t>,</w:t>
      </w:r>
      <w:r w:rsidRPr="00B755E2">
        <w:rPr>
          <w:rFonts w:ascii="Palatino Linotype" w:eastAsia="Times New Roman" w:hAnsi="Palatino Linotype" w:cs="Arial"/>
          <w:b/>
          <w:lang w:val="es-ES"/>
        </w:rPr>
        <w:t xml:space="preserve"> </w:t>
      </w:r>
      <w:r w:rsidR="00A1757E" w:rsidRPr="00B755E2">
        <w:rPr>
          <w:rFonts w:ascii="Palatino Linotype" w:eastAsia="Times New Roman" w:hAnsi="Palatino Linotype" w:cs="Arial"/>
          <w:lang w:val="es-ES"/>
        </w:rPr>
        <w:t>en términos de</w:t>
      </w:r>
      <w:r w:rsidR="00B912BD" w:rsidRPr="00B755E2">
        <w:rPr>
          <w:rFonts w:ascii="Palatino Linotype" w:eastAsia="Times New Roman" w:hAnsi="Palatino Linotype" w:cs="Arial"/>
          <w:lang w:val="es-ES"/>
        </w:rPr>
        <w:t xml:space="preserve"> </w:t>
      </w:r>
      <w:r w:rsidR="00A1757E" w:rsidRPr="00B755E2">
        <w:rPr>
          <w:rFonts w:ascii="Palatino Linotype" w:eastAsia="Times New Roman" w:hAnsi="Palatino Linotype" w:cs="Arial"/>
          <w:lang w:val="es-ES"/>
        </w:rPr>
        <w:t>l</w:t>
      </w:r>
      <w:r w:rsidR="00B912BD" w:rsidRPr="00B755E2">
        <w:rPr>
          <w:rFonts w:ascii="Palatino Linotype" w:eastAsia="Times New Roman" w:hAnsi="Palatino Linotype" w:cs="Arial"/>
          <w:lang w:val="es-ES"/>
        </w:rPr>
        <w:t>os</w:t>
      </w:r>
      <w:r w:rsidR="00555688" w:rsidRPr="00B755E2">
        <w:rPr>
          <w:rFonts w:ascii="Palatino Linotype" w:eastAsia="Times New Roman" w:hAnsi="Palatino Linotype" w:cs="Arial"/>
          <w:lang w:val="es-ES"/>
        </w:rPr>
        <w:t xml:space="preserve"> c</w:t>
      </w:r>
      <w:r w:rsidRPr="00B755E2">
        <w:rPr>
          <w:rFonts w:ascii="Palatino Linotype" w:eastAsia="Times New Roman" w:hAnsi="Palatino Linotype" w:cs="Arial"/>
          <w:lang w:val="es-ES"/>
        </w:rPr>
        <w:t>onsiderando</w:t>
      </w:r>
      <w:r w:rsidR="00B912BD" w:rsidRPr="00B755E2">
        <w:rPr>
          <w:rFonts w:ascii="Palatino Linotype" w:eastAsia="Times New Roman" w:hAnsi="Palatino Linotype" w:cs="Arial"/>
          <w:lang w:val="es-ES"/>
        </w:rPr>
        <w:t>s</w:t>
      </w:r>
      <w:r w:rsidRPr="00B755E2">
        <w:rPr>
          <w:rFonts w:ascii="Palatino Linotype" w:eastAsia="Times New Roman" w:hAnsi="Palatino Linotype" w:cs="Arial"/>
          <w:b/>
          <w:lang w:val="es-ES"/>
        </w:rPr>
        <w:t xml:space="preserve"> </w:t>
      </w:r>
      <w:r w:rsidR="00DE3E5E" w:rsidRPr="00B755E2">
        <w:rPr>
          <w:rFonts w:ascii="Palatino Linotype" w:eastAsia="Times New Roman" w:hAnsi="Palatino Linotype" w:cs="Arial"/>
          <w:b/>
          <w:lang w:val="es-ES"/>
        </w:rPr>
        <w:t>Cuarto</w:t>
      </w:r>
      <w:r w:rsidRPr="00B755E2">
        <w:rPr>
          <w:rFonts w:ascii="Palatino Linotype" w:eastAsia="Times New Roman" w:hAnsi="Palatino Linotype" w:cs="Arial"/>
          <w:b/>
          <w:lang w:val="es-ES"/>
        </w:rPr>
        <w:t xml:space="preserve"> </w:t>
      </w:r>
      <w:r w:rsidR="00D05C40" w:rsidRPr="00B755E2">
        <w:rPr>
          <w:rFonts w:ascii="Palatino Linotype" w:eastAsia="Times New Roman" w:hAnsi="Palatino Linotype" w:cs="Arial"/>
          <w:b/>
          <w:lang w:val="es-ES"/>
        </w:rPr>
        <w:t xml:space="preserve">y Quinto </w:t>
      </w:r>
      <w:r w:rsidRPr="00B755E2">
        <w:rPr>
          <w:rFonts w:ascii="Palatino Linotype" w:eastAsia="Times New Roman" w:hAnsi="Palatino Linotype" w:cs="Arial"/>
          <w:lang w:val="es-ES"/>
        </w:rPr>
        <w:t xml:space="preserve">de la presente resolución. </w:t>
      </w:r>
    </w:p>
    <w:p w14:paraId="7B04FA47" w14:textId="77777777" w:rsidR="00B912BD" w:rsidRPr="00B755E2" w:rsidRDefault="00B912BD" w:rsidP="00855290">
      <w:pPr>
        <w:spacing w:line="360" w:lineRule="auto"/>
        <w:jc w:val="both"/>
        <w:rPr>
          <w:rFonts w:ascii="Palatino Linotype" w:eastAsia="Times New Roman" w:hAnsi="Palatino Linotype" w:cs="Arial"/>
          <w:lang w:val="es-ES"/>
        </w:rPr>
      </w:pPr>
    </w:p>
    <w:p w14:paraId="2FAF4E33" w14:textId="77777777" w:rsidR="0065530D" w:rsidRPr="00B755E2" w:rsidRDefault="009F09BC" w:rsidP="005C7272">
      <w:pPr>
        <w:autoSpaceDE w:val="0"/>
        <w:autoSpaceDN w:val="0"/>
        <w:adjustRightInd w:val="0"/>
        <w:spacing w:line="360" w:lineRule="auto"/>
        <w:ind w:right="49"/>
        <w:jc w:val="both"/>
        <w:rPr>
          <w:rFonts w:ascii="Palatino Linotype" w:hAnsi="Palatino Linotype" w:cs="Arial"/>
          <w:lang w:val="es-ES"/>
        </w:rPr>
      </w:pPr>
      <w:bookmarkStart w:id="196" w:name="_Toc503891607"/>
      <w:bookmarkStart w:id="197" w:name="_Toc511647757"/>
      <w:bookmarkStart w:id="198" w:name="_Toc511647818"/>
      <w:bookmarkStart w:id="199" w:name="_Toc477891768"/>
      <w:bookmarkStart w:id="200" w:name="_Toc477891858"/>
      <w:bookmarkStart w:id="201" w:name="_Toc481576259"/>
      <w:bookmarkStart w:id="202" w:name="_Toc492590391"/>
      <w:bookmarkStart w:id="203" w:name="_Toc462653937"/>
      <w:bookmarkStart w:id="204" w:name="_Toc453696502"/>
      <w:bookmarkStart w:id="205" w:name="_Toc454301155"/>
      <w:r w:rsidRPr="00B755E2">
        <w:rPr>
          <w:rFonts w:ascii="Palatino Linotype" w:eastAsia="Times New Roman" w:hAnsi="Palatino Linotype" w:cs="Times New Roman"/>
          <w:b/>
        </w:rPr>
        <w:t>SEGUNDO.</w:t>
      </w:r>
      <w:bookmarkEnd w:id="196"/>
      <w:bookmarkEnd w:id="197"/>
      <w:bookmarkEnd w:id="198"/>
      <w:r w:rsidRPr="00B755E2">
        <w:rPr>
          <w:rFonts w:ascii="Palatino Linotype" w:eastAsia="Times New Roman" w:hAnsi="Palatino Linotype" w:cs="Times New Roman"/>
          <w:b/>
        </w:rPr>
        <w:t xml:space="preserve"> </w:t>
      </w:r>
      <w:bookmarkEnd w:id="199"/>
      <w:bookmarkEnd w:id="200"/>
      <w:bookmarkEnd w:id="201"/>
      <w:bookmarkEnd w:id="202"/>
      <w:bookmarkEnd w:id="203"/>
      <w:bookmarkEnd w:id="204"/>
      <w:bookmarkEnd w:id="205"/>
      <w:r w:rsidRPr="00B755E2">
        <w:rPr>
          <w:rFonts w:ascii="Palatino Linotype" w:eastAsia="MS Mincho" w:hAnsi="Palatino Linotype" w:cs="Times New Roman"/>
          <w:color w:val="000000" w:themeColor="text1"/>
        </w:rPr>
        <w:t xml:space="preserve">Se </w:t>
      </w:r>
      <w:r w:rsidR="00D05C40" w:rsidRPr="00B755E2">
        <w:rPr>
          <w:rFonts w:ascii="Palatino Linotype" w:eastAsia="MS Mincho" w:hAnsi="Palatino Linotype" w:cs="Times New Roman"/>
          <w:b/>
          <w:color w:val="000000" w:themeColor="text1"/>
        </w:rPr>
        <w:t>REVO</w:t>
      </w:r>
      <w:r w:rsidRPr="00B755E2">
        <w:rPr>
          <w:rFonts w:ascii="Palatino Linotype" w:eastAsia="MS Mincho" w:hAnsi="Palatino Linotype" w:cs="Times New Roman"/>
          <w:b/>
          <w:color w:val="000000" w:themeColor="text1"/>
        </w:rPr>
        <w:t xml:space="preserve">CA </w:t>
      </w:r>
      <w:r w:rsidRPr="00B755E2">
        <w:rPr>
          <w:rFonts w:ascii="Palatino Linotype" w:eastAsia="MS Mincho" w:hAnsi="Palatino Linotype" w:cs="Times New Roman"/>
          <w:color w:val="000000" w:themeColor="text1"/>
        </w:rPr>
        <w:t>la respuesta emitida por l</w:t>
      </w:r>
      <w:r w:rsidR="0068467A" w:rsidRPr="00B755E2">
        <w:rPr>
          <w:rFonts w:ascii="Palatino Linotype" w:eastAsia="MS Mincho" w:hAnsi="Palatino Linotype" w:cs="Times New Roman"/>
          <w:color w:val="000000" w:themeColor="text1"/>
        </w:rPr>
        <w:t>a</w:t>
      </w:r>
      <w:r w:rsidRPr="00B755E2">
        <w:rPr>
          <w:rFonts w:ascii="Palatino Linotype" w:eastAsia="MS Mincho" w:hAnsi="Palatino Linotype" w:cs="Times New Roman"/>
          <w:color w:val="000000" w:themeColor="text1"/>
        </w:rPr>
        <w:t xml:space="preserve"> </w:t>
      </w:r>
      <w:r w:rsidR="007B3617" w:rsidRPr="00B755E2">
        <w:rPr>
          <w:rFonts w:ascii="Palatino Linotype" w:hAnsi="Palatino Linotype"/>
          <w:b/>
          <w:bCs/>
          <w:color w:val="000000"/>
        </w:rPr>
        <w:t>Procuraduría de Protección al Ambiente del Estado de México</w:t>
      </w:r>
      <w:r w:rsidRPr="00B755E2">
        <w:rPr>
          <w:rFonts w:ascii="Palatino Linotype" w:eastAsia="MS Mincho" w:hAnsi="Palatino Linotype" w:cs="Times New Roman"/>
          <w:b/>
          <w:color w:val="000000" w:themeColor="text1"/>
        </w:rPr>
        <w:t xml:space="preserve"> </w:t>
      </w:r>
      <w:r w:rsidRPr="00B755E2">
        <w:rPr>
          <w:rFonts w:ascii="Palatino Linotype" w:eastAsia="MS Mincho" w:hAnsi="Palatino Linotype" w:cs="Times New Roman"/>
          <w:color w:val="000000" w:themeColor="text1"/>
        </w:rPr>
        <w:t xml:space="preserve">y se </w:t>
      </w:r>
      <w:r w:rsidRPr="00B755E2">
        <w:rPr>
          <w:rFonts w:ascii="Palatino Linotype" w:eastAsia="MS Mincho" w:hAnsi="Palatino Linotype" w:cs="Times New Roman"/>
          <w:b/>
          <w:color w:val="000000" w:themeColor="text1"/>
        </w:rPr>
        <w:t>ORDENA</w:t>
      </w:r>
      <w:r w:rsidRPr="00B755E2">
        <w:rPr>
          <w:rFonts w:ascii="Palatino Linotype" w:eastAsia="MS Mincho" w:hAnsi="Palatino Linotype" w:cs="Times New Roman"/>
          <w:color w:val="000000" w:themeColor="text1"/>
        </w:rPr>
        <w:t xml:space="preserve"> entregar vía Sistema de Acceso a la Información Mexiquense </w:t>
      </w:r>
      <w:r w:rsidRPr="00B755E2">
        <w:rPr>
          <w:rFonts w:ascii="Palatino Linotype" w:eastAsia="MS Mincho" w:hAnsi="Palatino Linotype" w:cs="Times New Roman"/>
          <w:b/>
          <w:color w:val="000000" w:themeColor="text1"/>
        </w:rPr>
        <w:t>(SAIMEX)</w:t>
      </w:r>
      <w:r w:rsidRPr="00B755E2">
        <w:rPr>
          <w:rFonts w:ascii="Palatino Linotype" w:eastAsia="MS Mincho" w:hAnsi="Palatino Linotype" w:cs="Times New Roman"/>
          <w:color w:val="000000" w:themeColor="text1"/>
        </w:rPr>
        <w:t>,</w:t>
      </w:r>
      <w:r w:rsidR="00B912BD" w:rsidRPr="00B755E2">
        <w:rPr>
          <w:rFonts w:ascii="Palatino Linotype" w:eastAsia="MS Mincho" w:hAnsi="Palatino Linotype" w:cs="Times New Roman"/>
          <w:color w:val="000000" w:themeColor="text1"/>
        </w:rPr>
        <w:t xml:space="preserve"> </w:t>
      </w:r>
      <w:r w:rsidR="00D05C40" w:rsidRPr="00B755E2">
        <w:rPr>
          <w:rFonts w:ascii="Palatino Linotype" w:eastAsia="MS Mincho" w:hAnsi="Palatino Linotype" w:cs="Times New Roman"/>
          <w:color w:val="000000" w:themeColor="text1"/>
        </w:rPr>
        <w:t xml:space="preserve">de ser el caso en versión pública, </w:t>
      </w:r>
      <w:r w:rsidR="00B912BD" w:rsidRPr="00B755E2">
        <w:rPr>
          <w:rFonts w:ascii="Palatino Linotype" w:eastAsia="MS Mincho" w:hAnsi="Palatino Linotype" w:cs="Times New Roman"/>
          <w:color w:val="000000" w:themeColor="text1"/>
        </w:rPr>
        <w:t>la sigui</w:t>
      </w:r>
      <w:r w:rsidR="003B6769" w:rsidRPr="00B755E2">
        <w:rPr>
          <w:rFonts w:ascii="Palatino Linotype" w:eastAsia="MS Mincho" w:hAnsi="Palatino Linotype" w:cs="Times New Roman"/>
          <w:color w:val="000000" w:themeColor="text1"/>
        </w:rPr>
        <w:t>ente información</w:t>
      </w:r>
      <w:r w:rsidR="0068467A" w:rsidRPr="00B755E2">
        <w:rPr>
          <w:rFonts w:ascii="Palatino Linotype" w:eastAsia="MS Mincho" w:hAnsi="Palatino Linotype" w:cs="Times New Roman"/>
          <w:color w:val="000000" w:themeColor="text1"/>
        </w:rPr>
        <w:t>:</w:t>
      </w:r>
    </w:p>
    <w:p w14:paraId="568C698B" w14:textId="77777777" w:rsidR="009072B7" w:rsidRPr="00B755E2" w:rsidRDefault="009072B7" w:rsidP="00855290">
      <w:pPr>
        <w:spacing w:line="360" w:lineRule="auto"/>
        <w:jc w:val="both"/>
        <w:rPr>
          <w:rFonts w:ascii="Palatino Linotype" w:eastAsia="MS Mincho" w:hAnsi="Palatino Linotype" w:cs="Times New Roman"/>
          <w:color w:val="000000" w:themeColor="text1"/>
        </w:rPr>
      </w:pPr>
    </w:p>
    <w:p w14:paraId="0740FF79" w14:textId="77777777" w:rsidR="005D7511" w:rsidRPr="00B755E2" w:rsidRDefault="00467EA7" w:rsidP="00467EA7">
      <w:pPr>
        <w:pStyle w:val="Prrafodelista"/>
        <w:numPr>
          <w:ilvl w:val="0"/>
          <w:numId w:val="5"/>
        </w:numPr>
        <w:spacing w:line="360" w:lineRule="auto"/>
        <w:ind w:right="539"/>
        <w:jc w:val="both"/>
        <w:rPr>
          <w:rFonts w:ascii="Palatino Linotype" w:hAnsi="Palatino Linotype" w:cs="Arial"/>
          <w:b/>
        </w:rPr>
      </w:pPr>
      <w:bookmarkStart w:id="206" w:name="_Toc503891610"/>
      <w:bookmarkStart w:id="207" w:name="_Toc453696503"/>
      <w:bookmarkStart w:id="208" w:name="_Toc454301156"/>
      <w:bookmarkStart w:id="209" w:name="_Toc462653938"/>
      <w:bookmarkStart w:id="210" w:name="_Toc477891769"/>
      <w:bookmarkStart w:id="211" w:name="_Toc477891859"/>
      <w:bookmarkStart w:id="212" w:name="_Toc481576260"/>
      <w:bookmarkStart w:id="213" w:name="_Toc492590392"/>
      <w:r w:rsidRPr="00B755E2">
        <w:rPr>
          <w:rFonts w:ascii="Palatino Linotype" w:hAnsi="Palatino Linotype" w:cs="Arial"/>
          <w:b/>
        </w:rPr>
        <w:t xml:space="preserve">Convenios de Compensación Ambiental, del </w:t>
      </w:r>
      <w:r w:rsidR="0054224D" w:rsidRPr="00B755E2">
        <w:rPr>
          <w:rFonts w:ascii="Palatino Linotype" w:hAnsi="Palatino Linotype" w:cs="Arial"/>
          <w:b/>
        </w:rPr>
        <w:t>0</w:t>
      </w:r>
      <w:r w:rsidRPr="00B755E2">
        <w:rPr>
          <w:rFonts w:ascii="Palatino Linotype" w:hAnsi="Palatino Linotype" w:cs="Arial"/>
          <w:b/>
        </w:rPr>
        <w:t xml:space="preserve">1 enero de 2015 al </w:t>
      </w:r>
      <w:r w:rsidR="0054224D" w:rsidRPr="00B755E2">
        <w:rPr>
          <w:rFonts w:ascii="Palatino Linotype" w:hAnsi="Palatino Linotype" w:cs="Arial"/>
          <w:b/>
        </w:rPr>
        <w:t xml:space="preserve">01 de abril </w:t>
      </w:r>
      <w:r w:rsidRPr="00B755E2">
        <w:rPr>
          <w:rFonts w:ascii="Palatino Linotype" w:hAnsi="Palatino Linotype" w:cs="Arial"/>
          <w:b/>
        </w:rPr>
        <w:t>de 2022.</w:t>
      </w:r>
    </w:p>
    <w:p w14:paraId="1A939487" w14:textId="77777777" w:rsidR="00C17CD5" w:rsidRPr="00B755E2" w:rsidRDefault="00C17CD5" w:rsidP="00B912BD">
      <w:pPr>
        <w:spacing w:line="360" w:lineRule="auto"/>
        <w:ind w:right="-93"/>
        <w:jc w:val="both"/>
        <w:rPr>
          <w:rFonts w:ascii="Palatino Linotype" w:eastAsia="Calibri" w:hAnsi="Palatino Linotype" w:cs="Tahoma"/>
          <w:bCs/>
          <w:szCs w:val="22"/>
          <w:lang w:eastAsia="en-US"/>
        </w:rPr>
      </w:pPr>
    </w:p>
    <w:p w14:paraId="56BC892E" w14:textId="77777777" w:rsidR="00544B15" w:rsidRPr="00B755E2" w:rsidRDefault="00544B15" w:rsidP="00544B15">
      <w:pPr>
        <w:spacing w:line="360" w:lineRule="auto"/>
        <w:jc w:val="both"/>
        <w:rPr>
          <w:rFonts w:ascii="Palatino Linotype" w:eastAsia="Calibri" w:hAnsi="Palatino Linotype" w:cs="Arial"/>
          <w:b/>
        </w:rPr>
      </w:pPr>
      <w:r w:rsidRPr="00B755E2">
        <w:rPr>
          <w:rFonts w:ascii="Palatino Linotype" w:eastAsia="Calibri" w:hAnsi="Palatino Linotype" w:cs="Arial"/>
        </w:rPr>
        <w:t xml:space="preserve">Para efectos de lo anterior, se deberá emitir el Acuerdo del Comité de Transparencia en términos de los artículos 49, fracción VIII y 132, fracción II de la Ley de </w:t>
      </w:r>
      <w:r w:rsidRPr="00B755E2">
        <w:rPr>
          <w:rFonts w:ascii="Palatino Linotype" w:eastAsia="Calibri" w:hAnsi="Palatino Linotype" w:cs="Arial"/>
        </w:rPr>
        <w:lastRenderedPageBreak/>
        <w:t xml:space="preserve">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B755E2">
        <w:rPr>
          <w:rFonts w:ascii="Palatino Linotype" w:eastAsia="Calibri" w:hAnsi="Palatino Linotype" w:cs="Arial"/>
          <w:b/>
        </w:rPr>
        <w:t>EL RECURRENTE.</w:t>
      </w:r>
    </w:p>
    <w:p w14:paraId="6AA258D8" w14:textId="77777777" w:rsidR="005C70E5" w:rsidRPr="00B755E2" w:rsidRDefault="005C70E5" w:rsidP="00544B15">
      <w:pPr>
        <w:spacing w:line="360" w:lineRule="auto"/>
        <w:jc w:val="both"/>
        <w:rPr>
          <w:rFonts w:ascii="Palatino Linotype" w:eastAsia="Calibri" w:hAnsi="Palatino Linotype" w:cs="Arial"/>
          <w:b/>
        </w:rPr>
      </w:pPr>
    </w:p>
    <w:p w14:paraId="023AFF3E" w14:textId="77777777" w:rsidR="005C70E5" w:rsidRPr="00B755E2" w:rsidRDefault="005C70E5" w:rsidP="005C70E5">
      <w:pPr>
        <w:tabs>
          <w:tab w:val="left" w:pos="8080"/>
        </w:tabs>
        <w:spacing w:line="360" w:lineRule="auto"/>
        <w:ind w:right="48"/>
        <w:contextualSpacing/>
        <w:jc w:val="both"/>
        <w:rPr>
          <w:rFonts w:ascii="Palatino Linotype" w:hAnsi="Palatino Linotype"/>
          <w:color w:val="222222"/>
          <w:shd w:val="clear" w:color="auto" w:fill="FFFFFF"/>
        </w:rPr>
      </w:pPr>
      <w:r w:rsidRPr="00B755E2">
        <w:rPr>
          <w:rFonts w:ascii="Palatino Linotype" w:eastAsia="Palatino Linotype" w:hAnsi="Palatino Linotype" w:cs="Palatino Linotype"/>
          <w:b/>
        </w:rPr>
        <w:t xml:space="preserve">TERCERO. Notifíquese </w:t>
      </w:r>
      <w:r w:rsidRPr="00B755E2">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B755E2">
        <w:rPr>
          <w:rFonts w:ascii="Palatino Linotype" w:eastAsia="Palatino Linotype" w:hAnsi="Palatino Linotype" w:cs="Palatino Linotype"/>
          <w:b/>
        </w:rPr>
        <w:t>diez días hábiles</w:t>
      </w:r>
      <w:r w:rsidRPr="00B755E2">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FFBD3EC" w14:textId="77777777" w:rsidR="005C70E5" w:rsidRPr="00B755E2" w:rsidRDefault="005C70E5" w:rsidP="005C70E5">
      <w:pPr>
        <w:tabs>
          <w:tab w:val="left" w:pos="8080"/>
        </w:tabs>
        <w:spacing w:line="360" w:lineRule="auto"/>
        <w:ind w:right="48"/>
        <w:contextualSpacing/>
        <w:jc w:val="both"/>
        <w:rPr>
          <w:rFonts w:ascii="Palatino Linotype" w:hAnsi="Palatino Linotype"/>
          <w:color w:val="222222"/>
          <w:shd w:val="clear" w:color="auto" w:fill="FFFFFF"/>
        </w:rPr>
      </w:pPr>
    </w:p>
    <w:p w14:paraId="1666A23E" w14:textId="77777777" w:rsidR="005C70E5" w:rsidRPr="00B755E2" w:rsidRDefault="005C70E5" w:rsidP="005C70E5">
      <w:pPr>
        <w:shd w:val="clear" w:color="auto" w:fill="FFFFFF"/>
        <w:spacing w:line="360" w:lineRule="auto"/>
        <w:ind w:right="48"/>
        <w:jc w:val="both"/>
        <w:rPr>
          <w:rFonts w:ascii="Palatino Linotype" w:hAnsi="Palatino Linotype"/>
        </w:rPr>
      </w:pPr>
      <w:r w:rsidRPr="00B755E2">
        <w:rPr>
          <w:rFonts w:ascii="Palatino Linotype" w:hAnsi="Palatino Linotype" w:cs="Arial"/>
          <w:b/>
        </w:rPr>
        <w:t xml:space="preserve">CUARTO. </w:t>
      </w:r>
      <w:r w:rsidRPr="00B755E2">
        <w:rPr>
          <w:rFonts w:ascii="Palatino Linotype" w:hAnsi="Palatino Linotype"/>
          <w:b/>
          <w:bCs/>
          <w:lang w:val="es-ES"/>
        </w:rPr>
        <w:t>Notifíquese al RECURRENTE</w:t>
      </w:r>
      <w:r w:rsidRPr="00B755E2">
        <w:rPr>
          <w:rFonts w:ascii="Palatino Linotype" w:hAnsi="Palatino Linotype"/>
        </w:rPr>
        <w:t xml:space="preserve"> la presente resolución.</w:t>
      </w:r>
    </w:p>
    <w:p w14:paraId="30DCCCAD" w14:textId="77777777" w:rsidR="005C70E5" w:rsidRPr="00B755E2" w:rsidRDefault="005C70E5" w:rsidP="005C70E5">
      <w:pPr>
        <w:shd w:val="clear" w:color="auto" w:fill="FFFFFF"/>
        <w:spacing w:line="360" w:lineRule="auto"/>
        <w:ind w:right="48"/>
        <w:jc w:val="both"/>
        <w:rPr>
          <w:rFonts w:ascii="Palatino Linotype" w:hAnsi="Palatino Linotype"/>
          <w:b/>
          <w:color w:val="FF0000"/>
        </w:rPr>
      </w:pPr>
    </w:p>
    <w:p w14:paraId="5B2055E8" w14:textId="77777777" w:rsidR="005C70E5" w:rsidRPr="00B755E2" w:rsidRDefault="005C70E5" w:rsidP="005C70E5">
      <w:pPr>
        <w:spacing w:line="360" w:lineRule="auto"/>
        <w:ind w:right="48"/>
        <w:jc w:val="both"/>
        <w:rPr>
          <w:rFonts w:ascii="Palatino Linotype" w:eastAsia="MS Mincho" w:hAnsi="Palatino Linotype"/>
          <w:lang w:val="es-ES"/>
        </w:rPr>
      </w:pPr>
      <w:r w:rsidRPr="00B755E2">
        <w:rPr>
          <w:rFonts w:ascii="Palatino Linotype" w:eastAsia="MS Mincho" w:hAnsi="Palatino Linotype"/>
          <w:b/>
        </w:rPr>
        <w:t>QUINTO.</w:t>
      </w:r>
      <w:r w:rsidRPr="00B755E2">
        <w:rPr>
          <w:rFonts w:ascii="Palatino Linotype" w:eastAsia="MS Mincho" w:hAnsi="Palatino Linotype"/>
        </w:rPr>
        <w:t xml:space="preserve"> </w:t>
      </w:r>
      <w:r w:rsidRPr="00B755E2">
        <w:rPr>
          <w:rFonts w:ascii="Palatino Linotype" w:eastAsia="MS Mincho" w:hAnsi="Palatino Linotype"/>
          <w:lang w:val="es-ES"/>
        </w:rPr>
        <w:t xml:space="preserve">Se hace del conocimiento del </w:t>
      </w:r>
      <w:r w:rsidRPr="00B755E2">
        <w:rPr>
          <w:rFonts w:ascii="Palatino Linotype" w:hAnsi="Palatino Linotype"/>
          <w:b/>
        </w:rPr>
        <w:t>RECURRENTE</w:t>
      </w:r>
      <w:r w:rsidRPr="00B755E2">
        <w:rPr>
          <w:rFonts w:ascii="Palatino Linotype" w:hAnsi="Palatino Linotype"/>
        </w:rPr>
        <w:t xml:space="preserve"> </w:t>
      </w:r>
      <w:r w:rsidRPr="00B755E2">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B755E2">
        <w:rPr>
          <w:rFonts w:ascii="Palatino Linotype" w:eastAsia="MS Mincho" w:hAnsi="Palatino Linotype"/>
          <w:bCs/>
          <w:lang w:val="es-ES"/>
        </w:rPr>
        <w:t>vía juicio de amparo</w:t>
      </w:r>
      <w:r w:rsidRPr="00B755E2">
        <w:rPr>
          <w:rFonts w:ascii="Palatino Linotype" w:eastAsia="MS Mincho" w:hAnsi="Palatino Linotype"/>
          <w:lang w:val="es-ES"/>
        </w:rPr>
        <w:t> en los términos de las leyes aplicables.</w:t>
      </w:r>
    </w:p>
    <w:p w14:paraId="36AF6883" w14:textId="77777777" w:rsidR="005C70E5" w:rsidRPr="00B755E2" w:rsidRDefault="005C70E5" w:rsidP="005C70E5">
      <w:pPr>
        <w:spacing w:line="360" w:lineRule="auto"/>
        <w:ind w:right="48"/>
        <w:jc w:val="both"/>
        <w:rPr>
          <w:rFonts w:ascii="Palatino Linotype" w:hAnsi="Palatino Linotype"/>
          <w:color w:val="000000"/>
          <w:shd w:val="clear" w:color="auto" w:fill="FFFFFF"/>
        </w:rPr>
      </w:pPr>
    </w:p>
    <w:p w14:paraId="4E3D86D6" w14:textId="77777777" w:rsidR="005C70E5" w:rsidRPr="00B755E2" w:rsidRDefault="005C70E5" w:rsidP="005C70E5">
      <w:pPr>
        <w:spacing w:line="360" w:lineRule="auto"/>
        <w:ind w:right="48"/>
        <w:jc w:val="both"/>
        <w:rPr>
          <w:rFonts w:ascii="Palatino Linotype" w:eastAsia="Calibri" w:hAnsi="Palatino Linotype" w:cs="Arial"/>
          <w:bCs/>
        </w:rPr>
      </w:pPr>
      <w:r w:rsidRPr="00B755E2">
        <w:rPr>
          <w:rFonts w:ascii="Palatino Linotype" w:hAnsi="Palatino Linotype"/>
          <w:b/>
          <w:color w:val="000000"/>
          <w:shd w:val="clear" w:color="auto" w:fill="FFFFFF"/>
        </w:rPr>
        <w:t xml:space="preserve">SEXTO. </w:t>
      </w:r>
      <w:r w:rsidRPr="00B755E2">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4C529ED" w14:textId="77777777" w:rsidR="00D042C8" w:rsidRPr="00B755E2" w:rsidRDefault="00D042C8" w:rsidP="005C70E5">
      <w:pPr>
        <w:spacing w:line="360" w:lineRule="auto"/>
        <w:ind w:right="48"/>
        <w:jc w:val="both"/>
        <w:rPr>
          <w:rFonts w:ascii="Palatino Linotype" w:eastAsia="Calibri" w:hAnsi="Palatino Linotype" w:cs="Arial"/>
          <w:bCs/>
        </w:rPr>
      </w:pPr>
    </w:p>
    <w:p w14:paraId="3412A00E" w14:textId="2E2AB61C" w:rsidR="00D042C8" w:rsidRPr="00B755E2" w:rsidRDefault="00D042C8" w:rsidP="00D042C8">
      <w:pPr>
        <w:spacing w:line="360" w:lineRule="auto"/>
        <w:jc w:val="both"/>
        <w:rPr>
          <w:rFonts w:ascii="Palatino Linotype" w:eastAsia="MS Mincho" w:hAnsi="Palatino Linotype" w:cs="Times New Roman"/>
          <w:color w:val="000000"/>
        </w:rPr>
      </w:pPr>
      <w:r w:rsidRPr="00B755E2">
        <w:rPr>
          <w:rFonts w:ascii="Palatino Linotype" w:eastAsia="MS Mincho" w:hAnsi="Palatino Linotype" w:cs="Times New Roman"/>
          <w:b/>
          <w:color w:val="000000"/>
          <w:sz w:val="28"/>
          <w:szCs w:val="28"/>
        </w:rPr>
        <w:t>SÉPTIMO</w:t>
      </w:r>
      <w:r w:rsidRPr="00B755E2">
        <w:rPr>
          <w:rFonts w:ascii="Palatino Linotype" w:eastAsia="MS Mincho" w:hAnsi="Palatino Linotype" w:cs="Times New Roman"/>
          <w:b/>
          <w:color w:val="000000"/>
        </w:rPr>
        <w:t xml:space="preserve">. </w:t>
      </w:r>
      <w:r w:rsidRPr="00B755E2">
        <w:rPr>
          <w:rFonts w:ascii="Palatino Linotype" w:eastAsia="MS Mincho" w:hAnsi="Palatino Linotype" w:cs="Times New Roman"/>
          <w:color w:val="000000"/>
        </w:rPr>
        <w:t xml:space="preserve">Gírese oficio </w:t>
      </w:r>
      <w:r w:rsidR="00EA1575" w:rsidRPr="00B755E2">
        <w:rPr>
          <w:rFonts w:ascii="Palatino Linotype" w:eastAsia="MS Mincho" w:hAnsi="Palatino Linotype" w:cs="Times New Roman"/>
          <w:color w:val="000000"/>
          <w:lang w:val="es-ES"/>
        </w:rPr>
        <w:t xml:space="preserve">a </w:t>
      </w:r>
      <w:r w:rsidRPr="00B755E2">
        <w:rPr>
          <w:rFonts w:ascii="Palatino Linotype" w:eastAsia="MS Mincho" w:hAnsi="Palatino Linotype" w:cs="Times New Roman"/>
          <w:color w:val="000000"/>
          <w:lang w:val="es-MX"/>
        </w:rPr>
        <w:t xml:space="preserve">la Dirección General de Protección de Datos Personales, en atención al artículo 82, fracción XXVII, de la Ley de Protección de Datos Personales del Estado de México y Municipios, y </w:t>
      </w:r>
      <w:r w:rsidRPr="00B755E2">
        <w:rPr>
          <w:rFonts w:ascii="Palatino Linotype" w:hAnsi="Palatino Linotype" w:cs="Arial"/>
          <w:lang w:eastAsia="es-MX"/>
        </w:rPr>
        <w:t xml:space="preserve">14, fracción XXVII, y 24, fracciones V y XI, </w:t>
      </w:r>
      <w:r w:rsidR="00EA1575" w:rsidRPr="00B755E2">
        <w:rPr>
          <w:rFonts w:ascii="Palatino Linotype" w:hAnsi="Palatino Linotype" w:cs="Arial"/>
          <w:lang w:eastAsia="es-MX"/>
        </w:rPr>
        <w:t>del Reglamento</w:t>
      </w:r>
      <w:r w:rsidRPr="00B755E2">
        <w:rPr>
          <w:rFonts w:ascii="Palatino Linotype" w:hAnsi="Palatino Linotype" w:cs="Arial"/>
          <w:lang w:eastAsia="es-MX"/>
        </w:rPr>
        <w:t xml:space="preserve"> Interior del Instituto de Transparencia, Acceso a la Información Pública y Protección de Datos Personales del Estado de México y Municipios,</w:t>
      </w:r>
      <w:r w:rsidRPr="00B755E2">
        <w:rPr>
          <w:rFonts w:ascii="Palatino Linotype" w:eastAsia="MS Mincho" w:hAnsi="Palatino Linotype" w:cs="Times New Roman"/>
          <w:color w:val="000000"/>
          <w:lang w:val="es-MX"/>
        </w:rPr>
        <w:t xml:space="preserve"> en términos de lo señalado en el </w:t>
      </w:r>
      <w:r w:rsidR="00555688" w:rsidRPr="00B755E2">
        <w:rPr>
          <w:rFonts w:ascii="Palatino Linotype" w:eastAsia="MS Mincho" w:hAnsi="Palatino Linotype" w:cs="Times New Roman"/>
          <w:b/>
          <w:bCs/>
          <w:color w:val="000000"/>
          <w:lang w:val="es-MX"/>
        </w:rPr>
        <w:t>c</w:t>
      </w:r>
      <w:r w:rsidRPr="00B755E2">
        <w:rPr>
          <w:rFonts w:ascii="Palatino Linotype" w:eastAsia="MS Mincho" w:hAnsi="Palatino Linotype" w:cs="Times New Roman"/>
          <w:b/>
          <w:bCs/>
          <w:color w:val="000000"/>
          <w:lang w:val="es-MX"/>
        </w:rPr>
        <w:t>onsiderando SEXTO</w:t>
      </w:r>
      <w:r w:rsidRPr="00B755E2">
        <w:rPr>
          <w:rFonts w:ascii="Palatino Linotype" w:eastAsia="MS Mincho" w:hAnsi="Palatino Linotype" w:cs="Times New Roman"/>
          <w:color w:val="000000"/>
          <w:lang w:val="es-MX"/>
        </w:rPr>
        <w:t xml:space="preserve"> de la presente resolución.</w:t>
      </w:r>
    </w:p>
    <w:bookmarkEnd w:id="206"/>
    <w:bookmarkEnd w:id="207"/>
    <w:bookmarkEnd w:id="208"/>
    <w:bookmarkEnd w:id="209"/>
    <w:bookmarkEnd w:id="210"/>
    <w:bookmarkEnd w:id="211"/>
    <w:bookmarkEnd w:id="212"/>
    <w:bookmarkEnd w:id="213"/>
    <w:p w14:paraId="1C0157D6" w14:textId="77777777" w:rsidR="009072B7" w:rsidRPr="00B755E2" w:rsidRDefault="009072B7" w:rsidP="00855290">
      <w:pPr>
        <w:shd w:val="clear" w:color="auto" w:fill="FFFFFF"/>
        <w:spacing w:line="360" w:lineRule="auto"/>
        <w:jc w:val="both"/>
        <w:rPr>
          <w:rFonts w:ascii="Palatino Linotype" w:eastAsia="Times New Roman" w:hAnsi="Palatino Linotype" w:cs="Times New Roman"/>
          <w:lang w:val="es-ES" w:eastAsia="es-MX"/>
        </w:rPr>
      </w:pPr>
    </w:p>
    <w:p w14:paraId="0655B026" w14:textId="77777777" w:rsidR="00555688" w:rsidRPr="00555688" w:rsidRDefault="00555688" w:rsidP="00555688">
      <w:pPr>
        <w:spacing w:before="240" w:after="240" w:line="360" w:lineRule="auto"/>
        <w:ind w:firstLine="1"/>
        <w:jc w:val="both"/>
        <w:rPr>
          <w:rFonts w:ascii="Palatino Linotype" w:hAnsi="Palatino Linotype"/>
          <w:smallCaps/>
        </w:rPr>
      </w:pPr>
      <w:bookmarkStart w:id="214" w:name="_Hlk129792997"/>
      <w:r w:rsidRPr="00B755E2">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VEINTITRÉS (23) DE AGOSTO DE DOS MIL VEINTITRÉS, ANTE EL SECRETARIO TÉCNICO DEL PLENO ALEXIS TAPIA RAMÍREZ.</w:t>
      </w:r>
      <w:bookmarkStart w:id="215" w:name="_GoBack"/>
      <w:bookmarkEnd w:id="215"/>
      <w:r w:rsidRPr="00555688">
        <w:rPr>
          <w:rStyle w:val="Referenciasutil"/>
          <w:rFonts w:ascii="Palatino Linotype" w:hAnsi="Palatino Linotype"/>
          <w:color w:val="auto"/>
        </w:rPr>
        <w:t xml:space="preserve"> </w:t>
      </w:r>
      <w:bookmarkEnd w:id="214"/>
    </w:p>
    <w:p w14:paraId="3691E7B2" w14:textId="77777777" w:rsidR="009F09BC" w:rsidRPr="00855290" w:rsidRDefault="009F09BC" w:rsidP="00855290">
      <w:pPr>
        <w:spacing w:line="360" w:lineRule="auto"/>
        <w:jc w:val="both"/>
        <w:rPr>
          <w:rFonts w:ascii="Palatino Linotype" w:hAnsi="Palatino Linotype"/>
        </w:rPr>
      </w:pPr>
    </w:p>
    <w:p w14:paraId="526770CE" w14:textId="77777777" w:rsidR="009F09BC" w:rsidRPr="00855290" w:rsidRDefault="009F09BC" w:rsidP="00855290">
      <w:pPr>
        <w:spacing w:line="360" w:lineRule="auto"/>
        <w:jc w:val="both"/>
        <w:rPr>
          <w:rFonts w:ascii="Palatino Linotype" w:hAnsi="Palatino Linotype"/>
        </w:rPr>
      </w:pPr>
    </w:p>
    <w:p w14:paraId="7CBEED82" w14:textId="77777777" w:rsidR="009F09BC" w:rsidRPr="00855290" w:rsidRDefault="009F09BC" w:rsidP="00855290">
      <w:pPr>
        <w:spacing w:line="360" w:lineRule="auto"/>
        <w:jc w:val="both"/>
        <w:rPr>
          <w:rFonts w:ascii="Palatino Linotype" w:hAnsi="Palatino Linotype"/>
        </w:rPr>
      </w:pPr>
    </w:p>
    <w:p w14:paraId="6E36661F" w14:textId="77777777" w:rsidR="009F09BC" w:rsidRPr="00855290" w:rsidRDefault="009F09BC" w:rsidP="00855290">
      <w:pPr>
        <w:spacing w:line="360" w:lineRule="auto"/>
        <w:jc w:val="both"/>
        <w:rPr>
          <w:rFonts w:ascii="Palatino Linotype" w:hAnsi="Palatino Linotype"/>
        </w:rPr>
      </w:pPr>
    </w:p>
    <w:p w14:paraId="38645DC7" w14:textId="77777777" w:rsidR="009F09BC" w:rsidRPr="00855290" w:rsidRDefault="009F09BC" w:rsidP="00855290">
      <w:pPr>
        <w:spacing w:line="360" w:lineRule="auto"/>
        <w:jc w:val="both"/>
        <w:rPr>
          <w:rFonts w:ascii="Palatino Linotype" w:hAnsi="Palatino Linotype"/>
        </w:rPr>
      </w:pPr>
    </w:p>
    <w:p w14:paraId="135E58C4" w14:textId="77777777" w:rsidR="009F09BC" w:rsidRPr="00855290" w:rsidRDefault="009F09BC" w:rsidP="00855290">
      <w:pPr>
        <w:spacing w:line="360" w:lineRule="auto"/>
        <w:jc w:val="both"/>
        <w:rPr>
          <w:rFonts w:ascii="Palatino Linotype" w:hAnsi="Palatino Linotype"/>
        </w:rPr>
      </w:pPr>
    </w:p>
    <w:p w14:paraId="62EBF9A1" w14:textId="77777777" w:rsidR="009F09BC" w:rsidRPr="00855290" w:rsidRDefault="009F09BC" w:rsidP="00855290">
      <w:pPr>
        <w:spacing w:line="360" w:lineRule="auto"/>
        <w:jc w:val="both"/>
        <w:rPr>
          <w:rFonts w:ascii="Palatino Linotype" w:hAnsi="Palatino Linotype"/>
        </w:rPr>
      </w:pPr>
    </w:p>
    <w:p w14:paraId="0C6C2CD5" w14:textId="77777777" w:rsidR="009F09BC" w:rsidRPr="00855290" w:rsidRDefault="009F09BC" w:rsidP="00855290">
      <w:pPr>
        <w:spacing w:line="360" w:lineRule="auto"/>
        <w:jc w:val="both"/>
        <w:rPr>
          <w:rFonts w:ascii="Palatino Linotype" w:hAnsi="Palatino Linotype"/>
        </w:rPr>
      </w:pPr>
    </w:p>
    <w:p w14:paraId="709E88E4" w14:textId="77777777" w:rsidR="009F09BC" w:rsidRPr="00855290" w:rsidRDefault="009F09BC" w:rsidP="00855290">
      <w:pPr>
        <w:spacing w:line="360" w:lineRule="auto"/>
        <w:jc w:val="both"/>
        <w:rPr>
          <w:rFonts w:ascii="Palatino Linotype" w:hAnsi="Palatino Linotype"/>
        </w:rPr>
      </w:pPr>
    </w:p>
    <w:p w14:paraId="508C98E9" w14:textId="77777777" w:rsidR="009F09BC" w:rsidRPr="00855290" w:rsidRDefault="009F09BC" w:rsidP="00855290">
      <w:pPr>
        <w:spacing w:line="360" w:lineRule="auto"/>
        <w:rPr>
          <w:rFonts w:ascii="Palatino Linotype" w:hAnsi="Palatino Linotype"/>
        </w:rPr>
      </w:pPr>
    </w:p>
    <w:p w14:paraId="779F8E76" w14:textId="77777777" w:rsidR="009F09BC" w:rsidRPr="00855290" w:rsidRDefault="009F09BC" w:rsidP="00855290">
      <w:pPr>
        <w:spacing w:line="360" w:lineRule="auto"/>
        <w:rPr>
          <w:rFonts w:ascii="Palatino Linotype" w:hAnsi="Palatino Linotype"/>
        </w:rPr>
      </w:pPr>
    </w:p>
    <w:p w14:paraId="7818863E" w14:textId="77777777" w:rsidR="009F09BC" w:rsidRPr="00855290" w:rsidRDefault="009F09BC" w:rsidP="00855290">
      <w:pPr>
        <w:spacing w:line="360" w:lineRule="auto"/>
        <w:rPr>
          <w:rFonts w:ascii="Palatino Linotype" w:hAnsi="Palatino Linotype"/>
        </w:rPr>
      </w:pPr>
    </w:p>
    <w:p w14:paraId="44F69B9A" w14:textId="77777777" w:rsidR="009F09BC" w:rsidRPr="00855290" w:rsidRDefault="009F09BC" w:rsidP="00855290">
      <w:pPr>
        <w:spacing w:line="360" w:lineRule="auto"/>
        <w:rPr>
          <w:rFonts w:ascii="Palatino Linotype" w:hAnsi="Palatino Linotype"/>
        </w:rPr>
      </w:pPr>
    </w:p>
    <w:p w14:paraId="5F07D11E" w14:textId="77777777" w:rsidR="009F09BC" w:rsidRPr="00855290" w:rsidRDefault="009F09BC" w:rsidP="00855290">
      <w:pPr>
        <w:spacing w:line="360" w:lineRule="auto"/>
        <w:rPr>
          <w:rFonts w:ascii="Palatino Linotype" w:hAnsi="Palatino Linotype"/>
        </w:rPr>
      </w:pPr>
    </w:p>
    <w:p w14:paraId="41508A3C" w14:textId="77777777" w:rsidR="009F09BC" w:rsidRPr="00855290" w:rsidRDefault="009F09BC" w:rsidP="00855290">
      <w:pPr>
        <w:spacing w:line="360" w:lineRule="auto"/>
        <w:rPr>
          <w:rFonts w:ascii="Palatino Linotype" w:hAnsi="Palatino Linotype"/>
        </w:rPr>
      </w:pPr>
    </w:p>
    <w:p w14:paraId="43D6B1D6" w14:textId="77777777" w:rsidR="009F09BC" w:rsidRPr="00855290" w:rsidRDefault="009F09BC" w:rsidP="00855290">
      <w:pPr>
        <w:spacing w:line="360" w:lineRule="auto"/>
        <w:rPr>
          <w:rFonts w:ascii="Palatino Linotype" w:hAnsi="Palatino Linotype"/>
        </w:rPr>
      </w:pPr>
    </w:p>
    <w:p w14:paraId="17DBC151" w14:textId="77777777" w:rsidR="009F09BC" w:rsidRPr="00855290" w:rsidRDefault="009F09BC" w:rsidP="00855290">
      <w:pPr>
        <w:tabs>
          <w:tab w:val="left" w:pos="3374"/>
        </w:tabs>
        <w:spacing w:line="360" w:lineRule="auto"/>
        <w:rPr>
          <w:rFonts w:ascii="Palatino Linotype" w:hAnsi="Palatino Linotype"/>
        </w:rPr>
      </w:pPr>
      <w:r w:rsidRPr="00855290">
        <w:rPr>
          <w:rFonts w:ascii="Palatino Linotype" w:hAnsi="Palatino Linotype"/>
        </w:rPr>
        <w:tab/>
      </w:r>
    </w:p>
    <w:p w14:paraId="6F8BD81B" w14:textId="77777777" w:rsidR="007C3761" w:rsidRPr="00855290" w:rsidRDefault="007C3761" w:rsidP="00855290">
      <w:pPr>
        <w:tabs>
          <w:tab w:val="left" w:pos="3374"/>
        </w:tabs>
        <w:spacing w:line="360" w:lineRule="auto"/>
        <w:rPr>
          <w:rFonts w:ascii="Palatino Linotype" w:hAnsi="Palatino Linotype"/>
        </w:rPr>
      </w:pPr>
    </w:p>
    <w:p w14:paraId="2613E9C1" w14:textId="77777777" w:rsidR="007C3761" w:rsidRPr="00855290" w:rsidRDefault="007C3761" w:rsidP="00855290">
      <w:pPr>
        <w:tabs>
          <w:tab w:val="left" w:pos="3374"/>
        </w:tabs>
        <w:spacing w:line="360" w:lineRule="auto"/>
        <w:rPr>
          <w:rFonts w:ascii="Palatino Linotype" w:hAnsi="Palatino Linotype"/>
        </w:rPr>
      </w:pPr>
    </w:p>
    <w:p w14:paraId="1037B8A3" w14:textId="77777777" w:rsidR="007C3761" w:rsidRPr="00855290" w:rsidRDefault="007C3761" w:rsidP="00855290">
      <w:pPr>
        <w:tabs>
          <w:tab w:val="left" w:pos="3374"/>
        </w:tabs>
        <w:spacing w:line="360" w:lineRule="auto"/>
        <w:rPr>
          <w:rFonts w:ascii="Palatino Linotype" w:hAnsi="Palatino Linotype"/>
        </w:rPr>
      </w:pPr>
    </w:p>
    <w:p w14:paraId="687C6DE0" w14:textId="77777777" w:rsidR="007C3761" w:rsidRPr="00855290" w:rsidRDefault="007C3761" w:rsidP="00855290">
      <w:pPr>
        <w:tabs>
          <w:tab w:val="left" w:pos="3374"/>
        </w:tabs>
        <w:spacing w:line="360" w:lineRule="auto"/>
        <w:rPr>
          <w:rFonts w:ascii="Palatino Linotype" w:hAnsi="Palatino Linotype"/>
        </w:rPr>
      </w:pPr>
    </w:p>
    <w:p w14:paraId="5B2F9378" w14:textId="77777777" w:rsidR="007C3761" w:rsidRPr="00855290" w:rsidRDefault="007C3761" w:rsidP="00855290">
      <w:pPr>
        <w:tabs>
          <w:tab w:val="left" w:pos="3374"/>
        </w:tabs>
        <w:spacing w:line="360" w:lineRule="auto"/>
        <w:rPr>
          <w:rFonts w:ascii="Palatino Linotype" w:hAnsi="Palatino Linotype"/>
        </w:rPr>
      </w:pPr>
    </w:p>
    <w:p w14:paraId="58E6DD4E" w14:textId="77777777" w:rsidR="007C3761" w:rsidRPr="00855290" w:rsidRDefault="007C3761" w:rsidP="00855290">
      <w:pPr>
        <w:tabs>
          <w:tab w:val="left" w:pos="3374"/>
        </w:tabs>
        <w:spacing w:line="360" w:lineRule="auto"/>
        <w:rPr>
          <w:rFonts w:ascii="Palatino Linotype" w:hAnsi="Palatino Linotype"/>
        </w:rPr>
      </w:pPr>
    </w:p>
    <w:p w14:paraId="7D3BEE8F" w14:textId="77777777" w:rsidR="007C3761" w:rsidRPr="00855290" w:rsidRDefault="007C3761" w:rsidP="00855290">
      <w:pPr>
        <w:tabs>
          <w:tab w:val="left" w:pos="3374"/>
        </w:tabs>
        <w:spacing w:line="360" w:lineRule="auto"/>
        <w:rPr>
          <w:rFonts w:ascii="Palatino Linotype" w:hAnsi="Palatino Linotype"/>
        </w:rPr>
      </w:pPr>
    </w:p>
    <w:p w14:paraId="3B88899E" w14:textId="77777777" w:rsidR="007C3761" w:rsidRPr="00855290" w:rsidRDefault="007C3761" w:rsidP="00855290">
      <w:pPr>
        <w:tabs>
          <w:tab w:val="left" w:pos="3374"/>
        </w:tabs>
        <w:spacing w:line="360" w:lineRule="auto"/>
        <w:rPr>
          <w:rFonts w:ascii="Palatino Linotype" w:hAnsi="Palatino Linotype"/>
        </w:rPr>
      </w:pPr>
    </w:p>
    <w:p w14:paraId="69E2BB2B" w14:textId="77777777" w:rsidR="007C3761" w:rsidRPr="00855290" w:rsidRDefault="007C3761" w:rsidP="00855290">
      <w:pPr>
        <w:tabs>
          <w:tab w:val="left" w:pos="3374"/>
        </w:tabs>
        <w:spacing w:line="360" w:lineRule="auto"/>
        <w:rPr>
          <w:rFonts w:ascii="Palatino Linotype" w:hAnsi="Palatino Linotype"/>
        </w:rPr>
      </w:pPr>
    </w:p>
    <w:p w14:paraId="57C0D796" w14:textId="77777777" w:rsidR="007C3761" w:rsidRPr="00855290" w:rsidRDefault="007C3761" w:rsidP="00855290">
      <w:pPr>
        <w:tabs>
          <w:tab w:val="left" w:pos="3374"/>
        </w:tabs>
        <w:spacing w:line="360" w:lineRule="auto"/>
        <w:rPr>
          <w:rFonts w:ascii="Palatino Linotype" w:hAnsi="Palatino Linotype"/>
        </w:rPr>
      </w:pPr>
    </w:p>
    <w:p w14:paraId="0D142F6F" w14:textId="77777777" w:rsidR="007C3761" w:rsidRPr="00855290" w:rsidRDefault="007C3761" w:rsidP="00855290">
      <w:pPr>
        <w:tabs>
          <w:tab w:val="left" w:pos="3374"/>
        </w:tabs>
        <w:spacing w:line="360" w:lineRule="auto"/>
        <w:rPr>
          <w:rFonts w:ascii="Palatino Linotype" w:hAnsi="Palatino Linotype"/>
        </w:rPr>
      </w:pPr>
    </w:p>
    <w:p w14:paraId="4475AD14" w14:textId="77777777" w:rsidR="007C3761" w:rsidRPr="00855290" w:rsidRDefault="007C3761" w:rsidP="00855290">
      <w:pPr>
        <w:tabs>
          <w:tab w:val="left" w:pos="3374"/>
        </w:tabs>
        <w:spacing w:line="360" w:lineRule="auto"/>
        <w:rPr>
          <w:rFonts w:ascii="Palatino Linotype" w:hAnsi="Palatino Linotype"/>
        </w:rPr>
      </w:pPr>
    </w:p>
    <w:p w14:paraId="120C4E94" w14:textId="77777777" w:rsidR="007C3761" w:rsidRPr="00855290" w:rsidRDefault="007C3761" w:rsidP="00855290">
      <w:pPr>
        <w:tabs>
          <w:tab w:val="left" w:pos="3374"/>
        </w:tabs>
        <w:spacing w:line="360" w:lineRule="auto"/>
        <w:rPr>
          <w:rFonts w:ascii="Palatino Linotype" w:hAnsi="Palatino Linotype"/>
        </w:rPr>
      </w:pPr>
    </w:p>
    <w:p w14:paraId="42AFC42D" w14:textId="77777777" w:rsidR="007C3761" w:rsidRPr="00855290" w:rsidRDefault="007C3761" w:rsidP="00855290">
      <w:pPr>
        <w:tabs>
          <w:tab w:val="left" w:pos="3374"/>
        </w:tabs>
        <w:spacing w:line="360" w:lineRule="auto"/>
        <w:rPr>
          <w:rFonts w:ascii="Palatino Linotype" w:hAnsi="Palatino Linotype"/>
        </w:rPr>
      </w:pPr>
    </w:p>
    <w:p w14:paraId="271CA723" w14:textId="77777777" w:rsidR="007C3761" w:rsidRPr="00855290" w:rsidRDefault="007C3761" w:rsidP="00855290">
      <w:pPr>
        <w:tabs>
          <w:tab w:val="left" w:pos="3374"/>
        </w:tabs>
        <w:spacing w:line="360" w:lineRule="auto"/>
        <w:rPr>
          <w:rFonts w:ascii="Palatino Linotype" w:hAnsi="Palatino Linotype"/>
        </w:rPr>
      </w:pPr>
    </w:p>
    <w:p w14:paraId="75FBE423" w14:textId="77777777" w:rsidR="007C3761" w:rsidRPr="00855290" w:rsidRDefault="007C3761" w:rsidP="00855290">
      <w:pPr>
        <w:tabs>
          <w:tab w:val="left" w:pos="3374"/>
        </w:tabs>
        <w:spacing w:line="360" w:lineRule="auto"/>
        <w:rPr>
          <w:rFonts w:ascii="Palatino Linotype" w:hAnsi="Palatino Linotype"/>
        </w:rPr>
      </w:pPr>
    </w:p>
    <w:sectPr w:rsidR="007C3761" w:rsidRPr="00855290" w:rsidSect="00E65521">
      <w:headerReference w:type="even" r:id="rId13"/>
      <w:headerReference w:type="default" r:id="rId14"/>
      <w:footerReference w:type="default" r:id="rId15"/>
      <w:headerReference w:type="first" r:id="rId16"/>
      <w:footerReference w:type="first" r:id="rId17"/>
      <w:pgSz w:w="12240" w:h="15840"/>
      <w:pgMar w:top="2368" w:right="1701" w:bottom="1702"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4E28F" w14:textId="77777777" w:rsidR="000A72A5" w:rsidRDefault="000A72A5" w:rsidP="003B7751">
      <w:r>
        <w:separator/>
      </w:r>
    </w:p>
  </w:endnote>
  <w:endnote w:type="continuationSeparator" w:id="0">
    <w:p w14:paraId="761F88EE" w14:textId="77777777" w:rsidR="000A72A5" w:rsidRDefault="000A72A5"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98837"/>
      <w:docPartObj>
        <w:docPartGallery w:val="Page Numbers (Bottom of Page)"/>
        <w:docPartUnique/>
      </w:docPartObj>
    </w:sdtPr>
    <w:sdtEndPr/>
    <w:sdtContent>
      <w:sdt>
        <w:sdtPr>
          <w:id w:val="179867387"/>
          <w:docPartObj>
            <w:docPartGallery w:val="Page Numbers (Top of Page)"/>
            <w:docPartUnique/>
          </w:docPartObj>
        </w:sdtPr>
        <w:sdtEndPr/>
        <w:sdtContent>
          <w:p w14:paraId="749DECAF" w14:textId="77777777" w:rsidR="00280FDC" w:rsidRPr="002D6DD8" w:rsidRDefault="00280FDC"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755E2">
              <w:rPr>
                <w:rFonts w:ascii="Palatino Linotype" w:hAnsi="Palatino Linotype"/>
                <w:bCs/>
                <w:noProof/>
                <w:sz w:val="20"/>
              </w:rPr>
              <w:t>46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755E2">
              <w:rPr>
                <w:rFonts w:ascii="Palatino Linotype" w:hAnsi="Palatino Linotype"/>
                <w:bCs/>
                <w:noProof/>
                <w:sz w:val="20"/>
              </w:rPr>
              <w:t>47</w:t>
            </w:r>
            <w:r>
              <w:rPr>
                <w:rFonts w:ascii="Palatino Linotype" w:hAnsi="Palatino Linotype"/>
                <w:bCs/>
                <w:noProof/>
                <w:sz w:val="20"/>
              </w:rPr>
              <w:fldChar w:fldCharType="end"/>
            </w:r>
          </w:p>
        </w:sdtContent>
      </w:sdt>
    </w:sdtContent>
  </w:sdt>
  <w:p w14:paraId="269E314A" w14:textId="77777777" w:rsidR="00280FDC" w:rsidRDefault="00280FD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9A898" w14:textId="77777777" w:rsidR="00280FDC" w:rsidRPr="000B69FA" w:rsidRDefault="00280FDC"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755E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755E2">
      <w:rPr>
        <w:rFonts w:ascii="Palatino Linotype" w:hAnsi="Palatino Linotype"/>
        <w:bCs/>
        <w:noProof/>
        <w:sz w:val="20"/>
      </w:rPr>
      <w:t>47</w:t>
    </w:r>
    <w:r>
      <w:rPr>
        <w:rFonts w:ascii="Palatino Linotype" w:hAnsi="Palatino Linotype"/>
        <w:bCs/>
        <w:noProof/>
        <w:sz w:val="20"/>
      </w:rPr>
      <w:fldChar w:fldCharType="end"/>
    </w:r>
  </w:p>
  <w:p w14:paraId="0C178E9E" w14:textId="77777777" w:rsidR="00280FDC" w:rsidRDefault="00280F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69256" w14:textId="77777777" w:rsidR="000A72A5" w:rsidRDefault="000A72A5" w:rsidP="003B7751">
      <w:r>
        <w:separator/>
      </w:r>
    </w:p>
  </w:footnote>
  <w:footnote w:type="continuationSeparator" w:id="0">
    <w:p w14:paraId="48930132" w14:textId="77777777" w:rsidR="000A72A5" w:rsidRDefault="000A72A5" w:rsidP="003B7751">
      <w:r>
        <w:continuationSeparator/>
      </w:r>
    </w:p>
  </w:footnote>
  <w:footnote w:id="1">
    <w:p w14:paraId="43913BD4" w14:textId="77777777" w:rsidR="00280FDC" w:rsidRPr="00ED2A04" w:rsidRDefault="00280FDC" w:rsidP="00EF581A">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2">
    <w:p w14:paraId="7F8C732F" w14:textId="77777777" w:rsidR="00280FDC" w:rsidRPr="00ED2A04" w:rsidRDefault="00280FDC" w:rsidP="00EF581A">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3">
    <w:p w14:paraId="7F6B6985" w14:textId="77777777" w:rsidR="00280FDC" w:rsidRPr="000406A4" w:rsidRDefault="00280FDC" w:rsidP="00EF581A">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4">
    <w:p w14:paraId="3A805EAC" w14:textId="77777777" w:rsidR="00280FDC" w:rsidRPr="000406A4" w:rsidRDefault="00280FDC" w:rsidP="00EF581A">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5">
    <w:p w14:paraId="5464AB69" w14:textId="77777777" w:rsidR="00280FDC" w:rsidRPr="000406A4" w:rsidRDefault="00280FDC" w:rsidP="00EF581A">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6">
    <w:p w14:paraId="27DC3F39" w14:textId="77777777" w:rsidR="00280FDC" w:rsidRPr="000406A4" w:rsidRDefault="00280FDC" w:rsidP="00EF581A">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7">
    <w:p w14:paraId="3A8452C2" w14:textId="77777777" w:rsidR="00280FDC" w:rsidRPr="000406A4" w:rsidRDefault="00280FDC" w:rsidP="00EF581A">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8">
    <w:p w14:paraId="0A1B460E" w14:textId="77777777" w:rsidR="00280FDC" w:rsidRPr="00B6795A" w:rsidRDefault="00280FDC" w:rsidP="00EF581A">
      <w:pPr>
        <w:jc w:val="both"/>
        <w:rPr>
          <w:color w:val="000000"/>
          <w:sz w:val="18"/>
          <w:szCs w:val="20"/>
          <w:lang w:eastAsia="es-ES_tradnl"/>
        </w:rPr>
      </w:pPr>
      <w:r>
        <w:rPr>
          <w:rStyle w:val="Refdenotaalpie"/>
        </w:rPr>
        <w:footnoteRef/>
      </w:r>
      <w:r>
        <w:t xml:space="preserve"> </w:t>
      </w:r>
      <w:r>
        <w:rPr>
          <w:lang w:val="es-ES"/>
        </w:rPr>
        <w:t>“</w:t>
      </w:r>
      <w:r w:rsidRPr="00B6795A">
        <w:rPr>
          <w:color w:val="000000"/>
          <w:sz w:val="18"/>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9">
    <w:p w14:paraId="4030EF95" w14:textId="77777777" w:rsidR="00280FDC" w:rsidRPr="00B6795A" w:rsidRDefault="00280FDC" w:rsidP="00EF581A">
      <w:pPr>
        <w:pStyle w:val="Textonotapie"/>
        <w:rPr>
          <w:sz w:val="18"/>
          <w:lang w:val="es-ES"/>
        </w:rPr>
      </w:pPr>
      <w:r w:rsidRPr="00B6795A">
        <w:rPr>
          <w:rStyle w:val="Refdenotaalpie"/>
          <w:sz w:val="18"/>
        </w:rPr>
        <w:footnoteRef/>
      </w:r>
      <w:r w:rsidRPr="00B6795A">
        <w:rPr>
          <w:sz w:val="18"/>
        </w:rPr>
        <w:t xml:space="preserve"> </w:t>
      </w:r>
      <w:r w:rsidRPr="00B6795A">
        <w:rPr>
          <w:sz w:val="18"/>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 w:id="10">
    <w:p w14:paraId="291AE364" w14:textId="77777777" w:rsidR="00280FDC" w:rsidRPr="00D431BE" w:rsidRDefault="00280FDC" w:rsidP="00280FDC">
      <w:pPr>
        <w:jc w:val="both"/>
        <w:rPr>
          <w:rFonts w:ascii="Palatino Linotype" w:hAnsi="Palatino Linotype"/>
          <w:color w:val="000000" w:themeColor="text1"/>
          <w:sz w:val="20"/>
          <w:szCs w:val="20"/>
          <w:lang w:eastAsia="es-ES_tradnl"/>
        </w:rPr>
      </w:pPr>
      <w:r w:rsidRPr="00D431BE">
        <w:rPr>
          <w:rStyle w:val="Refdenotaalpie"/>
          <w:rFonts w:ascii="Palatino Linotype" w:hAnsi="Palatino Linotype"/>
          <w:color w:val="000000" w:themeColor="text1"/>
          <w:sz w:val="20"/>
          <w:szCs w:val="20"/>
        </w:rPr>
        <w:footnoteRef/>
      </w:r>
      <w:r w:rsidRPr="00D431BE">
        <w:rPr>
          <w:rFonts w:ascii="Palatino Linotype" w:hAnsi="Palatino Linotype"/>
          <w:color w:val="000000" w:themeColor="text1"/>
          <w:sz w:val="20"/>
          <w:szCs w:val="20"/>
        </w:rPr>
        <w:t xml:space="preserve"> “</w:t>
      </w:r>
      <w:r w:rsidRPr="00D431BE">
        <w:rPr>
          <w:rFonts w:ascii="Palatino Linotype" w:hAnsi="Palatino Linotype" w:cs="Arial"/>
          <w:color w:val="000000" w:themeColor="text1"/>
          <w:sz w:val="20"/>
          <w:szCs w:val="20"/>
          <w:lang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11">
    <w:p w14:paraId="6779F0D9" w14:textId="77777777" w:rsidR="00280FDC" w:rsidRPr="00D431BE" w:rsidRDefault="00280FDC" w:rsidP="00280FDC">
      <w:pPr>
        <w:pStyle w:val="Textonotapie"/>
        <w:rPr>
          <w:rFonts w:ascii="Palatino Linotype" w:hAnsi="Palatino Linotype"/>
          <w:color w:val="000000" w:themeColor="text1"/>
          <w:lang w:val="es-ES"/>
        </w:rPr>
      </w:pPr>
      <w:r w:rsidRPr="00D431BE">
        <w:rPr>
          <w:rStyle w:val="Refdenotaalpie"/>
          <w:rFonts w:ascii="Palatino Linotype" w:hAnsi="Palatino Linotype"/>
          <w:color w:val="000000" w:themeColor="text1"/>
        </w:rPr>
        <w:footnoteRef/>
      </w:r>
      <w:r w:rsidRPr="00D431BE">
        <w:rPr>
          <w:rFonts w:ascii="Palatino Linotype" w:hAnsi="Palatino Linotype"/>
          <w:color w:val="000000" w:themeColor="text1"/>
        </w:rPr>
        <w:t xml:space="preserve"> </w:t>
      </w:r>
      <w:r w:rsidRPr="00D431BE">
        <w:rPr>
          <w:rFonts w:ascii="Palatino Linotype" w:hAnsi="Palatino Linotype"/>
          <w:color w:val="000000" w:themeColor="text1"/>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 w:id="12">
    <w:p w14:paraId="3FA7B5E0" w14:textId="77777777" w:rsidR="00280FDC" w:rsidRPr="005404C6" w:rsidRDefault="00280FDC" w:rsidP="00280FDC">
      <w:pPr>
        <w:pStyle w:val="Textonotapie"/>
        <w:rPr>
          <w:rFonts w:ascii="Palatino Linotype" w:hAnsi="Palatino Linotype"/>
          <w:lang w:val="es-ES"/>
        </w:rPr>
      </w:pPr>
      <w:r w:rsidRPr="005404C6">
        <w:rPr>
          <w:rStyle w:val="Refdenotaalpie"/>
          <w:rFonts w:ascii="Palatino Linotype" w:hAnsi="Palatino Linotype"/>
        </w:rPr>
        <w:footnoteRef/>
      </w:r>
      <w:r w:rsidRPr="005404C6">
        <w:rPr>
          <w:rFonts w:ascii="Palatino Linotype" w:hAnsi="Palatino Linotype"/>
        </w:rPr>
        <w:t xml:space="preserve"> Corte Constitucional de Colombia Sentencia C-520/16. </w:t>
      </w:r>
      <w:r w:rsidRPr="005404C6">
        <w:rPr>
          <w:rFonts w:ascii="Palatino Linotype" w:hAnsi="Palatino Linotype"/>
          <w:lang w:val="es-ES"/>
        </w:rPr>
        <w:t>Párr. 1.11</w:t>
      </w:r>
    </w:p>
  </w:footnote>
  <w:footnote w:id="13">
    <w:p w14:paraId="6221C218" w14:textId="77777777" w:rsidR="00544B15" w:rsidRDefault="00544B15" w:rsidP="00544B15">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1565EE96" w14:textId="77777777" w:rsidR="00544B15" w:rsidRDefault="00544B15" w:rsidP="00544B15">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14">
    <w:p w14:paraId="3C7DE60B" w14:textId="77777777" w:rsidR="00544B15" w:rsidRDefault="00544B15" w:rsidP="00544B15">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15">
    <w:p w14:paraId="0E40B8DD" w14:textId="77777777" w:rsidR="00544B15" w:rsidRDefault="00544B15" w:rsidP="00544B15">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473B66A" w14:textId="77777777" w:rsidR="00544B15" w:rsidRDefault="00544B15" w:rsidP="00544B15">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BC31C9B" w14:textId="77777777" w:rsidR="00544B15" w:rsidRDefault="00544B15" w:rsidP="00544B15">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6">
    <w:p w14:paraId="4B012E48" w14:textId="77777777" w:rsidR="00544B15" w:rsidRDefault="00544B15" w:rsidP="00544B15">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F0BEC" w14:textId="77777777" w:rsidR="00280FDC" w:rsidRDefault="000A72A5">
    <w:pPr>
      <w:pStyle w:val="Encabezado"/>
    </w:pPr>
    <w:r>
      <w:rPr>
        <w:noProof/>
        <w:lang w:eastAsia="es-MX"/>
      </w:rPr>
      <w:pict w14:anchorId="7C1105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280FDC" w14:paraId="6939992D" w14:textId="77777777" w:rsidTr="006A04B6">
      <w:trPr>
        <w:trHeight w:val="227"/>
      </w:trPr>
      <w:tc>
        <w:tcPr>
          <w:tcW w:w="2976" w:type="dxa"/>
          <w:vAlign w:val="center"/>
          <w:hideMark/>
        </w:tcPr>
        <w:p w14:paraId="1404003A" w14:textId="77777777" w:rsidR="00280FDC" w:rsidRPr="005B0E26" w:rsidRDefault="00280FDC" w:rsidP="009F09BC">
          <w:pPr>
            <w:ind w:right="34"/>
            <w:jc w:val="right"/>
            <w:rPr>
              <w:rFonts w:ascii="Palatino Linotype" w:hAnsi="Palatino Linotype"/>
              <w:b/>
              <w:sz w:val="22"/>
              <w:szCs w:val="22"/>
            </w:rPr>
          </w:pPr>
          <w:r w:rsidRPr="005B0E26">
            <w:rPr>
              <w:rFonts w:ascii="Palatino Linotype" w:hAnsi="Palatino Linotype"/>
              <w:b/>
              <w:sz w:val="22"/>
              <w:szCs w:val="22"/>
            </w:rPr>
            <w:t>Recurso de Revisión:</w:t>
          </w:r>
        </w:p>
      </w:tc>
      <w:tc>
        <w:tcPr>
          <w:tcW w:w="3543" w:type="dxa"/>
          <w:vAlign w:val="center"/>
          <w:hideMark/>
        </w:tcPr>
        <w:p w14:paraId="4C329CF8" w14:textId="77777777" w:rsidR="00280FDC" w:rsidRPr="005B0E26" w:rsidRDefault="00BF3020" w:rsidP="004264B6">
          <w:pPr>
            <w:pStyle w:val="Encabezado"/>
            <w:rPr>
              <w:rFonts w:ascii="Palatino Linotype" w:hAnsi="Palatino Linotype"/>
              <w:b/>
              <w:sz w:val="22"/>
              <w:szCs w:val="22"/>
            </w:rPr>
          </w:pPr>
          <w:r>
            <w:rPr>
              <w:rFonts w:ascii="Palatino Linotype" w:hAnsi="Palatino Linotype" w:cs="Arial"/>
              <w:b/>
              <w:bCs/>
              <w:sz w:val="22"/>
              <w:szCs w:val="22"/>
              <w:lang w:eastAsia="es-MX"/>
            </w:rPr>
            <w:t>07628</w:t>
          </w:r>
          <w:r w:rsidR="00280FDC" w:rsidRPr="005B0E26">
            <w:rPr>
              <w:rFonts w:ascii="Palatino Linotype" w:hAnsi="Palatino Linotype" w:cs="Arial"/>
              <w:b/>
              <w:bCs/>
              <w:sz w:val="22"/>
              <w:szCs w:val="22"/>
              <w:lang w:eastAsia="es-MX"/>
            </w:rPr>
            <w:t>/INFOEM/IP/RR/2022</w:t>
          </w:r>
        </w:p>
      </w:tc>
    </w:tr>
    <w:tr w:rsidR="00280FDC" w14:paraId="28E8B5EC" w14:textId="77777777" w:rsidTr="006A04B6">
      <w:trPr>
        <w:trHeight w:val="242"/>
      </w:trPr>
      <w:tc>
        <w:tcPr>
          <w:tcW w:w="2976" w:type="dxa"/>
          <w:vAlign w:val="center"/>
          <w:hideMark/>
        </w:tcPr>
        <w:p w14:paraId="19464F98" w14:textId="77777777" w:rsidR="00280FDC" w:rsidRPr="005B0E26" w:rsidRDefault="00280FDC" w:rsidP="009F09BC">
          <w:pPr>
            <w:ind w:right="34"/>
            <w:jc w:val="right"/>
            <w:rPr>
              <w:rFonts w:ascii="Palatino Linotype" w:hAnsi="Palatino Linotype"/>
              <w:b/>
              <w:sz w:val="22"/>
              <w:szCs w:val="22"/>
            </w:rPr>
          </w:pPr>
          <w:r w:rsidRPr="005B0E26">
            <w:rPr>
              <w:rFonts w:ascii="Palatino Linotype" w:hAnsi="Palatino Linotype"/>
              <w:b/>
              <w:sz w:val="22"/>
              <w:szCs w:val="22"/>
            </w:rPr>
            <w:t>Sujeto Obligado:</w:t>
          </w:r>
        </w:p>
      </w:tc>
      <w:tc>
        <w:tcPr>
          <w:tcW w:w="3543" w:type="dxa"/>
          <w:vAlign w:val="center"/>
          <w:hideMark/>
        </w:tcPr>
        <w:p w14:paraId="093EE218" w14:textId="77777777" w:rsidR="00280FDC" w:rsidRPr="005B0E26" w:rsidRDefault="00280FDC" w:rsidP="00B10B4D">
          <w:pPr>
            <w:pStyle w:val="Encabezado"/>
            <w:ind w:right="638"/>
            <w:jc w:val="both"/>
            <w:rPr>
              <w:rFonts w:ascii="Palatino Linotype" w:hAnsi="Palatino Linotype"/>
              <w:b/>
              <w:sz w:val="22"/>
              <w:szCs w:val="22"/>
            </w:rPr>
          </w:pPr>
          <w:r w:rsidRPr="00B72462">
            <w:rPr>
              <w:rFonts w:ascii="Palatino Linotype" w:hAnsi="Palatino Linotype" w:cs="Arial"/>
              <w:b/>
              <w:sz w:val="22"/>
              <w:szCs w:val="22"/>
            </w:rPr>
            <w:t>Procuraduría de Protección al Ambiente del Estado de México</w:t>
          </w:r>
        </w:p>
      </w:tc>
    </w:tr>
    <w:tr w:rsidR="00280FDC" w14:paraId="1D63A68E" w14:textId="77777777" w:rsidTr="006A04B6">
      <w:trPr>
        <w:trHeight w:val="342"/>
      </w:trPr>
      <w:tc>
        <w:tcPr>
          <w:tcW w:w="2976" w:type="dxa"/>
          <w:vAlign w:val="center"/>
          <w:hideMark/>
        </w:tcPr>
        <w:p w14:paraId="4E49CE31" w14:textId="77777777" w:rsidR="00280FDC" w:rsidRPr="005B0E26" w:rsidRDefault="00280FDC" w:rsidP="00B10B4D">
          <w:pPr>
            <w:ind w:right="34"/>
            <w:jc w:val="right"/>
            <w:rPr>
              <w:rFonts w:ascii="Palatino Linotype" w:hAnsi="Palatino Linotype"/>
              <w:b/>
              <w:sz w:val="22"/>
              <w:szCs w:val="22"/>
            </w:rPr>
          </w:pPr>
          <w:r w:rsidRPr="005B0E26">
            <w:rPr>
              <w:rFonts w:ascii="Palatino Linotype" w:hAnsi="Palatino Linotype"/>
              <w:b/>
              <w:sz w:val="22"/>
              <w:szCs w:val="22"/>
            </w:rPr>
            <w:t>Comisionada Ponente:</w:t>
          </w:r>
        </w:p>
      </w:tc>
      <w:tc>
        <w:tcPr>
          <w:tcW w:w="3543" w:type="dxa"/>
          <w:vAlign w:val="center"/>
          <w:hideMark/>
        </w:tcPr>
        <w:p w14:paraId="4D73E0ED" w14:textId="77777777" w:rsidR="00280FDC" w:rsidRPr="005B0E26" w:rsidRDefault="00280FDC" w:rsidP="009F09BC">
          <w:pPr>
            <w:pStyle w:val="Encabezado"/>
            <w:rPr>
              <w:rFonts w:ascii="Palatino Linotype" w:hAnsi="Palatino Linotype"/>
              <w:b/>
              <w:sz w:val="22"/>
              <w:szCs w:val="22"/>
            </w:rPr>
          </w:pPr>
          <w:r w:rsidRPr="005B0E26">
            <w:rPr>
              <w:rFonts w:ascii="Palatino Linotype" w:hAnsi="Palatino Linotype"/>
              <w:b/>
              <w:sz w:val="22"/>
              <w:szCs w:val="22"/>
            </w:rPr>
            <w:t>María del Rosario Mejía Ayala</w:t>
          </w:r>
        </w:p>
      </w:tc>
    </w:tr>
  </w:tbl>
  <w:p w14:paraId="47341341" w14:textId="77777777" w:rsidR="00280FDC" w:rsidRPr="00AE046A" w:rsidRDefault="000A72A5" w:rsidP="003B7751">
    <w:pPr>
      <w:pStyle w:val="Encabezado"/>
      <w:tabs>
        <w:tab w:val="clear" w:pos="4419"/>
        <w:tab w:val="clear" w:pos="8838"/>
        <w:tab w:val="left" w:pos="6005"/>
      </w:tabs>
      <w:rPr>
        <w:sz w:val="14"/>
      </w:rPr>
    </w:pPr>
    <w:r>
      <w:rPr>
        <w:noProof/>
        <w:sz w:val="14"/>
        <w:lang w:eastAsia="es-MX"/>
      </w:rPr>
      <w:pict w14:anchorId="6D9B9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8.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280FDC" w14:paraId="313EB468" w14:textId="77777777" w:rsidTr="006A04B6">
      <w:trPr>
        <w:trHeight w:val="227"/>
      </w:trPr>
      <w:tc>
        <w:tcPr>
          <w:tcW w:w="2977" w:type="dxa"/>
          <w:vAlign w:val="center"/>
          <w:hideMark/>
        </w:tcPr>
        <w:p w14:paraId="604A978A" w14:textId="77777777" w:rsidR="00280FDC" w:rsidRPr="005B0E26" w:rsidRDefault="00280FDC" w:rsidP="009F09BC">
          <w:pPr>
            <w:jc w:val="right"/>
            <w:rPr>
              <w:rFonts w:ascii="Palatino Linotype" w:hAnsi="Palatino Linotype"/>
              <w:b/>
              <w:sz w:val="22"/>
              <w:szCs w:val="22"/>
            </w:rPr>
          </w:pPr>
          <w:r w:rsidRPr="005B0E26">
            <w:rPr>
              <w:rFonts w:ascii="Palatino Linotype" w:hAnsi="Palatino Linotype"/>
              <w:b/>
              <w:sz w:val="22"/>
              <w:szCs w:val="22"/>
            </w:rPr>
            <w:t>Recurso de Revisión:</w:t>
          </w:r>
        </w:p>
      </w:tc>
      <w:tc>
        <w:tcPr>
          <w:tcW w:w="3684" w:type="dxa"/>
          <w:vAlign w:val="center"/>
          <w:hideMark/>
        </w:tcPr>
        <w:p w14:paraId="7B80560D" w14:textId="77777777" w:rsidR="00280FDC" w:rsidRPr="005B0E26" w:rsidRDefault="00BF3020" w:rsidP="00A9642C">
          <w:pPr>
            <w:pStyle w:val="Encabezado"/>
            <w:rPr>
              <w:rFonts w:ascii="Palatino Linotype" w:hAnsi="Palatino Linotype"/>
              <w:b/>
              <w:sz w:val="22"/>
              <w:szCs w:val="22"/>
            </w:rPr>
          </w:pPr>
          <w:r>
            <w:rPr>
              <w:rFonts w:ascii="Palatino Linotype" w:hAnsi="Palatino Linotype" w:cs="Arial"/>
              <w:b/>
              <w:bCs/>
              <w:sz w:val="22"/>
              <w:szCs w:val="22"/>
              <w:lang w:eastAsia="es-MX"/>
            </w:rPr>
            <w:t>07628</w:t>
          </w:r>
          <w:r w:rsidR="00280FDC" w:rsidRPr="005B0E26">
            <w:rPr>
              <w:rFonts w:ascii="Palatino Linotype" w:hAnsi="Palatino Linotype" w:cs="Arial"/>
              <w:b/>
              <w:bCs/>
              <w:sz w:val="22"/>
              <w:szCs w:val="22"/>
              <w:lang w:eastAsia="es-MX"/>
            </w:rPr>
            <w:t>/INFOEM/IP/RR/2022</w:t>
          </w:r>
        </w:p>
      </w:tc>
    </w:tr>
    <w:tr w:rsidR="00280FDC" w14:paraId="2C95034B" w14:textId="77777777" w:rsidTr="006A04B6">
      <w:trPr>
        <w:trHeight w:val="242"/>
      </w:trPr>
      <w:tc>
        <w:tcPr>
          <w:tcW w:w="2977" w:type="dxa"/>
          <w:vAlign w:val="center"/>
          <w:hideMark/>
        </w:tcPr>
        <w:p w14:paraId="78D1008F" w14:textId="77777777" w:rsidR="00280FDC" w:rsidRPr="005B0E26" w:rsidRDefault="00280FDC" w:rsidP="009F09BC">
          <w:pPr>
            <w:jc w:val="right"/>
            <w:rPr>
              <w:rFonts w:ascii="Palatino Linotype" w:hAnsi="Palatino Linotype"/>
              <w:b/>
              <w:sz w:val="22"/>
              <w:szCs w:val="22"/>
            </w:rPr>
          </w:pPr>
          <w:r w:rsidRPr="005B0E26">
            <w:rPr>
              <w:rFonts w:ascii="Palatino Linotype" w:hAnsi="Palatino Linotype"/>
              <w:b/>
              <w:sz w:val="22"/>
              <w:szCs w:val="22"/>
            </w:rPr>
            <w:t>Recurrente:</w:t>
          </w:r>
        </w:p>
      </w:tc>
      <w:tc>
        <w:tcPr>
          <w:tcW w:w="3684" w:type="dxa"/>
          <w:hideMark/>
        </w:tcPr>
        <w:p w14:paraId="5D00A4FA" w14:textId="3FC81EB4" w:rsidR="00280FDC" w:rsidRPr="005B0E26" w:rsidRDefault="00C20D3F" w:rsidP="00C20D3F">
          <w:pPr>
            <w:pStyle w:val="Encabezado"/>
            <w:tabs>
              <w:tab w:val="left" w:pos="521"/>
            </w:tabs>
            <w:rPr>
              <w:rFonts w:ascii="Palatino Linotype" w:hAnsi="Palatino Linotype"/>
              <w:b/>
              <w:sz w:val="22"/>
              <w:szCs w:val="22"/>
            </w:rPr>
          </w:pPr>
          <w:r>
            <w:rPr>
              <w:rFonts w:ascii="Palatino Linotype" w:hAnsi="Palatino Linotype"/>
              <w:b/>
              <w:bCs/>
              <w:sz w:val="22"/>
              <w:szCs w:val="22"/>
            </w:rPr>
            <w:t xml:space="preserve">XXX </w:t>
          </w:r>
          <w:proofErr w:type="spellStart"/>
          <w:r>
            <w:rPr>
              <w:rFonts w:ascii="Palatino Linotype" w:hAnsi="Palatino Linotype"/>
              <w:b/>
              <w:bCs/>
              <w:sz w:val="22"/>
              <w:szCs w:val="22"/>
            </w:rPr>
            <w:t>XXX</w:t>
          </w:r>
          <w:proofErr w:type="spellEnd"/>
          <w:r>
            <w:rPr>
              <w:rFonts w:ascii="Palatino Linotype" w:hAnsi="Palatino Linotype"/>
              <w:b/>
              <w:bCs/>
              <w:sz w:val="22"/>
              <w:szCs w:val="22"/>
            </w:rPr>
            <w:t xml:space="preserve"> </w:t>
          </w:r>
          <w:proofErr w:type="spellStart"/>
          <w:r>
            <w:rPr>
              <w:rFonts w:ascii="Palatino Linotype" w:hAnsi="Palatino Linotype"/>
              <w:b/>
              <w:bCs/>
              <w:sz w:val="22"/>
              <w:szCs w:val="22"/>
            </w:rPr>
            <w:t>XXX</w:t>
          </w:r>
          <w:proofErr w:type="spellEnd"/>
          <w:r w:rsidR="00BF3020" w:rsidRPr="00BF3020">
            <w:rPr>
              <w:rFonts w:ascii="Palatino Linotype" w:hAnsi="Palatino Linotype"/>
              <w:b/>
              <w:bCs/>
              <w:sz w:val="22"/>
              <w:szCs w:val="22"/>
            </w:rPr>
            <w:t xml:space="preserve"> </w:t>
          </w:r>
        </w:p>
      </w:tc>
    </w:tr>
    <w:tr w:rsidR="00280FDC" w14:paraId="7C4E85B7" w14:textId="77777777" w:rsidTr="006A04B6">
      <w:trPr>
        <w:trHeight w:val="342"/>
      </w:trPr>
      <w:tc>
        <w:tcPr>
          <w:tcW w:w="2977" w:type="dxa"/>
          <w:vAlign w:val="center"/>
        </w:tcPr>
        <w:p w14:paraId="02B041BB" w14:textId="77777777" w:rsidR="00280FDC" w:rsidRPr="005B0E26" w:rsidRDefault="00280FDC" w:rsidP="009F09BC">
          <w:pPr>
            <w:jc w:val="right"/>
            <w:rPr>
              <w:rFonts w:ascii="Palatino Linotype" w:hAnsi="Palatino Linotype"/>
              <w:b/>
              <w:sz w:val="22"/>
              <w:szCs w:val="22"/>
            </w:rPr>
          </w:pPr>
          <w:r w:rsidRPr="005B0E26">
            <w:rPr>
              <w:rFonts w:ascii="Palatino Linotype" w:hAnsi="Palatino Linotype"/>
              <w:b/>
              <w:sz w:val="22"/>
              <w:szCs w:val="22"/>
            </w:rPr>
            <w:t>Sujeto Obligado:</w:t>
          </w:r>
        </w:p>
      </w:tc>
      <w:tc>
        <w:tcPr>
          <w:tcW w:w="3684" w:type="dxa"/>
          <w:vAlign w:val="center"/>
        </w:tcPr>
        <w:p w14:paraId="7927391D" w14:textId="77777777" w:rsidR="00280FDC" w:rsidRPr="005B0E26" w:rsidRDefault="00280FDC" w:rsidP="009F09BC">
          <w:pPr>
            <w:pStyle w:val="Encabezado"/>
            <w:jc w:val="both"/>
            <w:rPr>
              <w:rFonts w:ascii="Palatino Linotype" w:hAnsi="Palatino Linotype"/>
              <w:b/>
              <w:sz w:val="22"/>
              <w:szCs w:val="22"/>
            </w:rPr>
          </w:pPr>
          <w:r w:rsidRPr="007B3617">
            <w:rPr>
              <w:rFonts w:ascii="Palatino Linotype" w:hAnsi="Palatino Linotype"/>
              <w:b/>
              <w:sz w:val="22"/>
              <w:szCs w:val="22"/>
            </w:rPr>
            <w:t>Procuraduría de Protección al Ambiente del Estado de México</w:t>
          </w:r>
        </w:p>
      </w:tc>
    </w:tr>
    <w:tr w:rsidR="00280FDC" w14:paraId="16A2137D" w14:textId="77777777" w:rsidTr="006A04B6">
      <w:trPr>
        <w:trHeight w:val="342"/>
      </w:trPr>
      <w:tc>
        <w:tcPr>
          <w:tcW w:w="2977" w:type="dxa"/>
          <w:vAlign w:val="center"/>
        </w:tcPr>
        <w:p w14:paraId="31D38A16" w14:textId="77777777" w:rsidR="00280FDC" w:rsidRPr="005B0E26" w:rsidRDefault="00280FDC" w:rsidP="009F09BC">
          <w:pPr>
            <w:jc w:val="right"/>
            <w:rPr>
              <w:rFonts w:ascii="Palatino Linotype" w:hAnsi="Palatino Linotype"/>
              <w:b/>
              <w:sz w:val="22"/>
              <w:szCs w:val="22"/>
            </w:rPr>
          </w:pPr>
          <w:r w:rsidRPr="005B0E26">
            <w:rPr>
              <w:rFonts w:ascii="Palatino Linotype" w:hAnsi="Palatino Linotype"/>
              <w:b/>
              <w:sz w:val="22"/>
              <w:szCs w:val="22"/>
            </w:rPr>
            <w:t>Comisionada Ponente:</w:t>
          </w:r>
        </w:p>
      </w:tc>
      <w:tc>
        <w:tcPr>
          <w:tcW w:w="3684" w:type="dxa"/>
          <w:vAlign w:val="center"/>
        </w:tcPr>
        <w:p w14:paraId="01606193" w14:textId="77777777" w:rsidR="00280FDC" w:rsidRPr="005B0E26" w:rsidRDefault="00280FDC" w:rsidP="009F09BC">
          <w:pPr>
            <w:pStyle w:val="Encabezado"/>
            <w:rPr>
              <w:rFonts w:ascii="Palatino Linotype" w:hAnsi="Palatino Linotype"/>
              <w:b/>
              <w:sz w:val="22"/>
              <w:szCs w:val="22"/>
            </w:rPr>
          </w:pPr>
          <w:r w:rsidRPr="005B0E26">
            <w:rPr>
              <w:rFonts w:ascii="Palatino Linotype" w:hAnsi="Palatino Linotype"/>
              <w:b/>
              <w:sz w:val="22"/>
              <w:szCs w:val="22"/>
            </w:rPr>
            <w:t>María del Rosario Mejía Ayala</w:t>
          </w:r>
        </w:p>
      </w:tc>
    </w:tr>
  </w:tbl>
  <w:p w14:paraId="3C0395D3" w14:textId="77777777" w:rsidR="00280FDC" w:rsidRPr="00C222C0" w:rsidRDefault="000A72A5">
    <w:pPr>
      <w:pStyle w:val="Encabezado"/>
      <w:rPr>
        <w:sz w:val="16"/>
      </w:rPr>
    </w:pPr>
    <w:r>
      <w:rPr>
        <w:noProof/>
        <w:sz w:val="16"/>
        <w:lang w:eastAsia="es-MX"/>
      </w:rPr>
      <w:pict w14:anchorId="2169D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3.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F1382"/>
    <w:multiLevelType w:val="hybridMultilevel"/>
    <w:tmpl w:val="F7F894A0"/>
    <w:lvl w:ilvl="0" w:tplc="375C38DE">
      <w:start w:val="1"/>
      <w:numFmt w:val="lowerLetter"/>
      <w:lvlText w:val="%1)"/>
      <w:lvlJc w:val="left"/>
      <w:pPr>
        <w:ind w:left="720" w:hanging="360"/>
      </w:pPr>
      <w:rPr>
        <w:rFonts w:eastAsia="MS Mincho"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161270"/>
    <w:multiLevelType w:val="hybridMultilevel"/>
    <w:tmpl w:val="DC2C1C36"/>
    <w:lvl w:ilvl="0" w:tplc="9AE83E36">
      <w:start w:val="1"/>
      <w:numFmt w:val="decimal"/>
      <w:lvlText w:val="%1."/>
      <w:lvlJc w:val="left"/>
      <w:pPr>
        <w:ind w:left="720" w:hanging="360"/>
      </w:pPr>
      <w:rPr>
        <w:rFonts w:eastAsia="Calibri"/>
        <w:b/>
        <w:sz w:val="24"/>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6D0660D"/>
    <w:multiLevelType w:val="hybridMultilevel"/>
    <w:tmpl w:val="81B68360"/>
    <w:lvl w:ilvl="0" w:tplc="490E2B58">
      <w:start w:val="45"/>
      <w:numFmt w:val="decimal"/>
      <w:lvlText w:val="%1."/>
      <w:lvlJc w:val="left"/>
      <w:pPr>
        <w:ind w:left="4472" w:hanging="360"/>
      </w:pPr>
      <w:rPr>
        <w:rFonts w:ascii="Palatino Linotype" w:hAnsi="Palatino Linotype" w:hint="default"/>
        <w:b/>
        <w:i w:val="0"/>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5B13C48"/>
    <w:multiLevelType w:val="hybridMultilevel"/>
    <w:tmpl w:val="A2485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59F5AC8"/>
    <w:multiLevelType w:val="hybridMultilevel"/>
    <w:tmpl w:val="053AEF76"/>
    <w:lvl w:ilvl="0" w:tplc="C7F0DFC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C0A68DD"/>
    <w:multiLevelType w:val="hybridMultilevel"/>
    <w:tmpl w:val="E5BE4310"/>
    <w:lvl w:ilvl="0" w:tplc="23A494CC">
      <w:start w:val="1"/>
      <w:numFmt w:val="lowerLetter"/>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4" w15:restartNumberingAfterBreak="0">
    <w:nsid w:val="53471522"/>
    <w:multiLevelType w:val="hybridMultilevel"/>
    <w:tmpl w:val="E286B4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F0C1DEB"/>
    <w:multiLevelType w:val="hybridMultilevel"/>
    <w:tmpl w:val="F4FCF3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15:restartNumberingAfterBreak="0">
    <w:nsid w:val="6E616099"/>
    <w:multiLevelType w:val="hybridMultilevel"/>
    <w:tmpl w:val="9F564B4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743204EE"/>
    <w:multiLevelType w:val="hybridMultilevel"/>
    <w:tmpl w:val="CF00BBA6"/>
    <w:lvl w:ilvl="0" w:tplc="4A029FF2">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BAF3DB4"/>
    <w:multiLevelType w:val="hybridMultilevel"/>
    <w:tmpl w:val="AA0AE2F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8"/>
  </w:num>
  <w:num w:numId="2">
    <w:abstractNumId w:val="24"/>
  </w:num>
  <w:num w:numId="3">
    <w:abstractNumId w:val="6"/>
  </w:num>
  <w:num w:numId="4">
    <w:abstractNumId w:val="17"/>
  </w:num>
  <w:num w:numId="5">
    <w:abstractNumId w:val="5"/>
  </w:num>
  <w:num w:numId="6">
    <w:abstractNumId w:val="20"/>
  </w:num>
  <w:num w:numId="7">
    <w:abstractNumId w:val="25"/>
  </w:num>
  <w:num w:numId="8">
    <w:abstractNumId w:val="16"/>
  </w:num>
  <w:num w:numId="9">
    <w:abstractNumId w:val="10"/>
  </w:num>
  <w:num w:numId="10">
    <w:abstractNumId w:val="7"/>
  </w:num>
  <w:num w:numId="11">
    <w:abstractNumId w:val="0"/>
  </w:num>
  <w:num w:numId="12">
    <w:abstractNumId w:val="18"/>
  </w:num>
  <w:num w:numId="13">
    <w:abstractNumId w:val="15"/>
  </w:num>
  <w:num w:numId="14">
    <w:abstractNumId w:val="23"/>
  </w:num>
  <w:num w:numId="15">
    <w:abstractNumId w:val="4"/>
  </w:num>
  <w:num w:numId="16">
    <w:abstractNumId w:val="21"/>
  </w:num>
  <w:num w:numId="17">
    <w:abstractNumId w:val="3"/>
  </w:num>
  <w:num w:numId="18">
    <w:abstractNumId w:val="19"/>
  </w:num>
  <w:num w:numId="19">
    <w:abstractNumId w:val="13"/>
  </w:num>
  <w:num w:numId="20">
    <w:abstractNumId w:val="2"/>
  </w:num>
  <w:num w:numId="21">
    <w:abstractNumId w:val="14"/>
  </w:num>
  <w:num w:numId="22">
    <w:abstractNumId w:val="22"/>
  </w:num>
  <w:num w:numId="23">
    <w:abstractNumId w:val="12"/>
  </w:num>
  <w:num w:numId="24">
    <w:abstractNumId w:val="11"/>
  </w:num>
  <w:num w:numId="25">
    <w:abstractNumId w:val="9"/>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5508"/>
    <w:rsid w:val="000067B3"/>
    <w:rsid w:val="00010C43"/>
    <w:rsid w:val="00013EC9"/>
    <w:rsid w:val="00015F91"/>
    <w:rsid w:val="0001674C"/>
    <w:rsid w:val="00020780"/>
    <w:rsid w:val="00020FFF"/>
    <w:rsid w:val="00030FBC"/>
    <w:rsid w:val="000373F6"/>
    <w:rsid w:val="00041530"/>
    <w:rsid w:val="00046DD0"/>
    <w:rsid w:val="00051287"/>
    <w:rsid w:val="000650C2"/>
    <w:rsid w:val="00065792"/>
    <w:rsid w:val="0008243D"/>
    <w:rsid w:val="000845EF"/>
    <w:rsid w:val="00091F9A"/>
    <w:rsid w:val="000A0B7A"/>
    <w:rsid w:val="000A72A5"/>
    <w:rsid w:val="000D186B"/>
    <w:rsid w:val="000D4E4B"/>
    <w:rsid w:val="000E1A02"/>
    <w:rsid w:val="000E4891"/>
    <w:rsid w:val="000E4F3B"/>
    <w:rsid w:val="00103A3A"/>
    <w:rsid w:val="00103F2A"/>
    <w:rsid w:val="00104C9B"/>
    <w:rsid w:val="00112D7E"/>
    <w:rsid w:val="00114502"/>
    <w:rsid w:val="00126C85"/>
    <w:rsid w:val="0012773E"/>
    <w:rsid w:val="001352F5"/>
    <w:rsid w:val="00137203"/>
    <w:rsid w:val="00137491"/>
    <w:rsid w:val="00140817"/>
    <w:rsid w:val="001423A2"/>
    <w:rsid w:val="00156A8C"/>
    <w:rsid w:val="0016480B"/>
    <w:rsid w:val="00177119"/>
    <w:rsid w:val="00192AC9"/>
    <w:rsid w:val="00194FD4"/>
    <w:rsid w:val="001973E4"/>
    <w:rsid w:val="001A18E7"/>
    <w:rsid w:val="001C0503"/>
    <w:rsid w:val="001C4290"/>
    <w:rsid w:val="001D23C1"/>
    <w:rsid w:val="001D373F"/>
    <w:rsid w:val="001D5404"/>
    <w:rsid w:val="00223C06"/>
    <w:rsid w:val="00223DD9"/>
    <w:rsid w:val="00226B7D"/>
    <w:rsid w:val="00246A14"/>
    <w:rsid w:val="00253977"/>
    <w:rsid w:val="00272CA2"/>
    <w:rsid w:val="00277FAC"/>
    <w:rsid w:val="00280FDC"/>
    <w:rsid w:val="002901F4"/>
    <w:rsid w:val="00291264"/>
    <w:rsid w:val="00291500"/>
    <w:rsid w:val="002959E5"/>
    <w:rsid w:val="002B2DBC"/>
    <w:rsid w:val="002B43F7"/>
    <w:rsid w:val="002B74B6"/>
    <w:rsid w:val="002C0D3C"/>
    <w:rsid w:val="002C40FB"/>
    <w:rsid w:val="002C4997"/>
    <w:rsid w:val="002F7EE0"/>
    <w:rsid w:val="0030094A"/>
    <w:rsid w:val="00310233"/>
    <w:rsid w:val="00312281"/>
    <w:rsid w:val="0032189A"/>
    <w:rsid w:val="00323FFD"/>
    <w:rsid w:val="003437D9"/>
    <w:rsid w:val="003522EE"/>
    <w:rsid w:val="00353521"/>
    <w:rsid w:val="00353F1D"/>
    <w:rsid w:val="0035652E"/>
    <w:rsid w:val="00363183"/>
    <w:rsid w:val="00372672"/>
    <w:rsid w:val="00375B0E"/>
    <w:rsid w:val="00380600"/>
    <w:rsid w:val="003833B3"/>
    <w:rsid w:val="003A15C8"/>
    <w:rsid w:val="003A28A9"/>
    <w:rsid w:val="003B6769"/>
    <w:rsid w:val="003B7751"/>
    <w:rsid w:val="003C13F1"/>
    <w:rsid w:val="003E66D2"/>
    <w:rsid w:val="003F3059"/>
    <w:rsid w:val="003F5298"/>
    <w:rsid w:val="00402466"/>
    <w:rsid w:val="00407FDA"/>
    <w:rsid w:val="004118FA"/>
    <w:rsid w:val="00420C58"/>
    <w:rsid w:val="00423514"/>
    <w:rsid w:val="00425842"/>
    <w:rsid w:val="004264B6"/>
    <w:rsid w:val="00437672"/>
    <w:rsid w:val="004468F0"/>
    <w:rsid w:val="004525CB"/>
    <w:rsid w:val="00456CFF"/>
    <w:rsid w:val="0046395B"/>
    <w:rsid w:val="00467EA7"/>
    <w:rsid w:val="00477E91"/>
    <w:rsid w:val="004875EA"/>
    <w:rsid w:val="004A4393"/>
    <w:rsid w:val="004A78F2"/>
    <w:rsid w:val="004C139A"/>
    <w:rsid w:val="004E05B2"/>
    <w:rsid w:val="004E4EE6"/>
    <w:rsid w:val="004E5427"/>
    <w:rsid w:val="004E6CE4"/>
    <w:rsid w:val="004F34D1"/>
    <w:rsid w:val="004F44FA"/>
    <w:rsid w:val="00500399"/>
    <w:rsid w:val="00520987"/>
    <w:rsid w:val="00522B30"/>
    <w:rsid w:val="00531486"/>
    <w:rsid w:val="0054224D"/>
    <w:rsid w:val="005432D0"/>
    <w:rsid w:val="00544B15"/>
    <w:rsid w:val="00546076"/>
    <w:rsid w:val="00547ACE"/>
    <w:rsid w:val="005507B0"/>
    <w:rsid w:val="00554A21"/>
    <w:rsid w:val="00555688"/>
    <w:rsid w:val="00556E0A"/>
    <w:rsid w:val="00563F2E"/>
    <w:rsid w:val="00571676"/>
    <w:rsid w:val="0057514F"/>
    <w:rsid w:val="00590722"/>
    <w:rsid w:val="00592F5C"/>
    <w:rsid w:val="005B076D"/>
    <w:rsid w:val="005B0E26"/>
    <w:rsid w:val="005B3B95"/>
    <w:rsid w:val="005C3429"/>
    <w:rsid w:val="005C5021"/>
    <w:rsid w:val="005C70E5"/>
    <w:rsid w:val="005C7272"/>
    <w:rsid w:val="005D2F1C"/>
    <w:rsid w:val="005D4C57"/>
    <w:rsid w:val="005D7511"/>
    <w:rsid w:val="005F0B96"/>
    <w:rsid w:val="005F28B3"/>
    <w:rsid w:val="00614B85"/>
    <w:rsid w:val="006157DB"/>
    <w:rsid w:val="00627608"/>
    <w:rsid w:val="00647F7C"/>
    <w:rsid w:val="0065530D"/>
    <w:rsid w:val="00657639"/>
    <w:rsid w:val="00672571"/>
    <w:rsid w:val="00682A5E"/>
    <w:rsid w:val="0068467A"/>
    <w:rsid w:val="006972C5"/>
    <w:rsid w:val="006A04B6"/>
    <w:rsid w:val="006A153F"/>
    <w:rsid w:val="006A6390"/>
    <w:rsid w:val="006D15D0"/>
    <w:rsid w:val="006D6CC1"/>
    <w:rsid w:val="006E237E"/>
    <w:rsid w:val="006E4579"/>
    <w:rsid w:val="006E7397"/>
    <w:rsid w:val="006E7C94"/>
    <w:rsid w:val="006F066D"/>
    <w:rsid w:val="006F1C39"/>
    <w:rsid w:val="006F3EF7"/>
    <w:rsid w:val="006F6482"/>
    <w:rsid w:val="006F70EF"/>
    <w:rsid w:val="00705EFD"/>
    <w:rsid w:val="00711062"/>
    <w:rsid w:val="00711788"/>
    <w:rsid w:val="00716BCA"/>
    <w:rsid w:val="00720371"/>
    <w:rsid w:val="007210B9"/>
    <w:rsid w:val="0072660E"/>
    <w:rsid w:val="00731080"/>
    <w:rsid w:val="0073442D"/>
    <w:rsid w:val="0073648D"/>
    <w:rsid w:val="0073654B"/>
    <w:rsid w:val="00742823"/>
    <w:rsid w:val="00757123"/>
    <w:rsid w:val="00764299"/>
    <w:rsid w:val="00775EB2"/>
    <w:rsid w:val="00780124"/>
    <w:rsid w:val="00782A12"/>
    <w:rsid w:val="0078492D"/>
    <w:rsid w:val="007851DB"/>
    <w:rsid w:val="007859C5"/>
    <w:rsid w:val="007A0B88"/>
    <w:rsid w:val="007A6A1A"/>
    <w:rsid w:val="007B3617"/>
    <w:rsid w:val="007C095D"/>
    <w:rsid w:val="007C3761"/>
    <w:rsid w:val="007C565A"/>
    <w:rsid w:val="007E1D23"/>
    <w:rsid w:val="007E5F61"/>
    <w:rsid w:val="007F182A"/>
    <w:rsid w:val="007F4139"/>
    <w:rsid w:val="007F5915"/>
    <w:rsid w:val="00831B89"/>
    <w:rsid w:val="00843EFF"/>
    <w:rsid w:val="00846C1E"/>
    <w:rsid w:val="008526F4"/>
    <w:rsid w:val="00855290"/>
    <w:rsid w:val="008563C8"/>
    <w:rsid w:val="008573BF"/>
    <w:rsid w:val="0086792A"/>
    <w:rsid w:val="00873EB6"/>
    <w:rsid w:val="00875DDF"/>
    <w:rsid w:val="008A699B"/>
    <w:rsid w:val="008B0637"/>
    <w:rsid w:val="008C1ED7"/>
    <w:rsid w:val="008D0680"/>
    <w:rsid w:val="008E330F"/>
    <w:rsid w:val="008E34A5"/>
    <w:rsid w:val="008E475A"/>
    <w:rsid w:val="008E6050"/>
    <w:rsid w:val="008E6574"/>
    <w:rsid w:val="008F49E1"/>
    <w:rsid w:val="008F6D18"/>
    <w:rsid w:val="00905F49"/>
    <w:rsid w:val="00906E4A"/>
    <w:rsid w:val="009072B7"/>
    <w:rsid w:val="00911A75"/>
    <w:rsid w:val="009126F1"/>
    <w:rsid w:val="0091762E"/>
    <w:rsid w:val="009335F9"/>
    <w:rsid w:val="00933A28"/>
    <w:rsid w:val="00944522"/>
    <w:rsid w:val="00945135"/>
    <w:rsid w:val="00950B44"/>
    <w:rsid w:val="0096209D"/>
    <w:rsid w:val="0098151A"/>
    <w:rsid w:val="009A1604"/>
    <w:rsid w:val="009A2251"/>
    <w:rsid w:val="009C0F23"/>
    <w:rsid w:val="009D10FD"/>
    <w:rsid w:val="009D5164"/>
    <w:rsid w:val="009D5A32"/>
    <w:rsid w:val="009D65DE"/>
    <w:rsid w:val="009E6159"/>
    <w:rsid w:val="009F09BC"/>
    <w:rsid w:val="00A03F8F"/>
    <w:rsid w:val="00A054B6"/>
    <w:rsid w:val="00A1757E"/>
    <w:rsid w:val="00A21B4B"/>
    <w:rsid w:val="00A23E82"/>
    <w:rsid w:val="00A2738F"/>
    <w:rsid w:val="00A40414"/>
    <w:rsid w:val="00A61824"/>
    <w:rsid w:val="00A626EB"/>
    <w:rsid w:val="00A7007A"/>
    <w:rsid w:val="00A80992"/>
    <w:rsid w:val="00A9642C"/>
    <w:rsid w:val="00AD316E"/>
    <w:rsid w:val="00AD63B4"/>
    <w:rsid w:val="00AD6B3B"/>
    <w:rsid w:val="00AF4BBC"/>
    <w:rsid w:val="00AF4EB9"/>
    <w:rsid w:val="00B012C4"/>
    <w:rsid w:val="00B07BF8"/>
    <w:rsid w:val="00B10B4D"/>
    <w:rsid w:val="00B14295"/>
    <w:rsid w:val="00B47955"/>
    <w:rsid w:val="00B54047"/>
    <w:rsid w:val="00B64EBE"/>
    <w:rsid w:val="00B6795A"/>
    <w:rsid w:val="00B72462"/>
    <w:rsid w:val="00B7267C"/>
    <w:rsid w:val="00B755E2"/>
    <w:rsid w:val="00B77ECF"/>
    <w:rsid w:val="00B912BD"/>
    <w:rsid w:val="00BA0EDC"/>
    <w:rsid w:val="00BA3401"/>
    <w:rsid w:val="00BB4CF4"/>
    <w:rsid w:val="00BC18CF"/>
    <w:rsid w:val="00BE2912"/>
    <w:rsid w:val="00BE70CC"/>
    <w:rsid w:val="00BF3020"/>
    <w:rsid w:val="00BF3FB5"/>
    <w:rsid w:val="00C0715F"/>
    <w:rsid w:val="00C105CC"/>
    <w:rsid w:val="00C111BE"/>
    <w:rsid w:val="00C11344"/>
    <w:rsid w:val="00C12337"/>
    <w:rsid w:val="00C1439F"/>
    <w:rsid w:val="00C14F2A"/>
    <w:rsid w:val="00C1546B"/>
    <w:rsid w:val="00C17CD5"/>
    <w:rsid w:val="00C20D3F"/>
    <w:rsid w:val="00C21FAE"/>
    <w:rsid w:val="00C23EB6"/>
    <w:rsid w:val="00C4016F"/>
    <w:rsid w:val="00C41B2B"/>
    <w:rsid w:val="00C54D99"/>
    <w:rsid w:val="00C6007D"/>
    <w:rsid w:val="00C674FC"/>
    <w:rsid w:val="00C7567F"/>
    <w:rsid w:val="00C83339"/>
    <w:rsid w:val="00C85E64"/>
    <w:rsid w:val="00C87396"/>
    <w:rsid w:val="00C90814"/>
    <w:rsid w:val="00C91F0F"/>
    <w:rsid w:val="00C95894"/>
    <w:rsid w:val="00CA1063"/>
    <w:rsid w:val="00CA3A63"/>
    <w:rsid w:val="00CC5B2F"/>
    <w:rsid w:val="00CE53EB"/>
    <w:rsid w:val="00CF0D2B"/>
    <w:rsid w:val="00CF1B6E"/>
    <w:rsid w:val="00D021A5"/>
    <w:rsid w:val="00D02221"/>
    <w:rsid w:val="00D03B93"/>
    <w:rsid w:val="00D042C8"/>
    <w:rsid w:val="00D05C40"/>
    <w:rsid w:val="00D06ECC"/>
    <w:rsid w:val="00D16FC7"/>
    <w:rsid w:val="00D208A9"/>
    <w:rsid w:val="00D23D05"/>
    <w:rsid w:val="00D24D1B"/>
    <w:rsid w:val="00D3321E"/>
    <w:rsid w:val="00D3346F"/>
    <w:rsid w:val="00D4403A"/>
    <w:rsid w:val="00D45D1F"/>
    <w:rsid w:val="00D47231"/>
    <w:rsid w:val="00D52242"/>
    <w:rsid w:val="00D52DAB"/>
    <w:rsid w:val="00D6224B"/>
    <w:rsid w:val="00D81329"/>
    <w:rsid w:val="00D86018"/>
    <w:rsid w:val="00DA6538"/>
    <w:rsid w:val="00DA6D37"/>
    <w:rsid w:val="00DA782E"/>
    <w:rsid w:val="00DB753F"/>
    <w:rsid w:val="00DE3E5E"/>
    <w:rsid w:val="00DF0719"/>
    <w:rsid w:val="00E02175"/>
    <w:rsid w:val="00E118BA"/>
    <w:rsid w:val="00E16087"/>
    <w:rsid w:val="00E17429"/>
    <w:rsid w:val="00E43FC8"/>
    <w:rsid w:val="00E54A61"/>
    <w:rsid w:val="00E54AAE"/>
    <w:rsid w:val="00E56172"/>
    <w:rsid w:val="00E5636B"/>
    <w:rsid w:val="00E566C9"/>
    <w:rsid w:val="00E56AF3"/>
    <w:rsid w:val="00E57A52"/>
    <w:rsid w:val="00E61DA9"/>
    <w:rsid w:val="00E65521"/>
    <w:rsid w:val="00E65C7F"/>
    <w:rsid w:val="00E70EF0"/>
    <w:rsid w:val="00E77C93"/>
    <w:rsid w:val="00E80237"/>
    <w:rsid w:val="00E80B31"/>
    <w:rsid w:val="00E819F3"/>
    <w:rsid w:val="00E92E04"/>
    <w:rsid w:val="00EA1575"/>
    <w:rsid w:val="00EA45FB"/>
    <w:rsid w:val="00EB2287"/>
    <w:rsid w:val="00ED1D6B"/>
    <w:rsid w:val="00ED3A35"/>
    <w:rsid w:val="00ED6E75"/>
    <w:rsid w:val="00EF0CCB"/>
    <w:rsid w:val="00EF581A"/>
    <w:rsid w:val="00F24A04"/>
    <w:rsid w:val="00F25363"/>
    <w:rsid w:val="00F30E97"/>
    <w:rsid w:val="00F35B0C"/>
    <w:rsid w:val="00F42ADB"/>
    <w:rsid w:val="00F52480"/>
    <w:rsid w:val="00F71C2D"/>
    <w:rsid w:val="00F7371C"/>
    <w:rsid w:val="00F81B92"/>
    <w:rsid w:val="00F946B5"/>
    <w:rsid w:val="00FA3E72"/>
    <w:rsid w:val="00FB1369"/>
    <w:rsid w:val="00FC089F"/>
    <w:rsid w:val="00FC0A83"/>
    <w:rsid w:val="00FC38BE"/>
    <w:rsid w:val="00FD2FA4"/>
    <w:rsid w:val="00FE3FBE"/>
    <w:rsid w:val="00FE6761"/>
    <w:rsid w:val="00FE7C75"/>
    <w:rsid w:val="00FF161F"/>
    <w:rsid w:val="3A01F7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D28C9F"/>
  <w15:chartTrackingRefBased/>
  <w15:docId w15:val="{836CCB32-4DDF-4654-B5F3-6306847F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customStyle="1" w:styleId="Tablaconcuadrcula27">
    <w:name w:val="Tabla con cuadrícula27"/>
    <w:basedOn w:val="Tablanormal"/>
    <w:next w:val="Tablaconcuadrcula"/>
    <w:uiPriority w:val="39"/>
    <w:rsid w:val="00EF581A"/>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80FDC"/>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sutil">
    <w:name w:val="Subtle Reference"/>
    <w:basedOn w:val="Fuentedeprrafopredeter"/>
    <w:uiPriority w:val="31"/>
    <w:qFormat/>
    <w:rsid w:val="00555688"/>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2985">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997731758">
      <w:bodyDiv w:val="1"/>
      <w:marLeft w:val="0"/>
      <w:marRight w:val="0"/>
      <w:marTop w:val="0"/>
      <w:marBottom w:val="0"/>
      <w:divBdr>
        <w:top w:val="none" w:sz="0" w:space="0" w:color="auto"/>
        <w:left w:val="none" w:sz="0" w:space="0" w:color="auto"/>
        <w:bottom w:val="none" w:sz="0" w:space="0" w:color="auto"/>
        <w:right w:val="none" w:sz="0" w:space="0" w:color="auto"/>
      </w:divBdr>
    </w:div>
    <w:div w:id="1192037898">
      <w:bodyDiv w:val="1"/>
      <w:marLeft w:val="0"/>
      <w:marRight w:val="0"/>
      <w:marTop w:val="0"/>
      <w:marBottom w:val="0"/>
      <w:divBdr>
        <w:top w:val="none" w:sz="0" w:space="0" w:color="auto"/>
        <w:left w:val="none" w:sz="0" w:space="0" w:color="auto"/>
        <w:bottom w:val="none" w:sz="0" w:space="0" w:color="auto"/>
        <w:right w:val="none" w:sz="0" w:space="0" w:color="auto"/>
      </w:divBdr>
    </w:div>
    <w:div w:id="209770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21081.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1421081.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le.rae.es/?id=FdI00O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1445533.pag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08079-B87A-4AF5-A341-5AE335535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47</Pages>
  <Words>9454</Words>
  <Characters>51997</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dcterms:created xsi:type="dcterms:W3CDTF">2023-08-22T23:10:00Z</dcterms:created>
  <dcterms:modified xsi:type="dcterms:W3CDTF">2023-08-28T17:55:00Z</dcterms:modified>
</cp:coreProperties>
</file>