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87E7" w14:textId="0D722549" w:rsidR="00B03EDE" w:rsidRPr="008F022D" w:rsidRDefault="00B03EDE" w:rsidP="00565EE3">
      <w:pPr>
        <w:spacing w:line="360" w:lineRule="auto"/>
        <w:contextualSpacing/>
        <w:jc w:val="both"/>
        <w:rPr>
          <w:rFonts w:ascii="Palatino Linotype" w:hAnsi="Palatino Linotype"/>
          <w:noProof/>
          <w:sz w:val="22"/>
          <w:szCs w:val="22"/>
          <w:lang w:val="es-ES"/>
        </w:rPr>
      </w:pPr>
      <w:r w:rsidRPr="008F022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52F99" w:rsidRPr="008F022D">
        <w:rPr>
          <w:rFonts w:ascii="Palatino Linotype" w:hAnsi="Palatino Linotype" w:cs="Tahoma"/>
          <w:bCs/>
          <w:sz w:val="22"/>
          <w:szCs w:val="22"/>
        </w:rPr>
        <w:t>quince</w:t>
      </w:r>
      <w:r w:rsidR="0066424F" w:rsidRPr="008F022D">
        <w:rPr>
          <w:rFonts w:ascii="Palatino Linotype" w:hAnsi="Palatino Linotype" w:cs="Tahoma"/>
          <w:bCs/>
          <w:sz w:val="22"/>
          <w:szCs w:val="22"/>
        </w:rPr>
        <w:t xml:space="preserve"> de </w:t>
      </w:r>
      <w:r w:rsidR="007F3C67" w:rsidRPr="008F022D">
        <w:rPr>
          <w:rFonts w:ascii="Palatino Linotype" w:hAnsi="Palatino Linotype" w:cs="Tahoma"/>
          <w:bCs/>
          <w:sz w:val="22"/>
          <w:szCs w:val="22"/>
        </w:rPr>
        <w:t>marzo</w:t>
      </w:r>
      <w:r w:rsidR="0066424F" w:rsidRPr="008F022D">
        <w:rPr>
          <w:rFonts w:ascii="Palatino Linotype" w:hAnsi="Palatino Linotype" w:cs="Tahoma"/>
          <w:bCs/>
          <w:sz w:val="22"/>
          <w:szCs w:val="22"/>
        </w:rPr>
        <w:t xml:space="preserve"> </w:t>
      </w:r>
      <w:r w:rsidR="0078036C" w:rsidRPr="008F022D">
        <w:rPr>
          <w:rFonts w:ascii="Palatino Linotype" w:hAnsi="Palatino Linotype" w:cs="Tahoma"/>
          <w:bCs/>
          <w:sz w:val="22"/>
          <w:szCs w:val="22"/>
        </w:rPr>
        <w:t>de dos mil veintitrés</w:t>
      </w:r>
      <w:r w:rsidRPr="008F022D">
        <w:rPr>
          <w:rFonts w:ascii="Palatino Linotype" w:hAnsi="Palatino Linotype" w:cs="Tahoma"/>
          <w:bCs/>
          <w:sz w:val="22"/>
          <w:szCs w:val="22"/>
        </w:rPr>
        <w:t>.</w:t>
      </w:r>
    </w:p>
    <w:p w14:paraId="67AD71AC" w14:textId="77777777" w:rsidR="00B03EDE" w:rsidRPr="008F022D" w:rsidRDefault="00B03EDE" w:rsidP="00565EE3">
      <w:pPr>
        <w:spacing w:line="360" w:lineRule="auto"/>
        <w:contextualSpacing/>
        <w:jc w:val="both"/>
        <w:rPr>
          <w:rFonts w:ascii="Palatino Linotype" w:hAnsi="Palatino Linotype"/>
          <w:noProof/>
          <w:sz w:val="22"/>
          <w:szCs w:val="22"/>
          <w:lang w:val="es-ES"/>
        </w:rPr>
      </w:pPr>
    </w:p>
    <w:p w14:paraId="03EEBBA4" w14:textId="44922E90" w:rsidR="00B03EDE" w:rsidRPr="008F022D" w:rsidRDefault="00B03EDE" w:rsidP="00565EE3">
      <w:pPr>
        <w:spacing w:line="360" w:lineRule="auto"/>
        <w:contextualSpacing/>
        <w:jc w:val="both"/>
        <w:rPr>
          <w:rFonts w:ascii="Palatino Linotype" w:eastAsia="Calibri" w:hAnsi="Palatino Linotype" w:cs="Tahoma"/>
          <w:sz w:val="22"/>
          <w:szCs w:val="22"/>
          <w:lang w:val="es-ES" w:eastAsia="en-US"/>
        </w:rPr>
      </w:pPr>
      <w:r w:rsidRPr="008F022D">
        <w:rPr>
          <w:rFonts w:ascii="Palatino Linotype" w:hAnsi="Palatino Linotype" w:cs="Tahoma"/>
          <w:b/>
          <w:bCs/>
          <w:color w:val="0D0D0D" w:themeColor="text1" w:themeTint="F2"/>
          <w:sz w:val="22"/>
          <w:szCs w:val="22"/>
        </w:rPr>
        <w:t>VISTO</w:t>
      </w:r>
      <w:r w:rsidRPr="008F022D">
        <w:rPr>
          <w:rFonts w:ascii="Palatino Linotype" w:hAnsi="Palatino Linotype" w:cs="Tahoma"/>
          <w:bCs/>
          <w:color w:val="0D0D0D" w:themeColor="text1" w:themeTint="F2"/>
          <w:sz w:val="22"/>
          <w:szCs w:val="22"/>
        </w:rPr>
        <w:t xml:space="preserve"> el expediente conformado con motivo del Recurso de Revisión </w:t>
      </w:r>
      <w:r w:rsidR="0078036C" w:rsidRPr="008F022D">
        <w:rPr>
          <w:rFonts w:ascii="Palatino Linotype" w:eastAsia="Calibri" w:hAnsi="Palatino Linotype" w:cs="Tahoma"/>
          <w:b/>
          <w:sz w:val="22"/>
          <w:szCs w:val="22"/>
          <w:lang w:eastAsia="en-US"/>
        </w:rPr>
        <w:t>00</w:t>
      </w:r>
      <w:r w:rsidR="00352F99" w:rsidRPr="008F022D">
        <w:rPr>
          <w:rFonts w:ascii="Palatino Linotype" w:eastAsia="Calibri" w:hAnsi="Palatino Linotype" w:cs="Tahoma"/>
          <w:b/>
          <w:sz w:val="22"/>
          <w:szCs w:val="22"/>
          <w:lang w:eastAsia="en-US"/>
        </w:rPr>
        <w:t>751</w:t>
      </w:r>
      <w:r w:rsidR="0078036C" w:rsidRPr="008F022D">
        <w:rPr>
          <w:rFonts w:ascii="Palatino Linotype" w:eastAsia="Calibri" w:hAnsi="Palatino Linotype" w:cs="Tahoma"/>
          <w:b/>
          <w:sz w:val="22"/>
          <w:szCs w:val="22"/>
          <w:lang w:eastAsia="en-US"/>
        </w:rPr>
        <w:t>/INFOEM/IP/RR/2023</w:t>
      </w:r>
      <w:r w:rsidR="00C87E36" w:rsidRPr="008F022D">
        <w:rPr>
          <w:rFonts w:ascii="Palatino Linotype" w:eastAsia="Calibri" w:hAnsi="Palatino Linotype" w:cs="Tahoma"/>
          <w:sz w:val="22"/>
          <w:szCs w:val="22"/>
          <w:lang w:eastAsia="en-US"/>
        </w:rPr>
        <w:t>,</w:t>
      </w:r>
      <w:r w:rsidRPr="008F022D">
        <w:rPr>
          <w:rFonts w:ascii="Palatino Linotype" w:eastAsia="Calibri" w:hAnsi="Palatino Linotype" w:cs="Tahoma"/>
          <w:sz w:val="22"/>
          <w:szCs w:val="22"/>
          <w:lang w:eastAsia="en-US"/>
        </w:rPr>
        <w:t xml:space="preserve"> </w:t>
      </w:r>
      <w:r w:rsidRPr="008F022D">
        <w:rPr>
          <w:rFonts w:ascii="Palatino Linotype" w:hAnsi="Palatino Linotype" w:cs="Tahoma"/>
          <w:color w:val="0D0D0D" w:themeColor="text1" w:themeTint="F2"/>
          <w:sz w:val="22"/>
          <w:szCs w:val="22"/>
        </w:rPr>
        <w:t>interpuesto por</w:t>
      </w:r>
      <w:r w:rsidR="00F96491" w:rsidRPr="008F022D">
        <w:rPr>
          <w:rFonts w:ascii="Palatino Linotype" w:hAnsi="Palatino Linotype" w:cs="Tahoma"/>
          <w:color w:val="0D0D0D" w:themeColor="text1" w:themeTint="F2"/>
          <w:sz w:val="22"/>
          <w:szCs w:val="22"/>
        </w:rPr>
        <w:t xml:space="preserve"> </w:t>
      </w:r>
      <w:r w:rsidR="007F3C67" w:rsidRPr="008F022D">
        <w:rPr>
          <w:rFonts w:ascii="Palatino Linotype" w:hAnsi="Palatino Linotype" w:cs="Tahoma"/>
          <w:color w:val="0D0D0D" w:themeColor="text1" w:themeTint="F2"/>
          <w:sz w:val="22"/>
          <w:szCs w:val="22"/>
        </w:rPr>
        <w:t>el</w:t>
      </w:r>
      <w:r w:rsidRPr="008F022D">
        <w:rPr>
          <w:rFonts w:ascii="Palatino Linotype" w:hAnsi="Palatino Linotype" w:cs="Tahoma"/>
          <w:color w:val="0D0D0D" w:themeColor="text1" w:themeTint="F2"/>
          <w:sz w:val="22"/>
          <w:szCs w:val="22"/>
        </w:rPr>
        <w:t xml:space="preserve"> Recurrente o Particular, </w:t>
      </w:r>
      <w:r w:rsidRPr="008F022D">
        <w:rPr>
          <w:rFonts w:ascii="Palatino Linotype" w:eastAsia="Calibri" w:hAnsi="Palatino Linotype" w:cs="Tahoma"/>
          <w:sz w:val="22"/>
          <w:szCs w:val="22"/>
          <w:lang w:val="es-ES" w:eastAsia="en-US"/>
        </w:rPr>
        <w:t xml:space="preserve">en contra de la respuesta del Sujeto Obligado, </w:t>
      </w:r>
      <w:r w:rsidR="0078036C" w:rsidRPr="008F022D">
        <w:rPr>
          <w:rFonts w:ascii="Palatino Linotype" w:eastAsia="Calibri" w:hAnsi="Palatino Linotype" w:cs="Tahoma"/>
          <w:sz w:val="22"/>
          <w:szCs w:val="22"/>
          <w:lang w:eastAsia="en-US"/>
        </w:rPr>
        <w:t>Ayuntamiento de Zinacantepec</w:t>
      </w:r>
      <w:r w:rsidRPr="008F022D">
        <w:rPr>
          <w:rFonts w:ascii="Palatino Linotype" w:eastAsia="Calibri" w:hAnsi="Palatino Linotype" w:cs="Tahoma"/>
          <w:sz w:val="22"/>
          <w:szCs w:val="22"/>
          <w:lang w:val="es-ES" w:eastAsia="en-US"/>
        </w:rPr>
        <w:t>, a la solicitud de acceso a la información</w:t>
      </w:r>
      <w:r w:rsidR="00A82B57" w:rsidRPr="008F022D">
        <w:rPr>
          <w:rFonts w:ascii="Palatino Linotype" w:eastAsia="Calibri" w:hAnsi="Palatino Linotype" w:cs="Tahoma"/>
          <w:sz w:val="22"/>
          <w:szCs w:val="22"/>
          <w:lang w:val="es-ES" w:eastAsia="en-US"/>
        </w:rPr>
        <w:t xml:space="preserve"> </w:t>
      </w:r>
      <w:r w:rsidR="0078036C" w:rsidRPr="008F022D">
        <w:rPr>
          <w:rFonts w:ascii="Palatino Linotype" w:eastAsia="Calibri" w:hAnsi="Palatino Linotype" w:cs="Tahoma"/>
          <w:sz w:val="22"/>
          <w:szCs w:val="22"/>
          <w:lang w:eastAsia="en-US"/>
        </w:rPr>
        <w:t>000</w:t>
      </w:r>
      <w:r w:rsidR="00352F99" w:rsidRPr="008F022D">
        <w:rPr>
          <w:rFonts w:ascii="Palatino Linotype" w:eastAsia="Calibri" w:hAnsi="Palatino Linotype" w:cs="Tahoma"/>
          <w:sz w:val="22"/>
          <w:szCs w:val="22"/>
          <w:lang w:eastAsia="en-US"/>
        </w:rPr>
        <w:t>83</w:t>
      </w:r>
      <w:r w:rsidR="0078036C" w:rsidRPr="008F022D">
        <w:rPr>
          <w:rFonts w:ascii="Palatino Linotype" w:eastAsia="Calibri" w:hAnsi="Palatino Linotype" w:cs="Tahoma"/>
          <w:sz w:val="22"/>
          <w:szCs w:val="22"/>
          <w:lang w:eastAsia="en-US"/>
        </w:rPr>
        <w:t>/ZINACANT/IP/2023</w:t>
      </w:r>
      <w:r w:rsidRPr="008F022D">
        <w:rPr>
          <w:rFonts w:ascii="Palatino Linotype" w:eastAsia="Calibri" w:hAnsi="Palatino Linotype" w:cs="Tahoma"/>
          <w:sz w:val="22"/>
          <w:szCs w:val="22"/>
          <w:lang w:val="es-ES" w:eastAsia="en-US"/>
        </w:rPr>
        <w:t>, se emite la presente</w:t>
      </w:r>
      <w:r w:rsidRPr="008F022D">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8F022D" w:rsidRDefault="00B03EDE" w:rsidP="00565EE3">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8F022D" w:rsidRDefault="00B03EDE" w:rsidP="00565EE3">
      <w:pPr>
        <w:spacing w:line="360" w:lineRule="auto"/>
        <w:ind w:right="-93"/>
        <w:contextualSpacing/>
        <w:jc w:val="center"/>
        <w:rPr>
          <w:rFonts w:ascii="Palatino Linotype" w:eastAsia="Calibri" w:hAnsi="Palatino Linotype" w:cs="Tahoma"/>
          <w:b/>
          <w:bCs/>
          <w:sz w:val="22"/>
          <w:szCs w:val="22"/>
          <w:lang w:eastAsia="en-US"/>
        </w:rPr>
      </w:pPr>
      <w:r w:rsidRPr="008F022D">
        <w:rPr>
          <w:rFonts w:ascii="Palatino Linotype" w:eastAsia="Calibri" w:hAnsi="Palatino Linotype" w:cs="Tahoma"/>
          <w:b/>
          <w:bCs/>
          <w:sz w:val="22"/>
          <w:szCs w:val="22"/>
          <w:lang w:eastAsia="en-US"/>
        </w:rPr>
        <w:t>A N T E C E D E N T E S:</w:t>
      </w:r>
    </w:p>
    <w:p w14:paraId="16984CF4" w14:textId="77777777" w:rsidR="00B03EDE" w:rsidRPr="008F022D" w:rsidRDefault="00B03EDE" w:rsidP="00565EE3">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8F022D" w:rsidRDefault="00B03EDE" w:rsidP="00565EE3">
      <w:pPr>
        <w:spacing w:line="360" w:lineRule="auto"/>
        <w:contextualSpacing/>
        <w:jc w:val="both"/>
        <w:rPr>
          <w:rFonts w:ascii="Palatino Linotype" w:eastAsia="Calibri" w:hAnsi="Palatino Linotype" w:cs="Tahoma"/>
          <w:b/>
          <w:bCs/>
          <w:sz w:val="22"/>
          <w:szCs w:val="22"/>
          <w:lang w:eastAsia="en-US"/>
        </w:rPr>
      </w:pPr>
      <w:r w:rsidRPr="008F022D">
        <w:rPr>
          <w:rFonts w:ascii="Palatino Linotype" w:eastAsia="Calibri" w:hAnsi="Palatino Linotype" w:cs="Tahoma"/>
          <w:b/>
          <w:bCs/>
          <w:sz w:val="22"/>
          <w:szCs w:val="22"/>
          <w:lang w:eastAsia="en-US"/>
        </w:rPr>
        <w:t>I. Presentación de la solicitud de información.</w:t>
      </w:r>
      <w:r w:rsidR="00046E37" w:rsidRPr="008F022D">
        <w:rPr>
          <w:rFonts w:ascii="Palatino Linotype" w:eastAsia="Calibri" w:hAnsi="Palatino Linotype" w:cs="Tahoma"/>
          <w:b/>
          <w:bCs/>
          <w:sz w:val="22"/>
          <w:szCs w:val="22"/>
          <w:lang w:eastAsia="en-US"/>
        </w:rPr>
        <w:t xml:space="preserve"> </w:t>
      </w:r>
    </w:p>
    <w:p w14:paraId="2E5149FA" w14:textId="77777777" w:rsidR="00B03EDE" w:rsidRPr="008F022D" w:rsidRDefault="00B03EDE" w:rsidP="00565EE3">
      <w:pPr>
        <w:autoSpaceDE w:val="0"/>
        <w:autoSpaceDN w:val="0"/>
        <w:adjustRightInd w:val="0"/>
        <w:spacing w:line="360" w:lineRule="auto"/>
        <w:jc w:val="both"/>
        <w:rPr>
          <w:rFonts w:ascii="Palatino Linotype" w:hAnsi="Palatino Linotype" w:cs="Tahoma"/>
          <w:sz w:val="22"/>
          <w:szCs w:val="22"/>
        </w:rPr>
      </w:pPr>
    </w:p>
    <w:p w14:paraId="7E5603F7" w14:textId="62787CFD" w:rsidR="00D402E3" w:rsidRPr="008F022D" w:rsidRDefault="00D402E3" w:rsidP="00565EE3">
      <w:pPr>
        <w:tabs>
          <w:tab w:val="left" w:pos="567"/>
        </w:tabs>
        <w:spacing w:line="360" w:lineRule="auto"/>
        <w:jc w:val="both"/>
        <w:rPr>
          <w:rFonts w:ascii="Palatino Linotype" w:hAnsi="Palatino Linotype" w:cs="Tahoma"/>
          <w:b/>
          <w:sz w:val="22"/>
          <w:szCs w:val="22"/>
        </w:rPr>
      </w:pPr>
      <w:r w:rsidRPr="008F022D">
        <w:rPr>
          <w:rFonts w:ascii="Palatino Linotype" w:hAnsi="Palatino Linotype" w:cs="Tahoma"/>
          <w:sz w:val="22"/>
          <w:szCs w:val="22"/>
        </w:rPr>
        <w:t xml:space="preserve">Con fecha </w:t>
      </w:r>
      <w:r w:rsidR="0078036C" w:rsidRPr="008F022D">
        <w:rPr>
          <w:rFonts w:ascii="Palatino Linotype" w:hAnsi="Palatino Linotype" w:cs="Tahoma"/>
          <w:sz w:val="22"/>
          <w:szCs w:val="22"/>
        </w:rPr>
        <w:t>nueve</w:t>
      </w:r>
      <w:r w:rsidRPr="008F022D">
        <w:rPr>
          <w:rFonts w:ascii="Palatino Linotype" w:hAnsi="Palatino Linotype" w:cs="Tahoma"/>
          <w:sz w:val="22"/>
          <w:szCs w:val="22"/>
        </w:rPr>
        <w:t xml:space="preserve"> de </w:t>
      </w:r>
      <w:r w:rsidR="0078036C" w:rsidRPr="008F022D">
        <w:rPr>
          <w:rFonts w:ascii="Palatino Linotype" w:hAnsi="Palatino Linotype" w:cs="Tahoma"/>
          <w:sz w:val="22"/>
          <w:szCs w:val="22"/>
        </w:rPr>
        <w:t>enero de dos mil veintitrés</w:t>
      </w:r>
      <w:r w:rsidRPr="008F022D">
        <w:rPr>
          <w:rFonts w:ascii="Palatino Linotype" w:hAnsi="Palatino Linotype" w:cs="Tahoma"/>
          <w:sz w:val="22"/>
          <w:szCs w:val="22"/>
        </w:rPr>
        <w:t>, se tuvo por registrado una solicitud de acceso a la información pública, por el Particular, a través del Sistema de Acceso a la Informac</w:t>
      </w:r>
      <w:r w:rsidR="0078036C" w:rsidRPr="008F022D">
        <w:rPr>
          <w:rFonts w:ascii="Palatino Linotype" w:hAnsi="Palatino Linotype" w:cs="Tahoma"/>
          <w:sz w:val="22"/>
          <w:szCs w:val="22"/>
        </w:rPr>
        <w:t>ión Mexiquense (SAIMEX), ante el</w:t>
      </w:r>
      <w:r w:rsidRPr="008F022D">
        <w:rPr>
          <w:rFonts w:ascii="Palatino Linotype" w:hAnsi="Palatino Linotype" w:cs="Tahoma"/>
          <w:sz w:val="22"/>
          <w:szCs w:val="22"/>
        </w:rPr>
        <w:t xml:space="preserve"> </w:t>
      </w:r>
      <w:r w:rsidR="0078036C" w:rsidRPr="008F022D">
        <w:rPr>
          <w:rFonts w:ascii="Palatino Linotype" w:eastAsia="Calibri" w:hAnsi="Palatino Linotype" w:cs="Tahoma"/>
          <w:color w:val="000000"/>
          <w:sz w:val="22"/>
          <w:szCs w:val="22"/>
          <w:lang w:eastAsia="en-US"/>
        </w:rPr>
        <w:t>Ayuntamiento de Zinacantepec</w:t>
      </w:r>
      <w:r w:rsidRPr="008F022D">
        <w:rPr>
          <w:rFonts w:ascii="Palatino Linotype" w:eastAsia="Calibri" w:hAnsi="Palatino Linotype" w:cs="Tahoma"/>
          <w:color w:val="000000"/>
          <w:sz w:val="22"/>
          <w:szCs w:val="22"/>
          <w:lang w:eastAsia="en-US"/>
        </w:rPr>
        <w:t xml:space="preserve">, lo anterior, </w:t>
      </w:r>
      <w:r w:rsidRPr="008F022D">
        <w:rPr>
          <w:rFonts w:ascii="Palatino Linotype" w:hAnsi="Palatino Linotype" w:cs="Tahoma"/>
          <w:b/>
          <w:sz w:val="22"/>
          <w:szCs w:val="22"/>
        </w:rPr>
        <w:t xml:space="preserve">ya que si bien, se registró el </w:t>
      </w:r>
      <w:r w:rsidR="00352F99" w:rsidRPr="008F022D">
        <w:rPr>
          <w:rFonts w:ascii="Palatino Linotype" w:hAnsi="Palatino Linotype" w:cs="Tahoma"/>
          <w:b/>
          <w:sz w:val="22"/>
          <w:szCs w:val="22"/>
        </w:rPr>
        <w:t>ocho</w:t>
      </w:r>
      <w:r w:rsidRPr="008F022D">
        <w:rPr>
          <w:rFonts w:ascii="Palatino Linotype" w:hAnsi="Palatino Linotype" w:cs="Tahoma"/>
          <w:b/>
          <w:sz w:val="22"/>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w:t>
      </w:r>
      <w:r w:rsidR="004220A2" w:rsidRPr="008F022D">
        <w:rPr>
          <w:rFonts w:ascii="Palatino Linotype" w:hAnsi="Palatino Linotype" w:cs="Tahoma"/>
          <w:b/>
          <w:sz w:val="22"/>
          <w:szCs w:val="22"/>
        </w:rPr>
        <w:t>trés</w:t>
      </w:r>
      <w:r w:rsidRPr="008F022D">
        <w:rPr>
          <w:rFonts w:ascii="Palatino Linotype" w:hAnsi="Palatino Linotype" w:cs="Tahoma"/>
          <w:b/>
          <w:sz w:val="22"/>
          <w:szCs w:val="22"/>
        </w:rPr>
        <w:t xml:space="preserve"> y enero dos mil vein</w:t>
      </w:r>
      <w:r w:rsidR="004220A2" w:rsidRPr="008F022D">
        <w:rPr>
          <w:rFonts w:ascii="Palatino Linotype" w:hAnsi="Palatino Linotype" w:cs="Tahoma"/>
          <w:b/>
          <w:sz w:val="22"/>
          <w:szCs w:val="22"/>
        </w:rPr>
        <w:t>ticuatro</w:t>
      </w:r>
      <w:r w:rsidRPr="008F022D">
        <w:rPr>
          <w:rFonts w:ascii="Palatino Linotype" w:hAnsi="Palatino Linotype" w:cs="Tahoma"/>
          <w:b/>
          <w:sz w:val="22"/>
          <w:szCs w:val="22"/>
        </w:rPr>
        <w:t>, por lo que, se tuvo por presentado el día hábil subsecuente</w:t>
      </w:r>
      <w:r w:rsidRPr="008F022D">
        <w:rPr>
          <w:rFonts w:ascii="Palatino Linotype" w:hAnsi="Palatino Linotype" w:cs="Tahoma"/>
          <w:sz w:val="22"/>
          <w:szCs w:val="22"/>
        </w:rPr>
        <w:t xml:space="preserve">; </w:t>
      </w:r>
      <w:r w:rsidRPr="008F022D">
        <w:rPr>
          <w:rFonts w:ascii="Palatino Linotype" w:hAnsi="Palatino Linotype" w:cs="Tahoma"/>
          <w:sz w:val="22"/>
          <w:szCs w:val="22"/>
          <w:lang w:val="es-ES"/>
        </w:rPr>
        <w:t>mediante la cual requirió lo siguiente:</w:t>
      </w:r>
    </w:p>
    <w:p w14:paraId="4935E666" w14:textId="63FF76B1" w:rsidR="00B03EDE" w:rsidRPr="008F022D" w:rsidRDefault="00B03EDE" w:rsidP="00565EE3">
      <w:pPr>
        <w:spacing w:line="360" w:lineRule="auto"/>
        <w:ind w:right="567"/>
        <w:contextualSpacing/>
        <w:jc w:val="both"/>
        <w:rPr>
          <w:rFonts w:ascii="Palatino Linotype" w:hAnsi="Palatino Linotype" w:cs="Tahoma"/>
          <w:b/>
          <w:i/>
          <w:iCs/>
        </w:rPr>
      </w:pPr>
    </w:p>
    <w:p w14:paraId="33D4AAE7" w14:textId="77777777" w:rsidR="00B03EDE" w:rsidRPr="008F022D" w:rsidRDefault="00B03EDE" w:rsidP="00565EE3">
      <w:pPr>
        <w:spacing w:line="360" w:lineRule="auto"/>
        <w:ind w:left="567" w:right="567"/>
        <w:contextualSpacing/>
        <w:jc w:val="both"/>
        <w:rPr>
          <w:rFonts w:ascii="Palatino Linotype" w:hAnsi="Palatino Linotype" w:cs="Tahoma"/>
          <w:b/>
          <w:i/>
          <w:iCs/>
        </w:rPr>
      </w:pPr>
      <w:r w:rsidRPr="008F022D">
        <w:rPr>
          <w:rFonts w:ascii="Palatino Linotype" w:hAnsi="Palatino Linotype" w:cs="Tahoma"/>
          <w:b/>
          <w:i/>
          <w:iCs/>
        </w:rPr>
        <w:t>“DESCRIPCIÓN CLARA Y PRECISA DE LA INFORMACIÓN SOLICITADA</w:t>
      </w:r>
    </w:p>
    <w:p w14:paraId="00AD1D37" w14:textId="57C6FF9F" w:rsidR="00B03EDE" w:rsidRPr="008F022D" w:rsidRDefault="00352F99" w:rsidP="00565EE3">
      <w:pPr>
        <w:spacing w:line="360" w:lineRule="auto"/>
        <w:ind w:left="567" w:right="567"/>
        <w:contextualSpacing/>
        <w:jc w:val="both"/>
        <w:rPr>
          <w:rFonts w:ascii="Palatino Linotype" w:hAnsi="Palatino Linotype"/>
          <w:bCs/>
          <w:i/>
          <w:iCs/>
          <w:color w:val="000000"/>
        </w:rPr>
      </w:pPr>
      <w:r w:rsidRPr="008F022D">
        <w:rPr>
          <w:rFonts w:ascii="Palatino Linotype" w:hAnsi="Palatino Linotype"/>
          <w:bCs/>
          <w:i/>
          <w:iCs/>
          <w:color w:val="000000"/>
        </w:rPr>
        <w:t>Solicito el listado de personas que fueron dadas de alta en la administración en el segundo semestre del 2022 así como sus recibos de nómina</w:t>
      </w:r>
      <w:r w:rsidR="00B03EDE" w:rsidRPr="008F022D">
        <w:rPr>
          <w:rFonts w:ascii="Palatino Linotype" w:hAnsi="Palatino Linotype"/>
          <w:bCs/>
          <w:i/>
          <w:iCs/>
          <w:color w:val="000000"/>
        </w:rPr>
        <w:t xml:space="preserve">” </w:t>
      </w:r>
      <w:r w:rsidR="00C1189C" w:rsidRPr="008F022D">
        <w:rPr>
          <w:rFonts w:ascii="Palatino Linotype" w:hAnsi="Palatino Linotype"/>
          <w:bCs/>
          <w:i/>
          <w:iCs/>
          <w:color w:val="000000"/>
        </w:rPr>
        <w:t>(Sic)</w:t>
      </w:r>
    </w:p>
    <w:p w14:paraId="046D87DB" w14:textId="77777777" w:rsidR="00B03EDE" w:rsidRPr="008F022D" w:rsidRDefault="00B03EDE" w:rsidP="003F4037">
      <w:pPr>
        <w:spacing w:line="360" w:lineRule="auto"/>
        <w:ind w:left="567" w:right="567"/>
        <w:contextualSpacing/>
        <w:jc w:val="both"/>
        <w:rPr>
          <w:rFonts w:ascii="Palatino Linotype" w:hAnsi="Palatino Linotype"/>
          <w:b/>
          <w:bCs/>
          <w:i/>
          <w:iCs/>
          <w:color w:val="000000"/>
        </w:rPr>
      </w:pPr>
      <w:r w:rsidRPr="008F022D">
        <w:rPr>
          <w:rFonts w:ascii="Palatino Linotype" w:hAnsi="Palatino Linotype"/>
          <w:b/>
          <w:bCs/>
          <w:i/>
          <w:iCs/>
          <w:color w:val="000000"/>
        </w:rPr>
        <w:lastRenderedPageBreak/>
        <w:t>“MODALIDAD DE ENTREGA</w:t>
      </w:r>
    </w:p>
    <w:p w14:paraId="79019AA2" w14:textId="25EBB283" w:rsidR="00B03EDE" w:rsidRPr="008F022D" w:rsidRDefault="007F3C67" w:rsidP="00565EE3">
      <w:pPr>
        <w:spacing w:line="360" w:lineRule="auto"/>
        <w:ind w:left="567" w:right="567"/>
        <w:contextualSpacing/>
        <w:jc w:val="both"/>
        <w:rPr>
          <w:rFonts w:ascii="Palatino Linotype" w:hAnsi="Palatino Linotype"/>
          <w:bCs/>
          <w:i/>
          <w:iCs/>
          <w:color w:val="000000"/>
        </w:rPr>
      </w:pPr>
      <w:r w:rsidRPr="008F022D">
        <w:rPr>
          <w:rFonts w:ascii="Palatino Linotype" w:hAnsi="Palatino Linotype"/>
          <w:bCs/>
          <w:i/>
          <w:iCs/>
          <w:color w:val="000000"/>
        </w:rPr>
        <w:t>A través del SAIMEX</w:t>
      </w:r>
      <w:r w:rsidR="00D03E52" w:rsidRPr="008F022D">
        <w:rPr>
          <w:rFonts w:ascii="Palatino Linotype" w:hAnsi="Palatino Linotype"/>
          <w:bCs/>
          <w:i/>
          <w:iCs/>
          <w:color w:val="000000"/>
        </w:rPr>
        <w:t>”</w:t>
      </w:r>
    </w:p>
    <w:p w14:paraId="31B89E49" w14:textId="77777777" w:rsidR="00630102" w:rsidRPr="008F022D" w:rsidRDefault="00630102" w:rsidP="003F4037">
      <w:pPr>
        <w:spacing w:line="360" w:lineRule="auto"/>
        <w:ind w:left="567" w:right="567"/>
        <w:contextualSpacing/>
        <w:jc w:val="both"/>
        <w:rPr>
          <w:rFonts w:ascii="Palatino Linotype" w:hAnsi="Palatino Linotype"/>
          <w:bCs/>
          <w:i/>
          <w:iCs/>
          <w:color w:val="000000"/>
        </w:rPr>
      </w:pPr>
    </w:p>
    <w:p w14:paraId="5F4FF569" w14:textId="77777777" w:rsidR="00776377" w:rsidRPr="008F022D" w:rsidRDefault="00776377" w:rsidP="00776377">
      <w:pPr>
        <w:pStyle w:val="Prrafodelista"/>
        <w:tabs>
          <w:tab w:val="left" w:pos="567"/>
        </w:tabs>
        <w:spacing w:line="360" w:lineRule="auto"/>
        <w:ind w:left="0"/>
        <w:jc w:val="both"/>
        <w:rPr>
          <w:rFonts w:ascii="Palatino Linotype" w:hAnsi="Palatino Linotype" w:cs="Tahoma"/>
          <w:b/>
          <w:szCs w:val="22"/>
        </w:rPr>
      </w:pPr>
      <w:r w:rsidRPr="008F022D">
        <w:rPr>
          <w:rFonts w:ascii="Palatino Linotype" w:hAnsi="Palatino Linotype" w:cs="Tahoma"/>
          <w:b/>
          <w:szCs w:val="22"/>
        </w:rPr>
        <w:t>II. Requerimientos de aclaración a la solicitud de información.</w:t>
      </w:r>
    </w:p>
    <w:p w14:paraId="1986B170" w14:textId="77777777" w:rsidR="00776377" w:rsidRPr="008F022D" w:rsidRDefault="00776377" w:rsidP="00776377">
      <w:pPr>
        <w:pStyle w:val="Prrafodelista"/>
        <w:tabs>
          <w:tab w:val="left" w:pos="567"/>
        </w:tabs>
        <w:spacing w:line="360" w:lineRule="auto"/>
        <w:ind w:left="0"/>
        <w:jc w:val="both"/>
        <w:rPr>
          <w:rFonts w:ascii="Palatino Linotype" w:hAnsi="Palatino Linotype" w:cs="Tahoma"/>
          <w:b/>
          <w:szCs w:val="22"/>
        </w:rPr>
      </w:pPr>
    </w:p>
    <w:p w14:paraId="5F51C591" w14:textId="259776B8" w:rsidR="00776377" w:rsidRPr="008F022D" w:rsidRDefault="00776377" w:rsidP="00776377">
      <w:pPr>
        <w:pStyle w:val="Prrafodelista"/>
        <w:tabs>
          <w:tab w:val="left" w:pos="567"/>
        </w:tabs>
        <w:spacing w:line="360" w:lineRule="auto"/>
        <w:ind w:left="0"/>
        <w:jc w:val="both"/>
        <w:rPr>
          <w:rFonts w:ascii="Palatino Linotype" w:hAnsi="Palatino Linotype" w:cs="Tahoma"/>
          <w:szCs w:val="22"/>
        </w:rPr>
      </w:pPr>
      <w:r w:rsidRPr="008F022D">
        <w:rPr>
          <w:rFonts w:ascii="Palatino Linotype" w:hAnsi="Palatino Linotype" w:cs="Tahoma"/>
          <w:szCs w:val="22"/>
        </w:rPr>
        <w:t xml:space="preserve">Con fecha dieciséis de enero de dos mil veintitrés, la Unidad de Transparencia del Sujeto Obligado, notificó al Particular, mediante el Sistema de Acceso a la Información Mexiquense (SAIMEX), una solicitud de aclaración, a efecto de que aclarara el requerimiento de información, conforme a lo siguiente: </w:t>
      </w:r>
    </w:p>
    <w:p w14:paraId="5F152823" w14:textId="77777777" w:rsidR="00776377" w:rsidRPr="008F022D" w:rsidRDefault="00776377" w:rsidP="00776377">
      <w:pPr>
        <w:pStyle w:val="Prrafodelista"/>
        <w:tabs>
          <w:tab w:val="left" w:pos="567"/>
        </w:tabs>
        <w:spacing w:line="360" w:lineRule="auto"/>
        <w:ind w:left="567" w:right="567"/>
        <w:jc w:val="both"/>
        <w:rPr>
          <w:rFonts w:ascii="Palatino Linotype" w:hAnsi="Palatino Linotype" w:cs="Tahoma"/>
          <w:szCs w:val="22"/>
        </w:rPr>
      </w:pPr>
    </w:p>
    <w:p w14:paraId="2F02AA90" w14:textId="5CF5AE28" w:rsidR="00776377" w:rsidRPr="008F022D" w:rsidRDefault="00776377" w:rsidP="00776377">
      <w:pPr>
        <w:pStyle w:val="Prrafodelista"/>
        <w:tabs>
          <w:tab w:val="left" w:pos="567"/>
        </w:tabs>
        <w:spacing w:line="360" w:lineRule="auto"/>
        <w:ind w:left="567" w:right="567"/>
        <w:jc w:val="both"/>
        <w:rPr>
          <w:rFonts w:ascii="Palatino Linotype" w:hAnsi="Palatino Linotype" w:cs="Tahoma"/>
          <w:i/>
          <w:sz w:val="20"/>
          <w:szCs w:val="22"/>
        </w:rPr>
      </w:pPr>
      <w:r w:rsidRPr="008F022D">
        <w:rPr>
          <w:rFonts w:ascii="Palatino Linotype" w:hAnsi="Palatino Linotype" w:cs="Tahoma"/>
          <w:i/>
          <w:sz w:val="20"/>
          <w:szCs w:val="22"/>
        </w:rPr>
        <w:t>“…</w:t>
      </w:r>
    </w:p>
    <w:p w14:paraId="14562909" w14:textId="77777777" w:rsidR="00776377" w:rsidRPr="008F022D" w:rsidRDefault="00776377" w:rsidP="00776377">
      <w:pPr>
        <w:pStyle w:val="Prrafodelista"/>
        <w:tabs>
          <w:tab w:val="left" w:pos="567"/>
        </w:tabs>
        <w:spacing w:line="360" w:lineRule="auto"/>
        <w:ind w:left="567" w:right="567"/>
        <w:jc w:val="both"/>
        <w:rPr>
          <w:rFonts w:ascii="Palatino Linotype" w:hAnsi="Palatino Linotype" w:cs="Tahoma"/>
          <w:i/>
          <w:sz w:val="20"/>
          <w:szCs w:val="22"/>
        </w:rPr>
      </w:pPr>
      <w:r w:rsidRPr="008F022D">
        <w:rPr>
          <w:rFonts w:ascii="Palatino Linotype" w:hAnsi="Palatino Linotype" w:cs="Tahoma"/>
          <w:i/>
          <w:sz w:val="20"/>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304DAE2" w14:textId="77777777" w:rsidR="00776377" w:rsidRPr="008F022D" w:rsidRDefault="00776377" w:rsidP="00776377">
      <w:pPr>
        <w:pStyle w:val="Prrafodelista"/>
        <w:tabs>
          <w:tab w:val="left" w:pos="567"/>
        </w:tabs>
        <w:spacing w:line="360" w:lineRule="auto"/>
        <w:ind w:left="567" w:right="567"/>
        <w:jc w:val="both"/>
        <w:rPr>
          <w:rFonts w:ascii="Palatino Linotype" w:hAnsi="Palatino Linotype" w:cs="Tahoma"/>
          <w:i/>
          <w:sz w:val="20"/>
          <w:szCs w:val="22"/>
        </w:rPr>
      </w:pPr>
    </w:p>
    <w:p w14:paraId="552FC5EF" w14:textId="48710620" w:rsidR="00776377" w:rsidRPr="008F022D" w:rsidRDefault="00776377" w:rsidP="00776377">
      <w:pPr>
        <w:pStyle w:val="Prrafodelista"/>
        <w:tabs>
          <w:tab w:val="left" w:pos="567"/>
        </w:tabs>
        <w:spacing w:line="360" w:lineRule="auto"/>
        <w:ind w:left="567" w:right="567"/>
        <w:jc w:val="both"/>
        <w:rPr>
          <w:rFonts w:ascii="Palatino Linotype" w:hAnsi="Palatino Linotype" w:cs="Tahoma"/>
          <w:i/>
          <w:sz w:val="20"/>
          <w:szCs w:val="22"/>
        </w:rPr>
      </w:pPr>
      <w:r w:rsidRPr="008F022D">
        <w:rPr>
          <w:rFonts w:ascii="Palatino Linotype" w:hAnsi="Palatino Linotype" w:cs="Tahoma"/>
          <w:i/>
          <w:sz w:val="2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24C9379E" w14:textId="77777777" w:rsidR="00776377" w:rsidRPr="008F022D" w:rsidRDefault="00776377" w:rsidP="00776377">
      <w:pPr>
        <w:pStyle w:val="Prrafodelista"/>
        <w:tabs>
          <w:tab w:val="left" w:pos="567"/>
        </w:tabs>
        <w:spacing w:line="360" w:lineRule="auto"/>
        <w:ind w:left="0"/>
        <w:jc w:val="both"/>
        <w:rPr>
          <w:rFonts w:ascii="Palatino Linotype" w:hAnsi="Palatino Linotype" w:cs="Tahoma"/>
          <w:szCs w:val="22"/>
        </w:rPr>
      </w:pPr>
    </w:p>
    <w:p w14:paraId="5667816A" w14:textId="77777777" w:rsidR="00776377" w:rsidRPr="008F022D" w:rsidRDefault="00776377" w:rsidP="00776377">
      <w:pPr>
        <w:pStyle w:val="Prrafodelista"/>
        <w:tabs>
          <w:tab w:val="left" w:pos="567"/>
        </w:tabs>
        <w:spacing w:line="360" w:lineRule="auto"/>
        <w:ind w:left="0"/>
        <w:jc w:val="both"/>
        <w:rPr>
          <w:rFonts w:ascii="Palatino Linotype" w:hAnsi="Palatino Linotype" w:cs="Tahoma"/>
          <w:b/>
          <w:szCs w:val="22"/>
        </w:rPr>
      </w:pPr>
      <w:r w:rsidRPr="008F022D">
        <w:rPr>
          <w:rFonts w:ascii="Palatino Linotype" w:hAnsi="Palatino Linotype" w:cs="Tahoma"/>
          <w:b/>
          <w:szCs w:val="22"/>
        </w:rPr>
        <w:t>III. Contestación al requerimiento de aclaración.</w:t>
      </w:r>
    </w:p>
    <w:p w14:paraId="5BDC9141" w14:textId="77777777" w:rsidR="00776377" w:rsidRPr="008F022D" w:rsidRDefault="00776377" w:rsidP="00776377">
      <w:pPr>
        <w:pStyle w:val="Prrafodelista"/>
        <w:tabs>
          <w:tab w:val="left" w:pos="567"/>
        </w:tabs>
        <w:spacing w:line="360" w:lineRule="auto"/>
        <w:ind w:left="0"/>
        <w:jc w:val="both"/>
        <w:rPr>
          <w:rFonts w:ascii="Palatino Linotype" w:hAnsi="Palatino Linotype" w:cs="Tahoma"/>
          <w:b/>
          <w:szCs w:val="22"/>
        </w:rPr>
      </w:pPr>
    </w:p>
    <w:p w14:paraId="37BD4AF9" w14:textId="0428591D" w:rsidR="00776377" w:rsidRPr="008F022D" w:rsidRDefault="00776377" w:rsidP="00776377">
      <w:pPr>
        <w:pStyle w:val="Prrafodelista"/>
        <w:tabs>
          <w:tab w:val="left" w:pos="567"/>
        </w:tabs>
        <w:spacing w:line="360" w:lineRule="auto"/>
        <w:ind w:left="0"/>
        <w:jc w:val="both"/>
        <w:rPr>
          <w:rFonts w:ascii="Palatino Linotype" w:hAnsi="Palatino Linotype" w:cs="Tahoma"/>
          <w:szCs w:val="22"/>
        </w:rPr>
      </w:pPr>
      <w:r w:rsidRPr="008F022D">
        <w:rPr>
          <w:rFonts w:ascii="Palatino Linotype" w:hAnsi="Palatino Linotype" w:cs="Tahoma"/>
          <w:szCs w:val="22"/>
        </w:rPr>
        <w:t xml:space="preserve">Con fecha dieciséis de enero de dos mil veintitrés, el Particular respondió al requerimiento de aclaración previamente señalado, mediante el Sistema de Acceso a la Información Mexiquense (SAIMEX), mediante el cual manifestó lo siguiente: </w:t>
      </w:r>
    </w:p>
    <w:p w14:paraId="73F1FC8F" w14:textId="77777777" w:rsidR="00776377" w:rsidRPr="008F022D" w:rsidRDefault="00776377" w:rsidP="00776377">
      <w:pPr>
        <w:pStyle w:val="Prrafodelista"/>
        <w:tabs>
          <w:tab w:val="left" w:pos="567"/>
        </w:tabs>
        <w:spacing w:line="360" w:lineRule="auto"/>
        <w:ind w:left="0"/>
        <w:jc w:val="both"/>
        <w:rPr>
          <w:rFonts w:ascii="Palatino Linotype" w:hAnsi="Palatino Linotype" w:cs="Tahoma"/>
          <w:szCs w:val="22"/>
        </w:rPr>
      </w:pPr>
    </w:p>
    <w:p w14:paraId="2572EC71" w14:textId="1A216822" w:rsidR="00776377" w:rsidRPr="008F022D" w:rsidRDefault="00776377" w:rsidP="00776377">
      <w:pPr>
        <w:pStyle w:val="Prrafodelista"/>
        <w:tabs>
          <w:tab w:val="left" w:pos="567"/>
        </w:tabs>
        <w:spacing w:line="360" w:lineRule="auto"/>
        <w:ind w:left="567" w:right="567"/>
        <w:jc w:val="both"/>
        <w:rPr>
          <w:rFonts w:ascii="Palatino Linotype" w:hAnsi="Palatino Linotype" w:cs="Tahoma"/>
          <w:i/>
          <w:iCs/>
          <w:sz w:val="20"/>
          <w:szCs w:val="20"/>
        </w:rPr>
      </w:pPr>
      <w:r w:rsidRPr="008F022D">
        <w:rPr>
          <w:rFonts w:ascii="Palatino Linotype" w:hAnsi="Palatino Linotype" w:cs="Tahoma"/>
          <w:i/>
          <w:iCs/>
          <w:sz w:val="20"/>
          <w:szCs w:val="20"/>
        </w:rPr>
        <w:lastRenderedPageBreak/>
        <w:t>“</w:t>
      </w:r>
      <w:r w:rsidR="004220A2" w:rsidRPr="008F022D">
        <w:rPr>
          <w:rFonts w:ascii="Palatino Linotype" w:hAnsi="Palatino Linotype" w:cs="Tahoma"/>
          <w:i/>
          <w:iCs/>
          <w:sz w:val="20"/>
          <w:szCs w:val="20"/>
        </w:rPr>
        <w:t>LA SOLICITUD ES MUY CLARA, OJALA ENTIENDA EL PSEUDO TITULAR DE TRANSPARENCIA QUE CON METER ACLARACIONES, NO DEBEN DEJAR DE RESPONDER LAS SOLICITUDES, ESPEREMOS YA LE IMPONGAN UNA MULTA POR SER OMISOS EN LAS RESPUESTAS</w:t>
      </w:r>
      <w:r w:rsidRPr="008F022D">
        <w:rPr>
          <w:rFonts w:ascii="Palatino Linotype" w:hAnsi="Palatino Linotype" w:cs="Tahoma"/>
          <w:i/>
          <w:iCs/>
          <w:sz w:val="20"/>
          <w:szCs w:val="20"/>
        </w:rPr>
        <w:t>” (Sic.)</w:t>
      </w:r>
    </w:p>
    <w:p w14:paraId="034378BD" w14:textId="77777777" w:rsidR="00C610B6" w:rsidRPr="008F022D" w:rsidRDefault="00C610B6" w:rsidP="00776377">
      <w:pPr>
        <w:pStyle w:val="Prrafodelista"/>
        <w:tabs>
          <w:tab w:val="left" w:pos="567"/>
        </w:tabs>
        <w:spacing w:line="360" w:lineRule="auto"/>
        <w:ind w:left="567" w:right="567"/>
        <w:jc w:val="both"/>
        <w:rPr>
          <w:rFonts w:ascii="Palatino Linotype" w:hAnsi="Palatino Linotype" w:cs="Tahoma"/>
          <w:i/>
          <w:iCs/>
          <w:szCs w:val="20"/>
        </w:rPr>
      </w:pPr>
    </w:p>
    <w:p w14:paraId="2D7E3157" w14:textId="77777777" w:rsidR="00C610B6" w:rsidRPr="008F022D" w:rsidRDefault="00C610B6" w:rsidP="00C610B6">
      <w:pPr>
        <w:tabs>
          <w:tab w:val="left" w:pos="567"/>
        </w:tabs>
        <w:spacing w:line="360" w:lineRule="auto"/>
        <w:contextualSpacing/>
        <w:jc w:val="both"/>
        <w:rPr>
          <w:rFonts w:ascii="Palatino Linotype" w:hAnsi="Palatino Linotype" w:cs="Tahoma"/>
          <w:b/>
          <w:sz w:val="22"/>
          <w:szCs w:val="22"/>
        </w:rPr>
      </w:pPr>
      <w:r w:rsidRPr="008F022D">
        <w:rPr>
          <w:rFonts w:ascii="Palatino Linotype" w:hAnsi="Palatino Linotype" w:cs="Tahoma"/>
          <w:b/>
          <w:sz w:val="22"/>
          <w:szCs w:val="22"/>
        </w:rPr>
        <w:t>IV. Respuesta del Sujeto Obligado.</w:t>
      </w:r>
    </w:p>
    <w:p w14:paraId="5D37A222" w14:textId="77777777" w:rsidR="00C610B6" w:rsidRPr="008F022D" w:rsidRDefault="00C610B6" w:rsidP="00C610B6">
      <w:pPr>
        <w:tabs>
          <w:tab w:val="left" w:pos="567"/>
        </w:tabs>
        <w:spacing w:line="360" w:lineRule="auto"/>
        <w:contextualSpacing/>
        <w:jc w:val="both"/>
        <w:rPr>
          <w:rFonts w:ascii="Palatino Linotype" w:hAnsi="Palatino Linotype" w:cs="Tahoma"/>
          <w:sz w:val="22"/>
          <w:szCs w:val="22"/>
        </w:rPr>
      </w:pPr>
    </w:p>
    <w:p w14:paraId="3A53CFCA" w14:textId="5B139899" w:rsidR="00C610B6" w:rsidRPr="008F022D" w:rsidRDefault="00C610B6" w:rsidP="00C610B6">
      <w:pPr>
        <w:autoSpaceDE w:val="0"/>
        <w:autoSpaceDN w:val="0"/>
        <w:adjustRightInd w:val="0"/>
        <w:spacing w:line="360" w:lineRule="auto"/>
        <w:ind w:right="-28"/>
        <w:jc w:val="both"/>
        <w:rPr>
          <w:rFonts w:ascii="Palatino Linotype" w:hAnsi="Palatino Linotype" w:cs="Tahoma"/>
          <w:sz w:val="22"/>
          <w:szCs w:val="22"/>
        </w:rPr>
      </w:pPr>
      <w:r w:rsidRPr="008F022D">
        <w:rPr>
          <w:rFonts w:ascii="Palatino Linotype" w:hAnsi="Palatino Linotype" w:cs="Tahoma"/>
          <w:bCs/>
          <w:sz w:val="22"/>
          <w:szCs w:val="22"/>
        </w:rPr>
        <w:t>Con fecha siete de febrero de dos mil veintitrés, el</w:t>
      </w:r>
      <w:r w:rsidRPr="008F022D">
        <w:rPr>
          <w:rFonts w:ascii="Palatino Linotype" w:hAnsi="Palatino Linotype" w:cs="Tahoma"/>
          <w:b/>
          <w:sz w:val="22"/>
          <w:szCs w:val="22"/>
        </w:rPr>
        <w:t xml:space="preserve"> </w:t>
      </w:r>
      <w:r w:rsidRPr="008F022D">
        <w:rPr>
          <w:rFonts w:ascii="Palatino Linotype" w:hAnsi="Palatino Linotype" w:cs="Tahoma"/>
          <w:sz w:val="22"/>
          <w:szCs w:val="22"/>
        </w:rPr>
        <w:t xml:space="preserve">Sujeto Obligado dio respuesta a la solicitud de acceso a la información, a través del Sistema de Acceso a la Información Mexiquense (SAIMEX), por medio del Titular de la Unidad de Transparencia, mediante la cual señaló lo siguiente: </w:t>
      </w:r>
    </w:p>
    <w:p w14:paraId="3C573F44" w14:textId="77777777" w:rsidR="00C610B6" w:rsidRPr="008F022D" w:rsidRDefault="00C610B6" w:rsidP="00C610B6">
      <w:pPr>
        <w:autoSpaceDE w:val="0"/>
        <w:autoSpaceDN w:val="0"/>
        <w:adjustRightInd w:val="0"/>
        <w:spacing w:line="360" w:lineRule="auto"/>
        <w:ind w:right="-28"/>
        <w:jc w:val="both"/>
        <w:rPr>
          <w:rFonts w:ascii="Palatino Linotype" w:hAnsi="Palatino Linotype" w:cs="Tahoma"/>
          <w:sz w:val="22"/>
          <w:szCs w:val="22"/>
        </w:rPr>
      </w:pPr>
    </w:p>
    <w:p w14:paraId="61ACF32D" w14:textId="3F68EA31" w:rsidR="006B2C9E" w:rsidRPr="008F022D" w:rsidRDefault="00C610B6" w:rsidP="006B2C9E">
      <w:pPr>
        <w:autoSpaceDE w:val="0"/>
        <w:autoSpaceDN w:val="0"/>
        <w:adjustRightInd w:val="0"/>
        <w:spacing w:line="360" w:lineRule="auto"/>
        <w:ind w:left="567" w:right="567"/>
        <w:jc w:val="both"/>
        <w:rPr>
          <w:rFonts w:ascii="Palatino Linotype" w:hAnsi="Palatino Linotype" w:cs="Tahoma"/>
          <w:i/>
          <w:iCs/>
        </w:rPr>
      </w:pPr>
      <w:r w:rsidRPr="008F022D">
        <w:rPr>
          <w:rFonts w:ascii="Palatino Linotype" w:hAnsi="Palatino Linotype" w:cs="Tahoma"/>
          <w:i/>
          <w:iCs/>
        </w:rPr>
        <w:t>“</w:t>
      </w:r>
      <w:r w:rsidR="006B2C9E" w:rsidRPr="008F022D">
        <w:rPr>
          <w:rFonts w:ascii="Palatino Linotype" w:hAnsi="Palatino Linotype" w:cs="Tahoma"/>
          <w:i/>
          <w:iCs/>
        </w:rPr>
        <w:t>…</w:t>
      </w:r>
    </w:p>
    <w:p w14:paraId="07DCBB48" w14:textId="77777777" w:rsidR="00352F99" w:rsidRPr="008F022D" w:rsidRDefault="00352F99" w:rsidP="006B2C9E">
      <w:pPr>
        <w:autoSpaceDE w:val="0"/>
        <w:autoSpaceDN w:val="0"/>
        <w:adjustRightInd w:val="0"/>
        <w:spacing w:line="360" w:lineRule="auto"/>
        <w:ind w:left="567" w:right="567"/>
        <w:jc w:val="both"/>
        <w:rPr>
          <w:rFonts w:ascii="Palatino Linotype" w:hAnsi="Palatino Linotype" w:cs="Tahoma"/>
          <w:i/>
          <w:iCs/>
        </w:rPr>
      </w:pPr>
      <w:r w:rsidRPr="008F022D">
        <w:rPr>
          <w:rFonts w:ascii="Palatino Linotype" w:hAnsi="Palatino Linotype" w:cs="Tahoma"/>
          <w:b/>
          <w:i/>
          <w:iCs/>
          <w:u w:val="single"/>
        </w:rPr>
        <w:t>SEGUNDO:</w:t>
      </w:r>
      <w:r w:rsidRPr="008F022D">
        <w:rPr>
          <w:rFonts w:ascii="Palatino Linotype" w:hAnsi="Palatino Linotype" w:cs="Tahoma"/>
          <w:i/>
          <w:iCs/>
        </w:rPr>
        <w:t xml:space="preserve"> Una vez admitida la solicitud en cuestión, se procedió a realizar el análisis correspondiente y sí fuera el caso, turnarla a los Servidores Públicos Habilitados responsables de la información. </w:t>
      </w:r>
    </w:p>
    <w:p w14:paraId="16A4D402" w14:textId="77777777" w:rsidR="00352F99" w:rsidRPr="008F022D" w:rsidRDefault="00352F99" w:rsidP="006B2C9E">
      <w:pPr>
        <w:autoSpaceDE w:val="0"/>
        <w:autoSpaceDN w:val="0"/>
        <w:adjustRightInd w:val="0"/>
        <w:spacing w:line="360" w:lineRule="auto"/>
        <w:ind w:left="567" w:right="567"/>
        <w:jc w:val="both"/>
        <w:rPr>
          <w:rFonts w:ascii="Palatino Linotype" w:hAnsi="Palatino Linotype" w:cs="Tahoma"/>
          <w:i/>
          <w:iCs/>
        </w:rPr>
      </w:pPr>
    </w:p>
    <w:p w14:paraId="4A7B1C32" w14:textId="3A096CEF" w:rsidR="00352F99" w:rsidRPr="008F022D" w:rsidRDefault="00352F99" w:rsidP="006B2C9E">
      <w:pPr>
        <w:autoSpaceDE w:val="0"/>
        <w:autoSpaceDN w:val="0"/>
        <w:adjustRightInd w:val="0"/>
        <w:spacing w:line="360" w:lineRule="auto"/>
        <w:ind w:left="567" w:right="567"/>
        <w:jc w:val="both"/>
        <w:rPr>
          <w:rFonts w:ascii="Palatino Linotype" w:hAnsi="Palatino Linotype" w:cs="Tahoma"/>
          <w:i/>
          <w:iCs/>
        </w:rPr>
      </w:pPr>
      <w:r w:rsidRPr="008F022D">
        <w:rPr>
          <w:rFonts w:ascii="Palatino Linotype" w:hAnsi="Palatino Linotype" w:cs="Tahoma"/>
          <w:b/>
          <w:i/>
          <w:iCs/>
          <w:u w:val="single"/>
        </w:rPr>
        <w:t>TERCERO:</w:t>
      </w:r>
      <w:r w:rsidRPr="008F022D">
        <w:rPr>
          <w:rFonts w:ascii="Palatino Linotype" w:hAnsi="Palatino Linotype" w:cs="Tahoma"/>
          <w:i/>
          <w:iCs/>
        </w:rPr>
        <w:t xml:space="preserve"> Como es el procedimiento señalado para el tratamiento de las solicitudes de información, una vez obtenida la respuesta de los Servidores Públicos Habilitados, en caso de que esta contenga información sensible se procederá a realizar la clasificación correspondiente ya sea reservada o confidencial y en lo posterior emitir la respuesta en formato de versión pública o proporcionar el acta de comité correspondiente al Ciudadano, esto en apego a lo dictado en los Artículos 122, 123 124,125, 140 y 143 de la LTAIPEMYM.</w:t>
      </w:r>
    </w:p>
    <w:p w14:paraId="6FF57E9B" w14:textId="503288A8" w:rsidR="00352F99" w:rsidRPr="008F022D" w:rsidRDefault="001D46CB" w:rsidP="006B2C9E">
      <w:pPr>
        <w:autoSpaceDE w:val="0"/>
        <w:autoSpaceDN w:val="0"/>
        <w:adjustRightInd w:val="0"/>
        <w:spacing w:line="360" w:lineRule="auto"/>
        <w:ind w:left="567" w:right="567"/>
        <w:jc w:val="both"/>
        <w:rPr>
          <w:rFonts w:ascii="Palatino Linotype" w:hAnsi="Palatino Linotype" w:cs="Tahoma"/>
          <w:i/>
          <w:iCs/>
        </w:rPr>
      </w:pPr>
      <w:r w:rsidRPr="008F022D">
        <w:rPr>
          <w:rFonts w:ascii="Palatino Linotype" w:hAnsi="Palatino Linotype" w:cs="Tahoma"/>
          <w:i/>
          <w:iCs/>
        </w:rPr>
        <w:t>…</w:t>
      </w:r>
    </w:p>
    <w:p w14:paraId="3806F559" w14:textId="1E8C9635" w:rsidR="00352F99" w:rsidRPr="008F022D" w:rsidRDefault="001D46CB" w:rsidP="006B2C9E">
      <w:pPr>
        <w:autoSpaceDE w:val="0"/>
        <w:autoSpaceDN w:val="0"/>
        <w:adjustRightInd w:val="0"/>
        <w:spacing w:line="360" w:lineRule="auto"/>
        <w:ind w:left="567" w:right="567"/>
        <w:jc w:val="both"/>
        <w:rPr>
          <w:rFonts w:ascii="Palatino Linotype" w:hAnsi="Palatino Linotype" w:cs="Tahoma"/>
          <w:i/>
          <w:iCs/>
        </w:rPr>
      </w:pPr>
      <w:r w:rsidRPr="008F022D">
        <w:rPr>
          <w:rFonts w:ascii="Palatino Linotype" w:hAnsi="Palatino Linotype" w:cs="Tahoma"/>
          <w:i/>
          <w:iCs/>
        </w:rPr>
        <w:t>De lo anterior y en respuesta a su solicitud, le comento que la información solicitada de la podrá consultar en el sistema de Información Pública de Oficio Mexiquense (IPOMEX) a través del siguiente link: https://www.ipomex.org.mx/ipo3/lgt/indice/ZINACANTEPEC/art_92_viii.web</w:t>
      </w:r>
    </w:p>
    <w:p w14:paraId="7A22E718" w14:textId="386A3855" w:rsidR="00C610B6" w:rsidRPr="008F022D" w:rsidRDefault="001D46CB" w:rsidP="006B2C9E">
      <w:pPr>
        <w:autoSpaceDE w:val="0"/>
        <w:autoSpaceDN w:val="0"/>
        <w:adjustRightInd w:val="0"/>
        <w:spacing w:line="360" w:lineRule="auto"/>
        <w:ind w:left="567" w:right="567"/>
        <w:jc w:val="both"/>
        <w:rPr>
          <w:rFonts w:ascii="Palatino Linotype" w:hAnsi="Palatino Linotype" w:cs="Tahoma"/>
          <w:i/>
          <w:iCs/>
        </w:rPr>
      </w:pPr>
      <w:r w:rsidRPr="008F022D">
        <w:rPr>
          <w:rFonts w:ascii="Palatino Linotype" w:hAnsi="Palatino Linotype" w:cs="Tahoma"/>
          <w:i/>
          <w:iCs/>
        </w:rPr>
        <w:t>…</w:t>
      </w:r>
      <w:r w:rsidR="00C610B6" w:rsidRPr="008F022D">
        <w:rPr>
          <w:rFonts w:ascii="Palatino Linotype" w:hAnsi="Palatino Linotype" w:cs="Tahoma"/>
          <w:i/>
          <w:iCs/>
        </w:rPr>
        <w:t>”</w:t>
      </w:r>
    </w:p>
    <w:p w14:paraId="3FCF2853" w14:textId="621E74B6" w:rsidR="009F4DEE" w:rsidRPr="008F022D" w:rsidRDefault="009F4DEE" w:rsidP="00565EE3">
      <w:pPr>
        <w:autoSpaceDE w:val="0"/>
        <w:autoSpaceDN w:val="0"/>
        <w:adjustRightInd w:val="0"/>
        <w:spacing w:line="360" w:lineRule="auto"/>
        <w:ind w:right="-28"/>
        <w:jc w:val="both"/>
        <w:rPr>
          <w:rFonts w:ascii="Palatino Linotype" w:hAnsi="Palatino Linotype" w:cs="Tahoma"/>
          <w:sz w:val="22"/>
          <w:szCs w:val="22"/>
        </w:rPr>
      </w:pPr>
    </w:p>
    <w:p w14:paraId="4FE2F672" w14:textId="6AAE1B69" w:rsidR="00B03EDE" w:rsidRPr="008F022D" w:rsidRDefault="00C610B6" w:rsidP="00565EE3">
      <w:pPr>
        <w:autoSpaceDE w:val="0"/>
        <w:autoSpaceDN w:val="0"/>
        <w:adjustRightInd w:val="0"/>
        <w:spacing w:line="360" w:lineRule="auto"/>
        <w:jc w:val="both"/>
        <w:rPr>
          <w:rFonts w:ascii="Palatino Linotype" w:hAnsi="Palatino Linotype" w:cs="Tahoma"/>
          <w:b/>
          <w:sz w:val="22"/>
          <w:szCs w:val="22"/>
        </w:rPr>
      </w:pPr>
      <w:r w:rsidRPr="008F022D">
        <w:rPr>
          <w:rFonts w:ascii="Palatino Linotype" w:hAnsi="Palatino Linotype" w:cs="Tahoma"/>
          <w:b/>
          <w:sz w:val="22"/>
          <w:szCs w:val="22"/>
        </w:rPr>
        <w:lastRenderedPageBreak/>
        <w:t>V</w:t>
      </w:r>
      <w:r w:rsidR="00B03EDE" w:rsidRPr="008F022D">
        <w:rPr>
          <w:rFonts w:ascii="Palatino Linotype" w:hAnsi="Palatino Linotype" w:cs="Tahoma"/>
          <w:b/>
          <w:sz w:val="22"/>
          <w:szCs w:val="22"/>
        </w:rPr>
        <w:t>. Interposición del Recurso de Revisión.</w:t>
      </w:r>
    </w:p>
    <w:p w14:paraId="51154276" w14:textId="77777777" w:rsidR="00B03EDE" w:rsidRPr="008F022D" w:rsidRDefault="00B03EDE" w:rsidP="00565EE3">
      <w:pPr>
        <w:widowControl w:val="0"/>
        <w:spacing w:line="360" w:lineRule="auto"/>
        <w:jc w:val="both"/>
        <w:rPr>
          <w:rFonts w:ascii="Palatino Linotype" w:hAnsi="Palatino Linotype" w:cs="Tahoma"/>
          <w:sz w:val="22"/>
          <w:szCs w:val="22"/>
        </w:rPr>
      </w:pPr>
    </w:p>
    <w:p w14:paraId="37A39AE9" w14:textId="27EF7985" w:rsidR="00B03EDE" w:rsidRPr="008F022D" w:rsidRDefault="00F96491" w:rsidP="00565EE3">
      <w:pPr>
        <w:widowControl w:val="0"/>
        <w:spacing w:line="360" w:lineRule="auto"/>
        <w:jc w:val="both"/>
        <w:rPr>
          <w:rFonts w:ascii="Palatino Linotype" w:hAnsi="Palatino Linotype" w:cs="Tahoma"/>
          <w:sz w:val="22"/>
          <w:szCs w:val="22"/>
          <w:lang w:val="es-ES"/>
        </w:rPr>
      </w:pPr>
      <w:r w:rsidRPr="008F022D">
        <w:rPr>
          <w:rFonts w:ascii="Palatino Linotype" w:hAnsi="Palatino Linotype" w:cs="Tahoma"/>
          <w:sz w:val="22"/>
          <w:szCs w:val="22"/>
          <w:lang w:val="es-ES"/>
        </w:rPr>
        <w:t>Con fecha</w:t>
      </w:r>
      <w:r w:rsidR="00B03EDE" w:rsidRPr="008F022D">
        <w:rPr>
          <w:rFonts w:ascii="Palatino Linotype" w:hAnsi="Palatino Linotype" w:cs="Tahoma"/>
          <w:sz w:val="22"/>
          <w:szCs w:val="22"/>
          <w:lang w:val="es-ES"/>
        </w:rPr>
        <w:t xml:space="preserve"> </w:t>
      </w:r>
      <w:r w:rsidR="004220A2" w:rsidRPr="008F022D">
        <w:rPr>
          <w:rFonts w:ascii="Palatino Linotype" w:hAnsi="Palatino Linotype" w:cs="Tahoma"/>
          <w:sz w:val="22"/>
          <w:szCs w:val="22"/>
          <w:lang w:val="es-ES"/>
        </w:rPr>
        <w:t>trece</w:t>
      </w:r>
      <w:r w:rsidR="00651CBC" w:rsidRPr="008F022D">
        <w:rPr>
          <w:rFonts w:ascii="Palatino Linotype" w:hAnsi="Palatino Linotype" w:cs="Tahoma"/>
          <w:sz w:val="22"/>
          <w:szCs w:val="22"/>
          <w:lang w:val="es-ES"/>
        </w:rPr>
        <w:t xml:space="preserve"> de</w:t>
      </w:r>
      <w:r w:rsidR="004220A2" w:rsidRPr="008F022D">
        <w:rPr>
          <w:rFonts w:ascii="Palatino Linotype" w:hAnsi="Palatino Linotype" w:cs="Tahoma"/>
          <w:sz w:val="22"/>
          <w:szCs w:val="22"/>
          <w:lang w:val="es-ES"/>
        </w:rPr>
        <w:t xml:space="preserve"> febrero</w:t>
      </w:r>
      <w:r w:rsidR="00B03EDE" w:rsidRPr="008F022D">
        <w:rPr>
          <w:rFonts w:ascii="Palatino Linotype" w:hAnsi="Palatino Linotype" w:cs="Tahoma"/>
          <w:sz w:val="22"/>
          <w:szCs w:val="22"/>
          <w:lang w:val="es-ES"/>
        </w:rPr>
        <w:t xml:space="preserve"> de dos mil veinti</w:t>
      </w:r>
      <w:r w:rsidR="004220A2" w:rsidRPr="008F022D">
        <w:rPr>
          <w:rFonts w:ascii="Palatino Linotype" w:hAnsi="Palatino Linotype" w:cs="Tahoma"/>
          <w:sz w:val="22"/>
          <w:szCs w:val="22"/>
          <w:lang w:val="es-ES"/>
        </w:rPr>
        <w:t>trés</w:t>
      </w:r>
      <w:r w:rsidR="00B03EDE" w:rsidRPr="008F022D">
        <w:rPr>
          <w:rFonts w:ascii="Palatino Linotype" w:hAnsi="Palatino Linotype" w:cs="Tahoma"/>
          <w:sz w:val="22"/>
          <w:szCs w:val="22"/>
          <w:lang w:val="es-ES"/>
        </w:rPr>
        <w:t xml:space="preserve">, </w:t>
      </w:r>
      <w:r w:rsidR="00D510C5" w:rsidRPr="008F022D">
        <w:rPr>
          <w:rFonts w:ascii="Palatino Linotype" w:hAnsi="Palatino Linotype" w:cs="Tahoma"/>
          <w:sz w:val="22"/>
          <w:szCs w:val="22"/>
          <w:lang w:val="es-ES"/>
        </w:rPr>
        <w:t>se tuvo por interpuesto un</w:t>
      </w:r>
      <w:r w:rsidR="00B03EDE" w:rsidRPr="008F022D">
        <w:rPr>
          <w:rFonts w:ascii="Palatino Linotype" w:hAnsi="Palatino Linotype" w:cs="Tahoma"/>
          <w:sz w:val="22"/>
          <w:szCs w:val="22"/>
          <w:lang w:val="es-ES"/>
        </w:rPr>
        <w:t xml:space="preserve"> Recurso de Revisión ante este Instituto, </w:t>
      </w:r>
      <w:r w:rsidR="00D510C5" w:rsidRPr="008F022D">
        <w:rPr>
          <w:rFonts w:ascii="Palatino Linotype" w:hAnsi="Palatino Linotype" w:cs="Tahoma"/>
          <w:sz w:val="22"/>
          <w:szCs w:val="22"/>
          <w:lang w:val="es-ES"/>
        </w:rPr>
        <w:t xml:space="preserve">por parte del Solicitante, </w:t>
      </w:r>
      <w:r w:rsidR="00B03EDE" w:rsidRPr="008F022D">
        <w:rPr>
          <w:rFonts w:ascii="Palatino Linotype" w:hAnsi="Palatino Linotype" w:cs="Tahoma"/>
          <w:sz w:val="22"/>
          <w:szCs w:val="22"/>
          <w:lang w:val="es-ES"/>
        </w:rPr>
        <w:t xml:space="preserve">a través del Sistema de Acceso a la Información Mexiquense (SAIMEX), en contra de la respuesta otorgada por </w:t>
      </w:r>
      <w:bookmarkStart w:id="0" w:name="_Hlk96527966"/>
      <w:r w:rsidR="004220A2" w:rsidRPr="008F022D">
        <w:rPr>
          <w:rFonts w:ascii="Palatino Linotype" w:hAnsi="Palatino Linotype" w:cs="Tahoma"/>
          <w:sz w:val="22"/>
          <w:szCs w:val="22"/>
          <w:lang w:val="es-ES"/>
        </w:rPr>
        <w:t>el</w:t>
      </w:r>
      <w:r w:rsidR="00B03EDE" w:rsidRPr="008F022D">
        <w:rPr>
          <w:rFonts w:ascii="Palatino Linotype" w:hAnsi="Palatino Linotype" w:cs="Tahoma"/>
          <w:sz w:val="22"/>
          <w:szCs w:val="22"/>
          <w:lang w:val="es-ES"/>
        </w:rPr>
        <w:t xml:space="preserve"> </w:t>
      </w:r>
      <w:bookmarkEnd w:id="0"/>
      <w:r w:rsidR="004220A2" w:rsidRPr="008F022D">
        <w:rPr>
          <w:rFonts w:ascii="Palatino Linotype" w:hAnsi="Palatino Linotype" w:cs="Tahoma"/>
          <w:sz w:val="22"/>
          <w:szCs w:val="22"/>
          <w:lang w:val="es-ES"/>
        </w:rPr>
        <w:t>Ayuntamiento de Zinacantepec</w:t>
      </w:r>
      <w:r w:rsidR="00B03EDE" w:rsidRPr="008F022D">
        <w:rPr>
          <w:rFonts w:ascii="Palatino Linotype" w:hAnsi="Palatino Linotype" w:cs="Tahoma"/>
          <w:sz w:val="22"/>
          <w:szCs w:val="22"/>
          <w:lang w:val="es-ES"/>
        </w:rPr>
        <w:t xml:space="preserve">, </w:t>
      </w:r>
      <w:r w:rsidR="004220A2" w:rsidRPr="008F022D">
        <w:rPr>
          <w:rFonts w:ascii="Palatino Linotype" w:hAnsi="Palatino Linotype" w:cs="Tahoma"/>
          <w:b/>
          <w:sz w:val="22"/>
          <w:szCs w:val="22"/>
        </w:rPr>
        <w:t>ya que si bien, se registró el once de dicho mes y año, también lo es, que fue inhábil, por lo que, se tuvo por presentado el día hábil subsecuente</w:t>
      </w:r>
      <w:r w:rsidR="00D510C5" w:rsidRPr="008F022D">
        <w:rPr>
          <w:rFonts w:ascii="Palatino Linotype" w:hAnsi="Palatino Linotype" w:cs="Tahoma"/>
          <w:sz w:val="22"/>
          <w:szCs w:val="22"/>
          <w:lang w:val="es-ES"/>
        </w:rPr>
        <w:t xml:space="preserve">, </w:t>
      </w:r>
      <w:r w:rsidR="00B03EDE" w:rsidRPr="008F022D">
        <w:rPr>
          <w:rFonts w:ascii="Palatino Linotype" w:hAnsi="Palatino Linotype" w:cs="Tahoma"/>
          <w:sz w:val="22"/>
          <w:szCs w:val="22"/>
          <w:lang w:val="es-ES"/>
        </w:rPr>
        <w:t>en los siguientes términos:</w:t>
      </w:r>
      <w:r w:rsidR="00046E37" w:rsidRPr="008F022D">
        <w:rPr>
          <w:rFonts w:ascii="Palatino Linotype" w:hAnsi="Palatino Linotype" w:cs="Tahoma"/>
          <w:sz w:val="22"/>
          <w:szCs w:val="22"/>
          <w:lang w:val="es-ES"/>
        </w:rPr>
        <w:t xml:space="preserve"> </w:t>
      </w:r>
    </w:p>
    <w:p w14:paraId="1A7AA1A8" w14:textId="77777777" w:rsidR="00B03EDE" w:rsidRPr="008F022D" w:rsidRDefault="00B03EDE" w:rsidP="00565EE3">
      <w:pPr>
        <w:widowControl w:val="0"/>
        <w:spacing w:line="360" w:lineRule="auto"/>
        <w:jc w:val="both"/>
        <w:rPr>
          <w:rFonts w:ascii="Palatino Linotype" w:hAnsi="Palatino Linotype" w:cs="Tahoma"/>
          <w:b/>
          <w:bCs/>
          <w:sz w:val="22"/>
          <w:szCs w:val="22"/>
          <w:lang w:val="es-ES"/>
        </w:rPr>
      </w:pPr>
    </w:p>
    <w:p w14:paraId="6D9868AB" w14:textId="77777777" w:rsidR="00B03EDE" w:rsidRPr="008F022D" w:rsidRDefault="00B03EDE" w:rsidP="00565EE3">
      <w:pPr>
        <w:spacing w:line="360" w:lineRule="auto"/>
        <w:ind w:left="567" w:right="567"/>
        <w:contextualSpacing/>
        <w:jc w:val="both"/>
        <w:rPr>
          <w:rFonts w:ascii="Palatino Linotype" w:hAnsi="Palatino Linotype" w:cs="Tahoma"/>
          <w:b/>
          <w:i/>
          <w:iCs/>
        </w:rPr>
      </w:pPr>
      <w:r w:rsidRPr="008F022D">
        <w:rPr>
          <w:rFonts w:ascii="Palatino Linotype" w:hAnsi="Palatino Linotype" w:cs="Tahoma"/>
          <w:b/>
          <w:i/>
          <w:iCs/>
        </w:rPr>
        <w:t xml:space="preserve"> “ACTO IMPUGNADO</w:t>
      </w:r>
    </w:p>
    <w:p w14:paraId="67ECEAF1" w14:textId="03D33074" w:rsidR="00763041" w:rsidRPr="008F022D" w:rsidRDefault="001D46CB" w:rsidP="00565EE3">
      <w:pPr>
        <w:spacing w:line="360" w:lineRule="auto"/>
        <w:ind w:left="567" w:right="567"/>
        <w:contextualSpacing/>
        <w:jc w:val="both"/>
        <w:rPr>
          <w:rFonts w:ascii="Palatino Linotype" w:hAnsi="Palatino Linotype" w:cs="Tahoma"/>
          <w:i/>
          <w:iCs/>
        </w:rPr>
      </w:pPr>
      <w:r w:rsidRPr="008F022D">
        <w:rPr>
          <w:rFonts w:ascii="Palatino Linotype" w:hAnsi="Palatino Linotype" w:cs="Tahoma"/>
          <w:i/>
          <w:iCs/>
        </w:rPr>
        <w:t>NO ENTREGA INFORMACIÓN</w:t>
      </w:r>
      <w:r w:rsidR="00B03EDE" w:rsidRPr="008F022D">
        <w:rPr>
          <w:rFonts w:ascii="Palatino Linotype" w:hAnsi="Palatino Linotype" w:cs="Tahoma"/>
          <w:i/>
          <w:iCs/>
        </w:rPr>
        <w:t>”</w:t>
      </w:r>
    </w:p>
    <w:p w14:paraId="6A69766A" w14:textId="77777777" w:rsidR="003559A0" w:rsidRPr="008F022D" w:rsidRDefault="003559A0" w:rsidP="00565EE3">
      <w:pPr>
        <w:spacing w:line="360" w:lineRule="auto"/>
        <w:ind w:left="567" w:right="567"/>
        <w:contextualSpacing/>
        <w:jc w:val="both"/>
        <w:rPr>
          <w:rFonts w:ascii="Palatino Linotype" w:hAnsi="Palatino Linotype" w:cs="Tahoma"/>
          <w:i/>
          <w:iCs/>
        </w:rPr>
      </w:pPr>
    </w:p>
    <w:p w14:paraId="18C82D3A" w14:textId="77777777" w:rsidR="00B03EDE" w:rsidRPr="008F022D" w:rsidRDefault="00B03EDE" w:rsidP="00565EE3">
      <w:pPr>
        <w:spacing w:line="360" w:lineRule="auto"/>
        <w:ind w:left="567" w:right="567"/>
        <w:contextualSpacing/>
        <w:jc w:val="both"/>
        <w:rPr>
          <w:rFonts w:ascii="Palatino Linotype" w:hAnsi="Palatino Linotype" w:cs="Tahoma"/>
          <w:b/>
          <w:i/>
          <w:iCs/>
        </w:rPr>
      </w:pPr>
      <w:r w:rsidRPr="008F022D">
        <w:rPr>
          <w:rFonts w:ascii="Palatino Linotype" w:hAnsi="Palatino Linotype" w:cs="Tahoma"/>
          <w:b/>
          <w:i/>
          <w:iCs/>
        </w:rPr>
        <w:t>“RAZONES O MOTIVOS DE LA INCONFORMIDAD</w:t>
      </w:r>
    </w:p>
    <w:p w14:paraId="527BB7B3" w14:textId="1AA13CCB" w:rsidR="00B03EDE" w:rsidRPr="008F022D" w:rsidRDefault="001D46CB" w:rsidP="00565EE3">
      <w:pPr>
        <w:spacing w:line="360" w:lineRule="auto"/>
        <w:ind w:left="567" w:right="567"/>
        <w:contextualSpacing/>
        <w:jc w:val="both"/>
        <w:rPr>
          <w:rFonts w:ascii="Palatino Linotype" w:hAnsi="Palatino Linotype" w:cs="Tahoma"/>
          <w:b/>
          <w:i/>
          <w:iCs/>
        </w:rPr>
      </w:pPr>
      <w:r w:rsidRPr="008F022D">
        <w:rPr>
          <w:rFonts w:ascii="Palatino Linotype" w:eastAsia="Calibri" w:hAnsi="Palatino Linotype" w:cs="Tahoma"/>
          <w:bCs/>
          <w:i/>
          <w:iCs/>
          <w:lang w:eastAsia="en-US"/>
        </w:rPr>
        <w:t>NO ENTREGA INFORMACIÓN</w:t>
      </w:r>
      <w:r w:rsidR="00B03EDE" w:rsidRPr="008F022D">
        <w:rPr>
          <w:rFonts w:ascii="Palatino Linotype" w:eastAsia="Calibri" w:hAnsi="Palatino Linotype" w:cs="Tahoma"/>
          <w:bCs/>
          <w:i/>
          <w:iCs/>
          <w:lang w:eastAsia="en-US"/>
        </w:rPr>
        <w:t>”</w:t>
      </w:r>
    </w:p>
    <w:p w14:paraId="6F433F9E" w14:textId="77777777" w:rsidR="00B03EDE" w:rsidRPr="008F022D" w:rsidRDefault="00B03EDE" w:rsidP="00565EE3">
      <w:pPr>
        <w:spacing w:line="360" w:lineRule="auto"/>
        <w:ind w:right="567"/>
        <w:contextualSpacing/>
        <w:jc w:val="both"/>
        <w:rPr>
          <w:rFonts w:ascii="Palatino Linotype" w:eastAsia="Calibri" w:hAnsi="Palatino Linotype" w:cs="Tahoma"/>
          <w:bCs/>
          <w:sz w:val="22"/>
          <w:szCs w:val="22"/>
          <w:lang w:eastAsia="en-US"/>
        </w:rPr>
      </w:pPr>
    </w:p>
    <w:p w14:paraId="01EC7854" w14:textId="2942D072" w:rsidR="00B03EDE" w:rsidRPr="008F022D" w:rsidRDefault="005D12CF" w:rsidP="00565EE3">
      <w:pPr>
        <w:spacing w:line="360" w:lineRule="auto"/>
        <w:jc w:val="both"/>
        <w:rPr>
          <w:rFonts w:ascii="Palatino Linotype" w:eastAsia="Batang" w:hAnsi="Palatino Linotype" w:cs="Tahoma"/>
          <w:b/>
          <w:bCs/>
          <w:sz w:val="22"/>
          <w:szCs w:val="22"/>
        </w:rPr>
      </w:pPr>
      <w:r w:rsidRPr="008F022D">
        <w:rPr>
          <w:rFonts w:ascii="Palatino Linotype" w:hAnsi="Palatino Linotype" w:cs="Tahoma"/>
          <w:b/>
          <w:sz w:val="22"/>
          <w:szCs w:val="22"/>
        </w:rPr>
        <w:t>V</w:t>
      </w:r>
      <w:r w:rsidR="00C610B6" w:rsidRPr="008F022D">
        <w:rPr>
          <w:rFonts w:ascii="Palatino Linotype" w:hAnsi="Palatino Linotype" w:cs="Tahoma"/>
          <w:b/>
          <w:sz w:val="22"/>
          <w:szCs w:val="22"/>
        </w:rPr>
        <w:t>I</w:t>
      </w:r>
      <w:r w:rsidR="00B03EDE" w:rsidRPr="008F022D">
        <w:rPr>
          <w:rFonts w:ascii="Palatino Linotype" w:hAnsi="Palatino Linotype" w:cs="Tahoma"/>
          <w:b/>
          <w:sz w:val="22"/>
          <w:szCs w:val="22"/>
        </w:rPr>
        <w:t xml:space="preserve">. </w:t>
      </w:r>
      <w:r w:rsidR="00B03EDE" w:rsidRPr="008F022D">
        <w:rPr>
          <w:rFonts w:ascii="Palatino Linotype" w:eastAsia="Batang" w:hAnsi="Palatino Linotype" w:cs="Tahoma"/>
          <w:b/>
          <w:bCs/>
          <w:sz w:val="22"/>
          <w:szCs w:val="22"/>
        </w:rPr>
        <w:t>Trámite del Recurso de Revisión</w:t>
      </w:r>
      <w:r w:rsidR="00B03EDE" w:rsidRPr="008F022D">
        <w:rPr>
          <w:rFonts w:ascii="Palatino Linotype" w:hAnsi="Palatino Linotype" w:cs="Tahoma"/>
          <w:b/>
          <w:sz w:val="22"/>
          <w:szCs w:val="22"/>
        </w:rPr>
        <w:t xml:space="preserve"> </w:t>
      </w:r>
      <w:r w:rsidR="00B03EDE" w:rsidRPr="008F022D">
        <w:rPr>
          <w:rFonts w:ascii="Palatino Linotype" w:eastAsia="Batang" w:hAnsi="Palatino Linotype" w:cs="Tahoma"/>
          <w:b/>
          <w:bCs/>
          <w:sz w:val="22"/>
          <w:szCs w:val="22"/>
        </w:rPr>
        <w:t>ante el Instituto.</w:t>
      </w:r>
    </w:p>
    <w:p w14:paraId="67D0DF97" w14:textId="77777777" w:rsidR="00B03EDE" w:rsidRPr="008F022D" w:rsidRDefault="00B03EDE" w:rsidP="00565EE3">
      <w:pPr>
        <w:spacing w:line="360" w:lineRule="auto"/>
        <w:jc w:val="both"/>
        <w:rPr>
          <w:rFonts w:ascii="Palatino Linotype" w:eastAsia="Batang" w:hAnsi="Palatino Linotype" w:cs="Tahoma"/>
          <w:b/>
          <w:bCs/>
          <w:sz w:val="22"/>
          <w:szCs w:val="22"/>
        </w:rPr>
      </w:pPr>
    </w:p>
    <w:p w14:paraId="531EA316" w14:textId="56700FFE" w:rsidR="00B03EDE" w:rsidRPr="008F022D" w:rsidRDefault="00B03EDE" w:rsidP="00565EE3">
      <w:pPr>
        <w:spacing w:line="360" w:lineRule="auto"/>
        <w:jc w:val="both"/>
        <w:rPr>
          <w:rFonts w:ascii="Palatino Linotype" w:eastAsia="Batang" w:hAnsi="Palatino Linotype" w:cs="Tahoma"/>
          <w:b/>
          <w:bCs/>
          <w:sz w:val="22"/>
          <w:szCs w:val="22"/>
        </w:rPr>
      </w:pPr>
      <w:r w:rsidRPr="008F022D">
        <w:rPr>
          <w:rFonts w:ascii="Palatino Linotype" w:eastAsia="Batang" w:hAnsi="Palatino Linotype" w:cs="Tahoma"/>
          <w:b/>
          <w:bCs/>
          <w:sz w:val="22"/>
          <w:szCs w:val="22"/>
        </w:rPr>
        <w:t xml:space="preserve">a) Turno del Recurso de Revisión. </w:t>
      </w:r>
      <w:r w:rsidRPr="008F022D">
        <w:rPr>
          <w:rFonts w:ascii="Palatino Linotype" w:eastAsia="Batang" w:hAnsi="Palatino Linotype" w:cs="Tahoma"/>
          <w:sz w:val="22"/>
          <w:szCs w:val="22"/>
        </w:rPr>
        <w:t xml:space="preserve">El </w:t>
      </w:r>
      <w:r w:rsidR="001D46CB" w:rsidRPr="008F022D">
        <w:rPr>
          <w:rFonts w:ascii="Palatino Linotype" w:hAnsi="Palatino Linotype" w:cs="Tahoma"/>
          <w:sz w:val="22"/>
          <w:szCs w:val="22"/>
          <w:lang w:val="es-ES"/>
        </w:rPr>
        <w:t>trece</w:t>
      </w:r>
      <w:r w:rsidR="00E45B08" w:rsidRPr="008F022D">
        <w:rPr>
          <w:rFonts w:ascii="Palatino Linotype" w:hAnsi="Palatino Linotype" w:cs="Tahoma"/>
          <w:sz w:val="22"/>
          <w:szCs w:val="22"/>
          <w:lang w:val="es-ES"/>
        </w:rPr>
        <w:t xml:space="preserve"> de </w:t>
      </w:r>
      <w:r w:rsidR="000F5636" w:rsidRPr="008F022D">
        <w:rPr>
          <w:rFonts w:ascii="Palatino Linotype" w:hAnsi="Palatino Linotype" w:cs="Tahoma"/>
          <w:sz w:val="22"/>
          <w:szCs w:val="22"/>
          <w:lang w:val="es-ES"/>
        </w:rPr>
        <w:t>febrero</w:t>
      </w:r>
      <w:r w:rsidR="00C610B6" w:rsidRPr="008F022D">
        <w:rPr>
          <w:rFonts w:ascii="Palatino Linotype" w:hAnsi="Palatino Linotype" w:cs="Tahoma"/>
          <w:sz w:val="22"/>
          <w:szCs w:val="22"/>
          <w:lang w:val="es-ES"/>
        </w:rPr>
        <w:t xml:space="preserve"> de dos mil veintitrés</w:t>
      </w:r>
      <w:r w:rsidRPr="008F022D">
        <w:rPr>
          <w:rFonts w:ascii="Palatino Linotype" w:eastAsia="Batang" w:hAnsi="Palatino Linotype" w:cs="Tahoma"/>
          <w:sz w:val="22"/>
          <w:szCs w:val="22"/>
        </w:rPr>
        <w:t xml:space="preserve">, el </w:t>
      </w:r>
      <w:r w:rsidRPr="008F022D">
        <w:rPr>
          <w:rFonts w:ascii="Palatino Linotype" w:eastAsia="Batang" w:hAnsi="Palatino Linotype" w:cs="Tahoma"/>
          <w:sz w:val="22"/>
          <w:szCs w:val="22"/>
          <w:lang w:val="es-ES"/>
        </w:rPr>
        <w:t>Sistema de Acceso a la Información Mexiquense (SAIMEX),</w:t>
      </w:r>
      <w:r w:rsidRPr="008F022D">
        <w:rPr>
          <w:rFonts w:ascii="Palatino Linotype" w:eastAsia="Batang" w:hAnsi="Palatino Linotype" w:cs="Tahoma"/>
          <w:sz w:val="22"/>
          <w:szCs w:val="22"/>
        </w:rPr>
        <w:t xml:space="preserve"> asignó el número de expediente </w:t>
      </w:r>
      <w:r w:rsidR="000F5636" w:rsidRPr="008F022D">
        <w:rPr>
          <w:rFonts w:ascii="Palatino Linotype" w:eastAsia="Calibri" w:hAnsi="Palatino Linotype" w:cs="Tahoma"/>
          <w:b/>
          <w:bCs/>
          <w:sz w:val="22"/>
          <w:szCs w:val="22"/>
        </w:rPr>
        <w:t>00</w:t>
      </w:r>
      <w:r w:rsidR="00352F99" w:rsidRPr="008F022D">
        <w:rPr>
          <w:rFonts w:ascii="Palatino Linotype" w:eastAsia="Calibri" w:hAnsi="Palatino Linotype" w:cs="Tahoma"/>
          <w:b/>
          <w:bCs/>
          <w:sz w:val="22"/>
          <w:szCs w:val="22"/>
        </w:rPr>
        <w:t>751</w:t>
      </w:r>
      <w:r w:rsidR="000F5636" w:rsidRPr="008F022D">
        <w:rPr>
          <w:rFonts w:ascii="Palatino Linotype" w:eastAsia="Calibri" w:hAnsi="Palatino Linotype" w:cs="Tahoma"/>
          <w:b/>
          <w:bCs/>
          <w:sz w:val="22"/>
          <w:szCs w:val="22"/>
        </w:rPr>
        <w:t>/INFOEM/IP/RR/2023</w:t>
      </w:r>
      <w:r w:rsidRPr="008F022D">
        <w:rPr>
          <w:rFonts w:ascii="Palatino Linotype" w:eastAsia="Batang" w:hAnsi="Palatino Linotype" w:cs="Tahoma"/>
          <w:sz w:val="22"/>
          <w:szCs w:val="22"/>
        </w:rPr>
        <w:t xml:space="preserve">, al medio de impugnación que nos ocupa, con base en el sistema aprobado por el Pleno de este Órgano Garante y lo turnó al </w:t>
      </w:r>
      <w:r w:rsidRPr="008F022D">
        <w:rPr>
          <w:rFonts w:ascii="Palatino Linotype" w:eastAsia="Batang" w:hAnsi="Palatino Linotype" w:cs="Tahoma"/>
          <w:b/>
          <w:bCs/>
          <w:sz w:val="22"/>
          <w:szCs w:val="22"/>
        </w:rPr>
        <w:t>Comisionado Ponente Luis Gustavo Parra Noriega</w:t>
      </w:r>
      <w:r w:rsidRPr="008F022D">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9635DCE" w14:textId="77777777" w:rsidR="00B03EDE" w:rsidRPr="008F022D" w:rsidRDefault="00B03EDE" w:rsidP="00565EE3">
      <w:pPr>
        <w:spacing w:line="360" w:lineRule="auto"/>
        <w:jc w:val="both"/>
        <w:rPr>
          <w:rFonts w:ascii="Palatino Linotype" w:eastAsia="Batang" w:hAnsi="Palatino Linotype" w:cs="Tahoma"/>
          <w:b/>
          <w:bCs/>
          <w:sz w:val="22"/>
          <w:szCs w:val="22"/>
        </w:rPr>
      </w:pPr>
    </w:p>
    <w:p w14:paraId="5412875E" w14:textId="709C81C1" w:rsidR="00B03EDE" w:rsidRPr="008F022D" w:rsidRDefault="00B03EDE" w:rsidP="00565EE3">
      <w:pPr>
        <w:spacing w:line="360" w:lineRule="auto"/>
        <w:jc w:val="both"/>
        <w:rPr>
          <w:rFonts w:ascii="Palatino Linotype" w:eastAsia="Batang" w:hAnsi="Palatino Linotype" w:cs="Tahoma"/>
          <w:b/>
          <w:bCs/>
          <w:sz w:val="22"/>
          <w:szCs w:val="22"/>
        </w:rPr>
      </w:pPr>
      <w:r w:rsidRPr="008F022D">
        <w:rPr>
          <w:rFonts w:ascii="Palatino Linotype" w:eastAsia="Batang" w:hAnsi="Palatino Linotype" w:cs="Tahoma"/>
          <w:b/>
          <w:bCs/>
          <w:sz w:val="22"/>
          <w:szCs w:val="22"/>
        </w:rPr>
        <w:t>b) Admisión del Recurso de Revisión</w:t>
      </w:r>
      <w:r w:rsidRPr="008F022D">
        <w:rPr>
          <w:rFonts w:ascii="Palatino Linotype" w:eastAsia="Batang" w:hAnsi="Palatino Linotype" w:cs="Tahoma"/>
          <w:b/>
          <w:bCs/>
          <w:sz w:val="22"/>
          <w:szCs w:val="22"/>
          <w:lang w:val="es-ES_tradnl"/>
        </w:rPr>
        <w:t xml:space="preserve">. </w:t>
      </w:r>
      <w:r w:rsidRPr="008F022D">
        <w:rPr>
          <w:rFonts w:ascii="Palatino Linotype" w:eastAsia="Batang" w:hAnsi="Palatino Linotype" w:cs="Tahoma"/>
          <w:sz w:val="22"/>
          <w:szCs w:val="22"/>
          <w:lang w:val="es-ES_tradnl"/>
        </w:rPr>
        <w:t xml:space="preserve">El </w:t>
      </w:r>
      <w:bookmarkStart w:id="1" w:name="_Hlk96418134"/>
      <w:r w:rsidR="00C610B6" w:rsidRPr="008F022D">
        <w:rPr>
          <w:rFonts w:ascii="Palatino Linotype" w:eastAsia="Batang" w:hAnsi="Palatino Linotype" w:cs="Tahoma"/>
          <w:sz w:val="22"/>
          <w:szCs w:val="22"/>
          <w:lang w:val="es-ES_tradnl"/>
        </w:rPr>
        <w:t>dieciséis</w:t>
      </w:r>
      <w:r w:rsidR="00C22667" w:rsidRPr="008F022D">
        <w:rPr>
          <w:rFonts w:ascii="Palatino Linotype" w:eastAsia="Batang" w:hAnsi="Palatino Linotype" w:cs="Tahoma"/>
          <w:sz w:val="22"/>
          <w:szCs w:val="22"/>
          <w:lang w:val="es-ES_tradnl"/>
        </w:rPr>
        <w:t xml:space="preserve"> de </w:t>
      </w:r>
      <w:r w:rsidR="00C610B6" w:rsidRPr="008F022D">
        <w:rPr>
          <w:rFonts w:ascii="Palatino Linotype" w:eastAsia="Batang" w:hAnsi="Palatino Linotype" w:cs="Tahoma"/>
          <w:sz w:val="22"/>
          <w:szCs w:val="22"/>
          <w:lang w:val="es-ES_tradnl"/>
        </w:rPr>
        <w:t>febrero</w:t>
      </w:r>
      <w:r w:rsidR="003D643A" w:rsidRPr="008F022D">
        <w:rPr>
          <w:rFonts w:ascii="Palatino Linotype" w:eastAsia="Batang" w:hAnsi="Palatino Linotype" w:cs="Tahoma"/>
          <w:sz w:val="22"/>
          <w:szCs w:val="22"/>
          <w:lang w:val="es-ES_tradnl"/>
        </w:rPr>
        <w:t xml:space="preserve"> de dos mil veinti</w:t>
      </w:r>
      <w:bookmarkEnd w:id="1"/>
      <w:r w:rsidR="00C610B6" w:rsidRPr="008F022D">
        <w:rPr>
          <w:rFonts w:ascii="Palatino Linotype" w:eastAsia="Batang" w:hAnsi="Palatino Linotype" w:cs="Tahoma"/>
          <w:sz w:val="22"/>
          <w:szCs w:val="22"/>
          <w:lang w:val="es-ES_tradnl"/>
        </w:rPr>
        <w:t>trés</w:t>
      </w:r>
      <w:r w:rsidRPr="008F022D">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w:t>
      </w:r>
      <w:r w:rsidRPr="008F022D">
        <w:rPr>
          <w:rFonts w:ascii="Palatino Linotype" w:eastAsia="Batang" w:hAnsi="Palatino Linotype" w:cs="Tahoma"/>
          <w:sz w:val="22"/>
          <w:szCs w:val="22"/>
          <w:lang w:val="es-ES_tradnl"/>
        </w:rPr>
        <w:lastRenderedPageBreak/>
        <w:t>a través del Sistema de Acceso a la Información Mexiquense (SAIMEX), en el que se les otorgó un plazo de siete días hábiles posteriores a la misma, para que manifestaran lo que a su derecho conviniera y formularan alegatos.</w:t>
      </w:r>
    </w:p>
    <w:p w14:paraId="65E011B0" w14:textId="77777777" w:rsidR="00B03EDE" w:rsidRPr="008F022D" w:rsidRDefault="00B03EDE" w:rsidP="00565EE3">
      <w:pPr>
        <w:spacing w:line="360" w:lineRule="auto"/>
        <w:jc w:val="both"/>
        <w:rPr>
          <w:rFonts w:ascii="Palatino Linotype" w:eastAsia="Batang" w:hAnsi="Palatino Linotype" w:cs="Tahoma"/>
          <w:bCs/>
          <w:sz w:val="22"/>
          <w:szCs w:val="22"/>
        </w:rPr>
      </w:pPr>
    </w:p>
    <w:p w14:paraId="5B93B2E8" w14:textId="1025B518" w:rsidR="004529ED" w:rsidRPr="008F022D" w:rsidRDefault="00B03EDE" w:rsidP="00565EE3">
      <w:pPr>
        <w:widowControl w:val="0"/>
        <w:spacing w:line="360" w:lineRule="auto"/>
        <w:jc w:val="both"/>
        <w:rPr>
          <w:rFonts w:ascii="Palatino Linotype" w:hAnsi="Palatino Linotype"/>
          <w:bCs/>
          <w:sz w:val="22"/>
          <w:szCs w:val="22"/>
          <w:lang w:val="es-ES_tradnl"/>
        </w:rPr>
      </w:pPr>
      <w:r w:rsidRPr="008F022D">
        <w:rPr>
          <w:rFonts w:ascii="Palatino Linotype" w:hAnsi="Palatino Linotype"/>
          <w:b/>
          <w:bCs/>
          <w:sz w:val="22"/>
          <w:szCs w:val="22"/>
        </w:rPr>
        <w:t xml:space="preserve">c) </w:t>
      </w:r>
      <w:r w:rsidRPr="008F022D">
        <w:rPr>
          <w:rFonts w:ascii="Palatino Linotype" w:hAnsi="Palatino Linotype"/>
          <w:b/>
          <w:sz w:val="22"/>
          <w:szCs w:val="22"/>
          <w:lang w:val="es-ES_tradnl"/>
        </w:rPr>
        <w:t>Informe Justificado</w:t>
      </w:r>
      <w:r w:rsidR="00930F5B" w:rsidRPr="008F022D">
        <w:rPr>
          <w:rFonts w:ascii="Palatino Linotype" w:hAnsi="Palatino Linotype"/>
          <w:b/>
          <w:sz w:val="22"/>
          <w:szCs w:val="22"/>
          <w:lang w:val="es-ES_tradnl"/>
        </w:rPr>
        <w:t xml:space="preserve"> o manifestaciones</w:t>
      </w:r>
      <w:r w:rsidRPr="008F022D">
        <w:rPr>
          <w:rFonts w:ascii="Palatino Linotype" w:hAnsi="Palatino Linotype"/>
          <w:b/>
          <w:sz w:val="22"/>
          <w:szCs w:val="22"/>
          <w:lang w:val="es-ES_tradnl"/>
        </w:rPr>
        <w:t xml:space="preserve">. </w:t>
      </w:r>
      <w:r w:rsidR="003D643A" w:rsidRPr="008F022D">
        <w:rPr>
          <w:rFonts w:ascii="Palatino Linotype" w:hAnsi="Palatino Linotype"/>
          <w:bCs/>
          <w:sz w:val="22"/>
          <w:szCs w:val="22"/>
          <w:lang w:val="es-ES_tradnl"/>
        </w:rPr>
        <w:t>Las partes fueron omisas en emitir manifestaciones o alegatos.</w:t>
      </w:r>
    </w:p>
    <w:p w14:paraId="11A10F85" w14:textId="77777777" w:rsidR="003D643A" w:rsidRPr="008F022D" w:rsidRDefault="003D643A" w:rsidP="00565EE3">
      <w:pPr>
        <w:widowControl w:val="0"/>
        <w:spacing w:line="360" w:lineRule="auto"/>
        <w:jc w:val="both"/>
        <w:rPr>
          <w:rFonts w:ascii="Palatino Linotype" w:hAnsi="Palatino Linotype"/>
          <w:bCs/>
          <w:sz w:val="22"/>
          <w:szCs w:val="22"/>
          <w:lang w:val="es-ES_tradnl"/>
        </w:rPr>
      </w:pPr>
    </w:p>
    <w:p w14:paraId="1AD10A0A" w14:textId="5F6FD634" w:rsidR="00B03EDE" w:rsidRPr="008F022D" w:rsidRDefault="003D643A" w:rsidP="00565EE3">
      <w:pPr>
        <w:spacing w:line="360" w:lineRule="auto"/>
        <w:jc w:val="both"/>
        <w:rPr>
          <w:rFonts w:ascii="Palatino Linotype" w:hAnsi="Palatino Linotype" w:cs="Tahoma"/>
          <w:sz w:val="22"/>
          <w:szCs w:val="22"/>
        </w:rPr>
      </w:pPr>
      <w:r w:rsidRPr="008F022D">
        <w:rPr>
          <w:rFonts w:ascii="Palatino Linotype" w:hAnsi="Palatino Linotype" w:cs="Tahoma"/>
          <w:b/>
          <w:sz w:val="22"/>
          <w:szCs w:val="22"/>
        </w:rPr>
        <w:t>d</w:t>
      </w:r>
      <w:r w:rsidR="00B03EDE" w:rsidRPr="008F022D">
        <w:rPr>
          <w:rFonts w:ascii="Palatino Linotype" w:hAnsi="Palatino Linotype" w:cs="Tahoma"/>
          <w:b/>
          <w:sz w:val="22"/>
          <w:szCs w:val="22"/>
        </w:rPr>
        <w:t>) Cierre de instrucción.</w:t>
      </w:r>
      <w:r w:rsidR="00B03EDE" w:rsidRPr="008F022D">
        <w:rPr>
          <w:rFonts w:ascii="Palatino Linotype" w:hAnsi="Palatino Linotype" w:cs="Tahoma"/>
          <w:sz w:val="22"/>
          <w:szCs w:val="22"/>
        </w:rPr>
        <w:t xml:space="preserve"> El </w:t>
      </w:r>
      <w:r w:rsidR="001D46CB" w:rsidRPr="008F022D">
        <w:rPr>
          <w:rFonts w:ascii="Palatino Linotype" w:hAnsi="Palatino Linotype" w:cs="Tahoma"/>
          <w:sz w:val="22"/>
          <w:szCs w:val="22"/>
        </w:rPr>
        <w:t>diez</w:t>
      </w:r>
      <w:r w:rsidR="00C610B6" w:rsidRPr="008F022D">
        <w:rPr>
          <w:rFonts w:ascii="Palatino Linotype" w:hAnsi="Palatino Linotype" w:cs="Tahoma"/>
          <w:sz w:val="22"/>
          <w:szCs w:val="22"/>
        </w:rPr>
        <w:t xml:space="preserve"> </w:t>
      </w:r>
      <w:r w:rsidR="00763041" w:rsidRPr="008F022D">
        <w:rPr>
          <w:rFonts w:ascii="Palatino Linotype" w:hAnsi="Palatino Linotype" w:cs="Tahoma"/>
          <w:sz w:val="22"/>
          <w:szCs w:val="22"/>
          <w:lang w:val="es-ES"/>
        </w:rPr>
        <w:t xml:space="preserve">de </w:t>
      </w:r>
      <w:r w:rsidR="00C610B6" w:rsidRPr="008F022D">
        <w:rPr>
          <w:rFonts w:ascii="Palatino Linotype" w:hAnsi="Palatino Linotype" w:cs="Tahoma"/>
          <w:sz w:val="22"/>
          <w:szCs w:val="22"/>
          <w:lang w:val="es-ES"/>
        </w:rPr>
        <w:t>marzo de dos mil veintitrés</w:t>
      </w:r>
      <w:r w:rsidR="00B03EDE" w:rsidRPr="008F022D">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03EDE" w:rsidRPr="008F022D">
        <w:rPr>
          <w:rFonts w:ascii="Palatino Linotype" w:hAnsi="Palatino Linotype" w:cs="Tahoma"/>
          <w:sz w:val="22"/>
          <w:szCs w:val="22"/>
          <w:lang w:val="es-ES"/>
        </w:rPr>
        <w:t>Sistema de Acceso a la Información Mexiquense (SAIMEX)</w:t>
      </w:r>
      <w:r w:rsidR="00B03EDE" w:rsidRPr="008F022D">
        <w:rPr>
          <w:rFonts w:ascii="Palatino Linotype" w:hAnsi="Palatino Linotype" w:cs="Tahoma"/>
          <w:sz w:val="22"/>
          <w:szCs w:val="22"/>
        </w:rPr>
        <w:t>.</w:t>
      </w:r>
    </w:p>
    <w:p w14:paraId="607AE451" w14:textId="77777777" w:rsidR="00B03EDE" w:rsidRPr="008F022D" w:rsidRDefault="00B03EDE" w:rsidP="00565EE3">
      <w:pPr>
        <w:spacing w:line="360" w:lineRule="auto"/>
        <w:jc w:val="both"/>
        <w:rPr>
          <w:rFonts w:ascii="Palatino Linotype" w:hAnsi="Palatino Linotype" w:cs="Tahoma"/>
          <w:sz w:val="22"/>
          <w:szCs w:val="22"/>
        </w:rPr>
      </w:pPr>
    </w:p>
    <w:p w14:paraId="6595EA97" w14:textId="77777777" w:rsidR="00B03EDE" w:rsidRPr="008F022D" w:rsidRDefault="00B03EDE" w:rsidP="00565EE3">
      <w:pPr>
        <w:spacing w:line="360" w:lineRule="auto"/>
        <w:jc w:val="both"/>
        <w:rPr>
          <w:rFonts w:ascii="Palatino Linotype" w:hAnsi="Palatino Linotype" w:cs="Tahoma"/>
          <w:color w:val="000000"/>
          <w:sz w:val="22"/>
          <w:szCs w:val="22"/>
        </w:rPr>
      </w:pPr>
      <w:r w:rsidRPr="008F022D">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435583AA" w14:textId="77777777" w:rsidR="00B03EDE" w:rsidRPr="008F022D" w:rsidRDefault="00B03EDE" w:rsidP="00565EE3">
      <w:pPr>
        <w:spacing w:line="360" w:lineRule="auto"/>
        <w:contextualSpacing/>
        <w:jc w:val="both"/>
        <w:rPr>
          <w:rFonts w:ascii="Palatino Linotype" w:hAnsi="Palatino Linotype" w:cs="Tahoma"/>
          <w:color w:val="000000"/>
          <w:sz w:val="22"/>
          <w:szCs w:val="22"/>
        </w:rPr>
      </w:pPr>
    </w:p>
    <w:p w14:paraId="42A8DE4F" w14:textId="77777777" w:rsidR="00B03EDE" w:rsidRPr="008F022D" w:rsidRDefault="00B03EDE" w:rsidP="00565EE3">
      <w:pPr>
        <w:spacing w:line="360" w:lineRule="auto"/>
        <w:jc w:val="center"/>
        <w:rPr>
          <w:rFonts w:ascii="Palatino Linotype" w:hAnsi="Palatino Linotype" w:cs="Tahoma"/>
          <w:b/>
          <w:sz w:val="22"/>
          <w:szCs w:val="22"/>
        </w:rPr>
      </w:pPr>
      <w:r w:rsidRPr="008F022D">
        <w:rPr>
          <w:rFonts w:ascii="Palatino Linotype" w:hAnsi="Palatino Linotype" w:cs="Tahoma"/>
          <w:b/>
          <w:sz w:val="22"/>
          <w:szCs w:val="22"/>
        </w:rPr>
        <w:t>C O N S I D E R A N D O S</w:t>
      </w:r>
    </w:p>
    <w:p w14:paraId="63655676" w14:textId="77777777" w:rsidR="00B03EDE" w:rsidRPr="008F022D" w:rsidRDefault="00B03EDE" w:rsidP="00565EE3">
      <w:pPr>
        <w:spacing w:line="360" w:lineRule="auto"/>
        <w:rPr>
          <w:rFonts w:ascii="Palatino Linotype" w:hAnsi="Palatino Linotype" w:cs="Tahoma"/>
          <w:b/>
          <w:sz w:val="22"/>
          <w:szCs w:val="22"/>
        </w:rPr>
      </w:pPr>
    </w:p>
    <w:p w14:paraId="56997B87" w14:textId="77777777" w:rsidR="00962E78" w:rsidRPr="008F022D" w:rsidRDefault="00962E78" w:rsidP="00565EE3">
      <w:pPr>
        <w:spacing w:line="360" w:lineRule="auto"/>
        <w:jc w:val="both"/>
        <w:rPr>
          <w:rFonts w:ascii="Palatino Linotype" w:eastAsia="Batang" w:hAnsi="Palatino Linotype" w:cs="Tahoma"/>
          <w:b/>
          <w:bCs/>
          <w:sz w:val="22"/>
          <w:szCs w:val="22"/>
        </w:rPr>
      </w:pPr>
      <w:r w:rsidRPr="008F022D">
        <w:rPr>
          <w:rFonts w:ascii="Palatino Linotype" w:eastAsia="Batang" w:hAnsi="Palatino Linotype" w:cs="Tahoma"/>
          <w:b/>
          <w:bCs/>
          <w:sz w:val="22"/>
          <w:szCs w:val="22"/>
        </w:rPr>
        <w:t xml:space="preserve">PRIMERO. Competencia. </w:t>
      </w:r>
    </w:p>
    <w:p w14:paraId="5924D111" w14:textId="77777777" w:rsidR="00962E78" w:rsidRPr="008F022D" w:rsidRDefault="00962E78" w:rsidP="00565EE3">
      <w:pPr>
        <w:spacing w:line="360" w:lineRule="auto"/>
        <w:jc w:val="both"/>
        <w:rPr>
          <w:rFonts w:ascii="Palatino Linotype" w:eastAsia="Batang" w:hAnsi="Palatino Linotype" w:cs="Tahoma"/>
          <w:b/>
          <w:bCs/>
          <w:sz w:val="22"/>
          <w:szCs w:val="22"/>
        </w:rPr>
      </w:pPr>
    </w:p>
    <w:p w14:paraId="74757002" w14:textId="77777777" w:rsidR="00962E78" w:rsidRPr="008F022D" w:rsidRDefault="00962E78" w:rsidP="00565EE3">
      <w:pPr>
        <w:spacing w:line="360" w:lineRule="auto"/>
        <w:jc w:val="both"/>
        <w:rPr>
          <w:rFonts w:ascii="Palatino Linotype" w:hAnsi="Palatino Linotype" w:cs="Tahoma"/>
          <w:bCs/>
          <w:sz w:val="22"/>
          <w:szCs w:val="22"/>
        </w:rPr>
      </w:pPr>
      <w:bookmarkStart w:id="2" w:name="_Hlk63334754"/>
      <w:r w:rsidRPr="008F022D">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8F022D">
        <w:rPr>
          <w:rFonts w:ascii="Palatino Linotype" w:hAnsi="Palatino Linotype" w:cs="Tahoma"/>
          <w:bCs/>
          <w:sz w:val="22"/>
          <w:szCs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F022D">
        <w:rPr>
          <w:rFonts w:ascii="Palatino Linotype" w:hAnsi="Palatino Linotype"/>
          <w:bCs/>
          <w:sz w:val="22"/>
          <w:szCs w:val="22"/>
        </w:rPr>
        <w:t xml:space="preserve"> 7°, </w:t>
      </w:r>
      <w:r w:rsidRPr="008F022D">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2"/>
    <w:p w14:paraId="58570013" w14:textId="77777777" w:rsidR="00962E78" w:rsidRPr="008F022D" w:rsidRDefault="00962E78" w:rsidP="00565EE3">
      <w:pPr>
        <w:spacing w:line="360" w:lineRule="auto"/>
        <w:jc w:val="both"/>
        <w:rPr>
          <w:rFonts w:ascii="Palatino Linotype" w:eastAsia="Calibri" w:hAnsi="Palatino Linotype" w:cs="Tahoma"/>
          <w:bCs/>
          <w:color w:val="000000"/>
          <w:sz w:val="22"/>
          <w:szCs w:val="22"/>
          <w:lang w:eastAsia="es-ES_tradnl"/>
        </w:rPr>
      </w:pPr>
    </w:p>
    <w:p w14:paraId="1CAAC2C7" w14:textId="77777777" w:rsidR="00962E78" w:rsidRPr="008F022D" w:rsidRDefault="00962E78" w:rsidP="00565EE3">
      <w:pPr>
        <w:shd w:val="clear" w:color="auto" w:fill="FFFFFF"/>
        <w:spacing w:line="360" w:lineRule="auto"/>
        <w:jc w:val="both"/>
        <w:rPr>
          <w:rFonts w:ascii="Palatino Linotype" w:hAnsi="Palatino Linotype"/>
          <w:color w:val="222222"/>
          <w:lang w:val="es-ES"/>
        </w:rPr>
      </w:pPr>
      <w:r w:rsidRPr="008F022D">
        <w:rPr>
          <w:rFonts w:ascii="Palatino Linotype" w:hAnsi="Palatino Linotype"/>
          <w:b/>
          <w:bCs/>
          <w:color w:val="000000"/>
          <w:sz w:val="22"/>
          <w:szCs w:val="22"/>
          <w:lang w:val="es-ES"/>
        </w:rPr>
        <w:t>SEGUNDO. Causales de procedencia y sobreseimiento.</w:t>
      </w:r>
    </w:p>
    <w:p w14:paraId="5DFF1905" w14:textId="77777777" w:rsidR="00962E78" w:rsidRPr="008F022D" w:rsidRDefault="00962E78" w:rsidP="00565EE3">
      <w:pPr>
        <w:shd w:val="clear" w:color="auto" w:fill="FFFFFF"/>
        <w:spacing w:line="360" w:lineRule="auto"/>
        <w:jc w:val="both"/>
        <w:rPr>
          <w:rFonts w:ascii="Palatino Linotype" w:hAnsi="Palatino Linotype"/>
          <w:color w:val="222222"/>
          <w:lang w:val="es-ES"/>
        </w:rPr>
      </w:pPr>
    </w:p>
    <w:p w14:paraId="1E6FAEA8" w14:textId="77777777" w:rsidR="00962E78" w:rsidRPr="008F022D" w:rsidRDefault="00962E78" w:rsidP="00565EE3">
      <w:pPr>
        <w:shd w:val="clear" w:color="auto" w:fill="FFFFFF"/>
        <w:spacing w:line="360" w:lineRule="auto"/>
        <w:jc w:val="both"/>
        <w:rPr>
          <w:rFonts w:ascii="Palatino Linotype" w:hAnsi="Palatino Linotype"/>
          <w:color w:val="222222"/>
          <w:lang w:val="es-ES"/>
        </w:rPr>
      </w:pPr>
      <w:r w:rsidRPr="008F022D">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8F022D">
        <w:rPr>
          <w:rFonts w:ascii="Palatino Linotype" w:hAnsi="Palatino Linotype"/>
          <w:i/>
          <w:color w:val="000000"/>
          <w:sz w:val="22"/>
          <w:szCs w:val="22"/>
          <w:lang w:val="es-ES"/>
        </w:rPr>
        <w:t>litis</w:t>
      </w:r>
      <w:r w:rsidRPr="008F022D">
        <w:rPr>
          <w:rFonts w:ascii="Palatino Linotype" w:hAnsi="Palatino Linotype"/>
          <w:color w:val="000000"/>
          <w:sz w:val="22"/>
          <w:szCs w:val="22"/>
          <w:lang w:val="es-ES"/>
        </w:rPr>
        <w:t>, es necesario estudiar las causales de improcedencia y sobreseimiento que se adviertan, para determinar lo que en Derecho proceda.</w:t>
      </w:r>
    </w:p>
    <w:p w14:paraId="3D8C34B4" w14:textId="77777777" w:rsidR="00962E78" w:rsidRPr="008F022D" w:rsidRDefault="00962E78" w:rsidP="00565EE3">
      <w:pPr>
        <w:shd w:val="clear" w:color="auto" w:fill="FFFFFF"/>
        <w:spacing w:line="360" w:lineRule="auto"/>
        <w:jc w:val="both"/>
        <w:rPr>
          <w:rFonts w:ascii="Palatino Linotype" w:hAnsi="Palatino Linotype"/>
          <w:b/>
          <w:bCs/>
          <w:color w:val="000000"/>
          <w:sz w:val="22"/>
          <w:szCs w:val="22"/>
          <w:lang w:val="es-ES"/>
        </w:rPr>
      </w:pPr>
    </w:p>
    <w:p w14:paraId="46CEB6C8" w14:textId="77777777" w:rsidR="00962E78" w:rsidRPr="008F022D" w:rsidRDefault="00962E78" w:rsidP="00565EE3">
      <w:pPr>
        <w:shd w:val="clear" w:color="auto" w:fill="FFFFFF"/>
        <w:spacing w:line="360" w:lineRule="auto"/>
        <w:jc w:val="both"/>
        <w:rPr>
          <w:rFonts w:ascii="Palatino Linotype" w:hAnsi="Palatino Linotype"/>
          <w:b/>
          <w:bCs/>
          <w:color w:val="000000"/>
          <w:sz w:val="22"/>
          <w:szCs w:val="22"/>
          <w:lang w:val="es-ES"/>
        </w:rPr>
      </w:pPr>
      <w:r w:rsidRPr="008F022D">
        <w:rPr>
          <w:rFonts w:ascii="Palatino Linotype" w:hAnsi="Palatino Linotype"/>
          <w:b/>
          <w:bCs/>
          <w:color w:val="000000"/>
          <w:sz w:val="22"/>
          <w:szCs w:val="22"/>
          <w:lang w:val="es-ES"/>
        </w:rPr>
        <w:t>Causales de improcedencia.</w:t>
      </w:r>
    </w:p>
    <w:p w14:paraId="1299F7D1" w14:textId="77777777" w:rsidR="00E56166" w:rsidRPr="008F022D" w:rsidRDefault="00E56166" w:rsidP="00565EE3">
      <w:pPr>
        <w:shd w:val="clear" w:color="auto" w:fill="FFFFFF"/>
        <w:spacing w:line="360" w:lineRule="auto"/>
        <w:jc w:val="both"/>
        <w:rPr>
          <w:rFonts w:ascii="Palatino Linotype" w:hAnsi="Palatino Linotype"/>
          <w:color w:val="222222"/>
          <w:lang w:val="es-ES"/>
        </w:rPr>
      </w:pPr>
    </w:p>
    <w:p w14:paraId="51C77DDA" w14:textId="77777777" w:rsidR="00962E78" w:rsidRPr="008F022D" w:rsidRDefault="00962E78" w:rsidP="00565EE3">
      <w:pPr>
        <w:spacing w:line="360" w:lineRule="auto"/>
        <w:jc w:val="both"/>
        <w:rPr>
          <w:rFonts w:ascii="Palatino Linotype" w:hAnsi="Palatino Linotype" w:cs="Tahoma"/>
          <w:bCs/>
          <w:color w:val="000000"/>
          <w:sz w:val="22"/>
          <w:szCs w:val="22"/>
        </w:rPr>
      </w:pPr>
      <w:r w:rsidRPr="008F022D">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340689" w14:textId="77777777" w:rsidR="00962E78" w:rsidRPr="008F022D" w:rsidRDefault="00962E78" w:rsidP="00565EE3">
      <w:pPr>
        <w:spacing w:line="360" w:lineRule="auto"/>
        <w:jc w:val="both"/>
        <w:rPr>
          <w:rFonts w:ascii="Palatino Linotype" w:hAnsi="Palatino Linotype" w:cs="Tahoma"/>
          <w:bCs/>
          <w:color w:val="000000"/>
          <w:sz w:val="22"/>
          <w:szCs w:val="22"/>
        </w:rPr>
      </w:pPr>
    </w:p>
    <w:p w14:paraId="7FEBADA7" w14:textId="77777777" w:rsidR="00962E78" w:rsidRPr="008F022D" w:rsidRDefault="00962E78" w:rsidP="00565EE3">
      <w:pPr>
        <w:spacing w:line="360" w:lineRule="auto"/>
        <w:jc w:val="both"/>
        <w:rPr>
          <w:rFonts w:ascii="Palatino Linotype" w:hAnsi="Palatino Linotype" w:cs="Tahoma"/>
          <w:bCs/>
          <w:color w:val="000000"/>
          <w:sz w:val="22"/>
          <w:szCs w:val="22"/>
        </w:rPr>
      </w:pPr>
      <w:r w:rsidRPr="008F022D">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w:t>
      </w:r>
      <w:r w:rsidRPr="008F022D">
        <w:rPr>
          <w:rFonts w:ascii="Palatino Linotype" w:hAnsi="Palatino Linotype" w:cs="Tahoma"/>
          <w:bCs/>
          <w:color w:val="000000"/>
          <w:sz w:val="22"/>
          <w:szCs w:val="22"/>
        </w:rPr>
        <w:lastRenderedPageBreak/>
        <w:t>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36196AD4" w14:textId="1E640BDE" w:rsidR="00962E78" w:rsidRPr="008F022D" w:rsidRDefault="00962E78" w:rsidP="00565EE3">
      <w:pPr>
        <w:widowControl w:val="0"/>
        <w:spacing w:line="360" w:lineRule="auto"/>
        <w:jc w:val="both"/>
        <w:rPr>
          <w:rFonts w:ascii="Palatino Linotype" w:hAnsi="Palatino Linotype"/>
          <w:color w:val="222222"/>
          <w:lang w:val="es-ES"/>
        </w:rPr>
      </w:pPr>
    </w:p>
    <w:p w14:paraId="0B4F8C34" w14:textId="2213D067" w:rsidR="00E622A3" w:rsidRPr="008F022D" w:rsidRDefault="00E622A3" w:rsidP="00565EE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F022D">
        <w:rPr>
          <w:rFonts w:ascii="Palatino Linotype" w:eastAsia="Calibri" w:hAnsi="Palatino Linotype" w:cs="Tahoma"/>
          <w:color w:val="000000"/>
          <w:sz w:val="22"/>
          <w:szCs w:val="22"/>
          <w:lang w:eastAsia="es-MX"/>
        </w:rPr>
        <w:t xml:space="preserve">Asimismo, se actualiza la causal de procedencia señalada en el artículo 179, fracción </w:t>
      </w:r>
      <w:r w:rsidR="001E6E6E" w:rsidRPr="008F022D">
        <w:rPr>
          <w:rFonts w:ascii="Palatino Linotype" w:eastAsia="Calibri" w:hAnsi="Palatino Linotype" w:cs="Tahoma"/>
          <w:color w:val="000000"/>
          <w:sz w:val="22"/>
          <w:szCs w:val="22"/>
          <w:lang w:eastAsia="es-MX"/>
        </w:rPr>
        <w:t>V</w:t>
      </w:r>
      <w:r w:rsidRPr="008F022D">
        <w:rPr>
          <w:rFonts w:ascii="Palatino Linotype" w:eastAsia="Calibri" w:hAnsi="Palatino Linotype" w:cs="Tahoma"/>
          <w:color w:val="000000"/>
          <w:sz w:val="22"/>
          <w:szCs w:val="22"/>
          <w:lang w:eastAsia="es-MX"/>
        </w:rPr>
        <w:t xml:space="preserve">I, de la Ley de la materia, toda vez que el Solicitante se inconformó con </w:t>
      </w:r>
      <w:r w:rsidR="001E6E6E" w:rsidRPr="008F022D">
        <w:rPr>
          <w:rFonts w:ascii="Palatino Linotype" w:eastAsia="Calibri" w:hAnsi="Palatino Linotype" w:cs="Tahoma"/>
          <w:color w:val="000000"/>
          <w:sz w:val="22"/>
          <w:szCs w:val="22"/>
          <w:lang w:eastAsia="es-MX"/>
        </w:rPr>
        <w:t>la información que no corresponde con lo solicitado.</w:t>
      </w:r>
    </w:p>
    <w:p w14:paraId="3E5AE71F" w14:textId="77777777" w:rsidR="00E622A3" w:rsidRPr="008F022D" w:rsidRDefault="00E622A3" w:rsidP="00565EE3">
      <w:pPr>
        <w:widowControl w:val="0"/>
        <w:spacing w:line="360" w:lineRule="auto"/>
        <w:jc w:val="both"/>
        <w:rPr>
          <w:rFonts w:ascii="Palatino Linotype" w:hAnsi="Palatino Linotype"/>
          <w:color w:val="222222"/>
          <w:lang w:val="es-ES"/>
        </w:rPr>
      </w:pPr>
    </w:p>
    <w:p w14:paraId="6B69961C" w14:textId="050972FA" w:rsidR="00962E78" w:rsidRPr="008F022D" w:rsidRDefault="00962E78" w:rsidP="00565EE3">
      <w:pPr>
        <w:spacing w:line="360" w:lineRule="auto"/>
        <w:jc w:val="both"/>
        <w:rPr>
          <w:rFonts w:ascii="Palatino Linotype" w:hAnsi="Palatino Linotype" w:cs="Tahoma"/>
          <w:bCs/>
          <w:color w:val="0D0D0D" w:themeColor="text1" w:themeTint="F2"/>
          <w:sz w:val="22"/>
          <w:szCs w:val="22"/>
        </w:rPr>
      </w:pPr>
      <w:r w:rsidRPr="008F022D">
        <w:rPr>
          <w:rFonts w:ascii="Palatino Linotype" w:hAnsi="Palatino Linotype" w:cs="Tahoma"/>
          <w:b/>
          <w:bCs/>
          <w:color w:val="0D0D0D" w:themeColor="text1" w:themeTint="F2"/>
          <w:sz w:val="22"/>
          <w:szCs w:val="22"/>
        </w:rPr>
        <w:t>Causales de sobreseimiento.</w:t>
      </w:r>
    </w:p>
    <w:p w14:paraId="716A390F" w14:textId="77777777" w:rsidR="00E622A3" w:rsidRPr="008F022D" w:rsidRDefault="00E622A3" w:rsidP="00565EE3">
      <w:pPr>
        <w:spacing w:line="360" w:lineRule="auto"/>
        <w:jc w:val="both"/>
        <w:rPr>
          <w:rFonts w:ascii="Palatino Linotype" w:hAnsi="Palatino Linotype" w:cs="Tahoma"/>
          <w:bCs/>
          <w:color w:val="0D0D0D" w:themeColor="text1" w:themeTint="F2"/>
          <w:sz w:val="22"/>
          <w:szCs w:val="22"/>
        </w:rPr>
      </w:pPr>
    </w:p>
    <w:p w14:paraId="4CB0A3C9" w14:textId="40615798" w:rsidR="00962E78" w:rsidRPr="008F022D" w:rsidRDefault="00962E78" w:rsidP="00565EE3">
      <w:pPr>
        <w:spacing w:line="360" w:lineRule="auto"/>
        <w:jc w:val="both"/>
        <w:rPr>
          <w:rFonts w:ascii="Palatino Linotype" w:hAnsi="Palatino Linotype" w:cs="Tahoma"/>
          <w:bCs/>
          <w:color w:val="0D0D0D" w:themeColor="text1" w:themeTint="F2"/>
          <w:sz w:val="22"/>
          <w:szCs w:val="22"/>
        </w:rPr>
      </w:pPr>
      <w:r w:rsidRPr="008F022D">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2F883A5A" w14:textId="77777777" w:rsidR="00962E78" w:rsidRPr="008F022D" w:rsidRDefault="00962E78" w:rsidP="00565EE3">
      <w:pPr>
        <w:spacing w:line="360" w:lineRule="auto"/>
        <w:jc w:val="both"/>
        <w:rPr>
          <w:rFonts w:ascii="Palatino Linotype" w:hAnsi="Palatino Linotype" w:cs="Tahoma"/>
          <w:bCs/>
          <w:color w:val="0D0D0D" w:themeColor="text1" w:themeTint="F2"/>
          <w:sz w:val="22"/>
          <w:szCs w:val="22"/>
        </w:rPr>
      </w:pPr>
    </w:p>
    <w:p w14:paraId="18334A7E" w14:textId="77777777" w:rsidR="00962E78" w:rsidRPr="008F022D" w:rsidRDefault="00962E78" w:rsidP="00565EE3">
      <w:pPr>
        <w:spacing w:line="360" w:lineRule="auto"/>
        <w:jc w:val="both"/>
        <w:rPr>
          <w:rFonts w:ascii="Palatino Linotype" w:hAnsi="Palatino Linotype" w:cs="Tahoma"/>
          <w:sz w:val="22"/>
          <w:szCs w:val="24"/>
        </w:rPr>
      </w:pPr>
      <w:r w:rsidRPr="008F022D">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2BD754E" w14:textId="77777777" w:rsidR="00962E78" w:rsidRPr="008F022D" w:rsidRDefault="00962E78" w:rsidP="00565EE3">
      <w:pPr>
        <w:spacing w:line="360" w:lineRule="auto"/>
        <w:jc w:val="both"/>
        <w:rPr>
          <w:rFonts w:ascii="Palatino Linotype" w:hAnsi="Palatino Linotype" w:cs="Tahoma"/>
          <w:bCs/>
          <w:color w:val="0D0D0D" w:themeColor="text1" w:themeTint="F2"/>
          <w:sz w:val="22"/>
          <w:szCs w:val="22"/>
        </w:rPr>
      </w:pPr>
    </w:p>
    <w:p w14:paraId="3949E749" w14:textId="77777777" w:rsidR="00962E78" w:rsidRPr="008F022D" w:rsidRDefault="00962E78" w:rsidP="00565EE3">
      <w:pPr>
        <w:spacing w:line="360" w:lineRule="auto"/>
        <w:jc w:val="both"/>
        <w:rPr>
          <w:rFonts w:ascii="Palatino Linotype" w:hAnsi="Palatino Linotype" w:cs="Tahoma"/>
          <w:bCs/>
          <w:color w:val="0D0D0D" w:themeColor="text1" w:themeTint="F2"/>
          <w:sz w:val="22"/>
          <w:szCs w:val="22"/>
        </w:rPr>
      </w:pPr>
      <w:r w:rsidRPr="008F022D">
        <w:rPr>
          <w:rFonts w:ascii="Palatino Linotype" w:hAnsi="Palatino Linotype" w:cs="Tahoma"/>
          <w:bCs/>
          <w:color w:val="0D0D0D" w:themeColor="text1" w:themeTint="F2"/>
          <w:sz w:val="22"/>
          <w:szCs w:val="22"/>
        </w:rPr>
        <w:t xml:space="preserve">Por tales motivos, se considera procedente entrar al fondo del presente asunto. </w:t>
      </w:r>
    </w:p>
    <w:p w14:paraId="633AACF8" w14:textId="77777777" w:rsidR="00962E78" w:rsidRPr="008F022D" w:rsidRDefault="00962E78" w:rsidP="00565EE3">
      <w:pPr>
        <w:autoSpaceDE w:val="0"/>
        <w:autoSpaceDN w:val="0"/>
        <w:adjustRightInd w:val="0"/>
        <w:spacing w:line="360" w:lineRule="auto"/>
        <w:jc w:val="both"/>
        <w:rPr>
          <w:rFonts w:ascii="Palatino Linotype" w:hAnsi="Palatino Linotype" w:cs="Tahoma"/>
          <w:sz w:val="22"/>
          <w:szCs w:val="24"/>
          <w:lang w:val="es-ES"/>
        </w:rPr>
      </w:pPr>
    </w:p>
    <w:p w14:paraId="5D0A8194" w14:textId="77777777" w:rsidR="00962E78" w:rsidRPr="008F022D" w:rsidRDefault="00962E78" w:rsidP="00565EE3">
      <w:pPr>
        <w:spacing w:line="360" w:lineRule="auto"/>
        <w:jc w:val="both"/>
        <w:rPr>
          <w:rFonts w:ascii="Palatino Linotype" w:hAnsi="Palatino Linotype" w:cs="Tahoma"/>
          <w:b/>
          <w:bCs/>
          <w:iCs/>
          <w:sz w:val="22"/>
          <w:szCs w:val="22"/>
          <w:lang w:val="es-ES"/>
        </w:rPr>
      </w:pPr>
      <w:r w:rsidRPr="008F022D">
        <w:rPr>
          <w:rFonts w:ascii="Palatino Linotype" w:hAnsi="Palatino Linotype" w:cs="Tahoma"/>
          <w:b/>
          <w:bCs/>
          <w:iCs/>
          <w:sz w:val="22"/>
          <w:szCs w:val="22"/>
          <w:lang w:val="es-ES"/>
        </w:rPr>
        <w:t xml:space="preserve">TERCERO. Determinación de la Controversia. </w:t>
      </w:r>
    </w:p>
    <w:p w14:paraId="771A02A6" w14:textId="77777777" w:rsidR="00962E78" w:rsidRPr="008F022D"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3BE48C1F" w14:textId="14291145" w:rsidR="00962E78" w:rsidRPr="008F022D"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8F022D">
        <w:rPr>
          <w:rFonts w:ascii="Palatino Linotype" w:eastAsia="Calibri" w:hAnsi="Palatino Linotype"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advierte </w:t>
      </w:r>
      <w:r w:rsidRPr="008F022D">
        <w:rPr>
          <w:rFonts w:ascii="Palatino Linotype" w:eastAsia="Calibri" w:hAnsi="Palatino Linotype" w:cs="Tahoma"/>
          <w:color w:val="000000"/>
          <w:sz w:val="22"/>
          <w:szCs w:val="24"/>
          <w:lang w:val="es-ES" w:eastAsia="es-MX"/>
        </w:rPr>
        <w:lastRenderedPageBreak/>
        <w:t xml:space="preserve">que el Solicitante requirió </w:t>
      </w:r>
      <w:r w:rsidR="00986294" w:rsidRPr="008F022D">
        <w:rPr>
          <w:rFonts w:ascii="Palatino Linotype" w:eastAsia="Calibri" w:hAnsi="Palatino Linotype" w:cs="Tahoma"/>
          <w:color w:val="000000"/>
          <w:sz w:val="22"/>
          <w:szCs w:val="24"/>
          <w:lang w:val="es-ES" w:eastAsia="es-MX"/>
        </w:rPr>
        <w:t>conocer el nombre de los servidores públicos datos de alta, del primero de julio al treinta y uno de diciembre de dos mil veintidós, así como, sus respectivos recibos de nómina.</w:t>
      </w:r>
    </w:p>
    <w:p w14:paraId="49E057CE" w14:textId="77777777" w:rsidR="00962E78" w:rsidRPr="008F022D"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756DAEB9" w14:textId="521AB3B9" w:rsidR="001E6E6E" w:rsidRPr="008F022D" w:rsidRDefault="004246CB" w:rsidP="00565EE3">
      <w:pPr>
        <w:autoSpaceDE w:val="0"/>
        <w:autoSpaceDN w:val="0"/>
        <w:adjustRightInd w:val="0"/>
        <w:spacing w:line="360" w:lineRule="auto"/>
        <w:jc w:val="both"/>
        <w:rPr>
          <w:rFonts w:ascii="Palatino Linotype" w:hAnsi="Palatino Linotype" w:cs="Tahoma"/>
          <w:bCs/>
          <w:iCs/>
          <w:sz w:val="22"/>
          <w:szCs w:val="22"/>
          <w:lang w:val="es-ES_tradnl"/>
        </w:rPr>
      </w:pPr>
      <w:r w:rsidRPr="008F022D">
        <w:rPr>
          <w:rFonts w:ascii="Palatino Linotype" w:eastAsia="Calibri" w:hAnsi="Palatino Linotype" w:cs="Tahoma"/>
          <w:color w:val="000000"/>
          <w:sz w:val="22"/>
          <w:szCs w:val="24"/>
          <w:lang w:eastAsia="es-MX"/>
        </w:rPr>
        <w:t xml:space="preserve">En respuesta el Sujeto Obligado </w:t>
      </w:r>
      <w:r w:rsidR="00986294" w:rsidRPr="008F022D">
        <w:rPr>
          <w:rFonts w:ascii="Palatino Linotype" w:eastAsia="Calibri" w:hAnsi="Palatino Linotype" w:cs="Tahoma"/>
          <w:color w:val="000000"/>
          <w:sz w:val="22"/>
          <w:szCs w:val="24"/>
          <w:lang w:eastAsia="es-MX"/>
        </w:rPr>
        <w:t>precisó que la información se localizaba en el Portal de Información Pública de Oficio Mexiquense</w:t>
      </w:r>
      <w:r w:rsidRPr="008F022D">
        <w:rPr>
          <w:rFonts w:ascii="Palatino Linotype" w:eastAsia="Calibri" w:hAnsi="Palatino Linotype" w:cs="Tahoma"/>
          <w:color w:val="000000"/>
          <w:sz w:val="22"/>
          <w:szCs w:val="24"/>
          <w:lang w:eastAsia="es-MX"/>
        </w:rPr>
        <w:t xml:space="preserve">; ante dicha circunstancia </w:t>
      </w:r>
      <w:r w:rsidRPr="008F022D">
        <w:rPr>
          <w:rFonts w:ascii="Palatino Linotype" w:eastAsia="Calibri" w:hAnsi="Palatino Linotype" w:cs="Tahoma"/>
          <w:color w:val="000000"/>
          <w:sz w:val="22"/>
          <w:szCs w:val="24"/>
          <w:lang w:val="es-ES" w:eastAsia="es-MX"/>
        </w:rPr>
        <w:t xml:space="preserve">el Solicitante se agravió con la entrega de información que no corresponde con lo solicitado, al señalar que no se le había entregado la </w:t>
      </w:r>
      <w:r w:rsidR="00791C69" w:rsidRPr="008F022D">
        <w:rPr>
          <w:rFonts w:ascii="Palatino Linotype" w:eastAsia="Calibri" w:hAnsi="Palatino Linotype" w:cs="Tahoma"/>
          <w:color w:val="000000"/>
          <w:sz w:val="22"/>
          <w:szCs w:val="24"/>
          <w:lang w:val="es-ES" w:eastAsia="es-MX"/>
        </w:rPr>
        <w:t>información</w:t>
      </w:r>
      <w:r w:rsidRPr="008F022D">
        <w:rPr>
          <w:rFonts w:ascii="Palatino Linotype" w:eastAsia="Calibri" w:hAnsi="Palatino Linotype" w:cs="Tahoma"/>
          <w:color w:val="000000"/>
          <w:sz w:val="22"/>
          <w:szCs w:val="24"/>
          <w:lang w:val="es-ES" w:eastAsia="es-MX"/>
        </w:rPr>
        <w:t>, lo anterior, actualiza la causal de procedencia prevista en la fracción VI, del artículo 179 de la Ley de Transparencia y Acceso a la Información Pública del Estado de México y Municipios.</w:t>
      </w:r>
      <w:r w:rsidR="003B71B0" w:rsidRPr="008F022D">
        <w:rPr>
          <w:rFonts w:ascii="Palatino Linotype" w:hAnsi="Palatino Linotype" w:cs="Tahoma"/>
          <w:bCs/>
          <w:iCs/>
          <w:sz w:val="22"/>
          <w:szCs w:val="22"/>
          <w:lang w:val="es-ES_tradnl"/>
        </w:rPr>
        <w:t xml:space="preserve"> </w:t>
      </w:r>
      <w:r w:rsidR="001E6E6E" w:rsidRPr="008F022D">
        <w:rPr>
          <w:rFonts w:ascii="Palatino Linotype" w:hAnsi="Palatino Linotype" w:cs="Tahoma"/>
          <w:bCs/>
          <w:iCs/>
          <w:sz w:val="22"/>
          <w:szCs w:val="22"/>
          <w:lang w:val="es-ES_tradnl"/>
        </w:rPr>
        <w:t xml:space="preserve">Así las cosas, una vez admitido y notificado el Recurso de Revisión a las partes, </w:t>
      </w:r>
      <w:r w:rsidR="003B71B0" w:rsidRPr="008F022D">
        <w:rPr>
          <w:rFonts w:ascii="Palatino Linotype" w:hAnsi="Palatino Linotype" w:cs="Tahoma"/>
          <w:bCs/>
          <w:iCs/>
          <w:sz w:val="22"/>
          <w:szCs w:val="22"/>
          <w:lang w:val="es-ES_tradnl"/>
        </w:rPr>
        <w:t>estas fueron omisas en emitir alguna manifestación que a su derecho conviniera y asistiera.</w:t>
      </w:r>
    </w:p>
    <w:p w14:paraId="666F986A" w14:textId="77777777" w:rsidR="006543CB" w:rsidRPr="008F022D" w:rsidRDefault="006543CB" w:rsidP="00565EE3">
      <w:pPr>
        <w:spacing w:line="360" w:lineRule="auto"/>
        <w:jc w:val="both"/>
        <w:rPr>
          <w:rFonts w:ascii="Palatino Linotype" w:hAnsi="Palatino Linotype" w:cs="Tahoma"/>
          <w:iCs/>
          <w:sz w:val="22"/>
          <w:szCs w:val="22"/>
          <w:lang w:val="es-ES"/>
        </w:rPr>
      </w:pPr>
    </w:p>
    <w:p w14:paraId="39F6D996" w14:textId="108454E7" w:rsidR="00962E78" w:rsidRPr="008F022D" w:rsidRDefault="00962E78" w:rsidP="00565EE3">
      <w:pPr>
        <w:spacing w:line="360" w:lineRule="auto"/>
        <w:jc w:val="both"/>
        <w:rPr>
          <w:rFonts w:ascii="Palatino Linotype" w:hAnsi="Palatino Linotype" w:cs="Tahoma"/>
          <w:iCs/>
          <w:sz w:val="22"/>
          <w:szCs w:val="22"/>
          <w:lang w:val="es-ES"/>
        </w:rPr>
      </w:pPr>
      <w:r w:rsidRPr="008F022D">
        <w:rPr>
          <w:rFonts w:ascii="Palatino Linotype" w:hAnsi="Palatino Linotype" w:cs="Tahoma"/>
          <w:iCs/>
          <w:sz w:val="22"/>
          <w:szCs w:val="22"/>
          <w:lang w:val="es-ES"/>
        </w:rPr>
        <w:t>Lo anterior, se desprende de las documentales que obran en el expediente de referencia, materia de la presente resolución, consistentes en la solicitud de acceso a la información; la respuesta de</w:t>
      </w:r>
      <w:r w:rsidR="003B71B0" w:rsidRPr="008F022D">
        <w:rPr>
          <w:rFonts w:ascii="Palatino Linotype" w:hAnsi="Palatino Linotype" w:cs="Tahoma"/>
          <w:iCs/>
          <w:sz w:val="22"/>
          <w:szCs w:val="22"/>
          <w:lang w:val="es-ES"/>
        </w:rPr>
        <w:t xml:space="preserve"> la Comisión de Conciliación y Arbitraje Médico del Estado de México</w:t>
      </w:r>
      <w:r w:rsidRPr="008F022D">
        <w:rPr>
          <w:rFonts w:ascii="Palatino Linotype" w:eastAsia="Calibri" w:hAnsi="Palatino Linotype" w:cs="Tahoma"/>
          <w:sz w:val="22"/>
          <w:szCs w:val="22"/>
          <w:lang w:eastAsia="en-US"/>
        </w:rPr>
        <w:t xml:space="preserve"> </w:t>
      </w:r>
      <w:r w:rsidR="003B71B0" w:rsidRPr="008F022D">
        <w:rPr>
          <w:rFonts w:ascii="Palatino Linotype" w:eastAsia="Calibri" w:hAnsi="Palatino Linotype" w:cs="Tahoma"/>
          <w:sz w:val="22"/>
          <w:szCs w:val="22"/>
          <w:lang w:eastAsia="en-US"/>
        </w:rPr>
        <w:t xml:space="preserve">y </w:t>
      </w:r>
      <w:r w:rsidRPr="008F022D">
        <w:rPr>
          <w:rFonts w:ascii="Palatino Linotype" w:eastAsia="Calibri" w:hAnsi="Palatino Linotype" w:cs="Tahoma"/>
          <w:sz w:val="22"/>
          <w:szCs w:val="22"/>
          <w:lang w:eastAsia="en-US"/>
        </w:rPr>
        <w:t>el escrito recursal</w:t>
      </w:r>
      <w:r w:rsidR="003B71B0" w:rsidRPr="008F022D">
        <w:rPr>
          <w:rFonts w:ascii="Palatino Linotype" w:hAnsi="Palatino Linotype" w:cs="Tahoma"/>
          <w:iCs/>
          <w:sz w:val="22"/>
          <w:szCs w:val="22"/>
          <w:lang w:val="es-ES"/>
        </w:rPr>
        <w:t>;</w:t>
      </w:r>
      <w:r w:rsidRPr="008F022D">
        <w:rPr>
          <w:rFonts w:ascii="Palatino Linotype" w:hAnsi="Palatino Linotype" w:cs="Tahoma"/>
          <w:iCs/>
          <w:sz w:val="22"/>
          <w:szCs w:val="22"/>
          <w:lang w:val="es-ES"/>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4E06231D" w14:textId="77777777" w:rsidR="00962E78" w:rsidRPr="008F022D" w:rsidRDefault="00962E78" w:rsidP="00565EE3">
      <w:pPr>
        <w:spacing w:line="360" w:lineRule="auto"/>
        <w:jc w:val="both"/>
        <w:rPr>
          <w:rFonts w:ascii="Palatino Linotype" w:eastAsia="Calibri" w:hAnsi="Palatino Linotype" w:cs="Tahoma"/>
          <w:sz w:val="22"/>
          <w:szCs w:val="22"/>
          <w:lang w:eastAsia="es-ES_tradnl"/>
        </w:rPr>
      </w:pPr>
    </w:p>
    <w:p w14:paraId="5C7DDE49" w14:textId="77777777" w:rsidR="00962E78" w:rsidRPr="008F022D" w:rsidRDefault="00962E78" w:rsidP="00565EE3">
      <w:pPr>
        <w:spacing w:line="360" w:lineRule="auto"/>
        <w:jc w:val="both"/>
        <w:rPr>
          <w:rFonts w:ascii="Palatino Linotype" w:hAnsi="Palatino Linotype" w:cs="Tahoma"/>
          <w:b/>
          <w:bCs/>
          <w:iCs/>
          <w:sz w:val="22"/>
          <w:szCs w:val="22"/>
        </w:rPr>
      </w:pPr>
      <w:r w:rsidRPr="008F022D">
        <w:rPr>
          <w:rFonts w:ascii="Palatino Linotype" w:hAnsi="Palatino Linotype" w:cs="Tahoma"/>
          <w:b/>
          <w:bCs/>
          <w:iCs/>
          <w:sz w:val="22"/>
          <w:szCs w:val="22"/>
          <w:lang w:val="es-ES"/>
        </w:rPr>
        <w:t xml:space="preserve">CUARTO. </w:t>
      </w:r>
      <w:r w:rsidRPr="008F022D">
        <w:rPr>
          <w:rFonts w:ascii="Palatino Linotype" w:hAnsi="Palatino Linotype" w:cs="Tahoma"/>
          <w:b/>
          <w:bCs/>
          <w:iCs/>
          <w:sz w:val="22"/>
          <w:szCs w:val="22"/>
        </w:rPr>
        <w:t>Marco normativo aplicable en materia de transparencia y acceso a la información pública.</w:t>
      </w:r>
    </w:p>
    <w:p w14:paraId="63C56CAF" w14:textId="77777777" w:rsidR="00962E78" w:rsidRPr="008F022D" w:rsidRDefault="00962E78" w:rsidP="00565EE3">
      <w:pPr>
        <w:autoSpaceDE w:val="0"/>
        <w:autoSpaceDN w:val="0"/>
        <w:adjustRightInd w:val="0"/>
        <w:spacing w:line="360" w:lineRule="auto"/>
        <w:jc w:val="both"/>
        <w:rPr>
          <w:rFonts w:ascii="Palatino Linotype" w:hAnsi="Palatino Linotype" w:cs="Tahoma"/>
          <w:bCs/>
          <w:iCs/>
          <w:sz w:val="22"/>
          <w:szCs w:val="22"/>
          <w:lang w:val="es-ES"/>
        </w:rPr>
      </w:pPr>
    </w:p>
    <w:p w14:paraId="27E7716F" w14:textId="77777777" w:rsidR="00962E78" w:rsidRPr="008F022D" w:rsidRDefault="00962E78" w:rsidP="00565EE3">
      <w:pPr>
        <w:widowControl w:val="0"/>
        <w:spacing w:line="360" w:lineRule="auto"/>
        <w:jc w:val="both"/>
        <w:rPr>
          <w:rFonts w:ascii="Palatino Linotype" w:hAnsi="Palatino Linotype" w:cs="Tahoma"/>
          <w:bCs/>
          <w:iCs/>
          <w:sz w:val="22"/>
          <w:szCs w:val="22"/>
        </w:rPr>
      </w:pPr>
      <w:r w:rsidRPr="008F022D">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4F76C76" w14:textId="77777777" w:rsidR="00962E78" w:rsidRPr="008F022D" w:rsidRDefault="00962E78" w:rsidP="00565EE3">
      <w:pPr>
        <w:spacing w:line="360" w:lineRule="auto"/>
        <w:jc w:val="both"/>
        <w:rPr>
          <w:rFonts w:ascii="Palatino Linotype" w:hAnsi="Palatino Linotype" w:cs="Tahoma"/>
          <w:bCs/>
          <w:iCs/>
          <w:sz w:val="22"/>
          <w:szCs w:val="22"/>
        </w:rPr>
      </w:pPr>
    </w:p>
    <w:p w14:paraId="5308F376" w14:textId="77777777" w:rsidR="00962E78" w:rsidRPr="008F022D" w:rsidRDefault="00962E78" w:rsidP="00565EE3">
      <w:pPr>
        <w:spacing w:line="360" w:lineRule="auto"/>
        <w:jc w:val="both"/>
        <w:rPr>
          <w:rFonts w:ascii="Palatino Linotype" w:hAnsi="Palatino Linotype" w:cs="Tahoma"/>
          <w:bCs/>
          <w:iCs/>
          <w:sz w:val="22"/>
          <w:szCs w:val="22"/>
        </w:rPr>
      </w:pPr>
      <w:r w:rsidRPr="008F022D">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970D4CE" w14:textId="77777777" w:rsidR="00962E78" w:rsidRPr="008F022D" w:rsidRDefault="00962E78" w:rsidP="00565EE3">
      <w:pPr>
        <w:spacing w:line="360" w:lineRule="auto"/>
        <w:jc w:val="both"/>
        <w:rPr>
          <w:rFonts w:ascii="Palatino Linotype" w:hAnsi="Palatino Linotype" w:cs="Tahoma"/>
          <w:bCs/>
          <w:iCs/>
          <w:sz w:val="22"/>
          <w:szCs w:val="22"/>
        </w:rPr>
      </w:pPr>
    </w:p>
    <w:p w14:paraId="18A09BA2" w14:textId="77777777" w:rsidR="00962E78" w:rsidRPr="008F022D" w:rsidRDefault="00962E78" w:rsidP="00565EE3">
      <w:pPr>
        <w:spacing w:line="360" w:lineRule="auto"/>
        <w:jc w:val="both"/>
        <w:rPr>
          <w:rFonts w:ascii="Palatino Linotype" w:hAnsi="Palatino Linotype" w:cs="Tahoma"/>
          <w:bCs/>
          <w:iCs/>
          <w:sz w:val="22"/>
          <w:szCs w:val="22"/>
        </w:rPr>
      </w:pPr>
      <w:r w:rsidRPr="008F022D">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47F638D" w14:textId="77777777" w:rsidR="00962E78" w:rsidRPr="008F022D" w:rsidRDefault="00962E78" w:rsidP="00565EE3">
      <w:pPr>
        <w:spacing w:line="360" w:lineRule="auto"/>
        <w:jc w:val="both"/>
        <w:rPr>
          <w:rFonts w:ascii="Palatino Linotype" w:hAnsi="Palatino Linotype" w:cs="Tahoma"/>
          <w:bCs/>
          <w:iCs/>
          <w:sz w:val="22"/>
          <w:szCs w:val="22"/>
        </w:rPr>
      </w:pPr>
    </w:p>
    <w:p w14:paraId="061AFFED" w14:textId="77777777" w:rsidR="00962E78" w:rsidRPr="008F022D" w:rsidRDefault="00962E78" w:rsidP="00565EE3">
      <w:pPr>
        <w:spacing w:line="360" w:lineRule="auto"/>
        <w:jc w:val="both"/>
        <w:rPr>
          <w:rFonts w:ascii="Palatino Linotype" w:hAnsi="Palatino Linotype" w:cs="Tahoma"/>
          <w:bCs/>
          <w:iCs/>
          <w:sz w:val="22"/>
          <w:szCs w:val="22"/>
        </w:rPr>
      </w:pPr>
      <w:r w:rsidRPr="008F022D">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54D8E98F" w14:textId="77777777" w:rsidR="00962E78" w:rsidRPr="008F022D" w:rsidRDefault="00962E78" w:rsidP="00565EE3">
      <w:pPr>
        <w:spacing w:line="360" w:lineRule="auto"/>
        <w:jc w:val="both"/>
        <w:rPr>
          <w:rFonts w:ascii="Palatino Linotype" w:hAnsi="Palatino Linotype" w:cs="Tahoma"/>
          <w:bCs/>
          <w:iCs/>
          <w:sz w:val="22"/>
          <w:szCs w:val="22"/>
        </w:rPr>
      </w:pPr>
    </w:p>
    <w:p w14:paraId="2084F136" w14:textId="77777777" w:rsidR="00962E78" w:rsidRPr="008F022D" w:rsidRDefault="00962E78" w:rsidP="00565EE3">
      <w:pPr>
        <w:spacing w:line="360" w:lineRule="auto"/>
        <w:jc w:val="both"/>
        <w:rPr>
          <w:rFonts w:ascii="Palatino Linotype" w:hAnsi="Palatino Linotype" w:cs="Tahoma"/>
          <w:bCs/>
          <w:iCs/>
          <w:sz w:val="22"/>
          <w:szCs w:val="22"/>
        </w:rPr>
      </w:pPr>
      <w:r w:rsidRPr="008F022D">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27266B6D" w14:textId="77777777" w:rsidR="00962E78" w:rsidRPr="008F022D" w:rsidRDefault="00962E78" w:rsidP="00565EE3">
      <w:pPr>
        <w:spacing w:line="360" w:lineRule="auto"/>
        <w:jc w:val="both"/>
        <w:rPr>
          <w:rFonts w:ascii="Palatino Linotype" w:hAnsi="Palatino Linotype" w:cs="Tahoma"/>
          <w:bCs/>
          <w:iCs/>
          <w:sz w:val="22"/>
          <w:szCs w:val="22"/>
        </w:rPr>
      </w:pPr>
    </w:p>
    <w:p w14:paraId="07F40107" w14:textId="77777777" w:rsidR="00962E78" w:rsidRPr="008F022D" w:rsidRDefault="00962E78" w:rsidP="00565EE3">
      <w:pPr>
        <w:spacing w:line="360" w:lineRule="auto"/>
        <w:jc w:val="both"/>
        <w:rPr>
          <w:rFonts w:ascii="Palatino Linotype" w:hAnsi="Palatino Linotype" w:cs="Tahoma"/>
          <w:bCs/>
          <w:iCs/>
          <w:sz w:val="22"/>
          <w:szCs w:val="22"/>
        </w:rPr>
      </w:pPr>
      <w:r w:rsidRPr="008F022D">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6D82782" w14:textId="77777777" w:rsidR="00962E78" w:rsidRPr="008F022D" w:rsidRDefault="00962E78" w:rsidP="00565EE3">
      <w:pPr>
        <w:spacing w:line="360" w:lineRule="auto"/>
        <w:jc w:val="both"/>
        <w:rPr>
          <w:rFonts w:ascii="Palatino Linotype" w:hAnsi="Palatino Linotype" w:cs="Tahoma"/>
          <w:bCs/>
          <w:iCs/>
          <w:sz w:val="22"/>
          <w:szCs w:val="22"/>
        </w:rPr>
      </w:pPr>
    </w:p>
    <w:p w14:paraId="1D708863" w14:textId="77777777" w:rsidR="00962E78" w:rsidRPr="008F022D" w:rsidRDefault="00962E78" w:rsidP="00565EE3">
      <w:pPr>
        <w:spacing w:line="360" w:lineRule="auto"/>
        <w:jc w:val="both"/>
        <w:rPr>
          <w:rFonts w:ascii="Palatino Linotype" w:hAnsi="Palatino Linotype" w:cs="Tahoma"/>
          <w:bCs/>
          <w:iCs/>
          <w:sz w:val="22"/>
          <w:szCs w:val="22"/>
        </w:rPr>
      </w:pPr>
      <w:r w:rsidRPr="008F022D">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586CA71" w14:textId="77777777" w:rsidR="00962E78" w:rsidRPr="008F022D" w:rsidRDefault="00962E78" w:rsidP="00565EE3">
      <w:pPr>
        <w:spacing w:line="360" w:lineRule="auto"/>
        <w:jc w:val="both"/>
        <w:rPr>
          <w:rFonts w:ascii="Palatino Linotype" w:hAnsi="Palatino Linotype" w:cs="Tahoma"/>
          <w:bCs/>
          <w:iCs/>
          <w:sz w:val="22"/>
          <w:szCs w:val="22"/>
        </w:rPr>
      </w:pPr>
    </w:p>
    <w:p w14:paraId="6F112109" w14:textId="77777777" w:rsidR="00962E78" w:rsidRPr="008F022D" w:rsidRDefault="00962E78" w:rsidP="00565EE3">
      <w:pPr>
        <w:spacing w:line="360" w:lineRule="auto"/>
        <w:jc w:val="both"/>
        <w:rPr>
          <w:rFonts w:ascii="Palatino Linotype" w:hAnsi="Palatino Linotype" w:cs="Tahoma"/>
          <w:b/>
          <w:bCs/>
          <w:iCs/>
          <w:sz w:val="22"/>
          <w:szCs w:val="22"/>
          <w:lang w:val="es-ES"/>
        </w:rPr>
      </w:pPr>
      <w:r w:rsidRPr="008F022D">
        <w:rPr>
          <w:rFonts w:ascii="Palatino Linotype" w:hAnsi="Palatino Linotype" w:cs="Tahoma"/>
          <w:b/>
          <w:bCs/>
          <w:iCs/>
          <w:sz w:val="22"/>
          <w:szCs w:val="22"/>
          <w:lang w:val="es-ES"/>
        </w:rPr>
        <w:t>Quinto. Estudio de Fondo.</w:t>
      </w:r>
    </w:p>
    <w:p w14:paraId="163ABE18" w14:textId="77777777" w:rsidR="00B03EDE" w:rsidRPr="008F022D" w:rsidRDefault="00B03EDE"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56DB0C0" w14:textId="61E79F82" w:rsidR="00986294" w:rsidRPr="008F022D" w:rsidRDefault="00107574" w:rsidP="00107574">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lastRenderedPageBreak/>
        <w:t>Expuestas las posturas de las partes, se procede</w:t>
      </w:r>
      <w:r w:rsidR="00986294" w:rsidRPr="008F022D">
        <w:rPr>
          <w:rFonts w:ascii="Palatino Linotype" w:eastAsia="Calibri" w:hAnsi="Palatino Linotype" w:cs="Tahoma"/>
          <w:bCs/>
          <w:sz w:val="22"/>
          <w:szCs w:val="22"/>
          <w:lang w:eastAsia="en-US"/>
        </w:rPr>
        <w:t xml:space="preserve"> analizar el agravio manifestado, para lo cual, en principio, es necesario contextualizar la solicitud de información, referente a los servidores públicos dados de alta.</w:t>
      </w:r>
    </w:p>
    <w:p w14:paraId="391E7E7F" w14:textId="77777777" w:rsidR="00986294" w:rsidRPr="008F022D" w:rsidRDefault="00986294" w:rsidP="00107574">
      <w:pPr>
        <w:spacing w:line="360" w:lineRule="auto"/>
        <w:jc w:val="both"/>
        <w:rPr>
          <w:rFonts w:ascii="Palatino Linotype" w:eastAsia="Calibri" w:hAnsi="Palatino Linotype" w:cs="Tahoma"/>
          <w:bCs/>
          <w:sz w:val="22"/>
          <w:szCs w:val="22"/>
          <w:lang w:eastAsia="en-US"/>
        </w:rPr>
      </w:pPr>
    </w:p>
    <w:p w14:paraId="16DF6535" w14:textId="77777777" w:rsidR="00986294" w:rsidRPr="008F022D" w:rsidRDefault="00986294" w:rsidP="00986294">
      <w:pPr>
        <w:tabs>
          <w:tab w:val="left" w:pos="4962"/>
        </w:tabs>
        <w:spacing w:line="360" w:lineRule="auto"/>
        <w:jc w:val="both"/>
        <w:rPr>
          <w:rFonts w:ascii="Palatino Linotype" w:eastAsiaTheme="minorHAnsi" w:hAnsi="Palatino Linotype" w:cstheme="minorBidi"/>
          <w:color w:val="000000"/>
          <w:sz w:val="22"/>
          <w:szCs w:val="22"/>
          <w:shd w:val="clear" w:color="auto" w:fill="FFFFFF"/>
          <w:lang w:eastAsia="en-US"/>
        </w:rPr>
      </w:pPr>
      <w:r w:rsidRPr="008F022D">
        <w:rPr>
          <w:rFonts w:ascii="Palatino Linotype" w:eastAsiaTheme="minorHAnsi" w:hAnsi="Palatino Linotype" w:cstheme="minorBidi"/>
          <w:color w:val="000000"/>
          <w:sz w:val="22"/>
          <w:szCs w:val="22"/>
          <w:shd w:val="clear" w:color="auto" w:fill="FFFFFF"/>
          <w:lang w:val="es-ES" w:eastAsia="en-US"/>
        </w:rPr>
        <w:t xml:space="preserve">En principio, cabe traer a colación el artículo 4°, fracción VI, de la Ley del Trabajo de los Servidores Públicos del Estado y Municipios, precisa que son </w:t>
      </w:r>
      <w:r w:rsidRPr="008F022D">
        <w:rPr>
          <w:rFonts w:ascii="Palatino Linotype" w:eastAsiaTheme="minorHAnsi" w:hAnsi="Palatino Linotype" w:cstheme="minorBidi"/>
          <w:b/>
          <w:bCs/>
          <w:color w:val="000000"/>
          <w:sz w:val="22"/>
          <w:szCs w:val="22"/>
          <w:shd w:val="clear" w:color="auto" w:fill="FFFFFF"/>
          <w:lang w:val="es-ES" w:eastAsia="en-US"/>
        </w:rPr>
        <w:t>servidores públicos</w:t>
      </w:r>
      <w:r w:rsidRPr="008F022D">
        <w:rPr>
          <w:rFonts w:ascii="Palatino Linotype" w:eastAsiaTheme="minorHAnsi" w:hAnsi="Palatino Linotype" w:cstheme="minorBidi"/>
          <w:color w:val="000000"/>
          <w:sz w:val="22"/>
          <w:szCs w:val="22"/>
          <w:shd w:val="clear" w:color="auto" w:fill="FFFFFF"/>
          <w:lang w:val="es-ES" w:eastAsia="en-US"/>
        </w:rPr>
        <w:t>, todas las personas físicas que presten a una institución pública un trabajo personal subordinado, mediante el pago de un sueldo. </w:t>
      </w:r>
      <w:r w:rsidRPr="008F022D">
        <w:rPr>
          <w:rFonts w:ascii="Palatino Linotype" w:eastAsiaTheme="minorHAnsi" w:hAnsi="Palatino Linotype" w:cstheme="minorBidi"/>
          <w:color w:val="000000"/>
          <w:sz w:val="22"/>
          <w:szCs w:val="22"/>
          <w:shd w:val="clear" w:color="auto" w:fill="FFFFFF"/>
          <w:lang w:eastAsia="en-US"/>
        </w:rPr>
        <w:t> </w:t>
      </w:r>
    </w:p>
    <w:p w14:paraId="133A55F5" w14:textId="77777777" w:rsidR="00986294" w:rsidRPr="008F022D" w:rsidRDefault="00986294" w:rsidP="00986294">
      <w:pPr>
        <w:tabs>
          <w:tab w:val="left" w:pos="4962"/>
        </w:tabs>
        <w:spacing w:line="360" w:lineRule="auto"/>
        <w:jc w:val="both"/>
        <w:rPr>
          <w:rFonts w:ascii="Palatino Linotype" w:eastAsiaTheme="minorHAnsi" w:hAnsi="Palatino Linotype" w:cstheme="minorBidi"/>
          <w:color w:val="000000"/>
          <w:sz w:val="22"/>
          <w:szCs w:val="22"/>
          <w:shd w:val="clear" w:color="auto" w:fill="FFFFFF"/>
          <w:lang w:eastAsia="en-US"/>
        </w:rPr>
      </w:pPr>
    </w:p>
    <w:p w14:paraId="40005838" w14:textId="77777777" w:rsidR="00986294" w:rsidRPr="008F022D" w:rsidRDefault="00986294" w:rsidP="00986294">
      <w:pPr>
        <w:spacing w:line="360" w:lineRule="auto"/>
        <w:ind w:right="-28"/>
        <w:contextualSpacing/>
        <w:jc w:val="both"/>
        <w:rPr>
          <w:rFonts w:ascii="Palatino Linotype" w:eastAsia="Calibri" w:hAnsi="Palatino Linotype" w:cs="Tahoma"/>
          <w:b/>
          <w:sz w:val="22"/>
          <w:szCs w:val="22"/>
          <w:lang w:eastAsia="en-US"/>
        </w:rPr>
      </w:pPr>
      <w:r w:rsidRPr="008F022D">
        <w:rPr>
          <w:rFonts w:ascii="Palatino Linotype" w:eastAsia="Calibri" w:hAnsi="Palatino Linotype"/>
          <w:bCs/>
          <w:color w:val="000000" w:themeColor="text1"/>
          <w:sz w:val="22"/>
          <w:szCs w:val="22"/>
          <w:lang w:val="es-ES_tradnl" w:eastAsia="en-US"/>
        </w:rPr>
        <w:t xml:space="preserve">En ese contexto, </w:t>
      </w:r>
      <w:r w:rsidRPr="008F022D">
        <w:rPr>
          <w:rFonts w:ascii="Palatino Linotype" w:eastAsia="Calibri" w:hAnsi="Palatino Linotype" w:cs="Tahoma"/>
          <w:bCs/>
          <w:sz w:val="22"/>
          <w:szCs w:val="22"/>
          <w:lang w:eastAsia="en-US"/>
        </w:rPr>
        <w:t>la Guía Técnica 9 “La Administración del Personal Municipal” establece que son servidores públicos, son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6845295E" w14:textId="77777777" w:rsidR="00986294" w:rsidRPr="008F022D" w:rsidRDefault="00986294" w:rsidP="00986294">
      <w:pPr>
        <w:tabs>
          <w:tab w:val="left" w:pos="4962"/>
        </w:tabs>
        <w:spacing w:line="360" w:lineRule="auto"/>
        <w:jc w:val="both"/>
        <w:rPr>
          <w:rFonts w:ascii="Palatino Linotype" w:eastAsiaTheme="minorHAnsi" w:hAnsi="Palatino Linotype" w:cstheme="minorBidi"/>
          <w:color w:val="000000"/>
          <w:sz w:val="22"/>
          <w:szCs w:val="22"/>
          <w:shd w:val="clear" w:color="auto" w:fill="FFFFFF"/>
          <w:lang w:eastAsia="en-US"/>
        </w:rPr>
      </w:pPr>
    </w:p>
    <w:p w14:paraId="4050F0DC" w14:textId="77777777" w:rsidR="00986294" w:rsidRPr="008F022D" w:rsidRDefault="00986294" w:rsidP="00986294">
      <w:pPr>
        <w:spacing w:line="360" w:lineRule="auto"/>
        <w:jc w:val="both"/>
        <w:rPr>
          <w:rFonts w:ascii="Palatino Linotype" w:hAnsi="Palatino Linotype"/>
          <w:sz w:val="22"/>
          <w:szCs w:val="22"/>
          <w:lang w:eastAsia="es-MX"/>
        </w:rPr>
      </w:pPr>
      <w:r w:rsidRPr="008F022D">
        <w:rPr>
          <w:rFonts w:ascii="Palatino Linotype" w:hAnsi="Palatino Linotype"/>
          <w:sz w:val="22"/>
          <w:szCs w:val="22"/>
          <w:lang w:eastAsia="es-MX"/>
        </w:rPr>
        <w:t>Ahora bien, respecto al alta de los trabajadores gubernamentales, el Manual de Normas y Procedimientos de Desarrollo y Administración de Personal, emitido por la Secretaría de Finanzas del Estado de México, en su procedimiento “021 Alta o Reingreso de Servidoras Públicas y Servidores Públicos Generales y de Confianza”, establece que el M</w:t>
      </w:r>
      <w:r w:rsidRPr="008F022D">
        <w:rPr>
          <w:rFonts w:ascii="Palatino Linotype" w:hAnsi="Palatino Linotype"/>
          <w:b/>
          <w:bCs/>
          <w:sz w:val="22"/>
          <w:szCs w:val="22"/>
          <w:lang w:eastAsia="es-MX"/>
        </w:rPr>
        <w:t xml:space="preserve">ovimiento de alta </w:t>
      </w:r>
      <w:r w:rsidRPr="008F022D">
        <w:rPr>
          <w:rFonts w:ascii="Palatino Linotype" w:hAnsi="Palatino Linotype"/>
          <w:bCs/>
          <w:sz w:val="22"/>
          <w:szCs w:val="22"/>
          <w:lang w:eastAsia="es-MX"/>
        </w:rPr>
        <w:t>c</w:t>
      </w:r>
      <w:r w:rsidRPr="008F022D">
        <w:rPr>
          <w:rFonts w:ascii="Palatino Linotype" w:hAnsi="Palatino Linotype"/>
          <w:sz w:val="22"/>
          <w:szCs w:val="22"/>
          <w:lang w:eastAsia="es-MX"/>
        </w:rPr>
        <w:t>orresponde aquel mediante el cual se registra el ingreso o reingreso de una persona al servicio público, con el propósito de emitir su pago quincenal y establecer la relación laboral entre este y la institución pública.</w:t>
      </w:r>
    </w:p>
    <w:p w14:paraId="7C350F78" w14:textId="77777777" w:rsidR="00986294" w:rsidRPr="008F022D" w:rsidRDefault="00986294" w:rsidP="00986294">
      <w:pPr>
        <w:spacing w:line="360" w:lineRule="auto"/>
        <w:ind w:left="720"/>
        <w:contextualSpacing/>
        <w:jc w:val="both"/>
        <w:rPr>
          <w:rFonts w:ascii="Palatino Linotype" w:hAnsi="Palatino Linotype"/>
          <w:sz w:val="22"/>
          <w:szCs w:val="22"/>
          <w:lang w:eastAsia="es-MX"/>
        </w:rPr>
      </w:pPr>
    </w:p>
    <w:p w14:paraId="1A9F6FD9" w14:textId="77777777" w:rsidR="00986294" w:rsidRPr="008F022D" w:rsidRDefault="00986294" w:rsidP="00986294">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 xml:space="preserve">En ese orden de ideas, el Manual de Procedimientos para la afiliación y credencialización de los derechohabientes del ISSEMYM, que establece, que el servidor público designado por la institución pública, que incluye a los Municipios (Usuario Autorizado), será el responsable de </w:t>
      </w:r>
      <w:r w:rsidRPr="008F022D">
        <w:rPr>
          <w:rFonts w:ascii="Palatino Linotype" w:eastAsia="Calibri" w:hAnsi="Palatino Linotype" w:cs="Tahoma"/>
          <w:bCs/>
          <w:sz w:val="22"/>
          <w:szCs w:val="22"/>
          <w:lang w:eastAsia="en-US"/>
        </w:rPr>
        <w:lastRenderedPageBreak/>
        <w:t xml:space="preserve">generar y entregar con oportunidad a los trabajadores, </w:t>
      </w:r>
      <w:r w:rsidRPr="008F022D">
        <w:rPr>
          <w:rFonts w:ascii="Palatino Linotype" w:eastAsia="Calibri" w:hAnsi="Palatino Linotype" w:cs="Tahoma"/>
          <w:b/>
          <w:bCs/>
          <w:sz w:val="22"/>
          <w:szCs w:val="22"/>
          <w:lang w:eastAsia="en-US"/>
        </w:rPr>
        <w:t xml:space="preserve">los Avisos de Movimiento (Alta y Baja), </w:t>
      </w:r>
      <w:r w:rsidRPr="008F022D">
        <w:rPr>
          <w:rFonts w:ascii="Palatino Linotype" w:eastAsia="Calibri" w:hAnsi="Palatino Linotype" w:cs="Tahoma"/>
          <w:bCs/>
          <w:sz w:val="22"/>
          <w:szCs w:val="22"/>
          <w:lang w:eastAsia="en-US"/>
        </w:rPr>
        <w:t>para realizar sus respectivos trámites ante el Instituto de Seguridad Social del Estado de México y Municipios.</w:t>
      </w:r>
    </w:p>
    <w:p w14:paraId="0DDF221C" w14:textId="77777777" w:rsidR="00986294" w:rsidRPr="008F022D" w:rsidRDefault="00986294" w:rsidP="00107574">
      <w:pPr>
        <w:spacing w:line="360" w:lineRule="auto"/>
        <w:jc w:val="both"/>
        <w:rPr>
          <w:rFonts w:ascii="Palatino Linotype" w:eastAsia="Calibri" w:hAnsi="Palatino Linotype" w:cs="Tahoma"/>
          <w:bCs/>
          <w:sz w:val="22"/>
          <w:szCs w:val="22"/>
          <w:lang w:eastAsia="en-US"/>
        </w:rPr>
      </w:pPr>
    </w:p>
    <w:p w14:paraId="0A605FF9" w14:textId="3CAA1B4A" w:rsidR="001D04C0" w:rsidRPr="008F022D" w:rsidRDefault="001D04C0" w:rsidP="001D04C0">
      <w:pPr>
        <w:spacing w:line="360" w:lineRule="auto"/>
        <w:jc w:val="both"/>
        <w:rPr>
          <w:rFonts w:ascii="Palatino Linotype" w:eastAsiaTheme="minorHAnsi" w:hAnsi="Palatino Linotype" w:cstheme="minorBidi"/>
          <w:bCs/>
          <w:color w:val="000000" w:themeColor="text1"/>
          <w:sz w:val="22"/>
          <w:szCs w:val="22"/>
          <w:lang w:eastAsia="en-US"/>
        </w:rPr>
      </w:pPr>
      <w:r w:rsidRPr="008F022D">
        <w:rPr>
          <w:rFonts w:ascii="Palatino Linotype" w:eastAsia="Calibri" w:hAnsi="Palatino Linotype" w:cs="Tahoma"/>
          <w:bCs/>
          <w:sz w:val="22"/>
          <w:szCs w:val="22"/>
          <w:lang w:eastAsia="en-US"/>
        </w:rPr>
        <w:t xml:space="preserve">Conforme a lo anterior, se logra vislumbrar que el Particular quiere conocer el nombre de los servidores públicos que fueron dados de alta, del primero de julio al treinta y uno de diciembre de dos mil veintidós; ahora bien, respecto a sus recibos de nómina, es </w:t>
      </w:r>
      <w:r w:rsidRPr="008F022D">
        <w:rPr>
          <w:rFonts w:ascii="Palatino Linotype" w:eastAsiaTheme="minorHAnsi" w:hAnsi="Palatino Linotype" w:cstheme="minorBidi"/>
          <w:bCs/>
          <w:color w:val="000000" w:themeColor="text1"/>
          <w:sz w:val="22"/>
          <w:szCs w:val="22"/>
          <w:lang w:val="es-ES" w:eastAsia="en-US"/>
        </w:rPr>
        <w:t>necesario</w:t>
      </w:r>
      <w:r w:rsidRPr="008F022D">
        <w:rPr>
          <w:rFonts w:ascii="Palatino Linotype" w:eastAsiaTheme="minorHAnsi" w:hAnsi="Palatino Linotype" w:cstheme="minorBidi"/>
          <w:bCs/>
          <w:color w:val="000000" w:themeColor="text1"/>
          <w:sz w:val="22"/>
          <w:szCs w:val="22"/>
          <w:lang w:eastAsia="en-US"/>
        </w:rPr>
        <w:t xml:space="preserve"> traer a colación,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2E4E8DAD" w14:textId="77777777" w:rsidR="001D04C0" w:rsidRPr="008F022D" w:rsidRDefault="001D04C0" w:rsidP="001D04C0">
      <w:pPr>
        <w:spacing w:line="360" w:lineRule="auto"/>
        <w:jc w:val="both"/>
        <w:rPr>
          <w:rFonts w:ascii="Palatino Linotype" w:eastAsiaTheme="minorHAnsi" w:hAnsi="Palatino Linotype" w:cstheme="minorBidi"/>
          <w:color w:val="000000" w:themeColor="text1"/>
          <w:sz w:val="22"/>
          <w:szCs w:val="22"/>
          <w:lang w:eastAsia="en-US"/>
        </w:rPr>
      </w:pPr>
    </w:p>
    <w:p w14:paraId="169E04DC" w14:textId="77777777" w:rsidR="001D04C0" w:rsidRPr="008F022D" w:rsidRDefault="001D04C0" w:rsidP="001D04C0">
      <w:pPr>
        <w:spacing w:line="360" w:lineRule="auto"/>
        <w:jc w:val="both"/>
        <w:rPr>
          <w:rFonts w:ascii="Palatino Linotype" w:eastAsiaTheme="minorHAnsi" w:hAnsi="Palatino Linotype" w:cstheme="minorBidi"/>
          <w:bCs/>
          <w:color w:val="000000" w:themeColor="text1"/>
          <w:sz w:val="22"/>
          <w:szCs w:val="22"/>
          <w:lang w:eastAsia="en-US"/>
        </w:rPr>
      </w:pPr>
      <w:r w:rsidRPr="008F022D">
        <w:rPr>
          <w:rFonts w:ascii="Palatino Linotype" w:eastAsiaTheme="minorHAnsi" w:hAnsi="Palatino Linotype" w:cstheme="minorBidi"/>
          <w:bCs/>
          <w:color w:val="000000" w:themeColor="text1"/>
          <w:sz w:val="22"/>
          <w:szCs w:val="22"/>
          <w:lang w:eastAsia="en-US"/>
        </w:rPr>
        <w:t xml:space="preserve">En orden de ideas, el artículo 3°, fracción XXXII, del Código Financiero del Estado de México y Municipios establece que la remuneración consiste en los pagos hechos por concepto de </w:t>
      </w:r>
      <w:r w:rsidRPr="008F022D">
        <w:rPr>
          <w:rFonts w:ascii="Palatino Linotype" w:eastAsiaTheme="minorHAnsi" w:hAnsi="Palatino Linotype" w:cstheme="minorBidi"/>
          <w:b/>
          <w:color w:val="000000" w:themeColor="text1"/>
          <w:sz w:val="22"/>
          <w:szCs w:val="22"/>
          <w:lang w:eastAsia="en-US"/>
        </w:rPr>
        <w:t>sueldo,</w:t>
      </w:r>
      <w:r w:rsidRPr="008F022D">
        <w:rPr>
          <w:rFonts w:ascii="Palatino Linotype" w:eastAsiaTheme="minorHAnsi" w:hAnsi="Palatino Linotype" w:cstheme="minorBidi"/>
          <w:bCs/>
          <w:color w:val="000000" w:themeColor="text1"/>
          <w:sz w:val="22"/>
          <w:szCs w:val="22"/>
          <w:lang w:eastAsia="en-US"/>
        </w:rPr>
        <w:t xml:space="preserve"> compensaciones, gratificaciones, habitación, primas, comisiones, prestaciones, en especie y cualquier otra percepción o prestación que se entregue al servidor por su trabajo.</w:t>
      </w:r>
    </w:p>
    <w:p w14:paraId="472D2BB0" w14:textId="77777777" w:rsidR="001D04C0" w:rsidRPr="008F022D" w:rsidRDefault="001D04C0" w:rsidP="001D04C0">
      <w:pPr>
        <w:spacing w:line="360" w:lineRule="auto"/>
        <w:jc w:val="both"/>
        <w:rPr>
          <w:rFonts w:ascii="Palatino Linotype" w:eastAsiaTheme="minorHAnsi" w:hAnsi="Palatino Linotype" w:cstheme="minorBidi"/>
          <w:color w:val="000000" w:themeColor="text1"/>
          <w:sz w:val="22"/>
          <w:szCs w:val="22"/>
          <w:lang w:eastAsia="en-US"/>
        </w:rPr>
      </w:pPr>
    </w:p>
    <w:p w14:paraId="2AF1C885" w14:textId="77777777" w:rsidR="001D04C0" w:rsidRPr="008F022D" w:rsidRDefault="001D04C0" w:rsidP="001D04C0">
      <w:pPr>
        <w:spacing w:line="360" w:lineRule="auto"/>
        <w:jc w:val="both"/>
        <w:rPr>
          <w:rFonts w:ascii="Palatino Linotype" w:eastAsiaTheme="minorHAnsi" w:hAnsi="Palatino Linotype" w:cstheme="minorBidi"/>
          <w:bCs/>
          <w:iCs/>
          <w:color w:val="000000" w:themeColor="text1"/>
          <w:sz w:val="22"/>
          <w:szCs w:val="22"/>
          <w:lang w:val="es-ES" w:eastAsia="en-US"/>
        </w:rPr>
      </w:pPr>
      <w:r w:rsidRPr="008F022D">
        <w:rPr>
          <w:rFonts w:ascii="Palatino Linotype" w:eastAsiaTheme="minorHAnsi" w:hAnsi="Palatino Linotype" w:cstheme="minorBidi"/>
          <w:bCs/>
          <w:iCs/>
          <w:color w:val="000000" w:themeColor="text1"/>
          <w:sz w:val="22"/>
          <w:szCs w:val="22"/>
          <w:lang w:val="es-ES" w:eastAsia="en-U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18A65808" w14:textId="77777777" w:rsidR="001D04C0" w:rsidRPr="008F022D" w:rsidRDefault="001D04C0" w:rsidP="001D04C0">
      <w:pPr>
        <w:spacing w:line="360" w:lineRule="auto"/>
        <w:jc w:val="both"/>
        <w:rPr>
          <w:rFonts w:ascii="Palatino Linotype" w:eastAsiaTheme="minorHAnsi" w:hAnsi="Palatino Linotype" w:cstheme="minorBidi"/>
          <w:bCs/>
          <w:color w:val="000000" w:themeColor="text1"/>
          <w:sz w:val="22"/>
          <w:szCs w:val="22"/>
          <w:lang w:eastAsia="en-US"/>
        </w:rPr>
      </w:pPr>
    </w:p>
    <w:p w14:paraId="408BE9D9" w14:textId="77777777" w:rsidR="001D04C0" w:rsidRPr="008F022D" w:rsidRDefault="001D04C0" w:rsidP="001D04C0">
      <w:pPr>
        <w:spacing w:line="360" w:lineRule="auto"/>
        <w:jc w:val="both"/>
        <w:rPr>
          <w:rFonts w:ascii="Palatino Linotype" w:hAnsi="Palatino Linotype" w:cs="Tahoma"/>
          <w:b/>
          <w:bCs/>
          <w:iCs/>
          <w:sz w:val="22"/>
          <w:szCs w:val="22"/>
          <w:lang w:val="es-ES"/>
        </w:rPr>
      </w:pPr>
      <w:r w:rsidRPr="008F022D">
        <w:rPr>
          <w:rFonts w:ascii="Palatino Linotype" w:hAnsi="Palatino Linotype" w:cs="Tahoma"/>
          <w:bCs/>
          <w:iCs/>
          <w:sz w:val="22"/>
          <w:szCs w:val="22"/>
          <w:lang w:val="es-ES"/>
        </w:rPr>
        <w:t xml:space="preserve">Además, los Manuales para la Formulación del Anteproyecto de Presupuesto de Egresos del Gobierno del Estado de México, para los ejercicios fiscales dos mil veinte y dos mil veintiuno, </w:t>
      </w:r>
      <w:r w:rsidRPr="008F022D">
        <w:rPr>
          <w:rFonts w:ascii="Palatino Linotype" w:hAnsi="Palatino Linotype" w:cs="Tahoma"/>
          <w:bCs/>
          <w:iCs/>
          <w:sz w:val="22"/>
          <w:szCs w:val="22"/>
          <w:lang w:val="es-ES"/>
        </w:rPr>
        <w:lastRenderedPageBreak/>
        <w:t xml:space="preserve">establecen, que el capítulo </w:t>
      </w:r>
      <w:r w:rsidRPr="008F022D">
        <w:rPr>
          <w:rFonts w:ascii="Palatino Linotype" w:hAnsi="Palatino Linotype" w:cs="Tahoma"/>
          <w:b/>
          <w:bCs/>
          <w:iCs/>
          <w:sz w:val="22"/>
          <w:szCs w:val="22"/>
          <w:lang w:val="es-ES"/>
        </w:rPr>
        <w:t>1000 Servicios Personales</w:t>
      </w:r>
      <w:r w:rsidRPr="008F022D">
        <w:rPr>
          <w:rFonts w:ascii="Palatino Linotype" w:hAnsi="Palatino Linotype" w:cs="Tahoma"/>
          <w:bCs/>
          <w:iCs/>
          <w:sz w:val="22"/>
          <w:szCs w:val="22"/>
          <w:lang w:val="es-ES"/>
        </w:rPr>
        <w:t>,</w:t>
      </w:r>
      <w:r w:rsidRPr="008F022D">
        <w:rPr>
          <w:rFonts w:ascii="Palatino Linotype" w:hAnsi="Palatino Linotype" w:cs="Tahoma"/>
          <w:b/>
          <w:bCs/>
          <w:iCs/>
          <w:sz w:val="22"/>
          <w:szCs w:val="22"/>
          <w:lang w:val="es-ES"/>
        </w:rPr>
        <w:t xml:space="preserve"> agrupa las</w:t>
      </w:r>
      <w:r w:rsidRPr="008F022D">
        <w:rPr>
          <w:rFonts w:ascii="Palatino Linotype" w:hAnsi="Palatino Linotype" w:cs="Tahoma"/>
          <w:b/>
          <w:bCs/>
          <w:iCs/>
          <w:sz w:val="22"/>
          <w:szCs w:val="22"/>
        </w:rPr>
        <w:t xml:space="preserve"> remuneraciones al personal que está al servicio del Estado, así como las cuotas y aportaciones a favor de las instituciones de seguridad social, derivadas de los servicios que esas instituciones prestan al personal.</w:t>
      </w:r>
    </w:p>
    <w:p w14:paraId="5296F37C" w14:textId="77777777" w:rsidR="001D04C0" w:rsidRPr="008F022D" w:rsidRDefault="001D04C0" w:rsidP="001D04C0">
      <w:pPr>
        <w:spacing w:line="360" w:lineRule="auto"/>
        <w:jc w:val="both"/>
        <w:rPr>
          <w:rFonts w:ascii="Palatino Linotype" w:eastAsiaTheme="minorHAnsi" w:hAnsi="Palatino Linotype" w:cstheme="minorBidi"/>
          <w:bCs/>
          <w:color w:val="000000" w:themeColor="text1"/>
          <w:sz w:val="22"/>
          <w:szCs w:val="22"/>
          <w:lang w:eastAsia="en-US"/>
        </w:rPr>
      </w:pPr>
    </w:p>
    <w:p w14:paraId="0407CB18" w14:textId="77777777" w:rsidR="001D04C0" w:rsidRPr="008F022D" w:rsidRDefault="001D04C0" w:rsidP="001D04C0">
      <w:pPr>
        <w:spacing w:line="360" w:lineRule="auto"/>
        <w:jc w:val="both"/>
        <w:rPr>
          <w:rFonts w:ascii="Palatino Linotype" w:eastAsiaTheme="minorHAnsi" w:hAnsi="Palatino Linotype" w:cstheme="minorBidi"/>
          <w:bCs/>
          <w:color w:val="000000" w:themeColor="text1"/>
          <w:sz w:val="22"/>
          <w:szCs w:val="22"/>
          <w:lang w:eastAsia="en-US"/>
        </w:rPr>
      </w:pPr>
      <w:r w:rsidRPr="008F022D">
        <w:rPr>
          <w:rFonts w:ascii="Palatino Linotype" w:eastAsiaTheme="minorHAnsi" w:hAnsi="Palatino Linotype" w:cstheme="minorBidi"/>
          <w:bCs/>
          <w:color w:val="000000" w:themeColor="text1"/>
          <w:sz w:val="22"/>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8F022D">
        <w:rPr>
          <w:rFonts w:ascii="Palatino Linotype" w:eastAsiaTheme="minorHAnsi" w:hAnsi="Palatino Linotype" w:cstheme="minorBidi"/>
          <w:b/>
          <w:bCs/>
          <w:color w:val="000000" w:themeColor="text1"/>
          <w:sz w:val="22"/>
          <w:szCs w:val="22"/>
          <w:lang w:eastAsia="en-US"/>
        </w:rPr>
        <w:t>recibos de pago de salarios o las</w:t>
      </w:r>
      <w:r w:rsidRPr="008F022D">
        <w:rPr>
          <w:rFonts w:ascii="Palatino Linotype" w:eastAsiaTheme="minorHAnsi" w:hAnsi="Palatino Linotype" w:cstheme="minorBidi"/>
          <w:bCs/>
          <w:color w:val="000000" w:themeColor="text1"/>
          <w:sz w:val="22"/>
          <w:szCs w:val="22"/>
          <w:lang w:eastAsia="en-US"/>
        </w:rPr>
        <w:t xml:space="preserve"> </w:t>
      </w:r>
      <w:r w:rsidRPr="008F022D">
        <w:rPr>
          <w:rFonts w:ascii="Palatino Linotype" w:eastAsiaTheme="minorHAnsi" w:hAnsi="Palatino Linotype" w:cstheme="minorBidi"/>
          <w:b/>
          <w:bCs/>
          <w:color w:val="000000" w:themeColor="text1"/>
          <w:sz w:val="22"/>
          <w:szCs w:val="22"/>
          <w:lang w:eastAsia="en-US"/>
        </w:rPr>
        <w:t xml:space="preserve">constancias documentales del pago de sueldos, </w:t>
      </w:r>
      <w:r w:rsidRPr="008F022D">
        <w:rPr>
          <w:rFonts w:ascii="Palatino Linotype" w:eastAsiaTheme="minorHAnsi" w:hAnsi="Palatino Linotype" w:cstheme="minorBidi"/>
          <w:bCs/>
          <w:color w:val="000000" w:themeColor="text1"/>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A07128A" w14:textId="77777777" w:rsidR="001D04C0" w:rsidRPr="008F022D" w:rsidRDefault="001D04C0" w:rsidP="001D04C0">
      <w:pPr>
        <w:spacing w:line="360" w:lineRule="auto"/>
        <w:jc w:val="both"/>
        <w:rPr>
          <w:rFonts w:ascii="Palatino Linotype" w:eastAsiaTheme="minorHAnsi" w:hAnsi="Palatino Linotype" w:cstheme="minorBidi"/>
          <w:bCs/>
          <w:color w:val="000000" w:themeColor="text1"/>
          <w:sz w:val="22"/>
          <w:szCs w:val="22"/>
          <w:lang w:eastAsia="en-US"/>
        </w:rPr>
      </w:pPr>
    </w:p>
    <w:p w14:paraId="3C5F022A" w14:textId="77777777" w:rsidR="001D04C0" w:rsidRPr="008F022D" w:rsidRDefault="001D04C0" w:rsidP="001D04C0">
      <w:pPr>
        <w:spacing w:line="360" w:lineRule="auto"/>
        <w:jc w:val="both"/>
        <w:rPr>
          <w:rFonts w:ascii="Palatino Linotype" w:eastAsiaTheme="minorHAnsi" w:hAnsi="Palatino Linotype" w:cstheme="minorBidi"/>
          <w:bCs/>
          <w:color w:val="000000" w:themeColor="text1"/>
          <w:sz w:val="22"/>
          <w:szCs w:val="22"/>
          <w:lang w:eastAsia="en-US"/>
        </w:rPr>
      </w:pPr>
      <w:r w:rsidRPr="008F022D">
        <w:rPr>
          <w:rFonts w:ascii="Palatino Linotype" w:eastAsiaTheme="minorHAnsi" w:hAnsi="Palatino Linotype" w:cstheme="minorBidi"/>
          <w:bCs/>
          <w:color w:val="000000" w:themeColor="text1"/>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23E2CA6B" w14:textId="77777777" w:rsidR="001D04C0" w:rsidRPr="008F022D" w:rsidRDefault="001D04C0" w:rsidP="001D04C0">
      <w:pPr>
        <w:spacing w:line="360" w:lineRule="auto"/>
        <w:jc w:val="both"/>
        <w:rPr>
          <w:rFonts w:ascii="Palatino Linotype" w:eastAsiaTheme="minorHAnsi" w:hAnsi="Palatino Linotype" w:cstheme="minorBidi"/>
          <w:bCs/>
          <w:color w:val="000000" w:themeColor="text1"/>
          <w:sz w:val="22"/>
          <w:szCs w:val="22"/>
          <w:lang w:eastAsia="en-US"/>
        </w:rPr>
      </w:pPr>
    </w:p>
    <w:p w14:paraId="4E7C3772" w14:textId="77777777" w:rsidR="001D04C0" w:rsidRPr="008F022D" w:rsidRDefault="001D04C0" w:rsidP="001D04C0">
      <w:pPr>
        <w:spacing w:line="360" w:lineRule="auto"/>
        <w:ind w:left="567" w:right="567"/>
        <w:jc w:val="both"/>
        <w:rPr>
          <w:rFonts w:ascii="Palatino Linotype" w:eastAsiaTheme="minorHAnsi" w:hAnsi="Palatino Linotype" w:cstheme="minorBidi"/>
          <w:bCs/>
          <w:i/>
          <w:iCs/>
          <w:color w:val="000000" w:themeColor="text1"/>
          <w:lang w:val="es-ES" w:eastAsia="en-US"/>
        </w:rPr>
      </w:pPr>
      <w:r w:rsidRPr="008F022D">
        <w:rPr>
          <w:rFonts w:ascii="Palatino Linotype" w:eastAsiaTheme="minorHAnsi" w:hAnsi="Palatino Linotype" w:cstheme="minorBidi"/>
          <w:b/>
          <w:bCs/>
          <w:i/>
          <w:iCs/>
          <w:color w:val="000000" w:themeColor="text1"/>
          <w:lang w:val="es-ES" w:eastAsia="en-US"/>
        </w:rPr>
        <w:t>“RECIBOS DE PAGO</w:t>
      </w:r>
      <w:r w:rsidRPr="008F022D">
        <w:rPr>
          <w:rFonts w:ascii="Palatino Linotype" w:eastAsiaTheme="minorHAnsi" w:hAnsi="Palatino Linotype" w:cstheme="minorBidi"/>
          <w:bCs/>
          <w:i/>
          <w:iCs/>
          <w:color w:val="000000" w:themeColor="text1"/>
          <w:lang w:val="es-ES" w:eastAsia="en-US"/>
        </w:rPr>
        <w:t xml:space="preserve"> </w:t>
      </w:r>
      <w:r w:rsidRPr="008F022D">
        <w:rPr>
          <w:rFonts w:ascii="Palatino Linotype" w:eastAsiaTheme="minorHAnsi" w:hAnsi="Palatino Linotype" w:cstheme="minorBidi"/>
          <w:b/>
          <w:bCs/>
          <w:i/>
          <w:iCs/>
          <w:color w:val="000000" w:themeColor="text1"/>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8F022D">
        <w:rPr>
          <w:rFonts w:ascii="Palatino Linotype" w:eastAsiaTheme="minorHAnsi" w:hAnsi="Palatino Linotype" w:cstheme="minorBidi"/>
          <w:bCs/>
          <w:i/>
          <w:iCs/>
          <w:color w:val="000000" w:themeColor="text1"/>
          <w:lang w:val="es-ES" w:eastAsia="en-U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w:t>
      </w:r>
      <w:r w:rsidRPr="008F022D">
        <w:rPr>
          <w:rFonts w:ascii="Palatino Linotype" w:eastAsiaTheme="minorHAnsi" w:hAnsi="Palatino Linotype" w:cstheme="minorBidi"/>
          <w:bCs/>
          <w:i/>
          <w:iCs/>
          <w:color w:val="000000" w:themeColor="text1"/>
          <w:lang w:val="es-ES" w:eastAsia="en-US"/>
        </w:rPr>
        <w:lastRenderedPageBreak/>
        <w:t>probatoria a que deban adminicularse con otras pruebas; resolver en contrario, implicaría desatender el artículo 137 de la referida Ley Federal de los Trabajadores al Servicio del Estado.”</w:t>
      </w:r>
    </w:p>
    <w:p w14:paraId="0E6802AF" w14:textId="77777777" w:rsidR="001D04C0" w:rsidRPr="008F022D" w:rsidRDefault="001D04C0" w:rsidP="001D04C0">
      <w:pPr>
        <w:spacing w:line="360" w:lineRule="auto"/>
        <w:jc w:val="both"/>
        <w:rPr>
          <w:rFonts w:ascii="Palatino Linotype" w:eastAsiaTheme="minorHAnsi" w:hAnsi="Palatino Linotype" w:cstheme="minorBidi"/>
          <w:b/>
          <w:bCs/>
          <w:i/>
          <w:iCs/>
          <w:color w:val="000000" w:themeColor="text1"/>
          <w:sz w:val="22"/>
          <w:szCs w:val="22"/>
          <w:lang w:val="es-ES" w:eastAsia="en-US"/>
        </w:rPr>
      </w:pPr>
    </w:p>
    <w:p w14:paraId="473BA720" w14:textId="77777777" w:rsidR="001D04C0" w:rsidRPr="008F022D" w:rsidRDefault="001D04C0" w:rsidP="001D04C0">
      <w:pPr>
        <w:spacing w:line="360" w:lineRule="auto"/>
        <w:jc w:val="both"/>
        <w:rPr>
          <w:rFonts w:ascii="Palatino Linotype" w:eastAsiaTheme="minorHAnsi" w:hAnsi="Palatino Linotype" w:cstheme="minorBidi"/>
          <w:bCs/>
          <w:color w:val="000000" w:themeColor="text1"/>
          <w:sz w:val="22"/>
          <w:szCs w:val="22"/>
          <w:lang w:val="es-ES" w:eastAsia="en-US"/>
        </w:rPr>
      </w:pPr>
      <w:r w:rsidRPr="008F022D">
        <w:rPr>
          <w:rFonts w:ascii="Palatino Linotype" w:eastAsiaTheme="minorHAnsi" w:hAnsi="Palatino Linotype" w:cstheme="minorBidi"/>
          <w:bCs/>
          <w:color w:val="000000" w:themeColor="text1"/>
          <w:sz w:val="22"/>
          <w:szCs w:val="22"/>
          <w:lang w:val="es-ES" w:eastAsia="en-US"/>
        </w:rPr>
        <w:t xml:space="preserve">De la tesis transcrita, se desprende que </w:t>
      </w:r>
      <w:r w:rsidRPr="008F022D">
        <w:rPr>
          <w:rFonts w:ascii="Palatino Linotype" w:eastAsiaTheme="minorHAnsi" w:hAnsi="Palatino Linotype" w:cstheme="minorBidi"/>
          <w:b/>
          <w:bCs/>
          <w:color w:val="000000" w:themeColor="text1"/>
          <w:sz w:val="22"/>
          <w:szCs w:val="22"/>
          <w:lang w:val="es-ES" w:eastAsia="en-US"/>
        </w:rPr>
        <w:t>en materia burocrática</w:t>
      </w:r>
      <w:r w:rsidRPr="008F022D">
        <w:rPr>
          <w:rFonts w:ascii="Palatino Linotype" w:eastAsiaTheme="minorHAnsi" w:hAnsi="Palatino Linotype" w:cstheme="minorBidi"/>
          <w:bCs/>
          <w:color w:val="000000" w:themeColor="text1"/>
          <w:sz w:val="22"/>
          <w:szCs w:val="22"/>
          <w:lang w:val="es-ES" w:eastAsia="en-US"/>
        </w:rPr>
        <w:t xml:space="preserve"> </w:t>
      </w:r>
      <w:r w:rsidRPr="008F022D">
        <w:rPr>
          <w:rFonts w:ascii="Palatino Linotype" w:eastAsiaTheme="minorHAnsi" w:hAnsi="Palatino Linotype" w:cstheme="minorBidi"/>
          <w:b/>
          <w:bCs/>
          <w:color w:val="000000" w:themeColor="text1"/>
          <w:sz w:val="22"/>
          <w:szCs w:val="22"/>
          <w:lang w:val="es-ES" w:eastAsia="en-US"/>
        </w:rPr>
        <w:t>los recibos de pago acreditan los conceptos y montos que en ellos se insertan</w:t>
      </w:r>
      <w:r w:rsidRPr="008F022D">
        <w:rPr>
          <w:rFonts w:ascii="Palatino Linotype" w:eastAsiaTheme="minorHAnsi" w:hAnsi="Palatino Linotype" w:cstheme="minorBidi"/>
          <w:bCs/>
          <w:color w:val="000000" w:themeColor="text1"/>
          <w:sz w:val="22"/>
          <w:szCs w:val="22"/>
          <w:lang w:val="es-ES" w:eastAsia="en-US"/>
        </w:rPr>
        <w:t xml:space="preserve">, y constituyen prueba para demostrar las percepciones y montos que reciben los servidores públicos. </w:t>
      </w:r>
    </w:p>
    <w:p w14:paraId="56874F44" w14:textId="77777777" w:rsidR="001D04C0" w:rsidRPr="008F022D" w:rsidRDefault="001D04C0" w:rsidP="001D04C0">
      <w:pPr>
        <w:spacing w:line="360" w:lineRule="auto"/>
        <w:jc w:val="both"/>
        <w:rPr>
          <w:rFonts w:ascii="Palatino Linotype" w:eastAsiaTheme="minorHAnsi" w:hAnsi="Palatino Linotype" w:cstheme="minorBidi"/>
          <w:color w:val="000000" w:themeColor="text1"/>
          <w:sz w:val="22"/>
          <w:szCs w:val="22"/>
          <w:lang w:val="es-ES" w:eastAsia="en-US"/>
        </w:rPr>
      </w:pPr>
    </w:p>
    <w:p w14:paraId="15FD46B1" w14:textId="77777777" w:rsidR="001D04C0" w:rsidRPr="008F022D" w:rsidRDefault="001D04C0" w:rsidP="001D04C0">
      <w:pPr>
        <w:spacing w:line="360" w:lineRule="auto"/>
        <w:ind w:right="-28"/>
        <w:jc w:val="both"/>
        <w:rPr>
          <w:rFonts w:ascii="Palatino Linotype" w:eastAsia="Calibri" w:hAnsi="Palatino Linotype"/>
          <w:bCs/>
          <w:color w:val="000000" w:themeColor="text1"/>
          <w:sz w:val="22"/>
          <w:szCs w:val="22"/>
          <w:lang w:eastAsia="en-US"/>
        </w:rPr>
      </w:pPr>
      <w:r w:rsidRPr="008F022D">
        <w:rPr>
          <w:rFonts w:ascii="Palatino Linotype" w:eastAsia="Calibri" w:hAnsi="Palatino Linotype"/>
          <w:bCs/>
          <w:color w:val="000000" w:themeColor="text1"/>
          <w:sz w:val="22"/>
          <w:szCs w:val="22"/>
          <w:lang w:eastAsia="en-US"/>
        </w:rPr>
        <w:t xml:space="preserve">En ese orden de ideas, los Lineamientos para la Integración del Informe Trimestral de los Sujetos de Fiscalización Municipales para el ejercicio fiscal dos mil veintidós, entre los formatos que maneja en el </w:t>
      </w:r>
      <w:r w:rsidRPr="008F022D">
        <w:rPr>
          <w:rFonts w:ascii="Palatino Linotype" w:eastAsia="Calibri" w:hAnsi="Palatino Linotype"/>
          <w:b/>
          <w:color w:val="000000" w:themeColor="text1"/>
          <w:sz w:val="22"/>
          <w:szCs w:val="22"/>
          <w:lang w:eastAsia="en-US"/>
        </w:rPr>
        <w:t>Módulo 4</w:t>
      </w:r>
      <w:r w:rsidRPr="008F022D">
        <w:rPr>
          <w:rFonts w:ascii="Palatino Linotype" w:eastAsia="Calibri" w:hAnsi="Palatino Linotype"/>
          <w:bCs/>
          <w:color w:val="000000" w:themeColor="text1"/>
          <w:sz w:val="22"/>
          <w:szCs w:val="22"/>
          <w:lang w:eastAsia="en-US"/>
        </w:rPr>
        <w:t xml:space="preserve">, se advierte que se encuentran </w:t>
      </w:r>
      <w:r w:rsidRPr="008F022D">
        <w:rPr>
          <w:rFonts w:ascii="Palatino Linotype" w:eastAsia="Calibri" w:hAnsi="Palatino Linotype"/>
          <w:b/>
          <w:color w:val="000000" w:themeColor="text1"/>
          <w:sz w:val="22"/>
          <w:szCs w:val="22"/>
          <w:lang w:eastAsia="en-US"/>
        </w:rPr>
        <w:t>los Comprobantes Fiscales Digitales por Internet por concepto de Nómina</w:t>
      </w:r>
      <w:r w:rsidRPr="008F022D">
        <w:rPr>
          <w:rFonts w:ascii="Palatino Linotype" w:eastAsia="Calibri" w:hAnsi="Palatino Linotype"/>
          <w:bCs/>
          <w:color w:val="000000" w:themeColor="text1"/>
          <w:sz w:val="22"/>
          <w:szCs w:val="22"/>
          <w:lang w:eastAsia="en-US"/>
        </w:rPr>
        <w:t>, mismos que serán entregados al Órgano Superior de Fiscalización del Estado de México, que contiene todas las percepciones y deducciones que recibe cada servidor público.</w:t>
      </w:r>
    </w:p>
    <w:p w14:paraId="1F5287B5" w14:textId="77777777" w:rsidR="00986294" w:rsidRPr="008F022D" w:rsidRDefault="00986294" w:rsidP="00107574">
      <w:pPr>
        <w:spacing w:line="360" w:lineRule="auto"/>
        <w:jc w:val="both"/>
        <w:rPr>
          <w:rFonts w:ascii="Palatino Linotype" w:eastAsia="Calibri" w:hAnsi="Palatino Linotype" w:cs="Tahoma"/>
          <w:bCs/>
          <w:sz w:val="22"/>
          <w:szCs w:val="22"/>
          <w:lang w:eastAsia="en-US"/>
        </w:rPr>
      </w:pPr>
    </w:p>
    <w:p w14:paraId="64FF2090" w14:textId="36068202" w:rsidR="001D04C0" w:rsidRPr="008F022D" w:rsidRDefault="001D04C0" w:rsidP="00107574">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Conforme a lo anterior, se logra vislumbrar que la pretensión del ahora Recurrente es obtener el nombre de los servidores públicos que fueron dados de alta, del primero de julio al treinta y uno de diciembre de dos mil veintidós, así como, sus recibos de nómina pagados desde la fecha de inicio de labores a la segunda quincena de diciembre de dicho año.</w:t>
      </w:r>
    </w:p>
    <w:p w14:paraId="2A911A11" w14:textId="77777777" w:rsidR="001D04C0" w:rsidRPr="008F022D" w:rsidRDefault="001D04C0" w:rsidP="00107574">
      <w:pPr>
        <w:spacing w:line="360" w:lineRule="auto"/>
        <w:jc w:val="both"/>
        <w:rPr>
          <w:rFonts w:ascii="Palatino Linotype" w:eastAsia="Calibri" w:hAnsi="Palatino Linotype" w:cs="Tahoma"/>
          <w:bCs/>
          <w:sz w:val="22"/>
          <w:szCs w:val="22"/>
          <w:lang w:eastAsia="en-US"/>
        </w:rPr>
      </w:pPr>
    </w:p>
    <w:p w14:paraId="608ED9DE" w14:textId="595D254F" w:rsidR="00F72402" w:rsidRPr="008F022D" w:rsidRDefault="00F72402" w:rsidP="00F72402">
      <w:pPr>
        <w:spacing w:line="360" w:lineRule="auto"/>
        <w:contextualSpacing/>
        <w:jc w:val="both"/>
        <w:rPr>
          <w:rFonts w:ascii="Palatino Linotype" w:eastAsia="Calibri" w:hAnsi="Palatino Linotype" w:cs="Tahoma"/>
          <w:bCs/>
          <w:iCs/>
          <w:color w:val="000000"/>
          <w:sz w:val="22"/>
          <w:szCs w:val="24"/>
          <w:lang w:eastAsia="es-MX"/>
        </w:rPr>
      </w:pPr>
      <w:r w:rsidRPr="008F022D">
        <w:rPr>
          <w:rFonts w:ascii="Palatino Linotype" w:eastAsia="Batang" w:hAnsi="Palatino Linotype" w:cs="Tahoma"/>
          <w:bCs/>
          <w:sz w:val="22"/>
          <w:szCs w:val="22"/>
        </w:rPr>
        <w:t xml:space="preserve">Ahora bien, de las constancias que obran en el expediente, se logra advertir que el Ayuntamiento turno la solicitud de información, a la Dirección de Administración, por lo que, resulta </w:t>
      </w:r>
      <w:r w:rsidRPr="008F022D">
        <w:rPr>
          <w:rFonts w:ascii="Palatino Linotype" w:eastAsia="Calibri" w:hAnsi="Palatino Linotype" w:cs="Tahoma"/>
          <w:bCs/>
          <w:color w:val="000000"/>
          <w:sz w:val="22"/>
          <w:szCs w:val="24"/>
          <w:lang w:eastAsia="es-MX"/>
        </w:rPr>
        <w:t xml:space="preserve">necesario hacer referencia </w:t>
      </w:r>
      <w:r w:rsidRPr="008F022D">
        <w:rPr>
          <w:rFonts w:ascii="Palatino Linotype" w:eastAsia="Calibri" w:hAnsi="Palatino Linotype" w:cs="Tahoma"/>
          <w:color w:val="000000"/>
          <w:sz w:val="22"/>
          <w:szCs w:val="24"/>
          <w:lang w:eastAsia="es-MX"/>
        </w:rPr>
        <w:t xml:space="preserve">al </w:t>
      </w:r>
      <w:r w:rsidRPr="008F022D">
        <w:rPr>
          <w:rFonts w:ascii="Palatino Linotype" w:eastAsia="Calibri" w:hAnsi="Palatino Linotype" w:cs="Tahoma"/>
          <w:b/>
          <w:color w:val="000000"/>
          <w:sz w:val="22"/>
          <w:szCs w:val="24"/>
          <w:lang w:eastAsia="es-MX"/>
        </w:rPr>
        <w:t>procedimiento de búsqueda que deben de seguir los Sujetos Obligados para localizar la información</w:t>
      </w:r>
      <w:r w:rsidRPr="008F022D">
        <w:rPr>
          <w:rFonts w:ascii="Palatino Linotype" w:eastAsia="Calibri" w:hAnsi="Palatino Linotype" w:cs="Tahoma"/>
          <w:color w:val="000000"/>
          <w:sz w:val="22"/>
          <w:szCs w:val="24"/>
          <w:lang w:eastAsia="es-MX"/>
        </w:rPr>
        <w:t>, el cual se encuentra previsto en los artículos</w:t>
      </w:r>
      <w:r w:rsidRPr="008F022D">
        <w:rPr>
          <w:rFonts w:ascii="Palatino Linotype" w:eastAsia="Calibri" w:hAnsi="Palatino Linotype" w:cs="Tahoma"/>
          <w:bCs/>
          <w:color w:val="000000"/>
          <w:sz w:val="22"/>
          <w:szCs w:val="24"/>
          <w:lang w:eastAsia="es-MX"/>
        </w:rPr>
        <w:t xml:space="preserve"> 160 y 162 de la Ley de Transparencia y Acceso a la Información Pública del Estado de México y Municipios, mismo que es el siguiente:</w:t>
      </w:r>
    </w:p>
    <w:p w14:paraId="63490192" w14:textId="77777777" w:rsidR="00F72402" w:rsidRPr="008F022D" w:rsidRDefault="00F72402" w:rsidP="00F72402">
      <w:pPr>
        <w:autoSpaceDE w:val="0"/>
        <w:autoSpaceDN w:val="0"/>
        <w:adjustRightInd w:val="0"/>
        <w:spacing w:line="360" w:lineRule="auto"/>
        <w:contextualSpacing/>
        <w:jc w:val="both"/>
        <w:rPr>
          <w:rFonts w:ascii="Palatino Linotype" w:eastAsia="Calibri" w:hAnsi="Palatino Linotype" w:cs="Tahoma"/>
          <w:bCs/>
          <w:color w:val="000000"/>
          <w:sz w:val="22"/>
          <w:szCs w:val="24"/>
          <w:lang w:eastAsia="es-MX"/>
        </w:rPr>
      </w:pPr>
    </w:p>
    <w:p w14:paraId="02CE3BC6" w14:textId="77777777" w:rsidR="00F72402" w:rsidRPr="008F022D" w:rsidRDefault="00F72402" w:rsidP="00F72402">
      <w:pPr>
        <w:numPr>
          <w:ilvl w:val="0"/>
          <w:numId w:val="4"/>
        </w:numPr>
        <w:autoSpaceDE w:val="0"/>
        <w:autoSpaceDN w:val="0"/>
        <w:adjustRightInd w:val="0"/>
        <w:spacing w:after="160" w:line="360" w:lineRule="auto"/>
        <w:contextualSpacing/>
        <w:jc w:val="both"/>
        <w:rPr>
          <w:rFonts w:ascii="Palatino Linotype" w:eastAsia="Calibri" w:hAnsi="Palatino Linotype" w:cs="Tahoma"/>
          <w:bCs/>
          <w:color w:val="000000"/>
          <w:sz w:val="22"/>
          <w:szCs w:val="24"/>
          <w:lang w:eastAsia="es-MX"/>
        </w:rPr>
      </w:pPr>
      <w:r w:rsidRPr="008F022D">
        <w:rPr>
          <w:rFonts w:ascii="Palatino Linotype" w:eastAsia="Calibri" w:hAnsi="Palatino Linotype" w:cs="Tahoma"/>
          <w:bCs/>
          <w:color w:val="000000"/>
          <w:sz w:val="22"/>
          <w:szCs w:val="24"/>
          <w:lang w:eastAsia="es-MX"/>
        </w:rPr>
        <w:t xml:space="preserve">Las Unidades de Transparencia garantizarán que las solicitudes de acceso a la información se turnen a todas las áreas competentes que cuenten con la información o </w:t>
      </w:r>
      <w:r w:rsidRPr="008F022D">
        <w:rPr>
          <w:rFonts w:ascii="Palatino Linotype" w:eastAsia="Calibri" w:hAnsi="Palatino Linotype" w:cs="Tahoma"/>
          <w:bCs/>
          <w:color w:val="000000"/>
          <w:sz w:val="22"/>
          <w:szCs w:val="24"/>
          <w:lang w:eastAsia="es-MX"/>
        </w:rPr>
        <w:lastRenderedPageBreak/>
        <w:t>deban tenerla de acuerdo a las facultades, competencias y funciones, con el objeto de que dichas áreas realicen una búsqueda exhaustiva y razonable de la información requerida, y</w:t>
      </w:r>
    </w:p>
    <w:p w14:paraId="3CD7C677" w14:textId="77777777" w:rsidR="00F72402" w:rsidRPr="008F022D" w:rsidRDefault="00F72402" w:rsidP="00F72402">
      <w:pPr>
        <w:autoSpaceDE w:val="0"/>
        <w:autoSpaceDN w:val="0"/>
        <w:adjustRightInd w:val="0"/>
        <w:spacing w:line="360" w:lineRule="auto"/>
        <w:contextualSpacing/>
        <w:jc w:val="both"/>
        <w:rPr>
          <w:rFonts w:ascii="Palatino Linotype" w:eastAsia="Calibri" w:hAnsi="Palatino Linotype" w:cs="Tahoma"/>
          <w:bCs/>
          <w:color w:val="000000"/>
          <w:sz w:val="22"/>
          <w:szCs w:val="24"/>
          <w:lang w:eastAsia="es-MX"/>
        </w:rPr>
      </w:pPr>
    </w:p>
    <w:p w14:paraId="3CE58B2A" w14:textId="77777777" w:rsidR="00F72402" w:rsidRPr="008F022D" w:rsidRDefault="00F72402" w:rsidP="00F72402">
      <w:pPr>
        <w:numPr>
          <w:ilvl w:val="0"/>
          <w:numId w:val="4"/>
        </w:numPr>
        <w:autoSpaceDE w:val="0"/>
        <w:autoSpaceDN w:val="0"/>
        <w:adjustRightInd w:val="0"/>
        <w:spacing w:after="160" w:line="360" w:lineRule="auto"/>
        <w:contextualSpacing/>
        <w:jc w:val="both"/>
        <w:rPr>
          <w:rFonts w:ascii="Palatino Linotype" w:eastAsia="Calibri" w:hAnsi="Palatino Linotype" w:cs="Tahoma"/>
          <w:bCs/>
          <w:color w:val="000000"/>
          <w:sz w:val="22"/>
          <w:szCs w:val="24"/>
          <w:lang w:eastAsia="es-MX"/>
        </w:rPr>
      </w:pPr>
      <w:r w:rsidRPr="008F022D">
        <w:rPr>
          <w:rFonts w:ascii="Palatino Linotype" w:eastAsia="Calibri" w:hAnsi="Palatino Linotype" w:cs="Tahoma"/>
          <w:bCs/>
          <w:color w:val="000000"/>
          <w:sz w:val="22"/>
          <w:szCs w:val="24"/>
          <w:lang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D18A31F" w14:textId="77777777" w:rsidR="00F72402" w:rsidRPr="008F022D" w:rsidRDefault="00F72402" w:rsidP="00F72402">
      <w:pPr>
        <w:autoSpaceDE w:val="0"/>
        <w:autoSpaceDN w:val="0"/>
        <w:adjustRightInd w:val="0"/>
        <w:spacing w:line="360" w:lineRule="auto"/>
        <w:contextualSpacing/>
        <w:jc w:val="both"/>
        <w:rPr>
          <w:rFonts w:ascii="Palatino Linotype" w:eastAsia="Calibri" w:hAnsi="Palatino Linotype" w:cs="Tahoma"/>
          <w:color w:val="000000"/>
          <w:sz w:val="22"/>
          <w:szCs w:val="24"/>
          <w:lang w:eastAsia="es-MX"/>
        </w:rPr>
      </w:pPr>
    </w:p>
    <w:p w14:paraId="4536C66F" w14:textId="3096B610" w:rsidR="00F72402" w:rsidRPr="008F022D" w:rsidRDefault="00F72402" w:rsidP="00F72402">
      <w:pPr>
        <w:autoSpaceDE w:val="0"/>
        <w:autoSpaceDN w:val="0"/>
        <w:adjustRightInd w:val="0"/>
        <w:spacing w:line="360" w:lineRule="auto"/>
        <w:contextualSpacing/>
        <w:jc w:val="both"/>
        <w:rPr>
          <w:rFonts w:ascii="Palatino Linotype" w:eastAsia="Calibri" w:hAnsi="Palatino Linotype" w:cs="Tahoma"/>
          <w:color w:val="000000"/>
          <w:sz w:val="22"/>
          <w:szCs w:val="24"/>
          <w:lang w:eastAsia="es-MX"/>
        </w:rPr>
      </w:pPr>
      <w:r w:rsidRPr="008F022D">
        <w:rPr>
          <w:rFonts w:ascii="Palatino Linotype" w:eastAsia="Calibri" w:hAnsi="Palatino Linotype" w:cs="Tahoma"/>
          <w:bCs/>
          <w:color w:val="000000"/>
          <w:sz w:val="22"/>
          <w:szCs w:val="22"/>
          <w:lang w:eastAsia="en-US"/>
        </w:rPr>
        <w:t xml:space="preserve">Así, a efecto de determinar si el Sujeto Obligado cumplió con el procedimiento de búsqueda, resulta necesario precisar que los artículos 22, fracción I, numeral 13, 52 y 53 del Reglamento Orgánico Municipal de Zinacantepec, establecen que el Sujeto Obligado para el ejercicio de sus funciones, contará con diversas unidades administrativas, entre las cuales se encuentra la </w:t>
      </w:r>
      <w:r w:rsidR="00D60429" w:rsidRPr="008F022D">
        <w:rPr>
          <w:rFonts w:ascii="Palatino Linotype" w:eastAsia="Calibri" w:hAnsi="Palatino Linotype" w:cs="Tahoma"/>
          <w:bCs/>
          <w:color w:val="000000"/>
          <w:sz w:val="22"/>
          <w:szCs w:val="22"/>
          <w:lang w:eastAsia="en-US"/>
        </w:rPr>
        <w:t>Dirección de Administración</w:t>
      </w:r>
      <w:r w:rsidRPr="008F022D">
        <w:rPr>
          <w:rFonts w:ascii="Palatino Linotype" w:eastAsia="Calibri" w:hAnsi="Palatino Linotype" w:cs="Tahoma"/>
          <w:bCs/>
          <w:color w:val="000000"/>
          <w:sz w:val="22"/>
          <w:szCs w:val="22"/>
          <w:lang w:eastAsia="en-US"/>
        </w:rPr>
        <w:t xml:space="preserve">, encargada </w:t>
      </w:r>
      <w:r w:rsidR="00D60429" w:rsidRPr="008F022D">
        <w:rPr>
          <w:rFonts w:ascii="Palatino Linotype" w:eastAsia="Calibri" w:hAnsi="Palatino Linotype" w:cs="Tahoma"/>
          <w:bCs/>
          <w:color w:val="000000"/>
          <w:sz w:val="22"/>
          <w:szCs w:val="22"/>
          <w:lang w:eastAsia="en-US"/>
        </w:rPr>
        <w:t>del reclutamiento y selección de personal; de mantener el resguardo del archivo de personal; de reclutar y asignar a los servidores públicos; así como, evalúa los programas, procesos y procedimientos para la elaboración y pago de la nómina; dichas funciones por medio de la Subdirección de Recursos Humanos.</w:t>
      </w:r>
    </w:p>
    <w:p w14:paraId="616778EC" w14:textId="77777777" w:rsidR="00F72402" w:rsidRPr="008F022D" w:rsidRDefault="00F72402" w:rsidP="00F72402">
      <w:pPr>
        <w:autoSpaceDE w:val="0"/>
        <w:autoSpaceDN w:val="0"/>
        <w:adjustRightInd w:val="0"/>
        <w:spacing w:line="360" w:lineRule="auto"/>
        <w:contextualSpacing/>
        <w:jc w:val="both"/>
        <w:rPr>
          <w:rFonts w:ascii="Palatino Linotype" w:eastAsia="Calibri" w:hAnsi="Palatino Linotype" w:cs="Tahoma"/>
          <w:color w:val="000000"/>
          <w:sz w:val="22"/>
          <w:szCs w:val="24"/>
          <w:lang w:eastAsia="es-MX"/>
        </w:rPr>
      </w:pPr>
    </w:p>
    <w:p w14:paraId="5996E574" w14:textId="0A111691" w:rsidR="00F72402" w:rsidRPr="008F022D" w:rsidRDefault="00F72402" w:rsidP="00F72402">
      <w:pPr>
        <w:autoSpaceDE w:val="0"/>
        <w:autoSpaceDN w:val="0"/>
        <w:adjustRightInd w:val="0"/>
        <w:spacing w:line="360" w:lineRule="auto"/>
        <w:contextualSpacing/>
        <w:jc w:val="both"/>
        <w:rPr>
          <w:rFonts w:ascii="Palatino Linotype" w:eastAsia="Calibri" w:hAnsi="Palatino Linotype" w:cs="Tahoma"/>
          <w:color w:val="000000"/>
          <w:sz w:val="22"/>
          <w:szCs w:val="24"/>
          <w:lang w:eastAsia="es-MX"/>
        </w:rPr>
      </w:pPr>
      <w:r w:rsidRPr="008F022D">
        <w:rPr>
          <w:rFonts w:ascii="Palatino Linotype" w:eastAsia="Calibri" w:hAnsi="Palatino Linotype" w:cs="Tahoma"/>
          <w:color w:val="000000"/>
          <w:sz w:val="22"/>
          <w:szCs w:val="24"/>
          <w:lang w:eastAsia="es-MX"/>
        </w:rPr>
        <w:t xml:space="preserve">Conforme a lo anterior, se colige que el Ente Recurrido, gestionó la solicitud de información, al área con atribuciones para conocer de lo peticionado, a saber, la </w:t>
      </w:r>
      <w:r w:rsidR="00D60429" w:rsidRPr="008F022D">
        <w:rPr>
          <w:rFonts w:ascii="Palatino Linotype" w:eastAsia="Batang" w:hAnsi="Palatino Linotype" w:cs="Tahoma"/>
          <w:bCs/>
          <w:sz w:val="22"/>
          <w:szCs w:val="22"/>
        </w:rPr>
        <w:t>Dirección de Administración</w:t>
      </w:r>
      <w:r w:rsidRPr="008F022D">
        <w:rPr>
          <w:rFonts w:ascii="Palatino Linotype" w:eastAsia="Batang" w:hAnsi="Palatino Linotype" w:cs="Tahoma"/>
          <w:bCs/>
          <w:sz w:val="22"/>
          <w:szCs w:val="22"/>
        </w:rPr>
        <w:t xml:space="preserve">, </w:t>
      </w:r>
      <w:r w:rsidRPr="008F022D">
        <w:rPr>
          <w:rFonts w:ascii="Palatino Linotype" w:eastAsia="Calibri" w:hAnsi="Palatino Linotype" w:cs="Tahoma"/>
          <w:color w:val="000000"/>
          <w:sz w:val="22"/>
          <w:szCs w:val="24"/>
          <w:lang w:eastAsia="es-MX"/>
        </w:rPr>
        <w:t xml:space="preserve">que es la encarga de ver todas las cuestiones relacionadas </w:t>
      </w:r>
      <w:r w:rsidR="00D60429" w:rsidRPr="008F022D">
        <w:rPr>
          <w:rFonts w:ascii="Palatino Linotype" w:eastAsia="Calibri" w:hAnsi="Palatino Linotype" w:cs="Tahoma"/>
          <w:color w:val="000000"/>
          <w:sz w:val="22"/>
          <w:szCs w:val="24"/>
          <w:lang w:eastAsia="es-MX"/>
        </w:rPr>
        <w:t>con el alta y baja de personal y pago de nómina</w:t>
      </w:r>
      <w:r w:rsidRPr="008F022D">
        <w:rPr>
          <w:rFonts w:ascii="Palatino Linotype" w:eastAsia="Calibri" w:hAnsi="Palatino Linotype" w:cs="Tahoma"/>
          <w:color w:val="000000"/>
          <w:sz w:val="22"/>
          <w:szCs w:val="24"/>
          <w:lang w:eastAsia="es-MX"/>
        </w:rPr>
        <w:t>, por lo que, se advierte que cumplió con el procedimiento de búsqueda establecido en el artículo 162 de la Ley de Transparencia y Acceso a la Información Pública del Estado de México y Municipios.</w:t>
      </w:r>
    </w:p>
    <w:p w14:paraId="32B65268" w14:textId="77777777" w:rsidR="001D04C0" w:rsidRPr="008F022D" w:rsidRDefault="001D04C0"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16E92248" w14:textId="1FBD5826" w:rsidR="003D48F4" w:rsidRPr="008F022D" w:rsidRDefault="003D48F4" w:rsidP="003D48F4">
      <w:pPr>
        <w:widowControl w:val="0"/>
        <w:tabs>
          <w:tab w:val="center" w:pos="4522"/>
        </w:tabs>
        <w:spacing w:line="360" w:lineRule="auto"/>
        <w:contextualSpacing/>
        <w:jc w:val="both"/>
        <w:rPr>
          <w:rFonts w:ascii="Palatino Linotype" w:eastAsiaTheme="minorHAnsi" w:hAnsi="Palatino Linotype" w:cs="Tahoma"/>
          <w:bCs/>
          <w:color w:val="000000" w:themeColor="text1"/>
          <w:sz w:val="22"/>
          <w:szCs w:val="22"/>
          <w:lang w:val="es-ES" w:eastAsia="en-US"/>
        </w:rPr>
      </w:pPr>
      <w:r w:rsidRPr="008F022D">
        <w:rPr>
          <w:rFonts w:ascii="Palatino Linotype" w:eastAsiaTheme="minorHAnsi" w:hAnsi="Palatino Linotype" w:cs="Tahoma"/>
          <w:bCs/>
          <w:iCs/>
          <w:color w:val="000000" w:themeColor="text1"/>
          <w:sz w:val="22"/>
          <w:szCs w:val="22"/>
          <w:lang w:val="es-ES" w:eastAsia="en-US"/>
        </w:rPr>
        <w:t xml:space="preserve">Ahora bien, dicha área, precisó que la información se localizaba </w:t>
      </w:r>
      <w:r w:rsidRPr="008F022D">
        <w:rPr>
          <w:rFonts w:ascii="Palatino Linotype" w:hAnsi="Palatino Linotype" w:cs="Tahoma"/>
          <w:iCs/>
          <w:color w:val="0563C1" w:themeColor="hyperlink"/>
          <w:sz w:val="22"/>
          <w:szCs w:val="22"/>
          <w:u w:val="single"/>
        </w:rPr>
        <w:t>https://www.ipomex.org.mx/ipo3/lgt/indice/ZINACANTEPEC/art_92_viii.web</w:t>
      </w:r>
      <w:r w:rsidRPr="008F022D">
        <w:rPr>
          <w:rFonts w:ascii="Palatino Linotype" w:eastAsiaTheme="minorHAnsi" w:hAnsi="Palatino Linotype" w:cs="Tahoma"/>
          <w:bCs/>
          <w:color w:val="000000" w:themeColor="text1"/>
          <w:sz w:val="22"/>
          <w:szCs w:val="22"/>
          <w:lang w:val="es-ES" w:eastAsia="en-US"/>
        </w:rPr>
        <w:t xml:space="preserve">; sobre el </w:t>
      </w:r>
      <w:r w:rsidRPr="008F022D">
        <w:rPr>
          <w:rFonts w:ascii="Palatino Linotype" w:eastAsiaTheme="minorHAnsi" w:hAnsi="Palatino Linotype" w:cs="Tahoma"/>
          <w:bCs/>
          <w:color w:val="000000" w:themeColor="text1"/>
          <w:sz w:val="22"/>
          <w:szCs w:val="22"/>
          <w:lang w:val="es-ES" w:eastAsia="en-US"/>
        </w:rPr>
        <w:lastRenderedPageBreak/>
        <w:t xml:space="preserve">tema, este Instituto revisó dicha liga electrónica, la cual remite a la apartado de remuneraciones del Sujeto Obligado, en cuyo ejercicio fiscal dos mil veintidós, tiene mil seiscientos </w:t>
      </w:r>
      <w:r w:rsidR="005D65AF" w:rsidRPr="008F022D">
        <w:rPr>
          <w:rFonts w:ascii="Palatino Linotype" w:eastAsiaTheme="minorHAnsi" w:hAnsi="Palatino Linotype" w:cs="Tahoma"/>
          <w:bCs/>
          <w:color w:val="000000" w:themeColor="text1"/>
          <w:sz w:val="22"/>
          <w:szCs w:val="22"/>
          <w:lang w:val="es-ES" w:eastAsia="en-US"/>
        </w:rPr>
        <w:t>seis registros, tal como se muestra a continuación:</w:t>
      </w:r>
    </w:p>
    <w:p w14:paraId="3DEB64A0" w14:textId="77777777" w:rsidR="005D65AF" w:rsidRPr="008F022D" w:rsidRDefault="005D65AF" w:rsidP="003D48F4">
      <w:pPr>
        <w:widowControl w:val="0"/>
        <w:tabs>
          <w:tab w:val="center" w:pos="4522"/>
        </w:tabs>
        <w:spacing w:line="360" w:lineRule="auto"/>
        <w:contextualSpacing/>
        <w:jc w:val="both"/>
        <w:rPr>
          <w:rFonts w:ascii="Palatino Linotype" w:eastAsiaTheme="minorHAnsi" w:hAnsi="Palatino Linotype" w:cs="Tahoma"/>
          <w:bCs/>
          <w:color w:val="000000" w:themeColor="text1"/>
          <w:sz w:val="22"/>
          <w:szCs w:val="22"/>
          <w:lang w:val="es-ES" w:eastAsia="en-US"/>
        </w:rPr>
      </w:pPr>
    </w:p>
    <w:p w14:paraId="0A801828" w14:textId="6CA9FED8" w:rsidR="005D65AF" w:rsidRPr="008F022D" w:rsidRDefault="005D65AF" w:rsidP="005D65AF">
      <w:pPr>
        <w:widowControl w:val="0"/>
        <w:tabs>
          <w:tab w:val="center" w:pos="4522"/>
        </w:tabs>
        <w:spacing w:line="360" w:lineRule="auto"/>
        <w:contextualSpacing/>
        <w:jc w:val="center"/>
        <w:rPr>
          <w:rFonts w:ascii="Palatino Linotype" w:eastAsiaTheme="minorHAnsi" w:hAnsi="Palatino Linotype" w:cs="Tahoma"/>
          <w:bCs/>
          <w:color w:val="000000" w:themeColor="text1"/>
          <w:sz w:val="22"/>
          <w:szCs w:val="22"/>
          <w:lang w:val="es-ES" w:eastAsia="en-US"/>
        </w:rPr>
      </w:pPr>
      <w:r w:rsidRPr="008F022D">
        <w:rPr>
          <w:rFonts w:ascii="Palatino Linotype" w:eastAsiaTheme="minorHAnsi" w:hAnsi="Palatino Linotype" w:cs="Tahoma"/>
          <w:bCs/>
          <w:noProof/>
          <w:color w:val="000000" w:themeColor="text1"/>
          <w:sz w:val="22"/>
          <w:szCs w:val="22"/>
          <w:lang w:eastAsia="es-MX"/>
        </w:rPr>
        <w:drawing>
          <wp:inline distT="0" distB="0" distL="0" distR="0" wp14:anchorId="50A2A293" wp14:editId="0A43AFDB">
            <wp:extent cx="3134162" cy="1162212"/>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4162" cy="1162212"/>
                    </a:xfrm>
                    <a:prstGeom prst="rect">
                      <a:avLst/>
                    </a:prstGeom>
                  </pic:spPr>
                </pic:pic>
              </a:graphicData>
            </a:graphic>
          </wp:inline>
        </w:drawing>
      </w:r>
    </w:p>
    <w:p w14:paraId="6A949A2C" w14:textId="77777777" w:rsidR="003D48F4" w:rsidRPr="008F022D" w:rsidRDefault="003D48F4" w:rsidP="003D48F4">
      <w:pPr>
        <w:widowControl w:val="0"/>
        <w:tabs>
          <w:tab w:val="center" w:pos="4522"/>
        </w:tabs>
        <w:spacing w:line="360" w:lineRule="auto"/>
        <w:contextualSpacing/>
        <w:jc w:val="both"/>
        <w:rPr>
          <w:rFonts w:ascii="Palatino Linotype" w:eastAsiaTheme="minorHAnsi" w:hAnsi="Palatino Linotype" w:cs="Tahoma"/>
          <w:bCs/>
          <w:color w:val="000000" w:themeColor="text1"/>
          <w:sz w:val="22"/>
          <w:szCs w:val="22"/>
          <w:lang w:val="es-ES" w:eastAsia="en-US"/>
        </w:rPr>
      </w:pPr>
    </w:p>
    <w:p w14:paraId="1D2DAFC2" w14:textId="0FB8A0C0" w:rsidR="005D65AF" w:rsidRPr="008F022D" w:rsidRDefault="005D65AF" w:rsidP="005D65AF">
      <w:pPr>
        <w:widowControl w:val="0"/>
        <w:tabs>
          <w:tab w:val="center" w:pos="4522"/>
        </w:tabs>
        <w:spacing w:line="360" w:lineRule="auto"/>
        <w:contextualSpacing/>
        <w:jc w:val="both"/>
        <w:rPr>
          <w:rFonts w:ascii="Palatino Linotype" w:eastAsia="Calibri" w:hAnsi="Palatino Linotype" w:cs="Tahoma"/>
          <w:bCs/>
          <w:sz w:val="22"/>
          <w:szCs w:val="22"/>
          <w:lang w:val="es-ES" w:eastAsia="en-US"/>
        </w:rPr>
      </w:pPr>
      <w:r w:rsidRPr="008F022D">
        <w:rPr>
          <w:rFonts w:ascii="Palatino Linotype" w:eastAsiaTheme="minorHAnsi" w:hAnsi="Palatino Linotype" w:cs="Tahoma"/>
          <w:bCs/>
          <w:color w:val="000000" w:themeColor="text1"/>
          <w:sz w:val="22"/>
          <w:szCs w:val="22"/>
          <w:lang w:val="es-ES" w:eastAsia="en-US"/>
        </w:rPr>
        <w:t>Sin embargo, de la revisión de los registros, no se logra vislumbrar la información solicitada, pues, por una parte, no se logra conocer que servidores públicos fueron dados de alta, y por otra parte, si bien contiene las remuneraciones de los trabajadores, en el presente caso se solicitaron documentos específicos, a saber, los recibos de nómina</w:t>
      </w:r>
      <w:r w:rsidRPr="008F022D">
        <w:rPr>
          <w:rFonts w:ascii="Palatino Linotype" w:hAnsi="Palatino Linotype" w:cs="Tahoma"/>
          <w:bCs/>
          <w:iCs/>
          <w:sz w:val="22"/>
          <w:szCs w:val="22"/>
          <w:lang w:val="es-ES"/>
        </w:rPr>
        <w:t>; s</w:t>
      </w:r>
      <w:r w:rsidRPr="008F022D">
        <w:rPr>
          <w:rFonts w:ascii="Palatino Linotype" w:eastAsia="Calibri" w:hAnsi="Palatino Linotype" w:cs="Tahoma"/>
          <w:color w:val="000000" w:themeColor="text1"/>
          <w:sz w:val="22"/>
          <w:szCs w:val="22"/>
          <w:lang w:val="es-ES" w:eastAsia="en-US"/>
        </w:rPr>
        <w:t xml:space="preserve">obre el tema </w:t>
      </w:r>
      <w:r w:rsidRPr="008F022D">
        <w:rPr>
          <w:rFonts w:ascii="Palatino Linotype" w:eastAsia="Calibri" w:hAnsi="Palatino Linotype"/>
          <w:color w:val="000000" w:themeColor="text1"/>
          <w:sz w:val="22"/>
          <w:szCs w:val="22"/>
          <w:lang w:eastAsia="en-US"/>
        </w:rPr>
        <w:t xml:space="preserve">el </w:t>
      </w:r>
      <w:r w:rsidRPr="008F022D">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8F022D">
        <w:rPr>
          <w:rFonts w:ascii="Palatino Linotype" w:hAnsi="Palatino Linotype"/>
          <w:sz w:val="22"/>
          <w:szCs w:val="22"/>
          <w:lang w:val="es-ES"/>
        </w:rPr>
        <w:t>imismo,</w:t>
      </w:r>
      <w:r w:rsidRPr="008F022D">
        <w:rPr>
          <w:rFonts w:ascii="Palatino Linotype" w:hAnsi="Palatino Linotype" w:cs="Tahoma"/>
          <w:sz w:val="22"/>
          <w:lang w:eastAsia="es-MX"/>
        </w:rPr>
        <w:t xml:space="preserve"> resulta necesario traer</w:t>
      </w:r>
      <w:r w:rsidRPr="008F022D">
        <w:rPr>
          <w:rFonts w:ascii="Palatino Linotype" w:eastAsia="Calibri" w:hAnsi="Palatino Linotype" w:cs="Tahoma"/>
          <w:bCs/>
          <w:sz w:val="22"/>
          <w:szCs w:val="22"/>
          <w:lang w:val="es-ES" w:eastAsia="en-US"/>
        </w:rPr>
        <w:t xml:space="preserve"> por analogía, el Criterio de Interpretación</w:t>
      </w:r>
      <w:r w:rsidRPr="008F022D">
        <w:rPr>
          <w:rFonts w:ascii="Palatino Linotype" w:eastAsia="Calibri" w:hAnsi="Palatino Linotype" w:cs="Tahoma"/>
          <w:bCs/>
          <w:sz w:val="22"/>
          <w:szCs w:val="22"/>
          <w:lang w:val="x-none" w:eastAsia="en-US"/>
        </w:rPr>
        <w:t xml:space="preserve">, con clave de control </w:t>
      </w:r>
      <w:r w:rsidRPr="008F022D">
        <w:rPr>
          <w:rFonts w:ascii="Palatino Linotype" w:eastAsia="Calibri" w:hAnsi="Palatino Linotype" w:cs="Tahoma"/>
          <w:bCs/>
          <w:sz w:val="22"/>
          <w:szCs w:val="22"/>
          <w:lang w:val="es-ES" w:eastAsia="en-US"/>
        </w:rPr>
        <w:t>SO/002/2017, de la Segunda Época, emitido por el Instituto Nacional de Transparencia, Acceso a la Información y Protección de Datos Personales, que señala lo siguiente:</w:t>
      </w:r>
    </w:p>
    <w:p w14:paraId="7CBC7A38" w14:textId="77777777" w:rsidR="005D65AF" w:rsidRPr="008F022D" w:rsidRDefault="005D65AF" w:rsidP="005D65AF">
      <w:pPr>
        <w:spacing w:line="360" w:lineRule="auto"/>
        <w:jc w:val="both"/>
        <w:rPr>
          <w:rFonts w:ascii="Palatino Linotype" w:eastAsia="Calibri" w:hAnsi="Palatino Linotype" w:cs="Tahoma"/>
          <w:bCs/>
          <w:sz w:val="22"/>
          <w:szCs w:val="22"/>
          <w:lang w:val="es-ES" w:eastAsia="en-US"/>
        </w:rPr>
      </w:pPr>
    </w:p>
    <w:p w14:paraId="65A9A0E4" w14:textId="77777777" w:rsidR="005D65AF" w:rsidRPr="008F022D" w:rsidRDefault="005D65AF" w:rsidP="005D65AF">
      <w:pPr>
        <w:spacing w:line="360" w:lineRule="auto"/>
        <w:ind w:left="567" w:right="567"/>
        <w:jc w:val="both"/>
        <w:rPr>
          <w:rFonts w:ascii="Palatino Linotype" w:eastAsia="Calibri" w:hAnsi="Palatino Linotype" w:cs="Tahoma"/>
          <w:i/>
          <w:lang w:eastAsia="en-US"/>
        </w:rPr>
      </w:pPr>
      <w:r w:rsidRPr="008F022D">
        <w:rPr>
          <w:rFonts w:ascii="Palatino Linotype" w:eastAsia="Calibri" w:hAnsi="Palatino Linotype" w:cs="Tahoma"/>
          <w:b/>
          <w:bCs/>
          <w:i/>
          <w:lang w:eastAsia="en-US"/>
        </w:rPr>
        <w:t xml:space="preserve">“Congruencia y exhaustividad. Sus alcances para garantizar el derecho de acceso a la información. </w:t>
      </w:r>
      <w:r w:rsidRPr="008F022D">
        <w:rPr>
          <w:rFonts w:ascii="Palatino Linotype" w:eastAsia="Calibri" w:hAnsi="Palatino Linotype" w:cs="Tahoma"/>
          <w:bCs/>
          <w:i/>
          <w:lang w:eastAsia="en-US"/>
        </w:rPr>
        <w:t xml:space="preserve">De conformidad con el artículo </w:t>
      </w:r>
      <w:r w:rsidRPr="008F022D">
        <w:rPr>
          <w:rFonts w:ascii="Palatino Linotype" w:eastAsia="Calibri" w:hAnsi="Palatino Linotype" w:cs="Tahoma"/>
          <w:bCs/>
          <w:i/>
          <w:lang w:val="es-ES_tradnl" w:eastAsia="en-US"/>
        </w:rPr>
        <w:t>3 de la Ley Federal de Procedimiento Administrativo</w:t>
      </w:r>
      <w:r w:rsidRPr="008F022D">
        <w:rPr>
          <w:rFonts w:ascii="Palatino Linotype" w:eastAsia="Calibri" w:hAnsi="Palatino Linotype"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8F022D">
        <w:rPr>
          <w:rFonts w:ascii="Palatino Linotype" w:eastAsia="Calibri" w:hAnsi="Palatino Linotype" w:cs="Tahoma"/>
          <w:bCs/>
          <w:i/>
          <w:u w:val="single"/>
          <w:lang w:eastAsia="en-US"/>
        </w:rPr>
        <w:t>a congruencia implica que exista concordancia entre el requerimiento formulado por el particular y la respuesta proporcionada por el sujeto obligado</w:t>
      </w:r>
      <w:r w:rsidRPr="008F022D">
        <w:rPr>
          <w:rFonts w:ascii="Palatino Linotype" w:eastAsia="Calibri" w:hAnsi="Palatino Linotype" w:cs="Tahoma"/>
          <w:bCs/>
          <w:i/>
          <w:lang w:eastAsia="en-US"/>
        </w:rPr>
        <w:t xml:space="preserve">; mientras que </w:t>
      </w:r>
      <w:r w:rsidRPr="008F022D">
        <w:rPr>
          <w:rFonts w:ascii="Palatino Linotype" w:eastAsia="Calibri" w:hAnsi="Palatino Linotype" w:cs="Tahoma"/>
          <w:i/>
          <w:lang w:eastAsia="en-US"/>
        </w:rPr>
        <w:t xml:space="preserve">la exhaustividad significa que dicha respuesta se refiera expresamente a cada uno de los puntos solicitados. Por lo anterior, los sujetos obligados cumplirán con los principios de congruencia y exhaustividad, cuando las respuestas que emitan </w:t>
      </w:r>
      <w:r w:rsidRPr="008F022D">
        <w:rPr>
          <w:rFonts w:ascii="Palatino Linotype" w:eastAsia="Calibri" w:hAnsi="Palatino Linotype" w:cs="Tahoma"/>
          <w:i/>
          <w:lang w:eastAsia="en-US"/>
        </w:rPr>
        <w:lastRenderedPageBreak/>
        <w:t>guarden una relación lógica con lo solicitado y atiendan de manera puntual y expresa, cada uno de los contenidos de información.”</w:t>
      </w:r>
    </w:p>
    <w:p w14:paraId="378E300F" w14:textId="77777777" w:rsidR="005D65AF" w:rsidRPr="008F022D" w:rsidRDefault="005D65AF" w:rsidP="005D65AF">
      <w:pPr>
        <w:spacing w:line="360" w:lineRule="auto"/>
        <w:jc w:val="both"/>
        <w:rPr>
          <w:rFonts w:ascii="Palatino Linotype" w:eastAsia="Calibri" w:hAnsi="Palatino Linotype"/>
          <w:color w:val="000000" w:themeColor="text1"/>
          <w:sz w:val="22"/>
          <w:szCs w:val="22"/>
          <w:lang w:eastAsia="en-US"/>
        </w:rPr>
      </w:pPr>
    </w:p>
    <w:p w14:paraId="64D67222" w14:textId="77777777" w:rsidR="005D65AF" w:rsidRPr="008F022D" w:rsidRDefault="005D65AF" w:rsidP="005D65AF">
      <w:pPr>
        <w:spacing w:line="360" w:lineRule="auto"/>
        <w:jc w:val="both"/>
        <w:rPr>
          <w:rFonts w:ascii="Palatino Linotype" w:eastAsia="Calibri" w:hAnsi="Palatino Linotype"/>
          <w:color w:val="000000" w:themeColor="text1"/>
          <w:sz w:val="22"/>
          <w:szCs w:val="22"/>
          <w:lang w:val="es-ES" w:eastAsia="en-US"/>
        </w:rPr>
      </w:pPr>
      <w:r w:rsidRPr="008F022D">
        <w:rPr>
          <w:rFonts w:ascii="Palatino Linotype" w:eastAsia="Calibri" w:hAnsi="Palatino Linotype"/>
          <w:color w:val="000000" w:themeColor="text1"/>
          <w:sz w:val="22"/>
          <w:szCs w:val="22"/>
          <w:lang w:eastAsia="en-US"/>
        </w:rPr>
        <w:t xml:space="preserve">Del citado criterio, se desprende que </w:t>
      </w:r>
      <w:r w:rsidRPr="008F022D">
        <w:rPr>
          <w:rFonts w:ascii="Palatino Linotype" w:eastAsia="Calibri" w:hAnsi="Palatino Linotype"/>
          <w:bCs/>
          <w:color w:val="000000" w:themeColor="text1"/>
          <w:sz w:val="22"/>
          <w:szCs w:val="22"/>
          <w:lang w:eastAsia="en-US"/>
        </w:rPr>
        <w:t>todo acto administrativo debe apegarse al</w:t>
      </w:r>
      <w:r w:rsidRPr="008F022D">
        <w:rPr>
          <w:rFonts w:ascii="Palatino Linotype" w:eastAsia="Calibri" w:hAnsi="Palatino Linotype"/>
          <w:color w:val="000000" w:themeColor="text1"/>
          <w:sz w:val="22"/>
          <w:szCs w:val="22"/>
          <w:lang w:val="es-ES" w:eastAsia="en-US"/>
        </w:rPr>
        <w:t xml:space="preserve"> </w:t>
      </w:r>
      <w:r w:rsidRPr="008F022D">
        <w:rPr>
          <w:rFonts w:ascii="Palatino Linotype" w:eastAsia="Calibri" w:hAnsi="Palatino Linotype"/>
          <w:b/>
          <w:color w:val="000000" w:themeColor="text1"/>
          <w:sz w:val="22"/>
          <w:szCs w:val="22"/>
          <w:lang w:val="es-ES" w:eastAsia="en-US"/>
        </w:rPr>
        <w:t xml:space="preserve">Principio de Congruencia, </w:t>
      </w:r>
      <w:r w:rsidRPr="008F022D">
        <w:rPr>
          <w:rFonts w:ascii="Palatino Linotype" w:eastAsia="Calibri" w:hAnsi="Palatino Linotype"/>
          <w:color w:val="000000" w:themeColor="text1"/>
          <w:sz w:val="22"/>
          <w:szCs w:val="22"/>
          <w:lang w:val="es-ES" w:eastAsia="en-US"/>
        </w:rPr>
        <w:t>el cual</w:t>
      </w:r>
      <w:r w:rsidRPr="008F022D">
        <w:rPr>
          <w:rFonts w:ascii="Palatino Linotype" w:eastAsia="Calibri" w:hAnsi="Palatino Linotype"/>
          <w:b/>
          <w:color w:val="000000" w:themeColor="text1"/>
          <w:sz w:val="22"/>
          <w:szCs w:val="22"/>
          <w:lang w:val="es-ES" w:eastAsia="en-US"/>
        </w:rPr>
        <w:t xml:space="preserve"> </w:t>
      </w:r>
      <w:r w:rsidRPr="008F022D">
        <w:rPr>
          <w:rFonts w:ascii="Palatino Linotype" w:eastAsia="Calibri" w:hAnsi="Palatino Linotype"/>
          <w:color w:val="000000" w:themeColor="text1"/>
          <w:sz w:val="22"/>
          <w:szCs w:val="22"/>
          <w:lang w:val="es-ES" w:eastAsia="en-US"/>
        </w:rPr>
        <w:t>implica que exista concordancia entre el requerimiento formulado y la respuesta entregada.</w:t>
      </w:r>
    </w:p>
    <w:p w14:paraId="11E57585" w14:textId="77777777" w:rsidR="005D65AF" w:rsidRPr="008F022D" w:rsidRDefault="005D65AF" w:rsidP="005D65AF">
      <w:pPr>
        <w:spacing w:line="360" w:lineRule="auto"/>
        <w:jc w:val="both"/>
        <w:rPr>
          <w:rFonts w:ascii="Palatino Linotype" w:eastAsia="Calibri" w:hAnsi="Palatino Linotype"/>
          <w:bCs/>
          <w:color w:val="000000" w:themeColor="text1"/>
          <w:sz w:val="22"/>
          <w:szCs w:val="22"/>
          <w:lang w:val="es-ES_tradnl" w:eastAsia="en-US"/>
        </w:rPr>
      </w:pPr>
    </w:p>
    <w:p w14:paraId="577A84B6" w14:textId="292DB22D" w:rsidR="005D65AF" w:rsidRPr="008F022D" w:rsidRDefault="005D65AF" w:rsidP="005D65AF">
      <w:pPr>
        <w:widowControl w:val="0"/>
        <w:spacing w:line="360" w:lineRule="auto"/>
        <w:jc w:val="both"/>
        <w:rPr>
          <w:rFonts w:ascii="Palatino Linotype" w:hAnsi="Palatino Linotype" w:cs="Tahoma"/>
          <w:b/>
          <w:color w:val="000000"/>
          <w:sz w:val="22"/>
          <w:szCs w:val="22"/>
          <w:lang w:eastAsia="es-MX"/>
        </w:rPr>
      </w:pPr>
      <w:r w:rsidRPr="008F022D">
        <w:rPr>
          <w:rFonts w:ascii="Palatino Linotype" w:hAnsi="Palatino Linotype" w:cs="Tahoma"/>
          <w:iCs/>
          <w:sz w:val="22"/>
          <w:szCs w:val="22"/>
          <w:lang w:val="es-ES"/>
        </w:rPr>
        <w:t xml:space="preserve">Conforme a lo expuesto, se considera que la respuesta proporcionada incumplió con el Principio de Congruencia, pues como se refirió no guarda relación con lo peticionado, lo cual da como resultado que el agravio sea </w:t>
      </w:r>
      <w:r w:rsidRPr="008F022D">
        <w:rPr>
          <w:rFonts w:ascii="Palatino Linotype" w:hAnsi="Palatino Linotype" w:cs="Tahoma"/>
          <w:b/>
          <w:bCs/>
          <w:iCs/>
          <w:sz w:val="22"/>
          <w:szCs w:val="22"/>
          <w:lang w:val="es-ES"/>
        </w:rPr>
        <w:t xml:space="preserve">FUNDADO; </w:t>
      </w:r>
      <w:r w:rsidRPr="008F022D">
        <w:rPr>
          <w:rFonts w:ascii="Palatino Linotype" w:hAnsi="Palatino Linotype"/>
          <w:bCs/>
          <w:iCs/>
          <w:sz w:val="22"/>
          <w:lang w:val="es-ES"/>
        </w:rPr>
        <w:t>por lo que, para atender el requerimiento de información, el Sujeto Obligado deberá realizar una búsqueda exhaustiva y razonable en todas la áreas competentes, entre las cuales no podrá omitir a la Dirección de Administración, en términos del artículo 162 de la Ley de Transparencia y Acceso a la Información Pública del Estado de México y Municipios, a efecto de que proporcione el nombre y los recibos de nómina de aquellos servidores públicos que fueron dados de alta, del primero de julio al treinta y uno de diciembre de dos mil veintidós.</w:t>
      </w:r>
    </w:p>
    <w:p w14:paraId="12421D2D" w14:textId="77777777" w:rsidR="005D65AF" w:rsidRPr="008F022D" w:rsidRDefault="005D65AF" w:rsidP="005D65AF">
      <w:pPr>
        <w:spacing w:line="360" w:lineRule="auto"/>
        <w:ind w:right="-28"/>
        <w:jc w:val="both"/>
        <w:rPr>
          <w:rFonts w:ascii="Palatino Linotype" w:hAnsi="Palatino Linotype" w:cs="Tahoma"/>
          <w:iCs/>
          <w:szCs w:val="22"/>
        </w:rPr>
      </w:pPr>
    </w:p>
    <w:p w14:paraId="0D65FFC6" w14:textId="77777777" w:rsidR="005D65AF" w:rsidRPr="008F022D" w:rsidRDefault="005D65AF" w:rsidP="005D65AF">
      <w:pPr>
        <w:tabs>
          <w:tab w:val="left" w:pos="4962"/>
        </w:tabs>
        <w:spacing w:line="360" w:lineRule="auto"/>
        <w:contextualSpacing/>
        <w:jc w:val="both"/>
        <w:rPr>
          <w:rFonts w:ascii="Palatino Linotype" w:hAnsi="Palatino Linotype" w:cs="Tahoma"/>
          <w:sz w:val="22"/>
          <w:szCs w:val="22"/>
        </w:rPr>
      </w:pPr>
      <w:r w:rsidRPr="008F022D">
        <w:rPr>
          <w:rFonts w:ascii="Palatino Linotype" w:eastAsia="Calibri" w:hAnsi="Palatino Linotype" w:cs="Tahoma"/>
          <w:bCs/>
          <w:sz w:val="22"/>
          <w:szCs w:val="22"/>
          <w:lang w:eastAsia="en-US"/>
        </w:rPr>
        <w:t>Dicha</w:t>
      </w:r>
      <w:r w:rsidRPr="008F022D">
        <w:rPr>
          <w:rFonts w:ascii="Palatino Linotype" w:hAnsi="Palatino Linotype" w:cs="Tahoma"/>
          <w:bCs/>
          <w:iCs/>
          <w:sz w:val="22"/>
          <w:szCs w:val="24"/>
          <w:lang w:val="es-ES"/>
        </w:rPr>
        <w:t xml:space="preserve"> determinación toma relevancia, pues </w:t>
      </w:r>
      <w:r w:rsidRPr="008F022D">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D11F9CB" w14:textId="77777777" w:rsidR="005D65AF" w:rsidRPr="008F022D" w:rsidRDefault="005D65AF" w:rsidP="005D65AF">
      <w:pPr>
        <w:tabs>
          <w:tab w:val="left" w:pos="4962"/>
        </w:tabs>
        <w:spacing w:line="360" w:lineRule="auto"/>
        <w:jc w:val="both"/>
        <w:rPr>
          <w:rFonts w:ascii="Palatino Linotype" w:hAnsi="Palatino Linotype" w:cs="Tahoma"/>
          <w:sz w:val="22"/>
          <w:szCs w:val="22"/>
        </w:rPr>
      </w:pPr>
    </w:p>
    <w:p w14:paraId="55A89053" w14:textId="77777777" w:rsidR="005D65AF" w:rsidRPr="008F022D" w:rsidRDefault="005D65AF" w:rsidP="005D65AF">
      <w:pPr>
        <w:spacing w:line="360" w:lineRule="auto"/>
        <w:jc w:val="both"/>
        <w:rPr>
          <w:rFonts w:ascii="Palatino Linotype" w:hAnsi="Palatino Linotype" w:cs="Tahoma"/>
          <w:sz w:val="22"/>
          <w:szCs w:val="22"/>
        </w:rPr>
      </w:pPr>
      <w:r w:rsidRPr="008F022D">
        <w:rPr>
          <w:rFonts w:ascii="Palatino Linotype" w:hAnsi="Palatino Linotype" w:cs="Tahoma"/>
          <w:sz w:val="22"/>
          <w:szCs w:val="22"/>
        </w:rPr>
        <w:t xml:space="preserve">De esta manera, </w:t>
      </w:r>
      <w:r w:rsidRPr="008F022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8F022D">
        <w:rPr>
          <w:rFonts w:ascii="Palatino Linotype" w:hAnsi="Palatino Linotype" w:cs="Tahoma"/>
          <w:i/>
          <w:sz w:val="22"/>
          <w:szCs w:val="22"/>
        </w:rPr>
        <w:t>ad hoc</w:t>
      </w:r>
      <w:r w:rsidRPr="008F022D">
        <w:rPr>
          <w:rFonts w:ascii="Palatino Linotype" w:hAnsi="Palatino Linotype" w:cs="Tahoma"/>
          <w:sz w:val="22"/>
          <w:szCs w:val="22"/>
        </w:rPr>
        <w:t xml:space="preserve">, situación que toma sustento, toma sustento en el artículo 160 de la Ley de Transparencia y Acceso a la Información Pública del Estado de México y </w:t>
      </w:r>
      <w:r w:rsidRPr="008F022D">
        <w:rPr>
          <w:rFonts w:ascii="Palatino Linotype" w:hAnsi="Palatino Linotype" w:cs="Tahoma"/>
          <w:sz w:val="22"/>
          <w:szCs w:val="22"/>
        </w:rPr>
        <w:lastRenderedPageBreak/>
        <w:t>Municipios, el cual refiere que los sujetos obligados únicamente deberán entregar la información que obre en sus archivos.</w:t>
      </w:r>
    </w:p>
    <w:p w14:paraId="3EB5A71B" w14:textId="77777777" w:rsidR="005D65AF" w:rsidRPr="008F022D" w:rsidRDefault="005D65AF" w:rsidP="005D65AF">
      <w:pPr>
        <w:spacing w:line="360" w:lineRule="auto"/>
        <w:ind w:right="-28"/>
        <w:jc w:val="both"/>
        <w:rPr>
          <w:rFonts w:ascii="Palatino Linotype" w:hAnsi="Palatino Linotype" w:cs="Tahoma"/>
          <w:iCs/>
          <w:sz w:val="22"/>
          <w:szCs w:val="22"/>
        </w:rPr>
      </w:pPr>
    </w:p>
    <w:p w14:paraId="4EF7A6DD" w14:textId="4B44775F" w:rsidR="005D65AF" w:rsidRPr="008F022D" w:rsidRDefault="005D65AF" w:rsidP="005D65AF">
      <w:pPr>
        <w:spacing w:line="360" w:lineRule="auto"/>
        <w:jc w:val="both"/>
        <w:rPr>
          <w:rFonts w:ascii="Palatino Linotype" w:hAnsi="Palatino Linotype" w:cs="Tahoma"/>
          <w:sz w:val="22"/>
          <w:szCs w:val="24"/>
          <w:lang w:val="es-ES"/>
        </w:rPr>
      </w:pPr>
      <w:r w:rsidRPr="008F022D">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bookmarkStart w:id="3" w:name="_Hlk128046448"/>
      <w:r w:rsidRPr="008F022D">
        <w:rPr>
          <w:rFonts w:ascii="Palatino Linotype" w:hAnsi="Palatino Linotype" w:cs="Tahoma"/>
          <w:sz w:val="22"/>
          <w:szCs w:val="24"/>
          <w:lang w:val="es-ES"/>
        </w:rPr>
        <w:t>los documentos donde conste el nombre de los servidores públicos dados de alta, en el segundo semestre del año dos mil veintidós, así como, los recibos de nómina desde el inició de labores a la segunda quincena de diciembre de dos mil veintidós.</w:t>
      </w:r>
    </w:p>
    <w:p w14:paraId="59192364" w14:textId="77777777" w:rsidR="00200912" w:rsidRPr="008F022D" w:rsidRDefault="00200912" w:rsidP="005D65AF">
      <w:pPr>
        <w:spacing w:line="360" w:lineRule="auto"/>
        <w:jc w:val="both"/>
        <w:rPr>
          <w:rFonts w:ascii="Palatino Linotype" w:hAnsi="Palatino Linotype" w:cs="Tahoma"/>
          <w:sz w:val="22"/>
          <w:szCs w:val="24"/>
          <w:lang w:val="es-ES"/>
        </w:rPr>
      </w:pPr>
    </w:p>
    <w:p w14:paraId="56CC10E5" w14:textId="53704567" w:rsidR="00200912" w:rsidRPr="008F022D" w:rsidRDefault="00200912" w:rsidP="005D65AF">
      <w:pPr>
        <w:spacing w:line="360" w:lineRule="auto"/>
        <w:jc w:val="both"/>
        <w:rPr>
          <w:rFonts w:ascii="Palatino Linotype" w:hAnsi="Palatino Linotype" w:cs="Tahoma"/>
          <w:sz w:val="22"/>
          <w:szCs w:val="24"/>
          <w:lang w:val="es-ES"/>
        </w:rPr>
      </w:pPr>
      <w:r w:rsidRPr="008F022D">
        <w:rPr>
          <w:rFonts w:ascii="Palatino Linotype" w:hAnsi="Palatino Linotype" w:cs="Tahoma"/>
          <w:sz w:val="22"/>
          <w:szCs w:val="24"/>
          <w:lang w:val="es-ES"/>
        </w:rPr>
        <w:t>Ahora bien, para el supuesto que no hubiera altas dentro del periodo solicitado, deberá hacerlo del conocimiento del Recurrente, en términos del artículo 19, párrafo segundo, de la Ley de Transparencia y Acceso a la Información Pública del Estado de México y Municipios.</w:t>
      </w:r>
    </w:p>
    <w:p w14:paraId="7E12859A" w14:textId="77777777" w:rsidR="005D65AF" w:rsidRPr="008F022D" w:rsidRDefault="005D65AF" w:rsidP="005D65AF">
      <w:pPr>
        <w:spacing w:line="360" w:lineRule="auto"/>
        <w:jc w:val="both"/>
        <w:rPr>
          <w:rFonts w:ascii="Palatino Linotype" w:hAnsi="Palatino Linotype" w:cs="Tahoma"/>
          <w:sz w:val="22"/>
          <w:szCs w:val="24"/>
          <w:lang w:val="es-ES"/>
        </w:rPr>
      </w:pPr>
    </w:p>
    <w:bookmarkEnd w:id="3"/>
    <w:p w14:paraId="2F02BB0D" w14:textId="44513522" w:rsidR="005D65AF" w:rsidRPr="008F022D" w:rsidRDefault="005D65AF" w:rsidP="005D65AF">
      <w:pPr>
        <w:spacing w:line="360" w:lineRule="auto"/>
        <w:ind w:right="-93"/>
        <w:jc w:val="both"/>
        <w:rPr>
          <w:rFonts w:ascii="Palatino Linotype" w:eastAsiaTheme="minorHAnsi" w:hAnsi="Palatino Linotype" w:cs="Tahoma"/>
          <w:bCs/>
          <w:color w:val="000000" w:themeColor="text1"/>
          <w:sz w:val="22"/>
          <w:szCs w:val="22"/>
          <w:lang w:eastAsia="en-US"/>
        </w:rPr>
      </w:pPr>
      <w:r w:rsidRPr="008F022D">
        <w:rPr>
          <w:rFonts w:ascii="Palatino Linotype" w:eastAsia="Calibri" w:hAnsi="Palatino Linotype" w:cs="Tahoma"/>
          <w:bCs/>
          <w:color w:val="000000" w:themeColor="text1"/>
          <w:sz w:val="22"/>
          <w:szCs w:val="22"/>
          <w:lang w:val="es-ES_tradnl" w:eastAsia="en-US"/>
        </w:rPr>
        <w:t xml:space="preserve">Ahora bien, no pasa desapercibido, que conforme </w:t>
      </w:r>
      <w:r w:rsidRPr="008F022D">
        <w:rPr>
          <w:rFonts w:ascii="Palatino Linotype" w:eastAsiaTheme="minorHAnsi" w:hAnsi="Palatino Linotype" w:cs="Tahoma"/>
          <w:bCs/>
          <w:color w:val="000000" w:themeColor="text1"/>
          <w:sz w:val="22"/>
          <w:szCs w:val="22"/>
          <w:lang w:val="es-ES_tradnl" w:eastAsia="en-US"/>
        </w:rPr>
        <w:t xml:space="preserve">a los artículos </w:t>
      </w:r>
      <w:r w:rsidR="00251796" w:rsidRPr="008F022D">
        <w:rPr>
          <w:rFonts w:ascii="Palatino Linotype" w:eastAsiaTheme="minorHAnsi" w:hAnsi="Palatino Linotype" w:cs="Tahoma"/>
          <w:bCs/>
          <w:color w:val="000000" w:themeColor="text1"/>
          <w:sz w:val="22"/>
          <w:szCs w:val="22"/>
          <w:lang w:val="es-ES_tradnl" w:eastAsia="en-US"/>
        </w:rPr>
        <w:t>22, fracción I, numeral 19, 70 y 71</w:t>
      </w:r>
      <w:r w:rsidRPr="008F022D">
        <w:rPr>
          <w:rFonts w:ascii="Palatino Linotype" w:eastAsiaTheme="minorHAnsi" w:hAnsi="Palatino Linotype" w:cs="Tahoma"/>
          <w:bCs/>
          <w:color w:val="000000" w:themeColor="text1"/>
          <w:sz w:val="22"/>
          <w:szCs w:val="22"/>
          <w:lang w:val="es-ES_tradnl" w:eastAsia="en-US"/>
        </w:rPr>
        <w:t xml:space="preserve">, </w:t>
      </w:r>
      <w:r w:rsidR="00251796" w:rsidRPr="008F022D">
        <w:rPr>
          <w:rFonts w:ascii="Palatino Linotype" w:eastAsiaTheme="minorHAnsi" w:hAnsi="Palatino Linotype" w:cs="Tahoma"/>
          <w:bCs/>
          <w:color w:val="000000" w:themeColor="text1"/>
          <w:sz w:val="22"/>
          <w:szCs w:val="22"/>
          <w:lang w:val="es-ES_tradnl" w:eastAsia="en-US"/>
        </w:rPr>
        <w:t>del Reglamento Orgánico Municipal de Zinacantepec</w:t>
      </w:r>
      <w:r w:rsidRPr="008F022D">
        <w:rPr>
          <w:rFonts w:ascii="Palatino Linotype" w:eastAsiaTheme="minorHAnsi" w:hAnsi="Palatino Linotype" w:cs="Tahoma"/>
          <w:bCs/>
          <w:color w:val="000000" w:themeColor="text1"/>
          <w:sz w:val="22"/>
          <w:szCs w:val="22"/>
          <w:lang w:val="es-ES_tradnl" w:eastAsia="en-US"/>
        </w:rPr>
        <w:t xml:space="preserve">, </w:t>
      </w:r>
      <w:r w:rsidRPr="008F022D">
        <w:rPr>
          <w:rFonts w:ascii="Palatino Linotype" w:eastAsia="Calibri" w:hAnsi="Palatino Linotype" w:cs="Tahoma"/>
          <w:bCs/>
          <w:color w:val="000000" w:themeColor="text1"/>
          <w:sz w:val="22"/>
          <w:szCs w:val="22"/>
          <w:lang w:val="es-ES_tradnl" w:eastAsia="en-US"/>
        </w:rPr>
        <w:t>el Sujeto Obligado cuenta</w:t>
      </w:r>
      <w:r w:rsidRPr="008F022D">
        <w:rPr>
          <w:rFonts w:ascii="Palatino Linotype" w:eastAsiaTheme="minorHAnsi" w:hAnsi="Palatino Linotype" w:cs="Tahoma"/>
          <w:bCs/>
          <w:color w:val="000000" w:themeColor="text1"/>
          <w:sz w:val="22"/>
          <w:szCs w:val="22"/>
          <w:lang w:val="es-ES_tradnl" w:eastAsia="en-US"/>
        </w:rPr>
        <w:t xml:space="preserve"> con una Dirección de Seguridad Pública</w:t>
      </w:r>
      <w:r w:rsidR="00251796" w:rsidRPr="008F022D">
        <w:rPr>
          <w:rFonts w:ascii="Palatino Linotype" w:eastAsiaTheme="minorHAnsi" w:hAnsi="Palatino Linotype" w:cs="Tahoma"/>
          <w:bCs/>
          <w:color w:val="000000" w:themeColor="text1"/>
          <w:sz w:val="22"/>
          <w:szCs w:val="22"/>
          <w:lang w:val="es-ES_tradnl" w:eastAsia="en-US"/>
        </w:rPr>
        <w:t xml:space="preserve"> y Tránsito</w:t>
      </w:r>
      <w:r w:rsidRPr="008F022D">
        <w:rPr>
          <w:rFonts w:ascii="Palatino Linotype" w:eastAsiaTheme="minorHAnsi" w:hAnsi="Palatino Linotype" w:cs="Tahoma"/>
          <w:bCs/>
          <w:color w:val="000000" w:themeColor="text1"/>
          <w:sz w:val="22"/>
          <w:szCs w:val="22"/>
          <w:lang w:val="es-ES_tradnl" w:eastAsia="en-US"/>
        </w:rPr>
        <w:t xml:space="preserve">, encargada </w:t>
      </w:r>
      <w:r w:rsidR="00251796" w:rsidRPr="008F022D">
        <w:rPr>
          <w:rFonts w:ascii="Palatino Linotype" w:eastAsiaTheme="minorHAnsi" w:hAnsi="Palatino Linotype" w:cs="Tahoma"/>
          <w:bCs/>
          <w:color w:val="000000" w:themeColor="text1"/>
          <w:sz w:val="22"/>
          <w:szCs w:val="22"/>
          <w:lang w:eastAsia="en-US"/>
        </w:rPr>
        <w:t>de brindar el servicio de seguridad pública y tránsito vial a los habitantes del Municipio, a efecto de proporcionar la paz, la tranquilidad y el orden público, así como respetar las garantías individuales de los gobernados y prevenir la comisión de infracciones y delitos.</w:t>
      </w:r>
    </w:p>
    <w:p w14:paraId="3F45DB01" w14:textId="77777777" w:rsidR="00251796" w:rsidRPr="008F022D" w:rsidRDefault="00251796" w:rsidP="005D65AF">
      <w:pPr>
        <w:spacing w:line="360" w:lineRule="auto"/>
        <w:ind w:right="-93"/>
        <w:jc w:val="both"/>
        <w:rPr>
          <w:rFonts w:ascii="Palatino Linotype" w:eastAsiaTheme="minorHAnsi" w:hAnsi="Palatino Linotype" w:cs="Tahoma"/>
          <w:bCs/>
          <w:color w:val="000000" w:themeColor="text1"/>
          <w:sz w:val="22"/>
          <w:szCs w:val="22"/>
          <w:lang w:val="es-ES_tradnl" w:eastAsia="en-US"/>
        </w:rPr>
      </w:pPr>
    </w:p>
    <w:p w14:paraId="16CEAAA1" w14:textId="77777777" w:rsidR="005D65AF" w:rsidRPr="008F022D" w:rsidRDefault="005D65AF" w:rsidP="005D65AF">
      <w:pPr>
        <w:spacing w:line="360" w:lineRule="auto"/>
        <w:jc w:val="both"/>
        <w:rPr>
          <w:rFonts w:ascii="Palatino Linotype" w:eastAsia="Calibri" w:hAnsi="Palatino Linotype"/>
          <w:sz w:val="22"/>
        </w:rPr>
      </w:pPr>
      <w:r w:rsidRPr="008F022D">
        <w:rPr>
          <w:rFonts w:ascii="Palatino Linotype" w:eastAsia="Calibri" w:hAnsi="Palatino Linotype"/>
          <w:sz w:val="22"/>
        </w:rPr>
        <w:t>Así resulta necesario analizar si el nombre de los policías municipales,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44E5A5A5" w14:textId="77777777" w:rsidR="005D65AF" w:rsidRPr="008F022D" w:rsidRDefault="005D65AF" w:rsidP="005D65AF">
      <w:pPr>
        <w:tabs>
          <w:tab w:val="left" w:pos="4962"/>
        </w:tabs>
        <w:spacing w:line="360" w:lineRule="auto"/>
        <w:ind w:left="567" w:right="567"/>
        <w:jc w:val="both"/>
        <w:rPr>
          <w:rFonts w:ascii="Palatino Linotype" w:eastAsia="Calibri" w:hAnsi="Palatino Linotype" w:cs="Tahoma"/>
          <w:i/>
          <w:iCs/>
          <w:lang w:val="es-ES" w:eastAsia="es-ES_tradnl"/>
        </w:rPr>
      </w:pPr>
      <w:r w:rsidRPr="008F022D">
        <w:rPr>
          <w:rFonts w:ascii="Palatino Linotype" w:eastAsia="Calibri" w:hAnsi="Palatino Linotype" w:cs="Tahoma"/>
          <w:i/>
          <w:iCs/>
          <w:lang w:val="es-ES" w:eastAsia="es-ES_tradnl"/>
        </w:rPr>
        <w:lastRenderedPageBreak/>
        <w:t>“</w:t>
      </w:r>
      <w:r w:rsidRPr="008F022D">
        <w:rPr>
          <w:rFonts w:ascii="Palatino Linotype" w:eastAsia="Calibri" w:hAnsi="Palatino Linotype" w:cs="Tahoma"/>
          <w:b/>
          <w:i/>
          <w:iCs/>
          <w:lang w:val="es-ES" w:eastAsia="es-ES_tradnl"/>
        </w:rPr>
        <w:t>Artículo 140.</w:t>
      </w:r>
      <w:r w:rsidRPr="008F022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39109797" w14:textId="77777777" w:rsidR="005D65AF" w:rsidRPr="008F022D" w:rsidRDefault="005D65AF" w:rsidP="005D65AF">
      <w:pPr>
        <w:tabs>
          <w:tab w:val="left" w:pos="4962"/>
        </w:tabs>
        <w:spacing w:line="360" w:lineRule="auto"/>
        <w:ind w:left="567" w:right="567"/>
        <w:jc w:val="both"/>
        <w:rPr>
          <w:rFonts w:ascii="Palatino Linotype" w:eastAsia="Calibri" w:hAnsi="Palatino Linotype" w:cs="Tahoma"/>
          <w:i/>
          <w:iCs/>
          <w:lang w:val="es-ES" w:eastAsia="es-ES_tradnl"/>
        </w:rPr>
      </w:pPr>
      <w:r w:rsidRPr="008F022D">
        <w:rPr>
          <w:rFonts w:ascii="Palatino Linotype" w:eastAsia="Calibri" w:hAnsi="Palatino Linotype" w:cs="Tahoma"/>
          <w:i/>
          <w:iCs/>
          <w:lang w:val="es-ES" w:eastAsia="es-ES_tradnl"/>
        </w:rPr>
        <w:t>…</w:t>
      </w:r>
    </w:p>
    <w:p w14:paraId="4C943DDE" w14:textId="77777777" w:rsidR="005D65AF" w:rsidRPr="008F022D" w:rsidRDefault="005D65AF" w:rsidP="005D65AF">
      <w:pPr>
        <w:tabs>
          <w:tab w:val="left" w:pos="4962"/>
        </w:tabs>
        <w:spacing w:line="360" w:lineRule="auto"/>
        <w:ind w:left="567" w:right="567"/>
        <w:jc w:val="both"/>
        <w:rPr>
          <w:rFonts w:ascii="Palatino Linotype" w:eastAsia="Calibri" w:hAnsi="Palatino Linotype" w:cs="Tahoma"/>
          <w:i/>
          <w:iCs/>
          <w:lang w:eastAsia="es-ES_tradnl"/>
        </w:rPr>
      </w:pPr>
      <w:r w:rsidRPr="008F022D">
        <w:rPr>
          <w:rFonts w:ascii="Palatino Linotype" w:eastAsia="Calibri" w:hAnsi="Palatino Linotype" w:cs="Tahoma"/>
          <w:i/>
          <w:iCs/>
          <w:lang w:eastAsia="es-ES_tradnl"/>
        </w:rPr>
        <w:t>IV. Ponga en riesgo la vida, la seguridad o la salud de una persona física;</w:t>
      </w:r>
    </w:p>
    <w:p w14:paraId="6E164876" w14:textId="77777777" w:rsidR="005D65AF" w:rsidRPr="008F022D" w:rsidRDefault="005D65AF" w:rsidP="005D65AF">
      <w:pPr>
        <w:tabs>
          <w:tab w:val="left" w:pos="4962"/>
        </w:tabs>
        <w:spacing w:line="360" w:lineRule="auto"/>
        <w:ind w:left="567" w:right="567"/>
        <w:jc w:val="both"/>
        <w:rPr>
          <w:rFonts w:ascii="Palatino Linotype" w:eastAsia="Calibri" w:hAnsi="Palatino Linotype" w:cs="Tahoma"/>
          <w:i/>
          <w:iCs/>
          <w:lang w:val="es-ES" w:eastAsia="es-ES_tradnl"/>
        </w:rPr>
      </w:pPr>
      <w:r w:rsidRPr="008F022D">
        <w:rPr>
          <w:rFonts w:ascii="Palatino Linotype" w:eastAsia="Calibri" w:hAnsi="Palatino Linotype" w:cs="Tahoma"/>
          <w:i/>
          <w:iCs/>
          <w:lang w:val="es-ES" w:eastAsia="es-ES_tradnl"/>
        </w:rPr>
        <w:t xml:space="preserve">…” </w:t>
      </w:r>
    </w:p>
    <w:p w14:paraId="67E6B666"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18F057AD"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8F022D">
        <w:rPr>
          <w:rFonts w:ascii="Palatino Linotype" w:eastAsia="Calibri" w:hAnsi="Palatino Linotype" w:cs="Tahoma"/>
          <w:bCs/>
          <w:sz w:val="22"/>
          <w:szCs w:val="22"/>
          <w:lang w:val="es-ES" w:eastAsia="en-US"/>
        </w:rPr>
        <w:t xml:space="preserve">Lineamientos Generales, </w:t>
      </w:r>
      <w:r w:rsidRPr="008F022D">
        <w:rPr>
          <w:rFonts w:ascii="Palatino Linotype" w:eastAsia="Calibri" w:hAnsi="Palatino Linotype" w:cs="Tahoma"/>
          <w:bCs/>
          <w:sz w:val="22"/>
          <w:szCs w:val="22"/>
          <w:lang w:eastAsia="en-US"/>
        </w:rPr>
        <w:t>establecen lo siguiente:</w:t>
      </w:r>
    </w:p>
    <w:p w14:paraId="57603B8C"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21D95070" w14:textId="77777777" w:rsidR="005D65AF" w:rsidRPr="008F022D" w:rsidRDefault="005D65AF" w:rsidP="005D65AF">
      <w:pPr>
        <w:spacing w:line="360" w:lineRule="auto"/>
        <w:ind w:left="567" w:right="567"/>
        <w:jc w:val="both"/>
        <w:rPr>
          <w:rFonts w:ascii="Palatino Linotype" w:eastAsia="Calibri" w:hAnsi="Palatino Linotype" w:cs="Tahoma"/>
          <w:bCs/>
          <w:i/>
          <w:lang w:eastAsia="en-US"/>
        </w:rPr>
      </w:pPr>
      <w:r w:rsidRPr="008F022D">
        <w:rPr>
          <w:rFonts w:ascii="Palatino Linotype" w:eastAsia="Calibri" w:hAnsi="Palatino Linotype" w:cs="Tahoma"/>
          <w:b/>
          <w:bCs/>
          <w:i/>
          <w:lang w:eastAsia="en-US"/>
        </w:rPr>
        <w:t xml:space="preserve">“Vigésimo tercero. </w:t>
      </w:r>
      <w:r w:rsidRPr="008F022D">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28EFA5B7" w14:textId="77777777" w:rsidR="005D65AF" w:rsidRPr="008F022D" w:rsidRDefault="005D65AF" w:rsidP="005D65AF">
      <w:pPr>
        <w:spacing w:line="360" w:lineRule="auto"/>
        <w:ind w:left="567" w:right="567"/>
        <w:jc w:val="both"/>
        <w:rPr>
          <w:rFonts w:ascii="Palatino Linotype" w:eastAsia="Calibri" w:hAnsi="Palatino Linotype" w:cs="Tahoma"/>
          <w:bCs/>
          <w:i/>
          <w:lang w:eastAsia="en-US"/>
        </w:rPr>
      </w:pPr>
    </w:p>
    <w:p w14:paraId="0CB52CD5"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8F022D">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8F022D">
        <w:rPr>
          <w:rFonts w:ascii="Palatino Linotype" w:eastAsia="Calibri" w:hAnsi="Palatino Linotype" w:cs="Tahoma"/>
          <w:bCs/>
          <w:sz w:val="22"/>
          <w:szCs w:val="22"/>
          <w:lang w:eastAsia="en-US"/>
        </w:rPr>
        <w:t>.</w:t>
      </w:r>
    </w:p>
    <w:p w14:paraId="1D85A892"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2BA09D91"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Además, el artículo 81, fracción III, de la Ley de Seguridad del Estado de México, establece lo siguiente:</w:t>
      </w:r>
    </w:p>
    <w:p w14:paraId="4BC983D0"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0CD2AEFD" w14:textId="77777777" w:rsidR="005D65AF" w:rsidRPr="008F022D" w:rsidRDefault="005D65AF" w:rsidP="005D65AF">
      <w:pPr>
        <w:spacing w:line="360" w:lineRule="auto"/>
        <w:ind w:left="567" w:right="567"/>
        <w:jc w:val="both"/>
        <w:rPr>
          <w:rFonts w:ascii="Palatino Linotype" w:eastAsia="Calibri" w:hAnsi="Palatino Linotype" w:cs="Tahoma"/>
          <w:bCs/>
          <w:i/>
          <w:lang w:eastAsia="en-US"/>
        </w:rPr>
      </w:pPr>
      <w:r w:rsidRPr="008F022D">
        <w:rPr>
          <w:rFonts w:ascii="Palatino Linotype" w:eastAsia="Calibri" w:hAnsi="Palatino Linotype" w:cs="Tahoma"/>
          <w:b/>
          <w:bCs/>
          <w:i/>
          <w:lang w:eastAsia="en-US"/>
        </w:rPr>
        <w:t>“Artículo 81.-</w:t>
      </w:r>
      <w:r w:rsidRPr="008F022D">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98FCD05" w14:textId="77777777" w:rsidR="005D65AF" w:rsidRPr="008F022D" w:rsidRDefault="005D65AF" w:rsidP="005D65AF">
      <w:pPr>
        <w:spacing w:line="360" w:lineRule="auto"/>
        <w:ind w:left="567" w:right="567"/>
        <w:jc w:val="both"/>
        <w:rPr>
          <w:rFonts w:ascii="Palatino Linotype" w:eastAsia="Calibri" w:hAnsi="Palatino Linotype" w:cs="Tahoma"/>
          <w:bCs/>
          <w:i/>
          <w:lang w:eastAsia="en-US"/>
        </w:rPr>
      </w:pPr>
      <w:r w:rsidRPr="008F022D">
        <w:rPr>
          <w:rFonts w:ascii="Palatino Linotype" w:eastAsia="Calibri" w:hAnsi="Palatino Linotype" w:cs="Tahoma"/>
          <w:bCs/>
          <w:i/>
          <w:lang w:eastAsia="en-US"/>
        </w:rPr>
        <w:t>…</w:t>
      </w:r>
    </w:p>
    <w:p w14:paraId="6CB8F9A1" w14:textId="77777777" w:rsidR="005D65AF" w:rsidRPr="008F022D" w:rsidRDefault="005D65AF" w:rsidP="005D65AF">
      <w:pPr>
        <w:spacing w:line="360" w:lineRule="auto"/>
        <w:ind w:left="567" w:right="567"/>
        <w:jc w:val="both"/>
        <w:rPr>
          <w:rFonts w:ascii="Palatino Linotype" w:eastAsia="Calibri" w:hAnsi="Palatino Linotype" w:cs="Tahoma"/>
          <w:bCs/>
          <w:i/>
          <w:lang w:eastAsia="en-US"/>
        </w:rPr>
      </w:pPr>
      <w:r w:rsidRPr="008F022D">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0F4D73E7" w14:textId="77777777" w:rsidR="005D65AF" w:rsidRPr="008F022D" w:rsidRDefault="005D65AF" w:rsidP="005D65AF">
      <w:pPr>
        <w:spacing w:line="360" w:lineRule="auto"/>
        <w:ind w:left="567" w:right="567"/>
        <w:jc w:val="both"/>
        <w:rPr>
          <w:rFonts w:ascii="Palatino Linotype" w:eastAsia="Calibri" w:hAnsi="Palatino Linotype" w:cs="Tahoma"/>
          <w:bCs/>
          <w:i/>
          <w:lang w:eastAsia="en-US"/>
        </w:rPr>
      </w:pPr>
      <w:r w:rsidRPr="008F022D">
        <w:rPr>
          <w:rFonts w:ascii="Palatino Linotype" w:eastAsia="Calibri" w:hAnsi="Palatino Linotype" w:cs="Tahoma"/>
          <w:bCs/>
          <w:i/>
          <w:lang w:eastAsia="en-US"/>
        </w:rPr>
        <w:t>…”</w:t>
      </w:r>
    </w:p>
    <w:p w14:paraId="2964134D" w14:textId="77777777" w:rsidR="005D65AF" w:rsidRPr="008F022D" w:rsidRDefault="005D65AF" w:rsidP="005D65AF">
      <w:pPr>
        <w:spacing w:line="360" w:lineRule="auto"/>
        <w:jc w:val="both"/>
        <w:rPr>
          <w:rFonts w:ascii="Palatino Linotype" w:eastAsia="Calibri" w:hAnsi="Palatino Linotype" w:cs="Tahoma"/>
          <w:bCs/>
          <w:lang w:eastAsia="en-US"/>
        </w:rPr>
      </w:pPr>
    </w:p>
    <w:p w14:paraId="7F453527" w14:textId="77777777" w:rsidR="005D65AF" w:rsidRPr="008F022D" w:rsidRDefault="005D65AF" w:rsidP="005D65AF">
      <w:pPr>
        <w:spacing w:line="360" w:lineRule="auto"/>
        <w:jc w:val="both"/>
        <w:rPr>
          <w:rFonts w:ascii="Palatino Linotype" w:hAnsi="Palatino Linotype" w:cs="Tahoma"/>
          <w:sz w:val="22"/>
          <w:szCs w:val="22"/>
        </w:rPr>
      </w:pPr>
      <w:r w:rsidRPr="008F022D">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D15249D"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4F2A4FDC"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254686F0"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1DB35AC3" w14:textId="77777777" w:rsidR="005D65AF" w:rsidRPr="008F022D" w:rsidRDefault="005D65AF" w:rsidP="005D65AF">
      <w:pPr>
        <w:spacing w:line="360" w:lineRule="auto"/>
        <w:jc w:val="both"/>
        <w:rPr>
          <w:rFonts w:ascii="Palatino Linotype" w:hAnsi="Palatino Linotype" w:cs="Tahoma"/>
          <w:sz w:val="22"/>
          <w:szCs w:val="22"/>
        </w:rPr>
      </w:pPr>
      <w:r w:rsidRPr="008F022D">
        <w:rPr>
          <w:rFonts w:ascii="Palatino Linotype" w:eastAsia="Calibri" w:hAnsi="Palatino Linotype" w:cs="Tahoma"/>
          <w:bCs/>
          <w:sz w:val="22"/>
          <w:szCs w:val="22"/>
          <w:lang w:eastAsia="en-US"/>
        </w:rPr>
        <w:t xml:space="preserve">No obstante, resulta necesario traer a colación por analogía, el Criterio 06/09, emitido por </w:t>
      </w:r>
      <w:r w:rsidRPr="008F022D">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04ADBFD0" w14:textId="77777777" w:rsidR="005D65AF" w:rsidRPr="008F022D" w:rsidRDefault="005D65AF" w:rsidP="005D65AF">
      <w:pPr>
        <w:spacing w:line="360" w:lineRule="auto"/>
        <w:jc w:val="both"/>
        <w:rPr>
          <w:rFonts w:ascii="Palatino Linotype" w:hAnsi="Palatino Linotype" w:cs="Tahoma"/>
          <w:i/>
          <w:sz w:val="22"/>
          <w:szCs w:val="22"/>
        </w:rPr>
      </w:pPr>
    </w:p>
    <w:p w14:paraId="18A4414B" w14:textId="77777777" w:rsidR="005D65AF" w:rsidRPr="008F022D" w:rsidRDefault="005D65AF" w:rsidP="005D65AF">
      <w:pPr>
        <w:tabs>
          <w:tab w:val="left" w:pos="4962"/>
        </w:tabs>
        <w:spacing w:line="360" w:lineRule="auto"/>
        <w:ind w:left="567" w:right="567"/>
        <w:jc w:val="both"/>
        <w:rPr>
          <w:rFonts w:ascii="Palatino Linotype" w:hAnsi="Palatino Linotype" w:cs="Tahoma"/>
          <w:i/>
          <w:szCs w:val="22"/>
        </w:rPr>
      </w:pPr>
      <w:r w:rsidRPr="008F022D">
        <w:rPr>
          <w:rFonts w:ascii="Palatino Linotype" w:hAnsi="Palatino Linotype" w:cs="Tahoma"/>
          <w:b/>
          <w:i/>
          <w:szCs w:val="22"/>
        </w:rPr>
        <w:t>“Nombres de servidores públicos dedicados a actividades en materia de seguridad, por excepción pueden considerarse información reservada.</w:t>
      </w:r>
      <w:r w:rsidRPr="008F022D">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w:t>
      </w:r>
      <w:r w:rsidRPr="008F022D">
        <w:rPr>
          <w:rFonts w:ascii="Palatino Linotype" w:hAnsi="Palatino Linotype" w:cs="Tahoma"/>
          <w:i/>
          <w:szCs w:val="22"/>
        </w:rPr>
        <w:lastRenderedPageBreak/>
        <w:t>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0698C98"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1C43A5D2"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6A3D33D7"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48FAB50B"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 xml:space="preserve">En ese orden de ideas, si bien por regla general los nombres de los trabajadores gubernamentales son información pública de oficio, existe una excepción relativa a </w:t>
      </w:r>
      <w:r w:rsidRPr="008F022D">
        <w:rPr>
          <w:rFonts w:ascii="Palatino Linotype" w:eastAsia="Calibri" w:hAnsi="Palatino Linotype" w:cs="Tahoma"/>
          <w:b/>
          <w:bCs/>
          <w:sz w:val="22"/>
          <w:szCs w:val="22"/>
          <w:lang w:eastAsia="en-US"/>
        </w:rPr>
        <w:t>aquellos que realicen actividades operativas en materia de seguridad,</w:t>
      </w:r>
      <w:r w:rsidRPr="008F022D">
        <w:rPr>
          <w:rFonts w:ascii="Palatino Linotype" w:eastAsia="Calibri" w:hAnsi="Palatino Linotype" w:cs="Tahoma"/>
          <w:bCs/>
          <w:sz w:val="22"/>
          <w:szCs w:val="22"/>
          <w:lang w:eastAsia="en-US"/>
        </w:rPr>
        <w:t xml:space="preserve"> como es el caso de los elementos operativos y la policía municipal.</w:t>
      </w:r>
    </w:p>
    <w:p w14:paraId="55003D16"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053469E2"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6CEC45D"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055005A5" w14:textId="4B767795"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En ese contexto, el artículo 6</w:t>
      </w:r>
      <w:r w:rsidR="00251796" w:rsidRPr="008F022D">
        <w:rPr>
          <w:rFonts w:ascii="Palatino Linotype" w:eastAsia="Calibri" w:hAnsi="Palatino Linotype" w:cs="Tahoma"/>
          <w:bCs/>
          <w:sz w:val="22"/>
          <w:szCs w:val="22"/>
          <w:lang w:eastAsia="en-US"/>
        </w:rPr>
        <w:t>°</w:t>
      </w:r>
      <w:r w:rsidRPr="008F022D">
        <w:rPr>
          <w:rFonts w:ascii="Palatino Linotype" w:eastAsia="Calibri" w:hAnsi="Palatino Linotype" w:cs="Tahoma"/>
          <w:bCs/>
          <w:sz w:val="22"/>
          <w:szCs w:val="22"/>
          <w:lang w:eastAsia="en-US"/>
        </w:rPr>
        <w:t>, fracciones XI y XII de dicho ordenamiento jurídico, establece los siguientes conceptos:</w:t>
      </w:r>
    </w:p>
    <w:p w14:paraId="69F546F5" w14:textId="77777777" w:rsidR="005D65AF" w:rsidRPr="008F022D" w:rsidRDefault="005D65AF" w:rsidP="005D65AF">
      <w:pPr>
        <w:numPr>
          <w:ilvl w:val="0"/>
          <w:numId w:val="5"/>
        </w:numPr>
        <w:spacing w:after="160" w:line="360" w:lineRule="auto"/>
        <w:contextualSpacing/>
        <w:jc w:val="both"/>
        <w:rPr>
          <w:rFonts w:ascii="Palatino Linotype" w:eastAsia="Calibri" w:hAnsi="Palatino Linotype" w:cs="Tahoma"/>
          <w:b/>
          <w:bCs/>
          <w:sz w:val="22"/>
          <w:szCs w:val="22"/>
          <w:lang w:eastAsia="en-US"/>
        </w:rPr>
      </w:pPr>
      <w:r w:rsidRPr="008F022D">
        <w:rPr>
          <w:rFonts w:ascii="Palatino Linotype" w:eastAsia="Calibri" w:hAnsi="Palatino Linotype" w:cs="Tahoma"/>
          <w:b/>
          <w:bCs/>
          <w:sz w:val="22"/>
          <w:szCs w:val="22"/>
          <w:lang w:eastAsia="en-US"/>
        </w:rPr>
        <w:lastRenderedPageBreak/>
        <w:t xml:space="preserve">Instituciones Policiales: </w:t>
      </w:r>
      <w:r w:rsidRPr="008F022D">
        <w:rPr>
          <w:rFonts w:ascii="Palatino Linotype" w:eastAsia="Calibri" w:hAnsi="Palatino Linotype" w:cs="Tahoma"/>
          <w:bCs/>
          <w:sz w:val="22"/>
          <w:szCs w:val="22"/>
          <w:lang w:eastAsia="en-US"/>
        </w:rPr>
        <w:t xml:space="preserve">Son los cuerpos de policía, de vigilancia y custodia de los establecimientos penitenciarios, detención preventiva, centros de arraigo y en general, </w:t>
      </w:r>
      <w:r w:rsidRPr="008F022D">
        <w:rPr>
          <w:rFonts w:ascii="Palatino Linotype" w:eastAsia="Calibri" w:hAnsi="Palatino Linotype" w:cs="Tahoma"/>
          <w:b/>
          <w:bCs/>
          <w:sz w:val="22"/>
          <w:szCs w:val="22"/>
          <w:lang w:eastAsia="en-US"/>
        </w:rPr>
        <w:t>todas las dependencias encargadas de la seguridad pública a nivel</w:t>
      </w:r>
      <w:r w:rsidRPr="008F022D">
        <w:rPr>
          <w:rFonts w:ascii="Palatino Linotype" w:eastAsia="Calibri" w:hAnsi="Palatino Linotype" w:cs="Tahoma"/>
          <w:bCs/>
          <w:sz w:val="22"/>
          <w:szCs w:val="22"/>
          <w:lang w:eastAsia="en-US"/>
        </w:rPr>
        <w:t xml:space="preserve"> estatal y </w:t>
      </w:r>
      <w:r w:rsidRPr="008F022D">
        <w:rPr>
          <w:rFonts w:ascii="Palatino Linotype" w:eastAsia="Calibri" w:hAnsi="Palatino Linotype" w:cs="Tahoma"/>
          <w:b/>
          <w:bCs/>
          <w:sz w:val="22"/>
          <w:szCs w:val="22"/>
          <w:lang w:eastAsia="en-US"/>
        </w:rPr>
        <w:t>municipal.</w:t>
      </w:r>
    </w:p>
    <w:p w14:paraId="01B011CE" w14:textId="77777777" w:rsidR="005D65AF" w:rsidRPr="008F022D" w:rsidRDefault="005D65AF" w:rsidP="005D65AF">
      <w:pPr>
        <w:spacing w:line="360" w:lineRule="auto"/>
        <w:ind w:left="720"/>
        <w:contextualSpacing/>
        <w:rPr>
          <w:rFonts w:ascii="Palatino Linotype" w:eastAsia="Calibri" w:hAnsi="Palatino Linotype" w:cs="Tahoma"/>
          <w:b/>
          <w:bCs/>
          <w:sz w:val="22"/>
          <w:szCs w:val="22"/>
          <w:lang w:eastAsia="en-US"/>
        </w:rPr>
      </w:pPr>
    </w:p>
    <w:p w14:paraId="5AA7B56B" w14:textId="77777777" w:rsidR="005D65AF" w:rsidRPr="008F022D" w:rsidRDefault="005D65AF" w:rsidP="005D65AF">
      <w:pPr>
        <w:numPr>
          <w:ilvl w:val="0"/>
          <w:numId w:val="5"/>
        </w:numPr>
        <w:spacing w:after="160" w:line="360" w:lineRule="auto"/>
        <w:contextualSpacing/>
        <w:jc w:val="both"/>
        <w:rPr>
          <w:rFonts w:ascii="Palatino Linotype" w:eastAsia="Calibri" w:hAnsi="Palatino Linotype" w:cs="Tahoma"/>
          <w:b/>
          <w:bCs/>
          <w:sz w:val="22"/>
          <w:szCs w:val="22"/>
          <w:lang w:eastAsia="en-US"/>
        </w:rPr>
      </w:pPr>
      <w:r w:rsidRPr="008F022D">
        <w:rPr>
          <w:rFonts w:ascii="Palatino Linotype" w:eastAsia="Calibri" w:hAnsi="Palatino Linotype" w:cs="Tahoma"/>
          <w:b/>
          <w:bCs/>
          <w:sz w:val="22"/>
          <w:szCs w:val="22"/>
          <w:lang w:eastAsia="en-US"/>
        </w:rPr>
        <w:t xml:space="preserve">Instituciones de Seguridad Pública: </w:t>
      </w:r>
      <w:r w:rsidRPr="008F022D">
        <w:rPr>
          <w:rFonts w:ascii="Palatino Linotype" w:eastAsia="Calibri" w:hAnsi="Palatino Linotype" w:cs="Tahoma"/>
          <w:bCs/>
          <w:sz w:val="22"/>
          <w:szCs w:val="22"/>
          <w:lang w:eastAsia="en-US"/>
        </w:rPr>
        <w:t xml:space="preserve">Instituciones Policiales, Procuración de Justicia, Sistema Penitenciario y </w:t>
      </w:r>
      <w:r w:rsidRPr="008F022D">
        <w:rPr>
          <w:rFonts w:ascii="Palatino Linotype" w:eastAsia="Calibri" w:hAnsi="Palatino Linotype" w:cs="Tahoma"/>
          <w:b/>
          <w:bCs/>
          <w:sz w:val="22"/>
          <w:szCs w:val="22"/>
          <w:lang w:eastAsia="en-US"/>
        </w:rPr>
        <w:t xml:space="preserve">dependencias encargadas de la seguridad pública a nivel </w:t>
      </w:r>
      <w:r w:rsidRPr="008F022D">
        <w:rPr>
          <w:rFonts w:ascii="Palatino Linotype" w:eastAsia="Calibri" w:hAnsi="Palatino Linotype" w:cs="Tahoma"/>
          <w:bCs/>
          <w:sz w:val="22"/>
          <w:szCs w:val="22"/>
          <w:lang w:eastAsia="en-US"/>
        </w:rPr>
        <w:t xml:space="preserve">estatal y </w:t>
      </w:r>
      <w:r w:rsidRPr="008F022D">
        <w:rPr>
          <w:rFonts w:ascii="Palatino Linotype" w:eastAsia="Calibri" w:hAnsi="Palatino Linotype" w:cs="Tahoma"/>
          <w:b/>
          <w:bCs/>
          <w:sz w:val="22"/>
          <w:szCs w:val="22"/>
          <w:lang w:eastAsia="en-US"/>
        </w:rPr>
        <w:t>municipal.</w:t>
      </w:r>
    </w:p>
    <w:p w14:paraId="6EE7C2CE" w14:textId="77777777" w:rsidR="005D65AF" w:rsidRPr="008F022D" w:rsidRDefault="005D65AF" w:rsidP="005D65AF">
      <w:pPr>
        <w:spacing w:line="360" w:lineRule="auto"/>
        <w:contextualSpacing/>
        <w:jc w:val="both"/>
        <w:rPr>
          <w:rFonts w:ascii="Palatino Linotype" w:eastAsia="Calibri" w:hAnsi="Palatino Linotype" w:cs="Tahoma"/>
          <w:b/>
          <w:bCs/>
          <w:sz w:val="22"/>
          <w:szCs w:val="22"/>
          <w:lang w:eastAsia="en-US"/>
        </w:rPr>
      </w:pPr>
    </w:p>
    <w:p w14:paraId="4C29501F" w14:textId="2CA5B95D"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iCs/>
          <w:sz w:val="22"/>
          <w:lang w:val="es-ES" w:eastAsia="es-ES_tradnl"/>
        </w:rPr>
        <w:t>Conforme a lo anterior</w:t>
      </w:r>
      <w:r w:rsidRPr="008F022D">
        <w:rPr>
          <w:rFonts w:ascii="Palatino Linotype" w:eastAsia="Calibri" w:hAnsi="Palatino Linotype" w:cs="Tahoma"/>
          <w:bCs/>
          <w:sz w:val="22"/>
          <w:szCs w:val="22"/>
          <w:lang w:eastAsia="en-US"/>
        </w:rPr>
        <w:t xml:space="preserve">, se puede deducir que la </w:t>
      </w:r>
      <w:r w:rsidR="00251796" w:rsidRPr="008F022D">
        <w:rPr>
          <w:rFonts w:ascii="Palatino Linotype" w:eastAsiaTheme="minorHAnsi" w:hAnsi="Palatino Linotype" w:cs="Tahoma"/>
          <w:bCs/>
          <w:color w:val="000000" w:themeColor="text1"/>
          <w:sz w:val="22"/>
          <w:szCs w:val="22"/>
          <w:lang w:val="es-ES_tradnl" w:eastAsia="en-US"/>
        </w:rPr>
        <w:t>Dirección de Seguridad Pública y Tránsito</w:t>
      </w:r>
      <w:r w:rsidRPr="008F022D">
        <w:rPr>
          <w:rFonts w:ascii="Palatino Linotype" w:eastAsia="Calibri" w:hAnsi="Palatino Linotype" w:cs="Tahoma"/>
          <w:bCs/>
          <w:sz w:val="22"/>
          <w:szCs w:val="22"/>
          <w:lang w:eastAsia="en-US"/>
        </w:rPr>
        <w:t xml:space="preserve">, es una institución de seguridad pública, pues tiene como atribución principal, garantizar la prevención de delitos </w:t>
      </w:r>
      <w:r w:rsidRPr="008F022D">
        <w:rPr>
          <w:rFonts w:ascii="Palatino Linotype" w:eastAsia="Calibri" w:hAnsi="Palatino Linotype"/>
          <w:sz w:val="22"/>
        </w:rPr>
        <w:t>y proteger a las personas, sus propiedades, posesiones y derechos.</w:t>
      </w:r>
    </w:p>
    <w:p w14:paraId="67F395B1" w14:textId="77777777" w:rsidR="005D65AF" w:rsidRPr="008F022D" w:rsidRDefault="005D65AF" w:rsidP="005D65AF">
      <w:pPr>
        <w:spacing w:line="360" w:lineRule="auto"/>
        <w:ind w:right="-93"/>
        <w:jc w:val="both"/>
        <w:rPr>
          <w:rFonts w:ascii="Palatino Linotype" w:eastAsiaTheme="minorHAnsi" w:hAnsi="Palatino Linotype" w:cs="Tahoma"/>
          <w:bCs/>
          <w:color w:val="000000" w:themeColor="text1"/>
          <w:sz w:val="22"/>
          <w:szCs w:val="22"/>
          <w:lang w:val="es-ES_tradnl" w:eastAsia="en-US"/>
        </w:rPr>
      </w:pPr>
    </w:p>
    <w:p w14:paraId="06C29EBE" w14:textId="4CA1D88F" w:rsidR="005D65AF" w:rsidRPr="008F022D" w:rsidRDefault="005D65AF" w:rsidP="005D65AF">
      <w:pPr>
        <w:tabs>
          <w:tab w:val="left" w:pos="4962"/>
        </w:tabs>
        <w:spacing w:line="360" w:lineRule="auto"/>
        <w:ind w:right="-28"/>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val="es-ES" w:eastAsia="en-US"/>
        </w:rPr>
        <w:t xml:space="preserve">Además, </w:t>
      </w:r>
      <w:r w:rsidRPr="008F022D">
        <w:rPr>
          <w:rFonts w:ascii="Palatino Linotype" w:eastAsia="Calibri" w:hAnsi="Palatino Linotype" w:cs="Tahoma"/>
          <w:bCs/>
          <w:sz w:val="22"/>
          <w:szCs w:val="22"/>
          <w:lang w:eastAsia="en-US"/>
        </w:rPr>
        <w:t>el Instructivo de llenado del Formato “Personal de Seguridad Pública”, del Secretariado Ejecutivo del Sistema Nacional de Seguridad Pública</w:t>
      </w:r>
      <w:r w:rsidR="00251796" w:rsidRPr="008F022D">
        <w:rPr>
          <w:rFonts w:ascii="Palatino Linotype" w:eastAsia="Calibri" w:hAnsi="Palatino Linotype" w:cs="Tahoma"/>
          <w:bCs/>
          <w:sz w:val="22"/>
          <w:szCs w:val="22"/>
          <w:lang w:eastAsia="en-US"/>
        </w:rPr>
        <w:t xml:space="preserve">, </w:t>
      </w:r>
      <w:r w:rsidRPr="008F022D">
        <w:rPr>
          <w:rFonts w:ascii="Palatino Linotype" w:eastAsia="Calibri" w:hAnsi="Palatino Linotype" w:cs="Tahoma"/>
          <w:bCs/>
          <w:sz w:val="22"/>
          <w:szCs w:val="22"/>
          <w:lang w:eastAsia="en-US"/>
        </w:rPr>
        <w:t xml:space="preserve">establece que los elementos operativos de seguridad pública, son aquellos que desempeñan funciones de campo (policiacas, especializadas o equivalentes y que no </w:t>
      </w:r>
      <w:r w:rsidRPr="008F022D">
        <w:rPr>
          <w:rFonts w:ascii="Palatino Linotype" w:eastAsia="Calibri" w:hAnsi="Palatino Linotype" w:cs="Tahoma"/>
          <w:b/>
          <w:bCs/>
          <w:sz w:val="22"/>
          <w:szCs w:val="22"/>
          <w:lang w:eastAsia="en-US"/>
        </w:rPr>
        <w:t>desempeña funciones de mando</w:t>
      </w:r>
      <w:r w:rsidRPr="008F022D">
        <w:rPr>
          <w:rFonts w:ascii="Palatino Linotype" w:eastAsia="Calibri" w:hAnsi="Palatino Linotype" w:cs="Tahoma"/>
          <w:bCs/>
          <w:sz w:val="22"/>
          <w:szCs w:val="22"/>
          <w:lang w:eastAsia="en-US"/>
        </w:rPr>
        <w:t xml:space="preserve">), entre los cuales, se encuentra </w:t>
      </w:r>
      <w:r w:rsidRPr="008F022D">
        <w:rPr>
          <w:rFonts w:ascii="Palatino Linotype" w:eastAsia="Calibri" w:hAnsi="Palatino Linotype" w:cs="Tahoma"/>
          <w:b/>
          <w:bCs/>
          <w:sz w:val="22"/>
          <w:szCs w:val="22"/>
          <w:lang w:eastAsia="en-US"/>
        </w:rPr>
        <w:t>la Policía Municipal</w:t>
      </w:r>
      <w:r w:rsidRPr="008F022D">
        <w:rPr>
          <w:rFonts w:ascii="Palatino Linotype" w:eastAsia="Calibri" w:hAnsi="Palatino Linotype" w:cs="Tahoma"/>
          <w:bCs/>
          <w:sz w:val="22"/>
          <w:szCs w:val="22"/>
          <w:lang w:eastAsia="en-US"/>
        </w:rPr>
        <w:t>.</w:t>
      </w:r>
    </w:p>
    <w:p w14:paraId="735080AA" w14:textId="77777777" w:rsidR="005D65AF" w:rsidRPr="008F022D" w:rsidRDefault="005D65AF" w:rsidP="005D65AF">
      <w:pPr>
        <w:spacing w:line="360" w:lineRule="auto"/>
        <w:ind w:right="-93"/>
        <w:jc w:val="both"/>
        <w:rPr>
          <w:rFonts w:ascii="Palatino Linotype" w:eastAsiaTheme="minorHAnsi" w:hAnsi="Palatino Linotype" w:cs="Tahoma"/>
          <w:bCs/>
          <w:color w:val="000000" w:themeColor="text1"/>
          <w:sz w:val="22"/>
          <w:szCs w:val="22"/>
          <w:lang w:val="es-ES_tradnl" w:eastAsia="en-US"/>
        </w:rPr>
      </w:pPr>
    </w:p>
    <w:p w14:paraId="7264E8F3" w14:textId="77777777" w:rsidR="005D65AF" w:rsidRPr="008F022D" w:rsidRDefault="005D65AF" w:rsidP="005D65AF">
      <w:pPr>
        <w:tabs>
          <w:tab w:val="left" w:pos="4962"/>
        </w:tabs>
        <w:spacing w:line="360" w:lineRule="auto"/>
        <w:ind w:right="-28"/>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2449A166"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37C187EB" w14:textId="5FB2F786"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 xml:space="preserve">De tales circunstancias, se puede observar que la </w:t>
      </w:r>
      <w:r w:rsidR="00251796" w:rsidRPr="008F022D">
        <w:rPr>
          <w:rFonts w:ascii="Palatino Linotype" w:eastAsiaTheme="minorHAnsi" w:hAnsi="Palatino Linotype" w:cs="Tahoma"/>
          <w:bCs/>
          <w:color w:val="000000" w:themeColor="text1"/>
          <w:sz w:val="22"/>
          <w:szCs w:val="22"/>
          <w:lang w:val="es-ES_tradnl" w:eastAsia="en-US"/>
        </w:rPr>
        <w:t>Dirección de Seguridad Pública y Tránsito</w:t>
      </w:r>
      <w:r w:rsidRPr="008F022D">
        <w:rPr>
          <w:rFonts w:ascii="Palatino Linotype" w:eastAsia="Calibri" w:hAnsi="Palatino Linotype" w:cs="Tahoma"/>
          <w:bCs/>
          <w:sz w:val="22"/>
          <w:szCs w:val="22"/>
          <w:lang w:eastAsia="en-US"/>
        </w:rPr>
        <w:t xml:space="preserve">, tiene dos clases de servidores públicos, por una parte, los operativos (policía municipal) y por </w:t>
      </w:r>
      <w:r w:rsidRPr="008F022D">
        <w:rPr>
          <w:rFonts w:ascii="Palatino Linotype" w:eastAsia="Calibri" w:hAnsi="Palatino Linotype" w:cs="Tahoma"/>
          <w:bCs/>
          <w:sz w:val="22"/>
          <w:szCs w:val="22"/>
          <w:lang w:eastAsia="en-US"/>
        </w:rPr>
        <w:lastRenderedPageBreak/>
        <w:t>otra, los administrativos, de apoyo y personal de mando, los cuales no realizan funciones operativas.</w:t>
      </w:r>
    </w:p>
    <w:p w14:paraId="16880F40"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7CBDCBA9"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83B0231"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2ACFC594" w14:textId="7551D3AA"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 xml:space="preserve">Lo anterior, se robustece con las Cifras de Incidencia Delictiva Municipal 2015-2021, publicado por el Secretariado Ejecutivo del Sistema Nacional de Seguridad Pública, en la página </w:t>
      </w:r>
      <w:hyperlink r:id="rId9" w:history="1">
        <w:r w:rsidRPr="008F022D">
          <w:rPr>
            <w:rFonts w:ascii="Palatino Linotype" w:hAnsi="Palatino Linotype"/>
            <w:color w:val="0563C1"/>
            <w:sz w:val="22"/>
            <w:szCs w:val="22"/>
            <w:u w:val="single"/>
          </w:rPr>
          <w:t>https://www.gob.mx/sesnsp/acciones-y-programas/incidencia-delictiva-del-fuero-comun-nueva-metodologia?state=published</w:t>
        </w:r>
      </w:hyperlink>
      <w:r w:rsidRPr="008F022D">
        <w:rPr>
          <w:rFonts w:ascii="Palatino Linotype" w:eastAsia="Calibri" w:hAnsi="Palatino Linotype" w:cs="Tahoma"/>
          <w:bCs/>
          <w:sz w:val="22"/>
          <w:szCs w:val="22"/>
          <w:lang w:eastAsia="en-US"/>
        </w:rPr>
        <w:t xml:space="preserve"> (consultado el </w:t>
      </w:r>
      <w:r w:rsidR="00251796" w:rsidRPr="008F022D">
        <w:rPr>
          <w:rFonts w:ascii="Palatino Linotype" w:eastAsia="Calibri" w:hAnsi="Palatino Linotype" w:cs="Tahoma"/>
          <w:bCs/>
          <w:sz w:val="22"/>
          <w:szCs w:val="22"/>
          <w:lang w:eastAsia="en-US"/>
        </w:rPr>
        <w:t>siete de marzo de dos mil veintidós</w:t>
      </w:r>
      <w:r w:rsidRPr="008F022D">
        <w:rPr>
          <w:rFonts w:ascii="Palatino Linotype" w:eastAsia="Calibri" w:hAnsi="Palatino Linotype" w:cs="Tahoma"/>
          <w:bCs/>
          <w:sz w:val="22"/>
          <w:szCs w:val="22"/>
          <w:lang w:eastAsia="en-US"/>
        </w:rPr>
        <w:t xml:space="preserve">, a las dieciséis horas con tres minutos) de cual se desprenden que durante el dos mil </w:t>
      </w:r>
      <w:r w:rsidR="00251796" w:rsidRPr="008F022D">
        <w:rPr>
          <w:rFonts w:ascii="Palatino Linotype" w:eastAsia="Calibri" w:hAnsi="Palatino Linotype" w:cs="Tahoma"/>
          <w:bCs/>
          <w:sz w:val="22"/>
          <w:szCs w:val="22"/>
          <w:lang w:eastAsia="en-US"/>
        </w:rPr>
        <w:t>veintidós</w:t>
      </w:r>
      <w:r w:rsidRPr="008F022D">
        <w:rPr>
          <w:rFonts w:ascii="Palatino Linotype" w:eastAsia="Calibri" w:hAnsi="Palatino Linotype" w:cs="Tahoma"/>
          <w:bCs/>
          <w:sz w:val="22"/>
          <w:szCs w:val="22"/>
          <w:lang w:eastAsia="en-US"/>
        </w:rPr>
        <w:t xml:space="preserve">, se cometieron diversos delitos, entre los cuales, se encuentran </w:t>
      </w:r>
      <w:r w:rsidR="00480668" w:rsidRPr="008F022D">
        <w:rPr>
          <w:rFonts w:ascii="Palatino Linotype" w:eastAsia="Calibri" w:hAnsi="Palatino Linotype" w:cs="Tahoma"/>
          <w:bCs/>
          <w:sz w:val="22"/>
          <w:szCs w:val="22"/>
          <w:lang w:eastAsia="en-US"/>
        </w:rPr>
        <w:t>homicidios, lesiones, feminicidios, abuso y acoso sexual, violación, robo, fraude, extorsión, daño a la propiedad, violencia familiar, allanamiento, entre otros</w:t>
      </w:r>
      <w:r w:rsidRPr="008F022D">
        <w:rPr>
          <w:rFonts w:ascii="Palatino Linotype" w:eastAsia="Calibri" w:hAnsi="Palatino Linotype" w:cs="Tahoma"/>
          <w:bCs/>
          <w:sz w:val="22"/>
          <w:szCs w:val="22"/>
          <w:lang w:eastAsia="en-US"/>
        </w:rPr>
        <w:t xml:space="preserve">; hechos que pueden llegar a ser atendidos directamente por este personal operativo en apoyo de los afectados o incluso de las autoridades encargadas de la procuración de justicia. </w:t>
      </w:r>
    </w:p>
    <w:p w14:paraId="7FDB85F2"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p>
    <w:p w14:paraId="23AE842F" w14:textId="77777777" w:rsidR="005D65AF" w:rsidRPr="008F022D" w:rsidRDefault="005D65AF" w:rsidP="005D65AF">
      <w:pPr>
        <w:spacing w:line="360" w:lineRule="auto"/>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 xml:space="preserve">De tal situación, se considera que dar a conocer el nombre de los elementos operativos, que incluye a los policías municipales, puede poner en riesgo la vida, seguridad y salud de estos, </w:t>
      </w:r>
      <w:r w:rsidRPr="008F022D">
        <w:rPr>
          <w:rFonts w:ascii="Palatino Linotype" w:eastAsia="Calibri" w:hAnsi="Palatino Linotype" w:cs="Tahoma"/>
          <w:bCs/>
          <w:sz w:val="22"/>
          <w:szCs w:val="22"/>
          <w:lang w:eastAsia="en-US"/>
        </w:rPr>
        <w:lastRenderedPageBreak/>
        <w:t>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911CEDF" w14:textId="77777777" w:rsidR="005D65AF" w:rsidRPr="008F022D" w:rsidRDefault="005D65AF" w:rsidP="005D65AF">
      <w:pPr>
        <w:spacing w:line="360" w:lineRule="auto"/>
        <w:ind w:right="-93"/>
        <w:jc w:val="both"/>
        <w:rPr>
          <w:rFonts w:ascii="Palatino Linotype" w:eastAsiaTheme="minorHAnsi" w:hAnsi="Palatino Linotype" w:cs="Tahoma"/>
          <w:bCs/>
          <w:color w:val="000000" w:themeColor="text1"/>
          <w:sz w:val="22"/>
          <w:szCs w:val="22"/>
          <w:lang w:val="es-ES_tradnl" w:eastAsia="en-US"/>
        </w:rPr>
      </w:pPr>
    </w:p>
    <w:p w14:paraId="1BD808E9" w14:textId="3932269F" w:rsidR="005D65AF" w:rsidRPr="008F022D" w:rsidRDefault="00480668" w:rsidP="00480668">
      <w:pPr>
        <w:spacing w:after="160" w:line="360" w:lineRule="auto"/>
        <w:contextualSpacing/>
        <w:jc w:val="both"/>
        <w:rPr>
          <w:rFonts w:ascii="Palatino Linotype" w:eastAsia="Calibri" w:hAnsi="Palatino Linotype" w:cs="Tahoma"/>
          <w:bCs/>
          <w:sz w:val="22"/>
          <w:szCs w:val="22"/>
          <w:lang w:eastAsia="en-US"/>
        </w:rPr>
      </w:pPr>
      <w:r w:rsidRPr="008F022D">
        <w:rPr>
          <w:rFonts w:ascii="Palatino Linotype" w:eastAsia="Calibri" w:hAnsi="Palatino Linotype" w:cs="Tahoma"/>
          <w:iCs/>
          <w:sz w:val="22"/>
          <w:szCs w:val="22"/>
          <w:lang w:val="es-ES" w:eastAsia="es-ES_tradnl"/>
        </w:rPr>
        <w:t>Así, se concluye que</w:t>
      </w:r>
      <w:r w:rsidR="005D65AF" w:rsidRPr="008F022D">
        <w:rPr>
          <w:rFonts w:ascii="Palatino Linotype" w:eastAsia="Calibri" w:hAnsi="Palatino Linotype" w:cs="Tahoma"/>
          <w:bCs/>
          <w:sz w:val="22"/>
          <w:szCs w:val="22"/>
          <w:lang w:eastAsia="en-US"/>
        </w:rPr>
        <w:t xml:space="preserv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bookmarkStart w:id="4" w:name="_Hlk102421544"/>
      <w:r w:rsidR="005D65AF" w:rsidRPr="008F022D">
        <w:rPr>
          <w:rFonts w:ascii="Palatino Linotype" w:eastAsia="Calibri" w:hAnsi="Palatino Linotype" w:cs="Tahoma"/>
          <w:bCs/>
          <w:sz w:val="22"/>
          <w:szCs w:val="22"/>
          <w:lang w:eastAsia="en-US"/>
        </w:rPr>
        <w:t>Dirección de Seguridad</w:t>
      </w:r>
      <w:bookmarkEnd w:id="4"/>
      <w:r w:rsidR="005D65AF" w:rsidRPr="008F022D">
        <w:rPr>
          <w:rFonts w:ascii="Palatino Linotype" w:eastAsia="Calibri" w:hAnsi="Palatino Linotype" w:cs="Tahoma"/>
          <w:bCs/>
          <w:sz w:val="22"/>
          <w:szCs w:val="22"/>
          <w:lang w:eastAsia="en-US"/>
        </w:rPr>
        <w:t xml:space="preserve"> Pública.</w:t>
      </w:r>
    </w:p>
    <w:p w14:paraId="540065A5" w14:textId="77777777" w:rsidR="00480668" w:rsidRPr="008F022D" w:rsidRDefault="00480668" w:rsidP="00480668">
      <w:pPr>
        <w:spacing w:after="160" w:line="360" w:lineRule="auto"/>
        <w:contextualSpacing/>
        <w:jc w:val="both"/>
        <w:rPr>
          <w:rFonts w:ascii="Palatino Linotype" w:eastAsia="Calibri" w:hAnsi="Palatino Linotype" w:cs="Tahoma"/>
          <w:b/>
          <w:bCs/>
          <w:sz w:val="22"/>
          <w:szCs w:val="22"/>
          <w:lang w:eastAsia="en-US"/>
        </w:rPr>
      </w:pPr>
    </w:p>
    <w:p w14:paraId="5F7203C5" w14:textId="009DAE50" w:rsidR="005D65AF" w:rsidRPr="008F022D" w:rsidRDefault="00480668" w:rsidP="00480668">
      <w:pPr>
        <w:spacing w:after="160" w:line="360" w:lineRule="auto"/>
        <w:contextualSpacing/>
        <w:jc w:val="both"/>
        <w:rPr>
          <w:rFonts w:ascii="Palatino Linotype" w:eastAsia="Calibri" w:hAnsi="Palatino Linotype" w:cs="Tahoma"/>
          <w:b/>
          <w:bCs/>
          <w:sz w:val="22"/>
          <w:szCs w:val="22"/>
          <w:lang w:eastAsia="en-US"/>
        </w:rPr>
      </w:pPr>
      <w:r w:rsidRPr="008F022D">
        <w:rPr>
          <w:rFonts w:ascii="Palatino Linotype" w:eastAsia="Calibri" w:hAnsi="Palatino Linotype" w:cs="Tahoma"/>
          <w:bCs/>
          <w:sz w:val="22"/>
          <w:szCs w:val="22"/>
          <w:lang w:eastAsia="en-US"/>
        </w:rPr>
        <w:t xml:space="preserve">Además, que </w:t>
      </w:r>
      <w:r w:rsidR="005D65AF" w:rsidRPr="008F022D">
        <w:rPr>
          <w:rFonts w:ascii="Palatino Linotype" w:eastAsia="Calibri" w:hAnsi="Palatino Linotype" w:cs="Tahoma"/>
          <w:bCs/>
          <w:sz w:val="22"/>
          <w:szCs w:val="22"/>
          <w:lang w:eastAsia="en-US"/>
        </w:rPr>
        <w:t xml:space="preserve">la divulgación de la información supera el interés público general,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005D65AF" w:rsidRPr="008F022D">
        <w:rPr>
          <w:rFonts w:ascii="Palatino Linotype" w:eastAsia="Calibri" w:hAnsi="Palatino Linotype" w:cs="Tahoma"/>
          <w:b/>
          <w:bCs/>
          <w:sz w:val="22"/>
          <w:szCs w:val="22"/>
          <w:lang w:eastAsia="en-US"/>
        </w:rPr>
        <w:t>vulnerando así, el interés general.</w:t>
      </w:r>
    </w:p>
    <w:p w14:paraId="3407773B" w14:textId="77777777" w:rsidR="005D65AF" w:rsidRPr="008F022D" w:rsidRDefault="005D65AF" w:rsidP="005D65AF">
      <w:pPr>
        <w:spacing w:line="360" w:lineRule="auto"/>
        <w:ind w:left="720"/>
        <w:contextualSpacing/>
        <w:jc w:val="both"/>
        <w:rPr>
          <w:rFonts w:ascii="Palatino Linotype" w:eastAsia="Calibri" w:hAnsi="Palatino Linotype" w:cs="Tahoma"/>
          <w:bCs/>
          <w:sz w:val="22"/>
          <w:szCs w:val="22"/>
          <w:lang w:eastAsia="en-US"/>
        </w:rPr>
      </w:pPr>
    </w:p>
    <w:p w14:paraId="1D75E408" w14:textId="006BCC9C" w:rsidR="005D65AF" w:rsidRPr="008F022D" w:rsidRDefault="00480668" w:rsidP="00480668">
      <w:pPr>
        <w:spacing w:after="160" w:line="360" w:lineRule="auto"/>
        <w:contextualSpacing/>
        <w:jc w:val="both"/>
        <w:rPr>
          <w:rFonts w:ascii="Palatino Linotype" w:eastAsia="Calibri" w:hAnsi="Palatino Linotype" w:cs="Tahoma"/>
          <w:bCs/>
          <w:sz w:val="22"/>
          <w:szCs w:val="22"/>
          <w:lang w:eastAsia="en-US"/>
        </w:rPr>
      </w:pPr>
      <w:r w:rsidRPr="008F022D">
        <w:rPr>
          <w:rFonts w:ascii="Palatino Linotype" w:eastAsia="Calibri" w:hAnsi="Palatino Linotype" w:cs="Tahoma"/>
          <w:bCs/>
          <w:sz w:val="22"/>
          <w:szCs w:val="22"/>
          <w:lang w:eastAsia="en-US"/>
        </w:rPr>
        <w:t xml:space="preserve">Asimismo, mediante la reserva se protegen </w:t>
      </w:r>
      <w:r w:rsidR="005D65AF" w:rsidRPr="008F022D">
        <w:rPr>
          <w:rFonts w:ascii="Palatino Linotype" w:eastAsia="Calibri" w:hAnsi="Palatino Linotype" w:cs="Tahoma"/>
          <w:bCs/>
          <w:sz w:val="22"/>
          <w:szCs w:val="22"/>
          <w:lang w:eastAsia="en-US"/>
        </w:rPr>
        <w:t xml:space="preserve">alguno de los derechos más importantes, como lo son la vida, la salud y la seguridad de </w:t>
      </w:r>
      <w:r w:rsidR="005D65AF" w:rsidRPr="008F022D">
        <w:rPr>
          <w:rFonts w:ascii="Palatino Linotype" w:eastAsia="Calibri" w:hAnsi="Palatino Linotype" w:cs="Tahoma"/>
          <w:b/>
          <w:bCs/>
          <w:sz w:val="22"/>
          <w:szCs w:val="22"/>
          <w:lang w:eastAsia="en-US"/>
        </w:rPr>
        <w:t>los servidores públicos,</w:t>
      </w:r>
      <w:r w:rsidR="005D65AF" w:rsidRPr="008F022D">
        <w:rPr>
          <w:rFonts w:ascii="Palatino Linotype" w:eastAsia="Calibri" w:hAnsi="Palatino Linotype" w:cs="Tahoma"/>
          <w:bCs/>
          <w:sz w:val="22"/>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4EB9D954" w14:textId="77777777" w:rsidR="005D65AF" w:rsidRPr="008F022D" w:rsidRDefault="005D65AF" w:rsidP="005D65AF">
      <w:pPr>
        <w:spacing w:line="360" w:lineRule="auto"/>
        <w:ind w:left="720"/>
        <w:contextualSpacing/>
        <w:rPr>
          <w:rFonts w:ascii="Palatino Linotype" w:eastAsia="Calibri" w:hAnsi="Palatino Linotype" w:cs="Tahoma"/>
          <w:bCs/>
          <w:sz w:val="22"/>
          <w:szCs w:val="24"/>
        </w:rPr>
      </w:pPr>
    </w:p>
    <w:p w14:paraId="4AD33DDD" w14:textId="429523A2" w:rsidR="005D65AF" w:rsidRPr="008F022D" w:rsidRDefault="005D65AF" w:rsidP="005D65AF">
      <w:pPr>
        <w:spacing w:line="360" w:lineRule="auto"/>
        <w:jc w:val="both"/>
        <w:rPr>
          <w:rFonts w:ascii="Palatino Linotype" w:eastAsia="Calibri" w:hAnsi="Palatino Linotype" w:cs="Tahoma"/>
          <w:iCs/>
          <w:sz w:val="22"/>
          <w:szCs w:val="22"/>
          <w:lang w:val="es-ES" w:eastAsia="es-ES_tradnl"/>
        </w:rPr>
      </w:pPr>
      <w:r w:rsidRPr="008F022D">
        <w:rPr>
          <w:rFonts w:ascii="Palatino Linotype" w:eastAsia="Calibri" w:hAnsi="Palatino Linotype" w:cs="Tahoma"/>
          <w:bCs/>
          <w:sz w:val="22"/>
          <w:szCs w:val="22"/>
          <w:lang w:eastAsia="en-US"/>
        </w:rPr>
        <w:lastRenderedPageBreak/>
        <w:t>Por tales consideraciones, resulta procedente la reserva del nombre de los elementos operativos de la Dirección de Seguridad Pública</w:t>
      </w:r>
      <w:r w:rsidR="00480668" w:rsidRPr="008F022D">
        <w:rPr>
          <w:rFonts w:ascii="Palatino Linotype" w:eastAsia="Calibri" w:hAnsi="Palatino Linotype" w:cs="Tahoma"/>
          <w:bCs/>
          <w:sz w:val="22"/>
          <w:szCs w:val="22"/>
          <w:lang w:eastAsia="en-US"/>
        </w:rPr>
        <w:t>, en el caso, que alguno haya causado alta dentro del periodo solicitado</w:t>
      </w:r>
      <w:r w:rsidRPr="008F022D">
        <w:rPr>
          <w:rFonts w:ascii="Palatino Linotype" w:eastAsia="Calibri" w:hAnsi="Palatino Linotype" w:cs="Tahoma"/>
          <w:bCs/>
          <w:sz w:val="22"/>
          <w:szCs w:val="22"/>
          <w:lang w:eastAsia="en-US"/>
        </w:rPr>
        <w:t xml:space="preserve">, lo cual incluye a los policías municipales y escoltas, en términos del artículo 140, fracción IV, de </w:t>
      </w:r>
      <w:r w:rsidRPr="008F022D">
        <w:rPr>
          <w:rFonts w:ascii="Palatino Linotype" w:eastAsia="Calibri" w:hAnsi="Palatino Linotype" w:cs="Tahoma"/>
          <w:iCs/>
          <w:sz w:val="22"/>
          <w:szCs w:val="22"/>
          <w:lang w:val="es-ES" w:eastAsia="es-ES_tradnl"/>
        </w:rPr>
        <w:t>de la Ley de Transparencia y Acceso a la Información Pública del Estado de México y Municipios.</w:t>
      </w:r>
    </w:p>
    <w:p w14:paraId="24F912AA" w14:textId="77777777" w:rsidR="005D65AF" w:rsidRPr="008F022D" w:rsidRDefault="005D65AF" w:rsidP="005D65AF">
      <w:pPr>
        <w:spacing w:line="360" w:lineRule="auto"/>
        <w:contextualSpacing/>
        <w:jc w:val="both"/>
        <w:rPr>
          <w:rFonts w:ascii="Palatino Linotype" w:eastAsia="Calibri" w:hAnsi="Palatino Linotype" w:cs="Tahoma"/>
          <w:bCs/>
          <w:sz w:val="22"/>
          <w:szCs w:val="22"/>
          <w:lang w:eastAsia="en-US"/>
        </w:rPr>
      </w:pPr>
    </w:p>
    <w:p w14:paraId="024DD343" w14:textId="77777777" w:rsidR="005D65AF" w:rsidRPr="008F022D" w:rsidRDefault="005D65AF" w:rsidP="005D65AF">
      <w:pPr>
        <w:autoSpaceDE w:val="0"/>
        <w:autoSpaceDN w:val="0"/>
        <w:spacing w:line="360" w:lineRule="auto"/>
        <w:jc w:val="both"/>
        <w:rPr>
          <w:rFonts w:ascii="Palatino Linotype" w:hAnsi="Palatino Linotype" w:cs="Tahoma"/>
          <w:bCs/>
          <w:sz w:val="22"/>
          <w:szCs w:val="22"/>
        </w:rPr>
      </w:pPr>
      <w:r w:rsidRPr="008F022D">
        <w:rPr>
          <w:rFonts w:ascii="Palatino Linotype" w:eastAsia="Calibri" w:hAnsi="Palatino Linotype" w:cs="Tahoma"/>
          <w:iCs/>
          <w:sz w:val="22"/>
          <w:szCs w:val="22"/>
          <w:lang w:val="es-ES" w:eastAsia="es-ES_tradnl"/>
        </w:rPr>
        <w:t>Finalmente,</w:t>
      </w:r>
      <w:r w:rsidRPr="008F022D">
        <w:rPr>
          <w:rFonts w:ascii="Palatino Linotype" w:eastAsia="Calibri" w:hAnsi="Palatino Linotype" w:cs="Tahoma"/>
          <w:b/>
          <w:iCs/>
          <w:sz w:val="22"/>
          <w:szCs w:val="22"/>
          <w:lang w:val="es-ES" w:eastAsia="es-ES_tradnl"/>
        </w:rPr>
        <w:t xml:space="preserve"> </w:t>
      </w:r>
      <w:r w:rsidRPr="008F022D">
        <w:rPr>
          <w:rFonts w:ascii="Palatino Linotype" w:eastAsia="Calibri" w:hAnsi="Palatino Linotype" w:cs="Tahoma"/>
          <w:bCs/>
          <w:sz w:val="22"/>
          <w:szCs w:val="22"/>
          <w:lang w:eastAsia="en-US"/>
        </w:rPr>
        <w:t xml:space="preserve">respecto al plazo de reserva, el artículo 125 de la Ley de la materia, establece </w:t>
      </w:r>
      <w:r w:rsidRPr="008F022D">
        <w:rPr>
          <w:rFonts w:ascii="Palatino Linotype" w:hAnsi="Palatino Linotype" w:cs="Tahoma"/>
          <w:bCs/>
          <w:sz w:val="22"/>
          <w:szCs w:val="22"/>
        </w:rPr>
        <w:t>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09BED556" w14:textId="70CCE983" w:rsidR="003D48F4" w:rsidRPr="008F022D" w:rsidRDefault="003D48F4" w:rsidP="005D65AF">
      <w:pPr>
        <w:widowControl w:val="0"/>
        <w:tabs>
          <w:tab w:val="center" w:pos="4522"/>
        </w:tabs>
        <w:spacing w:line="360" w:lineRule="auto"/>
        <w:contextualSpacing/>
        <w:jc w:val="both"/>
        <w:rPr>
          <w:rFonts w:ascii="Palatino Linotype" w:eastAsiaTheme="minorHAnsi" w:hAnsi="Palatino Linotype" w:cs="Tahoma"/>
          <w:bCs/>
          <w:color w:val="000000" w:themeColor="text1"/>
          <w:sz w:val="22"/>
          <w:szCs w:val="22"/>
          <w:lang w:val="es-ES" w:eastAsia="en-US"/>
        </w:rPr>
      </w:pPr>
    </w:p>
    <w:p w14:paraId="45C06164" w14:textId="77777777" w:rsidR="00930210" w:rsidRPr="008F022D" w:rsidRDefault="00930210" w:rsidP="00930210">
      <w:pPr>
        <w:spacing w:line="360" w:lineRule="auto"/>
        <w:jc w:val="both"/>
        <w:rPr>
          <w:rFonts w:ascii="Palatino Linotype" w:eastAsia="Calibri" w:hAnsi="Palatino Linotype" w:cs="Tahoma"/>
          <w:bCs/>
          <w:iCs/>
          <w:color w:val="000000"/>
          <w:sz w:val="22"/>
          <w:szCs w:val="22"/>
          <w:lang w:val="es-ES" w:eastAsia="en-US"/>
        </w:rPr>
      </w:pPr>
      <w:r w:rsidRPr="008F022D">
        <w:rPr>
          <w:rFonts w:ascii="Palatino Linotype" w:eastAsia="Calibri" w:hAnsi="Palatino Linotype" w:cs="Tahoma"/>
          <w:bCs/>
          <w:iCs/>
          <w:color w:val="000000"/>
          <w:sz w:val="22"/>
          <w:szCs w:val="22"/>
          <w:lang w:val="es-ES_tradnl" w:eastAsia="en-US"/>
        </w:rPr>
        <w:t>Finalmente, no pasa desapercibido para este Instituto que los documentos que den cuenta de lo solicitado, pudieran contener datos o información clasificada; por lo que, en el supuesto, deberá elaborar la versión pública respectiva; a</w:t>
      </w:r>
      <w:r w:rsidRPr="008F022D">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B39CF21" w14:textId="77777777" w:rsidR="00200912" w:rsidRPr="008F022D" w:rsidRDefault="00200912" w:rsidP="00930210">
      <w:pPr>
        <w:spacing w:line="360" w:lineRule="auto"/>
        <w:jc w:val="both"/>
        <w:rPr>
          <w:rFonts w:ascii="Palatino Linotype" w:eastAsia="Calibri" w:hAnsi="Palatino Linotype" w:cs="Tahoma"/>
          <w:bCs/>
          <w:iCs/>
          <w:color w:val="000000"/>
          <w:sz w:val="22"/>
          <w:szCs w:val="22"/>
          <w:lang w:val="es-ES" w:eastAsia="en-US"/>
        </w:rPr>
      </w:pPr>
    </w:p>
    <w:p w14:paraId="4A6F9E65" w14:textId="70E4A056" w:rsidR="00930210" w:rsidRPr="008F022D" w:rsidRDefault="00930210" w:rsidP="003D1091">
      <w:pPr>
        <w:spacing w:line="360" w:lineRule="auto"/>
        <w:jc w:val="both"/>
        <w:rPr>
          <w:rFonts w:ascii="Palatino Linotype" w:eastAsia="Calibri" w:hAnsi="Palatino Linotype" w:cs="Tahoma"/>
          <w:bCs/>
          <w:iCs/>
          <w:color w:val="000000"/>
          <w:sz w:val="22"/>
          <w:szCs w:val="22"/>
          <w:lang w:val="es-ES" w:eastAsia="en-US"/>
        </w:rPr>
      </w:pPr>
      <w:r w:rsidRPr="008F022D">
        <w:rPr>
          <w:rFonts w:ascii="Palatino Linotype" w:eastAsia="Calibri" w:hAnsi="Palatino Linotype" w:cs="Tahoma"/>
          <w:bCs/>
          <w:iCs/>
          <w:color w:val="000000"/>
          <w:sz w:val="22"/>
          <w:szCs w:val="22"/>
          <w:lang w:val="es-ES" w:eastAsia="en-U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036F49A" w14:textId="77777777" w:rsidR="00CE63B9" w:rsidRPr="008F022D" w:rsidRDefault="00CE63B9" w:rsidP="00CE63B9">
      <w:pPr>
        <w:spacing w:line="360" w:lineRule="auto"/>
        <w:jc w:val="both"/>
        <w:rPr>
          <w:rFonts w:ascii="Palatino Linotype" w:hAnsi="Palatino Linotype"/>
          <w:color w:val="000000" w:themeColor="text1"/>
          <w:sz w:val="22"/>
          <w:szCs w:val="22"/>
          <w:lang w:val="es-ES"/>
        </w:rPr>
      </w:pPr>
      <w:r w:rsidRPr="008F022D">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p>
    <w:p w14:paraId="575277C8" w14:textId="77777777" w:rsidR="00CE63B9" w:rsidRPr="008F022D" w:rsidRDefault="00CE63B9" w:rsidP="00CE63B9">
      <w:pPr>
        <w:spacing w:line="360" w:lineRule="auto"/>
        <w:jc w:val="both"/>
        <w:rPr>
          <w:rFonts w:ascii="Palatino Linotype" w:hAnsi="Palatino Linotype"/>
          <w:color w:val="000000" w:themeColor="text1"/>
          <w:sz w:val="22"/>
          <w:szCs w:val="22"/>
          <w:lang w:val="es-ES"/>
        </w:rPr>
      </w:pPr>
    </w:p>
    <w:p w14:paraId="11CA2A92" w14:textId="77777777" w:rsidR="00CE63B9" w:rsidRPr="008F022D" w:rsidRDefault="00CE63B9" w:rsidP="00CE63B9">
      <w:pPr>
        <w:spacing w:line="360" w:lineRule="auto"/>
        <w:jc w:val="both"/>
        <w:rPr>
          <w:rFonts w:ascii="Palatino Linotype" w:hAnsi="Palatino Linotype" w:cs="Tahoma"/>
          <w:color w:val="000000" w:themeColor="text1"/>
          <w:sz w:val="22"/>
          <w:szCs w:val="22"/>
        </w:rPr>
      </w:pPr>
      <w:r w:rsidRPr="008F022D">
        <w:rPr>
          <w:rFonts w:ascii="Palatino Linotype" w:hAnsi="Palatino Linotype" w:cs="Tahoma"/>
          <w:color w:val="000000" w:themeColor="text1"/>
          <w:sz w:val="22"/>
          <w:szCs w:val="22"/>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13CFEF05" w14:textId="77777777" w:rsidR="00CE63B9" w:rsidRPr="008F022D" w:rsidRDefault="00CE63B9" w:rsidP="00CE63B9">
      <w:pPr>
        <w:spacing w:line="360" w:lineRule="auto"/>
        <w:ind w:right="-93"/>
        <w:jc w:val="both"/>
        <w:rPr>
          <w:rFonts w:ascii="Palatino Linotype" w:hAnsi="Palatino Linotype" w:cs="Tahoma"/>
          <w:color w:val="000000" w:themeColor="text1"/>
          <w:sz w:val="22"/>
          <w:szCs w:val="22"/>
        </w:rPr>
      </w:pPr>
    </w:p>
    <w:p w14:paraId="2B114D56" w14:textId="77777777" w:rsidR="00CE63B9" w:rsidRPr="008F022D" w:rsidRDefault="00CE63B9" w:rsidP="00CE63B9">
      <w:pPr>
        <w:spacing w:line="360" w:lineRule="auto"/>
        <w:ind w:right="-93"/>
        <w:jc w:val="both"/>
        <w:rPr>
          <w:rFonts w:ascii="Palatino Linotype" w:eastAsia="Calibri" w:hAnsi="Palatino Linotype" w:cs="Tahoma"/>
          <w:bCs/>
          <w:color w:val="000000" w:themeColor="text1"/>
          <w:sz w:val="22"/>
          <w:szCs w:val="22"/>
          <w:lang w:eastAsia="en-US"/>
        </w:rPr>
      </w:pPr>
      <w:r w:rsidRPr="008F022D">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51D0B0C3" w14:textId="77777777" w:rsidR="00CE63B9" w:rsidRPr="008F022D" w:rsidRDefault="00CE63B9" w:rsidP="00CE63B9">
      <w:pPr>
        <w:spacing w:line="360" w:lineRule="auto"/>
        <w:ind w:right="-93"/>
        <w:jc w:val="both"/>
        <w:rPr>
          <w:rFonts w:ascii="Palatino Linotype" w:eastAsia="Calibri" w:hAnsi="Palatino Linotype" w:cs="Tahoma"/>
          <w:bCs/>
          <w:color w:val="000000" w:themeColor="text1"/>
          <w:sz w:val="22"/>
          <w:szCs w:val="22"/>
          <w:lang w:eastAsia="en-US"/>
        </w:rPr>
      </w:pPr>
    </w:p>
    <w:p w14:paraId="22A5F39E" w14:textId="77777777" w:rsidR="00CE63B9" w:rsidRPr="008F022D" w:rsidRDefault="00CE63B9" w:rsidP="00CE63B9">
      <w:pPr>
        <w:spacing w:line="360" w:lineRule="auto"/>
        <w:ind w:right="-93"/>
        <w:jc w:val="both"/>
        <w:rPr>
          <w:rFonts w:ascii="Palatino Linotype" w:eastAsia="Calibri" w:hAnsi="Palatino Linotype" w:cs="Tahoma"/>
          <w:bCs/>
          <w:color w:val="000000" w:themeColor="text1"/>
          <w:sz w:val="22"/>
          <w:szCs w:val="22"/>
          <w:lang w:eastAsia="en-US"/>
        </w:rPr>
      </w:pPr>
      <w:r w:rsidRPr="008F022D">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37FADA5" w14:textId="77777777" w:rsidR="00CE63B9" w:rsidRPr="008F022D" w:rsidRDefault="00CE63B9" w:rsidP="00CE63B9">
      <w:pPr>
        <w:spacing w:line="360" w:lineRule="auto"/>
        <w:jc w:val="both"/>
        <w:rPr>
          <w:rFonts w:ascii="Palatino Linotype" w:hAnsi="Palatino Linotype"/>
          <w:color w:val="000000" w:themeColor="text1"/>
          <w:sz w:val="22"/>
          <w:szCs w:val="22"/>
          <w:lang w:val="es-ES"/>
        </w:rPr>
      </w:pPr>
    </w:p>
    <w:p w14:paraId="64356416" w14:textId="77777777" w:rsidR="00CE63B9" w:rsidRPr="008F022D" w:rsidRDefault="00CE63B9" w:rsidP="00CE63B9">
      <w:pPr>
        <w:spacing w:line="360" w:lineRule="auto"/>
        <w:jc w:val="both"/>
        <w:rPr>
          <w:rFonts w:ascii="Palatino Linotype" w:hAnsi="Palatino Linotype"/>
          <w:color w:val="000000" w:themeColor="text1"/>
          <w:sz w:val="22"/>
          <w:szCs w:val="22"/>
          <w:lang w:val="es-ES"/>
        </w:rPr>
      </w:pPr>
      <w:r w:rsidRPr="008F022D">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pues su actuar fue tendiente a poner a disposición del Particular la información con la que contaba; por lo que, no resulta </w:t>
      </w:r>
      <w:r w:rsidRPr="008F022D">
        <w:rPr>
          <w:rFonts w:ascii="Palatino Linotype" w:hAnsi="Palatino Linotype"/>
          <w:color w:val="000000" w:themeColor="text1"/>
          <w:sz w:val="22"/>
          <w:szCs w:val="22"/>
          <w:lang w:val="es-ES"/>
        </w:rPr>
        <w:lastRenderedPageBreak/>
        <w:t xml:space="preserve">procedente dar vista a la contraloría en el presente asunto. Sin embargo, se dejan a salvo los derechos del Particular, para que dé así requerirlo, presente la queja o denuncia, ante el Órgano Interno de Control del </w:t>
      </w:r>
      <w:r w:rsidRPr="008F022D">
        <w:rPr>
          <w:rFonts w:ascii="Palatino Linotype" w:hAnsi="Palatino Linotype"/>
          <w:color w:val="000000" w:themeColor="text1"/>
          <w:sz w:val="22"/>
          <w:szCs w:val="22"/>
        </w:rPr>
        <w:t>Ayuntamiento de Zinacantepec</w:t>
      </w:r>
      <w:r w:rsidRPr="008F022D">
        <w:rPr>
          <w:rFonts w:ascii="Palatino Linotype" w:hAnsi="Palatino Linotype"/>
          <w:color w:val="000000" w:themeColor="text1"/>
          <w:sz w:val="22"/>
          <w:szCs w:val="22"/>
          <w:lang w:val="es-ES"/>
        </w:rPr>
        <w:t>.</w:t>
      </w:r>
    </w:p>
    <w:p w14:paraId="6E994D9A" w14:textId="77777777" w:rsidR="00CE63B9" w:rsidRPr="008F022D" w:rsidRDefault="00CE63B9" w:rsidP="00565EE3">
      <w:pPr>
        <w:spacing w:line="360" w:lineRule="auto"/>
        <w:jc w:val="both"/>
        <w:rPr>
          <w:rFonts w:ascii="Palatino Linotype" w:hAnsi="Palatino Linotype" w:cs="Tahoma"/>
          <w:b/>
          <w:sz w:val="22"/>
          <w:szCs w:val="22"/>
          <w:lang w:eastAsia="es-MX"/>
        </w:rPr>
      </w:pPr>
    </w:p>
    <w:p w14:paraId="2F959CE7" w14:textId="1B60E0B5" w:rsidR="00A41A3B" w:rsidRPr="008F022D" w:rsidRDefault="00A41A3B" w:rsidP="00565EE3">
      <w:pPr>
        <w:spacing w:line="360" w:lineRule="auto"/>
        <w:jc w:val="both"/>
        <w:rPr>
          <w:rFonts w:ascii="Palatino Linotype" w:hAnsi="Palatino Linotype" w:cs="Tahoma"/>
          <w:b/>
          <w:sz w:val="22"/>
          <w:szCs w:val="22"/>
          <w:lang w:eastAsia="es-MX"/>
        </w:rPr>
      </w:pPr>
      <w:r w:rsidRPr="008F022D">
        <w:rPr>
          <w:rFonts w:ascii="Palatino Linotype" w:hAnsi="Palatino Linotype" w:cs="Tahoma"/>
          <w:b/>
          <w:sz w:val="22"/>
          <w:szCs w:val="22"/>
          <w:lang w:eastAsia="es-MX"/>
        </w:rPr>
        <w:t xml:space="preserve">SEXTO. Decisión. </w:t>
      </w:r>
    </w:p>
    <w:p w14:paraId="798A44EE" w14:textId="77777777" w:rsidR="009A2A84" w:rsidRPr="008F022D" w:rsidRDefault="009A2A84" w:rsidP="00565EE3">
      <w:pPr>
        <w:spacing w:line="360" w:lineRule="auto"/>
        <w:jc w:val="both"/>
        <w:rPr>
          <w:rFonts w:ascii="Palatino Linotype" w:hAnsi="Palatino Linotype" w:cs="Tahoma"/>
          <w:b/>
          <w:sz w:val="22"/>
          <w:szCs w:val="22"/>
          <w:lang w:eastAsia="es-MX"/>
        </w:rPr>
      </w:pPr>
    </w:p>
    <w:p w14:paraId="3F2516D3" w14:textId="1FB1DE40" w:rsidR="00480668" w:rsidRPr="008F022D" w:rsidRDefault="00A41A3B" w:rsidP="00565EE3">
      <w:pPr>
        <w:spacing w:line="360" w:lineRule="auto"/>
        <w:jc w:val="both"/>
        <w:rPr>
          <w:rFonts w:ascii="Palatino Linotype" w:eastAsia="Calibri" w:hAnsi="Palatino Linotype" w:cs="Tahoma"/>
          <w:iCs/>
          <w:sz w:val="22"/>
          <w:szCs w:val="22"/>
          <w:lang w:eastAsia="es-ES_tradnl"/>
        </w:rPr>
      </w:pPr>
      <w:r w:rsidRPr="008F022D">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8F022D">
        <w:rPr>
          <w:rFonts w:ascii="Palatino Linotype" w:hAnsi="Palatino Linotype" w:cs="Tahoma"/>
          <w:b/>
          <w:bCs/>
          <w:iCs/>
          <w:sz w:val="22"/>
          <w:szCs w:val="22"/>
          <w:lang w:val="es-ES_tradnl"/>
        </w:rPr>
        <w:t>REVOCAR</w:t>
      </w:r>
      <w:r w:rsidRPr="008F022D">
        <w:rPr>
          <w:rFonts w:ascii="Palatino Linotype" w:hAnsi="Palatino Linotype" w:cs="Tahoma"/>
          <w:bCs/>
          <w:sz w:val="22"/>
          <w:szCs w:val="22"/>
          <w:lang w:val="es-ES_tradnl"/>
        </w:rPr>
        <w:t xml:space="preserve"> </w:t>
      </w:r>
      <w:r w:rsidRPr="008F022D">
        <w:rPr>
          <w:rFonts w:ascii="Palatino Linotype" w:hAnsi="Palatino Linotype" w:cs="Tahoma"/>
          <w:bCs/>
          <w:sz w:val="22"/>
          <w:szCs w:val="22"/>
        </w:rPr>
        <w:t xml:space="preserve">la respuesta otorgada por el Ente Recurrido a la solicitud de acceso a la información con número </w:t>
      </w:r>
      <w:r w:rsidR="00FA7A3B" w:rsidRPr="008F022D">
        <w:rPr>
          <w:rFonts w:ascii="Palatino Linotype" w:hAnsi="Palatino Linotype" w:cs="Tahoma"/>
          <w:sz w:val="22"/>
          <w:szCs w:val="22"/>
        </w:rPr>
        <w:t>000</w:t>
      </w:r>
      <w:r w:rsidR="00352F99" w:rsidRPr="008F022D">
        <w:rPr>
          <w:rFonts w:ascii="Palatino Linotype" w:hAnsi="Palatino Linotype" w:cs="Tahoma"/>
          <w:sz w:val="22"/>
          <w:szCs w:val="22"/>
        </w:rPr>
        <w:t>83</w:t>
      </w:r>
      <w:r w:rsidR="00FA7A3B" w:rsidRPr="008F022D">
        <w:rPr>
          <w:rFonts w:ascii="Palatino Linotype" w:hAnsi="Palatino Linotype" w:cs="Tahoma"/>
          <w:sz w:val="22"/>
          <w:szCs w:val="22"/>
        </w:rPr>
        <w:t>/ZINACANT/IP/2023</w:t>
      </w:r>
      <w:r w:rsidRPr="008F022D">
        <w:rPr>
          <w:rFonts w:ascii="Palatino Linotype" w:hAnsi="Palatino Linotype" w:cs="Tahoma"/>
          <w:b/>
          <w:bCs/>
          <w:sz w:val="22"/>
          <w:szCs w:val="22"/>
        </w:rPr>
        <w:t>,</w:t>
      </w:r>
      <w:r w:rsidRPr="008F022D">
        <w:rPr>
          <w:rFonts w:ascii="Palatino Linotype" w:hAnsi="Palatino Linotype" w:cs="Tahoma"/>
          <w:bCs/>
          <w:sz w:val="22"/>
          <w:szCs w:val="22"/>
        </w:rPr>
        <w:t xml:space="preserve"> </w:t>
      </w:r>
      <w:r w:rsidRPr="008F022D">
        <w:rPr>
          <w:rFonts w:ascii="Palatino Linotype" w:hAnsi="Palatino Linotype" w:cs="Tahoma"/>
          <w:sz w:val="22"/>
          <w:szCs w:val="22"/>
        </w:rPr>
        <w:t>a efecto de que</w:t>
      </w:r>
      <w:r w:rsidRPr="008F022D">
        <w:rPr>
          <w:rFonts w:ascii="Palatino Linotype" w:eastAsia="Calibri" w:hAnsi="Palatino Linotype" w:cs="Tahoma"/>
          <w:iCs/>
          <w:sz w:val="22"/>
          <w:szCs w:val="22"/>
          <w:lang w:eastAsia="es-ES_tradnl"/>
        </w:rPr>
        <w:t>,</w:t>
      </w:r>
      <w:r w:rsidR="008E0A8F" w:rsidRPr="008F022D">
        <w:rPr>
          <w:rFonts w:ascii="Palatino Linotype" w:eastAsia="Calibri" w:hAnsi="Palatino Linotype" w:cs="Tahoma"/>
          <w:iCs/>
          <w:sz w:val="22"/>
          <w:szCs w:val="22"/>
          <w:lang w:eastAsia="es-ES_tradnl"/>
        </w:rPr>
        <w:t xml:space="preserve"> previa búsqueda exhaustiva y razonable, en todas las unidades administrativas competentes, entre las cuales no podrá omitir </w:t>
      </w:r>
      <w:r w:rsidR="00480668" w:rsidRPr="008F022D">
        <w:rPr>
          <w:rFonts w:ascii="Palatino Linotype" w:eastAsia="Calibri" w:hAnsi="Palatino Linotype" w:cs="Tahoma"/>
          <w:iCs/>
          <w:sz w:val="22"/>
          <w:szCs w:val="22"/>
          <w:lang w:eastAsia="es-ES_tradnl"/>
        </w:rPr>
        <w:t>a la Dirección de Administración</w:t>
      </w:r>
      <w:r w:rsidR="008E0A8F" w:rsidRPr="008F022D">
        <w:rPr>
          <w:rFonts w:ascii="Palatino Linotype" w:eastAsia="Calibri" w:hAnsi="Palatino Linotype" w:cs="Tahoma"/>
          <w:iCs/>
          <w:sz w:val="22"/>
          <w:szCs w:val="22"/>
          <w:lang w:eastAsia="es-ES_tradnl"/>
        </w:rPr>
        <w:t xml:space="preserve">, </w:t>
      </w:r>
      <w:r w:rsidRPr="008F022D">
        <w:rPr>
          <w:rFonts w:ascii="Palatino Linotype" w:eastAsia="Calibri" w:hAnsi="Palatino Linotype" w:cs="Tahoma"/>
          <w:iCs/>
          <w:sz w:val="22"/>
          <w:szCs w:val="22"/>
          <w:lang w:eastAsia="es-ES_tradnl"/>
        </w:rPr>
        <w:t>entregue, a través del Sistema de Acceso a la Información Mexiquense (SAIMEX),</w:t>
      </w:r>
      <w:r w:rsidR="00480668" w:rsidRPr="008F022D">
        <w:rPr>
          <w:rFonts w:ascii="Palatino Linotype" w:eastAsia="Calibri" w:hAnsi="Palatino Linotype" w:cs="Tahoma"/>
          <w:iCs/>
          <w:sz w:val="22"/>
          <w:szCs w:val="22"/>
          <w:lang w:eastAsia="es-ES_tradnl"/>
        </w:rPr>
        <w:t xml:space="preserve"> respecto a los servidores públicos que fueron dados de alta del primero de julio al treinta y uno de diciembre de dos mil veintidós, los documentos donde conste lo siguiente:</w:t>
      </w:r>
    </w:p>
    <w:p w14:paraId="05A8026A" w14:textId="77777777" w:rsidR="00480668" w:rsidRPr="008F022D" w:rsidRDefault="00480668" w:rsidP="00565EE3">
      <w:pPr>
        <w:spacing w:line="360" w:lineRule="auto"/>
        <w:jc w:val="both"/>
        <w:rPr>
          <w:rFonts w:ascii="Palatino Linotype" w:eastAsia="Calibri" w:hAnsi="Palatino Linotype" w:cs="Tahoma"/>
          <w:iCs/>
          <w:sz w:val="22"/>
          <w:szCs w:val="22"/>
          <w:lang w:eastAsia="es-ES_tradnl"/>
        </w:rPr>
      </w:pPr>
    </w:p>
    <w:p w14:paraId="197142B9" w14:textId="720E7C01" w:rsidR="00480668" w:rsidRPr="008F022D" w:rsidRDefault="00480668" w:rsidP="00480668">
      <w:pPr>
        <w:pStyle w:val="Prrafodelista"/>
        <w:numPr>
          <w:ilvl w:val="0"/>
          <w:numId w:val="8"/>
        </w:numPr>
        <w:spacing w:line="360" w:lineRule="auto"/>
        <w:jc w:val="both"/>
        <w:rPr>
          <w:rFonts w:ascii="Palatino Linotype" w:eastAsia="Calibri" w:hAnsi="Palatino Linotype" w:cs="Tahoma"/>
          <w:iCs/>
          <w:szCs w:val="22"/>
          <w:lang w:eastAsia="es-ES_tradnl"/>
        </w:rPr>
      </w:pPr>
      <w:r w:rsidRPr="008F022D">
        <w:rPr>
          <w:rFonts w:ascii="Palatino Linotype" w:eastAsia="Calibri" w:hAnsi="Palatino Linotype" w:cs="Tahoma"/>
          <w:iCs/>
          <w:szCs w:val="22"/>
          <w:lang w:eastAsia="es-ES_tradnl"/>
        </w:rPr>
        <w:t>Nombre, y</w:t>
      </w:r>
    </w:p>
    <w:p w14:paraId="24D09C72" w14:textId="38236BE4" w:rsidR="00480668" w:rsidRPr="008F022D" w:rsidRDefault="00480668" w:rsidP="00480668">
      <w:pPr>
        <w:pStyle w:val="Prrafodelista"/>
        <w:numPr>
          <w:ilvl w:val="0"/>
          <w:numId w:val="8"/>
        </w:numPr>
        <w:spacing w:line="360" w:lineRule="auto"/>
        <w:jc w:val="both"/>
        <w:rPr>
          <w:rFonts w:ascii="Palatino Linotype" w:eastAsia="Calibri" w:hAnsi="Palatino Linotype" w:cs="Tahoma"/>
          <w:iCs/>
          <w:szCs w:val="22"/>
          <w:lang w:eastAsia="es-ES_tradnl"/>
        </w:rPr>
      </w:pPr>
      <w:r w:rsidRPr="008F022D">
        <w:rPr>
          <w:rFonts w:ascii="Palatino Linotype" w:eastAsia="Calibri" w:hAnsi="Palatino Linotype" w:cs="Tahoma"/>
          <w:iCs/>
          <w:szCs w:val="22"/>
          <w:lang w:eastAsia="es-ES_tradnl"/>
        </w:rPr>
        <w:t>Recibos de nómina, de la primera quincena en que iniciaron laborales a la segunda quincena de diciembre de dos mil veintidós.</w:t>
      </w:r>
    </w:p>
    <w:p w14:paraId="72DE182B" w14:textId="77777777" w:rsidR="00480668" w:rsidRPr="008F022D" w:rsidRDefault="00480668" w:rsidP="00565EE3">
      <w:pPr>
        <w:spacing w:line="360" w:lineRule="auto"/>
        <w:jc w:val="both"/>
        <w:rPr>
          <w:rFonts w:ascii="Palatino Linotype" w:eastAsia="Calibri" w:hAnsi="Palatino Linotype" w:cs="Tahoma"/>
          <w:iCs/>
          <w:sz w:val="22"/>
          <w:szCs w:val="22"/>
          <w:lang w:eastAsia="es-ES_tradnl"/>
        </w:rPr>
      </w:pPr>
    </w:p>
    <w:p w14:paraId="049DC4AC" w14:textId="55112D83" w:rsidR="00441498" w:rsidRPr="008F022D" w:rsidRDefault="00441498" w:rsidP="00441498">
      <w:pPr>
        <w:spacing w:line="360" w:lineRule="auto"/>
        <w:jc w:val="both"/>
        <w:rPr>
          <w:rFonts w:ascii="Palatino Linotype" w:hAnsi="Palatino Linotype" w:cs="Tahoma"/>
          <w:bCs/>
          <w:iCs/>
          <w:sz w:val="22"/>
          <w:szCs w:val="22"/>
        </w:rPr>
      </w:pPr>
      <w:r w:rsidRPr="008F022D">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w:t>
      </w:r>
      <w:r w:rsidR="003018F4" w:rsidRPr="008F022D">
        <w:rPr>
          <w:rFonts w:ascii="Palatino Linotype" w:hAnsi="Palatino Linotype" w:cs="Tahoma"/>
          <w:bCs/>
          <w:iCs/>
          <w:sz w:val="22"/>
          <w:szCs w:val="22"/>
        </w:rPr>
        <w:t xml:space="preserve"> Para el caso, de </w:t>
      </w:r>
      <w:r w:rsidR="00200912" w:rsidRPr="008F022D">
        <w:rPr>
          <w:rFonts w:ascii="Palatino Linotype" w:hAnsi="Palatino Linotype" w:cs="Tahoma"/>
          <w:bCs/>
          <w:iCs/>
          <w:sz w:val="22"/>
          <w:szCs w:val="22"/>
        </w:rPr>
        <w:t>que no hubiera altas, en el periodo solicitado,</w:t>
      </w:r>
      <w:r w:rsidR="003018F4" w:rsidRPr="008F022D">
        <w:rPr>
          <w:rFonts w:ascii="Palatino Linotype" w:hAnsi="Palatino Linotype" w:cs="Tahoma"/>
          <w:bCs/>
          <w:iCs/>
          <w:sz w:val="22"/>
          <w:szCs w:val="22"/>
        </w:rPr>
        <w:t xml:space="preserve"> deberá hacerlo del conocimiento del Recurrente, de manera clara y precisa.</w:t>
      </w:r>
    </w:p>
    <w:p w14:paraId="7CA9F75A" w14:textId="77777777" w:rsidR="00A41A3B" w:rsidRPr="008F022D" w:rsidRDefault="00A41A3B" w:rsidP="00565EE3">
      <w:pPr>
        <w:spacing w:line="360" w:lineRule="auto"/>
        <w:jc w:val="both"/>
        <w:rPr>
          <w:rFonts w:ascii="Palatino Linotype" w:hAnsi="Palatino Linotype" w:cs="Tahoma"/>
          <w:szCs w:val="22"/>
        </w:rPr>
      </w:pPr>
    </w:p>
    <w:p w14:paraId="1F83349A" w14:textId="77777777" w:rsidR="00A41A3B" w:rsidRPr="008F022D" w:rsidRDefault="00A41A3B" w:rsidP="00565EE3">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8F022D">
        <w:rPr>
          <w:rFonts w:ascii="Palatino Linotype" w:eastAsia="Calibri" w:hAnsi="Palatino Linotype" w:cs="Tahoma"/>
          <w:b/>
          <w:bCs/>
          <w:iCs/>
          <w:sz w:val="22"/>
          <w:szCs w:val="22"/>
          <w:lang w:val="es-ES" w:eastAsia="en-US"/>
        </w:rPr>
        <w:t>Términos de la Resolución para conocimiento del Particular.</w:t>
      </w:r>
    </w:p>
    <w:p w14:paraId="0785C9FF" w14:textId="77777777" w:rsidR="00A41A3B" w:rsidRPr="008F022D" w:rsidRDefault="00A41A3B" w:rsidP="00565EE3">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7AD3BD9" w14:textId="35C65ADE" w:rsidR="00200912" w:rsidRPr="008F022D" w:rsidRDefault="00441498" w:rsidP="00CE63B9">
      <w:pPr>
        <w:spacing w:line="360" w:lineRule="auto"/>
        <w:jc w:val="both"/>
        <w:rPr>
          <w:rFonts w:ascii="Palatino Linotype" w:eastAsia="Calibri" w:hAnsi="Palatino Linotype" w:cs="Tahoma"/>
          <w:bCs/>
          <w:iCs/>
          <w:color w:val="000000" w:themeColor="text1"/>
          <w:sz w:val="22"/>
          <w:szCs w:val="22"/>
          <w:lang w:eastAsia="en-US"/>
        </w:rPr>
      </w:pPr>
      <w:r w:rsidRPr="008F022D">
        <w:rPr>
          <w:rFonts w:ascii="Palatino Linotype" w:hAnsi="Palatino Linotype" w:cs="Tahoma"/>
          <w:iCs/>
          <w:sz w:val="22"/>
          <w:szCs w:val="22"/>
        </w:rPr>
        <w:lastRenderedPageBreak/>
        <w:t xml:space="preserve">Se le hace del conocimiento a la ahora Recurrente, que, en el presente caso, </w:t>
      </w:r>
      <w:r w:rsidRPr="008F022D">
        <w:rPr>
          <w:rFonts w:ascii="Palatino Linotype" w:hAnsi="Palatino Linotype" w:cs="Tahoma"/>
          <w:bCs/>
          <w:iCs/>
          <w:sz w:val="22"/>
          <w:szCs w:val="22"/>
          <w:lang w:val="es-ES"/>
        </w:rPr>
        <w:t xml:space="preserve">se le da la razón, </w:t>
      </w:r>
      <w:r w:rsidR="00200912" w:rsidRPr="008F022D">
        <w:rPr>
          <w:rFonts w:ascii="Palatino Linotype" w:hAnsi="Palatino Linotype" w:cs="Tahoma"/>
          <w:bCs/>
          <w:iCs/>
          <w:sz w:val="22"/>
          <w:szCs w:val="22"/>
          <w:lang w:val="es-ES"/>
        </w:rPr>
        <w:t>pues el Sujeto Obligado proporcionó información que no corresponde con lo solicitado, por lo que, deberá entregarle los documentos donde conste lo requerido, siempre y cuando hubiera altas en el segundo semestre del ejercicio fiscal dos mil veintidós.</w:t>
      </w:r>
      <w:r w:rsidR="00CE63B9" w:rsidRPr="008F022D">
        <w:rPr>
          <w:rFonts w:ascii="Palatino Linotype" w:hAnsi="Palatino Linotype" w:cs="Tahoma"/>
          <w:bCs/>
          <w:iCs/>
          <w:sz w:val="22"/>
          <w:szCs w:val="22"/>
          <w:lang w:val="es-ES"/>
        </w:rPr>
        <w:t xml:space="preserve"> </w:t>
      </w:r>
      <w:r w:rsidR="00200912" w:rsidRPr="008F022D">
        <w:rPr>
          <w:rFonts w:ascii="Palatino Linotype" w:eastAsia="Calibri" w:hAnsi="Palatino Linotype" w:cs="Tahoma"/>
          <w:bCs/>
          <w:iCs/>
          <w:color w:val="000000" w:themeColor="text1"/>
          <w:sz w:val="22"/>
          <w:szCs w:val="22"/>
          <w:lang w:eastAsia="en-US"/>
        </w:rPr>
        <w:t>Finalmente, se le informa que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14:paraId="056A44AD" w14:textId="58D94C4E" w:rsidR="00441498" w:rsidRPr="008F022D" w:rsidRDefault="00441498" w:rsidP="00441498">
      <w:pPr>
        <w:spacing w:line="360" w:lineRule="auto"/>
        <w:jc w:val="both"/>
        <w:rPr>
          <w:rFonts w:ascii="Palatino Linotype" w:hAnsi="Palatino Linotype" w:cs="Tahoma"/>
          <w:bCs/>
          <w:iCs/>
          <w:sz w:val="22"/>
          <w:szCs w:val="22"/>
          <w:lang w:val="es-ES_tradnl"/>
        </w:rPr>
      </w:pPr>
    </w:p>
    <w:p w14:paraId="506199D1" w14:textId="77777777" w:rsidR="00A41A3B" w:rsidRPr="008F022D" w:rsidRDefault="00A41A3B" w:rsidP="00565EE3">
      <w:pPr>
        <w:autoSpaceDE w:val="0"/>
        <w:autoSpaceDN w:val="0"/>
        <w:adjustRightInd w:val="0"/>
        <w:spacing w:line="360" w:lineRule="auto"/>
        <w:jc w:val="both"/>
        <w:rPr>
          <w:rFonts w:ascii="Palatino Linotype" w:eastAsia="Calibri" w:hAnsi="Palatino Linotype" w:cs="Tahoma"/>
          <w:bCs/>
          <w:iCs/>
          <w:sz w:val="22"/>
          <w:szCs w:val="22"/>
          <w:lang w:eastAsia="en-US"/>
        </w:rPr>
      </w:pPr>
      <w:r w:rsidRPr="008F022D">
        <w:rPr>
          <w:rFonts w:ascii="Palatino Linotype" w:eastAsia="Calibri" w:hAnsi="Palatino Linotype" w:cs="Tahoma"/>
          <w:bCs/>
          <w:iCs/>
          <w:sz w:val="22"/>
          <w:szCs w:val="22"/>
          <w:lang w:eastAsia="en-US"/>
        </w:rPr>
        <w:t>Por lo expuesto y fundado, este Pleno:</w:t>
      </w:r>
    </w:p>
    <w:p w14:paraId="4B56C4D0" w14:textId="77777777" w:rsidR="00A41A3B" w:rsidRPr="008F022D" w:rsidRDefault="00A41A3B" w:rsidP="00565EE3">
      <w:pPr>
        <w:autoSpaceDE w:val="0"/>
        <w:autoSpaceDN w:val="0"/>
        <w:adjustRightInd w:val="0"/>
        <w:spacing w:line="360" w:lineRule="auto"/>
        <w:jc w:val="both"/>
        <w:rPr>
          <w:rFonts w:ascii="Palatino Linotype" w:eastAsia="Calibri" w:hAnsi="Palatino Linotype" w:cs="Tahoma"/>
          <w:bCs/>
          <w:iCs/>
          <w:sz w:val="22"/>
          <w:szCs w:val="22"/>
          <w:lang w:eastAsia="en-US"/>
        </w:rPr>
      </w:pPr>
    </w:p>
    <w:p w14:paraId="5AC929E4" w14:textId="77777777" w:rsidR="00A41A3B" w:rsidRPr="008F022D" w:rsidRDefault="00A41A3B" w:rsidP="00565EE3">
      <w:pPr>
        <w:spacing w:line="360" w:lineRule="auto"/>
        <w:ind w:right="-28"/>
        <w:jc w:val="center"/>
        <w:rPr>
          <w:rFonts w:ascii="Palatino Linotype" w:eastAsia="Calibri" w:hAnsi="Palatino Linotype" w:cs="Tahoma"/>
          <w:b/>
          <w:bCs/>
          <w:sz w:val="22"/>
          <w:szCs w:val="22"/>
        </w:rPr>
      </w:pPr>
      <w:r w:rsidRPr="008F022D">
        <w:rPr>
          <w:rFonts w:ascii="Palatino Linotype" w:eastAsia="Calibri" w:hAnsi="Palatino Linotype" w:cs="Tahoma"/>
          <w:b/>
          <w:bCs/>
          <w:sz w:val="22"/>
          <w:szCs w:val="22"/>
        </w:rPr>
        <w:t>R E S U E L V E:</w:t>
      </w:r>
    </w:p>
    <w:p w14:paraId="7258F0DC" w14:textId="77777777" w:rsidR="00A41A3B" w:rsidRPr="008F022D" w:rsidRDefault="00A41A3B" w:rsidP="00565EE3">
      <w:pPr>
        <w:spacing w:line="360" w:lineRule="auto"/>
        <w:rPr>
          <w:rFonts w:ascii="Palatino Linotype" w:hAnsi="Palatino Linotype"/>
          <w:sz w:val="22"/>
          <w:szCs w:val="22"/>
          <w:lang w:val="es-ES" w:eastAsia="es-ES_tradnl"/>
        </w:rPr>
      </w:pPr>
    </w:p>
    <w:p w14:paraId="591D0A60" w14:textId="5BD85154" w:rsidR="00A41A3B" w:rsidRPr="008F022D" w:rsidRDefault="00A41A3B" w:rsidP="00565EE3">
      <w:pPr>
        <w:spacing w:line="360" w:lineRule="auto"/>
        <w:ind w:right="-28"/>
        <w:jc w:val="both"/>
        <w:rPr>
          <w:rFonts w:ascii="Palatino Linotype" w:hAnsi="Palatino Linotype" w:cs="Tahoma"/>
          <w:color w:val="0D0D0D" w:themeColor="text1" w:themeTint="F2"/>
          <w:sz w:val="22"/>
          <w:szCs w:val="22"/>
        </w:rPr>
      </w:pPr>
      <w:r w:rsidRPr="008F022D">
        <w:rPr>
          <w:rFonts w:ascii="Palatino Linotype" w:hAnsi="Palatino Linotype" w:cs="Tahoma"/>
          <w:b/>
          <w:bCs/>
          <w:sz w:val="22"/>
          <w:szCs w:val="22"/>
        </w:rPr>
        <w:t xml:space="preserve">PRIMERO. </w:t>
      </w:r>
      <w:r w:rsidRPr="008F022D">
        <w:rPr>
          <w:rFonts w:ascii="Palatino Linotype" w:hAnsi="Palatino Linotype" w:cs="Tahoma"/>
          <w:bCs/>
          <w:sz w:val="22"/>
          <w:szCs w:val="22"/>
        </w:rPr>
        <w:t xml:space="preserve">Se </w:t>
      </w:r>
      <w:r w:rsidRPr="008F022D">
        <w:rPr>
          <w:rFonts w:ascii="Palatino Linotype" w:hAnsi="Palatino Linotype" w:cs="Tahoma"/>
          <w:b/>
          <w:bCs/>
          <w:sz w:val="22"/>
          <w:szCs w:val="22"/>
        </w:rPr>
        <w:t>REVOCA</w:t>
      </w:r>
      <w:r w:rsidRPr="008F022D">
        <w:rPr>
          <w:rFonts w:ascii="Palatino Linotype" w:hAnsi="Palatino Linotype" w:cs="Tahoma"/>
          <w:bCs/>
          <w:sz w:val="22"/>
          <w:szCs w:val="22"/>
        </w:rPr>
        <w:t xml:space="preserve"> la respuesta entregada por </w:t>
      </w:r>
      <w:r w:rsidR="00FA7A3B" w:rsidRPr="008F022D">
        <w:rPr>
          <w:rFonts w:ascii="Palatino Linotype" w:hAnsi="Palatino Linotype" w:cs="Tahoma"/>
          <w:bCs/>
          <w:sz w:val="22"/>
          <w:szCs w:val="22"/>
        </w:rPr>
        <w:t>el</w:t>
      </w:r>
      <w:r w:rsidRPr="008F022D">
        <w:rPr>
          <w:rFonts w:ascii="Palatino Linotype" w:hAnsi="Palatino Linotype" w:cs="Tahoma"/>
          <w:bCs/>
          <w:sz w:val="22"/>
          <w:szCs w:val="22"/>
        </w:rPr>
        <w:t xml:space="preserve"> </w:t>
      </w:r>
      <w:r w:rsidR="00FA7A3B" w:rsidRPr="008F022D">
        <w:rPr>
          <w:rFonts w:ascii="Palatino Linotype" w:hAnsi="Palatino Linotype" w:cs="Tahoma"/>
          <w:color w:val="0D0D0D" w:themeColor="text1" w:themeTint="F2"/>
          <w:sz w:val="22"/>
          <w:szCs w:val="22"/>
        </w:rPr>
        <w:t>Ayuntamiento de Zinacantepec</w:t>
      </w:r>
      <w:r w:rsidR="00873C6B" w:rsidRPr="008F022D">
        <w:rPr>
          <w:rFonts w:ascii="Palatino Linotype" w:hAnsi="Palatino Linotype" w:cs="Tahoma"/>
          <w:color w:val="0D0D0D" w:themeColor="text1" w:themeTint="F2"/>
          <w:sz w:val="22"/>
          <w:szCs w:val="22"/>
        </w:rPr>
        <w:t xml:space="preserve"> </w:t>
      </w:r>
      <w:r w:rsidRPr="008F022D">
        <w:rPr>
          <w:rFonts w:ascii="Palatino Linotype" w:hAnsi="Palatino Linotype" w:cs="Tahoma"/>
          <w:bCs/>
          <w:sz w:val="22"/>
          <w:szCs w:val="22"/>
        </w:rPr>
        <w:t xml:space="preserve">a la solicitud de información </w:t>
      </w:r>
      <w:r w:rsidR="003018F4" w:rsidRPr="008F022D">
        <w:rPr>
          <w:rFonts w:ascii="Palatino Linotype" w:eastAsia="Calibri" w:hAnsi="Palatino Linotype" w:cs="Tahoma"/>
          <w:sz w:val="22"/>
          <w:szCs w:val="22"/>
          <w:lang w:eastAsia="en-US"/>
        </w:rPr>
        <w:t>000</w:t>
      </w:r>
      <w:r w:rsidR="00352F99" w:rsidRPr="008F022D">
        <w:rPr>
          <w:rFonts w:ascii="Palatino Linotype" w:eastAsia="Calibri" w:hAnsi="Palatino Linotype" w:cs="Tahoma"/>
          <w:sz w:val="22"/>
          <w:szCs w:val="22"/>
          <w:lang w:eastAsia="en-US"/>
        </w:rPr>
        <w:t>83</w:t>
      </w:r>
      <w:r w:rsidR="003018F4" w:rsidRPr="008F022D">
        <w:rPr>
          <w:rFonts w:ascii="Palatino Linotype" w:eastAsia="Calibri" w:hAnsi="Palatino Linotype" w:cs="Tahoma"/>
          <w:sz w:val="22"/>
          <w:szCs w:val="22"/>
          <w:lang w:eastAsia="en-US"/>
        </w:rPr>
        <w:t>/ZINACANT/IP/2023</w:t>
      </w:r>
      <w:r w:rsidRPr="008F022D">
        <w:rPr>
          <w:rFonts w:ascii="Palatino Linotype" w:eastAsia="Calibri" w:hAnsi="Palatino Linotype" w:cs="Tahoma"/>
          <w:color w:val="000000"/>
          <w:sz w:val="22"/>
          <w:szCs w:val="22"/>
        </w:rPr>
        <w:t>,</w:t>
      </w:r>
      <w:r w:rsidRPr="008F022D">
        <w:rPr>
          <w:rFonts w:ascii="Palatino Linotype" w:eastAsia="Calibri" w:hAnsi="Palatino Linotype" w:cs="Tahoma"/>
          <w:b/>
          <w:bCs/>
          <w:color w:val="000000"/>
          <w:sz w:val="22"/>
          <w:szCs w:val="22"/>
        </w:rPr>
        <w:t xml:space="preserve"> </w:t>
      </w:r>
      <w:r w:rsidRPr="008F022D">
        <w:rPr>
          <w:rFonts w:ascii="Palatino Linotype" w:hAnsi="Palatino Linotype"/>
          <w:sz w:val="22"/>
          <w:szCs w:val="22"/>
        </w:rPr>
        <w:t xml:space="preserve">por resultar </w:t>
      </w:r>
      <w:r w:rsidRPr="008F022D">
        <w:rPr>
          <w:rFonts w:ascii="Palatino Linotype" w:hAnsi="Palatino Linotype"/>
          <w:b/>
          <w:bCs/>
          <w:sz w:val="22"/>
          <w:szCs w:val="22"/>
        </w:rPr>
        <w:t xml:space="preserve">FUNDADOS </w:t>
      </w:r>
      <w:r w:rsidRPr="008F022D">
        <w:rPr>
          <w:rFonts w:ascii="Palatino Linotype" w:hAnsi="Palatino Linotype"/>
          <w:sz w:val="22"/>
          <w:szCs w:val="22"/>
        </w:rPr>
        <w:t>los motivos de inconformidad vertidos por el Recurrente, en términos de los Considerandos</w:t>
      </w:r>
      <w:r w:rsidRPr="008F022D">
        <w:rPr>
          <w:rFonts w:ascii="Palatino Linotype" w:hAnsi="Palatino Linotype"/>
          <w:b/>
          <w:bCs/>
          <w:sz w:val="22"/>
          <w:szCs w:val="22"/>
        </w:rPr>
        <w:t xml:space="preserve"> </w:t>
      </w:r>
      <w:r w:rsidRPr="008F022D">
        <w:rPr>
          <w:rFonts w:ascii="Palatino Linotype" w:hAnsi="Palatino Linotype"/>
          <w:bCs/>
          <w:sz w:val="22"/>
          <w:szCs w:val="22"/>
        </w:rPr>
        <w:t xml:space="preserve">QUINTO </w:t>
      </w:r>
      <w:r w:rsidRPr="008F022D">
        <w:rPr>
          <w:rFonts w:ascii="Palatino Linotype" w:hAnsi="Palatino Linotype"/>
          <w:sz w:val="22"/>
          <w:szCs w:val="22"/>
        </w:rPr>
        <w:t>y</w:t>
      </w:r>
      <w:r w:rsidRPr="008F022D">
        <w:rPr>
          <w:rFonts w:ascii="Palatino Linotype" w:hAnsi="Palatino Linotype"/>
          <w:bCs/>
          <w:sz w:val="22"/>
          <w:szCs w:val="22"/>
        </w:rPr>
        <w:t xml:space="preserve"> SEXTO </w:t>
      </w:r>
      <w:r w:rsidRPr="008F022D">
        <w:rPr>
          <w:rFonts w:ascii="Palatino Linotype" w:hAnsi="Palatino Linotype"/>
          <w:sz w:val="22"/>
          <w:szCs w:val="22"/>
        </w:rPr>
        <w:t xml:space="preserve">de la presente Resolución. </w:t>
      </w:r>
    </w:p>
    <w:p w14:paraId="4A23F8CA" w14:textId="77777777" w:rsidR="00A41A3B" w:rsidRPr="008F022D" w:rsidRDefault="00A41A3B" w:rsidP="002D2EE5">
      <w:pPr>
        <w:spacing w:line="360" w:lineRule="auto"/>
        <w:jc w:val="both"/>
        <w:rPr>
          <w:rFonts w:ascii="Palatino Linotype" w:eastAsia="Calibri" w:hAnsi="Palatino Linotype" w:cs="Tahoma"/>
          <w:sz w:val="22"/>
          <w:szCs w:val="22"/>
        </w:rPr>
      </w:pPr>
    </w:p>
    <w:p w14:paraId="5DC613ED" w14:textId="6BDAE46D" w:rsidR="00200912" w:rsidRPr="008F022D" w:rsidRDefault="00A41A3B" w:rsidP="00200912">
      <w:pPr>
        <w:spacing w:line="360" w:lineRule="auto"/>
        <w:jc w:val="both"/>
        <w:rPr>
          <w:rFonts w:ascii="Palatino Linotype" w:eastAsia="Calibri" w:hAnsi="Palatino Linotype" w:cs="Tahoma"/>
          <w:iCs/>
          <w:sz w:val="22"/>
          <w:szCs w:val="22"/>
          <w:lang w:eastAsia="es-ES_tradnl"/>
        </w:rPr>
      </w:pPr>
      <w:r w:rsidRPr="008F022D">
        <w:rPr>
          <w:rFonts w:ascii="Palatino Linotype" w:eastAsia="Calibri" w:hAnsi="Palatino Linotype" w:cs="Tahoma"/>
          <w:b/>
          <w:bCs/>
          <w:sz w:val="22"/>
          <w:szCs w:val="22"/>
        </w:rPr>
        <w:t xml:space="preserve">SEGUNDO. </w:t>
      </w:r>
      <w:r w:rsidRPr="008F022D">
        <w:rPr>
          <w:rFonts w:ascii="Palatino Linotype" w:hAnsi="Palatino Linotype" w:cs="Arial"/>
          <w:sz w:val="22"/>
          <w:szCs w:val="24"/>
          <w:lang w:val="es-ES_tradnl"/>
        </w:rPr>
        <w:t>S</w:t>
      </w:r>
      <w:r w:rsidRPr="008F022D">
        <w:rPr>
          <w:rFonts w:ascii="Palatino Linotype" w:hAnsi="Palatino Linotype" w:cs="Tahoma"/>
          <w:bCs/>
          <w:iCs/>
          <w:sz w:val="22"/>
          <w:szCs w:val="22"/>
          <w:lang w:val="es-ES_tradnl"/>
        </w:rPr>
        <w:t xml:space="preserve">e </w:t>
      </w:r>
      <w:r w:rsidRPr="008F022D">
        <w:rPr>
          <w:rFonts w:ascii="Palatino Linotype" w:hAnsi="Palatino Linotype" w:cs="Tahoma"/>
          <w:b/>
          <w:bCs/>
          <w:iCs/>
          <w:caps/>
          <w:sz w:val="22"/>
          <w:szCs w:val="22"/>
          <w:lang w:val="es-ES_tradnl"/>
        </w:rPr>
        <w:t>ordena</w:t>
      </w:r>
      <w:r w:rsidRPr="008F022D">
        <w:rPr>
          <w:rFonts w:ascii="Palatino Linotype" w:hAnsi="Palatino Linotype" w:cs="Tahoma"/>
          <w:bCs/>
          <w:iCs/>
          <w:sz w:val="22"/>
          <w:szCs w:val="22"/>
          <w:lang w:val="es-ES_tradnl"/>
        </w:rPr>
        <w:t xml:space="preserve"> a</w:t>
      </w:r>
      <w:r w:rsidR="00DD0BDB" w:rsidRPr="008F022D">
        <w:rPr>
          <w:rFonts w:ascii="Palatino Linotype" w:hAnsi="Palatino Linotype" w:cs="Tahoma"/>
          <w:bCs/>
          <w:iCs/>
          <w:sz w:val="22"/>
          <w:szCs w:val="22"/>
          <w:lang w:val="es-ES_tradnl"/>
        </w:rPr>
        <w:t>l</w:t>
      </w:r>
      <w:r w:rsidRPr="008F022D">
        <w:rPr>
          <w:rFonts w:ascii="Palatino Linotype" w:hAnsi="Palatino Linotype" w:cs="Tahoma"/>
          <w:bCs/>
          <w:iCs/>
          <w:sz w:val="22"/>
          <w:szCs w:val="22"/>
          <w:lang w:val="es-ES_tradnl"/>
        </w:rPr>
        <w:t xml:space="preserve"> </w:t>
      </w:r>
      <w:r w:rsidR="00DD0BDB" w:rsidRPr="008F022D">
        <w:rPr>
          <w:rFonts w:ascii="Palatino Linotype" w:hAnsi="Palatino Linotype" w:cs="Tahoma"/>
          <w:bCs/>
          <w:iCs/>
          <w:sz w:val="22"/>
          <w:szCs w:val="22"/>
          <w:lang w:val="es-ES_tradnl"/>
        </w:rPr>
        <w:t>Ayuntamiento de Zinacantepec</w:t>
      </w:r>
      <w:r w:rsidRPr="008F022D">
        <w:rPr>
          <w:rFonts w:ascii="Palatino Linotype" w:hAnsi="Palatino Linotype" w:cs="Tahoma"/>
          <w:bCs/>
          <w:iCs/>
          <w:sz w:val="22"/>
          <w:szCs w:val="22"/>
          <w:lang w:val="es-ES_tradnl"/>
        </w:rPr>
        <w:t>,</w:t>
      </w:r>
      <w:r w:rsidRPr="008F022D">
        <w:rPr>
          <w:rFonts w:ascii="Palatino Linotype" w:hAnsi="Palatino Linotype" w:cs="Tahoma"/>
          <w:bCs/>
          <w:sz w:val="22"/>
          <w:szCs w:val="22"/>
          <w:lang w:val="es-ES_tradnl"/>
        </w:rPr>
        <w:t xml:space="preserve"> </w:t>
      </w:r>
      <w:r w:rsidR="00441498" w:rsidRPr="008F022D">
        <w:rPr>
          <w:rFonts w:ascii="Palatino Linotype" w:hAnsi="Palatino Linotype" w:cs="Tahoma"/>
          <w:sz w:val="22"/>
          <w:szCs w:val="22"/>
        </w:rPr>
        <w:t xml:space="preserve">a efecto de que, previa búsqueda exhaustiva y razonable, en todas las áreas competentes, entregue, a través del Sistema de Acceso a la Información Mexiquense (SAIMEX), </w:t>
      </w:r>
      <w:r w:rsidR="00200912" w:rsidRPr="008F022D">
        <w:rPr>
          <w:rFonts w:ascii="Palatino Linotype" w:eastAsia="Calibri" w:hAnsi="Palatino Linotype" w:cs="Tahoma"/>
          <w:iCs/>
          <w:sz w:val="22"/>
          <w:szCs w:val="22"/>
          <w:lang w:eastAsia="es-ES_tradnl"/>
        </w:rPr>
        <w:t>respecto a los servidores públicos que fueron dados de alta del primero de julio al treinta y uno de diciembre de dos mil veintidós, en su caso, en versión pública, los documentos donde conste lo siguiente:</w:t>
      </w:r>
    </w:p>
    <w:p w14:paraId="12F754D3" w14:textId="77777777" w:rsidR="00200912" w:rsidRPr="008F022D" w:rsidRDefault="00200912" w:rsidP="00200912">
      <w:pPr>
        <w:spacing w:line="360" w:lineRule="auto"/>
        <w:jc w:val="both"/>
        <w:rPr>
          <w:rFonts w:ascii="Palatino Linotype" w:eastAsia="Calibri" w:hAnsi="Palatino Linotype" w:cs="Tahoma"/>
          <w:iCs/>
          <w:sz w:val="22"/>
          <w:szCs w:val="22"/>
          <w:lang w:eastAsia="es-ES_tradnl"/>
        </w:rPr>
      </w:pPr>
    </w:p>
    <w:p w14:paraId="357DE171" w14:textId="77777777" w:rsidR="00200912" w:rsidRPr="008F022D" w:rsidRDefault="00200912" w:rsidP="00200912">
      <w:pPr>
        <w:pStyle w:val="Prrafodelista"/>
        <w:numPr>
          <w:ilvl w:val="0"/>
          <w:numId w:val="8"/>
        </w:numPr>
        <w:spacing w:line="360" w:lineRule="auto"/>
        <w:jc w:val="both"/>
        <w:rPr>
          <w:rFonts w:ascii="Palatino Linotype" w:eastAsia="Calibri" w:hAnsi="Palatino Linotype" w:cs="Tahoma"/>
          <w:iCs/>
          <w:szCs w:val="22"/>
          <w:lang w:eastAsia="es-ES_tradnl"/>
        </w:rPr>
      </w:pPr>
      <w:r w:rsidRPr="008F022D">
        <w:rPr>
          <w:rFonts w:ascii="Palatino Linotype" w:eastAsia="Calibri" w:hAnsi="Palatino Linotype" w:cs="Tahoma"/>
          <w:iCs/>
          <w:szCs w:val="22"/>
          <w:lang w:eastAsia="es-ES_tradnl"/>
        </w:rPr>
        <w:t>Nombre, y</w:t>
      </w:r>
    </w:p>
    <w:p w14:paraId="2FDF7F47" w14:textId="77777777" w:rsidR="00200912" w:rsidRPr="008F022D" w:rsidRDefault="00200912" w:rsidP="00200912">
      <w:pPr>
        <w:pStyle w:val="Prrafodelista"/>
        <w:numPr>
          <w:ilvl w:val="0"/>
          <w:numId w:val="8"/>
        </w:numPr>
        <w:spacing w:line="360" w:lineRule="auto"/>
        <w:jc w:val="both"/>
        <w:rPr>
          <w:rFonts w:ascii="Palatino Linotype" w:eastAsia="Calibri" w:hAnsi="Palatino Linotype" w:cs="Tahoma"/>
          <w:iCs/>
          <w:szCs w:val="22"/>
          <w:lang w:eastAsia="es-ES_tradnl"/>
        </w:rPr>
      </w:pPr>
      <w:r w:rsidRPr="008F022D">
        <w:rPr>
          <w:rFonts w:ascii="Palatino Linotype" w:eastAsia="Calibri" w:hAnsi="Palatino Linotype" w:cs="Tahoma"/>
          <w:iCs/>
          <w:szCs w:val="22"/>
          <w:lang w:eastAsia="es-ES_tradnl"/>
        </w:rPr>
        <w:t>Recibos de nómina, de la primera quincena en que iniciaron laborales a la segunda quincena de diciembre de dos mil veintidós.</w:t>
      </w:r>
    </w:p>
    <w:p w14:paraId="28A8C9BD" w14:textId="0956B0B7" w:rsidR="00441498" w:rsidRPr="008F022D" w:rsidRDefault="00441498" w:rsidP="00565EE3">
      <w:pPr>
        <w:spacing w:line="360" w:lineRule="auto"/>
        <w:jc w:val="both"/>
        <w:rPr>
          <w:rFonts w:ascii="Palatino Linotype" w:hAnsi="Palatino Linotype" w:cs="Tahoma"/>
          <w:sz w:val="22"/>
          <w:szCs w:val="22"/>
        </w:rPr>
      </w:pPr>
    </w:p>
    <w:p w14:paraId="7A34AB8A" w14:textId="150FC123" w:rsidR="00441498" w:rsidRPr="008F022D" w:rsidRDefault="001D1D33" w:rsidP="001D1D33">
      <w:pPr>
        <w:spacing w:line="360" w:lineRule="auto"/>
        <w:jc w:val="both"/>
        <w:rPr>
          <w:rFonts w:ascii="Palatino Linotype" w:eastAsia="Calibri" w:hAnsi="Palatino Linotype" w:cs="Tahoma"/>
          <w:iCs/>
          <w:color w:val="000000"/>
          <w:sz w:val="22"/>
          <w:szCs w:val="22"/>
          <w:lang w:val="es-ES" w:eastAsia="es-ES_tradnl"/>
        </w:rPr>
      </w:pPr>
      <w:r w:rsidRPr="008F022D">
        <w:rPr>
          <w:rFonts w:ascii="Palatino Linotype" w:eastAsia="Calibri" w:hAnsi="Palatino Linotype" w:cs="Tahoma"/>
          <w:iCs/>
          <w:color w:val="000000"/>
          <w:sz w:val="22"/>
          <w:szCs w:val="22"/>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7950DC7" w14:textId="77777777" w:rsidR="003018F4" w:rsidRPr="008F022D" w:rsidRDefault="003018F4" w:rsidP="001D1D33">
      <w:pPr>
        <w:spacing w:line="360" w:lineRule="auto"/>
        <w:jc w:val="both"/>
        <w:rPr>
          <w:rFonts w:ascii="Palatino Linotype" w:eastAsia="Calibri" w:hAnsi="Palatino Linotype" w:cs="Tahoma"/>
          <w:iCs/>
          <w:color w:val="000000"/>
          <w:sz w:val="22"/>
          <w:szCs w:val="22"/>
          <w:lang w:val="es-ES" w:eastAsia="es-ES_tradnl"/>
        </w:rPr>
      </w:pPr>
    </w:p>
    <w:p w14:paraId="755891E7" w14:textId="3215EC81" w:rsidR="003018F4" w:rsidRPr="008F022D" w:rsidRDefault="00200912" w:rsidP="00565EE3">
      <w:pPr>
        <w:spacing w:line="360" w:lineRule="auto"/>
        <w:jc w:val="both"/>
        <w:rPr>
          <w:rFonts w:ascii="Palatino Linotype" w:hAnsi="Palatino Linotype" w:cs="Tahoma"/>
          <w:bCs/>
          <w:iCs/>
          <w:sz w:val="22"/>
          <w:szCs w:val="22"/>
        </w:rPr>
      </w:pPr>
      <w:r w:rsidRPr="008F022D">
        <w:rPr>
          <w:rFonts w:ascii="Palatino Linotype" w:hAnsi="Palatino Linotype" w:cs="Tahoma"/>
          <w:bCs/>
          <w:iCs/>
          <w:sz w:val="22"/>
          <w:szCs w:val="22"/>
        </w:rPr>
        <w:t>Para el caso, de que no hubiera altas, en el periodo solicitado, deberá hacerlo del conocimiento del Recurrente, de manera clara y precisa.</w:t>
      </w:r>
    </w:p>
    <w:p w14:paraId="0E1ED2A7" w14:textId="77777777" w:rsidR="00200912" w:rsidRPr="008F022D" w:rsidRDefault="00200912" w:rsidP="00565EE3">
      <w:pPr>
        <w:spacing w:line="360" w:lineRule="auto"/>
        <w:jc w:val="both"/>
        <w:rPr>
          <w:rFonts w:ascii="Palatino Linotype" w:hAnsi="Palatino Linotype" w:cs="Tahoma"/>
          <w:bCs/>
          <w:iCs/>
          <w:sz w:val="22"/>
          <w:szCs w:val="22"/>
        </w:rPr>
      </w:pPr>
    </w:p>
    <w:p w14:paraId="1A847BF1" w14:textId="36D3C5D0" w:rsidR="00A41A3B" w:rsidRPr="008F022D" w:rsidRDefault="00A41A3B" w:rsidP="00565EE3">
      <w:pPr>
        <w:spacing w:line="360" w:lineRule="auto"/>
        <w:jc w:val="both"/>
        <w:rPr>
          <w:rFonts w:ascii="Palatino Linotype" w:hAnsi="Palatino Linotype" w:cs="Tahoma"/>
          <w:sz w:val="22"/>
          <w:szCs w:val="22"/>
        </w:rPr>
      </w:pPr>
      <w:r w:rsidRPr="008F022D">
        <w:rPr>
          <w:rFonts w:ascii="Palatino Linotype" w:eastAsia="Calibri" w:hAnsi="Palatino Linotype" w:cs="Tahoma"/>
          <w:b/>
          <w:bCs/>
          <w:sz w:val="22"/>
          <w:szCs w:val="22"/>
        </w:rPr>
        <w:t xml:space="preserve">TERCERO. </w:t>
      </w:r>
      <w:r w:rsidRPr="008F022D">
        <w:rPr>
          <w:rFonts w:ascii="Palatino Linotype" w:hAnsi="Palatino Linotype" w:cs="Tahoma"/>
          <w:b/>
          <w:sz w:val="22"/>
          <w:szCs w:val="22"/>
        </w:rPr>
        <w:t xml:space="preserve">NOTIFÍQUESE </w:t>
      </w:r>
      <w:r w:rsidRPr="008F022D">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7938DD0" w14:textId="77777777" w:rsidR="00A41A3B" w:rsidRPr="008F022D" w:rsidRDefault="00A41A3B" w:rsidP="00565EE3">
      <w:pPr>
        <w:spacing w:line="360" w:lineRule="auto"/>
        <w:jc w:val="both"/>
        <w:rPr>
          <w:rFonts w:ascii="Palatino Linotype" w:hAnsi="Palatino Linotype" w:cs="Tahoma"/>
          <w:sz w:val="22"/>
          <w:szCs w:val="22"/>
        </w:rPr>
      </w:pPr>
    </w:p>
    <w:p w14:paraId="22B4466C" w14:textId="77777777" w:rsidR="00A41A3B" w:rsidRPr="008F022D" w:rsidRDefault="00A41A3B" w:rsidP="00565EE3">
      <w:pPr>
        <w:spacing w:line="360" w:lineRule="auto"/>
        <w:jc w:val="both"/>
        <w:rPr>
          <w:rFonts w:ascii="Palatino Linotype" w:hAnsi="Palatino Linotype" w:cs="Arial"/>
          <w:bCs/>
          <w:sz w:val="22"/>
          <w:szCs w:val="22"/>
        </w:rPr>
      </w:pPr>
      <w:r w:rsidRPr="008F022D">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3CFE008" w14:textId="77777777" w:rsidR="00200912" w:rsidRPr="008F022D" w:rsidRDefault="00200912" w:rsidP="00565EE3">
      <w:pPr>
        <w:spacing w:line="360" w:lineRule="auto"/>
        <w:ind w:right="-93"/>
        <w:jc w:val="both"/>
        <w:rPr>
          <w:rFonts w:ascii="Palatino Linotype" w:hAnsi="Palatino Linotype" w:cs="Tahoma"/>
          <w:sz w:val="22"/>
          <w:szCs w:val="22"/>
        </w:rPr>
      </w:pPr>
    </w:p>
    <w:p w14:paraId="50B2D90C" w14:textId="77777777" w:rsidR="00A41A3B" w:rsidRPr="008F022D" w:rsidRDefault="00A41A3B" w:rsidP="00565EE3">
      <w:pPr>
        <w:spacing w:line="360" w:lineRule="auto"/>
        <w:ind w:right="-93"/>
        <w:jc w:val="both"/>
        <w:rPr>
          <w:rFonts w:ascii="Palatino Linotype" w:hAnsi="Palatino Linotype" w:cs="Tahoma"/>
          <w:sz w:val="22"/>
          <w:szCs w:val="22"/>
        </w:rPr>
      </w:pPr>
      <w:r w:rsidRPr="008F022D">
        <w:rPr>
          <w:rFonts w:ascii="Palatino Linotype" w:eastAsia="Calibri" w:hAnsi="Palatino Linotype" w:cs="Tahoma"/>
          <w:b/>
          <w:sz w:val="22"/>
          <w:szCs w:val="22"/>
          <w:lang w:eastAsia="es-MX"/>
        </w:rPr>
        <w:t>CUARTO</w:t>
      </w:r>
      <w:r w:rsidRPr="008F022D">
        <w:rPr>
          <w:rFonts w:ascii="Palatino Linotype" w:eastAsia="Calibri" w:hAnsi="Palatino Linotype" w:cs="Tahoma"/>
          <w:b/>
          <w:bCs/>
          <w:sz w:val="22"/>
          <w:szCs w:val="22"/>
          <w:lang w:eastAsia="en-US"/>
        </w:rPr>
        <w:t>.</w:t>
      </w:r>
      <w:r w:rsidRPr="008F022D">
        <w:rPr>
          <w:rFonts w:ascii="Palatino Linotype" w:eastAsia="Calibri" w:hAnsi="Palatino Linotype" w:cs="Tahoma"/>
          <w:sz w:val="22"/>
          <w:szCs w:val="22"/>
          <w:lang w:eastAsia="es-MX"/>
        </w:rPr>
        <w:t xml:space="preserve"> </w:t>
      </w:r>
      <w:r w:rsidRPr="008F022D">
        <w:rPr>
          <w:rFonts w:ascii="Palatino Linotype" w:hAnsi="Palatino Linotype" w:cs="Tahoma"/>
          <w:b/>
          <w:sz w:val="22"/>
          <w:szCs w:val="22"/>
        </w:rPr>
        <w:t>NOTIFÍQUESE</w:t>
      </w:r>
      <w:r w:rsidRPr="008F022D">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F7DD7B" w14:textId="77777777" w:rsidR="00B03EDE" w:rsidRPr="008F022D" w:rsidRDefault="00B03EDE" w:rsidP="00565EE3">
      <w:pPr>
        <w:spacing w:line="360" w:lineRule="auto"/>
        <w:ind w:right="-93"/>
        <w:jc w:val="both"/>
        <w:rPr>
          <w:rFonts w:ascii="Palatino Linotype" w:hAnsi="Palatino Linotype" w:cs="Tahoma"/>
          <w:sz w:val="22"/>
          <w:szCs w:val="22"/>
        </w:rPr>
      </w:pPr>
    </w:p>
    <w:p w14:paraId="4FF795DF" w14:textId="2A724CEB" w:rsidR="000F1A23" w:rsidRPr="003A6755" w:rsidRDefault="00D014EF" w:rsidP="00565EE3">
      <w:pPr>
        <w:spacing w:line="360" w:lineRule="auto"/>
        <w:contextualSpacing/>
        <w:jc w:val="both"/>
        <w:rPr>
          <w:rFonts w:ascii="Palatino Linotype" w:hAnsi="Palatino Linotype" w:cs="Tahoma"/>
          <w:sz w:val="22"/>
          <w:szCs w:val="22"/>
        </w:rPr>
      </w:pPr>
      <w:r w:rsidRPr="008F022D">
        <w:rPr>
          <w:rFonts w:ascii="Palatino Linotype" w:hAnsi="Palatino Linotype" w:cs="Tahoma"/>
          <w:sz w:val="22"/>
          <w:szCs w:val="22"/>
        </w:rPr>
        <w:lastRenderedPageBreak/>
        <w:t xml:space="preserve">ASÍ LO RESUELVE, POR </w:t>
      </w:r>
      <w:r w:rsidRPr="008F022D">
        <w:rPr>
          <w:rFonts w:ascii="Palatino Linotype" w:eastAsia="Calibri" w:hAnsi="Palatino Linotype" w:cs="Tahoma"/>
          <w:b/>
          <w:bCs/>
          <w:sz w:val="22"/>
          <w:szCs w:val="22"/>
        </w:rPr>
        <w:t xml:space="preserve">MAYORÍA </w:t>
      </w:r>
      <w:r w:rsidRPr="008F022D">
        <w:rPr>
          <w:rFonts w:ascii="Palatino Linotype" w:hAnsi="Palatino Linotype" w:cs="Tahoma"/>
          <w:sz w:val="22"/>
          <w:szCs w:val="22"/>
        </w:rPr>
        <w:t>DE VOTOS EL PLENO DEL INSTITUTO DE TRANSPARENCIA, ACCESO A LA INFORMACIÓN PÚBLICA Y PROTECCIÓN DE DATOS PERSONALES DEL ESTADO DE MÉXICO Y MUNICIPIOS, CONFORMADO POR LOS COMISIONADOS JOSÉ MARTÍNEZ VILCHIS CON VOTO PARTICULAR, MARÍA DEL ROSARIO MEJÍA AYALA, SHARON CRISTINA MORALES MARTÍNEZ CON VOTO DISIDENTE, LUIS GUSTAVO PARRA NORIEGA CON VOTO PARTICULAR Y GUADALUPE RAMÍREZ PEÑA, EN LA DÉCIMA SESIÓN ORDINARIA CELEBRADA EL QUINCE DE MARZO DE DOS MIL VEINTITRÉS, ANTE EL SECRETARIO TÉCNICO DEL PLENO, ALEXIS TAPIA RAMÍREZ.</w:t>
      </w:r>
    </w:p>
    <w:p w14:paraId="6EE5260C" w14:textId="194DB713" w:rsidR="00867A39" w:rsidRPr="00910B13" w:rsidRDefault="00B03EDE" w:rsidP="00565EE3">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10"/>
      <w:headerReference w:type="default" r:id="rId11"/>
      <w:footerReference w:type="default" r:id="rId12"/>
      <w:headerReference w:type="first" r:id="rId13"/>
      <w:footerReference w:type="first" r:id="rId14"/>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F764" w14:textId="77777777" w:rsidR="00FD73D1" w:rsidRDefault="00FD73D1" w:rsidP="00FC7A26">
      <w:r>
        <w:separator/>
      </w:r>
    </w:p>
  </w:endnote>
  <w:endnote w:type="continuationSeparator" w:id="0">
    <w:p w14:paraId="3B44F146" w14:textId="77777777" w:rsidR="00FD73D1" w:rsidRDefault="00FD73D1" w:rsidP="00FC7A26">
      <w:r>
        <w:continuationSeparator/>
      </w:r>
    </w:p>
  </w:endnote>
  <w:endnote w:type="continuationNotice" w:id="1">
    <w:p w14:paraId="23FAC5BD" w14:textId="77777777" w:rsidR="00FD73D1" w:rsidRDefault="00FD7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8F022D">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2AC5">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2AC5">
              <w:rPr>
                <w:b/>
                <w:bCs/>
                <w:noProof/>
              </w:rPr>
              <w:t>30</w:t>
            </w:r>
            <w:r>
              <w:rPr>
                <w:b/>
                <w:bCs/>
                <w:sz w:val="24"/>
                <w:szCs w:val="24"/>
              </w:rPr>
              <w:fldChar w:fldCharType="end"/>
            </w:r>
          </w:p>
        </w:sdtContent>
      </w:sdt>
    </w:sdtContent>
  </w:sdt>
  <w:p w14:paraId="3F8493FE" w14:textId="77777777" w:rsidR="003135D1" w:rsidRDefault="008F02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8F022D">
            <w:pPr>
              <w:pStyle w:val="Piedepgina"/>
              <w:jc w:val="right"/>
            </w:pPr>
          </w:p>
          <w:p w14:paraId="73795115" w14:textId="77777777" w:rsidR="003135D1" w:rsidRDefault="008F022D">
            <w:pPr>
              <w:pStyle w:val="Piedepgina"/>
              <w:jc w:val="right"/>
            </w:pPr>
          </w:p>
          <w:p w14:paraId="102883EC" w14:textId="77777777" w:rsidR="003135D1" w:rsidRDefault="008F022D">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2AC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2AC5">
              <w:rPr>
                <w:b/>
                <w:bCs/>
                <w:noProof/>
              </w:rPr>
              <w:t>30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6E84" w14:textId="77777777" w:rsidR="00FD73D1" w:rsidRDefault="00FD73D1" w:rsidP="00FC7A26">
      <w:r>
        <w:separator/>
      </w:r>
    </w:p>
  </w:footnote>
  <w:footnote w:type="continuationSeparator" w:id="0">
    <w:p w14:paraId="23836747" w14:textId="77777777" w:rsidR="00FD73D1" w:rsidRDefault="00FD73D1" w:rsidP="00FC7A26">
      <w:r>
        <w:continuationSeparator/>
      </w:r>
    </w:p>
  </w:footnote>
  <w:footnote w:type="continuationNotice" w:id="1">
    <w:p w14:paraId="28A9D79E" w14:textId="77777777" w:rsidR="00FD73D1" w:rsidRDefault="00FD7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8F022D">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0"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8F022D" w:rsidP="007F3C67">
    <w:pPr>
      <w:tabs>
        <w:tab w:val="left" w:pos="3416"/>
      </w:tabs>
      <w:ind w:right="255"/>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1" type="#_x0000_t75" style="position:absolute;margin-left:-100.7pt;margin-top:-126.25pt;width:663.5pt;height:12in;z-index:-251658752;mso-position-horizontal-relative:margin;mso-position-vertical-relative:margin"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D402E3">
      <w:trPr>
        <w:trHeight w:val="70"/>
      </w:trPr>
      <w:tc>
        <w:tcPr>
          <w:tcW w:w="2552" w:type="dxa"/>
          <w:shd w:val="clear" w:color="auto" w:fill="auto"/>
        </w:tcPr>
        <w:p w14:paraId="7390C447" w14:textId="77777777" w:rsidR="008B41A2" w:rsidRPr="005C106F" w:rsidRDefault="008F022D"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096"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3688"/>
          </w:tblGrid>
          <w:tr w:rsidR="008B41A2" w14:paraId="19911F35" w14:textId="77777777" w:rsidTr="0078036C">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688" w:type="dxa"/>
              </w:tcPr>
              <w:p w14:paraId="79E321B5" w14:textId="28769467" w:rsidR="008B41A2" w:rsidRPr="00651A13" w:rsidRDefault="0078036C" w:rsidP="00B43BFA">
                <w:pPr>
                  <w:tabs>
                    <w:tab w:val="right" w:pos="8838"/>
                  </w:tabs>
                  <w:ind w:left="-28" w:right="683"/>
                  <w:rPr>
                    <w:rFonts w:ascii="Palatino Linotype" w:eastAsia="Calibri" w:hAnsi="Palatino Linotype" w:cs="Tahoma"/>
                    <w:sz w:val="22"/>
                    <w:szCs w:val="22"/>
                  </w:rPr>
                </w:pPr>
                <w:r w:rsidRPr="0078036C">
                  <w:rPr>
                    <w:rFonts w:ascii="Palatino Linotype" w:eastAsia="Calibri" w:hAnsi="Palatino Linotype" w:cs="Tahoma"/>
                    <w:sz w:val="22"/>
                    <w:szCs w:val="22"/>
                    <w:lang w:val="es-MX"/>
                  </w:rPr>
                  <w:t>00</w:t>
                </w:r>
                <w:r w:rsidR="00352F99">
                  <w:rPr>
                    <w:rFonts w:ascii="Palatino Linotype" w:eastAsia="Calibri" w:hAnsi="Palatino Linotype" w:cs="Tahoma"/>
                    <w:sz w:val="22"/>
                    <w:szCs w:val="22"/>
                    <w:lang w:val="es-MX"/>
                  </w:rPr>
                  <w:t>751</w:t>
                </w:r>
                <w:r w:rsidRPr="0078036C">
                  <w:rPr>
                    <w:rFonts w:ascii="Palatino Linotype" w:eastAsia="Calibri" w:hAnsi="Palatino Linotype" w:cs="Tahoma"/>
                    <w:sz w:val="22"/>
                    <w:szCs w:val="22"/>
                    <w:lang w:val="es-MX"/>
                  </w:rPr>
                  <w:t>/INFOEM/IP/RR/2023</w:t>
                </w:r>
              </w:p>
            </w:tc>
          </w:tr>
          <w:tr w:rsidR="008B41A2" w14:paraId="5FC9045B" w14:textId="77777777" w:rsidTr="0078036C">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8" w:type="dxa"/>
              </w:tcPr>
              <w:p w14:paraId="5B3372D4" w14:textId="19308D8A" w:rsidR="008B41A2" w:rsidRPr="008B41A2" w:rsidRDefault="0078036C" w:rsidP="00D402E3">
                <w:pPr>
                  <w:tabs>
                    <w:tab w:val="right" w:pos="8838"/>
                  </w:tabs>
                  <w:ind w:right="-109"/>
                  <w:rPr>
                    <w:rFonts w:ascii="Palatino Linotype" w:eastAsia="Calibri" w:hAnsi="Palatino Linotype" w:cs="Tahoma"/>
                    <w:sz w:val="22"/>
                    <w:szCs w:val="22"/>
                    <w:lang w:val="es-MX"/>
                  </w:rPr>
                </w:pPr>
                <w:r w:rsidRPr="0078036C">
                  <w:rPr>
                    <w:rFonts w:ascii="Palatino Linotype" w:eastAsia="Calibri" w:hAnsi="Palatino Linotype" w:cs="Tahoma"/>
                    <w:sz w:val="22"/>
                    <w:szCs w:val="22"/>
                    <w:lang w:val="es-MX"/>
                  </w:rPr>
                  <w:t>Ayuntamiento de Zinacantepec</w:t>
                </w:r>
              </w:p>
            </w:tc>
          </w:tr>
          <w:tr w:rsidR="008B41A2" w14:paraId="0EA3B3B7" w14:textId="77777777" w:rsidTr="0078036C">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8"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8F022D" w:rsidP="008B41A2">
          <w:pPr>
            <w:tabs>
              <w:tab w:val="right" w:pos="8838"/>
            </w:tabs>
            <w:ind w:left="-28"/>
            <w:rPr>
              <w:rFonts w:ascii="Arial" w:eastAsia="Calibri" w:hAnsi="Arial" w:cs="Arial"/>
              <w:b/>
            </w:rPr>
          </w:pPr>
        </w:p>
      </w:tc>
    </w:tr>
  </w:tbl>
  <w:p w14:paraId="413B7D7D" w14:textId="77777777" w:rsidR="003135D1" w:rsidRDefault="008F022D" w:rsidP="000930AE">
    <w:pPr>
      <w:pStyle w:val="Encabezado"/>
      <w:rPr>
        <w:sz w:val="14"/>
      </w:rPr>
    </w:pPr>
  </w:p>
  <w:p w14:paraId="2249EFA4" w14:textId="77777777" w:rsidR="003135D1" w:rsidRPr="00443C6B" w:rsidRDefault="008F022D"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969"/>
    </w:tblGrid>
    <w:tr w:rsidR="003135D1" w:rsidRPr="00264223" w14:paraId="0296A02D" w14:textId="77777777" w:rsidTr="0078036C">
      <w:trPr>
        <w:trHeight w:val="284"/>
      </w:trPr>
      <w:tc>
        <w:tcPr>
          <w:tcW w:w="241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969" w:type="dxa"/>
        </w:tcPr>
        <w:p w14:paraId="328710A7" w14:textId="5EA9472A" w:rsidR="003135D1" w:rsidRPr="00651A13" w:rsidRDefault="0078036C" w:rsidP="007F3C67">
          <w:pPr>
            <w:tabs>
              <w:tab w:val="right" w:pos="8838"/>
            </w:tabs>
            <w:ind w:left="-28" w:right="168"/>
            <w:jc w:val="both"/>
            <w:rPr>
              <w:rFonts w:ascii="Palatino Linotype" w:eastAsia="Calibri" w:hAnsi="Palatino Linotype" w:cs="Tahoma"/>
              <w:sz w:val="22"/>
              <w:szCs w:val="22"/>
              <w:lang w:eastAsia="en-US"/>
            </w:rPr>
          </w:pPr>
          <w:r w:rsidRPr="0078036C">
            <w:rPr>
              <w:rFonts w:ascii="Palatino Linotype" w:eastAsia="Calibri" w:hAnsi="Palatino Linotype" w:cs="Tahoma"/>
              <w:sz w:val="22"/>
              <w:szCs w:val="22"/>
              <w:lang w:val="es-MX" w:eastAsia="en-US"/>
            </w:rPr>
            <w:t>00</w:t>
          </w:r>
          <w:r w:rsidR="00352F99">
            <w:rPr>
              <w:rFonts w:ascii="Palatino Linotype" w:eastAsia="Calibri" w:hAnsi="Palatino Linotype" w:cs="Tahoma"/>
              <w:sz w:val="22"/>
              <w:szCs w:val="22"/>
              <w:lang w:val="es-MX" w:eastAsia="en-US"/>
            </w:rPr>
            <w:t>751</w:t>
          </w:r>
          <w:r w:rsidRPr="0078036C">
            <w:rPr>
              <w:rFonts w:ascii="Palatino Linotype" w:eastAsia="Calibri" w:hAnsi="Palatino Linotype" w:cs="Tahoma"/>
              <w:sz w:val="22"/>
              <w:szCs w:val="22"/>
              <w:lang w:val="es-MX" w:eastAsia="en-US"/>
            </w:rPr>
            <w:t>/INFOEM/IP/RR/2023</w:t>
          </w:r>
        </w:p>
      </w:tc>
    </w:tr>
    <w:tr w:rsidR="003135D1" w:rsidRPr="00264223" w14:paraId="612E08F0" w14:textId="77777777" w:rsidTr="0078036C">
      <w:trPr>
        <w:trHeight w:val="104"/>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969" w:type="dxa"/>
        </w:tcPr>
        <w:p w14:paraId="717CF0C7" w14:textId="69788E7F" w:rsidR="003135D1" w:rsidRPr="00EE2A06" w:rsidRDefault="008F022D" w:rsidP="007F3C67">
          <w:pPr>
            <w:tabs>
              <w:tab w:val="right" w:pos="8838"/>
            </w:tabs>
            <w:ind w:left="-28" w:right="168"/>
            <w:jc w:val="both"/>
            <w:rPr>
              <w:rFonts w:ascii="Palatino Linotype" w:eastAsia="Calibri" w:hAnsi="Palatino Linotype" w:cs="Tahoma"/>
              <w:sz w:val="22"/>
              <w:szCs w:val="22"/>
              <w:lang w:val="es-MX" w:eastAsia="en-US"/>
            </w:rPr>
          </w:pPr>
        </w:p>
      </w:tc>
    </w:tr>
    <w:tr w:rsidR="003135D1" w:rsidRPr="00264223" w14:paraId="3A9CDB69" w14:textId="77777777" w:rsidTr="0078036C">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969" w:type="dxa"/>
        </w:tcPr>
        <w:p w14:paraId="7E37B80E" w14:textId="45DBA3ED" w:rsidR="003135D1" w:rsidRPr="00651A13" w:rsidRDefault="0078036C" w:rsidP="007F3C67">
          <w:pPr>
            <w:tabs>
              <w:tab w:val="right" w:pos="8838"/>
            </w:tabs>
            <w:ind w:left="-28" w:right="168"/>
            <w:jc w:val="both"/>
            <w:rPr>
              <w:rFonts w:ascii="Palatino Linotype" w:eastAsia="Calibri" w:hAnsi="Palatino Linotype" w:cs="Tahoma"/>
              <w:sz w:val="22"/>
              <w:szCs w:val="22"/>
              <w:lang w:val="es-MX" w:eastAsia="en-US"/>
            </w:rPr>
          </w:pPr>
          <w:r w:rsidRPr="0078036C">
            <w:rPr>
              <w:rFonts w:ascii="Palatino Linotype" w:eastAsia="Calibri" w:hAnsi="Palatino Linotype" w:cs="Tahoma"/>
              <w:sz w:val="22"/>
              <w:szCs w:val="22"/>
              <w:lang w:val="es-MX" w:eastAsia="en-US"/>
            </w:rPr>
            <w:t>Ayuntamiento de Zinacantepec</w:t>
          </w:r>
        </w:p>
      </w:tc>
    </w:tr>
    <w:tr w:rsidR="003135D1" w:rsidRPr="00264223" w14:paraId="1AF8B0BB" w14:textId="77777777" w:rsidTr="0078036C">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969" w:type="dxa"/>
        </w:tcPr>
        <w:p w14:paraId="6919B9C5" w14:textId="77777777" w:rsidR="003135D1" w:rsidRPr="00D3618F" w:rsidRDefault="00BF14ED" w:rsidP="0078036C">
          <w:pPr>
            <w:tabs>
              <w:tab w:val="left" w:pos="3152"/>
              <w:tab w:val="right" w:pos="8838"/>
            </w:tabs>
            <w:ind w:left="-28" w:right="16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8F022D">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22D"/>
    <w:multiLevelType w:val="hybridMultilevel"/>
    <w:tmpl w:val="A1A00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0F85987"/>
    <w:multiLevelType w:val="hybridMultilevel"/>
    <w:tmpl w:val="C4CE888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607725"/>
    <w:multiLevelType w:val="hybridMultilevel"/>
    <w:tmpl w:val="141CE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6C0B1E21"/>
    <w:multiLevelType w:val="hybridMultilevel"/>
    <w:tmpl w:val="20DAA4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120877633">
    <w:abstractNumId w:val="3"/>
  </w:num>
  <w:num w:numId="2" w16cid:durableId="1613591966">
    <w:abstractNumId w:val="5"/>
  </w:num>
  <w:num w:numId="3" w16cid:durableId="82191490">
    <w:abstractNumId w:val="2"/>
  </w:num>
  <w:num w:numId="4" w16cid:durableId="211163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3681927">
    <w:abstractNumId w:val="7"/>
  </w:num>
  <w:num w:numId="6" w16cid:durableId="77606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388980">
    <w:abstractNumId w:val="1"/>
  </w:num>
  <w:num w:numId="8" w16cid:durableId="23286075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92D"/>
    <w:rsid w:val="000017E3"/>
    <w:rsid w:val="00007463"/>
    <w:rsid w:val="00011665"/>
    <w:rsid w:val="000227D4"/>
    <w:rsid w:val="00027602"/>
    <w:rsid w:val="00027B1A"/>
    <w:rsid w:val="0003214D"/>
    <w:rsid w:val="000358C5"/>
    <w:rsid w:val="00036FB3"/>
    <w:rsid w:val="00041105"/>
    <w:rsid w:val="00042AF8"/>
    <w:rsid w:val="000438AF"/>
    <w:rsid w:val="00044EB7"/>
    <w:rsid w:val="00045040"/>
    <w:rsid w:val="0004614A"/>
    <w:rsid w:val="00046E37"/>
    <w:rsid w:val="000500C2"/>
    <w:rsid w:val="00053263"/>
    <w:rsid w:val="00057F3C"/>
    <w:rsid w:val="00061CF3"/>
    <w:rsid w:val="000730C7"/>
    <w:rsid w:val="00080B6A"/>
    <w:rsid w:val="00080E67"/>
    <w:rsid w:val="000900D1"/>
    <w:rsid w:val="00091543"/>
    <w:rsid w:val="00095AEF"/>
    <w:rsid w:val="000A3B9A"/>
    <w:rsid w:val="000C37FA"/>
    <w:rsid w:val="000C71F5"/>
    <w:rsid w:val="000D53EB"/>
    <w:rsid w:val="000E606C"/>
    <w:rsid w:val="000F068A"/>
    <w:rsid w:val="000F1A23"/>
    <w:rsid w:val="000F5636"/>
    <w:rsid w:val="000F6C40"/>
    <w:rsid w:val="001004E7"/>
    <w:rsid w:val="001013A5"/>
    <w:rsid w:val="00107574"/>
    <w:rsid w:val="00123871"/>
    <w:rsid w:val="00127BFE"/>
    <w:rsid w:val="00131B30"/>
    <w:rsid w:val="00133DC8"/>
    <w:rsid w:val="00134635"/>
    <w:rsid w:val="00134803"/>
    <w:rsid w:val="00137BB0"/>
    <w:rsid w:val="00140B1B"/>
    <w:rsid w:val="0014223F"/>
    <w:rsid w:val="001425A4"/>
    <w:rsid w:val="00147084"/>
    <w:rsid w:val="0014762D"/>
    <w:rsid w:val="00150B3D"/>
    <w:rsid w:val="001567FA"/>
    <w:rsid w:val="00156E72"/>
    <w:rsid w:val="00161D14"/>
    <w:rsid w:val="00165C2C"/>
    <w:rsid w:val="00177C48"/>
    <w:rsid w:val="001875A9"/>
    <w:rsid w:val="001904EF"/>
    <w:rsid w:val="00190D99"/>
    <w:rsid w:val="001A10B3"/>
    <w:rsid w:val="001A38BA"/>
    <w:rsid w:val="001B246F"/>
    <w:rsid w:val="001C0F48"/>
    <w:rsid w:val="001C3AD9"/>
    <w:rsid w:val="001C450F"/>
    <w:rsid w:val="001C759E"/>
    <w:rsid w:val="001D04C0"/>
    <w:rsid w:val="001D1D33"/>
    <w:rsid w:val="001D46CB"/>
    <w:rsid w:val="001E5539"/>
    <w:rsid w:val="001E59FD"/>
    <w:rsid w:val="001E6E6E"/>
    <w:rsid w:val="001E78ED"/>
    <w:rsid w:val="00200912"/>
    <w:rsid w:val="00200F81"/>
    <w:rsid w:val="00207B2D"/>
    <w:rsid w:val="00207F72"/>
    <w:rsid w:val="00221416"/>
    <w:rsid w:val="002276DF"/>
    <w:rsid w:val="00230DDF"/>
    <w:rsid w:val="0023372D"/>
    <w:rsid w:val="00236277"/>
    <w:rsid w:val="0024073D"/>
    <w:rsid w:val="00241BF2"/>
    <w:rsid w:val="002425E2"/>
    <w:rsid w:val="00244FC7"/>
    <w:rsid w:val="00251796"/>
    <w:rsid w:val="00256424"/>
    <w:rsid w:val="0026153E"/>
    <w:rsid w:val="00263744"/>
    <w:rsid w:val="0028189F"/>
    <w:rsid w:val="00285630"/>
    <w:rsid w:val="002A308B"/>
    <w:rsid w:val="002A40CB"/>
    <w:rsid w:val="002A49D0"/>
    <w:rsid w:val="002A4C64"/>
    <w:rsid w:val="002A7B9E"/>
    <w:rsid w:val="002B025D"/>
    <w:rsid w:val="002B4CF2"/>
    <w:rsid w:val="002C073E"/>
    <w:rsid w:val="002C0A0C"/>
    <w:rsid w:val="002C356D"/>
    <w:rsid w:val="002C4F7B"/>
    <w:rsid w:val="002D2EE5"/>
    <w:rsid w:val="002D339E"/>
    <w:rsid w:val="002D5C1D"/>
    <w:rsid w:val="002F1AA9"/>
    <w:rsid w:val="002F3B8D"/>
    <w:rsid w:val="002F3D3B"/>
    <w:rsid w:val="002F5B41"/>
    <w:rsid w:val="003018F4"/>
    <w:rsid w:val="00301BFD"/>
    <w:rsid w:val="00311CA5"/>
    <w:rsid w:val="00321562"/>
    <w:rsid w:val="00322AC5"/>
    <w:rsid w:val="003248BF"/>
    <w:rsid w:val="00327365"/>
    <w:rsid w:val="00330163"/>
    <w:rsid w:val="00330AE8"/>
    <w:rsid w:val="00332F98"/>
    <w:rsid w:val="00334908"/>
    <w:rsid w:val="0034142F"/>
    <w:rsid w:val="00341710"/>
    <w:rsid w:val="00343DF0"/>
    <w:rsid w:val="00345C53"/>
    <w:rsid w:val="0035025E"/>
    <w:rsid w:val="00352F99"/>
    <w:rsid w:val="003559A0"/>
    <w:rsid w:val="0035756E"/>
    <w:rsid w:val="00357B4D"/>
    <w:rsid w:val="0037277E"/>
    <w:rsid w:val="0037403C"/>
    <w:rsid w:val="0038370C"/>
    <w:rsid w:val="003843A4"/>
    <w:rsid w:val="00386E35"/>
    <w:rsid w:val="0039288A"/>
    <w:rsid w:val="00393150"/>
    <w:rsid w:val="003945E3"/>
    <w:rsid w:val="00394A8D"/>
    <w:rsid w:val="003A7FA8"/>
    <w:rsid w:val="003B08A4"/>
    <w:rsid w:val="003B71B0"/>
    <w:rsid w:val="003C3A57"/>
    <w:rsid w:val="003C490F"/>
    <w:rsid w:val="003C687A"/>
    <w:rsid w:val="003D1091"/>
    <w:rsid w:val="003D48F4"/>
    <w:rsid w:val="003D643A"/>
    <w:rsid w:val="003E215A"/>
    <w:rsid w:val="003E35F9"/>
    <w:rsid w:val="003E3F56"/>
    <w:rsid w:val="003E4FC1"/>
    <w:rsid w:val="003F4037"/>
    <w:rsid w:val="003F5D7F"/>
    <w:rsid w:val="004054D7"/>
    <w:rsid w:val="00411440"/>
    <w:rsid w:val="00416901"/>
    <w:rsid w:val="00420F22"/>
    <w:rsid w:val="004220A2"/>
    <w:rsid w:val="004226E1"/>
    <w:rsid w:val="004246CB"/>
    <w:rsid w:val="0042634D"/>
    <w:rsid w:val="004327B9"/>
    <w:rsid w:val="00436FEE"/>
    <w:rsid w:val="00441498"/>
    <w:rsid w:val="00443F40"/>
    <w:rsid w:val="00444298"/>
    <w:rsid w:val="00452014"/>
    <w:rsid w:val="004529ED"/>
    <w:rsid w:val="00453DD9"/>
    <w:rsid w:val="004563F0"/>
    <w:rsid w:val="00461E91"/>
    <w:rsid w:val="00463F05"/>
    <w:rsid w:val="00467102"/>
    <w:rsid w:val="00473523"/>
    <w:rsid w:val="00475BFB"/>
    <w:rsid w:val="00477714"/>
    <w:rsid w:val="00480668"/>
    <w:rsid w:val="00484D08"/>
    <w:rsid w:val="00486F58"/>
    <w:rsid w:val="004A0B13"/>
    <w:rsid w:val="004A6423"/>
    <w:rsid w:val="004B22AD"/>
    <w:rsid w:val="004B39DA"/>
    <w:rsid w:val="004C3C05"/>
    <w:rsid w:val="004C636B"/>
    <w:rsid w:val="004D580B"/>
    <w:rsid w:val="004E092E"/>
    <w:rsid w:val="004E0D36"/>
    <w:rsid w:val="004E2049"/>
    <w:rsid w:val="004E474E"/>
    <w:rsid w:val="004F44CB"/>
    <w:rsid w:val="004F45D5"/>
    <w:rsid w:val="004F4774"/>
    <w:rsid w:val="00501BFE"/>
    <w:rsid w:val="00503A18"/>
    <w:rsid w:val="0051321B"/>
    <w:rsid w:val="0051775F"/>
    <w:rsid w:val="0052168E"/>
    <w:rsid w:val="00533909"/>
    <w:rsid w:val="005360CC"/>
    <w:rsid w:val="00544E16"/>
    <w:rsid w:val="00545769"/>
    <w:rsid w:val="005501EB"/>
    <w:rsid w:val="00553AF4"/>
    <w:rsid w:val="00562601"/>
    <w:rsid w:val="00565189"/>
    <w:rsid w:val="00565EE3"/>
    <w:rsid w:val="00566597"/>
    <w:rsid w:val="00575786"/>
    <w:rsid w:val="00576102"/>
    <w:rsid w:val="005769E1"/>
    <w:rsid w:val="00577873"/>
    <w:rsid w:val="00580E40"/>
    <w:rsid w:val="0058347D"/>
    <w:rsid w:val="005A2AA5"/>
    <w:rsid w:val="005A78BC"/>
    <w:rsid w:val="005B03F7"/>
    <w:rsid w:val="005B1591"/>
    <w:rsid w:val="005B2724"/>
    <w:rsid w:val="005B6AE8"/>
    <w:rsid w:val="005C497A"/>
    <w:rsid w:val="005D02A6"/>
    <w:rsid w:val="005D12CF"/>
    <w:rsid w:val="005D65AF"/>
    <w:rsid w:val="005E7B22"/>
    <w:rsid w:val="005F7F1D"/>
    <w:rsid w:val="00605324"/>
    <w:rsid w:val="00615F5E"/>
    <w:rsid w:val="006177AC"/>
    <w:rsid w:val="00622A40"/>
    <w:rsid w:val="0062509E"/>
    <w:rsid w:val="00630102"/>
    <w:rsid w:val="006365FA"/>
    <w:rsid w:val="00646ED4"/>
    <w:rsid w:val="00647F5E"/>
    <w:rsid w:val="00651A13"/>
    <w:rsid w:val="00651CBC"/>
    <w:rsid w:val="006543CB"/>
    <w:rsid w:val="00654867"/>
    <w:rsid w:val="006548C6"/>
    <w:rsid w:val="00657DAD"/>
    <w:rsid w:val="0066424F"/>
    <w:rsid w:val="0067039B"/>
    <w:rsid w:val="00673038"/>
    <w:rsid w:val="006762A8"/>
    <w:rsid w:val="00682834"/>
    <w:rsid w:val="006869B3"/>
    <w:rsid w:val="0069111A"/>
    <w:rsid w:val="006A40B6"/>
    <w:rsid w:val="006A6335"/>
    <w:rsid w:val="006A79D2"/>
    <w:rsid w:val="006B123A"/>
    <w:rsid w:val="006B1909"/>
    <w:rsid w:val="006B2C9E"/>
    <w:rsid w:val="006B347A"/>
    <w:rsid w:val="006B453B"/>
    <w:rsid w:val="006C7888"/>
    <w:rsid w:val="006E3868"/>
    <w:rsid w:val="006E67C6"/>
    <w:rsid w:val="006F24F6"/>
    <w:rsid w:val="006F397F"/>
    <w:rsid w:val="00711435"/>
    <w:rsid w:val="00712395"/>
    <w:rsid w:val="00717A0C"/>
    <w:rsid w:val="00724062"/>
    <w:rsid w:val="00731FDC"/>
    <w:rsid w:val="00732A44"/>
    <w:rsid w:val="0074570A"/>
    <w:rsid w:val="00745E69"/>
    <w:rsid w:val="00753E39"/>
    <w:rsid w:val="00763041"/>
    <w:rsid w:val="00766A5B"/>
    <w:rsid w:val="00767700"/>
    <w:rsid w:val="007711AC"/>
    <w:rsid w:val="00774B75"/>
    <w:rsid w:val="00775AD6"/>
    <w:rsid w:val="00776377"/>
    <w:rsid w:val="0078036C"/>
    <w:rsid w:val="00785507"/>
    <w:rsid w:val="0078598B"/>
    <w:rsid w:val="00791C69"/>
    <w:rsid w:val="00796584"/>
    <w:rsid w:val="007A0FB3"/>
    <w:rsid w:val="007A3701"/>
    <w:rsid w:val="007A4B53"/>
    <w:rsid w:val="007B0305"/>
    <w:rsid w:val="007B6774"/>
    <w:rsid w:val="007C3E4E"/>
    <w:rsid w:val="007C4A13"/>
    <w:rsid w:val="007D165C"/>
    <w:rsid w:val="007D27B6"/>
    <w:rsid w:val="007D6069"/>
    <w:rsid w:val="007E4724"/>
    <w:rsid w:val="007E6BB3"/>
    <w:rsid w:val="007E7340"/>
    <w:rsid w:val="007F1526"/>
    <w:rsid w:val="007F38EB"/>
    <w:rsid w:val="007F3C67"/>
    <w:rsid w:val="007F610D"/>
    <w:rsid w:val="00801676"/>
    <w:rsid w:val="0080704F"/>
    <w:rsid w:val="00814BA4"/>
    <w:rsid w:val="00823EE0"/>
    <w:rsid w:val="00830C1C"/>
    <w:rsid w:val="00831F10"/>
    <w:rsid w:val="0083345D"/>
    <w:rsid w:val="0083373C"/>
    <w:rsid w:val="00834CDC"/>
    <w:rsid w:val="00836858"/>
    <w:rsid w:val="00840688"/>
    <w:rsid w:val="00840779"/>
    <w:rsid w:val="00845C37"/>
    <w:rsid w:val="00845DB2"/>
    <w:rsid w:val="00846822"/>
    <w:rsid w:val="00847CE9"/>
    <w:rsid w:val="008514D4"/>
    <w:rsid w:val="008537FC"/>
    <w:rsid w:val="008557FE"/>
    <w:rsid w:val="008624BC"/>
    <w:rsid w:val="008640E0"/>
    <w:rsid w:val="00867A39"/>
    <w:rsid w:val="0087221D"/>
    <w:rsid w:val="00873C6B"/>
    <w:rsid w:val="00876A02"/>
    <w:rsid w:val="008932D9"/>
    <w:rsid w:val="008A69CA"/>
    <w:rsid w:val="008B0BBF"/>
    <w:rsid w:val="008C1BE9"/>
    <w:rsid w:val="008C34B0"/>
    <w:rsid w:val="008C5284"/>
    <w:rsid w:val="008C6674"/>
    <w:rsid w:val="008D5A62"/>
    <w:rsid w:val="008D5EBA"/>
    <w:rsid w:val="008E0A8F"/>
    <w:rsid w:val="008E2C41"/>
    <w:rsid w:val="008E43A3"/>
    <w:rsid w:val="008F022D"/>
    <w:rsid w:val="008F1DED"/>
    <w:rsid w:val="008F39E0"/>
    <w:rsid w:val="00904980"/>
    <w:rsid w:val="009074EB"/>
    <w:rsid w:val="00907905"/>
    <w:rsid w:val="00910B13"/>
    <w:rsid w:val="0092340E"/>
    <w:rsid w:val="00923AB3"/>
    <w:rsid w:val="0092440D"/>
    <w:rsid w:val="0092732B"/>
    <w:rsid w:val="00930210"/>
    <w:rsid w:val="00930F5B"/>
    <w:rsid w:val="00941F39"/>
    <w:rsid w:val="009429E2"/>
    <w:rsid w:val="00944027"/>
    <w:rsid w:val="00945867"/>
    <w:rsid w:val="00945D21"/>
    <w:rsid w:val="0095213D"/>
    <w:rsid w:val="00952ABF"/>
    <w:rsid w:val="00962E78"/>
    <w:rsid w:val="009652C3"/>
    <w:rsid w:val="00965C5B"/>
    <w:rsid w:val="00966F9B"/>
    <w:rsid w:val="00967698"/>
    <w:rsid w:val="00970C2B"/>
    <w:rsid w:val="00972688"/>
    <w:rsid w:val="00981E54"/>
    <w:rsid w:val="00984724"/>
    <w:rsid w:val="00986294"/>
    <w:rsid w:val="0099096D"/>
    <w:rsid w:val="00996BE3"/>
    <w:rsid w:val="009A0E49"/>
    <w:rsid w:val="009A251B"/>
    <w:rsid w:val="009A2A84"/>
    <w:rsid w:val="009A3A12"/>
    <w:rsid w:val="009A7A52"/>
    <w:rsid w:val="009B2098"/>
    <w:rsid w:val="009B26B7"/>
    <w:rsid w:val="009B344F"/>
    <w:rsid w:val="009B36B9"/>
    <w:rsid w:val="009B4BA6"/>
    <w:rsid w:val="009C5EFA"/>
    <w:rsid w:val="009D1C90"/>
    <w:rsid w:val="009E0624"/>
    <w:rsid w:val="009E0D9F"/>
    <w:rsid w:val="009E17E8"/>
    <w:rsid w:val="009E5B56"/>
    <w:rsid w:val="009F260C"/>
    <w:rsid w:val="009F39D1"/>
    <w:rsid w:val="009F4DEE"/>
    <w:rsid w:val="009F5B2B"/>
    <w:rsid w:val="00A12F71"/>
    <w:rsid w:val="00A2053F"/>
    <w:rsid w:val="00A22E58"/>
    <w:rsid w:val="00A24EDC"/>
    <w:rsid w:val="00A264E8"/>
    <w:rsid w:val="00A317F9"/>
    <w:rsid w:val="00A337F4"/>
    <w:rsid w:val="00A33FF5"/>
    <w:rsid w:val="00A34CD0"/>
    <w:rsid w:val="00A41A3B"/>
    <w:rsid w:val="00A42E2F"/>
    <w:rsid w:val="00A453E5"/>
    <w:rsid w:val="00A47ABA"/>
    <w:rsid w:val="00A5031B"/>
    <w:rsid w:val="00A576E9"/>
    <w:rsid w:val="00A61AEB"/>
    <w:rsid w:val="00A61C78"/>
    <w:rsid w:val="00A634A7"/>
    <w:rsid w:val="00A73D9D"/>
    <w:rsid w:val="00A74929"/>
    <w:rsid w:val="00A75C14"/>
    <w:rsid w:val="00A8026C"/>
    <w:rsid w:val="00A80303"/>
    <w:rsid w:val="00A82B57"/>
    <w:rsid w:val="00A8392A"/>
    <w:rsid w:val="00A90DCF"/>
    <w:rsid w:val="00A913B4"/>
    <w:rsid w:val="00A959CB"/>
    <w:rsid w:val="00AA2E84"/>
    <w:rsid w:val="00AA41A2"/>
    <w:rsid w:val="00AA7480"/>
    <w:rsid w:val="00AB5E4B"/>
    <w:rsid w:val="00AB60C2"/>
    <w:rsid w:val="00AC38FC"/>
    <w:rsid w:val="00AC5B19"/>
    <w:rsid w:val="00AC6626"/>
    <w:rsid w:val="00AD0313"/>
    <w:rsid w:val="00AD4E98"/>
    <w:rsid w:val="00AD5375"/>
    <w:rsid w:val="00AD665C"/>
    <w:rsid w:val="00AE0479"/>
    <w:rsid w:val="00AE1CB6"/>
    <w:rsid w:val="00AE3803"/>
    <w:rsid w:val="00AE4A2D"/>
    <w:rsid w:val="00AE4D7F"/>
    <w:rsid w:val="00AE54D9"/>
    <w:rsid w:val="00AE5CA3"/>
    <w:rsid w:val="00AF006D"/>
    <w:rsid w:val="00B03EDE"/>
    <w:rsid w:val="00B101A9"/>
    <w:rsid w:val="00B12743"/>
    <w:rsid w:val="00B27233"/>
    <w:rsid w:val="00B277F8"/>
    <w:rsid w:val="00B32716"/>
    <w:rsid w:val="00B33947"/>
    <w:rsid w:val="00B34816"/>
    <w:rsid w:val="00B4067D"/>
    <w:rsid w:val="00B417F8"/>
    <w:rsid w:val="00B4237E"/>
    <w:rsid w:val="00B42BA0"/>
    <w:rsid w:val="00B43BFA"/>
    <w:rsid w:val="00B47F25"/>
    <w:rsid w:val="00B5003B"/>
    <w:rsid w:val="00B521EC"/>
    <w:rsid w:val="00B55179"/>
    <w:rsid w:val="00B6798C"/>
    <w:rsid w:val="00B71C2B"/>
    <w:rsid w:val="00B71EEE"/>
    <w:rsid w:val="00B72741"/>
    <w:rsid w:val="00B7344D"/>
    <w:rsid w:val="00B77C41"/>
    <w:rsid w:val="00B81F0D"/>
    <w:rsid w:val="00B828E2"/>
    <w:rsid w:val="00B86D0D"/>
    <w:rsid w:val="00B87EFC"/>
    <w:rsid w:val="00B946CE"/>
    <w:rsid w:val="00BA012E"/>
    <w:rsid w:val="00BA0ACE"/>
    <w:rsid w:val="00BA0B7F"/>
    <w:rsid w:val="00BA6085"/>
    <w:rsid w:val="00BB11FD"/>
    <w:rsid w:val="00BB1CD3"/>
    <w:rsid w:val="00BB2B58"/>
    <w:rsid w:val="00BB38FC"/>
    <w:rsid w:val="00BB56EF"/>
    <w:rsid w:val="00BB69EF"/>
    <w:rsid w:val="00BC4DCF"/>
    <w:rsid w:val="00BD3344"/>
    <w:rsid w:val="00BE4C73"/>
    <w:rsid w:val="00BE53A0"/>
    <w:rsid w:val="00BF01A6"/>
    <w:rsid w:val="00BF14ED"/>
    <w:rsid w:val="00BF19D2"/>
    <w:rsid w:val="00BF6339"/>
    <w:rsid w:val="00C00E84"/>
    <w:rsid w:val="00C03811"/>
    <w:rsid w:val="00C1189C"/>
    <w:rsid w:val="00C1322E"/>
    <w:rsid w:val="00C1369F"/>
    <w:rsid w:val="00C22667"/>
    <w:rsid w:val="00C301DB"/>
    <w:rsid w:val="00C34B10"/>
    <w:rsid w:val="00C364E1"/>
    <w:rsid w:val="00C36852"/>
    <w:rsid w:val="00C36AE4"/>
    <w:rsid w:val="00C37911"/>
    <w:rsid w:val="00C46A45"/>
    <w:rsid w:val="00C47841"/>
    <w:rsid w:val="00C51A56"/>
    <w:rsid w:val="00C564D6"/>
    <w:rsid w:val="00C56DA6"/>
    <w:rsid w:val="00C610B6"/>
    <w:rsid w:val="00C7224B"/>
    <w:rsid w:val="00C73B3A"/>
    <w:rsid w:val="00C74A96"/>
    <w:rsid w:val="00C80072"/>
    <w:rsid w:val="00C80FA7"/>
    <w:rsid w:val="00C87E36"/>
    <w:rsid w:val="00C907D1"/>
    <w:rsid w:val="00C910D1"/>
    <w:rsid w:val="00C92AB5"/>
    <w:rsid w:val="00C94730"/>
    <w:rsid w:val="00C947E1"/>
    <w:rsid w:val="00C97881"/>
    <w:rsid w:val="00CA3BE5"/>
    <w:rsid w:val="00CB6000"/>
    <w:rsid w:val="00CB6D50"/>
    <w:rsid w:val="00CB7AF4"/>
    <w:rsid w:val="00CC1B6B"/>
    <w:rsid w:val="00CC2651"/>
    <w:rsid w:val="00CC2BDA"/>
    <w:rsid w:val="00CC5EC2"/>
    <w:rsid w:val="00CD2FD3"/>
    <w:rsid w:val="00CD65D7"/>
    <w:rsid w:val="00CE5D6E"/>
    <w:rsid w:val="00CE63B9"/>
    <w:rsid w:val="00CF424A"/>
    <w:rsid w:val="00CF4448"/>
    <w:rsid w:val="00D010F5"/>
    <w:rsid w:val="00D014EF"/>
    <w:rsid w:val="00D03B35"/>
    <w:rsid w:val="00D03E52"/>
    <w:rsid w:val="00D05E39"/>
    <w:rsid w:val="00D14FE6"/>
    <w:rsid w:val="00D203DC"/>
    <w:rsid w:val="00D20D13"/>
    <w:rsid w:val="00D217BD"/>
    <w:rsid w:val="00D27FA9"/>
    <w:rsid w:val="00D34C71"/>
    <w:rsid w:val="00D3577B"/>
    <w:rsid w:val="00D357A4"/>
    <w:rsid w:val="00D3649E"/>
    <w:rsid w:val="00D402E3"/>
    <w:rsid w:val="00D40B5B"/>
    <w:rsid w:val="00D44317"/>
    <w:rsid w:val="00D45413"/>
    <w:rsid w:val="00D510C5"/>
    <w:rsid w:val="00D60429"/>
    <w:rsid w:val="00D6284F"/>
    <w:rsid w:val="00D64369"/>
    <w:rsid w:val="00D6464E"/>
    <w:rsid w:val="00D66AF5"/>
    <w:rsid w:val="00D67306"/>
    <w:rsid w:val="00D71B3E"/>
    <w:rsid w:val="00D73E54"/>
    <w:rsid w:val="00D73F44"/>
    <w:rsid w:val="00D761B6"/>
    <w:rsid w:val="00D77AB8"/>
    <w:rsid w:val="00D8789F"/>
    <w:rsid w:val="00D9434B"/>
    <w:rsid w:val="00D96384"/>
    <w:rsid w:val="00DA0579"/>
    <w:rsid w:val="00DA1AC0"/>
    <w:rsid w:val="00DA6CBB"/>
    <w:rsid w:val="00DB03AC"/>
    <w:rsid w:val="00DB0B40"/>
    <w:rsid w:val="00DB1477"/>
    <w:rsid w:val="00DB249D"/>
    <w:rsid w:val="00DB4E91"/>
    <w:rsid w:val="00DB5B84"/>
    <w:rsid w:val="00DC010D"/>
    <w:rsid w:val="00DC17E4"/>
    <w:rsid w:val="00DC6085"/>
    <w:rsid w:val="00DC7952"/>
    <w:rsid w:val="00DD04D3"/>
    <w:rsid w:val="00DD0BDB"/>
    <w:rsid w:val="00DD0E57"/>
    <w:rsid w:val="00DD1C73"/>
    <w:rsid w:val="00DD3AA6"/>
    <w:rsid w:val="00DD75BC"/>
    <w:rsid w:val="00DE1F58"/>
    <w:rsid w:val="00DE71E3"/>
    <w:rsid w:val="00DF7890"/>
    <w:rsid w:val="00E0050F"/>
    <w:rsid w:val="00E03817"/>
    <w:rsid w:val="00E209FC"/>
    <w:rsid w:val="00E22215"/>
    <w:rsid w:val="00E2314B"/>
    <w:rsid w:val="00E25C61"/>
    <w:rsid w:val="00E30BB2"/>
    <w:rsid w:val="00E3153D"/>
    <w:rsid w:val="00E35B9A"/>
    <w:rsid w:val="00E45B08"/>
    <w:rsid w:val="00E46B98"/>
    <w:rsid w:val="00E47885"/>
    <w:rsid w:val="00E56166"/>
    <w:rsid w:val="00E57B89"/>
    <w:rsid w:val="00E61D50"/>
    <w:rsid w:val="00E622A3"/>
    <w:rsid w:val="00E62F3C"/>
    <w:rsid w:val="00E6681D"/>
    <w:rsid w:val="00E70ACB"/>
    <w:rsid w:val="00E757AD"/>
    <w:rsid w:val="00E76B08"/>
    <w:rsid w:val="00EA14B2"/>
    <w:rsid w:val="00EA27C0"/>
    <w:rsid w:val="00EA4796"/>
    <w:rsid w:val="00EA4AE7"/>
    <w:rsid w:val="00EA5DCF"/>
    <w:rsid w:val="00EB0747"/>
    <w:rsid w:val="00EB1B1E"/>
    <w:rsid w:val="00EB7457"/>
    <w:rsid w:val="00EC428A"/>
    <w:rsid w:val="00ED178F"/>
    <w:rsid w:val="00ED3B02"/>
    <w:rsid w:val="00EF398E"/>
    <w:rsid w:val="00EF3E5E"/>
    <w:rsid w:val="00EF4A9A"/>
    <w:rsid w:val="00EF4CB0"/>
    <w:rsid w:val="00EF62C1"/>
    <w:rsid w:val="00EF7D1F"/>
    <w:rsid w:val="00F01FA0"/>
    <w:rsid w:val="00F01FB7"/>
    <w:rsid w:val="00F03133"/>
    <w:rsid w:val="00F07937"/>
    <w:rsid w:val="00F10308"/>
    <w:rsid w:val="00F1139B"/>
    <w:rsid w:val="00F12D2E"/>
    <w:rsid w:val="00F20BDB"/>
    <w:rsid w:val="00F22CFF"/>
    <w:rsid w:val="00F44094"/>
    <w:rsid w:val="00F44F10"/>
    <w:rsid w:val="00F46B4A"/>
    <w:rsid w:val="00F617A9"/>
    <w:rsid w:val="00F61E1B"/>
    <w:rsid w:val="00F72402"/>
    <w:rsid w:val="00F744E2"/>
    <w:rsid w:val="00F74A11"/>
    <w:rsid w:val="00F824FC"/>
    <w:rsid w:val="00F8606B"/>
    <w:rsid w:val="00F90699"/>
    <w:rsid w:val="00F9206D"/>
    <w:rsid w:val="00F96491"/>
    <w:rsid w:val="00FA7448"/>
    <w:rsid w:val="00FA74D3"/>
    <w:rsid w:val="00FA7A3B"/>
    <w:rsid w:val="00FB1090"/>
    <w:rsid w:val="00FC601F"/>
    <w:rsid w:val="00FC7A26"/>
    <w:rsid w:val="00FD1F42"/>
    <w:rsid w:val="00FD61F9"/>
    <w:rsid w:val="00FD73D1"/>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9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Mencinsinresolver2">
    <w:name w:val="Mención sin resolver2"/>
    <w:basedOn w:val="Fuentedeprrafopredeter"/>
    <w:uiPriority w:val="99"/>
    <w:semiHidden/>
    <w:unhideWhenUsed/>
    <w:rsid w:val="0000092D"/>
    <w:rPr>
      <w:color w:val="605E5C"/>
      <w:shd w:val="clear" w:color="auto" w:fill="E1DFDD"/>
    </w:rPr>
  </w:style>
  <w:style w:type="character" w:customStyle="1" w:styleId="normaltextrun">
    <w:name w:val="normaltextrun"/>
    <w:basedOn w:val="Fuentedeprrafopredeter"/>
    <w:rsid w:val="00BB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65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259531842">
      <w:bodyDiv w:val="1"/>
      <w:marLeft w:val="0"/>
      <w:marRight w:val="0"/>
      <w:marTop w:val="0"/>
      <w:marBottom w:val="0"/>
      <w:divBdr>
        <w:top w:val="none" w:sz="0" w:space="0" w:color="auto"/>
        <w:left w:val="none" w:sz="0" w:space="0" w:color="auto"/>
        <w:bottom w:val="none" w:sz="0" w:space="0" w:color="auto"/>
        <w:right w:val="none" w:sz="0" w:space="0" w:color="auto"/>
      </w:divBdr>
    </w:div>
    <w:div w:id="382171242">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684551901">
      <w:bodyDiv w:val="1"/>
      <w:marLeft w:val="0"/>
      <w:marRight w:val="0"/>
      <w:marTop w:val="0"/>
      <w:marBottom w:val="0"/>
      <w:divBdr>
        <w:top w:val="none" w:sz="0" w:space="0" w:color="auto"/>
        <w:left w:val="none" w:sz="0" w:space="0" w:color="auto"/>
        <w:bottom w:val="none" w:sz="0" w:space="0" w:color="auto"/>
        <w:right w:val="none" w:sz="0" w:space="0" w:color="auto"/>
      </w:divBdr>
    </w:div>
    <w:div w:id="866144418">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61770261">
      <w:bodyDiv w:val="1"/>
      <w:marLeft w:val="0"/>
      <w:marRight w:val="0"/>
      <w:marTop w:val="0"/>
      <w:marBottom w:val="0"/>
      <w:divBdr>
        <w:top w:val="none" w:sz="0" w:space="0" w:color="auto"/>
        <w:left w:val="none" w:sz="0" w:space="0" w:color="auto"/>
        <w:bottom w:val="none" w:sz="0" w:space="0" w:color="auto"/>
        <w:right w:val="none" w:sz="0" w:space="0" w:color="auto"/>
      </w:divBdr>
    </w:div>
    <w:div w:id="1326712053">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88146219">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798452805">
      <w:bodyDiv w:val="1"/>
      <w:marLeft w:val="0"/>
      <w:marRight w:val="0"/>
      <w:marTop w:val="0"/>
      <w:marBottom w:val="0"/>
      <w:divBdr>
        <w:top w:val="none" w:sz="0" w:space="0" w:color="auto"/>
        <w:left w:val="none" w:sz="0" w:space="0" w:color="auto"/>
        <w:bottom w:val="none" w:sz="0" w:space="0" w:color="auto"/>
        <w:right w:val="none" w:sz="0" w:space="0" w:color="auto"/>
      </w:divBdr>
    </w:div>
    <w:div w:id="19446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sesnsp/acciones-y-programas/incidencia-delictiva-del-fuero-comun-nueva-metodologia?state=publishe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DDE25-AA97-4BCE-81B2-5BBE465C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7928</Words>
  <Characters>43607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10</cp:revision>
  <dcterms:created xsi:type="dcterms:W3CDTF">2023-03-08T21:52:00Z</dcterms:created>
  <dcterms:modified xsi:type="dcterms:W3CDTF">2023-03-15T23:27:00Z</dcterms:modified>
</cp:coreProperties>
</file>