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6F8345C" w:rsidR="00662C69" w:rsidRPr="00570A4E" w:rsidRDefault="009B11D6" w:rsidP="00B31E90">
      <w:pPr>
        <w:tabs>
          <w:tab w:val="left" w:pos="3465"/>
        </w:tabs>
        <w:spacing w:line="360" w:lineRule="auto"/>
        <w:jc w:val="both"/>
        <w:rPr>
          <w:rFonts w:ascii="Palatino Linotype" w:hAnsi="Palatino Linotype"/>
          <w:color w:val="000000" w:themeColor="text1"/>
        </w:rPr>
      </w:pPr>
      <w:r w:rsidRPr="00570A4E">
        <w:rPr>
          <w:rFonts w:ascii="Palatino Linotype" w:hAnsi="Palatino Linotype"/>
          <w:color w:val="000000" w:themeColor="text1"/>
        </w:rPr>
        <w:t>R</w:t>
      </w:r>
      <w:r w:rsidR="00662C69" w:rsidRPr="00570A4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70A4E">
        <w:rPr>
          <w:rFonts w:ascii="Palatino Linotype" w:hAnsi="Palatino Linotype"/>
          <w:color w:val="000000" w:themeColor="text1"/>
        </w:rPr>
        <w:t>icipios, con</w:t>
      </w:r>
      <w:r w:rsidR="00662C69" w:rsidRPr="00570A4E">
        <w:rPr>
          <w:rFonts w:ascii="Palatino Linotype" w:hAnsi="Palatino Linotype"/>
          <w:color w:val="000000" w:themeColor="text1"/>
        </w:rPr>
        <w:t xml:space="preserve"> </w:t>
      </w:r>
      <w:r w:rsidR="00485DB6" w:rsidRPr="00570A4E">
        <w:rPr>
          <w:rFonts w:ascii="Palatino Linotype" w:hAnsi="Palatino Linotype"/>
          <w:color w:val="000000" w:themeColor="text1"/>
        </w:rPr>
        <w:t xml:space="preserve">domicilio </w:t>
      </w:r>
      <w:r w:rsidR="00662C69" w:rsidRPr="00570A4E">
        <w:rPr>
          <w:rFonts w:ascii="Palatino Linotype" w:hAnsi="Palatino Linotype"/>
          <w:color w:val="000000" w:themeColor="text1"/>
        </w:rPr>
        <w:t xml:space="preserve">en Metepec, Estado de México; de </w:t>
      </w:r>
      <w:r w:rsidR="00AB18AF" w:rsidRPr="00570A4E">
        <w:rPr>
          <w:rFonts w:ascii="Palatino Linotype" w:hAnsi="Palatino Linotype"/>
          <w:color w:val="000000" w:themeColor="text1"/>
        </w:rPr>
        <w:t>veinticinco (25</w:t>
      </w:r>
      <w:r w:rsidR="0063423A" w:rsidRPr="00570A4E">
        <w:rPr>
          <w:rFonts w:ascii="Palatino Linotype" w:hAnsi="Palatino Linotype"/>
          <w:color w:val="000000" w:themeColor="text1"/>
        </w:rPr>
        <w:t>) de enero de dos mil veintitrés</w:t>
      </w:r>
      <w:r w:rsidR="00662C69" w:rsidRPr="00570A4E">
        <w:rPr>
          <w:rFonts w:ascii="Palatino Linotype" w:hAnsi="Palatino Linotype"/>
          <w:color w:val="000000" w:themeColor="text1"/>
        </w:rPr>
        <w:t>.</w:t>
      </w:r>
    </w:p>
    <w:p w14:paraId="1181C59D" w14:textId="77777777" w:rsidR="00B31E90" w:rsidRPr="00570A4E" w:rsidRDefault="00B31E90" w:rsidP="00B31E90">
      <w:pPr>
        <w:tabs>
          <w:tab w:val="left" w:pos="3465"/>
        </w:tabs>
        <w:spacing w:line="360" w:lineRule="auto"/>
        <w:jc w:val="both"/>
        <w:rPr>
          <w:rFonts w:ascii="Palatino Linotype" w:hAnsi="Palatino Linotype"/>
          <w:color w:val="000000" w:themeColor="text1"/>
        </w:rPr>
      </w:pPr>
    </w:p>
    <w:p w14:paraId="04F87235" w14:textId="73081558" w:rsidR="005F0007" w:rsidRPr="00570A4E" w:rsidRDefault="00662C69" w:rsidP="00B31E90">
      <w:pPr>
        <w:spacing w:line="360" w:lineRule="auto"/>
        <w:jc w:val="both"/>
        <w:rPr>
          <w:rFonts w:ascii="Palatino Linotype" w:eastAsia="Times New Roman" w:hAnsi="Palatino Linotype" w:cs="Times New Roman"/>
          <w:b/>
          <w:color w:val="000000" w:themeColor="text1"/>
        </w:rPr>
      </w:pPr>
      <w:r w:rsidRPr="00570A4E">
        <w:rPr>
          <w:rFonts w:ascii="Palatino Linotype" w:hAnsi="Palatino Linotype"/>
          <w:b/>
          <w:color w:val="000000" w:themeColor="text1"/>
        </w:rPr>
        <w:t>VISTO</w:t>
      </w:r>
      <w:r w:rsidRPr="00570A4E">
        <w:rPr>
          <w:rFonts w:ascii="Palatino Linotype" w:hAnsi="Palatino Linotype"/>
          <w:color w:val="000000" w:themeColor="text1"/>
        </w:rPr>
        <w:t xml:space="preserve"> </w:t>
      </w:r>
      <w:r w:rsidR="00F25B61" w:rsidRPr="00570A4E">
        <w:rPr>
          <w:rFonts w:ascii="Palatino Linotype" w:hAnsi="Palatino Linotype"/>
          <w:color w:val="000000" w:themeColor="text1"/>
        </w:rPr>
        <w:t>el</w:t>
      </w:r>
      <w:r w:rsidRPr="00570A4E">
        <w:rPr>
          <w:rFonts w:ascii="Palatino Linotype" w:hAnsi="Palatino Linotype"/>
          <w:color w:val="000000" w:themeColor="text1"/>
        </w:rPr>
        <w:t xml:space="preserve"> expediente electrónico for</w:t>
      </w:r>
      <w:r w:rsidR="00D37494" w:rsidRPr="00570A4E">
        <w:rPr>
          <w:rFonts w:ascii="Palatino Linotype" w:hAnsi="Palatino Linotype"/>
          <w:color w:val="000000" w:themeColor="text1"/>
        </w:rPr>
        <w:t>mado con motivo del</w:t>
      </w:r>
      <w:r w:rsidRPr="00570A4E">
        <w:rPr>
          <w:rFonts w:ascii="Palatino Linotype" w:hAnsi="Palatino Linotype"/>
          <w:color w:val="000000" w:themeColor="text1"/>
        </w:rPr>
        <w:t xml:space="preserve"> recurso de revisión </w:t>
      </w:r>
      <w:r w:rsidR="00AB18AF" w:rsidRPr="00570A4E">
        <w:rPr>
          <w:rFonts w:ascii="Palatino Linotype" w:hAnsi="Palatino Linotype"/>
          <w:b/>
          <w:bCs/>
          <w:color w:val="000000" w:themeColor="text1"/>
        </w:rPr>
        <w:t>13403/INFOEM/IP/RR/2022</w:t>
      </w:r>
      <w:r w:rsidR="005F1362" w:rsidRPr="00570A4E">
        <w:rPr>
          <w:rFonts w:ascii="Palatino Linotype" w:eastAsia="Times New Roman" w:hAnsi="Palatino Linotype" w:cs="Arial"/>
          <w:bCs/>
          <w:color w:val="000000" w:themeColor="text1"/>
        </w:rPr>
        <w:t xml:space="preserve">, </w:t>
      </w:r>
      <w:r w:rsidR="006B31E7" w:rsidRPr="00570A4E">
        <w:rPr>
          <w:rFonts w:ascii="Palatino Linotype" w:eastAsia="Times New Roman" w:hAnsi="Palatino Linotype" w:cs="Times New Roman"/>
          <w:color w:val="000000" w:themeColor="text1"/>
        </w:rPr>
        <w:t xml:space="preserve">interpuesto </w:t>
      </w:r>
      <w:r w:rsidR="0063423A" w:rsidRPr="00570A4E">
        <w:rPr>
          <w:rFonts w:ascii="Palatino Linotype" w:eastAsia="Times New Roman" w:hAnsi="Palatino Linotype" w:cs="Times New Roman"/>
          <w:color w:val="000000" w:themeColor="text1"/>
        </w:rPr>
        <w:t xml:space="preserve">por </w:t>
      </w:r>
      <w:r w:rsidR="00570A4E" w:rsidRPr="00570A4E">
        <w:rPr>
          <w:rFonts w:ascii="Palatino Linotype" w:eastAsia="Times New Roman" w:hAnsi="Palatino Linotype" w:cs="Times New Roman"/>
          <w:b/>
          <w:color w:val="000000" w:themeColor="text1"/>
        </w:rPr>
        <w:t>XXXX XXX XXXX</w:t>
      </w:r>
      <w:r w:rsidR="0063423A" w:rsidRPr="00570A4E">
        <w:rPr>
          <w:rFonts w:ascii="Palatino Linotype" w:eastAsia="Times New Roman" w:hAnsi="Palatino Linotype" w:cs="Times New Roman"/>
          <w:color w:val="000000" w:themeColor="text1"/>
        </w:rPr>
        <w:t xml:space="preserve">, en lo sucesivo, el </w:t>
      </w:r>
      <w:r w:rsidR="0063423A" w:rsidRPr="00570A4E">
        <w:rPr>
          <w:rFonts w:ascii="Palatino Linotype" w:eastAsia="Times New Roman" w:hAnsi="Palatino Linotype" w:cs="Times New Roman"/>
          <w:b/>
          <w:color w:val="000000" w:themeColor="text1"/>
        </w:rPr>
        <w:t>RECURRENTE</w:t>
      </w:r>
      <w:r w:rsidR="00E647FF" w:rsidRPr="00570A4E">
        <w:rPr>
          <w:rFonts w:ascii="Palatino Linotype" w:eastAsia="Times New Roman" w:hAnsi="Palatino Linotype" w:cs="Arial"/>
          <w:color w:val="000000" w:themeColor="text1"/>
        </w:rPr>
        <w:t>;</w:t>
      </w:r>
      <w:r w:rsidR="005F1362" w:rsidRPr="00570A4E">
        <w:rPr>
          <w:rFonts w:ascii="Palatino Linotype" w:eastAsia="Times New Roman" w:hAnsi="Palatino Linotype" w:cs="Arial"/>
          <w:color w:val="000000" w:themeColor="text1"/>
        </w:rPr>
        <w:t xml:space="preserve"> en contra de la respuesta del</w:t>
      </w:r>
      <w:r w:rsidR="002C1007" w:rsidRPr="00570A4E">
        <w:rPr>
          <w:rFonts w:ascii="Palatino Linotype" w:eastAsia="Times New Roman" w:hAnsi="Palatino Linotype" w:cs="Arial"/>
          <w:color w:val="000000" w:themeColor="text1"/>
        </w:rPr>
        <w:t xml:space="preserve"> </w:t>
      </w:r>
      <w:r w:rsidR="00AB18AF" w:rsidRPr="00570A4E">
        <w:rPr>
          <w:rFonts w:ascii="Palatino Linotype" w:eastAsia="Times New Roman" w:hAnsi="Palatino Linotype" w:cs="Arial"/>
          <w:b/>
          <w:color w:val="000000" w:themeColor="text1"/>
        </w:rPr>
        <w:t>Ayuntamiento de Huixquilucan</w:t>
      </w:r>
      <w:r w:rsidR="009572EE" w:rsidRPr="00570A4E">
        <w:rPr>
          <w:rFonts w:ascii="Palatino Linotype" w:eastAsia="Calibri" w:hAnsi="Palatino Linotype" w:cs="Arial"/>
          <w:color w:val="000000" w:themeColor="text1"/>
          <w:lang w:val="es-ES"/>
        </w:rPr>
        <w:t>,</w:t>
      </w:r>
      <w:r w:rsidR="005F1362" w:rsidRPr="00570A4E">
        <w:rPr>
          <w:rFonts w:ascii="Palatino Linotype" w:eastAsia="Calibri" w:hAnsi="Palatino Linotype" w:cs="Arial"/>
          <w:color w:val="000000" w:themeColor="text1"/>
          <w:lang w:val="es-ES"/>
        </w:rPr>
        <w:t xml:space="preserve"> </w:t>
      </w:r>
      <w:r w:rsidR="00F17EFA" w:rsidRPr="00570A4E">
        <w:rPr>
          <w:rFonts w:ascii="Palatino Linotype" w:eastAsia="Calibri" w:hAnsi="Palatino Linotype" w:cs="Arial"/>
          <w:color w:val="000000" w:themeColor="text1"/>
          <w:lang w:val="es-ES"/>
        </w:rPr>
        <w:t>en adelante,</w:t>
      </w:r>
      <w:r w:rsidR="00F17EFA" w:rsidRPr="00570A4E">
        <w:rPr>
          <w:rFonts w:ascii="Palatino Linotype" w:eastAsia="Times New Roman" w:hAnsi="Palatino Linotype" w:cs="Times New Roman"/>
          <w:color w:val="000000" w:themeColor="text1"/>
        </w:rPr>
        <w:t xml:space="preserve"> </w:t>
      </w:r>
      <w:r w:rsidR="005F1362" w:rsidRPr="00570A4E">
        <w:rPr>
          <w:rFonts w:ascii="Palatino Linotype" w:eastAsia="Times New Roman" w:hAnsi="Palatino Linotype" w:cs="Times New Roman"/>
          <w:color w:val="000000" w:themeColor="text1"/>
        </w:rPr>
        <w:t>el</w:t>
      </w:r>
      <w:r w:rsidR="005F1362" w:rsidRPr="00570A4E">
        <w:rPr>
          <w:rFonts w:ascii="Palatino Linotype" w:eastAsia="Times New Roman" w:hAnsi="Palatino Linotype" w:cs="Times New Roman"/>
          <w:b/>
          <w:color w:val="000000" w:themeColor="text1"/>
        </w:rPr>
        <w:t xml:space="preserve"> SUJETO OBLIGADO</w:t>
      </w:r>
      <w:r w:rsidR="005F1362" w:rsidRPr="00570A4E">
        <w:rPr>
          <w:rFonts w:ascii="Palatino Linotype" w:eastAsia="Times New Roman" w:hAnsi="Palatino Linotype" w:cs="Times New Roman"/>
          <w:color w:val="000000" w:themeColor="text1"/>
        </w:rPr>
        <w:t>,</w:t>
      </w:r>
      <w:r w:rsidR="005F1362" w:rsidRPr="00570A4E">
        <w:rPr>
          <w:rFonts w:ascii="Palatino Linotype" w:eastAsia="Times New Roman" w:hAnsi="Palatino Linotype" w:cs="Times New Roman"/>
          <w:b/>
          <w:color w:val="000000" w:themeColor="text1"/>
        </w:rPr>
        <w:t xml:space="preserve"> </w:t>
      </w:r>
      <w:r w:rsidR="005F1362" w:rsidRPr="00570A4E">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570A4E" w:rsidRDefault="009A593A" w:rsidP="00B31E90">
      <w:pPr>
        <w:spacing w:line="360" w:lineRule="auto"/>
        <w:jc w:val="both"/>
        <w:rPr>
          <w:rFonts w:ascii="Palatino Linotype" w:hAnsi="Palatino Linotype"/>
          <w:b/>
          <w:color w:val="000000" w:themeColor="text1"/>
        </w:rPr>
      </w:pPr>
    </w:p>
    <w:p w14:paraId="769E1410" w14:textId="5FE2D20C" w:rsidR="00587366" w:rsidRPr="00570A4E"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570A4E">
        <w:rPr>
          <w:b/>
          <w:color w:val="000000" w:themeColor="text1"/>
        </w:rPr>
        <w:t>A</w:t>
      </w:r>
      <w:r w:rsidR="00C87A66" w:rsidRPr="00570A4E">
        <w:rPr>
          <w:b/>
          <w:color w:val="000000" w:themeColor="text1"/>
        </w:rPr>
        <w:t xml:space="preserve"> </w:t>
      </w:r>
      <w:r w:rsidRPr="00570A4E">
        <w:rPr>
          <w:b/>
          <w:color w:val="000000" w:themeColor="text1"/>
        </w:rPr>
        <w:t>N</w:t>
      </w:r>
      <w:r w:rsidR="00C87A66" w:rsidRPr="00570A4E">
        <w:rPr>
          <w:b/>
          <w:color w:val="000000" w:themeColor="text1"/>
        </w:rPr>
        <w:t xml:space="preserve"> </w:t>
      </w:r>
      <w:r w:rsidRPr="00570A4E">
        <w:rPr>
          <w:b/>
          <w:color w:val="000000" w:themeColor="text1"/>
        </w:rPr>
        <w:t>T</w:t>
      </w:r>
      <w:r w:rsidR="00C87A66" w:rsidRPr="00570A4E">
        <w:rPr>
          <w:b/>
          <w:color w:val="000000" w:themeColor="text1"/>
        </w:rPr>
        <w:t xml:space="preserve"> </w:t>
      </w:r>
      <w:r w:rsidRPr="00570A4E">
        <w:rPr>
          <w:b/>
          <w:color w:val="000000" w:themeColor="text1"/>
        </w:rPr>
        <w:t>E</w:t>
      </w:r>
      <w:r w:rsidR="00C87A66" w:rsidRPr="00570A4E">
        <w:rPr>
          <w:b/>
          <w:color w:val="000000" w:themeColor="text1"/>
        </w:rPr>
        <w:t xml:space="preserve"> </w:t>
      </w:r>
      <w:r w:rsidRPr="00570A4E">
        <w:rPr>
          <w:b/>
          <w:color w:val="000000" w:themeColor="text1"/>
        </w:rPr>
        <w:t>C</w:t>
      </w:r>
      <w:r w:rsidR="00C87A66" w:rsidRPr="00570A4E">
        <w:rPr>
          <w:b/>
          <w:color w:val="000000" w:themeColor="text1"/>
        </w:rPr>
        <w:t xml:space="preserve"> </w:t>
      </w:r>
      <w:r w:rsidRPr="00570A4E">
        <w:rPr>
          <w:b/>
          <w:color w:val="000000" w:themeColor="text1"/>
        </w:rPr>
        <w:t>E</w:t>
      </w:r>
      <w:r w:rsidR="00C87A66" w:rsidRPr="00570A4E">
        <w:rPr>
          <w:b/>
          <w:color w:val="000000" w:themeColor="text1"/>
        </w:rPr>
        <w:t xml:space="preserve"> </w:t>
      </w:r>
      <w:r w:rsidRPr="00570A4E">
        <w:rPr>
          <w:b/>
          <w:color w:val="000000" w:themeColor="text1"/>
        </w:rPr>
        <w:t>D</w:t>
      </w:r>
      <w:r w:rsidR="00C87A66" w:rsidRPr="00570A4E">
        <w:rPr>
          <w:b/>
          <w:color w:val="000000" w:themeColor="text1"/>
        </w:rPr>
        <w:t xml:space="preserve"> </w:t>
      </w:r>
      <w:r w:rsidRPr="00570A4E">
        <w:rPr>
          <w:b/>
          <w:color w:val="000000" w:themeColor="text1"/>
        </w:rPr>
        <w:t>E</w:t>
      </w:r>
      <w:r w:rsidR="00C87A66" w:rsidRPr="00570A4E">
        <w:rPr>
          <w:b/>
          <w:color w:val="000000" w:themeColor="text1"/>
        </w:rPr>
        <w:t xml:space="preserve"> </w:t>
      </w:r>
      <w:r w:rsidRPr="00570A4E">
        <w:rPr>
          <w:b/>
          <w:color w:val="000000" w:themeColor="text1"/>
        </w:rPr>
        <w:t>N</w:t>
      </w:r>
      <w:r w:rsidR="00C87A66" w:rsidRPr="00570A4E">
        <w:rPr>
          <w:b/>
          <w:color w:val="000000" w:themeColor="text1"/>
        </w:rPr>
        <w:t xml:space="preserve"> </w:t>
      </w:r>
      <w:r w:rsidRPr="00570A4E">
        <w:rPr>
          <w:b/>
          <w:color w:val="000000" w:themeColor="text1"/>
        </w:rPr>
        <w:t>T</w:t>
      </w:r>
      <w:r w:rsidR="00C87A66" w:rsidRPr="00570A4E">
        <w:rPr>
          <w:b/>
          <w:color w:val="000000" w:themeColor="text1"/>
        </w:rPr>
        <w:t xml:space="preserve"> </w:t>
      </w:r>
      <w:r w:rsidRPr="00570A4E">
        <w:rPr>
          <w:b/>
          <w:color w:val="000000" w:themeColor="text1"/>
        </w:rPr>
        <w:t>E</w:t>
      </w:r>
      <w:r w:rsidR="00C87A66" w:rsidRPr="00570A4E">
        <w:rPr>
          <w:b/>
          <w:color w:val="000000" w:themeColor="text1"/>
        </w:rPr>
        <w:t xml:space="preserve"> </w:t>
      </w:r>
      <w:r w:rsidRPr="00570A4E">
        <w:rPr>
          <w:b/>
          <w:color w:val="000000" w:themeColor="text1"/>
        </w:rPr>
        <w:t>S</w:t>
      </w:r>
      <w:bookmarkEnd w:id="0"/>
      <w:bookmarkEnd w:id="1"/>
      <w:bookmarkEnd w:id="2"/>
    </w:p>
    <w:p w14:paraId="5672105D" w14:textId="77777777" w:rsidR="00B31E90" w:rsidRPr="00570A4E"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21AD1E42" w:rsidR="002D063B" w:rsidRPr="00570A4E"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70A4E">
        <w:rPr>
          <w:rFonts w:ascii="Palatino Linotype" w:eastAsia="Calibri" w:hAnsi="Palatino Linotype" w:cs="Arial"/>
          <w:color w:val="000000" w:themeColor="text1"/>
          <w:lang w:val="es-ES"/>
        </w:rPr>
        <w:t>El</w:t>
      </w:r>
      <w:r w:rsidR="00D9392E" w:rsidRPr="00570A4E">
        <w:rPr>
          <w:rFonts w:ascii="Palatino Linotype" w:eastAsia="Calibri" w:hAnsi="Palatino Linotype" w:cs="Arial"/>
          <w:color w:val="000000" w:themeColor="text1"/>
          <w:lang w:val="es-ES"/>
        </w:rPr>
        <w:t xml:space="preserve"> </w:t>
      </w:r>
      <w:r w:rsidR="00AB18AF" w:rsidRPr="00570A4E">
        <w:rPr>
          <w:rFonts w:ascii="Palatino Linotype" w:eastAsia="Calibri" w:hAnsi="Palatino Linotype" w:cs="Arial"/>
          <w:color w:val="000000" w:themeColor="text1"/>
          <w:lang w:val="es-ES"/>
        </w:rPr>
        <w:t xml:space="preserve">treinta (30) de junio </w:t>
      </w:r>
      <w:r w:rsidR="002D063B" w:rsidRPr="00570A4E">
        <w:rPr>
          <w:rFonts w:ascii="Palatino Linotype" w:eastAsia="Calibri" w:hAnsi="Palatino Linotype" w:cs="Arial"/>
          <w:color w:val="000000" w:themeColor="text1"/>
          <w:lang w:val="es-ES"/>
        </w:rPr>
        <w:t xml:space="preserve">de dos mil veintidós, </w:t>
      </w:r>
      <w:r w:rsidR="002D063B" w:rsidRPr="00570A4E">
        <w:rPr>
          <w:rFonts w:ascii="Palatino Linotype" w:hAnsi="Palatino Linotype"/>
          <w:color w:val="000000" w:themeColor="text1"/>
        </w:rPr>
        <w:t>el particular presentó,</w:t>
      </w:r>
      <w:r w:rsidR="002D063B" w:rsidRPr="00570A4E">
        <w:rPr>
          <w:rFonts w:ascii="Palatino Linotype" w:hAnsi="Palatino Linotype"/>
          <w:b/>
          <w:color w:val="000000" w:themeColor="text1"/>
        </w:rPr>
        <w:t xml:space="preserve"> </w:t>
      </w:r>
      <w:r w:rsidR="002D063B" w:rsidRPr="00570A4E">
        <w:rPr>
          <w:rFonts w:ascii="Palatino Linotype" w:hAnsi="Palatino Linotype"/>
          <w:bCs/>
          <w:color w:val="000000" w:themeColor="text1"/>
        </w:rPr>
        <w:t xml:space="preserve">a través </w:t>
      </w:r>
      <w:r w:rsidR="00AB18AF" w:rsidRPr="00570A4E">
        <w:rPr>
          <w:rFonts w:ascii="Palatino Linotype" w:hAnsi="Palatino Linotype"/>
          <w:bCs/>
          <w:color w:val="000000" w:themeColor="text1"/>
        </w:rPr>
        <w:t>del</w:t>
      </w:r>
      <w:r w:rsidR="0063423A" w:rsidRPr="00570A4E">
        <w:rPr>
          <w:rFonts w:ascii="Palatino Linotype" w:hAnsi="Palatino Linotype"/>
          <w:bCs/>
          <w:color w:val="000000" w:themeColor="text1"/>
        </w:rPr>
        <w:t xml:space="preserve"> Sistema de Acceso a la Información Mexiquense (SAIMEX)</w:t>
      </w:r>
      <w:r w:rsidR="002D063B" w:rsidRPr="00570A4E">
        <w:rPr>
          <w:rFonts w:ascii="Palatino Linotype" w:eastAsia="Calibri" w:hAnsi="Palatino Linotype" w:cs="Arial"/>
          <w:color w:val="000000" w:themeColor="text1"/>
          <w:lang w:val="es-ES"/>
        </w:rPr>
        <w:t>, la solicitud de información pública registrada con el número</w:t>
      </w:r>
      <w:r w:rsidR="002D063B" w:rsidRPr="00570A4E">
        <w:rPr>
          <w:rFonts w:ascii="Palatino Linotype" w:hAnsi="Palatino Linotype"/>
          <w:b/>
          <w:bCs/>
          <w:color w:val="000000" w:themeColor="text1"/>
        </w:rPr>
        <w:t xml:space="preserve"> </w:t>
      </w:r>
      <w:r w:rsidR="00AB18AF" w:rsidRPr="00570A4E">
        <w:rPr>
          <w:rFonts w:ascii="Palatino Linotype" w:hAnsi="Palatino Linotype"/>
          <w:b/>
          <w:bCs/>
          <w:color w:val="000000" w:themeColor="text1"/>
        </w:rPr>
        <w:t>13403/HUIXQUIL/IP/2022</w:t>
      </w:r>
      <w:r w:rsidR="002D063B" w:rsidRPr="00570A4E">
        <w:rPr>
          <w:rFonts w:ascii="Palatino Linotype" w:hAnsi="Palatino Linotype"/>
          <w:b/>
          <w:bCs/>
          <w:color w:val="000000" w:themeColor="text1"/>
        </w:rPr>
        <w:t>,</w:t>
      </w:r>
      <w:r w:rsidR="002D063B" w:rsidRPr="00570A4E">
        <w:rPr>
          <w:rFonts w:ascii="Palatino Linotype" w:eastAsia="Calibri" w:hAnsi="Palatino Linotype" w:cs="Arial"/>
          <w:color w:val="000000" w:themeColor="text1"/>
          <w:lang w:val="es-ES"/>
        </w:rPr>
        <w:t xml:space="preserve"> mediante la cual requirió lo siguiente:</w:t>
      </w:r>
    </w:p>
    <w:p w14:paraId="3508C5F6" w14:textId="77777777" w:rsidR="002D063B" w:rsidRPr="00570A4E"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23067C58" w:rsidR="002D063B" w:rsidRPr="00570A4E" w:rsidRDefault="002D063B" w:rsidP="002D063B">
      <w:pPr>
        <w:pStyle w:val="Prrafodelista"/>
        <w:spacing w:line="276" w:lineRule="auto"/>
        <w:ind w:left="567" w:right="567"/>
        <w:jc w:val="both"/>
        <w:rPr>
          <w:rFonts w:ascii="Palatino Linotype" w:hAnsi="Palatino Linotype"/>
          <w:i/>
          <w:color w:val="000000" w:themeColor="text1"/>
          <w:szCs w:val="22"/>
        </w:rPr>
      </w:pPr>
      <w:r w:rsidRPr="00570A4E">
        <w:rPr>
          <w:rFonts w:ascii="Palatino Linotype" w:hAnsi="Palatino Linotype"/>
          <w:i/>
          <w:color w:val="000000" w:themeColor="text1"/>
          <w:sz w:val="22"/>
          <w:szCs w:val="22"/>
        </w:rPr>
        <w:t>“</w:t>
      </w:r>
      <w:r w:rsidR="00AB18AF" w:rsidRPr="00570A4E">
        <w:rPr>
          <w:rFonts w:ascii="Palatino Linotype" w:hAnsi="Palatino Linotype"/>
          <w:i/>
          <w:iCs/>
          <w:color w:val="000000" w:themeColor="text1"/>
          <w:sz w:val="22"/>
          <w:szCs w:val="22"/>
        </w:rPr>
        <w:t>Se solicita al Ayuntamiento de Huixquilucan que entregue a través del sistema SAIMEX la información documental que consigne y/o evidencie todos los cambios de uso del suelo que hubo del 1 de enero de 2019 al 31 de diciembre de 2021 en la colonia LOMAS DE LA HERRADURA.</w:t>
      </w:r>
      <w:r w:rsidRPr="00570A4E">
        <w:rPr>
          <w:rFonts w:ascii="Palatino Linotype" w:hAnsi="Palatino Linotype"/>
          <w:i/>
          <w:color w:val="000000" w:themeColor="text1"/>
          <w:sz w:val="22"/>
          <w:szCs w:val="22"/>
        </w:rPr>
        <w:t xml:space="preserve">” </w:t>
      </w:r>
      <w:r w:rsidRPr="00570A4E">
        <w:rPr>
          <w:rFonts w:ascii="Palatino Linotype" w:hAnsi="Palatino Linotype"/>
          <w:color w:val="000000" w:themeColor="text1"/>
          <w:sz w:val="22"/>
          <w:szCs w:val="22"/>
        </w:rPr>
        <w:t>(Sic).</w:t>
      </w:r>
    </w:p>
    <w:p w14:paraId="75686D82" w14:textId="77777777" w:rsidR="002D063B" w:rsidRPr="00570A4E" w:rsidRDefault="002D063B" w:rsidP="002D063B">
      <w:pPr>
        <w:spacing w:line="360" w:lineRule="auto"/>
        <w:ind w:right="333"/>
        <w:jc w:val="both"/>
        <w:rPr>
          <w:rFonts w:ascii="Palatino Linotype" w:hAnsi="Palatino Linotype"/>
          <w:color w:val="000000" w:themeColor="text1"/>
        </w:rPr>
      </w:pPr>
    </w:p>
    <w:p w14:paraId="49C21E77" w14:textId="68C2BD2E" w:rsidR="0039142B" w:rsidRPr="00570A4E"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70A4E">
        <w:rPr>
          <w:rFonts w:ascii="Palatino Linotype" w:hAnsi="Palatino Linotype" w:cs="Arial"/>
          <w:color w:val="000000" w:themeColor="text1"/>
        </w:rPr>
        <w:t xml:space="preserve">Se hace constar que </w:t>
      </w:r>
      <w:r w:rsidRPr="00570A4E">
        <w:rPr>
          <w:rFonts w:ascii="Palatino Linotype" w:eastAsia="Times New Roman" w:hAnsi="Palatino Linotype" w:cs="Arial"/>
          <w:color w:val="000000" w:themeColor="text1"/>
          <w:lang w:val="es-ES"/>
        </w:rPr>
        <w:t xml:space="preserve">el entonces </w:t>
      </w:r>
      <w:r w:rsidRPr="00570A4E">
        <w:rPr>
          <w:rFonts w:ascii="Palatino Linotype" w:eastAsia="Times New Roman" w:hAnsi="Palatino Linotype" w:cs="Arial"/>
          <w:b/>
          <w:color w:val="000000" w:themeColor="text1"/>
          <w:lang w:val="es-ES"/>
        </w:rPr>
        <w:t>SOLICITANTE</w:t>
      </w:r>
      <w:r w:rsidRPr="00570A4E">
        <w:rPr>
          <w:rFonts w:ascii="Palatino Linotype" w:eastAsia="Times New Roman" w:hAnsi="Palatino Linotype" w:cs="Arial"/>
          <w:color w:val="000000" w:themeColor="text1"/>
          <w:lang w:val="es-ES"/>
        </w:rPr>
        <w:t xml:space="preserve"> señaló como modalidad de entrega de la información</w:t>
      </w:r>
      <w:r w:rsidRPr="00570A4E">
        <w:rPr>
          <w:rFonts w:ascii="Palatino Linotype" w:eastAsia="Times New Roman" w:hAnsi="Palatino Linotype" w:cs="Arial"/>
          <w:b/>
          <w:color w:val="000000" w:themeColor="text1"/>
          <w:lang w:val="es-ES"/>
        </w:rPr>
        <w:t xml:space="preserve">: </w:t>
      </w:r>
      <w:r w:rsidRPr="00570A4E">
        <w:rPr>
          <w:rFonts w:ascii="Palatino Linotype" w:eastAsia="Times New Roman" w:hAnsi="Palatino Linotype" w:cs="Arial"/>
          <w:b/>
          <w:i/>
          <w:iCs/>
          <w:color w:val="000000" w:themeColor="text1"/>
          <w:lang w:val="es-ES"/>
        </w:rPr>
        <w:t>A través del SAIMEX</w:t>
      </w:r>
      <w:r w:rsidRPr="00570A4E">
        <w:rPr>
          <w:rFonts w:ascii="Palatino Linotype" w:eastAsia="Calibri" w:hAnsi="Palatino Linotype" w:cs="Arial"/>
          <w:b/>
          <w:bCs/>
          <w:i/>
          <w:color w:val="000000" w:themeColor="text1"/>
          <w:lang w:val="es-AR"/>
        </w:rPr>
        <w:t>.</w:t>
      </w:r>
    </w:p>
    <w:p w14:paraId="35BA18A9" w14:textId="77777777" w:rsidR="0039142B" w:rsidRPr="00570A4E"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5BF078B" w14:textId="3196524B" w:rsidR="0063423A" w:rsidRPr="00570A4E" w:rsidRDefault="00014F51" w:rsidP="002D063B">
      <w:pPr>
        <w:pStyle w:val="Prrafodelista"/>
        <w:numPr>
          <w:ilvl w:val="0"/>
          <w:numId w:val="1"/>
        </w:numPr>
        <w:tabs>
          <w:tab w:val="left" w:pos="426"/>
        </w:tabs>
        <w:spacing w:line="360" w:lineRule="auto"/>
        <w:jc w:val="both"/>
        <w:rPr>
          <w:rFonts w:ascii="Palatino Linotype" w:hAnsi="Palatino Linotype" w:cs="Arial"/>
        </w:rPr>
      </w:pPr>
      <w:r w:rsidRPr="00570A4E">
        <w:rPr>
          <w:rFonts w:ascii="Palatino Linotype" w:eastAsia="MS Mincho" w:hAnsi="Palatino Linotype" w:cs="Times New Roman"/>
          <w:color w:val="000000" w:themeColor="text1"/>
        </w:rPr>
        <w:lastRenderedPageBreak/>
        <w:t>E</w:t>
      </w:r>
      <w:r w:rsidR="0063423A" w:rsidRPr="00570A4E">
        <w:rPr>
          <w:rFonts w:ascii="Palatino Linotype" w:eastAsia="MS Mincho" w:hAnsi="Palatino Linotype" w:cs="Times New Roman"/>
          <w:color w:val="000000" w:themeColor="text1"/>
        </w:rPr>
        <w:t xml:space="preserve">l </w:t>
      </w:r>
      <w:r w:rsidR="00DC19B2" w:rsidRPr="00570A4E">
        <w:rPr>
          <w:rFonts w:ascii="Palatino Linotype" w:eastAsia="MS Mincho" w:hAnsi="Palatino Linotype" w:cs="Times New Roman"/>
          <w:color w:val="000000" w:themeColor="text1"/>
        </w:rPr>
        <w:t xml:space="preserve">cuatro (04) de agosto </w:t>
      </w:r>
      <w:r w:rsidR="0063423A" w:rsidRPr="00570A4E">
        <w:rPr>
          <w:rFonts w:ascii="Palatino Linotype" w:eastAsia="MS Mincho" w:hAnsi="Palatino Linotype" w:cs="Times New Roman"/>
          <w:color w:val="000000" w:themeColor="text1"/>
        </w:rPr>
        <w:t xml:space="preserve">de dos mil veintidós, el </w:t>
      </w:r>
      <w:r w:rsidR="0063423A" w:rsidRPr="00570A4E">
        <w:rPr>
          <w:rFonts w:ascii="Palatino Linotype" w:eastAsia="MS Mincho" w:hAnsi="Palatino Linotype" w:cs="Times New Roman"/>
          <w:b/>
          <w:color w:val="000000" w:themeColor="text1"/>
        </w:rPr>
        <w:t>SUJETO OBLIGADO</w:t>
      </w:r>
      <w:r w:rsidR="0063423A" w:rsidRPr="00570A4E">
        <w:rPr>
          <w:rFonts w:ascii="Palatino Linotype" w:eastAsia="MS Mincho" w:hAnsi="Palatino Linotype" w:cs="Times New Roman"/>
          <w:color w:val="000000" w:themeColor="text1"/>
        </w:rPr>
        <w:t xml:space="preserve"> </w:t>
      </w:r>
      <w:r w:rsidR="00DC19B2" w:rsidRPr="00570A4E">
        <w:rPr>
          <w:rFonts w:ascii="Palatino Linotype" w:eastAsia="MS Mincho" w:hAnsi="Palatino Linotype" w:cs="Times New Roman"/>
          <w:color w:val="000000" w:themeColor="text1"/>
        </w:rPr>
        <w:t>dio respuesta a la solicitud de información en</w:t>
      </w:r>
      <w:r w:rsidR="0063423A" w:rsidRPr="00570A4E">
        <w:rPr>
          <w:rFonts w:ascii="Palatino Linotype" w:eastAsia="MS Mincho" w:hAnsi="Palatino Linotype" w:cs="Times New Roman"/>
          <w:color w:val="000000" w:themeColor="text1"/>
        </w:rPr>
        <w:t xml:space="preserve"> los siguientes términos:</w:t>
      </w:r>
    </w:p>
    <w:p w14:paraId="70E6F301" w14:textId="77777777" w:rsidR="0063423A" w:rsidRPr="00570A4E" w:rsidRDefault="0063423A" w:rsidP="0063423A">
      <w:pPr>
        <w:pStyle w:val="Prrafodelista"/>
        <w:tabs>
          <w:tab w:val="left" w:pos="426"/>
        </w:tabs>
        <w:spacing w:line="360" w:lineRule="auto"/>
        <w:ind w:left="0"/>
        <w:jc w:val="both"/>
        <w:rPr>
          <w:rFonts w:ascii="Palatino Linotype" w:hAnsi="Palatino Linotype" w:cs="Arial"/>
        </w:rPr>
      </w:pPr>
    </w:p>
    <w:p w14:paraId="4F80DB8D" w14:textId="77777777" w:rsidR="00DC19B2" w:rsidRPr="00570A4E" w:rsidRDefault="0063423A" w:rsidP="00DC19B2">
      <w:pPr>
        <w:pStyle w:val="Prrafodelista"/>
        <w:tabs>
          <w:tab w:val="left" w:pos="426"/>
        </w:tabs>
        <w:spacing w:line="276" w:lineRule="auto"/>
        <w:ind w:left="567" w:right="567"/>
        <w:jc w:val="both"/>
        <w:rPr>
          <w:rFonts w:ascii="Palatino Linotype" w:hAnsi="Palatino Linotype" w:cs="Arial"/>
          <w:i/>
          <w:sz w:val="22"/>
        </w:rPr>
      </w:pPr>
      <w:r w:rsidRPr="00570A4E">
        <w:rPr>
          <w:rFonts w:ascii="Palatino Linotype" w:hAnsi="Palatino Linotype" w:cs="Arial"/>
          <w:i/>
          <w:sz w:val="22"/>
        </w:rPr>
        <w:t>“</w:t>
      </w:r>
      <w:r w:rsidR="00DC19B2" w:rsidRPr="00570A4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95831D" w14:textId="77777777" w:rsidR="00DC19B2" w:rsidRPr="00570A4E" w:rsidRDefault="00DC19B2" w:rsidP="00DC19B2">
      <w:pPr>
        <w:pStyle w:val="Prrafodelista"/>
        <w:tabs>
          <w:tab w:val="left" w:pos="426"/>
        </w:tabs>
        <w:spacing w:line="276" w:lineRule="auto"/>
        <w:ind w:left="567" w:right="567"/>
        <w:jc w:val="both"/>
        <w:rPr>
          <w:rFonts w:ascii="Palatino Linotype" w:hAnsi="Palatino Linotype" w:cs="Arial"/>
          <w:i/>
          <w:sz w:val="22"/>
        </w:rPr>
      </w:pPr>
    </w:p>
    <w:p w14:paraId="1D739DB2" w14:textId="77777777" w:rsidR="00DC19B2" w:rsidRPr="00570A4E" w:rsidRDefault="00DC19B2" w:rsidP="00DC19B2">
      <w:pPr>
        <w:pStyle w:val="Prrafodelista"/>
        <w:tabs>
          <w:tab w:val="left" w:pos="426"/>
        </w:tabs>
        <w:spacing w:line="276" w:lineRule="auto"/>
        <w:ind w:left="567" w:right="567"/>
        <w:jc w:val="both"/>
        <w:rPr>
          <w:rFonts w:ascii="Palatino Linotype" w:hAnsi="Palatino Linotype" w:cs="Arial"/>
          <w:i/>
          <w:sz w:val="22"/>
        </w:rPr>
      </w:pPr>
      <w:r w:rsidRPr="00570A4E">
        <w:rPr>
          <w:rFonts w:ascii="Palatino Linotype" w:hAnsi="Palatino Linotype" w:cs="Arial"/>
          <w:i/>
          <w:sz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00434/HUIXQUIL/IP/2022, MISMA QUE A LA LETRA DICE: “Se solicita al Ayuntamiento de Huixquilucan que entregue a través del sistema SAIMEX la información documental que consigne y/o evidencie todos los cambios de uso del suelo que hubo del 1 de enero de 2019 al 31 de diciembre de 2021 en la colonia LOMAS DE LA HERRADURA.” (SIC) SOBRE EL PARTICULAR, ESTA UNIDAD DE TRANSPARENCIA EN EJERCICIO DE LAS ATRIBUCIONES QUE LA LEY LE CONFIERE, TURNO SU SOLICITUD DE INFORMACIÓN A LA SIGUIENTE AREA ADMIISTRATIVA: DIRECCIÓN GENERL DE DESARROLLO URBANO SUSTENTABLE QUE DE CONFORMIDAD CON LO ESTABLECIDO EN EL </w:t>
      </w:r>
      <w:r w:rsidRPr="00570A4E">
        <w:rPr>
          <w:rFonts w:ascii="Palatino Linotype" w:hAnsi="Palatino Linotype" w:cs="Arial"/>
          <w:i/>
          <w:sz w:val="22"/>
        </w:rPr>
        <w:lastRenderedPageBreak/>
        <w:t>REGLAMENTO ORGANICO MUNICIPAL ES COMPETENTE PARA RESPONDER SU SOLICITUD DE INFORMACIÓN, MISMA QUE MANIFESTO LO SIGUIENTE: DIRECCIÓN GENERL DE DESARROLLO URBANO SUSTENTABLE: “Se adjunta lo solicitado en formato PDF, documentación en la que fue autorizada la confidencialidad de datos personales por el Comité de Transparencia a través del acuerdo COMIT/25/EXT/06/2022, de fecha 16 de junio del año dos mil veintidós.” (SIC) “SE ADJUNTA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p>
    <w:p w14:paraId="3AD3C062" w14:textId="77777777" w:rsidR="00DC19B2" w:rsidRPr="00570A4E" w:rsidRDefault="00DC19B2" w:rsidP="00DC19B2">
      <w:pPr>
        <w:pStyle w:val="Prrafodelista"/>
        <w:tabs>
          <w:tab w:val="left" w:pos="426"/>
        </w:tabs>
        <w:spacing w:line="276" w:lineRule="auto"/>
        <w:ind w:left="567" w:right="567"/>
        <w:jc w:val="both"/>
        <w:rPr>
          <w:rFonts w:ascii="Palatino Linotype" w:hAnsi="Palatino Linotype" w:cs="Arial"/>
          <w:i/>
          <w:sz w:val="22"/>
        </w:rPr>
      </w:pPr>
    </w:p>
    <w:p w14:paraId="77757799" w14:textId="77777777" w:rsidR="00DC19B2" w:rsidRPr="00570A4E" w:rsidRDefault="00DC19B2" w:rsidP="00DC19B2">
      <w:pPr>
        <w:pStyle w:val="Prrafodelista"/>
        <w:tabs>
          <w:tab w:val="left" w:pos="426"/>
        </w:tabs>
        <w:spacing w:line="276" w:lineRule="auto"/>
        <w:ind w:left="567" w:right="567"/>
        <w:jc w:val="both"/>
        <w:rPr>
          <w:rFonts w:ascii="Palatino Linotype" w:hAnsi="Palatino Linotype" w:cs="Arial"/>
          <w:i/>
          <w:sz w:val="22"/>
        </w:rPr>
      </w:pPr>
      <w:r w:rsidRPr="00570A4E">
        <w:rPr>
          <w:rFonts w:ascii="Palatino Linotype" w:hAnsi="Palatino Linotype" w:cs="Arial"/>
          <w:i/>
          <w:sz w:val="22"/>
        </w:rPr>
        <w:t>ATENTAMENTE</w:t>
      </w:r>
    </w:p>
    <w:p w14:paraId="27855762" w14:textId="707A22CA" w:rsidR="0063423A" w:rsidRPr="00570A4E" w:rsidRDefault="00DC19B2" w:rsidP="00DC19B2">
      <w:pPr>
        <w:pStyle w:val="Prrafodelista"/>
        <w:tabs>
          <w:tab w:val="left" w:pos="426"/>
        </w:tabs>
        <w:spacing w:line="276" w:lineRule="auto"/>
        <w:ind w:left="567" w:right="567"/>
        <w:jc w:val="both"/>
        <w:rPr>
          <w:rFonts w:ascii="Palatino Linotype" w:hAnsi="Palatino Linotype" w:cs="Arial"/>
          <w:sz w:val="22"/>
        </w:rPr>
      </w:pPr>
      <w:r w:rsidRPr="00570A4E">
        <w:rPr>
          <w:rFonts w:ascii="Palatino Linotype" w:hAnsi="Palatino Linotype" w:cs="Arial"/>
          <w:i/>
          <w:sz w:val="22"/>
        </w:rPr>
        <w:t>C. ULISES MAURICIO SALAZAR FRANCO</w:t>
      </w:r>
      <w:r w:rsidR="0063423A" w:rsidRPr="00570A4E">
        <w:rPr>
          <w:rFonts w:ascii="Palatino Linotype" w:hAnsi="Palatino Linotype" w:cs="Arial"/>
          <w:i/>
          <w:sz w:val="22"/>
        </w:rPr>
        <w:t>”</w:t>
      </w:r>
      <w:r w:rsidR="0063423A" w:rsidRPr="00570A4E">
        <w:rPr>
          <w:rFonts w:ascii="Palatino Linotype" w:hAnsi="Palatino Linotype" w:cs="Arial"/>
          <w:sz w:val="22"/>
        </w:rPr>
        <w:t xml:space="preserve"> (Sic)</w:t>
      </w:r>
    </w:p>
    <w:p w14:paraId="41760BCA" w14:textId="77777777" w:rsidR="0063423A" w:rsidRPr="00570A4E" w:rsidRDefault="0063423A" w:rsidP="0063423A">
      <w:pPr>
        <w:pStyle w:val="Prrafodelista"/>
        <w:tabs>
          <w:tab w:val="left" w:pos="426"/>
        </w:tabs>
        <w:spacing w:line="360" w:lineRule="auto"/>
        <w:ind w:left="0"/>
        <w:jc w:val="both"/>
        <w:rPr>
          <w:rFonts w:ascii="Palatino Linotype" w:hAnsi="Palatino Linotype" w:cs="Arial"/>
        </w:rPr>
      </w:pPr>
    </w:p>
    <w:p w14:paraId="68884910" w14:textId="7A47ED18" w:rsidR="00DC19B2" w:rsidRPr="00570A4E" w:rsidRDefault="00DC19B2" w:rsidP="002D063B">
      <w:pPr>
        <w:pStyle w:val="Prrafodelista"/>
        <w:numPr>
          <w:ilvl w:val="0"/>
          <w:numId w:val="1"/>
        </w:numPr>
        <w:tabs>
          <w:tab w:val="left" w:pos="426"/>
        </w:tabs>
        <w:spacing w:line="360" w:lineRule="auto"/>
        <w:jc w:val="both"/>
        <w:rPr>
          <w:rFonts w:ascii="Palatino Linotype" w:hAnsi="Palatino Linotype" w:cs="Arial"/>
        </w:rPr>
      </w:pPr>
      <w:r w:rsidRPr="00570A4E">
        <w:rPr>
          <w:rFonts w:ascii="Palatino Linotype" w:eastAsia="MS Mincho" w:hAnsi="Palatino Linotype" w:cs="Times New Roman"/>
          <w:color w:val="000000" w:themeColor="text1"/>
        </w:rPr>
        <w:lastRenderedPageBreak/>
        <w:t xml:space="preserve">Se hace constar que el </w:t>
      </w:r>
      <w:r w:rsidRPr="00570A4E">
        <w:rPr>
          <w:rFonts w:ascii="Palatino Linotype" w:eastAsia="MS Mincho" w:hAnsi="Palatino Linotype" w:cs="Times New Roman"/>
          <w:b/>
          <w:color w:val="000000" w:themeColor="text1"/>
        </w:rPr>
        <w:t>SUJETO OBLIGADO</w:t>
      </w:r>
      <w:r w:rsidRPr="00570A4E">
        <w:rPr>
          <w:rFonts w:ascii="Palatino Linotype" w:eastAsia="MS Mincho" w:hAnsi="Palatino Linotype" w:cs="Times New Roman"/>
          <w:color w:val="000000" w:themeColor="text1"/>
        </w:rPr>
        <w:t xml:space="preserve"> acompañó a su acuse de respuesta con el siguiente archivo electrónico:</w:t>
      </w:r>
    </w:p>
    <w:p w14:paraId="345FA542" w14:textId="69C7618C" w:rsidR="00DC19B2" w:rsidRPr="00570A4E" w:rsidRDefault="00DC19B2" w:rsidP="008D0826">
      <w:pPr>
        <w:pStyle w:val="Prrafodelista"/>
        <w:numPr>
          <w:ilvl w:val="1"/>
          <w:numId w:val="11"/>
        </w:numPr>
        <w:tabs>
          <w:tab w:val="left" w:pos="426"/>
        </w:tabs>
        <w:spacing w:line="360" w:lineRule="auto"/>
        <w:ind w:left="1134"/>
        <w:jc w:val="both"/>
        <w:rPr>
          <w:rFonts w:ascii="Palatino Linotype" w:hAnsi="Palatino Linotype" w:cs="Arial"/>
        </w:rPr>
      </w:pPr>
      <w:r w:rsidRPr="00570A4E">
        <w:rPr>
          <w:rFonts w:ascii="Palatino Linotype" w:eastAsia="MS Mincho" w:hAnsi="Palatino Linotype" w:cs="Times New Roman"/>
          <w:b/>
          <w:i/>
          <w:color w:val="000000" w:themeColor="text1"/>
        </w:rPr>
        <w:t>“ACUERDO 25 EXT 2022.pdf”</w:t>
      </w:r>
      <w:r w:rsidRPr="00570A4E">
        <w:rPr>
          <w:rFonts w:ascii="Palatino Linotype" w:eastAsia="MS Mincho" w:hAnsi="Palatino Linotype" w:cs="Times New Roman"/>
          <w:color w:val="000000" w:themeColor="text1"/>
        </w:rPr>
        <w:t xml:space="preserve">: Documento de 10 fojas consistente en el acuerdo número COMIT/25/EXT/06/2022, de dieciséis (16) de junio de dos mil veintidós, por la que se aprueba la clasificación de información relacionada con la atención de seis solicitudes de información diversas a la </w:t>
      </w:r>
      <w:r w:rsidRPr="00570A4E">
        <w:rPr>
          <w:rFonts w:ascii="Palatino Linotype" w:eastAsia="MS Mincho" w:hAnsi="Palatino Linotype" w:cs="Times New Roman"/>
          <w:b/>
          <w:color w:val="000000" w:themeColor="text1"/>
        </w:rPr>
        <w:t>00434/HUIXQUIL/IP/2022</w:t>
      </w:r>
      <w:r w:rsidRPr="00570A4E">
        <w:rPr>
          <w:rFonts w:ascii="Palatino Linotype" w:eastAsia="MS Mincho" w:hAnsi="Palatino Linotype" w:cs="Times New Roman"/>
          <w:color w:val="000000" w:themeColor="text1"/>
        </w:rPr>
        <w:t>.</w:t>
      </w:r>
    </w:p>
    <w:p w14:paraId="1DDC61CC" w14:textId="77777777" w:rsidR="00DC19B2" w:rsidRPr="00570A4E" w:rsidRDefault="00DC19B2" w:rsidP="00DC19B2">
      <w:pPr>
        <w:pStyle w:val="Prrafodelista"/>
        <w:tabs>
          <w:tab w:val="left" w:pos="426"/>
        </w:tabs>
        <w:spacing w:line="360" w:lineRule="auto"/>
        <w:ind w:left="0"/>
        <w:jc w:val="both"/>
        <w:rPr>
          <w:rFonts w:ascii="Palatino Linotype" w:hAnsi="Palatino Linotype" w:cs="Arial"/>
        </w:rPr>
      </w:pPr>
    </w:p>
    <w:p w14:paraId="58B565D4" w14:textId="03CD0F99" w:rsidR="002D063B" w:rsidRPr="00570A4E"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3" w:name="_Toc461555889"/>
      <w:bookmarkStart w:id="4" w:name="_Toc466371858"/>
      <w:r w:rsidRPr="00570A4E">
        <w:rPr>
          <w:rFonts w:ascii="Palatino Linotype" w:eastAsia="Times New Roman" w:hAnsi="Palatino Linotype" w:cs="Arial"/>
          <w:color w:val="000000" w:themeColor="text1"/>
          <w:lang w:val="es-ES"/>
        </w:rPr>
        <w:t>E</w:t>
      </w:r>
      <w:r w:rsidR="002D063B" w:rsidRPr="00570A4E">
        <w:rPr>
          <w:rFonts w:ascii="Palatino Linotype" w:eastAsia="Times New Roman" w:hAnsi="Palatino Linotype" w:cs="Arial"/>
          <w:color w:val="000000" w:themeColor="text1"/>
          <w:lang w:val="es-ES"/>
        </w:rPr>
        <w:t xml:space="preserve">l </w:t>
      </w:r>
      <w:r w:rsidR="00DC19B2" w:rsidRPr="00570A4E">
        <w:rPr>
          <w:rFonts w:ascii="Palatino Linotype" w:eastAsia="Times New Roman" w:hAnsi="Palatino Linotype" w:cs="Arial"/>
          <w:color w:val="000000" w:themeColor="text1"/>
          <w:lang w:val="es-ES"/>
        </w:rPr>
        <w:t xml:space="preserve">dieciocho (18) de agosto </w:t>
      </w:r>
      <w:r w:rsidR="002D063B" w:rsidRPr="00570A4E">
        <w:rPr>
          <w:rFonts w:ascii="Palatino Linotype" w:eastAsia="Times New Roman" w:hAnsi="Palatino Linotype" w:cs="Arial"/>
          <w:color w:val="000000" w:themeColor="text1"/>
          <w:lang w:val="es-ES"/>
        </w:rPr>
        <w:t xml:space="preserve">de dos mil veintidós, el particular impugnó la respuesta del </w:t>
      </w:r>
      <w:r w:rsidR="002D063B" w:rsidRPr="00570A4E">
        <w:rPr>
          <w:rFonts w:ascii="Palatino Linotype" w:eastAsia="Times New Roman" w:hAnsi="Palatino Linotype" w:cs="Arial"/>
          <w:b/>
          <w:bCs/>
          <w:color w:val="000000" w:themeColor="text1"/>
          <w:lang w:val="es-ES"/>
        </w:rPr>
        <w:t>SUJETO OBLIGADO</w:t>
      </w:r>
      <w:r w:rsidR="002D063B" w:rsidRPr="00570A4E">
        <w:rPr>
          <w:rFonts w:ascii="Palatino Linotype" w:eastAsia="Times New Roman" w:hAnsi="Palatino Linotype" w:cs="Arial"/>
          <w:color w:val="000000" w:themeColor="text1"/>
          <w:lang w:val="es-ES"/>
        </w:rPr>
        <w:t xml:space="preserve"> mediante el recurso de revisión </w:t>
      </w:r>
      <w:r w:rsidR="00AB18AF" w:rsidRPr="00570A4E">
        <w:rPr>
          <w:rFonts w:ascii="Palatino Linotype" w:eastAsia="Calibri" w:hAnsi="Palatino Linotype" w:cs="Arial"/>
          <w:b/>
          <w:color w:val="000000" w:themeColor="text1"/>
          <w:lang w:val="es-ES"/>
        </w:rPr>
        <w:t>13403/INFOEM/IP/RR/2022</w:t>
      </w:r>
      <w:r w:rsidR="002D063B" w:rsidRPr="00570A4E">
        <w:rPr>
          <w:rFonts w:ascii="Palatino Linotype" w:eastAsia="Calibri" w:hAnsi="Palatino Linotype" w:cs="Arial"/>
          <w:bCs/>
          <w:color w:val="000000" w:themeColor="text1"/>
          <w:lang w:val="es-ES"/>
        </w:rPr>
        <w:t>;</w:t>
      </w:r>
      <w:r w:rsidR="002D063B" w:rsidRPr="00570A4E">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570A4E"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2C20B229" w:rsidR="002D063B" w:rsidRPr="00570A4E" w:rsidRDefault="002D063B" w:rsidP="008D0826">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570A4E">
        <w:rPr>
          <w:rFonts w:ascii="Palatino Linotype" w:eastAsia="Times New Roman" w:hAnsi="Palatino Linotype" w:cs="Arial"/>
          <w:b/>
          <w:color w:val="000000" w:themeColor="text1"/>
          <w:lang w:val="es-ES"/>
        </w:rPr>
        <w:t>Acto impugnado:</w:t>
      </w:r>
      <w:r w:rsidRPr="00570A4E">
        <w:rPr>
          <w:rFonts w:ascii="Palatino Linotype" w:eastAsia="Times New Roman" w:hAnsi="Palatino Linotype" w:cs="Arial"/>
          <w:color w:val="000000" w:themeColor="text1"/>
          <w:lang w:val="es-ES"/>
        </w:rPr>
        <w:t xml:space="preserve"> “</w:t>
      </w:r>
      <w:r w:rsidR="00DC19B2" w:rsidRPr="00570A4E">
        <w:rPr>
          <w:rFonts w:ascii="Palatino Linotype" w:eastAsia="Times New Roman" w:hAnsi="Palatino Linotype" w:cs="Arial"/>
          <w:i/>
          <w:color w:val="000000" w:themeColor="text1"/>
        </w:rPr>
        <w:t>LA RESPUESTA RECIBIDA.</w:t>
      </w:r>
      <w:r w:rsidRPr="00570A4E">
        <w:rPr>
          <w:rFonts w:ascii="Palatino Linotype" w:eastAsia="Times New Roman" w:hAnsi="Palatino Linotype" w:cs="Arial"/>
          <w:i/>
          <w:color w:val="000000" w:themeColor="text1"/>
          <w:lang w:val="es-ES"/>
        </w:rPr>
        <w:t>”</w:t>
      </w:r>
      <w:r w:rsidRPr="00570A4E">
        <w:rPr>
          <w:rFonts w:ascii="Palatino Linotype" w:eastAsia="Times New Roman" w:hAnsi="Palatino Linotype" w:cs="Arial"/>
          <w:color w:val="000000" w:themeColor="text1"/>
          <w:lang w:val="es-ES"/>
        </w:rPr>
        <w:t xml:space="preserve"> (Sic).</w:t>
      </w:r>
    </w:p>
    <w:p w14:paraId="3E31E0D4" w14:textId="77777777" w:rsidR="002D063B" w:rsidRPr="00570A4E"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12ADC2B7" w:rsidR="002D063B" w:rsidRPr="00570A4E" w:rsidRDefault="002D063B" w:rsidP="008D0826">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570A4E">
        <w:rPr>
          <w:rFonts w:ascii="Palatino Linotype" w:eastAsia="Times New Roman" w:hAnsi="Palatino Linotype" w:cs="Arial"/>
          <w:b/>
          <w:color w:val="000000" w:themeColor="text1"/>
          <w:lang w:val="es-ES"/>
        </w:rPr>
        <w:t>Razones o motivos de inconformidad:</w:t>
      </w:r>
      <w:r w:rsidRPr="00570A4E">
        <w:rPr>
          <w:rFonts w:ascii="Palatino Linotype" w:eastAsia="Times New Roman" w:hAnsi="Palatino Linotype" w:cs="Arial"/>
          <w:color w:val="000000" w:themeColor="text1"/>
          <w:lang w:val="es-ES"/>
        </w:rPr>
        <w:t xml:space="preserve"> “</w:t>
      </w:r>
      <w:r w:rsidR="00DC19B2" w:rsidRPr="00570A4E">
        <w:rPr>
          <w:rFonts w:ascii="Palatino Linotype" w:hAnsi="Palatino Linotype"/>
          <w:i/>
          <w:iCs/>
          <w:color w:val="000000"/>
        </w:rPr>
        <w:t xml:space="preserve">Se presenta el recurso de revisión toda vez que el sujeto obligado no está entregando la información solicita. Mediante la respuesta se nos informa que ““Se adjunta lo solicitado en formato PDF, documentación en la que fue autorizada la confidencialidad de datos personales por el Comité de Transparencia a través del acuerdo COMIT/25/EXT/06/2022, de fecha 16 de junio del año dos mil veintidós.” (SIC) “SE ADJUNTA FORMATO PDF PARA PRONTA REFERENCIA POR ÚLTIMO, NO OMITO MENCIONAR QUE EL DERECHO DE ACCESO A LA INFORMACIÓN TIENE COMO OBJETIVO, EL DE INCENTIVAR LA PARTICIPACIÓN CIUDADANA, RESPECTO DEL QUEHACER GUBERNAMENTAL; POR LO QUE LA INFORMACIÓN QUE ES PROVEÍDA POR ESTE MEDIO </w:t>
      </w:r>
      <w:r w:rsidR="00DC19B2" w:rsidRPr="00570A4E">
        <w:rPr>
          <w:rFonts w:ascii="Palatino Linotype" w:hAnsi="Palatino Linotype"/>
          <w:i/>
          <w:iCs/>
          <w:color w:val="000000"/>
        </w:rPr>
        <w:lastRenderedPageBreak/>
        <w:t>SÓLO TIENE COMO FINALIDAD LA DE SER DE CARÁCTER INFORMATIVO.” Sin embargo a la respuesta no se adjuntó la información solicitada, solo el acuerdo COMIT/25/EXT/06/2022 el cual no contiene la información solicitada (a información documental que consigne y/o evidencie todos los cambios de uso del suelo que hubo del 1 de enero de 2019 al 31 de diciembre de 2021 en la colonia LOMAS DE LA HERRADURA).</w:t>
      </w:r>
      <w:r w:rsidRPr="00570A4E">
        <w:rPr>
          <w:rFonts w:ascii="Palatino Linotype" w:eastAsia="Times New Roman" w:hAnsi="Palatino Linotype" w:cs="Arial"/>
          <w:i/>
          <w:color w:val="000000" w:themeColor="text1"/>
          <w:lang w:val="es-ES"/>
        </w:rPr>
        <w:t>”</w:t>
      </w:r>
      <w:r w:rsidRPr="00570A4E">
        <w:rPr>
          <w:rFonts w:ascii="Palatino Linotype" w:eastAsia="Times New Roman" w:hAnsi="Palatino Linotype" w:cs="Arial"/>
          <w:color w:val="000000" w:themeColor="text1"/>
          <w:lang w:val="es-ES"/>
        </w:rPr>
        <w:t xml:space="preserve"> (Sic).</w:t>
      </w:r>
    </w:p>
    <w:p w14:paraId="61124CB8" w14:textId="77777777" w:rsidR="002D063B" w:rsidRPr="00570A4E" w:rsidRDefault="002D063B" w:rsidP="002D063B">
      <w:pPr>
        <w:pStyle w:val="Prrafodelista"/>
        <w:tabs>
          <w:tab w:val="left" w:pos="426"/>
        </w:tabs>
        <w:spacing w:line="360" w:lineRule="auto"/>
        <w:ind w:left="284"/>
        <w:jc w:val="both"/>
        <w:rPr>
          <w:rFonts w:ascii="Palatino Linotype" w:hAnsi="Palatino Linotype"/>
          <w:color w:val="000000" w:themeColor="text1"/>
          <w:szCs w:val="22"/>
        </w:rPr>
      </w:pPr>
    </w:p>
    <w:p w14:paraId="16162AC7" w14:textId="2489524C" w:rsidR="002D063B" w:rsidRPr="00570A4E"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70A4E">
        <w:rPr>
          <w:rFonts w:ascii="Palatino Linotype" w:eastAsia="Times New Roman" w:hAnsi="Palatino Linotype" w:cs="Arial"/>
          <w:color w:val="000000" w:themeColor="text1"/>
          <w:lang w:val="es-ES"/>
        </w:rPr>
        <w:t>S</w:t>
      </w:r>
      <w:r w:rsidR="002D063B" w:rsidRPr="00570A4E">
        <w:rPr>
          <w:rFonts w:ascii="Palatino Linotype" w:eastAsia="Times New Roman" w:hAnsi="Palatino Linotype" w:cs="Arial"/>
          <w:color w:val="000000" w:themeColor="text1"/>
          <w:lang w:val="es-ES"/>
        </w:rPr>
        <w:t xml:space="preserve">e registró el recurso de revisión bajo el número de expediente </w:t>
      </w:r>
      <w:r w:rsidR="002D063B" w:rsidRPr="00570A4E">
        <w:rPr>
          <w:rFonts w:ascii="Palatino Linotype" w:hAnsi="Palatino Linotype" w:cs="Arial"/>
          <w:bCs/>
          <w:color w:val="000000" w:themeColor="text1"/>
        </w:rPr>
        <w:t xml:space="preserve">al rubro indicado; asimismo, con fundamento en lo dispuesto por el </w:t>
      </w:r>
      <w:r w:rsidR="002D063B" w:rsidRPr="00570A4E">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2D063B" w:rsidRPr="00570A4E">
        <w:rPr>
          <w:rFonts w:ascii="Palatino Linotype" w:eastAsia="Times New Roman" w:hAnsi="Palatino Linotype" w:cs="Arial"/>
          <w:bCs/>
          <w:color w:val="000000" w:themeColor="text1"/>
          <w:lang w:val="es-ES"/>
        </w:rPr>
        <w:t xml:space="preserve">se turnó a la </w:t>
      </w:r>
      <w:r w:rsidR="002D063B" w:rsidRPr="00570A4E">
        <w:rPr>
          <w:rFonts w:ascii="Palatino Linotype" w:eastAsia="Times New Roman" w:hAnsi="Palatino Linotype" w:cs="Arial"/>
          <w:b/>
          <w:color w:val="000000" w:themeColor="text1"/>
          <w:lang w:val="es-ES"/>
        </w:rPr>
        <w:t>Comisionada María del Rosario Mejía Ayala</w:t>
      </w:r>
      <w:r w:rsidR="002D063B" w:rsidRPr="00570A4E">
        <w:rPr>
          <w:rFonts w:ascii="Palatino Linotype" w:eastAsia="Times New Roman" w:hAnsi="Palatino Linotype" w:cs="Arial"/>
          <w:bCs/>
          <w:color w:val="000000" w:themeColor="text1"/>
          <w:lang w:val="es-ES"/>
        </w:rPr>
        <w:t xml:space="preserve">, con el objeto de </w:t>
      </w:r>
      <w:r w:rsidR="002D063B" w:rsidRPr="00570A4E">
        <w:rPr>
          <w:rFonts w:ascii="Palatino Linotype" w:eastAsia="Times New Roman" w:hAnsi="Palatino Linotype" w:cs="Arial"/>
          <w:bCs/>
          <w:color w:val="000000" w:themeColor="text1"/>
        </w:rPr>
        <w:t>su análisis.</w:t>
      </w:r>
    </w:p>
    <w:p w14:paraId="6B73D867" w14:textId="77777777" w:rsidR="002D063B" w:rsidRPr="00570A4E"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06E55435" w:rsidR="002D063B" w:rsidRPr="00570A4E"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70A4E">
        <w:rPr>
          <w:rFonts w:ascii="Palatino Linotype" w:eastAsia="Times New Roman" w:hAnsi="Palatino Linotype" w:cs="Arial"/>
          <w:color w:val="000000" w:themeColor="text1"/>
          <w:lang w:val="es-ES"/>
        </w:rPr>
        <w:t xml:space="preserve">La </w:t>
      </w:r>
      <w:r w:rsidRPr="00570A4E">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w:t>
      </w:r>
      <w:r w:rsidR="00DC19B2" w:rsidRPr="00570A4E">
        <w:rPr>
          <w:rFonts w:ascii="Palatino Linotype" w:eastAsia="Calibri" w:hAnsi="Palatino Linotype" w:cs="Arial"/>
          <w:color w:val="000000" w:themeColor="text1"/>
          <w:lang w:val="es-ES"/>
        </w:rPr>
        <w:t xml:space="preserve">veintitrés (23) de agosto </w:t>
      </w:r>
      <w:r w:rsidRPr="00570A4E">
        <w:rPr>
          <w:rFonts w:ascii="Palatino Linotype" w:eastAsia="Calibri" w:hAnsi="Palatino Linotype" w:cs="Arial"/>
          <w:color w:val="000000" w:themeColor="text1"/>
          <w:lang w:val="es-ES"/>
        </w:rPr>
        <w:t xml:space="preserve">de dos mil veintidós, puso a disposición de las partes el expediente electrónico, </w:t>
      </w:r>
      <w:r w:rsidRPr="00570A4E">
        <w:rPr>
          <w:rFonts w:ascii="Palatino Linotype" w:eastAsia="Calibri" w:hAnsi="Palatino Linotype" w:cs="Arial"/>
          <w:color w:val="000000" w:themeColor="text1"/>
        </w:rPr>
        <w:t xml:space="preserve">vía </w:t>
      </w:r>
      <w:r w:rsidRPr="00570A4E">
        <w:rPr>
          <w:rFonts w:ascii="Palatino Linotype" w:eastAsia="Calibri" w:hAnsi="Palatino Linotype" w:cs="Arial"/>
          <w:color w:val="000000" w:themeColor="text1"/>
          <w:lang w:val="es-ES"/>
        </w:rPr>
        <w:t>SAIMEX,</w:t>
      </w:r>
      <w:r w:rsidRPr="00570A4E">
        <w:rPr>
          <w:rFonts w:ascii="Palatino Linotype" w:eastAsia="Calibri" w:hAnsi="Palatino Linotype" w:cs="Arial"/>
          <w:b/>
          <w:color w:val="000000" w:themeColor="text1"/>
          <w:lang w:val="es-ES"/>
        </w:rPr>
        <w:t xml:space="preserve"> </w:t>
      </w:r>
      <w:r w:rsidRPr="00570A4E">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570A4E">
        <w:rPr>
          <w:rFonts w:ascii="Palatino Linotype" w:eastAsia="Calibri" w:hAnsi="Palatino Linotype" w:cs="Arial"/>
          <w:b/>
          <w:color w:val="000000" w:themeColor="text1"/>
          <w:lang w:val="es-ES"/>
        </w:rPr>
        <w:t>SUJETO OBLIGADO</w:t>
      </w:r>
      <w:r w:rsidRPr="00570A4E">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570A4E"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0E9777" w14:textId="2F90EDAF" w:rsidR="002D063B" w:rsidRPr="00570A4E" w:rsidRDefault="002D063B"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570A4E">
        <w:rPr>
          <w:rFonts w:ascii="Palatino Linotype" w:eastAsia="Calibri" w:hAnsi="Palatino Linotype" w:cs="Arial"/>
          <w:color w:val="000000" w:themeColor="text1"/>
          <w:lang w:val="es-ES"/>
        </w:rPr>
        <w:t xml:space="preserve">El </w:t>
      </w:r>
      <w:r w:rsidR="00DC19B2" w:rsidRPr="00570A4E">
        <w:rPr>
          <w:rFonts w:ascii="Palatino Linotype" w:eastAsia="Calibri" w:hAnsi="Palatino Linotype" w:cs="Arial"/>
          <w:color w:val="000000" w:themeColor="text1"/>
          <w:lang w:val="es-ES"/>
        </w:rPr>
        <w:t xml:space="preserve">treinta y uno (31) de agosto </w:t>
      </w:r>
      <w:r w:rsidRPr="00570A4E">
        <w:rPr>
          <w:rFonts w:ascii="Palatino Linotype" w:eastAsia="Calibri" w:hAnsi="Palatino Linotype" w:cs="Arial"/>
          <w:color w:val="000000" w:themeColor="text1"/>
          <w:lang w:val="es-ES"/>
        </w:rPr>
        <w:t xml:space="preserve">de dos mil veintidós, el </w:t>
      </w:r>
      <w:r w:rsidRPr="00570A4E">
        <w:rPr>
          <w:rFonts w:ascii="Palatino Linotype" w:eastAsia="Calibri" w:hAnsi="Palatino Linotype" w:cs="Arial"/>
          <w:b/>
          <w:bCs/>
          <w:color w:val="000000" w:themeColor="text1"/>
          <w:lang w:val="es-ES"/>
        </w:rPr>
        <w:t>SUJETO OBLIGADO</w:t>
      </w:r>
      <w:r w:rsidRPr="00570A4E">
        <w:rPr>
          <w:rFonts w:ascii="Palatino Linotype" w:eastAsia="Calibri" w:hAnsi="Palatino Linotype" w:cs="Arial"/>
          <w:color w:val="000000" w:themeColor="text1"/>
          <w:lang w:val="es-ES"/>
        </w:rPr>
        <w:t xml:space="preserve"> presentó, en vía de informe justificado, </w:t>
      </w:r>
      <w:r w:rsidR="00DC19B2" w:rsidRPr="00570A4E">
        <w:rPr>
          <w:rFonts w:ascii="Palatino Linotype" w:eastAsia="Calibri" w:hAnsi="Palatino Linotype" w:cs="Arial"/>
          <w:color w:val="000000" w:themeColor="text1"/>
          <w:lang w:val="es-ES"/>
        </w:rPr>
        <w:t>los</w:t>
      </w:r>
      <w:r w:rsidRPr="00570A4E">
        <w:rPr>
          <w:rFonts w:ascii="Palatino Linotype" w:eastAsia="Calibri" w:hAnsi="Palatino Linotype" w:cs="Arial"/>
          <w:color w:val="000000" w:themeColor="text1"/>
          <w:lang w:val="es-ES"/>
        </w:rPr>
        <w:t xml:space="preserve"> archivo</w:t>
      </w:r>
      <w:r w:rsidR="00DC19B2" w:rsidRPr="00570A4E">
        <w:rPr>
          <w:rFonts w:ascii="Palatino Linotype" w:eastAsia="Calibri" w:hAnsi="Palatino Linotype" w:cs="Arial"/>
          <w:color w:val="000000" w:themeColor="text1"/>
          <w:lang w:val="es-ES"/>
        </w:rPr>
        <w:t>s</w:t>
      </w:r>
      <w:r w:rsidRPr="00570A4E">
        <w:rPr>
          <w:rFonts w:ascii="Palatino Linotype" w:eastAsia="Calibri" w:hAnsi="Palatino Linotype" w:cs="Arial"/>
          <w:color w:val="000000" w:themeColor="text1"/>
          <w:lang w:val="es-ES"/>
        </w:rPr>
        <w:t xml:space="preserve"> electrónico</w:t>
      </w:r>
      <w:r w:rsidR="00DC19B2" w:rsidRPr="00570A4E">
        <w:rPr>
          <w:rFonts w:ascii="Palatino Linotype" w:eastAsia="Calibri" w:hAnsi="Palatino Linotype" w:cs="Arial"/>
          <w:color w:val="000000" w:themeColor="text1"/>
          <w:lang w:val="es-ES"/>
        </w:rPr>
        <w:t>s</w:t>
      </w:r>
      <w:r w:rsidRPr="00570A4E">
        <w:rPr>
          <w:rFonts w:ascii="Palatino Linotype" w:eastAsia="Calibri" w:hAnsi="Palatino Linotype" w:cs="Arial"/>
          <w:color w:val="000000" w:themeColor="text1"/>
          <w:lang w:val="es-ES"/>
        </w:rPr>
        <w:t xml:space="preserve"> cuyo contenido se resume en las siguientes líneas:</w:t>
      </w:r>
    </w:p>
    <w:p w14:paraId="01D56D73" w14:textId="61A5EFE2" w:rsidR="002D063B" w:rsidRPr="00570A4E" w:rsidRDefault="002D063B" w:rsidP="008D0826">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570A4E">
        <w:rPr>
          <w:rFonts w:ascii="Palatino Linotype" w:eastAsia="Calibri" w:hAnsi="Palatino Linotype" w:cs="Arial"/>
          <w:b/>
          <w:i/>
          <w:color w:val="000000" w:themeColor="text1"/>
          <w:lang w:val="es-ES"/>
        </w:rPr>
        <w:lastRenderedPageBreak/>
        <w:t>“</w:t>
      </w:r>
      <w:r w:rsidR="00DC19B2" w:rsidRPr="00570A4E">
        <w:rPr>
          <w:rFonts w:ascii="Palatino Linotype" w:eastAsia="Calibri" w:hAnsi="Palatino Linotype" w:cs="Arial"/>
          <w:b/>
          <w:i/>
          <w:color w:val="000000" w:themeColor="text1"/>
          <w:lang w:val="es-ES"/>
        </w:rPr>
        <w:t>INFORME JUSTIFICADO RR 13403 2022</w:t>
      </w:r>
      <w:r w:rsidR="005B4984" w:rsidRPr="00570A4E">
        <w:rPr>
          <w:rFonts w:ascii="Palatino Linotype" w:eastAsia="Calibri" w:hAnsi="Palatino Linotype" w:cs="Arial"/>
          <w:b/>
          <w:i/>
          <w:color w:val="000000" w:themeColor="text1"/>
          <w:lang w:val="es-ES"/>
        </w:rPr>
        <w:t>.</w:t>
      </w:r>
      <w:r w:rsidRPr="00570A4E">
        <w:rPr>
          <w:rFonts w:ascii="Palatino Linotype" w:eastAsia="Calibri" w:hAnsi="Palatino Linotype" w:cs="Arial"/>
          <w:b/>
          <w:i/>
          <w:color w:val="000000" w:themeColor="text1"/>
          <w:lang w:val="es-ES"/>
        </w:rPr>
        <w:t>pdf”</w:t>
      </w:r>
      <w:r w:rsidRPr="00570A4E">
        <w:rPr>
          <w:rFonts w:ascii="Palatino Linotype" w:eastAsia="Calibri" w:hAnsi="Palatino Linotype" w:cs="Arial"/>
          <w:color w:val="000000" w:themeColor="text1"/>
          <w:lang w:val="es-ES"/>
        </w:rPr>
        <w:t xml:space="preserve">: Documento </w:t>
      </w:r>
      <w:r w:rsidR="00DC19B2" w:rsidRPr="00570A4E">
        <w:rPr>
          <w:rFonts w:ascii="Palatino Linotype" w:eastAsia="Calibri" w:hAnsi="Palatino Linotype" w:cs="Arial"/>
          <w:color w:val="000000" w:themeColor="text1"/>
          <w:lang w:val="es-ES"/>
        </w:rPr>
        <w:t xml:space="preserve">de seis fojas consistente en el informe justificado presentado por el Titular de la Unidad de Transparencia, por el que presenta </w:t>
      </w:r>
      <w:r w:rsidR="00B343F6" w:rsidRPr="00570A4E">
        <w:rPr>
          <w:rFonts w:ascii="Palatino Linotype" w:eastAsia="Calibri" w:hAnsi="Palatino Linotype" w:cs="Arial"/>
          <w:color w:val="000000" w:themeColor="text1"/>
          <w:lang w:val="es-ES"/>
        </w:rPr>
        <w:t>el oficio número DGDUS/SC/469/2022, emitido por el</w:t>
      </w:r>
      <w:r w:rsidR="00325B64" w:rsidRPr="00570A4E">
        <w:rPr>
          <w:rFonts w:ascii="Palatino Linotype" w:eastAsia="Calibri" w:hAnsi="Palatino Linotype" w:cs="Arial"/>
          <w:color w:val="000000" w:themeColor="text1"/>
          <w:lang w:val="es-ES"/>
        </w:rPr>
        <w:t xml:space="preserve"> Enlace de Transparencia de la D</w:t>
      </w:r>
      <w:r w:rsidR="00B343F6" w:rsidRPr="00570A4E">
        <w:rPr>
          <w:rFonts w:ascii="Palatino Linotype" w:eastAsia="Calibri" w:hAnsi="Palatino Linotype" w:cs="Arial"/>
          <w:color w:val="000000" w:themeColor="text1"/>
          <w:lang w:val="es-ES"/>
        </w:rPr>
        <w:t>irección General de Desarrollo Urbano Sustentable.</w:t>
      </w:r>
    </w:p>
    <w:p w14:paraId="7590680C" w14:textId="62ED1121" w:rsidR="00DC19B2" w:rsidRPr="00570A4E" w:rsidRDefault="00DC19B2" w:rsidP="008D0826">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570A4E">
        <w:rPr>
          <w:rFonts w:ascii="Palatino Linotype" w:eastAsia="Calibri" w:hAnsi="Palatino Linotype" w:cs="Arial"/>
          <w:b/>
          <w:i/>
          <w:color w:val="000000" w:themeColor="text1"/>
          <w:lang w:val="es-ES"/>
        </w:rPr>
        <w:t>“ALEGATOS RR 13403-2022.pdf”</w:t>
      </w:r>
      <w:r w:rsidRPr="00570A4E">
        <w:rPr>
          <w:rFonts w:ascii="Palatino Linotype" w:eastAsia="Calibri" w:hAnsi="Palatino Linotype" w:cs="Arial"/>
          <w:color w:val="000000" w:themeColor="text1"/>
          <w:lang w:val="es-ES"/>
        </w:rPr>
        <w:t xml:space="preserve">: Documento </w:t>
      </w:r>
      <w:r w:rsidR="00B343F6" w:rsidRPr="00570A4E">
        <w:rPr>
          <w:rFonts w:ascii="Palatino Linotype" w:eastAsia="Calibri" w:hAnsi="Palatino Linotype" w:cs="Arial"/>
          <w:color w:val="000000" w:themeColor="text1"/>
          <w:lang w:val="es-ES"/>
        </w:rPr>
        <w:t>de ocho fojas consistente en los siguientes instrumentos:</w:t>
      </w:r>
    </w:p>
    <w:p w14:paraId="3BB70D82" w14:textId="1A4DA86F" w:rsidR="00B343F6" w:rsidRPr="00570A4E" w:rsidRDefault="00B343F6" w:rsidP="008D0826">
      <w:pPr>
        <w:pStyle w:val="Prrafodelista"/>
        <w:numPr>
          <w:ilvl w:val="2"/>
          <w:numId w:val="12"/>
        </w:numPr>
        <w:tabs>
          <w:tab w:val="left" w:pos="426"/>
        </w:tabs>
        <w:spacing w:line="360" w:lineRule="auto"/>
        <w:ind w:left="1701"/>
        <w:jc w:val="both"/>
        <w:rPr>
          <w:rFonts w:ascii="Palatino Linotype" w:hAnsi="Palatino Linotype"/>
          <w:color w:val="000000" w:themeColor="text1"/>
        </w:rPr>
      </w:pPr>
      <w:r w:rsidRPr="00570A4E">
        <w:rPr>
          <w:rFonts w:ascii="Palatino Linotype" w:eastAsia="Calibri" w:hAnsi="Palatino Linotype" w:cs="Arial"/>
          <w:color w:val="000000" w:themeColor="text1"/>
          <w:lang w:val="es-ES"/>
        </w:rPr>
        <w:t xml:space="preserve">Oficio número DGDUS/SC/469/2022, de veintinueve (29) de agosto de dos mil veintidós, emitido por el Enlace de Transparencia de la Dirección General de Desarrollo Urbano Sustentable, y dirigido al Titular de la Unidad de Transparencia del </w:t>
      </w:r>
      <w:r w:rsidRPr="00570A4E">
        <w:rPr>
          <w:rFonts w:ascii="Palatino Linotype" w:eastAsia="Calibri" w:hAnsi="Palatino Linotype" w:cs="Arial"/>
          <w:b/>
          <w:color w:val="000000" w:themeColor="text1"/>
          <w:lang w:val="es-ES"/>
        </w:rPr>
        <w:t>SUJETO OBLIGADO</w:t>
      </w:r>
      <w:r w:rsidRPr="00570A4E">
        <w:rPr>
          <w:rFonts w:ascii="Palatino Linotype" w:eastAsia="Calibri" w:hAnsi="Palatino Linotype" w:cs="Arial"/>
          <w:color w:val="000000" w:themeColor="text1"/>
          <w:lang w:val="es-ES"/>
        </w:rPr>
        <w:t>, por el que manifiesta adjuntar lo solicitado por el particular.</w:t>
      </w:r>
    </w:p>
    <w:p w14:paraId="7F19C2A8" w14:textId="3B9E9F03" w:rsidR="00B343F6" w:rsidRPr="00570A4E" w:rsidRDefault="00B343F6" w:rsidP="008D0826">
      <w:pPr>
        <w:pStyle w:val="Prrafodelista"/>
        <w:numPr>
          <w:ilvl w:val="2"/>
          <w:numId w:val="12"/>
        </w:numPr>
        <w:tabs>
          <w:tab w:val="left" w:pos="426"/>
        </w:tabs>
        <w:spacing w:line="360" w:lineRule="auto"/>
        <w:ind w:left="1701"/>
        <w:jc w:val="both"/>
        <w:rPr>
          <w:rFonts w:ascii="Palatino Linotype" w:hAnsi="Palatino Linotype"/>
          <w:color w:val="000000" w:themeColor="text1"/>
        </w:rPr>
      </w:pPr>
      <w:r w:rsidRPr="00570A4E">
        <w:rPr>
          <w:rFonts w:ascii="Palatino Linotype" w:eastAsia="Calibri" w:hAnsi="Palatino Linotype" w:cs="Arial"/>
          <w:color w:val="000000" w:themeColor="text1"/>
          <w:lang w:val="es-ES"/>
        </w:rPr>
        <w:t>Acuerdo número 0033/02/20, de dieciocho (18) de agosto de dos mil veinte, en versión pública, consistente en la autorización del Incremento de Intensidad y Altura para desarrollar un proyecto de vivienda.</w:t>
      </w:r>
    </w:p>
    <w:p w14:paraId="73D4979C" w14:textId="77777777" w:rsidR="002D063B" w:rsidRPr="00570A4E" w:rsidRDefault="002D063B" w:rsidP="002D063B">
      <w:pPr>
        <w:pStyle w:val="Prrafodelista"/>
        <w:tabs>
          <w:tab w:val="left" w:pos="426"/>
        </w:tabs>
        <w:spacing w:line="360" w:lineRule="auto"/>
        <w:ind w:left="0"/>
        <w:jc w:val="both"/>
        <w:rPr>
          <w:rFonts w:ascii="Palatino Linotype" w:hAnsi="Palatino Linotype"/>
          <w:color w:val="000000" w:themeColor="text1"/>
        </w:rPr>
      </w:pPr>
    </w:p>
    <w:p w14:paraId="746BBAE8" w14:textId="1F209C74" w:rsidR="005B4984" w:rsidRPr="00570A4E"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70A4E">
        <w:rPr>
          <w:rFonts w:ascii="Palatino Linotype" w:eastAsia="Times New Roman" w:hAnsi="Palatino Linotype" w:cs="Arial"/>
          <w:color w:val="000000" w:themeColor="text1"/>
        </w:rPr>
        <w:t xml:space="preserve">El </w:t>
      </w:r>
      <w:r w:rsidR="00B343F6" w:rsidRPr="00570A4E">
        <w:rPr>
          <w:rFonts w:ascii="Palatino Linotype" w:eastAsia="Times New Roman" w:hAnsi="Palatino Linotype" w:cs="Arial"/>
          <w:color w:val="000000" w:themeColor="text1"/>
        </w:rPr>
        <w:t>doce (12</w:t>
      </w:r>
      <w:r w:rsidRPr="00570A4E">
        <w:rPr>
          <w:rFonts w:ascii="Palatino Linotype" w:eastAsia="Times New Roman" w:hAnsi="Palatino Linotype" w:cs="Arial"/>
          <w:color w:val="000000" w:themeColor="text1"/>
        </w:rPr>
        <w:t>) de diciembre de dos mil veintidós</w:t>
      </w:r>
      <w:r w:rsidRPr="00570A4E">
        <w:rPr>
          <w:rFonts w:ascii="Palatino Linotype" w:hAnsi="Palatino Linotype" w:cs="Arial"/>
          <w:color w:val="000000" w:themeColor="text1"/>
        </w:rPr>
        <w:t xml:space="preserve">, </w:t>
      </w:r>
      <w:r w:rsidRPr="00570A4E">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570A4E">
        <w:rPr>
          <w:rFonts w:ascii="Palatino Linotype" w:hAnsi="Palatino Linotype" w:cs="Arial"/>
          <w:bCs/>
          <w:color w:val="000000" w:themeColor="text1"/>
          <w:lang w:val="es-ES"/>
        </w:rPr>
        <w:t xml:space="preserve"> </w:t>
      </w:r>
      <w:r w:rsidRPr="00570A4E">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63EE3B48" w14:textId="77777777" w:rsidR="005B4984" w:rsidRPr="00570A4E" w:rsidRDefault="005B4984" w:rsidP="005B498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6533AA" w14:textId="77777777" w:rsidR="005B4984" w:rsidRPr="00570A4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570A4E">
        <w:rPr>
          <w:rFonts w:ascii="Palatino Linotype" w:eastAsia="Calibri" w:hAnsi="Palatino Linotype" w:cs="Arial"/>
          <w:color w:val="000000" w:themeColor="text1"/>
          <w:lang w:val="es-ES"/>
        </w:rPr>
        <w:t xml:space="preserve">Este </w:t>
      </w:r>
      <w:r w:rsidRPr="00570A4E">
        <w:rPr>
          <w:rFonts w:ascii="Palatino Linotype" w:eastAsia="Calibri" w:hAnsi="Palatino Linotype" w:cs="Arial"/>
        </w:rPr>
        <w:t xml:space="preserve">Organismo Garante no pasa por alto explicar, que la dilación en la resolución del presente asunto encuentra justificación en el alto número de recursos </w:t>
      </w:r>
      <w:r w:rsidRPr="00570A4E">
        <w:rPr>
          <w:rFonts w:ascii="Palatino Linotype" w:eastAsia="Calibri" w:hAnsi="Palatino Linotype" w:cs="Arial"/>
        </w:rPr>
        <w:lastRenderedPageBreak/>
        <w:t>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7BD9EC" w14:textId="77777777" w:rsidR="005B4984" w:rsidRPr="00570A4E" w:rsidRDefault="005B4984" w:rsidP="005B4984">
      <w:pPr>
        <w:pStyle w:val="Prrafodelista"/>
        <w:tabs>
          <w:tab w:val="left" w:pos="426"/>
        </w:tabs>
        <w:spacing w:before="240" w:after="240" w:line="360" w:lineRule="auto"/>
        <w:ind w:left="0"/>
        <w:jc w:val="both"/>
        <w:rPr>
          <w:rFonts w:ascii="Palatino Linotype" w:hAnsi="Palatino Linotype"/>
        </w:rPr>
      </w:pPr>
    </w:p>
    <w:p w14:paraId="6864126A" w14:textId="77777777" w:rsidR="005B4984" w:rsidRPr="00570A4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570A4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236AFC" w14:textId="77777777" w:rsidR="005B4984" w:rsidRPr="00570A4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3CC36C4" w14:textId="77777777" w:rsidR="005B4984" w:rsidRPr="00570A4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570A4E">
        <w:rPr>
          <w:rFonts w:ascii="Palatino Linotype" w:eastAsia="Calibri" w:hAnsi="Palatino Linotype" w:cs="Arial"/>
          <w:color w:val="000000" w:themeColor="text1"/>
        </w:rPr>
        <w:t xml:space="preserve">Así, </w:t>
      </w:r>
      <w:r w:rsidRPr="00570A4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5DC249" w14:textId="77777777" w:rsidR="005B4984" w:rsidRPr="00570A4E" w:rsidRDefault="005B4984" w:rsidP="005B4984">
      <w:pPr>
        <w:pStyle w:val="Prrafodelista"/>
        <w:tabs>
          <w:tab w:val="left" w:pos="426"/>
        </w:tabs>
        <w:spacing w:before="240" w:after="240" w:line="360" w:lineRule="auto"/>
        <w:ind w:left="0"/>
        <w:jc w:val="both"/>
        <w:rPr>
          <w:rFonts w:ascii="Palatino Linotype" w:hAnsi="Palatino Linotype"/>
        </w:rPr>
      </w:pPr>
    </w:p>
    <w:p w14:paraId="43F3567E" w14:textId="77777777" w:rsidR="005B4984" w:rsidRPr="00570A4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570A4E">
        <w:rPr>
          <w:rFonts w:ascii="Palatino Linotype" w:eastAsia="Calibri" w:hAnsi="Palatino Linotype" w:cs="Arial"/>
        </w:rPr>
        <w:t xml:space="preserve">En </w:t>
      </w:r>
      <w:r w:rsidRPr="00570A4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49EFCB" w14:textId="77777777" w:rsidR="005B4984" w:rsidRPr="00570A4E" w:rsidRDefault="005B4984" w:rsidP="005B4984">
      <w:pPr>
        <w:pStyle w:val="Prrafodelista"/>
        <w:tabs>
          <w:tab w:val="left" w:pos="426"/>
        </w:tabs>
        <w:spacing w:before="240" w:after="240" w:line="360" w:lineRule="auto"/>
        <w:ind w:left="0"/>
        <w:jc w:val="both"/>
        <w:rPr>
          <w:rFonts w:ascii="Palatino Linotype" w:hAnsi="Palatino Linotype"/>
        </w:rPr>
      </w:pPr>
    </w:p>
    <w:p w14:paraId="54813EA6" w14:textId="77777777" w:rsidR="005B4984" w:rsidRPr="00570A4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570A4E">
        <w:rPr>
          <w:rFonts w:ascii="Palatino Linotype" w:eastAsia="Calibri" w:hAnsi="Palatino Linotype" w:cs="Arial"/>
        </w:rPr>
        <w:lastRenderedPageBreak/>
        <w:t xml:space="preserve">Por </w:t>
      </w:r>
      <w:r w:rsidRPr="00570A4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4D4277" w14:textId="77777777" w:rsidR="005B4984" w:rsidRPr="00570A4E" w:rsidRDefault="005B4984" w:rsidP="008D0826">
      <w:pPr>
        <w:pStyle w:val="Prrafodelista"/>
        <w:numPr>
          <w:ilvl w:val="1"/>
          <w:numId w:val="6"/>
        </w:numPr>
        <w:tabs>
          <w:tab w:val="left" w:pos="426"/>
        </w:tabs>
        <w:spacing w:line="360" w:lineRule="auto"/>
        <w:ind w:left="1134"/>
        <w:jc w:val="both"/>
        <w:rPr>
          <w:rFonts w:ascii="Palatino Linotype" w:eastAsia="Calibri" w:hAnsi="Palatino Linotype" w:cs="Arial"/>
        </w:rPr>
      </w:pPr>
      <w:r w:rsidRPr="00570A4E">
        <w:rPr>
          <w:rFonts w:ascii="Palatino Linotype" w:eastAsia="Calibri" w:hAnsi="Palatino Linotype" w:cs="Arial"/>
          <w:b/>
          <w:bCs/>
        </w:rPr>
        <w:t>Complejidad del Asunto:</w:t>
      </w:r>
      <w:r w:rsidRPr="00570A4E">
        <w:rPr>
          <w:rFonts w:ascii="Palatino Linotype" w:eastAsia="Calibri" w:hAnsi="Palatino Linotype" w:cs="Arial"/>
        </w:rPr>
        <w:t xml:space="preserve"> La complejidad de la prueba, la pluralidad de sujetos procesales, el tiempo transcurrido, las características y contexto del recurso.</w:t>
      </w:r>
    </w:p>
    <w:p w14:paraId="17FBB91B" w14:textId="77777777" w:rsidR="005B4984" w:rsidRPr="00570A4E" w:rsidRDefault="005B4984" w:rsidP="008D0826">
      <w:pPr>
        <w:pStyle w:val="Prrafodelista"/>
        <w:numPr>
          <w:ilvl w:val="1"/>
          <w:numId w:val="6"/>
        </w:numPr>
        <w:tabs>
          <w:tab w:val="left" w:pos="426"/>
        </w:tabs>
        <w:spacing w:line="360" w:lineRule="auto"/>
        <w:ind w:left="1134"/>
        <w:jc w:val="both"/>
        <w:rPr>
          <w:rFonts w:ascii="Palatino Linotype" w:eastAsia="Calibri" w:hAnsi="Palatino Linotype" w:cs="Arial"/>
        </w:rPr>
      </w:pPr>
      <w:r w:rsidRPr="00570A4E">
        <w:rPr>
          <w:rFonts w:ascii="Palatino Linotype" w:eastAsia="Calibri" w:hAnsi="Palatino Linotype" w:cs="Arial"/>
          <w:b/>
          <w:bCs/>
        </w:rPr>
        <w:t>Actividad Procesal del interesado:</w:t>
      </w:r>
      <w:r w:rsidRPr="00570A4E">
        <w:rPr>
          <w:rFonts w:ascii="Palatino Linotype" w:eastAsia="Calibri" w:hAnsi="Palatino Linotype" w:cs="Arial"/>
        </w:rPr>
        <w:t xml:space="preserve"> Acciones u omisiones del interesado.</w:t>
      </w:r>
    </w:p>
    <w:p w14:paraId="2EF90D9D" w14:textId="77777777" w:rsidR="005B4984" w:rsidRPr="00570A4E" w:rsidRDefault="005B4984" w:rsidP="008D0826">
      <w:pPr>
        <w:pStyle w:val="Prrafodelista"/>
        <w:numPr>
          <w:ilvl w:val="1"/>
          <w:numId w:val="6"/>
        </w:numPr>
        <w:tabs>
          <w:tab w:val="left" w:pos="426"/>
        </w:tabs>
        <w:spacing w:line="360" w:lineRule="auto"/>
        <w:ind w:left="1134"/>
        <w:jc w:val="both"/>
        <w:rPr>
          <w:rFonts w:ascii="Palatino Linotype" w:eastAsia="Calibri" w:hAnsi="Palatino Linotype" w:cs="Arial"/>
        </w:rPr>
      </w:pPr>
      <w:r w:rsidRPr="00570A4E">
        <w:rPr>
          <w:rFonts w:ascii="Palatino Linotype" w:eastAsia="Calibri" w:hAnsi="Palatino Linotype" w:cs="Arial"/>
          <w:b/>
          <w:bCs/>
        </w:rPr>
        <w:t>Conducta de la Autoridad:</w:t>
      </w:r>
      <w:r w:rsidRPr="00570A4E">
        <w:rPr>
          <w:rFonts w:ascii="Palatino Linotype" w:eastAsia="Calibri" w:hAnsi="Palatino Linotype" w:cs="Arial"/>
        </w:rPr>
        <w:t xml:space="preserve"> Las Acciones u omisiones realizadas en el procedimiento. Así como si la autoridad actuó con la debida diligencia.</w:t>
      </w:r>
    </w:p>
    <w:p w14:paraId="238BFA7B" w14:textId="77777777" w:rsidR="005B4984" w:rsidRPr="00570A4E" w:rsidRDefault="005B4984" w:rsidP="008D0826">
      <w:pPr>
        <w:pStyle w:val="Prrafodelista"/>
        <w:numPr>
          <w:ilvl w:val="1"/>
          <w:numId w:val="6"/>
        </w:numPr>
        <w:tabs>
          <w:tab w:val="left" w:pos="426"/>
        </w:tabs>
        <w:spacing w:line="360" w:lineRule="auto"/>
        <w:ind w:left="1134"/>
        <w:jc w:val="both"/>
        <w:rPr>
          <w:rFonts w:ascii="Palatino Linotype" w:hAnsi="Palatino Linotype"/>
          <w:color w:val="000000" w:themeColor="text1"/>
        </w:rPr>
      </w:pPr>
      <w:r w:rsidRPr="00570A4E">
        <w:rPr>
          <w:rFonts w:ascii="Palatino Linotype" w:eastAsia="Calibri" w:hAnsi="Palatino Linotype" w:cs="Arial"/>
          <w:b/>
          <w:bCs/>
        </w:rPr>
        <w:t xml:space="preserve">La afectación generada en la situación jurídica de la persona involucrada en el proceso: </w:t>
      </w:r>
      <w:r w:rsidRPr="00570A4E">
        <w:rPr>
          <w:rFonts w:ascii="Palatino Linotype" w:eastAsia="Calibri" w:hAnsi="Palatino Linotype" w:cs="Arial"/>
        </w:rPr>
        <w:t>Violación a sus derechos humanos.</w:t>
      </w:r>
    </w:p>
    <w:p w14:paraId="4C150E3C" w14:textId="77777777" w:rsidR="005B4984" w:rsidRPr="00570A4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5ECFED8F" w14:textId="77777777" w:rsidR="005B4984" w:rsidRPr="00570A4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570A4E">
        <w:rPr>
          <w:rFonts w:ascii="Palatino Linotype" w:eastAsia="Calibri" w:hAnsi="Palatino Linotype" w:cs="Arial"/>
          <w:color w:val="000000" w:themeColor="text1"/>
        </w:rPr>
        <w:t xml:space="preserve">De </w:t>
      </w:r>
      <w:r w:rsidRPr="00570A4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97804" w14:textId="77777777" w:rsidR="005B4984" w:rsidRPr="00570A4E" w:rsidRDefault="005B4984" w:rsidP="005B4984">
      <w:pPr>
        <w:pStyle w:val="Prrafodelista"/>
        <w:tabs>
          <w:tab w:val="left" w:pos="426"/>
        </w:tabs>
        <w:spacing w:before="240" w:after="240" w:line="360" w:lineRule="auto"/>
        <w:ind w:left="0"/>
        <w:jc w:val="both"/>
        <w:rPr>
          <w:rFonts w:ascii="Palatino Linotype" w:hAnsi="Palatino Linotype"/>
        </w:rPr>
      </w:pPr>
    </w:p>
    <w:p w14:paraId="56DE0EF6" w14:textId="77777777" w:rsidR="005B4984" w:rsidRPr="00570A4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570A4E">
        <w:rPr>
          <w:rFonts w:ascii="Palatino Linotype" w:eastAsia="Calibri" w:hAnsi="Palatino Linotype" w:cs="Arial"/>
        </w:rPr>
        <w:t xml:space="preserve">Argumento </w:t>
      </w:r>
      <w:r w:rsidRPr="00570A4E">
        <w:rPr>
          <w:rFonts w:ascii="Palatino Linotype" w:hAnsi="Palatino Linotype"/>
        </w:rPr>
        <w:t xml:space="preserve">que encuentra sustento en la jurisprudencia P./J. 32/92 emitida por el Pleno de la Suprema Corte de Justicia de la Nación de rubro </w:t>
      </w:r>
      <w:r w:rsidRPr="00570A4E">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570A4E">
        <w:rPr>
          <w:rFonts w:ascii="Palatino Linotype" w:hAnsi="Palatino Linotype"/>
          <w:i/>
        </w:rPr>
        <w:lastRenderedPageBreak/>
        <w:t>CARACTERÍSTICAS DEL CASO.”</w:t>
      </w:r>
      <w:r w:rsidRPr="00570A4E">
        <w:rPr>
          <w:rStyle w:val="Refdenotaalpie"/>
          <w:rFonts w:ascii="Palatino Linotype" w:hAnsi="Palatino Linotype"/>
          <w:i/>
        </w:rPr>
        <w:footnoteReference w:id="1"/>
      </w:r>
      <w:r w:rsidRPr="00570A4E">
        <w:rPr>
          <w:rFonts w:ascii="Palatino Linotype" w:hAnsi="Palatino Linotype"/>
        </w:rPr>
        <w:t>, visible en la Gaceta del Seminario Judicial de la Federación con el registro digital 205635.</w:t>
      </w:r>
    </w:p>
    <w:p w14:paraId="1FF0E795" w14:textId="77777777" w:rsidR="005B4984" w:rsidRPr="00570A4E" w:rsidRDefault="005B4984" w:rsidP="005B4984">
      <w:pPr>
        <w:pStyle w:val="Prrafodelista"/>
        <w:tabs>
          <w:tab w:val="left" w:pos="426"/>
        </w:tabs>
        <w:spacing w:before="240" w:after="240" w:line="360" w:lineRule="auto"/>
        <w:ind w:left="0"/>
        <w:jc w:val="both"/>
        <w:rPr>
          <w:rFonts w:ascii="Palatino Linotype" w:hAnsi="Palatino Linotype"/>
        </w:rPr>
      </w:pPr>
    </w:p>
    <w:p w14:paraId="77F10E66" w14:textId="77777777" w:rsidR="005B4984" w:rsidRPr="00570A4E"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570A4E">
        <w:rPr>
          <w:rFonts w:ascii="Palatino Linotype" w:eastAsia="Calibri" w:hAnsi="Palatino Linotype" w:cs="Arial"/>
        </w:rPr>
        <w:t xml:space="preserve">Razones </w:t>
      </w:r>
      <w:r w:rsidRPr="00570A4E">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570A4E">
        <w:rPr>
          <w:rFonts w:ascii="Palatino Linotype" w:hAnsi="Palatino Linotype"/>
        </w:rPr>
        <w:lastRenderedPageBreak/>
        <w:t>los términos legales previamente establecidos por la Ley, por tratarse de causas de fuerza mayor.</w:t>
      </w:r>
    </w:p>
    <w:p w14:paraId="75C265FF" w14:textId="77777777" w:rsidR="005B4984" w:rsidRPr="00570A4E" w:rsidRDefault="005B4984" w:rsidP="005B4984">
      <w:pPr>
        <w:pStyle w:val="Prrafodelista"/>
        <w:tabs>
          <w:tab w:val="left" w:pos="426"/>
        </w:tabs>
        <w:spacing w:before="240" w:after="240" w:line="360" w:lineRule="auto"/>
        <w:ind w:left="0"/>
        <w:jc w:val="both"/>
        <w:rPr>
          <w:rFonts w:ascii="Palatino Linotype" w:hAnsi="Palatino Linotype"/>
        </w:rPr>
      </w:pPr>
    </w:p>
    <w:p w14:paraId="2FE823E7" w14:textId="77777777" w:rsidR="005B4984" w:rsidRPr="00570A4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570A4E">
        <w:rPr>
          <w:rFonts w:ascii="Palatino Linotype" w:eastAsia="Calibri" w:hAnsi="Palatino Linotype" w:cs="Arial"/>
        </w:rPr>
        <w:t xml:space="preserve">Al </w:t>
      </w:r>
      <w:r w:rsidRPr="00570A4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7B612E1" w14:textId="77777777" w:rsidR="005B4984" w:rsidRPr="00570A4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1EFF4A43" w14:textId="77777777" w:rsidR="005B4984" w:rsidRPr="00570A4E" w:rsidRDefault="005B4984" w:rsidP="005B4984">
      <w:pPr>
        <w:pStyle w:val="Prrafodelista"/>
        <w:spacing w:line="276" w:lineRule="auto"/>
        <w:ind w:left="567" w:right="567"/>
        <w:jc w:val="both"/>
        <w:rPr>
          <w:rFonts w:ascii="Palatino Linotype" w:hAnsi="Palatino Linotype"/>
          <w:i/>
          <w:sz w:val="22"/>
        </w:rPr>
      </w:pPr>
      <w:r w:rsidRPr="00570A4E">
        <w:rPr>
          <w:rFonts w:ascii="Palatino Linotype" w:hAnsi="Palatino Linotype"/>
          <w:b/>
          <w:i/>
          <w:sz w:val="22"/>
        </w:rPr>
        <w:t>PLAZO RAZONABLE PARA RESOLVER. DIMENSIÓN Y EFECTOS DE ESTE CONCEPTO CUANDO SE ADUCE EXCESIVA CARGA DE TRABAJO.</w:t>
      </w:r>
      <w:r w:rsidRPr="00570A4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w:t>
      </w:r>
      <w:r w:rsidRPr="00570A4E">
        <w:rPr>
          <w:rFonts w:ascii="Palatino Linotype" w:hAnsi="Palatino Linotype"/>
          <w:i/>
          <w:sz w:val="22"/>
        </w:rPr>
        <w:lastRenderedPageBreak/>
        <w:t>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570A4E">
        <w:rPr>
          <w:rStyle w:val="Refdenotaalpie"/>
          <w:rFonts w:ascii="Palatino Linotype" w:hAnsi="Palatino Linotype"/>
          <w:i/>
          <w:sz w:val="22"/>
        </w:rPr>
        <w:footnoteReference w:id="2"/>
      </w:r>
    </w:p>
    <w:p w14:paraId="42D09E04" w14:textId="77777777" w:rsidR="005B4984" w:rsidRPr="00570A4E" w:rsidRDefault="005B4984" w:rsidP="005B4984">
      <w:pPr>
        <w:pStyle w:val="Prrafodelista"/>
        <w:spacing w:line="276" w:lineRule="auto"/>
        <w:ind w:left="567" w:right="567"/>
        <w:jc w:val="both"/>
        <w:rPr>
          <w:rFonts w:ascii="Palatino Linotype" w:hAnsi="Palatino Linotype"/>
          <w:i/>
          <w:sz w:val="22"/>
        </w:rPr>
      </w:pPr>
    </w:p>
    <w:p w14:paraId="584AE9B3" w14:textId="77777777" w:rsidR="005B4984" w:rsidRPr="00570A4E" w:rsidRDefault="005B4984" w:rsidP="005B4984">
      <w:pPr>
        <w:pStyle w:val="Prrafodelista"/>
        <w:spacing w:line="276" w:lineRule="auto"/>
        <w:ind w:left="567" w:right="567"/>
        <w:jc w:val="both"/>
        <w:rPr>
          <w:rFonts w:ascii="Palatino Linotype" w:hAnsi="Palatino Linotype"/>
          <w:i/>
          <w:sz w:val="22"/>
        </w:rPr>
      </w:pPr>
      <w:r w:rsidRPr="00570A4E">
        <w:rPr>
          <w:rFonts w:ascii="Palatino Linotype" w:hAnsi="Palatino Linotype"/>
          <w:b/>
          <w:i/>
          <w:sz w:val="22"/>
        </w:rPr>
        <w:t>PLAZO RAZONABLE PARA RESOLVER. CONCEPTO Y ELEMENTOS QUE LO INTEGRAN A LA LUZ DEL DERECHO INTERNACIONAL DE LOS DERECHOS HUMANOS.</w:t>
      </w:r>
      <w:r w:rsidRPr="00570A4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w:t>
      </w:r>
      <w:r w:rsidRPr="00570A4E">
        <w:rPr>
          <w:rFonts w:ascii="Palatino Linotype" w:hAnsi="Palatino Linotype"/>
          <w:i/>
          <w:sz w:val="22"/>
        </w:rPr>
        <w:lastRenderedPageBreak/>
        <w:t>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570A4E">
        <w:rPr>
          <w:rStyle w:val="Refdenotaalpie"/>
          <w:rFonts w:ascii="Palatino Linotype" w:hAnsi="Palatino Linotype"/>
          <w:i/>
          <w:sz w:val="22"/>
        </w:rPr>
        <w:footnoteReference w:id="3"/>
      </w:r>
    </w:p>
    <w:p w14:paraId="4CF46798" w14:textId="77777777" w:rsidR="005B4984" w:rsidRPr="00570A4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287E293C" w14:textId="1A98EABA" w:rsidR="005B4984" w:rsidRPr="00570A4E"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570A4E">
        <w:rPr>
          <w:rFonts w:ascii="Palatino Linotype" w:eastAsia="Calibri" w:hAnsi="Palatino Linotype" w:cs="Arial"/>
          <w:color w:val="000000" w:themeColor="text1"/>
        </w:rPr>
        <w:t xml:space="preserve">Por </w:t>
      </w:r>
      <w:r w:rsidRPr="00570A4E">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2EEC1E30" w14:textId="77777777" w:rsidR="005B4984" w:rsidRPr="00570A4E"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3DC93CC7" w14:textId="5AFB8499" w:rsidR="002D063B" w:rsidRPr="00570A4E" w:rsidRDefault="005B4984"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570A4E">
        <w:rPr>
          <w:rFonts w:ascii="Palatino Linotype" w:hAnsi="Palatino Linotype"/>
          <w:color w:val="000000" w:themeColor="text1"/>
        </w:rPr>
        <w:t>E</w:t>
      </w:r>
      <w:r w:rsidR="00862273" w:rsidRPr="00570A4E">
        <w:rPr>
          <w:rFonts w:ascii="Palatino Linotype" w:hAnsi="Palatino Linotype"/>
          <w:color w:val="000000" w:themeColor="text1"/>
        </w:rPr>
        <w:t xml:space="preserve">l </w:t>
      </w:r>
      <w:r w:rsidR="00B343F6" w:rsidRPr="00570A4E">
        <w:rPr>
          <w:rFonts w:ascii="Palatino Linotype" w:hAnsi="Palatino Linotype"/>
          <w:color w:val="000000" w:themeColor="text1"/>
        </w:rPr>
        <w:t>dieciocho (18</w:t>
      </w:r>
      <w:r w:rsidRPr="00570A4E">
        <w:rPr>
          <w:rFonts w:ascii="Palatino Linotype" w:hAnsi="Palatino Linotype"/>
          <w:color w:val="000000" w:themeColor="text1"/>
        </w:rPr>
        <w:t>) de enero de dos mil veintitrés</w:t>
      </w:r>
      <w:r w:rsidR="00862273" w:rsidRPr="00570A4E">
        <w:rPr>
          <w:rFonts w:ascii="Palatino Linotype" w:hAnsi="Palatino Linotype"/>
          <w:color w:val="000000" w:themeColor="text1"/>
        </w:rPr>
        <w:t xml:space="preserve">, este Organismo Garante puso a la vista del </w:t>
      </w:r>
      <w:r w:rsidR="00862273" w:rsidRPr="00570A4E">
        <w:rPr>
          <w:rFonts w:ascii="Palatino Linotype" w:hAnsi="Palatino Linotype"/>
          <w:b/>
          <w:color w:val="000000" w:themeColor="text1"/>
        </w:rPr>
        <w:t>RECURRENTE</w:t>
      </w:r>
      <w:r w:rsidR="00862273" w:rsidRPr="00570A4E">
        <w:rPr>
          <w:rFonts w:ascii="Palatino Linotype" w:hAnsi="Palatino Linotype"/>
          <w:color w:val="000000" w:themeColor="text1"/>
        </w:rPr>
        <w:t xml:space="preserve"> el </w:t>
      </w:r>
      <w:r w:rsidR="00A66E25" w:rsidRPr="00570A4E">
        <w:rPr>
          <w:rFonts w:ascii="Palatino Linotype" w:hAnsi="Palatino Linotype"/>
          <w:color w:val="000000" w:themeColor="text1"/>
        </w:rPr>
        <w:t>archivo electrónico</w:t>
      </w:r>
      <w:r w:rsidR="00B343F6" w:rsidRPr="00570A4E">
        <w:rPr>
          <w:rFonts w:ascii="Palatino Linotype" w:hAnsi="Palatino Linotype"/>
          <w:color w:val="000000" w:themeColor="text1"/>
        </w:rPr>
        <w:t xml:space="preserve"> titulado </w:t>
      </w:r>
      <w:r w:rsidR="00B343F6" w:rsidRPr="00570A4E">
        <w:rPr>
          <w:rFonts w:ascii="Palatino Linotype" w:hAnsi="Palatino Linotype"/>
          <w:b/>
          <w:i/>
          <w:color w:val="000000" w:themeColor="text1"/>
        </w:rPr>
        <w:t>“INFORME JUSTIFICADO RR 13403 2022.pdf”</w:t>
      </w:r>
      <w:r w:rsidR="00B343F6" w:rsidRPr="00570A4E">
        <w:rPr>
          <w:rFonts w:ascii="Palatino Linotype" w:hAnsi="Palatino Linotype"/>
          <w:color w:val="000000" w:themeColor="text1"/>
        </w:rPr>
        <w:t>,</w:t>
      </w:r>
      <w:r w:rsidR="00A66E25" w:rsidRPr="00570A4E">
        <w:rPr>
          <w:rFonts w:ascii="Palatino Linotype" w:hAnsi="Palatino Linotype"/>
          <w:color w:val="000000" w:themeColor="text1"/>
        </w:rPr>
        <w:t xml:space="preserve"> presentado por el </w:t>
      </w:r>
      <w:r w:rsidR="00A42BDF" w:rsidRPr="00570A4E">
        <w:rPr>
          <w:rFonts w:ascii="Palatino Linotype" w:hAnsi="Palatino Linotype"/>
          <w:b/>
          <w:bCs/>
          <w:color w:val="000000" w:themeColor="text1"/>
        </w:rPr>
        <w:t>SUJETO OBLIGADO</w:t>
      </w:r>
      <w:r w:rsidR="00A42BDF" w:rsidRPr="00570A4E">
        <w:rPr>
          <w:rFonts w:ascii="Palatino Linotype" w:hAnsi="Palatino Linotype"/>
          <w:color w:val="000000" w:themeColor="text1"/>
        </w:rPr>
        <w:t xml:space="preserve"> en vía de Informe Justificad</w:t>
      </w:r>
      <w:r w:rsidR="002B616F" w:rsidRPr="00570A4E">
        <w:rPr>
          <w:rFonts w:ascii="Palatino Linotype" w:hAnsi="Palatino Linotype"/>
          <w:color w:val="000000" w:themeColor="text1"/>
        </w:rPr>
        <w:t>o</w:t>
      </w:r>
      <w:r w:rsidR="002D063B" w:rsidRPr="00570A4E">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p>
    <w:p w14:paraId="08AB54E3" w14:textId="77777777" w:rsidR="00B343F6" w:rsidRPr="00570A4E" w:rsidRDefault="00B343F6" w:rsidP="00B343F6">
      <w:pPr>
        <w:pStyle w:val="Prrafodelista"/>
        <w:tabs>
          <w:tab w:val="left" w:pos="426"/>
        </w:tabs>
        <w:spacing w:line="360" w:lineRule="auto"/>
        <w:ind w:left="0"/>
        <w:jc w:val="both"/>
        <w:rPr>
          <w:rFonts w:ascii="Palatino Linotype" w:hAnsi="Palatino Linotype"/>
          <w:color w:val="000000" w:themeColor="text1"/>
        </w:rPr>
      </w:pPr>
    </w:p>
    <w:p w14:paraId="7E1ABE1D" w14:textId="43DF369B" w:rsidR="00B343F6" w:rsidRPr="00570A4E" w:rsidRDefault="00B343F6"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570A4E">
        <w:rPr>
          <w:rFonts w:ascii="Palatino Linotype" w:hAnsi="Palatino Linotype"/>
          <w:color w:val="000000" w:themeColor="text1"/>
        </w:rPr>
        <w:t xml:space="preserve">Por cuanto hace al archivo </w:t>
      </w:r>
      <w:r w:rsidRPr="00570A4E">
        <w:rPr>
          <w:rFonts w:ascii="Palatino Linotype" w:hAnsi="Palatino Linotype"/>
          <w:b/>
          <w:i/>
          <w:color w:val="000000" w:themeColor="text1"/>
        </w:rPr>
        <w:t>“ALEGATOS RR 13403-2022.pdf”</w:t>
      </w:r>
      <w:r w:rsidRPr="00570A4E">
        <w:rPr>
          <w:rFonts w:ascii="Palatino Linotype" w:hAnsi="Palatino Linotype"/>
          <w:color w:val="000000" w:themeColor="text1"/>
        </w:rPr>
        <w:t>, se hace del conocimiento de las partes que éste no se puso a la vista del particular por contener datos personales de terceros, tales como un domicilio particular.</w:t>
      </w:r>
    </w:p>
    <w:p w14:paraId="49F93555" w14:textId="77777777" w:rsidR="00862273" w:rsidRPr="00570A4E" w:rsidRDefault="00862273" w:rsidP="00862273">
      <w:pPr>
        <w:pStyle w:val="Prrafodelista"/>
        <w:tabs>
          <w:tab w:val="left" w:pos="426"/>
        </w:tabs>
        <w:spacing w:line="360" w:lineRule="auto"/>
        <w:ind w:left="0"/>
        <w:jc w:val="both"/>
        <w:rPr>
          <w:rFonts w:ascii="Palatino Linotype" w:hAnsi="Palatino Linotype"/>
          <w:color w:val="000000" w:themeColor="text1"/>
        </w:rPr>
      </w:pPr>
    </w:p>
    <w:p w14:paraId="4F0BFA4D" w14:textId="72D3A3E3" w:rsidR="002D063B" w:rsidRPr="00570A4E"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70A4E">
        <w:rPr>
          <w:rFonts w:ascii="Palatino Linotype" w:hAnsi="Palatino Linotype" w:cs="Arial"/>
          <w:color w:val="000000" w:themeColor="text1"/>
        </w:rPr>
        <w:lastRenderedPageBreak/>
        <w:t>Finalmente, el</w:t>
      </w:r>
      <w:r w:rsidR="00862273" w:rsidRPr="00570A4E">
        <w:rPr>
          <w:rFonts w:ascii="Palatino Linotype" w:hAnsi="Palatino Linotype" w:cs="Arial"/>
          <w:color w:val="000000" w:themeColor="text1"/>
        </w:rPr>
        <w:t xml:space="preserve"> </w:t>
      </w:r>
      <w:r w:rsidR="00B343F6" w:rsidRPr="00570A4E">
        <w:rPr>
          <w:rFonts w:ascii="Palatino Linotype" w:hAnsi="Palatino Linotype" w:cs="Arial"/>
          <w:color w:val="000000" w:themeColor="text1"/>
        </w:rPr>
        <w:t>veinticuatro (24</w:t>
      </w:r>
      <w:r w:rsidRPr="00570A4E">
        <w:rPr>
          <w:rFonts w:ascii="Palatino Linotype" w:hAnsi="Palatino Linotype" w:cs="Arial"/>
          <w:color w:val="000000" w:themeColor="text1"/>
        </w:rPr>
        <w:t>) de enero de dos mil veintitrés</w:t>
      </w:r>
      <w:r w:rsidR="00862273" w:rsidRPr="00570A4E">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Pr="00570A4E">
        <w:rPr>
          <w:rFonts w:ascii="Palatino Linotype" w:hAnsi="Palatino Linotype" w:cs="Arial"/>
          <w:color w:val="000000" w:themeColor="text1"/>
        </w:rPr>
        <w:t>; y ------------------------</w:t>
      </w:r>
    </w:p>
    <w:p w14:paraId="653EB0DF" w14:textId="77777777" w:rsidR="00B343F6" w:rsidRPr="00570A4E" w:rsidRDefault="00B343F6" w:rsidP="00B343F6">
      <w:pPr>
        <w:pStyle w:val="Prrafodelista"/>
        <w:tabs>
          <w:tab w:val="left" w:pos="426"/>
        </w:tabs>
        <w:spacing w:line="360" w:lineRule="auto"/>
        <w:ind w:left="0"/>
        <w:jc w:val="both"/>
        <w:rPr>
          <w:rFonts w:ascii="Palatino Linotype" w:hAnsi="Palatino Linotype" w:cs="Arial"/>
          <w:color w:val="000000" w:themeColor="text1"/>
        </w:rPr>
      </w:pPr>
    </w:p>
    <w:p w14:paraId="449F6F81" w14:textId="77777777" w:rsidR="00B343F6" w:rsidRPr="00570A4E" w:rsidRDefault="00B343F6" w:rsidP="00B343F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69D862D7" w:rsidR="00C33279" w:rsidRPr="00570A4E" w:rsidRDefault="007C0013" w:rsidP="00B31E90">
      <w:pPr>
        <w:pStyle w:val="Ttulo1"/>
        <w:spacing w:before="0"/>
        <w:jc w:val="center"/>
        <w:rPr>
          <w:b/>
          <w:color w:val="000000" w:themeColor="text1"/>
        </w:rPr>
      </w:pPr>
      <w:bookmarkStart w:id="5" w:name="_Toc88071777"/>
      <w:r w:rsidRPr="00570A4E">
        <w:rPr>
          <w:b/>
          <w:color w:val="000000" w:themeColor="text1"/>
        </w:rPr>
        <w:t>C</w:t>
      </w:r>
      <w:r w:rsidR="00523A4D" w:rsidRPr="00570A4E">
        <w:rPr>
          <w:b/>
          <w:color w:val="000000" w:themeColor="text1"/>
        </w:rPr>
        <w:t xml:space="preserve"> </w:t>
      </w:r>
      <w:r w:rsidRPr="00570A4E">
        <w:rPr>
          <w:b/>
          <w:color w:val="000000" w:themeColor="text1"/>
        </w:rPr>
        <w:t>O</w:t>
      </w:r>
      <w:r w:rsidR="00523A4D" w:rsidRPr="00570A4E">
        <w:rPr>
          <w:b/>
          <w:color w:val="000000" w:themeColor="text1"/>
        </w:rPr>
        <w:t xml:space="preserve"> </w:t>
      </w:r>
      <w:r w:rsidRPr="00570A4E">
        <w:rPr>
          <w:b/>
          <w:color w:val="000000" w:themeColor="text1"/>
        </w:rPr>
        <w:t>N</w:t>
      </w:r>
      <w:r w:rsidR="00523A4D" w:rsidRPr="00570A4E">
        <w:rPr>
          <w:b/>
          <w:color w:val="000000" w:themeColor="text1"/>
        </w:rPr>
        <w:t xml:space="preserve"> </w:t>
      </w:r>
      <w:r w:rsidRPr="00570A4E">
        <w:rPr>
          <w:b/>
          <w:color w:val="000000" w:themeColor="text1"/>
        </w:rPr>
        <w:t>S</w:t>
      </w:r>
      <w:r w:rsidR="00523A4D" w:rsidRPr="00570A4E">
        <w:rPr>
          <w:b/>
          <w:color w:val="000000" w:themeColor="text1"/>
        </w:rPr>
        <w:t xml:space="preserve"> </w:t>
      </w:r>
      <w:r w:rsidRPr="00570A4E">
        <w:rPr>
          <w:b/>
          <w:color w:val="000000" w:themeColor="text1"/>
        </w:rPr>
        <w:t>I</w:t>
      </w:r>
      <w:r w:rsidR="00523A4D" w:rsidRPr="00570A4E">
        <w:rPr>
          <w:b/>
          <w:color w:val="000000" w:themeColor="text1"/>
        </w:rPr>
        <w:t xml:space="preserve"> </w:t>
      </w:r>
      <w:r w:rsidRPr="00570A4E">
        <w:rPr>
          <w:b/>
          <w:color w:val="000000" w:themeColor="text1"/>
        </w:rPr>
        <w:t>D</w:t>
      </w:r>
      <w:r w:rsidR="00523A4D" w:rsidRPr="00570A4E">
        <w:rPr>
          <w:b/>
          <w:color w:val="000000" w:themeColor="text1"/>
        </w:rPr>
        <w:t xml:space="preserve"> </w:t>
      </w:r>
      <w:r w:rsidRPr="00570A4E">
        <w:rPr>
          <w:b/>
          <w:color w:val="000000" w:themeColor="text1"/>
        </w:rPr>
        <w:t>E</w:t>
      </w:r>
      <w:r w:rsidR="00523A4D" w:rsidRPr="00570A4E">
        <w:rPr>
          <w:b/>
          <w:color w:val="000000" w:themeColor="text1"/>
        </w:rPr>
        <w:t xml:space="preserve"> </w:t>
      </w:r>
      <w:r w:rsidRPr="00570A4E">
        <w:rPr>
          <w:b/>
          <w:color w:val="000000" w:themeColor="text1"/>
        </w:rPr>
        <w:t>R</w:t>
      </w:r>
      <w:r w:rsidR="00523A4D" w:rsidRPr="00570A4E">
        <w:rPr>
          <w:b/>
          <w:color w:val="000000" w:themeColor="text1"/>
        </w:rPr>
        <w:t xml:space="preserve"> </w:t>
      </w:r>
      <w:r w:rsidRPr="00570A4E">
        <w:rPr>
          <w:b/>
          <w:color w:val="000000" w:themeColor="text1"/>
        </w:rPr>
        <w:t>A</w:t>
      </w:r>
      <w:r w:rsidR="00523A4D" w:rsidRPr="00570A4E">
        <w:rPr>
          <w:b/>
          <w:color w:val="000000" w:themeColor="text1"/>
        </w:rPr>
        <w:t xml:space="preserve"> </w:t>
      </w:r>
      <w:r w:rsidRPr="00570A4E">
        <w:rPr>
          <w:b/>
          <w:color w:val="000000" w:themeColor="text1"/>
        </w:rPr>
        <w:t>N</w:t>
      </w:r>
      <w:r w:rsidR="00523A4D" w:rsidRPr="00570A4E">
        <w:rPr>
          <w:b/>
          <w:color w:val="000000" w:themeColor="text1"/>
        </w:rPr>
        <w:t xml:space="preserve"> </w:t>
      </w:r>
      <w:r w:rsidRPr="00570A4E">
        <w:rPr>
          <w:b/>
          <w:color w:val="000000" w:themeColor="text1"/>
        </w:rPr>
        <w:t>D</w:t>
      </w:r>
      <w:r w:rsidR="00523A4D" w:rsidRPr="00570A4E">
        <w:rPr>
          <w:b/>
          <w:color w:val="000000" w:themeColor="text1"/>
        </w:rPr>
        <w:t xml:space="preserve"> </w:t>
      </w:r>
      <w:r w:rsidRPr="00570A4E">
        <w:rPr>
          <w:b/>
          <w:color w:val="000000" w:themeColor="text1"/>
        </w:rPr>
        <w:t>O</w:t>
      </w:r>
      <w:bookmarkEnd w:id="3"/>
      <w:bookmarkEnd w:id="4"/>
      <w:bookmarkEnd w:id="5"/>
    </w:p>
    <w:p w14:paraId="435CF9A4" w14:textId="77777777" w:rsidR="00FC1DA7" w:rsidRPr="00570A4E" w:rsidRDefault="00FC1DA7" w:rsidP="00B31E90">
      <w:pPr>
        <w:rPr>
          <w:color w:val="000000" w:themeColor="text1"/>
          <w:lang w:eastAsia="en-US"/>
        </w:rPr>
      </w:pPr>
    </w:p>
    <w:p w14:paraId="629A5BE2" w14:textId="1FC05436" w:rsidR="007C0013" w:rsidRPr="00570A4E"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570A4E">
        <w:rPr>
          <w:rFonts w:ascii="Palatino Linotype" w:hAnsi="Palatino Linotype"/>
          <w:b/>
          <w:color w:val="000000" w:themeColor="text1"/>
          <w:sz w:val="24"/>
        </w:rPr>
        <w:t>PRIMERO. De la competencia</w:t>
      </w:r>
      <w:bookmarkEnd w:id="6"/>
      <w:bookmarkEnd w:id="7"/>
      <w:bookmarkEnd w:id="8"/>
    </w:p>
    <w:p w14:paraId="60FBD8C7" w14:textId="77777777" w:rsidR="00FC1DA7" w:rsidRPr="00570A4E" w:rsidRDefault="00FC1DA7" w:rsidP="00B31E90">
      <w:pPr>
        <w:rPr>
          <w:rFonts w:ascii="Palatino Linotype" w:hAnsi="Palatino Linotype"/>
          <w:color w:val="000000" w:themeColor="text1"/>
          <w:lang w:eastAsia="en-US"/>
        </w:rPr>
      </w:pPr>
    </w:p>
    <w:p w14:paraId="0BF52B18" w14:textId="3F246E85" w:rsidR="005A228F" w:rsidRPr="00570A4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70A4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70A4E">
        <w:rPr>
          <w:rFonts w:ascii="Palatino Linotype" w:eastAsia="Calibri" w:hAnsi="Palatino Linotype" w:cs="Times New Roman"/>
          <w:color w:val="000000" w:themeColor="text1"/>
          <w:lang w:val="es-ES"/>
        </w:rPr>
        <w:t xml:space="preserve">etente para conocer y resolver </w:t>
      </w:r>
      <w:r w:rsidR="005C7898" w:rsidRPr="00570A4E">
        <w:rPr>
          <w:rFonts w:ascii="Palatino Linotype" w:eastAsia="Calibri" w:hAnsi="Palatino Linotype" w:cs="Times New Roman"/>
          <w:color w:val="000000" w:themeColor="text1"/>
          <w:lang w:val="es-ES"/>
        </w:rPr>
        <w:t>los</w:t>
      </w:r>
      <w:r w:rsidRPr="00570A4E">
        <w:rPr>
          <w:rFonts w:ascii="Palatino Linotype" w:eastAsia="Calibri" w:hAnsi="Palatino Linotype" w:cs="Times New Roman"/>
          <w:color w:val="000000" w:themeColor="text1"/>
          <w:lang w:val="es-ES"/>
        </w:rPr>
        <w:t xml:space="preserve"> presente</w:t>
      </w:r>
      <w:r w:rsidR="005C7898" w:rsidRPr="00570A4E">
        <w:rPr>
          <w:rFonts w:ascii="Palatino Linotype" w:eastAsia="Calibri" w:hAnsi="Palatino Linotype" w:cs="Times New Roman"/>
          <w:color w:val="000000" w:themeColor="text1"/>
          <w:lang w:val="es-ES"/>
        </w:rPr>
        <w:t>s</w:t>
      </w:r>
      <w:r w:rsidRPr="00570A4E">
        <w:rPr>
          <w:rFonts w:ascii="Palatino Linotype" w:eastAsia="Calibri" w:hAnsi="Palatino Linotype" w:cs="Times New Roman"/>
          <w:color w:val="000000" w:themeColor="text1"/>
          <w:lang w:val="es-ES"/>
        </w:rPr>
        <w:t xml:space="preserve"> recurso</w:t>
      </w:r>
      <w:r w:rsidR="005C7898" w:rsidRPr="00570A4E">
        <w:rPr>
          <w:rFonts w:ascii="Palatino Linotype" w:eastAsia="Calibri" w:hAnsi="Palatino Linotype" w:cs="Times New Roman"/>
          <w:color w:val="000000" w:themeColor="text1"/>
          <w:lang w:val="es-ES"/>
        </w:rPr>
        <w:t>s</w:t>
      </w:r>
      <w:r w:rsidRPr="00570A4E">
        <w:rPr>
          <w:rFonts w:ascii="Palatino Linotype" w:eastAsia="Calibri" w:hAnsi="Palatino Linotype" w:cs="Times New Roman"/>
          <w:color w:val="000000" w:themeColor="text1"/>
          <w:lang w:val="es-ES"/>
        </w:rPr>
        <w:t xml:space="preserve"> de conformidad con el artículo: 6, apartado A, fracción IV</w:t>
      </w:r>
      <w:r w:rsidR="006225C6" w:rsidRPr="00570A4E">
        <w:rPr>
          <w:rFonts w:ascii="Palatino Linotype" w:eastAsia="Calibri" w:hAnsi="Palatino Linotype" w:cs="Times New Roman"/>
          <w:color w:val="000000" w:themeColor="text1"/>
          <w:lang w:val="es-ES"/>
        </w:rPr>
        <w:t>,</w:t>
      </w:r>
      <w:r w:rsidRPr="00570A4E">
        <w:rPr>
          <w:rFonts w:ascii="Palatino Linotype" w:eastAsia="Calibri" w:hAnsi="Palatino Linotype" w:cs="Times New Roman"/>
          <w:color w:val="000000" w:themeColor="text1"/>
          <w:lang w:val="es-ES"/>
        </w:rPr>
        <w:t xml:space="preserve"> de la </w:t>
      </w:r>
      <w:r w:rsidRPr="00570A4E">
        <w:rPr>
          <w:rFonts w:ascii="Palatino Linotype" w:eastAsia="Calibri" w:hAnsi="Palatino Linotype" w:cs="Times New Roman"/>
          <w:b/>
          <w:color w:val="000000" w:themeColor="text1"/>
          <w:lang w:val="es-ES"/>
        </w:rPr>
        <w:t>Constitución Política de los Estados Unidos Mexicanos</w:t>
      </w:r>
      <w:r w:rsidRPr="00570A4E">
        <w:rPr>
          <w:rFonts w:ascii="Palatino Linotype" w:eastAsia="Calibri" w:hAnsi="Palatino Linotype" w:cs="Times New Roman"/>
          <w:color w:val="000000" w:themeColor="text1"/>
          <w:lang w:val="es-ES"/>
        </w:rPr>
        <w:t xml:space="preserve">; 5, párrafos </w:t>
      </w:r>
      <w:r w:rsidR="000B7C4F" w:rsidRPr="00570A4E">
        <w:rPr>
          <w:rFonts w:ascii="Palatino Linotype" w:eastAsia="Calibri" w:hAnsi="Palatino Linotype" w:cs="Times New Roman"/>
          <w:color w:val="000000" w:themeColor="text1"/>
          <w:lang w:val="es-ES"/>
        </w:rPr>
        <w:t>trigésimo, trigésimo primero y trigésimo segundo</w:t>
      </w:r>
      <w:r w:rsidR="004F785F" w:rsidRPr="00570A4E">
        <w:rPr>
          <w:rFonts w:ascii="Palatino Linotype" w:eastAsia="Calibri" w:hAnsi="Palatino Linotype" w:cs="Times New Roman"/>
          <w:color w:val="000000" w:themeColor="text1"/>
          <w:lang w:val="es-ES"/>
        </w:rPr>
        <w:t>,</w:t>
      </w:r>
      <w:r w:rsidRPr="00570A4E">
        <w:rPr>
          <w:rFonts w:ascii="Palatino Linotype" w:eastAsia="Calibri" w:hAnsi="Palatino Linotype" w:cs="Times New Roman"/>
          <w:color w:val="000000" w:themeColor="text1"/>
          <w:lang w:val="es-ES"/>
        </w:rPr>
        <w:t xml:space="preserve"> fracciones IV y V</w:t>
      </w:r>
      <w:r w:rsidR="004F785F" w:rsidRPr="00570A4E">
        <w:rPr>
          <w:rFonts w:ascii="Palatino Linotype" w:eastAsia="Calibri" w:hAnsi="Palatino Linotype" w:cs="Times New Roman"/>
          <w:color w:val="000000" w:themeColor="text1"/>
          <w:lang w:val="es-ES"/>
        </w:rPr>
        <w:t>,</w:t>
      </w:r>
      <w:r w:rsidRPr="00570A4E">
        <w:rPr>
          <w:rFonts w:ascii="Palatino Linotype" w:eastAsia="Calibri" w:hAnsi="Palatino Linotype" w:cs="Times New Roman"/>
          <w:color w:val="000000" w:themeColor="text1"/>
          <w:lang w:val="es-ES"/>
        </w:rPr>
        <w:t xml:space="preserve"> de la </w:t>
      </w:r>
      <w:r w:rsidRPr="00570A4E">
        <w:rPr>
          <w:rFonts w:ascii="Palatino Linotype" w:eastAsia="Calibri" w:hAnsi="Palatino Linotype" w:cs="Times New Roman"/>
          <w:b/>
          <w:color w:val="000000" w:themeColor="text1"/>
          <w:lang w:val="es-ES"/>
        </w:rPr>
        <w:t>Constitución Política del Estado Libre y Soberano de México</w:t>
      </w:r>
      <w:r w:rsidRPr="00570A4E">
        <w:rPr>
          <w:rFonts w:ascii="Palatino Linotype" w:eastAsia="Calibri" w:hAnsi="Palatino Linotype" w:cs="Times New Roman"/>
          <w:color w:val="000000" w:themeColor="text1"/>
          <w:lang w:val="es-ES"/>
        </w:rPr>
        <w:t>; artículos 1, 2 fracción II, 13, 29, 36</w:t>
      </w:r>
      <w:r w:rsidR="006225C6" w:rsidRPr="00570A4E">
        <w:rPr>
          <w:rFonts w:ascii="Palatino Linotype" w:eastAsia="Calibri" w:hAnsi="Palatino Linotype" w:cs="Times New Roman"/>
          <w:color w:val="000000" w:themeColor="text1"/>
          <w:lang w:val="es-ES"/>
        </w:rPr>
        <w:t>,</w:t>
      </w:r>
      <w:r w:rsidRPr="00570A4E">
        <w:rPr>
          <w:rFonts w:ascii="Palatino Linotype" w:eastAsia="Calibri" w:hAnsi="Palatino Linotype" w:cs="Times New Roman"/>
          <w:color w:val="000000" w:themeColor="text1"/>
          <w:lang w:val="es-ES"/>
        </w:rPr>
        <w:t xml:space="preserve"> fracciones I y II, 176, 178, 179, 181</w:t>
      </w:r>
      <w:r w:rsidR="006225C6" w:rsidRPr="00570A4E">
        <w:rPr>
          <w:rFonts w:ascii="Palatino Linotype" w:eastAsia="Calibri" w:hAnsi="Palatino Linotype" w:cs="Times New Roman"/>
          <w:color w:val="000000" w:themeColor="text1"/>
          <w:lang w:val="es-ES"/>
        </w:rPr>
        <w:t>,</w:t>
      </w:r>
      <w:r w:rsidRPr="00570A4E">
        <w:rPr>
          <w:rFonts w:ascii="Palatino Linotype" w:eastAsia="Calibri" w:hAnsi="Palatino Linotype" w:cs="Times New Roman"/>
          <w:color w:val="000000" w:themeColor="text1"/>
          <w:lang w:val="es-ES"/>
        </w:rPr>
        <w:t xml:space="preserve"> párrafo tercero</w:t>
      </w:r>
      <w:r w:rsidR="006225C6" w:rsidRPr="00570A4E">
        <w:rPr>
          <w:rFonts w:ascii="Palatino Linotype" w:eastAsia="Calibri" w:hAnsi="Palatino Linotype" w:cs="Times New Roman"/>
          <w:color w:val="000000" w:themeColor="text1"/>
          <w:lang w:val="es-ES"/>
        </w:rPr>
        <w:t>,</w:t>
      </w:r>
      <w:r w:rsidRPr="00570A4E">
        <w:rPr>
          <w:rFonts w:ascii="Palatino Linotype" w:eastAsia="Calibri" w:hAnsi="Palatino Linotype" w:cs="Times New Roman"/>
          <w:color w:val="000000" w:themeColor="text1"/>
          <w:lang w:val="es-ES"/>
        </w:rPr>
        <w:t xml:space="preserve"> y 185 </w:t>
      </w:r>
      <w:r w:rsidRPr="00570A4E">
        <w:rPr>
          <w:rFonts w:ascii="Palatino Linotype" w:eastAsia="Calibri" w:hAnsi="Palatino Linotype" w:cs="Arial"/>
          <w:color w:val="000000" w:themeColor="text1"/>
          <w:lang w:val="es-ES"/>
        </w:rPr>
        <w:t xml:space="preserve">de la </w:t>
      </w:r>
      <w:r w:rsidRPr="00570A4E">
        <w:rPr>
          <w:rFonts w:ascii="Palatino Linotype" w:eastAsia="Calibri" w:hAnsi="Palatino Linotype" w:cs="Arial"/>
          <w:b/>
          <w:color w:val="000000" w:themeColor="text1"/>
          <w:lang w:val="es-ES"/>
        </w:rPr>
        <w:t>Ley de Transparencia y Acceso a la Información Pública del Estado de México y Municipios</w:t>
      </w:r>
      <w:r w:rsidRPr="00570A4E">
        <w:rPr>
          <w:rFonts w:ascii="Palatino Linotype" w:eastAsia="Calibri" w:hAnsi="Palatino Linotype" w:cs="Arial"/>
          <w:color w:val="000000" w:themeColor="text1"/>
          <w:lang w:val="es-ES"/>
        </w:rPr>
        <w:t>; y 10, 7, 9</w:t>
      </w:r>
      <w:r w:rsidR="006225C6" w:rsidRPr="00570A4E">
        <w:rPr>
          <w:rFonts w:ascii="Palatino Linotype" w:eastAsia="Calibri" w:hAnsi="Palatino Linotype" w:cs="Arial"/>
          <w:color w:val="000000" w:themeColor="text1"/>
          <w:lang w:val="es-ES"/>
        </w:rPr>
        <w:t>,</w:t>
      </w:r>
      <w:r w:rsidRPr="00570A4E">
        <w:rPr>
          <w:rFonts w:ascii="Palatino Linotype" w:eastAsia="Calibri" w:hAnsi="Palatino Linotype" w:cs="Arial"/>
          <w:color w:val="000000" w:themeColor="text1"/>
          <w:lang w:val="es-ES"/>
        </w:rPr>
        <w:t xml:space="preserve"> fracciones I y XXIV, y 11 del </w:t>
      </w:r>
      <w:r w:rsidRPr="00570A4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570A4E"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70A4E"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570A4E">
        <w:rPr>
          <w:rFonts w:ascii="Palatino Linotype" w:hAnsi="Palatino Linotype"/>
          <w:b/>
          <w:color w:val="000000" w:themeColor="text1"/>
          <w:sz w:val="24"/>
        </w:rPr>
        <w:t>SEGUNDO. De la oportunidad y proced</w:t>
      </w:r>
      <w:r w:rsidR="00F35C44" w:rsidRPr="00570A4E">
        <w:rPr>
          <w:rFonts w:ascii="Palatino Linotype" w:hAnsi="Palatino Linotype"/>
          <w:b/>
          <w:color w:val="000000" w:themeColor="text1"/>
          <w:sz w:val="24"/>
        </w:rPr>
        <w:t>encia</w:t>
      </w:r>
      <w:r w:rsidRPr="00570A4E">
        <w:rPr>
          <w:rFonts w:ascii="Palatino Linotype" w:hAnsi="Palatino Linotype"/>
          <w:b/>
          <w:color w:val="000000" w:themeColor="text1"/>
          <w:sz w:val="24"/>
        </w:rPr>
        <w:t>.</w:t>
      </w:r>
      <w:bookmarkEnd w:id="9"/>
      <w:bookmarkEnd w:id="10"/>
      <w:bookmarkEnd w:id="11"/>
    </w:p>
    <w:p w14:paraId="18E22450" w14:textId="77777777" w:rsidR="00C6440A" w:rsidRPr="00570A4E" w:rsidRDefault="00C6440A" w:rsidP="00B31E90">
      <w:pPr>
        <w:rPr>
          <w:color w:val="000000" w:themeColor="text1"/>
          <w:lang w:eastAsia="en-US"/>
        </w:rPr>
      </w:pPr>
    </w:p>
    <w:p w14:paraId="1DAE4B2B" w14:textId="0937C2A9" w:rsidR="008A7F1F" w:rsidRPr="00570A4E"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570A4E">
        <w:rPr>
          <w:rFonts w:ascii="Palatino Linotype" w:eastAsia="Calibri" w:hAnsi="Palatino Linotype" w:cs="Arial"/>
          <w:color w:val="000000" w:themeColor="text1"/>
        </w:rPr>
        <w:t>El</w:t>
      </w:r>
      <w:r w:rsidR="003E6D0F" w:rsidRPr="00570A4E">
        <w:rPr>
          <w:rFonts w:ascii="Palatino Linotype" w:eastAsia="Calibri" w:hAnsi="Palatino Linotype" w:cs="Arial"/>
          <w:color w:val="000000" w:themeColor="text1"/>
        </w:rPr>
        <w:t xml:space="preserve"> </w:t>
      </w:r>
      <w:r w:rsidRPr="00570A4E">
        <w:rPr>
          <w:rFonts w:ascii="Palatino Linotype" w:eastAsia="Calibri" w:hAnsi="Palatino Linotype" w:cs="Arial"/>
          <w:lang w:val="es-ES_tradnl"/>
        </w:rPr>
        <w:t>medio de impugnación fue presentado a través del SAIMEX</w:t>
      </w:r>
      <w:r w:rsidRPr="00570A4E">
        <w:rPr>
          <w:rFonts w:ascii="Palatino Linotype" w:eastAsia="Calibri" w:hAnsi="Palatino Linotype" w:cs="Arial"/>
          <w:b/>
          <w:lang w:val="es-ES_tradnl"/>
        </w:rPr>
        <w:t>,</w:t>
      </w:r>
      <w:r w:rsidRPr="00570A4E">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570A4E">
        <w:rPr>
          <w:rFonts w:ascii="Palatino Linotype" w:eastAsia="Calibri" w:hAnsi="Palatino Linotype" w:cs="Arial"/>
          <w:b/>
          <w:lang w:val="es-ES_tradnl"/>
        </w:rPr>
        <w:t>SUJETO OBLIGADO</w:t>
      </w:r>
      <w:r w:rsidRPr="00570A4E">
        <w:rPr>
          <w:rFonts w:ascii="Palatino Linotype" w:eastAsia="Calibri" w:hAnsi="Palatino Linotype" w:cs="Arial"/>
          <w:lang w:val="es-ES_tradnl"/>
        </w:rPr>
        <w:t xml:space="preserve"> entregó respuesta el </w:t>
      </w:r>
      <w:r w:rsidR="002C3BBA" w:rsidRPr="00570A4E">
        <w:rPr>
          <w:rFonts w:ascii="Palatino Linotype" w:eastAsia="Calibri" w:hAnsi="Palatino Linotype" w:cs="Arial"/>
          <w:lang w:val="es-ES_tradnl"/>
        </w:rPr>
        <w:t xml:space="preserve">cuatro (04) de agosto </w:t>
      </w:r>
      <w:r w:rsidRPr="00570A4E">
        <w:rPr>
          <w:rFonts w:ascii="Palatino Linotype" w:eastAsia="Calibri" w:hAnsi="Palatino Linotype" w:cs="Arial"/>
          <w:lang w:val="es-ES_tradnl"/>
        </w:rPr>
        <w:t>de dos mil veintidós</w:t>
      </w:r>
      <w:r w:rsidRPr="00570A4E">
        <w:rPr>
          <w:rFonts w:ascii="Palatino Linotype" w:eastAsia="Calibri" w:hAnsi="Palatino Linotype" w:cs="Arial"/>
        </w:rPr>
        <w:t xml:space="preserve">, el plazo para </w:t>
      </w:r>
      <w:r w:rsidRPr="00570A4E">
        <w:rPr>
          <w:rFonts w:ascii="Palatino Linotype" w:eastAsia="Calibri" w:hAnsi="Palatino Linotype" w:cs="Arial"/>
        </w:rPr>
        <w:lastRenderedPageBreak/>
        <w:t xml:space="preserve">interponer el recurso de revisión trascurrió del </w:t>
      </w:r>
      <w:r w:rsidR="002C3BBA" w:rsidRPr="00570A4E">
        <w:rPr>
          <w:rFonts w:ascii="Palatino Linotype" w:eastAsia="Calibri" w:hAnsi="Palatino Linotype" w:cs="Arial"/>
        </w:rPr>
        <w:t xml:space="preserve">cinco (05) al veinticinco (25) de agosto </w:t>
      </w:r>
      <w:r w:rsidRPr="00570A4E">
        <w:rPr>
          <w:rFonts w:ascii="Palatino Linotype" w:eastAsia="Calibri" w:hAnsi="Palatino Linotype" w:cs="Arial"/>
        </w:rPr>
        <w:t xml:space="preserve">de dos mil veintidós; sin contemplar en el cómputo los </w:t>
      </w:r>
      <w:r w:rsidR="006225C6" w:rsidRPr="00570A4E">
        <w:rPr>
          <w:rFonts w:ascii="Palatino Linotype" w:eastAsia="Calibri" w:hAnsi="Palatino Linotype" w:cs="Arial"/>
        </w:rPr>
        <w:t>sábados</w:t>
      </w:r>
      <w:r w:rsidR="00905F3D" w:rsidRPr="00570A4E">
        <w:rPr>
          <w:rFonts w:ascii="Palatino Linotype" w:eastAsia="Calibri" w:hAnsi="Palatino Linotype" w:cs="Arial"/>
        </w:rPr>
        <w:t xml:space="preserve"> y</w:t>
      </w:r>
      <w:r w:rsidR="006225C6" w:rsidRPr="00570A4E">
        <w:rPr>
          <w:rFonts w:ascii="Palatino Linotype" w:eastAsia="Calibri" w:hAnsi="Palatino Linotype" w:cs="Arial"/>
        </w:rPr>
        <w:t xml:space="preserve"> domingos</w:t>
      </w:r>
      <w:r w:rsidRPr="00570A4E">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570A4E"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7E25159D" w:rsidR="00740BA4" w:rsidRPr="00570A4E"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70A4E">
        <w:rPr>
          <w:rFonts w:ascii="Palatino Linotype" w:eastAsia="Calibri" w:hAnsi="Palatino Linotype" w:cs="Arial"/>
        </w:rPr>
        <w:t xml:space="preserve">Luego entonces, si el presente recurso de revisión fue interpuesto el </w:t>
      </w:r>
      <w:r w:rsidR="002C3BBA" w:rsidRPr="00570A4E">
        <w:rPr>
          <w:rFonts w:ascii="Palatino Linotype" w:eastAsia="Calibri" w:hAnsi="Palatino Linotype" w:cs="Arial"/>
        </w:rPr>
        <w:t xml:space="preserve">dieciocho (18) de agosto </w:t>
      </w:r>
      <w:r w:rsidRPr="00570A4E">
        <w:rPr>
          <w:rFonts w:ascii="Palatino Linotype" w:eastAsia="Calibri" w:hAnsi="Palatino Linotype" w:cs="Arial"/>
        </w:rPr>
        <w:t>de dos mil veintidós, éste se encuentra dentro de los márgenes temporales previstos en el artículo 178 de la Ley de Transparencia y Acceso a la Información Pública del Estado de México y Municipios</w:t>
      </w:r>
      <w:r w:rsidRPr="00570A4E">
        <w:rPr>
          <w:rFonts w:ascii="Palatino Linotype" w:eastAsia="Calibri" w:hAnsi="Palatino Linotype" w:cs="Arial"/>
          <w:b/>
        </w:rPr>
        <w:t xml:space="preserve"> </w:t>
      </w:r>
      <w:r w:rsidRPr="00570A4E">
        <w:rPr>
          <w:rFonts w:ascii="Palatino Linotype" w:eastAsia="Calibri" w:hAnsi="Palatino Linotype" w:cs="Arial"/>
        </w:rPr>
        <w:t>vigente.</w:t>
      </w:r>
    </w:p>
    <w:p w14:paraId="701BD232" w14:textId="77777777" w:rsidR="0024737A" w:rsidRPr="00570A4E"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1820889" w14:textId="2DF5B30D" w:rsidR="0024737A" w:rsidRPr="00570A4E"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70A4E">
        <w:rPr>
          <w:rFonts w:ascii="Palatino Linotype" w:eastAsia="Calibri" w:hAnsi="Palatino Linotype" w:cs="Arial"/>
        </w:rPr>
        <w:t xml:space="preserve">Por </w:t>
      </w:r>
      <w:r w:rsidRPr="00570A4E">
        <w:rPr>
          <w:rFonts w:ascii="Palatino Linotype" w:hAnsi="Palatino Linotype" w:cs="Arial"/>
          <w:color w:val="000000" w:themeColor="text1"/>
          <w:lang w:val="es-ES"/>
        </w:rPr>
        <w:t xml:space="preserve">otro lado, de la revisión al expediente electrónico contenido en el sistema </w:t>
      </w:r>
      <w:r w:rsidRPr="00570A4E">
        <w:rPr>
          <w:rFonts w:ascii="Palatino Linotype" w:hAnsi="Palatino Linotype" w:cs="Arial"/>
          <w:b/>
          <w:color w:val="000000" w:themeColor="text1"/>
          <w:lang w:val="es-ES"/>
        </w:rPr>
        <w:t>SAIMEX,</w:t>
      </w:r>
      <w:r w:rsidRPr="00570A4E">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570A4E">
        <w:rPr>
          <w:rFonts w:ascii="Palatino Linotype" w:hAnsi="Palatino Linotype" w:cs="Arial"/>
          <w:b/>
          <w:color w:val="000000" w:themeColor="text1"/>
          <w:lang w:val="es-ES"/>
        </w:rPr>
        <w:t xml:space="preserve">no señaló </w:t>
      </w:r>
      <w:r w:rsidR="003F1FD9" w:rsidRPr="00570A4E">
        <w:rPr>
          <w:rFonts w:ascii="Palatino Linotype" w:hAnsi="Palatino Linotype" w:cs="Arial"/>
          <w:b/>
          <w:color w:val="000000" w:themeColor="text1"/>
          <w:lang w:val="es-ES"/>
        </w:rPr>
        <w:t>su nombre completo,</w:t>
      </w:r>
      <w:r w:rsidRPr="00570A4E">
        <w:rPr>
          <w:rFonts w:ascii="Palatino Linotype" w:hAnsi="Palatino Linotype" w:cs="Arial"/>
          <w:b/>
          <w:color w:val="000000" w:themeColor="text1"/>
          <w:lang w:val="es-ES"/>
        </w:rPr>
        <w:t xml:space="preserve"> ni se tiene certeza de su identidad</w:t>
      </w:r>
      <w:r w:rsidRPr="00570A4E">
        <w:rPr>
          <w:rFonts w:ascii="Palatino Linotype" w:hAnsi="Palatino Linotype" w:cs="Arial"/>
          <w:color w:val="000000" w:themeColor="text1"/>
          <w:lang w:val="es-ES"/>
        </w:rPr>
        <w:t xml:space="preserve">; sin embargo, es importante señalar que </w:t>
      </w:r>
      <w:r w:rsidRPr="00570A4E">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48E35C1" w14:textId="77777777" w:rsidR="0024737A" w:rsidRPr="00570A4E"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EB0F99E" w14:textId="77777777" w:rsidR="0024737A" w:rsidRPr="00570A4E"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70A4E">
        <w:rPr>
          <w:rFonts w:ascii="Palatino Linotype" w:hAnsi="Palatino Linotype" w:cs="Arial"/>
          <w:color w:val="000000" w:themeColor="text1"/>
        </w:rPr>
        <w:t xml:space="preserve">Esto </w:t>
      </w:r>
      <w:r w:rsidRPr="00570A4E">
        <w:rPr>
          <w:rFonts w:ascii="Palatino Linotype" w:hAnsi="Palatino Linotype" w:cs="Arial"/>
          <w:color w:val="000000" w:themeColor="text1"/>
          <w:lang w:val="es-ES"/>
        </w:rPr>
        <w:t xml:space="preserve">es así, ya que de conformidad con los artículos 6, apartado A, fracciones III y IV de la </w:t>
      </w:r>
      <w:r w:rsidRPr="00570A4E">
        <w:rPr>
          <w:rFonts w:ascii="Palatino Linotype" w:hAnsi="Palatino Linotype" w:cs="Arial"/>
          <w:b/>
          <w:color w:val="000000" w:themeColor="text1"/>
          <w:lang w:val="es-ES"/>
        </w:rPr>
        <w:t>Constitución Política de los Estados Unidos Mexicanos</w:t>
      </w:r>
      <w:r w:rsidRPr="00570A4E">
        <w:rPr>
          <w:rFonts w:ascii="Palatino Linotype" w:hAnsi="Palatino Linotype" w:cs="Arial"/>
          <w:color w:val="000000" w:themeColor="text1"/>
          <w:lang w:val="es-ES"/>
        </w:rPr>
        <w:t xml:space="preserve">; 5, párrafos vigésimo segundo, vigésimo tercero y vigésimo cuarto, fracciones III, IV y V, de la </w:t>
      </w:r>
      <w:r w:rsidRPr="00570A4E">
        <w:rPr>
          <w:rFonts w:ascii="Palatino Linotype" w:hAnsi="Palatino Linotype" w:cs="Arial"/>
          <w:b/>
          <w:color w:val="000000" w:themeColor="text1"/>
          <w:lang w:val="es-ES"/>
        </w:rPr>
        <w:t>Constitución Política del Estado Libre y Soberano de México</w:t>
      </w:r>
      <w:r w:rsidRPr="00570A4E">
        <w:rPr>
          <w:rFonts w:ascii="Palatino Linotype" w:hAnsi="Palatino Linotype" w:cs="Arial"/>
          <w:color w:val="000000" w:themeColor="text1"/>
          <w:lang w:val="es-ES"/>
        </w:rPr>
        <w:t xml:space="preserve">, se establece que toda persona, sin necesidad de acreditar interés alguno o justificar su utilización, tendrá </w:t>
      </w:r>
      <w:r w:rsidRPr="00570A4E">
        <w:rPr>
          <w:rFonts w:ascii="Palatino Linotype" w:hAnsi="Palatino Linotype" w:cs="Arial"/>
          <w:color w:val="000000" w:themeColor="text1"/>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664E755" w14:textId="77777777" w:rsidR="0024737A" w:rsidRPr="00570A4E"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80B85E9" w14:textId="77777777" w:rsidR="0024737A" w:rsidRPr="00570A4E"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70A4E">
        <w:rPr>
          <w:rFonts w:ascii="Palatino Linotype" w:hAnsi="Palatino Linotype" w:cs="Arial"/>
          <w:color w:val="000000" w:themeColor="text1"/>
        </w:rPr>
        <w:t xml:space="preserve">Por </w:t>
      </w:r>
      <w:r w:rsidRPr="00570A4E">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1D3A45" w14:textId="77777777" w:rsidR="0024737A" w:rsidRPr="00570A4E"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551685F" w14:textId="77777777" w:rsidR="0024737A" w:rsidRPr="00570A4E"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70A4E">
        <w:rPr>
          <w:rFonts w:ascii="Palatino Linotype" w:hAnsi="Palatino Linotype" w:cs="Arial"/>
          <w:color w:val="000000" w:themeColor="text1"/>
        </w:rPr>
        <w:t xml:space="preserve">Asimismo, </w:t>
      </w:r>
      <w:r w:rsidRPr="00570A4E">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F1DCF5D" w14:textId="77777777" w:rsidR="0024737A" w:rsidRPr="00570A4E"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5A90E3B" w14:textId="77777777" w:rsidR="0024737A" w:rsidRPr="00570A4E"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70A4E">
        <w:rPr>
          <w:rFonts w:ascii="Palatino Linotype" w:hAnsi="Palatino Linotype" w:cs="Arial"/>
          <w:color w:val="000000" w:themeColor="text1"/>
        </w:rPr>
        <w:t xml:space="preserve">De </w:t>
      </w:r>
      <w:r w:rsidRPr="00570A4E">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193D98F" w14:textId="77777777" w:rsidR="0024737A" w:rsidRPr="00570A4E"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1702640" w14:textId="400DFA8C" w:rsidR="0024737A" w:rsidRPr="00570A4E"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70A4E">
        <w:rPr>
          <w:rFonts w:ascii="Palatino Linotype" w:hAnsi="Palatino Linotype" w:cs="Arial"/>
          <w:color w:val="000000" w:themeColor="text1"/>
        </w:rPr>
        <w:lastRenderedPageBreak/>
        <w:t>Luego entonces</w:t>
      </w:r>
      <w:r w:rsidRPr="00570A4E">
        <w:rPr>
          <w:rFonts w:ascii="Palatino Linotype" w:eastAsia="Calibri" w:hAnsi="Palatino Linotype" w:cs="Arial"/>
        </w:rPr>
        <w:t xml:space="preserve">, </w:t>
      </w:r>
      <w:r w:rsidRPr="00570A4E">
        <w:rPr>
          <w:rFonts w:ascii="Palatino Linotype" w:eastAsia="Times New Roman" w:hAnsi="Palatino Linotype" w:cs="Arial"/>
          <w:color w:val="000000" w:themeColor="text1"/>
          <w:lang w:val="es-ES" w:eastAsia="es-MX"/>
        </w:rPr>
        <w:t xml:space="preserve">el nombre del </w:t>
      </w:r>
      <w:r w:rsidRPr="00570A4E">
        <w:rPr>
          <w:rFonts w:ascii="Palatino Linotype" w:eastAsia="Times New Roman" w:hAnsi="Palatino Linotype" w:cs="Arial"/>
          <w:b/>
          <w:color w:val="000000" w:themeColor="text1"/>
          <w:lang w:val="es-ES" w:eastAsia="es-MX"/>
        </w:rPr>
        <w:t>SOLICITANTE</w:t>
      </w:r>
      <w:r w:rsidRPr="00570A4E">
        <w:rPr>
          <w:rFonts w:ascii="Palatino Linotype" w:eastAsia="Times New Roman" w:hAnsi="Palatino Linotype" w:cs="Arial"/>
          <w:color w:val="000000" w:themeColor="text1"/>
          <w:lang w:val="es-ES" w:eastAsia="es-MX"/>
        </w:rPr>
        <w:t xml:space="preserve"> y subsecuente </w:t>
      </w:r>
      <w:r w:rsidRPr="00570A4E">
        <w:rPr>
          <w:rFonts w:ascii="Palatino Linotype" w:eastAsia="Times New Roman" w:hAnsi="Palatino Linotype" w:cs="Arial"/>
          <w:b/>
          <w:color w:val="000000" w:themeColor="text1"/>
          <w:lang w:val="es-ES" w:eastAsia="es-MX"/>
        </w:rPr>
        <w:t>RECURRENTE</w:t>
      </w:r>
      <w:r w:rsidRPr="00570A4E">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9CCEA40" w14:textId="77777777" w:rsidR="00774AB3" w:rsidRPr="00570A4E"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570A4E"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70A4E">
        <w:rPr>
          <w:rFonts w:ascii="Palatino Linotype" w:eastAsia="Calibri" w:hAnsi="Palatino Linotype" w:cs="Arial"/>
          <w:color w:val="000000" w:themeColor="text1"/>
        </w:rPr>
        <w:t xml:space="preserve">Consecuencia de lo anterior, </w:t>
      </w:r>
      <w:r w:rsidR="00566BC5" w:rsidRPr="00570A4E">
        <w:rPr>
          <w:rFonts w:ascii="Palatino Linotype" w:eastAsia="Calibri" w:hAnsi="Palatino Linotype" w:cs="Arial"/>
          <w:color w:val="000000" w:themeColor="text1"/>
        </w:rPr>
        <w:t>este Órgano Garante</w:t>
      </w:r>
      <w:r w:rsidRPr="00570A4E">
        <w:rPr>
          <w:rFonts w:ascii="Palatino Linotype" w:eastAsia="Calibri" w:hAnsi="Palatino Linotype" w:cs="Arial"/>
          <w:color w:val="000000" w:themeColor="text1"/>
        </w:rPr>
        <w:t xml:space="preserve"> advierte que </w:t>
      </w:r>
      <w:r w:rsidR="00FB2EE1" w:rsidRPr="00570A4E">
        <w:rPr>
          <w:rFonts w:ascii="Palatino Linotype" w:eastAsia="Calibri" w:hAnsi="Palatino Linotype" w:cs="Arial"/>
          <w:color w:val="000000" w:themeColor="text1"/>
        </w:rPr>
        <w:t>el</w:t>
      </w:r>
      <w:r w:rsidR="00540208" w:rsidRPr="00570A4E">
        <w:rPr>
          <w:rFonts w:ascii="Palatino Linotype" w:eastAsia="Calibri" w:hAnsi="Palatino Linotype" w:cs="Arial"/>
          <w:color w:val="000000" w:themeColor="text1"/>
        </w:rPr>
        <w:t xml:space="preserve"> </w:t>
      </w:r>
      <w:r w:rsidR="00FB2EE1" w:rsidRPr="00570A4E">
        <w:rPr>
          <w:rFonts w:ascii="Palatino Linotype" w:eastAsia="Calibri" w:hAnsi="Palatino Linotype" w:cs="Arial"/>
          <w:color w:val="000000" w:themeColor="text1"/>
        </w:rPr>
        <w:t xml:space="preserve">escrito </w:t>
      </w:r>
      <w:r w:rsidR="00540208" w:rsidRPr="00570A4E">
        <w:rPr>
          <w:rFonts w:ascii="Palatino Linotype" w:eastAsia="Calibri" w:hAnsi="Palatino Linotype" w:cs="Arial"/>
          <w:color w:val="000000" w:themeColor="text1"/>
        </w:rPr>
        <w:t>contiene las formalidades previstas por el artículo 180</w:t>
      </w:r>
      <w:r w:rsidR="00FB2EE1" w:rsidRPr="00570A4E">
        <w:rPr>
          <w:rFonts w:ascii="Palatino Linotype" w:eastAsia="Calibri" w:hAnsi="Palatino Linotype" w:cs="Arial"/>
          <w:color w:val="000000" w:themeColor="text1"/>
        </w:rPr>
        <w:t>,</w:t>
      </w:r>
      <w:r w:rsidR="00540208" w:rsidRPr="00570A4E">
        <w:rPr>
          <w:rFonts w:ascii="Palatino Linotype" w:eastAsia="Calibri" w:hAnsi="Palatino Linotype" w:cs="Arial"/>
          <w:color w:val="000000" w:themeColor="text1"/>
        </w:rPr>
        <w:t xml:space="preserve"> último párrafo</w:t>
      </w:r>
      <w:r w:rsidR="00FB2EE1" w:rsidRPr="00570A4E">
        <w:rPr>
          <w:rFonts w:ascii="Palatino Linotype" w:eastAsia="Calibri" w:hAnsi="Palatino Linotype" w:cs="Arial"/>
          <w:color w:val="000000" w:themeColor="text1"/>
        </w:rPr>
        <w:t>,</w:t>
      </w:r>
      <w:r w:rsidR="00540208" w:rsidRPr="00570A4E">
        <w:rPr>
          <w:rFonts w:ascii="Palatino Linotype" w:eastAsia="Calibri" w:hAnsi="Palatino Linotype" w:cs="Arial"/>
          <w:color w:val="000000" w:themeColor="text1"/>
        </w:rPr>
        <w:t xml:space="preserve"> de la Ley </w:t>
      </w:r>
      <w:r w:rsidR="004911B6" w:rsidRPr="00570A4E">
        <w:rPr>
          <w:rFonts w:ascii="Palatino Linotype" w:eastAsia="Calibri" w:hAnsi="Palatino Linotype" w:cs="Arial"/>
          <w:color w:val="000000" w:themeColor="text1"/>
        </w:rPr>
        <w:t>de Transparencia y Acceso a la Información Pública del Estado de México y Municipios</w:t>
      </w:r>
      <w:r w:rsidR="00540208" w:rsidRPr="00570A4E">
        <w:rPr>
          <w:rFonts w:ascii="Palatino Linotype" w:eastAsia="Calibri" w:hAnsi="Palatino Linotype" w:cs="Arial"/>
          <w:color w:val="000000" w:themeColor="text1"/>
        </w:rPr>
        <w:t xml:space="preserve">, por lo que es procedente que </w:t>
      </w:r>
      <w:r w:rsidR="004911B6" w:rsidRPr="00570A4E">
        <w:rPr>
          <w:rFonts w:ascii="Palatino Linotype" w:eastAsia="Calibri" w:hAnsi="Palatino Linotype" w:cs="Arial"/>
          <w:color w:val="000000" w:themeColor="text1"/>
        </w:rPr>
        <w:t>e</w:t>
      </w:r>
      <w:r w:rsidR="00540208" w:rsidRPr="00570A4E">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570A4E">
        <w:rPr>
          <w:rFonts w:ascii="Palatino Linotype" w:eastAsia="Calibri" w:hAnsi="Palatino Linotype" w:cs="Arial"/>
          <w:color w:val="000000" w:themeColor="text1"/>
        </w:rPr>
        <w:t xml:space="preserve">Municipios, conozca y resuelva </w:t>
      </w:r>
      <w:r w:rsidR="00FB2EE1" w:rsidRPr="00570A4E">
        <w:rPr>
          <w:rFonts w:ascii="Palatino Linotype" w:eastAsia="Calibri" w:hAnsi="Palatino Linotype" w:cs="Arial"/>
          <w:color w:val="000000" w:themeColor="text1"/>
        </w:rPr>
        <w:t>el</w:t>
      </w:r>
      <w:r w:rsidR="00540208" w:rsidRPr="00570A4E">
        <w:rPr>
          <w:rFonts w:ascii="Palatino Linotype" w:eastAsia="Calibri" w:hAnsi="Palatino Linotype" w:cs="Arial"/>
          <w:color w:val="000000" w:themeColor="text1"/>
        </w:rPr>
        <w:t xml:space="preserve"> presente recurso.</w:t>
      </w:r>
    </w:p>
    <w:p w14:paraId="316CB621" w14:textId="77777777" w:rsidR="00710B50" w:rsidRPr="00570A4E"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570A4E"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8071780"/>
      <w:r w:rsidRPr="00570A4E">
        <w:rPr>
          <w:rFonts w:ascii="Palatino Linotype" w:hAnsi="Palatino Linotype"/>
          <w:b/>
          <w:color w:val="000000" w:themeColor="text1"/>
        </w:rPr>
        <w:t xml:space="preserve">TERCERO. </w:t>
      </w:r>
      <w:r w:rsidR="00D5750C" w:rsidRPr="00570A4E">
        <w:rPr>
          <w:rFonts w:ascii="Palatino Linotype" w:hAnsi="Palatino Linotype"/>
          <w:b/>
          <w:color w:val="000000" w:themeColor="text1"/>
        </w:rPr>
        <w:t xml:space="preserve">Del planteamiento de la </w:t>
      </w:r>
      <w:r w:rsidR="00D5750C" w:rsidRPr="00570A4E">
        <w:rPr>
          <w:rFonts w:ascii="Palatino Linotype" w:hAnsi="Palatino Linotype"/>
          <w:b/>
          <w:i/>
          <w:color w:val="000000" w:themeColor="text1"/>
        </w:rPr>
        <w:t>Litis</w:t>
      </w:r>
      <w:r w:rsidRPr="00570A4E">
        <w:rPr>
          <w:rFonts w:ascii="Palatino Linotype" w:hAnsi="Palatino Linotype"/>
          <w:b/>
          <w:color w:val="000000" w:themeColor="text1"/>
        </w:rPr>
        <w:t>.</w:t>
      </w:r>
      <w:bookmarkEnd w:id="12"/>
    </w:p>
    <w:p w14:paraId="4FB84CAD" w14:textId="77777777" w:rsidR="00CA62D4" w:rsidRPr="00570A4E"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19697729" w14:textId="61CD75CB" w:rsidR="0024737A" w:rsidRPr="00570A4E" w:rsidRDefault="0024737A"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3" w:name="_Toc459174366"/>
      <w:bookmarkStart w:id="14" w:name="_Toc459659884"/>
      <w:bookmarkStart w:id="15" w:name="_Toc461687280"/>
      <w:bookmarkStart w:id="16" w:name="_Toc462771051"/>
      <w:bookmarkStart w:id="17" w:name="_Toc464139201"/>
      <w:r w:rsidRPr="00570A4E">
        <w:rPr>
          <w:rFonts w:ascii="Palatino Linotype" w:hAnsi="Palatino Linotype" w:cs="Arial"/>
          <w:color w:val="000000" w:themeColor="text1"/>
        </w:rPr>
        <w:t xml:space="preserve">Se </w:t>
      </w:r>
      <w:r w:rsidR="002743CC" w:rsidRPr="00570A4E">
        <w:rPr>
          <w:rFonts w:ascii="Palatino Linotype" w:hAnsi="Palatino Linotype" w:cs="Arial"/>
          <w:color w:val="000000" w:themeColor="text1"/>
        </w:rPr>
        <w:t>requiri</w:t>
      </w:r>
      <w:r w:rsidR="005D5917" w:rsidRPr="00570A4E">
        <w:rPr>
          <w:rFonts w:ascii="Palatino Linotype" w:hAnsi="Palatino Linotype" w:cs="Arial"/>
          <w:color w:val="000000" w:themeColor="text1"/>
        </w:rPr>
        <w:t xml:space="preserve">ó </w:t>
      </w:r>
      <w:r w:rsidR="003A7AAD" w:rsidRPr="00570A4E">
        <w:rPr>
          <w:rFonts w:ascii="Palatino Linotype" w:hAnsi="Palatino Linotype" w:cs="Arial"/>
          <w:color w:val="000000" w:themeColor="text1"/>
        </w:rPr>
        <w:t>el soporte documental de todos los cambios de uso del suelo realizados en la Colonia Lomas La Herradura, del uno (01) de enero de dos mil diecinueve al treinta y uno (31) de diciembre de dos mil veintiuno</w:t>
      </w:r>
      <w:r w:rsidR="00BA6A65" w:rsidRPr="00570A4E">
        <w:rPr>
          <w:rFonts w:ascii="Palatino Linotype" w:hAnsi="Palatino Linotype" w:cs="Arial"/>
          <w:color w:val="000000" w:themeColor="text1"/>
        </w:rPr>
        <w:t>.</w:t>
      </w:r>
      <w:r w:rsidR="003A7AAD" w:rsidRPr="00570A4E">
        <w:rPr>
          <w:rFonts w:ascii="Palatino Linotype" w:hAnsi="Palatino Linotype" w:cs="Arial"/>
          <w:color w:val="000000" w:themeColor="text1"/>
        </w:rPr>
        <w:t xml:space="preserve"> </w:t>
      </w:r>
    </w:p>
    <w:p w14:paraId="75A5DFBC" w14:textId="77777777" w:rsidR="0024737A" w:rsidRPr="00570A4E" w:rsidRDefault="0024737A" w:rsidP="0024737A">
      <w:pPr>
        <w:pStyle w:val="Prrafodelista"/>
        <w:tabs>
          <w:tab w:val="left" w:pos="426"/>
        </w:tabs>
        <w:spacing w:line="360" w:lineRule="auto"/>
        <w:ind w:left="0" w:right="49"/>
        <w:jc w:val="both"/>
        <w:rPr>
          <w:rFonts w:ascii="Palatino Linotype" w:hAnsi="Palatino Linotype" w:cs="Arial"/>
          <w:color w:val="000000" w:themeColor="text1"/>
        </w:rPr>
      </w:pPr>
    </w:p>
    <w:p w14:paraId="72B515C4" w14:textId="77BC7D33" w:rsidR="00963723" w:rsidRPr="00570A4E" w:rsidRDefault="006D57BE"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70A4E">
        <w:rPr>
          <w:rFonts w:ascii="Palatino Linotype" w:hAnsi="Palatino Linotype" w:cs="Arial"/>
          <w:color w:val="000000" w:themeColor="text1"/>
        </w:rPr>
        <w:t>E</w:t>
      </w:r>
      <w:r w:rsidR="00E50385" w:rsidRPr="00570A4E">
        <w:rPr>
          <w:rFonts w:ascii="Palatino Linotype" w:hAnsi="Palatino Linotype" w:cs="Arial"/>
          <w:color w:val="000000" w:themeColor="text1"/>
        </w:rPr>
        <w:t xml:space="preserve">l </w:t>
      </w:r>
      <w:r w:rsidR="00E50385" w:rsidRPr="00570A4E">
        <w:rPr>
          <w:rFonts w:ascii="Palatino Linotype" w:hAnsi="Palatino Linotype" w:cs="Arial"/>
          <w:b/>
          <w:color w:val="000000" w:themeColor="text1"/>
        </w:rPr>
        <w:t>SUJETO OBLIGADO</w:t>
      </w:r>
      <w:r w:rsidR="00963723" w:rsidRPr="00570A4E">
        <w:rPr>
          <w:rFonts w:ascii="Palatino Linotype" w:hAnsi="Palatino Linotype" w:cs="Arial"/>
          <w:color w:val="000000" w:themeColor="text1"/>
        </w:rPr>
        <w:t xml:space="preserve"> </w:t>
      </w:r>
      <w:r w:rsidR="003A7AAD" w:rsidRPr="00570A4E">
        <w:rPr>
          <w:rFonts w:ascii="Palatino Linotype" w:hAnsi="Palatino Linotype" w:cs="Arial"/>
          <w:color w:val="000000" w:themeColor="text1"/>
        </w:rPr>
        <w:t>entregó un acuerdo de su Comité de Transparencia en el que se pronunciaba sobre la procedencia en la clasificación de información requerida a través de seis solicitudes diversas a la promovida por el particular.</w:t>
      </w:r>
    </w:p>
    <w:p w14:paraId="2C7AC7DC" w14:textId="77777777" w:rsidR="00963723" w:rsidRPr="00570A4E"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10FC0BC3" w:rsidR="0056788F" w:rsidRPr="00570A4E" w:rsidRDefault="001025C6"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70A4E">
        <w:rPr>
          <w:rFonts w:ascii="Palatino Linotype" w:hAnsi="Palatino Linotype" w:cs="Arial"/>
          <w:color w:val="000000" w:themeColor="text1"/>
        </w:rPr>
        <w:lastRenderedPageBreak/>
        <w:t>El</w:t>
      </w:r>
      <w:r w:rsidR="007758D3" w:rsidRPr="00570A4E">
        <w:rPr>
          <w:rFonts w:ascii="Palatino Linotype" w:hAnsi="Palatino Linotype" w:cs="Arial"/>
          <w:color w:val="000000" w:themeColor="text1"/>
        </w:rPr>
        <w:t xml:space="preserve"> particular impugnó la respuesta del </w:t>
      </w:r>
      <w:r w:rsidR="007758D3" w:rsidRPr="00570A4E">
        <w:rPr>
          <w:rFonts w:ascii="Palatino Linotype" w:hAnsi="Palatino Linotype" w:cs="Arial"/>
          <w:b/>
          <w:color w:val="000000" w:themeColor="text1"/>
        </w:rPr>
        <w:t>SUJETO OBLIGADO</w:t>
      </w:r>
      <w:r w:rsidR="007758D3" w:rsidRPr="00570A4E">
        <w:rPr>
          <w:rFonts w:ascii="Palatino Linotype" w:hAnsi="Palatino Linotype" w:cs="Arial"/>
          <w:color w:val="000000" w:themeColor="text1"/>
        </w:rPr>
        <w:t xml:space="preserve"> mediante recurso de revisión</w:t>
      </w:r>
      <w:r w:rsidRPr="00570A4E">
        <w:rPr>
          <w:rFonts w:ascii="Palatino Linotype" w:hAnsi="Palatino Linotype" w:cs="Arial"/>
          <w:color w:val="000000" w:themeColor="text1"/>
        </w:rPr>
        <w:t>,</w:t>
      </w:r>
      <w:r w:rsidR="007758D3" w:rsidRPr="00570A4E">
        <w:rPr>
          <w:rFonts w:ascii="Palatino Linotype" w:hAnsi="Palatino Linotype" w:cs="Arial"/>
          <w:color w:val="000000" w:themeColor="text1"/>
        </w:rPr>
        <w:t xml:space="preserve"> </w:t>
      </w:r>
      <w:r w:rsidRPr="00570A4E">
        <w:rPr>
          <w:rFonts w:ascii="Palatino Linotype" w:hAnsi="Palatino Linotype" w:cs="Arial"/>
          <w:color w:val="000000" w:themeColor="text1"/>
        </w:rPr>
        <w:t xml:space="preserve">y </w:t>
      </w:r>
      <w:r w:rsidR="007758D3" w:rsidRPr="00570A4E">
        <w:rPr>
          <w:rFonts w:ascii="Palatino Linotype" w:hAnsi="Palatino Linotype" w:cs="Arial"/>
          <w:color w:val="000000" w:themeColor="text1"/>
        </w:rPr>
        <w:t xml:space="preserve">en </w:t>
      </w:r>
      <w:r w:rsidR="006D57BE" w:rsidRPr="00570A4E">
        <w:rPr>
          <w:rFonts w:ascii="Palatino Linotype" w:hAnsi="Palatino Linotype" w:cs="Arial"/>
          <w:color w:val="000000" w:themeColor="text1"/>
        </w:rPr>
        <w:t>el</w:t>
      </w:r>
      <w:r w:rsidR="006015F0" w:rsidRPr="00570A4E">
        <w:rPr>
          <w:rFonts w:ascii="Palatino Linotype" w:hAnsi="Palatino Linotype" w:cs="Arial"/>
          <w:color w:val="000000" w:themeColor="text1"/>
        </w:rPr>
        <w:t xml:space="preserve"> que señaló por agravios</w:t>
      </w:r>
      <w:r w:rsidR="002D063B" w:rsidRPr="00570A4E">
        <w:rPr>
          <w:rFonts w:ascii="Palatino Linotype" w:hAnsi="Palatino Linotype" w:cs="Arial"/>
          <w:color w:val="000000" w:themeColor="text1"/>
        </w:rPr>
        <w:t xml:space="preserve">, </w:t>
      </w:r>
      <w:r w:rsidR="009141E0" w:rsidRPr="00570A4E">
        <w:rPr>
          <w:rFonts w:ascii="Palatino Linotype" w:hAnsi="Palatino Linotype" w:cs="Arial"/>
          <w:color w:val="000000" w:themeColor="text1"/>
        </w:rPr>
        <w:t>que</w:t>
      </w:r>
      <w:r w:rsidR="003A7AAD" w:rsidRPr="00570A4E">
        <w:rPr>
          <w:rFonts w:ascii="Palatino Linotype" w:hAnsi="Palatino Linotype" w:cs="Arial"/>
          <w:color w:val="000000" w:themeColor="text1"/>
        </w:rPr>
        <w:t xml:space="preserve"> no se le había entregado la información solicitada</w:t>
      </w:r>
      <w:r w:rsidR="002D063B" w:rsidRPr="00570A4E">
        <w:rPr>
          <w:rFonts w:ascii="Palatino Linotype" w:hAnsi="Palatino Linotype" w:cs="Arial"/>
          <w:color w:val="000000" w:themeColor="text1"/>
        </w:rPr>
        <w:t>.</w:t>
      </w:r>
    </w:p>
    <w:p w14:paraId="52493E42" w14:textId="77777777" w:rsidR="0056788F" w:rsidRPr="00570A4E"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998AA61" w:rsidR="001A032D" w:rsidRPr="00570A4E"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70A4E">
        <w:rPr>
          <w:rFonts w:ascii="Palatino Linotype" w:hAnsi="Palatino Linotype" w:cs="Arial"/>
          <w:color w:val="000000" w:themeColor="text1"/>
        </w:rPr>
        <w:t xml:space="preserve">En ese sentido, </w:t>
      </w:r>
      <w:r w:rsidR="00566BC5" w:rsidRPr="00570A4E">
        <w:rPr>
          <w:rFonts w:ascii="Palatino Linotype" w:hAnsi="Palatino Linotype" w:cs="Arial"/>
          <w:color w:val="000000" w:themeColor="text1"/>
        </w:rPr>
        <w:t>este Órgano Garante</w:t>
      </w:r>
      <w:r w:rsidR="002E160F" w:rsidRPr="00570A4E">
        <w:rPr>
          <w:rFonts w:ascii="Palatino Linotype" w:hAnsi="Palatino Linotype" w:cs="Arial"/>
          <w:color w:val="000000" w:themeColor="text1"/>
        </w:rPr>
        <w:t xml:space="preserve"> advierte que las razones o motivos de inconformidad manifestados por el </w:t>
      </w:r>
      <w:r w:rsidRPr="00570A4E">
        <w:rPr>
          <w:rFonts w:ascii="Palatino Linotype" w:hAnsi="Palatino Linotype" w:cs="Arial"/>
          <w:b/>
          <w:bCs/>
          <w:color w:val="000000" w:themeColor="text1"/>
        </w:rPr>
        <w:t>RECURRENTE</w:t>
      </w:r>
      <w:r w:rsidRPr="00570A4E">
        <w:rPr>
          <w:rFonts w:ascii="Palatino Linotype" w:hAnsi="Palatino Linotype" w:cs="Arial"/>
          <w:color w:val="000000" w:themeColor="text1"/>
        </w:rPr>
        <w:t xml:space="preserve"> </w:t>
      </w:r>
      <w:r w:rsidR="002E160F" w:rsidRPr="00570A4E">
        <w:rPr>
          <w:rFonts w:ascii="Palatino Linotype" w:hAnsi="Palatino Linotype" w:cs="Arial"/>
          <w:color w:val="000000" w:themeColor="text1"/>
        </w:rPr>
        <w:t>sugieren que la respuesta proporcionada</w:t>
      </w:r>
      <w:r w:rsidR="00B855AA" w:rsidRPr="00570A4E">
        <w:rPr>
          <w:rFonts w:ascii="Palatino Linotype" w:hAnsi="Palatino Linotype" w:cs="Arial"/>
          <w:color w:val="000000" w:themeColor="text1"/>
        </w:rPr>
        <w:t xml:space="preserve"> por el </w:t>
      </w:r>
      <w:r w:rsidR="00B855AA" w:rsidRPr="00570A4E">
        <w:rPr>
          <w:rFonts w:ascii="Palatino Linotype" w:hAnsi="Palatino Linotype" w:cs="Arial"/>
          <w:b/>
          <w:bCs/>
          <w:color w:val="000000" w:themeColor="text1"/>
        </w:rPr>
        <w:t>SUJETO OBLIGADO</w:t>
      </w:r>
      <w:r w:rsidR="007409D8" w:rsidRPr="00570A4E">
        <w:rPr>
          <w:rFonts w:ascii="Palatino Linotype" w:hAnsi="Palatino Linotype" w:cs="Arial"/>
          <w:color w:val="000000" w:themeColor="text1"/>
        </w:rPr>
        <w:t xml:space="preserve"> no </w:t>
      </w:r>
      <w:r w:rsidR="006D57BE" w:rsidRPr="00570A4E">
        <w:rPr>
          <w:rFonts w:ascii="Palatino Linotype" w:hAnsi="Palatino Linotype" w:cs="Arial"/>
          <w:color w:val="000000" w:themeColor="text1"/>
        </w:rPr>
        <w:t>cumplió</w:t>
      </w:r>
      <w:r w:rsidR="00B855AA" w:rsidRPr="00570A4E">
        <w:rPr>
          <w:rFonts w:ascii="Palatino Linotype" w:hAnsi="Palatino Linotype" w:cs="Arial"/>
          <w:color w:val="000000" w:themeColor="text1"/>
        </w:rPr>
        <w:t xml:space="preserve"> con </w:t>
      </w:r>
      <w:r w:rsidR="008F7752" w:rsidRPr="00570A4E">
        <w:rPr>
          <w:rFonts w:ascii="Palatino Linotype" w:hAnsi="Palatino Linotype" w:cs="Arial"/>
          <w:color w:val="000000" w:themeColor="text1"/>
        </w:rPr>
        <w:t>los</w:t>
      </w:r>
      <w:r w:rsidR="00B855AA" w:rsidRPr="00570A4E">
        <w:rPr>
          <w:rFonts w:ascii="Palatino Linotype" w:hAnsi="Palatino Linotype" w:cs="Arial"/>
          <w:color w:val="000000" w:themeColor="text1"/>
        </w:rPr>
        <w:t xml:space="preserve"> principio</w:t>
      </w:r>
      <w:r w:rsidR="008F7752" w:rsidRPr="00570A4E">
        <w:rPr>
          <w:rFonts w:ascii="Palatino Linotype" w:hAnsi="Palatino Linotype" w:cs="Arial"/>
          <w:color w:val="000000" w:themeColor="text1"/>
        </w:rPr>
        <w:t>s</w:t>
      </w:r>
      <w:r w:rsidR="00B855AA" w:rsidRPr="00570A4E">
        <w:rPr>
          <w:rFonts w:ascii="Palatino Linotype" w:hAnsi="Palatino Linotype" w:cs="Arial"/>
          <w:color w:val="000000" w:themeColor="text1"/>
        </w:rPr>
        <w:t xml:space="preserve"> contendido</w:t>
      </w:r>
      <w:r w:rsidR="008F7752" w:rsidRPr="00570A4E">
        <w:rPr>
          <w:rFonts w:ascii="Palatino Linotype" w:hAnsi="Palatino Linotype" w:cs="Arial"/>
          <w:color w:val="000000" w:themeColor="text1"/>
        </w:rPr>
        <w:t>s</w:t>
      </w:r>
      <w:r w:rsidR="00B855AA" w:rsidRPr="00570A4E">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570A4E">
        <w:rPr>
          <w:rFonts w:ascii="Palatino Linotype" w:hAnsi="Palatino Linotype" w:cs="Arial"/>
          <w:color w:val="000000" w:themeColor="text1"/>
        </w:rPr>
        <w:t>os</w:t>
      </w:r>
      <w:r w:rsidR="00B855AA" w:rsidRPr="00570A4E">
        <w:rPr>
          <w:rFonts w:ascii="Palatino Linotype" w:hAnsi="Palatino Linotype" w:cs="Arial"/>
          <w:color w:val="000000" w:themeColor="text1"/>
        </w:rPr>
        <w:t xml:space="preserve"> cual</w:t>
      </w:r>
      <w:r w:rsidR="008F7752" w:rsidRPr="00570A4E">
        <w:rPr>
          <w:rFonts w:ascii="Palatino Linotype" w:hAnsi="Palatino Linotype" w:cs="Arial"/>
          <w:color w:val="000000" w:themeColor="text1"/>
        </w:rPr>
        <w:t>es</w:t>
      </w:r>
      <w:r w:rsidR="00B855AA" w:rsidRPr="00570A4E">
        <w:rPr>
          <w:rFonts w:ascii="Palatino Linotype" w:hAnsi="Palatino Linotype" w:cs="Arial"/>
          <w:color w:val="000000" w:themeColor="text1"/>
        </w:rPr>
        <w:t xml:space="preserve"> señala</w:t>
      </w:r>
      <w:r w:rsidR="008F7752" w:rsidRPr="00570A4E">
        <w:rPr>
          <w:rFonts w:ascii="Palatino Linotype" w:hAnsi="Palatino Linotype" w:cs="Arial"/>
          <w:color w:val="000000" w:themeColor="text1"/>
        </w:rPr>
        <w:t>n</w:t>
      </w:r>
      <w:r w:rsidR="00B855AA" w:rsidRPr="00570A4E">
        <w:rPr>
          <w:rFonts w:ascii="Palatino Linotype" w:hAnsi="Palatino Linotype" w:cs="Arial"/>
          <w:color w:val="000000" w:themeColor="text1"/>
        </w:rPr>
        <w:t xml:space="preserve"> que en la generación, publicación y entrega de información se deberá garantizar que ésta </w:t>
      </w:r>
      <w:r w:rsidR="00C51671" w:rsidRPr="00570A4E">
        <w:rPr>
          <w:rFonts w:ascii="Palatino Linotype" w:hAnsi="Palatino Linotype" w:cs="Arial"/>
          <w:color w:val="000000" w:themeColor="text1"/>
        </w:rPr>
        <w:t>sea</w:t>
      </w:r>
      <w:r w:rsidR="0024737A" w:rsidRPr="00570A4E">
        <w:rPr>
          <w:rFonts w:ascii="Palatino Linotype" w:hAnsi="Palatino Linotype" w:cs="Arial"/>
          <w:color w:val="000000" w:themeColor="text1"/>
        </w:rPr>
        <w:t xml:space="preserve"> </w:t>
      </w:r>
      <w:r w:rsidR="003A7AAD" w:rsidRPr="00570A4E">
        <w:rPr>
          <w:rFonts w:ascii="Palatino Linotype" w:hAnsi="Palatino Linotype" w:cs="Arial"/>
          <w:b/>
          <w:color w:val="000000" w:themeColor="text1"/>
        </w:rPr>
        <w:t>congruente</w:t>
      </w:r>
      <w:r w:rsidR="00B855AA" w:rsidRPr="00570A4E">
        <w:rPr>
          <w:rFonts w:ascii="Palatino Linotype" w:hAnsi="Palatino Linotype" w:cs="Arial"/>
          <w:color w:val="000000" w:themeColor="text1"/>
        </w:rPr>
        <w:t>.</w:t>
      </w:r>
    </w:p>
    <w:p w14:paraId="026A3A70" w14:textId="77777777" w:rsidR="00197091" w:rsidRPr="00570A4E"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8F2963C" w:rsidR="00AD76A1" w:rsidRPr="00570A4E"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70A4E">
        <w:rPr>
          <w:rFonts w:ascii="Palatino Linotype" w:hAnsi="Palatino Linotype" w:cs="Arial"/>
          <w:color w:val="000000" w:themeColor="text1"/>
          <w:szCs w:val="23"/>
        </w:rPr>
        <w:t xml:space="preserve">Por lo anterior, la </w:t>
      </w:r>
      <w:r w:rsidRPr="00570A4E">
        <w:rPr>
          <w:rFonts w:ascii="Palatino Linotype" w:hAnsi="Palatino Linotype" w:cs="Arial"/>
          <w:i/>
          <w:color w:val="000000" w:themeColor="text1"/>
          <w:szCs w:val="23"/>
        </w:rPr>
        <w:t>Litis</w:t>
      </w:r>
      <w:r w:rsidRPr="00570A4E">
        <w:rPr>
          <w:rFonts w:ascii="Palatino Linotype" w:hAnsi="Palatino Linotype" w:cs="Arial"/>
          <w:color w:val="000000" w:themeColor="text1"/>
          <w:szCs w:val="23"/>
        </w:rPr>
        <w:t xml:space="preserve"> a resolver en el presente recurso se circunscribe en determinar si</w:t>
      </w:r>
      <w:r w:rsidR="002C6561" w:rsidRPr="00570A4E">
        <w:rPr>
          <w:rFonts w:ascii="Palatino Linotype" w:hAnsi="Palatino Linotype" w:cs="Arial"/>
          <w:color w:val="000000" w:themeColor="text1"/>
          <w:szCs w:val="23"/>
        </w:rPr>
        <w:t xml:space="preserve"> </w:t>
      </w:r>
      <w:r w:rsidR="004B0EB6" w:rsidRPr="00570A4E">
        <w:rPr>
          <w:rFonts w:ascii="Palatino Linotype" w:hAnsi="Palatino Linotype" w:cs="Arial"/>
          <w:color w:val="000000" w:themeColor="text1"/>
          <w:szCs w:val="23"/>
        </w:rPr>
        <w:t>la respuesta del</w:t>
      </w:r>
      <w:r w:rsidR="002C6561" w:rsidRPr="00570A4E">
        <w:rPr>
          <w:rFonts w:ascii="Palatino Linotype" w:hAnsi="Palatino Linotype" w:cs="Arial"/>
          <w:color w:val="000000" w:themeColor="text1"/>
          <w:szCs w:val="23"/>
        </w:rPr>
        <w:t xml:space="preserve"> </w:t>
      </w:r>
      <w:r w:rsidR="002C6561" w:rsidRPr="00570A4E">
        <w:rPr>
          <w:rFonts w:ascii="Palatino Linotype" w:hAnsi="Palatino Linotype" w:cs="Arial"/>
          <w:b/>
          <w:bCs/>
          <w:color w:val="000000" w:themeColor="text1"/>
          <w:szCs w:val="23"/>
        </w:rPr>
        <w:t>SUJETO OBLIGADO</w:t>
      </w:r>
      <w:r w:rsidR="002C6561" w:rsidRPr="00570A4E">
        <w:rPr>
          <w:rFonts w:ascii="Palatino Linotype" w:hAnsi="Palatino Linotype" w:cs="Arial"/>
          <w:color w:val="000000" w:themeColor="text1"/>
          <w:szCs w:val="23"/>
        </w:rPr>
        <w:t xml:space="preserve"> </w:t>
      </w:r>
      <w:r w:rsidR="004B0EB6" w:rsidRPr="00570A4E">
        <w:rPr>
          <w:rFonts w:ascii="Palatino Linotype" w:hAnsi="Palatino Linotype" w:cs="Arial"/>
          <w:color w:val="000000" w:themeColor="text1"/>
          <w:szCs w:val="23"/>
        </w:rPr>
        <w:t xml:space="preserve">colma el derecho de acceso a la información ejercido por </w:t>
      </w:r>
      <w:r w:rsidR="001025C6" w:rsidRPr="00570A4E">
        <w:rPr>
          <w:rFonts w:ascii="Palatino Linotype" w:hAnsi="Palatino Linotype" w:cs="Arial"/>
          <w:color w:val="000000" w:themeColor="text1"/>
          <w:szCs w:val="23"/>
        </w:rPr>
        <w:t>el</w:t>
      </w:r>
      <w:r w:rsidR="004B0EB6" w:rsidRPr="00570A4E">
        <w:rPr>
          <w:rFonts w:ascii="Palatino Linotype" w:hAnsi="Palatino Linotype" w:cs="Arial"/>
          <w:color w:val="000000" w:themeColor="text1"/>
          <w:szCs w:val="23"/>
        </w:rPr>
        <w:t xml:space="preserve"> </w:t>
      </w:r>
      <w:r w:rsidR="004B0EB6" w:rsidRPr="00570A4E">
        <w:rPr>
          <w:rFonts w:ascii="Palatino Linotype" w:hAnsi="Palatino Linotype" w:cs="Arial"/>
          <w:b/>
          <w:bCs/>
          <w:color w:val="000000" w:themeColor="text1"/>
          <w:szCs w:val="23"/>
        </w:rPr>
        <w:t>RECURRENTE</w:t>
      </w:r>
      <w:r w:rsidR="002C6561" w:rsidRPr="00570A4E">
        <w:rPr>
          <w:rFonts w:ascii="Palatino Linotype" w:hAnsi="Palatino Linotype" w:cs="Arial"/>
          <w:color w:val="000000" w:themeColor="text1"/>
          <w:szCs w:val="23"/>
        </w:rPr>
        <w:t xml:space="preserve"> o</w:t>
      </w:r>
      <w:r w:rsidR="001025C6" w:rsidRPr="00570A4E">
        <w:rPr>
          <w:rFonts w:ascii="Palatino Linotype" w:hAnsi="Palatino Linotype" w:cs="Arial"/>
          <w:color w:val="000000" w:themeColor="text1"/>
          <w:szCs w:val="23"/>
        </w:rPr>
        <w:t>,</w:t>
      </w:r>
      <w:r w:rsidR="002C6561" w:rsidRPr="00570A4E">
        <w:rPr>
          <w:rFonts w:ascii="Palatino Linotype" w:hAnsi="Palatino Linotype" w:cs="Arial"/>
          <w:color w:val="000000" w:themeColor="text1"/>
          <w:szCs w:val="23"/>
        </w:rPr>
        <w:t xml:space="preserve"> si por el contrario, se</w:t>
      </w:r>
      <w:r w:rsidR="00E32652" w:rsidRPr="00570A4E">
        <w:rPr>
          <w:rFonts w:ascii="Palatino Linotype" w:hAnsi="Palatino Linotype" w:cs="Arial"/>
          <w:color w:val="000000" w:themeColor="text1"/>
          <w:szCs w:val="23"/>
        </w:rPr>
        <w:t xml:space="preserve"> </w:t>
      </w:r>
      <w:r w:rsidR="0028248C" w:rsidRPr="00570A4E">
        <w:rPr>
          <w:rFonts w:ascii="Palatino Linotype" w:hAnsi="Palatino Linotype"/>
          <w:color w:val="000000" w:themeColor="text1"/>
        </w:rPr>
        <w:t>actualiza</w:t>
      </w:r>
      <w:r w:rsidR="00C51671" w:rsidRPr="00570A4E">
        <w:rPr>
          <w:rFonts w:ascii="Palatino Linotype" w:hAnsi="Palatino Linotype"/>
          <w:color w:val="000000" w:themeColor="text1"/>
        </w:rPr>
        <w:t>n</w:t>
      </w:r>
      <w:r w:rsidR="0028248C" w:rsidRPr="00570A4E">
        <w:rPr>
          <w:rFonts w:ascii="Palatino Linotype" w:hAnsi="Palatino Linotype"/>
          <w:color w:val="000000" w:themeColor="text1"/>
        </w:rPr>
        <w:t xml:space="preserve"> la</w:t>
      </w:r>
      <w:r w:rsidR="00C51671" w:rsidRPr="00570A4E">
        <w:rPr>
          <w:rFonts w:ascii="Palatino Linotype" w:hAnsi="Palatino Linotype"/>
          <w:color w:val="000000" w:themeColor="text1"/>
        </w:rPr>
        <w:t>s</w:t>
      </w:r>
      <w:r w:rsidR="0028248C" w:rsidRPr="00570A4E">
        <w:rPr>
          <w:rFonts w:ascii="Palatino Linotype" w:hAnsi="Palatino Linotype"/>
          <w:color w:val="000000" w:themeColor="text1"/>
        </w:rPr>
        <w:t xml:space="preserve"> causal</w:t>
      </w:r>
      <w:r w:rsidR="00C51671" w:rsidRPr="00570A4E">
        <w:rPr>
          <w:rFonts w:ascii="Palatino Linotype" w:hAnsi="Palatino Linotype"/>
          <w:color w:val="000000" w:themeColor="text1"/>
        </w:rPr>
        <w:t>es</w:t>
      </w:r>
      <w:r w:rsidR="0028248C" w:rsidRPr="00570A4E">
        <w:rPr>
          <w:rFonts w:ascii="Palatino Linotype" w:hAnsi="Palatino Linotype"/>
          <w:color w:val="000000" w:themeColor="text1"/>
        </w:rPr>
        <w:t xml:space="preserve"> de procedencia</w:t>
      </w:r>
      <w:r w:rsidR="00E66A80" w:rsidRPr="00570A4E">
        <w:rPr>
          <w:rFonts w:ascii="Palatino Linotype" w:hAnsi="Palatino Linotype" w:cs="Arial"/>
          <w:color w:val="000000" w:themeColor="text1"/>
          <w:szCs w:val="23"/>
        </w:rPr>
        <w:t xml:space="preserve"> del recurso de revisión establecida</w:t>
      </w:r>
      <w:r w:rsidR="00C51671" w:rsidRPr="00570A4E">
        <w:rPr>
          <w:rFonts w:ascii="Palatino Linotype" w:hAnsi="Palatino Linotype" w:cs="Arial"/>
          <w:color w:val="000000" w:themeColor="text1"/>
          <w:szCs w:val="23"/>
        </w:rPr>
        <w:t>s</w:t>
      </w:r>
      <w:r w:rsidR="00E66A80" w:rsidRPr="00570A4E">
        <w:rPr>
          <w:rFonts w:ascii="Palatino Linotype" w:hAnsi="Palatino Linotype" w:cs="Arial"/>
          <w:color w:val="000000" w:themeColor="text1"/>
          <w:szCs w:val="23"/>
        </w:rPr>
        <w:t xml:space="preserve"> en el artículo 179 </w:t>
      </w:r>
      <w:r w:rsidR="00C51671" w:rsidRPr="00570A4E">
        <w:rPr>
          <w:rFonts w:ascii="Palatino Linotype" w:hAnsi="Palatino Linotype" w:cs="Arial"/>
          <w:color w:val="000000" w:themeColor="text1"/>
          <w:szCs w:val="23"/>
        </w:rPr>
        <w:t>fracciones</w:t>
      </w:r>
      <w:r w:rsidR="00E66A80" w:rsidRPr="00570A4E">
        <w:rPr>
          <w:rFonts w:ascii="Palatino Linotype" w:hAnsi="Palatino Linotype" w:cs="Arial"/>
          <w:color w:val="000000" w:themeColor="text1"/>
          <w:szCs w:val="23"/>
        </w:rPr>
        <w:t xml:space="preserve"> </w:t>
      </w:r>
      <w:r w:rsidR="006015F0" w:rsidRPr="00570A4E">
        <w:rPr>
          <w:rFonts w:ascii="Palatino Linotype" w:hAnsi="Palatino Linotype" w:cs="Arial"/>
          <w:color w:val="000000" w:themeColor="text1"/>
          <w:szCs w:val="23"/>
        </w:rPr>
        <w:t>I</w:t>
      </w:r>
      <w:r w:rsidR="00EC683D" w:rsidRPr="00570A4E">
        <w:rPr>
          <w:rFonts w:ascii="Palatino Linotype" w:hAnsi="Palatino Linotype" w:cs="Arial"/>
          <w:color w:val="000000" w:themeColor="text1"/>
          <w:szCs w:val="23"/>
        </w:rPr>
        <w:t>,</w:t>
      </w:r>
      <w:r w:rsidR="0021056F" w:rsidRPr="00570A4E">
        <w:rPr>
          <w:rFonts w:ascii="Palatino Linotype" w:hAnsi="Palatino Linotype" w:cs="Arial"/>
          <w:color w:val="000000" w:themeColor="text1"/>
          <w:szCs w:val="23"/>
        </w:rPr>
        <w:t xml:space="preserve"> </w:t>
      </w:r>
      <w:r w:rsidR="0024737A" w:rsidRPr="00570A4E">
        <w:rPr>
          <w:rFonts w:ascii="Palatino Linotype" w:hAnsi="Palatino Linotype" w:cs="Arial"/>
          <w:color w:val="000000" w:themeColor="text1"/>
          <w:szCs w:val="23"/>
        </w:rPr>
        <w:t>V</w:t>
      </w:r>
      <w:r w:rsidR="00EC683D" w:rsidRPr="00570A4E">
        <w:rPr>
          <w:rFonts w:ascii="Palatino Linotype" w:hAnsi="Palatino Linotype" w:cs="Arial"/>
          <w:color w:val="000000" w:themeColor="text1"/>
          <w:szCs w:val="23"/>
        </w:rPr>
        <w:t xml:space="preserve"> y/o XIII</w:t>
      </w:r>
      <w:r w:rsidR="00390D23" w:rsidRPr="00570A4E">
        <w:rPr>
          <w:rFonts w:ascii="Palatino Linotype" w:hAnsi="Palatino Linotype" w:cs="Arial"/>
          <w:color w:val="000000" w:themeColor="text1"/>
          <w:szCs w:val="23"/>
        </w:rPr>
        <w:t xml:space="preserve"> </w:t>
      </w:r>
      <w:r w:rsidR="00E66A80" w:rsidRPr="00570A4E">
        <w:rPr>
          <w:rFonts w:ascii="Palatino Linotype" w:hAnsi="Palatino Linotype" w:cs="Arial"/>
          <w:color w:val="000000" w:themeColor="text1"/>
          <w:szCs w:val="23"/>
        </w:rPr>
        <w:t xml:space="preserve">de la Ley de Transparencia y Acceso a la Información Pública del Estado de México y Municipios, </w:t>
      </w:r>
      <w:r w:rsidR="00C51671" w:rsidRPr="00570A4E">
        <w:rPr>
          <w:rFonts w:ascii="Palatino Linotype" w:hAnsi="Palatino Linotype" w:cs="Arial"/>
          <w:color w:val="000000" w:themeColor="text1"/>
          <w:szCs w:val="23"/>
        </w:rPr>
        <w:t xml:space="preserve">y </w:t>
      </w:r>
      <w:r w:rsidR="00E66A80" w:rsidRPr="00570A4E">
        <w:rPr>
          <w:rFonts w:ascii="Palatino Linotype" w:hAnsi="Palatino Linotype" w:cs="Arial"/>
          <w:color w:val="000000" w:themeColor="text1"/>
          <w:szCs w:val="23"/>
        </w:rPr>
        <w:t>que se transcribe</w:t>
      </w:r>
      <w:r w:rsidR="00C51671" w:rsidRPr="00570A4E">
        <w:rPr>
          <w:rFonts w:ascii="Palatino Linotype" w:hAnsi="Palatino Linotype" w:cs="Arial"/>
          <w:color w:val="000000" w:themeColor="text1"/>
          <w:szCs w:val="23"/>
        </w:rPr>
        <w:t>n</w:t>
      </w:r>
      <w:r w:rsidR="00E66A80" w:rsidRPr="00570A4E">
        <w:rPr>
          <w:rFonts w:ascii="Palatino Linotype" w:hAnsi="Palatino Linotype" w:cs="Arial"/>
          <w:color w:val="000000" w:themeColor="text1"/>
          <w:szCs w:val="23"/>
        </w:rPr>
        <w:t xml:space="preserve"> a continuación:</w:t>
      </w:r>
    </w:p>
    <w:p w14:paraId="5D251E5B" w14:textId="77777777" w:rsidR="002630E4" w:rsidRPr="00570A4E"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570A4E" w:rsidRDefault="00E66A80" w:rsidP="00B31E90">
      <w:pPr>
        <w:pStyle w:val="Sinespaciado"/>
        <w:tabs>
          <w:tab w:val="left" w:pos="426"/>
        </w:tabs>
        <w:ind w:left="851"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t>“</w:t>
      </w:r>
      <w:r w:rsidRPr="00570A4E">
        <w:rPr>
          <w:rFonts w:ascii="Palatino Linotype" w:hAnsi="Palatino Linotype"/>
          <w:b/>
          <w:i/>
          <w:color w:val="000000" w:themeColor="text1"/>
          <w:sz w:val="22"/>
        </w:rPr>
        <w:t>Artículo 179.</w:t>
      </w:r>
      <w:r w:rsidRPr="00570A4E">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570A4E" w:rsidRDefault="007409D8" w:rsidP="00B31E90">
      <w:pPr>
        <w:pStyle w:val="Sinespaciado"/>
        <w:tabs>
          <w:tab w:val="left" w:pos="426"/>
        </w:tabs>
        <w:ind w:left="851" w:right="567"/>
        <w:jc w:val="both"/>
        <w:rPr>
          <w:rFonts w:ascii="Palatino Linotype" w:hAnsi="Palatino Linotype"/>
          <w:bCs/>
          <w:i/>
          <w:color w:val="000000" w:themeColor="text1"/>
          <w:sz w:val="22"/>
        </w:rPr>
      </w:pPr>
      <w:r w:rsidRPr="00570A4E">
        <w:rPr>
          <w:rFonts w:ascii="Palatino Linotype" w:hAnsi="Palatino Linotype"/>
          <w:b/>
          <w:bCs/>
          <w:i/>
          <w:color w:val="000000" w:themeColor="text1"/>
          <w:sz w:val="22"/>
        </w:rPr>
        <w:t>I.</w:t>
      </w:r>
      <w:r w:rsidRPr="00570A4E">
        <w:rPr>
          <w:rFonts w:ascii="Palatino Linotype" w:hAnsi="Palatino Linotype"/>
          <w:bCs/>
          <w:i/>
          <w:color w:val="000000" w:themeColor="text1"/>
          <w:sz w:val="22"/>
        </w:rPr>
        <w:t xml:space="preserve"> La negativa a la información solicitada;</w:t>
      </w:r>
    </w:p>
    <w:p w14:paraId="0FA844DD" w14:textId="569F63AD" w:rsidR="004107D7" w:rsidRPr="00570A4E" w:rsidRDefault="0021056F" w:rsidP="004107D7">
      <w:pPr>
        <w:pStyle w:val="Sinespaciado"/>
        <w:tabs>
          <w:tab w:val="left" w:pos="426"/>
        </w:tabs>
        <w:ind w:left="851"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t xml:space="preserve"> </w:t>
      </w:r>
      <w:r w:rsidR="004107D7" w:rsidRPr="00570A4E">
        <w:rPr>
          <w:rFonts w:ascii="Palatino Linotype" w:hAnsi="Palatino Linotype"/>
          <w:i/>
          <w:color w:val="000000" w:themeColor="text1"/>
          <w:sz w:val="22"/>
        </w:rPr>
        <w:t>(…)</w:t>
      </w:r>
    </w:p>
    <w:p w14:paraId="04E407CA" w14:textId="31E60F26" w:rsidR="00EC683D" w:rsidRPr="00570A4E" w:rsidRDefault="003A7AAD" w:rsidP="004107D7">
      <w:pPr>
        <w:pStyle w:val="Sinespaciado"/>
        <w:tabs>
          <w:tab w:val="left" w:pos="426"/>
        </w:tabs>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VI.</w:t>
      </w:r>
      <w:r w:rsidRPr="00570A4E">
        <w:rPr>
          <w:rFonts w:ascii="Palatino Linotype" w:hAnsi="Palatino Linotype"/>
          <w:i/>
          <w:color w:val="000000" w:themeColor="text1"/>
          <w:sz w:val="22"/>
        </w:rPr>
        <w:t xml:space="preserve"> La entrega de información que no corresponda con lo solicitado;</w:t>
      </w:r>
      <w:r w:rsidRPr="00570A4E">
        <w:rPr>
          <w:rFonts w:ascii="Palatino Linotype" w:hAnsi="Palatino Linotype"/>
          <w:i/>
          <w:color w:val="000000" w:themeColor="text1"/>
          <w:sz w:val="22"/>
        </w:rPr>
        <w:cr/>
      </w:r>
      <w:r w:rsidR="0021056F" w:rsidRPr="00570A4E">
        <w:rPr>
          <w:rFonts w:ascii="Palatino Linotype" w:hAnsi="Palatino Linotype"/>
          <w:i/>
          <w:color w:val="000000" w:themeColor="text1"/>
          <w:sz w:val="22"/>
        </w:rPr>
        <w:t>(…)</w:t>
      </w:r>
    </w:p>
    <w:p w14:paraId="4FAB54C9" w14:textId="77777777" w:rsidR="008577D1" w:rsidRPr="00570A4E" w:rsidRDefault="00EC683D" w:rsidP="004107D7">
      <w:pPr>
        <w:pStyle w:val="Sinespaciado"/>
        <w:tabs>
          <w:tab w:val="left" w:pos="426"/>
        </w:tabs>
        <w:ind w:left="851" w:right="567"/>
        <w:jc w:val="both"/>
        <w:rPr>
          <w:rFonts w:ascii="Palatino Linotype" w:hAnsi="Palatino Linotype"/>
          <w:i/>
          <w:color w:val="000000" w:themeColor="text1"/>
          <w:sz w:val="22"/>
          <w:lang w:val="es-MX"/>
        </w:rPr>
      </w:pPr>
      <w:r w:rsidRPr="00570A4E">
        <w:rPr>
          <w:rFonts w:ascii="Palatino Linotype" w:hAnsi="Palatino Linotype"/>
          <w:b/>
          <w:i/>
          <w:color w:val="000000" w:themeColor="text1"/>
          <w:sz w:val="22"/>
          <w:lang w:val="es-MX"/>
        </w:rPr>
        <w:t>XIII.</w:t>
      </w:r>
      <w:r w:rsidRPr="00570A4E">
        <w:rPr>
          <w:rFonts w:ascii="Palatino Linotype" w:hAnsi="Palatino Linotype"/>
          <w:i/>
          <w:color w:val="000000" w:themeColor="text1"/>
          <w:sz w:val="22"/>
          <w:lang w:val="es-MX"/>
        </w:rPr>
        <w:t xml:space="preserve"> La falta, deficiencia o insuficiencia de la fundamentación y/o motivación en la respuesta; y</w:t>
      </w:r>
    </w:p>
    <w:p w14:paraId="4FCA9B3F" w14:textId="61B6D80A" w:rsidR="00515DEC" w:rsidRPr="00570A4E" w:rsidRDefault="008577D1" w:rsidP="004107D7">
      <w:pPr>
        <w:pStyle w:val="Sinespaciado"/>
        <w:tabs>
          <w:tab w:val="left" w:pos="426"/>
        </w:tabs>
        <w:ind w:left="851" w:right="567"/>
        <w:jc w:val="both"/>
        <w:rPr>
          <w:rFonts w:ascii="Palatino Linotype" w:hAnsi="Palatino Linotype"/>
          <w:i/>
          <w:color w:val="000000" w:themeColor="text1"/>
          <w:sz w:val="22"/>
        </w:rPr>
      </w:pPr>
      <w:r w:rsidRPr="00570A4E">
        <w:rPr>
          <w:rFonts w:ascii="Palatino Linotype" w:hAnsi="Palatino Linotype"/>
          <w:i/>
          <w:color w:val="000000" w:themeColor="text1"/>
          <w:sz w:val="22"/>
          <w:lang w:val="es-MX"/>
        </w:rPr>
        <w:t>(…</w:t>
      </w:r>
      <w:r w:rsidRPr="00570A4E">
        <w:rPr>
          <w:rFonts w:ascii="Palatino Linotype" w:hAnsi="Palatino Linotype"/>
          <w:i/>
          <w:color w:val="000000" w:themeColor="text1"/>
          <w:sz w:val="22"/>
        </w:rPr>
        <w:t>)</w:t>
      </w:r>
      <w:r w:rsidR="004107D7" w:rsidRPr="00570A4E">
        <w:rPr>
          <w:rFonts w:ascii="Palatino Linotype" w:hAnsi="Palatino Linotype"/>
          <w:i/>
          <w:color w:val="000000" w:themeColor="text1"/>
          <w:sz w:val="22"/>
        </w:rPr>
        <w:t>”</w:t>
      </w:r>
    </w:p>
    <w:p w14:paraId="17A656F3" w14:textId="77777777" w:rsidR="0021056F" w:rsidRPr="00570A4E"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570A4E" w:rsidRDefault="0021056F" w:rsidP="0021056F">
      <w:pPr>
        <w:rPr>
          <w:lang w:eastAsia="en-US"/>
        </w:rPr>
      </w:pPr>
    </w:p>
    <w:p w14:paraId="5CEC2F48" w14:textId="072A0162" w:rsidR="00EF014A" w:rsidRPr="00570A4E" w:rsidRDefault="00094B41" w:rsidP="00F96156">
      <w:pPr>
        <w:pStyle w:val="Ttulo2"/>
        <w:tabs>
          <w:tab w:val="left" w:pos="426"/>
        </w:tabs>
        <w:rPr>
          <w:rFonts w:ascii="Palatino Linotype" w:hAnsi="Palatino Linotype" w:cs="Arial"/>
          <w:b/>
          <w:color w:val="000000" w:themeColor="text1"/>
          <w:sz w:val="24"/>
        </w:rPr>
      </w:pPr>
      <w:bookmarkStart w:id="18" w:name="_Toc88071781"/>
      <w:r w:rsidRPr="00570A4E">
        <w:rPr>
          <w:rFonts w:ascii="Palatino Linotype" w:hAnsi="Palatino Linotype" w:cs="Arial"/>
          <w:b/>
          <w:color w:val="000000" w:themeColor="text1"/>
          <w:sz w:val="24"/>
        </w:rPr>
        <w:t>CUARTO</w:t>
      </w:r>
      <w:r w:rsidR="00EF014A" w:rsidRPr="00570A4E">
        <w:rPr>
          <w:rFonts w:ascii="Palatino Linotype" w:hAnsi="Palatino Linotype" w:cs="Arial"/>
          <w:b/>
          <w:color w:val="000000" w:themeColor="text1"/>
          <w:sz w:val="24"/>
        </w:rPr>
        <w:t>. Estudio y Resolución del asunto.</w:t>
      </w:r>
      <w:bookmarkEnd w:id="18"/>
    </w:p>
    <w:p w14:paraId="6E979250" w14:textId="2A34D6B5" w:rsidR="00A55D2B" w:rsidRPr="00570A4E"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13"/>
      <w:bookmarkEnd w:id="14"/>
      <w:bookmarkEnd w:id="15"/>
      <w:bookmarkEnd w:id="16"/>
      <w:bookmarkEnd w:id="17"/>
    </w:p>
    <w:p w14:paraId="58225AEF" w14:textId="72709795" w:rsidR="00167813" w:rsidRPr="00570A4E"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1" w:name="_Toc88071782"/>
      <w:r w:rsidRPr="00570A4E">
        <w:rPr>
          <w:rFonts w:ascii="Palatino Linotype" w:hAnsi="Palatino Linotype"/>
          <w:b/>
          <w:color w:val="000000" w:themeColor="text1"/>
        </w:rPr>
        <w:t xml:space="preserve">I. </w:t>
      </w:r>
      <w:r w:rsidR="008C33F9" w:rsidRPr="00570A4E">
        <w:rPr>
          <w:rFonts w:ascii="Palatino Linotype" w:hAnsi="Palatino Linotype"/>
          <w:b/>
          <w:color w:val="000000" w:themeColor="text1"/>
        </w:rPr>
        <w:t>Del deber de las autoridades de promover, respetar, proteger y garantizar el derecho de acceso a la información pública</w:t>
      </w:r>
      <w:r w:rsidR="00167813" w:rsidRPr="00570A4E">
        <w:rPr>
          <w:rFonts w:ascii="Palatino Linotype" w:hAnsi="Palatino Linotype"/>
          <w:b/>
          <w:color w:val="000000" w:themeColor="text1"/>
        </w:rPr>
        <w:t>.</w:t>
      </w:r>
      <w:bookmarkEnd w:id="21"/>
    </w:p>
    <w:p w14:paraId="126843DA" w14:textId="77777777" w:rsidR="008C33F9" w:rsidRPr="00570A4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570A4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lang w:val="es-ES"/>
        </w:rPr>
        <w:t xml:space="preserve">Es elemental </w:t>
      </w:r>
      <w:r w:rsidRPr="00570A4E">
        <w:rPr>
          <w:rFonts w:ascii="Palatino Linotype" w:hAnsi="Palatino Linotype"/>
          <w:lang w:val="es-ES_tradnl"/>
        </w:rPr>
        <w:t>precisar</w:t>
      </w:r>
      <w:r w:rsidRPr="00570A4E">
        <w:rPr>
          <w:rFonts w:ascii="Palatino Linotype" w:hAnsi="Palatino Linotype"/>
          <w:bCs/>
        </w:rPr>
        <w:t xml:space="preserve"> que </w:t>
      </w:r>
      <w:r w:rsidRPr="00570A4E">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70A4E">
        <w:rPr>
          <w:rFonts w:ascii="Palatino Linotype" w:hAnsi="Palatino Linotype"/>
          <w:b/>
          <w:bCs/>
          <w:lang w:val="es-ES_tradnl"/>
        </w:rPr>
        <w:t>SUJETO OBLIGADO</w:t>
      </w:r>
      <w:r w:rsidRPr="00570A4E">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70A4E">
        <w:rPr>
          <w:rFonts w:ascii="Palatino Linotype" w:hAnsi="Palatino Linotype"/>
          <w:b/>
          <w:bCs/>
          <w:lang w:val="es-ES_tradnl"/>
        </w:rPr>
        <w:t xml:space="preserve">Constitución Política de los Estados Unidos Mexicanos </w:t>
      </w:r>
      <w:r w:rsidRPr="00570A4E">
        <w:rPr>
          <w:rFonts w:ascii="Palatino Linotype" w:hAnsi="Palatino Linotype"/>
          <w:bCs/>
          <w:lang w:val="es-ES_tradnl"/>
        </w:rPr>
        <w:t>al señalar la obligación de “</w:t>
      </w:r>
      <w:r w:rsidRPr="00570A4E">
        <w:rPr>
          <w:rFonts w:ascii="Palatino Linotype" w:hAnsi="Palatino Linotype"/>
          <w:bCs/>
          <w:i/>
          <w:lang w:val="es-ES_tradnl"/>
        </w:rPr>
        <w:t xml:space="preserve">promover, </w:t>
      </w:r>
      <w:r w:rsidRPr="00570A4E">
        <w:rPr>
          <w:rFonts w:ascii="Palatino Linotype" w:hAnsi="Palatino Linotype"/>
          <w:b/>
          <w:bCs/>
          <w:i/>
          <w:lang w:val="es-ES_tradnl"/>
        </w:rPr>
        <w:t>respetar</w:t>
      </w:r>
      <w:r w:rsidRPr="00570A4E">
        <w:rPr>
          <w:rFonts w:ascii="Palatino Linotype" w:hAnsi="Palatino Linotype"/>
          <w:bCs/>
          <w:i/>
          <w:lang w:val="es-ES_tradnl"/>
        </w:rPr>
        <w:t xml:space="preserve">, proteger y </w:t>
      </w:r>
      <w:r w:rsidRPr="00570A4E">
        <w:rPr>
          <w:rFonts w:ascii="Palatino Linotype" w:hAnsi="Palatino Linotype"/>
          <w:b/>
          <w:bCs/>
          <w:i/>
          <w:lang w:val="es-ES_tradnl"/>
        </w:rPr>
        <w:t>garantizar</w:t>
      </w:r>
      <w:r w:rsidRPr="00570A4E">
        <w:rPr>
          <w:rFonts w:ascii="Palatino Linotype" w:hAnsi="Palatino Linotype"/>
          <w:bCs/>
          <w:i/>
          <w:lang w:val="es-ES_tradnl"/>
        </w:rPr>
        <w:t xml:space="preserve"> los derechos humanos</w:t>
      </w:r>
      <w:r w:rsidRPr="00570A4E">
        <w:rPr>
          <w:rFonts w:ascii="Palatino Linotype" w:hAnsi="Palatino Linotype"/>
          <w:bCs/>
          <w:lang w:val="es-ES_tradnl"/>
        </w:rPr>
        <w:t>”, entre los cuales se encuentra dicho derecho.</w:t>
      </w:r>
    </w:p>
    <w:p w14:paraId="1F31B48B" w14:textId="77777777" w:rsidR="008C33F9" w:rsidRPr="00570A4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570A4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lang w:val="es-ES"/>
        </w:rPr>
        <w:t xml:space="preserve">Por </w:t>
      </w:r>
      <w:r w:rsidRPr="00570A4E">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570A4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570A4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lang w:val="es-ES"/>
        </w:rPr>
        <w:lastRenderedPageBreak/>
        <w:t xml:space="preserve">Así las cosas, </w:t>
      </w:r>
      <w:r w:rsidRPr="00570A4E">
        <w:rPr>
          <w:rFonts w:ascii="Palatino Linotype" w:hAnsi="Palatino Linotype"/>
          <w:color w:val="000000" w:themeColor="text1"/>
        </w:rPr>
        <w:t xml:space="preserve">podemos definir el Derecho de Acceso a la Información Pública como: </w:t>
      </w:r>
      <w:r w:rsidRPr="00570A4E">
        <w:rPr>
          <w:rFonts w:ascii="Palatino Linotype" w:hAnsi="Palatino Linotype"/>
          <w:i/>
          <w:color w:val="000000" w:themeColor="text1"/>
        </w:rPr>
        <w:t>La igualdad de oportunidades para recibir, buscar e impartir información</w:t>
      </w:r>
      <w:r w:rsidRPr="00570A4E">
        <w:rPr>
          <w:rFonts w:ascii="Palatino Linotype" w:hAnsi="Palatino Linotype"/>
          <w:i/>
          <w:color w:val="000000" w:themeColor="text1"/>
          <w:vertAlign w:val="superscript"/>
        </w:rPr>
        <w:footnoteReference w:id="4"/>
      </w:r>
      <w:r w:rsidRPr="00570A4E">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70A4E">
        <w:rPr>
          <w:rFonts w:ascii="Palatino Linotype" w:hAnsi="Palatino Linotype"/>
          <w:i/>
          <w:color w:val="000000" w:themeColor="text1"/>
          <w:vertAlign w:val="superscript"/>
        </w:rPr>
        <w:footnoteReference w:id="5"/>
      </w:r>
      <w:r w:rsidRPr="00570A4E">
        <w:rPr>
          <w:rFonts w:ascii="Palatino Linotype" w:hAnsi="Palatino Linotype"/>
          <w:color w:val="000000" w:themeColor="text1"/>
        </w:rPr>
        <w:t>que se constituye como una herramienta fundamental para ejercer</w:t>
      </w:r>
      <w:r w:rsidRPr="00570A4E">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570A4E">
        <w:rPr>
          <w:rFonts w:ascii="Palatino Linotype" w:hAnsi="Palatino Linotype"/>
          <w:i/>
          <w:color w:val="000000" w:themeColor="text1"/>
          <w:vertAlign w:val="superscript"/>
        </w:rPr>
        <w:footnoteReference w:id="6"/>
      </w:r>
      <w:r w:rsidRPr="00570A4E">
        <w:rPr>
          <w:rFonts w:ascii="Palatino Linotype" w:hAnsi="Palatino Linotype"/>
          <w:i/>
          <w:color w:val="000000" w:themeColor="text1"/>
        </w:rPr>
        <w:t xml:space="preserve"> </w:t>
      </w:r>
      <w:r w:rsidRPr="00570A4E">
        <w:rPr>
          <w:rFonts w:ascii="Palatino Linotype" w:hAnsi="Palatino Linotype"/>
          <w:color w:val="000000" w:themeColor="text1"/>
        </w:rPr>
        <w:t>fomentando</w:t>
      </w:r>
      <w:r w:rsidRPr="00570A4E">
        <w:rPr>
          <w:rFonts w:ascii="Palatino Linotype" w:hAnsi="Palatino Linotype"/>
          <w:i/>
          <w:color w:val="000000" w:themeColor="text1"/>
        </w:rPr>
        <w:t xml:space="preserve"> la transparencia de las actividades estatales y </w:t>
      </w:r>
      <w:r w:rsidRPr="00570A4E">
        <w:rPr>
          <w:rFonts w:ascii="Palatino Linotype" w:hAnsi="Palatino Linotype"/>
          <w:color w:val="000000" w:themeColor="text1"/>
        </w:rPr>
        <w:t>promoviendo</w:t>
      </w:r>
      <w:r w:rsidRPr="00570A4E">
        <w:rPr>
          <w:rFonts w:ascii="Palatino Linotype" w:hAnsi="Palatino Linotype"/>
          <w:i/>
          <w:color w:val="000000" w:themeColor="text1"/>
        </w:rPr>
        <w:t xml:space="preserve"> la responsabilidad de los funcionarios sobre su gestión pública,</w:t>
      </w:r>
      <w:r w:rsidRPr="00570A4E">
        <w:rPr>
          <w:rFonts w:ascii="Palatino Linotype" w:hAnsi="Palatino Linotype"/>
          <w:i/>
          <w:color w:val="000000" w:themeColor="text1"/>
          <w:vertAlign w:val="superscript"/>
        </w:rPr>
        <w:footnoteReference w:id="7"/>
      </w:r>
      <w:r w:rsidRPr="00570A4E">
        <w:rPr>
          <w:rFonts w:ascii="Palatino Linotype" w:hAnsi="Palatino Linotype"/>
          <w:color w:val="000000" w:themeColor="text1"/>
        </w:rPr>
        <w:t>que permite</w:t>
      </w:r>
      <w:r w:rsidRPr="00570A4E">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570A4E"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570A4E"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lang w:val="es-ES"/>
        </w:rPr>
        <w:t xml:space="preserve">Por </w:t>
      </w:r>
      <w:r w:rsidRPr="00570A4E">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570A4E">
        <w:rPr>
          <w:rFonts w:ascii="Palatino Linotype" w:hAnsi="Palatino Linotype"/>
          <w:color w:val="000000" w:themeColor="text1"/>
        </w:rPr>
        <w:t>,</w:t>
      </w:r>
      <w:r w:rsidRPr="00570A4E">
        <w:rPr>
          <w:rFonts w:ascii="Palatino Linotype" w:hAnsi="Palatino Linotype"/>
          <w:color w:val="000000" w:themeColor="text1"/>
        </w:rPr>
        <w:t xml:space="preserve"> establece que </w:t>
      </w:r>
      <w:r w:rsidRPr="00570A4E">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70A4E">
        <w:rPr>
          <w:rFonts w:ascii="Palatino Linotype" w:hAnsi="Palatino Linotype"/>
          <w:color w:val="000000" w:themeColor="text1"/>
        </w:rPr>
        <w:t xml:space="preserve">, siendo éste el medio a través del cual, este Órgano Garante después de realizar el análisis al procedimiento de acceso a la información, podrá </w:t>
      </w:r>
      <w:r w:rsidRPr="00570A4E">
        <w:rPr>
          <w:rFonts w:ascii="Palatino Linotype" w:hAnsi="Palatino Linotype"/>
          <w:color w:val="000000" w:themeColor="text1"/>
        </w:rPr>
        <w:lastRenderedPageBreak/>
        <w:t>determinar la posible afectación y, de ser el caso, ordenar la reparación a la violación del derecho en cuestión.</w:t>
      </w:r>
    </w:p>
    <w:p w14:paraId="16AA671E" w14:textId="77777777" w:rsidR="001C7733" w:rsidRPr="00570A4E"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846AABE" w:rsidR="009E260E" w:rsidRPr="00570A4E"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8071784"/>
      <w:r w:rsidRPr="00570A4E">
        <w:rPr>
          <w:rFonts w:ascii="Palatino Linotype" w:hAnsi="Palatino Linotype"/>
          <w:b/>
          <w:color w:val="000000" w:themeColor="text1"/>
        </w:rPr>
        <w:t>I</w:t>
      </w:r>
      <w:r w:rsidR="009E260E" w:rsidRPr="00570A4E">
        <w:rPr>
          <w:rFonts w:ascii="Palatino Linotype" w:hAnsi="Palatino Linotype"/>
          <w:b/>
          <w:color w:val="000000" w:themeColor="text1"/>
        </w:rPr>
        <w:t>I. De la atención a la solicitud de información.</w:t>
      </w:r>
      <w:bookmarkEnd w:id="22"/>
    </w:p>
    <w:p w14:paraId="5E98A031" w14:textId="77777777" w:rsidR="0031153E" w:rsidRPr="00570A4E"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24795731" w14:textId="76151D2E" w:rsidR="00CE5758" w:rsidRPr="00570A4E"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232F191" w14:textId="77777777" w:rsidR="000435A5" w:rsidRPr="00570A4E"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2B0DDBE4" w14:textId="411A4A18" w:rsidR="000435A5" w:rsidRPr="00570A4E"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Para atender las solicitudes de información, los Sujetos Obligados contarán con un área denominada </w:t>
      </w:r>
      <w:r w:rsidRPr="00570A4E">
        <w:rPr>
          <w:rFonts w:ascii="Palatino Linotype" w:hAnsi="Palatino Linotype"/>
          <w:b/>
          <w:bCs/>
          <w:color w:val="000000" w:themeColor="text1"/>
        </w:rPr>
        <w:t>Unidad de Transparencia</w:t>
      </w:r>
      <w:r w:rsidRPr="00570A4E">
        <w:rPr>
          <w:rFonts w:ascii="Palatino Linotype" w:hAnsi="Palatino Linotype"/>
          <w:color w:val="000000" w:themeColor="text1"/>
          <w:vertAlign w:val="superscript"/>
        </w:rPr>
        <w:footnoteReference w:id="8"/>
      </w:r>
      <w:r w:rsidRPr="00570A4E">
        <w:rPr>
          <w:rFonts w:ascii="Palatino Linotype" w:hAnsi="Palatino Linotype"/>
          <w:color w:val="000000" w:themeColor="text1"/>
        </w:rPr>
        <w:t xml:space="preserve">, la cual será presidida por un Titular, quien fungirá como enlace entre éstos y los solicitantes. Dicha Unidad </w:t>
      </w:r>
      <w:r w:rsidRPr="00570A4E">
        <w:rPr>
          <w:rFonts w:ascii="Palatino Linotype" w:hAnsi="Palatino Linotype"/>
          <w:b/>
          <w:bCs/>
          <w:color w:val="000000" w:themeColor="text1"/>
        </w:rPr>
        <w:t>será la encargada de tramitar internamente la solicitud de información</w:t>
      </w:r>
      <w:r w:rsidRPr="00570A4E">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570A4E">
        <w:rPr>
          <w:rFonts w:ascii="Palatino Linotype" w:hAnsi="Palatino Linotype"/>
          <w:b/>
          <w:bCs/>
          <w:color w:val="000000" w:themeColor="text1"/>
        </w:rPr>
        <w:t xml:space="preserve">gestionar la atención a las solicitudes de información </w:t>
      </w:r>
      <w:r w:rsidRPr="00570A4E">
        <w:rPr>
          <w:rFonts w:ascii="Palatino Linotype" w:hAnsi="Palatino Linotype"/>
          <w:color w:val="000000" w:themeColor="text1"/>
        </w:rPr>
        <w:t>en los términos de la Ley General y la Ley de Transparencia y Acceso a la Información Pública del Estado de México y Municipios</w:t>
      </w:r>
      <w:r w:rsidRPr="00570A4E">
        <w:rPr>
          <w:rFonts w:ascii="Palatino Linotype" w:hAnsi="Palatino Linotype"/>
          <w:color w:val="000000" w:themeColor="text1"/>
          <w:vertAlign w:val="superscript"/>
        </w:rPr>
        <w:footnoteReference w:id="9"/>
      </w:r>
      <w:r w:rsidRPr="00570A4E">
        <w:rPr>
          <w:rFonts w:ascii="Palatino Linotype" w:hAnsi="Palatino Linotype"/>
          <w:color w:val="000000" w:themeColor="text1"/>
        </w:rPr>
        <w:t>.</w:t>
      </w:r>
    </w:p>
    <w:p w14:paraId="5D0D7CB4" w14:textId="77777777" w:rsidR="000435A5" w:rsidRPr="00570A4E"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354D39B5" w14:textId="5D96CB4C" w:rsidR="000435A5" w:rsidRPr="00570A4E"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rPr>
        <w:t xml:space="preserve">De </w:t>
      </w:r>
      <w:r w:rsidRPr="00570A4E">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BE64686" w14:textId="77777777" w:rsidR="000435A5" w:rsidRPr="00570A4E" w:rsidRDefault="000435A5" w:rsidP="008D0826">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570A4E">
        <w:rPr>
          <w:rFonts w:ascii="Palatino Linotype" w:eastAsia="MS Mincho" w:hAnsi="Palatino Linotype" w:cs="Times New Roman"/>
          <w:color w:val="000000"/>
        </w:rPr>
        <w:t>Recibir, tramitar y dar respuesta a las solicitudes de acceso a la información;</w:t>
      </w:r>
    </w:p>
    <w:p w14:paraId="6C2C3A0D" w14:textId="77777777" w:rsidR="000435A5" w:rsidRPr="00570A4E" w:rsidRDefault="000435A5" w:rsidP="008D0826">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570A4E">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BBE77A" w14:textId="77777777" w:rsidR="000435A5" w:rsidRPr="00570A4E" w:rsidRDefault="000435A5" w:rsidP="008D0826">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570A4E">
        <w:rPr>
          <w:rFonts w:ascii="Palatino Linotype" w:eastAsia="MS Mincho" w:hAnsi="Palatino Linotype" w:cs="Times New Roman"/>
          <w:color w:val="000000"/>
        </w:rPr>
        <w:t xml:space="preserve">Entregar, en su caso, a los particulares la información solicitada; y </w:t>
      </w:r>
    </w:p>
    <w:p w14:paraId="7D02006B" w14:textId="7EAC1CBE" w:rsidR="000435A5" w:rsidRPr="00570A4E" w:rsidRDefault="000435A5" w:rsidP="008D0826">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Efectuar las notificaciones a los solicitantes.</w:t>
      </w:r>
    </w:p>
    <w:p w14:paraId="6A3849A5" w14:textId="77777777" w:rsidR="000435A5" w:rsidRPr="00570A4E"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759EB1E" w14:textId="3BCE1670" w:rsidR="000435A5" w:rsidRPr="00570A4E"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570A4E">
        <w:rPr>
          <w:rFonts w:ascii="Palatino Linotype" w:hAnsi="Palatino Linotype"/>
          <w:vertAlign w:val="superscript"/>
        </w:rPr>
        <w:footnoteReference w:id="10"/>
      </w:r>
      <w:r w:rsidRPr="00570A4E">
        <w:rPr>
          <w:rFonts w:ascii="Palatino Linotype" w:hAnsi="Palatino Linotype"/>
        </w:rPr>
        <w:t xml:space="preserve"> y tendrán, entre sus atribuciones, las siguientes</w:t>
      </w:r>
      <w:r w:rsidRPr="00570A4E">
        <w:rPr>
          <w:rFonts w:ascii="Palatino Linotype" w:hAnsi="Palatino Linotype"/>
          <w:vertAlign w:val="superscript"/>
        </w:rPr>
        <w:footnoteReference w:id="11"/>
      </w:r>
      <w:r w:rsidRPr="00570A4E">
        <w:rPr>
          <w:rFonts w:ascii="Palatino Linotype" w:hAnsi="Palatino Linotype"/>
        </w:rPr>
        <w:t>:</w:t>
      </w:r>
    </w:p>
    <w:p w14:paraId="25765840" w14:textId="77777777" w:rsidR="000435A5" w:rsidRPr="00570A4E" w:rsidRDefault="000435A5" w:rsidP="008D0826">
      <w:pPr>
        <w:pStyle w:val="Prrafodelista"/>
        <w:numPr>
          <w:ilvl w:val="1"/>
          <w:numId w:val="5"/>
        </w:numPr>
        <w:tabs>
          <w:tab w:val="left" w:pos="426"/>
        </w:tabs>
        <w:spacing w:before="240" w:after="240" w:line="360" w:lineRule="auto"/>
        <w:ind w:left="1134" w:right="51"/>
        <w:jc w:val="both"/>
        <w:rPr>
          <w:rFonts w:ascii="Palatino Linotype" w:hAnsi="Palatino Linotype"/>
        </w:rPr>
      </w:pPr>
      <w:r w:rsidRPr="00570A4E">
        <w:rPr>
          <w:rFonts w:ascii="Palatino Linotype" w:hAnsi="Palatino Linotype"/>
        </w:rPr>
        <w:t>Localizar la información que le solicite la Unidad de Transparencia; y</w:t>
      </w:r>
    </w:p>
    <w:p w14:paraId="6C3FAB50" w14:textId="48244E1D" w:rsidR="000435A5" w:rsidRPr="00570A4E" w:rsidRDefault="000435A5" w:rsidP="008D0826">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hAnsi="Palatino Linotype"/>
        </w:rPr>
        <w:t>Proporcionar la información que obre en los archivos y que le sea solicitada por la Unidad de Transparencia.</w:t>
      </w:r>
    </w:p>
    <w:p w14:paraId="7C2BA39A" w14:textId="77777777" w:rsidR="000435A5" w:rsidRPr="00570A4E"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B183824" w14:textId="38DDE985" w:rsidR="000435A5" w:rsidRPr="00570A4E"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rPr>
        <w:t xml:space="preserve">De tal </w:t>
      </w:r>
      <w:r w:rsidRPr="00570A4E">
        <w:rPr>
          <w:rFonts w:ascii="Palatino Linotype" w:eastAsia="MS Mincho" w:hAnsi="Palatino Linotype" w:cs="Times New Roman"/>
          <w:color w:val="000000"/>
        </w:rPr>
        <w:t xml:space="preserve">manera que cada una de las áreas administrativas del </w:t>
      </w:r>
      <w:r w:rsidRPr="00570A4E">
        <w:rPr>
          <w:rFonts w:ascii="Palatino Linotype" w:eastAsia="MS Mincho" w:hAnsi="Palatino Linotype" w:cs="Times New Roman"/>
          <w:b/>
          <w:bCs/>
          <w:color w:val="000000"/>
        </w:rPr>
        <w:t>SUJETO OBLIGADO</w:t>
      </w:r>
      <w:r w:rsidRPr="00570A4E">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w:t>
      </w:r>
      <w:r w:rsidRPr="00570A4E">
        <w:rPr>
          <w:rFonts w:ascii="Palatino Linotype" w:eastAsia="MS Mincho" w:hAnsi="Palatino Linotype" w:cs="Times New Roman"/>
          <w:color w:val="000000"/>
        </w:rPr>
        <w:lastRenderedPageBreak/>
        <w:t>de buscar, localizar y proporcionar la información que se requiera a través de las solicitudes de acceso a la información.</w:t>
      </w:r>
    </w:p>
    <w:p w14:paraId="3F54060F" w14:textId="77777777" w:rsidR="00CE5758" w:rsidRPr="00570A4E" w:rsidRDefault="00CE5758"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24526F9C" w:rsidR="009E260E" w:rsidRPr="00570A4E"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rPr>
        <w:t>U</w:t>
      </w:r>
      <w:r w:rsidR="00215A63" w:rsidRPr="00570A4E">
        <w:rPr>
          <w:rFonts w:ascii="Palatino Linotype" w:hAnsi="Palatino Linotype"/>
        </w:rPr>
        <w:t xml:space="preserve">na expuesto lo anterior, </w:t>
      </w:r>
      <w:r w:rsidR="009E260E" w:rsidRPr="00570A4E">
        <w:rPr>
          <w:rFonts w:ascii="Palatino Linotype" w:hAnsi="Palatino Linotype"/>
        </w:rPr>
        <w:t xml:space="preserve">de la lectura a la solicitud de información </w:t>
      </w:r>
      <w:r w:rsidR="00AB18AF" w:rsidRPr="00570A4E">
        <w:rPr>
          <w:rFonts w:ascii="Palatino Linotype" w:hAnsi="Palatino Linotype"/>
          <w:b/>
        </w:rPr>
        <w:t>13403/HUIXQUIL/IP/2022</w:t>
      </w:r>
      <w:r w:rsidR="002D57AA" w:rsidRPr="00570A4E">
        <w:rPr>
          <w:rFonts w:ascii="Palatino Linotype" w:hAnsi="Palatino Linotype"/>
        </w:rPr>
        <w:t>,</w:t>
      </w:r>
      <w:r w:rsidR="009E260E" w:rsidRPr="00570A4E">
        <w:rPr>
          <w:rFonts w:ascii="Palatino Linotype" w:hAnsi="Palatino Linotype"/>
        </w:rPr>
        <w:t xml:space="preserve">  </w:t>
      </w:r>
      <w:r w:rsidR="006D57BE" w:rsidRPr="00570A4E">
        <w:rPr>
          <w:rFonts w:ascii="Palatino Linotype" w:hAnsi="Palatino Linotype"/>
        </w:rPr>
        <w:t xml:space="preserve">y </w:t>
      </w:r>
      <w:r w:rsidR="009E260E" w:rsidRPr="00570A4E">
        <w:rPr>
          <w:rFonts w:ascii="Palatino Linotype" w:hAnsi="Palatino Linotype"/>
        </w:rPr>
        <w:t xml:space="preserve">como fuera señalado en el </w:t>
      </w:r>
      <w:r w:rsidR="009E260E" w:rsidRPr="00570A4E">
        <w:rPr>
          <w:rFonts w:ascii="Palatino Linotype" w:hAnsi="Palatino Linotype"/>
          <w:i/>
          <w:iCs/>
        </w:rPr>
        <w:t>Planteamiento de la Litis</w:t>
      </w:r>
      <w:r w:rsidR="009E260E" w:rsidRPr="00570A4E">
        <w:rPr>
          <w:rFonts w:ascii="Palatino Linotype" w:hAnsi="Palatino Linotype"/>
        </w:rPr>
        <w:t xml:space="preserve"> de esta resolución, se advierte que el entonces </w:t>
      </w:r>
      <w:r w:rsidR="009E260E" w:rsidRPr="00570A4E">
        <w:rPr>
          <w:rFonts w:ascii="Palatino Linotype" w:hAnsi="Palatino Linotype"/>
          <w:b/>
        </w:rPr>
        <w:t>SOLICITANTE</w:t>
      </w:r>
      <w:r w:rsidR="009E260E" w:rsidRPr="00570A4E">
        <w:rPr>
          <w:rFonts w:ascii="Palatino Linotype" w:hAnsi="Palatino Linotype"/>
        </w:rPr>
        <w:t xml:space="preserve"> requirió acceder a la siguiente información:</w:t>
      </w:r>
    </w:p>
    <w:p w14:paraId="0919DF13" w14:textId="3B747712" w:rsidR="0088427A" w:rsidRPr="00570A4E" w:rsidRDefault="003A7AAD" w:rsidP="008D0826">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hAnsi="Palatino Linotype" w:cs="Arial"/>
          <w:color w:val="000000" w:themeColor="text1"/>
        </w:rPr>
        <w:t>Soporte documental de todos los cambios de uso del suelo realizados en la Colonia Lomas La Herradura, del uno (01) de enero de dos mil diecinueve al treinta y uno (31) de diciembre de dos mil veintiuno</w:t>
      </w:r>
      <w:r w:rsidR="00284CC1" w:rsidRPr="00570A4E">
        <w:rPr>
          <w:rFonts w:ascii="Palatino Linotype" w:hAnsi="Palatino Linotype" w:cs="Arial"/>
          <w:color w:val="000000" w:themeColor="text1"/>
        </w:rPr>
        <w:t>.</w:t>
      </w:r>
    </w:p>
    <w:p w14:paraId="7BE75996" w14:textId="77777777" w:rsidR="00E33688" w:rsidRPr="00570A4E"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5F100A0C" w14:textId="658C5BAA" w:rsidR="00B6015A" w:rsidRPr="00570A4E" w:rsidRDefault="00734FF5" w:rsidP="004973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rPr>
        <w:t>Derivado de lo anterior, y en</w:t>
      </w:r>
      <w:r w:rsidR="00984D47" w:rsidRPr="00570A4E">
        <w:rPr>
          <w:rFonts w:ascii="Palatino Linotype" w:hAnsi="Palatino Linotype"/>
        </w:rPr>
        <w:t xml:space="preserve"> respuesta a la solicitud de información </w:t>
      </w:r>
      <w:r w:rsidR="00AB18AF" w:rsidRPr="00570A4E">
        <w:rPr>
          <w:rFonts w:ascii="Palatino Linotype" w:hAnsi="Palatino Linotype"/>
          <w:b/>
          <w:bCs/>
        </w:rPr>
        <w:t>13403/HUIXQUIL/IP/2022</w:t>
      </w:r>
      <w:r w:rsidR="00984D47" w:rsidRPr="00570A4E">
        <w:rPr>
          <w:rFonts w:ascii="Palatino Linotype" w:hAnsi="Palatino Linotype"/>
        </w:rPr>
        <w:t xml:space="preserve">, </w:t>
      </w:r>
      <w:r w:rsidR="005917A6" w:rsidRPr="00570A4E">
        <w:rPr>
          <w:rFonts w:ascii="Palatino Linotype" w:hAnsi="Palatino Linotype"/>
        </w:rPr>
        <w:t xml:space="preserve">el </w:t>
      </w:r>
      <w:r w:rsidR="005917A6" w:rsidRPr="00570A4E">
        <w:rPr>
          <w:rFonts w:ascii="Palatino Linotype" w:hAnsi="Palatino Linotype"/>
          <w:b/>
        </w:rPr>
        <w:t>SUJETO OBLIGADO</w:t>
      </w:r>
      <w:r w:rsidR="005917A6" w:rsidRPr="00570A4E">
        <w:rPr>
          <w:rFonts w:ascii="Palatino Linotype" w:hAnsi="Palatino Linotype"/>
        </w:rPr>
        <w:t xml:space="preserve"> entregó</w:t>
      </w:r>
      <w:r w:rsidR="00045F01" w:rsidRPr="00570A4E">
        <w:rPr>
          <w:rFonts w:ascii="Palatino Linotype" w:hAnsi="Palatino Linotype"/>
        </w:rPr>
        <w:t xml:space="preserve"> el archivo electrónico titulado </w:t>
      </w:r>
      <w:r w:rsidR="00045F01" w:rsidRPr="00570A4E">
        <w:rPr>
          <w:rFonts w:ascii="Palatino Linotype" w:hAnsi="Palatino Linotype"/>
          <w:b/>
          <w:bCs/>
          <w:i/>
          <w:iCs/>
        </w:rPr>
        <w:t>“</w:t>
      </w:r>
      <w:r w:rsidR="003A7AAD" w:rsidRPr="00570A4E">
        <w:rPr>
          <w:rFonts w:ascii="Palatino Linotype" w:hAnsi="Palatino Linotype"/>
          <w:b/>
          <w:bCs/>
          <w:i/>
          <w:iCs/>
        </w:rPr>
        <w:t>ACUERDO 25 EXT 2022</w:t>
      </w:r>
      <w:r w:rsidR="00045F01" w:rsidRPr="00570A4E">
        <w:rPr>
          <w:rFonts w:ascii="Palatino Linotype" w:hAnsi="Palatino Linotype"/>
          <w:b/>
          <w:bCs/>
          <w:i/>
          <w:iCs/>
        </w:rPr>
        <w:t>.pdf”</w:t>
      </w:r>
      <w:r w:rsidR="00045F01" w:rsidRPr="00570A4E">
        <w:rPr>
          <w:rFonts w:ascii="Palatino Linotype" w:hAnsi="Palatino Linotype"/>
        </w:rPr>
        <w:t xml:space="preserve">, </w:t>
      </w:r>
      <w:r w:rsidR="003A7AAD" w:rsidRPr="00570A4E">
        <w:rPr>
          <w:rFonts w:ascii="Palatino Linotype" w:hAnsi="Palatino Linotype"/>
        </w:rPr>
        <w:t xml:space="preserve">consistente en el acuerdo número COMIT/25/EXT/06/2022, de dieciséis (16) de junio de dos mil veintidós, emitido por el Comité de Transparencia, por medio del cual, se aprueba la clasificación, como confidencial, de la información requerida a través de las solicitudes </w:t>
      </w:r>
      <w:r w:rsidR="003A7AAD" w:rsidRPr="00570A4E">
        <w:rPr>
          <w:rFonts w:ascii="Palatino Linotype" w:hAnsi="Palatino Linotype"/>
          <w:b/>
        </w:rPr>
        <w:t>00260/HUIXQUIL/IP/2022</w:t>
      </w:r>
      <w:r w:rsidR="003A7AAD" w:rsidRPr="00570A4E">
        <w:rPr>
          <w:rFonts w:ascii="Palatino Linotype" w:hAnsi="Palatino Linotype"/>
        </w:rPr>
        <w:t xml:space="preserve">, </w:t>
      </w:r>
      <w:r w:rsidR="003A7AAD" w:rsidRPr="00570A4E">
        <w:rPr>
          <w:rFonts w:ascii="Palatino Linotype" w:hAnsi="Palatino Linotype"/>
          <w:b/>
        </w:rPr>
        <w:t>00354/HUIXQUIL/IP/2022,</w:t>
      </w:r>
      <w:r w:rsidR="003A7AAD" w:rsidRPr="00570A4E">
        <w:rPr>
          <w:rFonts w:ascii="Palatino Linotype" w:hAnsi="Palatino Linotype"/>
        </w:rPr>
        <w:t xml:space="preserve"> </w:t>
      </w:r>
      <w:r w:rsidR="003A7AAD" w:rsidRPr="00570A4E">
        <w:rPr>
          <w:rFonts w:ascii="Palatino Linotype" w:hAnsi="Palatino Linotype"/>
          <w:b/>
        </w:rPr>
        <w:t>00355/HUIXQUIL/IP/2022</w:t>
      </w:r>
      <w:r w:rsidR="003A7AAD" w:rsidRPr="00570A4E">
        <w:rPr>
          <w:rFonts w:ascii="Palatino Linotype" w:hAnsi="Palatino Linotype"/>
        </w:rPr>
        <w:t xml:space="preserve">, </w:t>
      </w:r>
      <w:r w:rsidR="003A7AAD" w:rsidRPr="00570A4E">
        <w:rPr>
          <w:rFonts w:ascii="Palatino Linotype" w:hAnsi="Palatino Linotype"/>
          <w:b/>
        </w:rPr>
        <w:t>00359/HUIXQUIL/IP/2022</w:t>
      </w:r>
      <w:r w:rsidR="003A7AAD" w:rsidRPr="00570A4E">
        <w:rPr>
          <w:rFonts w:ascii="Palatino Linotype" w:hAnsi="Palatino Linotype"/>
        </w:rPr>
        <w:t xml:space="preserve">, </w:t>
      </w:r>
      <w:r w:rsidR="003A7AAD" w:rsidRPr="00570A4E">
        <w:rPr>
          <w:rFonts w:ascii="Palatino Linotype" w:hAnsi="Palatino Linotype"/>
          <w:b/>
        </w:rPr>
        <w:t>00360/HUIXQUIL/IP/2022</w:t>
      </w:r>
      <w:r w:rsidR="003A7AAD" w:rsidRPr="00570A4E">
        <w:rPr>
          <w:rFonts w:ascii="Palatino Linotype" w:hAnsi="Palatino Linotype"/>
        </w:rPr>
        <w:t xml:space="preserve"> y </w:t>
      </w:r>
      <w:r w:rsidR="003A7AAD" w:rsidRPr="00570A4E">
        <w:rPr>
          <w:rFonts w:ascii="Palatino Linotype" w:hAnsi="Palatino Linotype"/>
          <w:b/>
        </w:rPr>
        <w:t>00362/HUIXQUIL/IP/2022</w:t>
      </w:r>
      <w:r w:rsidR="003A7AAD" w:rsidRPr="00570A4E">
        <w:rPr>
          <w:rFonts w:ascii="Palatino Linotype" w:hAnsi="Palatino Linotype"/>
        </w:rPr>
        <w:t xml:space="preserve">, las cuales, </w:t>
      </w:r>
      <w:r w:rsidR="003A7AAD" w:rsidRPr="00570A4E">
        <w:rPr>
          <w:rFonts w:ascii="Palatino Linotype" w:hAnsi="Palatino Linotype"/>
          <w:b/>
        </w:rPr>
        <w:t>no tienen ningún tipo de relación con la solicitud 00434/HUIXQUIL/IP/2022</w:t>
      </w:r>
      <w:r w:rsidR="003A7AAD" w:rsidRPr="00570A4E">
        <w:rPr>
          <w:rFonts w:ascii="Palatino Linotype" w:hAnsi="Palatino Linotype"/>
        </w:rPr>
        <w:t xml:space="preserve"> </w:t>
      </w:r>
      <w:r w:rsidR="003A7AAD" w:rsidRPr="00570A4E">
        <w:rPr>
          <w:rFonts w:ascii="Palatino Linotype" w:hAnsi="Palatino Linotype"/>
          <w:b/>
        </w:rPr>
        <w:t>materia de la presente resolución</w:t>
      </w:r>
      <w:r w:rsidR="003A7AAD" w:rsidRPr="00570A4E">
        <w:rPr>
          <w:rFonts w:ascii="Palatino Linotype" w:hAnsi="Palatino Linotype"/>
        </w:rPr>
        <w:t>.</w:t>
      </w:r>
    </w:p>
    <w:p w14:paraId="432DA9AF" w14:textId="77777777" w:rsidR="003A7AAD" w:rsidRPr="00570A4E" w:rsidRDefault="003A7AAD" w:rsidP="003A7AAD">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207D924F" w:rsidR="009747E8" w:rsidRPr="00570A4E" w:rsidRDefault="00975447"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Por su </w:t>
      </w:r>
      <w:r w:rsidRPr="00570A4E">
        <w:rPr>
          <w:rFonts w:ascii="Palatino Linotype" w:eastAsia="Times New Roman" w:hAnsi="Palatino Linotype" w:cs="Arial"/>
        </w:rPr>
        <w:t xml:space="preserve">parte, el </w:t>
      </w:r>
      <w:r w:rsidRPr="00570A4E">
        <w:rPr>
          <w:rFonts w:ascii="Palatino Linotype" w:eastAsia="Times New Roman" w:hAnsi="Palatino Linotype" w:cs="Arial"/>
          <w:b/>
          <w:bCs/>
        </w:rPr>
        <w:t>RECURRENTE</w:t>
      </w:r>
      <w:r w:rsidRPr="00570A4E">
        <w:rPr>
          <w:rFonts w:ascii="Palatino Linotype" w:eastAsia="Times New Roman" w:hAnsi="Palatino Linotype" w:cs="Arial"/>
        </w:rPr>
        <w:t xml:space="preserve"> presentó el recurso de revisión con número al rubro citado, en contra de la respuesta del </w:t>
      </w:r>
      <w:r w:rsidRPr="00570A4E">
        <w:rPr>
          <w:rFonts w:ascii="Palatino Linotype" w:eastAsia="Times New Roman" w:hAnsi="Palatino Linotype" w:cs="Arial"/>
          <w:b/>
          <w:bCs/>
        </w:rPr>
        <w:t>SUJETO OBLIGADO</w:t>
      </w:r>
      <w:r w:rsidRPr="00570A4E">
        <w:rPr>
          <w:rFonts w:ascii="Palatino Linotype" w:eastAsia="Times New Roman" w:hAnsi="Palatino Linotype" w:cs="Arial"/>
        </w:rPr>
        <w:t>, y en el que señaló por agravios lo siguiente:</w:t>
      </w:r>
    </w:p>
    <w:p w14:paraId="0C62A530" w14:textId="430F3534" w:rsidR="00975447" w:rsidRPr="00570A4E" w:rsidRDefault="0085214E" w:rsidP="008D0826">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Times New Roman" w:hAnsi="Palatino Linotype" w:cs="Arial"/>
        </w:rPr>
        <w:lastRenderedPageBreak/>
        <w:t xml:space="preserve">Que </w:t>
      </w:r>
      <w:r w:rsidR="00163000" w:rsidRPr="00570A4E">
        <w:rPr>
          <w:rFonts w:ascii="Palatino Linotype" w:eastAsia="Times New Roman" w:hAnsi="Palatino Linotype" w:cs="Arial"/>
        </w:rPr>
        <w:t xml:space="preserve">el </w:t>
      </w:r>
      <w:r w:rsidR="00163000" w:rsidRPr="00570A4E">
        <w:rPr>
          <w:rFonts w:ascii="Palatino Linotype" w:eastAsia="Times New Roman" w:hAnsi="Palatino Linotype" w:cs="Arial"/>
          <w:b/>
          <w:bCs/>
        </w:rPr>
        <w:t>SUJETO OBLIGADO</w:t>
      </w:r>
      <w:r w:rsidR="00163000" w:rsidRPr="00570A4E">
        <w:rPr>
          <w:rFonts w:ascii="Palatino Linotype" w:eastAsia="Times New Roman" w:hAnsi="Palatino Linotype" w:cs="Arial"/>
        </w:rPr>
        <w:t xml:space="preserve"> no </w:t>
      </w:r>
      <w:r w:rsidR="000764E1" w:rsidRPr="00570A4E">
        <w:rPr>
          <w:rFonts w:ascii="Palatino Linotype" w:eastAsia="Times New Roman" w:hAnsi="Palatino Linotype" w:cs="Arial"/>
        </w:rPr>
        <w:t>le entregó la información solicitada.</w:t>
      </w:r>
    </w:p>
    <w:p w14:paraId="35553B91" w14:textId="77777777" w:rsidR="00392FF3" w:rsidRPr="00570A4E"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50917EDA" w14:textId="3AA3D8BD" w:rsidR="00A53182" w:rsidRPr="00570A4E" w:rsidRDefault="000764E1"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R</w:t>
      </w:r>
      <w:r w:rsidR="000A2A8C" w:rsidRPr="00570A4E">
        <w:rPr>
          <w:rFonts w:ascii="Palatino Linotype" w:hAnsi="Palatino Linotype"/>
          <w:color w:val="000000" w:themeColor="text1"/>
        </w:rPr>
        <w:t>azón de lo anterior</w:t>
      </w:r>
      <w:r w:rsidR="004A2A62" w:rsidRPr="00570A4E">
        <w:rPr>
          <w:rFonts w:ascii="Palatino Linotype" w:hAnsi="Palatino Linotype"/>
          <w:color w:val="000000" w:themeColor="text1"/>
        </w:rPr>
        <w:t>, se procede</w:t>
      </w:r>
      <w:r w:rsidR="00923604" w:rsidRPr="00570A4E">
        <w:rPr>
          <w:rFonts w:ascii="Palatino Linotype" w:hAnsi="Palatino Linotype"/>
          <w:color w:val="000000" w:themeColor="text1"/>
        </w:rPr>
        <w:t>rá</w:t>
      </w:r>
      <w:r w:rsidR="004A2A62" w:rsidRPr="00570A4E">
        <w:rPr>
          <w:rFonts w:ascii="Palatino Linotype" w:hAnsi="Palatino Linotype"/>
          <w:color w:val="000000" w:themeColor="text1"/>
        </w:rPr>
        <w:t xml:space="preserve"> a analizar el marco legal que engloba la información solicitada,</w:t>
      </w:r>
      <w:r w:rsidR="000A2A8C" w:rsidRPr="00570A4E">
        <w:rPr>
          <w:rFonts w:ascii="Palatino Linotype" w:hAnsi="Palatino Linotype"/>
          <w:color w:val="000000" w:themeColor="text1"/>
        </w:rPr>
        <w:t xml:space="preserve"> </w:t>
      </w:r>
      <w:r w:rsidR="004A2A62" w:rsidRPr="00570A4E">
        <w:rPr>
          <w:rFonts w:ascii="Palatino Linotype" w:hAnsi="Palatino Linotype"/>
          <w:color w:val="000000" w:themeColor="text1"/>
        </w:rPr>
        <w:t xml:space="preserve">a fin de </w:t>
      </w:r>
      <w:r w:rsidR="00B44748" w:rsidRPr="00570A4E">
        <w:rPr>
          <w:rFonts w:ascii="Palatino Linotype" w:hAnsi="Palatino Linotype"/>
          <w:color w:val="000000" w:themeColor="text1"/>
        </w:rPr>
        <w:t xml:space="preserve">establecer el grado de cumplimiento que otorgó el </w:t>
      </w:r>
      <w:r w:rsidR="00B44748" w:rsidRPr="00570A4E">
        <w:rPr>
          <w:rFonts w:ascii="Palatino Linotype" w:hAnsi="Palatino Linotype"/>
          <w:b/>
          <w:color w:val="000000" w:themeColor="text1"/>
        </w:rPr>
        <w:t>SUJETO OBLIGADO</w:t>
      </w:r>
      <w:r w:rsidR="00B44748" w:rsidRPr="00570A4E">
        <w:rPr>
          <w:rFonts w:ascii="Palatino Linotype" w:hAnsi="Palatino Linotype"/>
          <w:color w:val="000000" w:themeColor="text1"/>
        </w:rPr>
        <w:t xml:space="preserve"> para con la solicitud de información </w:t>
      </w:r>
      <w:r w:rsidR="00AB18AF" w:rsidRPr="00570A4E">
        <w:rPr>
          <w:rFonts w:ascii="Palatino Linotype" w:hAnsi="Palatino Linotype"/>
          <w:b/>
          <w:color w:val="000000" w:themeColor="text1"/>
        </w:rPr>
        <w:t>13403/HUIXQUIL/IP/2022</w:t>
      </w:r>
      <w:r w:rsidR="00B44748" w:rsidRPr="00570A4E">
        <w:rPr>
          <w:rFonts w:ascii="Palatino Linotype" w:hAnsi="Palatino Linotype"/>
          <w:color w:val="000000" w:themeColor="text1"/>
        </w:rPr>
        <w:t>.</w:t>
      </w:r>
    </w:p>
    <w:p w14:paraId="425ECEAA" w14:textId="60891794" w:rsidR="00A53182" w:rsidRPr="00570A4E"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65A62AF" w14:textId="123F367E" w:rsidR="00A53182" w:rsidRPr="00570A4E" w:rsidRDefault="00A53182"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70A4E">
        <w:rPr>
          <w:rFonts w:ascii="Palatino Linotype" w:hAnsi="Palatino Linotype"/>
          <w:b/>
          <w:bCs/>
          <w:color w:val="000000" w:themeColor="text1"/>
        </w:rPr>
        <w:t xml:space="preserve">III. </w:t>
      </w:r>
      <w:r w:rsidR="00AD1795" w:rsidRPr="00570A4E">
        <w:rPr>
          <w:rFonts w:ascii="Palatino Linotype" w:hAnsi="Palatino Linotype"/>
          <w:b/>
          <w:bCs/>
          <w:color w:val="000000" w:themeColor="text1"/>
        </w:rPr>
        <w:t>De la competencia del SUJETO OBLIGADO para poseer, generar y administrar la información solictada</w:t>
      </w:r>
      <w:r w:rsidRPr="00570A4E">
        <w:rPr>
          <w:rFonts w:ascii="Palatino Linotype" w:hAnsi="Palatino Linotype"/>
          <w:b/>
          <w:bCs/>
          <w:color w:val="000000" w:themeColor="text1"/>
        </w:rPr>
        <w:t>.</w:t>
      </w:r>
    </w:p>
    <w:p w14:paraId="1483D177" w14:textId="77777777" w:rsidR="00A53182" w:rsidRPr="00570A4E"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3CD6ABC" w14:textId="28B57546" w:rsidR="00A53182" w:rsidRPr="00570A4E" w:rsidRDefault="00A5318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El </w:t>
      </w:r>
      <w:r w:rsidRPr="00570A4E">
        <w:rPr>
          <w:rFonts w:ascii="Palatino Linotype" w:eastAsia="MS Mincho" w:hAnsi="Palatino Linotype" w:cs="Times New Roman"/>
          <w:color w:val="000000"/>
        </w:rPr>
        <w:t xml:space="preserve">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570A4E">
        <w:rPr>
          <w:rFonts w:ascii="Palatino Linotype" w:eastAsia="MS Mincho" w:hAnsi="Palatino Linotype" w:cs="Times New Roman"/>
          <w:b/>
          <w:color w:val="000000"/>
        </w:rPr>
        <w:t xml:space="preserve">la administración pública municipal, regulen las materias, procedimientos, funciones y servicios públicos de su competencia </w:t>
      </w:r>
      <w:r w:rsidRPr="00570A4E">
        <w:rPr>
          <w:rFonts w:ascii="Palatino Linotype" w:eastAsia="MS Mincho" w:hAnsi="Palatino Linotype" w:cs="Times New Roman"/>
          <w:color w:val="000000"/>
        </w:rPr>
        <w:t>y aseguren la participación ciudadana y vecinal.</w:t>
      </w:r>
    </w:p>
    <w:p w14:paraId="74A50423" w14:textId="77777777" w:rsidR="00756B9B" w:rsidRPr="00570A4E" w:rsidRDefault="00756B9B" w:rsidP="00756B9B">
      <w:pPr>
        <w:pStyle w:val="Prrafodelista"/>
        <w:tabs>
          <w:tab w:val="left" w:pos="426"/>
        </w:tabs>
        <w:spacing w:before="240" w:after="240" w:line="360" w:lineRule="auto"/>
        <w:ind w:left="0" w:right="51"/>
        <w:jc w:val="both"/>
        <w:rPr>
          <w:rFonts w:ascii="Palatino Linotype" w:hAnsi="Palatino Linotype"/>
          <w:color w:val="000000" w:themeColor="text1"/>
        </w:rPr>
      </w:pPr>
    </w:p>
    <w:p w14:paraId="0B616E33" w14:textId="53E69AF2" w:rsidR="00756B9B" w:rsidRPr="00570A4E" w:rsidRDefault="00756B9B" w:rsidP="00756B9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70A4E">
        <w:rPr>
          <w:rFonts w:ascii="Palatino Linotype" w:hAnsi="Palatino Linotype"/>
          <w:b/>
          <w:color w:val="000000" w:themeColor="text1"/>
        </w:rPr>
        <w:t>III.I Del cambio de uso de suelo.</w:t>
      </w:r>
    </w:p>
    <w:p w14:paraId="33CD5FB0" w14:textId="77777777" w:rsidR="00756B9B" w:rsidRPr="00570A4E" w:rsidRDefault="00756B9B" w:rsidP="00756B9B">
      <w:pPr>
        <w:pStyle w:val="Prrafodelista"/>
        <w:tabs>
          <w:tab w:val="left" w:pos="426"/>
        </w:tabs>
        <w:spacing w:before="240" w:after="240" w:line="360" w:lineRule="auto"/>
        <w:ind w:left="0" w:right="51"/>
        <w:jc w:val="both"/>
        <w:rPr>
          <w:rFonts w:ascii="Palatino Linotype" w:hAnsi="Palatino Linotype"/>
          <w:color w:val="000000" w:themeColor="text1"/>
        </w:rPr>
      </w:pPr>
    </w:p>
    <w:p w14:paraId="465BFC0E" w14:textId="7D49E893" w:rsidR="00756B9B" w:rsidRPr="00570A4E" w:rsidRDefault="00756B9B"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El Código Administrativo del Estado de México, en su Libro Quinto, </w:t>
      </w:r>
      <w:r w:rsidR="00026CB6" w:rsidRPr="00570A4E">
        <w:rPr>
          <w:rFonts w:ascii="Palatino Linotype" w:eastAsia="MS Mincho" w:hAnsi="Palatino Linotype" w:cs="Times New Roman"/>
          <w:color w:val="000000"/>
        </w:rPr>
        <w:t xml:space="preserve">se encarga de fijar las normas básicas e instrumentos para planear y regular el ordenamiento territorial de los asentamientos humanos y el desarrollo urbano en la Entidad, con </w:t>
      </w:r>
      <w:r w:rsidR="00026CB6" w:rsidRPr="00570A4E">
        <w:rPr>
          <w:rFonts w:ascii="Palatino Linotype" w:eastAsia="MS Mincho" w:hAnsi="Palatino Linotype" w:cs="Times New Roman"/>
          <w:color w:val="000000"/>
        </w:rPr>
        <w:lastRenderedPageBreak/>
        <w:t>pleno respeto a los derechos humanos; asimismo, asigna las atribuciones y responsabilidades del Estado y de los municipios en su aplicación.</w:t>
      </w:r>
    </w:p>
    <w:p w14:paraId="2BCECC76" w14:textId="77777777" w:rsidR="00756B9B" w:rsidRPr="00570A4E" w:rsidRDefault="00756B9B" w:rsidP="00756B9B">
      <w:pPr>
        <w:pStyle w:val="Prrafodelista"/>
        <w:tabs>
          <w:tab w:val="left" w:pos="426"/>
        </w:tabs>
        <w:spacing w:before="240" w:after="240" w:line="360" w:lineRule="auto"/>
        <w:ind w:left="0" w:right="51"/>
        <w:jc w:val="both"/>
        <w:rPr>
          <w:rFonts w:ascii="Palatino Linotype" w:hAnsi="Palatino Linotype"/>
          <w:color w:val="000000" w:themeColor="text1"/>
        </w:rPr>
      </w:pPr>
    </w:p>
    <w:p w14:paraId="50D30C15" w14:textId="41E14907" w:rsidR="00756B9B" w:rsidRPr="00570A4E" w:rsidRDefault="00026CB6"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El artículo 5.7 del Código Administrativo del Estado de México, establece que serán autoridades para la aplicación del Libro Quinto: el Gobernador del Estado, la Secretaría de Desarrollo Urbano y Obra, la Secretaría de Movilidad, y </w:t>
      </w:r>
      <w:r w:rsidRPr="00570A4E">
        <w:rPr>
          <w:rFonts w:ascii="Palatino Linotype" w:eastAsia="MS Mincho" w:hAnsi="Palatino Linotype" w:cs="Times New Roman"/>
          <w:b/>
          <w:color w:val="000000"/>
        </w:rPr>
        <w:t>los municipios</w:t>
      </w:r>
      <w:r w:rsidRPr="00570A4E">
        <w:rPr>
          <w:rFonts w:ascii="Palatino Linotype" w:eastAsia="MS Mincho" w:hAnsi="Palatino Linotype" w:cs="Times New Roman"/>
          <w:color w:val="000000"/>
        </w:rPr>
        <w:t>.</w:t>
      </w:r>
    </w:p>
    <w:p w14:paraId="3786A442" w14:textId="77777777" w:rsidR="00756B9B" w:rsidRPr="00570A4E" w:rsidRDefault="00756B9B" w:rsidP="00756B9B">
      <w:pPr>
        <w:pStyle w:val="Prrafodelista"/>
        <w:tabs>
          <w:tab w:val="left" w:pos="426"/>
        </w:tabs>
        <w:spacing w:before="240" w:after="240" w:line="360" w:lineRule="auto"/>
        <w:ind w:left="0" w:right="51"/>
        <w:jc w:val="both"/>
        <w:rPr>
          <w:rFonts w:ascii="Palatino Linotype" w:hAnsi="Palatino Linotype"/>
          <w:color w:val="000000" w:themeColor="text1"/>
        </w:rPr>
      </w:pPr>
    </w:p>
    <w:p w14:paraId="4B83571F" w14:textId="7C61DEAC" w:rsidR="00756B9B" w:rsidRPr="00570A4E" w:rsidRDefault="00026CB6"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De acuerdo con lo establecido por el numeral 5.10 del Código en estudio, los municipios tendrán entre sus atribuciones, las siguientes:</w:t>
      </w:r>
    </w:p>
    <w:p w14:paraId="43584634" w14:textId="77777777" w:rsidR="00756B9B" w:rsidRPr="00570A4E" w:rsidRDefault="00756B9B" w:rsidP="00756B9B">
      <w:pPr>
        <w:pStyle w:val="Prrafodelista"/>
        <w:tabs>
          <w:tab w:val="left" w:pos="426"/>
        </w:tabs>
        <w:spacing w:before="240" w:after="240" w:line="360" w:lineRule="auto"/>
        <w:ind w:left="0" w:right="51"/>
        <w:jc w:val="both"/>
        <w:rPr>
          <w:rFonts w:ascii="Palatino Linotype" w:hAnsi="Palatino Linotype"/>
          <w:color w:val="000000" w:themeColor="text1"/>
        </w:rPr>
      </w:pPr>
    </w:p>
    <w:p w14:paraId="51A862B8" w14:textId="17CECD38" w:rsidR="00026CB6" w:rsidRPr="00570A4E" w:rsidRDefault="00026CB6" w:rsidP="00026CB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t>“</w:t>
      </w:r>
      <w:r w:rsidRPr="00570A4E">
        <w:rPr>
          <w:rFonts w:ascii="Palatino Linotype" w:hAnsi="Palatino Linotype"/>
          <w:b/>
          <w:i/>
          <w:color w:val="000000" w:themeColor="text1"/>
          <w:sz w:val="22"/>
        </w:rPr>
        <w:t>Artículo 5.10.</w:t>
      </w:r>
      <w:r w:rsidRPr="00570A4E">
        <w:rPr>
          <w:rFonts w:ascii="Palatino Linotype" w:hAnsi="Palatino Linotype"/>
          <w:i/>
          <w:color w:val="000000" w:themeColor="text1"/>
          <w:sz w:val="22"/>
        </w:rPr>
        <w:t xml:space="preserve"> Los municipios tendrán las atribuciones siguientes:</w:t>
      </w:r>
    </w:p>
    <w:p w14:paraId="680E1665" w14:textId="2F7C0E99" w:rsidR="00026CB6" w:rsidRPr="00570A4E" w:rsidRDefault="00026CB6" w:rsidP="00026CB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t>(…)</w:t>
      </w:r>
    </w:p>
    <w:p w14:paraId="0535F875" w14:textId="77777777" w:rsidR="00026CB6" w:rsidRPr="00570A4E" w:rsidRDefault="00026CB6" w:rsidP="00026CB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VI.</w:t>
      </w:r>
      <w:r w:rsidRPr="00570A4E">
        <w:rPr>
          <w:rFonts w:ascii="Palatino Linotype" w:hAnsi="Palatino Linotype"/>
          <w:i/>
          <w:color w:val="000000" w:themeColor="text1"/>
          <w:sz w:val="22"/>
        </w:rPr>
        <w:t xml:space="preserve"> </w:t>
      </w:r>
      <w:r w:rsidRPr="00570A4E">
        <w:rPr>
          <w:rFonts w:ascii="Palatino Linotype" w:hAnsi="Palatino Linotype"/>
          <w:b/>
          <w:i/>
          <w:color w:val="000000" w:themeColor="text1"/>
          <w:sz w:val="22"/>
        </w:rPr>
        <w:t>Expedir</w:t>
      </w:r>
      <w:r w:rsidRPr="00570A4E">
        <w:rPr>
          <w:rFonts w:ascii="Palatino Linotype" w:hAnsi="Palatino Linotype"/>
          <w:i/>
          <w:color w:val="000000" w:themeColor="text1"/>
          <w:sz w:val="22"/>
        </w:rPr>
        <w:t xml:space="preserve"> cédulas informativas de zonificación, </w:t>
      </w:r>
      <w:r w:rsidRPr="00570A4E">
        <w:rPr>
          <w:rFonts w:ascii="Palatino Linotype" w:hAnsi="Palatino Linotype"/>
          <w:b/>
          <w:i/>
          <w:color w:val="000000" w:themeColor="text1"/>
          <w:sz w:val="22"/>
        </w:rPr>
        <w:t>licencias de uso de suelo</w:t>
      </w:r>
      <w:r w:rsidRPr="00570A4E">
        <w:rPr>
          <w:rFonts w:ascii="Palatino Linotype" w:hAnsi="Palatino Linotype"/>
          <w:i/>
          <w:color w:val="000000" w:themeColor="text1"/>
          <w:sz w:val="22"/>
        </w:rPr>
        <w:t xml:space="preserve"> y licencias de construcción; </w:t>
      </w:r>
    </w:p>
    <w:p w14:paraId="674E0E0A" w14:textId="77777777" w:rsidR="00026CB6" w:rsidRPr="00570A4E" w:rsidRDefault="00026CB6" w:rsidP="00026CB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VII.</w:t>
      </w:r>
      <w:r w:rsidRPr="00570A4E">
        <w:rPr>
          <w:rFonts w:ascii="Palatino Linotype" w:hAnsi="Palatino Linotype"/>
          <w:i/>
          <w:color w:val="000000" w:themeColor="text1"/>
          <w:sz w:val="22"/>
        </w:rPr>
        <w:t xml:space="preserve"> </w:t>
      </w:r>
      <w:r w:rsidRPr="00570A4E">
        <w:rPr>
          <w:rFonts w:ascii="Palatino Linotype" w:hAnsi="Palatino Linotype"/>
          <w:b/>
          <w:i/>
          <w:color w:val="000000" w:themeColor="text1"/>
          <w:sz w:val="22"/>
        </w:rPr>
        <w:t>Autorizar cambios de uso del suelo</w:t>
      </w:r>
      <w:r w:rsidRPr="00570A4E">
        <w:rPr>
          <w:rFonts w:ascii="Palatino Linotype" w:hAnsi="Palatino Linotype"/>
          <w:i/>
          <w:color w:val="000000" w:themeColor="text1"/>
          <w:sz w:val="22"/>
        </w:rPr>
        <w:t xml:space="preserve">, del coeficiente de ocupación, del coeficiente de utilización, densidad y altura de edificaciones; </w:t>
      </w:r>
    </w:p>
    <w:p w14:paraId="4548E164" w14:textId="3B83254E" w:rsidR="00026CB6" w:rsidRPr="00570A4E" w:rsidRDefault="00026CB6" w:rsidP="00026CB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VIII.</w:t>
      </w:r>
      <w:r w:rsidRPr="00570A4E">
        <w:rPr>
          <w:rFonts w:ascii="Palatino Linotype" w:hAnsi="Palatino Linotype"/>
          <w:i/>
          <w:color w:val="000000" w:themeColor="text1"/>
          <w:sz w:val="22"/>
        </w:rPr>
        <w:t xml:space="preserve"> Autorizar, </w:t>
      </w:r>
      <w:r w:rsidRPr="00570A4E">
        <w:rPr>
          <w:rFonts w:ascii="Palatino Linotype" w:hAnsi="Palatino Linotype"/>
          <w:b/>
          <w:i/>
          <w:color w:val="000000" w:themeColor="text1"/>
          <w:sz w:val="22"/>
        </w:rPr>
        <w:t>controlar</w:t>
      </w:r>
      <w:r w:rsidRPr="00570A4E">
        <w:rPr>
          <w:rFonts w:ascii="Palatino Linotype" w:hAnsi="Palatino Linotype"/>
          <w:i/>
          <w:color w:val="000000" w:themeColor="text1"/>
          <w:sz w:val="22"/>
        </w:rPr>
        <w:t xml:space="preserve"> y vigilar la </w:t>
      </w:r>
      <w:r w:rsidRPr="00570A4E">
        <w:rPr>
          <w:rFonts w:ascii="Palatino Linotype" w:hAnsi="Palatino Linotype"/>
          <w:b/>
          <w:i/>
          <w:color w:val="000000" w:themeColor="text1"/>
          <w:sz w:val="22"/>
        </w:rPr>
        <w:t>utilización y aprovechamiento del suelo</w:t>
      </w:r>
      <w:r w:rsidRPr="00570A4E">
        <w:rPr>
          <w:rFonts w:ascii="Palatino Linotype" w:hAnsi="Palatino Linotype"/>
          <w:i/>
          <w:color w:val="000000" w:themeColor="text1"/>
          <w:sz w:val="22"/>
        </w:rPr>
        <w:t xml:space="preserve"> con fines urbanos, en sus circunscripciones territoriales;</w:t>
      </w:r>
    </w:p>
    <w:p w14:paraId="313AFD20" w14:textId="40D51767" w:rsidR="00026CB6" w:rsidRPr="00570A4E" w:rsidRDefault="00026CB6" w:rsidP="00026CB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t>(…)”</w:t>
      </w:r>
    </w:p>
    <w:p w14:paraId="49EFA29C" w14:textId="7AE9BE29" w:rsidR="00026CB6" w:rsidRPr="00570A4E" w:rsidRDefault="00026CB6" w:rsidP="00026CB6">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70A4E">
        <w:rPr>
          <w:rFonts w:ascii="Palatino Linotype" w:hAnsi="Palatino Linotype"/>
          <w:color w:val="000000" w:themeColor="text1"/>
          <w:sz w:val="22"/>
        </w:rPr>
        <w:t>(Énfasis añadido)</w:t>
      </w:r>
    </w:p>
    <w:p w14:paraId="43E01EF6" w14:textId="77777777" w:rsidR="00026CB6" w:rsidRPr="00570A4E" w:rsidRDefault="00026CB6" w:rsidP="00756B9B">
      <w:pPr>
        <w:pStyle w:val="Prrafodelista"/>
        <w:tabs>
          <w:tab w:val="left" w:pos="426"/>
        </w:tabs>
        <w:spacing w:before="240" w:after="240" w:line="360" w:lineRule="auto"/>
        <w:ind w:left="0" w:right="51"/>
        <w:jc w:val="both"/>
        <w:rPr>
          <w:rFonts w:ascii="Palatino Linotype" w:hAnsi="Palatino Linotype"/>
          <w:color w:val="000000" w:themeColor="text1"/>
        </w:rPr>
      </w:pPr>
    </w:p>
    <w:p w14:paraId="0AEE7845" w14:textId="40FAA140" w:rsidR="00756B9B" w:rsidRPr="00570A4E" w:rsidRDefault="00026CB6"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No es ocioso mencionar que el uso y aprovechamiento con fines urbanos, o la edificación en cualquier predio ubicado en la entidad, requerirá </w:t>
      </w:r>
      <w:r w:rsidRPr="00570A4E">
        <w:rPr>
          <w:rFonts w:ascii="Palatino Linotype" w:eastAsia="MS Mincho" w:hAnsi="Palatino Linotype" w:cs="Times New Roman"/>
          <w:b/>
          <w:color w:val="000000"/>
        </w:rPr>
        <w:t>licencia de uso del suelo</w:t>
      </w:r>
      <w:r w:rsidRPr="00570A4E">
        <w:rPr>
          <w:rStyle w:val="Refdenotaalpie"/>
          <w:rFonts w:ascii="Palatino Linotype" w:eastAsia="MS Mincho" w:hAnsi="Palatino Linotype" w:cs="Times New Roman"/>
          <w:color w:val="000000"/>
        </w:rPr>
        <w:footnoteReference w:id="12"/>
      </w:r>
      <w:r w:rsidRPr="00570A4E">
        <w:rPr>
          <w:rFonts w:ascii="Palatino Linotype" w:eastAsia="MS Mincho" w:hAnsi="Palatino Linotype" w:cs="Times New Roman"/>
          <w:color w:val="000000"/>
        </w:rPr>
        <w:t>, misma que se sujetará a lo siguiente</w:t>
      </w:r>
      <w:r w:rsidRPr="00570A4E">
        <w:rPr>
          <w:rStyle w:val="Refdenotaalpie"/>
          <w:rFonts w:ascii="Palatino Linotype" w:eastAsia="MS Mincho" w:hAnsi="Palatino Linotype" w:cs="Times New Roman"/>
          <w:color w:val="000000"/>
        </w:rPr>
        <w:footnoteReference w:id="13"/>
      </w:r>
      <w:r w:rsidRPr="00570A4E">
        <w:rPr>
          <w:rFonts w:ascii="Palatino Linotype" w:eastAsia="MS Mincho" w:hAnsi="Palatino Linotype" w:cs="Times New Roman"/>
          <w:color w:val="000000"/>
        </w:rPr>
        <w:t>:</w:t>
      </w:r>
    </w:p>
    <w:p w14:paraId="0D404DC4" w14:textId="77777777" w:rsidR="00026CB6" w:rsidRPr="00570A4E" w:rsidRDefault="00026CB6" w:rsidP="008D0826">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lastRenderedPageBreak/>
        <w:t xml:space="preserve">Será tramitada por el interesado ante la autoridad competente, vía presencial en las oficinas correspondientes o de manera electrónica, a través del portal que se cree para tal efecto y deberá ser resuelta conforme al procedimiento establecido al efecto por la reglamentación de este Libro; </w:t>
      </w:r>
    </w:p>
    <w:p w14:paraId="56AA1F99" w14:textId="76F41B30" w:rsidR="00026CB6" w:rsidRPr="00570A4E" w:rsidRDefault="00026CB6" w:rsidP="008D0826">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Tendrá por objeto autorizar las normas para el uso y aprovechamiento del suelo establecidas en el plan municipal de desarrollo urbano aplicable;</w:t>
      </w:r>
    </w:p>
    <w:p w14:paraId="0F59EFA4" w14:textId="78DBCF77" w:rsidR="00026CB6" w:rsidRPr="00570A4E" w:rsidRDefault="00026CB6" w:rsidP="008D0826">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A la solicitud deberá acompañarse la Evaluación de Impacto Estatal, en los casos previstos en el Libro Quinto del Código Administrativo del Estado de México. </w:t>
      </w:r>
    </w:p>
    <w:p w14:paraId="520241BB" w14:textId="77777777" w:rsidR="00026CB6" w:rsidRPr="00570A4E" w:rsidRDefault="00026CB6" w:rsidP="008D0826">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Tendrá vigencia de un año y podrá ser prorrogada por una sola vez por un período igual; y </w:t>
      </w:r>
    </w:p>
    <w:p w14:paraId="0DC3E91E" w14:textId="3BA07462" w:rsidR="00026CB6" w:rsidRPr="00570A4E" w:rsidRDefault="00026CB6" w:rsidP="008D0826">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No constituirá autorización para construcción de obras o realización de actividades.</w:t>
      </w:r>
    </w:p>
    <w:p w14:paraId="2C8A04A5" w14:textId="77777777" w:rsidR="00756B9B" w:rsidRPr="00570A4E" w:rsidRDefault="00756B9B" w:rsidP="00756B9B">
      <w:pPr>
        <w:pStyle w:val="Prrafodelista"/>
        <w:tabs>
          <w:tab w:val="left" w:pos="426"/>
        </w:tabs>
        <w:spacing w:before="240" w:after="240" w:line="360" w:lineRule="auto"/>
        <w:ind w:left="0" w:right="51"/>
        <w:jc w:val="both"/>
        <w:rPr>
          <w:rFonts w:ascii="Palatino Linotype" w:hAnsi="Palatino Linotype"/>
          <w:color w:val="000000" w:themeColor="text1"/>
        </w:rPr>
      </w:pPr>
    </w:p>
    <w:p w14:paraId="10835A7E" w14:textId="661760FE" w:rsidR="00756B9B" w:rsidRPr="00570A4E" w:rsidRDefault="00026CB6"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Por su parte, </w:t>
      </w:r>
      <w:r w:rsidRPr="00570A4E">
        <w:rPr>
          <w:rFonts w:ascii="Palatino Linotype" w:hAnsi="Palatino Linotype"/>
          <w:b/>
          <w:color w:val="000000" w:themeColor="text1"/>
        </w:rPr>
        <w:t>el cambio de uso del suelo</w:t>
      </w:r>
      <w:r w:rsidRPr="00570A4E">
        <w:rPr>
          <w:rFonts w:ascii="Palatino Linotype" w:hAnsi="Palatino Linotype"/>
          <w:color w:val="000000" w:themeColor="text1"/>
        </w:rPr>
        <w:t>, de densidad, del coeficiente de ocupación, del coeficiente de utilización y de altura de edificaciones de un lote o predio, se autorizar</w:t>
      </w:r>
      <w:r w:rsidR="00174F53" w:rsidRPr="00570A4E">
        <w:rPr>
          <w:rFonts w:ascii="Palatino Linotype" w:hAnsi="Palatino Linotype"/>
          <w:color w:val="000000" w:themeColor="text1"/>
        </w:rPr>
        <w:t>á cuando concurran los supuestos siguientes</w:t>
      </w:r>
      <w:r w:rsidR="00174F53" w:rsidRPr="00570A4E">
        <w:rPr>
          <w:rStyle w:val="Refdenotaalpie"/>
          <w:rFonts w:ascii="Palatino Linotype" w:hAnsi="Palatino Linotype"/>
          <w:color w:val="000000" w:themeColor="text1"/>
        </w:rPr>
        <w:footnoteReference w:id="14"/>
      </w:r>
      <w:r w:rsidR="00174F53" w:rsidRPr="00570A4E">
        <w:rPr>
          <w:rFonts w:ascii="Palatino Linotype" w:hAnsi="Palatino Linotype"/>
          <w:color w:val="000000" w:themeColor="text1"/>
        </w:rPr>
        <w:t>:</w:t>
      </w:r>
    </w:p>
    <w:p w14:paraId="6D4B3D6A" w14:textId="77777777" w:rsidR="00174F53" w:rsidRPr="00570A4E" w:rsidRDefault="00174F53" w:rsidP="008D0826">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hAnsi="Palatino Linotype"/>
          <w:color w:val="000000" w:themeColor="text1"/>
        </w:rPr>
        <w:t xml:space="preserve">El predio o lote se ubique en un área urbana o urbanizable; </w:t>
      </w:r>
    </w:p>
    <w:p w14:paraId="30CD4296" w14:textId="77777777" w:rsidR="00174F53" w:rsidRPr="00570A4E" w:rsidRDefault="00174F53" w:rsidP="008D0826">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hAnsi="Palatino Linotype"/>
          <w:color w:val="000000" w:themeColor="text1"/>
        </w:rPr>
        <w:t xml:space="preserve">El uso o aprovechamiento solicitado sea compatible con los usos o aprovechamientos previstos en la zona y no altere las características de la estructura urbana y de su imagen; </w:t>
      </w:r>
    </w:p>
    <w:p w14:paraId="743D56C7" w14:textId="77777777" w:rsidR="00174F53" w:rsidRPr="00570A4E" w:rsidRDefault="00174F53" w:rsidP="008D0826">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hAnsi="Palatino Linotype"/>
          <w:color w:val="000000" w:themeColor="text1"/>
        </w:rPr>
        <w:lastRenderedPageBreak/>
        <w:t xml:space="preserve">Se recabe previamente la opinión favorable de la Comisión de Planeación para el Desarrollo Municipal. En caso de no estar instalada tal Comisión, la autoridad encargada del desarrollo urbano municipal y previo dictamen técnico que elabore, emitirá su opinión; y </w:t>
      </w:r>
    </w:p>
    <w:p w14:paraId="744D4E5D" w14:textId="70370867" w:rsidR="00174F53" w:rsidRPr="00570A4E" w:rsidRDefault="00174F53" w:rsidP="008D0826">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hAnsi="Palatino Linotype"/>
          <w:color w:val="000000" w:themeColor="text1"/>
        </w:rPr>
        <w:t>Tratándose de cambios a usos del suelo de impacto urbano, se requerirá de la Evaluación de Impacto Estatal.</w:t>
      </w:r>
    </w:p>
    <w:p w14:paraId="45E0F9EB" w14:textId="77777777" w:rsidR="00756B9B" w:rsidRPr="00570A4E" w:rsidRDefault="00756B9B" w:rsidP="00756B9B">
      <w:pPr>
        <w:pStyle w:val="Prrafodelista"/>
        <w:tabs>
          <w:tab w:val="left" w:pos="426"/>
        </w:tabs>
        <w:spacing w:before="240" w:after="240" w:line="360" w:lineRule="auto"/>
        <w:ind w:left="0" w:right="51"/>
        <w:jc w:val="both"/>
        <w:rPr>
          <w:rFonts w:ascii="Palatino Linotype" w:hAnsi="Palatino Linotype"/>
          <w:color w:val="000000" w:themeColor="text1"/>
        </w:rPr>
      </w:pPr>
    </w:p>
    <w:p w14:paraId="6DA763F1" w14:textId="35F0A20F" w:rsidR="00756B9B" w:rsidRPr="00570A4E" w:rsidRDefault="00174F53"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Respecto al procedimiento de autorización, de conformidad con lo que establece el artículo 146 del Reglamento del Libro Quinto del Código Administrativo del Estado de México, el interesado en obtener autorización de cambio de uso del suelo, de coeficiente de ocupación del suelo, coeficiente de utilización del suelo o el cambio de altura de edificaciones deberá:</w:t>
      </w:r>
    </w:p>
    <w:p w14:paraId="62E08D40" w14:textId="77777777" w:rsidR="00756B9B" w:rsidRPr="00570A4E" w:rsidRDefault="00756B9B" w:rsidP="00756B9B">
      <w:pPr>
        <w:pStyle w:val="Prrafodelista"/>
        <w:tabs>
          <w:tab w:val="left" w:pos="426"/>
        </w:tabs>
        <w:spacing w:before="240" w:after="240" w:line="360" w:lineRule="auto"/>
        <w:ind w:left="0" w:right="51"/>
        <w:jc w:val="both"/>
        <w:rPr>
          <w:rFonts w:ascii="Palatino Linotype" w:hAnsi="Palatino Linotype"/>
          <w:color w:val="000000" w:themeColor="text1"/>
        </w:rPr>
      </w:pPr>
    </w:p>
    <w:p w14:paraId="583D978A" w14:textId="2E020BBE" w:rsidR="00174F53" w:rsidRPr="00570A4E" w:rsidRDefault="00174F53" w:rsidP="00174F53">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t>“(…)</w:t>
      </w:r>
    </w:p>
    <w:p w14:paraId="5D6F6FA6" w14:textId="77777777" w:rsidR="00174F53" w:rsidRPr="00570A4E" w:rsidRDefault="00174F53" w:rsidP="00174F53">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I.</w:t>
      </w:r>
      <w:r w:rsidRPr="00570A4E">
        <w:rPr>
          <w:rFonts w:ascii="Palatino Linotype" w:hAnsi="Palatino Linotype"/>
          <w:i/>
          <w:color w:val="000000" w:themeColor="text1"/>
          <w:sz w:val="22"/>
        </w:rPr>
        <w:t xml:space="preserve"> </w:t>
      </w:r>
      <w:r w:rsidRPr="00570A4E">
        <w:rPr>
          <w:rFonts w:ascii="Palatino Linotype" w:hAnsi="Palatino Linotype"/>
          <w:b/>
          <w:i/>
          <w:color w:val="000000" w:themeColor="text1"/>
          <w:sz w:val="22"/>
        </w:rPr>
        <w:t>Presentar a la autoridad municipal solicitud de cambio de uso del suelo</w:t>
      </w:r>
      <w:r w:rsidRPr="00570A4E">
        <w:rPr>
          <w:rFonts w:ascii="Palatino Linotype" w:hAnsi="Palatino Linotype"/>
          <w:i/>
          <w:color w:val="000000" w:themeColor="text1"/>
          <w:sz w:val="22"/>
        </w:rPr>
        <w:t xml:space="preserve">, del coeficiente de ocupación del suelo, coeficiente de utilización del suelo o el cambio de altura de edificaciones, acompañando los documentos siguientes: </w:t>
      </w:r>
    </w:p>
    <w:p w14:paraId="56DC6405" w14:textId="77777777" w:rsidR="00174F53" w:rsidRPr="00570A4E" w:rsidRDefault="00174F53" w:rsidP="00174F53">
      <w:pPr>
        <w:pStyle w:val="Prrafodelista"/>
        <w:tabs>
          <w:tab w:val="left" w:pos="426"/>
        </w:tabs>
        <w:spacing w:before="240" w:after="240" w:line="360" w:lineRule="auto"/>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A)</w:t>
      </w:r>
      <w:r w:rsidRPr="00570A4E">
        <w:rPr>
          <w:rFonts w:ascii="Palatino Linotype" w:hAnsi="Palatino Linotype"/>
          <w:i/>
          <w:color w:val="000000" w:themeColor="text1"/>
          <w:sz w:val="22"/>
        </w:rPr>
        <w:t xml:space="preserve"> Original o copia certificada del documento que acredite la propiedad inscrita en el Instituto de la Función Registral del Estado de México; </w:t>
      </w:r>
    </w:p>
    <w:p w14:paraId="7A54848F" w14:textId="77777777" w:rsidR="00174F53" w:rsidRPr="00570A4E" w:rsidRDefault="00174F53" w:rsidP="00174F53">
      <w:pPr>
        <w:pStyle w:val="Prrafodelista"/>
        <w:tabs>
          <w:tab w:val="left" w:pos="426"/>
        </w:tabs>
        <w:spacing w:before="240" w:after="240" w:line="360" w:lineRule="auto"/>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B)</w:t>
      </w:r>
      <w:r w:rsidRPr="00570A4E">
        <w:rPr>
          <w:rFonts w:ascii="Palatino Linotype" w:hAnsi="Palatino Linotype"/>
          <w:i/>
          <w:color w:val="000000" w:themeColor="text1"/>
          <w:sz w:val="22"/>
        </w:rPr>
        <w:t xml:space="preserve"> Copia del acta constitutiva en el caso de personas jurídicas colectivas o del contrato respectivo tratándose de fideicomisos, dichos documentos deberán estar inscritos en el Instituto de la Función Registral del Estado de México; </w:t>
      </w:r>
    </w:p>
    <w:p w14:paraId="013C7DF8" w14:textId="77777777" w:rsidR="00174F53" w:rsidRPr="00570A4E" w:rsidRDefault="00174F53" w:rsidP="00174F53">
      <w:pPr>
        <w:pStyle w:val="Prrafodelista"/>
        <w:tabs>
          <w:tab w:val="left" w:pos="426"/>
        </w:tabs>
        <w:spacing w:before="240" w:after="240" w:line="360" w:lineRule="auto"/>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C)</w:t>
      </w:r>
      <w:r w:rsidRPr="00570A4E">
        <w:rPr>
          <w:rFonts w:ascii="Palatino Linotype" w:hAnsi="Palatino Linotype"/>
          <w:i/>
          <w:color w:val="000000" w:themeColor="text1"/>
          <w:sz w:val="22"/>
        </w:rPr>
        <w:t xml:space="preserve"> Original o copia certificada del poder notarial otorgado por el propietario del predio, que faculte al solicitante para realizar el trámite e identificación oficial del apoderado; </w:t>
      </w:r>
    </w:p>
    <w:p w14:paraId="48257195" w14:textId="77777777" w:rsidR="00174F53" w:rsidRPr="00570A4E" w:rsidRDefault="00174F53" w:rsidP="00174F53">
      <w:pPr>
        <w:pStyle w:val="Prrafodelista"/>
        <w:tabs>
          <w:tab w:val="left" w:pos="426"/>
        </w:tabs>
        <w:spacing w:before="240" w:after="240" w:line="360" w:lineRule="auto"/>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lastRenderedPageBreak/>
        <w:t>D)</w:t>
      </w:r>
      <w:r w:rsidRPr="00570A4E">
        <w:rPr>
          <w:rFonts w:ascii="Palatino Linotype" w:hAnsi="Palatino Linotype"/>
          <w:i/>
          <w:color w:val="000000" w:themeColor="text1"/>
          <w:sz w:val="22"/>
        </w:rPr>
        <w:t xml:space="preserve"> Plano de localización del predio o inmueble con sus medidas y colindancias, georreferenciado en coordenadas UTM, en el formato que al efecto determine la Secretaría, este último en archivo magnético; </w:t>
      </w:r>
    </w:p>
    <w:p w14:paraId="46DD9049" w14:textId="77777777" w:rsidR="00174F53" w:rsidRPr="00570A4E" w:rsidRDefault="00174F53" w:rsidP="00174F53">
      <w:pPr>
        <w:pStyle w:val="Prrafodelista"/>
        <w:tabs>
          <w:tab w:val="left" w:pos="426"/>
        </w:tabs>
        <w:spacing w:before="240" w:after="240" w:line="360" w:lineRule="auto"/>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E)</w:t>
      </w:r>
      <w:r w:rsidRPr="00570A4E">
        <w:rPr>
          <w:rFonts w:ascii="Palatino Linotype" w:hAnsi="Palatino Linotype"/>
          <w:i/>
          <w:color w:val="000000" w:themeColor="text1"/>
          <w:sz w:val="22"/>
        </w:rPr>
        <w:t xml:space="preserve"> Anteproyecto del desarrollo y su memoria descriptiva que contendrá las características físicas del predio o inmueble, de su superficie, accesos viales, colindancias y nombre de las calles circundantes, así como descripción de las actividades que pretende, en su caso; </w:t>
      </w:r>
    </w:p>
    <w:p w14:paraId="23CCF867" w14:textId="77777777" w:rsidR="00174F53" w:rsidRPr="00570A4E" w:rsidRDefault="00174F53" w:rsidP="00174F53">
      <w:pPr>
        <w:pStyle w:val="Prrafodelista"/>
        <w:tabs>
          <w:tab w:val="left" w:pos="426"/>
        </w:tabs>
        <w:spacing w:before="240" w:after="240" w:line="360" w:lineRule="auto"/>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F)</w:t>
      </w:r>
      <w:r w:rsidRPr="00570A4E">
        <w:rPr>
          <w:rFonts w:ascii="Palatino Linotype" w:hAnsi="Palatino Linotype"/>
          <w:i/>
          <w:color w:val="000000" w:themeColor="text1"/>
          <w:sz w:val="22"/>
        </w:rPr>
        <w:t xml:space="preserve"> Anteproyecto arquitectónico; </w:t>
      </w:r>
    </w:p>
    <w:p w14:paraId="1D14BFD8" w14:textId="77777777" w:rsidR="00174F53" w:rsidRPr="00570A4E" w:rsidRDefault="00174F53" w:rsidP="00174F53">
      <w:pPr>
        <w:pStyle w:val="Prrafodelista"/>
        <w:tabs>
          <w:tab w:val="left" w:pos="426"/>
        </w:tabs>
        <w:spacing w:before="240" w:after="240" w:line="360" w:lineRule="auto"/>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G)</w:t>
      </w:r>
      <w:r w:rsidRPr="00570A4E">
        <w:rPr>
          <w:rFonts w:ascii="Palatino Linotype" w:hAnsi="Palatino Linotype"/>
          <w:i/>
          <w:color w:val="000000" w:themeColor="text1"/>
          <w:sz w:val="22"/>
        </w:rPr>
        <w:t xml:space="preserve"> Evaluación de Impacto Estatal, en caso de cambio de uso de suelo, en los supuestos previstos en el artículo 5.35 del Código; previo a la autorización de la Licencia de Construcción. </w:t>
      </w:r>
    </w:p>
    <w:p w14:paraId="5212BD35" w14:textId="77777777" w:rsidR="00174F53" w:rsidRPr="00570A4E" w:rsidRDefault="00174F53" w:rsidP="00174F53">
      <w:pPr>
        <w:pStyle w:val="Prrafodelista"/>
        <w:tabs>
          <w:tab w:val="left" w:pos="426"/>
        </w:tabs>
        <w:spacing w:before="240" w:after="240" w:line="360" w:lineRule="auto"/>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H)</w:t>
      </w:r>
      <w:r w:rsidRPr="00570A4E">
        <w:rPr>
          <w:rFonts w:ascii="Palatino Linotype" w:hAnsi="Palatino Linotype"/>
          <w:i/>
          <w:color w:val="000000" w:themeColor="text1"/>
          <w:sz w:val="22"/>
        </w:rPr>
        <w:t xml:space="preserve"> Para los casos que no causen impacto urbano, dictamen de factibilidad de servicios de agua potable y drenaje, así como de incorporación a los sistemas de agua potable y alcantarillado, en el que se definan los puntos de conexión de agua potable y los de descargas de aguas residuales, el cual será emitido por el organismo o autoridad municipal correspondiente; </w:t>
      </w:r>
    </w:p>
    <w:p w14:paraId="50F9CEA6" w14:textId="77777777" w:rsidR="00174F53" w:rsidRPr="00570A4E" w:rsidRDefault="00174F53" w:rsidP="00174F53">
      <w:pPr>
        <w:pStyle w:val="Prrafodelista"/>
        <w:tabs>
          <w:tab w:val="left" w:pos="426"/>
        </w:tabs>
        <w:spacing w:before="240" w:after="240" w:line="360" w:lineRule="auto"/>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I)</w:t>
      </w:r>
      <w:r w:rsidRPr="00570A4E">
        <w:rPr>
          <w:rFonts w:ascii="Palatino Linotype" w:hAnsi="Palatino Linotype"/>
          <w:i/>
          <w:color w:val="000000" w:themeColor="text1"/>
          <w:sz w:val="22"/>
        </w:rPr>
        <w:t xml:space="preserve"> Opinión favorable y técnicamente justificada de la Comisión de Planeación para el Desarrollo Municipal en caso de no estar instalada la Comisión, bastará con la opinión favorable y técnicamente justificada que emita la autoridad encargada del desarrollo urbano municipal; </w:t>
      </w:r>
    </w:p>
    <w:p w14:paraId="45C69FAA" w14:textId="77777777" w:rsidR="00174F53" w:rsidRPr="00570A4E" w:rsidRDefault="00174F53" w:rsidP="00174F53">
      <w:pPr>
        <w:pStyle w:val="Prrafodelista"/>
        <w:tabs>
          <w:tab w:val="left" w:pos="426"/>
        </w:tabs>
        <w:spacing w:before="240" w:after="240" w:line="360" w:lineRule="auto"/>
        <w:ind w:left="851"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t xml:space="preserve">La compatibilidad de usos de suelo, será aplicable en aquellos casos en los que por las condiciones del entorno, seguridad, salud, integridad de las personas, capacidad de los servicios de agua, drenaje, electricidad, y movilidad, así lo permitan, debiéndose justificar el interés social que dicha compatibilidad genere, respetando los planes de desarrollo urbano respectivos, para lo cual se deberá emitir la opinión favorable y técnicamente justificada referida en el inciso inmediato anterior. </w:t>
      </w:r>
    </w:p>
    <w:p w14:paraId="1F89408E" w14:textId="6FE80F8D" w:rsidR="00174F53" w:rsidRPr="00570A4E" w:rsidRDefault="00174F53" w:rsidP="00174F53">
      <w:pPr>
        <w:pStyle w:val="Prrafodelista"/>
        <w:tabs>
          <w:tab w:val="left" w:pos="426"/>
        </w:tabs>
        <w:spacing w:before="240" w:after="240" w:line="360" w:lineRule="auto"/>
        <w:ind w:left="851"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lastRenderedPageBreak/>
        <w:t xml:space="preserve">Lo anterior no será aplicable en áreas no urbanizables. La Secretaría y los municipios realizarán las modificaciones necesarias a los planes y programas de Desarrollo Urbano y ordenamiento territorial, para que las zonas consideradas como de riesgo no mitigable se clasifiquen como no urbanizables o con usos de suelo compatibles con dicha condición. </w:t>
      </w:r>
    </w:p>
    <w:p w14:paraId="34A98969" w14:textId="77777777" w:rsidR="00174F53" w:rsidRPr="00570A4E" w:rsidRDefault="00174F53" w:rsidP="00174F53">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II.</w:t>
      </w:r>
      <w:r w:rsidRPr="00570A4E">
        <w:rPr>
          <w:rFonts w:ascii="Palatino Linotype" w:hAnsi="Palatino Linotype"/>
          <w:i/>
          <w:color w:val="000000" w:themeColor="text1"/>
          <w:sz w:val="22"/>
        </w:rPr>
        <w:t xml:space="preserve"> Recibida la solicitud con la documentación a que se refiere la fracción anterior, dentro de los cinco días siguientes la dependencia municipal de desarrollo urbano expedirá la autorización de cambio de uso del suelo, del coeficiente de ocupación del suelo, del coeficiente de utilización del suelo o el cambio de altura de edificaciones, o en su caso denegará la solicitud, y </w:t>
      </w:r>
    </w:p>
    <w:p w14:paraId="0CC7B013" w14:textId="67095E47" w:rsidR="00174F53" w:rsidRPr="00570A4E" w:rsidRDefault="00174F53" w:rsidP="00174F53">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III.</w:t>
      </w:r>
      <w:r w:rsidRPr="00570A4E">
        <w:rPr>
          <w:rFonts w:ascii="Palatino Linotype" w:hAnsi="Palatino Linotype"/>
          <w:i/>
          <w:color w:val="000000" w:themeColor="text1"/>
          <w:sz w:val="22"/>
        </w:rPr>
        <w:t xml:space="preserve"> No procederá el cambio de uso de suelo, de coeficiente de ocupación del suelo o coeficiente de utilización del suelo o el cambio de altura de edificaciones de los lotes con uso de instalaciones hoteleras, moteles, casas de huéspedes, posadas, bungalows, para uso habitacional.”</w:t>
      </w:r>
    </w:p>
    <w:p w14:paraId="63BA8C90" w14:textId="77777777" w:rsidR="00174F53" w:rsidRPr="00570A4E" w:rsidRDefault="00174F53" w:rsidP="00756B9B">
      <w:pPr>
        <w:pStyle w:val="Prrafodelista"/>
        <w:tabs>
          <w:tab w:val="left" w:pos="426"/>
        </w:tabs>
        <w:spacing w:before="240" w:after="240" w:line="360" w:lineRule="auto"/>
        <w:ind w:left="0" w:right="51"/>
        <w:jc w:val="both"/>
        <w:rPr>
          <w:rFonts w:ascii="Palatino Linotype" w:hAnsi="Palatino Linotype"/>
          <w:color w:val="000000" w:themeColor="text1"/>
        </w:rPr>
      </w:pPr>
    </w:p>
    <w:p w14:paraId="524E6BDC" w14:textId="6BD4802F" w:rsidR="00756B9B" w:rsidRPr="00570A4E" w:rsidRDefault="00174F53"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La autorización de </w:t>
      </w:r>
      <w:r w:rsidRPr="00570A4E">
        <w:rPr>
          <w:rFonts w:ascii="Palatino Linotype" w:eastAsia="MS Mincho" w:hAnsi="Palatino Linotype" w:cs="Times New Roman"/>
          <w:b/>
          <w:color w:val="000000"/>
        </w:rPr>
        <w:t>cambio de uso del suelo</w:t>
      </w:r>
      <w:r w:rsidRPr="00570A4E">
        <w:rPr>
          <w:rFonts w:ascii="Palatino Linotype" w:eastAsia="MS Mincho" w:hAnsi="Palatino Linotype" w:cs="Times New Roman"/>
          <w:color w:val="000000"/>
        </w:rPr>
        <w:t>, del coeficiente de ocupación del suelo o del coeficiente de utilización del suelo o el cambio de la altura de edificaciones, deberá contener</w:t>
      </w:r>
      <w:r w:rsidRPr="00570A4E">
        <w:rPr>
          <w:rStyle w:val="Refdenotaalpie"/>
          <w:rFonts w:ascii="Palatino Linotype" w:eastAsia="MS Mincho" w:hAnsi="Palatino Linotype" w:cs="Times New Roman"/>
          <w:color w:val="000000"/>
        </w:rPr>
        <w:footnoteReference w:id="15"/>
      </w:r>
      <w:r w:rsidRPr="00570A4E">
        <w:rPr>
          <w:rFonts w:ascii="Palatino Linotype" w:eastAsia="MS Mincho" w:hAnsi="Palatino Linotype" w:cs="Times New Roman"/>
          <w:color w:val="000000"/>
        </w:rPr>
        <w:t>:</w:t>
      </w:r>
    </w:p>
    <w:p w14:paraId="60778A08" w14:textId="77777777" w:rsidR="00174F53" w:rsidRPr="00570A4E" w:rsidRDefault="00174F53" w:rsidP="008D0826">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Referencia a la solicitud; </w:t>
      </w:r>
    </w:p>
    <w:p w14:paraId="12A54D0C" w14:textId="77777777" w:rsidR="00174F53" w:rsidRPr="00570A4E" w:rsidRDefault="00174F53" w:rsidP="008D0826">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Fundamento jurídico; </w:t>
      </w:r>
    </w:p>
    <w:p w14:paraId="1A96C5AE" w14:textId="77777777" w:rsidR="00174F53" w:rsidRPr="00570A4E" w:rsidRDefault="00174F53" w:rsidP="008D0826">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Motivación; </w:t>
      </w:r>
    </w:p>
    <w:p w14:paraId="620DC6EC" w14:textId="77777777" w:rsidR="00174F53" w:rsidRPr="00570A4E" w:rsidRDefault="00174F53" w:rsidP="008D0826">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Nombre del Titular de la autorización; </w:t>
      </w:r>
    </w:p>
    <w:p w14:paraId="725AAB8B" w14:textId="77777777" w:rsidR="00174F53" w:rsidRPr="00570A4E" w:rsidRDefault="00174F53" w:rsidP="008D0826">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Ubicación y superficie del inmueble objeto del cambio; </w:t>
      </w:r>
    </w:p>
    <w:p w14:paraId="622DBEB2" w14:textId="1B73DFB2" w:rsidR="00174F53" w:rsidRPr="00570A4E" w:rsidRDefault="00174F53" w:rsidP="008D0826">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Referencia a:</w:t>
      </w:r>
    </w:p>
    <w:p w14:paraId="306E6C24" w14:textId="2F1C868A" w:rsidR="00174F53" w:rsidRPr="00570A4E" w:rsidRDefault="00174F53" w:rsidP="008D0826">
      <w:pPr>
        <w:pStyle w:val="Prrafodelista"/>
        <w:numPr>
          <w:ilvl w:val="2"/>
          <w:numId w:val="17"/>
        </w:numPr>
        <w:tabs>
          <w:tab w:val="left" w:pos="426"/>
        </w:tabs>
        <w:spacing w:before="240" w:after="240" w:line="360" w:lineRule="auto"/>
        <w:ind w:left="1701" w:right="51"/>
        <w:jc w:val="both"/>
        <w:rPr>
          <w:rFonts w:ascii="Palatino Linotype" w:hAnsi="Palatino Linotype"/>
          <w:color w:val="000000" w:themeColor="text1"/>
        </w:rPr>
      </w:pPr>
      <w:r w:rsidRPr="00570A4E">
        <w:rPr>
          <w:rFonts w:ascii="Palatino Linotype" w:eastAsia="MS Mincho" w:hAnsi="Palatino Linotype" w:cs="Times New Roman"/>
          <w:color w:val="000000"/>
        </w:rPr>
        <w:lastRenderedPageBreak/>
        <w:t>Acreditaciones de la personalidad del Titular, su Representante Legal y el de propiedad del inmueble sobre el cual versará la autorización;</w:t>
      </w:r>
    </w:p>
    <w:p w14:paraId="615AB6BD" w14:textId="77777777" w:rsidR="00174F53" w:rsidRPr="00570A4E" w:rsidRDefault="00174F53" w:rsidP="008D0826">
      <w:pPr>
        <w:pStyle w:val="Prrafodelista"/>
        <w:numPr>
          <w:ilvl w:val="2"/>
          <w:numId w:val="17"/>
        </w:numPr>
        <w:tabs>
          <w:tab w:val="left" w:pos="426"/>
        </w:tabs>
        <w:spacing w:before="240" w:after="240" w:line="360" w:lineRule="auto"/>
        <w:ind w:left="1701" w:right="51"/>
        <w:jc w:val="both"/>
        <w:rPr>
          <w:rFonts w:ascii="Palatino Linotype" w:hAnsi="Palatino Linotype"/>
          <w:color w:val="000000" w:themeColor="text1"/>
        </w:rPr>
      </w:pPr>
      <w:r w:rsidRPr="00570A4E">
        <w:rPr>
          <w:rFonts w:ascii="Palatino Linotype" w:hAnsi="Palatino Linotype"/>
          <w:color w:val="000000" w:themeColor="text1"/>
        </w:rPr>
        <w:t xml:space="preserve">Anteproyecto del desarrollo y su memoria descriptiva; </w:t>
      </w:r>
    </w:p>
    <w:p w14:paraId="772D7E15" w14:textId="70214B05" w:rsidR="00174F53" w:rsidRPr="00570A4E" w:rsidRDefault="00174F53" w:rsidP="008D0826">
      <w:pPr>
        <w:pStyle w:val="Prrafodelista"/>
        <w:numPr>
          <w:ilvl w:val="2"/>
          <w:numId w:val="17"/>
        </w:numPr>
        <w:tabs>
          <w:tab w:val="left" w:pos="426"/>
        </w:tabs>
        <w:spacing w:before="240" w:after="240" w:line="360" w:lineRule="auto"/>
        <w:ind w:left="1701" w:right="51"/>
        <w:jc w:val="both"/>
        <w:rPr>
          <w:rFonts w:ascii="Palatino Linotype" w:hAnsi="Palatino Linotype"/>
          <w:color w:val="000000" w:themeColor="text1"/>
        </w:rPr>
      </w:pPr>
      <w:r w:rsidRPr="00570A4E">
        <w:rPr>
          <w:rFonts w:ascii="Palatino Linotype" w:hAnsi="Palatino Linotype"/>
          <w:color w:val="000000" w:themeColor="text1"/>
        </w:rPr>
        <w:t>Tratándose de usos del suelo previstos en el artículo 5.35 del Código, la referencia a la respectiva Evaluación de Impacto Estatal.</w:t>
      </w:r>
    </w:p>
    <w:p w14:paraId="0C3874F1" w14:textId="77777777" w:rsidR="00174F53" w:rsidRPr="00570A4E" w:rsidRDefault="00174F53" w:rsidP="008D0826">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La determinación que se autoriza el cambio solicitado; </w:t>
      </w:r>
    </w:p>
    <w:p w14:paraId="51A29508" w14:textId="77777777" w:rsidR="00174F53" w:rsidRPr="00570A4E" w:rsidRDefault="00174F53" w:rsidP="008D0826">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La normatividad para el aprovechamiento y ocupación del suelo, número de niveles, altura máxima de las edificaciones, si las hubiera, accesos viales, número obligatorio de cajones de estacionamiento privados y para el público, en su caso; </w:t>
      </w:r>
    </w:p>
    <w:p w14:paraId="5169200F" w14:textId="77777777" w:rsidR="00174F53" w:rsidRPr="00570A4E" w:rsidRDefault="00174F53" w:rsidP="008D0826">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Cuando corresponda, las restricciones federales, estatales y municipales; </w:t>
      </w:r>
    </w:p>
    <w:p w14:paraId="4E635903" w14:textId="77777777" w:rsidR="00174F53" w:rsidRPr="00570A4E" w:rsidRDefault="00174F53" w:rsidP="008D0826">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Señalamiento del monto de los derechos correspondientes; </w:t>
      </w:r>
    </w:p>
    <w:p w14:paraId="6740C707" w14:textId="545A9869" w:rsidR="00174F53" w:rsidRPr="00570A4E" w:rsidRDefault="00174F53" w:rsidP="008D0826">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Vigencia de un año; </w:t>
      </w:r>
    </w:p>
    <w:p w14:paraId="3C2DDEA1" w14:textId="77777777" w:rsidR="00174F53" w:rsidRPr="00570A4E" w:rsidRDefault="00174F53" w:rsidP="008D0826">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Lugar y fecha de expedición, y </w:t>
      </w:r>
    </w:p>
    <w:p w14:paraId="47596E3B" w14:textId="46C28B7F" w:rsidR="00174F53" w:rsidRPr="00570A4E" w:rsidRDefault="00174F53" w:rsidP="008D0826">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Firma de quien lo autoriza.</w:t>
      </w:r>
    </w:p>
    <w:p w14:paraId="5B97CB22" w14:textId="77777777" w:rsidR="00756B9B" w:rsidRPr="00570A4E" w:rsidRDefault="00756B9B" w:rsidP="00756B9B">
      <w:pPr>
        <w:pStyle w:val="Prrafodelista"/>
        <w:tabs>
          <w:tab w:val="left" w:pos="426"/>
        </w:tabs>
        <w:spacing w:before="240" w:after="240" w:line="360" w:lineRule="auto"/>
        <w:ind w:left="0" w:right="51"/>
        <w:jc w:val="both"/>
        <w:rPr>
          <w:rFonts w:ascii="Palatino Linotype" w:hAnsi="Palatino Linotype"/>
          <w:color w:val="000000" w:themeColor="text1"/>
        </w:rPr>
      </w:pPr>
    </w:p>
    <w:p w14:paraId="7DA9FA6E" w14:textId="6C7CEFF1" w:rsidR="00756B9B" w:rsidRPr="00570A4E" w:rsidRDefault="00174F53"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Cumplidos los requisitos anteriores, y previa comprobación del pago de los derechos, el municipio emitirá la autorización en un plazo de cinco días hábiles, contados a partir de la recepción de la solicitud acompañada de los documentos señalados </w:t>
      </w:r>
      <w:r w:rsidRPr="00570A4E">
        <w:rPr>
          <w:rFonts w:ascii="Palatino Linotype" w:eastAsia="MS Mincho" w:hAnsi="Palatino Linotype" w:cs="Times New Roman"/>
          <w:i/>
          <w:color w:val="000000"/>
        </w:rPr>
        <w:t>supra</w:t>
      </w:r>
      <w:r w:rsidRPr="00570A4E">
        <w:rPr>
          <w:rStyle w:val="Refdenotaalpie"/>
          <w:rFonts w:ascii="Palatino Linotype" w:eastAsia="MS Mincho" w:hAnsi="Palatino Linotype" w:cs="Times New Roman"/>
          <w:i/>
          <w:color w:val="000000"/>
        </w:rPr>
        <w:footnoteReference w:id="16"/>
      </w:r>
      <w:r w:rsidRPr="00570A4E">
        <w:rPr>
          <w:rFonts w:ascii="Palatino Linotype" w:eastAsia="MS Mincho" w:hAnsi="Palatino Linotype" w:cs="Times New Roman"/>
          <w:color w:val="000000"/>
        </w:rPr>
        <w:t>.</w:t>
      </w:r>
    </w:p>
    <w:p w14:paraId="0AD08A58" w14:textId="77777777" w:rsidR="00AD1795" w:rsidRPr="00570A4E" w:rsidRDefault="00AD1795"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799C99BD" w14:textId="698A8026" w:rsidR="00756B9B" w:rsidRPr="00570A4E" w:rsidRDefault="00756B9B" w:rsidP="00756B9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70A4E">
        <w:rPr>
          <w:rFonts w:ascii="Palatino Linotype" w:hAnsi="Palatino Linotype"/>
          <w:b/>
          <w:color w:val="000000" w:themeColor="text1"/>
        </w:rPr>
        <w:t xml:space="preserve">III.II De la </w:t>
      </w:r>
      <w:r w:rsidR="00325B64" w:rsidRPr="00570A4E">
        <w:rPr>
          <w:rFonts w:ascii="Palatino Linotype" w:hAnsi="Palatino Linotype"/>
          <w:b/>
          <w:color w:val="000000" w:themeColor="text1"/>
        </w:rPr>
        <w:t>D</w:t>
      </w:r>
      <w:r w:rsidRPr="00570A4E">
        <w:rPr>
          <w:rFonts w:ascii="Palatino Linotype" w:hAnsi="Palatino Linotype"/>
          <w:b/>
          <w:color w:val="000000" w:themeColor="text1"/>
        </w:rPr>
        <w:t>irección de Desarrollo Urbano Sustentable.</w:t>
      </w:r>
    </w:p>
    <w:p w14:paraId="07C2DE93" w14:textId="77777777" w:rsidR="00756B9B" w:rsidRPr="00570A4E" w:rsidRDefault="00756B9B"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1EA36666" w14:textId="2190872A" w:rsidR="00AD1795" w:rsidRPr="00570A4E" w:rsidRDefault="00B24D6C"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Correlativo </w:t>
      </w:r>
      <w:r w:rsidR="00821411" w:rsidRPr="00570A4E">
        <w:rPr>
          <w:rFonts w:ascii="Palatino Linotype" w:hAnsi="Palatino Linotype"/>
          <w:color w:val="000000" w:themeColor="text1"/>
        </w:rPr>
        <w:t>a lo anterior, la Ley Orgánica Municipal del Estado de México establece que cada municipio será gobernado por un ayuntamiento de elección popular directa y no habrá ninguna autoridad intermedia entre éste y el Gobierno del Estado</w:t>
      </w:r>
      <w:r w:rsidR="00821411" w:rsidRPr="00570A4E">
        <w:rPr>
          <w:rStyle w:val="Refdenotaalpie"/>
          <w:rFonts w:ascii="Palatino Linotype" w:hAnsi="Palatino Linotype"/>
          <w:color w:val="000000" w:themeColor="text1"/>
        </w:rPr>
        <w:footnoteReference w:id="17"/>
      </w:r>
      <w:r w:rsidR="00821411" w:rsidRPr="00570A4E">
        <w:rPr>
          <w:rFonts w:ascii="Palatino Linotype" w:hAnsi="Palatino Linotype"/>
          <w:color w:val="000000" w:themeColor="text1"/>
        </w:rPr>
        <w:t>; asimismo, se integrarán por un Presidente, un Síndico y los Regidores que se determinen según el principio de representación proporcional</w:t>
      </w:r>
      <w:r w:rsidR="00821411" w:rsidRPr="00570A4E">
        <w:rPr>
          <w:rStyle w:val="Refdenotaalpie"/>
          <w:rFonts w:ascii="Palatino Linotype" w:hAnsi="Palatino Linotype"/>
          <w:color w:val="000000" w:themeColor="text1"/>
        </w:rPr>
        <w:footnoteReference w:id="18"/>
      </w:r>
      <w:r w:rsidR="00821411" w:rsidRPr="00570A4E">
        <w:rPr>
          <w:rFonts w:ascii="Palatino Linotype" w:hAnsi="Palatino Linotype"/>
          <w:color w:val="000000" w:themeColor="text1"/>
        </w:rPr>
        <w:t>.</w:t>
      </w:r>
    </w:p>
    <w:p w14:paraId="64397B29" w14:textId="77777777" w:rsidR="00AD1795" w:rsidRPr="00570A4E" w:rsidRDefault="00AD1795" w:rsidP="00AD1795">
      <w:pPr>
        <w:pStyle w:val="Prrafodelista"/>
        <w:rPr>
          <w:rFonts w:ascii="Palatino Linotype" w:hAnsi="Palatino Linotype"/>
          <w:color w:val="000000" w:themeColor="text1"/>
        </w:rPr>
      </w:pPr>
    </w:p>
    <w:p w14:paraId="36B8A25C" w14:textId="77777777" w:rsidR="00AD1795" w:rsidRPr="00570A4E" w:rsidRDefault="00AD1795"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52254A2D" w14:textId="77777777" w:rsidR="003E5498" w:rsidRPr="00570A4E" w:rsidRDefault="00821411" w:rsidP="003E54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Para </w:t>
      </w:r>
      <w:r w:rsidR="003E5498" w:rsidRPr="00570A4E">
        <w:rPr>
          <w:rFonts w:ascii="Palatino Linotype" w:hAnsi="Palatino Linotype"/>
          <w:color w:val="000000" w:themeColor="text1"/>
        </w:rPr>
        <w:t>el despacho, estudio y planeación de los diversos asuntos de la administración municipal, el ayuntamiento contará por lo menos con las siguientes Dependencias</w:t>
      </w:r>
      <w:r w:rsidR="003E5498" w:rsidRPr="00570A4E">
        <w:rPr>
          <w:rStyle w:val="Refdenotaalpie"/>
          <w:rFonts w:ascii="Palatino Linotype" w:hAnsi="Palatino Linotype"/>
          <w:color w:val="000000" w:themeColor="text1"/>
        </w:rPr>
        <w:footnoteReference w:id="19"/>
      </w:r>
      <w:r w:rsidR="003E5498" w:rsidRPr="00570A4E">
        <w:rPr>
          <w:rFonts w:ascii="Palatino Linotype" w:hAnsi="Palatino Linotype"/>
          <w:color w:val="000000" w:themeColor="text1"/>
        </w:rPr>
        <w:t>:</w:t>
      </w:r>
    </w:p>
    <w:p w14:paraId="7B9B8366" w14:textId="701948CD" w:rsidR="003E5498" w:rsidRPr="00570A4E"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bCs/>
          <w:color w:val="000000" w:themeColor="text1"/>
        </w:rPr>
      </w:pPr>
      <w:r w:rsidRPr="00570A4E">
        <w:rPr>
          <w:rFonts w:ascii="Palatino Linotype" w:hAnsi="Palatino Linotype"/>
          <w:bCs/>
          <w:color w:val="000000" w:themeColor="text1"/>
        </w:rPr>
        <w:t xml:space="preserve">La </w:t>
      </w:r>
      <w:r w:rsidR="00530476" w:rsidRPr="00570A4E">
        <w:rPr>
          <w:rFonts w:ascii="Palatino Linotype" w:hAnsi="Palatino Linotype"/>
          <w:bCs/>
          <w:color w:val="000000" w:themeColor="text1"/>
        </w:rPr>
        <w:t>S</w:t>
      </w:r>
      <w:r w:rsidRPr="00570A4E">
        <w:rPr>
          <w:rFonts w:ascii="Palatino Linotype" w:hAnsi="Palatino Linotype"/>
          <w:bCs/>
          <w:color w:val="000000" w:themeColor="text1"/>
        </w:rPr>
        <w:t xml:space="preserve">ecretaría del </w:t>
      </w:r>
      <w:r w:rsidR="00530476" w:rsidRPr="00570A4E">
        <w:rPr>
          <w:rFonts w:ascii="Palatino Linotype" w:hAnsi="Palatino Linotype"/>
          <w:bCs/>
          <w:color w:val="000000" w:themeColor="text1"/>
        </w:rPr>
        <w:t>A</w:t>
      </w:r>
      <w:r w:rsidRPr="00570A4E">
        <w:rPr>
          <w:rFonts w:ascii="Palatino Linotype" w:hAnsi="Palatino Linotype"/>
          <w:bCs/>
          <w:color w:val="000000" w:themeColor="text1"/>
        </w:rPr>
        <w:t>yuntamiento;</w:t>
      </w:r>
    </w:p>
    <w:p w14:paraId="180CE534" w14:textId="5C507818" w:rsidR="003E5498" w:rsidRPr="00570A4E"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bCs/>
          <w:color w:val="000000" w:themeColor="text1"/>
        </w:rPr>
      </w:pPr>
      <w:r w:rsidRPr="00570A4E">
        <w:rPr>
          <w:rFonts w:ascii="Palatino Linotype" w:hAnsi="Palatino Linotype"/>
          <w:bCs/>
          <w:color w:val="000000" w:themeColor="text1"/>
        </w:rPr>
        <w:t xml:space="preserve">La </w:t>
      </w:r>
      <w:r w:rsidR="00530476" w:rsidRPr="00570A4E">
        <w:rPr>
          <w:rFonts w:ascii="Palatino Linotype" w:hAnsi="Palatino Linotype"/>
          <w:bCs/>
          <w:color w:val="000000" w:themeColor="text1"/>
        </w:rPr>
        <w:t>T</w:t>
      </w:r>
      <w:r w:rsidRPr="00570A4E">
        <w:rPr>
          <w:rFonts w:ascii="Palatino Linotype" w:hAnsi="Palatino Linotype"/>
          <w:bCs/>
          <w:color w:val="000000" w:themeColor="text1"/>
        </w:rPr>
        <w:t xml:space="preserve">esorería </w:t>
      </w:r>
      <w:r w:rsidR="00530476" w:rsidRPr="00570A4E">
        <w:rPr>
          <w:rFonts w:ascii="Palatino Linotype" w:hAnsi="Palatino Linotype"/>
          <w:bCs/>
          <w:color w:val="000000" w:themeColor="text1"/>
        </w:rPr>
        <w:t>M</w:t>
      </w:r>
      <w:r w:rsidRPr="00570A4E">
        <w:rPr>
          <w:rFonts w:ascii="Palatino Linotype" w:hAnsi="Palatino Linotype"/>
          <w:bCs/>
          <w:color w:val="000000" w:themeColor="text1"/>
        </w:rPr>
        <w:t>unicipal.</w:t>
      </w:r>
    </w:p>
    <w:p w14:paraId="41C1CD30" w14:textId="77777777" w:rsidR="003E5498" w:rsidRPr="00570A4E"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La Dirección de Obras Públicas o equivalente.</w:t>
      </w:r>
    </w:p>
    <w:p w14:paraId="42E98759" w14:textId="77777777" w:rsidR="003E5498" w:rsidRPr="00570A4E"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La Dirección de Desarrollo Económico o equivalente.</w:t>
      </w:r>
    </w:p>
    <w:p w14:paraId="13FA442A" w14:textId="77777777" w:rsidR="003E5498" w:rsidRPr="00570A4E"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b/>
          <w:color w:val="000000" w:themeColor="text1"/>
        </w:rPr>
      </w:pPr>
      <w:r w:rsidRPr="00570A4E">
        <w:rPr>
          <w:rFonts w:ascii="Palatino Linotype" w:hAnsi="Palatino Linotype"/>
          <w:b/>
          <w:color w:val="000000" w:themeColor="text1"/>
        </w:rPr>
        <w:t>La Dirección de Desarrollo Urbano o equivalente;</w:t>
      </w:r>
    </w:p>
    <w:p w14:paraId="0315C924" w14:textId="092BE246" w:rsidR="003E5498" w:rsidRPr="00570A4E"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La Dirección de Ecología o equivalente; </w:t>
      </w:r>
    </w:p>
    <w:p w14:paraId="69EC224E" w14:textId="1A4420E1" w:rsidR="003E5498" w:rsidRPr="00570A4E" w:rsidRDefault="003E5498"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La Dirección de Desarrollo Social o equivalente</w:t>
      </w:r>
      <w:r w:rsidR="00A227B3" w:rsidRPr="00570A4E">
        <w:rPr>
          <w:rFonts w:ascii="Palatino Linotype" w:hAnsi="Palatino Linotype"/>
          <w:color w:val="000000" w:themeColor="text1"/>
        </w:rPr>
        <w:t>;</w:t>
      </w:r>
      <w:r w:rsidRPr="00570A4E">
        <w:rPr>
          <w:rFonts w:ascii="Palatino Linotype" w:hAnsi="Palatino Linotype"/>
          <w:color w:val="000000" w:themeColor="text1"/>
        </w:rPr>
        <w:t xml:space="preserve"> y</w:t>
      </w:r>
    </w:p>
    <w:p w14:paraId="2C413403" w14:textId="506FFD68" w:rsidR="00A227B3" w:rsidRPr="00570A4E" w:rsidRDefault="00A227B3" w:rsidP="003E5498">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La Coordinación Municipal de Protección Civil o equivalente.</w:t>
      </w:r>
    </w:p>
    <w:p w14:paraId="137484BD" w14:textId="77777777" w:rsidR="00EF6A63" w:rsidRPr="00570A4E" w:rsidRDefault="00EF6A63" w:rsidP="00EF6A63">
      <w:pPr>
        <w:pStyle w:val="Prrafodelista"/>
        <w:tabs>
          <w:tab w:val="left" w:pos="426"/>
        </w:tabs>
        <w:spacing w:before="240" w:after="240" w:line="360" w:lineRule="auto"/>
        <w:ind w:left="0" w:right="51"/>
        <w:jc w:val="both"/>
        <w:rPr>
          <w:rFonts w:ascii="Palatino Linotype" w:hAnsi="Palatino Linotype"/>
          <w:color w:val="000000" w:themeColor="text1"/>
        </w:rPr>
      </w:pPr>
    </w:p>
    <w:p w14:paraId="43D56A39" w14:textId="095E1F15" w:rsidR="003E5498" w:rsidRPr="00570A4E" w:rsidRDefault="00EF6A63" w:rsidP="002D0BA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El artículo 96 </w:t>
      </w:r>
      <w:r w:rsidR="000764E1" w:rsidRPr="00570A4E">
        <w:rPr>
          <w:rFonts w:ascii="Palatino Linotype" w:hAnsi="Palatino Linotype"/>
          <w:color w:val="000000" w:themeColor="text1"/>
        </w:rPr>
        <w:t>Sexies</w:t>
      </w:r>
      <w:r w:rsidRPr="00570A4E">
        <w:rPr>
          <w:rFonts w:ascii="Palatino Linotype" w:hAnsi="Palatino Linotype"/>
          <w:color w:val="000000" w:themeColor="text1"/>
        </w:rPr>
        <w:t xml:space="preserve"> de la Ley Orgánica Municipal del Estado de México </w:t>
      </w:r>
      <w:r w:rsidR="00006A78" w:rsidRPr="00570A4E">
        <w:rPr>
          <w:rFonts w:ascii="Palatino Linotype" w:hAnsi="Palatino Linotype"/>
          <w:color w:val="000000" w:themeColor="text1"/>
        </w:rPr>
        <w:t xml:space="preserve">establece que la Dirección de </w:t>
      </w:r>
      <w:r w:rsidR="000764E1" w:rsidRPr="00570A4E">
        <w:rPr>
          <w:rFonts w:ascii="Palatino Linotype" w:hAnsi="Palatino Linotype"/>
          <w:color w:val="000000" w:themeColor="text1"/>
        </w:rPr>
        <w:t>Desarrollo Urbano</w:t>
      </w:r>
      <w:r w:rsidR="00006A78" w:rsidRPr="00570A4E">
        <w:rPr>
          <w:rFonts w:ascii="Palatino Linotype" w:hAnsi="Palatino Linotype"/>
          <w:color w:val="000000" w:themeColor="text1"/>
        </w:rPr>
        <w:t xml:space="preserve"> tendrá, entre sus atribuciones, las siguientes:</w:t>
      </w:r>
    </w:p>
    <w:p w14:paraId="45256362" w14:textId="77777777" w:rsidR="00A227B3" w:rsidRPr="00570A4E" w:rsidRDefault="00A227B3" w:rsidP="00A227B3">
      <w:pPr>
        <w:pStyle w:val="Prrafodelista"/>
        <w:tabs>
          <w:tab w:val="left" w:pos="426"/>
        </w:tabs>
        <w:spacing w:before="240" w:after="240" w:line="360" w:lineRule="auto"/>
        <w:ind w:left="0" w:right="51"/>
        <w:jc w:val="both"/>
        <w:rPr>
          <w:rFonts w:ascii="Palatino Linotype" w:hAnsi="Palatino Linotype"/>
          <w:color w:val="000000" w:themeColor="text1"/>
        </w:rPr>
      </w:pPr>
    </w:p>
    <w:p w14:paraId="52D16F4B" w14:textId="01570F6D" w:rsidR="000764E1" w:rsidRPr="00570A4E" w:rsidRDefault="00815D68" w:rsidP="000764E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t>“</w:t>
      </w:r>
      <w:r w:rsidR="000764E1" w:rsidRPr="00570A4E">
        <w:rPr>
          <w:rFonts w:ascii="Palatino Linotype" w:hAnsi="Palatino Linotype"/>
          <w:b/>
          <w:i/>
          <w:color w:val="000000" w:themeColor="text1"/>
          <w:sz w:val="22"/>
        </w:rPr>
        <w:t>Artículo 96. Sexies.</w:t>
      </w:r>
      <w:r w:rsidR="000764E1" w:rsidRPr="00570A4E">
        <w:rPr>
          <w:rFonts w:ascii="Palatino Linotype" w:hAnsi="Palatino Linotype"/>
          <w:i/>
          <w:color w:val="000000" w:themeColor="text1"/>
          <w:sz w:val="22"/>
        </w:rPr>
        <w:t xml:space="preserve"> El Director de Desarrollo Urbano o el Titular de la Unidad Administrativa equivalente, tiene las atribuciones siguientes:</w:t>
      </w:r>
    </w:p>
    <w:p w14:paraId="47A7678A" w14:textId="77777777" w:rsidR="000764E1" w:rsidRPr="00570A4E" w:rsidRDefault="000764E1" w:rsidP="000764E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I.</w:t>
      </w:r>
      <w:r w:rsidRPr="00570A4E">
        <w:rPr>
          <w:rFonts w:ascii="Palatino Linotype" w:hAnsi="Palatino Linotype"/>
          <w:i/>
          <w:color w:val="000000" w:themeColor="text1"/>
          <w:sz w:val="22"/>
        </w:rPr>
        <w:t xml:space="preserve"> </w:t>
      </w:r>
      <w:r w:rsidRPr="00570A4E">
        <w:rPr>
          <w:rFonts w:ascii="Palatino Linotype" w:hAnsi="Palatino Linotype"/>
          <w:b/>
          <w:i/>
          <w:color w:val="000000" w:themeColor="text1"/>
          <w:sz w:val="22"/>
        </w:rPr>
        <w:t>Ejecutar la política en materia de reordenamiento urbano</w:t>
      </w:r>
      <w:r w:rsidRPr="00570A4E">
        <w:rPr>
          <w:rFonts w:ascii="Palatino Linotype" w:hAnsi="Palatino Linotype"/>
          <w:i/>
          <w:color w:val="000000" w:themeColor="text1"/>
          <w:sz w:val="22"/>
        </w:rPr>
        <w:t>;</w:t>
      </w:r>
    </w:p>
    <w:p w14:paraId="20A905DE" w14:textId="45D333EF" w:rsidR="000764E1" w:rsidRPr="00570A4E" w:rsidRDefault="000764E1" w:rsidP="000764E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II.</w:t>
      </w:r>
      <w:r w:rsidRPr="00570A4E">
        <w:rPr>
          <w:rFonts w:ascii="Palatino Linotype" w:hAnsi="Palatino Linotype"/>
          <w:i/>
          <w:color w:val="000000" w:themeColor="text1"/>
          <w:sz w:val="22"/>
        </w:rPr>
        <w:t xml:space="preserve"> </w:t>
      </w:r>
      <w:r w:rsidRPr="00570A4E">
        <w:rPr>
          <w:rFonts w:ascii="Palatino Linotype" w:hAnsi="Palatino Linotype"/>
          <w:b/>
          <w:i/>
          <w:color w:val="000000" w:themeColor="text1"/>
          <w:sz w:val="22"/>
        </w:rPr>
        <w:t>Formular y conducir las políticas municipales de asentamientos humanos</w:t>
      </w:r>
      <w:r w:rsidRPr="00570A4E">
        <w:rPr>
          <w:rFonts w:ascii="Palatino Linotype" w:hAnsi="Palatino Linotype"/>
          <w:i/>
          <w:color w:val="000000" w:themeColor="text1"/>
          <w:sz w:val="22"/>
        </w:rPr>
        <w:t>, urbanismo y vivienda;</w:t>
      </w:r>
    </w:p>
    <w:p w14:paraId="02AFCB8A" w14:textId="461F37AC" w:rsidR="000764E1" w:rsidRPr="00570A4E" w:rsidRDefault="000764E1" w:rsidP="000764E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III.</w:t>
      </w:r>
      <w:r w:rsidRPr="00570A4E">
        <w:rPr>
          <w:rFonts w:ascii="Palatino Linotype" w:hAnsi="Palatino Linotype"/>
          <w:i/>
          <w:color w:val="000000" w:themeColor="text1"/>
          <w:sz w:val="22"/>
        </w:rPr>
        <w:t xml:space="preserve"> Aplicar y vigilar el cumplimiento de las disposiciones legales en materia de ordenamiento territorial de los asentamientos humanos, del desarrollo urbano y vivienda;</w:t>
      </w:r>
      <w:r w:rsidRPr="00570A4E">
        <w:rPr>
          <w:rFonts w:ascii="Palatino Linotype" w:hAnsi="Palatino Linotype"/>
          <w:i/>
          <w:color w:val="000000" w:themeColor="text1"/>
          <w:sz w:val="22"/>
        </w:rPr>
        <w:cr/>
        <w:t>(…)</w:t>
      </w:r>
    </w:p>
    <w:p w14:paraId="659B3F93" w14:textId="55C81ECA" w:rsidR="000764E1" w:rsidRPr="00570A4E" w:rsidRDefault="000764E1" w:rsidP="000764E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VI. Analizar las</w:t>
      </w:r>
      <w:r w:rsidRPr="00570A4E">
        <w:rPr>
          <w:rFonts w:ascii="Palatino Linotype" w:hAnsi="Palatino Linotype"/>
          <w:i/>
          <w:color w:val="000000" w:themeColor="text1"/>
          <w:sz w:val="22"/>
        </w:rPr>
        <w:t xml:space="preserve"> cédulas informativas de zonificación, </w:t>
      </w:r>
      <w:r w:rsidRPr="00570A4E">
        <w:rPr>
          <w:rFonts w:ascii="Palatino Linotype" w:hAnsi="Palatino Linotype"/>
          <w:b/>
          <w:i/>
          <w:color w:val="000000" w:themeColor="text1"/>
          <w:sz w:val="22"/>
        </w:rPr>
        <w:t>licencias de uso de suelo</w:t>
      </w:r>
      <w:r w:rsidRPr="00570A4E">
        <w:rPr>
          <w:rFonts w:ascii="Palatino Linotype" w:hAnsi="Palatino Linotype"/>
          <w:i/>
          <w:color w:val="000000" w:themeColor="text1"/>
          <w:sz w:val="22"/>
        </w:rPr>
        <w:t xml:space="preserve"> y licencias de construcción;</w:t>
      </w:r>
    </w:p>
    <w:p w14:paraId="6BBDA2B1" w14:textId="5E034652" w:rsidR="00815D68" w:rsidRPr="00570A4E" w:rsidRDefault="000764E1" w:rsidP="000764E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VII. Vigilar la utilización y aprovechamiento del suelo</w:t>
      </w:r>
      <w:r w:rsidRPr="00570A4E">
        <w:rPr>
          <w:rFonts w:ascii="Palatino Linotype" w:hAnsi="Palatino Linotype"/>
          <w:i/>
          <w:color w:val="000000" w:themeColor="text1"/>
          <w:sz w:val="22"/>
        </w:rPr>
        <w:t xml:space="preserve"> con fines urbanos, en su circunscripción territorial;</w:t>
      </w:r>
    </w:p>
    <w:p w14:paraId="651753EA" w14:textId="77777777" w:rsidR="00815D68" w:rsidRPr="00570A4E" w:rsidRDefault="00815D68" w:rsidP="00815D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t>(…)”</w:t>
      </w:r>
    </w:p>
    <w:p w14:paraId="4AFB1C56" w14:textId="77777777" w:rsidR="00815D68" w:rsidRPr="00570A4E" w:rsidRDefault="00815D68" w:rsidP="00815D68">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70A4E">
        <w:rPr>
          <w:rFonts w:ascii="Palatino Linotype" w:hAnsi="Palatino Linotype"/>
          <w:color w:val="000000" w:themeColor="text1"/>
          <w:sz w:val="22"/>
        </w:rPr>
        <w:t>(Énfasis añadido)</w:t>
      </w:r>
    </w:p>
    <w:p w14:paraId="7473FF32" w14:textId="77777777" w:rsidR="00006A78" w:rsidRPr="00570A4E" w:rsidRDefault="00006A78" w:rsidP="00A227B3">
      <w:pPr>
        <w:pStyle w:val="Prrafodelista"/>
        <w:tabs>
          <w:tab w:val="left" w:pos="426"/>
        </w:tabs>
        <w:spacing w:before="240" w:after="240" w:line="360" w:lineRule="auto"/>
        <w:ind w:left="0" w:right="51"/>
        <w:jc w:val="both"/>
        <w:rPr>
          <w:rFonts w:ascii="Palatino Linotype" w:hAnsi="Palatino Linotype"/>
          <w:color w:val="000000" w:themeColor="text1"/>
        </w:rPr>
      </w:pPr>
    </w:p>
    <w:p w14:paraId="2054159A" w14:textId="75511737" w:rsidR="00AD1795" w:rsidRPr="00570A4E" w:rsidRDefault="00815D68" w:rsidP="002D0BA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De </w:t>
      </w:r>
      <w:r w:rsidR="00F52B35" w:rsidRPr="00570A4E">
        <w:rPr>
          <w:rFonts w:ascii="Palatino Linotype" w:hAnsi="Palatino Linotype"/>
          <w:color w:val="000000" w:themeColor="text1"/>
        </w:rPr>
        <w:t xml:space="preserve">tal guisa que la Dirección de Desarrollo Económico será el área administrativa del </w:t>
      </w:r>
      <w:r w:rsidR="00F52B35" w:rsidRPr="00570A4E">
        <w:rPr>
          <w:rFonts w:ascii="Palatino Linotype" w:hAnsi="Palatino Linotype"/>
          <w:b/>
          <w:color w:val="000000" w:themeColor="text1"/>
        </w:rPr>
        <w:t>SUJETO OBLIGADO</w:t>
      </w:r>
      <w:r w:rsidR="000764E1" w:rsidRPr="00570A4E">
        <w:rPr>
          <w:rFonts w:ascii="Palatino Linotype" w:hAnsi="Palatino Linotype"/>
          <w:color w:val="000000" w:themeColor="text1"/>
        </w:rPr>
        <w:t xml:space="preserve"> encargada de vigilar, controlar </w:t>
      </w:r>
      <w:r w:rsidR="00F52B35" w:rsidRPr="00570A4E">
        <w:rPr>
          <w:rFonts w:ascii="Palatino Linotype" w:hAnsi="Palatino Linotype"/>
          <w:color w:val="000000" w:themeColor="text1"/>
        </w:rPr>
        <w:t xml:space="preserve">y regular </w:t>
      </w:r>
      <w:r w:rsidR="000764E1" w:rsidRPr="00570A4E">
        <w:rPr>
          <w:rFonts w:ascii="Palatino Linotype" w:hAnsi="Palatino Linotype"/>
          <w:color w:val="000000" w:themeColor="text1"/>
        </w:rPr>
        <w:t>la política de reordenamiento urbano, así como de asentamientos humanos y vivienda</w:t>
      </w:r>
      <w:r w:rsidR="00F52B35" w:rsidRPr="00570A4E">
        <w:rPr>
          <w:rFonts w:ascii="Palatino Linotype" w:hAnsi="Palatino Linotype"/>
          <w:color w:val="000000" w:themeColor="text1"/>
        </w:rPr>
        <w:t xml:space="preserve"> en el Municipio de </w:t>
      </w:r>
      <w:r w:rsidR="000764E1" w:rsidRPr="00570A4E">
        <w:rPr>
          <w:rFonts w:ascii="Palatino Linotype" w:hAnsi="Palatino Linotype"/>
          <w:color w:val="000000" w:themeColor="text1"/>
        </w:rPr>
        <w:t>Huixquilucan</w:t>
      </w:r>
      <w:r w:rsidR="00F52B35" w:rsidRPr="00570A4E">
        <w:rPr>
          <w:rFonts w:ascii="Palatino Linotype" w:hAnsi="Palatino Linotype"/>
          <w:color w:val="000000" w:themeColor="text1"/>
        </w:rPr>
        <w:t>; por ende, será ésta la e</w:t>
      </w:r>
      <w:r w:rsidR="000764E1" w:rsidRPr="00570A4E">
        <w:rPr>
          <w:rFonts w:ascii="Palatino Linotype" w:hAnsi="Palatino Linotype"/>
          <w:color w:val="000000" w:themeColor="text1"/>
        </w:rPr>
        <w:t>ncargada de observar la utilización y aprovechamiento del suelo mediante el análisis de cédulas informativas de zonificación, así como la emisión de licencias de uso de suelo y construcción.</w:t>
      </w:r>
    </w:p>
    <w:p w14:paraId="771DF6CB" w14:textId="77777777" w:rsidR="00AD1795" w:rsidRPr="00570A4E" w:rsidRDefault="00AD1795" w:rsidP="00AD1795">
      <w:pPr>
        <w:pStyle w:val="Prrafodelista"/>
        <w:tabs>
          <w:tab w:val="left" w:pos="426"/>
        </w:tabs>
        <w:spacing w:before="240" w:after="240" w:line="360" w:lineRule="auto"/>
        <w:ind w:left="0" w:right="51"/>
        <w:jc w:val="both"/>
        <w:rPr>
          <w:rFonts w:ascii="Palatino Linotype" w:hAnsi="Palatino Linotype"/>
          <w:color w:val="000000" w:themeColor="text1"/>
        </w:rPr>
      </w:pPr>
    </w:p>
    <w:p w14:paraId="5CBAC1F5" w14:textId="0F21CFC1" w:rsidR="00A44145" w:rsidRPr="00570A4E" w:rsidRDefault="000D704C" w:rsidP="002A25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Lo anterior es reconocido dentro del Bando Municipal de </w:t>
      </w:r>
      <w:r w:rsidR="002A2544" w:rsidRPr="00570A4E">
        <w:rPr>
          <w:rFonts w:ascii="Palatino Linotype" w:eastAsia="MS Mincho" w:hAnsi="Palatino Linotype" w:cs="Times New Roman"/>
          <w:color w:val="000000"/>
        </w:rPr>
        <w:t>Huixquilucan</w:t>
      </w:r>
      <w:r w:rsidRPr="00570A4E">
        <w:rPr>
          <w:rFonts w:ascii="Palatino Linotype" w:eastAsia="MS Mincho" w:hAnsi="Palatino Linotype" w:cs="Times New Roman"/>
          <w:color w:val="000000"/>
        </w:rPr>
        <w:t xml:space="preserve">, </w:t>
      </w:r>
      <w:r w:rsidR="00257740" w:rsidRPr="00570A4E">
        <w:rPr>
          <w:rFonts w:ascii="Palatino Linotype" w:eastAsia="MS Mincho" w:hAnsi="Palatino Linotype" w:cs="Times New Roman"/>
          <w:color w:val="000000"/>
        </w:rPr>
        <w:t xml:space="preserve">que en su artículo </w:t>
      </w:r>
      <w:r w:rsidR="002A2544" w:rsidRPr="00570A4E">
        <w:rPr>
          <w:rFonts w:ascii="Palatino Linotype" w:eastAsia="MS Mincho" w:hAnsi="Palatino Linotype" w:cs="Times New Roman"/>
          <w:color w:val="000000"/>
        </w:rPr>
        <w:t>133</w:t>
      </w:r>
      <w:r w:rsidR="00257740" w:rsidRPr="00570A4E">
        <w:rPr>
          <w:rFonts w:ascii="Palatino Linotype" w:eastAsia="MS Mincho" w:hAnsi="Palatino Linotype" w:cs="Times New Roman"/>
          <w:color w:val="000000"/>
        </w:rPr>
        <w:t xml:space="preserve"> establece que </w:t>
      </w:r>
      <w:r w:rsidR="002A2544" w:rsidRPr="00570A4E">
        <w:rPr>
          <w:rFonts w:ascii="Palatino Linotype" w:eastAsia="MS Mincho" w:hAnsi="Palatino Linotype" w:cs="Times New Roman"/>
          <w:color w:val="000000"/>
        </w:rPr>
        <w:t xml:space="preserve">el ayuntamiento, en cumplimiento a las leyes federales y estatales relativas, y a los planes de desarrollo urbano vigentes, respecto a los </w:t>
      </w:r>
      <w:r w:rsidR="002A2544" w:rsidRPr="00570A4E">
        <w:rPr>
          <w:rFonts w:ascii="Palatino Linotype" w:eastAsia="MS Mincho" w:hAnsi="Palatino Linotype" w:cs="Times New Roman"/>
          <w:color w:val="000000"/>
        </w:rPr>
        <w:lastRenderedPageBreak/>
        <w:t>asentamientos y el desarrollo urbano sustentable tendrá, entre otras, las siguientes atribuciones:</w:t>
      </w:r>
    </w:p>
    <w:p w14:paraId="4B28293F" w14:textId="52CF030E" w:rsidR="002A2544" w:rsidRPr="00570A4E" w:rsidRDefault="002A2544" w:rsidP="008D0826">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Autorizar, </w:t>
      </w:r>
      <w:r w:rsidRPr="00570A4E">
        <w:rPr>
          <w:rFonts w:ascii="Palatino Linotype" w:eastAsia="MS Mincho" w:hAnsi="Palatino Linotype" w:cs="Times New Roman"/>
          <w:b/>
          <w:color w:val="000000"/>
        </w:rPr>
        <w:t>controlar</w:t>
      </w:r>
      <w:r w:rsidRPr="00570A4E">
        <w:rPr>
          <w:rFonts w:ascii="Palatino Linotype" w:eastAsia="MS Mincho" w:hAnsi="Palatino Linotype" w:cs="Times New Roman"/>
          <w:color w:val="000000"/>
        </w:rPr>
        <w:t xml:space="preserve"> y vigilar </w:t>
      </w:r>
      <w:r w:rsidRPr="00570A4E">
        <w:rPr>
          <w:rFonts w:ascii="Palatino Linotype" w:eastAsia="MS Mincho" w:hAnsi="Palatino Linotype" w:cs="Times New Roman"/>
          <w:b/>
          <w:color w:val="000000"/>
        </w:rPr>
        <w:t>el uso adecuado del suelo</w:t>
      </w:r>
      <w:r w:rsidRPr="00570A4E">
        <w:rPr>
          <w:rFonts w:ascii="Palatino Linotype" w:eastAsia="MS Mincho" w:hAnsi="Palatino Linotype" w:cs="Times New Roman"/>
          <w:color w:val="000000"/>
        </w:rPr>
        <w:t>; y</w:t>
      </w:r>
    </w:p>
    <w:p w14:paraId="50A88969" w14:textId="2BE6DD92" w:rsidR="002A2544" w:rsidRPr="00570A4E" w:rsidRDefault="002A2544" w:rsidP="008D0826">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570A4E">
        <w:rPr>
          <w:rFonts w:ascii="Palatino Linotype" w:eastAsia="MS Mincho" w:hAnsi="Palatino Linotype" w:cs="Times New Roman"/>
          <w:b/>
          <w:color w:val="000000"/>
        </w:rPr>
        <w:t>Autorizar cambios de uso de suelo, de densidad e intensidad y altura de edificaciones</w:t>
      </w:r>
      <w:r w:rsidRPr="00570A4E">
        <w:rPr>
          <w:rFonts w:ascii="Palatino Linotype" w:eastAsia="MS Mincho" w:hAnsi="Palatino Linotype" w:cs="Times New Roman"/>
          <w:color w:val="000000"/>
        </w:rPr>
        <w:t>, conforme al libro quinto del Código Administrativo del Estado de México.</w:t>
      </w:r>
    </w:p>
    <w:p w14:paraId="4C65D116" w14:textId="77777777" w:rsidR="002A2544" w:rsidRPr="00570A4E" w:rsidRDefault="002A2544"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777A0242" w14:textId="442DF23B" w:rsidR="002A2544" w:rsidRPr="00570A4E" w:rsidRDefault="002A2544" w:rsidP="002A25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Correlativo a lo anterior, la </w:t>
      </w:r>
      <w:r w:rsidRPr="00570A4E">
        <w:rPr>
          <w:rFonts w:ascii="Palatino Linotype" w:eastAsia="MS Mincho" w:hAnsi="Palatino Linotype" w:cs="Times New Roman"/>
          <w:b/>
          <w:color w:val="000000"/>
        </w:rPr>
        <w:t>Dirección General de Desarrollo Urbano Sustentable</w:t>
      </w:r>
      <w:r w:rsidRPr="00570A4E">
        <w:rPr>
          <w:rFonts w:ascii="Palatino Linotype" w:eastAsia="MS Mincho" w:hAnsi="Palatino Linotype" w:cs="Times New Roman"/>
          <w:color w:val="000000"/>
        </w:rPr>
        <w:t>, será la encargada de planear, regular, controlar, vigilar y fomentar el ordenamiento territorial de los asentamientos humanos, la infraestructura vial y la imagen urbana del Municipio; por ende, tendrá entre sus atribuciones, el formular, proponer y conducir las políticas municipales en materia de asentamientos humanos y desarrollo urbano</w:t>
      </w:r>
      <w:r w:rsidRPr="00570A4E">
        <w:rPr>
          <w:rStyle w:val="Refdenotaalpie"/>
          <w:rFonts w:ascii="Palatino Linotype" w:eastAsia="MS Mincho" w:hAnsi="Palatino Linotype" w:cs="Times New Roman"/>
          <w:color w:val="000000"/>
        </w:rPr>
        <w:t xml:space="preserve"> </w:t>
      </w:r>
      <w:r w:rsidR="00241770" w:rsidRPr="00570A4E">
        <w:rPr>
          <w:rFonts w:ascii="Palatino Linotype" w:eastAsia="MS Mincho" w:hAnsi="Palatino Linotype" w:cs="Times New Roman"/>
          <w:color w:val="000000"/>
        </w:rPr>
        <w:t xml:space="preserve">; asimismo, se encargará de </w:t>
      </w:r>
      <w:r w:rsidR="00241770" w:rsidRPr="00570A4E">
        <w:rPr>
          <w:rFonts w:ascii="Palatino Linotype" w:eastAsia="MS Mincho" w:hAnsi="Palatino Linotype" w:cs="Times New Roman"/>
          <w:b/>
          <w:color w:val="000000"/>
        </w:rPr>
        <w:t>autorizar</w:t>
      </w:r>
      <w:r w:rsidR="00241770" w:rsidRPr="00570A4E">
        <w:rPr>
          <w:rFonts w:ascii="Palatino Linotype" w:eastAsia="MS Mincho" w:hAnsi="Palatino Linotype" w:cs="Times New Roman"/>
          <w:color w:val="000000"/>
        </w:rPr>
        <w:t xml:space="preserve"> </w:t>
      </w:r>
      <w:r w:rsidR="00241770" w:rsidRPr="00570A4E">
        <w:rPr>
          <w:rFonts w:ascii="Palatino Linotype" w:hAnsi="Palatino Linotype"/>
          <w:b/>
          <w:color w:val="000000" w:themeColor="text1"/>
        </w:rPr>
        <w:t>cambios de uso del suelo</w:t>
      </w:r>
      <w:r w:rsidR="00241770" w:rsidRPr="00570A4E">
        <w:rPr>
          <w:rFonts w:ascii="Palatino Linotype" w:hAnsi="Palatino Linotype"/>
          <w:color w:val="000000" w:themeColor="text1"/>
        </w:rPr>
        <w:t>, de coeficiente de ocupación, de coeficiente de utilización, densidad y altura de edificaciones</w:t>
      </w:r>
      <w:r w:rsidR="00241770" w:rsidRPr="00570A4E">
        <w:rPr>
          <w:rStyle w:val="Refdenotaalpie"/>
          <w:rFonts w:ascii="Palatino Linotype" w:eastAsia="MS Mincho" w:hAnsi="Palatino Linotype" w:cs="Times New Roman"/>
          <w:color w:val="000000"/>
        </w:rPr>
        <w:t xml:space="preserve"> </w:t>
      </w:r>
      <w:r w:rsidRPr="00570A4E">
        <w:rPr>
          <w:rStyle w:val="Refdenotaalpie"/>
          <w:rFonts w:ascii="Palatino Linotype" w:eastAsia="MS Mincho" w:hAnsi="Palatino Linotype" w:cs="Times New Roman"/>
          <w:color w:val="000000"/>
        </w:rPr>
        <w:footnoteReference w:id="20"/>
      </w:r>
      <w:r w:rsidR="00241770" w:rsidRPr="00570A4E">
        <w:rPr>
          <w:rFonts w:ascii="Palatino Linotype" w:eastAsia="MS Mincho" w:hAnsi="Palatino Linotype" w:cs="Times New Roman"/>
          <w:color w:val="000000"/>
        </w:rPr>
        <w:t>.</w:t>
      </w:r>
    </w:p>
    <w:p w14:paraId="791327BC" w14:textId="77777777" w:rsidR="002A2544" w:rsidRPr="00570A4E" w:rsidRDefault="002A2544"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1EB5938B" w14:textId="2AE2C032" w:rsidR="002A2544" w:rsidRPr="00570A4E" w:rsidRDefault="00241770" w:rsidP="002A25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De conformidad con lo dispuesto por el artículo 147 del Reglamento Orgánico de la Administración Pública Municipal de Huixquilucan, la Dirección General de Desarrollo Sustentable se conformará por las siguientes subdirecciones y departamentos:</w:t>
      </w:r>
    </w:p>
    <w:p w14:paraId="6EE842F7" w14:textId="77777777" w:rsidR="002A2544" w:rsidRPr="00570A4E" w:rsidRDefault="002A2544"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2986BF16" w14:textId="77777777" w:rsidR="00241770" w:rsidRPr="00570A4E" w:rsidRDefault="00241770" w:rsidP="002417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t>“</w:t>
      </w:r>
      <w:r w:rsidRPr="00570A4E">
        <w:rPr>
          <w:rFonts w:ascii="Palatino Linotype" w:hAnsi="Palatino Linotype"/>
          <w:b/>
          <w:i/>
          <w:color w:val="000000" w:themeColor="text1"/>
          <w:sz w:val="22"/>
        </w:rPr>
        <w:t>Artículo 147.</w:t>
      </w:r>
      <w:r w:rsidRPr="00570A4E">
        <w:rPr>
          <w:rFonts w:ascii="Palatino Linotype" w:hAnsi="Palatino Linotype"/>
          <w:i/>
          <w:color w:val="000000" w:themeColor="text1"/>
          <w:sz w:val="22"/>
        </w:rPr>
        <w:t xml:space="preserve"> Para el despacho de los asuntos de su competencia, el titular de la Dirección General de Desarrollo Urbano Sustentable, se auxiliará de: </w:t>
      </w:r>
    </w:p>
    <w:p w14:paraId="68FBABB8" w14:textId="77777777" w:rsidR="00241770" w:rsidRPr="00570A4E" w:rsidRDefault="00241770" w:rsidP="002417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I.</w:t>
      </w:r>
      <w:r w:rsidRPr="00570A4E">
        <w:rPr>
          <w:rFonts w:ascii="Palatino Linotype" w:hAnsi="Palatino Linotype"/>
          <w:i/>
          <w:color w:val="000000" w:themeColor="text1"/>
          <w:sz w:val="22"/>
        </w:rPr>
        <w:t xml:space="preserve"> Coordinación Técnica;</w:t>
      </w:r>
    </w:p>
    <w:p w14:paraId="5AD62BD5" w14:textId="77777777" w:rsidR="00241770" w:rsidRPr="00570A4E" w:rsidRDefault="00241770" w:rsidP="002417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II.</w:t>
      </w:r>
      <w:r w:rsidRPr="00570A4E">
        <w:rPr>
          <w:rFonts w:ascii="Palatino Linotype" w:hAnsi="Palatino Linotype"/>
          <w:i/>
          <w:color w:val="000000" w:themeColor="text1"/>
          <w:sz w:val="22"/>
        </w:rPr>
        <w:t xml:space="preserve"> Subdirección de Movilidad Urbana; </w:t>
      </w:r>
    </w:p>
    <w:p w14:paraId="4F032C43" w14:textId="655C6A83" w:rsidR="00241770" w:rsidRPr="00570A4E" w:rsidRDefault="00241770" w:rsidP="0024177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lastRenderedPageBreak/>
        <w:t>a)</w:t>
      </w:r>
      <w:r w:rsidRPr="00570A4E">
        <w:rPr>
          <w:rFonts w:ascii="Palatino Linotype" w:hAnsi="Palatino Linotype"/>
          <w:i/>
          <w:color w:val="000000" w:themeColor="text1"/>
          <w:sz w:val="22"/>
        </w:rPr>
        <w:t xml:space="preserve"> Departamento de Gestión de la Movilidad. </w:t>
      </w:r>
    </w:p>
    <w:p w14:paraId="372D5EB1" w14:textId="77777777" w:rsidR="00241770" w:rsidRPr="00570A4E" w:rsidRDefault="00241770" w:rsidP="002417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III.</w:t>
      </w:r>
      <w:r w:rsidRPr="00570A4E">
        <w:rPr>
          <w:rFonts w:ascii="Palatino Linotype" w:hAnsi="Palatino Linotype"/>
          <w:i/>
          <w:color w:val="000000" w:themeColor="text1"/>
          <w:sz w:val="22"/>
        </w:rPr>
        <w:t xml:space="preserve"> Subdirección de Gestión Urbana; </w:t>
      </w:r>
    </w:p>
    <w:p w14:paraId="0E8F06DE" w14:textId="62966B8A" w:rsidR="00241770" w:rsidRPr="00570A4E" w:rsidRDefault="00241770" w:rsidP="0024177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a)</w:t>
      </w:r>
      <w:r w:rsidRPr="00570A4E">
        <w:rPr>
          <w:rFonts w:ascii="Palatino Linotype" w:hAnsi="Palatino Linotype"/>
          <w:i/>
          <w:color w:val="000000" w:themeColor="text1"/>
          <w:sz w:val="22"/>
        </w:rPr>
        <w:t xml:space="preserve"> Departamento de Licencias. </w:t>
      </w:r>
    </w:p>
    <w:p w14:paraId="17E1CC8D" w14:textId="77777777" w:rsidR="00241770" w:rsidRPr="00570A4E" w:rsidRDefault="00241770" w:rsidP="0024177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570A4E">
        <w:rPr>
          <w:rFonts w:ascii="Palatino Linotype" w:hAnsi="Palatino Linotype"/>
          <w:b/>
          <w:i/>
          <w:color w:val="000000" w:themeColor="text1"/>
          <w:sz w:val="22"/>
        </w:rPr>
        <w:t xml:space="preserve">IV. Subdirección de Planeación; </w:t>
      </w:r>
    </w:p>
    <w:p w14:paraId="58961EEC" w14:textId="77777777" w:rsidR="00241770" w:rsidRPr="00570A4E" w:rsidRDefault="00241770" w:rsidP="00241770">
      <w:pPr>
        <w:pStyle w:val="Prrafodelista"/>
        <w:tabs>
          <w:tab w:val="left" w:pos="426"/>
        </w:tabs>
        <w:spacing w:before="240" w:after="240" w:line="276" w:lineRule="auto"/>
        <w:ind w:left="851" w:right="567"/>
        <w:jc w:val="both"/>
        <w:rPr>
          <w:rFonts w:ascii="Palatino Linotype" w:hAnsi="Palatino Linotype"/>
          <w:b/>
          <w:i/>
          <w:color w:val="000000" w:themeColor="text1"/>
          <w:sz w:val="22"/>
        </w:rPr>
      </w:pPr>
      <w:r w:rsidRPr="00570A4E">
        <w:rPr>
          <w:rFonts w:ascii="Palatino Linotype" w:hAnsi="Palatino Linotype"/>
          <w:b/>
          <w:i/>
          <w:color w:val="000000" w:themeColor="text1"/>
          <w:sz w:val="22"/>
        </w:rPr>
        <w:t xml:space="preserve">a) Departamento de Uso de Suelo; y </w:t>
      </w:r>
    </w:p>
    <w:p w14:paraId="4DDE24D4" w14:textId="122D2DD6" w:rsidR="00241770" w:rsidRPr="00570A4E" w:rsidRDefault="00241770" w:rsidP="0024177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t xml:space="preserve">b) Departamento de Gestión Territorial </w:t>
      </w:r>
    </w:p>
    <w:p w14:paraId="6A442602" w14:textId="77777777" w:rsidR="00241770" w:rsidRPr="00570A4E" w:rsidRDefault="00241770" w:rsidP="002417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V.</w:t>
      </w:r>
      <w:r w:rsidRPr="00570A4E">
        <w:rPr>
          <w:rFonts w:ascii="Palatino Linotype" w:hAnsi="Palatino Linotype"/>
          <w:i/>
          <w:color w:val="000000" w:themeColor="text1"/>
          <w:sz w:val="22"/>
        </w:rPr>
        <w:t xml:space="preserve"> Subdirección de Control; </w:t>
      </w:r>
    </w:p>
    <w:p w14:paraId="3AA04E47" w14:textId="77777777" w:rsidR="00241770" w:rsidRPr="00570A4E" w:rsidRDefault="00241770" w:rsidP="0024177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t xml:space="preserve">a) Departamento de Procedimientos Administrativos; y </w:t>
      </w:r>
    </w:p>
    <w:p w14:paraId="1D61A45E" w14:textId="32E7D954" w:rsidR="00241770" w:rsidRPr="00570A4E" w:rsidRDefault="00241770" w:rsidP="0024177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570A4E">
        <w:rPr>
          <w:rFonts w:ascii="Palatino Linotype" w:hAnsi="Palatino Linotype"/>
          <w:i/>
          <w:color w:val="000000" w:themeColor="text1"/>
          <w:sz w:val="22"/>
        </w:rPr>
        <w:t xml:space="preserve">b) Departamento de Normatividad. </w:t>
      </w:r>
    </w:p>
    <w:p w14:paraId="038935B3" w14:textId="77777777" w:rsidR="00241770" w:rsidRPr="00570A4E" w:rsidRDefault="00241770" w:rsidP="002417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VI.</w:t>
      </w:r>
      <w:r w:rsidRPr="00570A4E">
        <w:rPr>
          <w:rFonts w:ascii="Palatino Linotype" w:hAnsi="Palatino Linotype"/>
          <w:i/>
          <w:color w:val="000000" w:themeColor="text1"/>
          <w:sz w:val="22"/>
        </w:rPr>
        <w:t xml:space="preserve"> Subdirección de Imagen Urbana; </w:t>
      </w:r>
    </w:p>
    <w:p w14:paraId="7C9A1624" w14:textId="77777777" w:rsidR="00241770" w:rsidRPr="00570A4E" w:rsidRDefault="00241770" w:rsidP="0024177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a)</w:t>
      </w:r>
      <w:r w:rsidRPr="00570A4E">
        <w:rPr>
          <w:rFonts w:ascii="Palatino Linotype" w:hAnsi="Palatino Linotype"/>
          <w:i/>
          <w:color w:val="000000" w:themeColor="text1"/>
          <w:sz w:val="22"/>
        </w:rPr>
        <w:t xml:space="preserve"> Departamento de Evaluación y Dictamen; y</w:t>
      </w:r>
    </w:p>
    <w:p w14:paraId="0859F444" w14:textId="3E506647" w:rsidR="00241770" w:rsidRPr="00570A4E" w:rsidRDefault="00241770" w:rsidP="0024177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b)</w:t>
      </w:r>
      <w:r w:rsidRPr="00570A4E">
        <w:rPr>
          <w:rFonts w:ascii="Palatino Linotype" w:hAnsi="Palatino Linotype"/>
          <w:i/>
          <w:color w:val="000000" w:themeColor="text1"/>
          <w:sz w:val="22"/>
        </w:rPr>
        <w:t xml:space="preserve"> Departamento de Mobiliario Urbano, Anuncios y Espacios en Vía Pública. </w:t>
      </w:r>
    </w:p>
    <w:p w14:paraId="71B2D1F3" w14:textId="7DFC8062" w:rsidR="00241770" w:rsidRPr="00570A4E" w:rsidRDefault="00241770" w:rsidP="002417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VII.</w:t>
      </w:r>
      <w:r w:rsidRPr="00570A4E">
        <w:rPr>
          <w:rFonts w:ascii="Palatino Linotype" w:hAnsi="Palatino Linotype"/>
          <w:i/>
          <w:color w:val="000000" w:themeColor="text1"/>
          <w:sz w:val="22"/>
        </w:rPr>
        <w:t xml:space="preserve"> Enlace de Conjuntos Urbanos. </w:t>
      </w:r>
    </w:p>
    <w:p w14:paraId="57F402F2" w14:textId="742D4917" w:rsidR="00241770" w:rsidRPr="00570A4E" w:rsidRDefault="00241770" w:rsidP="0024177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70A4E">
        <w:rPr>
          <w:rFonts w:ascii="Palatino Linotype" w:hAnsi="Palatino Linotype"/>
          <w:b/>
          <w:i/>
          <w:color w:val="000000" w:themeColor="text1"/>
          <w:sz w:val="22"/>
        </w:rPr>
        <w:t>VIII.</w:t>
      </w:r>
      <w:r w:rsidRPr="00570A4E">
        <w:rPr>
          <w:rFonts w:ascii="Palatino Linotype" w:hAnsi="Palatino Linotype"/>
          <w:i/>
          <w:color w:val="000000" w:themeColor="text1"/>
          <w:sz w:val="22"/>
        </w:rPr>
        <w:t xml:space="preserve"> Enlace Administrativo.”</w:t>
      </w:r>
    </w:p>
    <w:p w14:paraId="2D708DBB" w14:textId="0A639A5E" w:rsidR="00241770" w:rsidRPr="00570A4E" w:rsidRDefault="00241770" w:rsidP="00241770">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70A4E">
        <w:rPr>
          <w:rFonts w:ascii="Palatino Linotype" w:hAnsi="Palatino Linotype"/>
          <w:color w:val="000000" w:themeColor="text1"/>
          <w:sz w:val="22"/>
        </w:rPr>
        <w:t>(Énfasis añadido)</w:t>
      </w:r>
    </w:p>
    <w:p w14:paraId="4721F460" w14:textId="77777777" w:rsidR="00241770" w:rsidRPr="00570A4E" w:rsidRDefault="00241770"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4813CE0F" w14:textId="3CC756DC" w:rsidR="002A2544" w:rsidRPr="00570A4E" w:rsidRDefault="00241770" w:rsidP="002A25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Por cuanto hace a la Subdirección de Planeación, ésta se encargará de </w:t>
      </w:r>
      <w:r w:rsidRPr="00570A4E">
        <w:rPr>
          <w:rFonts w:ascii="Palatino Linotype" w:eastAsia="MS Mincho" w:hAnsi="Palatino Linotype" w:cs="Times New Roman"/>
          <w:b/>
          <w:color w:val="000000"/>
        </w:rPr>
        <w:t>recibir y atender las solicitudes</w:t>
      </w:r>
      <w:r w:rsidRPr="00570A4E">
        <w:rPr>
          <w:rFonts w:ascii="Palatino Linotype" w:eastAsia="MS Mincho" w:hAnsi="Palatino Linotype" w:cs="Times New Roman"/>
          <w:color w:val="000000"/>
        </w:rPr>
        <w:t xml:space="preserve"> de personas físicas o jurídico colectivas </w:t>
      </w:r>
      <w:r w:rsidRPr="00570A4E">
        <w:rPr>
          <w:rFonts w:ascii="Palatino Linotype" w:eastAsia="MS Mincho" w:hAnsi="Palatino Linotype" w:cs="Times New Roman"/>
          <w:b/>
          <w:color w:val="000000"/>
        </w:rPr>
        <w:t>para la obtención de licencias de uso de suelo;</w:t>
      </w:r>
      <w:r w:rsidRPr="00570A4E">
        <w:rPr>
          <w:rFonts w:ascii="Palatino Linotype" w:eastAsia="MS Mincho" w:hAnsi="Palatino Linotype" w:cs="Times New Roman"/>
          <w:color w:val="000000"/>
        </w:rPr>
        <w:t xml:space="preserve"> autorizar, </w:t>
      </w:r>
      <w:r w:rsidRPr="00570A4E">
        <w:rPr>
          <w:rFonts w:ascii="Palatino Linotype" w:eastAsia="MS Mincho" w:hAnsi="Palatino Linotype" w:cs="Times New Roman"/>
          <w:b/>
          <w:color w:val="000000"/>
        </w:rPr>
        <w:t>controlar</w:t>
      </w:r>
      <w:r w:rsidRPr="00570A4E">
        <w:rPr>
          <w:rFonts w:ascii="Palatino Linotype" w:eastAsia="MS Mincho" w:hAnsi="Palatino Linotype" w:cs="Times New Roman"/>
          <w:color w:val="000000"/>
        </w:rPr>
        <w:t xml:space="preserve"> y vigilar </w:t>
      </w:r>
      <w:r w:rsidRPr="00570A4E">
        <w:rPr>
          <w:rFonts w:ascii="Palatino Linotype" w:eastAsia="MS Mincho" w:hAnsi="Palatino Linotype" w:cs="Times New Roman"/>
          <w:b/>
          <w:color w:val="000000"/>
        </w:rPr>
        <w:t>la utilización del suelo</w:t>
      </w:r>
      <w:r w:rsidRPr="00570A4E">
        <w:rPr>
          <w:rFonts w:ascii="Palatino Linotype" w:eastAsia="MS Mincho" w:hAnsi="Palatino Linotype" w:cs="Times New Roman"/>
          <w:color w:val="000000"/>
        </w:rPr>
        <w:t xml:space="preserve"> con fines urbanos; </w:t>
      </w:r>
      <w:r w:rsidR="00756B9B" w:rsidRPr="00570A4E">
        <w:rPr>
          <w:rFonts w:ascii="Palatino Linotype" w:eastAsia="MS Mincho" w:hAnsi="Palatino Linotype" w:cs="Times New Roman"/>
          <w:b/>
          <w:color w:val="000000"/>
        </w:rPr>
        <w:t>emitir licencias de uso de suelo</w:t>
      </w:r>
      <w:r w:rsidR="00756B9B" w:rsidRPr="00570A4E">
        <w:rPr>
          <w:rFonts w:ascii="Palatino Linotype" w:eastAsia="MS Mincho" w:hAnsi="Palatino Linotype" w:cs="Times New Roman"/>
          <w:color w:val="000000"/>
        </w:rPr>
        <w:t xml:space="preserve"> conforme a la norma aplicable; y, </w:t>
      </w:r>
      <w:r w:rsidR="00756B9B" w:rsidRPr="00570A4E">
        <w:rPr>
          <w:rFonts w:ascii="Palatino Linotype" w:eastAsia="MS Mincho" w:hAnsi="Palatino Linotype" w:cs="Times New Roman"/>
          <w:b/>
          <w:color w:val="000000"/>
        </w:rPr>
        <w:t>llevar un control estadístico y electrónico de usos de suelo</w:t>
      </w:r>
      <w:r w:rsidR="00756B9B" w:rsidRPr="00570A4E">
        <w:rPr>
          <w:rFonts w:ascii="Palatino Linotype" w:eastAsia="MS Mincho" w:hAnsi="Palatino Linotype" w:cs="Times New Roman"/>
          <w:color w:val="000000"/>
        </w:rPr>
        <w:t xml:space="preserve"> expedidas de acuerdo a sus distintas modalidades.</w:t>
      </w:r>
    </w:p>
    <w:p w14:paraId="5F5DFEAE" w14:textId="77777777" w:rsidR="002A2544" w:rsidRPr="00570A4E" w:rsidRDefault="002A2544"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1736AEFA" w14:textId="0A493E58" w:rsidR="00174F53" w:rsidRPr="00570A4E" w:rsidRDefault="00174F53" w:rsidP="00174F53">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70A4E">
        <w:rPr>
          <w:rFonts w:ascii="Palatino Linotype" w:hAnsi="Palatino Linotype"/>
          <w:b/>
          <w:color w:val="000000" w:themeColor="text1"/>
        </w:rPr>
        <w:t>IV. De la información entregada en vía de Informe Justificado.</w:t>
      </w:r>
    </w:p>
    <w:p w14:paraId="27E3689D" w14:textId="77777777" w:rsidR="00174F53" w:rsidRPr="00570A4E" w:rsidRDefault="00174F53"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44B80647" w14:textId="07C2C4F3" w:rsidR="0049735A" w:rsidRPr="00570A4E" w:rsidRDefault="0049735A" w:rsidP="004973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Una vez establecido lo anterior, de las constancias que obran en el expediente electrónico formado en el SAIMEX, se aprecia que el </w:t>
      </w:r>
      <w:r w:rsidRPr="00570A4E">
        <w:rPr>
          <w:rFonts w:ascii="Palatino Linotype" w:eastAsia="MS Mincho" w:hAnsi="Palatino Linotype" w:cs="Times New Roman"/>
          <w:b/>
          <w:color w:val="000000"/>
        </w:rPr>
        <w:t>SUJETO OBLIGADO</w:t>
      </w:r>
      <w:r w:rsidRPr="00570A4E">
        <w:rPr>
          <w:rFonts w:ascii="Palatino Linotype" w:eastAsia="MS Mincho" w:hAnsi="Palatino Linotype" w:cs="Times New Roman"/>
          <w:color w:val="000000"/>
        </w:rPr>
        <w:t xml:space="preserve"> presentó, en vía de informe justificado, el oficio número DGDUS/SC/469/2022, de veintinueve (29) de agosto de dos mil veintidós, emitido por el Enlace de </w:t>
      </w:r>
      <w:r w:rsidRPr="00570A4E">
        <w:rPr>
          <w:rFonts w:ascii="Palatino Linotype" w:eastAsia="MS Mincho" w:hAnsi="Palatino Linotype" w:cs="Times New Roman"/>
          <w:color w:val="000000"/>
        </w:rPr>
        <w:lastRenderedPageBreak/>
        <w:t>Transparencia de la Dirección General de Desarrollo Urbano Sustentable, mismo que se inserta a continuación:</w:t>
      </w:r>
    </w:p>
    <w:p w14:paraId="34004A47" w14:textId="77777777" w:rsidR="002A2544" w:rsidRPr="00570A4E" w:rsidRDefault="002A2544"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3B836B1F" w14:textId="08759490" w:rsidR="0049735A" w:rsidRPr="00570A4E" w:rsidRDefault="0049735A" w:rsidP="0049735A">
      <w:pPr>
        <w:pStyle w:val="Prrafodelista"/>
        <w:tabs>
          <w:tab w:val="left" w:pos="426"/>
        </w:tabs>
        <w:spacing w:before="240" w:after="240" w:line="360" w:lineRule="auto"/>
        <w:ind w:left="0" w:right="51"/>
        <w:jc w:val="center"/>
        <w:rPr>
          <w:rFonts w:ascii="Palatino Linotype" w:hAnsi="Palatino Linotype"/>
          <w:color w:val="000000" w:themeColor="text1"/>
        </w:rPr>
      </w:pPr>
      <w:r w:rsidRPr="00570A4E">
        <w:rPr>
          <w:rFonts w:ascii="Palatino Linotype" w:hAnsi="Palatino Linotype"/>
          <w:noProof/>
          <w:color w:val="000000" w:themeColor="text1"/>
          <w:lang w:eastAsia="es-MX"/>
        </w:rPr>
        <w:drawing>
          <wp:inline distT="0" distB="0" distL="0" distR="0" wp14:anchorId="21D102A6" wp14:editId="784E42EB">
            <wp:extent cx="4763202" cy="6165538"/>
            <wp:effectExtent l="57150" t="57150" r="113665" b="1212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1117" cy="617578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1C5480" w14:textId="1EA6C560" w:rsidR="0049735A" w:rsidRPr="00570A4E" w:rsidRDefault="0049735A" w:rsidP="0049735A">
      <w:pPr>
        <w:pStyle w:val="Prrafodelista"/>
        <w:tabs>
          <w:tab w:val="left" w:pos="426"/>
        </w:tabs>
        <w:spacing w:before="240" w:after="240" w:line="360" w:lineRule="auto"/>
        <w:ind w:left="0" w:right="51"/>
        <w:jc w:val="center"/>
        <w:rPr>
          <w:rFonts w:ascii="Palatino Linotype" w:hAnsi="Palatino Linotype"/>
          <w:color w:val="000000" w:themeColor="text1"/>
        </w:rPr>
      </w:pPr>
      <w:r w:rsidRPr="00570A4E">
        <w:rPr>
          <w:rFonts w:ascii="Palatino Linotype" w:hAnsi="Palatino Linotype"/>
          <w:noProof/>
          <w:color w:val="000000" w:themeColor="text1"/>
          <w:lang w:eastAsia="es-MX"/>
        </w:rPr>
        <w:lastRenderedPageBreak/>
        <w:drawing>
          <wp:inline distT="0" distB="0" distL="0" distR="0" wp14:anchorId="7EEEA806" wp14:editId="2F6052C4">
            <wp:extent cx="4792439" cy="6200673"/>
            <wp:effectExtent l="57150" t="57150" r="122555" b="1054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3266" cy="621468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43A5AF" w14:textId="50804683" w:rsidR="0049735A" w:rsidRPr="00570A4E" w:rsidRDefault="0049735A" w:rsidP="0049735A">
      <w:pPr>
        <w:pStyle w:val="Prrafodelista"/>
        <w:tabs>
          <w:tab w:val="left" w:pos="426"/>
        </w:tabs>
        <w:spacing w:before="240" w:after="240" w:line="360" w:lineRule="auto"/>
        <w:ind w:left="0" w:right="51"/>
        <w:jc w:val="center"/>
        <w:rPr>
          <w:rFonts w:ascii="Palatino Linotype" w:hAnsi="Palatino Linotype"/>
          <w:color w:val="000000" w:themeColor="text1"/>
        </w:rPr>
      </w:pPr>
      <w:r w:rsidRPr="00570A4E">
        <w:rPr>
          <w:rFonts w:ascii="Palatino Linotype" w:hAnsi="Palatino Linotype"/>
          <w:noProof/>
          <w:color w:val="000000" w:themeColor="text1"/>
          <w:lang w:eastAsia="es-MX"/>
        </w:rPr>
        <w:lastRenderedPageBreak/>
        <w:drawing>
          <wp:inline distT="0" distB="0" distL="0" distR="0" wp14:anchorId="641DFD5C" wp14:editId="5747556F">
            <wp:extent cx="4814290" cy="6224585"/>
            <wp:effectExtent l="57150" t="57150" r="120015" b="1193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24804" cy="623817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BB15F26" w14:textId="77777777" w:rsidR="0049735A" w:rsidRPr="00570A4E" w:rsidRDefault="0049735A"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68A33F4A" w14:textId="29D527A8" w:rsidR="002A2544" w:rsidRPr="00570A4E" w:rsidRDefault="0049735A" w:rsidP="002A25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Acompañando al oficio anterior, el Enlace de Transparencia de la Dirección General de Desarrollo Urbano Sustentable entregó</w:t>
      </w:r>
      <w:r w:rsidR="00B537FB" w:rsidRPr="00570A4E">
        <w:rPr>
          <w:rFonts w:ascii="Palatino Linotype" w:eastAsia="MS Mincho" w:hAnsi="Palatino Linotype" w:cs="Times New Roman"/>
          <w:color w:val="000000"/>
        </w:rPr>
        <w:t>, en versión pública,</w:t>
      </w:r>
      <w:r w:rsidRPr="00570A4E">
        <w:rPr>
          <w:rFonts w:ascii="Palatino Linotype" w:eastAsia="MS Mincho" w:hAnsi="Palatino Linotype" w:cs="Times New Roman"/>
          <w:color w:val="000000"/>
        </w:rPr>
        <w:t xml:space="preserve"> la copia del Acuerdo número 0033/02/20, de dieciocho (18) de agosto de dos mil veinte, emitido </w:t>
      </w:r>
      <w:r w:rsidRPr="00570A4E">
        <w:rPr>
          <w:rFonts w:ascii="Palatino Linotype" w:eastAsia="MS Mincho" w:hAnsi="Palatino Linotype" w:cs="Times New Roman"/>
          <w:color w:val="000000"/>
        </w:rPr>
        <w:lastRenderedPageBreak/>
        <w:t xml:space="preserve">por el Director General de Desarrollo Urbano Sustentable, </w:t>
      </w:r>
      <w:r w:rsidR="00B537FB" w:rsidRPr="00570A4E">
        <w:rPr>
          <w:rFonts w:ascii="Palatino Linotype" w:eastAsia="MS Mincho" w:hAnsi="Palatino Linotype" w:cs="Times New Roman"/>
          <w:color w:val="000000"/>
        </w:rPr>
        <w:t>por el que se autoriza el Incremento de Intensidad y Altura para desarrollar un proyecto para vivienda.</w:t>
      </w:r>
    </w:p>
    <w:p w14:paraId="0A2E634F" w14:textId="77777777" w:rsidR="002A2544" w:rsidRPr="00570A4E" w:rsidRDefault="002A2544"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14483414" w14:textId="320FFF7C" w:rsidR="002A2544" w:rsidRPr="00570A4E" w:rsidRDefault="00B537FB" w:rsidP="002A25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Cabe destacar que la versión pública del documento señalado </w:t>
      </w:r>
      <w:r w:rsidRPr="00570A4E">
        <w:rPr>
          <w:rFonts w:ascii="Palatino Linotype" w:hAnsi="Palatino Linotype"/>
          <w:i/>
          <w:color w:val="000000" w:themeColor="text1"/>
        </w:rPr>
        <w:t>supra</w:t>
      </w:r>
      <w:r w:rsidRPr="00570A4E">
        <w:rPr>
          <w:rFonts w:ascii="Palatino Linotype" w:hAnsi="Palatino Linotype"/>
          <w:color w:val="000000" w:themeColor="text1"/>
        </w:rPr>
        <w:t xml:space="preserve"> clasifica adecuadamente el nombre del particular quien requirió la autorización de cambio de uso de suelo, conforme a lo establecido por el artículo 143, fracción I, de la Ley de Transparencia y Acceso a la Información Pública del Estado de México y Municipios</w:t>
      </w:r>
      <w:r w:rsidRPr="00570A4E">
        <w:rPr>
          <w:rStyle w:val="Refdenotaalpie"/>
          <w:rFonts w:ascii="Palatino Linotype" w:hAnsi="Palatino Linotype"/>
          <w:color w:val="000000" w:themeColor="text1"/>
        </w:rPr>
        <w:footnoteReference w:id="21"/>
      </w:r>
      <w:r w:rsidRPr="00570A4E">
        <w:rPr>
          <w:rFonts w:ascii="Palatino Linotype" w:hAnsi="Palatino Linotype"/>
          <w:color w:val="000000" w:themeColor="text1"/>
        </w:rPr>
        <w:t xml:space="preserve">; empero, </w:t>
      </w:r>
      <w:r w:rsidR="009145D9" w:rsidRPr="00570A4E">
        <w:rPr>
          <w:rFonts w:ascii="Palatino Linotype" w:hAnsi="Palatino Linotype"/>
          <w:color w:val="000000" w:themeColor="text1"/>
        </w:rPr>
        <w:t xml:space="preserve">se advierte que </w:t>
      </w:r>
      <w:r w:rsidRPr="00570A4E">
        <w:rPr>
          <w:rFonts w:ascii="Palatino Linotype" w:hAnsi="Palatino Linotype"/>
          <w:color w:val="000000" w:themeColor="text1"/>
        </w:rPr>
        <w:t xml:space="preserve">el </w:t>
      </w:r>
      <w:r w:rsidRPr="00570A4E">
        <w:rPr>
          <w:rFonts w:ascii="Palatino Linotype" w:hAnsi="Palatino Linotype"/>
          <w:b/>
          <w:color w:val="000000" w:themeColor="text1"/>
        </w:rPr>
        <w:t>SUJETO OBLIGADO</w:t>
      </w:r>
      <w:r w:rsidRPr="00570A4E">
        <w:rPr>
          <w:rFonts w:ascii="Palatino Linotype" w:hAnsi="Palatino Linotype"/>
          <w:color w:val="000000" w:themeColor="text1"/>
        </w:rPr>
        <w:t xml:space="preserve"> </w:t>
      </w:r>
      <w:r w:rsidR="009145D9" w:rsidRPr="00570A4E">
        <w:rPr>
          <w:rFonts w:ascii="Palatino Linotype" w:hAnsi="Palatino Linotype"/>
          <w:color w:val="000000" w:themeColor="text1"/>
        </w:rPr>
        <w:t xml:space="preserve">omitió testar, bajo la misma óptica, el domicilio del inmueble al que recayó la autorización del cambio de uso de suelo, razón por la que este Organismo Garante determinó no poner el documento a la vista del </w:t>
      </w:r>
      <w:r w:rsidR="009145D9" w:rsidRPr="00570A4E">
        <w:rPr>
          <w:rFonts w:ascii="Palatino Linotype" w:hAnsi="Palatino Linotype"/>
          <w:b/>
          <w:color w:val="000000" w:themeColor="text1"/>
        </w:rPr>
        <w:t>RECURRENTE</w:t>
      </w:r>
      <w:r w:rsidR="009145D9" w:rsidRPr="00570A4E">
        <w:rPr>
          <w:rFonts w:ascii="Palatino Linotype" w:hAnsi="Palatino Linotype"/>
          <w:color w:val="000000" w:themeColor="text1"/>
        </w:rPr>
        <w:t>.</w:t>
      </w:r>
    </w:p>
    <w:p w14:paraId="30A47530" w14:textId="77777777" w:rsidR="002A2544" w:rsidRPr="00570A4E" w:rsidRDefault="002A2544"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7E06050D" w14:textId="4425F7B2" w:rsidR="002A2544" w:rsidRPr="00570A4E" w:rsidRDefault="009145D9" w:rsidP="002A25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No se omite mencionar que el </w:t>
      </w:r>
      <w:r w:rsidRPr="00570A4E">
        <w:rPr>
          <w:rFonts w:ascii="Palatino Linotype" w:eastAsia="MS Mincho" w:hAnsi="Palatino Linotype" w:cs="Times New Roman"/>
          <w:b/>
          <w:color w:val="000000"/>
        </w:rPr>
        <w:t>SUJETO OBLIGADO</w:t>
      </w:r>
      <w:r w:rsidRPr="00570A4E">
        <w:rPr>
          <w:rFonts w:ascii="Palatino Linotype" w:eastAsia="MS Mincho" w:hAnsi="Palatino Linotype" w:cs="Times New Roman"/>
          <w:color w:val="000000"/>
        </w:rPr>
        <w:t xml:space="preserve"> no hizo entrega del Acuerdo de Clasificación respectivo, emitido por su Comité de Transparencia, por el que se sustentara la versión pública del acuerdo número 0033/02/20, </w:t>
      </w:r>
      <w:r w:rsidRPr="00570A4E">
        <w:rPr>
          <w:rFonts w:ascii="Palatino Linotype" w:eastAsia="MS Mincho" w:hAnsi="Palatino Linotype" w:cs="Times New Roman"/>
          <w:b/>
          <w:color w:val="000000"/>
        </w:rPr>
        <w:t>lo cual trae como consecuencia que éste carezca de cualquier valor jurídico al considerarse como un documento meramente tachado</w:t>
      </w:r>
      <w:r w:rsidRPr="00570A4E">
        <w:rPr>
          <w:rFonts w:ascii="Palatino Linotype" w:eastAsia="MS Mincho" w:hAnsi="Palatino Linotype" w:cs="Times New Roman"/>
          <w:color w:val="000000"/>
        </w:rPr>
        <w:t>.</w:t>
      </w:r>
    </w:p>
    <w:p w14:paraId="303081B7" w14:textId="77777777" w:rsidR="002A2544" w:rsidRPr="00570A4E" w:rsidRDefault="002A2544"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5EF1FBCF" w14:textId="48EC7D0D" w:rsidR="002A2544" w:rsidRPr="00570A4E" w:rsidRDefault="009145D9" w:rsidP="002A25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Luego entonces, el </w:t>
      </w:r>
      <w:r w:rsidRPr="00570A4E">
        <w:rPr>
          <w:rFonts w:ascii="Palatino Linotype" w:eastAsia="MS Mincho" w:hAnsi="Palatino Linotype" w:cs="Times New Roman"/>
          <w:b/>
          <w:color w:val="000000"/>
        </w:rPr>
        <w:t>SUJETO OBLIGADO</w:t>
      </w:r>
      <w:r w:rsidRPr="00570A4E">
        <w:rPr>
          <w:rFonts w:ascii="Palatino Linotype" w:eastAsia="MS Mincho" w:hAnsi="Palatino Linotype" w:cs="Times New Roman"/>
          <w:color w:val="000000"/>
        </w:rPr>
        <w:t xml:space="preserve"> deberá realizar una búsqueda exhaustiva y razonable en sus archivos, a fin de entregar al particular, en versión pública, el soporte documental de todas las </w:t>
      </w:r>
      <w:r w:rsidRPr="00570A4E">
        <w:rPr>
          <w:rFonts w:ascii="Palatino Linotype" w:eastAsia="MS Mincho" w:hAnsi="Palatino Linotype" w:cs="Times New Roman"/>
          <w:b/>
          <w:color w:val="000000"/>
        </w:rPr>
        <w:t xml:space="preserve">autorizaciones de cambio de uso de </w:t>
      </w:r>
      <w:r w:rsidRPr="00570A4E">
        <w:rPr>
          <w:rFonts w:ascii="Palatino Linotype" w:eastAsia="MS Mincho" w:hAnsi="Palatino Linotype" w:cs="Times New Roman"/>
          <w:b/>
          <w:color w:val="000000"/>
        </w:rPr>
        <w:lastRenderedPageBreak/>
        <w:t>suelo</w:t>
      </w:r>
      <w:r w:rsidRPr="00570A4E">
        <w:rPr>
          <w:rFonts w:ascii="Palatino Linotype" w:eastAsia="MS Mincho" w:hAnsi="Palatino Linotype" w:cs="Times New Roman"/>
          <w:color w:val="000000"/>
        </w:rPr>
        <w:t xml:space="preserve"> generadas del uno (01) de enero de dos mil diecinueve al treinta y uno (31) de diciembre de dos mil veintiuno, en la Colonia Lomas de la Herradura.</w:t>
      </w:r>
    </w:p>
    <w:p w14:paraId="4FED03B3" w14:textId="77777777" w:rsidR="002A2544" w:rsidRPr="00570A4E" w:rsidRDefault="002A2544"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3572D94D" w14:textId="3E704510" w:rsidR="002A2544" w:rsidRPr="00570A4E" w:rsidRDefault="009145D9" w:rsidP="002A25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imes New Roman"/>
          <w:color w:val="000000"/>
        </w:rPr>
        <w:t xml:space="preserve">Razón de lo anterior, para la emisión de las versiones públicas pertinentes, el </w:t>
      </w:r>
      <w:r w:rsidRPr="00570A4E">
        <w:rPr>
          <w:rFonts w:ascii="Palatino Linotype" w:eastAsia="MS Mincho" w:hAnsi="Palatino Linotype" w:cs="Times New Roman"/>
          <w:b/>
          <w:color w:val="000000"/>
        </w:rPr>
        <w:t>SUJETO OBLIGADO</w:t>
      </w:r>
      <w:r w:rsidRPr="00570A4E">
        <w:rPr>
          <w:rFonts w:ascii="Palatino Linotype" w:eastAsia="MS Mincho" w:hAnsi="Palatino Linotype" w:cs="Times New Roman"/>
          <w:color w:val="000000"/>
        </w:rPr>
        <w:t xml:space="preserve"> deberá observar cuidadosamente las disposiciones vertidas en el </w:t>
      </w:r>
      <w:r w:rsidRPr="00570A4E">
        <w:rPr>
          <w:rFonts w:ascii="Palatino Linotype" w:eastAsia="MS Mincho" w:hAnsi="Palatino Linotype" w:cs="Times New Roman"/>
          <w:b/>
          <w:color w:val="000000"/>
        </w:rPr>
        <w:t>Considerando QUINTO</w:t>
      </w:r>
      <w:r w:rsidRPr="00570A4E">
        <w:rPr>
          <w:rFonts w:ascii="Palatino Linotype" w:eastAsia="MS Mincho" w:hAnsi="Palatino Linotype" w:cs="Times New Roman"/>
          <w:color w:val="000000"/>
        </w:rPr>
        <w:t xml:space="preserve"> de esta resolución.</w:t>
      </w:r>
    </w:p>
    <w:p w14:paraId="548EFECC" w14:textId="77777777" w:rsidR="002A2544" w:rsidRPr="00570A4E" w:rsidRDefault="002A2544" w:rsidP="002A2544">
      <w:pPr>
        <w:pStyle w:val="Prrafodelista"/>
        <w:tabs>
          <w:tab w:val="left" w:pos="426"/>
        </w:tabs>
        <w:spacing w:before="240" w:after="240" w:line="360" w:lineRule="auto"/>
        <w:ind w:left="0" w:right="51"/>
        <w:jc w:val="both"/>
        <w:rPr>
          <w:rFonts w:ascii="Palatino Linotype" w:hAnsi="Palatino Linotype"/>
          <w:color w:val="000000" w:themeColor="text1"/>
        </w:rPr>
      </w:pPr>
    </w:p>
    <w:p w14:paraId="3777CB6E" w14:textId="2C009F23" w:rsidR="00735A66" w:rsidRPr="00570A4E" w:rsidRDefault="00735A66" w:rsidP="00735A66">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570A4E">
        <w:rPr>
          <w:rFonts w:ascii="Palatino Linotype" w:hAnsi="Palatino Linotype"/>
          <w:b/>
          <w:bCs/>
          <w:color w:val="000000" w:themeColor="text1"/>
        </w:rPr>
        <w:t>QUINTO. De la versión pública.</w:t>
      </w:r>
    </w:p>
    <w:p w14:paraId="3F95EE38" w14:textId="77777777" w:rsidR="00735A66" w:rsidRPr="00570A4E"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1ED7A034" w14:textId="5527ED73" w:rsidR="00020F92" w:rsidRPr="00570A4E" w:rsidRDefault="003334CC"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Debe </w:t>
      </w:r>
      <w:r w:rsidR="00020F92" w:rsidRPr="00570A4E">
        <w:rPr>
          <w:rFonts w:ascii="Palatino Linotype" w:hAnsi="Palatino Linotype"/>
          <w:color w:val="000000" w:themeColor="text1"/>
        </w:rPr>
        <w:t xml:space="preserve">destacarse que, debido a la naturaleza de la información </w:t>
      </w:r>
      <w:r w:rsidR="00020F92" w:rsidRPr="00570A4E">
        <w:rPr>
          <w:rFonts w:ascii="Palatino Linotype" w:hAnsi="Palatino Linotype"/>
          <w:bCs/>
          <w:color w:val="000000" w:themeColor="text1"/>
        </w:rPr>
        <w:t xml:space="preserve">solicitada, consistente en </w:t>
      </w:r>
      <w:r w:rsidR="009145D9" w:rsidRPr="00570A4E">
        <w:rPr>
          <w:rFonts w:ascii="Palatino Linotype" w:hAnsi="Palatino Linotype"/>
          <w:bCs/>
          <w:color w:val="000000" w:themeColor="text1"/>
        </w:rPr>
        <w:t>el soporte documental de todas las autorizaciones de cambio de uso de suelo</w:t>
      </w:r>
      <w:r w:rsidR="00020F92" w:rsidRPr="00570A4E">
        <w:rPr>
          <w:rFonts w:ascii="Palatino Linotype" w:hAnsi="Palatino Linotype"/>
          <w:bCs/>
          <w:color w:val="000000" w:themeColor="text1"/>
        </w:rPr>
        <w:t>, eventualmente</w:t>
      </w:r>
      <w:r w:rsidR="00020F92" w:rsidRPr="00570A4E">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129A449"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590639B"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La </w:t>
      </w:r>
      <w:r w:rsidRPr="00570A4E">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570A4E">
        <w:rPr>
          <w:rFonts w:ascii="Palatino Linotype" w:hAnsi="Palatino Linotype" w:cs="Arial"/>
          <w:color w:val="000000" w:themeColor="text1"/>
        </w:rPr>
        <w:lastRenderedPageBreak/>
        <w:t>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F49F80A"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B130622" w14:textId="63BD8374" w:rsidR="003334CC"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El </w:t>
      </w:r>
      <w:r w:rsidRPr="00570A4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37F710"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7868E196" w14:textId="1C22E256" w:rsidR="00020F92" w:rsidRPr="00570A4E"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70A4E">
        <w:rPr>
          <w:rFonts w:ascii="Palatino Linotype" w:hAnsi="Palatino Linotype"/>
          <w:b/>
          <w:color w:val="000000" w:themeColor="text1"/>
        </w:rPr>
        <w:t>I. Requisitos previos.</w:t>
      </w:r>
    </w:p>
    <w:p w14:paraId="6AA33FA2"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3DA8396"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Los </w:t>
      </w:r>
      <w:r w:rsidRPr="00570A4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0F6F526"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D277C9D"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lastRenderedPageBreak/>
        <w:t xml:space="preserve">Además, </w:t>
      </w:r>
      <w:r w:rsidRPr="00570A4E">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EE4434A"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4DF0C6F" w14:textId="55F646D2"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El </w:t>
      </w:r>
      <w:r w:rsidRPr="00570A4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E0DDFFB"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407D76E" w14:textId="600A0B81" w:rsidR="00020F92" w:rsidRPr="00570A4E"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70A4E">
        <w:rPr>
          <w:rFonts w:ascii="Palatino Linotype" w:hAnsi="Palatino Linotype"/>
          <w:b/>
          <w:color w:val="000000" w:themeColor="text1"/>
        </w:rPr>
        <w:t>II. Supuestos de clasificación.</w:t>
      </w:r>
    </w:p>
    <w:p w14:paraId="1BE07B71"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CB31771"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Las </w:t>
      </w:r>
      <w:r w:rsidRPr="00570A4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4D970D43"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6E49A8F"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Los </w:t>
      </w:r>
      <w:r w:rsidRPr="00570A4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7B0A23E8" w14:textId="77777777" w:rsidR="00020F92" w:rsidRPr="00570A4E"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4F1071D1" w14:textId="77777777" w:rsidR="00020F92" w:rsidRPr="00570A4E"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70A4E">
        <w:rPr>
          <w:rFonts w:ascii="Palatino Linotype" w:hAnsi="Palatino Linotype" w:cs="Bookman Old Style"/>
          <w:bCs/>
          <w:i/>
          <w:color w:val="000000"/>
          <w:sz w:val="22"/>
          <w:szCs w:val="22"/>
        </w:rPr>
        <w:t>“</w:t>
      </w:r>
      <w:r w:rsidRPr="00570A4E">
        <w:rPr>
          <w:rFonts w:ascii="Palatino Linotype" w:hAnsi="Palatino Linotype" w:cs="Bookman Old Style"/>
          <w:b/>
          <w:i/>
          <w:color w:val="000000"/>
          <w:sz w:val="22"/>
          <w:szCs w:val="22"/>
        </w:rPr>
        <w:t>I.</w:t>
      </w:r>
      <w:r w:rsidRPr="00570A4E">
        <w:rPr>
          <w:rFonts w:ascii="Palatino Linotype" w:hAnsi="Palatino Linotype" w:cs="Bookman Old Style"/>
          <w:bCs/>
          <w:i/>
          <w:color w:val="000000"/>
          <w:sz w:val="22"/>
          <w:szCs w:val="22"/>
        </w:rPr>
        <w:t xml:space="preserve"> </w:t>
      </w:r>
      <w:r w:rsidRPr="00570A4E">
        <w:rPr>
          <w:rFonts w:ascii="Palatino Linotype" w:hAnsi="Palatino Linotype" w:cs="Bookman Old Style"/>
          <w:i/>
          <w:color w:val="000000"/>
          <w:sz w:val="22"/>
          <w:szCs w:val="22"/>
        </w:rPr>
        <w:t xml:space="preserve">Se refiera a la información privada y los datos personales concernientes a una persona </w:t>
      </w:r>
      <w:r w:rsidRPr="00570A4E">
        <w:rPr>
          <w:rFonts w:ascii="Palatino Linotype" w:hAnsi="Palatino Linotype" w:cs="Bookman Old Style"/>
          <w:i/>
          <w:color w:val="000000"/>
          <w:sz w:val="22"/>
          <w:szCs w:val="22"/>
        </w:rPr>
        <w:lastRenderedPageBreak/>
        <w:t xml:space="preserve">física o jurídico colectiva identificada o identificable; </w:t>
      </w:r>
    </w:p>
    <w:p w14:paraId="44EB468D" w14:textId="77777777" w:rsidR="00020F92" w:rsidRPr="00570A4E"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70A4E">
        <w:rPr>
          <w:rFonts w:ascii="Palatino Linotype" w:hAnsi="Palatino Linotype" w:cs="Bookman Old Style"/>
          <w:b/>
          <w:i/>
          <w:color w:val="000000"/>
          <w:sz w:val="22"/>
          <w:szCs w:val="22"/>
        </w:rPr>
        <w:t>II.</w:t>
      </w:r>
      <w:r w:rsidRPr="00570A4E">
        <w:rPr>
          <w:rFonts w:ascii="Palatino Linotype" w:hAnsi="Palatino Linotype" w:cs="Bookman Old Style"/>
          <w:bCs/>
          <w:i/>
          <w:color w:val="000000"/>
          <w:sz w:val="22"/>
          <w:szCs w:val="22"/>
        </w:rPr>
        <w:t xml:space="preserve"> </w:t>
      </w:r>
      <w:r w:rsidRPr="00570A4E">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0FE7115" w14:textId="77777777" w:rsidR="00020F92" w:rsidRPr="00570A4E"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70A4E">
        <w:rPr>
          <w:rFonts w:ascii="Palatino Linotype" w:hAnsi="Palatino Linotype" w:cs="Bookman Old Style"/>
          <w:b/>
          <w:i/>
          <w:color w:val="000000"/>
          <w:sz w:val="22"/>
          <w:szCs w:val="22"/>
        </w:rPr>
        <w:t>III.</w:t>
      </w:r>
      <w:r w:rsidRPr="00570A4E">
        <w:rPr>
          <w:rFonts w:ascii="Palatino Linotype" w:hAnsi="Palatino Linotype" w:cs="Bookman Old Style"/>
          <w:bCs/>
          <w:i/>
          <w:color w:val="000000"/>
          <w:sz w:val="22"/>
          <w:szCs w:val="22"/>
        </w:rPr>
        <w:t xml:space="preserve"> </w:t>
      </w:r>
      <w:r w:rsidRPr="00570A4E">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0C44EEA6" w14:textId="77777777" w:rsidR="00020F92" w:rsidRPr="00570A4E"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70A4E">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4B841CBD" w14:textId="77777777" w:rsidR="00020F92" w:rsidRPr="00570A4E"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570A4E">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264F4E9C"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B87893E"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Palatino Linotype" w:hAnsi="Palatino Linotype" w:cs="Palatino Linotype"/>
          <w:color w:val="000000"/>
        </w:rPr>
        <w:t xml:space="preserve">Mientras </w:t>
      </w:r>
      <w:r w:rsidRPr="00570A4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A8EFCF"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1049B56"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Como </w:t>
      </w:r>
      <w:r w:rsidRPr="00570A4E">
        <w:rPr>
          <w:rFonts w:ascii="Palatino Linotype" w:eastAsia="MS Mincho" w:hAnsi="Palatino Linotype" w:cs="Times New Roman"/>
        </w:rPr>
        <w:t xml:space="preserve">consecuencia de lo anterior, el </w:t>
      </w:r>
      <w:r w:rsidRPr="00570A4E">
        <w:rPr>
          <w:rFonts w:ascii="Palatino Linotype" w:eastAsia="MS Mincho" w:hAnsi="Palatino Linotype" w:cs="Times New Roman"/>
          <w:b/>
          <w:bCs/>
        </w:rPr>
        <w:t>SUJETO OBLIGADO</w:t>
      </w:r>
      <w:r w:rsidRPr="00570A4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38C8027E"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C1463DA"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Al </w:t>
      </w:r>
      <w:r w:rsidRPr="00570A4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547985B" w14:textId="77777777" w:rsidR="00020F92" w:rsidRPr="00570A4E"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06ACC623"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70A4E">
        <w:rPr>
          <w:rFonts w:ascii="Palatino Linotype" w:hAnsi="Palatino Linotype" w:cs="Arial"/>
          <w:i/>
          <w:sz w:val="22"/>
          <w:szCs w:val="22"/>
        </w:rPr>
        <w:t>“</w:t>
      </w:r>
      <w:r w:rsidRPr="00570A4E">
        <w:rPr>
          <w:rFonts w:ascii="Palatino Linotype" w:hAnsi="Palatino Linotype" w:cs="Arial"/>
          <w:b/>
          <w:i/>
          <w:sz w:val="22"/>
          <w:szCs w:val="22"/>
        </w:rPr>
        <w:t>Quincuagésimo.</w:t>
      </w:r>
      <w:r w:rsidRPr="00570A4E">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D39CF7C"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DD98651"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70A4E">
        <w:rPr>
          <w:rFonts w:ascii="Palatino Linotype" w:hAnsi="Palatino Linotype" w:cs="Arial"/>
          <w:b/>
          <w:i/>
          <w:sz w:val="22"/>
          <w:szCs w:val="22"/>
        </w:rPr>
        <w:t>Quincuagésimo primero.</w:t>
      </w:r>
      <w:r w:rsidRPr="00570A4E">
        <w:rPr>
          <w:rFonts w:ascii="Palatino Linotype" w:hAnsi="Palatino Linotype" w:cs="Arial"/>
          <w:i/>
          <w:sz w:val="22"/>
          <w:szCs w:val="22"/>
        </w:rPr>
        <w:t xml:space="preserve"> La leyenda en los documentos clasificados indicará:</w:t>
      </w:r>
    </w:p>
    <w:p w14:paraId="3D0282BB"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70A4E">
        <w:rPr>
          <w:rFonts w:ascii="Palatino Linotype" w:hAnsi="Palatino Linotype" w:cs="Arial"/>
          <w:b/>
          <w:bCs/>
          <w:i/>
          <w:sz w:val="22"/>
          <w:szCs w:val="22"/>
        </w:rPr>
        <w:t>I.</w:t>
      </w:r>
      <w:r w:rsidRPr="00570A4E">
        <w:rPr>
          <w:rFonts w:ascii="Palatino Linotype" w:hAnsi="Palatino Linotype" w:cs="Arial"/>
          <w:i/>
          <w:sz w:val="22"/>
          <w:szCs w:val="22"/>
        </w:rPr>
        <w:t xml:space="preserve"> La fecha de sesión del Comité de Transparencia en donde se confirmó la clasificación, en su caso;</w:t>
      </w:r>
    </w:p>
    <w:p w14:paraId="245E0758"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70A4E">
        <w:rPr>
          <w:rFonts w:ascii="Palatino Linotype" w:hAnsi="Palatino Linotype" w:cs="Arial"/>
          <w:b/>
          <w:bCs/>
          <w:i/>
          <w:sz w:val="22"/>
          <w:szCs w:val="22"/>
        </w:rPr>
        <w:t>II.</w:t>
      </w:r>
      <w:r w:rsidRPr="00570A4E">
        <w:rPr>
          <w:rFonts w:ascii="Palatino Linotype" w:hAnsi="Palatino Linotype" w:cs="Arial"/>
          <w:i/>
          <w:sz w:val="22"/>
          <w:szCs w:val="22"/>
        </w:rPr>
        <w:t xml:space="preserve"> El nombre del área;</w:t>
      </w:r>
    </w:p>
    <w:p w14:paraId="464C726A"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70A4E">
        <w:rPr>
          <w:rFonts w:ascii="Palatino Linotype" w:hAnsi="Palatino Linotype" w:cs="Arial"/>
          <w:b/>
          <w:bCs/>
          <w:i/>
          <w:sz w:val="22"/>
          <w:szCs w:val="22"/>
        </w:rPr>
        <w:t>III.</w:t>
      </w:r>
      <w:r w:rsidRPr="00570A4E">
        <w:rPr>
          <w:rFonts w:ascii="Palatino Linotype" w:hAnsi="Palatino Linotype" w:cs="Arial"/>
          <w:i/>
          <w:sz w:val="22"/>
          <w:szCs w:val="22"/>
        </w:rPr>
        <w:t xml:space="preserve"> La palabra reservado o confidencial;</w:t>
      </w:r>
    </w:p>
    <w:p w14:paraId="7DCE363A"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70A4E">
        <w:rPr>
          <w:rFonts w:ascii="Palatino Linotype" w:hAnsi="Palatino Linotype" w:cs="Arial"/>
          <w:b/>
          <w:bCs/>
          <w:i/>
          <w:sz w:val="22"/>
          <w:szCs w:val="22"/>
        </w:rPr>
        <w:t>IV.</w:t>
      </w:r>
      <w:r w:rsidRPr="00570A4E">
        <w:rPr>
          <w:rFonts w:ascii="Palatino Linotype" w:hAnsi="Palatino Linotype" w:cs="Arial"/>
          <w:i/>
          <w:sz w:val="22"/>
          <w:szCs w:val="22"/>
        </w:rPr>
        <w:t xml:space="preserve"> Las partes o secciones reservadas o confidenciales, en su caso;</w:t>
      </w:r>
    </w:p>
    <w:p w14:paraId="6B035A96"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70A4E">
        <w:rPr>
          <w:rFonts w:ascii="Palatino Linotype" w:hAnsi="Palatino Linotype" w:cs="Arial"/>
          <w:b/>
          <w:bCs/>
          <w:i/>
          <w:sz w:val="22"/>
          <w:szCs w:val="22"/>
        </w:rPr>
        <w:t>V.</w:t>
      </w:r>
      <w:r w:rsidRPr="00570A4E">
        <w:rPr>
          <w:rFonts w:ascii="Palatino Linotype" w:hAnsi="Palatino Linotype" w:cs="Arial"/>
          <w:i/>
          <w:sz w:val="22"/>
          <w:szCs w:val="22"/>
        </w:rPr>
        <w:t xml:space="preserve"> El fundamento legal;</w:t>
      </w:r>
    </w:p>
    <w:p w14:paraId="7AB70EB8"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70A4E">
        <w:rPr>
          <w:rFonts w:ascii="Palatino Linotype" w:hAnsi="Palatino Linotype" w:cs="Arial"/>
          <w:b/>
          <w:bCs/>
          <w:i/>
          <w:sz w:val="22"/>
          <w:szCs w:val="22"/>
        </w:rPr>
        <w:t>VI.</w:t>
      </w:r>
      <w:r w:rsidRPr="00570A4E">
        <w:rPr>
          <w:rFonts w:ascii="Palatino Linotype" w:hAnsi="Palatino Linotype" w:cs="Arial"/>
          <w:i/>
          <w:sz w:val="22"/>
          <w:szCs w:val="22"/>
        </w:rPr>
        <w:t xml:space="preserve"> El periodo de reserva, y</w:t>
      </w:r>
    </w:p>
    <w:p w14:paraId="5BBCAE24"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70A4E">
        <w:rPr>
          <w:rFonts w:ascii="Palatino Linotype" w:hAnsi="Palatino Linotype" w:cs="Arial"/>
          <w:b/>
          <w:bCs/>
          <w:i/>
          <w:sz w:val="22"/>
          <w:szCs w:val="22"/>
        </w:rPr>
        <w:t>VII.</w:t>
      </w:r>
      <w:r w:rsidRPr="00570A4E">
        <w:rPr>
          <w:rFonts w:ascii="Palatino Linotype" w:hAnsi="Palatino Linotype" w:cs="Arial"/>
          <w:i/>
          <w:sz w:val="22"/>
          <w:szCs w:val="22"/>
        </w:rPr>
        <w:t xml:space="preserve"> La rúbrica del titular del área.</w:t>
      </w:r>
    </w:p>
    <w:p w14:paraId="70717A4F"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C6E23BB"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70A4E">
        <w:rPr>
          <w:rFonts w:ascii="Palatino Linotype" w:hAnsi="Palatino Linotype" w:cs="Arial"/>
          <w:b/>
          <w:i/>
          <w:sz w:val="22"/>
          <w:szCs w:val="22"/>
        </w:rPr>
        <w:t>Quincuagésimo segundo.</w:t>
      </w:r>
      <w:r w:rsidRPr="00570A4E">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85DA0AA"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70A4E">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AE96A87"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7A8B5E6" w14:textId="77777777" w:rsidR="00020F92" w:rsidRPr="00570A4E"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70A4E">
        <w:rPr>
          <w:rFonts w:ascii="Palatino Linotype" w:hAnsi="Palatino Linotype" w:cs="Arial"/>
          <w:b/>
          <w:i/>
          <w:sz w:val="22"/>
          <w:szCs w:val="22"/>
        </w:rPr>
        <w:t>Quincuagésimo tercero.</w:t>
      </w:r>
      <w:r w:rsidRPr="00570A4E">
        <w:rPr>
          <w:rFonts w:ascii="Palatino Linotype" w:hAnsi="Palatino Linotype" w:cs="Arial"/>
          <w:i/>
          <w:sz w:val="22"/>
          <w:szCs w:val="22"/>
        </w:rPr>
        <w:t xml:space="preserve"> El formato para señalar la clasificación parcial de un documento, es el siguiente:</w:t>
      </w:r>
    </w:p>
    <w:p w14:paraId="4E57384F" w14:textId="77777777" w:rsidR="00020F92" w:rsidRPr="00570A4E" w:rsidRDefault="00020F92" w:rsidP="00020F92">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570A4E">
        <w:rPr>
          <w:rFonts w:ascii="Palatino Linotype" w:hAnsi="Palatino Linotype" w:cs="Arial"/>
          <w:i/>
          <w:noProof/>
          <w:lang w:eastAsia="es-MX"/>
        </w:rPr>
        <w:lastRenderedPageBreak/>
        <w:drawing>
          <wp:inline distT="0" distB="0" distL="0" distR="0" wp14:anchorId="4E55062D" wp14:editId="2EDABDDF">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17FCEE"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BECF0E5" w14:textId="4A4EDBDA"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Palatino Linotype" w:hAnsi="Palatino Linotype" w:cs="Palatino Linotype"/>
          <w:color w:val="000000"/>
        </w:rPr>
        <w:t xml:space="preserve">Una </w:t>
      </w:r>
      <w:r w:rsidRPr="00570A4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15565862"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8B2DF78" w14:textId="4187C4F1" w:rsidR="00020F92" w:rsidRPr="00570A4E"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70A4E">
        <w:rPr>
          <w:rFonts w:ascii="Palatino Linotype" w:hAnsi="Palatino Linotype"/>
          <w:b/>
          <w:color w:val="000000" w:themeColor="text1"/>
        </w:rPr>
        <w:t>III. La intervención del Comité de Transparencia.</w:t>
      </w:r>
    </w:p>
    <w:p w14:paraId="2133AEB3" w14:textId="3B293316"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b/>
          <w:color w:val="000000" w:themeColor="text1"/>
        </w:rPr>
      </w:pPr>
      <w:r w:rsidRPr="00570A4E">
        <w:rPr>
          <w:rFonts w:ascii="Palatino Linotype" w:hAnsi="Palatino Linotype"/>
          <w:b/>
          <w:color w:val="000000" w:themeColor="text1"/>
        </w:rPr>
        <w:t>a) Formalidades para emitir el Acuerdo de Clasificación.</w:t>
      </w:r>
    </w:p>
    <w:p w14:paraId="109B3AAE"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2C482A1"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El </w:t>
      </w:r>
      <w:r w:rsidRPr="00570A4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570A4E">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7D44497"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5581020"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Evidentemente, </w:t>
      </w:r>
      <w:r w:rsidRPr="00570A4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E6F6919"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D3F4EC2" w14:textId="431FDD3E"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La </w:t>
      </w:r>
      <w:r w:rsidRPr="00570A4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570A4E">
        <w:rPr>
          <w:rFonts w:ascii="Palatino Linotype" w:eastAsia="MS Mincho" w:hAnsi="Palatino Linotype" w:cs="Times New Roman"/>
        </w:rPr>
        <w:lastRenderedPageBreak/>
        <w:t>por los titulares de áreas y que son sujetas a control, en primera instancia, por el Comité de Transparencia.</w:t>
      </w:r>
    </w:p>
    <w:p w14:paraId="2C8963EC"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877626C" w14:textId="5C2D37A9"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b/>
          <w:color w:val="000000" w:themeColor="text1"/>
        </w:rPr>
      </w:pPr>
      <w:r w:rsidRPr="00570A4E">
        <w:rPr>
          <w:rFonts w:ascii="Palatino Linotype" w:hAnsi="Palatino Linotype"/>
          <w:b/>
          <w:color w:val="000000" w:themeColor="text1"/>
        </w:rPr>
        <w:t>b) Requisitos de fondo del Acuerdo de Clasificación.</w:t>
      </w:r>
    </w:p>
    <w:p w14:paraId="5707AD56"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04DF5A0"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Como </w:t>
      </w:r>
      <w:r w:rsidRPr="00570A4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9D4C7B4"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2FE104B"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De </w:t>
      </w:r>
      <w:r w:rsidRPr="00570A4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7C3E729"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187E88A"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Han </w:t>
      </w:r>
      <w:r w:rsidRPr="00570A4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570A4E">
        <w:rPr>
          <w:rFonts w:ascii="Palatino Linotype" w:eastAsia="MS Mincho" w:hAnsi="Palatino Linotype" w:cs="Times New Roman"/>
        </w:rPr>
        <w:lastRenderedPageBreak/>
        <w:t xml:space="preserve">Proceso”, refiere que </w:t>
      </w:r>
      <w:r w:rsidRPr="00570A4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570A4E">
        <w:rPr>
          <w:rFonts w:ascii="Palatino Linotype" w:eastAsia="MS Mincho" w:hAnsi="Palatino Linotype" w:cs="Times New Roman"/>
        </w:rPr>
        <w:t>.</w:t>
      </w:r>
    </w:p>
    <w:p w14:paraId="25F0A50A"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BF83F3C"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Por </w:t>
      </w:r>
      <w:r w:rsidRPr="00570A4E">
        <w:rPr>
          <w:rFonts w:ascii="Palatino Linotype" w:eastAsia="MS Mincho" w:hAnsi="Palatino Linotype" w:cs="Times New Roman"/>
        </w:rPr>
        <w:t>su parte, el intérprete judicial del país ha establecido una jurisprudencia</w:t>
      </w:r>
      <w:r w:rsidRPr="00570A4E">
        <w:rPr>
          <w:rStyle w:val="Refdenotaalpie"/>
          <w:rFonts w:ascii="Palatino Linotype" w:eastAsia="MS Mincho" w:hAnsi="Palatino Linotype" w:cs="Times New Roman"/>
        </w:rPr>
        <w:footnoteReference w:id="22"/>
      </w:r>
      <w:r w:rsidRPr="00570A4E">
        <w:rPr>
          <w:rFonts w:ascii="Palatino Linotype" w:eastAsia="MS Mincho" w:hAnsi="Palatino Linotype" w:cs="Times New Roman"/>
        </w:rPr>
        <w:t xml:space="preserve"> respecto a qué debe entenderse por fundamentación y motivación, en los siguientes términos:</w:t>
      </w:r>
    </w:p>
    <w:p w14:paraId="1D9EA908" w14:textId="77777777" w:rsidR="00020F92" w:rsidRPr="00570A4E"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6AC74F47" w14:textId="77777777" w:rsidR="00020F92" w:rsidRPr="00570A4E" w:rsidRDefault="00020F92" w:rsidP="00020F92">
      <w:pPr>
        <w:spacing w:line="276" w:lineRule="auto"/>
        <w:ind w:left="567" w:right="567"/>
        <w:contextualSpacing/>
        <w:jc w:val="both"/>
        <w:rPr>
          <w:rFonts w:ascii="Palatino Linotype" w:hAnsi="Palatino Linotype" w:cs="Arial"/>
          <w:i/>
          <w:color w:val="000000"/>
          <w:sz w:val="22"/>
          <w:szCs w:val="22"/>
        </w:rPr>
      </w:pPr>
      <w:r w:rsidRPr="00570A4E">
        <w:rPr>
          <w:rFonts w:ascii="Palatino Linotype" w:hAnsi="Palatino Linotype" w:cs="Arial"/>
          <w:b/>
          <w:i/>
          <w:color w:val="000000"/>
          <w:sz w:val="22"/>
          <w:szCs w:val="22"/>
        </w:rPr>
        <w:t>FUNDAMENTACIÓN Y MOTIVACIÓN.</w:t>
      </w:r>
      <w:r w:rsidRPr="00570A4E">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B39398C"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D619948"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Palatino Linotype" w:hAnsi="Palatino Linotype" w:cs="Palatino Linotype"/>
          <w:color w:val="000000"/>
        </w:rPr>
        <w:t xml:space="preserve">Así, </w:t>
      </w:r>
      <w:r w:rsidRPr="00570A4E">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4424EE1"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7ED8BA8B"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lastRenderedPageBreak/>
        <w:t xml:space="preserve">En </w:t>
      </w:r>
      <w:r w:rsidRPr="00570A4E">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B795829"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9380BDD" w14:textId="77777777"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En </w:t>
      </w:r>
      <w:r w:rsidRPr="00570A4E">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562BF77F" w14:textId="77777777" w:rsidR="00020F92" w:rsidRPr="00570A4E"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C08B052" w14:textId="6FC2B7A6" w:rsidR="00020F92" w:rsidRPr="00570A4E"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Otro </w:t>
      </w:r>
      <w:r w:rsidRPr="00570A4E">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D44EF10" w14:textId="689426F4" w:rsidR="007F5B77" w:rsidRPr="00570A4E"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4BD75FF1" w:rsidR="007F5B77" w:rsidRPr="00570A4E" w:rsidRDefault="00020F92"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570A4E">
        <w:rPr>
          <w:rFonts w:ascii="Palatino Linotype" w:hAnsi="Palatino Linotype"/>
          <w:b/>
          <w:bCs/>
          <w:color w:val="000000" w:themeColor="text1"/>
        </w:rPr>
        <w:t>SEXTO</w:t>
      </w:r>
      <w:r w:rsidR="007F5B77" w:rsidRPr="00570A4E">
        <w:rPr>
          <w:rFonts w:ascii="Palatino Linotype" w:hAnsi="Palatino Linotype"/>
          <w:b/>
          <w:bCs/>
          <w:color w:val="000000" w:themeColor="text1"/>
        </w:rPr>
        <w:t>. Decisión.</w:t>
      </w:r>
    </w:p>
    <w:p w14:paraId="4111F7D0" w14:textId="77777777" w:rsidR="007F5B77" w:rsidRPr="00570A4E"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3855CEA2" w:rsidR="006B218B" w:rsidRPr="00570A4E" w:rsidRDefault="007534E7"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rPr>
        <w:t xml:space="preserve">Luego de analizar el marco legal que recubre la información solicitada, así como todas y cada una de las constancias que integran al expediente digital formado en el SAIMEX, se estableció que el </w:t>
      </w:r>
      <w:r w:rsidRPr="00570A4E">
        <w:rPr>
          <w:rFonts w:ascii="Palatino Linotype" w:hAnsi="Palatino Linotype"/>
          <w:b/>
          <w:bCs/>
          <w:color w:val="000000" w:themeColor="text1"/>
        </w:rPr>
        <w:t>SUJETO OBLIGADO</w:t>
      </w:r>
      <w:r w:rsidRPr="00570A4E">
        <w:rPr>
          <w:rFonts w:ascii="Palatino Linotype" w:hAnsi="Palatino Linotype"/>
          <w:color w:val="000000" w:themeColor="text1"/>
        </w:rPr>
        <w:t xml:space="preserve"> </w:t>
      </w:r>
      <w:r w:rsidR="00377766" w:rsidRPr="00570A4E">
        <w:rPr>
          <w:rFonts w:ascii="Palatino Linotype" w:hAnsi="Palatino Linotype"/>
          <w:color w:val="000000" w:themeColor="text1"/>
        </w:rPr>
        <w:t>no había atendido el derecho de acceso a la información pública ejercido por el particular, aunado a que los documentos presentados en vía de informe justificado no consideraban una adecuada versión pública</w:t>
      </w:r>
      <w:r w:rsidR="00700359" w:rsidRPr="00570A4E">
        <w:rPr>
          <w:rFonts w:ascii="Palatino Linotype" w:hAnsi="Palatino Linotype"/>
          <w:color w:val="000000" w:themeColor="text1"/>
        </w:rPr>
        <w:t>.</w:t>
      </w:r>
      <w:r w:rsidR="00377766" w:rsidRPr="00570A4E">
        <w:rPr>
          <w:rFonts w:ascii="Palatino Linotype" w:hAnsi="Palatino Linotype"/>
          <w:color w:val="000000" w:themeColor="text1"/>
        </w:rPr>
        <w:t xml:space="preserve"> Por lo tanto, se determinó ordenar una nueva búsqueda de la información solicitada, a fin de entregar al particular, en una correcta versión </w:t>
      </w:r>
      <w:r w:rsidR="00377766" w:rsidRPr="00570A4E">
        <w:rPr>
          <w:rFonts w:ascii="Palatino Linotype" w:hAnsi="Palatino Linotype"/>
          <w:color w:val="000000" w:themeColor="text1"/>
        </w:rPr>
        <w:lastRenderedPageBreak/>
        <w:t>pública, las autorizaciones de cambio de uso de suelo emitidas del uno (01) de enero de dos mil diecinueve al treinta y uno (31) de diciembre de dos mil veintiuno, en la Colonia Lomas de la Herradura.</w:t>
      </w:r>
    </w:p>
    <w:p w14:paraId="53A0C7F3" w14:textId="77777777" w:rsidR="00E62DCB" w:rsidRPr="00570A4E"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32F71D8" w:rsidR="00F01443" w:rsidRPr="00570A4E"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eastAsia="MS Mincho" w:hAnsi="Palatino Linotype" w:cstheme="majorBidi"/>
          <w:lang w:val="es-ES"/>
        </w:rPr>
        <w:t xml:space="preserve">Por </w:t>
      </w:r>
      <w:r w:rsidR="007534E7" w:rsidRPr="00570A4E">
        <w:rPr>
          <w:rFonts w:ascii="Palatino Linotype" w:eastAsia="MS Mincho" w:hAnsi="Palatino Linotype" w:cstheme="majorBidi"/>
        </w:rPr>
        <w:t>lo tanto,</w:t>
      </w:r>
      <w:r w:rsidR="007534E7" w:rsidRPr="00570A4E">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007534E7" w:rsidRPr="00570A4E">
        <w:rPr>
          <w:rFonts w:ascii="Palatino Linotype" w:eastAsia="MS Mincho" w:hAnsi="Palatino Linotype" w:cstheme="majorBidi"/>
          <w:b/>
          <w:lang w:val="es-ES"/>
        </w:rPr>
        <w:t>RECURRENTE</w:t>
      </w:r>
      <w:r w:rsidR="007534E7" w:rsidRPr="00570A4E">
        <w:rPr>
          <w:rFonts w:ascii="Palatino Linotype" w:eastAsia="MS Mincho" w:hAnsi="Palatino Linotype" w:cstheme="majorBidi"/>
          <w:lang w:val="es-ES"/>
        </w:rPr>
        <w:t xml:space="preserve"> dentro del recurso de revisión </w:t>
      </w:r>
      <w:r w:rsidR="00AB18AF" w:rsidRPr="00570A4E">
        <w:rPr>
          <w:rFonts w:ascii="Palatino Linotype" w:eastAsia="MS Mincho" w:hAnsi="Palatino Linotype" w:cstheme="majorBidi"/>
          <w:b/>
          <w:bCs/>
          <w:lang w:val="es-ES"/>
        </w:rPr>
        <w:t>13403/INFOEM/IP/RR/2022</w:t>
      </w:r>
      <w:r w:rsidR="007534E7" w:rsidRPr="00570A4E">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377766" w:rsidRPr="00570A4E">
        <w:rPr>
          <w:rFonts w:ascii="Palatino Linotype" w:eastAsia="MS Mincho" w:hAnsi="Palatino Linotype" w:cstheme="majorBidi"/>
          <w:b/>
          <w:lang w:val="es-ES"/>
        </w:rPr>
        <w:t>REVOCA</w:t>
      </w:r>
      <w:r w:rsidR="007534E7" w:rsidRPr="00570A4E">
        <w:rPr>
          <w:rFonts w:ascii="Palatino Linotype" w:eastAsia="MS Mincho" w:hAnsi="Palatino Linotype" w:cstheme="majorBidi"/>
          <w:lang w:val="es-ES"/>
        </w:rPr>
        <w:t xml:space="preserve"> la respuesta a la solicitud de información número </w:t>
      </w:r>
      <w:r w:rsidR="00AB18AF" w:rsidRPr="00570A4E">
        <w:rPr>
          <w:rFonts w:ascii="Palatino Linotype" w:eastAsia="MS Mincho" w:hAnsi="Palatino Linotype" w:cstheme="majorBidi"/>
          <w:b/>
          <w:lang w:val="es-ES"/>
        </w:rPr>
        <w:t>13403/HUIXQUIL/IP/2022</w:t>
      </w:r>
      <w:r w:rsidR="007534E7" w:rsidRPr="00570A4E">
        <w:rPr>
          <w:rFonts w:ascii="Palatino Linotype" w:eastAsia="MS Mincho" w:hAnsi="Palatino Linotype" w:cstheme="majorBidi"/>
          <w:lang w:val="es-ES"/>
        </w:rPr>
        <w:t>.</w:t>
      </w:r>
    </w:p>
    <w:p w14:paraId="370E910A" w14:textId="77777777" w:rsidR="00F01443" w:rsidRPr="00570A4E"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9997A3" w:rsidR="00A73C04" w:rsidRPr="00570A4E"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70A4E">
        <w:rPr>
          <w:rFonts w:ascii="Palatino Linotype" w:hAnsi="Palatino Linotype"/>
          <w:color w:val="000000" w:themeColor="text1"/>
          <w:lang w:val="es-ES"/>
        </w:rPr>
        <w:t xml:space="preserve">Por </w:t>
      </w:r>
      <w:r w:rsidR="00B41516" w:rsidRPr="00570A4E">
        <w:rPr>
          <w:rFonts w:ascii="Palatino Linotype" w:hAnsi="Palatino Linotype"/>
          <w:color w:val="000000" w:themeColor="text1"/>
        </w:rPr>
        <w:t xml:space="preserve">lo anteriormente expuesto y fundado, </w:t>
      </w:r>
      <w:r w:rsidR="003E6079" w:rsidRPr="00570A4E">
        <w:rPr>
          <w:rFonts w:ascii="Palatino Linotype" w:hAnsi="Palatino Linotype"/>
          <w:color w:val="000000" w:themeColor="text1"/>
        </w:rPr>
        <w:t>e</w:t>
      </w:r>
      <w:r w:rsidR="00B41516" w:rsidRPr="00570A4E">
        <w:rPr>
          <w:rFonts w:ascii="Palatino Linotype" w:hAnsi="Palatino Linotype"/>
          <w:color w:val="000000" w:themeColor="text1"/>
        </w:rPr>
        <w:t xml:space="preserve">ste </w:t>
      </w:r>
      <w:r w:rsidR="00B41516" w:rsidRPr="00570A4E">
        <w:rPr>
          <w:rFonts w:ascii="Palatino Linotype" w:hAnsi="Palatino Linotype"/>
          <w:b/>
          <w:color w:val="000000" w:themeColor="text1"/>
        </w:rPr>
        <w:t>ÓRGANO GARANTE</w:t>
      </w:r>
      <w:r w:rsidR="00B41516" w:rsidRPr="00570A4E">
        <w:rPr>
          <w:rFonts w:ascii="Palatino Linotype" w:hAnsi="Palatino Linotype"/>
          <w:color w:val="000000" w:themeColor="text1"/>
        </w:rPr>
        <w:t xml:space="preserve"> emite los siguientes:</w:t>
      </w:r>
      <w:r w:rsidR="003E6079" w:rsidRPr="00570A4E">
        <w:rPr>
          <w:rFonts w:ascii="Palatino Linotype" w:hAnsi="Palatino Linotype"/>
          <w:color w:val="000000" w:themeColor="text1"/>
        </w:rPr>
        <w:t xml:space="preserve"> </w:t>
      </w:r>
      <w:r w:rsidR="00D71057" w:rsidRPr="00570A4E">
        <w:rPr>
          <w:rFonts w:ascii="Palatino Linotype" w:hAnsi="Palatino Linotype"/>
          <w:color w:val="000000" w:themeColor="text1"/>
        </w:rPr>
        <w:t>--------------------------------------------------------------------------</w:t>
      </w:r>
      <w:r w:rsidR="00E10AC3" w:rsidRPr="00570A4E">
        <w:rPr>
          <w:rFonts w:ascii="Palatino Linotype" w:hAnsi="Palatino Linotype"/>
          <w:color w:val="000000" w:themeColor="text1"/>
        </w:rPr>
        <w:t>-----------------</w:t>
      </w:r>
      <w:r w:rsidR="00895335" w:rsidRPr="00570A4E">
        <w:rPr>
          <w:rFonts w:ascii="Palatino Linotype" w:hAnsi="Palatino Linotype"/>
          <w:color w:val="000000" w:themeColor="text1"/>
        </w:rPr>
        <w:t>--</w:t>
      </w:r>
      <w:r w:rsidR="003E6079" w:rsidRPr="00570A4E">
        <w:rPr>
          <w:rFonts w:ascii="Palatino Linotype" w:hAnsi="Palatino Linotype"/>
          <w:color w:val="000000" w:themeColor="text1"/>
        </w:rPr>
        <w:t>-------------------------------------------------------------------------------------------------------------</w:t>
      </w:r>
      <w:r w:rsidR="00895335" w:rsidRPr="00570A4E">
        <w:rPr>
          <w:rFonts w:ascii="Palatino Linotype" w:hAnsi="Palatino Linotype"/>
          <w:color w:val="000000" w:themeColor="text1"/>
        </w:rPr>
        <w:t>--</w:t>
      </w:r>
      <w:r w:rsidR="00A225C1" w:rsidRPr="00570A4E">
        <w:rPr>
          <w:rFonts w:ascii="Palatino Linotype" w:hAnsi="Palatino Linotype"/>
          <w:color w:val="000000" w:themeColor="text1"/>
        </w:rPr>
        <w:t>-------------------------------------------------------------------------------------------------------------</w:t>
      </w:r>
    </w:p>
    <w:p w14:paraId="6F8A62A6" w14:textId="77777777" w:rsidR="00175CB0" w:rsidRPr="00570A4E" w:rsidRDefault="00175CB0">
      <w:pPr>
        <w:rPr>
          <w:rFonts w:ascii="Palatino Linotype" w:hAnsi="Palatino Linotype"/>
          <w:color w:val="000000" w:themeColor="text1"/>
        </w:rPr>
      </w:pPr>
    </w:p>
    <w:p w14:paraId="18C7D92B" w14:textId="2E6B88EF" w:rsidR="009959DB" w:rsidRPr="00570A4E"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570A4E">
        <w:rPr>
          <w:b/>
          <w:color w:val="000000" w:themeColor="text1"/>
          <w:sz w:val="28"/>
          <w:szCs w:val="24"/>
        </w:rPr>
        <w:t>R E S O L U T I V O S</w:t>
      </w:r>
      <w:bookmarkEnd w:id="19"/>
      <w:bookmarkEnd w:id="20"/>
      <w:bookmarkEnd w:id="23"/>
      <w:bookmarkEnd w:id="24"/>
      <w:bookmarkEnd w:id="25"/>
    </w:p>
    <w:p w14:paraId="2EF2AC2D" w14:textId="77777777" w:rsidR="00A73C04" w:rsidRPr="00570A4E" w:rsidRDefault="00A73C04" w:rsidP="002578EE">
      <w:pPr>
        <w:spacing w:line="360" w:lineRule="auto"/>
        <w:jc w:val="both"/>
        <w:rPr>
          <w:rFonts w:ascii="Palatino Linotype" w:eastAsia="Times New Roman" w:hAnsi="Palatino Linotype" w:cs="Arial"/>
          <w:b/>
          <w:sz w:val="28"/>
          <w:szCs w:val="28"/>
        </w:rPr>
      </w:pPr>
    </w:p>
    <w:p w14:paraId="58DA543D" w14:textId="421A64FE" w:rsidR="007534E7" w:rsidRPr="00570A4E" w:rsidRDefault="007534E7" w:rsidP="007534E7">
      <w:pPr>
        <w:spacing w:line="360" w:lineRule="auto"/>
        <w:jc w:val="both"/>
        <w:rPr>
          <w:rFonts w:ascii="Palatino Linotype" w:eastAsia="Times New Roman" w:hAnsi="Palatino Linotype" w:cs="Times New Roman"/>
        </w:rPr>
      </w:pPr>
      <w:r w:rsidRPr="00570A4E">
        <w:rPr>
          <w:rFonts w:ascii="Palatino Linotype" w:eastAsia="Times New Roman" w:hAnsi="Palatino Linotype" w:cs="Arial"/>
          <w:b/>
          <w:sz w:val="28"/>
          <w:szCs w:val="28"/>
        </w:rPr>
        <w:t>PRIMERO</w:t>
      </w:r>
      <w:r w:rsidRPr="00570A4E">
        <w:rPr>
          <w:rFonts w:ascii="Palatino Linotype" w:eastAsia="Times New Roman" w:hAnsi="Palatino Linotype" w:cs="Arial"/>
          <w:b/>
        </w:rPr>
        <w:t xml:space="preserve">. </w:t>
      </w:r>
      <w:r w:rsidRPr="00570A4E">
        <w:rPr>
          <w:rFonts w:ascii="Palatino Linotype" w:eastAsia="Times New Roman" w:hAnsi="Palatino Linotype" w:cs="Arial"/>
        </w:rPr>
        <w:t>Resultan fundadas las</w:t>
      </w:r>
      <w:r w:rsidRPr="00570A4E">
        <w:rPr>
          <w:rFonts w:ascii="Palatino Linotype" w:eastAsia="Times New Roman" w:hAnsi="Palatino Linotype" w:cs="Arial"/>
          <w:b/>
        </w:rPr>
        <w:t xml:space="preserve"> </w:t>
      </w:r>
      <w:r w:rsidRPr="00570A4E">
        <w:rPr>
          <w:rFonts w:ascii="Palatino Linotype" w:eastAsia="Times New Roman" w:hAnsi="Palatino Linotype" w:cs="Arial"/>
          <w:lang w:val="es-ES"/>
        </w:rPr>
        <w:t xml:space="preserve">razones o motivos de inconformidad hechos valer </w:t>
      </w:r>
      <w:r w:rsidRPr="00570A4E">
        <w:rPr>
          <w:rFonts w:ascii="Palatino Linotype" w:eastAsia="Calibri" w:hAnsi="Palatino Linotype" w:cs="Arial"/>
          <w:lang w:val="es-ES"/>
        </w:rPr>
        <w:t xml:space="preserve">en el recurso de revisión </w:t>
      </w:r>
      <w:r w:rsidR="00AB18AF" w:rsidRPr="00570A4E">
        <w:rPr>
          <w:rFonts w:ascii="Palatino Linotype" w:eastAsia="Times New Roman" w:hAnsi="Palatino Linotype" w:cs="Times New Roman"/>
          <w:b/>
        </w:rPr>
        <w:t>13403/INFOEM/IP/RR/2022</w:t>
      </w:r>
      <w:r w:rsidRPr="00570A4E">
        <w:rPr>
          <w:rFonts w:ascii="Palatino Linotype" w:eastAsia="Times New Roman" w:hAnsi="Palatino Linotype" w:cs="Times New Roman"/>
          <w:b/>
        </w:rPr>
        <w:t xml:space="preserve"> </w:t>
      </w:r>
      <w:r w:rsidRPr="00570A4E">
        <w:rPr>
          <w:rFonts w:ascii="Palatino Linotype" w:eastAsia="Times New Roman" w:hAnsi="Palatino Linotype" w:cs="Times New Roman"/>
        </w:rPr>
        <w:t>en términos de los</w:t>
      </w:r>
      <w:r w:rsidRPr="00570A4E">
        <w:rPr>
          <w:rFonts w:ascii="Palatino Linotype" w:eastAsia="Times New Roman" w:hAnsi="Palatino Linotype" w:cs="Times New Roman"/>
          <w:b/>
          <w:bCs/>
        </w:rPr>
        <w:t xml:space="preserve"> Considerandos</w:t>
      </w:r>
      <w:r w:rsidRPr="00570A4E">
        <w:rPr>
          <w:rFonts w:ascii="Palatino Linotype" w:eastAsia="Times New Roman" w:hAnsi="Palatino Linotype" w:cs="Times New Roman"/>
        </w:rPr>
        <w:t xml:space="preserve"> </w:t>
      </w:r>
      <w:r w:rsidR="00B635E7" w:rsidRPr="00570A4E">
        <w:rPr>
          <w:rFonts w:ascii="Palatino Linotype" w:eastAsia="Times New Roman" w:hAnsi="Palatino Linotype" w:cs="Times New Roman"/>
          <w:b/>
        </w:rPr>
        <w:t>CUARTO</w:t>
      </w:r>
      <w:r w:rsidRPr="00570A4E">
        <w:rPr>
          <w:rFonts w:ascii="Palatino Linotype" w:eastAsia="Times New Roman" w:hAnsi="Palatino Linotype" w:cs="Times New Roman"/>
          <w:b/>
        </w:rPr>
        <w:t xml:space="preserve"> </w:t>
      </w:r>
      <w:r w:rsidRPr="00570A4E">
        <w:rPr>
          <w:rFonts w:ascii="Palatino Linotype" w:eastAsia="Times New Roman" w:hAnsi="Palatino Linotype" w:cs="Times New Roman"/>
          <w:bCs/>
        </w:rPr>
        <w:t xml:space="preserve">y </w:t>
      </w:r>
      <w:r w:rsidR="00B635E7" w:rsidRPr="00570A4E">
        <w:rPr>
          <w:rFonts w:ascii="Palatino Linotype" w:eastAsia="Times New Roman" w:hAnsi="Palatino Linotype" w:cs="Times New Roman"/>
          <w:b/>
        </w:rPr>
        <w:t>QUINTO</w:t>
      </w:r>
      <w:r w:rsidRPr="00570A4E">
        <w:rPr>
          <w:rFonts w:ascii="Palatino Linotype" w:eastAsia="Times New Roman" w:hAnsi="Palatino Linotype" w:cs="Times New Roman"/>
          <w:b/>
        </w:rPr>
        <w:t xml:space="preserve"> </w:t>
      </w:r>
      <w:r w:rsidRPr="00570A4E">
        <w:rPr>
          <w:rFonts w:ascii="Palatino Linotype" w:eastAsia="Times New Roman" w:hAnsi="Palatino Linotype" w:cs="Times New Roman"/>
        </w:rPr>
        <w:t>de la presente resolución.</w:t>
      </w:r>
    </w:p>
    <w:p w14:paraId="4ADE9CD3" w14:textId="77777777" w:rsidR="007534E7" w:rsidRPr="00570A4E" w:rsidRDefault="007534E7" w:rsidP="007534E7">
      <w:pPr>
        <w:spacing w:line="360" w:lineRule="auto"/>
        <w:contextualSpacing/>
        <w:jc w:val="both"/>
        <w:rPr>
          <w:rFonts w:ascii="Palatino Linotype" w:eastAsia="Calibri" w:hAnsi="Palatino Linotype" w:cs="Arial"/>
          <w:b/>
          <w:bCs/>
          <w:lang w:val="es-ES"/>
        </w:rPr>
      </w:pPr>
    </w:p>
    <w:p w14:paraId="59331D5F" w14:textId="6B2439A0" w:rsidR="007534E7" w:rsidRPr="00570A4E" w:rsidRDefault="007534E7" w:rsidP="007534E7">
      <w:pPr>
        <w:spacing w:line="360" w:lineRule="auto"/>
        <w:contextualSpacing/>
        <w:jc w:val="both"/>
        <w:rPr>
          <w:rFonts w:ascii="Palatino Linotype" w:eastAsia="Times New Roman" w:hAnsi="Palatino Linotype" w:cs="Arial"/>
          <w:color w:val="000000"/>
        </w:rPr>
      </w:pPr>
      <w:r w:rsidRPr="00570A4E">
        <w:rPr>
          <w:rFonts w:ascii="Palatino Linotype" w:eastAsia="Calibri" w:hAnsi="Palatino Linotype" w:cs="Arial"/>
          <w:b/>
          <w:bCs/>
          <w:sz w:val="28"/>
          <w:szCs w:val="28"/>
          <w:lang w:val="es-ES"/>
        </w:rPr>
        <w:lastRenderedPageBreak/>
        <w:t>SEGUNDO</w:t>
      </w:r>
      <w:r w:rsidRPr="00570A4E">
        <w:rPr>
          <w:rFonts w:ascii="Palatino Linotype" w:eastAsia="Calibri" w:hAnsi="Palatino Linotype" w:cs="Arial"/>
          <w:b/>
          <w:bCs/>
          <w:lang w:val="es-ES"/>
        </w:rPr>
        <w:t xml:space="preserve">. </w:t>
      </w:r>
      <w:r w:rsidRPr="00570A4E">
        <w:rPr>
          <w:rFonts w:ascii="Palatino Linotype" w:eastAsia="Calibri" w:hAnsi="Palatino Linotype" w:cs="Arial"/>
          <w:lang w:val="es-ES"/>
        </w:rPr>
        <w:t xml:space="preserve">Se </w:t>
      </w:r>
      <w:r w:rsidR="00377766" w:rsidRPr="00570A4E">
        <w:rPr>
          <w:rFonts w:ascii="Palatino Linotype" w:eastAsia="Calibri" w:hAnsi="Palatino Linotype" w:cs="Arial"/>
          <w:b/>
          <w:lang w:val="es-ES"/>
        </w:rPr>
        <w:t>REVOCA</w:t>
      </w:r>
      <w:r w:rsidRPr="00570A4E">
        <w:rPr>
          <w:rFonts w:ascii="Palatino Linotype" w:eastAsia="Calibri" w:hAnsi="Palatino Linotype" w:cs="Arial"/>
          <w:lang w:val="es-ES"/>
        </w:rPr>
        <w:t xml:space="preserve"> la respuesta emitida por el </w:t>
      </w:r>
      <w:r w:rsidR="00AB18AF" w:rsidRPr="00570A4E">
        <w:rPr>
          <w:rFonts w:ascii="Palatino Linotype" w:eastAsia="Calibri" w:hAnsi="Palatino Linotype" w:cs="Arial"/>
          <w:b/>
        </w:rPr>
        <w:t>Ayuntamiento de Huixquilucan</w:t>
      </w:r>
      <w:r w:rsidRPr="00570A4E">
        <w:rPr>
          <w:rFonts w:ascii="Palatino Linotype" w:eastAsia="Calibri" w:hAnsi="Palatino Linotype" w:cs="Arial"/>
          <w:bCs/>
        </w:rPr>
        <w:t xml:space="preserve"> a la solicitud </w:t>
      </w:r>
      <w:r w:rsidR="00AB18AF" w:rsidRPr="00570A4E">
        <w:rPr>
          <w:rFonts w:ascii="Palatino Linotype" w:eastAsia="Calibri" w:hAnsi="Palatino Linotype" w:cs="Arial"/>
          <w:b/>
        </w:rPr>
        <w:t>13403/HUIXQUIL/IP/2022</w:t>
      </w:r>
      <w:r w:rsidRPr="00570A4E">
        <w:rPr>
          <w:rFonts w:ascii="Palatino Linotype" w:eastAsia="Calibri" w:hAnsi="Palatino Linotype" w:cs="Arial"/>
          <w:b/>
        </w:rPr>
        <w:t xml:space="preserve"> </w:t>
      </w:r>
      <w:r w:rsidRPr="00570A4E">
        <w:rPr>
          <w:rFonts w:ascii="Palatino Linotype" w:eastAsia="Calibri" w:hAnsi="Palatino Linotype" w:cs="Arial"/>
        </w:rPr>
        <w:t xml:space="preserve">y se </w:t>
      </w:r>
      <w:r w:rsidRPr="00570A4E">
        <w:rPr>
          <w:rFonts w:ascii="Palatino Linotype" w:eastAsia="Calibri" w:hAnsi="Palatino Linotype" w:cs="Arial"/>
          <w:b/>
        </w:rPr>
        <w:t>ORDENA</w:t>
      </w:r>
      <w:r w:rsidRPr="00570A4E">
        <w:rPr>
          <w:rFonts w:ascii="Palatino Linotype" w:eastAsia="Calibri" w:hAnsi="Palatino Linotype" w:cs="Arial"/>
          <w:b/>
          <w:lang w:val="es-ES"/>
        </w:rPr>
        <w:t xml:space="preserve"> </w:t>
      </w:r>
      <w:r w:rsidRPr="00570A4E">
        <w:rPr>
          <w:rFonts w:ascii="Palatino Linotype" w:eastAsia="Calibri" w:hAnsi="Palatino Linotype" w:cs="Arial"/>
          <w:lang w:val="es-ES"/>
        </w:rPr>
        <w:t xml:space="preserve">entregar, </w:t>
      </w:r>
      <w:bookmarkStart w:id="26" w:name="_Toc460947013"/>
      <w:r w:rsidRPr="00570A4E">
        <w:rPr>
          <w:rFonts w:ascii="Palatino Linotype" w:eastAsia="Calibri" w:hAnsi="Palatino Linotype" w:cs="Arial"/>
          <w:lang w:val="es-ES"/>
        </w:rPr>
        <w:t>vía Sistema de Acceso a la Información Pública Mexiquense (SAIMEX)</w:t>
      </w:r>
      <w:r w:rsidRPr="00570A4E">
        <w:rPr>
          <w:rFonts w:ascii="Palatino Linotype" w:eastAsia="Times New Roman" w:hAnsi="Palatino Linotype" w:cs="Arial"/>
          <w:color w:val="000000"/>
        </w:rPr>
        <w:t xml:space="preserve">, en versión pública, </w:t>
      </w:r>
      <w:r w:rsidR="00377766" w:rsidRPr="00570A4E">
        <w:rPr>
          <w:rFonts w:ascii="Palatino Linotype" w:eastAsia="Times New Roman" w:hAnsi="Palatino Linotype" w:cs="Arial"/>
          <w:color w:val="000000"/>
        </w:rPr>
        <w:t>la siguiente información</w:t>
      </w:r>
      <w:r w:rsidRPr="00570A4E">
        <w:rPr>
          <w:rFonts w:ascii="Palatino Linotype" w:eastAsia="Times New Roman" w:hAnsi="Palatino Linotype" w:cs="Arial"/>
          <w:color w:val="000000"/>
        </w:rPr>
        <w:t xml:space="preserve">: </w:t>
      </w:r>
    </w:p>
    <w:p w14:paraId="18FAB3BC" w14:textId="77777777" w:rsidR="007534E7" w:rsidRPr="00570A4E" w:rsidRDefault="007534E7" w:rsidP="007534E7">
      <w:pPr>
        <w:spacing w:line="360" w:lineRule="auto"/>
        <w:ind w:right="616"/>
        <w:jc w:val="both"/>
        <w:rPr>
          <w:rFonts w:ascii="Palatino Linotype" w:hAnsi="Palatino Linotype"/>
          <w:b/>
          <w:bCs/>
        </w:rPr>
      </w:pPr>
      <w:bookmarkStart w:id="27" w:name="_Hlk22229143"/>
    </w:p>
    <w:bookmarkEnd w:id="27"/>
    <w:p w14:paraId="64CDEE30" w14:textId="27A926C8" w:rsidR="007534E7" w:rsidRPr="00570A4E" w:rsidRDefault="00377766" w:rsidP="00B635E7">
      <w:pPr>
        <w:pStyle w:val="Prrafodelista"/>
        <w:numPr>
          <w:ilvl w:val="0"/>
          <w:numId w:val="2"/>
        </w:numPr>
        <w:spacing w:after="240" w:line="360" w:lineRule="auto"/>
        <w:ind w:left="851" w:right="567" w:hanging="284"/>
        <w:jc w:val="both"/>
        <w:rPr>
          <w:rFonts w:ascii="Palatino Linotype" w:hAnsi="Palatino Linotype"/>
          <w:b/>
          <w:bCs/>
          <w:color w:val="000000"/>
          <w:u w:val="double"/>
        </w:rPr>
      </w:pPr>
      <w:r w:rsidRPr="00570A4E">
        <w:rPr>
          <w:rFonts w:ascii="Palatino Linotype" w:hAnsi="Palatino Linotype"/>
          <w:b/>
          <w:bCs/>
          <w:color w:val="000000"/>
          <w:lang w:val="es-ES_tradnl"/>
        </w:rPr>
        <w:t>Autorizaciones de cambios de uso de suelo, emitidas del uno (01) de enero de dos mil diecinueve al treinta y uno (31) de diciembre de dos mil veintiuno, en la Colonia Lomas de la Herradura.</w:t>
      </w:r>
    </w:p>
    <w:p w14:paraId="2309CBB5" w14:textId="77777777" w:rsidR="00700359" w:rsidRPr="00570A4E" w:rsidRDefault="00700359" w:rsidP="007534E7">
      <w:pPr>
        <w:tabs>
          <w:tab w:val="left" w:pos="993"/>
        </w:tabs>
        <w:spacing w:line="360" w:lineRule="auto"/>
        <w:jc w:val="both"/>
        <w:rPr>
          <w:rFonts w:ascii="Palatino Linotype" w:hAnsi="Palatino Linotype"/>
          <w:color w:val="000000"/>
        </w:rPr>
      </w:pPr>
    </w:p>
    <w:p w14:paraId="4B379ECC" w14:textId="04CE921E" w:rsidR="007534E7" w:rsidRPr="00570A4E" w:rsidRDefault="007534E7" w:rsidP="007534E7">
      <w:pPr>
        <w:tabs>
          <w:tab w:val="left" w:pos="993"/>
        </w:tabs>
        <w:spacing w:line="360" w:lineRule="auto"/>
        <w:jc w:val="both"/>
        <w:rPr>
          <w:rFonts w:ascii="Palatino Linotype" w:eastAsia="Calibri" w:hAnsi="Palatino Linotype" w:cs="Arial"/>
        </w:rPr>
      </w:pPr>
      <w:r w:rsidRPr="00570A4E">
        <w:rPr>
          <w:rFonts w:ascii="Palatino Linotype" w:hAnsi="Palatino Linotype"/>
          <w:color w:val="000000"/>
        </w:rPr>
        <w:t xml:space="preserve">Para </w:t>
      </w:r>
      <w:r w:rsidRPr="00570A4E">
        <w:rPr>
          <w:rFonts w:ascii="Palatino Linotype" w:eastAsia="Calibri" w:hAnsi="Palatino Linotype" w:cs="Arial"/>
        </w:rPr>
        <w:t>efectos de lo anterior se deberá emitir el Acuerdo del Comité de Transparencia en términos de los artículos 49</w:t>
      </w:r>
      <w:r w:rsidR="00700359" w:rsidRPr="00570A4E">
        <w:rPr>
          <w:rFonts w:ascii="Palatino Linotype" w:eastAsia="Calibri" w:hAnsi="Palatino Linotype" w:cs="Arial"/>
        </w:rPr>
        <w:t>,</w:t>
      </w:r>
      <w:r w:rsidRPr="00570A4E">
        <w:rPr>
          <w:rFonts w:ascii="Palatino Linotype" w:eastAsia="Calibri" w:hAnsi="Palatino Linotype" w:cs="Arial"/>
        </w:rPr>
        <w:t xml:space="preserve"> fracción VIII</w:t>
      </w:r>
      <w:r w:rsidR="00700359" w:rsidRPr="00570A4E">
        <w:rPr>
          <w:rFonts w:ascii="Palatino Linotype" w:eastAsia="Calibri" w:hAnsi="Palatino Linotype" w:cs="Arial"/>
        </w:rPr>
        <w:t>,</w:t>
      </w:r>
      <w:r w:rsidRPr="00570A4E">
        <w:rPr>
          <w:rFonts w:ascii="Palatino Linotype" w:eastAsia="Calibri" w:hAnsi="Palatino Linotype" w:cs="Arial"/>
        </w:rPr>
        <w:t xml:space="preserve"> y 132</w:t>
      </w:r>
      <w:r w:rsidR="00700359" w:rsidRPr="00570A4E">
        <w:rPr>
          <w:rFonts w:ascii="Palatino Linotype" w:eastAsia="Calibri" w:hAnsi="Palatino Linotype" w:cs="Arial"/>
        </w:rPr>
        <w:t>,</w:t>
      </w:r>
      <w:r w:rsidRPr="00570A4E">
        <w:rPr>
          <w:rFonts w:ascii="Palatino Linotype" w:eastAsia="Calibri" w:hAnsi="Palatino Linotype" w:cs="Arial"/>
        </w:rPr>
        <w:t xml:space="preserve"> fracción II</w:t>
      </w:r>
      <w:r w:rsidR="00700359" w:rsidRPr="00570A4E">
        <w:rPr>
          <w:rFonts w:ascii="Palatino Linotype" w:eastAsia="Calibri" w:hAnsi="Palatino Linotype" w:cs="Arial"/>
        </w:rPr>
        <w:t>,</w:t>
      </w:r>
      <w:r w:rsidRPr="00570A4E">
        <w:rPr>
          <w:rFonts w:ascii="Palatino Linotype" w:eastAsia="Calibri" w:hAnsi="Palatino Linotype" w:cs="Arial"/>
        </w:rPr>
        <w:t xml:space="preserve">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570A4E">
        <w:rPr>
          <w:rFonts w:ascii="Palatino Linotype" w:eastAsia="Calibri" w:hAnsi="Palatino Linotype" w:cs="Arial"/>
          <w:b/>
        </w:rPr>
        <w:t>RECURRENTE</w:t>
      </w:r>
      <w:r w:rsidRPr="00570A4E">
        <w:rPr>
          <w:rFonts w:ascii="Palatino Linotype" w:eastAsia="Calibri" w:hAnsi="Palatino Linotype" w:cs="Arial"/>
        </w:rPr>
        <w:t>.</w:t>
      </w:r>
    </w:p>
    <w:p w14:paraId="2E1BB676" w14:textId="77777777" w:rsidR="00700359" w:rsidRPr="00570A4E" w:rsidRDefault="00700359" w:rsidP="001D2320">
      <w:pPr>
        <w:spacing w:line="360" w:lineRule="auto"/>
        <w:contextualSpacing/>
        <w:jc w:val="both"/>
        <w:rPr>
          <w:rFonts w:ascii="Palatino Linotype" w:hAnsi="Palatino Linotype"/>
          <w:iCs/>
          <w:color w:val="000000"/>
          <w:lang w:val="es-ES_tradnl" w:eastAsia="es-MX"/>
        </w:rPr>
      </w:pPr>
    </w:p>
    <w:p w14:paraId="6E32718A" w14:textId="284B6BA5" w:rsidR="007534E7" w:rsidRPr="00570A4E" w:rsidRDefault="007534E7" w:rsidP="007534E7">
      <w:pPr>
        <w:spacing w:line="360" w:lineRule="auto"/>
        <w:jc w:val="both"/>
        <w:rPr>
          <w:rFonts w:ascii="Palatino Linotype" w:eastAsia="MS Mincho" w:hAnsi="Palatino Linotype" w:cs="Times New Roman"/>
          <w:color w:val="000000"/>
        </w:rPr>
      </w:pPr>
      <w:r w:rsidRPr="00570A4E">
        <w:rPr>
          <w:rFonts w:ascii="Palatino Linotype" w:eastAsia="MS Mincho" w:hAnsi="Palatino Linotype" w:cs="Times New Roman"/>
          <w:b/>
          <w:color w:val="000000"/>
          <w:sz w:val="28"/>
          <w:szCs w:val="28"/>
        </w:rPr>
        <w:t>TERCERO</w:t>
      </w:r>
      <w:r w:rsidRPr="00570A4E">
        <w:rPr>
          <w:rFonts w:ascii="Palatino Linotype" w:eastAsia="MS Mincho" w:hAnsi="Palatino Linotype" w:cs="Times New Roman"/>
          <w:b/>
          <w:color w:val="000000"/>
        </w:rPr>
        <w:t>.</w:t>
      </w:r>
      <w:r w:rsidRPr="00570A4E">
        <w:rPr>
          <w:rFonts w:ascii="Palatino Linotype" w:eastAsia="MS Mincho" w:hAnsi="Palatino Linotype" w:cs="Times New Roman"/>
          <w:color w:val="000000"/>
        </w:rPr>
        <w:t xml:space="preserve"> Notifíquese al Titular de la Unidad de Transparencia del</w:t>
      </w:r>
      <w:r w:rsidRPr="00570A4E">
        <w:rPr>
          <w:rFonts w:ascii="Palatino Linotype" w:eastAsia="MS Mincho" w:hAnsi="Palatino Linotype" w:cs="Times New Roman"/>
          <w:b/>
          <w:color w:val="000000"/>
        </w:rPr>
        <w:t xml:space="preserve"> SUJETO OBLIGADO</w:t>
      </w:r>
      <w:r w:rsidRPr="00570A4E">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203AA9E1" w14:textId="77777777" w:rsidR="007534E7" w:rsidRPr="00570A4E" w:rsidRDefault="007534E7" w:rsidP="007534E7">
      <w:pPr>
        <w:spacing w:line="360" w:lineRule="auto"/>
        <w:jc w:val="both"/>
        <w:rPr>
          <w:rFonts w:ascii="Palatino Linotype" w:eastAsia="MS Mincho" w:hAnsi="Palatino Linotype" w:cs="Times New Roman"/>
          <w:color w:val="000000"/>
        </w:rPr>
      </w:pPr>
    </w:p>
    <w:p w14:paraId="0593E233" w14:textId="77777777" w:rsidR="007534E7" w:rsidRPr="00570A4E" w:rsidRDefault="007534E7" w:rsidP="007534E7">
      <w:pPr>
        <w:spacing w:line="360" w:lineRule="auto"/>
        <w:jc w:val="both"/>
        <w:rPr>
          <w:rFonts w:ascii="Palatino Linotype" w:eastAsia="MS Mincho" w:hAnsi="Palatino Linotype" w:cs="Times New Roman"/>
          <w:color w:val="000000"/>
        </w:rPr>
      </w:pPr>
      <w:r w:rsidRPr="00570A4E">
        <w:rPr>
          <w:rFonts w:ascii="Palatino Linotype" w:eastAsia="MS Mincho" w:hAnsi="Palatino Linotype" w:cs="Times New Roman"/>
          <w:b/>
          <w:bCs/>
          <w:color w:val="000000"/>
          <w:sz w:val="28"/>
          <w:szCs w:val="28"/>
        </w:rPr>
        <w:lastRenderedPageBreak/>
        <w:t>CUARTO</w:t>
      </w:r>
      <w:r w:rsidRPr="00570A4E">
        <w:rPr>
          <w:rFonts w:ascii="Palatino Linotype" w:eastAsia="MS Mincho" w:hAnsi="Palatino Linotype" w:cs="Times New Roman"/>
          <w:b/>
          <w:bCs/>
          <w:color w:val="000000"/>
        </w:rPr>
        <w:t>.</w:t>
      </w:r>
      <w:r w:rsidRPr="00570A4E">
        <w:rPr>
          <w:rFonts w:ascii="Palatino Linotype" w:eastAsia="MS Mincho" w:hAnsi="Palatino Linotype" w:cs="Times New Roman"/>
          <w:color w:val="000000"/>
        </w:rPr>
        <w:t xml:space="preserve"> De </w:t>
      </w:r>
      <w:r w:rsidRPr="00570A4E">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70A4E">
        <w:rPr>
          <w:rFonts w:ascii="Palatino Linotype" w:eastAsia="MS Mincho" w:hAnsi="Palatino Linotype" w:cs="Times New Roman"/>
          <w:b/>
          <w:color w:val="000000"/>
        </w:rPr>
        <w:t>SUJETO OBLIGADO,</w:t>
      </w:r>
      <w:r w:rsidRPr="00570A4E">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559809E" w14:textId="77777777" w:rsidR="007534E7" w:rsidRPr="00570A4E" w:rsidRDefault="007534E7" w:rsidP="007534E7">
      <w:pPr>
        <w:spacing w:line="360" w:lineRule="auto"/>
        <w:jc w:val="both"/>
        <w:rPr>
          <w:rFonts w:ascii="Palatino Linotype" w:eastAsia="MS Mincho" w:hAnsi="Palatino Linotype" w:cs="Times New Roman"/>
          <w:color w:val="000000"/>
        </w:rPr>
      </w:pPr>
    </w:p>
    <w:p w14:paraId="25A7E8D2" w14:textId="77777777" w:rsidR="007534E7" w:rsidRPr="00570A4E" w:rsidRDefault="007534E7" w:rsidP="007534E7">
      <w:pPr>
        <w:spacing w:line="360" w:lineRule="auto"/>
        <w:jc w:val="both"/>
        <w:rPr>
          <w:rFonts w:ascii="Palatino Linotype" w:eastAsia="MS Mincho" w:hAnsi="Palatino Linotype" w:cs="Times New Roman"/>
          <w:color w:val="000000"/>
        </w:rPr>
      </w:pPr>
      <w:r w:rsidRPr="00570A4E">
        <w:rPr>
          <w:rFonts w:ascii="Palatino Linotype" w:eastAsia="MS Mincho" w:hAnsi="Palatino Linotype" w:cs="Times New Roman"/>
          <w:b/>
          <w:color w:val="000000"/>
          <w:sz w:val="28"/>
          <w:szCs w:val="28"/>
        </w:rPr>
        <w:t>QUINTO</w:t>
      </w:r>
      <w:r w:rsidRPr="00570A4E">
        <w:rPr>
          <w:rFonts w:ascii="Palatino Linotype" w:eastAsia="MS Mincho" w:hAnsi="Palatino Linotype" w:cs="Times New Roman"/>
          <w:b/>
          <w:color w:val="000000"/>
        </w:rPr>
        <w:t xml:space="preserve">. </w:t>
      </w:r>
      <w:r w:rsidRPr="00570A4E">
        <w:rPr>
          <w:rFonts w:ascii="Palatino Linotype" w:eastAsia="MS Mincho" w:hAnsi="Palatino Linotype" w:cs="Times New Roman"/>
          <w:color w:val="000000"/>
        </w:rPr>
        <w:t xml:space="preserve">Notifíquese al </w:t>
      </w:r>
      <w:r w:rsidRPr="00570A4E">
        <w:rPr>
          <w:rFonts w:ascii="Palatino Linotype" w:eastAsia="MS Mincho" w:hAnsi="Palatino Linotype" w:cs="Times New Roman"/>
          <w:b/>
          <w:bCs/>
          <w:color w:val="000000"/>
        </w:rPr>
        <w:t>RECURRENTE</w:t>
      </w:r>
      <w:r w:rsidRPr="00570A4E">
        <w:rPr>
          <w:rFonts w:ascii="Palatino Linotype" w:eastAsia="MS Mincho" w:hAnsi="Palatino Linotype" w:cs="Times New Roman"/>
          <w:color w:val="000000"/>
        </w:rPr>
        <w:t xml:space="preserve"> la presente resolución vía Sistema de Acceso a la Información Mexiquense (SAIMEX).</w:t>
      </w:r>
    </w:p>
    <w:p w14:paraId="359B7557" w14:textId="77777777" w:rsidR="007534E7" w:rsidRPr="00570A4E" w:rsidRDefault="007534E7" w:rsidP="007534E7">
      <w:pPr>
        <w:spacing w:line="360" w:lineRule="auto"/>
        <w:jc w:val="both"/>
        <w:rPr>
          <w:rFonts w:ascii="Palatino Linotype" w:hAnsi="Palatino Linotype"/>
          <w:b/>
        </w:rPr>
      </w:pPr>
    </w:p>
    <w:p w14:paraId="27F15529" w14:textId="77777777" w:rsidR="007534E7" w:rsidRPr="00570A4E" w:rsidRDefault="007534E7" w:rsidP="007534E7">
      <w:pPr>
        <w:spacing w:line="360" w:lineRule="auto"/>
        <w:jc w:val="both"/>
        <w:rPr>
          <w:rFonts w:ascii="Palatino Linotype" w:eastAsia="MS Mincho" w:hAnsi="Palatino Linotype" w:cs="Times New Roman"/>
          <w:color w:val="000000"/>
          <w:lang w:val="es-ES"/>
        </w:rPr>
      </w:pPr>
      <w:r w:rsidRPr="00570A4E">
        <w:rPr>
          <w:rFonts w:ascii="Palatino Linotype" w:eastAsia="MS Mincho" w:hAnsi="Palatino Linotype" w:cs="Times New Roman"/>
          <w:b/>
          <w:sz w:val="28"/>
          <w:szCs w:val="28"/>
        </w:rPr>
        <w:t>SEXTO</w:t>
      </w:r>
      <w:r w:rsidRPr="00570A4E">
        <w:rPr>
          <w:rFonts w:ascii="Palatino Linotype" w:eastAsia="MS Mincho" w:hAnsi="Palatino Linotype" w:cs="Times New Roman"/>
          <w:b/>
          <w:color w:val="000000"/>
        </w:rPr>
        <w:t xml:space="preserve">. </w:t>
      </w:r>
      <w:r w:rsidRPr="00570A4E">
        <w:rPr>
          <w:rFonts w:ascii="Palatino Linotype" w:eastAsia="MS Mincho" w:hAnsi="Palatino Linotype" w:cs="Times New Roman"/>
          <w:color w:val="000000"/>
        </w:rPr>
        <w:t xml:space="preserve">Se hace del conocimiento del </w:t>
      </w:r>
      <w:r w:rsidRPr="00570A4E">
        <w:rPr>
          <w:rFonts w:ascii="Palatino Linotype" w:eastAsia="MS Mincho" w:hAnsi="Palatino Linotype" w:cs="Times New Roman"/>
          <w:b/>
          <w:bCs/>
          <w:color w:val="000000"/>
        </w:rPr>
        <w:t>RECURRENTE</w:t>
      </w:r>
      <w:r w:rsidRPr="00570A4E">
        <w:rPr>
          <w:rFonts w:ascii="Palatino Linotype" w:hAnsi="Palatino Linotype"/>
          <w:b/>
        </w:rPr>
        <w:t xml:space="preserve"> </w:t>
      </w:r>
      <w:r w:rsidRPr="00570A4E">
        <w:rPr>
          <w:rFonts w:ascii="Palatino Linotype" w:eastAsia="MS Mincho" w:hAnsi="Palatino Linotype" w:cs="Times New Roman"/>
          <w:color w:val="000000"/>
        </w:rPr>
        <w:t xml:space="preserve">que, </w:t>
      </w:r>
      <w:bookmarkEnd w:id="26"/>
      <w:r w:rsidRPr="00570A4E">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570A4E">
        <w:rPr>
          <w:rFonts w:ascii="Palatino Linotype" w:eastAsia="MS Mincho" w:hAnsi="Palatino Linotype" w:cs="Times New Roman"/>
          <w:bCs/>
          <w:color w:val="000000"/>
          <w:lang w:val="es-ES"/>
        </w:rPr>
        <w:t xml:space="preserve">juicio de amparo </w:t>
      </w:r>
      <w:r w:rsidRPr="00570A4E">
        <w:rPr>
          <w:rFonts w:ascii="Palatino Linotype" w:eastAsia="MS Mincho" w:hAnsi="Palatino Linotype" w:cs="Times New Roman"/>
          <w:color w:val="000000"/>
          <w:lang w:val="es-ES"/>
        </w:rPr>
        <w:t>en los términos de las Leyes aplicables.</w:t>
      </w:r>
    </w:p>
    <w:p w14:paraId="705CD577" w14:textId="77777777" w:rsidR="007534E7" w:rsidRPr="00570A4E" w:rsidRDefault="007534E7" w:rsidP="007534E7">
      <w:pPr>
        <w:spacing w:line="360" w:lineRule="auto"/>
        <w:jc w:val="both"/>
        <w:rPr>
          <w:rFonts w:ascii="Palatino Linotype" w:eastAsia="MS Mincho" w:hAnsi="Palatino Linotype" w:cs="Times New Roman"/>
          <w:color w:val="000000"/>
          <w:lang w:val="es-ES"/>
        </w:rPr>
      </w:pPr>
    </w:p>
    <w:p w14:paraId="537AD9E4" w14:textId="77777777" w:rsidR="00410266" w:rsidRDefault="00410266" w:rsidP="00410266">
      <w:pPr>
        <w:spacing w:before="240" w:after="240" w:line="360" w:lineRule="auto"/>
        <w:jc w:val="both"/>
        <w:rPr>
          <w:rFonts w:ascii="Palatino Linotype" w:hAnsi="Palatino Linotype"/>
        </w:rPr>
      </w:pPr>
      <w:r w:rsidRPr="00570A4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bookmarkStart w:id="28" w:name="_GoBack"/>
      <w:bookmarkEnd w:id="28"/>
      <w:r w:rsidRPr="00624AAD">
        <w:rPr>
          <w:rFonts w:ascii="Palatino Linotype" w:hAnsi="Palatino Linotype"/>
        </w:rPr>
        <w:t xml:space="preserve"> </w:t>
      </w:r>
    </w:p>
    <w:p w14:paraId="7EFA4F21" w14:textId="6281B3A6" w:rsidR="00895335" w:rsidRDefault="00895335" w:rsidP="00A238C8">
      <w:pPr>
        <w:spacing w:before="240" w:after="240" w:line="360" w:lineRule="auto"/>
        <w:jc w:val="both"/>
        <w:rPr>
          <w:rFonts w:ascii="Palatino Linotype" w:hAnsi="Palatino Linotype" w:cs="Arial"/>
          <w:color w:val="000000" w:themeColor="text1"/>
        </w:rPr>
      </w:pPr>
    </w:p>
    <w:sectPr w:rsidR="00895335" w:rsidSect="00DB795F">
      <w:headerReference w:type="default" r:id="rId12"/>
      <w:footerReference w:type="default" r:id="rId13"/>
      <w:headerReference w:type="first" r:id="rId14"/>
      <w:footerReference w:type="first" r:id="rId15"/>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0FA4B" w14:textId="77777777" w:rsidR="00D42F36" w:rsidRDefault="00D42F36" w:rsidP="00587366">
      <w:r>
        <w:separator/>
      </w:r>
    </w:p>
  </w:endnote>
  <w:endnote w:type="continuationSeparator" w:id="0">
    <w:p w14:paraId="4B0978FB" w14:textId="77777777" w:rsidR="00D42F36" w:rsidRDefault="00D42F3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9735A" w:rsidRPr="00883450" w:rsidRDefault="0049735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70A4E">
              <w:rPr>
                <w:rFonts w:ascii="Palatino Linotype" w:hAnsi="Palatino Linotype"/>
                <w:b/>
                <w:bCs/>
                <w:noProof/>
                <w:sz w:val="22"/>
                <w:szCs w:val="20"/>
              </w:rPr>
              <w:t>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70A4E">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5CEA854E" w:rsidR="0049735A" w:rsidRDefault="0049735A">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9735A" w:rsidRPr="00883450" w:rsidRDefault="0049735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70A4E" w:rsidRPr="00570A4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70A4E" w:rsidRPr="00570A4E">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5CB527B9" w:rsidR="0049735A" w:rsidRPr="00883450" w:rsidRDefault="0049735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8EA54" w14:textId="77777777" w:rsidR="00D42F36" w:rsidRDefault="00D42F36" w:rsidP="00587366">
      <w:r>
        <w:separator/>
      </w:r>
    </w:p>
  </w:footnote>
  <w:footnote w:type="continuationSeparator" w:id="0">
    <w:p w14:paraId="11DEEC2F" w14:textId="77777777" w:rsidR="00D42F36" w:rsidRDefault="00D42F36" w:rsidP="00587366">
      <w:r>
        <w:continuationSeparator/>
      </w:r>
    </w:p>
  </w:footnote>
  <w:footnote w:id="1">
    <w:p w14:paraId="787FAE78" w14:textId="77777777" w:rsidR="0049735A" w:rsidRPr="00C7183E" w:rsidRDefault="0049735A" w:rsidP="005B49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5551FBD" w14:textId="77777777" w:rsidR="0049735A" w:rsidRDefault="0049735A"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3DAF7019" w14:textId="77777777" w:rsidR="0049735A" w:rsidRDefault="0049735A"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CFF1D76" w14:textId="77777777" w:rsidR="0049735A" w:rsidRPr="009C43C2" w:rsidRDefault="0049735A"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621A220A" w14:textId="77777777" w:rsidR="0049735A" w:rsidRPr="009C43C2" w:rsidRDefault="0049735A"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1F98C24F" w14:textId="77777777" w:rsidR="0049735A" w:rsidRPr="009C43C2" w:rsidRDefault="0049735A"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42632106" w14:textId="77777777" w:rsidR="0049735A" w:rsidRDefault="0049735A"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28994546" w14:textId="77777777" w:rsidR="0049735A" w:rsidRDefault="0049735A" w:rsidP="000435A5">
      <w:pPr>
        <w:pStyle w:val="Textonotapie"/>
      </w:pPr>
      <w:r>
        <w:rPr>
          <w:rStyle w:val="Refdenotaalpie"/>
        </w:rPr>
        <w:footnoteRef/>
      </w:r>
      <w:r>
        <w:t xml:space="preserve"> Artículo 50, Ley de Transparencia y Acceso a la Información Pública del Estado de México y Municipios.</w:t>
      </w:r>
    </w:p>
  </w:footnote>
  <w:footnote w:id="9">
    <w:p w14:paraId="1B035E02" w14:textId="77777777" w:rsidR="0049735A" w:rsidRDefault="0049735A" w:rsidP="000435A5">
      <w:pPr>
        <w:pStyle w:val="Textonotapie"/>
      </w:pPr>
      <w:r>
        <w:rPr>
          <w:rStyle w:val="Refdenotaalpie"/>
        </w:rPr>
        <w:footnoteRef/>
      </w:r>
      <w:r>
        <w:t xml:space="preserve"> Artículo 51, Ídem.</w:t>
      </w:r>
    </w:p>
  </w:footnote>
  <w:footnote w:id="10">
    <w:p w14:paraId="00E1D60E" w14:textId="77777777" w:rsidR="0049735A" w:rsidRDefault="0049735A" w:rsidP="000435A5">
      <w:pPr>
        <w:pStyle w:val="Textonotapie"/>
      </w:pPr>
      <w:r>
        <w:rPr>
          <w:rStyle w:val="Refdenotaalpie"/>
        </w:rPr>
        <w:footnoteRef/>
      </w:r>
      <w:r>
        <w:t xml:space="preserve"> Artículo 58, Ley de Transparencia y Acceso a la Información Pública del Estado de México y Municipios.</w:t>
      </w:r>
    </w:p>
  </w:footnote>
  <w:footnote w:id="11">
    <w:p w14:paraId="72DD9799" w14:textId="77777777" w:rsidR="0049735A" w:rsidRDefault="0049735A" w:rsidP="000435A5">
      <w:pPr>
        <w:pStyle w:val="Textonotapie"/>
      </w:pPr>
      <w:r>
        <w:rPr>
          <w:rStyle w:val="Refdenotaalpie"/>
        </w:rPr>
        <w:footnoteRef/>
      </w:r>
      <w:r>
        <w:t xml:space="preserve"> Artículo 59, Ídem.</w:t>
      </w:r>
    </w:p>
  </w:footnote>
  <w:footnote w:id="12">
    <w:p w14:paraId="7F076C60" w14:textId="65F45981" w:rsidR="0049735A" w:rsidRDefault="0049735A">
      <w:pPr>
        <w:pStyle w:val="Textonotapie"/>
      </w:pPr>
      <w:r>
        <w:rPr>
          <w:rStyle w:val="Refdenotaalpie"/>
        </w:rPr>
        <w:footnoteRef/>
      </w:r>
      <w:r>
        <w:t xml:space="preserve"> Artículo 5.55, Código Administrativo del Estado de México.</w:t>
      </w:r>
    </w:p>
  </w:footnote>
  <w:footnote w:id="13">
    <w:p w14:paraId="6A08DBF4" w14:textId="3ADD4B9A" w:rsidR="0049735A" w:rsidRDefault="0049735A">
      <w:pPr>
        <w:pStyle w:val="Textonotapie"/>
      </w:pPr>
      <w:r>
        <w:rPr>
          <w:rStyle w:val="Refdenotaalpie"/>
        </w:rPr>
        <w:footnoteRef/>
      </w:r>
      <w:r>
        <w:t xml:space="preserve"> Artículo 5.56, Ídem.</w:t>
      </w:r>
    </w:p>
  </w:footnote>
  <w:footnote w:id="14">
    <w:p w14:paraId="29F0F07A" w14:textId="5542874C" w:rsidR="0049735A" w:rsidRDefault="0049735A">
      <w:pPr>
        <w:pStyle w:val="Textonotapie"/>
      </w:pPr>
      <w:r>
        <w:rPr>
          <w:rStyle w:val="Refdenotaalpie"/>
        </w:rPr>
        <w:footnoteRef/>
      </w:r>
      <w:r>
        <w:t xml:space="preserve"> Artículo 5.57, Código Administrativo del Estado de México.</w:t>
      </w:r>
    </w:p>
  </w:footnote>
  <w:footnote w:id="15">
    <w:p w14:paraId="52467566" w14:textId="1918A990" w:rsidR="0049735A" w:rsidRDefault="0049735A">
      <w:pPr>
        <w:pStyle w:val="Textonotapie"/>
      </w:pPr>
      <w:r>
        <w:rPr>
          <w:rStyle w:val="Refdenotaalpie"/>
        </w:rPr>
        <w:footnoteRef/>
      </w:r>
      <w:r>
        <w:t xml:space="preserve"> Artículo 147, Reglamento del Libro Quinto del Código Administrativo del Estado de México.</w:t>
      </w:r>
    </w:p>
  </w:footnote>
  <w:footnote w:id="16">
    <w:p w14:paraId="100DEDE9" w14:textId="4ABEDD25" w:rsidR="0049735A" w:rsidRDefault="0049735A">
      <w:pPr>
        <w:pStyle w:val="Textonotapie"/>
      </w:pPr>
      <w:r>
        <w:rPr>
          <w:rStyle w:val="Refdenotaalpie"/>
        </w:rPr>
        <w:footnoteRef/>
      </w:r>
      <w:r>
        <w:t xml:space="preserve"> Artículo 148, Reglamento del Libro Quinto del Código Administrativo del Estado de México.</w:t>
      </w:r>
    </w:p>
  </w:footnote>
  <w:footnote w:id="17">
    <w:p w14:paraId="409E277B" w14:textId="77777777" w:rsidR="0049735A" w:rsidRDefault="0049735A" w:rsidP="00821411">
      <w:pPr>
        <w:pStyle w:val="Textonotapie"/>
      </w:pPr>
      <w:r>
        <w:rPr>
          <w:rStyle w:val="Refdenotaalpie"/>
        </w:rPr>
        <w:footnoteRef/>
      </w:r>
      <w:r>
        <w:t xml:space="preserve"> Artículo 15, Ley Orgánica Municipal del Estado de México.</w:t>
      </w:r>
    </w:p>
  </w:footnote>
  <w:footnote w:id="18">
    <w:p w14:paraId="0E5D6FA1" w14:textId="77777777" w:rsidR="0049735A" w:rsidRDefault="0049735A" w:rsidP="00821411">
      <w:pPr>
        <w:pStyle w:val="Textonotapie"/>
      </w:pPr>
      <w:r>
        <w:rPr>
          <w:rStyle w:val="Refdenotaalpie"/>
        </w:rPr>
        <w:footnoteRef/>
      </w:r>
      <w:r>
        <w:t xml:space="preserve"> Artículo 16, Ídem.</w:t>
      </w:r>
    </w:p>
  </w:footnote>
  <w:footnote w:id="19">
    <w:p w14:paraId="54525CFA" w14:textId="77777777" w:rsidR="0049735A" w:rsidRDefault="0049735A" w:rsidP="003E5498">
      <w:pPr>
        <w:pStyle w:val="Textonotapie"/>
      </w:pPr>
      <w:r>
        <w:rPr>
          <w:rStyle w:val="Refdenotaalpie"/>
        </w:rPr>
        <w:footnoteRef/>
      </w:r>
      <w:r>
        <w:t xml:space="preserve"> Artículo 87, Ídem.</w:t>
      </w:r>
    </w:p>
  </w:footnote>
  <w:footnote w:id="20">
    <w:p w14:paraId="75A7F6ED" w14:textId="5C0273F7" w:rsidR="0049735A" w:rsidRDefault="0049735A">
      <w:pPr>
        <w:pStyle w:val="Textonotapie"/>
      </w:pPr>
      <w:r>
        <w:rPr>
          <w:rStyle w:val="Refdenotaalpie"/>
        </w:rPr>
        <w:footnoteRef/>
      </w:r>
      <w:r>
        <w:t xml:space="preserve"> Artículo 146, Reglamento Orgánico de la Administración Pública Municipal de Huixquilucan.</w:t>
      </w:r>
    </w:p>
  </w:footnote>
  <w:footnote w:id="21">
    <w:p w14:paraId="6108952A" w14:textId="75CF73D4" w:rsidR="00B537FB" w:rsidRPr="00B537FB" w:rsidRDefault="00B537FB" w:rsidP="00B537FB">
      <w:pPr>
        <w:pStyle w:val="Textonotapie"/>
        <w:jc w:val="both"/>
        <w:rPr>
          <w:i/>
        </w:rPr>
      </w:pPr>
      <w:r>
        <w:rPr>
          <w:rStyle w:val="Refdenotaalpie"/>
        </w:rPr>
        <w:footnoteRef/>
      </w:r>
      <w:r>
        <w:t xml:space="preserve"> “</w:t>
      </w:r>
      <w:r w:rsidRPr="00B537FB">
        <w:rPr>
          <w:b/>
          <w:i/>
        </w:rPr>
        <w:t>Artículo 143.</w:t>
      </w:r>
      <w:r w:rsidRPr="00B537FB">
        <w:rPr>
          <w:i/>
        </w:rPr>
        <w:t xml:space="preserve"> Para los efectos de esta Ley se considera información confidencial, la clasificada como</w:t>
      </w:r>
    </w:p>
    <w:p w14:paraId="214F51CA" w14:textId="77777777" w:rsidR="00B537FB" w:rsidRPr="00B537FB" w:rsidRDefault="00B537FB" w:rsidP="00B537FB">
      <w:pPr>
        <w:pStyle w:val="Textonotapie"/>
        <w:jc w:val="both"/>
        <w:rPr>
          <w:i/>
        </w:rPr>
      </w:pPr>
      <w:r w:rsidRPr="00B537FB">
        <w:rPr>
          <w:i/>
        </w:rPr>
        <w:t>tal, de manera permanente, por su naturaleza, cuando:</w:t>
      </w:r>
    </w:p>
    <w:p w14:paraId="132CD59C" w14:textId="129046FD" w:rsidR="00B537FB" w:rsidRPr="00B537FB" w:rsidRDefault="00B537FB" w:rsidP="00B537FB">
      <w:pPr>
        <w:pStyle w:val="Textonotapie"/>
        <w:jc w:val="both"/>
        <w:rPr>
          <w:i/>
        </w:rPr>
      </w:pPr>
      <w:r w:rsidRPr="00B537FB">
        <w:rPr>
          <w:b/>
          <w:i/>
        </w:rPr>
        <w:t>I.</w:t>
      </w:r>
      <w:r w:rsidRPr="00B537FB">
        <w:rPr>
          <w:i/>
        </w:rPr>
        <w:t xml:space="preserve"> </w:t>
      </w:r>
      <w:r w:rsidRPr="00B537FB">
        <w:rPr>
          <w:b/>
          <w:i/>
        </w:rPr>
        <w:t xml:space="preserve">Se refiera a la información privada y los datos personales concernientes a una persona física </w:t>
      </w:r>
      <w:r w:rsidRPr="00B537FB">
        <w:rPr>
          <w:i/>
        </w:rPr>
        <w:t xml:space="preserve">o jurídico colectiva </w:t>
      </w:r>
      <w:r w:rsidRPr="00B537FB">
        <w:rPr>
          <w:b/>
          <w:i/>
        </w:rPr>
        <w:t>identificada o identificable</w:t>
      </w:r>
      <w:r w:rsidRPr="00B537FB">
        <w:rPr>
          <w:i/>
        </w:rPr>
        <w:t>;</w:t>
      </w:r>
    </w:p>
    <w:p w14:paraId="44002430" w14:textId="67C612DA" w:rsidR="00B537FB" w:rsidRDefault="00B537FB" w:rsidP="00B537FB">
      <w:pPr>
        <w:pStyle w:val="Textonotapie"/>
        <w:jc w:val="both"/>
      </w:pPr>
      <w:r w:rsidRPr="00B537FB">
        <w:rPr>
          <w:i/>
        </w:rPr>
        <w:t>(…)</w:t>
      </w:r>
      <w:r>
        <w:t>”</w:t>
      </w:r>
    </w:p>
    <w:p w14:paraId="34CE352D" w14:textId="079B83B8" w:rsidR="00B537FB" w:rsidRDefault="00B537FB" w:rsidP="00B537FB">
      <w:pPr>
        <w:pStyle w:val="Textonotapie"/>
        <w:jc w:val="both"/>
      </w:pPr>
      <w:r>
        <w:t>(Énfasis añadido)</w:t>
      </w:r>
    </w:p>
  </w:footnote>
  <w:footnote w:id="22">
    <w:p w14:paraId="1C0C4674" w14:textId="77777777" w:rsidR="0049735A" w:rsidRDefault="0049735A" w:rsidP="00020F92">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49735A" w:rsidRPr="00025127" w14:paraId="61F907E2" w14:textId="77777777" w:rsidTr="00DB795F">
      <w:trPr>
        <w:trHeight w:val="138"/>
        <w:jc w:val="right"/>
      </w:trPr>
      <w:tc>
        <w:tcPr>
          <w:tcW w:w="3686" w:type="dxa"/>
          <w:vAlign w:val="center"/>
        </w:tcPr>
        <w:p w14:paraId="541E7979" w14:textId="77777777" w:rsidR="0049735A" w:rsidRPr="00025127" w:rsidRDefault="0049735A" w:rsidP="005F1362">
          <w:pPr>
            <w:ind w:right="34"/>
            <w:jc w:val="right"/>
            <w:rPr>
              <w:rFonts w:ascii="Palatino Linotype" w:hAnsi="Palatino Linotype"/>
              <w:b/>
              <w:sz w:val="22"/>
              <w:szCs w:val="22"/>
            </w:rPr>
          </w:pPr>
        </w:p>
      </w:tc>
      <w:tc>
        <w:tcPr>
          <w:tcW w:w="3553" w:type="dxa"/>
          <w:vAlign w:val="center"/>
        </w:tcPr>
        <w:p w14:paraId="3026F7B1" w14:textId="77777777" w:rsidR="0049735A" w:rsidRDefault="0049735A" w:rsidP="00F25B61">
          <w:pPr>
            <w:pStyle w:val="Encabezado"/>
            <w:jc w:val="both"/>
            <w:rPr>
              <w:rFonts w:ascii="Palatino Linotype" w:hAnsi="Palatino Linotype"/>
              <w:b/>
              <w:sz w:val="22"/>
              <w:szCs w:val="22"/>
            </w:rPr>
          </w:pPr>
        </w:p>
      </w:tc>
    </w:tr>
    <w:tr w:rsidR="0049735A" w:rsidRPr="00025127" w14:paraId="07F2896E" w14:textId="77777777" w:rsidTr="00DB795F">
      <w:trPr>
        <w:trHeight w:val="138"/>
        <w:jc w:val="right"/>
      </w:trPr>
      <w:tc>
        <w:tcPr>
          <w:tcW w:w="3686" w:type="dxa"/>
          <w:vAlign w:val="center"/>
        </w:tcPr>
        <w:p w14:paraId="4A5B1974" w14:textId="172F35BB" w:rsidR="0049735A" w:rsidRPr="00025127" w:rsidRDefault="0049735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3CB2E6FD" w:rsidR="0049735A" w:rsidRPr="00025127" w:rsidRDefault="0049735A" w:rsidP="00F25B61">
          <w:pPr>
            <w:pStyle w:val="Encabezado"/>
            <w:jc w:val="both"/>
            <w:rPr>
              <w:rFonts w:ascii="Palatino Linotype" w:hAnsi="Palatino Linotype"/>
              <w:b/>
              <w:sz w:val="22"/>
              <w:szCs w:val="22"/>
            </w:rPr>
          </w:pPr>
          <w:r>
            <w:rPr>
              <w:rFonts w:ascii="Palatino Linotype" w:hAnsi="Palatino Linotype"/>
              <w:b/>
              <w:sz w:val="22"/>
              <w:szCs w:val="22"/>
            </w:rPr>
            <w:t>13403</w:t>
          </w:r>
          <w:r w:rsidRPr="00025127">
            <w:rPr>
              <w:rFonts w:ascii="Palatino Linotype" w:hAnsi="Palatino Linotype"/>
              <w:b/>
              <w:sz w:val="22"/>
              <w:szCs w:val="22"/>
            </w:rPr>
            <w:t>/INFOEM/IP/RR/</w:t>
          </w:r>
          <w:r>
            <w:rPr>
              <w:rFonts w:ascii="Palatino Linotype" w:hAnsi="Palatino Linotype"/>
              <w:b/>
              <w:sz w:val="22"/>
              <w:szCs w:val="22"/>
            </w:rPr>
            <w:t>2022</w:t>
          </w:r>
        </w:p>
      </w:tc>
    </w:tr>
    <w:tr w:rsidR="0049735A" w:rsidRPr="00025127" w14:paraId="1B5D8690" w14:textId="77777777" w:rsidTr="00DB795F">
      <w:trPr>
        <w:trHeight w:val="233"/>
        <w:jc w:val="right"/>
      </w:trPr>
      <w:tc>
        <w:tcPr>
          <w:tcW w:w="3686" w:type="dxa"/>
          <w:vAlign w:val="center"/>
        </w:tcPr>
        <w:p w14:paraId="3903F2C6" w14:textId="22D569F8" w:rsidR="0049735A" w:rsidRPr="00025127" w:rsidRDefault="0049735A" w:rsidP="00AB18AF">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55281DF1" w:rsidR="0049735A" w:rsidRPr="00025127" w:rsidRDefault="0049735A" w:rsidP="00AB18AF">
          <w:pPr>
            <w:pStyle w:val="Encabezado"/>
            <w:rPr>
              <w:rFonts w:ascii="Palatino Linotype" w:hAnsi="Palatino Linotype"/>
              <w:b/>
              <w:sz w:val="22"/>
              <w:szCs w:val="22"/>
            </w:rPr>
          </w:pPr>
          <w:r>
            <w:rPr>
              <w:rFonts w:ascii="Palatino Linotype" w:hAnsi="Palatino Linotype"/>
              <w:b/>
              <w:bCs/>
              <w:color w:val="000000"/>
              <w:sz w:val="22"/>
              <w:szCs w:val="22"/>
            </w:rPr>
            <w:t>Ayuntamiento de Huixquilucan</w:t>
          </w:r>
        </w:p>
      </w:tc>
    </w:tr>
    <w:tr w:rsidR="0049735A" w:rsidRPr="00025127" w14:paraId="095EB01B" w14:textId="77777777" w:rsidTr="00DB795F">
      <w:trPr>
        <w:trHeight w:val="321"/>
        <w:jc w:val="right"/>
      </w:trPr>
      <w:tc>
        <w:tcPr>
          <w:tcW w:w="3686" w:type="dxa"/>
          <w:vAlign w:val="center"/>
        </w:tcPr>
        <w:p w14:paraId="6E000A51" w14:textId="05E1861A" w:rsidR="0049735A" w:rsidRPr="00025127" w:rsidRDefault="0049735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49735A" w:rsidRPr="00025127" w:rsidRDefault="0049735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49735A" w:rsidRDefault="0049735A"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49735A" w:rsidRPr="00025127" w14:paraId="0A3256F2" w14:textId="77777777" w:rsidTr="00DB795F">
      <w:trPr>
        <w:trHeight w:val="138"/>
        <w:jc w:val="right"/>
      </w:trPr>
      <w:tc>
        <w:tcPr>
          <w:tcW w:w="3686" w:type="dxa"/>
          <w:vAlign w:val="center"/>
        </w:tcPr>
        <w:p w14:paraId="3D80769D" w14:textId="44A35B8D" w:rsidR="0049735A" w:rsidRPr="00025127" w:rsidRDefault="0049735A"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1528892D" w:rsidR="0049735A" w:rsidRPr="00025127" w:rsidRDefault="0049735A" w:rsidP="00F25B61">
          <w:pPr>
            <w:pStyle w:val="Encabezado"/>
            <w:rPr>
              <w:rFonts w:ascii="Palatino Linotype" w:hAnsi="Palatino Linotype"/>
              <w:b/>
              <w:sz w:val="22"/>
              <w:szCs w:val="22"/>
            </w:rPr>
          </w:pPr>
          <w:r>
            <w:rPr>
              <w:rFonts w:ascii="Palatino Linotype" w:hAnsi="Palatino Linotype"/>
              <w:b/>
              <w:sz w:val="22"/>
              <w:szCs w:val="22"/>
            </w:rPr>
            <w:t>13403</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49735A" w:rsidRPr="00025127" w14:paraId="128C8B3C" w14:textId="77777777" w:rsidTr="00DB795F">
      <w:trPr>
        <w:trHeight w:val="233"/>
        <w:jc w:val="right"/>
      </w:trPr>
      <w:tc>
        <w:tcPr>
          <w:tcW w:w="3686" w:type="dxa"/>
          <w:vAlign w:val="center"/>
        </w:tcPr>
        <w:p w14:paraId="483E3371" w14:textId="66B1BC74" w:rsidR="0049735A" w:rsidRPr="00025127" w:rsidRDefault="0049735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0B73DBBC" w:rsidR="0049735A" w:rsidRPr="00025127" w:rsidRDefault="00570A4E" w:rsidP="0058757A">
          <w:pPr>
            <w:pStyle w:val="Encabezado"/>
            <w:rPr>
              <w:rFonts w:ascii="Palatino Linotype" w:hAnsi="Palatino Linotype"/>
              <w:b/>
              <w:sz w:val="22"/>
              <w:szCs w:val="22"/>
            </w:rPr>
          </w:pPr>
          <w:r>
            <w:rPr>
              <w:rFonts w:ascii="Palatino Linotype" w:hAnsi="Palatino Linotype"/>
              <w:b/>
              <w:sz w:val="22"/>
              <w:szCs w:val="22"/>
            </w:rPr>
            <w:t>XXXX XXXXX XXXXX</w:t>
          </w:r>
        </w:p>
      </w:tc>
    </w:tr>
    <w:tr w:rsidR="0049735A" w:rsidRPr="00025127" w14:paraId="41BE0704" w14:textId="77777777" w:rsidTr="00DB795F">
      <w:trPr>
        <w:trHeight w:val="321"/>
        <w:jc w:val="right"/>
      </w:trPr>
      <w:tc>
        <w:tcPr>
          <w:tcW w:w="3686" w:type="dxa"/>
          <w:vAlign w:val="center"/>
        </w:tcPr>
        <w:p w14:paraId="34C64148" w14:textId="10C6C8A9" w:rsidR="0049735A" w:rsidRPr="00025127" w:rsidRDefault="0049735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72B69101" w:rsidR="0049735A" w:rsidRPr="00025127" w:rsidRDefault="0049735A" w:rsidP="00AB18AF">
          <w:pPr>
            <w:pStyle w:val="Encabezado"/>
            <w:rPr>
              <w:rFonts w:ascii="Palatino Linotype" w:hAnsi="Palatino Linotype"/>
              <w:b/>
              <w:sz w:val="22"/>
              <w:szCs w:val="22"/>
            </w:rPr>
          </w:pPr>
          <w:r>
            <w:rPr>
              <w:rFonts w:ascii="Palatino Linotype" w:hAnsi="Palatino Linotype"/>
              <w:b/>
              <w:bCs/>
              <w:color w:val="000000"/>
              <w:sz w:val="22"/>
              <w:szCs w:val="22"/>
            </w:rPr>
            <w:t>Ayuntamiento de Huixquilucan</w:t>
          </w:r>
        </w:p>
      </w:tc>
    </w:tr>
    <w:tr w:rsidR="0049735A" w:rsidRPr="00025127" w14:paraId="245F525F" w14:textId="77777777" w:rsidTr="00DB795F">
      <w:trPr>
        <w:trHeight w:val="321"/>
        <w:jc w:val="right"/>
      </w:trPr>
      <w:tc>
        <w:tcPr>
          <w:tcW w:w="3686" w:type="dxa"/>
          <w:vAlign w:val="center"/>
        </w:tcPr>
        <w:p w14:paraId="12720156" w14:textId="13C22373" w:rsidR="0049735A" w:rsidRPr="00C42A21" w:rsidRDefault="0049735A"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549" w:type="dxa"/>
          <w:vAlign w:val="center"/>
        </w:tcPr>
        <w:p w14:paraId="3AA9EFBF" w14:textId="68FB941E" w:rsidR="0049735A" w:rsidRPr="00C42A21" w:rsidRDefault="0049735A"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49735A" w:rsidRDefault="00570A4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247DCA"/>
    <w:multiLevelType w:val="hybridMultilevel"/>
    <w:tmpl w:val="1CAEAE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4072C3"/>
    <w:multiLevelType w:val="hybridMultilevel"/>
    <w:tmpl w:val="DAE64F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DDD2713"/>
    <w:multiLevelType w:val="hybridMultilevel"/>
    <w:tmpl w:val="87FEA89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1737D81"/>
    <w:multiLevelType w:val="hybridMultilevel"/>
    <w:tmpl w:val="54AE2FD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857C685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8307073"/>
    <w:multiLevelType w:val="hybridMultilevel"/>
    <w:tmpl w:val="21FC13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97D6547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48044F3"/>
    <w:multiLevelType w:val="hybridMultilevel"/>
    <w:tmpl w:val="AD2E696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F506E86"/>
    <w:multiLevelType w:val="hybridMultilevel"/>
    <w:tmpl w:val="B96A95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8"/>
  </w:num>
  <w:num w:numId="5">
    <w:abstractNumId w:val="15"/>
  </w:num>
  <w:num w:numId="6">
    <w:abstractNumId w:val="3"/>
  </w:num>
  <w:num w:numId="7">
    <w:abstractNumId w:val="10"/>
  </w:num>
  <w:num w:numId="8">
    <w:abstractNumId w:val="5"/>
  </w:num>
  <w:num w:numId="9">
    <w:abstractNumId w:val="11"/>
  </w:num>
  <w:num w:numId="10">
    <w:abstractNumId w:val="9"/>
  </w:num>
  <w:num w:numId="11">
    <w:abstractNumId w:val="16"/>
  </w:num>
  <w:num w:numId="12">
    <w:abstractNumId w:val="12"/>
  </w:num>
  <w:num w:numId="13">
    <w:abstractNumId w:val="2"/>
  </w:num>
  <w:num w:numId="14">
    <w:abstractNumId w:val="4"/>
  </w:num>
  <w:num w:numId="15">
    <w:abstractNumId w:val="14"/>
  </w:num>
  <w:num w:numId="16">
    <w:abstractNumId w:val="1"/>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E06"/>
    <w:rsid w:val="0000310F"/>
    <w:rsid w:val="0000381E"/>
    <w:rsid w:val="00003A05"/>
    <w:rsid w:val="0000407F"/>
    <w:rsid w:val="000058E3"/>
    <w:rsid w:val="00006A78"/>
    <w:rsid w:val="0000797D"/>
    <w:rsid w:val="00007E8A"/>
    <w:rsid w:val="000100D7"/>
    <w:rsid w:val="0001106B"/>
    <w:rsid w:val="00011317"/>
    <w:rsid w:val="00012472"/>
    <w:rsid w:val="0001398B"/>
    <w:rsid w:val="00014F51"/>
    <w:rsid w:val="00016250"/>
    <w:rsid w:val="000203D3"/>
    <w:rsid w:val="000204A6"/>
    <w:rsid w:val="00020F92"/>
    <w:rsid w:val="000211F8"/>
    <w:rsid w:val="0002146F"/>
    <w:rsid w:val="00022D89"/>
    <w:rsid w:val="000236A3"/>
    <w:rsid w:val="00024184"/>
    <w:rsid w:val="0002451F"/>
    <w:rsid w:val="00024F35"/>
    <w:rsid w:val="00025127"/>
    <w:rsid w:val="00025266"/>
    <w:rsid w:val="00026CB6"/>
    <w:rsid w:val="0003063D"/>
    <w:rsid w:val="00031D37"/>
    <w:rsid w:val="00031F10"/>
    <w:rsid w:val="00031F98"/>
    <w:rsid w:val="00032493"/>
    <w:rsid w:val="0004072A"/>
    <w:rsid w:val="000411E2"/>
    <w:rsid w:val="0004193F"/>
    <w:rsid w:val="00042380"/>
    <w:rsid w:val="000435A5"/>
    <w:rsid w:val="00044C8A"/>
    <w:rsid w:val="00044DB9"/>
    <w:rsid w:val="00045F01"/>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61B9"/>
    <w:rsid w:val="000764E1"/>
    <w:rsid w:val="000770CE"/>
    <w:rsid w:val="000800AC"/>
    <w:rsid w:val="00081B15"/>
    <w:rsid w:val="0008230A"/>
    <w:rsid w:val="00082D11"/>
    <w:rsid w:val="00082E28"/>
    <w:rsid w:val="000834FE"/>
    <w:rsid w:val="00083CD8"/>
    <w:rsid w:val="0008465D"/>
    <w:rsid w:val="00084E31"/>
    <w:rsid w:val="0008542A"/>
    <w:rsid w:val="00090D6F"/>
    <w:rsid w:val="00091C2C"/>
    <w:rsid w:val="00093FB4"/>
    <w:rsid w:val="00093FC7"/>
    <w:rsid w:val="00094B41"/>
    <w:rsid w:val="000953E2"/>
    <w:rsid w:val="00095BB9"/>
    <w:rsid w:val="0009700A"/>
    <w:rsid w:val="000A1CC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5A1D"/>
    <w:rsid w:val="000D62FF"/>
    <w:rsid w:val="000D69DF"/>
    <w:rsid w:val="000D704C"/>
    <w:rsid w:val="000D72C9"/>
    <w:rsid w:val="000D7369"/>
    <w:rsid w:val="000D7394"/>
    <w:rsid w:val="000E0366"/>
    <w:rsid w:val="000E0707"/>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4024"/>
    <w:rsid w:val="000F5FDC"/>
    <w:rsid w:val="000F6D7E"/>
    <w:rsid w:val="00100187"/>
    <w:rsid w:val="00100C6D"/>
    <w:rsid w:val="00100DDD"/>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69F1"/>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E95"/>
    <w:rsid w:val="00163000"/>
    <w:rsid w:val="00163780"/>
    <w:rsid w:val="00163B1F"/>
    <w:rsid w:val="001648EE"/>
    <w:rsid w:val="00164B65"/>
    <w:rsid w:val="001656F2"/>
    <w:rsid w:val="00165DC8"/>
    <w:rsid w:val="00166794"/>
    <w:rsid w:val="00167813"/>
    <w:rsid w:val="00172471"/>
    <w:rsid w:val="0017273C"/>
    <w:rsid w:val="001732E3"/>
    <w:rsid w:val="00174404"/>
    <w:rsid w:val="00174E02"/>
    <w:rsid w:val="00174F53"/>
    <w:rsid w:val="00175CB0"/>
    <w:rsid w:val="0017653A"/>
    <w:rsid w:val="001775DF"/>
    <w:rsid w:val="00177694"/>
    <w:rsid w:val="001848C0"/>
    <w:rsid w:val="00185460"/>
    <w:rsid w:val="001862A3"/>
    <w:rsid w:val="00186921"/>
    <w:rsid w:val="001900FD"/>
    <w:rsid w:val="0019204B"/>
    <w:rsid w:val="001924F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BEF"/>
    <w:rsid w:val="001A6C1E"/>
    <w:rsid w:val="001B30F9"/>
    <w:rsid w:val="001B3659"/>
    <w:rsid w:val="001B40F3"/>
    <w:rsid w:val="001B53A0"/>
    <w:rsid w:val="001B5F70"/>
    <w:rsid w:val="001B6845"/>
    <w:rsid w:val="001B6DF8"/>
    <w:rsid w:val="001C09E0"/>
    <w:rsid w:val="001C0AED"/>
    <w:rsid w:val="001C13B1"/>
    <w:rsid w:val="001C1C2A"/>
    <w:rsid w:val="001C1CDE"/>
    <w:rsid w:val="001C20E8"/>
    <w:rsid w:val="001C263B"/>
    <w:rsid w:val="001C2713"/>
    <w:rsid w:val="001C2EF3"/>
    <w:rsid w:val="001C34D6"/>
    <w:rsid w:val="001C3732"/>
    <w:rsid w:val="001C54A9"/>
    <w:rsid w:val="001C6012"/>
    <w:rsid w:val="001C67B0"/>
    <w:rsid w:val="001C7733"/>
    <w:rsid w:val="001C77F5"/>
    <w:rsid w:val="001C79FA"/>
    <w:rsid w:val="001D07C9"/>
    <w:rsid w:val="001D2320"/>
    <w:rsid w:val="001D3AB5"/>
    <w:rsid w:val="001D4A81"/>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2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0EAE"/>
    <w:rsid w:val="00241770"/>
    <w:rsid w:val="002426EA"/>
    <w:rsid w:val="00244476"/>
    <w:rsid w:val="002457CF"/>
    <w:rsid w:val="0024737A"/>
    <w:rsid w:val="00247B6B"/>
    <w:rsid w:val="002500FA"/>
    <w:rsid w:val="002507D8"/>
    <w:rsid w:val="002508AA"/>
    <w:rsid w:val="00252A20"/>
    <w:rsid w:val="00252B41"/>
    <w:rsid w:val="0025524F"/>
    <w:rsid w:val="0025587E"/>
    <w:rsid w:val="00257740"/>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3CC"/>
    <w:rsid w:val="002746D9"/>
    <w:rsid w:val="00274ED2"/>
    <w:rsid w:val="002754FC"/>
    <w:rsid w:val="002765F2"/>
    <w:rsid w:val="00277A35"/>
    <w:rsid w:val="00280994"/>
    <w:rsid w:val="00280E3F"/>
    <w:rsid w:val="00280F05"/>
    <w:rsid w:val="0028248C"/>
    <w:rsid w:val="00282B05"/>
    <w:rsid w:val="002838A7"/>
    <w:rsid w:val="002838CF"/>
    <w:rsid w:val="00284CC1"/>
    <w:rsid w:val="00284D1C"/>
    <w:rsid w:val="002857F3"/>
    <w:rsid w:val="00286DDB"/>
    <w:rsid w:val="002871EB"/>
    <w:rsid w:val="00290B2E"/>
    <w:rsid w:val="00290DBD"/>
    <w:rsid w:val="00291D91"/>
    <w:rsid w:val="002948C4"/>
    <w:rsid w:val="002960D6"/>
    <w:rsid w:val="00296AB7"/>
    <w:rsid w:val="00297E45"/>
    <w:rsid w:val="002A1CD3"/>
    <w:rsid w:val="002A2099"/>
    <w:rsid w:val="002A229B"/>
    <w:rsid w:val="002A2544"/>
    <w:rsid w:val="002A35B6"/>
    <w:rsid w:val="002A4000"/>
    <w:rsid w:val="002A4172"/>
    <w:rsid w:val="002A4516"/>
    <w:rsid w:val="002A54DE"/>
    <w:rsid w:val="002A70E6"/>
    <w:rsid w:val="002A7FAB"/>
    <w:rsid w:val="002B0692"/>
    <w:rsid w:val="002B085C"/>
    <w:rsid w:val="002B1AE9"/>
    <w:rsid w:val="002B2278"/>
    <w:rsid w:val="002B284F"/>
    <w:rsid w:val="002B2A2E"/>
    <w:rsid w:val="002B2F59"/>
    <w:rsid w:val="002B309C"/>
    <w:rsid w:val="002B35F3"/>
    <w:rsid w:val="002B4D21"/>
    <w:rsid w:val="002B616F"/>
    <w:rsid w:val="002B6781"/>
    <w:rsid w:val="002B6AC2"/>
    <w:rsid w:val="002B6D5B"/>
    <w:rsid w:val="002B729F"/>
    <w:rsid w:val="002B7AD9"/>
    <w:rsid w:val="002C0074"/>
    <w:rsid w:val="002C0159"/>
    <w:rsid w:val="002C0804"/>
    <w:rsid w:val="002C0D97"/>
    <w:rsid w:val="002C0DC5"/>
    <w:rsid w:val="002C0E20"/>
    <w:rsid w:val="002C1007"/>
    <w:rsid w:val="002C2D44"/>
    <w:rsid w:val="002C3BBA"/>
    <w:rsid w:val="002C4715"/>
    <w:rsid w:val="002C4780"/>
    <w:rsid w:val="002C47ED"/>
    <w:rsid w:val="002C484A"/>
    <w:rsid w:val="002C5692"/>
    <w:rsid w:val="002C570D"/>
    <w:rsid w:val="002C6561"/>
    <w:rsid w:val="002C6DB3"/>
    <w:rsid w:val="002C76A0"/>
    <w:rsid w:val="002D063B"/>
    <w:rsid w:val="002D0BA8"/>
    <w:rsid w:val="002D0E3D"/>
    <w:rsid w:val="002D10C8"/>
    <w:rsid w:val="002D144A"/>
    <w:rsid w:val="002D1A38"/>
    <w:rsid w:val="002D1AA7"/>
    <w:rsid w:val="002D1C2C"/>
    <w:rsid w:val="002D28CB"/>
    <w:rsid w:val="002D2E16"/>
    <w:rsid w:val="002D35AE"/>
    <w:rsid w:val="002D373C"/>
    <w:rsid w:val="002D3DBC"/>
    <w:rsid w:val="002D57AA"/>
    <w:rsid w:val="002D6695"/>
    <w:rsid w:val="002D69D0"/>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40D"/>
    <w:rsid w:val="00312733"/>
    <w:rsid w:val="0031496F"/>
    <w:rsid w:val="00314EBD"/>
    <w:rsid w:val="00316065"/>
    <w:rsid w:val="00317883"/>
    <w:rsid w:val="00317EFF"/>
    <w:rsid w:val="00321181"/>
    <w:rsid w:val="00321AA3"/>
    <w:rsid w:val="00321AE9"/>
    <w:rsid w:val="00321EEE"/>
    <w:rsid w:val="00322876"/>
    <w:rsid w:val="00323895"/>
    <w:rsid w:val="0032586C"/>
    <w:rsid w:val="00325B64"/>
    <w:rsid w:val="00326579"/>
    <w:rsid w:val="00327D27"/>
    <w:rsid w:val="00327D79"/>
    <w:rsid w:val="00330E47"/>
    <w:rsid w:val="00332E6B"/>
    <w:rsid w:val="003334CC"/>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327D"/>
    <w:rsid w:val="003643B3"/>
    <w:rsid w:val="00365220"/>
    <w:rsid w:val="003708DD"/>
    <w:rsid w:val="00370B8E"/>
    <w:rsid w:val="00370BB1"/>
    <w:rsid w:val="003721B2"/>
    <w:rsid w:val="00372328"/>
    <w:rsid w:val="00374CE8"/>
    <w:rsid w:val="00375ABB"/>
    <w:rsid w:val="003762FD"/>
    <w:rsid w:val="00376FD2"/>
    <w:rsid w:val="00377278"/>
    <w:rsid w:val="00377766"/>
    <w:rsid w:val="00377A76"/>
    <w:rsid w:val="0038132B"/>
    <w:rsid w:val="00383E66"/>
    <w:rsid w:val="003846ED"/>
    <w:rsid w:val="00384AE2"/>
    <w:rsid w:val="00385699"/>
    <w:rsid w:val="00387DC9"/>
    <w:rsid w:val="00390D23"/>
    <w:rsid w:val="0039142B"/>
    <w:rsid w:val="00391447"/>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E73"/>
    <w:rsid w:val="003A63D9"/>
    <w:rsid w:val="003A6417"/>
    <w:rsid w:val="003A65FE"/>
    <w:rsid w:val="003A6A5A"/>
    <w:rsid w:val="003A7221"/>
    <w:rsid w:val="003A730E"/>
    <w:rsid w:val="003A7AAD"/>
    <w:rsid w:val="003B123F"/>
    <w:rsid w:val="003B1857"/>
    <w:rsid w:val="003B1CEE"/>
    <w:rsid w:val="003B2199"/>
    <w:rsid w:val="003B2856"/>
    <w:rsid w:val="003B2A0D"/>
    <w:rsid w:val="003B31FA"/>
    <w:rsid w:val="003B55AD"/>
    <w:rsid w:val="003B72A2"/>
    <w:rsid w:val="003B7EC4"/>
    <w:rsid w:val="003C183D"/>
    <w:rsid w:val="003C2B30"/>
    <w:rsid w:val="003C4729"/>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4701"/>
    <w:rsid w:val="003E5498"/>
    <w:rsid w:val="003E6079"/>
    <w:rsid w:val="003E6128"/>
    <w:rsid w:val="003E6679"/>
    <w:rsid w:val="003E6D0F"/>
    <w:rsid w:val="003E712E"/>
    <w:rsid w:val="003F0769"/>
    <w:rsid w:val="003F0DDA"/>
    <w:rsid w:val="003F140F"/>
    <w:rsid w:val="003F1552"/>
    <w:rsid w:val="003F15DB"/>
    <w:rsid w:val="003F1FD9"/>
    <w:rsid w:val="003F2702"/>
    <w:rsid w:val="003F2778"/>
    <w:rsid w:val="003F36A4"/>
    <w:rsid w:val="003F4900"/>
    <w:rsid w:val="003F5529"/>
    <w:rsid w:val="003F70CA"/>
    <w:rsid w:val="003F7823"/>
    <w:rsid w:val="00400E76"/>
    <w:rsid w:val="0040137F"/>
    <w:rsid w:val="00402179"/>
    <w:rsid w:val="0040278D"/>
    <w:rsid w:val="00402C84"/>
    <w:rsid w:val="00403249"/>
    <w:rsid w:val="004078C8"/>
    <w:rsid w:val="00410266"/>
    <w:rsid w:val="004102DE"/>
    <w:rsid w:val="004107D7"/>
    <w:rsid w:val="00412696"/>
    <w:rsid w:val="00412E24"/>
    <w:rsid w:val="004147B1"/>
    <w:rsid w:val="00416727"/>
    <w:rsid w:val="0042068A"/>
    <w:rsid w:val="00420D23"/>
    <w:rsid w:val="00422378"/>
    <w:rsid w:val="0042267F"/>
    <w:rsid w:val="0042437A"/>
    <w:rsid w:val="00424992"/>
    <w:rsid w:val="00424E72"/>
    <w:rsid w:val="00425F0D"/>
    <w:rsid w:val="00426D7C"/>
    <w:rsid w:val="004272F9"/>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5BA"/>
    <w:rsid w:val="004436D7"/>
    <w:rsid w:val="00443DCB"/>
    <w:rsid w:val="00443DEB"/>
    <w:rsid w:val="0044535B"/>
    <w:rsid w:val="00445FDA"/>
    <w:rsid w:val="004461C7"/>
    <w:rsid w:val="004466B2"/>
    <w:rsid w:val="004473B2"/>
    <w:rsid w:val="00447F0D"/>
    <w:rsid w:val="00450A5F"/>
    <w:rsid w:val="00451081"/>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20FF"/>
    <w:rsid w:val="00482E28"/>
    <w:rsid w:val="00483042"/>
    <w:rsid w:val="0048386B"/>
    <w:rsid w:val="00483C14"/>
    <w:rsid w:val="00484EDE"/>
    <w:rsid w:val="004858CD"/>
    <w:rsid w:val="00485DB6"/>
    <w:rsid w:val="0048628A"/>
    <w:rsid w:val="0048658E"/>
    <w:rsid w:val="00487D6A"/>
    <w:rsid w:val="00490792"/>
    <w:rsid w:val="004911B6"/>
    <w:rsid w:val="00491C96"/>
    <w:rsid w:val="004923B6"/>
    <w:rsid w:val="00494294"/>
    <w:rsid w:val="00495611"/>
    <w:rsid w:val="004961DA"/>
    <w:rsid w:val="00496359"/>
    <w:rsid w:val="0049735A"/>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156B"/>
    <w:rsid w:val="004C2082"/>
    <w:rsid w:val="004C20F2"/>
    <w:rsid w:val="004C251E"/>
    <w:rsid w:val="004C3F25"/>
    <w:rsid w:val="004C4E77"/>
    <w:rsid w:val="004C525E"/>
    <w:rsid w:val="004C6796"/>
    <w:rsid w:val="004C67E2"/>
    <w:rsid w:val="004C6BD8"/>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3619"/>
    <w:rsid w:val="004E3A4F"/>
    <w:rsid w:val="004E41E7"/>
    <w:rsid w:val="004E6E3A"/>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2E0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5DA"/>
    <w:rsid w:val="00517A46"/>
    <w:rsid w:val="00517BAF"/>
    <w:rsid w:val="00517D20"/>
    <w:rsid w:val="00520763"/>
    <w:rsid w:val="005215EE"/>
    <w:rsid w:val="00521F15"/>
    <w:rsid w:val="00522599"/>
    <w:rsid w:val="00522F5F"/>
    <w:rsid w:val="00523A4D"/>
    <w:rsid w:val="005248B9"/>
    <w:rsid w:val="00525116"/>
    <w:rsid w:val="005255D3"/>
    <w:rsid w:val="00525C4F"/>
    <w:rsid w:val="00526446"/>
    <w:rsid w:val="00527495"/>
    <w:rsid w:val="00527E7A"/>
    <w:rsid w:val="00530476"/>
    <w:rsid w:val="00531594"/>
    <w:rsid w:val="00533180"/>
    <w:rsid w:val="00537E2C"/>
    <w:rsid w:val="00540208"/>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4545"/>
    <w:rsid w:val="0055544F"/>
    <w:rsid w:val="00556533"/>
    <w:rsid w:val="00556B04"/>
    <w:rsid w:val="00556F72"/>
    <w:rsid w:val="00556F82"/>
    <w:rsid w:val="00560A81"/>
    <w:rsid w:val="00560C00"/>
    <w:rsid w:val="00561ED1"/>
    <w:rsid w:val="005620B7"/>
    <w:rsid w:val="00562B0A"/>
    <w:rsid w:val="00562CCE"/>
    <w:rsid w:val="00563FC3"/>
    <w:rsid w:val="0056555A"/>
    <w:rsid w:val="005669D6"/>
    <w:rsid w:val="00566BC5"/>
    <w:rsid w:val="0056736A"/>
    <w:rsid w:val="0056788F"/>
    <w:rsid w:val="00567998"/>
    <w:rsid w:val="00570911"/>
    <w:rsid w:val="00570A4E"/>
    <w:rsid w:val="00573BC6"/>
    <w:rsid w:val="00575812"/>
    <w:rsid w:val="005759CD"/>
    <w:rsid w:val="00575D39"/>
    <w:rsid w:val="00575F2C"/>
    <w:rsid w:val="005773AC"/>
    <w:rsid w:val="00577884"/>
    <w:rsid w:val="00577C3F"/>
    <w:rsid w:val="00581C0F"/>
    <w:rsid w:val="0058249C"/>
    <w:rsid w:val="00582919"/>
    <w:rsid w:val="00583749"/>
    <w:rsid w:val="005849B2"/>
    <w:rsid w:val="00585172"/>
    <w:rsid w:val="00587366"/>
    <w:rsid w:val="0058757A"/>
    <w:rsid w:val="00590037"/>
    <w:rsid w:val="00590892"/>
    <w:rsid w:val="005917A6"/>
    <w:rsid w:val="00593476"/>
    <w:rsid w:val="005937BC"/>
    <w:rsid w:val="00594165"/>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5291"/>
    <w:rsid w:val="005A60E1"/>
    <w:rsid w:val="005A6788"/>
    <w:rsid w:val="005A786F"/>
    <w:rsid w:val="005B13E4"/>
    <w:rsid w:val="005B169C"/>
    <w:rsid w:val="005B2DD1"/>
    <w:rsid w:val="005B3A49"/>
    <w:rsid w:val="005B3FAC"/>
    <w:rsid w:val="005B4068"/>
    <w:rsid w:val="005B4984"/>
    <w:rsid w:val="005B4B08"/>
    <w:rsid w:val="005B5703"/>
    <w:rsid w:val="005B5EEB"/>
    <w:rsid w:val="005B6ADF"/>
    <w:rsid w:val="005B773D"/>
    <w:rsid w:val="005B7C5D"/>
    <w:rsid w:val="005C02B5"/>
    <w:rsid w:val="005C0821"/>
    <w:rsid w:val="005C1A74"/>
    <w:rsid w:val="005C3294"/>
    <w:rsid w:val="005C347F"/>
    <w:rsid w:val="005C3B63"/>
    <w:rsid w:val="005C450C"/>
    <w:rsid w:val="005C6961"/>
    <w:rsid w:val="005C6F55"/>
    <w:rsid w:val="005C7898"/>
    <w:rsid w:val="005C7C86"/>
    <w:rsid w:val="005C7CA9"/>
    <w:rsid w:val="005D0EB4"/>
    <w:rsid w:val="005D18A6"/>
    <w:rsid w:val="005D27DD"/>
    <w:rsid w:val="005D3493"/>
    <w:rsid w:val="005D42F5"/>
    <w:rsid w:val="005D5917"/>
    <w:rsid w:val="005D622E"/>
    <w:rsid w:val="005D6617"/>
    <w:rsid w:val="005D6FF0"/>
    <w:rsid w:val="005E11D5"/>
    <w:rsid w:val="005E1FBA"/>
    <w:rsid w:val="005E2947"/>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E8B"/>
    <w:rsid w:val="005F487C"/>
    <w:rsid w:val="005F53A4"/>
    <w:rsid w:val="005F5FE1"/>
    <w:rsid w:val="005F62B2"/>
    <w:rsid w:val="005F715E"/>
    <w:rsid w:val="006010DA"/>
    <w:rsid w:val="006015F0"/>
    <w:rsid w:val="006017AB"/>
    <w:rsid w:val="00604AC3"/>
    <w:rsid w:val="00605865"/>
    <w:rsid w:val="00611DC1"/>
    <w:rsid w:val="00613655"/>
    <w:rsid w:val="00613717"/>
    <w:rsid w:val="006144EE"/>
    <w:rsid w:val="00617125"/>
    <w:rsid w:val="00617813"/>
    <w:rsid w:val="006179BE"/>
    <w:rsid w:val="006206CC"/>
    <w:rsid w:val="006225C6"/>
    <w:rsid w:val="00622B06"/>
    <w:rsid w:val="00623C15"/>
    <w:rsid w:val="00624425"/>
    <w:rsid w:val="006257C2"/>
    <w:rsid w:val="00626011"/>
    <w:rsid w:val="00627163"/>
    <w:rsid w:val="0063034E"/>
    <w:rsid w:val="00632E24"/>
    <w:rsid w:val="00633971"/>
    <w:rsid w:val="0063423A"/>
    <w:rsid w:val="00634476"/>
    <w:rsid w:val="00637475"/>
    <w:rsid w:val="0064393B"/>
    <w:rsid w:val="006439A1"/>
    <w:rsid w:val="00644375"/>
    <w:rsid w:val="00644A5C"/>
    <w:rsid w:val="00644E1B"/>
    <w:rsid w:val="00645E03"/>
    <w:rsid w:val="00646A08"/>
    <w:rsid w:val="00646E43"/>
    <w:rsid w:val="00650392"/>
    <w:rsid w:val="0065061D"/>
    <w:rsid w:val="00651701"/>
    <w:rsid w:val="00652854"/>
    <w:rsid w:val="00654822"/>
    <w:rsid w:val="00654B48"/>
    <w:rsid w:val="00655146"/>
    <w:rsid w:val="0065715E"/>
    <w:rsid w:val="00657670"/>
    <w:rsid w:val="00657DBF"/>
    <w:rsid w:val="00657DE0"/>
    <w:rsid w:val="00657F92"/>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695"/>
    <w:rsid w:val="00673DB5"/>
    <w:rsid w:val="00674701"/>
    <w:rsid w:val="00674A46"/>
    <w:rsid w:val="006752B0"/>
    <w:rsid w:val="00675742"/>
    <w:rsid w:val="00675F80"/>
    <w:rsid w:val="00676959"/>
    <w:rsid w:val="00676C6B"/>
    <w:rsid w:val="00677358"/>
    <w:rsid w:val="00680F25"/>
    <w:rsid w:val="00682297"/>
    <w:rsid w:val="006842C0"/>
    <w:rsid w:val="006844E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12E8"/>
    <w:rsid w:val="006B1C19"/>
    <w:rsid w:val="006B218B"/>
    <w:rsid w:val="006B249F"/>
    <w:rsid w:val="006B31E7"/>
    <w:rsid w:val="006B3C4E"/>
    <w:rsid w:val="006B4585"/>
    <w:rsid w:val="006B53EE"/>
    <w:rsid w:val="006B5BA1"/>
    <w:rsid w:val="006B65D4"/>
    <w:rsid w:val="006B7A58"/>
    <w:rsid w:val="006C16FD"/>
    <w:rsid w:val="006C26B3"/>
    <w:rsid w:val="006C2A76"/>
    <w:rsid w:val="006C2FEE"/>
    <w:rsid w:val="006C50B1"/>
    <w:rsid w:val="006C50C2"/>
    <w:rsid w:val="006C563A"/>
    <w:rsid w:val="006C6C8C"/>
    <w:rsid w:val="006C6E1A"/>
    <w:rsid w:val="006C7544"/>
    <w:rsid w:val="006D24C4"/>
    <w:rsid w:val="006D27EF"/>
    <w:rsid w:val="006D425C"/>
    <w:rsid w:val="006D52D1"/>
    <w:rsid w:val="006D57BE"/>
    <w:rsid w:val="006D5C89"/>
    <w:rsid w:val="006D6B9C"/>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0359"/>
    <w:rsid w:val="00700FFE"/>
    <w:rsid w:val="00701218"/>
    <w:rsid w:val="00702D2E"/>
    <w:rsid w:val="007050B1"/>
    <w:rsid w:val="00705527"/>
    <w:rsid w:val="00707096"/>
    <w:rsid w:val="007108EC"/>
    <w:rsid w:val="00710B50"/>
    <w:rsid w:val="007127BB"/>
    <w:rsid w:val="007136BC"/>
    <w:rsid w:val="00713B2F"/>
    <w:rsid w:val="00714576"/>
    <w:rsid w:val="00714FEC"/>
    <w:rsid w:val="00715A04"/>
    <w:rsid w:val="00715B7D"/>
    <w:rsid w:val="00721335"/>
    <w:rsid w:val="00721924"/>
    <w:rsid w:val="00721F66"/>
    <w:rsid w:val="00722B93"/>
    <w:rsid w:val="0072380E"/>
    <w:rsid w:val="0072445A"/>
    <w:rsid w:val="007263AA"/>
    <w:rsid w:val="00731F1F"/>
    <w:rsid w:val="00732319"/>
    <w:rsid w:val="0073324B"/>
    <w:rsid w:val="007337E6"/>
    <w:rsid w:val="00734FF5"/>
    <w:rsid w:val="00735A66"/>
    <w:rsid w:val="00735A75"/>
    <w:rsid w:val="00735A83"/>
    <w:rsid w:val="007365AD"/>
    <w:rsid w:val="007409D8"/>
    <w:rsid w:val="00740BA4"/>
    <w:rsid w:val="00742486"/>
    <w:rsid w:val="00742A75"/>
    <w:rsid w:val="00743CAC"/>
    <w:rsid w:val="0074433B"/>
    <w:rsid w:val="007446C2"/>
    <w:rsid w:val="0074573F"/>
    <w:rsid w:val="0074628D"/>
    <w:rsid w:val="007473D2"/>
    <w:rsid w:val="007479C2"/>
    <w:rsid w:val="00750A80"/>
    <w:rsid w:val="00751061"/>
    <w:rsid w:val="0075151E"/>
    <w:rsid w:val="0075265E"/>
    <w:rsid w:val="007534E7"/>
    <w:rsid w:val="0075440D"/>
    <w:rsid w:val="00754EF8"/>
    <w:rsid w:val="00755369"/>
    <w:rsid w:val="0075604A"/>
    <w:rsid w:val="0075650E"/>
    <w:rsid w:val="00756B9B"/>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4FF1"/>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11B"/>
    <w:rsid w:val="007A4419"/>
    <w:rsid w:val="007A65E0"/>
    <w:rsid w:val="007A6693"/>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08E"/>
    <w:rsid w:val="007C6110"/>
    <w:rsid w:val="007C6AE2"/>
    <w:rsid w:val="007C7154"/>
    <w:rsid w:val="007D0C01"/>
    <w:rsid w:val="007D0DE7"/>
    <w:rsid w:val="007D26D2"/>
    <w:rsid w:val="007D3356"/>
    <w:rsid w:val="007D3FBD"/>
    <w:rsid w:val="007D439B"/>
    <w:rsid w:val="007D49A0"/>
    <w:rsid w:val="007D7EF3"/>
    <w:rsid w:val="007E0553"/>
    <w:rsid w:val="007E30A9"/>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D68"/>
    <w:rsid w:val="00815FC2"/>
    <w:rsid w:val="008165AF"/>
    <w:rsid w:val="008167F5"/>
    <w:rsid w:val="0081794B"/>
    <w:rsid w:val="00817D8E"/>
    <w:rsid w:val="008200A3"/>
    <w:rsid w:val="00820222"/>
    <w:rsid w:val="00820BF2"/>
    <w:rsid w:val="00821411"/>
    <w:rsid w:val="00824C4E"/>
    <w:rsid w:val="00826125"/>
    <w:rsid w:val="00826F38"/>
    <w:rsid w:val="00830D70"/>
    <w:rsid w:val="00831969"/>
    <w:rsid w:val="00833E4C"/>
    <w:rsid w:val="00834316"/>
    <w:rsid w:val="00835256"/>
    <w:rsid w:val="00836224"/>
    <w:rsid w:val="008374E9"/>
    <w:rsid w:val="008376CD"/>
    <w:rsid w:val="0083780A"/>
    <w:rsid w:val="00837BE4"/>
    <w:rsid w:val="00840559"/>
    <w:rsid w:val="00842534"/>
    <w:rsid w:val="00842788"/>
    <w:rsid w:val="00843153"/>
    <w:rsid w:val="008433C1"/>
    <w:rsid w:val="00843908"/>
    <w:rsid w:val="008443E1"/>
    <w:rsid w:val="00845D12"/>
    <w:rsid w:val="00846713"/>
    <w:rsid w:val="00846C5D"/>
    <w:rsid w:val="00846D48"/>
    <w:rsid w:val="008473FA"/>
    <w:rsid w:val="00847830"/>
    <w:rsid w:val="00851A81"/>
    <w:rsid w:val="00851F4C"/>
    <w:rsid w:val="0085214E"/>
    <w:rsid w:val="0085224B"/>
    <w:rsid w:val="008523BA"/>
    <w:rsid w:val="00852B26"/>
    <w:rsid w:val="0085480B"/>
    <w:rsid w:val="00855021"/>
    <w:rsid w:val="00855985"/>
    <w:rsid w:val="00855EB2"/>
    <w:rsid w:val="008560F4"/>
    <w:rsid w:val="008568B1"/>
    <w:rsid w:val="008570EB"/>
    <w:rsid w:val="008577D1"/>
    <w:rsid w:val="00860A1E"/>
    <w:rsid w:val="00861622"/>
    <w:rsid w:val="00862273"/>
    <w:rsid w:val="008624DD"/>
    <w:rsid w:val="00863125"/>
    <w:rsid w:val="008645F1"/>
    <w:rsid w:val="00864EBB"/>
    <w:rsid w:val="00865611"/>
    <w:rsid w:val="008662C0"/>
    <w:rsid w:val="0086644C"/>
    <w:rsid w:val="0087030B"/>
    <w:rsid w:val="008705E1"/>
    <w:rsid w:val="00870A0A"/>
    <w:rsid w:val="0087153F"/>
    <w:rsid w:val="00872938"/>
    <w:rsid w:val="00873ABF"/>
    <w:rsid w:val="0087459A"/>
    <w:rsid w:val="00875167"/>
    <w:rsid w:val="00875A88"/>
    <w:rsid w:val="00875DF8"/>
    <w:rsid w:val="008765E3"/>
    <w:rsid w:val="00876DCE"/>
    <w:rsid w:val="00876FBF"/>
    <w:rsid w:val="0088032A"/>
    <w:rsid w:val="00881572"/>
    <w:rsid w:val="00882FEA"/>
    <w:rsid w:val="0088320F"/>
    <w:rsid w:val="00883450"/>
    <w:rsid w:val="008834D1"/>
    <w:rsid w:val="0088398C"/>
    <w:rsid w:val="0088427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65EF"/>
    <w:rsid w:val="00896AD4"/>
    <w:rsid w:val="0089707F"/>
    <w:rsid w:val="00897752"/>
    <w:rsid w:val="008A1C1E"/>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2B3C"/>
    <w:rsid w:val="008C33F9"/>
    <w:rsid w:val="008C3918"/>
    <w:rsid w:val="008C41A7"/>
    <w:rsid w:val="008C6F34"/>
    <w:rsid w:val="008C7108"/>
    <w:rsid w:val="008C75C8"/>
    <w:rsid w:val="008D02A3"/>
    <w:rsid w:val="008D0826"/>
    <w:rsid w:val="008D115B"/>
    <w:rsid w:val="008D22D8"/>
    <w:rsid w:val="008D259C"/>
    <w:rsid w:val="008D288D"/>
    <w:rsid w:val="008D2BCD"/>
    <w:rsid w:val="008D406E"/>
    <w:rsid w:val="008D4DED"/>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63C7"/>
    <w:rsid w:val="008F12E6"/>
    <w:rsid w:val="008F131E"/>
    <w:rsid w:val="008F1558"/>
    <w:rsid w:val="008F2B44"/>
    <w:rsid w:val="008F330B"/>
    <w:rsid w:val="008F5927"/>
    <w:rsid w:val="008F5F96"/>
    <w:rsid w:val="008F7752"/>
    <w:rsid w:val="0090174A"/>
    <w:rsid w:val="00902E52"/>
    <w:rsid w:val="009036B3"/>
    <w:rsid w:val="0090531F"/>
    <w:rsid w:val="00905F3D"/>
    <w:rsid w:val="0090620F"/>
    <w:rsid w:val="009071FE"/>
    <w:rsid w:val="00907761"/>
    <w:rsid w:val="00907A46"/>
    <w:rsid w:val="00910076"/>
    <w:rsid w:val="0091242A"/>
    <w:rsid w:val="00912E53"/>
    <w:rsid w:val="00912F01"/>
    <w:rsid w:val="0091395C"/>
    <w:rsid w:val="00913AA4"/>
    <w:rsid w:val="009141E0"/>
    <w:rsid w:val="009145D9"/>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67620"/>
    <w:rsid w:val="00970F70"/>
    <w:rsid w:val="00971056"/>
    <w:rsid w:val="0097210F"/>
    <w:rsid w:val="0097252B"/>
    <w:rsid w:val="00972668"/>
    <w:rsid w:val="009727B4"/>
    <w:rsid w:val="00972C36"/>
    <w:rsid w:val="00972DF8"/>
    <w:rsid w:val="009747E8"/>
    <w:rsid w:val="009750AA"/>
    <w:rsid w:val="00975447"/>
    <w:rsid w:val="00975CDB"/>
    <w:rsid w:val="00977D37"/>
    <w:rsid w:val="009813EA"/>
    <w:rsid w:val="009830D3"/>
    <w:rsid w:val="00983B8F"/>
    <w:rsid w:val="00983F74"/>
    <w:rsid w:val="00984D47"/>
    <w:rsid w:val="0098595E"/>
    <w:rsid w:val="00986073"/>
    <w:rsid w:val="00990EE2"/>
    <w:rsid w:val="009916D2"/>
    <w:rsid w:val="009917E9"/>
    <w:rsid w:val="009918B7"/>
    <w:rsid w:val="009918C6"/>
    <w:rsid w:val="0099229C"/>
    <w:rsid w:val="00994E5F"/>
    <w:rsid w:val="009959DB"/>
    <w:rsid w:val="00995C9F"/>
    <w:rsid w:val="00997078"/>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0DB"/>
    <w:rsid w:val="009B3771"/>
    <w:rsid w:val="009B4864"/>
    <w:rsid w:val="009B5504"/>
    <w:rsid w:val="009B5D1A"/>
    <w:rsid w:val="009B649B"/>
    <w:rsid w:val="009B6EF2"/>
    <w:rsid w:val="009B6F16"/>
    <w:rsid w:val="009C0940"/>
    <w:rsid w:val="009C0950"/>
    <w:rsid w:val="009C176D"/>
    <w:rsid w:val="009C1D99"/>
    <w:rsid w:val="009C1F8B"/>
    <w:rsid w:val="009C20A8"/>
    <w:rsid w:val="009C5057"/>
    <w:rsid w:val="009D1378"/>
    <w:rsid w:val="009D1780"/>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3838"/>
    <w:rsid w:val="00A15C42"/>
    <w:rsid w:val="00A166B8"/>
    <w:rsid w:val="00A16DF1"/>
    <w:rsid w:val="00A17302"/>
    <w:rsid w:val="00A17A17"/>
    <w:rsid w:val="00A2069D"/>
    <w:rsid w:val="00A20B1F"/>
    <w:rsid w:val="00A21050"/>
    <w:rsid w:val="00A225C1"/>
    <w:rsid w:val="00A227B3"/>
    <w:rsid w:val="00A235D0"/>
    <w:rsid w:val="00A238C8"/>
    <w:rsid w:val="00A24131"/>
    <w:rsid w:val="00A27A7F"/>
    <w:rsid w:val="00A3276A"/>
    <w:rsid w:val="00A349D2"/>
    <w:rsid w:val="00A34C05"/>
    <w:rsid w:val="00A35492"/>
    <w:rsid w:val="00A4044E"/>
    <w:rsid w:val="00A4217B"/>
    <w:rsid w:val="00A42475"/>
    <w:rsid w:val="00A42869"/>
    <w:rsid w:val="00A42BDF"/>
    <w:rsid w:val="00A4379F"/>
    <w:rsid w:val="00A44145"/>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3182"/>
    <w:rsid w:val="00A55D2B"/>
    <w:rsid w:val="00A572BC"/>
    <w:rsid w:val="00A57A82"/>
    <w:rsid w:val="00A62B7B"/>
    <w:rsid w:val="00A66AE9"/>
    <w:rsid w:val="00A66E25"/>
    <w:rsid w:val="00A67428"/>
    <w:rsid w:val="00A70CF3"/>
    <w:rsid w:val="00A7155E"/>
    <w:rsid w:val="00A71FE7"/>
    <w:rsid w:val="00A73C04"/>
    <w:rsid w:val="00A74EDE"/>
    <w:rsid w:val="00A763AE"/>
    <w:rsid w:val="00A76619"/>
    <w:rsid w:val="00A766D5"/>
    <w:rsid w:val="00A76B0D"/>
    <w:rsid w:val="00A7750A"/>
    <w:rsid w:val="00A77711"/>
    <w:rsid w:val="00A80223"/>
    <w:rsid w:val="00A816EE"/>
    <w:rsid w:val="00A81AB5"/>
    <w:rsid w:val="00A82724"/>
    <w:rsid w:val="00A82C5A"/>
    <w:rsid w:val="00A83FF6"/>
    <w:rsid w:val="00A84187"/>
    <w:rsid w:val="00A84704"/>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48B1"/>
    <w:rsid w:val="00AA6228"/>
    <w:rsid w:val="00AA69A4"/>
    <w:rsid w:val="00AB1131"/>
    <w:rsid w:val="00AB18AF"/>
    <w:rsid w:val="00AB1B91"/>
    <w:rsid w:val="00AB2744"/>
    <w:rsid w:val="00AB274F"/>
    <w:rsid w:val="00AB5F30"/>
    <w:rsid w:val="00AB61E4"/>
    <w:rsid w:val="00AB6BE3"/>
    <w:rsid w:val="00AB7AAA"/>
    <w:rsid w:val="00AC0E71"/>
    <w:rsid w:val="00AC2197"/>
    <w:rsid w:val="00AC37C3"/>
    <w:rsid w:val="00AC3E08"/>
    <w:rsid w:val="00AC3E65"/>
    <w:rsid w:val="00AC535B"/>
    <w:rsid w:val="00AC5F6A"/>
    <w:rsid w:val="00AD0B3C"/>
    <w:rsid w:val="00AD0FC3"/>
    <w:rsid w:val="00AD1795"/>
    <w:rsid w:val="00AD1892"/>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46C8"/>
    <w:rsid w:val="00B24D6C"/>
    <w:rsid w:val="00B2503B"/>
    <w:rsid w:val="00B267A4"/>
    <w:rsid w:val="00B26C93"/>
    <w:rsid w:val="00B312C7"/>
    <w:rsid w:val="00B315C4"/>
    <w:rsid w:val="00B316B9"/>
    <w:rsid w:val="00B31E90"/>
    <w:rsid w:val="00B32E58"/>
    <w:rsid w:val="00B33180"/>
    <w:rsid w:val="00B335A2"/>
    <w:rsid w:val="00B342D1"/>
    <w:rsid w:val="00B34371"/>
    <w:rsid w:val="00B343F6"/>
    <w:rsid w:val="00B357DD"/>
    <w:rsid w:val="00B3657C"/>
    <w:rsid w:val="00B36BEC"/>
    <w:rsid w:val="00B37104"/>
    <w:rsid w:val="00B37930"/>
    <w:rsid w:val="00B406E3"/>
    <w:rsid w:val="00B41516"/>
    <w:rsid w:val="00B4309E"/>
    <w:rsid w:val="00B433EB"/>
    <w:rsid w:val="00B44748"/>
    <w:rsid w:val="00B447D7"/>
    <w:rsid w:val="00B44F9F"/>
    <w:rsid w:val="00B451F7"/>
    <w:rsid w:val="00B452A3"/>
    <w:rsid w:val="00B4545E"/>
    <w:rsid w:val="00B47889"/>
    <w:rsid w:val="00B47D0D"/>
    <w:rsid w:val="00B52B7D"/>
    <w:rsid w:val="00B531D2"/>
    <w:rsid w:val="00B537D8"/>
    <w:rsid w:val="00B537FB"/>
    <w:rsid w:val="00B53CCA"/>
    <w:rsid w:val="00B54441"/>
    <w:rsid w:val="00B54A5F"/>
    <w:rsid w:val="00B560C2"/>
    <w:rsid w:val="00B56409"/>
    <w:rsid w:val="00B56F9B"/>
    <w:rsid w:val="00B6015A"/>
    <w:rsid w:val="00B635E7"/>
    <w:rsid w:val="00B64099"/>
    <w:rsid w:val="00B643D6"/>
    <w:rsid w:val="00B64919"/>
    <w:rsid w:val="00B64C40"/>
    <w:rsid w:val="00B6571D"/>
    <w:rsid w:val="00B667C6"/>
    <w:rsid w:val="00B66BC8"/>
    <w:rsid w:val="00B6723D"/>
    <w:rsid w:val="00B67B60"/>
    <w:rsid w:val="00B67BD4"/>
    <w:rsid w:val="00B71F08"/>
    <w:rsid w:val="00B73838"/>
    <w:rsid w:val="00B7421A"/>
    <w:rsid w:val="00B74366"/>
    <w:rsid w:val="00B74D4D"/>
    <w:rsid w:val="00B752D3"/>
    <w:rsid w:val="00B75F20"/>
    <w:rsid w:val="00B762FD"/>
    <w:rsid w:val="00B76C73"/>
    <w:rsid w:val="00B808A4"/>
    <w:rsid w:val="00B81371"/>
    <w:rsid w:val="00B818B8"/>
    <w:rsid w:val="00B8225B"/>
    <w:rsid w:val="00B83E2E"/>
    <w:rsid w:val="00B84739"/>
    <w:rsid w:val="00B855AA"/>
    <w:rsid w:val="00B8780A"/>
    <w:rsid w:val="00B902E7"/>
    <w:rsid w:val="00B922D9"/>
    <w:rsid w:val="00B926D6"/>
    <w:rsid w:val="00B93351"/>
    <w:rsid w:val="00B93C94"/>
    <w:rsid w:val="00B945F2"/>
    <w:rsid w:val="00B95232"/>
    <w:rsid w:val="00B95670"/>
    <w:rsid w:val="00B959FD"/>
    <w:rsid w:val="00B966BF"/>
    <w:rsid w:val="00B974B4"/>
    <w:rsid w:val="00BA0012"/>
    <w:rsid w:val="00BA0458"/>
    <w:rsid w:val="00BA4F66"/>
    <w:rsid w:val="00BA54A2"/>
    <w:rsid w:val="00BA6A65"/>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6CAD"/>
    <w:rsid w:val="00BE74FA"/>
    <w:rsid w:val="00BF0A54"/>
    <w:rsid w:val="00BF0F1C"/>
    <w:rsid w:val="00BF1278"/>
    <w:rsid w:val="00BF1B7F"/>
    <w:rsid w:val="00BF2346"/>
    <w:rsid w:val="00BF3B85"/>
    <w:rsid w:val="00BF485E"/>
    <w:rsid w:val="00BF6B5B"/>
    <w:rsid w:val="00BF6D83"/>
    <w:rsid w:val="00BF704D"/>
    <w:rsid w:val="00BF7365"/>
    <w:rsid w:val="00BF7824"/>
    <w:rsid w:val="00C004FC"/>
    <w:rsid w:val="00C020F8"/>
    <w:rsid w:val="00C02535"/>
    <w:rsid w:val="00C04666"/>
    <w:rsid w:val="00C04D22"/>
    <w:rsid w:val="00C04DC4"/>
    <w:rsid w:val="00C06C02"/>
    <w:rsid w:val="00C11482"/>
    <w:rsid w:val="00C11E0B"/>
    <w:rsid w:val="00C1254E"/>
    <w:rsid w:val="00C12E38"/>
    <w:rsid w:val="00C134AC"/>
    <w:rsid w:val="00C14CDF"/>
    <w:rsid w:val="00C14CF0"/>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918"/>
    <w:rsid w:val="00C27ABF"/>
    <w:rsid w:val="00C3086E"/>
    <w:rsid w:val="00C315FB"/>
    <w:rsid w:val="00C31713"/>
    <w:rsid w:val="00C317BD"/>
    <w:rsid w:val="00C31C1C"/>
    <w:rsid w:val="00C33279"/>
    <w:rsid w:val="00C34B8F"/>
    <w:rsid w:val="00C35332"/>
    <w:rsid w:val="00C37421"/>
    <w:rsid w:val="00C37D4F"/>
    <w:rsid w:val="00C40353"/>
    <w:rsid w:val="00C41015"/>
    <w:rsid w:val="00C41131"/>
    <w:rsid w:val="00C411C1"/>
    <w:rsid w:val="00C422BD"/>
    <w:rsid w:val="00C42996"/>
    <w:rsid w:val="00C42A21"/>
    <w:rsid w:val="00C42ED3"/>
    <w:rsid w:val="00C43A3B"/>
    <w:rsid w:val="00C454F4"/>
    <w:rsid w:val="00C45581"/>
    <w:rsid w:val="00C45BF0"/>
    <w:rsid w:val="00C46213"/>
    <w:rsid w:val="00C465BE"/>
    <w:rsid w:val="00C4712A"/>
    <w:rsid w:val="00C47468"/>
    <w:rsid w:val="00C47CDC"/>
    <w:rsid w:val="00C50A2B"/>
    <w:rsid w:val="00C50F8A"/>
    <w:rsid w:val="00C51671"/>
    <w:rsid w:val="00C5280A"/>
    <w:rsid w:val="00C5401F"/>
    <w:rsid w:val="00C54922"/>
    <w:rsid w:val="00C55FE8"/>
    <w:rsid w:val="00C574D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699"/>
    <w:rsid w:val="00C83C79"/>
    <w:rsid w:val="00C83EA7"/>
    <w:rsid w:val="00C84559"/>
    <w:rsid w:val="00C84E31"/>
    <w:rsid w:val="00C862C4"/>
    <w:rsid w:val="00C86977"/>
    <w:rsid w:val="00C86B34"/>
    <w:rsid w:val="00C86FFF"/>
    <w:rsid w:val="00C871C7"/>
    <w:rsid w:val="00C87A66"/>
    <w:rsid w:val="00C91060"/>
    <w:rsid w:val="00C91720"/>
    <w:rsid w:val="00C928FD"/>
    <w:rsid w:val="00C95593"/>
    <w:rsid w:val="00C9667A"/>
    <w:rsid w:val="00CA0640"/>
    <w:rsid w:val="00CA2022"/>
    <w:rsid w:val="00CA3CDB"/>
    <w:rsid w:val="00CA4741"/>
    <w:rsid w:val="00CA4CF0"/>
    <w:rsid w:val="00CA543E"/>
    <w:rsid w:val="00CA5465"/>
    <w:rsid w:val="00CA62D4"/>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B04"/>
    <w:rsid w:val="00CC3D18"/>
    <w:rsid w:val="00CC3FC7"/>
    <w:rsid w:val="00CC48D6"/>
    <w:rsid w:val="00CC4F2B"/>
    <w:rsid w:val="00CC7E38"/>
    <w:rsid w:val="00CD32FE"/>
    <w:rsid w:val="00CD3E7D"/>
    <w:rsid w:val="00CD5036"/>
    <w:rsid w:val="00CD6866"/>
    <w:rsid w:val="00CD76D4"/>
    <w:rsid w:val="00CD7893"/>
    <w:rsid w:val="00CD7911"/>
    <w:rsid w:val="00CE03CC"/>
    <w:rsid w:val="00CE5758"/>
    <w:rsid w:val="00CE7E6A"/>
    <w:rsid w:val="00CF030B"/>
    <w:rsid w:val="00CF23A2"/>
    <w:rsid w:val="00CF24AD"/>
    <w:rsid w:val="00CF5D77"/>
    <w:rsid w:val="00CF6EB2"/>
    <w:rsid w:val="00D00269"/>
    <w:rsid w:val="00D02F72"/>
    <w:rsid w:val="00D074E4"/>
    <w:rsid w:val="00D07CFB"/>
    <w:rsid w:val="00D10AB0"/>
    <w:rsid w:val="00D12402"/>
    <w:rsid w:val="00D12927"/>
    <w:rsid w:val="00D12EE7"/>
    <w:rsid w:val="00D1373C"/>
    <w:rsid w:val="00D15617"/>
    <w:rsid w:val="00D16B19"/>
    <w:rsid w:val="00D16BAD"/>
    <w:rsid w:val="00D172B8"/>
    <w:rsid w:val="00D1735B"/>
    <w:rsid w:val="00D17477"/>
    <w:rsid w:val="00D17702"/>
    <w:rsid w:val="00D17A0E"/>
    <w:rsid w:val="00D17C3D"/>
    <w:rsid w:val="00D20E91"/>
    <w:rsid w:val="00D225CB"/>
    <w:rsid w:val="00D23CD2"/>
    <w:rsid w:val="00D25A9F"/>
    <w:rsid w:val="00D266ED"/>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7494"/>
    <w:rsid w:val="00D3789A"/>
    <w:rsid w:val="00D407B7"/>
    <w:rsid w:val="00D409B3"/>
    <w:rsid w:val="00D41B84"/>
    <w:rsid w:val="00D41E2D"/>
    <w:rsid w:val="00D42588"/>
    <w:rsid w:val="00D427F9"/>
    <w:rsid w:val="00D4287D"/>
    <w:rsid w:val="00D42957"/>
    <w:rsid w:val="00D429E4"/>
    <w:rsid w:val="00D42F36"/>
    <w:rsid w:val="00D43E64"/>
    <w:rsid w:val="00D446E7"/>
    <w:rsid w:val="00D47265"/>
    <w:rsid w:val="00D47500"/>
    <w:rsid w:val="00D4793C"/>
    <w:rsid w:val="00D525E2"/>
    <w:rsid w:val="00D567FC"/>
    <w:rsid w:val="00D5688E"/>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41F1"/>
    <w:rsid w:val="00D75E6C"/>
    <w:rsid w:val="00D82CB3"/>
    <w:rsid w:val="00D82FC0"/>
    <w:rsid w:val="00D8322A"/>
    <w:rsid w:val="00D83C17"/>
    <w:rsid w:val="00D8541E"/>
    <w:rsid w:val="00D85885"/>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C073A"/>
    <w:rsid w:val="00DC0A7B"/>
    <w:rsid w:val="00DC1539"/>
    <w:rsid w:val="00DC19B2"/>
    <w:rsid w:val="00DC2022"/>
    <w:rsid w:val="00DC230C"/>
    <w:rsid w:val="00DC27E7"/>
    <w:rsid w:val="00DC2CE7"/>
    <w:rsid w:val="00DC301A"/>
    <w:rsid w:val="00DC4EDF"/>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E74FE"/>
    <w:rsid w:val="00DF09A4"/>
    <w:rsid w:val="00DF0BBA"/>
    <w:rsid w:val="00DF0DF7"/>
    <w:rsid w:val="00DF13A5"/>
    <w:rsid w:val="00DF1C93"/>
    <w:rsid w:val="00DF1E5D"/>
    <w:rsid w:val="00DF2ABA"/>
    <w:rsid w:val="00DF391A"/>
    <w:rsid w:val="00DF419C"/>
    <w:rsid w:val="00DF51C5"/>
    <w:rsid w:val="00DF674B"/>
    <w:rsid w:val="00DF72C7"/>
    <w:rsid w:val="00E00D6F"/>
    <w:rsid w:val="00E02DA3"/>
    <w:rsid w:val="00E03246"/>
    <w:rsid w:val="00E03508"/>
    <w:rsid w:val="00E03BE3"/>
    <w:rsid w:val="00E03C0E"/>
    <w:rsid w:val="00E066DF"/>
    <w:rsid w:val="00E07128"/>
    <w:rsid w:val="00E073C2"/>
    <w:rsid w:val="00E10AC3"/>
    <w:rsid w:val="00E10C25"/>
    <w:rsid w:val="00E1123F"/>
    <w:rsid w:val="00E11294"/>
    <w:rsid w:val="00E12D1C"/>
    <w:rsid w:val="00E12EDA"/>
    <w:rsid w:val="00E14266"/>
    <w:rsid w:val="00E14307"/>
    <w:rsid w:val="00E15911"/>
    <w:rsid w:val="00E16412"/>
    <w:rsid w:val="00E165DD"/>
    <w:rsid w:val="00E16A98"/>
    <w:rsid w:val="00E227C3"/>
    <w:rsid w:val="00E22843"/>
    <w:rsid w:val="00E23111"/>
    <w:rsid w:val="00E23556"/>
    <w:rsid w:val="00E24C79"/>
    <w:rsid w:val="00E26881"/>
    <w:rsid w:val="00E26DFE"/>
    <w:rsid w:val="00E2713B"/>
    <w:rsid w:val="00E274D7"/>
    <w:rsid w:val="00E30662"/>
    <w:rsid w:val="00E310DC"/>
    <w:rsid w:val="00E3177E"/>
    <w:rsid w:val="00E32652"/>
    <w:rsid w:val="00E3296A"/>
    <w:rsid w:val="00E32DDF"/>
    <w:rsid w:val="00E33108"/>
    <w:rsid w:val="00E33688"/>
    <w:rsid w:val="00E34622"/>
    <w:rsid w:val="00E34657"/>
    <w:rsid w:val="00E34706"/>
    <w:rsid w:val="00E35537"/>
    <w:rsid w:val="00E36F7D"/>
    <w:rsid w:val="00E43ABE"/>
    <w:rsid w:val="00E44057"/>
    <w:rsid w:val="00E445BD"/>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9D1"/>
    <w:rsid w:val="00E60B1D"/>
    <w:rsid w:val="00E60E56"/>
    <w:rsid w:val="00E61EE8"/>
    <w:rsid w:val="00E62061"/>
    <w:rsid w:val="00E62441"/>
    <w:rsid w:val="00E62DCB"/>
    <w:rsid w:val="00E63879"/>
    <w:rsid w:val="00E647FF"/>
    <w:rsid w:val="00E650C6"/>
    <w:rsid w:val="00E66A80"/>
    <w:rsid w:val="00E66EE6"/>
    <w:rsid w:val="00E7063D"/>
    <w:rsid w:val="00E71329"/>
    <w:rsid w:val="00E71633"/>
    <w:rsid w:val="00E71DE4"/>
    <w:rsid w:val="00E7218C"/>
    <w:rsid w:val="00E72689"/>
    <w:rsid w:val="00E730AA"/>
    <w:rsid w:val="00E73E58"/>
    <w:rsid w:val="00E749A8"/>
    <w:rsid w:val="00E74C7A"/>
    <w:rsid w:val="00E76F52"/>
    <w:rsid w:val="00E828AE"/>
    <w:rsid w:val="00E82B54"/>
    <w:rsid w:val="00E83005"/>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2A3"/>
    <w:rsid w:val="00EA3C59"/>
    <w:rsid w:val="00EA4ABA"/>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3328"/>
    <w:rsid w:val="00EC34A9"/>
    <w:rsid w:val="00EC3510"/>
    <w:rsid w:val="00EC3934"/>
    <w:rsid w:val="00EC3BA1"/>
    <w:rsid w:val="00EC683D"/>
    <w:rsid w:val="00EC6F0E"/>
    <w:rsid w:val="00EC7352"/>
    <w:rsid w:val="00ED2270"/>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1D"/>
    <w:rsid w:val="00EF34D2"/>
    <w:rsid w:val="00EF3C18"/>
    <w:rsid w:val="00EF4C26"/>
    <w:rsid w:val="00EF5CC0"/>
    <w:rsid w:val="00EF5E7F"/>
    <w:rsid w:val="00EF6A63"/>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92E"/>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E84"/>
    <w:rsid w:val="00F26068"/>
    <w:rsid w:val="00F2706D"/>
    <w:rsid w:val="00F2723F"/>
    <w:rsid w:val="00F27ADB"/>
    <w:rsid w:val="00F27AE0"/>
    <w:rsid w:val="00F31178"/>
    <w:rsid w:val="00F3117D"/>
    <w:rsid w:val="00F31AE8"/>
    <w:rsid w:val="00F325F9"/>
    <w:rsid w:val="00F32971"/>
    <w:rsid w:val="00F3400B"/>
    <w:rsid w:val="00F35C44"/>
    <w:rsid w:val="00F37B6F"/>
    <w:rsid w:val="00F40C05"/>
    <w:rsid w:val="00F40E86"/>
    <w:rsid w:val="00F4175E"/>
    <w:rsid w:val="00F42168"/>
    <w:rsid w:val="00F425B3"/>
    <w:rsid w:val="00F4495B"/>
    <w:rsid w:val="00F44C78"/>
    <w:rsid w:val="00F44F38"/>
    <w:rsid w:val="00F452C0"/>
    <w:rsid w:val="00F45502"/>
    <w:rsid w:val="00F459E6"/>
    <w:rsid w:val="00F51449"/>
    <w:rsid w:val="00F52AEC"/>
    <w:rsid w:val="00F52B35"/>
    <w:rsid w:val="00F53104"/>
    <w:rsid w:val="00F5372F"/>
    <w:rsid w:val="00F53880"/>
    <w:rsid w:val="00F53C70"/>
    <w:rsid w:val="00F55309"/>
    <w:rsid w:val="00F562A9"/>
    <w:rsid w:val="00F56E0D"/>
    <w:rsid w:val="00F60C62"/>
    <w:rsid w:val="00F6300E"/>
    <w:rsid w:val="00F6301A"/>
    <w:rsid w:val="00F638B9"/>
    <w:rsid w:val="00F645AF"/>
    <w:rsid w:val="00F66BC9"/>
    <w:rsid w:val="00F67946"/>
    <w:rsid w:val="00F72B99"/>
    <w:rsid w:val="00F72CCD"/>
    <w:rsid w:val="00F72E9F"/>
    <w:rsid w:val="00F73166"/>
    <w:rsid w:val="00F736F9"/>
    <w:rsid w:val="00F739E9"/>
    <w:rsid w:val="00F75114"/>
    <w:rsid w:val="00F8023B"/>
    <w:rsid w:val="00F81620"/>
    <w:rsid w:val="00F84240"/>
    <w:rsid w:val="00F85237"/>
    <w:rsid w:val="00F8564F"/>
    <w:rsid w:val="00F85BA2"/>
    <w:rsid w:val="00F865E7"/>
    <w:rsid w:val="00F87DAE"/>
    <w:rsid w:val="00F9000A"/>
    <w:rsid w:val="00F9002A"/>
    <w:rsid w:val="00F906D0"/>
    <w:rsid w:val="00F907DA"/>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2EE1"/>
    <w:rsid w:val="00FB35D3"/>
    <w:rsid w:val="00FB380D"/>
    <w:rsid w:val="00FB3FB7"/>
    <w:rsid w:val="00FB68A4"/>
    <w:rsid w:val="00FB76C5"/>
    <w:rsid w:val="00FB7FBE"/>
    <w:rsid w:val="00FC0824"/>
    <w:rsid w:val="00FC0C57"/>
    <w:rsid w:val="00FC1679"/>
    <w:rsid w:val="00FC16B9"/>
    <w:rsid w:val="00FC1DA7"/>
    <w:rsid w:val="00FC2414"/>
    <w:rsid w:val="00FC2C4D"/>
    <w:rsid w:val="00FC2E20"/>
    <w:rsid w:val="00FC44A1"/>
    <w:rsid w:val="00FC4B5A"/>
    <w:rsid w:val="00FC4DEB"/>
    <w:rsid w:val="00FC50CE"/>
    <w:rsid w:val="00FC62AC"/>
    <w:rsid w:val="00FC6AC7"/>
    <w:rsid w:val="00FC77FF"/>
    <w:rsid w:val="00FC7E40"/>
    <w:rsid w:val="00FD0B5A"/>
    <w:rsid w:val="00FD135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790"/>
    <w:rsid w:val="00FE49E3"/>
    <w:rsid w:val="00FE4E1B"/>
    <w:rsid w:val="00FE54A7"/>
    <w:rsid w:val="00FE562B"/>
    <w:rsid w:val="00FE7171"/>
    <w:rsid w:val="00FE7904"/>
    <w:rsid w:val="00FE79C6"/>
    <w:rsid w:val="00FF0AD1"/>
    <w:rsid w:val="00FF1502"/>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8715371">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23DFA-F6DF-4D59-86FA-EDB00E89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51</Pages>
  <Words>10654</Words>
  <Characters>58598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2023-01-18T18:07:00Z</dcterms:created>
  <dcterms:modified xsi:type="dcterms:W3CDTF">2023-02-14T00:21:00Z</dcterms:modified>
</cp:coreProperties>
</file>