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4C53B6B5" w:rsidR="00662C69" w:rsidRPr="000A13DF" w:rsidRDefault="00D10889" w:rsidP="00EE72BA">
      <w:pPr>
        <w:tabs>
          <w:tab w:val="left" w:pos="3465"/>
        </w:tabs>
        <w:spacing w:line="360" w:lineRule="auto"/>
        <w:jc w:val="both"/>
        <w:rPr>
          <w:rFonts w:ascii="Palatino Linotype" w:hAnsi="Palatino Linotype"/>
          <w:color w:val="000000" w:themeColor="text1"/>
        </w:rPr>
      </w:pPr>
      <w:r w:rsidRPr="00EE72BA">
        <w:rPr>
          <w:rFonts w:ascii="Palatino Linotype" w:hAnsi="Palatino Linotype"/>
          <w:color w:val="000000" w:themeColor="text1"/>
        </w:rPr>
        <w:t xml:space="preserve"> </w:t>
      </w:r>
      <w:r w:rsidR="009B11D6" w:rsidRPr="000A13DF">
        <w:rPr>
          <w:rFonts w:ascii="Palatino Linotype" w:hAnsi="Palatino Linotype"/>
          <w:color w:val="000000" w:themeColor="text1"/>
        </w:rPr>
        <w:t>R</w:t>
      </w:r>
      <w:r w:rsidR="00662C69" w:rsidRPr="000A13D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A13DF">
        <w:rPr>
          <w:rFonts w:ascii="Palatino Linotype" w:hAnsi="Palatino Linotype"/>
          <w:color w:val="000000" w:themeColor="text1"/>
        </w:rPr>
        <w:t>icipios, con</w:t>
      </w:r>
      <w:r w:rsidR="00662C69" w:rsidRPr="000A13DF">
        <w:rPr>
          <w:rFonts w:ascii="Palatino Linotype" w:hAnsi="Palatino Linotype"/>
          <w:color w:val="000000" w:themeColor="text1"/>
        </w:rPr>
        <w:t xml:space="preserve"> </w:t>
      </w:r>
      <w:r w:rsidR="00485DB6" w:rsidRPr="000A13DF">
        <w:rPr>
          <w:rFonts w:ascii="Palatino Linotype" w:hAnsi="Palatino Linotype"/>
          <w:color w:val="000000" w:themeColor="text1"/>
        </w:rPr>
        <w:t xml:space="preserve">domicilio </w:t>
      </w:r>
      <w:r w:rsidR="00662C69" w:rsidRPr="000A13DF">
        <w:rPr>
          <w:rFonts w:ascii="Palatino Linotype" w:hAnsi="Palatino Linotype"/>
          <w:color w:val="000000" w:themeColor="text1"/>
        </w:rPr>
        <w:t xml:space="preserve">en Metepec, Estado de México; de </w:t>
      </w:r>
      <w:r w:rsidR="00EE72BA" w:rsidRPr="000A13DF">
        <w:rPr>
          <w:rFonts w:ascii="Palatino Linotype" w:hAnsi="Palatino Linotype"/>
          <w:color w:val="000000" w:themeColor="text1"/>
        </w:rPr>
        <w:t>veinticinco</w:t>
      </w:r>
      <w:r w:rsidR="007076C5" w:rsidRPr="000A13DF">
        <w:rPr>
          <w:rFonts w:ascii="Palatino Linotype" w:hAnsi="Palatino Linotype"/>
          <w:color w:val="000000" w:themeColor="text1"/>
        </w:rPr>
        <w:t xml:space="preserve"> (</w:t>
      </w:r>
      <w:r w:rsidR="00EE72BA" w:rsidRPr="000A13DF">
        <w:rPr>
          <w:rFonts w:ascii="Palatino Linotype" w:hAnsi="Palatino Linotype"/>
          <w:color w:val="000000" w:themeColor="text1"/>
        </w:rPr>
        <w:t>25</w:t>
      </w:r>
      <w:r w:rsidR="007076C5" w:rsidRPr="000A13DF">
        <w:rPr>
          <w:rFonts w:ascii="Palatino Linotype" w:hAnsi="Palatino Linotype"/>
          <w:color w:val="000000" w:themeColor="text1"/>
        </w:rPr>
        <w:t xml:space="preserve">) de </w:t>
      </w:r>
      <w:r w:rsidR="009C14B7" w:rsidRPr="000A13DF">
        <w:rPr>
          <w:rFonts w:ascii="Palatino Linotype" w:hAnsi="Palatino Linotype"/>
          <w:color w:val="000000" w:themeColor="text1"/>
        </w:rPr>
        <w:t>enero</w:t>
      </w:r>
      <w:r w:rsidR="00E851FC" w:rsidRPr="000A13DF">
        <w:rPr>
          <w:rFonts w:ascii="Palatino Linotype" w:hAnsi="Palatino Linotype"/>
          <w:color w:val="000000" w:themeColor="text1"/>
        </w:rPr>
        <w:t xml:space="preserve"> </w:t>
      </w:r>
      <w:r w:rsidR="002D1AA7" w:rsidRPr="000A13DF">
        <w:rPr>
          <w:rFonts w:ascii="Palatino Linotype" w:hAnsi="Palatino Linotype"/>
          <w:color w:val="000000" w:themeColor="text1"/>
        </w:rPr>
        <w:t xml:space="preserve">de dos mil </w:t>
      </w:r>
      <w:r w:rsidR="009C14B7" w:rsidRPr="000A13DF">
        <w:rPr>
          <w:rFonts w:ascii="Palatino Linotype" w:hAnsi="Palatino Linotype"/>
          <w:color w:val="000000" w:themeColor="text1"/>
        </w:rPr>
        <w:t>veintitrés</w:t>
      </w:r>
      <w:r w:rsidR="00662C69" w:rsidRPr="000A13DF">
        <w:rPr>
          <w:rFonts w:ascii="Palatino Linotype" w:hAnsi="Palatino Linotype"/>
          <w:color w:val="000000" w:themeColor="text1"/>
        </w:rPr>
        <w:t>.</w:t>
      </w:r>
    </w:p>
    <w:p w14:paraId="1181C59D" w14:textId="77777777" w:rsidR="00B31E90" w:rsidRPr="000A13DF" w:rsidRDefault="00B31E90" w:rsidP="00EE72BA">
      <w:pPr>
        <w:tabs>
          <w:tab w:val="left" w:pos="3465"/>
        </w:tabs>
        <w:spacing w:line="360" w:lineRule="auto"/>
        <w:jc w:val="both"/>
        <w:rPr>
          <w:rFonts w:ascii="Palatino Linotype" w:hAnsi="Palatino Linotype"/>
          <w:color w:val="000000" w:themeColor="text1"/>
        </w:rPr>
      </w:pPr>
    </w:p>
    <w:p w14:paraId="04F87235" w14:textId="5B3CAC1F" w:rsidR="005F0007" w:rsidRPr="000A13DF" w:rsidRDefault="00662C69" w:rsidP="00EE72BA">
      <w:pPr>
        <w:spacing w:line="360" w:lineRule="auto"/>
        <w:jc w:val="both"/>
        <w:rPr>
          <w:rFonts w:ascii="Palatino Linotype" w:eastAsia="Times New Roman" w:hAnsi="Palatino Linotype" w:cs="Times New Roman"/>
          <w:color w:val="000000" w:themeColor="text1"/>
        </w:rPr>
      </w:pPr>
      <w:r w:rsidRPr="000A13DF">
        <w:rPr>
          <w:rFonts w:ascii="Palatino Linotype" w:hAnsi="Palatino Linotype"/>
          <w:b/>
          <w:color w:val="000000" w:themeColor="text1"/>
        </w:rPr>
        <w:t>VISTO</w:t>
      </w:r>
      <w:r w:rsidRPr="000A13DF">
        <w:rPr>
          <w:rFonts w:ascii="Palatino Linotype" w:hAnsi="Palatino Linotype"/>
          <w:color w:val="000000" w:themeColor="text1"/>
        </w:rPr>
        <w:t xml:space="preserve"> el expediente electrónico for</w:t>
      </w:r>
      <w:r w:rsidR="00D37494" w:rsidRPr="000A13DF">
        <w:rPr>
          <w:rFonts w:ascii="Palatino Linotype" w:hAnsi="Palatino Linotype"/>
          <w:color w:val="000000" w:themeColor="text1"/>
        </w:rPr>
        <w:t>mado con motivo del</w:t>
      </w:r>
      <w:r w:rsidRPr="000A13DF">
        <w:rPr>
          <w:rFonts w:ascii="Palatino Linotype" w:hAnsi="Palatino Linotype"/>
          <w:color w:val="000000" w:themeColor="text1"/>
        </w:rPr>
        <w:t xml:space="preserve"> recurso de revisión </w:t>
      </w:r>
      <w:r w:rsidR="009D5067" w:rsidRPr="000A13DF">
        <w:rPr>
          <w:rFonts w:ascii="Palatino Linotype" w:hAnsi="Palatino Linotype"/>
          <w:b/>
        </w:rPr>
        <w:t>03573/INFOEM/IP/RR/2022</w:t>
      </w:r>
      <w:r w:rsidR="005F1362" w:rsidRPr="000A13DF">
        <w:rPr>
          <w:rFonts w:ascii="Palatino Linotype" w:eastAsia="Times New Roman" w:hAnsi="Palatino Linotype" w:cs="Arial"/>
          <w:bCs/>
          <w:color w:val="000000" w:themeColor="text1"/>
        </w:rPr>
        <w:t xml:space="preserve">, </w:t>
      </w:r>
      <w:r w:rsidR="006B31E7" w:rsidRPr="000A13DF">
        <w:rPr>
          <w:rFonts w:ascii="Palatino Linotype" w:eastAsia="Times New Roman" w:hAnsi="Palatino Linotype" w:cs="Times New Roman"/>
          <w:color w:val="000000" w:themeColor="text1"/>
        </w:rPr>
        <w:t>interpuesto por</w:t>
      </w:r>
      <w:r w:rsidR="0087701B" w:rsidRPr="000A13DF">
        <w:rPr>
          <w:rFonts w:ascii="Palatino Linotype" w:eastAsia="Times New Roman" w:hAnsi="Palatino Linotype" w:cs="Times New Roman"/>
          <w:color w:val="000000" w:themeColor="text1"/>
        </w:rPr>
        <w:t xml:space="preserve"> </w:t>
      </w:r>
      <w:r w:rsidR="00370947" w:rsidRPr="000A13DF">
        <w:rPr>
          <w:rFonts w:ascii="Palatino Linotype" w:eastAsia="Times New Roman" w:hAnsi="Palatino Linotype" w:cs="Times New Roman"/>
          <w:b/>
          <w:color w:val="000000" w:themeColor="text1"/>
        </w:rPr>
        <w:t>XXXX XXXXX XXXX</w:t>
      </w:r>
      <w:r w:rsidR="0087701B" w:rsidRPr="000A13DF">
        <w:rPr>
          <w:rFonts w:ascii="Palatino Linotype" w:eastAsia="Times New Roman" w:hAnsi="Palatino Linotype" w:cs="Times New Roman"/>
          <w:color w:val="000000" w:themeColor="text1"/>
        </w:rPr>
        <w:t xml:space="preserve"> en lo sucesivo la parte </w:t>
      </w:r>
      <w:r w:rsidR="006B31E7" w:rsidRPr="000A13DF">
        <w:rPr>
          <w:rFonts w:ascii="Palatino Linotype" w:eastAsia="Times New Roman" w:hAnsi="Palatino Linotype" w:cs="Times New Roman"/>
          <w:b/>
          <w:bCs/>
          <w:color w:val="000000" w:themeColor="text1"/>
        </w:rPr>
        <w:t>RECURRENTE</w:t>
      </w:r>
      <w:r w:rsidR="00E647FF" w:rsidRPr="000A13DF">
        <w:rPr>
          <w:rFonts w:ascii="Palatino Linotype" w:eastAsia="Times New Roman" w:hAnsi="Palatino Linotype" w:cs="Arial"/>
          <w:color w:val="000000" w:themeColor="text1"/>
        </w:rPr>
        <w:t>;</w:t>
      </w:r>
      <w:r w:rsidR="005F1362" w:rsidRPr="000A13DF">
        <w:rPr>
          <w:rFonts w:ascii="Palatino Linotype" w:eastAsia="Times New Roman" w:hAnsi="Palatino Linotype" w:cs="Arial"/>
          <w:color w:val="000000" w:themeColor="text1"/>
        </w:rPr>
        <w:t xml:space="preserve"> en contra de la respuesta del</w:t>
      </w:r>
      <w:r w:rsidR="002C1007" w:rsidRPr="000A13DF">
        <w:rPr>
          <w:rFonts w:ascii="Palatino Linotype" w:eastAsia="Times New Roman" w:hAnsi="Palatino Linotype" w:cs="Arial"/>
          <w:color w:val="000000" w:themeColor="text1"/>
        </w:rPr>
        <w:t xml:space="preserve"> </w:t>
      </w:r>
      <w:r w:rsidR="0087701B" w:rsidRPr="000A13DF">
        <w:rPr>
          <w:rFonts w:ascii="Palatino Linotype" w:eastAsia="Calibri" w:hAnsi="Palatino Linotype" w:cs="Arial"/>
          <w:b/>
          <w:bCs/>
          <w:lang w:val="es-ES"/>
        </w:rPr>
        <w:t>Ayuntamiento de Cuautitlán Izcalli</w:t>
      </w:r>
      <w:r w:rsidR="009572EE" w:rsidRPr="000A13DF">
        <w:rPr>
          <w:rFonts w:ascii="Palatino Linotype" w:eastAsia="Calibri" w:hAnsi="Palatino Linotype" w:cs="Arial"/>
          <w:color w:val="000000" w:themeColor="text1"/>
          <w:lang w:val="es-ES"/>
        </w:rPr>
        <w:t>,</w:t>
      </w:r>
      <w:r w:rsidR="005F1362" w:rsidRPr="000A13DF">
        <w:rPr>
          <w:rFonts w:ascii="Palatino Linotype" w:eastAsia="Calibri" w:hAnsi="Palatino Linotype" w:cs="Arial"/>
          <w:color w:val="000000" w:themeColor="text1"/>
          <w:lang w:val="es-ES"/>
        </w:rPr>
        <w:t xml:space="preserve"> </w:t>
      </w:r>
      <w:r w:rsidR="005F1362" w:rsidRPr="000A13DF">
        <w:rPr>
          <w:rFonts w:ascii="Palatino Linotype" w:eastAsia="Times New Roman" w:hAnsi="Palatino Linotype" w:cs="Times New Roman"/>
          <w:color w:val="000000" w:themeColor="text1"/>
        </w:rPr>
        <w:t>en lo sucesivo el</w:t>
      </w:r>
      <w:r w:rsidR="005F1362" w:rsidRPr="000A13DF">
        <w:rPr>
          <w:rFonts w:ascii="Palatino Linotype" w:eastAsia="Times New Roman" w:hAnsi="Palatino Linotype" w:cs="Times New Roman"/>
          <w:b/>
          <w:color w:val="000000" w:themeColor="text1"/>
        </w:rPr>
        <w:t xml:space="preserve"> SUJETO OBLIGADO, </w:t>
      </w:r>
      <w:r w:rsidR="005F1362" w:rsidRPr="000A13DF">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0A13DF" w:rsidRDefault="003F1A79" w:rsidP="00EE72BA">
      <w:pPr>
        <w:spacing w:line="360" w:lineRule="auto"/>
        <w:jc w:val="both"/>
        <w:rPr>
          <w:rFonts w:ascii="Palatino Linotype" w:eastAsia="Times New Roman" w:hAnsi="Palatino Linotype" w:cs="Times New Roman"/>
          <w:color w:val="000000" w:themeColor="text1"/>
        </w:rPr>
      </w:pPr>
    </w:p>
    <w:p w14:paraId="769E1410" w14:textId="25E1B89A" w:rsidR="00587366" w:rsidRPr="000A13DF" w:rsidRDefault="00662C69" w:rsidP="00EE72BA">
      <w:pPr>
        <w:pStyle w:val="Ttulo1"/>
        <w:spacing w:before="0" w:line="360" w:lineRule="auto"/>
        <w:jc w:val="center"/>
        <w:rPr>
          <w:b/>
          <w:color w:val="000000" w:themeColor="text1"/>
          <w:szCs w:val="24"/>
        </w:rPr>
      </w:pPr>
      <w:bookmarkStart w:id="0" w:name="_Toc461555884"/>
      <w:bookmarkStart w:id="1" w:name="_Toc466371847"/>
      <w:bookmarkStart w:id="2" w:name="_Toc87456484"/>
      <w:r w:rsidRPr="000A13DF">
        <w:rPr>
          <w:b/>
          <w:color w:val="000000" w:themeColor="text1"/>
          <w:szCs w:val="24"/>
        </w:rPr>
        <w:t>A</w:t>
      </w:r>
      <w:r w:rsidR="00C967DD" w:rsidRPr="000A13DF">
        <w:rPr>
          <w:b/>
          <w:color w:val="000000" w:themeColor="text1"/>
          <w:szCs w:val="24"/>
        </w:rPr>
        <w:t xml:space="preserve"> </w:t>
      </w:r>
      <w:r w:rsidRPr="000A13DF">
        <w:rPr>
          <w:b/>
          <w:color w:val="000000" w:themeColor="text1"/>
          <w:szCs w:val="24"/>
        </w:rPr>
        <w:t>N</w:t>
      </w:r>
      <w:r w:rsidR="00C967DD" w:rsidRPr="000A13DF">
        <w:rPr>
          <w:b/>
          <w:color w:val="000000" w:themeColor="text1"/>
          <w:szCs w:val="24"/>
        </w:rPr>
        <w:t xml:space="preserve"> </w:t>
      </w:r>
      <w:r w:rsidRPr="000A13DF">
        <w:rPr>
          <w:b/>
          <w:color w:val="000000" w:themeColor="text1"/>
          <w:szCs w:val="24"/>
        </w:rPr>
        <w:t>T</w:t>
      </w:r>
      <w:r w:rsidR="00C967DD" w:rsidRPr="000A13DF">
        <w:rPr>
          <w:b/>
          <w:color w:val="000000" w:themeColor="text1"/>
          <w:szCs w:val="24"/>
        </w:rPr>
        <w:t xml:space="preserve"> </w:t>
      </w:r>
      <w:r w:rsidRPr="000A13DF">
        <w:rPr>
          <w:b/>
          <w:color w:val="000000" w:themeColor="text1"/>
          <w:szCs w:val="24"/>
        </w:rPr>
        <w:t>E</w:t>
      </w:r>
      <w:r w:rsidR="00C967DD" w:rsidRPr="000A13DF">
        <w:rPr>
          <w:b/>
          <w:color w:val="000000" w:themeColor="text1"/>
          <w:szCs w:val="24"/>
        </w:rPr>
        <w:t xml:space="preserve"> </w:t>
      </w:r>
      <w:r w:rsidRPr="000A13DF">
        <w:rPr>
          <w:b/>
          <w:color w:val="000000" w:themeColor="text1"/>
          <w:szCs w:val="24"/>
        </w:rPr>
        <w:t>C</w:t>
      </w:r>
      <w:r w:rsidR="00C967DD" w:rsidRPr="000A13DF">
        <w:rPr>
          <w:b/>
          <w:color w:val="000000" w:themeColor="text1"/>
          <w:szCs w:val="24"/>
        </w:rPr>
        <w:t xml:space="preserve"> </w:t>
      </w:r>
      <w:r w:rsidRPr="000A13DF">
        <w:rPr>
          <w:b/>
          <w:color w:val="000000" w:themeColor="text1"/>
          <w:szCs w:val="24"/>
        </w:rPr>
        <w:t>E</w:t>
      </w:r>
      <w:r w:rsidR="00C967DD" w:rsidRPr="000A13DF">
        <w:rPr>
          <w:b/>
          <w:color w:val="000000" w:themeColor="text1"/>
          <w:szCs w:val="24"/>
        </w:rPr>
        <w:t xml:space="preserve"> </w:t>
      </w:r>
      <w:r w:rsidRPr="000A13DF">
        <w:rPr>
          <w:b/>
          <w:color w:val="000000" w:themeColor="text1"/>
          <w:szCs w:val="24"/>
        </w:rPr>
        <w:t>D</w:t>
      </w:r>
      <w:r w:rsidR="00C967DD" w:rsidRPr="000A13DF">
        <w:rPr>
          <w:b/>
          <w:color w:val="000000" w:themeColor="text1"/>
          <w:szCs w:val="24"/>
        </w:rPr>
        <w:t xml:space="preserve"> </w:t>
      </w:r>
      <w:r w:rsidRPr="000A13DF">
        <w:rPr>
          <w:b/>
          <w:color w:val="000000" w:themeColor="text1"/>
          <w:szCs w:val="24"/>
        </w:rPr>
        <w:t>E</w:t>
      </w:r>
      <w:r w:rsidR="00C967DD" w:rsidRPr="000A13DF">
        <w:rPr>
          <w:b/>
          <w:color w:val="000000" w:themeColor="text1"/>
          <w:szCs w:val="24"/>
        </w:rPr>
        <w:t xml:space="preserve"> </w:t>
      </w:r>
      <w:r w:rsidRPr="000A13DF">
        <w:rPr>
          <w:b/>
          <w:color w:val="000000" w:themeColor="text1"/>
          <w:szCs w:val="24"/>
        </w:rPr>
        <w:t>N</w:t>
      </w:r>
      <w:r w:rsidR="00C967DD" w:rsidRPr="000A13DF">
        <w:rPr>
          <w:b/>
          <w:color w:val="000000" w:themeColor="text1"/>
          <w:szCs w:val="24"/>
        </w:rPr>
        <w:t xml:space="preserve"> </w:t>
      </w:r>
      <w:r w:rsidRPr="000A13DF">
        <w:rPr>
          <w:b/>
          <w:color w:val="000000" w:themeColor="text1"/>
          <w:szCs w:val="24"/>
        </w:rPr>
        <w:t>T</w:t>
      </w:r>
      <w:r w:rsidR="00C967DD" w:rsidRPr="000A13DF">
        <w:rPr>
          <w:b/>
          <w:color w:val="000000" w:themeColor="text1"/>
          <w:szCs w:val="24"/>
        </w:rPr>
        <w:t xml:space="preserve"> </w:t>
      </w:r>
      <w:r w:rsidRPr="000A13DF">
        <w:rPr>
          <w:b/>
          <w:color w:val="000000" w:themeColor="text1"/>
          <w:szCs w:val="24"/>
        </w:rPr>
        <w:t>E</w:t>
      </w:r>
      <w:r w:rsidR="00C967DD" w:rsidRPr="000A13DF">
        <w:rPr>
          <w:b/>
          <w:color w:val="000000" w:themeColor="text1"/>
          <w:szCs w:val="24"/>
        </w:rPr>
        <w:t xml:space="preserve"> </w:t>
      </w:r>
      <w:r w:rsidRPr="000A13DF">
        <w:rPr>
          <w:b/>
          <w:color w:val="000000" w:themeColor="text1"/>
          <w:szCs w:val="24"/>
        </w:rPr>
        <w:t>S</w:t>
      </w:r>
      <w:bookmarkEnd w:id="0"/>
      <w:bookmarkEnd w:id="1"/>
      <w:bookmarkEnd w:id="2"/>
    </w:p>
    <w:p w14:paraId="5F73BCCB" w14:textId="77777777" w:rsidR="003F1A79" w:rsidRPr="000A13DF" w:rsidRDefault="003F1A79" w:rsidP="00EE72BA">
      <w:pPr>
        <w:spacing w:line="360" w:lineRule="auto"/>
        <w:rPr>
          <w:rFonts w:ascii="Palatino Linotype" w:hAnsi="Palatino Linotype"/>
          <w:lang w:eastAsia="en-US"/>
        </w:rPr>
      </w:pPr>
    </w:p>
    <w:p w14:paraId="402A4C0A" w14:textId="32DAC0B6" w:rsidR="00D9392E" w:rsidRPr="000A13DF" w:rsidRDefault="005F0007" w:rsidP="00EE72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13DF">
        <w:rPr>
          <w:rFonts w:ascii="Palatino Linotype" w:eastAsia="Calibri" w:hAnsi="Palatino Linotype" w:cs="Arial"/>
          <w:color w:val="000000" w:themeColor="text1"/>
          <w:lang w:val="es-ES"/>
        </w:rPr>
        <w:t>El</w:t>
      </w:r>
      <w:r w:rsidR="00D9392E" w:rsidRPr="000A13DF">
        <w:rPr>
          <w:rFonts w:ascii="Palatino Linotype" w:eastAsia="Calibri" w:hAnsi="Palatino Linotype" w:cs="Arial"/>
          <w:color w:val="000000" w:themeColor="text1"/>
          <w:lang w:val="es-ES"/>
        </w:rPr>
        <w:t xml:space="preserve"> </w:t>
      </w:r>
      <w:r w:rsidR="0087701B" w:rsidRPr="000A13DF">
        <w:rPr>
          <w:rFonts w:ascii="Palatino Linotype" w:eastAsia="Calibri" w:hAnsi="Palatino Linotype" w:cs="Arial"/>
          <w:color w:val="000000" w:themeColor="text1"/>
          <w:lang w:val="es-ES"/>
        </w:rPr>
        <w:t>once</w:t>
      </w:r>
      <w:r w:rsidR="00755146" w:rsidRPr="000A13DF">
        <w:rPr>
          <w:rFonts w:ascii="Palatino Linotype" w:eastAsia="Calibri" w:hAnsi="Palatino Linotype" w:cs="Arial"/>
          <w:color w:val="000000" w:themeColor="text1"/>
          <w:lang w:val="es-ES"/>
        </w:rPr>
        <w:t xml:space="preserve"> </w:t>
      </w:r>
      <w:r w:rsidR="0087701B" w:rsidRPr="000A13DF">
        <w:rPr>
          <w:rFonts w:ascii="Palatino Linotype" w:eastAsia="Calibri" w:hAnsi="Palatino Linotype" w:cs="Arial"/>
          <w:color w:val="000000" w:themeColor="text1"/>
          <w:lang w:val="es-ES"/>
        </w:rPr>
        <w:t>(11</w:t>
      </w:r>
      <w:r w:rsidR="007076C5" w:rsidRPr="000A13DF">
        <w:rPr>
          <w:rFonts w:ascii="Palatino Linotype" w:eastAsia="Calibri" w:hAnsi="Palatino Linotype" w:cs="Arial"/>
          <w:color w:val="000000" w:themeColor="text1"/>
          <w:lang w:val="es-ES"/>
        </w:rPr>
        <w:t xml:space="preserve">) de </w:t>
      </w:r>
      <w:r w:rsidR="007F3575" w:rsidRPr="000A13DF">
        <w:rPr>
          <w:rFonts w:ascii="Palatino Linotype" w:eastAsia="Calibri" w:hAnsi="Palatino Linotype" w:cs="Arial"/>
          <w:color w:val="000000" w:themeColor="text1"/>
          <w:lang w:val="es-ES"/>
        </w:rPr>
        <w:t>febrero</w:t>
      </w:r>
      <w:r w:rsidR="00B31E90" w:rsidRPr="000A13DF">
        <w:rPr>
          <w:rFonts w:ascii="Palatino Linotype" w:eastAsia="Calibri" w:hAnsi="Palatino Linotype" w:cs="Arial"/>
          <w:color w:val="000000" w:themeColor="text1"/>
          <w:lang w:val="es-ES"/>
        </w:rPr>
        <w:t xml:space="preserve"> de dos mil veinti</w:t>
      </w:r>
      <w:r w:rsidR="00DC6944" w:rsidRPr="000A13DF">
        <w:rPr>
          <w:rFonts w:ascii="Palatino Linotype" w:eastAsia="Calibri" w:hAnsi="Palatino Linotype" w:cs="Arial"/>
          <w:color w:val="000000" w:themeColor="text1"/>
          <w:lang w:val="es-ES"/>
        </w:rPr>
        <w:t>dós</w:t>
      </w:r>
      <w:r w:rsidR="005F1362" w:rsidRPr="000A13DF">
        <w:rPr>
          <w:rFonts w:ascii="Palatino Linotype" w:eastAsia="Calibri" w:hAnsi="Palatino Linotype" w:cs="Arial"/>
          <w:color w:val="000000" w:themeColor="text1"/>
          <w:lang w:val="es-ES"/>
        </w:rPr>
        <w:t xml:space="preserve">, </w:t>
      </w:r>
      <w:r w:rsidR="004E197E" w:rsidRPr="000A13DF">
        <w:rPr>
          <w:rFonts w:ascii="Palatino Linotype" w:eastAsia="Calibri" w:hAnsi="Palatino Linotype" w:cs="Arial"/>
          <w:color w:val="000000" w:themeColor="text1"/>
          <w:lang w:val="es-ES"/>
        </w:rPr>
        <w:t>el</w:t>
      </w:r>
      <w:r w:rsidR="00B31E90" w:rsidRPr="000A13DF">
        <w:rPr>
          <w:rFonts w:ascii="Palatino Linotype" w:hAnsi="Palatino Linotype"/>
          <w:color w:val="000000" w:themeColor="text1"/>
        </w:rPr>
        <w:t xml:space="preserve"> particular</w:t>
      </w:r>
      <w:r w:rsidR="005F1362" w:rsidRPr="000A13DF">
        <w:rPr>
          <w:rFonts w:ascii="Palatino Linotype" w:hAnsi="Palatino Linotype"/>
          <w:color w:val="000000" w:themeColor="text1"/>
        </w:rPr>
        <w:t xml:space="preserve"> presentó</w:t>
      </w:r>
      <w:r w:rsidR="005F1362" w:rsidRPr="000A13DF">
        <w:rPr>
          <w:rFonts w:ascii="Palatino Linotype" w:hAnsi="Palatino Linotype"/>
          <w:b/>
          <w:color w:val="000000" w:themeColor="text1"/>
        </w:rPr>
        <w:t xml:space="preserve"> </w:t>
      </w:r>
      <w:r w:rsidR="00127E68" w:rsidRPr="000A13DF">
        <w:rPr>
          <w:rFonts w:ascii="Palatino Linotype" w:hAnsi="Palatino Linotype"/>
          <w:bCs/>
          <w:color w:val="000000" w:themeColor="text1"/>
        </w:rPr>
        <w:t xml:space="preserve">a través </w:t>
      </w:r>
      <w:r w:rsidR="00994E0F" w:rsidRPr="000A13DF">
        <w:rPr>
          <w:rFonts w:ascii="Palatino Linotype" w:hAnsi="Palatino Linotype"/>
          <w:bCs/>
          <w:color w:val="000000" w:themeColor="text1"/>
        </w:rPr>
        <w:t>d</w:t>
      </w:r>
      <w:r w:rsidR="000021A0" w:rsidRPr="000A13DF">
        <w:rPr>
          <w:rFonts w:ascii="Palatino Linotype" w:hAnsi="Palatino Linotype"/>
          <w:bCs/>
          <w:color w:val="000000" w:themeColor="text1"/>
        </w:rPr>
        <w:t>el</w:t>
      </w:r>
      <w:r w:rsidR="004863BC" w:rsidRPr="000A13DF">
        <w:rPr>
          <w:rFonts w:ascii="Palatino Linotype" w:hAnsi="Palatino Linotype"/>
          <w:bCs/>
          <w:color w:val="000000" w:themeColor="text1"/>
        </w:rPr>
        <w:t xml:space="preserve"> </w:t>
      </w:r>
      <w:r w:rsidR="005F1362" w:rsidRPr="000A13DF">
        <w:rPr>
          <w:rFonts w:ascii="Palatino Linotype" w:eastAsia="Calibri" w:hAnsi="Palatino Linotype" w:cs="Arial"/>
          <w:color w:val="000000" w:themeColor="text1"/>
          <w:lang w:val="es-ES"/>
        </w:rPr>
        <w:t xml:space="preserve">Sistema de Acceso a la Información Mexiquense </w:t>
      </w:r>
      <w:r w:rsidR="005F1362" w:rsidRPr="000A13DF">
        <w:rPr>
          <w:rFonts w:ascii="Palatino Linotype" w:eastAsia="Calibri" w:hAnsi="Palatino Linotype" w:cs="Arial"/>
          <w:bCs/>
          <w:color w:val="000000" w:themeColor="text1"/>
          <w:lang w:val="es-ES"/>
        </w:rPr>
        <w:t>(SAIMEX)</w:t>
      </w:r>
      <w:r w:rsidR="005F1362" w:rsidRPr="000A13DF">
        <w:rPr>
          <w:rFonts w:ascii="Palatino Linotype" w:eastAsia="Calibri" w:hAnsi="Palatino Linotype" w:cs="Arial"/>
          <w:color w:val="000000" w:themeColor="text1"/>
          <w:lang w:val="es-ES"/>
        </w:rPr>
        <w:t>, la solicitud de información pública registrada con el número</w:t>
      </w:r>
      <w:r w:rsidR="005F1362" w:rsidRPr="000A13DF">
        <w:rPr>
          <w:rFonts w:ascii="Palatino Linotype" w:hAnsi="Palatino Linotype"/>
          <w:b/>
          <w:bCs/>
          <w:color w:val="000000" w:themeColor="text1"/>
        </w:rPr>
        <w:t xml:space="preserve"> </w:t>
      </w:r>
      <w:r w:rsidR="0087701B" w:rsidRPr="000A13DF">
        <w:rPr>
          <w:rFonts w:ascii="Palatino Linotype" w:hAnsi="Palatino Linotype"/>
          <w:b/>
          <w:bCs/>
          <w:color w:val="000000" w:themeColor="text1"/>
        </w:rPr>
        <w:t>00143/CUAUTIZC/IP/2022</w:t>
      </w:r>
      <w:r w:rsidR="005F1362" w:rsidRPr="000A13DF">
        <w:rPr>
          <w:rFonts w:ascii="Palatino Linotype" w:hAnsi="Palatino Linotype"/>
          <w:b/>
          <w:bCs/>
          <w:color w:val="000000" w:themeColor="text1"/>
        </w:rPr>
        <w:t>,</w:t>
      </w:r>
      <w:r w:rsidR="005F1362" w:rsidRPr="000A13DF">
        <w:rPr>
          <w:rFonts w:ascii="Palatino Linotype" w:eastAsia="Calibri" w:hAnsi="Palatino Linotype" w:cs="Arial"/>
          <w:color w:val="000000" w:themeColor="text1"/>
          <w:lang w:val="es-ES"/>
        </w:rPr>
        <w:t xml:space="preserve"> mediante la cual requirió</w:t>
      </w:r>
      <w:r w:rsidR="00022D89" w:rsidRPr="000A13DF">
        <w:rPr>
          <w:rFonts w:ascii="Palatino Linotype" w:eastAsia="Calibri" w:hAnsi="Palatino Linotype" w:cs="Arial"/>
          <w:color w:val="000000" w:themeColor="text1"/>
          <w:lang w:val="es-ES"/>
        </w:rPr>
        <w:t xml:space="preserve"> lo siguiente</w:t>
      </w:r>
      <w:r w:rsidR="005F1362" w:rsidRPr="000A13DF">
        <w:rPr>
          <w:rFonts w:ascii="Palatino Linotype" w:eastAsia="Calibri" w:hAnsi="Palatino Linotype" w:cs="Arial"/>
          <w:color w:val="000000" w:themeColor="text1"/>
          <w:lang w:val="es-ES"/>
        </w:rPr>
        <w:t>:</w:t>
      </w:r>
    </w:p>
    <w:p w14:paraId="76EB7490" w14:textId="77777777" w:rsidR="00B31E90" w:rsidRPr="000A13DF" w:rsidRDefault="00B31E90" w:rsidP="00EE72BA">
      <w:pPr>
        <w:pStyle w:val="Prrafodelista"/>
        <w:spacing w:line="360" w:lineRule="auto"/>
        <w:ind w:left="567" w:right="567"/>
        <w:jc w:val="both"/>
        <w:rPr>
          <w:rFonts w:ascii="Palatino Linotype" w:hAnsi="Palatino Linotype"/>
          <w:i/>
          <w:color w:val="000000" w:themeColor="text1"/>
        </w:rPr>
      </w:pPr>
    </w:p>
    <w:p w14:paraId="605C5067" w14:textId="4C29983B" w:rsidR="0097210F" w:rsidRPr="000A13DF" w:rsidRDefault="005F1362" w:rsidP="00EE72BA">
      <w:pPr>
        <w:pStyle w:val="Prrafodelista"/>
        <w:spacing w:line="360" w:lineRule="auto"/>
        <w:ind w:left="567" w:right="567"/>
        <w:jc w:val="both"/>
        <w:rPr>
          <w:rFonts w:ascii="Palatino Linotype" w:hAnsi="Palatino Linotype"/>
          <w:i/>
          <w:color w:val="000000" w:themeColor="text1"/>
        </w:rPr>
      </w:pPr>
      <w:r w:rsidRPr="000A13DF">
        <w:rPr>
          <w:rFonts w:ascii="Palatino Linotype" w:hAnsi="Palatino Linotype"/>
          <w:i/>
          <w:color w:val="000000" w:themeColor="text1"/>
        </w:rPr>
        <w:t>“</w:t>
      </w:r>
      <w:r w:rsidR="007F3575" w:rsidRPr="000A13DF">
        <w:rPr>
          <w:rFonts w:ascii="Palatino Linotype" w:hAnsi="Palatino Linotype"/>
          <w:i/>
          <w:color w:val="000000" w:themeColor="text1"/>
        </w:rPr>
        <w:t xml:space="preserve">Por este medio solicito el padrón catastral del municipio. Solicito la información actualizada con los siguientes datos de cada predio: Ubicación (calle, colonia, municipio) Coordenadas geográficas Superficie del terreno Superficie de construcción Uso de suelo Año de construcción Clave predial CURT Folio real Valor del suelo Los datos anteriores no son considerados como datos susceptibles </w:t>
      </w:r>
      <w:r w:rsidR="007F3575" w:rsidRPr="000A13DF">
        <w:rPr>
          <w:rFonts w:ascii="Palatino Linotype" w:hAnsi="Palatino Linotype"/>
          <w:i/>
          <w:color w:val="000000" w:themeColor="text1"/>
        </w:rPr>
        <w:lastRenderedPageBreak/>
        <w:t>de ser reservados al no estar vinculados a un particular. Se excluyen datos del propietario así como el valor catastral.</w:t>
      </w:r>
      <w:r w:rsidRPr="000A13DF">
        <w:rPr>
          <w:rFonts w:ascii="Palatino Linotype" w:hAnsi="Palatino Linotype"/>
          <w:i/>
          <w:color w:val="000000" w:themeColor="text1"/>
        </w:rPr>
        <w:t>” (Sic).</w:t>
      </w:r>
    </w:p>
    <w:p w14:paraId="010F49EF" w14:textId="4293FA51" w:rsidR="004E197E" w:rsidRPr="000A13DF" w:rsidRDefault="004E197E" w:rsidP="00EE72BA">
      <w:pPr>
        <w:pStyle w:val="Prrafodelista"/>
        <w:spacing w:line="360" w:lineRule="auto"/>
        <w:ind w:left="567" w:right="567"/>
        <w:jc w:val="both"/>
        <w:rPr>
          <w:rFonts w:ascii="Palatino Linotype" w:hAnsi="Palatino Linotype"/>
          <w:i/>
          <w:color w:val="000000" w:themeColor="text1"/>
        </w:rPr>
      </w:pPr>
    </w:p>
    <w:p w14:paraId="49C21E77" w14:textId="4A7AB5D2" w:rsidR="0039142B" w:rsidRPr="000A13DF" w:rsidRDefault="00836FF4" w:rsidP="00EE72B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13DF">
        <w:rPr>
          <w:rFonts w:ascii="Palatino Linotype" w:hAnsi="Palatino Linotype" w:cs="Arial"/>
          <w:color w:val="000000" w:themeColor="text1"/>
        </w:rPr>
        <w:t>Modalidad de entrega: A través d</w:t>
      </w:r>
      <w:r w:rsidR="009C0215" w:rsidRPr="000A13DF">
        <w:rPr>
          <w:rFonts w:ascii="Palatino Linotype" w:hAnsi="Palatino Linotype" w:cs="Arial"/>
          <w:color w:val="000000" w:themeColor="text1"/>
        </w:rPr>
        <w:t>e</w:t>
      </w:r>
      <w:r w:rsidR="00755146" w:rsidRPr="000A13DF">
        <w:rPr>
          <w:rFonts w:ascii="Palatino Linotype" w:hAnsi="Palatino Linotype" w:cs="Arial"/>
          <w:color w:val="000000" w:themeColor="text1"/>
        </w:rPr>
        <w:t>l SAIMEX</w:t>
      </w:r>
      <w:r w:rsidR="004E197E" w:rsidRPr="000A13DF">
        <w:rPr>
          <w:rFonts w:ascii="Palatino Linotype" w:hAnsi="Palatino Linotype" w:cs="Arial"/>
          <w:color w:val="000000" w:themeColor="text1"/>
        </w:rPr>
        <w:t>.</w:t>
      </w:r>
      <w:r w:rsidR="009E6A7E" w:rsidRPr="000A13DF">
        <w:rPr>
          <w:rFonts w:ascii="Palatino Linotype" w:hAnsi="Palatino Linotype" w:cs="Arial"/>
          <w:color w:val="000000" w:themeColor="text1"/>
        </w:rPr>
        <w:t xml:space="preserve"> </w:t>
      </w:r>
    </w:p>
    <w:p w14:paraId="35BA18A9" w14:textId="77777777" w:rsidR="0039142B" w:rsidRPr="000A13DF" w:rsidRDefault="0039142B" w:rsidP="00EE72BA">
      <w:pPr>
        <w:pStyle w:val="Prrafodelista"/>
        <w:spacing w:line="360" w:lineRule="auto"/>
        <w:ind w:left="284"/>
        <w:jc w:val="both"/>
        <w:rPr>
          <w:rFonts w:ascii="Palatino Linotype" w:eastAsia="MS Mincho" w:hAnsi="Palatino Linotype" w:cs="Times New Roman"/>
          <w:color w:val="000000" w:themeColor="text1"/>
        </w:rPr>
      </w:pPr>
    </w:p>
    <w:p w14:paraId="60DCDA4B" w14:textId="309F489F" w:rsidR="0022448D" w:rsidRPr="000A13DF" w:rsidRDefault="00AE0CDF" w:rsidP="00EE72B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A13DF">
        <w:rPr>
          <w:rFonts w:ascii="Palatino Linotype" w:eastAsia="MS Mincho" w:hAnsi="Palatino Linotype" w:cs="Times New Roman"/>
          <w:color w:val="000000" w:themeColor="text1"/>
        </w:rPr>
        <w:t xml:space="preserve">El </w:t>
      </w:r>
      <w:r w:rsidR="007F3575" w:rsidRPr="000A13DF">
        <w:rPr>
          <w:rFonts w:ascii="Palatino Linotype" w:eastAsia="MS Mincho" w:hAnsi="Palatino Linotype" w:cs="Times New Roman"/>
          <w:color w:val="000000" w:themeColor="text1"/>
        </w:rPr>
        <w:t>cuatro</w:t>
      </w:r>
      <w:r w:rsidRPr="000A13DF">
        <w:rPr>
          <w:rFonts w:ascii="Palatino Linotype" w:eastAsia="MS Mincho" w:hAnsi="Palatino Linotype" w:cs="Times New Roman"/>
          <w:color w:val="000000" w:themeColor="text1"/>
        </w:rPr>
        <w:t xml:space="preserve"> (</w:t>
      </w:r>
      <w:r w:rsidR="007F3575" w:rsidRPr="000A13DF">
        <w:rPr>
          <w:rFonts w:ascii="Palatino Linotype" w:eastAsia="MS Mincho" w:hAnsi="Palatino Linotype" w:cs="Times New Roman"/>
          <w:color w:val="000000" w:themeColor="text1"/>
        </w:rPr>
        <w:t>04</w:t>
      </w:r>
      <w:r w:rsidRPr="000A13DF">
        <w:rPr>
          <w:rFonts w:ascii="Palatino Linotype" w:eastAsia="MS Mincho" w:hAnsi="Palatino Linotype" w:cs="Times New Roman"/>
          <w:color w:val="000000" w:themeColor="text1"/>
        </w:rPr>
        <w:t xml:space="preserve">) de </w:t>
      </w:r>
      <w:r w:rsidR="007F3575" w:rsidRPr="000A13DF">
        <w:rPr>
          <w:rFonts w:ascii="Palatino Linotype" w:eastAsia="MS Mincho" w:hAnsi="Palatino Linotype" w:cs="Times New Roman"/>
          <w:color w:val="000000" w:themeColor="text1"/>
        </w:rPr>
        <w:t>marzo</w:t>
      </w:r>
      <w:r w:rsidRPr="000A13DF">
        <w:rPr>
          <w:rFonts w:ascii="Palatino Linotype" w:eastAsia="MS Mincho" w:hAnsi="Palatino Linotype" w:cs="Times New Roman"/>
          <w:color w:val="000000" w:themeColor="text1"/>
        </w:rPr>
        <w:t xml:space="preserve"> de dos mil veintidós, </w:t>
      </w:r>
      <w:r w:rsidR="005F1362" w:rsidRPr="000A13DF">
        <w:rPr>
          <w:rFonts w:ascii="Palatino Linotype" w:hAnsi="Palatino Linotype"/>
          <w:color w:val="000000" w:themeColor="text1"/>
        </w:rPr>
        <w:t xml:space="preserve">el </w:t>
      </w:r>
      <w:r w:rsidR="005F1362" w:rsidRPr="000A13DF">
        <w:rPr>
          <w:rFonts w:ascii="Palatino Linotype" w:hAnsi="Palatino Linotype"/>
          <w:b/>
          <w:color w:val="000000" w:themeColor="text1"/>
        </w:rPr>
        <w:t>SUJETO OBLIGADO</w:t>
      </w:r>
      <w:r w:rsidR="005F1362" w:rsidRPr="000A13DF">
        <w:rPr>
          <w:rFonts w:ascii="Palatino Linotype" w:hAnsi="Palatino Linotype"/>
          <w:color w:val="000000" w:themeColor="text1"/>
        </w:rPr>
        <w:t xml:space="preserve"> </w:t>
      </w:r>
      <w:r w:rsidR="007076C5" w:rsidRPr="000A13DF">
        <w:rPr>
          <w:rFonts w:ascii="Palatino Linotype" w:hAnsi="Palatino Linotype"/>
          <w:color w:val="000000" w:themeColor="text1"/>
        </w:rPr>
        <w:t xml:space="preserve">dio respuesta a la solicitud de información </w:t>
      </w:r>
      <w:r w:rsidR="0087701B" w:rsidRPr="000A13DF">
        <w:rPr>
          <w:rFonts w:ascii="Palatino Linotype" w:hAnsi="Palatino Linotype"/>
          <w:b/>
          <w:bCs/>
          <w:color w:val="000000" w:themeColor="text1"/>
        </w:rPr>
        <w:t>00143/CUAUTIZC/IP/2022</w:t>
      </w:r>
      <w:r w:rsidR="007076C5" w:rsidRPr="000A13DF">
        <w:rPr>
          <w:rFonts w:ascii="Palatino Linotype" w:hAnsi="Palatino Linotype"/>
          <w:color w:val="000000" w:themeColor="text1"/>
        </w:rPr>
        <w:t xml:space="preserve"> en los siguientes términos</w:t>
      </w:r>
      <w:r w:rsidR="005F1362" w:rsidRPr="000A13DF">
        <w:rPr>
          <w:rFonts w:ascii="Palatino Linotype" w:hAnsi="Palatino Linotype"/>
          <w:color w:val="000000" w:themeColor="text1"/>
        </w:rPr>
        <w:t>:</w:t>
      </w:r>
    </w:p>
    <w:p w14:paraId="0E759FD5" w14:textId="77777777" w:rsidR="009A593A" w:rsidRPr="000A13DF" w:rsidRDefault="009A593A" w:rsidP="00EE72BA">
      <w:pPr>
        <w:pStyle w:val="Sinespaciado"/>
        <w:spacing w:line="360" w:lineRule="auto"/>
        <w:ind w:left="567" w:right="567"/>
        <w:jc w:val="right"/>
        <w:rPr>
          <w:rFonts w:ascii="Palatino Linotype" w:hAnsi="Palatino Linotype"/>
          <w:i/>
          <w:noProof/>
          <w:color w:val="000000" w:themeColor="text1"/>
          <w:lang w:eastAsia="es-MX"/>
        </w:rPr>
      </w:pPr>
    </w:p>
    <w:p w14:paraId="4CA582CF" w14:textId="52AED018" w:rsidR="007F3575" w:rsidRPr="000A13DF" w:rsidRDefault="005F1362" w:rsidP="00EE72BA">
      <w:pPr>
        <w:pStyle w:val="Sinespaciado"/>
        <w:spacing w:line="360" w:lineRule="auto"/>
        <w:ind w:left="567" w:right="567"/>
        <w:jc w:val="both"/>
        <w:rPr>
          <w:rFonts w:ascii="Palatino Linotype" w:hAnsi="Palatino Linotype"/>
          <w:i/>
          <w:noProof/>
          <w:color w:val="000000" w:themeColor="text1"/>
          <w:lang w:val="es-MX" w:eastAsia="es-MX"/>
        </w:rPr>
      </w:pPr>
      <w:r w:rsidRPr="000A13DF">
        <w:rPr>
          <w:rFonts w:ascii="Palatino Linotype" w:hAnsi="Palatino Linotype"/>
          <w:i/>
          <w:noProof/>
          <w:color w:val="000000" w:themeColor="text1"/>
          <w:lang w:val="es-MX" w:eastAsia="es-MX"/>
        </w:rPr>
        <w:t>“</w:t>
      </w:r>
      <w:r w:rsidR="007F3575" w:rsidRPr="000A13DF">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981BBD" w14:textId="77777777" w:rsidR="007F3575" w:rsidRPr="000A13DF" w:rsidRDefault="007F3575" w:rsidP="00EE72BA">
      <w:pPr>
        <w:pStyle w:val="Sinespaciado"/>
        <w:spacing w:line="360" w:lineRule="auto"/>
        <w:ind w:left="567" w:right="567"/>
        <w:jc w:val="both"/>
        <w:rPr>
          <w:rFonts w:ascii="Palatino Linotype" w:hAnsi="Palatino Linotype"/>
          <w:i/>
          <w:noProof/>
          <w:color w:val="000000" w:themeColor="text1"/>
          <w:lang w:val="es-MX" w:eastAsia="es-MX"/>
        </w:rPr>
      </w:pPr>
      <w:r w:rsidRPr="000A13DF">
        <w:rPr>
          <w:rFonts w:ascii="Palatino Linotype" w:hAnsi="Palatino Linotype"/>
          <w:i/>
          <w:noProof/>
          <w:color w:val="000000" w:themeColor="text1"/>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1.- ““ Por este medio solicito el padrón catastral del municipio. Solicito la información actualizada con los siguientes datos de cada predio: Ubicación (calle, colonia, municipio) Coordenadas geográficas Superficie del terreno Superficie de construcción Uso de suelo Año de construcción Clave </w:t>
      </w:r>
      <w:r w:rsidRPr="000A13DF">
        <w:rPr>
          <w:rFonts w:ascii="Palatino Linotype" w:hAnsi="Palatino Linotype"/>
          <w:i/>
          <w:noProof/>
          <w:color w:val="000000" w:themeColor="text1"/>
          <w:lang w:val="es-MX" w:eastAsia="es-MX"/>
        </w:rPr>
        <w:lastRenderedPageBreak/>
        <w:t xml:space="preserve">predial CURT Folio real Valor del suelo Los datos anteriores no son considerados como datos susceptibles de ser reservados al no estar vinculados a un particular. Se excluyen datos del propietario así como el valor catastral. ” (SIC). Sobre el particular, con fundamento en lo previsto por los artículos 6° de la Constitución Política de los Estados Unidos Mexicanos; 5 de la Constitución Política del Estado Libre y Soberano de México; 12, 23 fracción IV 24 último párrafo, 11, 12, 23 fracción IV, 25, 59 fracciones I, II y III, 91, 143 fracción I y II y 186 último párrafo de la Ley de Transparencia y Acceso a la Información Pública del Estado de México y Municipios; así como de los numerales cuarenta y seis, y cuarenta y siete de los lineamientos para la Recepción, Trámite y Resolución de las Solicitudes de Acceso a la Información Pública y 37 del Código de Procedimientos Administrativos del Estado de México, le informo lo siguiente: Una vez realizada una búsqueda exhaustiva y razonada de la información que obra en el archivo de la Coordinación de catastro, se determinó, que el padrón catastral y la información que obra en los expedientes de los predios registrados en el Padrón Catastral recaen en los supuestos contemplados por el artículo 143 de la LTAIPEMyM es decir tiene el Carácter de CONFIDENCIAL: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 II. LA QUE PRESENTEN LOS PARTICULARES A LOS SUJETOS OBLIGADOS, DE CONFORMIDAD CON LO DISPUESTO POR LAS LEYES o los tratados internacionales. La información confidencial no estará sujeta a temporalidad alguna y SÓLO PODRÁN TENER ACCESO A </w:t>
      </w:r>
      <w:r w:rsidRPr="000A13DF">
        <w:rPr>
          <w:rFonts w:ascii="Palatino Linotype" w:hAnsi="Palatino Linotype"/>
          <w:i/>
          <w:noProof/>
          <w:color w:val="000000" w:themeColor="text1"/>
          <w:lang w:val="es-MX" w:eastAsia="es-MX"/>
        </w:rPr>
        <w:lastRenderedPageBreak/>
        <w:t xml:space="preserve">ELLA LOS TITULARES DE LA MISMA, SUS REPRESENTANTES Y LOS SERVIDORES PÚBLICOS FACULTADOS PARA ELLO.”…. Por lo que del cuerpo del dispositivo legal invocado, podemos observar que la información solicitada se refiere a información privada de las o los titulares de los predios a los que les fueron asignadas las mencionadas claves catastrales y que conforman el padrón catastral del Municipio de Cuautitlán Izcalli, datos a que además los hacen identificables, ya que el alta de un predio en el padrón catastral es un trámite de carácter personal, vinculado con el ejercicio de los derechos subjetivos que asisten a cualquier persona respecto a su patrimonio y el cumplimiento de sus obligaciones fiscales, del cual no se desprende alguna causa de interés público que favorezca su difusión, toda vez que, el resultado del mismo compete en estricto sentido al propietario de determinado predio, debiendo en consecuencia clasificarse como información confidencial, al tratarse de información patrimonial de particulares. Máxime de señalar que, proporcionar los datos requeridos como son ubicación, calle, colonia, municipio, coordenadas, superficie de construcción, uso de suelo, año de construcción, clave predial, CURT, folio real, valor del suelo, aun cuando se omita datos del propietario y valor catastral son considerados susceptibles de ser clasificados como información confidencial, por lo anterior sírvase encontrar anexo acuerdo de Clasificación total como información confidencial de forma permanente número CTM/CUT/SE12/002/ACITP/2022 de fecha veinticuatro de febrero de dos mil veintidós, aprobado por el Comité de Transparencia del H. Ayuntamiento de Cuautitlán Izcalli, a través del cual este sujeto obligado funda y motiva las razones de hecho y de derecho que atienden a su clasificación como INFORMACIÓN CONFIDENCIAL. ”SIC De lo anteriormente expuesto y </w:t>
      </w:r>
      <w:r w:rsidRPr="000A13DF">
        <w:rPr>
          <w:rFonts w:ascii="Palatino Linotype" w:hAnsi="Palatino Linotype"/>
          <w:i/>
          <w:noProof/>
          <w:color w:val="000000" w:themeColor="text1"/>
          <w:lang w:val="es-MX" w:eastAsia="es-MX"/>
        </w:rPr>
        <w:lastRenderedPageBreak/>
        <w:t>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14:paraId="0DBBE3E6" w14:textId="77777777" w:rsidR="007F3575" w:rsidRPr="000A13DF" w:rsidRDefault="007F3575" w:rsidP="00EE72BA">
      <w:pPr>
        <w:pStyle w:val="Sinespaciado"/>
        <w:spacing w:line="360" w:lineRule="auto"/>
        <w:ind w:left="567" w:right="567"/>
        <w:jc w:val="both"/>
        <w:rPr>
          <w:rFonts w:ascii="Palatino Linotype" w:hAnsi="Palatino Linotype"/>
          <w:i/>
          <w:noProof/>
          <w:color w:val="000000" w:themeColor="text1"/>
          <w:lang w:val="es-MX" w:eastAsia="es-MX"/>
        </w:rPr>
      </w:pPr>
    </w:p>
    <w:p w14:paraId="5A6CE1A6" w14:textId="77777777" w:rsidR="007F3575" w:rsidRPr="000A13DF" w:rsidRDefault="007F3575" w:rsidP="00EE72BA">
      <w:pPr>
        <w:pStyle w:val="Sinespaciado"/>
        <w:spacing w:line="360" w:lineRule="auto"/>
        <w:ind w:left="567" w:right="567"/>
        <w:jc w:val="both"/>
        <w:rPr>
          <w:rFonts w:ascii="Palatino Linotype" w:hAnsi="Palatino Linotype"/>
          <w:i/>
          <w:noProof/>
          <w:color w:val="000000" w:themeColor="text1"/>
          <w:lang w:val="es-MX" w:eastAsia="es-MX"/>
        </w:rPr>
      </w:pPr>
      <w:r w:rsidRPr="000A13DF">
        <w:rPr>
          <w:rFonts w:ascii="Palatino Linotype" w:hAnsi="Palatino Linotype"/>
          <w:i/>
          <w:noProof/>
          <w:color w:val="000000" w:themeColor="text1"/>
          <w:lang w:val="es-MX" w:eastAsia="es-MX"/>
        </w:rPr>
        <w:t>ATENTAMENTE</w:t>
      </w:r>
    </w:p>
    <w:p w14:paraId="35A36DE0" w14:textId="17720F26" w:rsidR="0039142B" w:rsidRPr="000A13DF" w:rsidRDefault="007F3575" w:rsidP="00EE72BA">
      <w:pPr>
        <w:pStyle w:val="Sinespaciado"/>
        <w:spacing w:line="360" w:lineRule="auto"/>
        <w:ind w:left="567" w:right="567"/>
        <w:jc w:val="both"/>
        <w:rPr>
          <w:rFonts w:ascii="Palatino Linotype" w:hAnsi="Palatino Linotype"/>
          <w:i/>
          <w:noProof/>
          <w:color w:val="000000" w:themeColor="text1"/>
          <w:lang w:val="es-MX" w:eastAsia="es-MX"/>
        </w:rPr>
      </w:pPr>
      <w:r w:rsidRPr="000A13DF">
        <w:rPr>
          <w:rFonts w:ascii="Palatino Linotype" w:hAnsi="Palatino Linotype"/>
          <w:i/>
          <w:noProof/>
          <w:color w:val="000000" w:themeColor="text1"/>
          <w:lang w:val="es-MX" w:eastAsia="es-MX"/>
        </w:rPr>
        <w:t>MTRA. MARÍA ISABEL CISNEROS MÁRQUEZ</w:t>
      </w:r>
      <w:r w:rsidR="005F1362" w:rsidRPr="000A13DF">
        <w:rPr>
          <w:rFonts w:ascii="Palatino Linotype" w:hAnsi="Palatino Linotype"/>
          <w:i/>
          <w:noProof/>
          <w:color w:val="000000" w:themeColor="text1"/>
          <w:lang w:val="es-MX" w:eastAsia="es-MX"/>
        </w:rPr>
        <w:t>”</w:t>
      </w:r>
      <w:r w:rsidR="00EB3DF7" w:rsidRPr="000A13DF">
        <w:rPr>
          <w:rFonts w:ascii="Palatino Linotype" w:hAnsi="Palatino Linotype"/>
          <w:noProof/>
          <w:color w:val="000000" w:themeColor="text1"/>
          <w:lang w:val="es-MX" w:eastAsia="es-MX"/>
        </w:rPr>
        <w:t xml:space="preserve"> (Sic.)</w:t>
      </w:r>
    </w:p>
    <w:p w14:paraId="2D68519B" w14:textId="77777777" w:rsidR="0097210F" w:rsidRPr="000A13DF" w:rsidRDefault="0097210F" w:rsidP="00EE72BA">
      <w:pPr>
        <w:pStyle w:val="Sinespaciado"/>
        <w:spacing w:line="360" w:lineRule="auto"/>
        <w:ind w:right="567"/>
        <w:jc w:val="both"/>
        <w:rPr>
          <w:rFonts w:ascii="Palatino Linotype" w:hAnsi="Palatino Linotype"/>
          <w:noProof/>
          <w:color w:val="000000" w:themeColor="text1"/>
          <w:lang w:val="es-MX" w:eastAsia="es-MX"/>
        </w:rPr>
      </w:pPr>
    </w:p>
    <w:p w14:paraId="556E105E" w14:textId="091BBF7A" w:rsidR="00CB4E1C" w:rsidRPr="000A13DF" w:rsidRDefault="0035066B" w:rsidP="00EE72B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0A13DF">
        <w:rPr>
          <w:rFonts w:ascii="Palatino Linotype" w:hAnsi="Palatino Linotype"/>
          <w:color w:val="000000" w:themeColor="text1"/>
        </w:rPr>
        <w:t>El Sujeto Ob</w:t>
      </w:r>
      <w:r w:rsidR="00BA4BCD" w:rsidRPr="000A13DF">
        <w:rPr>
          <w:rFonts w:ascii="Palatino Linotype" w:hAnsi="Palatino Linotype"/>
          <w:color w:val="000000" w:themeColor="text1"/>
        </w:rPr>
        <w:t xml:space="preserve">ligado acompañó su respuesta con los </w:t>
      </w:r>
      <w:r w:rsidRPr="000A13DF">
        <w:rPr>
          <w:rFonts w:ascii="Palatino Linotype" w:hAnsi="Palatino Linotype"/>
          <w:color w:val="000000" w:themeColor="text1"/>
        </w:rPr>
        <w:t>documento</w:t>
      </w:r>
      <w:r w:rsidR="00BA4BCD" w:rsidRPr="000A13DF">
        <w:rPr>
          <w:rFonts w:ascii="Palatino Linotype" w:hAnsi="Palatino Linotype"/>
          <w:color w:val="000000" w:themeColor="text1"/>
        </w:rPr>
        <w:t>s</w:t>
      </w:r>
      <w:r w:rsidRPr="000A13DF">
        <w:rPr>
          <w:rFonts w:ascii="Palatino Linotype" w:hAnsi="Palatino Linotype"/>
          <w:color w:val="000000" w:themeColor="text1"/>
        </w:rPr>
        <w:t xml:space="preserve"> electrónico</w:t>
      </w:r>
      <w:r w:rsidR="00BA4BCD" w:rsidRPr="000A13DF">
        <w:rPr>
          <w:rFonts w:ascii="Palatino Linotype" w:hAnsi="Palatino Linotype"/>
          <w:color w:val="000000" w:themeColor="text1"/>
        </w:rPr>
        <w:t>s</w:t>
      </w:r>
      <w:r w:rsidRPr="000A13DF">
        <w:rPr>
          <w:rFonts w:ascii="Palatino Linotype" w:hAnsi="Palatino Linotype"/>
          <w:color w:val="000000" w:themeColor="text1"/>
        </w:rPr>
        <w:t xml:space="preserve"> denominado</w:t>
      </w:r>
      <w:r w:rsidR="00BA4BCD" w:rsidRPr="000A13DF">
        <w:rPr>
          <w:rFonts w:ascii="Palatino Linotype" w:hAnsi="Palatino Linotype"/>
          <w:color w:val="000000" w:themeColor="text1"/>
        </w:rPr>
        <w:t>s</w:t>
      </w:r>
      <w:r w:rsidRPr="000A13DF">
        <w:rPr>
          <w:rFonts w:ascii="Palatino Linotype" w:hAnsi="Palatino Linotype"/>
          <w:color w:val="000000" w:themeColor="text1"/>
        </w:rPr>
        <w:t xml:space="preserve"> </w:t>
      </w:r>
      <w:r w:rsidR="00BA4BCD" w:rsidRPr="000A13DF">
        <w:rPr>
          <w:rFonts w:ascii="Palatino Linotype" w:hAnsi="Palatino Linotype"/>
          <w:b/>
          <w:color w:val="000000" w:themeColor="text1"/>
          <w:u w:val="single"/>
        </w:rPr>
        <w:t>ACUERDO CONFIDENCIAL tesorería.pdf</w:t>
      </w:r>
      <w:r w:rsidR="00BA4BCD" w:rsidRPr="000A13DF">
        <w:rPr>
          <w:rFonts w:ascii="Palatino Linotype" w:hAnsi="Palatino Linotype"/>
          <w:color w:val="000000" w:themeColor="text1"/>
        </w:rPr>
        <w:t xml:space="preserve"> y </w:t>
      </w:r>
      <w:r w:rsidR="00BA4BCD" w:rsidRPr="000A13DF">
        <w:rPr>
          <w:rFonts w:ascii="Palatino Linotype" w:hAnsi="Palatino Linotype"/>
          <w:b/>
          <w:color w:val="000000" w:themeColor="text1"/>
          <w:u w:val="single"/>
        </w:rPr>
        <w:t>respuesta solicitud 143.pdf</w:t>
      </w:r>
      <w:r w:rsidR="00E851FC" w:rsidRPr="000A13DF">
        <w:rPr>
          <w:rFonts w:ascii="Palatino Linotype" w:hAnsi="Palatino Linotype"/>
          <w:b/>
          <w:i/>
          <w:color w:val="000000" w:themeColor="text1"/>
        </w:rPr>
        <w:t xml:space="preserve">, </w:t>
      </w:r>
      <w:r w:rsidR="00BA4BCD" w:rsidRPr="000A13DF">
        <w:rPr>
          <w:rFonts w:ascii="Palatino Linotype" w:hAnsi="Palatino Linotype"/>
          <w:color w:val="000000" w:themeColor="text1"/>
        </w:rPr>
        <w:t>los</w:t>
      </w:r>
      <w:r w:rsidR="00E7288C" w:rsidRPr="000A13DF">
        <w:rPr>
          <w:rFonts w:ascii="Palatino Linotype" w:hAnsi="Palatino Linotype"/>
          <w:color w:val="000000" w:themeColor="text1"/>
        </w:rPr>
        <w:t xml:space="preserve"> cual</w:t>
      </w:r>
      <w:r w:rsidR="00BA4BCD" w:rsidRPr="000A13DF">
        <w:rPr>
          <w:rFonts w:ascii="Palatino Linotype" w:hAnsi="Palatino Linotype"/>
          <w:color w:val="000000" w:themeColor="text1"/>
        </w:rPr>
        <w:t>es</w:t>
      </w:r>
      <w:r w:rsidR="00CB4E1C" w:rsidRPr="000A13DF">
        <w:rPr>
          <w:rFonts w:ascii="Palatino Linotype" w:hAnsi="Palatino Linotype"/>
          <w:color w:val="000000" w:themeColor="text1"/>
        </w:rPr>
        <w:t xml:space="preserve"> contiene</w:t>
      </w:r>
      <w:r w:rsidR="00BA4BCD" w:rsidRPr="000A13DF">
        <w:rPr>
          <w:rFonts w:ascii="Palatino Linotype" w:hAnsi="Palatino Linotype"/>
          <w:color w:val="000000" w:themeColor="text1"/>
        </w:rPr>
        <w:t>n</w:t>
      </w:r>
      <w:r w:rsidR="00CB4E1C" w:rsidRPr="000A13DF">
        <w:rPr>
          <w:rFonts w:ascii="Palatino Linotype" w:hAnsi="Palatino Linotype"/>
          <w:color w:val="000000" w:themeColor="text1"/>
        </w:rPr>
        <w:t xml:space="preserve"> lo siguiente:</w:t>
      </w:r>
    </w:p>
    <w:p w14:paraId="49073198" w14:textId="77777777" w:rsidR="008A5CF5" w:rsidRPr="000A13DF" w:rsidRDefault="008A5CF5" w:rsidP="00EE72BA">
      <w:pPr>
        <w:pStyle w:val="Prrafodelista"/>
        <w:tabs>
          <w:tab w:val="left" w:pos="284"/>
          <w:tab w:val="left" w:pos="426"/>
        </w:tabs>
        <w:spacing w:line="360" w:lineRule="auto"/>
        <w:ind w:left="0"/>
        <w:jc w:val="both"/>
        <w:rPr>
          <w:rFonts w:ascii="Palatino Linotype" w:hAnsi="Palatino Linotype"/>
          <w:b/>
          <w:i/>
          <w:color w:val="000000" w:themeColor="text1"/>
        </w:rPr>
      </w:pPr>
    </w:p>
    <w:p w14:paraId="088D7068" w14:textId="344CFF4F" w:rsidR="00BA4BCD" w:rsidRPr="000A13DF" w:rsidRDefault="00BA4BCD" w:rsidP="00EE72BA">
      <w:pPr>
        <w:pStyle w:val="Prrafodelista"/>
        <w:numPr>
          <w:ilvl w:val="0"/>
          <w:numId w:val="31"/>
        </w:numPr>
        <w:tabs>
          <w:tab w:val="left" w:pos="284"/>
          <w:tab w:val="left" w:pos="426"/>
        </w:tabs>
        <w:spacing w:line="360" w:lineRule="auto"/>
        <w:ind w:firstLine="0"/>
        <w:jc w:val="both"/>
        <w:rPr>
          <w:rFonts w:ascii="Palatino Linotype" w:hAnsi="Palatino Linotype"/>
          <w:b/>
          <w:color w:val="000000" w:themeColor="text1"/>
          <w:u w:val="single"/>
        </w:rPr>
      </w:pPr>
      <w:r w:rsidRPr="000A13DF">
        <w:rPr>
          <w:rFonts w:ascii="Palatino Linotype" w:hAnsi="Palatino Linotype"/>
          <w:b/>
          <w:color w:val="000000" w:themeColor="text1"/>
          <w:u w:val="single"/>
        </w:rPr>
        <w:t>ACUERDO CONFIDENCIAL tesorería.pdf</w:t>
      </w:r>
      <w:r w:rsidRPr="000A13DF">
        <w:rPr>
          <w:rFonts w:ascii="Palatino Linotype" w:hAnsi="Palatino Linotype"/>
          <w:color w:val="000000" w:themeColor="text1"/>
        </w:rPr>
        <w:t>:</w:t>
      </w:r>
      <w:r w:rsidR="00934D28" w:rsidRPr="000A13DF">
        <w:rPr>
          <w:rFonts w:ascii="Palatino Linotype" w:hAnsi="Palatino Linotype"/>
          <w:color w:val="000000" w:themeColor="text1"/>
        </w:rPr>
        <w:t xml:space="preserve"> </w:t>
      </w:r>
      <w:r w:rsidRPr="000A13DF">
        <w:rPr>
          <w:rFonts w:ascii="Palatino Linotype" w:hAnsi="Palatino Linotype"/>
          <w:color w:val="000000" w:themeColor="text1"/>
        </w:rPr>
        <w:t>Acuerdo número CTM/CUT/SE12/002/ACITP/2022, por el que se aprueba la clasificación total como información confidencial de forma permanente del Padrón Catastral del Municipio de Cuautitlán Izcalli</w:t>
      </w:r>
      <w:r w:rsidR="000C76B4" w:rsidRPr="000A13DF">
        <w:rPr>
          <w:rFonts w:ascii="Palatino Linotype" w:hAnsi="Palatino Linotype"/>
          <w:color w:val="000000" w:themeColor="text1"/>
        </w:rPr>
        <w:t>.</w:t>
      </w:r>
    </w:p>
    <w:p w14:paraId="08EB3E1D" w14:textId="77777777" w:rsidR="000C76B4" w:rsidRPr="000A13DF" w:rsidRDefault="000C76B4" w:rsidP="00EE72BA">
      <w:pPr>
        <w:pStyle w:val="Prrafodelista"/>
        <w:tabs>
          <w:tab w:val="left" w:pos="284"/>
          <w:tab w:val="left" w:pos="426"/>
        </w:tabs>
        <w:spacing w:line="360" w:lineRule="auto"/>
        <w:jc w:val="both"/>
        <w:rPr>
          <w:rFonts w:ascii="Palatino Linotype" w:hAnsi="Palatino Linotype"/>
          <w:b/>
          <w:color w:val="000000" w:themeColor="text1"/>
          <w:u w:val="single"/>
        </w:rPr>
      </w:pPr>
    </w:p>
    <w:p w14:paraId="44D3297D" w14:textId="7A242275" w:rsidR="00B21D28" w:rsidRPr="000A13DF" w:rsidRDefault="00934D28" w:rsidP="00EE72BA">
      <w:pPr>
        <w:pStyle w:val="Prrafodelista"/>
        <w:numPr>
          <w:ilvl w:val="0"/>
          <w:numId w:val="31"/>
        </w:numPr>
        <w:tabs>
          <w:tab w:val="left" w:pos="284"/>
          <w:tab w:val="left" w:pos="426"/>
        </w:tabs>
        <w:spacing w:line="360" w:lineRule="auto"/>
        <w:ind w:firstLine="0"/>
        <w:jc w:val="both"/>
        <w:rPr>
          <w:rFonts w:ascii="Palatino Linotype" w:hAnsi="Palatino Linotype"/>
          <w:b/>
          <w:color w:val="000000" w:themeColor="text1"/>
          <w:u w:val="single"/>
        </w:rPr>
      </w:pPr>
      <w:r w:rsidRPr="000A13DF">
        <w:rPr>
          <w:rFonts w:ascii="Palatino Linotype" w:hAnsi="Palatino Linotype"/>
          <w:b/>
          <w:color w:val="000000" w:themeColor="text1"/>
          <w:u w:val="single"/>
        </w:rPr>
        <w:t>respuesta solicitud 143.pdf:</w:t>
      </w:r>
      <w:r w:rsidRPr="000A13DF">
        <w:rPr>
          <w:rFonts w:ascii="Palatino Linotype" w:hAnsi="Palatino Linotype"/>
          <w:b/>
          <w:color w:val="000000" w:themeColor="text1"/>
        </w:rPr>
        <w:t xml:space="preserve"> </w:t>
      </w:r>
      <w:r w:rsidRPr="000A13DF">
        <w:rPr>
          <w:rFonts w:ascii="Palatino Linotype" w:hAnsi="Palatino Linotype"/>
          <w:color w:val="000000" w:themeColor="text1"/>
        </w:rPr>
        <w:t xml:space="preserve">Oficio TM/0717/2022 </w:t>
      </w:r>
      <w:r w:rsidR="00EC7DF3" w:rsidRPr="000A13DF">
        <w:rPr>
          <w:rFonts w:ascii="Palatino Linotype" w:hAnsi="Palatino Linotype"/>
          <w:color w:val="000000" w:themeColor="text1"/>
        </w:rPr>
        <w:t>suscrito por el T</w:t>
      </w:r>
      <w:r w:rsidRPr="000A13DF">
        <w:rPr>
          <w:rFonts w:ascii="Palatino Linotype" w:hAnsi="Palatino Linotype"/>
          <w:color w:val="000000" w:themeColor="text1"/>
        </w:rPr>
        <w:t xml:space="preserve">esorero Municipal </w:t>
      </w:r>
      <w:r w:rsidR="00EC7DF3" w:rsidRPr="000A13DF">
        <w:rPr>
          <w:rFonts w:ascii="Palatino Linotype" w:hAnsi="Palatino Linotype"/>
          <w:color w:val="000000" w:themeColor="text1"/>
        </w:rPr>
        <w:t xml:space="preserve">mediante el cual indica que </w:t>
      </w:r>
      <w:r w:rsidR="00441438" w:rsidRPr="000A13DF">
        <w:rPr>
          <w:rFonts w:ascii="Palatino Linotype" w:hAnsi="Palatino Linotype"/>
          <w:color w:val="000000" w:themeColor="text1"/>
        </w:rPr>
        <w:t>una vez realizada una búsqueda exhaustiva y razonada de la información que obra en el archivo de coordinación de catastro, se determinó que el padrón catastral y la información que obra en los expedientes de los predios requeridos en el Padrón Catastral  recaen en los supuestos contemplados por el artículo 14</w:t>
      </w:r>
      <w:r w:rsidR="00D348FC" w:rsidRPr="000A13DF">
        <w:rPr>
          <w:rFonts w:ascii="Palatino Linotype" w:hAnsi="Palatino Linotype"/>
          <w:color w:val="000000" w:themeColor="text1"/>
        </w:rPr>
        <w:t>3</w:t>
      </w:r>
      <w:r w:rsidR="00441438" w:rsidRPr="000A13DF">
        <w:rPr>
          <w:rFonts w:ascii="Palatino Linotype" w:hAnsi="Palatino Linotype"/>
          <w:color w:val="000000" w:themeColor="text1"/>
        </w:rPr>
        <w:t xml:space="preserve"> </w:t>
      </w:r>
      <w:r w:rsidR="00441438" w:rsidRPr="000A13DF">
        <w:rPr>
          <w:rFonts w:ascii="Palatino Linotype" w:hAnsi="Palatino Linotype"/>
          <w:color w:val="000000" w:themeColor="text1"/>
        </w:rPr>
        <w:lastRenderedPageBreak/>
        <w:t>de la LTAIPEMyM</w:t>
      </w:r>
      <w:r w:rsidR="000C76B4" w:rsidRPr="000A13DF">
        <w:rPr>
          <w:rFonts w:ascii="Palatino Linotype" w:hAnsi="Palatino Linotype"/>
          <w:color w:val="000000" w:themeColor="text1"/>
        </w:rPr>
        <w:t xml:space="preserve">, </w:t>
      </w:r>
      <w:r w:rsidR="00441438" w:rsidRPr="000A13DF">
        <w:rPr>
          <w:rFonts w:ascii="Palatino Linotype" w:hAnsi="Palatino Linotype"/>
          <w:color w:val="000000" w:themeColor="text1"/>
        </w:rPr>
        <w:t xml:space="preserve"> es decir tiene carácter de confidencial, por lo que del cuerpo del dispositivo legal invocado, podemos observar que la información solicitada se refiere a información privada de las o los titulares de los predios a los que fueron asignadas las mencionadas claves catastrales y que conforman el padrón catastral del  municipio, datos que además los hacen identificables, ya que el</w:t>
      </w:r>
      <w:r w:rsidR="000C76B4" w:rsidRPr="000A13DF">
        <w:rPr>
          <w:rFonts w:ascii="Palatino Linotype" w:hAnsi="Palatino Linotype"/>
          <w:color w:val="000000" w:themeColor="text1"/>
        </w:rPr>
        <w:t xml:space="preserve"> alta de un predio en el</w:t>
      </w:r>
      <w:r w:rsidR="00441438" w:rsidRPr="000A13DF">
        <w:rPr>
          <w:rFonts w:ascii="Palatino Linotype" w:hAnsi="Palatino Linotype"/>
          <w:color w:val="000000" w:themeColor="text1"/>
        </w:rPr>
        <w:t xml:space="preserve"> padrón catastral es un trámite de carácter personal vinculado con el ejercicio de los derechos subjetivos que asisten a cualquier persona respecto a su patrimonio y el cumplimiento de sus obligaciones fiscales</w:t>
      </w:r>
      <w:r w:rsidR="000C76B4" w:rsidRPr="000A13DF">
        <w:rPr>
          <w:rFonts w:ascii="Palatino Linotype" w:hAnsi="Palatino Linotype"/>
          <w:color w:val="000000" w:themeColor="text1"/>
        </w:rPr>
        <w:t>, del cual no se desprende alguna causa de interés público que favorezca su difusión.</w:t>
      </w:r>
    </w:p>
    <w:p w14:paraId="33969C6D" w14:textId="77777777" w:rsidR="00B21D28" w:rsidRPr="000A13DF" w:rsidRDefault="00B21D28" w:rsidP="00EE72BA">
      <w:pPr>
        <w:tabs>
          <w:tab w:val="left" w:pos="284"/>
          <w:tab w:val="left" w:pos="426"/>
        </w:tabs>
        <w:spacing w:line="360" w:lineRule="auto"/>
        <w:ind w:left="360"/>
        <w:jc w:val="both"/>
        <w:rPr>
          <w:rFonts w:ascii="Palatino Linotype" w:hAnsi="Palatino Linotype"/>
          <w:b/>
          <w:i/>
          <w:color w:val="000000" w:themeColor="text1"/>
        </w:rPr>
      </w:pPr>
    </w:p>
    <w:p w14:paraId="272B63B3" w14:textId="73F0C4DE" w:rsidR="000D5A1D" w:rsidRPr="000A13DF" w:rsidRDefault="00FD7996" w:rsidP="00EE72BA">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0A13DF">
        <w:rPr>
          <w:rFonts w:ascii="Palatino Linotype" w:eastAsia="Times New Roman" w:hAnsi="Palatino Linotype" w:cs="Arial"/>
          <w:color w:val="000000" w:themeColor="text1"/>
          <w:lang w:val="es-ES"/>
        </w:rPr>
        <w:t>D</w:t>
      </w:r>
      <w:r w:rsidR="00561ED1" w:rsidRPr="000A13DF">
        <w:rPr>
          <w:rFonts w:ascii="Palatino Linotype" w:eastAsia="Times New Roman" w:hAnsi="Palatino Linotype" w:cs="Arial"/>
          <w:color w:val="000000" w:themeColor="text1"/>
          <w:lang w:val="es-ES"/>
        </w:rPr>
        <w:t xml:space="preserve">erivado de la respuesta emitida por el </w:t>
      </w:r>
      <w:r w:rsidR="00561ED1" w:rsidRPr="000A13DF">
        <w:rPr>
          <w:rFonts w:ascii="Palatino Linotype" w:eastAsia="Times New Roman" w:hAnsi="Palatino Linotype" w:cs="Arial"/>
          <w:b/>
          <w:color w:val="000000" w:themeColor="text1"/>
          <w:lang w:val="es-ES"/>
        </w:rPr>
        <w:t>SUJETO OBLIGADO</w:t>
      </w:r>
      <w:r w:rsidR="00561ED1" w:rsidRPr="000A13DF">
        <w:rPr>
          <w:rFonts w:ascii="Palatino Linotype" w:eastAsia="Times New Roman" w:hAnsi="Palatino Linotype" w:cs="Arial"/>
          <w:color w:val="000000" w:themeColor="text1"/>
          <w:lang w:val="es-ES"/>
        </w:rPr>
        <w:t>, e</w:t>
      </w:r>
      <w:r w:rsidR="00DB4BEF" w:rsidRPr="000A13DF">
        <w:rPr>
          <w:rFonts w:ascii="Palatino Linotype" w:eastAsia="Times New Roman" w:hAnsi="Palatino Linotype" w:cs="Arial"/>
          <w:color w:val="000000" w:themeColor="text1"/>
          <w:lang w:val="es-ES"/>
        </w:rPr>
        <w:t xml:space="preserve">l </w:t>
      </w:r>
      <w:r w:rsidR="00D348FC" w:rsidRPr="000A13DF">
        <w:rPr>
          <w:rFonts w:ascii="Palatino Linotype" w:eastAsia="Times New Roman" w:hAnsi="Palatino Linotype" w:cs="Arial"/>
          <w:color w:val="000000" w:themeColor="text1"/>
          <w:lang w:val="es-ES"/>
        </w:rPr>
        <w:t>ocho</w:t>
      </w:r>
      <w:r w:rsidR="002D6CF5" w:rsidRPr="000A13DF">
        <w:rPr>
          <w:rFonts w:ascii="Palatino Linotype" w:eastAsia="Times New Roman" w:hAnsi="Palatino Linotype" w:cs="Arial"/>
          <w:color w:val="000000" w:themeColor="text1"/>
          <w:lang w:val="es-ES"/>
        </w:rPr>
        <w:t xml:space="preserve"> (</w:t>
      </w:r>
      <w:r w:rsidR="00D348FC" w:rsidRPr="000A13DF">
        <w:rPr>
          <w:rFonts w:ascii="Palatino Linotype" w:eastAsia="Times New Roman" w:hAnsi="Palatino Linotype" w:cs="Arial"/>
          <w:color w:val="000000" w:themeColor="text1"/>
          <w:lang w:val="es-ES"/>
        </w:rPr>
        <w:t>08</w:t>
      </w:r>
      <w:r w:rsidR="007A078A" w:rsidRPr="000A13DF">
        <w:rPr>
          <w:rFonts w:ascii="Palatino Linotype" w:eastAsia="Times New Roman" w:hAnsi="Palatino Linotype" w:cs="Arial"/>
          <w:color w:val="000000" w:themeColor="text1"/>
          <w:lang w:val="es-ES"/>
        </w:rPr>
        <w:t xml:space="preserve">) de </w:t>
      </w:r>
      <w:r w:rsidR="00D348FC" w:rsidRPr="000A13DF">
        <w:rPr>
          <w:rFonts w:ascii="Palatino Linotype" w:eastAsia="Times New Roman" w:hAnsi="Palatino Linotype" w:cs="Arial"/>
          <w:color w:val="000000" w:themeColor="text1"/>
          <w:lang w:val="es-ES"/>
        </w:rPr>
        <w:t xml:space="preserve">marzo </w:t>
      </w:r>
      <w:r w:rsidR="00613655" w:rsidRPr="000A13DF">
        <w:rPr>
          <w:rFonts w:ascii="Palatino Linotype" w:eastAsia="Times New Roman" w:hAnsi="Palatino Linotype" w:cs="Arial"/>
          <w:color w:val="000000" w:themeColor="text1"/>
          <w:lang w:val="es-ES"/>
        </w:rPr>
        <w:t>de dos mil veinti</w:t>
      </w:r>
      <w:r w:rsidR="00751F6F" w:rsidRPr="000A13DF">
        <w:rPr>
          <w:rFonts w:ascii="Palatino Linotype" w:eastAsia="Times New Roman" w:hAnsi="Palatino Linotype" w:cs="Arial"/>
          <w:color w:val="000000" w:themeColor="text1"/>
          <w:lang w:val="es-ES"/>
        </w:rPr>
        <w:t>dós</w:t>
      </w:r>
      <w:r w:rsidR="00FE49E3" w:rsidRPr="000A13DF">
        <w:rPr>
          <w:rFonts w:ascii="Palatino Linotype" w:eastAsia="Times New Roman" w:hAnsi="Palatino Linotype" w:cs="Arial"/>
          <w:color w:val="000000" w:themeColor="text1"/>
          <w:lang w:val="es-ES"/>
        </w:rPr>
        <w:t xml:space="preserve">, </w:t>
      </w:r>
      <w:r w:rsidR="007A078A" w:rsidRPr="000A13DF">
        <w:rPr>
          <w:rFonts w:ascii="Palatino Linotype" w:eastAsia="Times New Roman" w:hAnsi="Palatino Linotype" w:cs="Arial"/>
          <w:color w:val="000000" w:themeColor="text1"/>
          <w:lang w:val="es-ES"/>
        </w:rPr>
        <w:t>la</w:t>
      </w:r>
      <w:r w:rsidR="005F1362" w:rsidRPr="000A13DF">
        <w:rPr>
          <w:rFonts w:ascii="Palatino Linotype" w:eastAsia="Times New Roman" w:hAnsi="Palatino Linotype" w:cs="Arial"/>
          <w:color w:val="000000" w:themeColor="text1"/>
          <w:lang w:val="es-ES"/>
        </w:rPr>
        <w:t xml:space="preserve"> particular</w:t>
      </w:r>
      <w:r w:rsidR="00DB4BEF" w:rsidRPr="000A13DF">
        <w:rPr>
          <w:rFonts w:ascii="Palatino Linotype" w:eastAsia="Times New Roman" w:hAnsi="Palatino Linotype" w:cs="Arial"/>
          <w:color w:val="000000" w:themeColor="text1"/>
          <w:lang w:val="es-ES"/>
        </w:rPr>
        <w:t xml:space="preserve"> interpuso</w:t>
      </w:r>
      <w:r w:rsidR="009316E9" w:rsidRPr="000A13DF">
        <w:rPr>
          <w:rFonts w:ascii="Palatino Linotype" w:eastAsia="Times New Roman" w:hAnsi="Palatino Linotype" w:cs="Arial"/>
          <w:color w:val="000000" w:themeColor="text1"/>
          <w:lang w:val="es-ES"/>
        </w:rPr>
        <w:t xml:space="preserve"> </w:t>
      </w:r>
      <w:r w:rsidR="00102D65" w:rsidRPr="000A13DF">
        <w:rPr>
          <w:rFonts w:ascii="Palatino Linotype" w:eastAsia="Times New Roman" w:hAnsi="Palatino Linotype" w:cs="Arial"/>
          <w:color w:val="000000" w:themeColor="text1"/>
          <w:lang w:val="es-ES"/>
        </w:rPr>
        <w:t>el</w:t>
      </w:r>
      <w:r w:rsidR="004D68F8" w:rsidRPr="000A13DF">
        <w:rPr>
          <w:rFonts w:ascii="Palatino Linotype" w:eastAsia="Times New Roman" w:hAnsi="Palatino Linotype" w:cs="Arial"/>
          <w:color w:val="000000" w:themeColor="text1"/>
          <w:lang w:val="es-ES"/>
        </w:rPr>
        <w:t xml:space="preserve"> recurso de revisión </w:t>
      </w:r>
      <w:r w:rsidR="009D5067" w:rsidRPr="000A13DF">
        <w:rPr>
          <w:rFonts w:ascii="Palatino Linotype" w:hAnsi="Palatino Linotype"/>
          <w:b/>
        </w:rPr>
        <w:t>03573/INFOEM/IP/RR/2022</w:t>
      </w:r>
      <w:r w:rsidR="009A0461" w:rsidRPr="000A13DF">
        <w:rPr>
          <w:rFonts w:ascii="Palatino Linotype" w:eastAsia="Calibri" w:hAnsi="Palatino Linotype" w:cs="Arial"/>
          <w:b/>
          <w:color w:val="000000" w:themeColor="text1"/>
          <w:lang w:val="es-ES"/>
        </w:rPr>
        <w:t>;</w:t>
      </w:r>
      <w:r w:rsidR="00102D65" w:rsidRPr="000A13DF">
        <w:rPr>
          <w:rFonts w:ascii="Palatino Linotype" w:eastAsia="Times New Roman" w:hAnsi="Palatino Linotype" w:cs="Arial"/>
          <w:color w:val="000000" w:themeColor="text1"/>
          <w:lang w:val="es-ES"/>
        </w:rPr>
        <w:t xml:space="preserve"> impugnación</w:t>
      </w:r>
      <w:r w:rsidR="004D68F8" w:rsidRPr="000A13DF">
        <w:rPr>
          <w:rFonts w:ascii="Palatino Linotype" w:eastAsia="Times New Roman" w:hAnsi="Palatino Linotype" w:cs="Arial"/>
          <w:color w:val="000000" w:themeColor="text1"/>
          <w:lang w:val="es-ES"/>
        </w:rPr>
        <w:t xml:space="preserve"> </w:t>
      </w:r>
      <w:r w:rsidR="00A45546" w:rsidRPr="000A13DF">
        <w:rPr>
          <w:rFonts w:ascii="Palatino Linotype" w:eastAsia="Times New Roman" w:hAnsi="Palatino Linotype" w:cs="Arial"/>
          <w:color w:val="000000" w:themeColor="text1"/>
          <w:lang w:val="es-ES"/>
        </w:rPr>
        <w:t xml:space="preserve">en </w:t>
      </w:r>
      <w:r w:rsidR="00977D37" w:rsidRPr="000A13DF">
        <w:rPr>
          <w:rFonts w:ascii="Palatino Linotype" w:eastAsia="Times New Roman" w:hAnsi="Palatino Linotype" w:cs="Arial"/>
          <w:color w:val="000000" w:themeColor="text1"/>
          <w:lang w:val="es-ES"/>
        </w:rPr>
        <w:t>la</w:t>
      </w:r>
      <w:r w:rsidR="00A45546" w:rsidRPr="000A13DF">
        <w:rPr>
          <w:rFonts w:ascii="Palatino Linotype" w:eastAsia="Times New Roman" w:hAnsi="Palatino Linotype" w:cs="Arial"/>
          <w:color w:val="000000" w:themeColor="text1"/>
          <w:lang w:val="es-ES"/>
        </w:rPr>
        <w:t xml:space="preserve"> que refirió </w:t>
      </w:r>
      <w:r w:rsidR="004D68F8" w:rsidRPr="000A13DF">
        <w:rPr>
          <w:rFonts w:ascii="Palatino Linotype" w:eastAsia="Times New Roman" w:hAnsi="Palatino Linotype" w:cs="Arial"/>
          <w:color w:val="000000" w:themeColor="text1"/>
          <w:lang w:val="es-ES"/>
        </w:rPr>
        <w:t>lo siguiente:</w:t>
      </w:r>
    </w:p>
    <w:p w14:paraId="054906C6" w14:textId="77777777" w:rsidR="00E34622" w:rsidRPr="000A13DF" w:rsidRDefault="00E34622" w:rsidP="00EE72BA">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3BADEF6" w:rsidR="00E34622" w:rsidRPr="000A13DF" w:rsidRDefault="00E34622" w:rsidP="00EE72BA">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0A13DF">
        <w:rPr>
          <w:rFonts w:ascii="Palatino Linotype" w:eastAsia="Times New Roman" w:hAnsi="Palatino Linotype" w:cs="Arial"/>
          <w:b/>
          <w:color w:val="000000" w:themeColor="text1"/>
          <w:lang w:val="es-ES"/>
        </w:rPr>
        <w:t>Acto impugnado:</w:t>
      </w:r>
      <w:r w:rsidRPr="000A13DF">
        <w:rPr>
          <w:rFonts w:ascii="Palatino Linotype" w:eastAsia="Times New Roman" w:hAnsi="Palatino Linotype" w:cs="Arial"/>
          <w:color w:val="000000" w:themeColor="text1"/>
          <w:lang w:val="es-ES"/>
        </w:rPr>
        <w:t xml:space="preserve"> “</w:t>
      </w:r>
      <w:r w:rsidR="00D348FC" w:rsidRPr="000A13DF">
        <w:rPr>
          <w:rFonts w:ascii="Palatino Linotype" w:eastAsia="Times New Roman" w:hAnsi="Palatino Linotype" w:cs="Arial"/>
          <w:i/>
          <w:color w:val="000000" w:themeColor="text1"/>
          <w:lang w:val="es-ES"/>
        </w:rPr>
        <w:t>La reserva de la información total como confidencial, ya que este tiene partes públicas, de igual manera la prueba de daño no es clara y no esta conforme a la legislación para su integración</w:t>
      </w:r>
      <w:r w:rsidRPr="000A13DF">
        <w:rPr>
          <w:rFonts w:ascii="Palatino Linotype" w:eastAsia="Times New Roman" w:hAnsi="Palatino Linotype" w:cs="Arial"/>
          <w:i/>
          <w:color w:val="000000" w:themeColor="text1"/>
          <w:lang w:val="es-ES"/>
        </w:rPr>
        <w:t>”</w:t>
      </w:r>
      <w:r w:rsidRPr="000A13DF">
        <w:rPr>
          <w:rFonts w:ascii="Palatino Linotype" w:eastAsia="Times New Roman" w:hAnsi="Palatino Linotype" w:cs="Arial"/>
          <w:color w:val="000000" w:themeColor="text1"/>
          <w:lang w:val="es-ES"/>
        </w:rPr>
        <w:t xml:space="preserve"> (Sic).</w:t>
      </w:r>
    </w:p>
    <w:p w14:paraId="033BFDE8" w14:textId="0AD05A4F" w:rsidR="00901BB1" w:rsidRPr="000A13DF" w:rsidRDefault="00901BB1" w:rsidP="00EE72BA">
      <w:pPr>
        <w:pStyle w:val="Prrafodelista"/>
        <w:numPr>
          <w:ilvl w:val="0"/>
          <w:numId w:val="2"/>
        </w:numPr>
        <w:tabs>
          <w:tab w:val="left" w:pos="426"/>
        </w:tabs>
        <w:spacing w:line="360" w:lineRule="auto"/>
        <w:ind w:firstLine="0"/>
        <w:jc w:val="both"/>
        <w:rPr>
          <w:rFonts w:ascii="Palatino Linotype" w:eastAsia="Times New Roman" w:hAnsi="Palatino Linotype" w:cs="Arial"/>
          <w:color w:val="000000" w:themeColor="text1"/>
          <w:lang w:val="es-ES"/>
        </w:rPr>
      </w:pPr>
      <w:r w:rsidRPr="000A13DF">
        <w:rPr>
          <w:rFonts w:ascii="Palatino Linotype" w:eastAsia="Times New Roman" w:hAnsi="Palatino Linotype" w:cs="Arial"/>
          <w:b/>
          <w:color w:val="000000" w:themeColor="text1"/>
          <w:lang w:val="es-ES"/>
        </w:rPr>
        <w:t>Motivos o razones de inconformidad:</w:t>
      </w:r>
      <w:r w:rsidRPr="000A13DF">
        <w:rPr>
          <w:rFonts w:ascii="Palatino Linotype" w:eastAsia="Times New Roman" w:hAnsi="Palatino Linotype" w:cs="Arial"/>
          <w:color w:val="000000" w:themeColor="text1"/>
          <w:lang w:val="es-ES"/>
        </w:rPr>
        <w:t xml:space="preserve"> “</w:t>
      </w:r>
      <w:r w:rsidR="00D348FC" w:rsidRPr="000A13DF">
        <w:rPr>
          <w:rFonts w:ascii="Palatino Linotype" w:eastAsia="Times New Roman" w:hAnsi="Palatino Linotype" w:cs="Arial"/>
          <w:i/>
          <w:color w:val="000000" w:themeColor="text1"/>
          <w:lang w:val="es-ES"/>
        </w:rPr>
        <w:t>La reserva de la información total como confidencial, ya que este tiene partes públicas, de igual manera la prueba de daño no es clara y no esta conforme a la legislación para su integración</w:t>
      </w:r>
      <w:r w:rsidR="007F089C" w:rsidRPr="000A13DF">
        <w:rPr>
          <w:rFonts w:ascii="Palatino Linotype" w:eastAsia="Times New Roman" w:hAnsi="Palatino Linotype" w:cs="Arial"/>
          <w:i/>
          <w:color w:val="000000" w:themeColor="text1"/>
          <w:lang w:val="es-ES"/>
        </w:rPr>
        <w:t xml:space="preserve">" </w:t>
      </w:r>
      <w:r w:rsidR="005B0765" w:rsidRPr="000A13DF">
        <w:rPr>
          <w:rFonts w:ascii="Palatino Linotype" w:eastAsia="Times New Roman" w:hAnsi="Palatino Linotype" w:cs="Arial"/>
          <w:i/>
          <w:color w:val="000000" w:themeColor="text1"/>
          <w:lang w:val="es-ES"/>
        </w:rPr>
        <w:t>(sic)</w:t>
      </w:r>
      <w:r w:rsidR="00E76251" w:rsidRPr="000A13DF">
        <w:rPr>
          <w:rFonts w:ascii="Palatino Linotype" w:eastAsia="Times New Roman" w:hAnsi="Palatino Linotype" w:cs="Arial"/>
          <w:i/>
          <w:color w:val="000000" w:themeColor="text1"/>
          <w:lang w:val="es-ES"/>
        </w:rPr>
        <w:t xml:space="preserve"> </w:t>
      </w:r>
    </w:p>
    <w:p w14:paraId="19A80D3F" w14:textId="77777777" w:rsidR="00725CA2" w:rsidRPr="000A13DF" w:rsidRDefault="00725CA2" w:rsidP="00EE72B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0A13DF" w:rsidRDefault="005F1362" w:rsidP="00EE72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13DF">
        <w:rPr>
          <w:rFonts w:ascii="Palatino Linotype" w:eastAsia="Times New Roman" w:hAnsi="Palatino Linotype" w:cs="Arial"/>
          <w:color w:val="000000" w:themeColor="text1"/>
          <w:lang w:val="es-ES"/>
        </w:rPr>
        <w:t xml:space="preserve">Se registró el recurso de revisión bajo el número de expediente </w:t>
      </w:r>
      <w:r w:rsidR="004F785F" w:rsidRPr="000A13DF">
        <w:rPr>
          <w:rFonts w:ascii="Palatino Linotype" w:hAnsi="Palatino Linotype" w:cs="Arial"/>
          <w:bCs/>
          <w:color w:val="000000" w:themeColor="text1"/>
        </w:rPr>
        <w:t>al rubro indicado, asi</w:t>
      </w:r>
      <w:r w:rsidRPr="000A13DF">
        <w:rPr>
          <w:rFonts w:ascii="Palatino Linotype" w:hAnsi="Palatino Linotype" w:cs="Arial"/>
          <w:bCs/>
          <w:color w:val="000000" w:themeColor="text1"/>
        </w:rPr>
        <w:t xml:space="preserve">mismo, con fundamento en lo dispuesto por el </w:t>
      </w:r>
      <w:r w:rsidRPr="000A13DF">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13DF">
        <w:rPr>
          <w:rFonts w:ascii="Palatino Linotype" w:eastAsia="Times New Roman" w:hAnsi="Palatino Linotype" w:cs="Arial"/>
          <w:bCs/>
          <w:color w:val="000000" w:themeColor="text1"/>
          <w:lang w:val="es-ES"/>
        </w:rPr>
        <w:lastRenderedPageBreak/>
        <w:t xml:space="preserve">se turnó </w:t>
      </w:r>
      <w:r w:rsidR="0096234B" w:rsidRPr="000A13DF">
        <w:rPr>
          <w:rFonts w:ascii="Palatino Linotype" w:eastAsia="Times New Roman" w:hAnsi="Palatino Linotype" w:cs="Arial"/>
          <w:bCs/>
          <w:color w:val="000000" w:themeColor="text1"/>
          <w:lang w:val="es-ES"/>
        </w:rPr>
        <w:t xml:space="preserve">a la </w:t>
      </w:r>
      <w:r w:rsidR="0096234B" w:rsidRPr="000A13DF">
        <w:rPr>
          <w:rFonts w:ascii="Palatino Linotype" w:eastAsia="Times New Roman" w:hAnsi="Palatino Linotype" w:cs="Arial"/>
          <w:b/>
          <w:bCs/>
          <w:color w:val="000000" w:themeColor="text1"/>
          <w:lang w:val="es-ES"/>
        </w:rPr>
        <w:t xml:space="preserve">Comisionada </w:t>
      </w:r>
      <w:r w:rsidR="00D12402" w:rsidRPr="000A13DF">
        <w:rPr>
          <w:rFonts w:ascii="Palatino Linotype" w:eastAsia="Times New Roman" w:hAnsi="Palatino Linotype" w:cs="Arial"/>
          <w:b/>
          <w:bCs/>
          <w:color w:val="000000" w:themeColor="text1"/>
          <w:lang w:val="es-ES"/>
        </w:rPr>
        <w:t>María del Rosario Mejía Ayala</w:t>
      </w:r>
      <w:r w:rsidRPr="000A13DF">
        <w:rPr>
          <w:rFonts w:ascii="Palatino Linotype" w:eastAsia="Times New Roman" w:hAnsi="Palatino Linotype" w:cs="Arial"/>
          <w:bCs/>
          <w:color w:val="000000" w:themeColor="text1"/>
          <w:lang w:val="es-ES"/>
        </w:rPr>
        <w:t xml:space="preserve">, con el objeto de </w:t>
      </w:r>
      <w:r w:rsidRPr="000A13DF">
        <w:rPr>
          <w:rFonts w:ascii="Palatino Linotype" w:eastAsia="Times New Roman" w:hAnsi="Palatino Linotype" w:cs="Arial"/>
          <w:bCs/>
          <w:color w:val="000000" w:themeColor="text1"/>
        </w:rPr>
        <w:t>su análisis.</w:t>
      </w:r>
    </w:p>
    <w:p w14:paraId="2BDE682E" w14:textId="77777777" w:rsidR="005F1362" w:rsidRPr="000A13DF" w:rsidRDefault="005F1362" w:rsidP="00EE72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B5E6C42" w:rsidR="007446C2" w:rsidRPr="000A13DF" w:rsidRDefault="0096234B" w:rsidP="00EE72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13DF">
        <w:rPr>
          <w:rFonts w:ascii="Palatino Linotype" w:eastAsia="Times New Roman" w:hAnsi="Palatino Linotype" w:cs="Arial"/>
          <w:color w:val="000000" w:themeColor="text1"/>
          <w:lang w:val="es-ES"/>
        </w:rPr>
        <w:t>La</w:t>
      </w:r>
      <w:r w:rsidR="00E647FF" w:rsidRPr="000A13DF">
        <w:rPr>
          <w:rFonts w:ascii="Palatino Linotype" w:eastAsia="Times New Roman" w:hAnsi="Palatino Linotype" w:cs="Arial"/>
          <w:color w:val="000000" w:themeColor="text1"/>
          <w:lang w:val="es-ES"/>
        </w:rPr>
        <w:t xml:space="preserve"> </w:t>
      </w:r>
      <w:r w:rsidR="0004686A" w:rsidRPr="000A13DF">
        <w:rPr>
          <w:rFonts w:ascii="Palatino Linotype" w:eastAsia="Calibri" w:hAnsi="Palatino Linotype" w:cs="Arial"/>
          <w:color w:val="000000" w:themeColor="text1"/>
          <w:lang w:val="es-ES"/>
        </w:rPr>
        <w:t>Comisionad</w:t>
      </w:r>
      <w:r w:rsidRPr="000A13DF">
        <w:rPr>
          <w:rFonts w:ascii="Palatino Linotype" w:eastAsia="Calibri" w:hAnsi="Palatino Linotype" w:cs="Arial"/>
          <w:color w:val="000000" w:themeColor="text1"/>
          <w:lang w:val="es-ES"/>
        </w:rPr>
        <w:t>a</w:t>
      </w:r>
      <w:r w:rsidR="0004686A" w:rsidRPr="000A13DF">
        <w:rPr>
          <w:rFonts w:ascii="Palatino Linotype" w:eastAsia="Calibri" w:hAnsi="Palatino Linotype" w:cs="Arial"/>
          <w:color w:val="000000" w:themeColor="text1"/>
          <w:lang w:val="es-ES"/>
        </w:rPr>
        <w:t xml:space="preserve"> Ponente</w:t>
      </w:r>
      <w:r w:rsidR="006B31E7" w:rsidRPr="000A13DF">
        <w:rPr>
          <w:rFonts w:ascii="Palatino Linotype" w:eastAsia="Calibri" w:hAnsi="Palatino Linotype" w:cs="Arial"/>
          <w:color w:val="000000" w:themeColor="text1"/>
          <w:lang w:val="es-ES"/>
        </w:rPr>
        <w:t>,</w:t>
      </w:r>
      <w:r w:rsidR="0004686A" w:rsidRPr="000A13DF">
        <w:rPr>
          <w:rFonts w:ascii="Palatino Linotype" w:eastAsia="Calibri" w:hAnsi="Palatino Linotype" w:cs="Arial"/>
          <w:color w:val="000000" w:themeColor="text1"/>
          <w:lang w:val="es-ES"/>
        </w:rPr>
        <w:t xml:space="preserve"> con fundamento en lo dispuesto por el artículo 185 fracción II de la </w:t>
      </w:r>
      <w:r w:rsidR="00613655" w:rsidRPr="000A13DF">
        <w:rPr>
          <w:rFonts w:ascii="Palatino Linotype" w:eastAsia="Calibri" w:hAnsi="Palatino Linotype" w:cs="Arial"/>
          <w:color w:val="000000" w:themeColor="text1"/>
          <w:lang w:val="es-ES"/>
        </w:rPr>
        <w:t>Ley de Transparencia y Acceso a la Información Pública del Estado de México y Municipios</w:t>
      </w:r>
      <w:r w:rsidR="0004686A" w:rsidRPr="000A13DF">
        <w:rPr>
          <w:rFonts w:ascii="Palatino Linotype" w:eastAsia="Calibri" w:hAnsi="Palatino Linotype" w:cs="Arial"/>
          <w:color w:val="000000" w:themeColor="text1"/>
          <w:lang w:val="es-ES"/>
        </w:rPr>
        <w:t xml:space="preserve">, a través </w:t>
      </w:r>
      <w:r w:rsidR="006E4E2A" w:rsidRPr="000A13DF">
        <w:rPr>
          <w:rFonts w:ascii="Palatino Linotype" w:eastAsia="Calibri" w:hAnsi="Palatino Linotype" w:cs="Arial"/>
          <w:color w:val="000000" w:themeColor="text1"/>
          <w:lang w:val="es-ES"/>
        </w:rPr>
        <w:t>del</w:t>
      </w:r>
      <w:r w:rsidR="0004686A" w:rsidRPr="000A13DF">
        <w:rPr>
          <w:rFonts w:ascii="Palatino Linotype" w:eastAsia="Calibri" w:hAnsi="Palatino Linotype" w:cs="Arial"/>
          <w:color w:val="000000" w:themeColor="text1"/>
          <w:lang w:val="es-ES"/>
        </w:rPr>
        <w:t xml:space="preserve"> </w:t>
      </w:r>
      <w:r w:rsidR="00B81371" w:rsidRPr="000A13DF">
        <w:rPr>
          <w:rFonts w:ascii="Palatino Linotype" w:eastAsia="Calibri" w:hAnsi="Palatino Linotype" w:cs="Arial"/>
          <w:color w:val="000000" w:themeColor="text1"/>
          <w:lang w:val="es-ES"/>
        </w:rPr>
        <w:t xml:space="preserve">acuerdo </w:t>
      </w:r>
      <w:r w:rsidR="00F147C6" w:rsidRPr="000A13DF">
        <w:rPr>
          <w:rFonts w:ascii="Palatino Linotype" w:eastAsia="Calibri" w:hAnsi="Palatino Linotype" w:cs="Arial"/>
          <w:color w:val="000000" w:themeColor="text1"/>
          <w:lang w:val="es-ES"/>
        </w:rPr>
        <w:t xml:space="preserve">de admisión </w:t>
      </w:r>
      <w:r w:rsidR="00091F3E" w:rsidRPr="000A13DF">
        <w:rPr>
          <w:rFonts w:ascii="Palatino Linotype" w:eastAsia="Calibri" w:hAnsi="Palatino Linotype" w:cs="Arial"/>
          <w:color w:val="000000" w:themeColor="text1"/>
          <w:lang w:val="es-ES"/>
        </w:rPr>
        <w:t>de</w:t>
      </w:r>
      <w:r w:rsidR="00395353" w:rsidRPr="000A13DF">
        <w:rPr>
          <w:rFonts w:ascii="Palatino Linotype" w:eastAsia="Calibri" w:hAnsi="Palatino Linotype" w:cs="Arial"/>
          <w:color w:val="000000" w:themeColor="text1"/>
          <w:lang w:val="es-ES"/>
        </w:rPr>
        <w:t xml:space="preserve"> fecha </w:t>
      </w:r>
      <w:r w:rsidR="00AD5A99" w:rsidRPr="000A13DF">
        <w:rPr>
          <w:rFonts w:ascii="Palatino Linotype" w:eastAsia="Calibri" w:hAnsi="Palatino Linotype" w:cs="Arial"/>
          <w:color w:val="000000" w:themeColor="text1"/>
          <w:lang w:val="es-ES"/>
        </w:rPr>
        <w:t>quince</w:t>
      </w:r>
      <w:r w:rsidR="00BD6C40" w:rsidRPr="000A13DF">
        <w:rPr>
          <w:rFonts w:ascii="Palatino Linotype" w:eastAsia="Calibri" w:hAnsi="Palatino Linotype" w:cs="Arial"/>
          <w:color w:val="000000" w:themeColor="text1"/>
          <w:lang w:val="es-ES"/>
        </w:rPr>
        <w:t xml:space="preserve"> (</w:t>
      </w:r>
      <w:r w:rsidR="00AD5A99" w:rsidRPr="000A13DF">
        <w:rPr>
          <w:rFonts w:ascii="Palatino Linotype" w:eastAsia="Calibri" w:hAnsi="Palatino Linotype" w:cs="Arial"/>
          <w:color w:val="000000" w:themeColor="text1"/>
          <w:lang w:val="es-ES"/>
        </w:rPr>
        <w:t>15</w:t>
      </w:r>
      <w:r w:rsidR="00BD6C40" w:rsidRPr="000A13DF">
        <w:rPr>
          <w:rFonts w:ascii="Palatino Linotype" w:eastAsia="Calibri" w:hAnsi="Palatino Linotype" w:cs="Arial"/>
          <w:color w:val="000000" w:themeColor="text1"/>
          <w:lang w:val="es-ES"/>
        </w:rPr>
        <w:t xml:space="preserve">) de </w:t>
      </w:r>
      <w:r w:rsidR="00AD5A99" w:rsidRPr="000A13DF">
        <w:rPr>
          <w:rFonts w:ascii="Palatino Linotype" w:eastAsia="Calibri" w:hAnsi="Palatino Linotype" w:cs="Arial"/>
          <w:color w:val="000000" w:themeColor="text1"/>
          <w:lang w:val="es-ES"/>
        </w:rPr>
        <w:t xml:space="preserve">marzo </w:t>
      </w:r>
      <w:r w:rsidR="00613655" w:rsidRPr="000A13DF">
        <w:rPr>
          <w:rFonts w:ascii="Palatino Linotype" w:eastAsia="Calibri" w:hAnsi="Palatino Linotype" w:cs="Arial"/>
          <w:color w:val="000000" w:themeColor="text1"/>
          <w:lang w:val="es-ES"/>
        </w:rPr>
        <w:t>de dos mil veinti</w:t>
      </w:r>
      <w:r w:rsidR="00751F6F" w:rsidRPr="000A13DF">
        <w:rPr>
          <w:rFonts w:ascii="Palatino Linotype" w:eastAsia="Calibri" w:hAnsi="Palatino Linotype" w:cs="Arial"/>
          <w:color w:val="000000" w:themeColor="text1"/>
          <w:lang w:val="es-ES"/>
        </w:rPr>
        <w:t>dós</w:t>
      </w:r>
      <w:r w:rsidR="006A1047" w:rsidRPr="000A13DF">
        <w:rPr>
          <w:rFonts w:ascii="Palatino Linotype" w:eastAsia="Calibri" w:hAnsi="Palatino Linotype" w:cs="Arial"/>
          <w:color w:val="000000" w:themeColor="text1"/>
          <w:lang w:val="es-ES"/>
        </w:rPr>
        <w:t xml:space="preserve">, </w:t>
      </w:r>
      <w:r w:rsidR="00B81371" w:rsidRPr="000A13DF">
        <w:rPr>
          <w:rFonts w:ascii="Palatino Linotype" w:eastAsia="Calibri" w:hAnsi="Palatino Linotype" w:cs="Arial"/>
          <w:color w:val="000000" w:themeColor="text1"/>
          <w:lang w:val="es-ES"/>
        </w:rPr>
        <w:t xml:space="preserve">puso a </w:t>
      </w:r>
      <w:r w:rsidR="00875167" w:rsidRPr="000A13DF">
        <w:rPr>
          <w:rFonts w:ascii="Palatino Linotype" w:eastAsia="Calibri" w:hAnsi="Palatino Linotype" w:cs="Arial"/>
          <w:color w:val="000000" w:themeColor="text1"/>
          <w:lang w:val="es-ES"/>
        </w:rPr>
        <w:t>disposición</w:t>
      </w:r>
      <w:r w:rsidR="00B81371" w:rsidRPr="000A13DF">
        <w:rPr>
          <w:rFonts w:ascii="Palatino Linotype" w:eastAsia="Calibri" w:hAnsi="Palatino Linotype" w:cs="Arial"/>
          <w:color w:val="000000" w:themeColor="text1"/>
          <w:lang w:val="es-ES"/>
        </w:rPr>
        <w:t xml:space="preserve"> de las partes el expediente electrónico </w:t>
      </w:r>
      <w:r w:rsidR="00B81371" w:rsidRPr="000A13DF">
        <w:rPr>
          <w:rFonts w:ascii="Palatino Linotype" w:eastAsia="Calibri" w:hAnsi="Palatino Linotype" w:cs="Arial"/>
          <w:color w:val="000000" w:themeColor="text1"/>
        </w:rPr>
        <w:t xml:space="preserve">vía </w:t>
      </w:r>
      <w:r w:rsidR="00B81371" w:rsidRPr="000A13DF">
        <w:rPr>
          <w:rFonts w:ascii="Palatino Linotype" w:eastAsia="Calibri" w:hAnsi="Palatino Linotype" w:cs="Arial"/>
          <w:color w:val="000000" w:themeColor="text1"/>
          <w:lang w:val="es-ES"/>
        </w:rPr>
        <w:t xml:space="preserve">Sistema de Acceso a la Información Mexiquense </w:t>
      </w:r>
      <w:r w:rsidR="001468E9" w:rsidRPr="000A13DF">
        <w:rPr>
          <w:rFonts w:ascii="Palatino Linotype" w:eastAsia="Calibri" w:hAnsi="Palatino Linotype" w:cs="Arial"/>
          <w:color w:val="000000" w:themeColor="text1"/>
          <w:lang w:val="es-ES"/>
        </w:rPr>
        <w:t>(</w:t>
      </w:r>
      <w:r w:rsidR="00B81371" w:rsidRPr="000A13DF">
        <w:rPr>
          <w:rFonts w:ascii="Palatino Linotype" w:eastAsia="Calibri" w:hAnsi="Palatino Linotype" w:cs="Arial"/>
          <w:b/>
          <w:i/>
          <w:color w:val="000000" w:themeColor="text1"/>
          <w:lang w:val="es-ES"/>
        </w:rPr>
        <w:t>SAIMEX</w:t>
      </w:r>
      <w:r w:rsidR="001468E9" w:rsidRPr="000A13DF">
        <w:rPr>
          <w:rFonts w:ascii="Palatino Linotype" w:eastAsia="Calibri" w:hAnsi="Palatino Linotype" w:cs="Arial"/>
          <w:b/>
          <w:i/>
          <w:color w:val="000000" w:themeColor="text1"/>
          <w:lang w:val="es-ES"/>
        </w:rPr>
        <w:t>)</w:t>
      </w:r>
      <w:r w:rsidR="00B81371" w:rsidRPr="000A13DF">
        <w:rPr>
          <w:rFonts w:ascii="Palatino Linotype" w:eastAsia="Calibri" w:hAnsi="Palatino Linotype" w:cs="Arial"/>
          <w:b/>
          <w:color w:val="000000" w:themeColor="text1"/>
          <w:lang w:val="es-ES"/>
        </w:rPr>
        <w:t xml:space="preserve"> </w:t>
      </w:r>
      <w:r w:rsidR="00B81371" w:rsidRPr="000A13DF">
        <w:rPr>
          <w:rFonts w:ascii="Palatino Linotype" w:eastAsia="Calibri" w:hAnsi="Palatino Linotype" w:cs="Arial"/>
          <w:color w:val="000000" w:themeColor="text1"/>
          <w:lang w:val="es-ES"/>
        </w:rPr>
        <w:t xml:space="preserve">a efecto de que en un plazo máximo de siete días </w:t>
      </w:r>
      <w:r w:rsidR="00875167" w:rsidRPr="000A13DF">
        <w:rPr>
          <w:rFonts w:ascii="Palatino Linotype" w:eastAsia="Calibri" w:hAnsi="Palatino Linotype" w:cs="Arial"/>
          <w:color w:val="000000" w:themeColor="text1"/>
          <w:lang w:val="es-ES"/>
        </w:rPr>
        <w:t>manifestaran</w:t>
      </w:r>
      <w:r w:rsidR="00B81371" w:rsidRPr="000A13DF">
        <w:rPr>
          <w:rFonts w:ascii="Palatino Linotype" w:eastAsia="Calibri" w:hAnsi="Palatino Linotype" w:cs="Arial"/>
          <w:color w:val="000000" w:themeColor="text1"/>
          <w:lang w:val="es-ES"/>
        </w:rPr>
        <w:t xml:space="preserve"> lo que a</w:t>
      </w:r>
      <w:r w:rsidR="003A2029" w:rsidRPr="000A13DF">
        <w:rPr>
          <w:rFonts w:ascii="Palatino Linotype" w:eastAsia="Calibri" w:hAnsi="Palatino Linotype" w:cs="Arial"/>
          <w:color w:val="000000" w:themeColor="text1"/>
          <w:lang w:val="es-ES"/>
        </w:rPr>
        <w:t xml:space="preserve"> su</w:t>
      </w:r>
      <w:r w:rsidR="00B81371" w:rsidRPr="000A13DF">
        <w:rPr>
          <w:rFonts w:ascii="Palatino Linotype" w:eastAsia="Calibri" w:hAnsi="Palatino Linotype" w:cs="Arial"/>
          <w:color w:val="000000" w:themeColor="text1"/>
          <w:lang w:val="es-ES"/>
        </w:rPr>
        <w:t xml:space="preserve"> derecho conviniera</w:t>
      </w:r>
      <w:r w:rsidR="00875167" w:rsidRPr="000A13DF">
        <w:rPr>
          <w:rFonts w:ascii="Palatino Linotype" w:eastAsia="Calibri" w:hAnsi="Palatino Linotype" w:cs="Arial"/>
          <w:color w:val="000000" w:themeColor="text1"/>
          <w:lang w:val="es-ES"/>
        </w:rPr>
        <w:t>n</w:t>
      </w:r>
      <w:r w:rsidR="00032493" w:rsidRPr="000A13DF">
        <w:rPr>
          <w:rFonts w:ascii="Palatino Linotype" w:eastAsia="Calibri" w:hAnsi="Palatino Linotype" w:cs="Arial"/>
          <w:color w:val="000000" w:themeColor="text1"/>
          <w:lang w:val="es-ES"/>
        </w:rPr>
        <w:t>,</w:t>
      </w:r>
      <w:r w:rsidR="00B81371" w:rsidRPr="000A13DF">
        <w:rPr>
          <w:rFonts w:ascii="Palatino Linotype" w:eastAsia="Calibri" w:hAnsi="Palatino Linotype" w:cs="Arial"/>
          <w:color w:val="000000" w:themeColor="text1"/>
          <w:lang w:val="es-ES"/>
        </w:rPr>
        <w:t xml:space="preserve"> </w:t>
      </w:r>
      <w:r w:rsidR="00875167" w:rsidRPr="000A13DF">
        <w:rPr>
          <w:rFonts w:ascii="Palatino Linotype" w:eastAsia="Calibri" w:hAnsi="Palatino Linotype" w:cs="Arial"/>
          <w:color w:val="000000" w:themeColor="text1"/>
          <w:lang w:val="es-ES"/>
        </w:rPr>
        <w:t>ofrecieran pruebas y</w:t>
      </w:r>
      <w:r w:rsidR="00132C06" w:rsidRPr="000A13DF">
        <w:rPr>
          <w:rFonts w:ascii="Palatino Linotype" w:eastAsia="Calibri" w:hAnsi="Palatino Linotype" w:cs="Arial"/>
          <w:color w:val="000000" w:themeColor="text1"/>
          <w:lang w:val="es-ES"/>
        </w:rPr>
        <w:t xml:space="preserve"> </w:t>
      </w:r>
      <w:r w:rsidR="00875167" w:rsidRPr="000A13DF">
        <w:rPr>
          <w:rFonts w:ascii="Palatino Linotype" w:eastAsia="Calibri" w:hAnsi="Palatino Linotype" w:cs="Arial"/>
          <w:color w:val="000000" w:themeColor="text1"/>
          <w:lang w:val="es-ES"/>
        </w:rPr>
        <w:t>alegatos según corresponda a</w:t>
      </w:r>
      <w:r w:rsidR="004C20F2" w:rsidRPr="000A13DF">
        <w:rPr>
          <w:rFonts w:ascii="Palatino Linotype" w:eastAsia="Calibri" w:hAnsi="Palatino Linotype" w:cs="Arial"/>
          <w:color w:val="000000" w:themeColor="text1"/>
          <w:lang w:val="es-ES"/>
        </w:rPr>
        <w:t xml:space="preserve"> </w:t>
      </w:r>
      <w:r w:rsidR="00875167" w:rsidRPr="000A13DF">
        <w:rPr>
          <w:rFonts w:ascii="Palatino Linotype" w:eastAsia="Calibri" w:hAnsi="Palatino Linotype" w:cs="Arial"/>
          <w:color w:val="000000" w:themeColor="text1"/>
          <w:lang w:val="es-ES"/>
        </w:rPr>
        <w:t>l</w:t>
      </w:r>
      <w:r w:rsidR="004C20F2" w:rsidRPr="000A13DF">
        <w:rPr>
          <w:rFonts w:ascii="Palatino Linotype" w:eastAsia="Calibri" w:hAnsi="Palatino Linotype" w:cs="Arial"/>
          <w:color w:val="000000" w:themeColor="text1"/>
          <w:lang w:val="es-ES"/>
        </w:rPr>
        <w:t>os</w:t>
      </w:r>
      <w:r w:rsidR="00875167" w:rsidRPr="000A13DF">
        <w:rPr>
          <w:rFonts w:ascii="Palatino Linotype" w:eastAsia="Calibri" w:hAnsi="Palatino Linotype" w:cs="Arial"/>
          <w:color w:val="000000" w:themeColor="text1"/>
          <w:lang w:val="es-ES"/>
        </w:rPr>
        <w:t xml:space="preserve"> caso</w:t>
      </w:r>
      <w:r w:rsidR="004C20F2" w:rsidRPr="000A13DF">
        <w:rPr>
          <w:rFonts w:ascii="Palatino Linotype" w:eastAsia="Calibri" w:hAnsi="Palatino Linotype" w:cs="Arial"/>
          <w:color w:val="000000" w:themeColor="text1"/>
          <w:lang w:val="es-ES"/>
        </w:rPr>
        <w:t>s</w:t>
      </w:r>
      <w:r w:rsidR="00875167" w:rsidRPr="000A13DF">
        <w:rPr>
          <w:rFonts w:ascii="Palatino Linotype" w:eastAsia="Calibri" w:hAnsi="Palatino Linotype" w:cs="Arial"/>
          <w:color w:val="000000" w:themeColor="text1"/>
          <w:lang w:val="es-ES"/>
        </w:rPr>
        <w:t xml:space="preserve"> concreto</w:t>
      </w:r>
      <w:r w:rsidR="004C20F2" w:rsidRPr="000A13DF">
        <w:rPr>
          <w:rFonts w:ascii="Palatino Linotype" w:eastAsia="Calibri" w:hAnsi="Palatino Linotype" w:cs="Arial"/>
          <w:color w:val="000000" w:themeColor="text1"/>
          <w:lang w:val="es-ES"/>
        </w:rPr>
        <w:t>s</w:t>
      </w:r>
      <w:r w:rsidR="00875167" w:rsidRPr="000A13DF">
        <w:rPr>
          <w:rFonts w:ascii="Palatino Linotype" w:eastAsia="Calibri" w:hAnsi="Palatino Linotype" w:cs="Arial"/>
          <w:color w:val="000000" w:themeColor="text1"/>
          <w:lang w:val="es-ES"/>
        </w:rPr>
        <w:t xml:space="preserve">, </w:t>
      </w:r>
      <w:r w:rsidR="00F147C6" w:rsidRPr="000A13DF">
        <w:rPr>
          <w:rFonts w:ascii="Palatino Linotype" w:eastAsia="Calibri" w:hAnsi="Palatino Linotype" w:cs="Arial"/>
          <w:color w:val="000000" w:themeColor="text1"/>
          <w:lang w:val="es-ES"/>
        </w:rPr>
        <w:t>de esta forma</w:t>
      </w:r>
      <w:r w:rsidR="00875167" w:rsidRPr="000A13DF">
        <w:rPr>
          <w:rFonts w:ascii="Palatino Linotype" w:eastAsia="Calibri" w:hAnsi="Palatino Linotype" w:cs="Arial"/>
          <w:color w:val="000000" w:themeColor="text1"/>
          <w:lang w:val="es-ES"/>
        </w:rPr>
        <w:t xml:space="preserve"> para que el </w:t>
      </w:r>
      <w:r w:rsidR="00875167" w:rsidRPr="000A13DF">
        <w:rPr>
          <w:rFonts w:ascii="Palatino Linotype" w:eastAsia="Calibri" w:hAnsi="Palatino Linotype" w:cs="Arial"/>
          <w:b/>
          <w:color w:val="000000" w:themeColor="text1"/>
          <w:lang w:val="es-ES"/>
        </w:rPr>
        <w:t>SUJETO OBLIGADO</w:t>
      </w:r>
      <w:r w:rsidR="00875167" w:rsidRPr="000A13DF">
        <w:rPr>
          <w:rFonts w:ascii="Palatino Linotype" w:eastAsia="Calibri" w:hAnsi="Palatino Linotype" w:cs="Arial"/>
          <w:color w:val="000000" w:themeColor="text1"/>
          <w:lang w:val="es-ES"/>
        </w:rPr>
        <w:t xml:space="preserve"> </w:t>
      </w:r>
      <w:r w:rsidR="00B81371" w:rsidRPr="000A13DF">
        <w:rPr>
          <w:rFonts w:ascii="Palatino Linotype" w:eastAsia="Calibri" w:hAnsi="Palatino Linotype" w:cs="Arial"/>
          <w:color w:val="000000" w:themeColor="text1"/>
          <w:lang w:val="es-ES"/>
        </w:rPr>
        <w:t>presentar</w:t>
      </w:r>
      <w:r w:rsidR="003A03D0" w:rsidRPr="000A13DF">
        <w:rPr>
          <w:rFonts w:ascii="Palatino Linotype" w:eastAsia="Calibri" w:hAnsi="Palatino Linotype" w:cs="Arial"/>
          <w:color w:val="000000" w:themeColor="text1"/>
          <w:lang w:val="es-ES"/>
        </w:rPr>
        <w:t>a</w:t>
      </w:r>
      <w:r w:rsidR="00B81371" w:rsidRPr="000A13DF">
        <w:rPr>
          <w:rFonts w:ascii="Palatino Linotype" w:eastAsia="Calibri" w:hAnsi="Palatino Linotype" w:cs="Arial"/>
          <w:color w:val="000000" w:themeColor="text1"/>
          <w:lang w:val="es-ES"/>
        </w:rPr>
        <w:t xml:space="preserve"> el </w:t>
      </w:r>
      <w:r w:rsidR="00556F72" w:rsidRPr="000A13DF">
        <w:rPr>
          <w:rFonts w:ascii="Palatino Linotype" w:eastAsia="Calibri" w:hAnsi="Palatino Linotype" w:cs="Arial"/>
          <w:color w:val="000000" w:themeColor="text1"/>
          <w:lang w:val="es-ES"/>
        </w:rPr>
        <w:t xml:space="preserve">informe justificado </w:t>
      </w:r>
      <w:r w:rsidR="00875167" w:rsidRPr="000A13DF">
        <w:rPr>
          <w:rFonts w:ascii="Palatino Linotype" w:eastAsia="Calibri" w:hAnsi="Palatino Linotype" w:cs="Arial"/>
          <w:color w:val="000000" w:themeColor="text1"/>
          <w:lang w:val="es-ES"/>
        </w:rPr>
        <w:t>procedente</w:t>
      </w:r>
      <w:r w:rsidR="00787184" w:rsidRPr="000A13DF">
        <w:rPr>
          <w:rFonts w:ascii="Palatino Linotype" w:eastAsia="Calibri" w:hAnsi="Palatino Linotype" w:cs="Arial"/>
          <w:color w:val="000000" w:themeColor="text1"/>
          <w:lang w:val="es-ES"/>
        </w:rPr>
        <w:t>.</w:t>
      </w:r>
    </w:p>
    <w:p w14:paraId="67D7209A" w14:textId="77777777" w:rsidR="001B32B2" w:rsidRPr="000A13DF" w:rsidRDefault="001B32B2" w:rsidP="00EE72BA">
      <w:pPr>
        <w:pStyle w:val="Prrafodelista"/>
        <w:spacing w:line="360" w:lineRule="auto"/>
        <w:rPr>
          <w:rFonts w:ascii="Palatino Linotype" w:eastAsia="Calibri" w:hAnsi="Palatino Linotype" w:cs="Arial"/>
          <w:color w:val="000000" w:themeColor="text1"/>
          <w:lang w:val="es-ES"/>
        </w:rPr>
      </w:pPr>
    </w:p>
    <w:p w14:paraId="785A455F" w14:textId="292466F3" w:rsidR="00194D5F" w:rsidRPr="000A13DF" w:rsidRDefault="00AE0CDF" w:rsidP="00EE72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A13DF">
        <w:rPr>
          <w:rFonts w:ascii="Palatino Linotype" w:eastAsia="Calibri" w:hAnsi="Palatino Linotype" w:cs="Arial"/>
          <w:color w:val="000000" w:themeColor="text1"/>
          <w:lang w:val="es-ES"/>
        </w:rPr>
        <w:t>De las constancias que obran en el expediente electró</w:t>
      </w:r>
      <w:r w:rsidR="00194D5F" w:rsidRPr="000A13DF">
        <w:rPr>
          <w:rFonts w:ascii="Palatino Linotype" w:eastAsia="Calibri" w:hAnsi="Palatino Linotype" w:cs="Arial"/>
          <w:color w:val="000000" w:themeColor="text1"/>
          <w:lang w:val="es-ES"/>
        </w:rPr>
        <w:t xml:space="preserve">nico del SAIMEX, se aprecia que el </w:t>
      </w:r>
      <w:r w:rsidR="00194D5F" w:rsidRPr="000A13DF">
        <w:rPr>
          <w:rFonts w:ascii="Palatino Linotype" w:eastAsia="Calibri" w:hAnsi="Palatino Linotype" w:cs="Arial"/>
          <w:b/>
          <w:color w:val="000000" w:themeColor="text1"/>
          <w:lang w:val="es-ES"/>
        </w:rPr>
        <w:t>SUJETO OBLIGADO</w:t>
      </w:r>
      <w:r w:rsidR="00194D5F" w:rsidRPr="000A13DF">
        <w:rPr>
          <w:rFonts w:ascii="Palatino Linotype" w:eastAsia="Calibri" w:hAnsi="Palatino Linotype" w:cs="Arial"/>
          <w:color w:val="000000" w:themeColor="text1"/>
          <w:lang w:val="es-ES"/>
        </w:rPr>
        <w:t xml:space="preserve"> rindió informe justificado, el cual contiene lo siguiente: </w:t>
      </w:r>
    </w:p>
    <w:p w14:paraId="508C9314" w14:textId="77777777" w:rsidR="00AE0CDF" w:rsidRPr="000A13DF" w:rsidRDefault="00AE0CDF" w:rsidP="00EE72BA">
      <w:pPr>
        <w:pStyle w:val="Prrafodelista"/>
        <w:spacing w:line="360" w:lineRule="auto"/>
        <w:rPr>
          <w:rFonts w:ascii="Palatino Linotype" w:eastAsia="Calibri" w:hAnsi="Palatino Linotype" w:cs="Arial"/>
          <w:b/>
          <w:color w:val="000000" w:themeColor="text1"/>
          <w:u w:val="single"/>
          <w:lang w:val="es-ES"/>
        </w:rPr>
      </w:pPr>
    </w:p>
    <w:p w14:paraId="3306369E" w14:textId="77777777" w:rsidR="000E7706" w:rsidRPr="000A13DF" w:rsidRDefault="00AD5A99" w:rsidP="00EE72BA">
      <w:pPr>
        <w:pStyle w:val="Prrafodelista"/>
        <w:numPr>
          <w:ilvl w:val="0"/>
          <w:numId w:val="39"/>
        </w:numPr>
        <w:spacing w:line="360" w:lineRule="auto"/>
        <w:ind w:firstLine="0"/>
        <w:rPr>
          <w:rFonts w:ascii="Palatino Linotype" w:eastAsia="Calibri" w:hAnsi="Palatino Linotype" w:cs="Arial"/>
          <w:b/>
          <w:color w:val="000000" w:themeColor="text1"/>
          <w:u w:val="single"/>
          <w:lang w:val="es-ES"/>
        </w:rPr>
      </w:pPr>
      <w:r w:rsidRPr="000A13DF">
        <w:rPr>
          <w:rFonts w:ascii="Palatino Linotype" w:eastAsia="Calibri" w:hAnsi="Palatino Linotype" w:cs="Arial"/>
          <w:b/>
          <w:color w:val="000000" w:themeColor="text1"/>
          <w:u w:val="single"/>
          <w:lang w:val="es-ES"/>
        </w:rPr>
        <w:t>143-3573 INFORME JUSTIFICADO.pdf</w:t>
      </w:r>
      <w:r w:rsidRPr="000A13DF">
        <w:rPr>
          <w:rFonts w:ascii="Palatino Linotype" w:eastAsia="Calibri" w:hAnsi="Palatino Linotype" w:cs="Arial"/>
          <w:color w:val="000000" w:themeColor="text1"/>
          <w:lang w:val="es-ES"/>
        </w:rPr>
        <w:t>:</w:t>
      </w:r>
      <w:r w:rsidR="00194D5F" w:rsidRPr="000A13DF">
        <w:rPr>
          <w:rFonts w:ascii="Palatino Linotype" w:hAnsi="Palatino Linotype"/>
        </w:rPr>
        <w:t xml:space="preserve"> </w:t>
      </w:r>
    </w:p>
    <w:p w14:paraId="74C8B329" w14:textId="65837924" w:rsidR="00745C9D" w:rsidRPr="000A13DF" w:rsidRDefault="000E7706" w:rsidP="00EE72BA">
      <w:pPr>
        <w:pStyle w:val="Prrafodelista"/>
        <w:numPr>
          <w:ilvl w:val="0"/>
          <w:numId w:val="40"/>
        </w:numPr>
        <w:spacing w:line="360" w:lineRule="auto"/>
        <w:ind w:firstLine="0"/>
        <w:jc w:val="both"/>
        <w:rPr>
          <w:rFonts w:ascii="Palatino Linotype" w:eastAsia="Calibri" w:hAnsi="Palatino Linotype" w:cs="Arial"/>
          <w:b/>
          <w:color w:val="000000" w:themeColor="text1"/>
          <w:u w:val="single"/>
          <w:lang w:val="es-ES"/>
        </w:rPr>
      </w:pPr>
      <w:r w:rsidRPr="000A13DF">
        <w:rPr>
          <w:rFonts w:ascii="Palatino Linotype" w:eastAsia="Calibri" w:hAnsi="Palatino Linotype" w:cs="Arial"/>
          <w:color w:val="000000" w:themeColor="text1"/>
          <w:lang w:val="es-ES"/>
        </w:rPr>
        <w:t>Oficio PM/CUT/0528/2022</w:t>
      </w:r>
      <w:r w:rsidR="00194D5F" w:rsidRPr="000A13DF">
        <w:rPr>
          <w:rFonts w:ascii="Palatino Linotype" w:eastAsia="Calibri" w:hAnsi="Palatino Linotype" w:cs="Arial"/>
          <w:color w:val="000000" w:themeColor="text1"/>
          <w:lang w:val="es-ES"/>
        </w:rPr>
        <w:t xml:space="preserve"> sus</w:t>
      </w:r>
      <w:r w:rsidR="00FF13C2" w:rsidRPr="000A13DF">
        <w:rPr>
          <w:rFonts w:ascii="Palatino Linotype" w:eastAsia="Calibri" w:hAnsi="Palatino Linotype" w:cs="Arial"/>
          <w:color w:val="000000" w:themeColor="text1"/>
          <w:lang w:val="es-ES"/>
        </w:rPr>
        <w:t>crito por la Titular de la</w:t>
      </w:r>
      <w:r w:rsidRPr="000A13DF">
        <w:rPr>
          <w:rFonts w:ascii="Palatino Linotype" w:eastAsia="Calibri" w:hAnsi="Palatino Linotype" w:cs="Arial"/>
          <w:color w:val="000000" w:themeColor="text1"/>
          <w:lang w:val="es-ES"/>
        </w:rPr>
        <w:t xml:space="preserve"> Coordinación de Transparencia del Ayuntamiento de Cuautitlán Izcalli</w:t>
      </w:r>
      <w:r w:rsidR="00A459FC" w:rsidRPr="000A13DF">
        <w:rPr>
          <w:rFonts w:ascii="Palatino Linotype" w:eastAsia="Calibri" w:hAnsi="Palatino Linotype" w:cs="Arial"/>
          <w:color w:val="000000" w:themeColor="text1"/>
          <w:lang w:val="es-ES"/>
        </w:rPr>
        <w:t xml:space="preserve">, </w:t>
      </w:r>
      <w:r w:rsidR="00FF13C2" w:rsidRPr="000A13DF">
        <w:rPr>
          <w:rFonts w:ascii="Palatino Linotype" w:eastAsia="Calibri" w:hAnsi="Palatino Linotype" w:cs="Arial"/>
          <w:color w:val="000000" w:themeColor="text1"/>
          <w:lang w:val="es-ES"/>
        </w:rPr>
        <w:t xml:space="preserve">dirigido al Tesorero Municipal, para que manifieste lo que a sus intereses convenga para estar en posibilidades de </w:t>
      </w:r>
      <w:r w:rsidRPr="000A13DF">
        <w:rPr>
          <w:rFonts w:ascii="Palatino Linotype" w:eastAsia="Calibri" w:hAnsi="Palatino Linotype" w:cs="Arial"/>
          <w:color w:val="000000" w:themeColor="text1"/>
          <w:lang w:val="es-ES"/>
        </w:rPr>
        <w:t xml:space="preserve"> </w:t>
      </w:r>
      <w:bookmarkStart w:id="3" w:name="_Toc461555889"/>
      <w:bookmarkStart w:id="4" w:name="_Toc466371858"/>
      <w:r w:rsidRPr="000A13DF">
        <w:rPr>
          <w:rFonts w:ascii="Palatino Linotype" w:eastAsia="Calibri" w:hAnsi="Palatino Linotype" w:cs="Arial"/>
          <w:color w:val="000000" w:themeColor="text1"/>
          <w:lang w:val="es-ES"/>
        </w:rPr>
        <w:t>integrar el Informe justifica</w:t>
      </w:r>
      <w:r w:rsidR="0070165F" w:rsidRPr="000A13DF">
        <w:rPr>
          <w:rFonts w:ascii="Palatino Linotype" w:eastAsia="Calibri" w:hAnsi="Palatino Linotype" w:cs="Arial"/>
          <w:color w:val="000000" w:themeColor="text1"/>
          <w:lang w:val="es-ES"/>
        </w:rPr>
        <w:t>do y poder cumplir con el procedimiento correspondiente, para su valoración</w:t>
      </w:r>
      <w:r w:rsidR="00FF13C2" w:rsidRPr="000A13DF">
        <w:rPr>
          <w:rFonts w:ascii="Palatino Linotype" w:eastAsia="Calibri" w:hAnsi="Palatino Linotype" w:cs="Arial"/>
          <w:color w:val="000000" w:themeColor="text1"/>
          <w:lang w:val="es-ES"/>
        </w:rPr>
        <w:t xml:space="preserve"> ante la Ponencia.</w:t>
      </w:r>
    </w:p>
    <w:p w14:paraId="048F45C7" w14:textId="4E718157" w:rsidR="007174E9" w:rsidRPr="000A13DF" w:rsidRDefault="0070165F" w:rsidP="00EE72BA">
      <w:pPr>
        <w:pStyle w:val="Prrafodelista"/>
        <w:numPr>
          <w:ilvl w:val="0"/>
          <w:numId w:val="40"/>
        </w:numPr>
        <w:spacing w:line="360" w:lineRule="auto"/>
        <w:ind w:firstLine="0"/>
        <w:jc w:val="both"/>
        <w:rPr>
          <w:rFonts w:ascii="Palatino Linotype" w:eastAsia="Calibri" w:hAnsi="Palatino Linotype" w:cs="Arial"/>
          <w:b/>
          <w:color w:val="000000" w:themeColor="text1"/>
          <w:u w:val="single"/>
          <w:lang w:val="es-ES"/>
        </w:rPr>
      </w:pPr>
      <w:r w:rsidRPr="000A13DF">
        <w:rPr>
          <w:rFonts w:ascii="Palatino Linotype" w:eastAsia="Calibri" w:hAnsi="Palatino Linotype" w:cs="Arial"/>
          <w:color w:val="000000" w:themeColor="text1"/>
          <w:lang w:val="es-ES"/>
        </w:rPr>
        <w:lastRenderedPageBreak/>
        <w:t>Of</w:t>
      </w:r>
      <w:r w:rsidR="00F26499" w:rsidRPr="000A13DF">
        <w:rPr>
          <w:rFonts w:ascii="Palatino Linotype" w:eastAsia="Calibri" w:hAnsi="Palatino Linotype" w:cs="Arial"/>
          <w:color w:val="000000" w:themeColor="text1"/>
          <w:lang w:val="es-ES"/>
        </w:rPr>
        <w:t xml:space="preserve">icio TM/0995/2022 suscrito por el Tesorero Municipal, mismo en que se hace referencia a cada una de las actuaciones, en la que refiere que </w:t>
      </w:r>
      <w:r w:rsidR="00FD75A2" w:rsidRPr="000A13DF">
        <w:rPr>
          <w:rFonts w:ascii="Palatino Linotype" w:eastAsia="Calibri" w:hAnsi="Palatino Linotype" w:cs="Arial"/>
          <w:color w:val="000000" w:themeColor="text1"/>
          <w:lang w:val="es-ES"/>
        </w:rPr>
        <w:t xml:space="preserve">Por lo antes expuesto se advierte que, resultan improcedentes sus razones o </w:t>
      </w:r>
      <w:r w:rsidR="00907C8E" w:rsidRPr="000A13DF">
        <w:rPr>
          <w:rFonts w:ascii="Palatino Linotype" w:eastAsia="Calibri" w:hAnsi="Palatino Linotype" w:cs="Arial"/>
          <w:color w:val="000000" w:themeColor="text1"/>
          <w:lang w:val="es-ES"/>
        </w:rPr>
        <w:t xml:space="preserve">motivos de inconformidad, toda </w:t>
      </w:r>
      <w:r w:rsidR="00FD75A2" w:rsidRPr="000A13DF">
        <w:rPr>
          <w:rFonts w:ascii="Palatino Linotype" w:eastAsia="Calibri" w:hAnsi="Palatino Linotype" w:cs="Arial"/>
          <w:color w:val="000000" w:themeColor="text1"/>
          <w:lang w:val="es-ES"/>
        </w:rPr>
        <w:t xml:space="preserve">vez que </w:t>
      </w:r>
      <w:r w:rsidR="00907C8E" w:rsidRPr="000A13DF">
        <w:rPr>
          <w:rFonts w:ascii="Palatino Linotype" w:eastAsia="Calibri" w:hAnsi="Palatino Linotype" w:cs="Arial"/>
          <w:color w:val="000000" w:themeColor="text1"/>
          <w:lang w:val="es-ES"/>
        </w:rPr>
        <w:t>e</w:t>
      </w:r>
      <w:r w:rsidR="00FD75A2" w:rsidRPr="000A13DF">
        <w:rPr>
          <w:rFonts w:ascii="Palatino Linotype" w:eastAsia="Calibri" w:hAnsi="Palatino Linotype" w:cs="Arial"/>
          <w:color w:val="000000" w:themeColor="text1"/>
          <w:lang w:val="es-ES"/>
        </w:rPr>
        <w:t xml:space="preserve">sta </w:t>
      </w:r>
      <w:r w:rsidR="00907C8E" w:rsidRPr="000A13DF">
        <w:rPr>
          <w:rFonts w:ascii="Palatino Linotype" w:eastAsia="Calibri" w:hAnsi="Palatino Linotype" w:cs="Arial"/>
          <w:color w:val="000000" w:themeColor="text1"/>
          <w:lang w:val="es-ES"/>
        </w:rPr>
        <w:t>Tesorería</w:t>
      </w:r>
      <w:r w:rsidR="00FD75A2" w:rsidRPr="000A13DF">
        <w:rPr>
          <w:rFonts w:ascii="Palatino Linotype" w:eastAsia="Calibri" w:hAnsi="Palatino Linotype" w:cs="Arial"/>
          <w:color w:val="000000" w:themeColor="text1"/>
          <w:lang w:val="es-ES"/>
        </w:rPr>
        <w:t xml:space="preserve"> Municipal, dio contestación en estricto apego a Derecho protegiendo el interés superior de los titulares de la información que el ahora recurrente pretende obtener al referirse a la información privada y los datos personales concernientes a una persona física o jurídico colectiva identificada o identificable</w:t>
      </w:r>
      <w:r w:rsidR="00907C8E" w:rsidRPr="000A13DF">
        <w:rPr>
          <w:rFonts w:ascii="Palatino Linotype" w:eastAsia="Calibri" w:hAnsi="Palatino Linotype" w:cs="Arial"/>
          <w:color w:val="000000" w:themeColor="text1"/>
          <w:lang w:val="es-ES"/>
        </w:rPr>
        <w:t>, i</w:t>
      </w:r>
      <w:r w:rsidR="00FD75A2" w:rsidRPr="000A13DF">
        <w:rPr>
          <w:rFonts w:ascii="Palatino Linotype" w:eastAsia="Calibri" w:hAnsi="Palatino Linotype" w:cs="Arial"/>
          <w:color w:val="000000" w:themeColor="text1"/>
          <w:lang w:val="es-ES"/>
        </w:rPr>
        <w:t>nformación que fue obtenida por este sujeto obligado en virtud de lo dispuesto por las Leyes en la materia, por lo cual es evidentemente susceptible de clasificarse ya que el alta de un predio en el padrón catastral es un trámite de carácter personal, vinculado con el ejercicio de los derechos subjetivos que asisten a cualquier</w:t>
      </w:r>
      <w:r w:rsidR="00907C8E" w:rsidRPr="000A13DF">
        <w:rPr>
          <w:rFonts w:ascii="Palatino Linotype" w:eastAsia="Calibri" w:hAnsi="Palatino Linotype" w:cs="Arial"/>
          <w:color w:val="000000" w:themeColor="text1"/>
          <w:lang w:val="es-ES"/>
        </w:rPr>
        <w:t xml:space="preserve"> </w:t>
      </w:r>
      <w:r w:rsidR="00FD75A2" w:rsidRPr="000A13DF">
        <w:rPr>
          <w:rFonts w:ascii="Palatino Linotype" w:eastAsia="Calibri" w:hAnsi="Palatino Linotype" w:cs="Arial"/>
          <w:color w:val="000000" w:themeColor="text1"/>
          <w:lang w:val="es-ES"/>
        </w:rPr>
        <w:t xml:space="preserve">persona respecto a su patrimonio y el </w:t>
      </w:r>
      <w:r w:rsidR="00907C8E" w:rsidRPr="000A13DF">
        <w:rPr>
          <w:rFonts w:ascii="Palatino Linotype" w:eastAsia="Calibri" w:hAnsi="Palatino Linotype" w:cs="Arial"/>
          <w:color w:val="000000" w:themeColor="text1"/>
          <w:lang w:val="es-ES"/>
        </w:rPr>
        <w:t>cumplimiento</w:t>
      </w:r>
      <w:r w:rsidR="00FD75A2" w:rsidRPr="000A13DF">
        <w:rPr>
          <w:rFonts w:ascii="Palatino Linotype" w:eastAsia="Calibri" w:hAnsi="Palatino Linotype" w:cs="Arial"/>
          <w:color w:val="000000" w:themeColor="text1"/>
          <w:lang w:val="es-ES"/>
        </w:rPr>
        <w:t xml:space="preserve"> de sus obligaciones fiscales, del </w:t>
      </w:r>
      <w:r w:rsidR="00907C8E" w:rsidRPr="000A13DF">
        <w:rPr>
          <w:rFonts w:ascii="Palatino Linotype" w:eastAsia="Calibri" w:hAnsi="Palatino Linotype" w:cs="Arial"/>
          <w:color w:val="000000" w:themeColor="text1"/>
          <w:lang w:val="es-ES"/>
        </w:rPr>
        <w:t>cual</w:t>
      </w:r>
      <w:r w:rsidR="00FD75A2" w:rsidRPr="000A13DF">
        <w:rPr>
          <w:rFonts w:ascii="Palatino Linotype" w:eastAsia="Calibri" w:hAnsi="Palatino Linotype" w:cs="Arial"/>
          <w:color w:val="000000" w:themeColor="text1"/>
          <w:lang w:val="es-ES"/>
        </w:rPr>
        <w:t xml:space="preserve"> no se desprende alguna causa de interés público que favorezca su difusión, toda vez que, el resultado del mismo compete en estricto sentido al propietario de determinado predio</w:t>
      </w:r>
      <w:r w:rsidR="00907C8E" w:rsidRPr="000A13DF">
        <w:rPr>
          <w:rFonts w:ascii="Palatino Linotype" w:eastAsia="Calibri" w:hAnsi="Palatino Linotype" w:cs="Arial"/>
          <w:color w:val="000000" w:themeColor="text1"/>
          <w:lang w:val="es-ES"/>
        </w:rPr>
        <w:t xml:space="preserve">. </w:t>
      </w:r>
      <w:r w:rsidR="00FD75A2" w:rsidRPr="000A13DF">
        <w:rPr>
          <w:rFonts w:ascii="Palatino Linotype" w:eastAsia="Calibri" w:hAnsi="Palatino Linotype" w:cs="Arial"/>
          <w:color w:val="000000" w:themeColor="text1"/>
          <w:lang w:val="es-ES"/>
        </w:rPr>
        <w:t>Ahora bien, la prueba de daño justifica la temporalidad por la que la información será reservada sin embargo en el caso concreto la clasificación de la información como CONFIDENCIAL atiende a lo dispuesto por el articulo 143 último párrafo:</w:t>
      </w:r>
    </w:p>
    <w:p w14:paraId="75962FAF" w14:textId="7D1D916B" w:rsidR="00907C8E" w:rsidRPr="000A13DF" w:rsidRDefault="00907C8E" w:rsidP="00EE72BA">
      <w:pPr>
        <w:pStyle w:val="Prrafodelista"/>
        <w:spacing w:line="360" w:lineRule="auto"/>
        <w:ind w:left="1440"/>
        <w:jc w:val="both"/>
        <w:rPr>
          <w:rFonts w:ascii="Palatino Linotype" w:eastAsia="Calibri" w:hAnsi="Palatino Linotype" w:cs="Arial"/>
          <w:color w:val="000000" w:themeColor="text1"/>
          <w:lang w:val="es-ES"/>
        </w:rPr>
      </w:pPr>
      <w:r w:rsidRPr="000A13DF">
        <w:rPr>
          <w:rFonts w:ascii="Palatino Linotype" w:eastAsia="Calibri" w:hAnsi="Palatino Linotype" w:cs="Arial"/>
          <w:color w:val="000000" w:themeColor="text1"/>
          <w:lang w:val="es-ES"/>
        </w:rPr>
        <w:t xml:space="preserve">...La información confidencial no estará sujeta a temporalidad alguna y SÓLO PODRAN TENER ACCESO A ELLA LOS TITULARES DE LA </w:t>
      </w:r>
      <w:r w:rsidRPr="000A13DF">
        <w:rPr>
          <w:rFonts w:ascii="Palatino Linotype" w:eastAsia="Calibri" w:hAnsi="Palatino Linotype" w:cs="Arial"/>
          <w:color w:val="000000" w:themeColor="text1"/>
          <w:lang w:val="es-ES"/>
        </w:rPr>
        <w:lastRenderedPageBreak/>
        <w:t>MISMA. SUS REPRESENTANTES Y LOS SERVIDORES PÚBLICOS FACULTADOS PARA ELLO.”…</w:t>
      </w:r>
    </w:p>
    <w:p w14:paraId="6B388713" w14:textId="77777777" w:rsidR="00907C8E" w:rsidRPr="000A13DF" w:rsidRDefault="00907C8E" w:rsidP="00EE72BA">
      <w:pPr>
        <w:pStyle w:val="Prrafodelista"/>
        <w:spacing w:line="360" w:lineRule="auto"/>
        <w:ind w:left="1440"/>
        <w:jc w:val="both"/>
        <w:rPr>
          <w:rFonts w:ascii="Palatino Linotype" w:eastAsia="Calibri" w:hAnsi="Palatino Linotype" w:cs="Arial"/>
          <w:color w:val="000000" w:themeColor="text1"/>
          <w:lang w:val="es-ES"/>
        </w:rPr>
      </w:pPr>
      <w:r w:rsidRPr="000A13DF">
        <w:rPr>
          <w:rFonts w:ascii="Palatino Linotype" w:eastAsia="Calibri" w:hAnsi="Palatino Linotype" w:cs="Arial"/>
          <w:color w:val="000000" w:themeColor="text1"/>
          <w:lang w:val="es-ES"/>
        </w:rPr>
        <w:t xml:space="preserve">Aunado a señalar que de conformidad con el artículo 91 de la LTAIPEMyM, este sujeto obligado no está obligado a entregar la información de carácter confidencial. No omito mencionar que la única información de carácter público que probablemente se encuentre relacionada a la información catastral, son las Tablas de Valor Unitario que corresponden al ejercicio fiscal 2022, las cuales fueron publicadas en la gaceta de Gobierno del Estado de México, Gaceta 124, Decreto Número 10, el jueves 30 de diciembre del año 2021, gaceta consultable en el siguiente link: </w:t>
      </w:r>
    </w:p>
    <w:p w14:paraId="737BBA26" w14:textId="3BCBD5AB" w:rsidR="00907C8E" w:rsidRPr="000A13DF" w:rsidRDefault="000A13DF" w:rsidP="00EE72BA">
      <w:pPr>
        <w:pStyle w:val="Prrafodelista"/>
        <w:spacing w:line="360" w:lineRule="auto"/>
        <w:ind w:left="1440"/>
        <w:jc w:val="both"/>
        <w:rPr>
          <w:rFonts w:ascii="Palatino Linotype" w:eastAsia="Calibri" w:hAnsi="Palatino Linotype" w:cs="Arial"/>
          <w:color w:val="000000" w:themeColor="text1"/>
          <w:u w:val="single"/>
          <w:lang w:val="es-ES"/>
        </w:rPr>
      </w:pPr>
      <w:hyperlink r:id="rId8" w:history="1">
        <w:r w:rsidR="00907C8E" w:rsidRPr="000A13DF">
          <w:rPr>
            <w:rStyle w:val="Hipervnculo"/>
            <w:rFonts w:ascii="Palatino Linotype" w:eastAsia="Calibri" w:hAnsi="Palatino Linotype" w:cs="Arial"/>
            <w:lang w:val="es-ES"/>
          </w:rPr>
          <w:t>https://legislacion.edomex.sab.mx/siles/legislacion.edomex.gob.mx/files/files/pdf/gct/2021/dic301.pdf</w:t>
        </w:r>
      </w:hyperlink>
    </w:p>
    <w:p w14:paraId="1FC24AA6" w14:textId="77777777" w:rsidR="00907C8E" w:rsidRPr="000A13DF" w:rsidRDefault="00907C8E" w:rsidP="00EE72BA">
      <w:pPr>
        <w:pStyle w:val="Prrafodelista"/>
        <w:spacing w:line="360" w:lineRule="auto"/>
        <w:ind w:left="1440"/>
        <w:jc w:val="both"/>
        <w:rPr>
          <w:rFonts w:ascii="Palatino Linotype" w:eastAsia="Calibri" w:hAnsi="Palatino Linotype" w:cs="Arial"/>
          <w:color w:val="000000" w:themeColor="text1"/>
          <w:u w:val="single"/>
          <w:lang w:val="es-ES"/>
        </w:rPr>
      </w:pPr>
    </w:p>
    <w:p w14:paraId="42F908A4" w14:textId="4945A6D0" w:rsidR="00194D5F" w:rsidRPr="000A13DF" w:rsidRDefault="00577651" w:rsidP="00EE72BA">
      <w:pPr>
        <w:pStyle w:val="Prrafodelista"/>
        <w:numPr>
          <w:ilvl w:val="0"/>
          <w:numId w:val="1"/>
        </w:numPr>
        <w:tabs>
          <w:tab w:val="left" w:pos="284"/>
        </w:tabs>
        <w:spacing w:line="360" w:lineRule="auto"/>
        <w:jc w:val="both"/>
        <w:rPr>
          <w:rFonts w:ascii="Palatino Linotype" w:hAnsi="Palatino Linotype" w:cs="Arial"/>
        </w:rPr>
      </w:pPr>
      <w:r w:rsidRPr="000A13DF">
        <w:rPr>
          <w:rFonts w:ascii="Palatino Linotype" w:hAnsi="Palatino Linotype" w:cs="Arial"/>
        </w:rPr>
        <w:t xml:space="preserve">Por </w:t>
      </w:r>
      <w:r w:rsidR="00194D5F" w:rsidRPr="000A13DF">
        <w:rPr>
          <w:rFonts w:ascii="Palatino Linotype" w:eastAsia="Calibri" w:hAnsi="Palatino Linotype" w:cs="Arial"/>
          <w:color w:val="000000" w:themeColor="text1"/>
          <w:lang w:val="es-ES"/>
        </w:rPr>
        <w:t xml:space="preserve">su parte el Recurrente no presento medios de prueba que a su derecho conviniera.  </w:t>
      </w:r>
    </w:p>
    <w:p w14:paraId="03C1F9F1" w14:textId="76E56C92" w:rsidR="00745C9D" w:rsidRPr="000A13DF" w:rsidRDefault="00745C9D" w:rsidP="00EE72BA">
      <w:pPr>
        <w:pStyle w:val="Prrafodelista"/>
        <w:tabs>
          <w:tab w:val="left" w:pos="284"/>
        </w:tabs>
        <w:spacing w:line="360" w:lineRule="auto"/>
        <w:ind w:left="0"/>
        <w:jc w:val="both"/>
        <w:rPr>
          <w:rFonts w:ascii="Palatino Linotype" w:hAnsi="Palatino Linotype" w:cs="Arial"/>
          <w:b/>
          <w:bCs/>
          <w:lang w:eastAsia="es-MX"/>
        </w:rPr>
      </w:pPr>
    </w:p>
    <w:p w14:paraId="5AD50E27" w14:textId="3584158A" w:rsidR="005F76A2" w:rsidRPr="000A13DF" w:rsidRDefault="007105F6" w:rsidP="00EE72BA">
      <w:pPr>
        <w:pStyle w:val="Prrafodelista"/>
        <w:numPr>
          <w:ilvl w:val="0"/>
          <w:numId w:val="1"/>
        </w:numPr>
        <w:tabs>
          <w:tab w:val="left" w:pos="426"/>
        </w:tabs>
        <w:spacing w:line="360" w:lineRule="auto"/>
        <w:jc w:val="both"/>
        <w:rPr>
          <w:rFonts w:ascii="Palatino Linotype" w:hAnsi="Palatino Linotype"/>
          <w:color w:val="000000" w:themeColor="text1"/>
        </w:rPr>
      </w:pPr>
      <w:r w:rsidRPr="000A13DF">
        <w:rPr>
          <w:rFonts w:ascii="Palatino Linotype" w:hAnsi="Palatino Linotype"/>
          <w:color w:val="000000" w:themeColor="text1"/>
        </w:rPr>
        <w:t>El doce (12)</w:t>
      </w:r>
      <w:r w:rsidR="005F76A2" w:rsidRPr="000A13DF">
        <w:rPr>
          <w:rFonts w:ascii="Palatino Linotype" w:hAnsi="Palatino Linotype"/>
          <w:color w:val="000000" w:themeColor="text1"/>
        </w:rPr>
        <w:t xml:space="preserve"> de enero de dos mil </w:t>
      </w:r>
      <w:r w:rsidR="00D82D6F" w:rsidRPr="000A13DF">
        <w:rPr>
          <w:rFonts w:ascii="Palatino Linotype" w:hAnsi="Palatino Linotype"/>
          <w:color w:val="000000" w:themeColor="text1"/>
        </w:rPr>
        <w:t>veintitrés</w:t>
      </w:r>
      <w:r w:rsidR="005F76A2" w:rsidRPr="000A13DF">
        <w:rPr>
          <w:rFonts w:ascii="Palatino Linotype" w:hAnsi="Palatino Linotype"/>
          <w:color w:val="000000" w:themeColor="text1"/>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3A8CC802" w14:textId="77777777" w:rsidR="005F76A2" w:rsidRPr="000A13DF" w:rsidRDefault="005F76A2" w:rsidP="00EE72BA">
      <w:pPr>
        <w:pStyle w:val="Prrafodelista"/>
        <w:tabs>
          <w:tab w:val="left" w:pos="426"/>
        </w:tabs>
        <w:spacing w:line="360" w:lineRule="auto"/>
        <w:ind w:left="0"/>
        <w:jc w:val="both"/>
        <w:rPr>
          <w:rFonts w:ascii="Palatino Linotype" w:hAnsi="Palatino Linotype"/>
          <w:b/>
          <w:color w:val="000000" w:themeColor="text1"/>
          <w:lang w:val="es-ES_tradnl"/>
        </w:rPr>
      </w:pPr>
    </w:p>
    <w:p w14:paraId="45E1C666" w14:textId="37A06B38" w:rsidR="005F76A2" w:rsidRPr="000A13DF" w:rsidRDefault="00A459FC" w:rsidP="00EE72BA">
      <w:pPr>
        <w:numPr>
          <w:ilvl w:val="0"/>
          <w:numId w:val="1"/>
        </w:numPr>
        <w:tabs>
          <w:tab w:val="left" w:pos="426"/>
        </w:tabs>
        <w:spacing w:line="360" w:lineRule="auto"/>
        <w:contextualSpacing/>
        <w:jc w:val="both"/>
        <w:rPr>
          <w:rFonts w:ascii="Palatino Linotype" w:hAnsi="Palatino Linotype"/>
          <w:b/>
          <w:color w:val="000000" w:themeColor="text1"/>
          <w:lang w:val="es-ES_tradnl"/>
        </w:rPr>
      </w:pPr>
      <w:r w:rsidRPr="000A13DF">
        <w:rPr>
          <w:rFonts w:ascii="Palatino Linotype" w:hAnsi="Palatino Linotype"/>
          <w:lang w:val="es-ES_tradnl" w:eastAsia="en-US"/>
        </w:rPr>
        <w:t xml:space="preserve">Señalado lo anterior, este órgano </w:t>
      </w:r>
      <w:r w:rsidR="005F76A2" w:rsidRPr="000A13DF">
        <w:rPr>
          <w:rFonts w:ascii="Palatino Linotype" w:hAnsi="Palatino Linotype"/>
          <w:lang w:val="es-ES_tradnl" w:eastAsia="en-US"/>
        </w:rPr>
        <w:t>g</w:t>
      </w:r>
      <w:r w:rsidRPr="000A13DF">
        <w:rPr>
          <w:rFonts w:ascii="Palatino Linotype" w:hAnsi="Palatino Linotype"/>
          <w:lang w:val="es-ES_tradnl" w:eastAsia="en-US"/>
        </w:rPr>
        <w:t xml:space="preserve">arante </w:t>
      </w:r>
      <w:r w:rsidR="005F76A2" w:rsidRPr="000A13DF">
        <w:rPr>
          <w:rFonts w:ascii="Palatino Linotype" w:hAnsi="Palatino Linotype"/>
          <w:lang w:val="es-ES_tradnl" w:eastAsia="en-US"/>
        </w:rPr>
        <w:t xml:space="preserve">no pasa por alto justificar, que la dilación en la resolución del presente asunto encuentra justificación en el alto </w:t>
      </w:r>
      <w:r w:rsidR="005F76A2" w:rsidRPr="000A13DF">
        <w:rPr>
          <w:rFonts w:ascii="Palatino Linotype" w:hAnsi="Palatino Linotype"/>
          <w:lang w:val="es-ES_tradnl" w:eastAsia="en-US"/>
        </w:rPr>
        <w:lastRenderedPageBreak/>
        <w:t>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1851073" w14:textId="77777777" w:rsidR="005F76A2" w:rsidRPr="000A13DF" w:rsidRDefault="005F76A2" w:rsidP="00EE72BA">
      <w:pPr>
        <w:spacing w:line="360" w:lineRule="auto"/>
        <w:ind w:left="708"/>
        <w:rPr>
          <w:rFonts w:ascii="Palatino Linotype" w:hAnsi="Palatino Linotype"/>
          <w:lang w:val="es-ES_tradnl" w:eastAsia="en-US"/>
        </w:rPr>
      </w:pPr>
    </w:p>
    <w:p w14:paraId="68D4B3A3" w14:textId="77777777" w:rsidR="005F76A2" w:rsidRPr="000A13DF" w:rsidRDefault="005F76A2" w:rsidP="00EE72BA">
      <w:pPr>
        <w:numPr>
          <w:ilvl w:val="0"/>
          <w:numId w:val="1"/>
        </w:numPr>
        <w:tabs>
          <w:tab w:val="left" w:pos="426"/>
        </w:tabs>
        <w:spacing w:line="360" w:lineRule="auto"/>
        <w:contextualSpacing/>
        <w:jc w:val="both"/>
        <w:rPr>
          <w:rFonts w:ascii="Palatino Linotype" w:hAnsi="Palatino Linotype"/>
          <w:b/>
          <w:color w:val="000000" w:themeColor="text1"/>
          <w:lang w:val="es-ES_tradnl"/>
        </w:rPr>
      </w:pPr>
      <w:r w:rsidRPr="000A13DF">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2FC6655" w14:textId="77777777" w:rsidR="005F76A2" w:rsidRPr="000A13DF" w:rsidRDefault="005F76A2" w:rsidP="00EE72BA">
      <w:pPr>
        <w:spacing w:line="360" w:lineRule="auto"/>
        <w:ind w:left="708"/>
        <w:rPr>
          <w:rFonts w:ascii="Palatino Linotype" w:hAnsi="Palatino Linotype"/>
          <w:lang w:val="es-ES_tradnl" w:eastAsia="en-US"/>
        </w:rPr>
      </w:pPr>
    </w:p>
    <w:p w14:paraId="67EEA251" w14:textId="77777777" w:rsidR="005F76A2" w:rsidRPr="000A13DF" w:rsidRDefault="005F76A2" w:rsidP="00EE72BA">
      <w:pPr>
        <w:numPr>
          <w:ilvl w:val="0"/>
          <w:numId w:val="1"/>
        </w:numPr>
        <w:tabs>
          <w:tab w:val="left" w:pos="426"/>
        </w:tabs>
        <w:spacing w:line="360" w:lineRule="auto"/>
        <w:contextualSpacing/>
        <w:jc w:val="both"/>
        <w:rPr>
          <w:rFonts w:ascii="Palatino Linotype" w:hAnsi="Palatino Linotype"/>
          <w:b/>
          <w:color w:val="000000" w:themeColor="text1"/>
          <w:lang w:val="es-ES_tradnl"/>
        </w:rPr>
      </w:pPr>
      <w:r w:rsidRPr="000A13DF">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D5FCA7" w14:textId="77777777" w:rsidR="005F76A2" w:rsidRPr="000A13DF" w:rsidRDefault="005F76A2" w:rsidP="00EE72BA">
      <w:pPr>
        <w:spacing w:line="360" w:lineRule="auto"/>
        <w:ind w:left="708"/>
        <w:rPr>
          <w:rFonts w:ascii="Palatino Linotype" w:hAnsi="Palatino Linotype"/>
          <w:lang w:val="es-ES_tradnl" w:eastAsia="en-US"/>
        </w:rPr>
      </w:pPr>
    </w:p>
    <w:p w14:paraId="544A7CD7" w14:textId="77777777" w:rsidR="005F76A2" w:rsidRPr="000A13DF" w:rsidRDefault="005F76A2" w:rsidP="00EE72BA">
      <w:pPr>
        <w:numPr>
          <w:ilvl w:val="0"/>
          <w:numId w:val="1"/>
        </w:numPr>
        <w:tabs>
          <w:tab w:val="left" w:pos="426"/>
        </w:tabs>
        <w:spacing w:line="360" w:lineRule="auto"/>
        <w:contextualSpacing/>
        <w:jc w:val="both"/>
        <w:rPr>
          <w:rFonts w:ascii="Palatino Linotype" w:hAnsi="Palatino Linotype"/>
          <w:b/>
          <w:color w:val="000000" w:themeColor="text1"/>
          <w:lang w:val="es-ES_tradnl"/>
        </w:rPr>
      </w:pPr>
      <w:r w:rsidRPr="000A13DF">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8A42CB5" w14:textId="77777777" w:rsidR="005F76A2" w:rsidRPr="000A13DF" w:rsidRDefault="005F76A2" w:rsidP="00EE72BA">
      <w:pPr>
        <w:spacing w:line="360" w:lineRule="auto"/>
        <w:ind w:left="708"/>
        <w:rPr>
          <w:rFonts w:ascii="Palatino Linotype" w:hAnsi="Palatino Linotype"/>
          <w:lang w:val="es-ES_tradnl" w:eastAsia="en-US"/>
        </w:rPr>
      </w:pPr>
    </w:p>
    <w:p w14:paraId="5D53E51B" w14:textId="77777777" w:rsidR="005F76A2" w:rsidRPr="000A13DF" w:rsidRDefault="005F76A2" w:rsidP="00EE72BA">
      <w:pPr>
        <w:numPr>
          <w:ilvl w:val="0"/>
          <w:numId w:val="1"/>
        </w:numPr>
        <w:tabs>
          <w:tab w:val="left" w:pos="426"/>
        </w:tabs>
        <w:spacing w:line="360" w:lineRule="auto"/>
        <w:contextualSpacing/>
        <w:jc w:val="both"/>
        <w:rPr>
          <w:rFonts w:ascii="Palatino Linotype" w:hAnsi="Palatino Linotype"/>
          <w:b/>
          <w:color w:val="000000" w:themeColor="text1"/>
          <w:lang w:val="es-ES_tradnl"/>
        </w:rPr>
      </w:pPr>
      <w:r w:rsidRPr="000A13DF">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76893657" w14:textId="77777777" w:rsidR="005F76A2" w:rsidRPr="000A13DF" w:rsidRDefault="005F76A2" w:rsidP="00EE72BA">
      <w:pPr>
        <w:spacing w:line="360" w:lineRule="auto"/>
        <w:rPr>
          <w:rFonts w:ascii="Palatino Linotype" w:hAnsi="Palatino Linotype"/>
          <w:lang w:val="es-ES_tradnl" w:eastAsia="en-US"/>
        </w:rPr>
      </w:pPr>
    </w:p>
    <w:p w14:paraId="08F69946" w14:textId="77777777" w:rsidR="005F76A2" w:rsidRPr="000A13DF" w:rsidRDefault="005F76A2" w:rsidP="00EE72BA">
      <w:pPr>
        <w:numPr>
          <w:ilvl w:val="0"/>
          <w:numId w:val="42"/>
        </w:numPr>
        <w:spacing w:line="360" w:lineRule="auto"/>
        <w:ind w:left="990" w:right="918" w:firstLine="0"/>
        <w:jc w:val="both"/>
        <w:rPr>
          <w:rFonts w:ascii="Palatino Linotype" w:hAnsi="Palatino Linotype"/>
          <w:b/>
          <w:lang w:eastAsia="en-US"/>
        </w:rPr>
      </w:pPr>
      <w:r w:rsidRPr="000A13DF">
        <w:rPr>
          <w:rFonts w:ascii="Palatino Linotype" w:hAnsi="Palatino Linotype"/>
          <w:b/>
          <w:lang w:eastAsia="en-US"/>
        </w:rPr>
        <w:t xml:space="preserve">Complejidad del Asunto: La complejidad de la prueba, la pluralidad de sujetos procesales, el tiempo transcurrido, las características y contexto del recurso. </w:t>
      </w:r>
    </w:p>
    <w:p w14:paraId="7762DB08" w14:textId="77777777" w:rsidR="005F76A2" w:rsidRPr="000A13DF" w:rsidRDefault="005F76A2" w:rsidP="00EE72BA">
      <w:pPr>
        <w:spacing w:line="360" w:lineRule="auto"/>
        <w:ind w:left="990" w:right="918"/>
        <w:jc w:val="both"/>
        <w:rPr>
          <w:rFonts w:ascii="Palatino Linotype" w:hAnsi="Palatino Linotype"/>
          <w:lang w:eastAsia="en-US"/>
        </w:rPr>
      </w:pPr>
    </w:p>
    <w:p w14:paraId="2679C27C" w14:textId="77777777" w:rsidR="005F76A2" w:rsidRPr="000A13DF" w:rsidRDefault="005F76A2" w:rsidP="00EE72BA">
      <w:pPr>
        <w:numPr>
          <w:ilvl w:val="0"/>
          <w:numId w:val="42"/>
        </w:numPr>
        <w:spacing w:line="360" w:lineRule="auto"/>
        <w:ind w:left="990" w:right="918" w:firstLine="0"/>
        <w:jc w:val="both"/>
        <w:rPr>
          <w:rFonts w:ascii="Palatino Linotype" w:hAnsi="Palatino Linotype"/>
          <w:b/>
          <w:lang w:eastAsia="en-US"/>
        </w:rPr>
      </w:pPr>
      <w:r w:rsidRPr="000A13DF">
        <w:rPr>
          <w:rFonts w:ascii="Palatino Linotype" w:hAnsi="Palatino Linotype"/>
          <w:b/>
          <w:lang w:eastAsia="en-US"/>
        </w:rPr>
        <w:t>Actividad Procesal del interesado. Acciones u omisiones del interesado.</w:t>
      </w:r>
    </w:p>
    <w:p w14:paraId="2826DD33" w14:textId="77777777" w:rsidR="005F76A2" w:rsidRPr="000A13DF" w:rsidRDefault="005F76A2" w:rsidP="00EE72BA">
      <w:pPr>
        <w:spacing w:line="360" w:lineRule="auto"/>
        <w:ind w:left="990" w:right="918"/>
        <w:jc w:val="both"/>
        <w:rPr>
          <w:rFonts w:ascii="Palatino Linotype" w:hAnsi="Palatino Linotype"/>
          <w:b/>
          <w:lang w:val="es-ES_tradnl" w:eastAsia="en-US"/>
        </w:rPr>
      </w:pPr>
    </w:p>
    <w:p w14:paraId="7600B24F" w14:textId="77777777" w:rsidR="005F76A2" w:rsidRPr="000A13DF" w:rsidRDefault="005F76A2" w:rsidP="00EE72BA">
      <w:pPr>
        <w:numPr>
          <w:ilvl w:val="0"/>
          <w:numId w:val="42"/>
        </w:numPr>
        <w:spacing w:line="360" w:lineRule="auto"/>
        <w:ind w:left="990" w:right="918" w:firstLine="0"/>
        <w:jc w:val="both"/>
        <w:rPr>
          <w:rFonts w:ascii="Palatino Linotype" w:hAnsi="Palatino Linotype"/>
          <w:b/>
          <w:lang w:eastAsia="en-US"/>
        </w:rPr>
      </w:pPr>
      <w:r w:rsidRPr="000A13DF">
        <w:rPr>
          <w:rFonts w:ascii="Palatino Linotype" w:hAnsi="Palatino Linotype"/>
          <w:b/>
          <w:lang w:eastAsia="en-US"/>
        </w:rPr>
        <w:t>Conducta de la Autoridad: Las Acciones u omisiones realizadas en el procedimiento. Así como si la autoridad actuó con la debida diligencia.</w:t>
      </w:r>
    </w:p>
    <w:p w14:paraId="13C5772A" w14:textId="77777777" w:rsidR="005F76A2" w:rsidRPr="000A13DF" w:rsidRDefault="005F76A2" w:rsidP="00EE72BA">
      <w:pPr>
        <w:spacing w:line="360" w:lineRule="auto"/>
        <w:ind w:left="990" w:right="918"/>
        <w:jc w:val="both"/>
        <w:rPr>
          <w:rFonts w:ascii="Palatino Linotype" w:hAnsi="Palatino Linotype"/>
          <w:b/>
          <w:lang w:eastAsia="en-US"/>
        </w:rPr>
      </w:pPr>
    </w:p>
    <w:p w14:paraId="1979407B" w14:textId="77777777" w:rsidR="005F76A2" w:rsidRPr="000A13DF" w:rsidRDefault="005F76A2" w:rsidP="00EE72BA">
      <w:pPr>
        <w:spacing w:line="360" w:lineRule="auto"/>
        <w:ind w:left="990" w:right="918"/>
        <w:jc w:val="both"/>
        <w:rPr>
          <w:rFonts w:ascii="Palatino Linotype" w:hAnsi="Palatino Linotype"/>
          <w:b/>
          <w:lang w:val="es-ES_tradnl" w:eastAsia="en-US"/>
        </w:rPr>
      </w:pPr>
      <w:r w:rsidRPr="000A13DF">
        <w:rPr>
          <w:rFonts w:ascii="Palatino Linotype" w:hAnsi="Palatino Linotype"/>
          <w:b/>
          <w:lang w:val="es-ES_tradnl" w:eastAsia="en-US"/>
        </w:rPr>
        <w:t>d) La afectación generada en la situación jurídica de la persona involucrada en el proceso: Violación a sus derechos humanos.</w:t>
      </w:r>
    </w:p>
    <w:p w14:paraId="5BAB6754" w14:textId="77777777" w:rsidR="005F76A2" w:rsidRPr="000A13DF" w:rsidRDefault="005F76A2" w:rsidP="00EE72BA">
      <w:pPr>
        <w:spacing w:line="360" w:lineRule="auto"/>
        <w:rPr>
          <w:rFonts w:ascii="Palatino Linotype" w:hAnsi="Palatino Linotype"/>
          <w:lang w:val="es-ES_tradnl" w:eastAsia="en-US"/>
        </w:rPr>
      </w:pPr>
    </w:p>
    <w:p w14:paraId="59A7E7A4" w14:textId="77777777" w:rsidR="005F76A2" w:rsidRPr="000A13DF" w:rsidRDefault="005F76A2" w:rsidP="00EE72BA">
      <w:pPr>
        <w:numPr>
          <w:ilvl w:val="0"/>
          <w:numId w:val="1"/>
        </w:numPr>
        <w:tabs>
          <w:tab w:val="left" w:pos="0"/>
        </w:tabs>
        <w:spacing w:line="360" w:lineRule="auto"/>
        <w:jc w:val="both"/>
        <w:rPr>
          <w:rFonts w:ascii="Palatino Linotype" w:hAnsi="Palatino Linotype"/>
          <w:lang w:val="es-ES_tradnl" w:eastAsia="en-US"/>
        </w:rPr>
      </w:pPr>
      <w:r w:rsidRPr="000A13DF">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6E6E86" w14:textId="77777777" w:rsidR="005F76A2" w:rsidRPr="000A13DF" w:rsidRDefault="005F76A2" w:rsidP="00EE72BA">
      <w:pPr>
        <w:spacing w:line="360" w:lineRule="auto"/>
        <w:rPr>
          <w:rFonts w:ascii="Palatino Linotype" w:hAnsi="Palatino Linotype"/>
          <w:lang w:val="es-ES_tradnl" w:eastAsia="en-US"/>
        </w:rPr>
      </w:pPr>
    </w:p>
    <w:p w14:paraId="3C92CC64" w14:textId="77777777" w:rsidR="005F76A2" w:rsidRPr="000A13DF" w:rsidRDefault="005F76A2" w:rsidP="00EE72BA">
      <w:pPr>
        <w:numPr>
          <w:ilvl w:val="0"/>
          <w:numId w:val="1"/>
        </w:numPr>
        <w:tabs>
          <w:tab w:val="left" w:pos="0"/>
        </w:tabs>
        <w:spacing w:line="360" w:lineRule="auto"/>
        <w:jc w:val="both"/>
        <w:rPr>
          <w:rFonts w:ascii="Palatino Linotype" w:hAnsi="Palatino Linotype"/>
          <w:lang w:val="es-ES_tradnl" w:eastAsia="en-US"/>
        </w:rPr>
      </w:pPr>
      <w:r w:rsidRPr="000A13DF">
        <w:rPr>
          <w:rFonts w:ascii="Palatino Linotype" w:hAnsi="Palatino Linotype"/>
          <w:lang w:val="es-ES_tradnl" w:eastAsia="en-US"/>
        </w:rPr>
        <w:lastRenderedPageBreak/>
        <w:t xml:space="preserve">Argumento que encuentra sustento en la jurisprudencia P./J. 32/92 emitida por el Pleno de la Suprema Corte de Justicia de la Nación de rubro </w:t>
      </w:r>
      <w:r w:rsidRPr="000A13DF">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0A13DF">
        <w:rPr>
          <w:rFonts w:ascii="Palatino Linotype" w:hAnsi="Palatino Linotype"/>
          <w:lang w:val="es-ES_tradnl" w:eastAsia="en-US"/>
        </w:rPr>
        <w:t>, visible en la Gaceta del Seminario Judicial de la Federación con el registro digital 205635.</w:t>
      </w:r>
    </w:p>
    <w:p w14:paraId="66B7FDA1" w14:textId="77777777" w:rsidR="005F76A2" w:rsidRPr="000A13DF" w:rsidRDefault="005F76A2" w:rsidP="00EE72BA">
      <w:pPr>
        <w:tabs>
          <w:tab w:val="left" w:pos="0"/>
        </w:tabs>
        <w:spacing w:line="360" w:lineRule="auto"/>
        <w:jc w:val="both"/>
        <w:rPr>
          <w:rFonts w:ascii="Palatino Linotype" w:hAnsi="Palatino Linotype"/>
          <w:lang w:val="es-ES_tradnl" w:eastAsia="en-US"/>
        </w:rPr>
      </w:pPr>
    </w:p>
    <w:p w14:paraId="3B89F982" w14:textId="77777777" w:rsidR="005F76A2" w:rsidRPr="000A13DF" w:rsidRDefault="005F76A2" w:rsidP="00EE72BA">
      <w:pPr>
        <w:numPr>
          <w:ilvl w:val="0"/>
          <w:numId w:val="1"/>
        </w:numPr>
        <w:tabs>
          <w:tab w:val="left" w:pos="0"/>
        </w:tabs>
        <w:spacing w:line="360" w:lineRule="auto"/>
        <w:jc w:val="both"/>
        <w:rPr>
          <w:rFonts w:ascii="Palatino Linotype" w:hAnsi="Palatino Linotype"/>
          <w:lang w:val="es-ES_tradnl" w:eastAsia="en-US"/>
        </w:rPr>
      </w:pPr>
      <w:r w:rsidRPr="000A13DF">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35B8E8" w14:textId="77777777" w:rsidR="005F76A2" w:rsidRPr="000A13DF" w:rsidRDefault="005F76A2" w:rsidP="00EE72BA">
      <w:pPr>
        <w:tabs>
          <w:tab w:val="left" w:pos="0"/>
        </w:tabs>
        <w:spacing w:line="360" w:lineRule="auto"/>
        <w:jc w:val="both"/>
        <w:rPr>
          <w:rFonts w:ascii="Palatino Linotype" w:hAnsi="Palatino Linotype"/>
          <w:lang w:val="es-ES_tradnl" w:eastAsia="en-US"/>
        </w:rPr>
      </w:pPr>
    </w:p>
    <w:p w14:paraId="23037D77" w14:textId="77777777" w:rsidR="005F76A2" w:rsidRPr="000A13DF" w:rsidRDefault="005F76A2" w:rsidP="00EE72BA">
      <w:pPr>
        <w:numPr>
          <w:ilvl w:val="0"/>
          <w:numId w:val="1"/>
        </w:numPr>
        <w:tabs>
          <w:tab w:val="left" w:pos="0"/>
        </w:tabs>
        <w:spacing w:line="360" w:lineRule="auto"/>
        <w:jc w:val="both"/>
        <w:rPr>
          <w:rFonts w:ascii="Palatino Linotype" w:hAnsi="Palatino Linotype"/>
          <w:lang w:val="es-ES_tradnl" w:eastAsia="en-US"/>
        </w:rPr>
      </w:pPr>
      <w:r w:rsidRPr="000A13D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7F10842" w14:textId="77777777" w:rsidR="005F76A2" w:rsidRPr="000A13DF" w:rsidRDefault="005F76A2" w:rsidP="00EE72BA">
      <w:pPr>
        <w:spacing w:line="360" w:lineRule="auto"/>
        <w:rPr>
          <w:rFonts w:ascii="Palatino Linotype" w:hAnsi="Palatino Linotype"/>
          <w:lang w:val="es-ES_tradnl" w:eastAsia="en-US"/>
        </w:rPr>
      </w:pPr>
    </w:p>
    <w:p w14:paraId="54D6B77F" w14:textId="77777777" w:rsidR="005F76A2" w:rsidRPr="000A13DF" w:rsidRDefault="005F76A2" w:rsidP="00EE72BA">
      <w:pPr>
        <w:numPr>
          <w:ilvl w:val="0"/>
          <w:numId w:val="1"/>
        </w:numPr>
        <w:spacing w:line="360" w:lineRule="auto"/>
        <w:jc w:val="both"/>
        <w:rPr>
          <w:rFonts w:ascii="Palatino Linotype" w:hAnsi="Palatino Linotype"/>
          <w:lang w:val="es-ES_tradnl" w:eastAsia="en-US"/>
        </w:rPr>
      </w:pPr>
      <w:r w:rsidRPr="000A13DF">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4C4A7614" w14:textId="77777777" w:rsidR="005F76A2" w:rsidRPr="000A13DF" w:rsidRDefault="005F76A2" w:rsidP="00EE72BA">
      <w:pPr>
        <w:spacing w:line="360" w:lineRule="auto"/>
        <w:rPr>
          <w:rFonts w:ascii="Palatino Linotype" w:hAnsi="Palatino Linotype"/>
          <w:lang w:val="es-ES_tradnl" w:eastAsia="en-US"/>
        </w:rPr>
      </w:pPr>
    </w:p>
    <w:p w14:paraId="5FA0A92B" w14:textId="77777777" w:rsidR="005F76A2" w:rsidRPr="000A13DF" w:rsidRDefault="005F76A2" w:rsidP="00EE72BA">
      <w:pPr>
        <w:spacing w:line="360" w:lineRule="auto"/>
        <w:ind w:left="720" w:right="828"/>
        <w:jc w:val="both"/>
        <w:rPr>
          <w:rFonts w:ascii="Palatino Linotype" w:hAnsi="Palatino Linotype"/>
          <w:i/>
          <w:lang w:val="es-ES_tradnl" w:eastAsia="en-US"/>
        </w:rPr>
      </w:pPr>
      <w:r w:rsidRPr="000A13DF">
        <w:rPr>
          <w:rFonts w:ascii="Palatino Linotype" w:hAnsi="Palatino Linotype"/>
          <w:lang w:val="es-ES_tradnl" w:eastAsia="en-US"/>
        </w:rPr>
        <w:t xml:space="preserve"> </w:t>
      </w:r>
      <w:r w:rsidRPr="000A13DF">
        <w:rPr>
          <w:rFonts w:ascii="Palatino Linotype" w:hAnsi="Palatino Linotype"/>
          <w:i/>
          <w:lang w:val="es-ES_tradnl" w:eastAsia="en-US"/>
        </w:rPr>
        <w:t>“</w:t>
      </w:r>
      <w:r w:rsidRPr="000A13DF">
        <w:rPr>
          <w:rFonts w:ascii="Palatino Linotype" w:hAnsi="Palatino Linotype"/>
          <w:b/>
          <w:i/>
          <w:lang w:val="es-ES_tradnl" w:eastAsia="en-US"/>
        </w:rPr>
        <w:t>PLAZO RAZONABLE PARA RESOLVER. DIMENSIÓN Y EFECTOS DE ESTE CONCEPTO CUANDO SE ADUCE EXCESIVA CARGA DE TRABAJO</w:t>
      </w:r>
      <w:r w:rsidRPr="000A13DF">
        <w:rPr>
          <w:rFonts w:ascii="Palatino Linotype" w:hAnsi="Palatino Linotype"/>
          <w:i/>
          <w:lang w:val="es-ES_tradnl" w:eastAsia="en-US"/>
        </w:rPr>
        <w:t>.” consultable en el Seminario Judicial de la Federación y su gaceta, con el registro digital 2002351.</w:t>
      </w:r>
    </w:p>
    <w:p w14:paraId="3186B089" w14:textId="77777777" w:rsidR="005F76A2" w:rsidRPr="000A13DF" w:rsidRDefault="005F76A2" w:rsidP="00EE72BA">
      <w:pPr>
        <w:spacing w:line="360" w:lineRule="auto"/>
        <w:ind w:left="720" w:right="828"/>
        <w:jc w:val="both"/>
        <w:rPr>
          <w:rFonts w:ascii="Palatino Linotype" w:hAnsi="Palatino Linotype"/>
          <w:i/>
          <w:lang w:val="es-ES_tradnl" w:eastAsia="en-US"/>
        </w:rPr>
      </w:pPr>
    </w:p>
    <w:p w14:paraId="04392E1D" w14:textId="3EFC4690" w:rsidR="005F76A2" w:rsidRPr="000A13DF" w:rsidRDefault="00907C8E" w:rsidP="00EE72BA">
      <w:pPr>
        <w:spacing w:line="360" w:lineRule="auto"/>
        <w:ind w:left="720" w:right="828"/>
        <w:jc w:val="both"/>
        <w:rPr>
          <w:rFonts w:ascii="Palatino Linotype" w:hAnsi="Palatino Linotype"/>
          <w:i/>
          <w:lang w:val="es-ES_tradnl" w:eastAsia="en-US"/>
        </w:rPr>
      </w:pPr>
      <w:r w:rsidRPr="000A13DF">
        <w:rPr>
          <w:rFonts w:ascii="Palatino Linotype" w:hAnsi="Palatino Linotype"/>
          <w:i/>
          <w:lang w:val="es-ES_tradnl" w:eastAsia="en-US"/>
        </w:rPr>
        <w:t xml:space="preserve"> </w:t>
      </w:r>
      <w:r w:rsidR="005F76A2" w:rsidRPr="000A13DF">
        <w:rPr>
          <w:rFonts w:ascii="Palatino Linotype" w:hAnsi="Palatino Linotype"/>
          <w:i/>
          <w:lang w:val="es-ES_tradnl" w:eastAsia="en-US"/>
        </w:rPr>
        <w:t>“</w:t>
      </w:r>
      <w:r w:rsidR="005F76A2" w:rsidRPr="000A13DF">
        <w:rPr>
          <w:rFonts w:ascii="Palatino Linotype" w:hAnsi="Palatino Linotype"/>
          <w:b/>
          <w:i/>
          <w:lang w:val="es-ES_tradnl" w:eastAsia="en-US"/>
        </w:rPr>
        <w:t>PLAZO RAZONABLE PARA RESOLVER. CONCEPTO Y ELEMENTOS QUE LO INTEGRAN A LA LUZ DEL DERECHO INTERNACIONAL DE LOS DERECHOS HUMANOS</w:t>
      </w:r>
      <w:r w:rsidR="005F76A2" w:rsidRPr="000A13DF">
        <w:rPr>
          <w:rFonts w:ascii="Palatino Linotype" w:hAnsi="Palatino Linotype"/>
          <w:i/>
          <w:lang w:val="es-ES_tradnl" w:eastAsia="en-US"/>
        </w:rPr>
        <w:t>.”, visible en el Seminario Judicial de la Federación y su gaceta, con el registro digital 2002350.</w:t>
      </w:r>
    </w:p>
    <w:p w14:paraId="20AAB068" w14:textId="77777777" w:rsidR="005F76A2" w:rsidRPr="000A13DF" w:rsidRDefault="005F76A2" w:rsidP="00EE72BA">
      <w:pPr>
        <w:spacing w:line="360" w:lineRule="auto"/>
        <w:ind w:left="720" w:right="828"/>
        <w:jc w:val="both"/>
        <w:rPr>
          <w:rFonts w:ascii="Palatino Linotype" w:hAnsi="Palatino Linotype"/>
          <w:i/>
          <w:lang w:val="es-ES_tradnl" w:eastAsia="en-US"/>
        </w:rPr>
      </w:pPr>
    </w:p>
    <w:p w14:paraId="6680BE02" w14:textId="77777777" w:rsidR="005F76A2" w:rsidRPr="000A13DF" w:rsidRDefault="005F76A2" w:rsidP="00EE72BA">
      <w:pPr>
        <w:numPr>
          <w:ilvl w:val="0"/>
          <w:numId w:val="1"/>
        </w:numPr>
        <w:spacing w:line="360" w:lineRule="auto"/>
        <w:rPr>
          <w:rFonts w:ascii="Palatino Linotype" w:hAnsi="Palatino Linotype"/>
          <w:lang w:val="es-ES_tradnl" w:eastAsia="en-US"/>
        </w:rPr>
      </w:pPr>
      <w:r w:rsidRPr="000A13DF">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7406346E" w14:textId="77777777" w:rsidR="005F76A2" w:rsidRPr="000A13DF" w:rsidRDefault="005F76A2" w:rsidP="00EE72BA">
      <w:pPr>
        <w:pStyle w:val="Prrafodelista"/>
        <w:tabs>
          <w:tab w:val="left" w:pos="426"/>
        </w:tabs>
        <w:spacing w:line="360" w:lineRule="auto"/>
        <w:ind w:left="0"/>
        <w:jc w:val="both"/>
        <w:rPr>
          <w:rFonts w:ascii="Palatino Linotype" w:hAnsi="Palatino Linotype"/>
          <w:b/>
          <w:color w:val="000000" w:themeColor="text1"/>
          <w:lang w:val="es-ES_tradnl"/>
        </w:rPr>
      </w:pPr>
    </w:p>
    <w:p w14:paraId="2D165AC5" w14:textId="0C2796EA" w:rsidR="005F76A2" w:rsidRPr="000A13DF" w:rsidRDefault="005F76A2" w:rsidP="00EE72BA">
      <w:pPr>
        <w:pStyle w:val="Prrafodelista"/>
        <w:numPr>
          <w:ilvl w:val="0"/>
          <w:numId w:val="1"/>
        </w:numPr>
        <w:tabs>
          <w:tab w:val="left" w:pos="426"/>
        </w:tabs>
        <w:spacing w:line="360" w:lineRule="auto"/>
        <w:jc w:val="both"/>
        <w:rPr>
          <w:rFonts w:ascii="Palatino Linotype" w:hAnsi="Palatino Linotype"/>
          <w:b/>
          <w:color w:val="000000" w:themeColor="text1"/>
          <w:lang w:val="es-ES_tradnl"/>
        </w:rPr>
      </w:pPr>
      <w:r w:rsidRPr="000A13DF">
        <w:rPr>
          <w:rFonts w:ascii="Palatino Linotype" w:hAnsi="Palatino Linotype"/>
          <w:color w:val="000000" w:themeColor="text1"/>
          <w:lang w:val="es-ES_tradnl"/>
        </w:rPr>
        <w:t>Así las cosas, la</w:t>
      </w:r>
      <w:r w:rsidRPr="000A13DF">
        <w:rPr>
          <w:rFonts w:ascii="Palatino Linotype" w:hAnsi="Palatino Linotype"/>
          <w:b/>
          <w:color w:val="000000" w:themeColor="text1"/>
          <w:lang w:val="es-ES_tradnl"/>
        </w:rPr>
        <w:t xml:space="preserve"> Comisionada María del Rosario Mejía Ayala</w:t>
      </w:r>
      <w:r w:rsidRPr="000A13DF">
        <w:rPr>
          <w:rFonts w:ascii="Palatino Linotype" w:hAnsi="Palatino Linotype"/>
          <w:color w:val="000000" w:themeColor="text1"/>
          <w:lang w:val="es-ES_tradnl"/>
        </w:rPr>
        <w:t xml:space="preserve"> decretó el cierre de instrucción mediante acuerdo de fecha </w:t>
      </w:r>
      <w:r w:rsidR="007A7C82" w:rsidRPr="000A13DF">
        <w:rPr>
          <w:rFonts w:ascii="Palatino Linotype" w:hAnsi="Palatino Linotype"/>
          <w:color w:val="000000" w:themeColor="text1"/>
          <w:lang w:val="es-ES_tradnl"/>
        </w:rPr>
        <w:t>diecinueve (19</w:t>
      </w:r>
      <w:r w:rsidRPr="000A13DF">
        <w:rPr>
          <w:rFonts w:ascii="Palatino Linotype" w:hAnsi="Palatino Linotype"/>
          <w:color w:val="000000" w:themeColor="text1"/>
          <w:lang w:val="es-ES_tradnl"/>
        </w:rPr>
        <w:t xml:space="preserve">) de enero de dos mil </w:t>
      </w:r>
      <w:r w:rsidR="00457D9A" w:rsidRPr="000A13DF">
        <w:rPr>
          <w:rFonts w:ascii="Palatino Linotype" w:hAnsi="Palatino Linotype"/>
          <w:color w:val="000000" w:themeColor="text1"/>
          <w:lang w:val="es-ES_tradnl"/>
        </w:rPr>
        <w:t>veintitrés</w:t>
      </w:r>
      <w:r w:rsidRPr="000A13DF">
        <w:rPr>
          <w:rFonts w:ascii="Palatino Linotype" w:hAnsi="Palatino Linotype"/>
          <w:color w:val="000000" w:themeColor="text1"/>
          <w:lang w:val="es-ES_tradnl"/>
        </w:rPr>
        <w:t>.</w:t>
      </w:r>
    </w:p>
    <w:p w14:paraId="2778F345" w14:textId="77777777" w:rsidR="005F76A2" w:rsidRPr="000A13DF" w:rsidRDefault="005F76A2" w:rsidP="00EE72BA">
      <w:pPr>
        <w:pStyle w:val="Prrafodelista"/>
        <w:tabs>
          <w:tab w:val="left" w:pos="426"/>
        </w:tabs>
        <w:spacing w:line="360" w:lineRule="auto"/>
        <w:ind w:left="0"/>
        <w:jc w:val="both"/>
        <w:rPr>
          <w:rFonts w:ascii="Palatino Linotype" w:hAnsi="Palatino Linotype"/>
          <w:color w:val="000000" w:themeColor="text1"/>
        </w:rPr>
      </w:pPr>
    </w:p>
    <w:p w14:paraId="5F03B1C6" w14:textId="77777777" w:rsidR="00E851FC" w:rsidRPr="000A13DF" w:rsidRDefault="00E851FC" w:rsidP="00EE72BA">
      <w:pPr>
        <w:pStyle w:val="Prrafodelista"/>
        <w:spacing w:line="360" w:lineRule="auto"/>
        <w:rPr>
          <w:rFonts w:ascii="Palatino Linotype" w:hAnsi="Palatino Linotype"/>
          <w:color w:val="000000" w:themeColor="text1"/>
        </w:rPr>
      </w:pPr>
    </w:p>
    <w:p w14:paraId="5CB47E4D" w14:textId="272D7EDF" w:rsidR="00C33279" w:rsidRPr="000A13DF" w:rsidRDefault="007C0013" w:rsidP="00EE72BA">
      <w:pPr>
        <w:pStyle w:val="Ttulo1"/>
        <w:spacing w:before="0" w:line="360" w:lineRule="auto"/>
        <w:jc w:val="center"/>
        <w:rPr>
          <w:b/>
          <w:color w:val="000000" w:themeColor="text1"/>
          <w:szCs w:val="24"/>
        </w:rPr>
      </w:pPr>
      <w:bookmarkStart w:id="5" w:name="_Toc87456485"/>
      <w:r w:rsidRPr="000A13DF">
        <w:rPr>
          <w:b/>
          <w:color w:val="000000" w:themeColor="text1"/>
          <w:szCs w:val="24"/>
        </w:rPr>
        <w:lastRenderedPageBreak/>
        <w:t>CONSIDERANDO</w:t>
      </w:r>
      <w:bookmarkEnd w:id="3"/>
      <w:bookmarkEnd w:id="4"/>
      <w:bookmarkEnd w:id="5"/>
    </w:p>
    <w:p w14:paraId="435CF9A4" w14:textId="77777777" w:rsidR="00FC1DA7" w:rsidRPr="000A13DF" w:rsidRDefault="00FC1DA7" w:rsidP="00EE72BA">
      <w:pPr>
        <w:spacing w:line="360" w:lineRule="auto"/>
        <w:rPr>
          <w:rFonts w:ascii="Palatino Linotype" w:hAnsi="Palatino Linotype"/>
          <w:color w:val="000000" w:themeColor="text1"/>
          <w:lang w:eastAsia="en-US"/>
        </w:rPr>
      </w:pPr>
    </w:p>
    <w:p w14:paraId="629A5BE2" w14:textId="56C3E7D5" w:rsidR="007C0013" w:rsidRPr="000A13DF" w:rsidRDefault="007C0013" w:rsidP="00EE72BA">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0A13DF">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0A13DF" w:rsidRDefault="00FC1DA7" w:rsidP="00EE72BA">
      <w:pPr>
        <w:spacing w:line="360" w:lineRule="auto"/>
        <w:rPr>
          <w:rFonts w:ascii="Palatino Linotype" w:hAnsi="Palatino Linotype"/>
          <w:color w:val="000000" w:themeColor="text1"/>
          <w:lang w:eastAsia="en-US"/>
        </w:rPr>
      </w:pPr>
    </w:p>
    <w:p w14:paraId="0BF52B18" w14:textId="515C3AEB" w:rsidR="005A228F" w:rsidRPr="000A13DF" w:rsidRDefault="00A45546" w:rsidP="00EE72B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A13DF">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A13DF">
        <w:rPr>
          <w:rFonts w:ascii="Palatino Linotype" w:eastAsia="Calibri" w:hAnsi="Palatino Linotype" w:cs="Times New Roman"/>
          <w:color w:val="000000" w:themeColor="text1"/>
          <w:lang w:val="es-ES"/>
        </w:rPr>
        <w:t xml:space="preserve">etente para conocer y resolver </w:t>
      </w:r>
      <w:r w:rsidRPr="000A13DF">
        <w:rPr>
          <w:rFonts w:ascii="Palatino Linotype" w:eastAsia="Calibri" w:hAnsi="Palatino Linotype" w:cs="Times New Roman"/>
          <w:color w:val="000000" w:themeColor="text1"/>
          <w:lang w:val="es-ES"/>
        </w:rPr>
        <w:t xml:space="preserve">el presente recurso de conformidad con el artículo: 6, apartado A, fracción IV de la </w:t>
      </w:r>
      <w:r w:rsidRPr="000A13DF">
        <w:rPr>
          <w:rFonts w:ascii="Palatino Linotype" w:eastAsia="Calibri" w:hAnsi="Palatino Linotype" w:cs="Times New Roman"/>
          <w:b/>
          <w:color w:val="000000" w:themeColor="text1"/>
          <w:lang w:val="es-ES"/>
        </w:rPr>
        <w:t>Constitución Política de los Estados Unidos Mexicanos</w:t>
      </w:r>
      <w:r w:rsidRPr="000A13DF">
        <w:rPr>
          <w:rFonts w:ascii="Palatino Linotype" w:eastAsia="Calibri" w:hAnsi="Palatino Linotype" w:cs="Times New Roman"/>
          <w:color w:val="000000" w:themeColor="text1"/>
          <w:lang w:val="es-ES"/>
        </w:rPr>
        <w:t xml:space="preserve">; 5, párrafos </w:t>
      </w:r>
      <w:r w:rsidR="000B7C4F" w:rsidRPr="000A13DF">
        <w:rPr>
          <w:rFonts w:ascii="Palatino Linotype" w:eastAsia="Calibri" w:hAnsi="Palatino Linotype" w:cs="Times New Roman"/>
          <w:color w:val="000000" w:themeColor="text1"/>
          <w:lang w:val="es-ES"/>
        </w:rPr>
        <w:t>trigésimo, trigésimo primero y trigésimo segundo</w:t>
      </w:r>
      <w:r w:rsidR="004F785F" w:rsidRPr="000A13DF">
        <w:rPr>
          <w:rFonts w:ascii="Palatino Linotype" w:eastAsia="Calibri" w:hAnsi="Palatino Linotype" w:cs="Times New Roman"/>
          <w:color w:val="000000" w:themeColor="text1"/>
          <w:lang w:val="es-ES"/>
        </w:rPr>
        <w:t>,</w:t>
      </w:r>
      <w:r w:rsidRPr="000A13DF">
        <w:rPr>
          <w:rFonts w:ascii="Palatino Linotype" w:eastAsia="Calibri" w:hAnsi="Palatino Linotype" w:cs="Times New Roman"/>
          <w:color w:val="000000" w:themeColor="text1"/>
          <w:lang w:val="es-ES"/>
        </w:rPr>
        <w:t xml:space="preserve"> fracciones IV y V</w:t>
      </w:r>
      <w:r w:rsidR="004F785F" w:rsidRPr="000A13DF">
        <w:rPr>
          <w:rFonts w:ascii="Palatino Linotype" w:eastAsia="Calibri" w:hAnsi="Palatino Linotype" w:cs="Times New Roman"/>
          <w:color w:val="000000" w:themeColor="text1"/>
          <w:lang w:val="es-ES"/>
        </w:rPr>
        <w:t>,</w:t>
      </w:r>
      <w:r w:rsidRPr="000A13DF">
        <w:rPr>
          <w:rFonts w:ascii="Palatino Linotype" w:eastAsia="Calibri" w:hAnsi="Palatino Linotype" w:cs="Times New Roman"/>
          <w:color w:val="000000" w:themeColor="text1"/>
          <w:lang w:val="es-ES"/>
        </w:rPr>
        <w:t xml:space="preserve"> de la </w:t>
      </w:r>
      <w:r w:rsidRPr="000A13DF">
        <w:rPr>
          <w:rFonts w:ascii="Palatino Linotype" w:eastAsia="Calibri" w:hAnsi="Palatino Linotype" w:cs="Times New Roman"/>
          <w:b/>
          <w:color w:val="000000" w:themeColor="text1"/>
          <w:lang w:val="es-ES"/>
        </w:rPr>
        <w:t>Constitución Política del Estado Libre y Soberano de México</w:t>
      </w:r>
      <w:r w:rsidRPr="000A13DF">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A13DF">
        <w:rPr>
          <w:rFonts w:ascii="Palatino Linotype" w:eastAsia="Calibri" w:hAnsi="Palatino Linotype" w:cs="Arial"/>
          <w:color w:val="000000" w:themeColor="text1"/>
          <w:lang w:val="es-ES"/>
        </w:rPr>
        <w:t xml:space="preserve">de la </w:t>
      </w:r>
      <w:r w:rsidRPr="000A13DF">
        <w:rPr>
          <w:rFonts w:ascii="Palatino Linotype" w:eastAsia="Calibri" w:hAnsi="Palatino Linotype" w:cs="Arial"/>
          <w:b/>
          <w:color w:val="000000" w:themeColor="text1"/>
          <w:lang w:val="es-ES"/>
        </w:rPr>
        <w:t>Ley de Transparencia y Acceso a la Información Pública del Estado de México y Municipios</w:t>
      </w:r>
      <w:r w:rsidRPr="000A13DF">
        <w:rPr>
          <w:rFonts w:ascii="Palatino Linotype" w:eastAsia="Calibri" w:hAnsi="Palatino Linotype" w:cs="Arial"/>
          <w:color w:val="000000" w:themeColor="text1"/>
          <w:lang w:val="es-ES"/>
        </w:rPr>
        <w:t xml:space="preserve">; y 10, 7, 9 fracciones I y XXIV, y 11 del </w:t>
      </w:r>
      <w:r w:rsidRPr="000A13DF">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A13DF" w:rsidRDefault="002630E4" w:rsidP="00EE72B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A13DF" w:rsidRDefault="007C0013" w:rsidP="00EE72BA">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0A13DF">
        <w:rPr>
          <w:rFonts w:ascii="Palatino Linotype" w:hAnsi="Palatino Linotype"/>
          <w:b/>
          <w:color w:val="000000" w:themeColor="text1"/>
          <w:sz w:val="24"/>
          <w:szCs w:val="24"/>
        </w:rPr>
        <w:t>SEGUNDO. De la oportunidad y proced</w:t>
      </w:r>
      <w:r w:rsidR="00F35C44" w:rsidRPr="000A13DF">
        <w:rPr>
          <w:rFonts w:ascii="Palatino Linotype" w:hAnsi="Palatino Linotype"/>
          <w:b/>
          <w:color w:val="000000" w:themeColor="text1"/>
          <w:sz w:val="24"/>
          <w:szCs w:val="24"/>
        </w:rPr>
        <w:t>encia</w:t>
      </w:r>
      <w:r w:rsidRPr="000A13DF">
        <w:rPr>
          <w:rFonts w:ascii="Palatino Linotype" w:hAnsi="Palatino Linotype"/>
          <w:b/>
          <w:color w:val="000000" w:themeColor="text1"/>
          <w:sz w:val="24"/>
          <w:szCs w:val="24"/>
        </w:rPr>
        <w:t>.</w:t>
      </w:r>
      <w:bookmarkEnd w:id="9"/>
      <w:bookmarkEnd w:id="10"/>
      <w:bookmarkEnd w:id="11"/>
    </w:p>
    <w:p w14:paraId="18E22450" w14:textId="77777777" w:rsidR="00C6440A" w:rsidRPr="000A13DF" w:rsidRDefault="00C6440A" w:rsidP="00EE72BA">
      <w:pPr>
        <w:spacing w:line="360" w:lineRule="auto"/>
        <w:rPr>
          <w:rFonts w:ascii="Palatino Linotype" w:hAnsi="Palatino Linotype"/>
          <w:color w:val="000000" w:themeColor="text1"/>
          <w:lang w:eastAsia="en-US"/>
        </w:rPr>
      </w:pPr>
    </w:p>
    <w:p w14:paraId="7D631690" w14:textId="50B01997" w:rsidR="00B34758" w:rsidRPr="000A13DF" w:rsidRDefault="003E6D0F" w:rsidP="00EE72B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13DF">
        <w:rPr>
          <w:rFonts w:ascii="Palatino Linotype" w:eastAsia="Calibri" w:hAnsi="Palatino Linotype" w:cs="Arial"/>
          <w:color w:val="000000" w:themeColor="text1"/>
        </w:rPr>
        <w:t xml:space="preserve">El </w:t>
      </w:r>
      <w:r w:rsidR="00740BA4" w:rsidRPr="000A13DF">
        <w:rPr>
          <w:rFonts w:ascii="Palatino Linotype" w:eastAsia="Calibri" w:hAnsi="Palatino Linotype" w:cs="Arial"/>
          <w:color w:val="000000" w:themeColor="text1"/>
        </w:rPr>
        <w:t xml:space="preserve">medio de impugnación fue presentado a través del </w:t>
      </w:r>
      <w:r w:rsidR="00740BA4" w:rsidRPr="000A13DF">
        <w:rPr>
          <w:rFonts w:ascii="Palatino Linotype" w:eastAsia="Calibri" w:hAnsi="Palatino Linotype" w:cs="Arial"/>
          <w:bCs/>
          <w:iCs/>
          <w:color w:val="000000" w:themeColor="text1"/>
        </w:rPr>
        <w:t>SAIMEX</w:t>
      </w:r>
      <w:r w:rsidR="00740BA4" w:rsidRPr="000A13DF">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0A13DF">
        <w:rPr>
          <w:rFonts w:ascii="Palatino Linotype" w:eastAsia="Calibri" w:hAnsi="Palatino Linotype" w:cs="Arial"/>
          <w:b/>
          <w:color w:val="000000" w:themeColor="text1"/>
        </w:rPr>
        <w:t>SUJETO OBLIGADO</w:t>
      </w:r>
      <w:r w:rsidR="00740BA4" w:rsidRPr="000A13DF">
        <w:rPr>
          <w:rFonts w:ascii="Palatino Linotype" w:eastAsia="Calibri" w:hAnsi="Palatino Linotype" w:cs="Arial"/>
          <w:color w:val="000000" w:themeColor="text1"/>
        </w:rPr>
        <w:t xml:space="preserve"> entregó respuesta el </w:t>
      </w:r>
      <w:r w:rsidR="00457D9A" w:rsidRPr="000A13DF">
        <w:rPr>
          <w:rFonts w:ascii="Palatino Linotype" w:eastAsia="Calibri" w:hAnsi="Palatino Linotype" w:cs="Arial"/>
          <w:color w:val="000000" w:themeColor="text1"/>
        </w:rPr>
        <w:t>cuatro</w:t>
      </w:r>
      <w:r w:rsidR="00F778B2" w:rsidRPr="000A13DF">
        <w:rPr>
          <w:rFonts w:ascii="Palatino Linotype" w:eastAsia="Calibri" w:hAnsi="Palatino Linotype" w:cs="Arial"/>
          <w:color w:val="000000" w:themeColor="text1"/>
        </w:rPr>
        <w:t xml:space="preserve"> (</w:t>
      </w:r>
      <w:r w:rsidR="00457D9A" w:rsidRPr="000A13DF">
        <w:rPr>
          <w:rFonts w:ascii="Palatino Linotype" w:eastAsia="Calibri" w:hAnsi="Palatino Linotype" w:cs="Arial"/>
          <w:color w:val="000000" w:themeColor="text1"/>
        </w:rPr>
        <w:t>04</w:t>
      </w:r>
      <w:r w:rsidR="00F778B2" w:rsidRPr="000A13DF">
        <w:rPr>
          <w:rFonts w:ascii="Palatino Linotype" w:eastAsia="Calibri" w:hAnsi="Palatino Linotype" w:cs="Arial"/>
          <w:color w:val="000000" w:themeColor="text1"/>
        </w:rPr>
        <w:t>) d</w:t>
      </w:r>
      <w:r w:rsidR="00921375" w:rsidRPr="000A13DF">
        <w:rPr>
          <w:rFonts w:ascii="Palatino Linotype" w:eastAsia="Calibri" w:hAnsi="Palatino Linotype" w:cs="Arial"/>
          <w:color w:val="000000" w:themeColor="text1"/>
        </w:rPr>
        <w:t xml:space="preserve">e </w:t>
      </w:r>
      <w:r w:rsidR="00457D9A" w:rsidRPr="000A13DF">
        <w:rPr>
          <w:rFonts w:ascii="Palatino Linotype" w:eastAsia="Calibri" w:hAnsi="Palatino Linotype" w:cs="Arial"/>
          <w:color w:val="000000" w:themeColor="text1"/>
        </w:rPr>
        <w:t>marzo</w:t>
      </w:r>
      <w:r w:rsidR="007F372C" w:rsidRPr="000A13DF">
        <w:rPr>
          <w:rFonts w:ascii="Palatino Linotype" w:eastAsia="Calibri" w:hAnsi="Palatino Linotype" w:cs="Arial"/>
          <w:color w:val="000000" w:themeColor="text1"/>
        </w:rPr>
        <w:t xml:space="preserve"> </w:t>
      </w:r>
      <w:r w:rsidR="00740BA4" w:rsidRPr="000A13DF">
        <w:rPr>
          <w:rFonts w:ascii="Palatino Linotype" w:eastAsia="Calibri" w:hAnsi="Palatino Linotype" w:cs="Arial"/>
          <w:color w:val="000000" w:themeColor="text1"/>
        </w:rPr>
        <w:t>de dos mil veinti</w:t>
      </w:r>
      <w:r w:rsidR="001B32B2" w:rsidRPr="000A13DF">
        <w:rPr>
          <w:rFonts w:ascii="Palatino Linotype" w:eastAsia="Calibri" w:hAnsi="Palatino Linotype" w:cs="Arial"/>
          <w:color w:val="000000" w:themeColor="text1"/>
        </w:rPr>
        <w:t>dós</w:t>
      </w:r>
      <w:r w:rsidR="00740BA4" w:rsidRPr="000A13DF">
        <w:rPr>
          <w:rFonts w:ascii="Palatino Linotype" w:eastAsia="Calibri" w:hAnsi="Palatino Linotype" w:cs="Arial"/>
          <w:color w:val="000000" w:themeColor="text1"/>
        </w:rPr>
        <w:t>, de tal forma que el plazo para interponer el recurso de revisión transcurrió del</w:t>
      </w:r>
      <w:r w:rsidR="005A3F61" w:rsidRPr="000A13DF">
        <w:rPr>
          <w:rFonts w:ascii="Palatino Linotype" w:eastAsia="Calibri" w:hAnsi="Palatino Linotype" w:cs="Arial"/>
          <w:color w:val="000000" w:themeColor="text1"/>
        </w:rPr>
        <w:t xml:space="preserve"> </w:t>
      </w:r>
      <w:r w:rsidR="00457D9A" w:rsidRPr="000A13DF">
        <w:rPr>
          <w:rFonts w:ascii="Palatino Linotype" w:eastAsia="Calibri" w:hAnsi="Palatino Linotype" w:cs="Arial"/>
          <w:color w:val="000000" w:themeColor="text1"/>
        </w:rPr>
        <w:t>siete</w:t>
      </w:r>
      <w:r w:rsidR="009A3B2B" w:rsidRPr="000A13DF">
        <w:rPr>
          <w:rFonts w:ascii="Palatino Linotype" w:eastAsia="Calibri" w:hAnsi="Palatino Linotype" w:cs="Arial"/>
          <w:color w:val="000000" w:themeColor="text1"/>
        </w:rPr>
        <w:t xml:space="preserve"> </w:t>
      </w:r>
      <w:r w:rsidR="00457D9A" w:rsidRPr="000A13DF">
        <w:rPr>
          <w:rFonts w:ascii="Palatino Linotype" w:eastAsia="Calibri" w:hAnsi="Palatino Linotype" w:cs="Arial"/>
          <w:color w:val="000000" w:themeColor="text1"/>
        </w:rPr>
        <w:t xml:space="preserve">(07) </w:t>
      </w:r>
      <w:r w:rsidR="00F778B2" w:rsidRPr="000A13DF">
        <w:rPr>
          <w:rFonts w:ascii="Palatino Linotype" w:eastAsia="Calibri" w:hAnsi="Palatino Linotype" w:cs="Arial"/>
          <w:color w:val="000000" w:themeColor="text1"/>
        </w:rPr>
        <w:t xml:space="preserve">al </w:t>
      </w:r>
      <w:r w:rsidR="00457D9A" w:rsidRPr="000A13DF">
        <w:rPr>
          <w:rFonts w:ascii="Palatino Linotype" w:eastAsia="Calibri" w:hAnsi="Palatino Linotype" w:cs="Arial"/>
          <w:color w:val="000000" w:themeColor="text1"/>
        </w:rPr>
        <w:t xml:space="preserve">veintiocho </w:t>
      </w:r>
      <w:r w:rsidR="00236319" w:rsidRPr="000A13DF">
        <w:rPr>
          <w:rFonts w:ascii="Palatino Linotype" w:eastAsia="Calibri" w:hAnsi="Palatino Linotype" w:cs="Arial"/>
          <w:color w:val="000000" w:themeColor="text1"/>
        </w:rPr>
        <w:t>(</w:t>
      </w:r>
      <w:r w:rsidR="00457D9A" w:rsidRPr="000A13DF">
        <w:rPr>
          <w:rFonts w:ascii="Palatino Linotype" w:eastAsia="Calibri" w:hAnsi="Palatino Linotype" w:cs="Arial"/>
          <w:color w:val="000000" w:themeColor="text1"/>
        </w:rPr>
        <w:t>28</w:t>
      </w:r>
      <w:r w:rsidR="00236319" w:rsidRPr="000A13DF">
        <w:rPr>
          <w:rFonts w:ascii="Palatino Linotype" w:eastAsia="Calibri" w:hAnsi="Palatino Linotype" w:cs="Arial"/>
          <w:color w:val="000000" w:themeColor="text1"/>
        </w:rPr>
        <w:t xml:space="preserve">) de </w:t>
      </w:r>
      <w:r w:rsidR="00457D9A" w:rsidRPr="000A13DF">
        <w:rPr>
          <w:rFonts w:ascii="Palatino Linotype" w:eastAsia="Calibri" w:hAnsi="Palatino Linotype" w:cs="Arial"/>
          <w:color w:val="000000" w:themeColor="text1"/>
        </w:rPr>
        <w:t>marzo</w:t>
      </w:r>
      <w:r w:rsidR="00AA37A7" w:rsidRPr="000A13DF">
        <w:rPr>
          <w:rFonts w:ascii="Palatino Linotype" w:eastAsia="Calibri" w:hAnsi="Palatino Linotype" w:cs="Arial"/>
          <w:color w:val="000000" w:themeColor="text1"/>
        </w:rPr>
        <w:t xml:space="preserve"> </w:t>
      </w:r>
      <w:r w:rsidR="00921375" w:rsidRPr="000A13DF">
        <w:rPr>
          <w:rFonts w:ascii="Palatino Linotype" w:eastAsia="Calibri" w:hAnsi="Palatino Linotype" w:cs="Arial"/>
          <w:color w:val="000000" w:themeColor="text1"/>
        </w:rPr>
        <w:t xml:space="preserve">de dos mil </w:t>
      </w:r>
      <w:r w:rsidR="00AA37A7" w:rsidRPr="000A13DF">
        <w:rPr>
          <w:rFonts w:ascii="Palatino Linotype" w:eastAsia="Calibri" w:hAnsi="Palatino Linotype" w:cs="Arial"/>
          <w:color w:val="000000" w:themeColor="text1"/>
        </w:rPr>
        <w:t>veintidós</w:t>
      </w:r>
      <w:r w:rsidR="00CE035D" w:rsidRPr="000A13DF">
        <w:rPr>
          <w:rFonts w:ascii="Palatino Linotype" w:eastAsia="Calibri" w:hAnsi="Palatino Linotype" w:cs="Arial"/>
          <w:color w:val="000000" w:themeColor="text1"/>
        </w:rPr>
        <w:t xml:space="preserve">, el recurso de revisión </w:t>
      </w:r>
      <w:r w:rsidR="00F93CD1" w:rsidRPr="000A13DF">
        <w:rPr>
          <w:rFonts w:ascii="Palatino Linotype" w:hAnsi="Palatino Linotype"/>
          <w:color w:val="000000" w:themeColor="text1"/>
        </w:rPr>
        <w:t xml:space="preserve">fue interpuesto el </w:t>
      </w:r>
      <w:r w:rsidR="0045726B" w:rsidRPr="000A13DF">
        <w:rPr>
          <w:rFonts w:ascii="Palatino Linotype" w:hAnsi="Palatino Linotype"/>
          <w:color w:val="000000" w:themeColor="text1"/>
        </w:rPr>
        <w:t>ocho</w:t>
      </w:r>
      <w:r w:rsidR="00CE035D" w:rsidRPr="000A13DF">
        <w:rPr>
          <w:rFonts w:ascii="Palatino Linotype" w:hAnsi="Palatino Linotype"/>
          <w:color w:val="000000" w:themeColor="text1"/>
        </w:rPr>
        <w:t xml:space="preserve"> </w:t>
      </w:r>
      <w:r w:rsidR="00921375" w:rsidRPr="000A13DF">
        <w:rPr>
          <w:rFonts w:ascii="Palatino Linotype" w:hAnsi="Palatino Linotype"/>
          <w:color w:val="000000" w:themeColor="text1"/>
        </w:rPr>
        <w:t>(</w:t>
      </w:r>
      <w:r w:rsidR="0045726B" w:rsidRPr="000A13DF">
        <w:rPr>
          <w:rFonts w:ascii="Palatino Linotype" w:hAnsi="Palatino Linotype"/>
          <w:color w:val="000000" w:themeColor="text1"/>
        </w:rPr>
        <w:t>08</w:t>
      </w:r>
      <w:r w:rsidR="00921375" w:rsidRPr="000A13DF">
        <w:rPr>
          <w:rFonts w:ascii="Palatino Linotype" w:hAnsi="Palatino Linotype"/>
          <w:color w:val="000000" w:themeColor="text1"/>
        </w:rPr>
        <w:t xml:space="preserve">) de </w:t>
      </w:r>
      <w:r w:rsidR="0045726B" w:rsidRPr="000A13DF">
        <w:rPr>
          <w:rFonts w:ascii="Palatino Linotype" w:hAnsi="Palatino Linotype"/>
          <w:color w:val="000000" w:themeColor="text1"/>
        </w:rPr>
        <w:t>marzo</w:t>
      </w:r>
      <w:r w:rsidR="00F93CD1" w:rsidRPr="000A13DF">
        <w:rPr>
          <w:rFonts w:ascii="Palatino Linotype" w:hAnsi="Palatino Linotype"/>
          <w:color w:val="000000" w:themeColor="text1"/>
        </w:rPr>
        <w:t xml:space="preserve"> </w:t>
      </w:r>
      <w:r w:rsidR="00061A86" w:rsidRPr="000A13DF">
        <w:rPr>
          <w:rFonts w:ascii="Palatino Linotype" w:hAnsi="Palatino Linotype"/>
          <w:color w:val="000000" w:themeColor="text1"/>
        </w:rPr>
        <w:t>de dos mil veintidós</w:t>
      </w:r>
      <w:r w:rsidR="00E95534" w:rsidRPr="000A13DF">
        <w:rPr>
          <w:rFonts w:ascii="Palatino Linotype" w:hAnsi="Palatino Linotype"/>
          <w:color w:val="000000" w:themeColor="text1"/>
        </w:rPr>
        <w:t>, éste</w:t>
      </w:r>
      <w:r w:rsidR="00E95534" w:rsidRPr="000A13DF">
        <w:rPr>
          <w:rFonts w:ascii="Palatino Linotype" w:hAnsi="Palatino Linotype" w:cs="Arial"/>
          <w:color w:val="000000" w:themeColor="text1"/>
        </w:rPr>
        <w:t xml:space="preserve"> se encuentra dentro de los márgenes temporales previstos en el </w:t>
      </w:r>
      <w:r w:rsidR="00E95534" w:rsidRPr="000A13DF">
        <w:rPr>
          <w:rFonts w:ascii="Palatino Linotype" w:hAnsi="Palatino Linotype" w:cs="Arial"/>
          <w:color w:val="000000" w:themeColor="text1"/>
        </w:rPr>
        <w:lastRenderedPageBreak/>
        <w:t>artículo 178 de la Ley de Transparencia y Acceso a la Información Pública del Estado de México y Municipios</w:t>
      </w:r>
      <w:r w:rsidR="00E95534" w:rsidRPr="000A13DF">
        <w:rPr>
          <w:rFonts w:ascii="Palatino Linotype" w:hAnsi="Palatino Linotype" w:cs="Arial"/>
          <w:b/>
          <w:color w:val="000000" w:themeColor="text1"/>
        </w:rPr>
        <w:t xml:space="preserve"> </w:t>
      </w:r>
      <w:r w:rsidR="00E95534" w:rsidRPr="000A13DF">
        <w:rPr>
          <w:rFonts w:ascii="Palatino Linotype" w:hAnsi="Palatino Linotype" w:cs="Arial"/>
          <w:color w:val="000000" w:themeColor="text1"/>
        </w:rPr>
        <w:t>vigente.</w:t>
      </w:r>
    </w:p>
    <w:p w14:paraId="5CB8FFBB" w14:textId="77777777" w:rsidR="00D91544" w:rsidRPr="000A13DF" w:rsidRDefault="00D91544" w:rsidP="00EE72BA">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0A13DF" w:rsidRDefault="00C6440A" w:rsidP="00EE72B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A13DF">
        <w:rPr>
          <w:rFonts w:ascii="Palatino Linotype" w:eastAsia="Calibri" w:hAnsi="Palatino Linotype" w:cs="Arial"/>
          <w:color w:val="000000" w:themeColor="text1"/>
        </w:rPr>
        <w:t>C</w:t>
      </w:r>
      <w:r w:rsidR="00AF6795" w:rsidRPr="000A13DF">
        <w:rPr>
          <w:rFonts w:ascii="Palatino Linotype" w:eastAsia="Calibri" w:hAnsi="Palatino Linotype" w:cs="Arial"/>
          <w:color w:val="000000" w:themeColor="text1"/>
        </w:rPr>
        <w:t>onsecuencia de lo anterior, este</w:t>
      </w:r>
      <w:r w:rsidRPr="000A13DF">
        <w:rPr>
          <w:rFonts w:ascii="Palatino Linotype" w:eastAsia="Calibri" w:hAnsi="Palatino Linotype" w:cs="Arial"/>
          <w:color w:val="000000" w:themeColor="text1"/>
        </w:rPr>
        <w:t xml:space="preserve"> </w:t>
      </w:r>
      <w:r w:rsidR="00AF6795" w:rsidRPr="000A13DF">
        <w:rPr>
          <w:rFonts w:ascii="Palatino Linotype" w:eastAsia="Calibri" w:hAnsi="Palatino Linotype" w:cs="Arial"/>
          <w:color w:val="000000" w:themeColor="text1"/>
        </w:rPr>
        <w:t>Órgano Garante</w:t>
      </w:r>
      <w:r w:rsidRPr="000A13DF">
        <w:rPr>
          <w:rFonts w:ascii="Palatino Linotype" w:eastAsia="Calibri" w:hAnsi="Palatino Linotype" w:cs="Arial"/>
          <w:color w:val="000000" w:themeColor="text1"/>
        </w:rPr>
        <w:t xml:space="preserve"> advierte que </w:t>
      </w:r>
      <w:r w:rsidR="00540208" w:rsidRPr="000A13DF">
        <w:rPr>
          <w:rFonts w:ascii="Palatino Linotype" w:eastAsia="Calibri" w:hAnsi="Palatino Linotype" w:cs="Arial"/>
          <w:color w:val="000000" w:themeColor="text1"/>
        </w:rPr>
        <w:t xml:space="preserve">el escrito contiene las formalidades previstas por el artículo 180 último párrafo de la Ley </w:t>
      </w:r>
      <w:r w:rsidR="004911B6" w:rsidRPr="000A13DF">
        <w:rPr>
          <w:rFonts w:ascii="Palatino Linotype" w:eastAsia="Calibri" w:hAnsi="Palatino Linotype" w:cs="Arial"/>
          <w:color w:val="000000" w:themeColor="text1"/>
        </w:rPr>
        <w:t>de Transparencia y Acceso a la Información Pública del Estado de México y Municipios</w:t>
      </w:r>
      <w:r w:rsidR="00540208" w:rsidRPr="000A13DF">
        <w:rPr>
          <w:rFonts w:ascii="Palatino Linotype" w:eastAsia="Calibri" w:hAnsi="Palatino Linotype" w:cs="Arial"/>
          <w:color w:val="000000" w:themeColor="text1"/>
        </w:rPr>
        <w:t xml:space="preserve">, por lo que es procedente que </w:t>
      </w:r>
      <w:r w:rsidR="004911B6" w:rsidRPr="000A13DF">
        <w:rPr>
          <w:rFonts w:ascii="Palatino Linotype" w:eastAsia="Calibri" w:hAnsi="Palatino Linotype" w:cs="Arial"/>
          <w:color w:val="000000" w:themeColor="text1"/>
        </w:rPr>
        <w:t>e</w:t>
      </w:r>
      <w:r w:rsidR="00540208" w:rsidRPr="000A13DF">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0A13DF" w:rsidRDefault="00E23CA4" w:rsidP="00EE72BA">
      <w:pPr>
        <w:pStyle w:val="Prrafodelista"/>
        <w:spacing w:line="360" w:lineRule="auto"/>
        <w:rPr>
          <w:rFonts w:ascii="Palatino Linotype" w:eastAsia="Times New Roman" w:hAnsi="Palatino Linotype" w:cs="Arial"/>
          <w:bCs/>
          <w:color w:val="000000" w:themeColor="text1"/>
          <w:lang w:eastAsia="es-MX"/>
        </w:rPr>
      </w:pPr>
    </w:p>
    <w:p w14:paraId="15661DD9" w14:textId="2CDF4EE3" w:rsidR="00540208" w:rsidRPr="000A13DF" w:rsidRDefault="00273D1A" w:rsidP="00EE72BA">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0A13DF">
        <w:rPr>
          <w:rFonts w:ascii="Palatino Linotype" w:hAnsi="Palatino Linotype"/>
          <w:b/>
          <w:color w:val="000000" w:themeColor="text1"/>
          <w:sz w:val="24"/>
          <w:szCs w:val="24"/>
        </w:rPr>
        <w:t>TERCERO</w:t>
      </w:r>
      <w:r w:rsidR="00C50A2B" w:rsidRPr="000A13DF">
        <w:rPr>
          <w:rFonts w:ascii="Palatino Linotype" w:hAnsi="Palatino Linotype"/>
          <w:b/>
          <w:color w:val="000000" w:themeColor="text1"/>
          <w:sz w:val="24"/>
          <w:szCs w:val="24"/>
        </w:rPr>
        <w:t>. De</w:t>
      </w:r>
      <w:r w:rsidR="00AD76A1" w:rsidRPr="000A13DF">
        <w:rPr>
          <w:rFonts w:ascii="Palatino Linotype" w:hAnsi="Palatino Linotype"/>
          <w:b/>
          <w:color w:val="000000" w:themeColor="text1"/>
          <w:sz w:val="24"/>
          <w:szCs w:val="24"/>
        </w:rPr>
        <w:t xml:space="preserve">l planteamiento de la </w:t>
      </w:r>
      <w:r w:rsidR="00AD76A1" w:rsidRPr="000A13DF">
        <w:rPr>
          <w:rFonts w:ascii="Palatino Linotype" w:hAnsi="Palatino Linotype"/>
          <w:b/>
          <w:i/>
          <w:color w:val="000000" w:themeColor="text1"/>
          <w:sz w:val="24"/>
          <w:szCs w:val="24"/>
        </w:rPr>
        <w:t>Litis</w:t>
      </w:r>
      <w:r w:rsidR="00C50A2B" w:rsidRPr="000A13DF">
        <w:rPr>
          <w:rFonts w:ascii="Palatino Linotype" w:hAnsi="Palatino Linotype"/>
          <w:b/>
          <w:color w:val="000000" w:themeColor="text1"/>
          <w:sz w:val="24"/>
          <w:szCs w:val="24"/>
        </w:rPr>
        <w:t>.</w:t>
      </w:r>
      <w:bookmarkEnd w:id="12"/>
      <w:bookmarkEnd w:id="13"/>
      <w:bookmarkEnd w:id="14"/>
    </w:p>
    <w:p w14:paraId="4231B8D5" w14:textId="77777777" w:rsidR="00540208" w:rsidRPr="000A13DF" w:rsidRDefault="00540208" w:rsidP="00EE72BA">
      <w:pPr>
        <w:spacing w:line="360" w:lineRule="auto"/>
        <w:rPr>
          <w:rFonts w:ascii="Palatino Linotype" w:hAnsi="Palatino Linotype"/>
          <w:color w:val="000000" w:themeColor="text1"/>
          <w:lang w:eastAsia="en-US"/>
        </w:rPr>
      </w:pPr>
    </w:p>
    <w:bookmarkEnd w:id="15"/>
    <w:bookmarkEnd w:id="16"/>
    <w:p w14:paraId="34E542D1" w14:textId="6FF88359" w:rsidR="00F778B2" w:rsidRPr="000A13DF" w:rsidRDefault="00CE035D" w:rsidP="00EE72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13DF">
        <w:rPr>
          <w:rFonts w:ascii="Palatino Linotype" w:hAnsi="Palatino Linotype" w:cs="Arial"/>
          <w:color w:val="000000" w:themeColor="text1"/>
        </w:rPr>
        <w:t>El Recurrente solicitó</w:t>
      </w:r>
      <w:r w:rsidR="00F778B2" w:rsidRPr="000A13DF">
        <w:rPr>
          <w:rFonts w:ascii="Palatino Linotype" w:hAnsi="Palatino Linotype" w:cs="Arial"/>
          <w:color w:val="000000" w:themeColor="text1"/>
        </w:rPr>
        <w:t xml:space="preserve"> lo siguiente:</w:t>
      </w:r>
    </w:p>
    <w:p w14:paraId="71226947" w14:textId="77777777" w:rsidR="009A3B2B" w:rsidRPr="000A13DF" w:rsidRDefault="009A3B2B" w:rsidP="00EE72BA">
      <w:pPr>
        <w:spacing w:line="360" w:lineRule="auto"/>
        <w:ind w:left="567" w:right="616"/>
        <w:jc w:val="both"/>
        <w:rPr>
          <w:rFonts w:ascii="Palatino Linotype" w:eastAsia="Times New Roman" w:hAnsi="Palatino Linotype" w:cs="Times New Roman"/>
          <w:i/>
          <w:lang w:eastAsia="es-MX"/>
        </w:rPr>
      </w:pPr>
    </w:p>
    <w:p w14:paraId="30292236" w14:textId="203E07AE" w:rsidR="003203D4" w:rsidRPr="000A13DF" w:rsidRDefault="003203D4" w:rsidP="00EE72BA">
      <w:pPr>
        <w:pStyle w:val="Prrafodelista"/>
        <w:numPr>
          <w:ilvl w:val="0"/>
          <w:numId w:val="31"/>
        </w:numPr>
        <w:spacing w:line="360" w:lineRule="auto"/>
        <w:ind w:right="616" w:firstLine="0"/>
        <w:jc w:val="both"/>
        <w:rPr>
          <w:rFonts w:ascii="Palatino Linotype" w:eastAsia="Times New Roman" w:hAnsi="Palatino Linotype" w:cs="Times New Roman"/>
          <w:lang w:eastAsia="es-MX"/>
        </w:rPr>
      </w:pPr>
      <w:r w:rsidRPr="000A13DF">
        <w:rPr>
          <w:rFonts w:ascii="Palatino Linotype" w:eastAsia="Times New Roman" w:hAnsi="Palatino Linotype" w:cs="Times New Roman"/>
          <w:lang w:eastAsia="es-MX"/>
        </w:rPr>
        <w:t>“</w:t>
      </w:r>
      <w:r w:rsidRPr="000A13DF">
        <w:rPr>
          <w:rFonts w:ascii="Palatino Linotype" w:eastAsia="Times New Roman" w:hAnsi="Palatino Linotype" w:cs="Times New Roman"/>
          <w:i/>
          <w:lang w:eastAsia="es-MX"/>
        </w:rPr>
        <w:t>Por este medio solicito el padrón catastral del municipio. Solicito la información actualizada con los siguientes datos de cada predio: Ubicación (calle, colonia, municipio) Coordenadas geográficas Superficie del terreno Superficie de construcción Uso de suelo Año de construcción Clave predial CURT Folio real Valor del suelo Los datos anteriores no son considerados como datos susceptibles de ser reservados al no estar vinculados a un particular. Se excluyen datos del propietario así como el valor catastra</w:t>
      </w:r>
      <w:r w:rsidRPr="000A13DF">
        <w:rPr>
          <w:rFonts w:ascii="Palatino Linotype" w:eastAsia="Times New Roman" w:hAnsi="Palatino Linotype" w:cs="Times New Roman"/>
          <w:lang w:eastAsia="es-MX"/>
        </w:rPr>
        <w:t>l.”(Sic)</w:t>
      </w:r>
      <w:r w:rsidR="006D541E" w:rsidRPr="000A13DF">
        <w:rPr>
          <w:rFonts w:ascii="Palatino Linotype" w:eastAsia="Times New Roman" w:hAnsi="Palatino Linotype" w:cs="Times New Roman"/>
          <w:lang w:eastAsia="es-MX"/>
        </w:rPr>
        <w:t xml:space="preserve"> </w:t>
      </w:r>
    </w:p>
    <w:p w14:paraId="0F6C9260" w14:textId="77777777" w:rsidR="00A91828" w:rsidRPr="000A13DF" w:rsidRDefault="00A91828" w:rsidP="00EE72BA">
      <w:pPr>
        <w:pStyle w:val="Prrafodelista"/>
        <w:spacing w:line="360" w:lineRule="auto"/>
        <w:ind w:right="616"/>
        <w:jc w:val="both"/>
        <w:rPr>
          <w:rFonts w:ascii="Palatino Linotype" w:eastAsia="Times New Roman" w:hAnsi="Palatino Linotype" w:cs="Times New Roman"/>
          <w:lang w:eastAsia="es-MX"/>
        </w:rPr>
      </w:pPr>
    </w:p>
    <w:p w14:paraId="6DD6BEBC" w14:textId="16CB5E8B" w:rsidR="003203D4" w:rsidRPr="000A13DF" w:rsidRDefault="003203D4" w:rsidP="00EE72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13DF">
        <w:rPr>
          <w:rFonts w:ascii="Palatino Linotype" w:hAnsi="Palatino Linotype" w:cs="Arial"/>
          <w:color w:val="000000" w:themeColor="text1"/>
        </w:rPr>
        <w:t xml:space="preserve">En respuesta, el </w:t>
      </w:r>
      <w:r w:rsidRPr="000A13DF">
        <w:rPr>
          <w:rFonts w:ascii="Palatino Linotype" w:hAnsi="Palatino Linotype" w:cs="Arial"/>
          <w:b/>
          <w:color w:val="000000" w:themeColor="text1"/>
        </w:rPr>
        <w:t>SUJETO OBLIGADO</w:t>
      </w:r>
      <w:r w:rsidRPr="000A13DF">
        <w:rPr>
          <w:rFonts w:ascii="Palatino Linotype" w:hAnsi="Palatino Linotype" w:cs="Arial"/>
          <w:color w:val="000000" w:themeColor="text1"/>
        </w:rPr>
        <w:t xml:space="preserve"> remitió los documentos electrónicos ya descritos y que serán motivo de análisis.</w:t>
      </w:r>
    </w:p>
    <w:p w14:paraId="12F6AE20" w14:textId="77777777" w:rsidR="003203D4" w:rsidRPr="000A13DF" w:rsidRDefault="003203D4" w:rsidP="00EE72BA">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0A13DF" w:rsidRDefault="00BC4307" w:rsidP="00EE72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A13DF">
        <w:rPr>
          <w:rFonts w:ascii="Palatino Linotype" w:hAnsi="Palatino Linotype" w:cs="Arial"/>
          <w:color w:val="000000" w:themeColor="text1"/>
        </w:rPr>
        <w:lastRenderedPageBreak/>
        <w:t xml:space="preserve">Por lo anterior, la </w:t>
      </w:r>
      <w:r w:rsidRPr="000A13DF">
        <w:rPr>
          <w:rFonts w:ascii="Palatino Linotype" w:hAnsi="Palatino Linotype" w:cs="Arial"/>
          <w:i/>
          <w:color w:val="000000" w:themeColor="text1"/>
        </w:rPr>
        <w:t>Litis</w:t>
      </w:r>
      <w:r w:rsidRPr="000A13DF">
        <w:rPr>
          <w:rFonts w:ascii="Palatino Linotype" w:hAnsi="Palatino Linotype" w:cs="Arial"/>
          <w:color w:val="000000" w:themeColor="text1"/>
        </w:rPr>
        <w:t xml:space="preserve"> a resolver en el presente recurso se circunscribe en determinar si</w:t>
      </w:r>
      <w:r w:rsidR="002C6561" w:rsidRPr="000A13DF">
        <w:rPr>
          <w:rFonts w:ascii="Palatino Linotype" w:hAnsi="Palatino Linotype" w:cs="Arial"/>
          <w:color w:val="000000" w:themeColor="text1"/>
        </w:rPr>
        <w:t xml:space="preserve"> </w:t>
      </w:r>
      <w:r w:rsidR="004B0EB6" w:rsidRPr="000A13DF">
        <w:rPr>
          <w:rFonts w:ascii="Palatino Linotype" w:hAnsi="Palatino Linotype" w:cs="Arial"/>
          <w:color w:val="000000" w:themeColor="text1"/>
        </w:rPr>
        <w:t>la respuesta del</w:t>
      </w:r>
      <w:r w:rsidR="002C6561" w:rsidRPr="000A13DF">
        <w:rPr>
          <w:rFonts w:ascii="Palatino Linotype" w:hAnsi="Palatino Linotype" w:cs="Arial"/>
          <w:color w:val="000000" w:themeColor="text1"/>
        </w:rPr>
        <w:t xml:space="preserve"> </w:t>
      </w:r>
      <w:r w:rsidR="002C6561" w:rsidRPr="000A13DF">
        <w:rPr>
          <w:rFonts w:ascii="Palatino Linotype" w:hAnsi="Palatino Linotype" w:cs="Arial"/>
          <w:b/>
          <w:bCs/>
          <w:color w:val="000000" w:themeColor="text1"/>
        </w:rPr>
        <w:t>SUJETO OBLIGADO</w:t>
      </w:r>
      <w:r w:rsidR="002C6561" w:rsidRPr="000A13DF">
        <w:rPr>
          <w:rFonts w:ascii="Palatino Linotype" w:hAnsi="Palatino Linotype" w:cs="Arial"/>
          <w:color w:val="000000" w:themeColor="text1"/>
        </w:rPr>
        <w:t xml:space="preserve"> </w:t>
      </w:r>
      <w:r w:rsidR="004B0EB6" w:rsidRPr="000A13DF">
        <w:rPr>
          <w:rFonts w:ascii="Palatino Linotype" w:hAnsi="Palatino Linotype" w:cs="Arial"/>
          <w:color w:val="000000" w:themeColor="text1"/>
        </w:rPr>
        <w:t xml:space="preserve">colma el derecho de acceso a la información ejercido por el </w:t>
      </w:r>
      <w:r w:rsidR="004B0EB6" w:rsidRPr="000A13DF">
        <w:rPr>
          <w:rFonts w:ascii="Palatino Linotype" w:hAnsi="Palatino Linotype" w:cs="Arial"/>
          <w:b/>
          <w:bCs/>
          <w:color w:val="000000" w:themeColor="text1"/>
        </w:rPr>
        <w:t>RECURRENTE</w:t>
      </w:r>
      <w:r w:rsidR="002C6561" w:rsidRPr="000A13DF">
        <w:rPr>
          <w:rFonts w:ascii="Palatino Linotype" w:hAnsi="Palatino Linotype" w:cs="Arial"/>
          <w:color w:val="000000" w:themeColor="text1"/>
        </w:rPr>
        <w:t>; o si, por el contrario, se</w:t>
      </w:r>
      <w:r w:rsidR="00E32652" w:rsidRPr="000A13DF">
        <w:rPr>
          <w:rFonts w:ascii="Palatino Linotype" w:hAnsi="Palatino Linotype" w:cs="Arial"/>
          <w:color w:val="000000" w:themeColor="text1"/>
        </w:rPr>
        <w:t xml:space="preserve"> </w:t>
      </w:r>
      <w:r w:rsidR="0028248C" w:rsidRPr="000A13DF">
        <w:rPr>
          <w:rFonts w:ascii="Palatino Linotype" w:hAnsi="Palatino Linotype"/>
          <w:color w:val="000000" w:themeColor="text1"/>
        </w:rPr>
        <w:t>actualiza la causal de procedencia</w:t>
      </w:r>
      <w:r w:rsidR="00E66A80" w:rsidRPr="000A13DF">
        <w:rPr>
          <w:rFonts w:ascii="Palatino Linotype" w:hAnsi="Palatino Linotype" w:cs="Arial"/>
          <w:color w:val="000000" w:themeColor="text1"/>
        </w:rPr>
        <w:t xml:space="preserve"> del recurso de revisión establecida</w:t>
      </w:r>
      <w:r w:rsidR="00A42161" w:rsidRPr="000A13DF">
        <w:rPr>
          <w:rFonts w:ascii="Palatino Linotype" w:hAnsi="Palatino Linotype" w:cs="Arial"/>
          <w:color w:val="000000" w:themeColor="text1"/>
        </w:rPr>
        <w:t xml:space="preserve"> en la fracci</w:t>
      </w:r>
      <w:r w:rsidR="00765786" w:rsidRPr="000A13DF">
        <w:rPr>
          <w:rFonts w:ascii="Palatino Linotype" w:hAnsi="Palatino Linotype" w:cs="Arial"/>
          <w:color w:val="000000" w:themeColor="text1"/>
        </w:rPr>
        <w:t>ón</w:t>
      </w:r>
      <w:r w:rsidR="00A42161" w:rsidRPr="000A13DF">
        <w:rPr>
          <w:rFonts w:ascii="Palatino Linotype" w:hAnsi="Palatino Linotype" w:cs="Arial"/>
          <w:color w:val="000000" w:themeColor="text1"/>
        </w:rPr>
        <w:t xml:space="preserve"> </w:t>
      </w:r>
      <w:r w:rsidR="009A3B2B" w:rsidRPr="000A13DF">
        <w:rPr>
          <w:rFonts w:ascii="Palatino Linotype" w:hAnsi="Palatino Linotype" w:cs="Arial"/>
          <w:color w:val="000000" w:themeColor="text1"/>
        </w:rPr>
        <w:t>I</w:t>
      </w:r>
      <w:r w:rsidR="00E66A80" w:rsidRPr="000A13DF">
        <w:rPr>
          <w:rFonts w:ascii="Palatino Linotype" w:hAnsi="Palatino Linotype" w:cs="Arial"/>
          <w:color w:val="000000" w:themeColor="text1"/>
        </w:rPr>
        <w:t xml:space="preserve"> </w:t>
      </w:r>
      <w:r w:rsidR="00A42161" w:rsidRPr="000A13DF">
        <w:rPr>
          <w:rFonts w:ascii="Palatino Linotype" w:hAnsi="Palatino Linotype" w:cs="Arial"/>
          <w:color w:val="000000" w:themeColor="text1"/>
        </w:rPr>
        <w:t>de</w:t>
      </w:r>
      <w:r w:rsidR="00E66A80" w:rsidRPr="000A13DF">
        <w:rPr>
          <w:rFonts w:ascii="Palatino Linotype" w:hAnsi="Palatino Linotype" w:cs="Arial"/>
          <w:color w:val="000000" w:themeColor="text1"/>
        </w:rPr>
        <w:t>l artículo 179</w:t>
      </w:r>
      <w:r w:rsidR="008E4483" w:rsidRPr="000A13DF">
        <w:rPr>
          <w:rFonts w:ascii="Palatino Linotype" w:hAnsi="Palatino Linotype" w:cs="Arial"/>
          <w:color w:val="000000" w:themeColor="text1"/>
        </w:rPr>
        <w:t xml:space="preserve"> </w:t>
      </w:r>
      <w:r w:rsidR="00E66A80" w:rsidRPr="000A13DF">
        <w:rPr>
          <w:rFonts w:ascii="Palatino Linotype" w:hAnsi="Palatino Linotype" w:cs="Arial"/>
          <w:color w:val="000000" w:themeColor="text1"/>
        </w:rPr>
        <w:t xml:space="preserve">de la Ley de Transparencia y Acceso a la Información Pública del Estado de México y Municipios, </w:t>
      </w:r>
      <w:r w:rsidR="004364EE" w:rsidRPr="000A13DF">
        <w:rPr>
          <w:rFonts w:ascii="Palatino Linotype" w:hAnsi="Palatino Linotype" w:cs="Arial"/>
          <w:color w:val="000000" w:themeColor="text1"/>
        </w:rPr>
        <w:t>misma</w:t>
      </w:r>
      <w:r w:rsidR="00C51671" w:rsidRPr="000A13DF">
        <w:rPr>
          <w:rFonts w:ascii="Palatino Linotype" w:hAnsi="Palatino Linotype" w:cs="Arial"/>
          <w:color w:val="000000" w:themeColor="text1"/>
        </w:rPr>
        <w:t xml:space="preserve"> </w:t>
      </w:r>
      <w:r w:rsidR="00E66A80" w:rsidRPr="000A13DF">
        <w:rPr>
          <w:rFonts w:ascii="Palatino Linotype" w:hAnsi="Palatino Linotype" w:cs="Arial"/>
          <w:color w:val="000000" w:themeColor="text1"/>
        </w:rPr>
        <w:t>que se transcribe a continuación:</w:t>
      </w:r>
    </w:p>
    <w:p w14:paraId="0F0C773B" w14:textId="77777777" w:rsidR="005946F4" w:rsidRPr="000A13DF" w:rsidRDefault="005946F4" w:rsidP="00EE72BA">
      <w:pPr>
        <w:pStyle w:val="Prrafodelista"/>
        <w:spacing w:line="360" w:lineRule="auto"/>
        <w:rPr>
          <w:rFonts w:ascii="Palatino Linotype" w:hAnsi="Palatino Linotype" w:cs="Arial"/>
          <w:color w:val="000000" w:themeColor="text1"/>
        </w:rPr>
      </w:pPr>
    </w:p>
    <w:p w14:paraId="31379DA7" w14:textId="77777777" w:rsidR="005946F4" w:rsidRPr="000A13DF" w:rsidRDefault="005946F4" w:rsidP="00EE72BA">
      <w:pPr>
        <w:tabs>
          <w:tab w:val="left" w:pos="426"/>
        </w:tabs>
        <w:spacing w:line="360" w:lineRule="auto"/>
        <w:ind w:left="567" w:right="616"/>
        <w:jc w:val="both"/>
        <w:rPr>
          <w:rFonts w:ascii="Palatino Linotype" w:hAnsi="Palatino Linotype"/>
          <w:i/>
          <w:iCs/>
        </w:rPr>
      </w:pPr>
      <w:r w:rsidRPr="000A13DF">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0A6D87EA" w:rsidR="000152B8" w:rsidRPr="000A13DF" w:rsidRDefault="00EC7DF3" w:rsidP="00EE72BA">
      <w:pPr>
        <w:tabs>
          <w:tab w:val="left" w:pos="426"/>
        </w:tabs>
        <w:spacing w:line="360" w:lineRule="auto"/>
        <w:ind w:left="567" w:right="616"/>
        <w:jc w:val="both"/>
        <w:rPr>
          <w:rFonts w:ascii="Palatino Linotype" w:hAnsi="Palatino Linotype"/>
          <w:i/>
          <w:iCs/>
        </w:rPr>
      </w:pPr>
      <w:r w:rsidRPr="000A13DF">
        <w:rPr>
          <w:rFonts w:ascii="Palatino Linotype" w:hAnsi="Palatino Linotype"/>
          <w:i/>
          <w:iCs/>
        </w:rPr>
        <w:t>…</w:t>
      </w:r>
    </w:p>
    <w:p w14:paraId="14340DA2" w14:textId="77777777" w:rsidR="003203D4" w:rsidRPr="000A13DF" w:rsidRDefault="003203D4" w:rsidP="00EE72BA">
      <w:pPr>
        <w:pStyle w:val="Prrafodelista"/>
        <w:tabs>
          <w:tab w:val="left" w:pos="426"/>
        </w:tabs>
        <w:spacing w:line="360" w:lineRule="auto"/>
        <w:ind w:left="567" w:right="616"/>
        <w:jc w:val="both"/>
        <w:rPr>
          <w:rFonts w:ascii="Palatino Linotype" w:hAnsi="Palatino Linotype"/>
          <w:i/>
        </w:rPr>
      </w:pPr>
      <w:r w:rsidRPr="000A13DF">
        <w:rPr>
          <w:rFonts w:ascii="Palatino Linotype" w:hAnsi="Palatino Linotype"/>
          <w:i/>
        </w:rPr>
        <w:t>I. La negativa a la información solicitada;</w:t>
      </w:r>
    </w:p>
    <w:p w14:paraId="2BFBB953" w14:textId="77777777" w:rsidR="003203D4" w:rsidRPr="000A13DF" w:rsidRDefault="003203D4" w:rsidP="00EE72BA">
      <w:pPr>
        <w:pStyle w:val="Prrafodelista"/>
        <w:tabs>
          <w:tab w:val="left" w:pos="426"/>
        </w:tabs>
        <w:spacing w:line="360" w:lineRule="auto"/>
        <w:ind w:left="567" w:right="616"/>
        <w:jc w:val="both"/>
        <w:rPr>
          <w:rFonts w:ascii="Palatino Linotype" w:hAnsi="Palatino Linotype"/>
          <w:i/>
        </w:rPr>
      </w:pPr>
      <w:r w:rsidRPr="000A13DF">
        <w:rPr>
          <w:rFonts w:ascii="Palatino Linotype" w:hAnsi="Palatino Linotype"/>
          <w:i/>
        </w:rPr>
        <w:t>II. La clasificación de la información;</w:t>
      </w:r>
    </w:p>
    <w:p w14:paraId="6738966B" w14:textId="4BD991D9" w:rsidR="00F93CD1" w:rsidRPr="000A13DF" w:rsidRDefault="00F93CD1" w:rsidP="00EE72BA">
      <w:pPr>
        <w:pStyle w:val="Prrafodelista"/>
        <w:tabs>
          <w:tab w:val="left" w:pos="426"/>
        </w:tabs>
        <w:spacing w:line="360" w:lineRule="auto"/>
        <w:ind w:left="567" w:right="616"/>
        <w:jc w:val="both"/>
        <w:rPr>
          <w:rFonts w:ascii="Palatino Linotype" w:hAnsi="Palatino Linotype"/>
          <w:i/>
        </w:rPr>
      </w:pPr>
      <w:r w:rsidRPr="000A13DF">
        <w:rPr>
          <w:rFonts w:ascii="Palatino Linotype" w:hAnsi="Palatino Linotype"/>
          <w:i/>
        </w:rPr>
        <w:t>…</w:t>
      </w:r>
    </w:p>
    <w:p w14:paraId="26AD5E23" w14:textId="77777777" w:rsidR="008E4483" w:rsidRPr="000A13DF" w:rsidRDefault="008E4483" w:rsidP="00EE72BA">
      <w:pPr>
        <w:spacing w:line="360" w:lineRule="auto"/>
        <w:rPr>
          <w:rFonts w:ascii="Palatino Linotype" w:hAnsi="Palatino Linotype" w:cs="Arial"/>
          <w:color w:val="000000" w:themeColor="text1"/>
        </w:rPr>
      </w:pPr>
    </w:p>
    <w:p w14:paraId="5CEC2F48" w14:textId="1B05DC04" w:rsidR="00EF014A" w:rsidRPr="000A13DF" w:rsidRDefault="00273D1A" w:rsidP="00EE72BA">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0A13DF">
        <w:rPr>
          <w:rFonts w:ascii="Palatino Linotype" w:hAnsi="Palatino Linotype" w:cs="Arial"/>
          <w:b/>
          <w:color w:val="000000" w:themeColor="text1"/>
          <w:sz w:val="24"/>
          <w:szCs w:val="24"/>
        </w:rPr>
        <w:t>CUARTO</w:t>
      </w:r>
      <w:r w:rsidR="00EF014A" w:rsidRPr="000A13DF">
        <w:rPr>
          <w:rFonts w:ascii="Palatino Linotype" w:hAnsi="Palatino Linotype" w:cs="Arial"/>
          <w:b/>
          <w:color w:val="000000" w:themeColor="text1"/>
          <w:sz w:val="24"/>
          <w:szCs w:val="24"/>
        </w:rPr>
        <w:t>. Estudio y Resolución del asunto.</w:t>
      </w:r>
      <w:bookmarkEnd w:id="22"/>
    </w:p>
    <w:p w14:paraId="6E979250" w14:textId="2A34D6B5" w:rsidR="00A55D2B" w:rsidRPr="000A13DF" w:rsidRDefault="00A55D2B" w:rsidP="00EE72BA">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0A13DF" w:rsidRDefault="00DA2D95" w:rsidP="00EE72BA">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0A13DF">
        <w:rPr>
          <w:rFonts w:ascii="Palatino Linotype" w:hAnsi="Palatino Linotype"/>
          <w:b/>
          <w:bCs/>
          <w:color w:val="000000" w:themeColor="text1"/>
        </w:rPr>
        <w:t xml:space="preserve">I. De la </w:t>
      </w:r>
      <w:r w:rsidR="00167813" w:rsidRPr="000A13DF">
        <w:rPr>
          <w:rFonts w:ascii="Palatino Linotype" w:hAnsi="Palatino Linotype"/>
          <w:b/>
          <w:bCs/>
          <w:color w:val="000000" w:themeColor="text1"/>
        </w:rPr>
        <w:t>atención</w:t>
      </w:r>
      <w:r w:rsidR="00D00269" w:rsidRPr="000A13DF">
        <w:rPr>
          <w:rFonts w:ascii="Palatino Linotype" w:hAnsi="Palatino Linotype"/>
          <w:b/>
          <w:bCs/>
          <w:color w:val="000000" w:themeColor="text1"/>
        </w:rPr>
        <w:t xml:space="preserve"> a la solicitud de información</w:t>
      </w:r>
      <w:r w:rsidRPr="000A13DF">
        <w:rPr>
          <w:rFonts w:ascii="Palatino Linotype" w:hAnsi="Palatino Linotype"/>
          <w:b/>
          <w:bCs/>
          <w:color w:val="000000" w:themeColor="text1"/>
        </w:rPr>
        <w:t>.</w:t>
      </w:r>
      <w:bookmarkEnd w:id="25"/>
    </w:p>
    <w:p w14:paraId="4AC32336" w14:textId="77777777" w:rsidR="008E4483" w:rsidRPr="000A13DF" w:rsidRDefault="008E4483" w:rsidP="00EE72BA">
      <w:pPr>
        <w:pStyle w:val="Ttulo2"/>
        <w:numPr>
          <w:ilvl w:val="1"/>
          <w:numId w:val="1"/>
        </w:numPr>
        <w:spacing w:line="360" w:lineRule="auto"/>
        <w:ind w:left="993" w:firstLine="0"/>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0A13DF">
        <w:rPr>
          <w:rFonts w:ascii="Palatino Linotype" w:hAnsi="Palatino Linotype"/>
          <w:b/>
          <w:color w:val="auto"/>
          <w:sz w:val="24"/>
          <w:szCs w:val="24"/>
        </w:rPr>
        <w:t>De la fuente obligacional</w:t>
      </w:r>
      <w:bookmarkEnd w:id="26"/>
      <w:bookmarkEnd w:id="27"/>
      <w:bookmarkEnd w:id="28"/>
    </w:p>
    <w:bookmarkEnd w:id="29"/>
    <w:bookmarkEnd w:id="30"/>
    <w:p w14:paraId="3B2ABBF0" w14:textId="77777777" w:rsidR="008E4483" w:rsidRPr="000A13DF" w:rsidRDefault="008E4483" w:rsidP="00EE72BA">
      <w:pPr>
        <w:spacing w:line="360" w:lineRule="auto"/>
        <w:rPr>
          <w:rFonts w:ascii="Palatino Linotype" w:hAnsi="Palatino Linotype"/>
          <w:lang w:val="es-ES"/>
        </w:rPr>
      </w:pPr>
    </w:p>
    <w:p w14:paraId="7178C08C" w14:textId="77777777" w:rsidR="008E4483" w:rsidRPr="000A13DF" w:rsidRDefault="008E4483" w:rsidP="00EE72BA">
      <w:pPr>
        <w:numPr>
          <w:ilvl w:val="0"/>
          <w:numId w:val="1"/>
        </w:numPr>
        <w:spacing w:line="360" w:lineRule="auto"/>
        <w:ind w:right="34"/>
        <w:contextualSpacing/>
        <w:jc w:val="both"/>
        <w:rPr>
          <w:rFonts w:ascii="Palatino Linotype" w:eastAsia="MS Mincho" w:hAnsi="Palatino Linotype" w:cs="Arial"/>
        </w:rPr>
      </w:pPr>
      <w:r w:rsidRPr="000A13DF">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w:t>
      </w:r>
      <w:r w:rsidRPr="000A13DF">
        <w:rPr>
          <w:rFonts w:ascii="Palatino Linotype" w:hAnsi="Palatino Linotype" w:cs="Arial"/>
          <w:color w:val="000000"/>
          <w:lang w:eastAsia="es-MX"/>
        </w:rPr>
        <w:lastRenderedPageBreak/>
        <w:t>quinto de la Particular del Estado de México, por lo que al respecto el</w:t>
      </w:r>
      <w:r w:rsidRPr="000A13DF">
        <w:rPr>
          <w:rFonts w:ascii="Palatino Linotype" w:hAnsi="Palatino Linotype" w:cs="Arial"/>
          <w:color w:val="000000"/>
        </w:rPr>
        <w:t xml:space="preserve"> </w:t>
      </w:r>
      <w:r w:rsidRPr="000A13DF">
        <w:rPr>
          <w:rFonts w:ascii="Palatino Linotype" w:hAnsi="Palatino Linotype" w:cs="Arial"/>
          <w:b/>
          <w:color w:val="000000"/>
        </w:rPr>
        <w:t>SUJETO OBLIGADO</w:t>
      </w:r>
      <w:r w:rsidRPr="000A13DF">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A13DF">
        <w:rPr>
          <w:rFonts w:ascii="Palatino Linotype" w:hAnsi="Palatino Linotype" w:cs="Arial"/>
          <w:b/>
          <w:color w:val="000000"/>
        </w:rPr>
        <w:t xml:space="preserve">Constitución Política de los Estados Unidos Mexicanos </w:t>
      </w:r>
      <w:r w:rsidRPr="000A13DF">
        <w:rPr>
          <w:rFonts w:ascii="Palatino Linotype" w:hAnsi="Palatino Linotype" w:cs="Arial"/>
          <w:color w:val="000000"/>
        </w:rPr>
        <w:t xml:space="preserve">al señalar la obligación de “promover, </w:t>
      </w:r>
      <w:r w:rsidRPr="000A13DF">
        <w:rPr>
          <w:rFonts w:ascii="Palatino Linotype" w:hAnsi="Palatino Linotype" w:cs="Arial"/>
          <w:b/>
          <w:color w:val="000000"/>
        </w:rPr>
        <w:t>respetar</w:t>
      </w:r>
      <w:r w:rsidRPr="000A13DF">
        <w:rPr>
          <w:rFonts w:ascii="Palatino Linotype" w:hAnsi="Palatino Linotype" w:cs="Arial"/>
          <w:color w:val="000000"/>
        </w:rPr>
        <w:t xml:space="preserve">, proteger y </w:t>
      </w:r>
      <w:r w:rsidRPr="000A13DF">
        <w:rPr>
          <w:rFonts w:ascii="Palatino Linotype" w:hAnsi="Palatino Linotype" w:cs="Arial"/>
          <w:b/>
          <w:color w:val="000000"/>
        </w:rPr>
        <w:t>garantizar</w:t>
      </w:r>
      <w:r w:rsidRPr="000A13DF">
        <w:rPr>
          <w:rFonts w:ascii="Palatino Linotype" w:hAnsi="Palatino Linotype" w:cs="Arial"/>
          <w:color w:val="000000"/>
        </w:rPr>
        <w:t xml:space="preserve"> los derechos humanos”, entre los cuales se encuentra dicho derecho. </w:t>
      </w:r>
    </w:p>
    <w:p w14:paraId="407FBD4F" w14:textId="77777777" w:rsidR="008E4483" w:rsidRPr="000A13DF" w:rsidRDefault="008E4483" w:rsidP="00EE72BA">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0A13DF" w:rsidRDefault="008E4483" w:rsidP="00EE72BA">
      <w:pPr>
        <w:numPr>
          <w:ilvl w:val="0"/>
          <w:numId w:val="1"/>
        </w:numPr>
        <w:tabs>
          <w:tab w:val="left" w:pos="284"/>
        </w:tabs>
        <w:spacing w:before="240" w:after="240" w:line="360" w:lineRule="auto"/>
        <w:contextualSpacing/>
        <w:jc w:val="both"/>
        <w:rPr>
          <w:rFonts w:ascii="Palatino Linotype" w:hAnsi="Palatino Linotype"/>
        </w:rPr>
      </w:pPr>
      <w:r w:rsidRPr="000A13DF">
        <w:rPr>
          <w:rFonts w:ascii="Palatino Linotype" w:hAnsi="Palatino Linotype"/>
        </w:rPr>
        <w:t xml:space="preserve">Definiendo el Derecho de Acceso a la Información Pública como: </w:t>
      </w:r>
      <w:r w:rsidRPr="000A13DF">
        <w:rPr>
          <w:rFonts w:ascii="Palatino Linotype" w:hAnsi="Palatino Linotype"/>
          <w:i/>
          <w:color w:val="000000"/>
        </w:rPr>
        <w:t>La igualdad de oportunidades para recibir, buscar e impartir información</w:t>
      </w:r>
      <w:r w:rsidRPr="000A13DF">
        <w:rPr>
          <w:rFonts w:ascii="Palatino Linotype" w:hAnsi="Palatino Linotype"/>
          <w:i/>
          <w:color w:val="000000"/>
          <w:vertAlign w:val="superscript"/>
        </w:rPr>
        <w:footnoteReference w:id="1"/>
      </w:r>
      <w:r w:rsidRPr="000A13D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A13DF">
        <w:rPr>
          <w:rFonts w:ascii="Palatino Linotype" w:hAnsi="Palatino Linotype"/>
          <w:i/>
          <w:color w:val="000000"/>
          <w:vertAlign w:val="superscript"/>
        </w:rPr>
        <w:footnoteReference w:id="2"/>
      </w:r>
      <w:r w:rsidRPr="000A13DF">
        <w:rPr>
          <w:rFonts w:ascii="Palatino Linotype" w:hAnsi="Palatino Linotype"/>
          <w:color w:val="000000"/>
        </w:rPr>
        <w:t>que se constituye como una herramienta fundamental para ejercer</w:t>
      </w:r>
      <w:r w:rsidRPr="000A13D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0A13DF">
        <w:rPr>
          <w:rFonts w:ascii="Palatino Linotype" w:hAnsi="Palatino Linotype"/>
          <w:i/>
          <w:color w:val="000000"/>
          <w:vertAlign w:val="superscript"/>
        </w:rPr>
        <w:footnoteReference w:id="3"/>
      </w:r>
      <w:r w:rsidRPr="000A13DF">
        <w:rPr>
          <w:rFonts w:ascii="Palatino Linotype" w:hAnsi="Palatino Linotype"/>
          <w:color w:val="000000"/>
        </w:rPr>
        <w:t>fomentando</w:t>
      </w:r>
      <w:r w:rsidRPr="000A13DF">
        <w:rPr>
          <w:rFonts w:ascii="Palatino Linotype" w:hAnsi="Palatino Linotype"/>
          <w:i/>
          <w:color w:val="000000"/>
        </w:rPr>
        <w:t xml:space="preserve"> la transparencia de las actividades estatales y </w:t>
      </w:r>
      <w:r w:rsidRPr="000A13DF">
        <w:rPr>
          <w:rFonts w:ascii="Palatino Linotype" w:hAnsi="Palatino Linotype"/>
          <w:color w:val="000000"/>
        </w:rPr>
        <w:t>promoviendo</w:t>
      </w:r>
      <w:r w:rsidRPr="000A13DF">
        <w:rPr>
          <w:rFonts w:ascii="Palatino Linotype" w:hAnsi="Palatino Linotype"/>
          <w:i/>
          <w:color w:val="000000"/>
        </w:rPr>
        <w:t xml:space="preserve"> la responsabilidad de los funcionarios sobre su gestión pública,</w:t>
      </w:r>
      <w:r w:rsidRPr="000A13DF">
        <w:rPr>
          <w:rFonts w:ascii="Palatino Linotype" w:hAnsi="Palatino Linotype"/>
          <w:i/>
          <w:color w:val="000000"/>
          <w:vertAlign w:val="superscript"/>
        </w:rPr>
        <w:footnoteReference w:id="4"/>
      </w:r>
      <w:r w:rsidRPr="000A13DF">
        <w:rPr>
          <w:rFonts w:ascii="Palatino Linotype" w:hAnsi="Palatino Linotype"/>
          <w:color w:val="000000"/>
        </w:rPr>
        <w:t>que permite</w:t>
      </w:r>
      <w:r w:rsidRPr="000A13DF">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0A13DF" w:rsidRDefault="008E4483" w:rsidP="00EE72BA">
      <w:pPr>
        <w:tabs>
          <w:tab w:val="left" w:pos="284"/>
        </w:tabs>
        <w:spacing w:line="360" w:lineRule="auto"/>
        <w:contextualSpacing/>
        <w:rPr>
          <w:rFonts w:ascii="Palatino Linotype" w:hAnsi="Palatino Linotype"/>
        </w:rPr>
      </w:pPr>
    </w:p>
    <w:p w14:paraId="223832E3" w14:textId="3A93AA98" w:rsidR="008E4483" w:rsidRPr="000A13DF" w:rsidRDefault="008E4483" w:rsidP="00EE72BA">
      <w:pPr>
        <w:numPr>
          <w:ilvl w:val="0"/>
          <w:numId w:val="1"/>
        </w:numPr>
        <w:tabs>
          <w:tab w:val="left" w:pos="284"/>
        </w:tabs>
        <w:spacing w:before="240" w:after="240" w:line="360" w:lineRule="auto"/>
        <w:contextualSpacing/>
        <w:jc w:val="both"/>
        <w:rPr>
          <w:rFonts w:ascii="Palatino Linotype" w:hAnsi="Palatino Linotype"/>
          <w:i/>
        </w:rPr>
      </w:pPr>
      <w:r w:rsidRPr="000A13DF">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0A13DF" w:rsidRDefault="008E4483" w:rsidP="00EE72BA">
      <w:pPr>
        <w:tabs>
          <w:tab w:val="left" w:pos="284"/>
        </w:tabs>
        <w:spacing w:before="240" w:after="240" w:line="360" w:lineRule="auto"/>
        <w:contextualSpacing/>
        <w:jc w:val="both"/>
        <w:rPr>
          <w:rFonts w:ascii="Palatino Linotype" w:hAnsi="Palatino Linotype"/>
          <w:i/>
        </w:rPr>
      </w:pPr>
      <w:r w:rsidRPr="000A13DF">
        <w:rPr>
          <w:rFonts w:ascii="Palatino Linotype" w:hAnsi="Palatino Linotype"/>
          <w:i/>
        </w:rPr>
        <w:t xml:space="preserve"> </w:t>
      </w:r>
    </w:p>
    <w:p w14:paraId="18789162" w14:textId="77777777" w:rsidR="008E4483" w:rsidRPr="000A13DF" w:rsidRDefault="008E4483" w:rsidP="00EE72BA">
      <w:pPr>
        <w:numPr>
          <w:ilvl w:val="0"/>
          <w:numId w:val="1"/>
        </w:numPr>
        <w:tabs>
          <w:tab w:val="left" w:pos="284"/>
        </w:tabs>
        <w:spacing w:before="240" w:line="360" w:lineRule="auto"/>
        <w:contextualSpacing/>
        <w:jc w:val="both"/>
        <w:rPr>
          <w:rFonts w:ascii="Palatino Linotype" w:hAnsi="Palatino Linotype"/>
        </w:rPr>
      </w:pPr>
      <w:r w:rsidRPr="000A13DF">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A13DF">
        <w:rPr>
          <w:rFonts w:ascii="Palatino Linotype" w:hAnsi="Palatino Linotype" w:cs="Arial"/>
          <w:i/>
        </w:rPr>
        <w:t>por los principios de simplicidad, rapidez gratuidad del procedimiento, auxilio y orientación a los particulares</w:t>
      </w:r>
      <w:r w:rsidRPr="000A13DF">
        <w:rPr>
          <w:rFonts w:ascii="Palatino Linotype" w:hAnsi="Palatino Linotype" w:cs="Arial"/>
        </w:rPr>
        <w:t xml:space="preserve">, contemplando el derecho de las personas con discapacidad y hablantes de lengua indígena. </w:t>
      </w:r>
    </w:p>
    <w:p w14:paraId="646E1459" w14:textId="77777777" w:rsidR="008E4483" w:rsidRPr="000A13DF" w:rsidRDefault="008E4483" w:rsidP="00EE72BA">
      <w:pPr>
        <w:tabs>
          <w:tab w:val="left" w:pos="284"/>
        </w:tabs>
        <w:spacing w:before="240" w:after="240" w:line="360" w:lineRule="auto"/>
        <w:contextualSpacing/>
        <w:jc w:val="both"/>
        <w:rPr>
          <w:rFonts w:ascii="Palatino Linotype" w:hAnsi="Palatino Linotype"/>
        </w:rPr>
      </w:pPr>
    </w:p>
    <w:p w14:paraId="6E0F7990" w14:textId="613FE19C" w:rsidR="008E4483" w:rsidRPr="000A13DF" w:rsidRDefault="008E4483" w:rsidP="00EE72BA">
      <w:pPr>
        <w:numPr>
          <w:ilvl w:val="0"/>
          <w:numId w:val="1"/>
        </w:numPr>
        <w:tabs>
          <w:tab w:val="left" w:pos="284"/>
        </w:tabs>
        <w:spacing w:before="240" w:after="240" w:line="360" w:lineRule="auto"/>
        <w:contextualSpacing/>
        <w:jc w:val="both"/>
        <w:rPr>
          <w:rFonts w:ascii="Palatino Linotype" w:hAnsi="Palatino Linotype"/>
        </w:rPr>
      </w:pPr>
      <w:r w:rsidRPr="000A13DF">
        <w:rPr>
          <w:rFonts w:ascii="Palatino Linotype" w:hAnsi="Palatino Linotype"/>
        </w:rPr>
        <w:t xml:space="preserve">Es así que la </w:t>
      </w:r>
      <w:r w:rsidRPr="000A13DF">
        <w:rPr>
          <w:rFonts w:ascii="Palatino Linotype" w:hAnsi="Palatino Linotype"/>
          <w:b/>
        </w:rPr>
        <w:t xml:space="preserve">Ley de Transparencia y Acceso a la Información Pública del Estado de México y Municipios, </w:t>
      </w:r>
      <w:r w:rsidRPr="000A13DF">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0A13DF">
        <w:rPr>
          <w:rFonts w:ascii="Palatino Linotype" w:hAnsi="Palatino Linotype"/>
          <w:b/>
        </w:rPr>
        <w:t xml:space="preserve"> </w:t>
      </w:r>
      <w:r w:rsidRPr="000A13DF">
        <w:rPr>
          <w:rFonts w:ascii="Palatino Linotype" w:hAnsi="Palatino Linotype"/>
        </w:rPr>
        <w:t xml:space="preserve">establece que </w:t>
      </w:r>
      <w:r w:rsidRPr="000A13DF">
        <w:rPr>
          <w:rFonts w:ascii="Palatino Linotype" w:hAnsi="Palatino Linotype"/>
          <w:b/>
          <w:i/>
          <w:u w:val="single"/>
        </w:rPr>
        <w:t>el recurso de revisión es la garantía secundaria</w:t>
      </w:r>
      <w:r w:rsidRPr="000A13DF">
        <w:rPr>
          <w:rFonts w:ascii="Palatino Linotype" w:hAnsi="Palatino Linotype"/>
          <w:b/>
          <w:i/>
        </w:rPr>
        <w:t xml:space="preserve"> mediante la cual se pretende reparar cualquier posible afectación al derecho de acceso a la información pública</w:t>
      </w:r>
      <w:r w:rsidRPr="000A13DF">
        <w:rPr>
          <w:rFonts w:ascii="Palatino Linotype" w:hAnsi="Palatino Linotype"/>
          <w:b/>
        </w:rPr>
        <w:t>, s</w:t>
      </w:r>
      <w:r w:rsidRPr="000A13DF">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0A13DF">
        <w:rPr>
          <w:rFonts w:ascii="Palatino Linotype" w:hAnsi="Palatino Linotype"/>
        </w:rPr>
        <w:t xml:space="preserve"> </w:t>
      </w:r>
    </w:p>
    <w:p w14:paraId="62B78458" w14:textId="77777777" w:rsidR="008E4483" w:rsidRPr="000A13DF" w:rsidRDefault="008E4483" w:rsidP="00EE72BA">
      <w:pPr>
        <w:tabs>
          <w:tab w:val="left" w:pos="284"/>
        </w:tabs>
        <w:spacing w:line="360" w:lineRule="auto"/>
        <w:rPr>
          <w:rFonts w:ascii="Palatino Linotype" w:eastAsia="MS Mincho" w:hAnsi="Palatino Linotype" w:cs="Arial"/>
        </w:rPr>
      </w:pPr>
    </w:p>
    <w:p w14:paraId="355D07B3" w14:textId="77777777" w:rsidR="008E4483" w:rsidRPr="000A13DF" w:rsidRDefault="008E4483" w:rsidP="00EE72BA">
      <w:pPr>
        <w:numPr>
          <w:ilvl w:val="0"/>
          <w:numId w:val="1"/>
        </w:numPr>
        <w:tabs>
          <w:tab w:val="left" w:pos="284"/>
        </w:tabs>
        <w:spacing w:before="240" w:after="240" w:line="360" w:lineRule="auto"/>
        <w:contextualSpacing/>
        <w:jc w:val="both"/>
        <w:rPr>
          <w:rFonts w:ascii="Palatino Linotype" w:eastAsia="Calibri" w:hAnsi="Palatino Linotype"/>
        </w:rPr>
      </w:pPr>
      <w:r w:rsidRPr="000A13DF">
        <w:rPr>
          <w:rFonts w:ascii="Palatino Linotype" w:eastAsia="Calibri" w:hAnsi="Palatino Linotype"/>
        </w:rPr>
        <w:t xml:space="preserve">Establecido lo anterior, resulta evidente que las razones o motivos de inconformidad hechos valer en el recurso de revisión resultan </w:t>
      </w:r>
      <w:r w:rsidRPr="000A13DF">
        <w:rPr>
          <w:rFonts w:ascii="Palatino Linotype" w:eastAsia="Calibri" w:hAnsi="Palatino Linotype"/>
          <w:b/>
        </w:rPr>
        <w:t xml:space="preserve">fundadas y </w:t>
      </w:r>
      <w:r w:rsidRPr="000A13DF">
        <w:rPr>
          <w:rFonts w:ascii="Palatino Linotype" w:eastAsia="Calibri" w:hAnsi="Palatino Linotype"/>
          <w:b/>
        </w:rPr>
        <w:lastRenderedPageBreak/>
        <w:t>procedentes</w:t>
      </w:r>
      <w:r w:rsidRPr="000A13DF">
        <w:rPr>
          <w:rFonts w:ascii="Palatino Linotype" w:eastAsia="Calibri" w:hAnsi="Palatino Linotype"/>
        </w:rPr>
        <w:t xml:space="preserve">, debido a que el </w:t>
      </w:r>
      <w:r w:rsidRPr="000A13DF">
        <w:rPr>
          <w:rFonts w:ascii="Palatino Linotype" w:eastAsia="Calibri" w:hAnsi="Palatino Linotype"/>
          <w:b/>
        </w:rPr>
        <w:t>SUJETO OBLIGADO</w:t>
      </w:r>
      <w:r w:rsidRPr="000A13DF">
        <w:rPr>
          <w:rFonts w:ascii="Palatino Linotype" w:eastAsia="Calibri" w:hAnsi="Palatino Linotype"/>
        </w:rPr>
        <w:t xml:space="preserve"> proporcionó información que no corresponde con lo solicitado.</w:t>
      </w:r>
    </w:p>
    <w:p w14:paraId="4CFD2ECD" w14:textId="0AA5462A" w:rsidR="008E4483" w:rsidRPr="000A13DF" w:rsidRDefault="008E4483" w:rsidP="00EE72BA">
      <w:pPr>
        <w:pStyle w:val="Prrafodelista"/>
        <w:numPr>
          <w:ilvl w:val="0"/>
          <w:numId w:val="1"/>
        </w:numPr>
        <w:spacing w:before="240" w:after="360" w:line="360" w:lineRule="auto"/>
        <w:jc w:val="both"/>
        <w:rPr>
          <w:rFonts w:ascii="Palatino Linotype" w:hAnsi="Palatino Linotype" w:cs="Arial"/>
          <w:i/>
          <w:color w:val="000000" w:themeColor="text1"/>
        </w:rPr>
      </w:pPr>
      <w:r w:rsidRPr="000A13DF">
        <w:rPr>
          <w:rFonts w:ascii="Palatino Linotype" w:hAnsi="Palatino Linotype" w:cs="Arial"/>
        </w:rPr>
        <w:t xml:space="preserve">Ahora bien, para entender los alcances de la información pública se considera importante citar el criterio </w:t>
      </w:r>
      <w:r w:rsidRPr="000A13D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A13DF">
        <w:rPr>
          <w:rFonts w:ascii="Palatino Linotype" w:hAnsi="Palatino Linotype" w:cs="Arial"/>
        </w:rPr>
        <w:t>cuyo rubro y texto dispone:</w:t>
      </w:r>
    </w:p>
    <w:p w14:paraId="27F940F8" w14:textId="77777777" w:rsidR="008E4483" w:rsidRPr="000A13DF" w:rsidRDefault="008E4483" w:rsidP="00EE72BA">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b/>
          <w:i/>
          <w:lang w:eastAsia="es-MX"/>
        </w:rPr>
      </w:pPr>
      <w:r w:rsidRPr="000A13DF">
        <w:rPr>
          <w:rFonts w:ascii="Palatino Linotype" w:hAnsi="Palatino Linotype" w:cs="Arial"/>
          <w:b/>
          <w:i/>
          <w:lang w:eastAsia="es-MX"/>
        </w:rPr>
        <w:t>“CRITERIO 0002-11</w:t>
      </w:r>
    </w:p>
    <w:p w14:paraId="0FACDA68"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i/>
          <w:lang w:eastAsia="es-MX"/>
        </w:rPr>
      </w:pPr>
      <w:r w:rsidRPr="000A13DF">
        <w:rPr>
          <w:rFonts w:ascii="Palatino Linotype" w:hAnsi="Palatino Linotype" w:cs="Arial"/>
          <w:b/>
          <w:i/>
          <w:lang w:eastAsia="es-MX"/>
        </w:rPr>
        <w:t xml:space="preserve">INFORMACIÓN PÚBLICA, CONCEPTO DE, EN MATERIA DE TRANSPARENCIA. INTERPRETACIÓN TEMÁTICA DE LOS ARTÍCULOS 2, FRACCIÓN </w:t>
      </w:r>
      <w:r w:rsidRPr="000A13DF">
        <w:rPr>
          <w:rFonts w:ascii="Palatino Linotype" w:hAnsi="Palatino Linotype" w:cs="Arial"/>
          <w:b/>
          <w:bCs/>
          <w:i/>
          <w:lang w:eastAsia="es-MX"/>
        </w:rPr>
        <w:t xml:space="preserve">V, XV, Y XVI, </w:t>
      </w:r>
      <w:r w:rsidRPr="000A13DF">
        <w:rPr>
          <w:rFonts w:ascii="Palatino Linotype" w:hAnsi="Palatino Linotype" w:cs="Arial"/>
          <w:b/>
          <w:i/>
          <w:lang w:eastAsia="es-MX"/>
        </w:rPr>
        <w:t>3, 4,11 Y 41.</w:t>
      </w:r>
      <w:r w:rsidRPr="000A13DF">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i/>
          <w:lang w:eastAsia="es-MX"/>
        </w:rPr>
      </w:pPr>
      <w:r w:rsidRPr="000A13DF">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i/>
          <w:lang w:eastAsia="es-MX"/>
        </w:rPr>
      </w:pPr>
      <w:r w:rsidRPr="000A13DF">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i/>
          <w:lang w:eastAsia="es-MX"/>
        </w:rPr>
      </w:pPr>
      <w:r w:rsidRPr="000A13DF">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0A13DF" w:rsidRDefault="008E4483" w:rsidP="00EE72BA">
      <w:pPr>
        <w:spacing w:line="360" w:lineRule="auto"/>
        <w:ind w:left="567" w:right="567"/>
        <w:jc w:val="both"/>
        <w:rPr>
          <w:rFonts w:ascii="Palatino Linotype" w:hAnsi="Palatino Linotype" w:cs="Arial"/>
          <w:i/>
          <w:color w:val="000000" w:themeColor="text1"/>
        </w:rPr>
      </w:pPr>
      <w:r w:rsidRPr="000A13DF">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0A13DF" w:rsidRDefault="008E4483" w:rsidP="00EE72BA">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0A13DF" w:rsidRDefault="008E4483" w:rsidP="00EE72BA">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0A13DF">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i/>
          <w:lang w:val="es-ES"/>
        </w:rPr>
      </w:pPr>
      <w:r w:rsidRPr="000A13DF">
        <w:rPr>
          <w:rFonts w:ascii="Palatino Linotype" w:eastAsiaTheme="minorHAnsi" w:hAnsi="Palatino Linotype" w:cs="Bookman Old Style,Bold"/>
          <w:b/>
          <w:bCs/>
          <w:i/>
          <w:lang w:eastAsia="en-US"/>
        </w:rPr>
        <w:t xml:space="preserve">XI. Documento: </w:t>
      </w:r>
      <w:r w:rsidRPr="000A13DF">
        <w:rPr>
          <w:rFonts w:ascii="Palatino Linotype" w:eastAsiaTheme="minorHAnsi" w:hAnsi="Palatino Linotype" w:cs="Bookman Old Style"/>
          <w:i/>
          <w:lang w:eastAsia="en-US"/>
        </w:rPr>
        <w:t xml:space="preserve">Los expedientes, reportes, estudios, actas, resoluciones, </w:t>
      </w:r>
      <w:r w:rsidRPr="000A13DF">
        <w:rPr>
          <w:rFonts w:ascii="Palatino Linotype" w:eastAsiaTheme="minorHAnsi" w:hAnsi="Palatino Linotype" w:cs="Bookman Old Style"/>
          <w:b/>
          <w:i/>
          <w:lang w:eastAsia="en-US"/>
        </w:rPr>
        <w:t>oficios,</w:t>
      </w:r>
      <w:r w:rsidRPr="000A13DF">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0A13DF">
        <w:rPr>
          <w:rFonts w:ascii="Palatino Linotype" w:eastAsiaTheme="minorHAnsi" w:hAnsi="Palatino Linotype" w:cs="Bookman Old Style"/>
          <w:b/>
          <w:i/>
          <w:lang w:eastAsia="en-US"/>
        </w:rPr>
        <w:t>cualquier otro registro</w:t>
      </w:r>
      <w:r w:rsidRPr="000A13DF">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0A13DF" w:rsidRDefault="008E4483" w:rsidP="00EE72BA">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0A13DF" w:rsidRDefault="008E4483" w:rsidP="00EE72BA">
      <w:pPr>
        <w:pStyle w:val="Prrafodelista"/>
        <w:numPr>
          <w:ilvl w:val="0"/>
          <w:numId w:val="4"/>
        </w:numPr>
        <w:tabs>
          <w:tab w:val="left" w:pos="851"/>
        </w:tabs>
        <w:spacing w:line="360" w:lineRule="auto"/>
        <w:ind w:right="49"/>
        <w:jc w:val="both"/>
        <w:rPr>
          <w:rFonts w:ascii="Palatino Linotype" w:hAnsi="Palatino Linotype"/>
          <w:lang w:val="es-ES"/>
        </w:rPr>
      </w:pPr>
      <w:r w:rsidRPr="000A13DF">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0A13DF" w:rsidRDefault="008E4483" w:rsidP="00EE72BA">
      <w:pPr>
        <w:pStyle w:val="Prrafodelista"/>
        <w:spacing w:line="360" w:lineRule="auto"/>
        <w:ind w:left="0"/>
        <w:jc w:val="both"/>
        <w:rPr>
          <w:rFonts w:ascii="Palatino Linotype" w:eastAsia="Calibri" w:hAnsi="Palatino Linotype" w:cs="Arial"/>
        </w:rPr>
      </w:pPr>
    </w:p>
    <w:p w14:paraId="1B3026E4" w14:textId="77777777" w:rsidR="008E4483" w:rsidRPr="000A13DF" w:rsidRDefault="008E4483" w:rsidP="00EE72BA">
      <w:pPr>
        <w:pStyle w:val="Prrafodelista"/>
        <w:numPr>
          <w:ilvl w:val="0"/>
          <w:numId w:val="4"/>
        </w:numPr>
        <w:spacing w:line="360" w:lineRule="auto"/>
        <w:jc w:val="both"/>
        <w:rPr>
          <w:rFonts w:ascii="Palatino Linotype" w:eastAsia="Calibri" w:hAnsi="Palatino Linotype" w:cs="Arial"/>
        </w:rPr>
      </w:pPr>
      <w:r w:rsidRPr="000A13DF">
        <w:rPr>
          <w:rFonts w:ascii="Palatino Linotype" w:hAnsi="Palatino Linotype"/>
          <w:color w:val="000000" w:themeColor="text1"/>
        </w:rPr>
        <w:lastRenderedPageBreak/>
        <w:t xml:space="preserve">Resulta necesario referir que, el </w:t>
      </w:r>
      <w:r w:rsidRPr="000A13DF">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A13DF">
        <w:rPr>
          <w:rFonts w:ascii="Palatino Linotype" w:eastAsia="Calibri" w:hAnsi="Palatino Linotype" w:cs="Arial"/>
          <w:b/>
        </w:rPr>
        <w:t>los Sujetos Obligados deberán documentar todo acto que se derive del ejercicio de sus facultades, competencias o funciones,</w:t>
      </w:r>
      <w:r w:rsidRPr="000A13DF">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0A13DF" w:rsidRDefault="008E4483" w:rsidP="00EE72BA">
      <w:pPr>
        <w:pStyle w:val="Prrafodelista"/>
        <w:spacing w:line="360" w:lineRule="auto"/>
        <w:rPr>
          <w:rFonts w:ascii="Palatino Linotype" w:eastAsia="Calibri" w:hAnsi="Palatino Linotype" w:cs="Arial"/>
        </w:rPr>
      </w:pPr>
    </w:p>
    <w:p w14:paraId="308FCB42" w14:textId="77777777" w:rsidR="008E4483" w:rsidRPr="000A13DF" w:rsidRDefault="008E4483" w:rsidP="00EE72BA">
      <w:pPr>
        <w:pStyle w:val="Prrafodelista"/>
        <w:numPr>
          <w:ilvl w:val="0"/>
          <w:numId w:val="4"/>
        </w:numPr>
        <w:spacing w:line="360" w:lineRule="auto"/>
        <w:jc w:val="both"/>
        <w:rPr>
          <w:rFonts w:ascii="Palatino Linotype" w:eastAsia="Calibri" w:hAnsi="Palatino Linotype" w:cs="Arial"/>
        </w:rPr>
      </w:pPr>
      <w:r w:rsidRPr="000A13DF">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0A13DF" w:rsidRDefault="008E4483" w:rsidP="00EE72BA">
      <w:pPr>
        <w:pStyle w:val="Prrafodelista"/>
        <w:spacing w:line="360" w:lineRule="auto"/>
        <w:rPr>
          <w:rFonts w:ascii="Palatino Linotype" w:hAnsi="Palatino Linotype" w:cs="Arial"/>
          <w:color w:val="000000"/>
        </w:rPr>
      </w:pPr>
    </w:p>
    <w:p w14:paraId="0DE0F687"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r w:rsidRPr="000A13DF">
        <w:rPr>
          <w:rFonts w:ascii="Palatino Linotype" w:hAnsi="Palatino Linotype" w:cs="Bookman Old Style,Bold"/>
          <w:b/>
          <w:bCs/>
          <w:i/>
        </w:rPr>
        <w:t xml:space="preserve">Artículo 4. </w:t>
      </w:r>
      <w:r w:rsidRPr="000A13DF">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r w:rsidRPr="000A13DF">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0A13DF">
        <w:rPr>
          <w:rFonts w:ascii="Palatino Linotype" w:hAnsi="Palatino Linotype" w:cs="Bookman Old Style"/>
          <w:i/>
        </w:rPr>
        <w:lastRenderedPageBreak/>
        <w:t>en los términos de las causas legítimas y estrictamente necesarias previstas por esta Ley.</w:t>
      </w:r>
    </w:p>
    <w:p w14:paraId="5BFA1242"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r w:rsidRPr="000A13DF">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r w:rsidRPr="000A13DF">
        <w:rPr>
          <w:rFonts w:ascii="Palatino Linotype" w:hAnsi="Palatino Linotype" w:cs="Bookman Old Style,Bold"/>
          <w:b/>
          <w:bCs/>
          <w:i/>
        </w:rPr>
        <w:t xml:space="preserve">Artículo 12. </w:t>
      </w:r>
      <w:r w:rsidRPr="000A13DF">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b/>
          <w:i/>
        </w:rPr>
      </w:pPr>
      <w:r w:rsidRPr="000A13DF">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0A13DF">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0A13DF" w:rsidRDefault="008E4483" w:rsidP="00EE72BA">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0A13DF" w:rsidRDefault="008E4483" w:rsidP="00EE72BA">
      <w:pPr>
        <w:pStyle w:val="Prrafodelista"/>
        <w:numPr>
          <w:ilvl w:val="0"/>
          <w:numId w:val="4"/>
        </w:numPr>
        <w:tabs>
          <w:tab w:val="left" w:pos="851"/>
        </w:tabs>
        <w:spacing w:line="360" w:lineRule="auto"/>
        <w:ind w:right="49"/>
        <w:jc w:val="both"/>
        <w:rPr>
          <w:rFonts w:ascii="Palatino Linotype" w:hAnsi="Palatino Linotype"/>
          <w:lang w:val="es-ES"/>
        </w:rPr>
      </w:pPr>
      <w:r w:rsidRPr="000A13DF">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A13DF">
        <w:rPr>
          <w:rStyle w:val="Refdenotaalpie"/>
          <w:rFonts w:ascii="Palatino Linotype" w:hAnsi="Palatino Linotype"/>
          <w:lang w:val="es-ES"/>
        </w:rPr>
        <w:footnoteReference w:id="5"/>
      </w:r>
      <w:r w:rsidRPr="000A13DF">
        <w:rPr>
          <w:rFonts w:ascii="Palatino Linotype" w:hAnsi="Palatino Linotype"/>
          <w:lang w:val="es-ES"/>
        </w:rPr>
        <w:t xml:space="preserve"> y máxima publicidad, sobre éste último se debe poner mayor </w:t>
      </w:r>
      <w:r w:rsidRPr="000A13DF">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0A13DF" w:rsidRDefault="008E4483" w:rsidP="00EE72BA">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0A13DF" w:rsidRDefault="008E4483" w:rsidP="00EE72BA">
      <w:pPr>
        <w:pStyle w:val="Prrafodelista"/>
        <w:numPr>
          <w:ilvl w:val="0"/>
          <w:numId w:val="4"/>
        </w:numPr>
        <w:tabs>
          <w:tab w:val="left" w:pos="851"/>
        </w:tabs>
        <w:spacing w:line="360" w:lineRule="auto"/>
        <w:ind w:right="49"/>
        <w:jc w:val="both"/>
        <w:rPr>
          <w:rFonts w:ascii="Palatino Linotype" w:hAnsi="Palatino Linotype"/>
          <w:lang w:val="es-ES"/>
        </w:rPr>
      </w:pPr>
      <w:r w:rsidRPr="000A13D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CF6D85B" w14:textId="77777777" w:rsidR="007A7C82" w:rsidRPr="000A13DF" w:rsidRDefault="007A7C82" w:rsidP="00EE72BA">
      <w:pPr>
        <w:pStyle w:val="Prrafodelista"/>
        <w:tabs>
          <w:tab w:val="left" w:pos="851"/>
        </w:tabs>
        <w:spacing w:line="360" w:lineRule="auto"/>
        <w:ind w:left="0" w:right="49"/>
        <w:jc w:val="both"/>
        <w:rPr>
          <w:rFonts w:ascii="Palatino Linotype" w:hAnsi="Palatino Linotype"/>
          <w:lang w:val="es-ES"/>
        </w:rPr>
      </w:pPr>
    </w:p>
    <w:p w14:paraId="1C9461BC"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rPr>
      </w:pPr>
      <w:r w:rsidRPr="000A13DF">
        <w:rPr>
          <w:rFonts w:ascii="Palatino Linotype" w:hAnsi="Palatino Linotype"/>
          <w:b/>
          <w:i/>
        </w:rPr>
        <w:t>ACCESO A LA INFORMACIÓN. IMPLICACIÓN DEL PRINCIPIO DE MÁXIMA PUBLICIDAD EN EL DERECHO FUNDAMENTAL RELATIVO.</w:t>
      </w:r>
      <w:r w:rsidRPr="000A13DF">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w:t>
      </w:r>
      <w:r w:rsidRPr="000A13DF">
        <w:rPr>
          <w:rFonts w:ascii="Palatino Linotype" w:hAnsi="Palatino Linotype"/>
          <w:i/>
        </w:rPr>
        <w:lastRenderedPageBreak/>
        <w:t xml:space="preserve">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rPr>
      </w:pPr>
    </w:p>
    <w:p w14:paraId="67F80A0B"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rPr>
      </w:pPr>
      <w:r w:rsidRPr="000A13DF">
        <w:rPr>
          <w:rFonts w:ascii="Palatino Linotype" w:hAnsi="Palatino Linotype"/>
          <w:i/>
        </w:rPr>
        <w:t xml:space="preserve">CUARTO TRIBUNAL COLEGIADO EN MATERIA ADMINISTRATIVA DEL PRIMER CIRCUITO. </w:t>
      </w:r>
    </w:p>
    <w:p w14:paraId="31A63FA8"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rPr>
      </w:pPr>
    </w:p>
    <w:p w14:paraId="51E4ECF1"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rPr>
      </w:pPr>
      <w:r w:rsidRPr="000A13DF">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0A13DF" w:rsidRDefault="008E4483" w:rsidP="00EE72BA">
      <w:pPr>
        <w:pStyle w:val="Prrafodelista"/>
        <w:tabs>
          <w:tab w:val="left" w:pos="851"/>
        </w:tabs>
        <w:spacing w:line="360" w:lineRule="auto"/>
        <w:ind w:left="567" w:right="567"/>
        <w:jc w:val="both"/>
        <w:rPr>
          <w:rFonts w:ascii="Palatino Linotype" w:hAnsi="Palatino Linotype"/>
          <w:i/>
          <w:lang w:val="es-ES"/>
        </w:rPr>
      </w:pPr>
    </w:p>
    <w:p w14:paraId="0461DD46" w14:textId="77777777" w:rsidR="008E4483" w:rsidRPr="000A13DF" w:rsidRDefault="008E4483" w:rsidP="00EE72BA">
      <w:pPr>
        <w:pStyle w:val="Prrafodelista"/>
        <w:numPr>
          <w:ilvl w:val="0"/>
          <w:numId w:val="4"/>
        </w:numPr>
        <w:tabs>
          <w:tab w:val="left" w:pos="851"/>
        </w:tabs>
        <w:spacing w:line="360" w:lineRule="auto"/>
        <w:ind w:right="49"/>
        <w:jc w:val="both"/>
        <w:rPr>
          <w:rFonts w:ascii="Palatino Linotype" w:hAnsi="Palatino Linotype"/>
          <w:lang w:val="es-ES"/>
        </w:rPr>
      </w:pPr>
      <w:r w:rsidRPr="000A13DF">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0A13DF" w:rsidRDefault="008E4483" w:rsidP="00EE72BA">
      <w:pPr>
        <w:tabs>
          <w:tab w:val="left" w:pos="851"/>
        </w:tabs>
        <w:spacing w:line="360" w:lineRule="auto"/>
        <w:ind w:right="49"/>
        <w:jc w:val="both"/>
        <w:rPr>
          <w:rFonts w:ascii="Palatino Linotype" w:hAnsi="Palatino Linotype"/>
          <w:lang w:val="es-ES"/>
        </w:rPr>
      </w:pPr>
    </w:p>
    <w:p w14:paraId="76FAF39D" w14:textId="77777777" w:rsidR="008E4483" w:rsidRPr="000A13DF" w:rsidRDefault="008E4483" w:rsidP="00EE72BA">
      <w:pPr>
        <w:pStyle w:val="Prrafodelista"/>
        <w:numPr>
          <w:ilvl w:val="0"/>
          <w:numId w:val="1"/>
        </w:numPr>
        <w:tabs>
          <w:tab w:val="left" w:pos="0"/>
        </w:tabs>
        <w:spacing w:line="360" w:lineRule="auto"/>
        <w:ind w:right="49"/>
        <w:jc w:val="both"/>
        <w:rPr>
          <w:rFonts w:ascii="Palatino Linotype" w:hAnsi="Palatino Linotype" w:cs="Arial"/>
          <w:lang w:eastAsia="es-MX"/>
        </w:rPr>
      </w:pPr>
      <w:r w:rsidRPr="000A13DF">
        <w:rPr>
          <w:rFonts w:ascii="Palatino Linotype" w:hAnsi="Palatino Linotype" w:cs="Arial"/>
        </w:rPr>
        <w:lastRenderedPageBreak/>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b/>
          <w:i/>
        </w:rPr>
        <w:t>“Artículo 6o.</w:t>
      </w:r>
      <w:r w:rsidRPr="000A13DF">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A13DF">
        <w:rPr>
          <w:rFonts w:ascii="Palatino Linotype" w:hAnsi="Palatino Linotype" w:cs="Arial"/>
          <w:b/>
          <w:i/>
        </w:rPr>
        <w:t>El derecho a la información será garantizado por el Estado.</w:t>
      </w:r>
      <w:r w:rsidRPr="000A13DF">
        <w:rPr>
          <w:rFonts w:ascii="Palatino Linotype" w:hAnsi="Palatino Linotype" w:cs="Arial"/>
          <w:i/>
        </w:rPr>
        <w:t xml:space="preserve"> </w:t>
      </w:r>
    </w:p>
    <w:p w14:paraId="4AC38F1F" w14:textId="77777777" w:rsidR="008E4483" w:rsidRPr="000A13DF" w:rsidRDefault="008E4483" w:rsidP="00EE72BA">
      <w:pPr>
        <w:spacing w:line="360" w:lineRule="auto"/>
        <w:ind w:left="567" w:right="567"/>
        <w:jc w:val="both"/>
        <w:rPr>
          <w:rFonts w:ascii="Palatino Linotype" w:hAnsi="Palatino Linotype" w:cs="Arial"/>
          <w:i/>
        </w:rPr>
      </w:pPr>
    </w:p>
    <w:p w14:paraId="4B5681D6"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0A13DF" w:rsidRDefault="008E4483" w:rsidP="00EE72BA">
      <w:pPr>
        <w:spacing w:line="360" w:lineRule="auto"/>
        <w:ind w:left="567" w:right="567"/>
        <w:jc w:val="both"/>
        <w:rPr>
          <w:rFonts w:ascii="Palatino Linotype" w:hAnsi="Palatino Linotype" w:cs="Arial"/>
          <w:i/>
        </w:rPr>
      </w:pPr>
    </w:p>
    <w:p w14:paraId="681A3253"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Para efectos de lo dispuesto en el presente artículo se observará lo siguiente:</w:t>
      </w:r>
    </w:p>
    <w:p w14:paraId="500990B0" w14:textId="77777777" w:rsidR="008E4483" w:rsidRPr="000A13DF" w:rsidRDefault="008E4483" w:rsidP="00EE72BA">
      <w:pPr>
        <w:spacing w:line="360" w:lineRule="auto"/>
        <w:ind w:left="567" w:right="567"/>
        <w:jc w:val="both"/>
        <w:rPr>
          <w:rFonts w:ascii="Palatino Linotype" w:hAnsi="Palatino Linotype" w:cs="Arial"/>
          <w:i/>
        </w:rPr>
      </w:pPr>
    </w:p>
    <w:p w14:paraId="1A00976B"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0A13DF" w:rsidRDefault="008E4483" w:rsidP="00EE72BA">
      <w:pPr>
        <w:spacing w:line="360" w:lineRule="auto"/>
        <w:ind w:left="567" w:right="567"/>
        <w:jc w:val="both"/>
        <w:rPr>
          <w:rFonts w:ascii="Palatino Linotype" w:hAnsi="Palatino Linotype" w:cs="Arial"/>
          <w:b/>
          <w:i/>
        </w:rPr>
      </w:pPr>
    </w:p>
    <w:p w14:paraId="3A80ED39"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b/>
          <w:i/>
        </w:rPr>
        <w:t>I. Toda la información en posesión de</w:t>
      </w:r>
      <w:r w:rsidRPr="000A13DF">
        <w:rPr>
          <w:rFonts w:ascii="Palatino Linotype" w:hAnsi="Palatino Linotype" w:cs="Arial"/>
          <w:i/>
        </w:rPr>
        <w:t xml:space="preserve"> </w:t>
      </w:r>
      <w:r w:rsidRPr="000A13DF">
        <w:rPr>
          <w:rFonts w:ascii="Palatino Linotype" w:hAnsi="Palatino Linotype" w:cs="Arial"/>
          <w:b/>
          <w:i/>
        </w:rPr>
        <w:t>cualquier autoridad</w:t>
      </w:r>
      <w:r w:rsidRPr="000A13DF">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A13DF">
        <w:rPr>
          <w:rFonts w:ascii="Palatino Linotype" w:hAnsi="Palatino Linotype" w:cs="Arial"/>
          <w:b/>
          <w:i/>
        </w:rPr>
        <w:t>es pública</w:t>
      </w:r>
      <w:r w:rsidRPr="000A13DF">
        <w:rPr>
          <w:rFonts w:ascii="Palatino Linotype" w:hAnsi="Palatino Linotype" w:cs="Arial"/>
          <w:i/>
        </w:rPr>
        <w:t xml:space="preserve"> y sólo podrá ser reservada temporalmente por razones de interés público y seguridad nacional, en </w:t>
      </w:r>
      <w:r w:rsidRPr="000A13DF">
        <w:rPr>
          <w:rFonts w:ascii="Palatino Linotype" w:hAnsi="Palatino Linotype" w:cs="Arial"/>
          <w:i/>
        </w:rPr>
        <w:lastRenderedPageBreak/>
        <w:t xml:space="preserve">los términos que fijen las leyes. En la interpretación de este derecho deberá prevalecer el principio de máxima publicidad. </w:t>
      </w:r>
      <w:r w:rsidRPr="000A13DF">
        <w:rPr>
          <w:rFonts w:ascii="Palatino Linotype" w:hAnsi="Palatino Linotype" w:cs="Arial"/>
          <w:b/>
          <w:i/>
        </w:rPr>
        <w:t>Los sujetos obligados deberán documentar todo acto que derive del ejercicio de sus facultades, competencias o funciones</w:t>
      </w:r>
      <w:r w:rsidRPr="000A13DF">
        <w:rPr>
          <w:rFonts w:ascii="Palatino Linotype" w:hAnsi="Palatino Linotype" w:cs="Arial"/>
          <w:i/>
        </w:rPr>
        <w:t>, la ley determinará los supuestos específicos bajo los cuales procederá la declaración de inexistencia de la información.</w:t>
      </w:r>
    </w:p>
    <w:p w14:paraId="7F196963" w14:textId="77777777" w:rsidR="008E4483" w:rsidRPr="000A13DF" w:rsidRDefault="008E4483" w:rsidP="00EE72BA">
      <w:pPr>
        <w:spacing w:line="360" w:lineRule="auto"/>
        <w:ind w:left="567" w:right="567"/>
        <w:jc w:val="both"/>
        <w:rPr>
          <w:rFonts w:ascii="Palatino Linotype" w:hAnsi="Palatino Linotype" w:cs="Arial"/>
          <w:i/>
        </w:rPr>
      </w:pPr>
    </w:p>
    <w:p w14:paraId="0CECF853"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0A13DF" w:rsidRDefault="008E4483" w:rsidP="00EE72BA">
      <w:pPr>
        <w:spacing w:line="360" w:lineRule="auto"/>
        <w:ind w:left="567" w:right="567"/>
        <w:jc w:val="both"/>
        <w:rPr>
          <w:rFonts w:ascii="Palatino Linotype" w:hAnsi="Palatino Linotype" w:cs="Arial"/>
          <w:i/>
        </w:rPr>
      </w:pPr>
    </w:p>
    <w:p w14:paraId="4EF8A8A9"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0A13DF" w:rsidRDefault="008E4483" w:rsidP="00EE72BA">
      <w:pPr>
        <w:spacing w:line="360" w:lineRule="auto"/>
        <w:ind w:left="567" w:right="567"/>
        <w:jc w:val="both"/>
        <w:rPr>
          <w:rFonts w:ascii="Palatino Linotype" w:hAnsi="Palatino Linotype" w:cs="Arial"/>
          <w:i/>
        </w:rPr>
      </w:pPr>
    </w:p>
    <w:p w14:paraId="112801FD"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0A13DF" w:rsidRDefault="008E4483" w:rsidP="00EE72BA">
      <w:pPr>
        <w:spacing w:line="360" w:lineRule="auto"/>
        <w:ind w:left="567" w:right="567"/>
        <w:jc w:val="both"/>
        <w:rPr>
          <w:rFonts w:ascii="Palatino Linotype" w:hAnsi="Palatino Linotype" w:cs="Arial"/>
          <w:b/>
          <w:i/>
        </w:rPr>
      </w:pPr>
    </w:p>
    <w:p w14:paraId="3FB33C7B"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b/>
          <w:i/>
        </w:rPr>
        <w:t>V. Los sujetos obligados deberán preservar sus documentos en archivos administrativos actualizados y publicarán, a través de los medios electrónicos disponibles</w:t>
      </w:r>
      <w:r w:rsidRPr="000A13DF">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0A13DF" w:rsidRDefault="008E4483" w:rsidP="00EE72BA">
      <w:pPr>
        <w:spacing w:line="360" w:lineRule="auto"/>
        <w:ind w:left="567" w:right="567"/>
        <w:jc w:val="both"/>
        <w:rPr>
          <w:rFonts w:ascii="Palatino Linotype" w:hAnsi="Palatino Linotype" w:cs="Arial"/>
          <w:i/>
        </w:rPr>
      </w:pPr>
    </w:p>
    <w:p w14:paraId="37399313"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lastRenderedPageBreak/>
        <w:t>VI. Las leyes determinarán la manera en que los sujetos obligados deberán hacer pública la información relativa a los recursos públicos que entreguen a personas físicas o morales.</w:t>
      </w:r>
    </w:p>
    <w:p w14:paraId="36CC0C68" w14:textId="77777777" w:rsidR="008E4483" w:rsidRPr="000A13DF" w:rsidRDefault="008E4483" w:rsidP="00EE72BA">
      <w:pPr>
        <w:spacing w:line="360" w:lineRule="auto"/>
        <w:ind w:left="567" w:right="567"/>
        <w:jc w:val="both"/>
        <w:rPr>
          <w:rFonts w:ascii="Palatino Linotype" w:hAnsi="Palatino Linotype" w:cs="Arial"/>
          <w:i/>
        </w:rPr>
      </w:pPr>
    </w:p>
    <w:p w14:paraId="4D04B6B7"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0A13DF" w:rsidRDefault="008E4483" w:rsidP="00EE72BA">
      <w:pPr>
        <w:spacing w:line="360" w:lineRule="auto"/>
        <w:ind w:left="567" w:right="567"/>
        <w:jc w:val="both"/>
        <w:rPr>
          <w:rFonts w:ascii="Palatino Linotype" w:hAnsi="Palatino Linotype" w:cs="Arial"/>
          <w:i/>
        </w:rPr>
      </w:pPr>
    </w:p>
    <w:p w14:paraId="30D06838"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w:t>
      </w:r>
    </w:p>
    <w:p w14:paraId="6140CC8E"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cs="Arial"/>
          <w:i/>
        </w:rPr>
        <w:t>La ley establecerá aquella información que se considere reservada o confidencial.”</w:t>
      </w:r>
    </w:p>
    <w:p w14:paraId="0DF4504F" w14:textId="77777777" w:rsidR="008E4483" w:rsidRPr="000A13DF" w:rsidRDefault="008E4483" w:rsidP="00EE72BA">
      <w:pPr>
        <w:spacing w:line="360" w:lineRule="auto"/>
        <w:ind w:left="567" w:right="567"/>
        <w:jc w:val="both"/>
        <w:rPr>
          <w:rFonts w:ascii="Palatino Linotype" w:hAnsi="Palatino Linotype"/>
          <w:i/>
        </w:rPr>
      </w:pPr>
    </w:p>
    <w:p w14:paraId="70B9AFAD"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(Énfasis añadido)</w:t>
      </w:r>
    </w:p>
    <w:p w14:paraId="1E957CE8" w14:textId="77777777" w:rsidR="008E4483" w:rsidRPr="000A13DF" w:rsidRDefault="008E4483" w:rsidP="00EE72BA">
      <w:pPr>
        <w:spacing w:line="360" w:lineRule="auto"/>
        <w:ind w:left="709" w:right="757"/>
        <w:jc w:val="both"/>
        <w:rPr>
          <w:rFonts w:ascii="Palatino Linotype" w:hAnsi="Palatino Linotype"/>
        </w:rPr>
      </w:pPr>
    </w:p>
    <w:p w14:paraId="67E589E6" w14:textId="77777777" w:rsidR="008E4483" w:rsidRPr="000A13DF" w:rsidRDefault="008E4483"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0A13DF" w:rsidRDefault="008E4483" w:rsidP="00EE72BA">
      <w:pPr>
        <w:spacing w:line="360" w:lineRule="auto"/>
        <w:ind w:left="709" w:right="757"/>
        <w:jc w:val="both"/>
        <w:rPr>
          <w:rFonts w:ascii="Palatino Linotype" w:hAnsi="Palatino Linotype" w:cs="Arial"/>
        </w:rPr>
      </w:pPr>
    </w:p>
    <w:p w14:paraId="459B253A" w14:textId="77777777" w:rsidR="008E4483" w:rsidRPr="000A13DF" w:rsidRDefault="008E4483" w:rsidP="00EE72BA">
      <w:pPr>
        <w:spacing w:line="360" w:lineRule="auto"/>
        <w:ind w:left="567" w:right="567"/>
        <w:jc w:val="both"/>
        <w:rPr>
          <w:rFonts w:ascii="Palatino Linotype" w:hAnsi="Palatino Linotype" w:cs="Arial"/>
          <w:b/>
          <w:i/>
        </w:rPr>
      </w:pPr>
      <w:r w:rsidRPr="000A13DF">
        <w:rPr>
          <w:rFonts w:ascii="Palatino Linotype" w:hAnsi="Palatino Linotype" w:cs="Arial"/>
          <w:b/>
          <w:i/>
        </w:rPr>
        <w:t xml:space="preserve">“Artículo 5. … </w:t>
      </w:r>
    </w:p>
    <w:p w14:paraId="6BF00F17"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b/>
          <w:i/>
        </w:rPr>
        <w:t>El derecho a la información será garantizado por el Estado</w:t>
      </w:r>
      <w:r w:rsidRPr="000A13DF">
        <w:rPr>
          <w:rFonts w:ascii="Palatino Linotype" w:hAnsi="Palatino Linotype"/>
          <w:i/>
        </w:rPr>
        <w:t xml:space="preserve">. La ley establecerá las previsiones que permitan asegurar la protección, el respeto y la difusión de este derecho. </w:t>
      </w:r>
    </w:p>
    <w:p w14:paraId="737FCA35"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0A13DF" w:rsidRDefault="008E4483" w:rsidP="00EE72BA">
      <w:pPr>
        <w:spacing w:line="360" w:lineRule="auto"/>
        <w:ind w:left="567" w:right="567"/>
        <w:jc w:val="both"/>
        <w:rPr>
          <w:rFonts w:ascii="Palatino Linotype" w:hAnsi="Palatino Linotype"/>
          <w:i/>
        </w:rPr>
      </w:pPr>
    </w:p>
    <w:p w14:paraId="480C22E0"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Este derecho se regirá por los principios y bases siguientes:</w:t>
      </w:r>
    </w:p>
    <w:p w14:paraId="14A2C90A" w14:textId="77777777" w:rsidR="008E4483" w:rsidRPr="000A13DF" w:rsidRDefault="008E4483" w:rsidP="00EE72BA">
      <w:pPr>
        <w:spacing w:line="360" w:lineRule="auto"/>
        <w:ind w:left="567" w:right="567"/>
        <w:jc w:val="both"/>
        <w:rPr>
          <w:rFonts w:ascii="Palatino Linotype" w:hAnsi="Palatino Linotype"/>
          <w:b/>
          <w:i/>
        </w:rPr>
      </w:pPr>
    </w:p>
    <w:p w14:paraId="44073A0F"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b/>
          <w:i/>
        </w:rPr>
        <w:t xml:space="preserve">I. Toda la información en posesión </w:t>
      </w:r>
      <w:r w:rsidRPr="000A13DF">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0A13DF">
        <w:rPr>
          <w:rFonts w:ascii="Palatino Linotype" w:hAnsi="Palatino Linotype"/>
          <w:b/>
          <w:i/>
        </w:rPr>
        <w:t>del gobierno y de la administración pública municipal y sus organismos descentralizados</w:t>
      </w:r>
      <w:r w:rsidRPr="000A13DF">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0A13DF">
        <w:rPr>
          <w:rFonts w:ascii="Palatino Linotype" w:hAnsi="Palatino Linotype"/>
          <w:b/>
          <w:i/>
        </w:rPr>
        <w:t>es pública</w:t>
      </w:r>
      <w:r w:rsidRPr="000A13DF">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0A13DF" w:rsidRDefault="008E4483" w:rsidP="00EE72BA">
      <w:pPr>
        <w:spacing w:line="360" w:lineRule="auto"/>
        <w:ind w:left="567" w:right="567"/>
        <w:jc w:val="both"/>
        <w:rPr>
          <w:rFonts w:ascii="Palatino Linotype" w:hAnsi="Palatino Linotype"/>
          <w:i/>
        </w:rPr>
      </w:pPr>
    </w:p>
    <w:p w14:paraId="2FF70804"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 xml:space="preserve">II. La información referente a la intimidad de la vida privada y la imagen de las personas será protegida a través de un marco jurídico rígido de tratamiento y </w:t>
      </w:r>
      <w:r w:rsidRPr="000A13DF">
        <w:rPr>
          <w:rFonts w:ascii="Palatino Linotype" w:hAnsi="Palatino Linotype"/>
          <w:i/>
        </w:rPr>
        <w:lastRenderedPageBreak/>
        <w:t>manejo de datos personales, con las excepciones que establezca la ley reglamentaria.</w:t>
      </w:r>
    </w:p>
    <w:p w14:paraId="32FB596C" w14:textId="77777777" w:rsidR="008E4483" w:rsidRPr="000A13DF" w:rsidRDefault="008E4483" w:rsidP="00EE72BA">
      <w:pPr>
        <w:spacing w:line="360" w:lineRule="auto"/>
        <w:ind w:left="567" w:right="567"/>
        <w:jc w:val="both"/>
        <w:rPr>
          <w:rFonts w:ascii="Palatino Linotype" w:hAnsi="Palatino Linotype"/>
          <w:i/>
        </w:rPr>
      </w:pPr>
    </w:p>
    <w:p w14:paraId="6FA24126"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0A13DF" w:rsidRDefault="008E4483" w:rsidP="00EE72BA">
      <w:pPr>
        <w:spacing w:line="360" w:lineRule="auto"/>
        <w:ind w:left="567" w:right="567"/>
        <w:jc w:val="both"/>
        <w:rPr>
          <w:rFonts w:ascii="Palatino Linotype" w:hAnsi="Palatino Linotype"/>
          <w:i/>
        </w:rPr>
      </w:pPr>
    </w:p>
    <w:p w14:paraId="24C5C6FF"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0A13DF" w:rsidRDefault="008E4483" w:rsidP="00EE72BA">
      <w:pPr>
        <w:spacing w:line="360" w:lineRule="auto"/>
        <w:ind w:left="567" w:right="567"/>
        <w:jc w:val="both"/>
        <w:rPr>
          <w:rFonts w:ascii="Palatino Linotype" w:hAnsi="Palatino Linotype"/>
          <w:i/>
        </w:rPr>
      </w:pPr>
    </w:p>
    <w:p w14:paraId="2D1804C7"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0A13DF" w:rsidRDefault="008E4483" w:rsidP="00EE72BA">
      <w:pPr>
        <w:spacing w:line="360" w:lineRule="auto"/>
        <w:ind w:left="567" w:right="567"/>
        <w:jc w:val="both"/>
        <w:rPr>
          <w:rFonts w:ascii="Palatino Linotype" w:hAnsi="Palatino Linotype"/>
          <w:b/>
          <w:i/>
        </w:rPr>
      </w:pPr>
    </w:p>
    <w:p w14:paraId="6DB2EC7A" w14:textId="77777777" w:rsidR="008E4483" w:rsidRPr="000A13DF" w:rsidRDefault="008E4483" w:rsidP="00EE72BA">
      <w:pPr>
        <w:spacing w:line="360" w:lineRule="auto"/>
        <w:ind w:left="567" w:right="567"/>
        <w:jc w:val="both"/>
        <w:rPr>
          <w:rFonts w:ascii="Palatino Linotype" w:hAnsi="Palatino Linotype"/>
          <w:i/>
        </w:rPr>
      </w:pPr>
      <w:r w:rsidRPr="000A13DF">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0A13DF">
        <w:rPr>
          <w:rFonts w:ascii="Palatino Linotype" w:hAnsi="Palatino Linotype"/>
          <w:i/>
        </w:rPr>
        <w:t xml:space="preserve"> y los indicadores que permitan rendir cuenta del cumplimiento de sus objetivos y los resultados obtenidos.</w:t>
      </w:r>
    </w:p>
    <w:p w14:paraId="042705A7" w14:textId="77777777" w:rsidR="008E4483" w:rsidRPr="000A13DF" w:rsidRDefault="008E4483" w:rsidP="00EE72BA">
      <w:pPr>
        <w:spacing w:line="360" w:lineRule="auto"/>
        <w:ind w:left="567" w:right="567"/>
        <w:jc w:val="both"/>
        <w:rPr>
          <w:rFonts w:ascii="Palatino Linotype" w:hAnsi="Palatino Linotype"/>
          <w:i/>
        </w:rPr>
      </w:pPr>
    </w:p>
    <w:p w14:paraId="6810788F" w14:textId="77777777" w:rsidR="008E4483" w:rsidRPr="000A13DF" w:rsidRDefault="008E4483" w:rsidP="00EE72BA">
      <w:pPr>
        <w:spacing w:line="360" w:lineRule="auto"/>
        <w:ind w:left="567" w:right="567"/>
        <w:jc w:val="both"/>
        <w:rPr>
          <w:rFonts w:ascii="Palatino Linotype" w:hAnsi="Palatino Linotype" w:cs="Arial"/>
          <w:i/>
        </w:rPr>
      </w:pPr>
      <w:r w:rsidRPr="000A13DF">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0A13DF" w:rsidRDefault="008E4483" w:rsidP="00EE72BA">
      <w:pPr>
        <w:spacing w:line="360" w:lineRule="auto"/>
        <w:ind w:left="567" w:right="567"/>
        <w:jc w:val="both"/>
        <w:rPr>
          <w:rFonts w:ascii="Palatino Linotype" w:hAnsi="Palatino Linotype"/>
        </w:rPr>
      </w:pPr>
    </w:p>
    <w:p w14:paraId="76F0890A" w14:textId="77777777" w:rsidR="008E4483" w:rsidRPr="000A13DF" w:rsidRDefault="008E4483" w:rsidP="00EE72BA">
      <w:pPr>
        <w:spacing w:line="360" w:lineRule="auto"/>
        <w:ind w:left="567" w:right="567"/>
        <w:jc w:val="both"/>
        <w:rPr>
          <w:rFonts w:ascii="Palatino Linotype" w:hAnsi="Palatino Linotype"/>
        </w:rPr>
      </w:pPr>
      <w:r w:rsidRPr="000A13DF">
        <w:rPr>
          <w:rFonts w:ascii="Palatino Linotype" w:hAnsi="Palatino Linotype"/>
        </w:rPr>
        <w:t>(Énfasis añadido)</w:t>
      </w:r>
    </w:p>
    <w:p w14:paraId="04C6290A" w14:textId="77777777" w:rsidR="008E4483" w:rsidRPr="000A13DF" w:rsidRDefault="008E4483" w:rsidP="00EE72BA">
      <w:pPr>
        <w:spacing w:line="360" w:lineRule="auto"/>
        <w:ind w:left="567" w:right="567"/>
        <w:jc w:val="both"/>
        <w:rPr>
          <w:rFonts w:ascii="Palatino Linotype" w:hAnsi="Palatino Linotype"/>
        </w:rPr>
      </w:pPr>
    </w:p>
    <w:p w14:paraId="41212765" w14:textId="6239A0F6" w:rsidR="008E4483" w:rsidRPr="000A13DF" w:rsidRDefault="008E4483"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Adicional, tenemos que la Ley de Transparencia y Acceso a la Información Pública del Estado de México y Municipios, prevé en su artículo 23 fracción I</w:t>
      </w:r>
      <w:r w:rsidR="00E00CF8" w:rsidRPr="000A13DF">
        <w:rPr>
          <w:rFonts w:ascii="Palatino Linotype" w:hAnsi="Palatino Linotype" w:cs="Arial"/>
        </w:rPr>
        <w:t>V</w:t>
      </w:r>
      <w:r w:rsidRPr="000A13DF">
        <w:rPr>
          <w:rFonts w:ascii="Palatino Linotype" w:hAnsi="Palatino Linotype" w:cs="Arial"/>
        </w:rPr>
        <w:t>, lo siguiente:</w:t>
      </w:r>
    </w:p>
    <w:p w14:paraId="2FF12176" w14:textId="77777777" w:rsidR="008E4483" w:rsidRPr="000A13DF" w:rsidRDefault="008E4483" w:rsidP="00EE72BA">
      <w:pPr>
        <w:spacing w:line="360" w:lineRule="auto"/>
        <w:jc w:val="both"/>
        <w:rPr>
          <w:rFonts w:ascii="Palatino Linotype" w:hAnsi="Palatino Linotype" w:cs="Arial"/>
        </w:rPr>
      </w:pPr>
    </w:p>
    <w:p w14:paraId="509D888E" w14:textId="77777777" w:rsidR="008E4483" w:rsidRPr="000A13DF" w:rsidRDefault="008E4483" w:rsidP="00EE72BA">
      <w:pPr>
        <w:spacing w:line="360" w:lineRule="auto"/>
        <w:ind w:left="567" w:right="822"/>
        <w:jc w:val="both"/>
        <w:rPr>
          <w:rFonts w:ascii="Palatino Linotype" w:eastAsia="MS Mincho" w:hAnsi="Palatino Linotype" w:cs="Arial"/>
          <w:i/>
        </w:rPr>
      </w:pPr>
      <w:r w:rsidRPr="000A13DF">
        <w:rPr>
          <w:rFonts w:ascii="Palatino Linotype" w:eastAsia="MS Mincho" w:hAnsi="Palatino Linotype" w:cs="Arial"/>
          <w:b/>
          <w:i/>
        </w:rPr>
        <w:t xml:space="preserve">“Artículo 23. Son sujetos obligados a transparentar y permitir el acceso a su información y </w:t>
      </w:r>
      <w:r w:rsidRPr="000A13DF">
        <w:rPr>
          <w:rFonts w:ascii="Palatino Linotype" w:eastAsia="MS Mincho" w:hAnsi="Palatino Linotype"/>
          <w:b/>
          <w:i/>
        </w:rPr>
        <w:t>proteger</w:t>
      </w:r>
      <w:r w:rsidRPr="000A13DF">
        <w:rPr>
          <w:rFonts w:ascii="Palatino Linotype" w:eastAsia="MS Mincho" w:hAnsi="Palatino Linotype" w:cs="Arial"/>
          <w:b/>
          <w:i/>
        </w:rPr>
        <w:t xml:space="preserve"> los datos personales que obren en su poder</w:t>
      </w:r>
      <w:r w:rsidRPr="000A13DF">
        <w:rPr>
          <w:rFonts w:ascii="Palatino Linotype" w:eastAsia="MS Mincho" w:hAnsi="Palatino Linotype" w:cs="Arial"/>
          <w:i/>
        </w:rPr>
        <w:t>:</w:t>
      </w:r>
    </w:p>
    <w:p w14:paraId="468C7D83" w14:textId="042810AB" w:rsidR="008E4483" w:rsidRPr="000A13DF" w:rsidRDefault="00E00CF8" w:rsidP="00EE72BA">
      <w:pPr>
        <w:spacing w:line="360" w:lineRule="auto"/>
        <w:ind w:left="567" w:right="822"/>
        <w:jc w:val="both"/>
        <w:rPr>
          <w:rFonts w:ascii="Palatino Linotype" w:eastAsia="MS Mincho" w:hAnsi="Palatino Linotype" w:cs="Arial"/>
          <w:i/>
        </w:rPr>
      </w:pPr>
      <w:r w:rsidRPr="000A13DF">
        <w:rPr>
          <w:rFonts w:ascii="Palatino Linotype" w:eastAsia="MS Mincho" w:hAnsi="Palatino Linotype" w:cs="Arial"/>
          <w:i/>
        </w:rPr>
        <w:t>…</w:t>
      </w:r>
    </w:p>
    <w:p w14:paraId="16B7E0D6" w14:textId="56029346" w:rsidR="008E4483" w:rsidRPr="000A13DF" w:rsidRDefault="00E00CF8" w:rsidP="00EE72BA">
      <w:pPr>
        <w:spacing w:line="360" w:lineRule="auto"/>
        <w:ind w:left="567" w:right="822"/>
        <w:jc w:val="both"/>
        <w:rPr>
          <w:rFonts w:ascii="Palatino Linotype" w:eastAsia="MS Mincho" w:hAnsi="Palatino Linotype" w:cs="Arial"/>
          <w:b/>
          <w:i/>
          <w:iCs/>
        </w:rPr>
      </w:pPr>
      <w:r w:rsidRPr="000A13DF">
        <w:rPr>
          <w:rFonts w:ascii="Palatino Linotype" w:hAnsi="Palatino Linotype"/>
          <w:i/>
          <w:iCs/>
        </w:rPr>
        <w:t>IV. Los ayuntamientos y las dependencias, organismos, órganos y entidades de la administración municipal;</w:t>
      </w:r>
      <w:r w:rsidR="008E4483" w:rsidRPr="000A13DF">
        <w:rPr>
          <w:rFonts w:ascii="Palatino Linotype" w:eastAsia="MS Mincho" w:hAnsi="Palatino Linotype" w:cs="Arial"/>
          <w:b/>
          <w:i/>
          <w:iCs/>
        </w:rPr>
        <w:t xml:space="preserve"> </w:t>
      </w:r>
    </w:p>
    <w:p w14:paraId="273927D8" w14:textId="77777777" w:rsidR="008E4483" w:rsidRPr="000A13DF" w:rsidRDefault="008E4483" w:rsidP="00EE72BA">
      <w:pPr>
        <w:spacing w:line="360" w:lineRule="auto"/>
        <w:ind w:left="567" w:right="822"/>
        <w:jc w:val="both"/>
        <w:rPr>
          <w:rFonts w:ascii="Palatino Linotype" w:eastAsia="MS Mincho" w:hAnsi="Palatino Linotype" w:cs="Arial"/>
          <w:b/>
          <w:i/>
        </w:rPr>
      </w:pPr>
      <w:r w:rsidRPr="000A13DF">
        <w:rPr>
          <w:rFonts w:ascii="Palatino Linotype" w:eastAsia="MS Mincho" w:hAnsi="Palatino Linotype" w:cs="Arial"/>
          <w:b/>
          <w:i/>
        </w:rPr>
        <w:t>…</w:t>
      </w:r>
    </w:p>
    <w:p w14:paraId="56BA427D" w14:textId="77777777" w:rsidR="008E4483" w:rsidRPr="000A13DF" w:rsidRDefault="008E4483" w:rsidP="00EE72BA">
      <w:pPr>
        <w:spacing w:line="360" w:lineRule="auto"/>
        <w:ind w:left="567" w:right="822"/>
        <w:jc w:val="both"/>
        <w:rPr>
          <w:rFonts w:ascii="Palatino Linotype" w:eastAsia="MS Mincho" w:hAnsi="Palatino Linotype"/>
          <w:b/>
          <w:i/>
        </w:rPr>
      </w:pPr>
      <w:r w:rsidRPr="000A13DF">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0A13DF">
        <w:rPr>
          <w:rFonts w:ascii="Palatino Linotype" w:eastAsia="MS Mincho" w:hAnsi="Palatino Linotype"/>
          <w:i/>
        </w:rPr>
        <w:t xml:space="preserve">, </w:t>
      </w:r>
      <w:r w:rsidRPr="000A13DF">
        <w:rPr>
          <w:rFonts w:ascii="Palatino Linotype" w:eastAsia="MS Mincho" w:hAnsi="Palatino Linotype"/>
          <w:b/>
          <w:i/>
        </w:rPr>
        <w:t>así como</w:t>
      </w:r>
      <w:r w:rsidRPr="000A13DF">
        <w:rPr>
          <w:rFonts w:ascii="Palatino Linotype" w:eastAsia="MS Mincho" w:hAnsi="Palatino Linotype"/>
          <w:i/>
        </w:rPr>
        <w:t xml:space="preserve"> </w:t>
      </w:r>
      <w:r w:rsidRPr="000A13DF">
        <w:rPr>
          <w:rFonts w:ascii="Palatino Linotype" w:eastAsia="MS Mincho" w:hAnsi="Palatino Linotype"/>
          <w:b/>
          <w:i/>
        </w:rPr>
        <w:t>los informes que dichas personas les entreguen sobre el uso y destino de dichos recursos.</w:t>
      </w:r>
    </w:p>
    <w:p w14:paraId="42959804" w14:textId="77777777" w:rsidR="008E4483" w:rsidRPr="000A13DF" w:rsidRDefault="008E4483" w:rsidP="00EE72BA">
      <w:pPr>
        <w:spacing w:line="360" w:lineRule="auto"/>
        <w:ind w:left="567" w:right="822"/>
        <w:jc w:val="both"/>
        <w:rPr>
          <w:rFonts w:ascii="Palatino Linotype" w:eastAsia="MS Mincho" w:hAnsi="Palatino Linotype"/>
          <w:b/>
          <w:i/>
        </w:rPr>
      </w:pPr>
    </w:p>
    <w:p w14:paraId="7FF5ACCA" w14:textId="77777777" w:rsidR="008E4483" w:rsidRPr="000A13DF" w:rsidRDefault="008E4483" w:rsidP="00EE72BA">
      <w:pPr>
        <w:spacing w:line="360" w:lineRule="auto"/>
        <w:ind w:left="567" w:right="822"/>
        <w:jc w:val="both"/>
        <w:rPr>
          <w:rFonts w:ascii="Palatino Linotype" w:eastAsia="MS Mincho" w:hAnsi="Palatino Linotype" w:cs="Arial"/>
          <w:i/>
        </w:rPr>
      </w:pPr>
      <w:r w:rsidRPr="000A13DF">
        <w:rPr>
          <w:rFonts w:ascii="Palatino Linotype" w:eastAsia="MS Mincho" w:hAnsi="Palatino Linotype" w:cs="Arial"/>
          <w:b/>
          <w:i/>
        </w:rPr>
        <w:t>Los servidores públicos deberán transparentar sus acciones así como garantizar y respetar el derecho de acceso a la información pública.”</w:t>
      </w:r>
    </w:p>
    <w:p w14:paraId="0EF2AB56" w14:textId="77777777" w:rsidR="008E4483" w:rsidRPr="000A13DF" w:rsidRDefault="008E4483" w:rsidP="00EE72BA">
      <w:pPr>
        <w:spacing w:line="360" w:lineRule="auto"/>
        <w:ind w:left="567" w:right="822"/>
        <w:jc w:val="both"/>
        <w:rPr>
          <w:rFonts w:ascii="Palatino Linotype" w:eastAsia="MS Mincho" w:hAnsi="Palatino Linotype" w:cs="Arial"/>
          <w:i/>
        </w:rPr>
      </w:pPr>
      <w:r w:rsidRPr="000A13DF">
        <w:rPr>
          <w:rFonts w:ascii="Palatino Linotype" w:eastAsia="MS Mincho" w:hAnsi="Palatino Linotype" w:cs="Arial"/>
          <w:i/>
        </w:rPr>
        <w:t>(Énfasis añadido)</w:t>
      </w:r>
    </w:p>
    <w:p w14:paraId="0EA3AFBA" w14:textId="77777777" w:rsidR="008E4483" w:rsidRPr="000A13DF" w:rsidRDefault="008E4483" w:rsidP="00EE72BA">
      <w:pPr>
        <w:spacing w:line="360" w:lineRule="auto"/>
        <w:jc w:val="both"/>
        <w:rPr>
          <w:rFonts w:ascii="Palatino Linotype" w:hAnsi="Palatino Linotype" w:cs="Arial"/>
        </w:rPr>
      </w:pPr>
    </w:p>
    <w:p w14:paraId="38992FDD" w14:textId="77777777" w:rsidR="008E4483" w:rsidRPr="000A13DF" w:rsidRDefault="008E4483"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0A13DF" w:rsidRDefault="008E4483" w:rsidP="00EE72BA">
      <w:pPr>
        <w:pStyle w:val="Prrafodelista"/>
        <w:spacing w:line="360" w:lineRule="auto"/>
        <w:ind w:left="0"/>
        <w:jc w:val="both"/>
        <w:rPr>
          <w:rFonts w:ascii="Palatino Linotype" w:hAnsi="Palatino Linotype" w:cs="Arial"/>
        </w:rPr>
      </w:pPr>
    </w:p>
    <w:p w14:paraId="642677F8" w14:textId="0AEBAD47" w:rsidR="008E4483" w:rsidRPr="000A13DF" w:rsidRDefault="008E4483"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Por lo anterior, es de referir que,</w:t>
      </w:r>
      <w:r w:rsidRPr="000A13DF">
        <w:rPr>
          <w:rFonts w:ascii="Palatino Linotype" w:hAnsi="Palatino Linotype" w:cs="Arial"/>
          <w:b/>
        </w:rPr>
        <w:t xml:space="preserve"> </w:t>
      </w:r>
      <w:r w:rsidR="00E87AD0" w:rsidRPr="000A13DF">
        <w:rPr>
          <w:rFonts w:ascii="Palatino Linotype" w:hAnsi="Palatino Linotype" w:cs="Arial"/>
          <w:b/>
        </w:rPr>
        <w:t>el</w:t>
      </w:r>
      <w:r w:rsidRPr="000A13DF">
        <w:rPr>
          <w:rFonts w:ascii="Palatino Linotype" w:hAnsi="Palatino Linotype"/>
          <w:b/>
          <w:bCs/>
        </w:rPr>
        <w:t xml:space="preserve"> </w:t>
      </w:r>
      <w:r w:rsidR="0087701B" w:rsidRPr="000A13DF">
        <w:rPr>
          <w:rFonts w:ascii="Palatino Linotype" w:eastAsia="Calibri" w:hAnsi="Palatino Linotype" w:cs="Arial"/>
          <w:b/>
          <w:bCs/>
          <w:lang w:val="es-ES"/>
        </w:rPr>
        <w:t>Ayuntamiento de Cuautitlán Izcalli</w:t>
      </w:r>
      <w:r w:rsidRPr="000A13DF">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0A13DF" w:rsidRDefault="00854393" w:rsidP="00EE72BA">
      <w:pPr>
        <w:pStyle w:val="Prrafodelista"/>
        <w:spacing w:line="360" w:lineRule="auto"/>
        <w:rPr>
          <w:rFonts w:ascii="Palatino Linotype" w:hAnsi="Palatino Linotype" w:cs="Arial"/>
        </w:rPr>
      </w:pPr>
    </w:p>
    <w:p w14:paraId="39E11195" w14:textId="590B3432" w:rsidR="00EC7DF3" w:rsidRPr="000A13DF" w:rsidRDefault="007820F2" w:rsidP="00EE72BA">
      <w:pPr>
        <w:pStyle w:val="Prrafodelista"/>
        <w:tabs>
          <w:tab w:val="left" w:pos="426"/>
        </w:tabs>
        <w:spacing w:before="240" w:after="240" w:line="360" w:lineRule="auto"/>
        <w:ind w:left="0" w:right="51"/>
        <w:jc w:val="both"/>
        <w:outlineLvl w:val="2"/>
        <w:rPr>
          <w:rFonts w:ascii="Palatino Linotype" w:hAnsi="Palatino Linotype"/>
          <w:b/>
        </w:rPr>
      </w:pPr>
      <w:r w:rsidRPr="000A13DF">
        <w:rPr>
          <w:rFonts w:ascii="Palatino Linotype" w:hAnsi="Palatino Linotype"/>
          <w:b/>
          <w:color w:val="000000" w:themeColor="text1"/>
        </w:rPr>
        <w:t xml:space="preserve">II. </w:t>
      </w:r>
      <w:r w:rsidR="008A2DA3" w:rsidRPr="000A13DF">
        <w:rPr>
          <w:rFonts w:ascii="Palatino Linotype" w:hAnsi="Palatino Linotype"/>
          <w:b/>
        </w:rPr>
        <w:t>De la solicitudes de información y la respuestas otorgadas.</w:t>
      </w:r>
    </w:p>
    <w:p w14:paraId="1DDE44EC" w14:textId="77777777" w:rsidR="008A2DA3" w:rsidRPr="000A13DF" w:rsidRDefault="008A2DA3" w:rsidP="00EE72BA">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68189FA5" w14:textId="06B96ADE" w:rsidR="008A2DA3" w:rsidRPr="000A13DF" w:rsidRDefault="00F93CD1"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eastAsia="Calibri" w:hAnsi="Palatino Linotype" w:cs="Arial"/>
        </w:rPr>
        <w:t xml:space="preserve">El particular solicitó </w:t>
      </w:r>
      <w:r w:rsidR="008A2DA3" w:rsidRPr="000A13DF">
        <w:rPr>
          <w:rFonts w:ascii="Palatino Linotype" w:hAnsi="Palatino Linotype"/>
        </w:rPr>
        <w:t>“</w:t>
      </w:r>
      <w:r w:rsidR="008A2DA3" w:rsidRPr="000A13DF">
        <w:rPr>
          <w:rFonts w:ascii="Palatino Linotype" w:hAnsi="Palatino Linotype"/>
          <w:i/>
        </w:rPr>
        <w:t>Por este medio solicito el padrón catastral del municipio. Solicito la información actualizada con los siguientes datos de cada predio: Ubicación (calle, colonia, municipio) Coordenadas geográficas Superficie del terreno Superficie de construcción Uso de suelo Año de construcción Clave predial CURT Folio real Valor del suelo Los datos anteriores no son considerados como datos susceptibles de ser reservados al no estar vinculados a un particular. Se excluyen datos del propietario así como el valor catastral</w:t>
      </w:r>
      <w:r w:rsidR="008A2DA3" w:rsidRPr="000A13DF">
        <w:rPr>
          <w:rFonts w:ascii="Palatino Linotype" w:hAnsi="Palatino Linotype"/>
        </w:rPr>
        <w:t>.”(Sic).</w:t>
      </w:r>
      <w:r w:rsidR="006D541E" w:rsidRPr="000A13DF">
        <w:rPr>
          <w:rFonts w:ascii="Palatino Linotype" w:hAnsi="Palatino Linotype"/>
        </w:rPr>
        <w:t xml:space="preserve"> </w:t>
      </w:r>
    </w:p>
    <w:p w14:paraId="2BC200F2" w14:textId="77777777" w:rsidR="007D7C2D" w:rsidRPr="000A13DF" w:rsidRDefault="007D7C2D" w:rsidP="00EE72BA">
      <w:pPr>
        <w:pStyle w:val="Prrafodelista"/>
        <w:spacing w:before="120" w:after="120" w:line="360" w:lineRule="auto"/>
        <w:ind w:left="0"/>
        <w:jc w:val="both"/>
        <w:rPr>
          <w:rFonts w:ascii="Palatino Linotype" w:hAnsi="Palatino Linotype"/>
        </w:rPr>
      </w:pPr>
    </w:p>
    <w:p w14:paraId="6938C96D" w14:textId="4412B533" w:rsidR="008A2DA3" w:rsidRPr="000A13DF" w:rsidRDefault="008A2DA3"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hAnsi="Palatino Linotype"/>
        </w:rPr>
        <w:t xml:space="preserve">Demostrada la procedencia del acceso en términos de la Ley de Transparencia Estatal, por cuanto hace al requerimiento realizado y la respuesta otorgada es necesario señalar, que, por cuanto hace a las contestaciones proporcionadas por el </w:t>
      </w:r>
      <w:r w:rsidRPr="000A13DF">
        <w:rPr>
          <w:rFonts w:ascii="Palatino Linotype" w:hAnsi="Palatino Linotype"/>
          <w:b/>
        </w:rPr>
        <w:lastRenderedPageBreak/>
        <w:t>Ayuntamiento de Cuautitlán Izcalli</w:t>
      </w:r>
      <w:r w:rsidR="007D7C2D" w:rsidRPr="000A13DF">
        <w:rPr>
          <w:rFonts w:ascii="Palatino Linotype" w:hAnsi="Palatino Linotype"/>
        </w:rPr>
        <w:t xml:space="preserve">, se advierte que </w:t>
      </w:r>
      <w:r w:rsidR="00B403F1" w:rsidRPr="000A13DF">
        <w:rPr>
          <w:rFonts w:ascii="Palatino Linotype" w:hAnsi="Palatino Linotype"/>
        </w:rPr>
        <w:t xml:space="preserve"> anex</w:t>
      </w:r>
      <w:r w:rsidR="007D7C2D" w:rsidRPr="000A13DF">
        <w:rPr>
          <w:rFonts w:ascii="Palatino Linotype" w:hAnsi="Palatino Linotype"/>
        </w:rPr>
        <w:t xml:space="preserve">ó </w:t>
      </w:r>
      <w:r w:rsidR="00B403F1" w:rsidRPr="000A13DF">
        <w:rPr>
          <w:rFonts w:ascii="Palatino Linotype" w:hAnsi="Palatino Linotype"/>
        </w:rPr>
        <w:t xml:space="preserve"> el acuerdo número CTM/CUT/SE12/002/ACITP/2022, por el que se aprueba la clasificación total como información confidencial de forma permanente del Padrón Catastral del Municipio de Cuautitlán Izcalli, </w:t>
      </w:r>
      <w:r w:rsidR="007D7C2D" w:rsidRPr="000A13DF">
        <w:rPr>
          <w:rFonts w:ascii="Palatino Linotype" w:hAnsi="Palatino Linotype"/>
        </w:rPr>
        <w:t xml:space="preserve">al contener </w:t>
      </w:r>
      <w:r w:rsidR="00B403F1" w:rsidRPr="000A13DF">
        <w:rPr>
          <w:rFonts w:ascii="Palatino Linotype" w:hAnsi="Palatino Linotype"/>
        </w:rPr>
        <w:t>datos personales concernientes a una o más personas físicas identificables, es decir a los titulares de los predios o los cuales se les asignaron las claves catastrales en dicho padrón.</w:t>
      </w:r>
    </w:p>
    <w:p w14:paraId="1471681E" w14:textId="77777777" w:rsidR="00B403F1" w:rsidRPr="000A13DF" w:rsidRDefault="00B403F1" w:rsidP="00EE72BA">
      <w:pPr>
        <w:pStyle w:val="Prrafodelista"/>
        <w:spacing w:before="120" w:after="120" w:line="360" w:lineRule="auto"/>
        <w:ind w:left="0"/>
        <w:jc w:val="both"/>
        <w:rPr>
          <w:rFonts w:ascii="Palatino Linotype" w:hAnsi="Palatino Linotype"/>
        </w:rPr>
      </w:pPr>
    </w:p>
    <w:p w14:paraId="58C23B07" w14:textId="4E0F8355" w:rsidR="009349A3" w:rsidRPr="000A13DF" w:rsidRDefault="00B403F1"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hAnsi="Palatino Linotype"/>
        </w:rPr>
        <w:t xml:space="preserve">En razón a lo anteriormente expuesto, </w:t>
      </w:r>
      <w:r w:rsidRPr="000A13DF">
        <w:rPr>
          <w:rFonts w:ascii="Palatino Linotype" w:eastAsia="Times New Roman" w:hAnsi="Palatino Linotype" w:cs="Times New Roman"/>
          <w:lang w:val="es-ES"/>
        </w:rPr>
        <w:t xml:space="preserve">se obvia el estudio del marco normativo que rige el actuar del </w:t>
      </w:r>
      <w:r w:rsidRPr="000A13DF">
        <w:rPr>
          <w:rFonts w:ascii="Palatino Linotype" w:eastAsia="Times New Roman" w:hAnsi="Palatino Linotype" w:cs="Times New Roman"/>
          <w:b/>
          <w:lang w:val="es-ES"/>
        </w:rPr>
        <w:t xml:space="preserve">SUJETO OBLIGADO </w:t>
      </w:r>
      <w:r w:rsidRPr="000A13DF">
        <w:rPr>
          <w:rFonts w:ascii="Palatino Linotype" w:eastAsia="Times New Roman" w:hAnsi="Palatino Linotype" w:cs="Times New Roman"/>
          <w:lang w:val="es-ES"/>
        </w:rPr>
        <w:t xml:space="preserve">a efecto de determinar si le asiste la obligación de tener en entre sus archivos la información peticionada, toda vez que a nada práctico nos conduciría el estudio de la naturaleza jurídica de la información, ya que se ha acreditado la existencia y posesión a cargo del </w:t>
      </w:r>
      <w:r w:rsidR="009349A3" w:rsidRPr="000A13DF">
        <w:rPr>
          <w:rFonts w:ascii="Palatino Linotype" w:hAnsi="Palatino Linotype"/>
          <w:b/>
        </w:rPr>
        <w:t>Ayuntamiento de Cuautitlán Izcalli.</w:t>
      </w:r>
    </w:p>
    <w:p w14:paraId="201D80DB" w14:textId="77777777" w:rsidR="00B6295F" w:rsidRPr="000A13DF" w:rsidRDefault="00B6295F" w:rsidP="00EE72BA">
      <w:pPr>
        <w:pStyle w:val="Prrafodelista"/>
        <w:spacing w:line="360" w:lineRule="auto"/>
        <w:rPr>
          <w:rFonts w:ascii="Palatino Linotype" w:hAnsi="Palatino Linotype"/>
        </w:rPr>
      </w:pPr>
    </w:p>
    <w:p w14:paraId="77FE4793" w14:textId="4E4BB1A2" w:rsidR="00B6295F" w:rsidRPr="000A13DF" w:rsidRDefault="00B6295F"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hAnsi="Palatino Linotype"/>
          <w:iCs/>
        </w:rPr>
        <w:t>Al respecto, sobre el tema de la solicitud, el Código Financiero del Estado de México respecto el catastro, establece lo siguiente:</w:t>
      </w:r>
    </w:p>
    <w:p w14:paraId="210DF2B4" w14:textId="77777777" w:rsidR="00B6295F" w:rsidRPr="000A13DF" w:rsidRDefault="00B6295F" w:rsidP="00EE72BA">
      <w:pPr>
        <w:pStyle w:val="Prrafodelista"/>
        <w:spacing w:line="360" w:lineRule="auto"/>
        <w:rPr>
          <w:rFonts w:ascii="Palatino Linotype" w:hAnsi="Palatino Linotype"/>
        </w:rPr>
      </w:pPr>
    </w:p>
    <w:p w14:paraId="43FF4C9D"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b/>
          <w:i/>
          <w:iCs/>
          <w:lang w:eastAsia="es-ES_tradnl"/>
        </w:rPr>
        <w:t>Artículo 168.-</w:t>
      </w:r>
      <w:r w:rsidRPr="000A13DF">
        <w:rPr>
          <w:rFonts w:ascii="Palatino Linotype" w:eastAsia="Calibri" w:hAnsi="Palatino Linotype" w:cs="Tahoma"/>
          <w:i/>
          <w:iCs/>
          <w:lang w:eastAsia="es-ES_tradnl"/>
        </w:rPr>
        <w:t xml:space="preserve"> Catastro es el sistema de información territorial, cuyo propósito es integrar, conservar y mantener actualizados el padrón catastral estatal y los padrones municipales de la Entidad.</w:t>
      </w:r>
    </w:p>
    <w:p w14:paraId="342B0DF5"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p>
    <w:p w14:paraId="72C3518F"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w:t>
      </w:r>
    </w:p>
    <w:p w14:paraId="4A1CC7D2"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p>
    <w:p w14:paraId="4D2A9A48"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La actividad catastral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estatal y municipales de la Entidad, realizadas con apego al LIGECEM, este Título, su reglamento, el Manual Catastral y demás disposiciones aplicables en la materia.</w:t>
      </w:r>
    </w:p>
    <w:p w14:paraId="766D9192"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p>
    <w:p w14:paraId="647690F0"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b/>
          <w:i/>
          <w:iCs/>
          <w:lang w:eastAsia="es-ES_tradnl"/>
        </w:rPr>
        <w:t>Artículo 169</w:t>
      </w:r>
      <w:r w:rsidRPr="000A13DF">
        <w:rPr>
          <w:rFonts w:ascii="Palatino Linotype" w:eastAsia="Calibri" w:hAnsi="Palatino Linotype" w:cs="Tahoma"/>
          <w:i/>
          <w:iCs/>
          <w:lang w:eastAsia="es-ES_tradnl"/>
        </w:rPr>
        <w:t>.- Son autoridades en materia de catastro:</w:t>
      </w:r>
    </w:p>
    <w:p w14:paraId="33A32D9E"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I a III…</w:t>
      </w:r>
    </w:p>
    <w:p w14:paraId="1619C57E"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IV. El Ayuntamiento y el servidor público que sea designado como titular de la unidad encargada del catastro municipal.</w:t>
      </w:r>
    </w:p>
    <w:p w14:paraId="4177281B" w14:textId="7C1EBE0A"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w:t>
      </w:r>
    </w:p>
    <w:p w14:paraId="426D7427"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p>
    <w:p w14:paraId="2A6F54E1" w14:textId="316BC4D7" w:rsidR="00B6295F" w:rsidRPr="000A13DF" w:rsidRDefault="00B6295F"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eastAsia="Calibri" w:hAnsi="Palatino Linotype" w:cs="Tahoma"/>
          <w:iCs/>
          <w:lang w:eastAsia="es-ES_tradnl"/>
        </w:rPr>
        <w:t>Por su parte el Reglamento del Título Quinto del Código Financiero del Estado de México y Municipios, denominado “del Catastro” señala lo siguiente:</w:t>
      </w:r>
    </w:p>
    <w:p w14:paraId="0C1812F5" w14:textId="77777777" w:rsidR="00B6295F" w:rsidRPr="000A13DF" w:rsidRDefault="00B6295F" w:rsidP="00EE72BA">
      <w:pPr>
        <w:spacing w:line="360" w:lineRule="auto"/>
        <w:jc w:val="both"/>
        <w:rPr>
          <w:rFonts w:ascii="Palatino Linotype" w:eastAsia="Calibri" w:hAnsi="Palatino Linotype" w:cs="Tahoma"/>
          <w:iCs/>
          <w:lang w:eastAsia="es-ES_tradnl"/>
        </w:rPr>
      </w:pPr>
    </w:p>
    <w:p w14:paraId="129C04F8"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b/>
          <w:i/>
          <w:iCs/>
          <w:lang w:eastAsia="es-ES_tradnl"/>
        </w:rPr>
        <w:t>Artículo 22.-</w:t>
      </w:r>
      <w:r w:rsidRPr="000A13DF">
        <w:rPr>
          <w:rFonts w:ascii="Palatino Linotype" w:eastAsia="Calibri" w:hAnsi="Palatino Linotype" w:cs="Tahoma"/>
          <w:i/>
          <w:iCs/>
          <w:lang w:eastAsia="es-ES_tradnl"/>
        </w:rPr>
        <w:t xml:space="preserve"> La Autoridad Catastral Municipal prestará los siguientes trámites y servicios:</w:t>
      </w:r>
    </w:p>
    <w:p w14:paraId="067747E8"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I. Trámites:</w:t>
      </w:r>
    </w:p>
    <w:p w14:paraId="290E5065"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a) Inscripción de inmuebles en el Padrón Catastral Municipal;</w:t>
      </w:r>
    </w:p>
    <w:p w14:paraId="252F069D"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b) Registro de altas, bajas y modificaciones de construcciones;</w:t>
      </w:r>
    </w:p>
    <w:p w14:paraId="181D794C"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lastRenderedPageBreak/>
        <w:t>c) Actualización del Padrón Catastral derivada de la subdivisión, fusión, lotificación; relotificación, conjuntos urbanos, afectaciones y modificación de linderos, previa autorización emitida por la autoridad competente;</w:t>
      </w:r>
    </w:p>
    <w:p w14:paraId="3DC31E4B"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d) Actualización al Padrón Catastral derivada de cambios técnicos y administrativos, y</w:t>
      </w:r>
    </w:p>
    <w:p w14:paraId="016DFA3E"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e) Asignación, bajas y reasignación de Clave Catastral.</w:t>
      </w:r>
    </w:p>
    <w:p w14:paraId="7325CB93"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II. Servicios:</w:t>
      </w:r>
    </w:p>
    <w:p w14:paraId="0BFFC94F"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a) Certificación de Clave Catastral;</w:t>
      </w:r>
    </w:p>
    <w:p w14:paraId="6EDA80F0"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b) Certificación de Clave y Valor Catastral;</w:t>
      </w:r>
    </w:p>
    <w:p w14:paraId="4F915B97"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c) Certificación de Plano Manzanero;</w:t>
      </w:r>
    </w:p>
    <w:p w14:paraId="167398FC"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d) Constancia de Identificación Catastral;</w:t>
      </w:r>
    </w:p>
    <w:p w14:paraId="6BC0A8F3"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e) Levantamiento Topográfico Catastral, y</w:t>
      </w:r>
    </w:p>
    <w:p w14:paraId="591E7553"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f) Verificación de Linderos.</w:t>
      </w:r>
    </w:p>
    <w:p w14:paraId="0087E585" w14:textId="77777777" w:rsidR="00B6295F" w:rsidRPr="000A13DF" w:rsidRDefault="00B6295F" w:rsidP="00EE72BA">
      <w:pPr>
        <w:spacing w:line="360" w:lineRule="auto"/>
        <w:ind w:left="567" w:right="539"/>
        <w:jc w:val="both"/>
        <w:rPr>
          <w:rFonts w:ascii="Palatino Linotype" w:eastAsia="Calibri" w:hAnsi="Palatino Linotype" w:cs="Tahoma"/>
          <w:i/>
          <w:iCs/>
          <w:lang w:eastAsia="es-ES_tradnl"/>
        </w:rPr>
      </w:pPr>
      <w:r w:rsidRPr="000A13DF">
        <w:rPr>
          <w:rFonts w:ascii="Palatino Linotype" w:eastAsia="Calibri" w:hAnsi="Palatino Linotype" w:cs="Tahoma"/>
          <w:i/>
          <w:iCs/>
          <w:lang w:eastAsia="es-ES_tradnl"/>
        </w:rPr>
        <w:t>III. a VI…</w:t>
      </w:r>
      <w:r w:rsidRPr="000A13DF">
        <w:rPr>
          <w:rFonts w:ascii="Palatino Linotype" w:eastAsia="Calibri" w:hAnsi="Palatino Linotype" w:cs="Tahoma"/>
          <w:i/>
          <w:iCs/>
          <w:lang w:eastAsia="es-ES_tradnl"/>
        </w:rPr>
        <w:cr/>
      </w:r>
    </w:p>
    <w:p w14:paraId="46A1412A" w14:textId="787CD629" w:rsidR="00B6295F" w:rsidRPr="000A13DF" w:rsidRDefault="00B6295F" w:rsidP="00EE72BA">
      <w:pPr>
        <w:pStyle w:val="Prrafodelista"/>
        <w:spacing w:before="120" w:after="120" w:line="360" w:lineRule="auto"/>
        <w:ind w:left="567"/>
        <w:jc w:val="both"/>
        <w:rPr>
          <w:rFonts w:ascii="Palatino Linotype" w:eastAsia="Calibri" w:hAnsi="Palatino Linotype" w:cs="Tahoma"/>
          <w:i/>
          <w:iCs/>
          <w:lang w:eastAsia="es-ES_tradnl"/>
        </w:rPr>
      </w:pPr>
      <w:r w:rsidRPr="000A13DF">
        <w:rPr>
          <w:rFonts w:ascii="Palatino Linotype" w:eastAsia="Calibri" w:hAnsi="Palatino Linotype" w:cs="Tahoma"/>
          <w:b/>
          <w:i/>
          <w:iCs/>
          <w:lang w:eastAsia="es-ES_tradnl"/>
        </w:rPr>
        <w:t>Artículo 24.-</w:t>
      </w:r>
      <w:r w:rsidRPr="000A13DF">
        <w:rPr>
          <w:rFonts w:ascii="Palatino Linotype" w:eastAsia="Calibri" w:hAnsi="Palatino Linotype" w:cs="Tahoma"/>
          <w:i/>
          <w:iCs/>
          <w:lang w:eastAsia="es-ES_tradnl"/>
        </w:rPr>
        <w:t xml:space="preserve"> El Catastro Municipal, está facultado para inscribir a todos los inmuebles ubicados dentro de su respectiva jurisdicción territorial, para tal efecto, los propietarios o poseedores deberán presentar su manifestación catastral en los términos que establece el artículo 175 del Código y el apartado I del Manual Catastral, para su registro e integración en el padrón catastral municipal</w:t>
      </w:r>
    </w:p>
    <w:p w14:paraId="3062E8A8" w14:textId="77777777" w:rsidR="00B6295F" w:rsidRPr="000A13DF" w:rsidRDefault="00B6295F" w:rsidP="00EE72BA">
      <w:pPr>
        <w:pStyle w:val="Prrafodelista"/>
        <w:spacing w:before="120" w:after="120" w:line="360" w:lineRule="auto"/>
        <w:ind w:left="567"/>
        <w:jc w:val="both"/>
        <w:rPr>
          <w:rFonts w:ascii="Palatino Linotype" w:hAnsi="Palatino Linotype"/>
        </w:rPr>
      </w:pPr>
    </w:p>
    <w:p w14:paraId="14973580" w14:textId="704B3D41" w:rsidR="000E3318" w:rsidRPr="000A13DF" w:rsidRDefault="000E3318" w:rsidP="00EE72BA">
      <w:pPr>
        <w:pStyle w:val="Prrafodelista"/>
        <w:numPr>
          <w:ilvl w:val="0"/>
          <w:numId w:val="1"/>
        </w:numPr>
        <w:spacing w:before="120" w:after="120" w:line="360" w:lineRule="auto"/>
        <w:jc w:val="both"/>
        <w:rPr>
          <w:rFonts w:ascii="Palatino Linotype" w:hAnsi="Palatino Linotype"/>
        </w:rPr>
      </w:pPr>
      <w:r w:rsidRPr="000A13DF">
        <w:rPr>
          <w:rFonts w:ascii="Palatino Linotype" w:hAnsi="Palatino Linotype"/>
          <w:color w:val="000000" w:themeColor="text1"/>
        </w:rPr>
        <w:t xml:space="preserve">No obstante a lo anterior </w:t>
      </w:r>
      <w:r w:rsidRPr="000A13DF">
        <w:rPr>
          <w:rFonts w:ascii="Palatino Linotype" w:hAnsi="Palatino Linotype"/>
          <w:color w:val="222222"/>
          <w:lang w:eastAsia="es-MX"/>
        </w:rPr>
        <w:t>y aunque lo relacionada con la ubicación de los predios registrados en el Padrón Catastral se trate de información que posee, administra y genera el</w:t>
      </w:r>
      <w:r w:rsidRPr="000A13DF">
        <w:rPr>
          <w:rFonts w:ascii="Palatino Linotype" w:hAnsi="Palatino Linotype"/>
          <w:b/>
          <w:color w:val="222222"/>
          <w:lang w:eastAsia="es-MX"/>
        </w:rPr>
        <w:t xml:space="preserve"> SUJETO OBLIGADO</w:t>
      </w:r>
      <w:r w:rsidRPr="000A13DF">
        <w:rPr>
          <w:rFonts w:ascii="Palatino Linotype" w:hAnsi="Palatino Linotype"/>
          <w:color w:val="222222"/>
          <w:lang w:eastAsia="es-MX"/>
        </w:rPr>
        <w:t xml:space="preserve">, es de señalar que </w:t>
      </w:r>
      <w:r w:rsidRPr="000A13DF">
        <w:rPr>
          <w:rFonts w:ascii="Palatino Linotype" w:hAnsi="Palatino Linotype"/>
          <w:b/>
          <w:bCs/>
          <w:color w:val="222222"/>
          <w:lang w:eastAsia="es-MX"/>
        </w:rPr>
        <w:t xml:space="preserve">corresponde a </w:t>
      </w:r>
      <w:r w:rsidRPr="000A13DF">
        <w:rPr>
          <w:rFonts w:ascii="Palatino Linotype" w:hAnsi="Palatino Linotype"/>
          <w:b/>
          <w:bCs/>
          <w:color w:val="222222"/>
          <w:lang w:eastAsia="es-MX"/>
        </w:rPr>
        <w:lastRenderedPageBreak/>
        <w:t xml:space="preserve">información </w:t>
      </w:r>
      <w:r w:rsidRPr="000A13DF">
        <w:rPr>
          <w:rFonts w:ascii="Palatino Linotype" w:hAnsi="Palatino Linotype"/>
          <w:b/>
          <w:bCs/>
        </w:rPr>
        <w:t>que por mandato de Ley debe clasificarse como confidencial</w:t>
      </w:r>
      <w:r w:rsidRPr="000A13DF">
        <w:rPr>
          <w:rFonts w:ascii="Palatino Linotype" w:hAnsi="Palatino Linotype"/>
        </w:rPr>
        <w:t xml:space="preserve">, </w:t>
      </w:r>
      <w:r w:rsidRPr="000A13DF">
        <w:rPr>
          <w:rFonts w:ascii="Palatino Linotype" w:hAnsi="Palatino Linotype"/>
          <w:b/>
          <w:bCs/>
        </w:rPr>
        <w:t>por el hecho de encontrarse directamente relacionada con la ubicación exacta de cada inmueble, predio o propiedad privada que se ha registrado en el Padrón Catastral.</w:t>
      </w:r>
    </w:p>
    <w:p w14:paraId="07EC1D36"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En este sentido, </w:t>
      </w:r>
      <w:r w:rsidRPr="000A13DF">
        <w:rPr>
          <w:rFonts w:ascii="Palatino Linotype" w:hAnsi="Palatino Linotype"/>
        </w:rPr>
        <w:t>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14:paraId="08294C74" w14:textId="77777777" w:rsidR="000E3318" w:rsidRPr="000A13DF" w:rsidRDefault="000E3318" w:rsidP="00EE72BA">
      <w:pPr>
        <w:spacing w:line="360" w:lineRule="auto"/>
        <w:rPr>
          <w:rFonts w:ascii="Palatino Linotype" w:hAnsi="Palatino Linotype"/>
          <w:color w:val="000000" w:themeColor="text1"/>
        </w:rPr>
      </w:pPr>
    </w:p>
    <w:p w14:paraId="3366BB95" w14:textId="77777777" w:rsidR="000E3318" w:rsidRPr="000A13DF" w:rsidRDefault="000E3318" w:rsidP="00EE72BA">
      <w:pPr>
        <w:spacing w:line="360" w:lineRule="auto"/>
        <w:ind w:left="567" w:right="616"/>
        <w:jc w:val="both"/>
        <w:rPr>
          <w:rFonts w:ascii="Palatino Linotype" w:hAnsi="Palatino Linotype"/>
          <w:i/>
          <w:lang w:val="es-ES_tradnl"/>
        </w:rPr>
      </w:pPr>
      <w:r w:rsidRPr="000A13DF">
        <w:rPr>
          <w:rFonts w:ascii="Palatino Linotype" w:hAnsi="Palatino Linotype"/>
          <w:i/>
          <w:lang w:val="es-ES_tradnl"/>
        </w:rPr>
        <w:t>“</w:t>
      </w:r>
      <w:r w:rsidRPr="000A13DF">
        <w:rPr>
          <w:rFonts w:ascii="Palatino Linotype" w:hAnsi="Palatino Linotype"/>
          <w:b/>
          <w:bCs/>
          <w:i/>
          <w:lang w:val="es-ES_tradnl"/>
        </w:rPr>
        <w:t>Artículo 5.</w:t>
      </w:r>
    </w:p>
    <w:p w14:paraId="07371AE0" w14:textId="77777777" w:rsidR="000E3318" w:rsidRPr="000A13DF" w:rsidRDefault="000E3318" w:rsidP="00EE72BA">
      <w:pPr>
        <w:spacing w:line="360" w:lineRule="auto"/>
        <w:ind w:left="567" w:right="616"/>
        <w:jc w:val="both"/>
        <w:rPr>
          <w:rFonts w:ascii="Palatino Linotype" w:hAnsi="Palatino Linotype"/>
          <w:i/>
          <w:lang w:val="es-ES_tradnl"/>
        </w:rPr>
      </w:pPr>
      <w:r w:rsidRPr="000A13DF">
        <w:rPr>
          <w:rFonts w:ascii="Palatino Linotype" w:hAnsi="Palatino Linotype"/>
          <w:i/>
          <w:lang w:val="es-ES_tradnl"/>
        </w:rPr>
        <w:t>(…)</w:t>
      </w:r>
    </w:p>
    <w:p w14:paraId="680EAB62" w14:textId="77777777" w:rsidR="000E3318" w:rsidRPr="000A13DF" w:rsidRDefault="000E3318" w:rsidP="00EE72BA">
      <w:pPr>
        <w:spacing w:line="360" w:lineRule="auto"/>
        <w:ind w:left="567" w:right="616"/>
        <w:jc w:val="both"/>
        <w:rPr>
          <w:rFonts w:ascii="Palatino Linotype" w:hAnsi="Palatino Linotype"/>
          <w:i/>
          <w:lang w:val="es-ES_tradnl"/>
        </w:rPr>
      </w:pPr>
      <w:r w:rsidRPr="000A13DF">
        <w:rPr>
          <w:rFonts w:ascii="Palatino Linotype" w:hAnsi="Palatino Linotype"/>
          <w:i/>
          <w:lang w:val="es-ES_tradnl"/>
        </w:rPr>
        <w:t xml:space="preserve">VIII. </w:t>
      </w:r>
      <w:r w:rsidRPr="000A13DF">
        <w:rPr>
          <w:rFonts w:ascii="Palatino Linotype" w:hAnsi="Palatino Linotype"/>
          <w:b/>
          <w:i/>
          <w:lang w:val="es-ES_tradnl"/>
        </w:rPr>
        <w:t>El Estado contará con un organismo autónomo</w:t>
      </w:r>
      <w:r w:rsidRPr="000A13DF">
        <w:rPr>
          <w:rFonts w:ascii="Palatino Linotype" w:hAnsi="Palatino Linotype"/>
          <w:i/>
          <w:lang w:val="es-ES_tradnl"/>
        </w:rPr>
        <w:t>, especializado, imparcial, colegiado, con personalidad jurídica y patrimonio propio, con plena autonomía técnica y de gestión, con capacidad para decidir sobre el ejercicio de su presupuesto y determinar su organización interna</w:t>
      </w:r>
      <w:r w:rsidRPr="000A13DF">
        <w:rPr>
          <w:rFonts w:ascii="Palatino Linotype" w:hAnsi="Palatino Linotype"/>
          <w:b/>
          <w:i/>
          <w:lang w:val="es-ES_tradnl"/>
        </w:rPr>
        <w:t>, responsable de garantizar el cumplimiento del derecho de transparencia, acceso a la información pública y a la protección de datos personales en posesión de los sujetos obligados en los términos que establezca la ley</w:t>
      </w:r>
      <w:r w:rsidRPr="000A13DF">
        <w:rPr>
          <w:rFonts w:ascii="Palatino Linotype" w:hAnsi="Palatino Linotype"/>
          <w:i/>
          <w:lang w:val="es-ES_tradnl"/>
        </w:rPr>
        <w:t>.</w:t>
      </w:r>
    </w:p>
    <w:p w14:paraId="15D1CEA8" w14:textId="77777777" w:rsidR="000E3318" w:rsidRPr="000A13DF" w:rsidRDefault="000E3318" w:rsidP="00EE72BA">
      <w:pPr>
        <w:spacing w:line="360" w:lineRule="auto"/>
        <w:ind w:left="567" w:right="616"/>
        <w:jc w:val="both"/>
        <w:rPr>
          <w:rFonts w:ascii="Palatino Linotype" w:hAnsi="Palatino Linotype"/>
          <w:i/>
          <w:lang w:val="es-ES_tradnl"/>
        </w:rPr>
      </w:pPr>
    </w:p>
    <w:p w14:paraId="2CF1C6C5" w14:textId="77777777" w:rsidR="000E3318" w:rsidRPr="000A13DF" w:rsidRDefault="000E3318" w:rsidP="00EE72BA">
      <w:pPr>
        <w:spacing w:line="360" w:lineRule="auto"/>
        <w:ind w:left="567" w:right="616"/>
        <w:jc w:val="both"/>
        <w:rPr>
          <w:rFonts w:ascii="Palatino Linotype" w:hAnsi="Palatino Linotype"/>
          <w:i/>
          <w:lang w:val="es-ES_tradnl"/>
        </w:rPr>
      </w:pPr>
      <w:r w:rsidRPr="000A13DF">
        <w:rPr>
          <w:rFonts w:ascii="Palatino Linotype" w:hAnsi="Palatino Linotype"/>
          <w:b/>
          <w:i/>
          <w:lang w:val="es-ES_tradnl"/>
        </w:rPr>
        <w:lastRenderedPageBreak/>
        <w:t>El organismo autónomo garante previsto en esta fracción, se regirá por la ley en materia de transparencia, acceso a la información pública y protección de datos personales en posesión de sujetos obligados</w:t>
      </w:r>
      <w:r w:rsidRPr="000A13DF">
        <w:rPr>
          <w:rFonts w:ascii="Palatino Linotype" w:hAnsi="Palatino Linotype"/>
          <w:i/>
          <w:lang w:val="es-ES_tradnl"/>
        </w:rPr>
        <w:t>.”</w:t>
      </w:r>
    </w:p>
    <w:p w14:paraId="52632ED5"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42089538"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Es así que, </w:t>
      </w:r>
      <w:r w:rsidRPr="000A13DF">
        <w:rPr>
          <w:rFonts w:ascii="Palatino Linotype" w:hAnsi="Palatino Linotype"/>
        </w:rPr>
        <w:t>este Organismo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14:paraId="5E515823"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71AF2BE6"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Por lo anterior, es claro que las ubicación de los Predios registrados en el Padrón Catastral que tiene a su cargo el </w:t>
      </w:r>
      <w:r w:rsidRPr="000A13DF">
        <w:rPr>
          <w:rFonts w:ascii="Palatino Linotype" w:hAnsi="Palatino Linotype"/>
          <w:b/>
          <w:bCs/>
          <w:color w:val="000000" w:themeColor="text1"/>
        </w:rPr>
        <w:t>SUJETO OBLIGADO</w:t>
      </w:r>
      <w:r w:rsidRPr="000A13DF">
        <w:rPr>
          <w:rFonts w:ascii="Palatino Linotype" w:hAnsi="Palatino Linotype"/>
          <w:color w:val="000000" w:themeColor="text1"/>
        </w:rPr>
        <w:t xml:space="preserve">, </w:t>
      </w:r>
      <w:r w:rsidRPr="000A13DF">
        <w:rPr>
          <w:rFonts w:ascii="Palatino Linotype" w:hAnsi="Palatino Linotype" w:cs="Arial"/>
        </w:rPr>
        <w:t xml:space="preserve">debe clasificarse como confidencial, entendiéndose por </w:t>
      </w:r>
      <w:r w:rsidRPr="000A13DF">
        <w:rPr>
          <w:rFonts w:ascii="Palatino Linotype" w:hAnsi="Palatino Linotype"/>
        </w:rPr>
        <w:t xml:space="preserve">información confidencial, aquellos datos personales, datos personales sensibles e información privada, cuyas acepciones legales las </w:t>
      </w:r>
      <w:r w:rsidRPr="000A13DF">
        <w:rPr>
          <w:rFonts w:ascii="Palatino Linotype" w:hAnsi="Palatino Linotype" w:cs="Arial"/>
        </w:rPr>
        <w:t>podemos</w:t>
      </w:r>
      <w:r w:rsidRPr="000A13DF">
        <w:rPr>
          <w:rFonts w:ascii="Palatino Linotype" w:hAnsi="Palatino Linotype"/>
        </w:rPr>
        <w:t xml:space="preserve"> encontrar en los artículos 3, fracciones XXI y XXIII de</w:t>
      </w:r>
      <w:r w:rsidRPr="000A13DF">
        <w:rPr>
          <w:rFonts w:ascii="Palatino Linotype" w:hAnsi="Palatino Linotype"/>
          <w:bCs/>
        </w:rPr>
        <w:t xml:space="preserve"> la Ley de Transparencia y Acceso a la Información Pública del </w:t>
      </w:r>
      <w:r w:rsidRPr="000A13DF">
        <w:rPr>
          <w:rFonts w:ascii="Palatino Linotype" w:hAnsi="Palatino Linotype"/>
        </w:rPr>
        <w:t>Estado</w:t>
      </w:r>
      <w:r w:rsidRPr="000A13DF">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68341A0D"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31D85C89" w14:textId="77777777" w:rsidR="000E3318" w:rsidRPr="000A13DF" w:rsidRDefault="000E3318" w:rsidP="00EE72BA">
      <w:pPr>
        <w:spacing w:line="360" w:lineRule="auto"/>
        <w:ind w:left="567" w:right="616"/>
        <w:jc w:val="center"/>
        <w:rPr>
          <w:rFonts w:ascii="Palatino Linotype" w:hAnsi="Palatino Linotype" w:cs="Arial"/>
          <w:b/>
          <w:i/>
          <w:lang w:eastAsia="es-MX"/>
        </w:rPr>
      </w:pPr>
      <w:r w:rsidRPr="000A13DF">
        <w:rPr>
          <w:rFonts w:ascii="Palatino Linotype" w:hAnsi="Palatino Linotype" w:cs="Arial"/>
          <w:b/>
          <w:i/>
          <w:lang w:eastAsia="es-MX"/>
        </w:rPr>
        <w:t>“Ley de Transparencia y Acceso a la Información Pública del Estado de México y Municipios</w:t>
      </w:r>
    </w:p>
    <w:p w14:paraId="5462B841" w14:textId="77777777" w:rsidR="000E3318" w:rsidRPr="000A13DF" w:rsidRDefault="000E3318" w:rsidP="00EE72BA">
      <w:pPr>
        <w:spacing w:line="360" w:lineRule="auto"/>
        <w:ind w:left="567" w:right="616"/>
        <w:jc w:val="center"/>
        <w:rPr>
          <w:rFonts w:ascii="Palatino Linotype" w:hAnsi="Palatino Linotype" w:cs="Arial"/>
          <w:i/>
          <w:lang w:eastAsia="es-MX"/>
        </w:rPr>
      </w:pPr>
    </w:p>
    <w:p w14:paraId="6A437033"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lastRenderedPageBreak/>
        <w:t>Artículo 3</w:t>
      </w:r>
      <w:r w:rsidRPr="000A13DF">
        <w:rPr>
          <w:rFonts w:ascii="Palatino Linotype" w:hAnsi="Palatino Linotype" w:cs="Arial"/>
          <w:i/>
          <w:lang w:eastAsia="es-MX"/>
        </w:rPr>
        <w:t xml:space="preserve">. </w:t>
      </w:r>
      <w:r w:rsidRPr="000A13DF">
        <w:rPr>
          <w:rFonts w:ascii="Palatino Linotype" w:hAnsi="Palatino Linotype" w:cs="Arial"/>
          <w:bCs/>
          <w:i/>
          <w:lang w:eastAsia="es-MX"/>
        </w:rPr>
        <w:t>Para los efectos de la presente Ley se entenderá por:</w:t>
      </w:r>
      <w:r w:rsidRPr="000A13DF">
        <w:rPr>
          <w:rFonts w:ascii="Palatino Linotype" w:hAnsi="Palatino Linotype" w:cs="Arial"/>
          <w:i/>
          <w:lang w:eastAsia="es-MX"/>
        </w:rPr>
        <w:t xml:space="preserve"> </w:t>
      </w:r>
    </w:p>
    <w:p w14:paraId="38344585"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w:t>
      </w:r>
    </w:p>
    <w:p w14:paraId="485BD5DC"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XXI. Información confidencial</w:t>
      </w:r>
      <w:r w:rsidRPr="000A13DF">
        <w:rPr>
          <w:rFonts w:ascii="Palatino Linotype" w:hAnsi="Palatino Linotype" w:cs="Arial"/>
          <w:i/>
          <w:lang w:eastAsia="es-MX"/>
        </w:rPr>
        <w:t xml:space="preserve">: </w:t>
      </w:r>
      <w:r w:rsidRPr="000A13DF">
        <w:rPr>
          <w:rFonts w:ascii="Palatino Linotype" w:hAnsi="Palatino Linotype" w:cs="Arial"/>
          <w:b/>
          <w:i/>
          <w:lang w:eastAsia="es-MX"/>
        </w:rPr>
        <w:t>Se considera como información confidencial</w:t>
      </w:r>
      <w:r w:rsidRPr="000A13DF">
        <w:rPr>
          <w:rFonts w:ascii="Palatino Linotype" w:hAnsi="Palatino Linotype" w:cs="Arial"/>
          <w:i/>
          <w:lang w:eastAsia="es-MX"/>
        </w:rPr>
        <w:t xml:space="preserve"> los secretos bancario, fiduciario, industrial, comercial, fiscal, bursátil y postal, </w:t>
      </w:r>
      <w:r w:rsidRPr="000A13DF">
        <w:rPr>
          <w:rFonts w:ascii="Palatino Linotype" w:hAnsi="Palatino Linotype" w:cs="Arial"/>
          <w:b/>
          <w:i/>
          <w:lang w:eastAsia="es-MX"/>
        </w:rPr>
        <w:t>cuya titularidad corresponda a particulares</w:t>
      </w:r>
      <w:r w:rsidRPr="000A13DF">
        <w:rPr>
          <w:rFonts w:ascii="Palatino Linotype" w:hAnsi="Palatino Linotype" w:cs="Arial"/>
          <w:i/>
          <w:lang w:eastAsia="es-MX"/>
        </w:rPr>
        <w:t xml:space="preserve">, sujetos de derecho internacional o a sujetos obligados </w:t>
      </w:r>
      <w:r w:rsidRPr="000A13DF">
        <w:rPr>
          <w:rFonts w:ascii="Palatino Linotype" w:hAnsi="Palatino Linotype" w:cs="Arial"/>
          <w:b/>
          <w:i/>
          <w:lang w:eastAsia="es-MX"/>
        </w:rPr>
        <w:t>cuando no involucren el ejercicio de recursos públicos</w:t>
      </w:r>
      <w:r w:rsidRPr="000A13DF">
        <w:rPr>
          <w:rFonts w:ascii="Palatino Linotype" w:hAnsi="Palatino Linotype" w:cs="Arial"/>
          <w:i/>
          <w:lang w:eastAsia="es-MX"/>
        </w:rPr>
        <w:t>;</w:t>
      </w:r>
    </w:p>
    <w:p w14:paraId="06282AE6"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w:t>
      </w:r>
    </w:p>
    <w:p w14:paraId="4E026217"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XXIII</w:t>
      </w:r>
      <w:r w:rsidRPr="000A13DF">
        <w:rPr>
          <w:rFonts w:ascii="Palatino Linotype" w:hAnsi="Palatino Linotype" w:cs="Arial"/>
          <w:i/>
          <w:lang w:eastAsia="es-MX"/>
        </w:rPr>
        <w:t xml:space="preserve">. </w:t>
      </w:r>
      <w:r w:rsidRPr="000A13DF">
        <w:rPr>
          <w:rFonts w:ascii="Palatino Linotype" w:hAnsi="Palatino Linotype" w:cs="Arial"/>
          <w:b/>
          <w:i/>
          <w:lang w:eastAsia="es-MX"/>
        </w:rPr>
        <w:t>Información privada</w:t>
      </w:r>
      <w:r w:rsidRPr="000A13DF">
        <w:rPr>
          <w:rFonts w:ascii="Palatino Linotype" w:hAnsi="Palatino Linotype" w:cs="Arial"/>
          <w:i/>
          <w:lang w:eastAsia="es-MX"/>
        </w:rPr>
        <w:t xml:space="preserve">: </w:t>
      </w:r>
      <w:r w:rsidRPr="000A13DF">
        <w:rPr>
          <w:rFonts w:ascii="Palatino Linotype" w:hAnsi="Palatino Linotype" w:cs="Arial"/>
          <w:b/>
          <w:i/>
          <w:lang w:eastAsia="es-MX"/>
        </w:rPr>
        <w:t>La contenida en documentos públicos</w:t>
      </w:r>
      <w:r w:rsidRPr="000A13DF">
        <w:rPr>
          <w:rFonts w:ascii="Palatino Linotype" w:hAnsi="Palatino Linotype" w:cs="Arial"/>
          <w:i/>
          <w:lang w:eastAsia="es-MX"/>
        </w:rPr>
        <w:t xml:space="preserve"> o privados </w:t>
      </w:r>
      <w:r w:rsidRPr="000A13DF">
        <w:rPr>
          <w:rFonts w:ascii="Palatino Linotype" w:hAnsi="Palatino Linotype" w:cs="Arial"/>
          <w:b/>
          <w:i/>
          <w:lang w:eastAsia="es-MX"/>
        </w:rPr>
        <w:t>que refiera a la vida privada y/o los datos personales, que no son de acceso público</w:t>
      </w:r>
      <w:r w:rsidRPr="000A13DF">
        <w:rPr>
          <w:rFonts w:ascii="Palatino Linotype" w:hAnsi="Palatino Linotype" w:cs="Arial"/>
          <w:i/>
          <w:lang w:eastAsia="es-MX"/>
        </w:rPr>
        <w:t>;</w:t>
      </w:r>
    </w:p>
    <w:p w14:paraId="4C79F076" w14:textId="77777777" w:rsidR="000E3318" w:rsidRPr="000A13DF" w:rsidRDefault="000E3318" w:rsidP="00EE72BA">
      <w:pPr>
        <w:spacing w:line="360" w:lineRule="auto"/>
        <w:ind w:left="567" w:right="616"/>
        <w:jc w:val="both"/>
        <w:rPr>
          <w:rFonts w:ascii="Palatino Linotype" w:hAnsi="Palatino Linotype" w:cs="Arial"/>
          <w:b/>
          <w:i/>
          <w:lang w:eastAsia="es-MX"/>
        </w:rPr>
      </w:pPr>
    </w:p>
    <w:p w14:paraId="7D0AAC1D" w14:textId="77777777" w:rsidR="000E3318" w:rsidRPr="000A13DF" w:rsidRDefault="000E3318" w:rsidP="00EE72BA">
      <w:pPr>
        <w:spacing w:line="360" w:lineRule="auto"/>
        <w:ind w:left="567" w:right="616"/>
        <w:jc w:val="center"/>
        <w:rPr>
          <w:rFonts w:ascii="Palatino Linotype" w:hAnsi="Palatino Linotype" w:cs="Arial"/>
          <w:b/>
          <w:i/>
          <w:lang w:eastAsia="es-MX"/>
        </w:rPr>
      </w:pPr>
      <w:r w:rsidRPr="000A13DF">
        <w:rPr>
          <w:rFonts w:ascii="Palatino Linotype" w:hAnsi="Palatino Linotype" w:cs="Arial"/>
          <w:b/>
          <w:i/>
          <w:lang w:eastAsia="es-MX"/>
        </w:rPr>
        <w:t>Ley de Protección de Datos Personales en Posesión de Sujetos Obligados del Estado de México y Municipios.</w:t>
      </w:r>
    </w:p>
    <w:p w14:paraId="1D79DF28" w14:textId="77777777" w:rsidR="000E3318" w:rsidRPr="000A13DF" w:rsidRDefault="000E3318" w:rsidP="00EE72BA">
      <w:pPr>
        <w:spacing w:line="360" w:lineRule="auto"/>
        <w:ind w:left="567" w:right="616"/>
        <w:jc w:val="both"/>
        <w:rPr>
          <w:rFonts w:ascii="Palatino Linotype" w:hAnsi="Palatino Linotype" w:cs="Arial"/>
          <w:i/>
          <w:lang w:eastAsia="es-MX"/>
        </w:rPr>
      </w:pPr>
    </w:p>
    <w:p w14:paraId="6772B681" w14:textId="77777777" w:rsidR="000E3318" w:rsidRPr="000A13DF" w:rsidRDefault="000E3318" w:rsidP="00EE72BA">
      <w:pPr>
        <w:spacing w:line="360" w:lineRule="auto"/>
        <w:ind w:left="567" w:right="616"/>
        <w:jc w:val="both"/>
        <w:rPr>
          <w:rFonts w:ascii="Palatino Linotype" w:hAnsi="Palatino Linotype" w:cs="Arial"/>
          <w:bCs/>
          <w:i/>
          <w:lang w:eastAsia="es-MX"/>
        </w:rPr>
      </w:pPr>
      <w:r w:rsidRPr="000A13DF">
        <w:rPr>
          <w:rFonts w:ascii="Palatino Linotype" w:hAnsi="Palatino Linotype" w:cs="Arial"/>
          <w:b/>
          <w:i/>
          <w:lang w:eastAsia="es-MX"/>
        </w:rPr>
        <w:t>Artículo 4</w:t>
      </w:r>
      <w:r w:rsidRPr="000A13DF">
        <w:rPr>
          <w:rFonts w:ascii="Palatino Linotype" w:hAnsi="Palatino Linotype" w:cs="Arial"/>
          <w:i/>
          <w:lang w:eastAsia="es-MX"/>
        </w:rPr>
        <w:t xml:space="preserve">.- </w:t>
      </w:r>
      <w:r w:rsidRPr="000A13DF">
        <w:rPr>
          <w:rFonts w:ascii="Palatino Linotype" w:hAnsi="Palatino Linotype" w:cs="Arial"/>
          <w:bCs/>
          <w:i/>
          <w:lang w:eastAsia="es-MX"/>
        </w:rPr>
        <w:t>Para los efectos de esta Ley se entenderá por:</w:t>
      </w:r>
    </w:p>
    <w:p w14:paraId="36D05CD0" w14:textId="77777777" w:rsidR="000E3318" w:rsidRPr="000A13DF" w:rsidRDefault="000E3318" w:rsidP="00EE72BA">
      <w:pPr>
        <w:spacing w:line="360" w:lineRule="auto"/>
        <w:ind w:left="567" w:right="616"/>
        <w:jc w:val="both"/>
        <w:rPr>
          <w:rFonts w:ascii="Palatino Linotype" w:hAnsi="Palatino Linotype" w:cs="Arial"/>
          <w:bCs/>
          <w:i/>
          <w:lang w:eastAsia="es-MX"/>
        </w:rPr>
      </w:pPr>
      <w:r w:rsidRPr="000A13DF">
        <w:rPr>
          <w:rFonts w:ascii="Palatino Linotype" w:hAnsi="Palatino Linotype" w:cs="Arial"/>
          <w:bCs/>
          <w:i/>
          <w:lang w:eastAsia="es-MX"/>
        </w:rPr>
        <w:t>(…)</w:t>
      </w:r>
    </w:p>
    <w:p w14:paraId="72856B41"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XI. Datos personales</w:t>
      </w:r>
      <w:r w:rsidRPr="000A13DF">
        <w:rPr>
          <w:rFonts w:ascii="Palatino Linotype" w:hAnsi="Palatino Linotype" w:cs="Arial"/>
          <w:i/>
          <w:lang w:eastAsia="es-MX"/>
        </w:rPr>
        <w:t xml:space="preserve">: a </w:t>
      </w:r>
      <w:r w:rsidRPr="000A13DF">
        <w:rPr>
          <w:rFonts w:ascii="Palatino Linotype" w:hAnsi="Palatino Linotype" w:cs="Arial"/>
          <w:b/>
          <w:i/>
          <w:lang w:eastAsia="es-MX"/>
        </w:rPr>
        <w:t>la información concerniente a una persona física o jurídica colectiva identificada o identificable</w:t>
      </w:r>
      <w:r w:rsidRPr="000A13DF">
        <w:rPr>
          <w:rFonts w:ascii="Palatino Linotype" w:hAnsi="Palatino Linotype" w:cs="Arial"/>
          <w:i/>
          <w:lang w:eastAsia="es-MX"/>
        </w:rPr>
        <w:t xml:space="preserve">, establecida en cualquier formato o modalidad, y que esté almacenada en los sistemas y bases de datos, </w:t>
      </w:r>
      <w:r w:rsidRPr="000A13DF">
        <w:rPr>
          <w:rFonts w:ascii="Palatino Linotype" w:hAnsi="Palatino Linotype" w:cs="Arial"/>
          <w:b/>
          <w:i/>
          <w:lang w:eastAsia="es-MX"/>
        </w:rPr>
        <w:t>se considerará que una persona es identificable cuando su identidad pueda determinarse directa o indirectamente</w:t>
      </w:r>
      <w:r w:rsidRPr="000A13DF">
        <w:rPr>
          <w:rFonts w:ascii="Palatino Linotype" w:hAnsi="Palatino Linotype" w:cs="Arial"/>
          <w:i/>
          <w:lang w:eastAsia="es-MX"/>
        </w:rPr>
        <w:t xml:space="preserve"> a través de cualquier documento informativo físico o electrónico. </w:t>
      </w:r>
    </w:p>
    <w:p w14:paraId="037098B3"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XII. Datos personales sensibles</w:t>
      </w:r>
      <w:r w:rsidRPr="000A13DF">
        <w:rPr>
          <w:rFonts w:ascii="Palatino Linotype" w:hAnsi="Palatino Linotype" w:cs="Arial"/>
          <w:i/>
          <w:lang w:eastAsia="es-MX"/>
        </w:rPr>
        <w:t xml:space="preserve">: a las </w:t>
      </w:r>
      <w:r w:rsidRPr="000A13DF">
        <w:rPr>
          <w:rFonts w:ascii="Palatino Linotype" w:hAnsi="Palatino Linotype" w:cs="Arial"/>
          <w:b/>
          <w:i/>
          <w:lang w:eastAsia="es-MX"/>
        </w:rPr>
        <w:t xml:space="preserve">referentes de la esfera de su titular cuya utilización indebida pueda dar origen a discriminación o conlleve </w:t>
      </w:r>
      <w:r w:rsidRPr="000A13DF">
        <w:rPr>
          <w:rFonts w:ascii="Palatino Linotype" w:hAnsi="Palatino Linotype" w:cs="Arial"/>
          <w:b/>
          <w:i/>
          <w:lang w:eastAsia="es-MX"/>
        </w:rPr>
        <w:lastRenderedPageBreak/>
        <w:t>un riesgo grave</w:t>
      </w:r>
      <w:r w:rsidRPr="000A13DF">
        <w:rPr>
          <w:rFonts w:ascii="Palatino Linotype" w:hAnsi="Palatino Linotype" w:cs="Arial"/>
          <w:i/>
          <w:lang w:eastAsia="es-MX"/>
        </w:rPr>
        <w:t xml:space="preserve"> para éste. De manera enunciativa más no limitativa, </w:t>
      </w:r>
      <w:r w:rsidRPr="000A13DF">
        <w:rPr>
          <w:rFonts w:ascii="Palatino Linotype" w:hAnsi="Palatino Linotype" w:cs="Arial"/>
          <w:b/>
          <w:i/>
          <w:lang w:eastAsia="es-MX"/>
        </w:rPr>
        <w:t>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0A13DF">
        <w:rPr>
          <w:rFonts w:ascii="Palatino Linotype" w:hAnsi="Palatino Linotype" w:cs="Arial"/>
          <w:i/>
          <w:lang w:eastAsia="es-MX"/>
        </w:rPr>
        <w:t>.</w:t>
      </w:r>
    </w:p>
    <w:p w14:paraId="119EB6B7"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w:t>
      </w:r>
      <w:r w:rsidRPr="000A13DF">
        <w:rPr>
          <w:rFonts w:ascii="Palatino Linotype" w:hAnsi="Palatino Linotype" w:cs="Arial"/>
          <w:i/>
          <w:lang w:eastAsia="es-MX"/>
        </w:rPr>
        <w:t>”</w:t>
      </w:r>
    </w:p>
    <w:p w14:paraId="10D439FD" w14:textId="77777777" w:rsidR="000E3318" w:rsidRPr="000A13DF" w:rsidRDefault="000E3318" w:rsidP="00EE72BA">
      <w:pPr>
        <w:spacing w:line="360" w:lineRule="auto"/>
        <w:ind w:right="616"/>
        <w:jc w:val="both"/>
        <w:rPr>
          <w:rFonts w:ascii="Palatino Linotype" w:hAnsi="Palatino Linotype" w:cs="Arial"/>
          <w:i/>
          <w:lang w:eastAsia="es-MX"/>
        </w:rPr>
      </w:pPr>
    </w:p>
    <w:p w14:paraId="38C15888"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De </w:t>
      </w:r>
      <w:r w:rsidRPr="000A13DF">
        <w:rPr>
          <w:rFonts w:ascii="Palatino Linotype" w:hAnsi="Palatino Linotype" w:cs="Arial"/>
          <w:bCs/>
        </w:rPr>
        <w:t xml:space="preserve">una interpretación armónica y sistemática de dichos preceptos jurídicos, podemos advertir que la </w:t>
      </w:r>
      <w:r w:rsidRPr="000A13DF">
        <w:rPr>
          <w:rFonts w:ascii="Palatino Linotype" w:hAnsi="Palatino Linotype"/>
          <w:bCs/>
        </w:rPr>
        <w:t>información</w:t>
      </w:r>
      <w:r w:rsidRPr="000A13DF">
        <w:rPr>
          <w:rFonts w:ascii="Palatino Linotype" w:hAnsi="Palatino Linotype" w:cs="Arial"/>
          <w:bCs/>
        </w:rPr>
        <w:t xml:space="preserve"> privada es aquella contenida en documentos de orden público que se </w:t>
      </w:r>
      <w:r w:rsidRPr="000A13DF">
        <w:rPr>
          <w:rFonts w:ascii="Palatino Linotype" w:hAnsi="Palatino Linotype" w:cs="Arial"/>
        </w:rPr>
        <w:t>refiera</w:t>
      </w:r>
      <w:r w:rsidRPr="000A13DF">
        <w:rPr>
          <w:rFonts w:ascii="Palatino Linotype" w:hAnsi="Palatino Linotype" w:cs="Arial"/>
          <w:bCs/>
        </w:rPr>
        <w:t xml:space="preserve"> a la vida privada o contenga datos personales, los cuales no serán de acceso público. </w:t>
      </w:r>
    </w:p>
    <w:p w14:paraId="6C6E2708"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58DC3EA3"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s="Arial"/>
          <w:bCs/>
        </w:rPr>
        <w:t xml:space="preserve">En ese mismo sentido, los datos personales son aquellos que conciernen a una persona, ya sea física o jurídica colectiva, que la hacen identificada o identificable, lo anterior, </w:t>
      </w:r>
      <w:r w:rsidRPr="000A13DF">
        <w:rPr>
          <w:rFonts w:ascii="Palatino Linotype" w:eastAsia="Arial Unicode MS" w:hAnsi="Palatino Linotype" w:cs="Arial"/>
        </w:rPr>
        <w:t xml:space="preserve">siempre que </w:t>
      </w:r>
      <w:r w:rsidRPr="000A13DF">
        <w:rPr>
          <w:rFonts w:ascii="Palatino Linotype" w:hAnsi="Palatino Linotype" w:cs="Arial"/>
          <w:b/>
          <w:lang w:eastAsia="es-MX"/>
        </w:rPr>
        <w:t>no involucren el ejercicio de recursos públicos</w:t>
      </w:r>
      <w:r w:rsidRPr="000A13DF">
        <w:rPr>
          <w:rFonts w:ascii="Palatino Linotype" w:eastAsia="Arial Unicode MS" w:hAnsi="Palatino Linotype" w:cs="Arial"/>
        </w:rPr>
        <w:t>.</w:t>
      </w:r>
    </w:p>
    <w:p w14:paraId="145BE03D"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23B642A7"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En </w:t>
      </w:r>
      <w:r w:rsidRPr="000A13DF">
        <w:rPr>
          <w:rFonts w:ascii="Palatino Linotype" w:hAnsi="Palatino Linotype" w:cs="Arial"/>
          <w:bCs/>
        </w:rPr>
        <w:t xml:space="preserve">ese tenor, existe información </w:t>
      </w:r>
      <w:r w:rsidRPr="000A13DF">
        <w:rPr>
          <w:rFonts w:ascii="Palatino Linotype" w:eastAsia="Arial Unicode MS" w:hAnsi="Palatino Linotype" w:cs="Arial"/>
        </w:rPr>
        <w:t>personal</w:t>
      </w:r>
      <w:r w:rsidRPr="000A13DF">
        <w:rPr>
          <w:rFonts w:ascii="Palatino Linotype" w:hAnsi="Palatino Linotype" w:cs="Arial"/>
          <w:lang w:eastAsia="es-MX"/>
        </w:rPr>
        <w:t xml:space="preserve"> que tiene un grado de sensibilidad tal, que su revelación </w:t>
      </w:r>
      <w:r w:rsidRPr="000A13DF">
        <w:rPr>
          <w:rFonts w:ascii="Palatino Linotype" w:hAnsi="Palatino Linotype" w:cs="Arial"/>
        </w:rPr>
        <w:t>puede</w:t>
      </w:r>
      <w:r w:rsidRPr="000A13DF">
        <w:rPr>
          <w:rFonts w:ascii="Palatino Linotype" w:hAnsi="Palatino Linotype" w:cs="Arial"/>
          <w:lang w:eastAsia="es-MX"/>
        </w:rPr>
        <w:t xml:space="preserve"> poner en riesgo a las personas, las cuales, sin oponerse a lo anterior, </w:t>
      </w:r>
      <w:r w:rsidRPr="000A13DF">
        <w:rPr>
          <w:rFonts w:ascii="Palatino Linotype" w:hAnsi="Palatino Linotype" w:cs="Arial"/>
          <w:b/>
          <w:bCs/>
          <w:lang w:eastAsia="es-MX"/>
        </w:rPr>
        <w:t xml:space="preserve">son susceptibles de </w:t>
      </w:r>
      <w:r w:rsidRPr="000A13DF">
        <w:rPr>
          <w:rFonts w:ascii="Palatino Linotype" w:hAnsi="Palatino Linotype" w:cs="Arial"/>
          <w:b/>
          <w:bCs/>
        </w:rPr>
        <w:t>clasificarse</w:t>
      </w:r>
      <w:r w:rsidRPr="000A13DF">
        <w:rPr>
          <w:rFonts w:ascii="Palatino Linotype" w:hAnsi="Palatino Linotype" w:cs="Arial"/>
          <w:b/>
          <w:bCs/>
          <w:lang w:eastAsia="es-MX"/>
        </w:rPr>
        <w:t xml:space="preserve"> como confidenciales</w:t>
      </w:r>
      <w:r w:rsidRPr="000A13DF">
        <w:rPr>
          <w:rFonts w:ascii="Palatino Linotype" w:hAnsi="Palatino Linotype" w:cs="Arial"/>
          <w:lang w:eastAsia="es-MX"/>
        </w:rPr>
        <w:t xml:space="preserve">, como lo son origen étnico o racial; características físicas; </w:t>
      </w:r>
      <w:r w:rsidRPr="000A13DF">
        <w:rPr>
          <w:rFonts w:ascii="Palatino Linotype" w:hAnsi="Palatino Linotype"/>
          <w:bCs/>
        </w:rPr>
        <w:t>características</w:t>
      </w:r>
      <w:r w:rsidRPr="000A13DF">
        <w:rPr>
          <w:rFonts w:ascii="Palatino Linotype" w:hAnsi="Palatino Linotype" w:cs="Arial"/>
          <w:lang w:eastAsia="es-MX"/>
        </w:rPr>
        <w:t xml:space="preserve"> morales; características emocionales; vida afectiva; vida familiar; </w:t>
      </w:r>
      <w:r w:rsidRPr="000A13DF">
        <w:rPr>
          <w:rFonts w:ascii="Palatino Linotype" w:hAnsi="Palatino Linotype" w:cs="Arial"/>
          <w:b/>
          <w:lang w:eastAsia="es-MX"/>
        </w:rPr>
        <w:t>domicilio particular</w:t>
      </w:r>
      <w:r w:rsidRPr="000A13DF">
        <w:rPr>
          <w:rFonts w:ascii="Palatino Linotype" w:hAnsi="Palatino Linotype" w:cs="Arial"/>
          <w:lang w:eastAsia="es-MX"/>
        </w:rPr>
        <w:t xml:space="preserve">; número telefónico particular; </w:t>
      </w:r>
      <w:r w:rsidRPr="000A13DF">
        <w:rPr>
          <w:rFonts w:ascii="Palatino Linotype" w:hAnsi="Palatino Linotype" w:cs="Arial"/>
          <w:b/>
          <w:lang w:eastAsia="es-MX"/>
        </w:rPr>
        <w:t>patrimonio</w:t>
      </w:r>
      <w:r w:rsidRPr="000A13DF">
        <w:rPr>
          <w:rFonts w:ascii="Palatino Linotype" w:hAnsi="Palatino Linotype" w:cs="Arial"/>
          <w:lang w:eastAsia="es-MX"/>
        </w:rPr>
        <w:t>; ideología; opinión política; creencia o convicción religiosa; creencia o convicción filosófica; estado de salud física; estado de salud mental; estado civil; preferencia sexual; y otras análogas que afecten su intimidad,</w:t>
      </w:r>
      <w:r w:rsidRPr="000A13DF">
        <w:rPr>
          <w:rFonts w:ascii="Palatino Linotype" w:eastAsia="Arial Unicode MS" w:hAnsi="Palatino Linotype" w:cs="Arial"/>
        </w:rPr>
        <w:t xml:space="preserve"> que pongan en riesgo la vida, seguridad o salud de las mismas.</w:t>
      </w:r>
    </w:p>
    <w:p w14:paraId="2227C6E1"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6B0560C8"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Por cuanto hace al </w:t>
      </w:r>
      <w:r w:rsidRPr="000A13DF">
        <w:rPr>
          <w:rFonts w:ascii="Palatino Linotype" w:eastAsia="Arial Unicode MS" w:hAnsi="Palatino Linotype" w:cs="Arial"/>
        </w:rPr>
        <w:t xml:space="preserve">domicilio, sirve </w:t>
      </w:r>
      <w:r w:rsidRPr="000A13DF">
        <w:rPr>
          <w:rFonts w:ascii="Palatino Linotype" w:hAnsi="Palatino Linotype" w:cs="Arial"/>
          <w:lang w:val="es-ES"/>
        </w:rPr>
        <w:t xml:space="preserve">de apoyo a lo anterior, </w:t>
      </w:r>
      <w:r w:rsidRPr="000A13DF">
        <w:rPr>
          <w:rFonts w:ascii="Palatino Linotype" w:hAnsi="Palatino Linotype" w:cs="Arial"/>
        </w:rPr>
        <w:t xml:space="preserve">la Tesis Aislada con número de registro </w:t>
      </w:r>
      <w:r w:rsidRPr="000A13DF">
        <w:rPr>
          <w:rFonts w:ascii="Palatino Linotype" w:eastAsia="Arial Unicode MS" w:hAnsi="Palatino Linotype" w:cs="Arial"/>
        </w:rPr>
        <w:t>2000979</w:t>
      </w:r>
      <w:r w:rsidRPr="000A13DF">
        <w:rPr>
          <w:rFonts w:ascii="Palatino Linotype" w:hAnsi="Palatino Linotype" w:cs="Arial"/>
          <w:lang w:val="es-ES_tradnl"/>
        </w:rPr>
        <w:t xml:space="preserve">, </w:t>
      </w:r>
      <w:r w:rsidRPr="000A13DF">
        <w:rPr>
          <w:rFonts w:ascii="Palatino Linotype" w:hAnsi="Palatino Linotype"/>
        </w:rPr>
        <w:t xml:space="preserve">de la Décima Época de la </w:t>
      </w:r>
      <w:r w:rsidRPr="000A13DF">
        <w:rPr>
          <w:rFonts w:ascii="Palatino Linotype" w:hAnsi="Palatino Linotype" w:cs="Arial"/>
          <w:lang w:val="es-ES_tradnl"/>
        </w:rPr>
        <w:t xml:space="preserve">Primera </w:t>
      </w:r>
      <w:r w:rsidRPr="000A13DF">
        <w:rPr>
          <w:rFonts w:ascii="Palatino Linotype" w:hAnsi="Palatino Linotype"/>
        </w:rPr>
        <w:t xml:space="preserve">Sala de la Suprema Corte de Justicia de la Nación, publicada en la página </w:t>
      </w:r>
      <w:r w:rsidRPr="000A13DF">
        <w:rPr>
          <w:rFonts w:ascii="Palatino Linotype" w:eastAsia="Arial Unicode MS" w:hAnsi="Palatino Linotype" w:cs="Arial"/>
        </w:rPr>
        <w:t xml:space="preserve">258 </w:t>
      </w:r>
      <w:r w:rsidRPr="000A13DF">
        <w:rPr>
          <w:rFonts w:ascii="Palatino Linotype" w:hAnsi="Palatino Linotype"/>
        </w:rPr>
        <w:t>del Libro IX, Tomo 1 de junio de 2012, en el Semanario Judicial de la Federación, misma que refiere lo siguiente:</w:t>
      </w:r>
    </w:p>
    <w:p w14:paraId="485EB797"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74B5FB16" w14:textId="77777777" w:rsidR="000E3318" w:rsidRPr="000A13DF" w:rsidRDefault="000E3318" w:rsidP="00EE72BA">
      <w:pPr>
        <w:spacing w:line="360" w:lineRule="auto"/>
        <w:ind w:left="567" w:right="616"/>
        <w:jc w:val="both"/>
        <w:rPr>
          <w:rFonts w:ascii="Palatino Linotype" w:eastAsia="Arial Unicode MS" w:hAnsi="Palatino Linotype" w:cs="Arial"/>
          <w:i/>
        </w:rPr>
      </w:pPr>
      <w:r w:rsidRPr="000A13DF">
        <w:rPr>
          <w:rFonts w:ascii="Palatino Linotype" w:eastAsia="Arial Unicode MS" w:hAnsi="Palatino Linotype" w:cs="Arial"/>
          <w:b/>
          <w:i/>
        </w:rPr>
        <w:t>“DOMICILIO. SU CONCEPTO PARA EFECTOS DE PROTECCIÓN CONSTITUCIONAL.</w:t>
      </w:r>
      <w:r w:rsidRPr="000A13DF">
        <w:rPr>
          <w:rFonts w:ascii="Palatino Linotype" w:eastAsia="Arial Unicode MS" w:hAnsi="Palatino Linotype" w:cs="Arial"/>
          <w:i/>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w:t>
      </w:r>
      <w:r w:rsidRPr="000A13DF">
        <w:rPr>
          <w:rFonts w:ascii="Palatino Linotype" w:eastAsia="Arial Unicode MS" w:hAnsi="Palatino Linotype" w:cs="Arial"/>
          <w:i/>
        </w:rPr>
        <w:lastRenderedPageBreak/>
        <w:t>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14:paraId="046E7607" w14:textId="77777777" w:rsidR="000E3318" w:rsidRPr="000A13DF" w:rsidRDefault="000E3318" w:rsidP="00EE72BA">
      <w:pPr>
        <w:spacing w:line="360" w:lineRule="auto"/>
        <w:ind w:left="567" w:right="616"/>
        <w:jc w:val="both"/>
        <w:rPr>
          <w:rFonts w:ascii="Palatino Linotype" w:eastAsia="Arial Unicode MS" w:hAnsi="Palatino Linotype" w:cs="Arial"/>
          <w:i/>
        </w:rPr>
      </w:pPr>
    </w:p>
    <w:p w14:paraId="1CB2A7E9" w14:textId="77777777" w:rsidR="000E3318" w:rsidRPr="000A13DF" w:rsidRDefault="000E3318" w:rsidP="00EE72BA">
      <w:pPr>
        <w:spacing w:line="360" w:lineRule="auto"/>
        <w:ind w:left="567" w:right="616"/>
        <w:jc w:val="both"/>
        <w:rPr>
          <w:rFonts w:ascii="Palatino Linotype" w:eastAsia="Arial Unicode MS" w:hAnsi="Palatino Linotype" w:cs="Arial"/>
          <w:i/>
        </w:rPr>
      </w:pPr>
      <w:r w:rsidRPr="000A13DF">
        <w:rPr>
          <w:rFonts w:ascii="Palatino Linotype" w:eastAsia="Arial Unicode MS" w:hAnsi="Palatino Linotype" w:cs="Arial"/>
          <w:i/>
        </w:rPr>
        <w:t>Amparo directo en revisión 2420/</w:t>
      </w:r>
      <w:r w:rsidRPr="000A13DF">
        <w:rPr>
          <w:rFonts w:ascii="Palatino Linotype" w:hAnsi="Palatino Linotype" w:cs="Arial"/>
          <w:i/>
          <w:lang w:eastAsia="es-MX"/>
        </w:rPr>
        <w:t>2011</w:t>
      </w:r>
      <w:r w:rsidRPr="000A13DF">
        <w:rPr>
          <w:rFonts w:ascii="Palatino Linotype" w:eastAsia="Arial Unicode MS" w:hAnsi="Palatino Linotype" w:cs="Arial"/>
          <w:i/>
        </w:rPr>
        <w:t>. 11 de abril de 2012. Cinco votos. Ponente: Arturo Zaldívar Lelo de Larrea. Secretario: Javier Mijangos y González.”</w:t>
      </w:r>
    </w:p>
    <w:p w14:paraId="0CE0666C"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17C5E95F"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En este sentido, </w:t>
      </w:r>
      <w:r w:rsidRPr="000A13DF">
        <w:rPr>
          <w:rFonts w:ascii="Palatino Linotype" w:hAnsi="Palatino Linotype" w:cs="Arial"/>
          <w:bCs/>
        </w:rPr>
        <w:t>se reitera que la información solicitada por la Recurrente, consistente la ubicación de los Predios registrados en el Padrón Catastral</w:t>
      </w:r>
      <w:r w:rsidRPr="000A13DF">
        <w:rPr>
          <w:rFonts w:ascii="Palatino Linotype" w:hAnsi="Palatino Linotype"/>
        </w:rPr>
        <w:t>, se trata de</w:t>
      </w:r>
      <w:r w:rsidRPr="000A13DF">
        <w:rPr>
          <w:rFonts w:ascii="Palatino Linotype" w:hAnsi="Palatino Linotype" w:cs="Arial"/>
        </w:rPr>
        <w:t xml:space="preserve"> información privada que sólo le atañe a sus titulares.</w:t>
      </w:r>
    </w:p>
    <w:p w14:paraId="1E969477"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11CA607E"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Lo </w:t>
      </w:r>
      <w:r w:rsidRPr="000A13DF">
        <w:rPr>
          <w:rFonts w:ascii="Palatino Linotype" w:hAnsi="Palatino Linotype"/>
        </w:rPr>
        <w:t xml:space="preserve">anterior es así, pues no debe perderse de vista que </w:t>
      </w:r>
      <w:r w:rsidRPr="000A13DF">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1BE46B49"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24F49B20"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Atento a ello, </w:t>
      </w:r>
      <w:r w:rsidRPr="000A13DF">
        <w:rPr>
          <w:rFonts w:ascii="Palatino Linotype" w:eastAsia="Calibri" w:hAnsi="Palatino Linotype" w:cs="Arial"/>
          <w:lang w:val="es-ES" w:eastAsia="es-MX"/>
        </w:rPr>
        <w:t xml:space="preserve">procedente la clasificación de la información de conformidad con lo </w:t>
      </w:r>
      <w:r w:rsidRPr="000A13DF">
        <w:rPr>
          <w:rFonts w:ascii="Palatino Linotype" w:hAnsi="Palatino Linotype" w:cs="Arial"/>
        </w:rPr>
        <w:t>dispuesto en los artículos 3, fracciones IX, XX y XXI y 91 de la Ley de Transparencia y Acceso a la Información Pública del Estado de México y Municipios que establecen:</w:t>
      </w:r>
    </w:p>
    <w:p w14:paraId="56EFD8AA"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b/>
          <w:i/>
        </w:rPr>
        <w:t>“Artículo 3.</w:t>
      </w:r>
      <w:r w:rsidRPr="000A13DF">
        <w:rPr>
          <w:rFonts w:ascii="Palatino Linotype" w:hAnsi="Palatino Linotype" w:cs="Arial"/>
          <w:i/>
        </w:rPr>
        <w:t xml:space="preserve"> Para los efectos de la presente Ley se entenderá por:</w:t>
      </w:r>
    </w:p>
    <w:p w14:paraId="4A57DAE2"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i/>
        </w:rPr>
        <w:t>(…)</w:t>
      </w:r>
    </w:p>
    <w:p w14:paraId="2774E3E0"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b/>
          <w:i/>
        </w:rPr>
        <w:t>IX. Datos personales:</w:t>
      </w:r>
      <w:r w:rsidRPr="000A13DF">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A56BEB3"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b/>
          <w:i/>
        </w:rPr>
        <w:lastRenderedPageBreak/>
        <w:t>XX.</w:t>
      </w:r>
      <w:r w:rsidRPr="000A13DF">
        <w:rPr>
          <w:rFonts w:ascii="Palatino Linotype" w:hAnsi="Palatino Linotype" w:cs="Arial"/>
          <w:i/>
        </w:rPr>
        <w:t xml:space="preserve"> </w:t>
      </w:r>
      <w:r w:rsidRPr="000A13DF">
        <w:rPr>
          <w:rFonts w:ascii="Palatino Linotype" w:hAnsi="Palatino Linotype" w:cs="Arial"/>
          <w:b/>
          <w:i/>
        </w:rPr>
        <w:t>Información clasificada:</w:t>
      </w:r>
      <w:r w:rsidRPr="000A13DF">
        <w:rPr>
          <w:rFonts w:ascii="Palatino Linotype" w:hAnsi="Palatino Linotype" w:cs="Arial"/>
          <w:i/>
        </w:rPr>
        <w:t xml:space="preserve"> Aquella considerada por la presente Ley como reservada o confidencial;</w:t>
      </w:r>
    </w:p>
    <w:p w14:paraId="7CDEA6F3"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b/>
          <w:i/>
        </w:rPr>
        <w:t>XXI.</w:t>
      </w:r>
      <w:r w:rsidRPr="000A13DF">
        <w:rPr>
          <w:rFonts w:ascii="Palatino Linotype" w:hAnsi="Palatino Linotype" w:cs="Arial"/>
          <w:i/>
        </w:rPr>
        <w:t xml:space="preserve"> </w:t>
      </w:r>
      <w:r w:rsidRPr="000A13DF">
        <w:rPr>
          <w:rFonts w:ascii="Palatino Linotype" w:hAnsi="Palatino Linotype" w:cs="Arial"/>
          <w:b/>
          <w:i/>
        </w:rPr>
        <w:t>Información confidencial:</w:t>
      </w:r>
      <w:r w:rsidRPr="000A13DF">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4B7B4E3"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i/>
        </w:rPr>
        <w:t>(…)</w:t>
      </w:r>
    </w:p>
    <w:p w14:paraId="16A31EA4"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XXIII</w:t>
      </w:r>
      <w:r w:rsidRPr="000A13DF">
        <w:rPr>
          <w:rFonts w:ascii="Palatino Linotype" w:hAnsi="Palatino Linotype" w:cs="Arial"/>
          <w:i/>
          <w:lang w:eastAsia="es-MX"/>
        </w:rPr>
        <w:t xml:space="preserve">. </w:t>
      </w:r>
      <w:r w:rsidRPr="000A13DF">
        <w:rPr>
          <w:rFonts w:ascii="Palatino Linotype" w:hAnsi="Palatino Linotype" w:cs="Arial"/>
          <w:b/>
          <w:i/>
          <w:lang w:eastAsia="es-MX"/>
        </w:rPr>
        <w:t>Información privada</w:t>
      </w:r>
      <w:r w:rsidRPr="000A13DF">
        <w:rPr>
          <w:rFonts w:ascii="Palatino Linotype" w:hAnsi="Palatino Linotype" w:cs="Arial"/>
          <w:i/>
          <w:lang w:eastAsia="es-MX"/>
        </w:rPr>
        <w:t xml:space="preserve">: </w:t>
      </w:r>
      <w:r w:rsidRPr="000A13DF">
        <w:rPr>
          <w:rFonts w:ascii="Palatino Linotype" w:hAnsi="Palatino Linotype" w:cs="Arial"/>
          <w:b/>
          <w:i/>
          <w:lang w:eastAsia="es-MX"/>
        </w:rPr>
        <w:t>La contenida en documentos públicos</w:t>
      </w:r>
      <w:r w:rsidRPr="000A13DF">
        <w:rPr>
          <w:rFonts w:ascii="Palatino Linotype" w:hAnsi="Palatino Linotype" w:cs="Arial"/>
          <w:i/>
          <w:lang w:eastAsia="es-MX"/>
        </w:rPr>
        <w:t xml:space="preserve"> o privados </w:t>
      </w:r>
      <w:r w:rsidRPr="000A13DF">
        <w:rPr>
          <w:rFonts w:ascii="Palatino Linotype" w:hAnsi="Palatino Linotype" w:cs="Arial"/>
          <w:b/>
          <w:i/>
          <w:lang w:eastAsia="es-MX"/>
        </w:rPr>
        <w:t>que refiera a la vida privada y/o los datos personales, que no son de acceso público</w:t>
      </w:r>
      <w:r w:rsidRPr="000A13DF">
        <w:rPr>
          <w:rFonts w:ascii="Palatino Linotype" w:hAnsi="Palatino Linotype" w:cs="Arial"/>
          <w:i/>
          <w:lang w:eastAsia="es-MX"/>
        </w:rPr>
        <w:t>;</w:t>
      </w:r>
    </w:p>
    <w:p w14:paraId="0ADB3992"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i/>
        </w:rPr>
        <w:t>(…)</w:t>
      </w:r>
    </w:p>
    <w:p w14:paraId="173C4E2A" w14:textId="77777777" w:rsidR="000E3318" w:rsidRPr="000A13DF" w:rsidRDefault="000E3318" w:rsidP="00EE72BA">
      <w:pPr>
        <w:tabs>
          <w:tab w:val="left" w:pos="426"/>
        </w:tabs>
        <w:spacing w:before="240" w:after="240" w:line="360" w:lineRule="auto"/>
        <w:ind w:left="567" w:right="616"/>
        <w:contextualSpacing/>
        <w:jc w:val="both"/>
        <w:rPr>
          <w:rFonts w:ascii="Palatino Linotype" w:hAnsi="Palatino Linotype" w:cs="Arial"/>
          <w:i/>
        </w:rPr>
      </w:pPr>
      <w:r w:rsidRPr="000A13DF">
        <w:rPr>
          <w:rFonts w:ascii="Palatino Linotype" w:hAnsi="Palatino Linotype" w:cs="Arial"/>
          <w:b/>
          <w:i/>
        </w:rPr>
        <w:t xml:space="preserve">Artículo 91. </w:t>
      </w:r>
      <w:r w:rsidRPr="000A13DF">
        <w:rPr>
          <w:rFonts w:ascii="Palatino Linotype" w:hAnsi="Palatino Linotype" w:cs="Arial"/>
          <w:i/>
        </w:rPr>
        <w:t>El acceso a la información pública será restringido excepcionalmente, cuando ésta sea clasificada como reservada o confidencial.”</w:t>
      </w:r>
    </w:p>
    <w:p w14:paraId="1179D4B0" w14:textId="77777777" w:rsidR="000E3318" w:rsidRPr="000A13DF" w:rsidRDefault="000E3318" w:rsidP="00EE72BA">
      <w:pPr>
        <w:tabs>
          <w:tab w:val="left" w:pos="426"/>
        </w:tabs>
        <w:spacing w:before="240" w:after="240" w:line="360" w:lineRule="auto"/>
        <w:ind w:left="567" w:right="616"/>
        <w:contextualSpacing/>
        <w:jc w:val="both"/>
        <w:rPr>
          <w:rFonts w:ascii="Palatino Linotype" w:hAnsi="Palatino Linotype"/>
          <w:color w:val="000000" w:themeColor="text1"/>
        </w:rPr>
      </w:pPr>
    </w:p>
    <w:p w14:paraId="7F8F569A"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No obstante, es </w:t>
      </w:r>
      <w:r w:rsidRPr="000A13DF">
        <w:rPr>
          <w:rFonts w:ascii="Palatino Linotype" w:eastAsia="Calibri" w:hAnsi="Palatino Linotype" w:cs="Bookman Old Style,Bold"/>
          <w:bCs/>
          <w:color w:val="0D0D0D"/>
        </w:rPr>
        <w:t xml:space="preserve">de precisar que la clasificación de la información no se da por el simple mandato de la ley, sino que </w:t>
      </w:r>
      <w:r w:rsidRPr="000A13DF">
        <w:rPr>
          <w:rFonts w:ascii="Palatino Linotype" w:hAnsi="Palatino Linotype"/>
        </w:rPr>
        <w:t xml:space="preserve">es necesario que </w:t>
      </w:r>
      <w:r w:rsidRPr="000A13DF">
        <w:rPr>
          <w:rFonts w:ascii="Palatino Linotype" w:hAnsi="Palatino Linotype"/>
          <w:b/>
        </w:rPr>
        <w:t xml:space="preserve">El Sujeto Obligado </w:t>
      </w:r>
      <w:r w:rsidRPr="000A13DF">
        <w:rPr>
          <w:rFonts w:ascii="Palatino Linotype" w:hAnsi="Palatino Linotype"/>
        </w:rPr>
        <w:t xml:space="preserve">emita el </w:t>
      </w:r>
      <w:r w:rsidRPr="000A13DF">
        <w:rPr>
          <w:rFonts w:ascii="Palatino Linotype" w:eastAsia="Calibri" w:hAnsi="Palatino Linotype" w:cs="Bookman Old Style,Bold"/>
          <w:bCs/>
          <w:color w:val="0D0D0D"/>
        </w:rPr>
        <w:t xml:space="preserve">Acuerdo de clasificación de la información como confidencial, cumpliendo con la </w:t>
      </w:r>
      <w:r w:rsidRPr="000A13DF">
        <w:rPr>
          <w:rFonts w:ascii="Palatino Linotype" w:hAnsi="Palatino Linotype" w:cs="Arial"/>
          <w:lang w:val="es-ES_tradnl"/>
        </w:rPr>
        <w:t xml:space="preserve">forma y formalidades que la ley impone; </w:t>
      </w:r>
      <w:r w:rsidRPr="000A13DF">
        <w:rPr>
          <w:rFonts w:ascii="Palatino Linotype" w:hAnsi="Palatino Linotype" w:cs="Arial"/>
        </w:rPr>
        <w:t>es</w:t>
      </w:r>
      <w:r w:rsidRPr="000A13DF">
        <w:rPr>
          <w:rFonts w:ascii="Palatino Linotype" w:hAnsi="Palatino Linotype" w:cs="Arial"/>
          <w:lang w:val="es-ES_tradnl"/>
        </w:rPr>
        <w:t xml:space="preserve"> decir, mediante acuerdo debidamente fundado y motivado, en términos de los numerales 49, fracción VIII, 132 fracciones I, II y III, </w:t>
      </w:r>
      <w:r w:rsidRPr="000A13DF">
        <w:rPr>
          <w:rFonts w:ascii="Palatino Linotype" w:hAnsi="Palatino Linotype" w:cs="Arial"/>
        </w:rPr>
        <w:t xml:space="preserve">y 143, fracción I </w:t>
      </w:r>
      <w:r w:rsidRPr="000A13DF">
        <w:rPr>
          <w:rFonts w:ascii="Palatino Linotype" w:hAnsi="Palatino Linotype" w:cs="Arial"/>
          <w:lang w:val="es-ES_tradnl"/>
        </w:rPr>
        <w:t>de la Ley de Transparencia y Acceso a la Información Pública del Estado de México y Municipios, los cuales disponen lo siguiente:</w:t>
      </w:r>
    </w:p>
    <w:p w14:paraId="38FA5EBD"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781137D2"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 xml:space="preserve">“Artículo 49. </w:t>
      </w:r>
      <w:r w:rsidRPr="000A13DF">
        <w:rPr>
          <w:rFonts w:ascii="Palatino Linotype" w:hAnsi="Palatino Linotype" w:cs="Arial"/>
          <w:i/>
          <w:lang w:eastAsia="es-MX"/>
        </w:rPr>
        <w:t>Los Comités de Transparencia tendrán las siguientes atribuciones:</w:t>
      </w:r>
    </w:p>
    <w:p w14:paraId="47977836"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VIII.</w:t>
      </w:r>
      <w:r w:rsidRPr="000A13DF">
        <w:rPr>
          <w:rFonts w:ascii="Palatino Linotype" w:hAnsi="Palatino Linotype" w:cs="Arial"/>
          <w:i/>
          <w:lang w:eastAsia="es-MX"/>
        </w:rPr>
        <w:t xml:space="preserve"> Aprobar, modificar o revocar la clasificación de la información;</w:t>
      </w:r>
    </w:p>
    <w:p w14:paraId="18EB9273" w14:textId="77777777" w:rsidR="000E3318" w:rsidRPr="000A13DF" w:rsidRDefault="000E3318" w:rsidP="00EE72BA">
      <w:pPr>
        <w:spacing w:line="360" w:lineRule="auto"/>
        <w:ind w:left="567" w:right="616"/>
        <w:jc w:val="both"/>
        <w:rPr>
          <w:rFonts w:ascii="Palatino Linotype" w:hAnsi="Palatino Linotype" w:cs="Arial"/>
          <w:i/>
          <w:lang w:eastAsia="es-MX"/>
        </w:rPr>
      </w:pPr>
    </w:p>
    <w:p w14:paraId="205E0FA9"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Artículo 132.</w:t>
      </w:r>
      <w:r w:rsidRPr="000A13DF">
        <w:rPr>
          <w:rFonts w:ascii="Palatino Linotype" w:hAnsi="Palatino Linotype" w:cs="Arial"/>
          <w:i/>
          <w:lang w:eastAsia="es-MX"/>
        </w:rPr>
        <w:t xml:space="preserve"> La clasificación de la información se llevará a cabo en el momento en que:</w:t>
      </w:r>
    </w:p>
    <w:p w14:paraId="538B7D9E"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I.</w:t>
      </w:r>
      <w:r w:rsidRPr="000A13DF">
        <w:rPr>
          <w:rFonts w:ascii="Palatino Linotype" w:hAnsi="Palatino Linotype" w:cs="Arial"/>
          <w:i/>
          <w:lang w:eastAsia="es-MX"/>
        </w:rPr>
        <w:t xml:space="preserve"> Se reciba una solicitud de acceso a la información;</w:t>
      </w:r>
    </w:p>
    <w:p w14:paraId="295EEB38"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II.</w:t>
      </w:r>
      <w:r w:rsidRPr="000A13DF">
        <w:rPr>
          <w:rFonts w:ascii="Palatino Linotype" w:hAnsi="Palatino Linotype" w:cs="Arial"/>
          <w:i/>
          <w:lang w:eastAsia="es-MX"/>
        </w:rPr>
        <w:t xml:space="preserve"> Se determine mediante resolución de autoridad competente; o</w:t>
      </w:r>
    </w:p>
    <w:p w14:paraId="39728E7F"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III. Se generen versiones públicas para dar cumplimiento a las obligaciones de transparencia previstas en esta Ley.</w:t>
      </w:r>
    </w:p>
    <w:p w14:paraId="7AD17F17" w14:textId="77777777" w:rsidR="000E3318" w:rsidRPr="000A13DF" w:rsidRDefault="000E3318" w:rsidP="00EE72BA">
      <w:pPr>
        <w:spacing w:line="360" w:lineRule="auto"/>
        <w:ind w:left="567" w:right="616"/>
        <w:jc w:val="both"/>
        <w:rPr>
          <w:rFonts w:ascii="Palatino Linotype" w:hAnsi="Palatino Linotype" w:cs="Arial"/>
          <w:i/>
          <w:lang w:eastAsia="es-MX"/>
        </w:rPr>
      </w:pPr>
    </w:p>
    <w:p w14:paraId="52059735" w14:textId="77777777" w:rsidR="000E3318" w:rsidRPr="000A13DF" w:rsidRDefault="000E3318" w:rsidP="00EE72BA">
      <w:pPr>
        <w:spacing w:line="360" w:lineRule="auto"/>
        <w:ind w:left="567" w:right="616"/>
        <w:jc w:val="both"/>
        <w:rPr>
          <w:rFonts w:ascii="Palatino Linotype" w:hAnsi="Palatino Linotype" w:cs="Arial"/>
          <w:b/>
          <w:bCs/>
          <w:i/>
        </w:rPr>
      </w:pPr>
      <w:r w:rsidRPr="000A13DF">
        <w:rPr>
          <w:rFonts w:ascii="Palatino Linotype" w:hAnsi="Palatino Linotype" w:cs="Arial"/>
          <w:b/>
          <w:i/>
        </w:rPr>
        <w:t>Artículo 143.</w:t>
      </w:r>
      <w:r w:rsidRPr="000A13DF">
        <w:rPr>
          <w:rFonts w:ascii="Palatino Linotype" w:hAnsi="Palatino Linotype" w:cs="Arial"/>
          <w:i/>
        </w:rPr>
        <w:t xml:space="preserve"> </w:t>
      </w:r>
      <w:r w:rsidRPr="000A13DF">
        <w:rPr>
          <w:rFonts w:ascii="Palatino Linotype" w:hAnsi="Palatino Linotype" w:cs="Arial"/>
          <w:b/>
          <w:bCs/>
          <w:i/>
        </w:rPr>
        <w:t>Para los efectos de esta Ley se considera información confidencial, la clasificada como tal, de manera permanente, por su naturaleza, cuando:</w:t>
      </w:r>
    </w:p>
    <w:p w14:paraId="3B869DDA" w14:textId="77777777" w:rsidR="000E3318" w:rsidRPr="000A13DF" w:rsidRDefault="000E3318" w:rsidP="00EE72BA">
      <w:pPr>
        <w:spacing w:line="360" w:lineRule="auto"/>
        <w:ind w:left="567" w:right="616"/>
        <w:jc w:val="both"/>
        <w:rPr>
          <w:rFonts w:ascii="Palatino Linotype" w:hAnsi="Palatino Linotype" w:cs="Arial"/>
          <w:b/>
          <w:bCs/>
          <w:i/>
        </w:rPr>
      </w:pPr>
      <w:r w:rsidRPr="000A13DF">
        <w:rPr>
          <w:rFonts w:ascii="Palatino Linotype" w:hAnsi="Palatino Linotype" w:cs="Arial"/>
          <w:b/>
          <w:bCs/>
          <w:i/>
        </w:rPr>
        <w:t>I. Se refiera a la información privada y los datos personales concernientes a una persona física o jurídico colectiva identificada o identificable;</w:t>
      </w:r>
    </w:p>
    <w:p w14:paraId="3662869E" w14:textId="77777777" w:rsidR="000E3318" w:rsidRPr="000A13DF" w:rsidRDefault="000E3318" w:rsidP="00EE72BA">
      <w:pPr>
        <w:spacing w:line="360" w:lineRule="auto"/>
        <w:ind w:left="567" w:right="616"/>
        <w:jc w:val="both"/>
        <w:rPr>
          <w:rFonts w:ascii="Palatino Linotype" w:hAnsi="Palatino Linotype" w:cs="Arial"/>
          <w:b/>
          <w:bCs/>
          <w:i/>
        </w:rPr>
      </w:pPr>
      <w:r w:rsidRPr="000A13DF">
        <w:rPr>
          <w:rFonts w:ascii="Palatino Linotype" w:hAnsi="Palatino Linotype" w:cs="Arial"/>
          <w:b/>
          <w:bCs/>
          <w:i/>
        </w:rPr>
        <w:t>II. Los secretos bancario, fiduciario, industrial, comercial, fiscal, bursátil y postal, cuya titularidad corresponda a particulares, sujetos de derecho internacional o a sujetos obligados cuando no involucren el ejercicio de recursos públicos; y</w:t>
      </w:r>
    </w:p>
    <w:p w14:paraId="7CD32DBE"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b/>
          <w:i/>
        </w:rPr>
        <w:t>III.</w:t>
      </w:r>
      <w:r w:rsidRPr="000A13DF">
        <w:rPr>
          <w:rFonts w:ascii="Palatino Linotype" w:hAnsi="Palatino Linotype" w:cs="Arial"/>
          <w:i/>
        </w:rPr>
        <w:t xml:space="preserve"> La que presenten los particulares a los sujetos obligados, de conformidad con lo dispuesto por las leyes o los tratados internacionales.</w:t>
      </w:r>
    </w:p>
    <w:p w14:paraId="4C8EC3C4" w14:textId="77777777" w:rsidR="000E3318" w:rsidRPr="000A13DF" w:rsidRDefault="000E3318" w:rsidP="00EE72BA">
      <w:pPr>
        <w:spacing w:line="360" w:lineRule="auto"/>
        <w:ind w:left="567" w:right="616"/>
        <w:jc w:val="both"/>
        <w:rPr>
          <w:rFonts w:ascii="Palatino Linotype" w:hAnsi="Palatino Linotype" w:cs="Arial"/>
          <w:i/>
        </w:rPr>
      </w:pPr>
    </w:p>
    <w:p w14:paraId="1BF905DB" w14:textId="77777777" w:rsidR="000E3318" w:rsidRPr="000A13DF" w:rsidRDefault="000E3318" w:rsidP="00EE72BA">
      <w:pPr>
        <w:spacing w:line="360" w:lineRule="auto"/>
        <w:ind w:left="567" w:right="616"/>
        <w:jc w:val="both"/>
        <w:rPr>
          <w:rFonts w:ascii="Palatino Linotype" w:hAnsi="Palatino Linotype" w:cs="Arial"/>
          <w:i/>
        </w:rPr>
      </w:pPr>
      <w:r w:rsidRPr="000A13DF">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3B625942" w14:textId="77777777" w:rsidR="000E3318" w:rsidRPr="000A13DF" w:rsidRDefault="000E3318" w:rsidP="00EE72BA">
      <w:pPr>
        <w:tabs>
          <w:tab w:val="left" w:pos="426"/>
        </w:tabs>
        <w:spacing w:before="240" w:after="240" w:line="360" w:lineRule="auto"/>
        <w:ind w:left="567" w:right="616"/>
        <w:contextualSpacing/>
        <w:jc w:val="both"/>
        <w:rPr>
          <w:rFonts w:ascii="Palatino Linotype" w:hAnsi="Palatino Linotype"/>
          <w:color w:val="000000" w:themeColor="text1"/>
        </w:rPr>
      </w:pPr>
      <w:r w:rsidRPr="000A13DF">
        <w:rPr>
          <w:rFonts w:ascii="Palatino Linotype" w:hAnsi="Palatino Linotype" w:cs="Arial"/>
          <w:i/>
        </w:rPr>
        <w:lastRenderedPageBreak/>
        <w:t>No se considerará confidencial la información que se encuentre en los registros públicos o en fuentes de acceso público, ni tampoco la que sea considerada por la presente ley como información pública.</w:t>
      </w:r>
      <w:r w:rsidRPr="000A13DF">
        <w:rPr>
          <w:rFonts w:ascii="Palatino Linotype" w:hAnsi="Palatino Linotype" w:cs="Arial"/>
          <w:b/>
          <w:i/>
        </w:rPr>
        <w:t>”</w:t>
      </w:r>
    </w:p>
    <w:p w14:paraId="47070361"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7319883C" w14:textId="77777777" w:rsidR="000E3318" w:rsidRPr="000A13DF" w:rsidRDefault="000E3318" w:rsidP="00EE72BA">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Asimismo, </w:t>
      </w:r>
      <w:r w:rsidRPr="000A13DF">
        <w:rPr>
          <w:rFonts w:ascii="Palatino Linotype" w:hAnsi="Palatino Linotype" w:cs="Arial"/>
          <w:lang w:val="es-ES_tradnl"/>
        </w:rPr>
        <w:t>es de destacar que los numerales del Cuarto al Octavo de los Lineamientos Generales en materia de Clasificación y Desclasificación de la Información, así como para la elaboración de Versiones Públicas, que literalmente expresan:</w:t>
      </w:r>
    </w:p>
    <w:p w14:paraId="358C6A7F"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66DE57FC"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“Cuarto.</w:t>
      </w:r>
      <w:r w:rsidRPr="000A13DF">
        <w:rPr>
          <w:rFonts w:ascii="Palatino Linotype" w:hAnsi="Palatino Linotype" w:cs="Arial"/>
          <w:i/>
          <w:lang w:eastAsia="es-MX"/>
        </w:rPr>
        <w:t xml:space="preserve"> Para clasificar la información como reservada o </w:t>
      </w:r>
      <w:r w:rsidRPr="000A13DF">
        <w:rPr>
          <w:rFonts w:ascii="Palatino Linotype" w:hAnsi="Palatino Linotype" w:cs="Arial"/>
          <w:b/>
          <w:i/>
          <w:lang w:eastAsia="es-MX"/>
        </w:rPr>
        <w:t>confidencial</w:t>
      </w:r>
      <w:r w:rsidRPr="000A13DF">
        <w:rPr>
          <w:rFonts w:ascii="Palatino Linotype" w:hAnsi="Palatino Linotype" w:cs="Arial"/>
          <w:i/>
          <w:lang w:eastAsia="es-MX"/>
        </w:rPr>
        <w:t xml:space="preserve">, de manera </w:t>
      </w:r>
      <w:r w:rsidRPr="000A13DF">
        <w:rPr>
          <w:rFonts w:ascii="Palatino Linotype" w:hAnsi="Palatino Linotype" w:cs="Arial"/>
          <w:b/>
          <w:i/>
          <w:lang w:eastAsia="es-MX"/>
        </w:rPr>
        <w:t>total</w:t>
      </w:r>
      <w:r w:rsidRPr="000A13DF">
        <w:rPr>
          <w:rFonts w:ascii="Palatino Linotype" w:hAnsi="Palatino Linotype" w:cs="Arial"/>
          <w:i/>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AE2542E"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14:paraId="57C46FA8"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Quinto.</w:t>
      </w:r>
      <w:r w:rsidRPr="000A13DF">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0A13DF">
        <w:rPr>
          <w:rFonts w:ascii="Palatino Linotype" w:hAnsi="Palatino Linotype" w:cs="Arial"/>
          <w:b/>
          <w:i/>
          <w:lang w:eastAsia="es-MX"/>
        </w:rPr>
        <w:t>fundar y motivar debidamente la clasificación de la información ante una solicitud de acceso</w:t>
      </w:r>
      <w:r w:rsidRPr="000A13DF">
        <w:rPr>
          <w:rFonts w:ascii="Palatino Linotype" w:hAnsi="Palatino Linotype" w:cs="Arial"/>
          <w:i/>
          <w:lang w:eastAsia="es-MX"/>
        </w:rPr>
        <w:t xml:space="preserve"> o al momento en que generen versiones públicas para dar cumplimiento a las obligaciones de </w:t>
      </w:r>
      <w:r w:rsidRPr="000A13DF">
        <w:rPr>
          <w:rFonts w:ascii="Palatino Linotype" w:hAnsi="Palatino Linotype" w:cs="Arial"/>
          <w:i/>
          <w:lang w:eastAsia="es-MX"/>
        </w:rPr>
        <w:lastRenderedPageBreak/>
        <w:t>transparencia, observando lo dispuesto en la Ley General y las demás disposiciones aplicables en la materia.</w:t>
      </w:r>
    </w:p>
    <w:p w14:paraId="25FC5F1E"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Sexto.</w:t>
      </w:r>
      <w:r w:rsidRPr="000A13DF">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DD9C8A1"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La clasificación de información</w:t>
      </w:r>
      <w:r w:rsidRPr="000A13DF">
        <w:rPr>
          <w:rFonts w:ascii="Palatino Linotype" w:hAnsi="Palatino Linotype" w:cs="Arial"/>
          <w:i/>
          <w:lang w:eastAsia="es-MX"/>
        </w:rPr>
        <w:t xml:space="preserve"> se realizará conforme a un </w:t>
      </w:r>
      <w:r w:rsidRPr="000A13DF">
        <w:rPr>
          <w:rFonts w:ascii="Palatino Linotype" w:hAnsi="Palatino Linotype" w:cs="Arial"/>
          <w:b/>
          <w:i/>
          <w:lang w:eastAsia="es-MX"/>
        </w:rPr>
        <w:t>análisis caso por caso</w:t>
      </w:r>
      <w:r w:rsidRPr="000A13DF">
        <w:rPr>
          <w:rFonts w:ascii="Palatino Linotype" w:hAnsi="Palatino Linotype" w:cs="Arial"/>
          <w:i/>
          <w:lang w:eastAsia="es-MX"/>
        </w:rPr>
        <w:t>, mediante la aplicación de la prueba de daño y de interés público.</w:t>
      </w:r>
    </w:p>
    <w:p w14:paraId="06F2B450"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Séptimo.</w:t>
      </w:r>
      <w:r w:rsidRPr="000A13DF">
        <w:rPr>
          <w:rFonts w:ascii="Palatino Linotype" w:hAnsi="Palatino Linotype" w:cs="Arial"/>
          <w:i/>
          <w:lang w:eastAsia="es-MX"/>
        </w:rPr>
        <w:t xml:space="preserve"> La clasificación de la información se llevará a cabo en el momento en que:</w:t>
      </w:r>
    </w:p>
    <w:p w14:paraId="27FC2327"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I.</w:t>
      </w:r>
      <w:r w:rsidRPr="000A13DF">
        <w:rPr>
          <w:rFonts w:ascii="Palatino Linotype" w:hAnsi="Palatino Linotype" w:cs="Arial"/>
          <w:i/>
          <w:lang w:eastAsia="es-MX"/>
        </w:rPr>
        <w:t xml:space="preserve"> Se reciba una solicitud de acceso a la información;</w:t>
      </w:r>
    </w:p>
    <w:p w14:paraId="0EDD4A97"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II.</w:t>
      </w:r>
      <w:r w:rsidRPr="000A13DF">
        <w:rPr>
          <w:rFonts w:ascii="Palatino Linotype" w:hAnsi="Palatino Linotype" w:cs="Arial"/>
          <w:i/>
          <w:lang w:eastAsia="es-MX"/>
        </w:rPr>
        <w:t xml:space="preserve"> Se determine mediante resolución de autoridad competente, o</w:t>
      </w:r>
    </w:p>
    <w:p w14:paraId="5A8337E7"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III.</w:t>
      </w:r>
      <w:r w:rsidRPr="000A13DF">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14:paraId="770489D5"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14:paraId="0428A652"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b/>
          <w:i/>
          <w:lang w:eastAsia="es-MX"/>
        </w:rPr>
        <w:t>Octavo.</w:t>
      </w:r>
      <w:r w:rsidRPr="000A13DF">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68147AC"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14:paraId="48A74795"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lastRenderedPageBreak/>
        <w:t>En caso de referirse a información reservada, la motivación de la clasificación también deberá comprender las circunstancias que justifican el establecimiento de determinado plazo de reserva.</w:t>
      </w:r>
    </w:p>
    <w:p w14:paraId="5471FE83" w14:textId="77777777" w:rsidR="000E3318" w:rsidRPr="000A13DF" w:rsidRDefault="000E3318" w:rsidP="00EE72BA">
      <w:pPr>
        <w:spacing w:line="360" w:lineRule="auto"/>
        <w:ind w:left="567" w:right="616"/>
        <w:jc w:val="both"/>
        <w:rPr>
          <w:rFonts w:ascii="Palatino Linotype" w:hAnsi="Palatino Linotype" w:cs="Arial"/>
          <w:i/>
          <w:lang w:eastAsia="es-MX"/>
        </w:rPr>
      </w:pPr>
      <w:r w:rsidRPr="000A13DF">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43DCA32" w14:textId="77777777" w:rsidR="000E3318" w:rsidRPr="000A13DF" w:rsidRDefault="000E3318" w:rsidP="00EE72BA">
      <w:pPr>
        <w:tabs>
          <w:tab w:val="left" w:pos="426"/>
        </w:tabs>
        <w:spacing w:before="240" w:after="240" w:line="360" w:lineRule="auto"/>
        <w:ind w:left="567" w:right="616"/>
        <w:contextualSpacing/>
        <w:jc w:val="both"/>
        <w:rPr>
          <w:rFonts w:ascii="Palatino Linotype" w:hAnsi="Palatino Linotype"/>
          <w:color w:val="000000" w:themeColor="text1"/>
        </w:rPr>
      </w:pPr>
      <w:r w:rsidRPr="000A13DF">
        <w:rPr>
          <w:rFonts w:ascii="Palatino Linotype" w:hAnsi="Palatino Linotype" w:cs="Arial"/>
          <w:i/>
          <w:lang w:eastAsia="es-MX"/>
        </w:rPr>
        <w:t>Los documentos contenidos en los archivos históricos y los identificados como históricos confidenciales no serán susceptibles de clasificación como reservados.”</w:t>
      </w:r>
    </w:p>
    <w:p w14:paraId="4182BB80" w14:textId="77777777" w:rsidR="000E3318" w:rsidRPr="000A13DF" w:rsidRDefault="000E3318" w:rsidP="00EE72BA">
      <w:pPr>
        <w:tabs>
          <w:tab w:val="left" w:pos="426"/>
        </w:tabs>
        <w:spacing w:before="240" w:after="240" w:line="360" w:lineRule="auto"/>
        <w:ind w:right="51"/>
        <w:contextualSpacing/>
        <w:jc w:val="both"/>
        <w:rPr>
          <w:rFonts w:ascii="Palatino Linotype" w:hAnsi="Palatino Linotype"/>
          <w:color w:val="000000" w:themeColor="text1"/>
        </w:rPr>
      </w:pPr>
    </w:p>
    <w:p w14:paraId="6C3F2B64" w14:textId="77777777" w:rsidR="00A45C65" w:rsidRPr="000A13DF" w:rsidRDefault="000E3318" w:rsidP="00A45C65">
      <w:pPr>
        <w:numPr>
          <w:ilvl w:val="0"/>
          <w:numId w:val="1"/>
        </w:numPr>
        <w:tabs>
          <w:tab w:val="left" w:pos="426"/>
        </w:tabs>
        <w:spacing w:before="240" w:after="240" w:line="360" w:lineRule="auto"/>
        <w:ind w:right="51"/>
        <w:contextualSpacing/>
        <w:jc w:val="both"/>
        <w:rPr>
          <w:rFonts w:ascii="Palatino Linotype" w:hAnsi="Palatino Linotype"/>
          <w:color w:val="000000" w:themeColor="text1"/>
        </w:rPr>
      </w:pPr>
      <w:r w:rsidRPr="000A13DF">
        <w:rPr>
          <w:rFonts w:ascii="Palatino Linotype" w:hAnsi="Palatino Linotype"/>
          <w:color w:val="000000" w:themeColor="text1"/>
        </w:rPr>
        <w:t xml:space="preserve">De lo anterior, </w:t>
      </w:r>
      <w:r w:rsidRPr="000A13DF">
        <w:rPr>
          <w:rFonts w:ascii="Palatino Linotype" w:hAnsi="Palatino Linotype" w:cs="Arial"/>
        </w:rPr>
        <w:t>se puede advertir que para clasificar la información como confidencial, se debe emitir un Acuerdo debidamente fundado y motivado en el que el</w:t>
      </w:r>
      <w:r w:rsidRPr="000A13DF">
        <w:rPr>
          <w:rFonts w:ascii="Palatino Linotype" w:hAnsi="Palatino Linotype" w:cs="Arial"/>
          <w:b/>
        </w:rPr>
        <w:t xml:space="preserve"> SUJETO OBLIGADO</w:t>
      </w:r>
      <w:r w:rsidRPr="000A13DF">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4E4B41EA" w14:textId="77777777" w:rsidR="00A45C65" w:rsidRPr="000A13DF" w:rsidRDefault="00A45C65" w:rsidP="00A45C65">
      <w:pPr>
        <w:tabs>
          <w:tab w:val="left" w:pos="426"/>
        </w:tabs>
        <w:spacing w:before="240" w:after="240" w:line="360" w:lineRule="auto"/>
        <w:ind w:right="51"/>
        <w:contextualSpacing/>
        <w:jc w:val="both"/>
        <w:rPr>
          <w:rFonts w:ascii="Palatino Linotype" w:hAnsi="Palatino Linotype"/>
          <w:color w:val="000000" w:themeColor="text1"/>
        </w:rPr>
      </w:pPr>
    </w:p>
    <w:p w14:paraId="541F91FC" w14:textId="125F8F03" w:rsidR="009D4370" w:rsidRPr="000A13DF" w:rsidRDefault="00EA1AA6" w:rsidP="0033768E">
      <w:pPr>
        <w:numPr>
          <w:ilvl w:val="0"/>
          <w:numId w:val="1"/>
        </w:numPr>
        <w:tabs>
          <w:tab w:val="left" w:pos="426"/>
        </w:tabs>
        <w:spacing w:before="240" w:after="240" w:line="360" w:lineRule="auto"/>
        <w:ind w:right="51"/>
        <w:contextualSpacing/>
        <w:jc w:val="both"/>
        <w:outlineLvl w:val="2"/>
      </w:pPr>
      <w:r w:rsidRPr="000A13DF">
        <w:rPr>
          <w:rFonts w:ascii="Palatino Linotype" w:hAnsi="Palatino Linotype" w:cs="Arial"/>
        </w:rPr>
        <w:t xml:space="preserve">Supuesto que no acontece en la especie, ya que al analizar los elementos que conforman el acuerdo </w:t>
      </w:r>
      <w:r w:rsidR="00A45C65" w:rsidRPr="000A13DF">
        <w:rPr>
          <w:rFonts w:ascii="Palatino Linotype" w:hAnsi="Palatino Linotype"/>
        </w:rPr>
        <w:t>CTM/CUT/SE12/002/ACITP/2022, por el que se aprueba la clasificación total como información confidencial de forma permanente del Padrón Catastral del Municipio de Cuautitlán Izcalli</w:t>
      </w:r>
      <w:r w:rsidR="00A45C65" w:rsidRPr="000A13DF">
        <w:rPr>
          <w:rFonts w:ascii="Palatino Linotype" w:hAnsi="Palatino Linotype"/>
          <w:color w:val="000000" w:themeColor="text1"/>
          <w:lang w:val="es-ES"/>
        </w:rPr>
        <w:t xml:space="preserve"> el</w:t>
      </w:r>
      <w:r w:rsidR="00A45C65" w:rsidRPr="000A13DF">
        <w:rPr>
          <w:rFonts w:ascii="Palatino Linotype" w:hAnsi="Palatino Linotype"/>
          <w:b/>
          <w:color w:val="000000" w:themeColor="text1"/>
          <w:lang w:val="es-ES"/>
        </w:rPr>
        <w:t xml:space="preserve"> SUJETO OBLIGADO</w:t>
      </w:r>
      <w:r w:rsidR="00A45C65" w:rsidRPr="000A13DF">
        <w:rPr>
          <w:rFonts w:ascii="Palatino Linotype" w:hAnsi="Palatino Linotype"/>
          <w:color w:val="000000" w:themeColor="text1"/>
          <w:lang w:val="es-ES"/>
        </w:rPr>
        <w:t xml:space="preserve">, determinó que la información requerida encuadra en los supuestos del artículo 49, fracción VIII, 122, 143 fracciones I y III Y 149 de la Ley de Transparencia y Acceso a la Información Pública del Estado de México y Municipios, omitiendo expresar el </w:t>
      </w:r>
      <w:r w:rsidR="00A45C65" w:rsidRPr="000A13DF">
        <w:rPr>
          <w:rFonts w:ascii="Palatino Linotype" w:hAnsi="Palatino Linotype"/>
          <w:color w:val="000000" w:themeColor="text1"/>
          <w:lang w:val="es-ES"/>
        </w:rPr>
        <w:lastRenderedPageBreak/>
        <w:t xml:space="preserve">fundamento relativo a la </w:t>
      </w:r>
      <w:r w:rsidR="00A45C65" w:rsidRPr="000A13DF">
        <w:rPr>
          <w:rFonts w:ascii="Palatino Linotype" w:hAnsi="Palatino Linotype" w:cs="Arial"/>
        </w:rPr>
        <w:t xml:space="preserve">Ley General de Transparencia y Acceso a la Información Pública, aunado a que faltan las firmas de  integrantes del comité específicamente del encargado del área de </w:t>
      </w:r>
      <w:r w:rsidR="009D4370" w:rsidRPr="000A13DF">
        <w:rPr>
          <w:rFonts w:ascii="Palatino Linotype" w:hAnsi="Palatino Linotype" w:cs="Arial"/>
        </w:rPr>
        <w:t xml:space="preserve">encargado de la protección de los datos personales, lo anterior de conformidad con lo establecido por los artículos 46 y 49 de la </w:t>
      </w:r>
      <w:r w:rsidR="009D4370" w:rsidRPr="000A13DF">
        <w:rPr>
          <w:rFonts w:ascii="Palatino Linotype" w:hAnsi="Palatino Linotype"/>
          <w:color w:val="000000" w:themeColor="text1"/>
          <w:lang w:val="es-ES"/>
        </w:rPr>
        <w:t>la Ley de Transparencia y Acceso a la Información Pública del Estado de México y Municipios.</w:t>
      </w:r>
    </w:p>
    <w:p w14:paraId="0EBCEF1E" w14:textId="77777777" w:rsidR="009D4370" w:rsidRPr="000A13DF" w:rsidRDefault="009D4370" w:rsidP="009D4370">
      <w:pPr>
        <w:pStyle w:val="Prrafodelista"/>
      </w:pPr>
    </w:p>
    <w:p w14:paraId="2D1AC4C8" w14:textId="23782B3D" w:rsidR="001122B2" w:rsidRPr="000A13DF" w:rsidRDefault="001122B2" w:rsidP="00EE72BA">
      <w:pPr>
        <w:tabs>
          <w:tab w:val="left" w:pos="426"/>
        </w:tabs>
        <w:spacing w:before="240" w:after="240" w:line="360" w:lineRule="auto"/>
        <w:ind w:right="51"/>
        <w:contextualSpacing/>
        <w:jc w:val="both"/>
        <w:outlineLvl w:val="2"/>
        <w:rPr>
          <w:rFonts w:ascii="Palatino Linotype" w:eastAsia="Times New Roman" w:hAnsi="Palatino Linotype" w:cs="Times New Roman"/>
          <w:b/>
          <w:color w:val="000000"/>
        </w:rPr>
      </w:pPr>
      <w:r w:rsidRPr="000A13DF">
        <w:rPr>
          <w:rFonts w:ascii="Palatino Linotype" w:eastAsia="Times New Roman" w:hAnsi="Palatino Linotype" w:cs="Times New Roman"/>
          <w:b/>
          <w:color w:val="000000"/>
        </w:rPr>
        <w:t>De la clasificación de la información.</w:t>
      </w:r>
    </w:p>
    <w:p w14:paraId="76FC030C" w14:textId="77777777" w:rsidR="001122B2" w:rsidRPr="000A13DF" w:rsidRDefault="001122B2" w:rsidP="00EE72BA">
      <w:pPr>
        <w:spacing w:after="160" w:line="360" w:lineRule="auto"/>
        <w:contextualSpacing/>
        <w:jc w:val="both"/>
        <w:rPr>
          <w:rFonts w:ascii="Palatino Linotype" w:eastAsia="Times New Roman" w:hAnsi="Palatino Linotype" w:cs="Times New Roman"/>
        </w:rPr>
      </w:pPr>
    </w:p>
    <w:p w14:paraId="3D0DCDC2"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Times New Roman"/>
        </w:rPr>
      </w:pPr>
      <w:r w:rsidRPr="000A13DF">
        <w:rPr>
          <w:rFonts w:ascii="Palatino Linotype" w:eastAsia="Times New Roman"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A13DF">
        <w:rPr>
          <w:rFonts w:ascii="Palatino Linotype" w:eastAsia="Times New Roman" w:hAnsi="Palatino Linotype" w:cs="Times New Roman"/>
          <w:vertAlign w:val="superscript"/>
        </w:rPr>
        <w:footnoteReference w:id="6"/>
      </w:r>
      <w:r w:rsidRPr="000A13DF">
        <w:rPr>
          <w:rFonts w:ascii="Palatino Linotype" w:eastAsia="Times New Roman" w:hAnsi="Palatino Linotype" w:cs="Times New Roman"/>
        </w:rPr>
        <w:t xml:space="preserve"> aunque cualquier límite o restricción, </w:t>
      </w:r>
      <w:r w:rsidRPr="000A13DF">
        <w:rPr>
          <w:rFonts w:ascii="Palatino Linotype" w:eastAsia="Times New Roman"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A13DF">
        <w:rPr>
          <w:rFonts w:ascii="Palatino Linotype" w:eastAsia="Times New Roman" w:hAnsi="Palatino Linotype" w:cs="Times New Roman"/>
          <w:vertAlign w:val="superscript"/>
        </w:rPr>
        <w:footnoteReference w:id="7"/>
      </w:r>
      <w:r w:rsidRPr="000A13DF">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9B629E" w14:textId="77777777" w:rsidR="001122B2" w:rsidRPr="000A13DF" w:rsidRDefault="001122B2" w:rsidP="00EE72BA">
      <w:pPr>
        <w:spacing w:line="360" w:lineRule="auto"/>
        <w:contextualSpacing/>
        <w:jc w:val="both"/>
        <w:rPr>
          <w:rFonts w:ascii="Palatino Linotype" w:eastAsia="Times New Roman" w:hAnsi="Palatino Linotype" w:cs="Times New Roman"/>
        </w:rPr>
      </w:pPr>
      <w:r w:rsidRPr="000A13DF">
        <w:rPr>
          <w:rFonts w:ascii="Palatino Linotype" w:eastAsia="Times New Roman" w:hAnsi="Palatino Linotype" w:cs="Times New Roman"/>
        </w:rPr>
        <w:t xml:space="preserve"> </w:t>
      </w:r>
    </w:p>
    <w:p w14:paraId="45232AC1" w14:textId="07DC328F" w:rsidR="001122B2" w:rsidRPr="000A13DF" w:rsidRDefault="001122B2" w:rsidP="00EE72BA">
      <w:pPr>
        <w:numPr>
          <w:ilvl w:val="0"/>
          <w:numId w:val="1"/>
        </w:numPr>
        <w:spacing w:after="160" w:line="360" w:lineRule="auto"/>
        <w:contextualSpacing/>
        <w:jc w:val="both"/>
        <w:rPr>
          <w:rFonts w:ascii="Palatino Linotype" w:eastAsia="Times New Roman" w:hAnsi="Palatino Linotype" w:cs="Times New Roman"/>
        </w:rPr>
      </w:pPr>
      <w:r w:rsidRPr="000A13DF">
        <w:rPr>
          <w:rFonts w:ascii="Palatino Linotype" w:eastAsia="Times New Roman" w:hAnsi="Palatino Linotype" w:cs="Times New Roman"/>
        </w:rPr>
        <w:t xml:space="preserve">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w:t>
      </w:r>
      <w:r w:rsidR="00EA1AA6" w:rsidRPr="000A13DF">
        <w:rPr>
          <w:rFonts w:ascii="Palatino Linotype" w:eastAsia="Times New Roman" w:hAnsi="Palatino Linotype" w:cs="Times New Roman"/>
        </w:rPr>
        <w:t xml:space="preserve">que </w:t>
      </w:r>
      <w:r w:rsidRPr="000A13DF">
        <w:rPr>
          <w:rFonts w:ascii="Palatino Linotype" w:eastAsia="Times New Roman" w:hAnsi="Palatino Linotype" w:cs="Times New Roman"/>
        </w:rPr>
        <w:t>no medi</w:t>
      </w:r>
      <w:r w:rsidR="00EA1AA6" w:rsidRPr="000A13DF">
        <w:rPr>
          <w:rFonts w:ascii="Palatino Linotype" w:eastAsia="Times New Roman" w:hAnsi="Palatino Linotype" w:cs="Times New Roman"/>
        </w:rPr>
        <w:t>e</w:t>
      </w:r>
      <w:r w:rsidRPr="000A13DF">
        <w:rPr>
          <w:rFonts w:ascii="Palatino Linotype" w:eastAsia="Times New Roman" w:hAnsi="Palatino Linotype" w:cs="Times New Roman"/>
        </w:rPr>
        <w:t xml:space="preserve"> ningún acuerdo</w:t>
      </w:r>
      <w:r w:rsidR="00EA1AA6" w:rsidRPr="000A13DF">
        <w:rPr>
          <w:rFonts w:ascii="Palatino Linotype" w:eastAsia="Times New Roman" w:hAnsi="Palatino Linotype" w:cs="Times New Roman"/>
        </w:rPr>
        <w:t>.</w:t>
      </w:r>
    </w:p>
    <w:p w14:paraId="712C0268" w14:textId="77777777" w:rsidR="001122B2" w:rsidRPr="000A13DF" w:rsidRDefault="001122B2" w:rsidP="00EE72BA">
      <w:pPr>
        <w:spacing w:line="360" w:lineRule="auto"/>
        <w:ind w:left="720"/>
        <w:contextualSpacing/>
        <w:rPr>
          <w:rFonts w:ascii="Palatino Linotype" w:eastAsia="Times New Roman" w:hAnsi="Palatino Linotype" w:cs="Times New Roman"/>
        </w:rPr>
      </w:pPr>
    </w:p>
    <w:p w14:paraId="406536E2" w14:textId="77777777" w:rsidR="001122B2" w:rsidRPr="000A13DF" w:rsidRDefault="001122B2" w:rsidP="00EE72BA">
      <w:pPr>
        <w:spacing w:after="160" w:line="360" w:lineRule="auto"/>
        <w:contextualSpacing/>
        <w:jc w:val="both"/>
        <w:rPr>
          <w:rFonts w:ascii="Palatino Linotype" w:eastAsia="Times New Roman" w:hAnsi="Palatino Linotype" w:cs="Times New Roman"/>
        </w:rPr>
      </w:pPr>
    </w:p>
    <w:p w14:paraId="05F7538C" w14:textId="77777777" w:rsidR="001122B2" w:rsidRPr="000A13DF" w:rsidRDefault="001122B2" w:rsidP="00EE72BA">
      <w:pPr>
        <w:keepNext/>
        <w:keepLines/>
        <w:numPr>
          <w:ilvl w:val="0"/>
          <w:numId w:val="43"/>
        </w:numPr>
        <w:spacing w:before="240" w:line="360" w:lineRule="auto"/>
        <w:ind w:left="0" w:firstLine="0"/>
        <w:outlineLvl w:val="0"/>
        <w:rPr>
          <w:rFonts w:ascii="Palatino Linotype" w:eastAsia="DengXian Light" w:hAnsi="Palatino Linotype" w:cs="Times New Roman"/>
          <w:b/>
        </w:rPr>
      </w:pPr>
      <w:bookmarkStart w:id="31" w:name="_Toc495330687"/>
      <w:r w:rsidRPr="000A13DF">
        <w:rPr>
          <w:rFonts w:ascii="Palatino Linotype" w:eastAsia="DengXian Light" w:hAnsi="Palatino Linotype" w:cs="Times New Roman"/>
          <w:b/>
        </w:rPr>
        <w:t>Requisitos previos</w:t>
      </w:r>
      <w:bookmarkEnd w:id="31"/>
    </w:p>
    <w:p w14:paraId="7C4CD45C" w14:textId="77777777" w:rsidR="001122B2" w:rsidRPr="000A13DF" w:rsidRDefault="001122B2" w:rsidP="00EE72BA">
      <w:pPr>
        <w:spacing w:line="360" w:lineRule="auto"/>
        <w:contextualSpacing/>
        <w:jc w:val="both"/>
        <w:rPr>
          <w:rFonts w:ascii="Palatino Linotype" w:eastAsia="Times New Roman" w:hAnsi="Palatino Linotype" w:cs="Arial"/>
        </w:rPr>
      </w:pPr>
    </w:p>
    <w:p w14:paraId="2A7BB799"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 xml:space="preserve">Los </w:t>
      </w:r>
      <w:r w:rsidRPr="000A13DF">
        <w:rPr>
          <w:rFonts w:ascii="Palatino Linotype" w:eastAsia="Times New Roman" w:hAnsi="Palatino Linotype" w:cs="Times New Roman"/>
        </w:rPr>
        <w:t>artículos</w:t>
      </w:r>
      <w:r w:rsidRPr="000A13DF">
        <w:rPr>
          <w:rFonts w:ascii="Palatino Linotype" w:eastAsia="Times New Roman"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3F2AE4" w14:textId="77777777" w:rsidR="001122B2" w:rsidRPr="000A13DF" w:rsidRDefault="001122B2" w:rsidP="00EE72BA">
      <w:pPr>
        <w:spacing w:line="360" w:lineRule="auto"/>
        <w:contextualSpacing/>
        <w:jc w:val="both"/>
        <w:rPr>
          <w:rFonts w:ascii="Palatino Linotype" w:eastAsia="Times New Roman" w:hAnsi="Palatino Linotype" w:cs="Arial"/>
        </w:rPr>
      </w:pPr>
    </w:p>
    <w:p w14:paraId="7D5D6383"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2BF8E02" w14:textId="77777777" w:rsidR="001122B2" w:rsidRPr="000A13DF" w:rsidRDefault="001122B2" w:rsidP="00EE72BA">
      <w:pPr>
        <w:spacing w:line="360" w:lineRule="auto"/>
        <w:contextualSpacing/>
        <w:jc w:val="both"/>
        <w:rPr>
          <w:rFonts w:ascii="Palatino Linotype" w:eastAsia="Times New Roman" w:hAnsi="Palatino Linotype" w:cs="Arial"/>
        </w:rPr>
      </w:pPr>
    </w:p>
    <w:p w14:paraId="09B7881F"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w:t>
      </w:r>
      <w:r w:rsidRPr="000A13DF">
        <w:rPr>
          <w:rFonts w:ascii="Palatino Linotype" w:eastAsia="Times New Roman" w:hAnsi="Palatino Linotype" w:cs="Arial"/>
        </w:rPr>
        <w:lastRenderedPageBreak/>
        <w:t>área, sin individualizar su análisis y tampoco se puede hacer un acuerdo por cada dato que se vaya a clasificar dentro de un documento con diez datos, por ejemplo, susceptibles de ser clasificados.</w:t>
      </w:r>
    </w:p>
    <w:p w14:paraId="60EDB2E0" w14:textId="77777777" w:rsidR="001122B2" w:rsidRPr="000A13DF" w:rsidRDefault="001122B2" w:rsidP="00EE72BA">
      <w:pPr>
        <w:keepNext/>
        <w:keepLines/>
        <w:numPr>
          <w:ilvl w:val="0"/>
          <w:numId w:val="43"/>
        </w:numPr>
        <w:spacing w:before="240" w:line="360" w:lineRule="auto"/>
        <w:ind w:left="0" w:firstLine="0"/>
        <w:outlineLvl w:val="0"/>
        <w:rPr>
          <w:rFonts w:ascii="Palatino Linotype" w:eastAsia="DengXian Light" w:hAnsi="Palatino Linotype" w:cs="Times New Roman"/>
          <w:b/>
        </w:rPr>
      </w:pPr>
      <w:bookmarkStart w:id="32" w:name="_Toc495330688"/>
      <w:r w:rsidRPr="000A13DF">
        <w:rPr>
          <w:rFonts w:ascii="Palatino Linotype" w:eastAsia="DengXian Light" w:hAnsi="Palatino Linotype" w:cs="Times New Roman"/>
          <w:b/>
        </w:rPr>
        <w:t>Supuestos de clasificación</w:t>
      </w:r>
      <w:bookmarkEnd w:id="32"/>
    </w:p>
    <w:p w14:paraId="19F43341" w14:textId="77777777" w:rsidR="001122B2" w:rsidRPr="000A13DF" w:rsidRDefault="001122B2" w:rsidP="00EE72BA">
      <w:pPr>
        <w:spacing w:line="360" w:lineRule="auto"/>
        <w:jc w:val="both"/>
        <w:rPr>
          <w:rFonts w:ascii="Palatino Linotype" w:eastAsia="Times New Roman" w:hAnsi="Palatino Linotype" w:cs="Arial"/>
        </w:rPr>
      </w:pPr>
    </w:p>
    <w:p w14:paraId="485F00C8"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Las disposiciones constitucionales y legales en la materia establecen los dos supuestos generales para clasificar la información: por reserva y por confidencialidad.</w:t>
      </w:r>
    </w:p>
    <w:p w14:paraId="7FADCD06" w14:textId="77777777" w:rsidR="001122B2" w:rsidRPr="000A13DF" w:rsidRDefault="001122B2" w:rsidP="00EE72BA">
      <w:pPr>
        <w:spacing w:line="360" w:lineRule="auto"/>
        <w:contextualSpacing/>
        <w:jc w:val="both"/>
        <w:rPr>
          <w:rFonts w:ascii="Palatino Linotype" w:eastAsia="Times New Roman" w:hAnsi="Palatino Linotype" w:cs="Arial"/>
        </w:rPr>
      </w:pPr>
    </w:p>
    <w:p w14:paraId="499F4D40"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Los artículos 140 y 113 de la Ley Estatal y de la Ley General, respectivamente, señalan los supuestos para que una información pueda considerarse como reservada.</w:t>
      </w:r>
    </w:p>
    <w:p w14:paraId="7F6363A4" w14:textId="77777777" w:rsidR="001122B2" w:rsidRPr="000A13DF" w:rsidRDefault="001122B2" w:rsidP="00EE72BA">
      <w:pPr>
        <w:spacing w:line="360" w:lineRule="auto"/>
        <w:jc w:val="both"/>
        <w:rPr>
          <w:rFonts w:ascii="Palatino Linotype" w:eastAsia="Times New Roman" w:hAnsi="Palatino Linotype" w:cs="Arial"/>
        </w:rPr>
      </w:pPr>
      <w:r w:rsidRPr="000A13DF">
        <w:rPr>
          <w:rFonts w:ascii="Palatino Linotype" w:eastAsia="Times New Roman" w:hAnsi="Palatino Linotype" w:cs="Arial"/>
        </w:rPr>
        <w:t>49. Mientras que los artículos 143 y 116 de la Ley Estatal y de la Ley General, respectivamente, señalan los supuestos para que la información pueda ser clasificada como confidencial:</w:t>
      </w:r>
    </w:p>
    <w:p w14:paraId="22F29127" w14:textId="77777777" w:rsidR="001122B2" w:rsidRPr="000A13DF" w:rsidRDefault="001122B2" w:rsidP="00EE72BA">
      <w:pPr>
        <w:spacing w:line="360" w:lineRule="auto"/>
        <w:jc w:val="both"/>
        <w:rPr>
          <w:rFonts w:ascii="Palatino Linotype" w:eastAsia="Times New Roman" w:hAnsi="Palatino Linotype" w:cs="Arial"/>
        </w:rPr>
      </w:pPr>
    </w:p>
    <w:p w14:paraId="4EB74156" w14:textId="77777777" w:rsidR="001122B2" w:rsidRPr="000A13DF" w:rsidRDefault="001122B2" w:rsidP="00EE72BA">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0A13DF">
        <w:rPr>
          <w:rFonts w:ascii="Palatino Linotype" w:eastAsia="Times New Roman" w:hAnsi="Palatino Linotype" w:cs="Bookman Old Style"/>
          <w:bCs/>
          <w:i/>
        </w:rPr>
        <w:t xml:space="preserve">I. </w:t>
      </w:r>
      <w:r w:rsidRPr="000A13DF">
        <w:rPr>
          <w:rFonts w:ascii="Palatino Linotype" w:eastAsia="Times New Roman" w:hAnsi="Palatino Linotype" w:cs="Bookman Old Style"/>
          <w:i/>
        </w:rPr>
        <w:t xml:space="preserve">Se refiera a la información privada y los datos personales concernientes a una persona física o jurídico colectiva identificada o identificable; </w:t>
      </w:r>
    </w:p>
    <w:p w14:paraId="6752549C" w14:textId="77777777" w:rsidR="001122B2" w:rsidRPr="000A13DF" w:rsidRDefault="001122B2" w:rsidP="00EE72BA">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0A13DF">
        <w:rPr>
          <w:rFonts w:ascii="Palatino Linotype" w:eastAsia="Times New Roman" w:hAnsi="Palatino Linotype" w:cs="Bookman Old Style"/>
          <w:bCs/>
          <w:i/>
        </w:rPr>
        <w:t xml:space="preserve">II. </w:t>
      </w:r>
      <w:r w:rsidRPr="000A13DF">
        <w:rPr>
          <w:rFonts w:ascii="Palatino Linotype" w:eastAsia="Times New Roman" w:hAnsi="Palatino Linotype" w:cs="Bookman Old Styl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C84D2BD" w14:textId="77777777" w:rsidR="001122B2" w:rsidRPr="000A13DF" w:rsidRDefault="001122B2" w:rsidP="00EE72BA">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0A13DF">
        <w:rPr>
          <w:rFonts w:ascii="Palatino Linotype" w:eastAsia="Times New Roman" w:hAnsi="Palatino Linotype" w:cs="Bookman Old Style"/>
          <w:bCs/>
          <w:i/>
        </w:rPr>
        <w:t xml:space="preserve">III. </w:t>
      </w:r>
      <w:r w:rsidRPr="000A13DF">
        <w:rPr>
          <w:rFonts w:ascii="Palatino Linotype" w:eastAsia="Times New Roman" w:hAnsi="Palatino Linotype" w:cs="Bookman Old Style"/>
          <w:i/>
        </w:rPr>
        <w:t xml:space="preserve">La que presenten los particulares a los sujetos obligados, de conformidad con lo dispuesto por las leyes o los tratados internacionales. </w:t>
      </w:r>
    </w:p>
    <w:p w14:paraId="6E959657" w14:textId="77777777" w:rsidR="001122B2" w:rsidRPr="000A13DF" w:rsidRDefault="001122B2" w:rsidP="00EE72BA">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0A13DF">
        <w:rPr>
          <w:rFonts w:ascii="Palatino Linotype" w:eastAsia="Times New Roman" w:hAnsi="Palatino Linotype" w:cs="Bookman Old Style"/>
          <w:i/>
        </w:rPr>
        <w:lastRenderedPageBreak/>
        <w:t xml:space="preserve">La información confidencial no estará sujeta a temporalidad alguna y sólo podrán tener acceso a ella los titulares de la misma, sus representantes y los servidores públicos facultados para ello. </w:t>
      </w:r>
    </w:p>
    <w:p w14:paraId="7BB58734" w14:textId="77777777" w:rsidR="001122B2" w:rsidRPr="000A13DF" w:rsidRDefault="001122B2" w:rsidP="00EE72BA">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0A13DF">
        <w:rPr>
          <w:rFonts w:ascii="Palatino Linotype" w:eastAsia="Times New Roman" w:hAnsi="Palatino Linotype" w:cs="Bookman Old Style"/>
          <w:i/>
        </w:rPr>
        <w:t xml:space="preserve">No se considerará confidencial la información que se encuentre en los registros públicos o en fuentes de acceso público, ni tampoco la que sea considerada por la presente ley como información pública. </w:t>
      </w:r>
    </w:p>
    <w:p w14:paraId="7E10E2FA" w14:textId="77777777" w:rsidR="001122B2" w:rsidRPr="000A13DF" w:rsidRDefault="001122B2" w:rsidP="00EE72BA">
      <w:pPr>
        <w:spacing w:line="360" w:lineRule="auto"/>
        <w:jc w:val="both"/>
        <w:rPr>
          <w:rFonts w:ascii="Palatino Linotype" w:eastAsia="Times New Roman" w:hAnsi="Palatino Linotype" w:cs="Arial"/>
        </w:rPr>
      </w:pPr>
    </w:p>
    <w:p w14:paraId="68E09238"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A5662DC" w14:textId="77777777" w:rsidR="001122B2" w:rsidRPr="000A13DF" w:rsidRDefault="001122B2" w:rsidP="00EE72BA">
      <w:pPr>
        <w:spacing w:line="360" w:lineRule="auto"/>
        <w:contextualSpacing/>
        <w:jc w:val="both"/>
        <w:rPr>
          <w:rFonts w:ascii="Palatino Linotype" w:eastAsia="Times New Roman" w:hAnsi="Palatino Linotype" w:cs="Arial"/>
        </w:rPr>
      </w:pPr>
    </w:p>
    <w:p w14:paraId="2F1B56B5"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Como consecuencia de lo anterior, el sujeto obligado debe identificar claramente el tipo de información y hacer un juicio de subsunción o encaje</w:t>
      </w:r>
      <w:r w:rsidRPr="000A13DF">
        <w:rPr>
          <w:rFonts w:ascii="Palatino Linotype" w:eastAsia="Times New Roman" w:hAnsi="Palatino Linotype" w:cs="Arial"/>
          <w:vertAlign w:val="superscript"/>
        </w:rPr>
        <w:footnoteReference w:id="8"/>
      </w:r>
      <w:r w:rsidRPr="000A13DF">
        <w:rPr>
          <w:rFonts w:ascii="Palatino Linotype" w:eastAsia="Times New Roman" w:hAnsi="Palatino Linotype" w:cs="Arial"/>
        </w:rPr>
        <w:t xml:space="preserve"> para </w:t>
      </w:r>
      <w:r w:rsidRPr="000A13DF">
        <w:rPr>
          <w:rFonts w:ascii="Palatino Linotype" w:eastAsia="Times New Roman"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6DA2DDA" w14:textId="77777777" w:rsidR="001122B2" w:rsidRPr="000A13DF" w:rsidRDefault="001122B2" w:rsidP="00EE72BA">
      <w:pPr>
        <w:spacing w:line="360" w:lineRule="auto"/>
        <w:contextualSpacing/>
        <w:jc w:val="both"/>
        <w:rPr>
          <w:rFonts w:ascii="Palatino Linotype" w:eastAsia="Times New Roman" w:hAnsi="Palatino Linotype" w:cs="Arial"/>
        </w:rPr>
      </w:pPr>
    </w:p>
    <w:p w14:paraId="3B1DE4B4"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Una vez hecho lo anterior, se remite la información al Titular de la Unidad de Transparencia, con el acuerdo de clasificación correspondiente, para que sea sometido al conocimiento del Comité de Transparencia.</w:t>
      </w:r>
    </w:p>
    <w:p w14:paraId="04DBA56F" w14:textId="77777777" w:rsidR="001122B2" w:rsidRPr="000A13DF" w:rsidRDefault="001122B2" w:rsidP="00EE72BA">
      <w:pPr>
        <w:spacing w:line="360" w:lineRule="auto"/>
        <w:contextualSpacing/>
        <w:jc w:val="both"/>
        <w:rPr>
          <w:rFonts w:ascii="Palatino Linotype" w:eastAsia="Times New Roman" w:hAnsi="Palatino Linotype" w:cs="Times New Roman"/>
          <w:b/>
        </w:rPr>
      </w:pPr>
    </w:p>
    <w:p w14:paraId="79665735" w14:textId="77777777" w:rsidR="001122B2" w:rsidRPr="000A13DF" w:rsidRDefault="001122B2" w:rsidP="00EE72BA">
      <w:pPr>
        <w:keepNext/>
        <w:keepLines/>
        <w:numPr>
          <w:ilvl w:val="0"/>
          <w:numId w:val="43"/>
        </w:numPr>
        <w:spacing w:before="240" w:line="360" w:lineRule="auto"/>
        <w:ind w:left="0" w:firstLine="0"/>
        <w:outlineLvl w:val="0"/>
        <w:rPr>
          <w:rFonts w:ascii="Palatino Linotype" w:eastAsia="DengXian Light" w:hAnsi="Palatino Linotype" w:cs="Times New Roman"/>
          <w:b/>
        </w:rPr>
      </w:pPr>
      <w:bookmarkStart w:id="33" w:name="_Toc489270106"/>
      <w:r w:rsidRPr="000A13DF">
        <w:rPr>
          <w:rFonts w:ascii="Palatino Linotype" w:eastAsia="DengXian Light" w:hAnsi="Palatino Linotype" w:cs="Times New Roman"/>
          <w:b/>
        </w:rPr>
        <w:t>La intervención del Comité de Transparencia.</w:t>
      </w:r>
      <w:bookmarkEnd w:id="33"/>
    </w:p>
    <w:p w14:paraId="662C7BD2" w14:textId="77777777" w:rsidR="001122B2" w:rsidRPr="000A13DF" w:rsidRDefault="001122B2" w:rsidP="00EE72BA">
      <w:pPr>
        <w:spacing w:line="360" w:lineRule="auto"/>
        <w:contextualSpacing/>
        <w:jc w:val="both"/>
        <w:rPr>
          <w:rFonts w:ascii="Palatino Linotype" w:eastAsia="Times New Roman" w:hAnsi="Palatino Linotype" w:cs="Arial"/>
          <w:b/>
        </w:rPr>
      </w:pPr>
    </w:p>
    <w:p w14:paraId="539712F6" w14:textId="77777777" w:rsidR="001122B2" w:rsidRPr="000A13DF" w:rsidRDefault="001122B2" w:rsidP="00EE72BA">
      <w:pPr>
        <w:keepNext/>
        <w:keepLines/>
        <w:numPr>
          <w:ilvl w:val="0"/>
          <w:numId w:val="44"/>
        </w:numPr>
        <w:spacing w:before="40" w:line="360" w:lineRule="auto"/>
        <w:ind w:left="0" w:firstLine="0"/>
        <w:outlineLvl w:val="1"/>
        <w:rPr>
          <w:rFonts w:ascii="Palatino Linotype" w:eastAsia="DengXian Light" w:hAnsi="Palatino Linotype" w:cs="Times New Roman"/>
          <w:b/>
        </w:rPr>
      </w:pPr>
      <w:bookmarkStart w:id="34" w:name="_Toc489270107"/>
      <w:r w:rsidRPr="000A13DF">
        <w:rPr>
          <w:rFonts w:ascii="Palatino Linotype" w:eastAsia="DengXian Light" w:hAnsi="Palatino Linotype" w:cs="Times New Roman"/>
          <w:b/>
        </w:rPr>
        <w:t>Formalidades para emitir el acuerdo de clasificación.</w:t>
      </w:r>
      <w:bookmarkEnd w:id="34"/>
    </w:p>
    <w:p w14:paraId="65BF41E1" w14:textId="77777777" w:rsidR="001122B2" w:rsidRPr="000A13DF" w:rsidRDefault="001122B2" w:rsidP="00EE72BA">
      <w:pPr>
        <w:spacing w:line="360" w:lineRule="auto"/>
        <w:contextualSpacing/>
        <w:jc w:val="both"/>
        <w:rPr>
          <w:rFonts w:ascii="Palatino Linotype" w:eastAsia="Times New Roman" w:hAnsi="Palatino Linotype" w:cs="Arial"/>
        </w:rPr>
      </w:pPr>
    </w:p>
    <w:p w14:paraId="754F3EC2"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Times New Roman"/>
          <w:lang w:eastAsia="es-ES_tradnl"/>
        </w:rPr>
      </w:pPr>
      <w:r w:rsidRPr="000A13DF">
        <w:rPr>
          <w:rFonts w:ascii="Palatino Linotype" w:eastAsia="Times New Roman" w:hAnsi="Palatino Linotype" w:cs="Arial"/>
        </w:rPr>
        <w:t xml:space="preserve">El Comité de Transparencia, según lo dispuesto en los artículos 128 y 103 de la Ley Estatal y de la Ley General, respectivamente, y </w:t>
      </w:r>
      <w:r w:rsidRPr="000A13DF">
        <w:rPr>
          <w:rFonts w:ascii="Palatino Linotype" w:eastAsia="Times New Roman" w:hAnsi="Palatino Linotype" w:cs="Times New Roman"/>
        </w:rPr>
        <w:t xml:space="preserve">la fracción III del numeral Segundo de los </w:t>
      </w:r>
      <w:r w:rsidRPr="000A13DF">
        <w:rPr>
          <w:rFonts w:ascii="Palatino Linotype" w:eastAsia="Times New Roman" w:hAnsi="Palatino Linotype" w:cs="Arial"/>
        </w:rPr>
        <w:t>Lineamientos generales en materia de clasificación y desclasificación de la información, así como para la elaboración de versiones públicas, en adelante los Lineamientos Generales,</w:t>
      </w:r>
      <w:r w:rsidRPr="000A13DF">
        <w:rPr>
          <w:rFonts w:ascii="Palatino Linotype" w:eastAsia="Times New Roman" w:hAnsi="Palatino Linotype" w:cs="Times New Roman"/>
        </w:rPr>
        <w:t xml:space="preserve"> </w:t>
      </w:r>
      <w:r w:rsidRPr="000A13DF">
        <w:rPr>
          <w:rFonts w:ascii="Palatino Linotype" w:eastAsia="Times New Roman"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C279980" w14:textId="77777777" w:rsidR="001122B2" w:rsidRPr="000A13DF" w:rsidRDefault="001122B2" w:rsidP="00EE72BA">
      <w:pPr>
        <w:spacing w:line="360" w:lineRule="auto"/>
        <w:contextualSpacing/>
        <w:jc w:val="both"/>
        <w:rPr>
          <w:rFonts w:ascii="Palatino Linotype" w:eastAsia="Times New Roman" w:hAnsi="Palatino Linotype" w:cs="Arial"/>
        </w:rPr>
      </w:pPr>
    </w:p>
    <w:p w14:paraId="1638BB9D"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 xml:space="preserve">Evidentemente, esta decisión implica una restricción a un derecho humano, por lo tanto, puede generar un agravio al particular y, en consecuencia, es necesario </w:t>
      </w:r>
      <w:r w:rsidRPr="000A13DF">
        <w:rPr>
          <w:rFonts w:ascii="Palatino Linotype" w:eastAsia="Times New Roman" w:hAnsi="Palatino Linotype" w:cs="Aria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982301B" w14:textId="77777777" w:rsidR="001122B2" w:rsidRPr="000A13DF" w:rsidRDefault="001122B2" w:rsidP="00EE72BA">
      <w:pPr>
        <w:spacing w:line="360" w:lineRule="auto"/>
        <w:jc w:val="both"/>
        <w:rPr>
          <w:rFonts w:ascii="Palatino Linotype" w:eastAsia="Times New Roman" w:hAnsi="Palatino Linotype" w:cs="Times New Roman"/>
        </w:rPr>
      </w:pPr>
    </w:p>
    <w:p w14:paraId="327C4CE2"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Times New Roman"/>
        </w:rPr>
      </w:pPr>
      <w:r w:rsidRPr="000A13DF">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59E421B" w14:textId="77777777" w:rsidR="001122B2" w:rsidRPr="000A13DF" w:rsidRDefault="001122B2" w:rsidP="00EE72BA">
      <w:pPr>
        <w:spacing w:line="360" w:lineRule="auto"/>
        <w:jc w:val="both"/>
        <w:rPr>
          <w:rFonts w:ascii="Palatino Linotype" w:eastAsia="Times New Roman" w:hAnsi="Palatino Linotype" w:cs="Times New Roman"/>
        </w:rPr>
      </w:pPr>
    </w:p>
    <w:p w14:paraId="035AF502" w14:textId="77777777" w:rsidR="001122B2" w:rsidRPr="000A13DF" w:rsidRDefault="001122B2" w:rsidP="00EE72BA">
      <w:pPr>
        <w:keepNext/>
        <w:keepLines/>
        <w:numPr>
          <w:ilvl w:val="0"/>
          <w:numId w:val="44"/>
        </w:numPr>
        <w:spacing w:before="40" w:line="360" w:lineRule="auto"/>
        <w:ind w:left="0" w:firstLine="0"/>
        <w:outlineLvl w:val="1"/>
        <w:rPr>
          <w:rFonts w:ascii="Palatino Linotype" w:eastAsia="DengXian Light" w:hAnsi="Palatino Linotype" w:cs="Times New Roman"/>
          <w:b/>
        </w:rPr>
      </w:pPr>
      <w:bookmarkStart w:id="35" w:name="_Toc489270108"/>
      <w:r w:rsidRPr="000A13DF">
        <w:rPr>
          <w:rFonts w:ascii="Palatino Linotype" w:eastAsia="DengXian Light" w:hAnsi="Palatino Linotype" w:cs="Times New Roman"/>
          <w:b/>
        </w:rPr>
        <w:t>Requisitos de fondo del acuerdo de clasificación</w:t>
      </w:r>
      <w:bookmarkEnd w:id="35"/>
    </w:p>
    <w:p w14:paraId="5375F01E" w14:textId="77777777" w:rsidR="001122B2" w:rsidRPr="000A13DF" w:rsidRDefault="001122B2" w:rsidP="00EE72BA">
      <w:pPr>
        <w:spacing w:line="360" w:lineRule="auto"/>
        <w:contextualSpacing/>
        <w:jc w:val="both"/>
        <w:rPr>
          <w:rFonts w:ascii="Palatino Linotype" w:eastAsia="Times New Roman" w:hAnsi="Palatino Linotype" w:cs="Arial"/>
        </w:rPr>
      </w:pPr>
    </w:p>
    <w:p w14:paraId="6E89970C"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Arial"/>
        </w:rPr>
      </w:pPr>
      <w:r w:rsidRPr="000A13DF">
        <w:rPr>
          <w:rFonts w:ascii="Palatino Linotype" w:eastAsia="Times New Roman"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0A13DF">
        <w:rPr>
          <w:rFonts w:ascii="Palatino Linotype" w:eastAsia="Times New Roman" w:hAnsi="Palatino Linotype" w:cs="Arial"/>
        </w:rPr>
        <w:lastRenderedPageBreak/>
        <w:t xml:space="preserve">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F7493A2" w14:textId="77777777" w:rsidR="001122B2" w:rsidRPr="000A13DF" w:rsidRDefault="001122B2" w:rsidP="00EE72BA">
      <w:pPr>
        <w:spacing w:line="360" w:lineRule="auto"/>
        <w:contextualSpacing/>
        <w:jc w:val="both"/>
        <w:rPr>
          <w:rFonts w:ascii="Palatino Linotype" w:eastAsia="Times New Roman" w:hAnsi="Palatino Linotype" w:cs="Times New Roman"/>
        </w:rPr>
      </w:pPr>
    </w:p>
    <w:p w14:paraId="26507376" w14:textId="77777777" w:rsidR="001122B2" w:rsidRPr="000A13DF" w:rsidRDefault="001122B2" w:rsidP="00EE72BA">
      <w:pPr>
        <w:numPr>
          <w:ilvl w:val="0"/>
          <w:numId w:val="1"/>
        </w:numPr>
        <w:spacing w:after="160" w:line="360" w:lineRule="auto"/>
        <w:contextualSpacing/>
        <w:jc w:val="both"/>
        <w:rPr>
          <w:rFonts w:ascii="Palatino Linotype" w:eastAsia="Times New Roman" w:hAnsi="Palatino Linotype" w:cs="Times New Roman"/>
        </w:rPr>
      </w:pPr>
      <w:r w:rsidRPr="000A13DF">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6A45E3" w14:textId="77777777" w:rsidR="001122B2" w:rsidRPr="000A13DF" w:rsidRDefault="001122B2" w:rsidP="00EE72BA">
      <w:pPr>
        <w:shd w:val="clear" w:color="auto" w:fill="FFFFFF"/>
        <w:spacing w:line="360" w:lineRule="auto"/>
        <w:contextualSpacing/>
        <w:jc w:val="both"/>
        <w:rPr>
          <w:rFonts w:ascii="Palatino Linotype" w:eastAsia="Times New Roman" w:hAnsi="Palatino Linotype" w:cs="Arial"/>
          <w:lang w:eastAsia="es-MX"/>
        </w:rPr>
      </w:pPr>
    </w:p>
    <w:p w14:paraId="4308155E" w14:textId="77777777" w:rsidR="001122B2" w:rsidRPr="000A13DF" w:rsidRDefault="001122B2" w:rsidP="00EE72BA">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0A13DF">
        <w:rPr>
          <w:rFonts w:ascii="Palatino Linotype" w:eastAsia="Times New Roman" w:hAnsi="Palatino Linotype" w:cs="Arial"/>
          <w:lang w:eastAsia="es-MX"/>
        </w:rPr>
        <w:lastRenderedPageBreak/>
        <w:t>del análisis de las pruebas, lo cual se debe exteriorizar en una argumentación o juicio de hecho....”</w:t>
      </w:r>
      <w:r w:rsidRPr="000A13DF">
        <w:rPr>
          <w:rFonts w:ascii="Palatino Linotype" w:eastAsia="Times New Roman" w:hAnsi="Palatino Linotype" w:cs="Arial"/>
          <w:vertAlign w:val="superscript"/>
          <w:lang w:eastAsia="es-MX"/>
        </w:rPr>
        <w:footnoteReference w:id="9"/>
      </w:r>
    </w:p>
    <w:p w14:paraId="28289363" w14:textId="77777777" w:rsidR="001122B2" w:rsidRPr="000A13DF" w:rsidRDefault="001122B2" w:rsidP="00EE72BA">
      <w:pPr>
        <w:shd w:val="clear" w:color="auto" w:fill="FFFFFF"/>
        <w:spacing w:line="360" w:lineRule="auto"/>
        <w:contextualSpacing/>
        <w:jc w:val="both"/>
        <w:rPr>
          <w:rFonts w:ascii="Palatino Linotype" w:eastAsia="Times New Roman" w:hAnsi="Palatino Linotype" w:cs="Arial"/>
          <w:lang w:eastAsia="es-MX"/>
        </w:rPr>
      </w:pPr>
    </w:p>
    <w:p w14:paraId="37AB0772" w14:textId="77777777" w:rsidR="001122B2" w:rsidRPr="000A13DF" w:rsidRDefault="001122B2" w:rsidP="00EE72BA">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7496905" w14:textId="77777777" w:rsidR="001122B2" w:rsidRPr="000A13DF" w:rsidRDefault="001122B2" w:rsidP="00EE72BA">
      <w:pPr>
        <w:spacing w:line="360" w:lineRule="auto"/>
        <w:ind w:right="618"/>
        <w:contextualSpacing/>
        <w:jc w:val="both"/>
        <w:rPr>
          <w:rFonts w:ascii="Palatino Linotype" w:eastAsia="Times New Roman" w:hAnsi="Palatino Linotype" w:cs="Arial"/>
        </w:rPr>
      </w:pPr>
    </w:p>
    <w:p w14:paraId="164EBF08"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b/>
          <w:i/>
        </w:rPr>
        <w:t>FUNDAMENTACIÓN Y MOTIVACIÓN.</w:t>
      </w:r>
      <w:r w:rsidRPr="000A13DF">
        <w:rPr>
          <w:rFonts w:ascii="Palatino Linotype" w:eastAsia="Times New Roman" w:hAnsi="Palatino Linotype" w:cs="Arial"/>
          <w:i/>
        </w:rPr>
        <w:t xml:space="preserve"> La </w:t>
      </w:r>
      <w:r w:rsidRPr="000A13DF">
        <w:rPr>
          <w:rFonts w:ascii="Palatino Linotype" w:eastAsia="Times New Roman"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A13DF">
        <w:rPr>
          <w:rFonts w:ascii="Palatino Linotype" w:eastAsia="Times New Roman" w:hAnsi="Palatino Linotype" w:cs="Arial"/>
          <w:i/>
        </w:rPr>
        <w:t>.</w:t>
      </w:r>
    </w:p>
    <w:p w14:paraId="6603640E"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t>SEGUNDO TRIBUNAL COLEGIADO DEL SEXTO CIRCUITO.</w:t>
      </w:r>
    </w:p>
    <w:p w14:paraId="2B22583C"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t>Amparo directo 194/88. Bufete Industrial Construcciones, S.A. de C.V. 28 de junio de 1988. Unanimidad de votos. Ponente: Gustavo Calvillo Rangel. Secretario: Jorge Alberto González Álvarez.</w:t>
      </w:r>
    </w:p>
    <w:p w14:paraId="5F9FC5E5"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t>Revisión fiscal 103/88. Instituto Mexicano del Seguro Social. 18 de octubre de 1988. Unanimidad de votos. Ponente: Arnoldo Nájera Virgen. Secretario: Alejandro Esponda Rincón.</w:t>
      </w:r>
    </w:p>
    <w:p w14:paraId="0F77C2B4"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t>Amparo en revisión 333/88. Adilia Romero. 26 de octubre de 1988. Unanimidad de votos. Ponente: Arnoldo Nájera Virgen. Secretario: Enrique Crispín Campos Ramírez.</w:t>
      </w:r>
    </w:p>
    <w:p w14:paraId="00752513"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lastRenderedPageBreak/>
        <w:t>Amparo en revisión 597/95. Emilio Maurer Bretón. 15 de noviembre de 1995. Unanimidad de votos. Ponente: Clementina Ramírez Moguel Goyzueta. Secretario: Gonzalo Carrera Molina.</w:t>
      </w:r>
    </w:p>
    <w:p w14:paraId="291BE76D" w14:textId="77777777" w:rsidR="001122B2" w:rsidRPr="000A13DF" w:rsidRDefault="001122B2" w:rsidP="00EE72BA">
      <w:pPr>
        <w:spacing w:line="360" w:lineRule="auto"/>
        <w:ind w:left="567" w:right="618"/>
        <w:contextualSpacing/>
        <w:jc w:val="both"/>
        <w:rPr>
          <w:rFonts w:ascii="Palatino Linotype" w:eastAsia="Times New Roman" w:hAnsi="Palatino Linotype" w:cs="Arial"/>
          <w:i/>
        </w:rPr>
      </w:pPr>
      <w:r w:rsidRPr="000A13DF">
        <w:rPr>
          <w:rFonts w:ascii="Palatino Linotype" w:eastAsia="Times New Roman" w:hAnsi="Palatino Linotype" w:cs="Arial"/>
          <w:i/>
        </w:rPr>
        <w:t>Amparo directo 7/96. Pedro Vicente López Miro. 21 de febrero de 1996. Unanimidad de votos. Ponente: María Eugenia Estela Martínez Cardiel. Secretario: Enrique Baigts Muñoz.</w:t>
      </w:r>
    </w:p>
    <w:p w14:paraId="2E8A09CE" w14:textId="77777777" w:rsidR="001122B2" w:rsidRPr="000A13DF" w:rsidRDefault="001122B2" w:rsidP="00EE72BA">
      <w:pPr>
        <w:spacing w:line="360" w:lineRule="auto"/>
        <w:contextualSpacing/>
        <w:jc w:val="both"/>
        <w:rPr>
          <w:rFonts w:ascii="Palatino Linotype" w:eastAsia="Times New Roman" w:hAnsi="Palatino Linotype" w:cs="Arial"/>
          <w:lang w:val="es-ES"/>
        </w:rPr>
      </w:pPr>
    </w:p>
    <w:p w14:paraId="00A6F493" w14:textId="77777777" w:rsidR="001122B2" w:rsidRPr="000A13DF" w:rsidRDefault="001122B2" w:rsidP="00EE72BA">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01673C" w14:textId="77777777" w:rsidR="001122B2" w:rsidRPr="000A13DF" w:rsidRDefault="001122B2" w:rsidP="00EE72BA">
      <w:pPr>
        <w:shd w:val="clear" w:color="auto" w:fill="FFFFFF"/>
        <w:spacing w:line="360" w:lineRule="auto"/>
        <w:contextualSpacing/>
        <w:jc w:val="both"/>
        <w:rPr>
          <w:rFonts w:ascii="Palatino Linotype" w:eastAsia="Times New Roman" w:hAnsi="Palatino Linotype" w:cs="Arial"/>
          <w:lang w:eastAsia="es-MX"/>
        </w:rPr>
      </w:pPr>
    </w:p>
    <w:p w14:paraId="70E230FD" w14:textId="77777777" w:rsidR="001122B2" w:rsidRPr="000A13DF" w:rsidRDefault="001122B2" w:rsidP="00EE72BA">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07E52D9" w14:textId="77777777" w:rsidR="001122B2" w:rsidRPr="000A13DF" w:rsidRDefault="001122B2" w:rsidP="00EE72BA">
      <w:pPr>
        <w:shd w:val="clear" w:color="auto" w:fill="FFFFFF"/>
        <w:spacing w:line="360" w:lineRule="auto"/>
        <w:contextualSpacing/>
        <w:jc w:val="both"/>
        <w:rPr>
          <w:rFonts w:ascii="Palatino Linotype" w:eastAsia="Times New Roman" w:hAnsi="Palatino Linotype" w:cs="Arial"/>
          <w:lang w:eastAsia="es-MX"/>
        </w:rPr>
      </w:pPr>
    </w:p>
    <w:p w14:paraId="793D08E6" w14:textId="77777777" w:rsidR="001122B2" w:rsidRPr="000A13DF" w:rsidRDefault="001122B2" w:rsidP="00EE72BA">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58B56FE" w14:textId="77777777" w:rsidR="001122B2" w:rsidRPr="000A13DF" w:rsidRDefault="001122B2" w:rsidP="00EE72BA">
      <w:pPr>
        <w:shd w:val="clear" w:color="auto" w:fill="FFFFFF"/>
        <w:spacing w:after="200" w:line="360" w:lineRule="auto"/>
        <w:contextualSpacing/>
        <w:jc w:val="both"/>
        <w:rPr>
          <w:rFonts w:ascii="Palatino Linotype" w:eastAsia="Times New Roman" w:hAnsi="Palatino Linotype" w:cs="Arial"/>
          <w:lang w:eastAsia="es-MX"/>
        </w:rPr>
      </w:pPr>
    </w:p>
    <w:p w14:paraId="3D95166E" w14:textId="77777777" w:rsidR="001122B2" w:rsidRPr="000A13DF" w:rsidRDefault="001122B2" w:rsidP="00EE72BA">
      <w:pPr>
        <w:numPr>
          <w:ilvl w:val="0"/>
          <w:numId w:val="1"/>
        </w:numPr>
        <w:shd w:val="clear" w:color="auto" w:fill="FFFFFF"/>
        <w:spacing w:after="200" w:line="360" w:lineRule="auto"/>
        <w:contextualSpacing/>
        <w:jc w:val="both"/>
        <w:rPr>
          <w:rFonts w:ascii="Palatino Linotype" w:eastAsia="Times New Roman" w:hAnsi="Palatino Linotype" w:cs="Arial"/>
          <w:lang w:eastAsia="es-MX"/>
        </w:rPr>
      </w:pPr>
      <w:r w:rsidRPr="000A13DF">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0A13DF">
        <w:rPr>
          <w:rFonts w:ascii="Palatino Linotype" w:eastAsia="Times New Roman" w:hAnsi="Palatino Linotype" w:cs="Arial"/>
          <w:lang w:eastAsia="es-MX"/>
        </w:rPr>
        <w:lastRenderedPageBreak/>
        <w:t>nómina general, si bien el dato de sus remuneraciones es eminentemente público, no así todos los datos contenidos en dicho documento que son</w:t>
      </w:r>
      <w:r w:rsidRPr="000A13DF">
        <w:rPr>
          <w:rFonts w:ascii="Palatino Linotype" w:eastAsia="Times New Roman" w:hAnsi="Palatino Linotype" w:cs="Times New Roman"/>
        </w:rPr>
        <w:t xml:space="preserve"> </w:t>
      </w:r>
      <w:r w:rsidRPr="000A13DF">
        <w:rPr>
          <w:rFonts w:ascii="Palatino Linotype" w:eastAsia="Times New Roman" w:hAnsi="Palatino Linotype" w:cs="Arial"/>
          <w:lang w:eastAsia="es-MX"/>
        </w:rPr>
        <w:t>datos personales</w:t>
      </w:r>
      <w:r w:rsidRPr="000A13DF">
        <w:rPr>
          <w:rFonts w:ascii="Palatino Linotype" w:eastAsia="Times New Roman" w:hAnsi="Palatino Linotype" w:cs="Arial"/>
          <w:vertAlign w:val="superscript"/>
          <w:lang w:eastAsia="es-MX"/>
        </w:rPr>
        <w:footnoteReference w:id="10"/>
      </w:r>
      <w:r w:rsidRPr="000A13DF">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0A13D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B8A50BB" w14:textId="77777777" w:rsidR="001122B2" w:rsidRPr="000A13DF" w:rsidRDefault="001122B2" w:rsidP="00EE72BA">
      <w:pPr>
        <w:shd w:val="clear" w:color="auto" w:fill="FFFFFF"/>
        <w:spacing w:after="200" w:line="360" w:lineRule="auto"/>
        <w:contextualSpacing/>
        <w:jc w:val="both"/>
        <w:rPr>
          <w:rFonts w:ascii="Palatino Linotype" w:eastAsia="Calibri" w:hAnsi="Palatino Linotype" w:cs="Arial"/>
          <w:lang w:val="es-ES" w:eastAsia="es-MX"/>
        </w:rPr>
      </w:pPr>
    </w:p>
    <w:p w14:paraId="2447D673" w14:textId="77777777" w:rsidR="001122B2" w:rsidRPr="000A13DF" w:rsidRDefault="001122B2" w:rsidP="00EE72BA">
      <w:pPr>
        <w:numPr>
          <w:ilvl w:val="0"/>
          <w:numId w:val="1"/>
        </w:numPr>
        <w:shd w:val="clear" w:color="auto" w:fill="FFFFFF"/>
        <w:spacing w:after="200" w:line="360" w:lineRule="auto"/>
        <w:contextualSpacing/>
        <w:jc w:val="both"/>
        <w:rPr>
          <w:rFonts w:ascii="Palatino Linotype" w:eastAsia="Calibri" w:hAnsi="Palatino Linotype" w:cs="Arial"/>
          <w:lang w:val="es-ES" w:eastAsia="es-MX"/>
        </w:rPr>
      </w:pPr>
      <w:r w:rsidRPr="000A13D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2FABC50" w14:textId="77777777" w:rsidR="001122B2" w:rsidRPr="000A13DF" w:rsidRDefault="001122B2" w:rsidP="00EE72BA">
      <w:pPr>
        <w:spacing w:line="360" w:lineRule="auto"/>
        <w:contextualSpacing/>
        <w:jc w:val="both"/>
        <w:rPr>
          <w:rFonts w:ascii="Palatino Linotype" w:eastAsia="Times New Roman" w:hAnsi="Palatino Linotype" w:cs="Arial"/>
        </w:rPr>
      </w:pPr>
    </w:p>
    <w:p w14:paraId="18172E4B" w14:textId="77777777" w:rsidR="001122B2" w:rsidRPr="000A13DF" w:rsidRDefault="001122B2" w:rsidP="00EE72BA">
      <w:pPr>
        <w:keepNext/>
        <w:keepLines/>
        <w:numPr>
          <w:ilvl w:val="0"/>
          <w:numId w:val="44"/>
        </w:numPr>
        <w:spacing w:before="40" w:line="360" w:lineRule="auto"/>
        <w:ind w:left="0" w:firstLine="0"/>
        <w:outlineLvl w:val="1"/>
        <w:rPr>
          <w:rFonts w:ascii="Palatino Linotype" w:eastAsia="DengXian Light" w:hAnsi="Palatino Linotype" w:cs="Times New Roman"/>
          <w:b/>
        </w:rPr>
      </w:pPr>
      <w:bookmarkStart w:id="36" w:name="_Toc489270113"/>
      <w:r w:rsidRPr="000A13DF">
        <w:rPr>
          <w:rFonts w:ascii="Palatino Linotype" w:eastAsia="DengXian Light" w:hAnsi="Palatino Linotype" w:cs="Times New Roman"/>
          <w:b/>
        </w:rPr>
        <w:lastRenderedPageBreak/>
        <w:t>Condiciones especiales de la clasificación de la información como confidencial</w:t>
      </w:r>
      <w:bookmarkEnd w:id="36"/>
      <w:r w:rsidRPr="000A13DF">
        <w:rPr>
          <w:rFonts w:ascii="Palatino Linotype" w:eastAsia="DengXian Light" w:hAnsi="Palatino Linotype" w:cs="Times New Roman"/>
          <w:b/>
        </w:rPr>
        <w:t xml:space="preserve"> </w:t>
      </w:r>
    </w:p>
    <w:p w14:paraId="4C57B602" w14:textId="77777777" w:rsidR="001122B2" w:rsidRPr="000A13DF" w:rsidRDefault="001122B2" w:rsidP="00EE72BA">
      <w:pPr>
        <w:numPr>
          <w:ilvl w:val="0"/>
          <w:numId w:val="1"/>
        </w:numPr>
        <w:shd w:val="clear" w:color="auto" w:fill="FFFFFF"/>
        <w:spacing w:beforeAutospacing="1" w:afterAutospacing="1" w:line="360" w:lineRule="auto"/>
        <w:jc w:val="both"/>
        <w:textAlignment w:val="baseline"/>
        <w:rPr>
          <w:rFonts w:ascii="Palatino Linotype" w:eastAsia="Calibri" w:hAnsi="Palatino Linotype" w:cs="Times New Roman"/>
          <w:lang w:val="es-ES_tradnl" w:eastAsia="en-US"/>
        </w:rPr>
      </w:pPr>
      <w:r w:rsidRPr="000A13DF">
        <w:rPr>
          <w:rFonts w:ascii="Palatino Linotype" w:eastAsia="Calibri" w:hAnsi="Palatino Linotype" w:cs="Times New Roman"/>
          <w:lang w:val="es-ES_tradnl" w:eastAsia="en-US"/>
        </w:rPr>
        <w:t xml:space="preserve">Los artículos 148 y 120 de la Ley Estatal y de la Ley General, respectivamente, establecen que aún tratándose de datos personales, se podrán proporcionar, incluso sin solicitar el consentimiento de su titular, cuando dichos datos correspondan a los siguientes supuestos: </w:t>
      </w:r>
    </w:p>
    <w:p w14:paraId="5BEE3E7F" w14:textId="77777777" w:rsidR="001122B2" w:rsidRPr="000A13DF" w:rsidRDefault="001122B2" w:rsidP="00EE72BA">
      <w:pPr>
        <w:spacing w:before="100" w:beforeAutospacing="1" w:after="100" w:afterAutospacing="1" w:line="360" w:lineRule="auto"/>
        <w:ind w:left="567" w:right="567"/>
        <w:jc w:val="both"/>
        <w:rPr>
          <w:rFonts w:ascii="Palatino Linotype" w:eastAsia="Times New Roman" w:hAnsi="Palatino Linotype" w:cs="Times New Roman"/>
          <w:bCs/>
          <w:lang w:eastAsia="es-MX"/>
        </w:rPr>
      </w:pPr>
      <w:r w:rsidRPr="000A13DF">
        <w:rPr>
          <w:rFonts w:ascii="Palatino Linotype" w:eastAsia="Times New Roman" w:hAnsi="Palatino Linotype" w:cs="Times New Roman"/>
          <w:bCs/>
          <w:lang w:eastAsia="es-MX"/>
        </w:rPr>
        <w:t>I.</w:t>
      </w:r>
      <w:r w:rsidRPr="000A13DF">
        <w:rPr>
          <w:rFonts w:ascii="Palatino Linotype" w:eastAsia="Times New Roman" w:hAnsi="Palatino Linotype" w:cs="Times New Roman"/>
          <w:lang w:eastAsia="es-MX"/>
        </w:rPr>
        <w:t xml:space="preserve"> La información se encuentre en registros públicos o fuentes de acceso público;</w:t>
      </w:r>
    </w:p>
    <w:p w14:paraId="5DE06AD2" w14:textId="77777777" w:rsidR="001122B2" w:rsidRPr="000A13DF" w:rsidRDefault="001122B2" w:rsidP="00EE72BA">
      <w:pPr>
        <w:spacing w:before="100" w:beforeAutospacing="1" w:after="100" w:afterAutospacing="1" w:line="360" w:lineRule="auto"/>
        <w:ind w:left="567" w:right="567"/>
        <w:jc w:val="both"/>
        <w:rPr>
          <w:rFonts w:ascii="Palatino Linotype" w:eastAsia="Times New Roman" w:hAnsi="Palatino Linotype" w:cs="Times New Roman"/>
          <w:bCs/>
          <w:lang w:eastAsia="es-MX"/>
        </w:rPr>
      </w:pPr>
      <w:r w:rsidRPr="000A13DF">
        <w:rPr>
          <w:rFonts w:ascii="Palatino Linotype" w:eastAsia="Times New Roman" w:hAnsi="Palatino Linotype" w:cs="Times New Roman"/>
          <w:bCs/>
          <w:lang w:eastAsia="es-MX"/>
        </w:rPr>
        <w:t xml:space="preserve">II. </w:t>
      </w:r>
      <w:r w:rsidRPr="000A13DF">
        <w:rPr>
          <w:rFonts w:ascii="Palatino Linotype" w:eastAsia="Times New Roman" w:hAnsi="Palatino Linotype" w:cs="Times New Roman"/>
          <w:lang w:eastAsia="es-MX"/>
        </w:rPr>
        <w:t>Por Ley tenga el carácter de pública;</w:t>
      </w:r>
    </w:p>
    <w:p w14:paraId="056EEE95" w14:textId="77777777" w:rsidR="001122B2" w:rsidRPr="000A13DF" w:rsidRDefault="001122B2" w:rsidP="00EE72BA">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0A13DF">
        <w:rPr>
          <w:rFonts w:ascii="Palatino Linotype" w:eastAsia="Times New Roman" w:hAnsi="Palatino Linotype" w:cs="Times New Roman"/>
          <w:bCs/>
          <w:lang w:eastAsia="es-MX"/>
        </w:rPr>
        <w:t xml:space="preserve">III. </w:t>
      </w:r>
      <w:r w:rsidRPr="000A13DF">
        <w:rPr>
          <w:rFonts w:ascii="Palatino Linotype" w:eastAsia="Times New Roman" w:hAnsi="Palatino Linotype" w:cs="Times New Roman"/>
          <w:lang w:eastAsia="es-MX"/>
        </w:rPr>
        <w:t xml:space="preserve">Exista una orden judicial; </w:t>
      </w:r>
    </w:p>
    <w:p w14:paraId="0BC37A03" w14:textId="77777777" w:rsidR="001122B2" w:rsidRPr="000A13DF" w:rsidRDefault="001122B2" w:rsidP="00EE72BA">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0A13DF">
        <w:rPr>
          <w:rFonts w:ascii="Palatino Linotype" w:eastAsia="Times New Roman" w:hAnsi="Palatino Linotype" w:cs="Times New Roman"/>
          <w:bCs/>
          <w:lang w:eastAsia="es-MX"/>
        </w:rPr>
        <w:t xml:space="preserve">IV. </w:t>
      </w:r>
      <w:r w:rsidRPr="000A13DF">
        <w:rPr>
          <w:rFonts w:ascii="Palatino Linotype" w:eastAsia="Times New Roman" w:hAnsi="Palatino Linotype" w:cs="Times New Roman"/>
          <w:lang w:eastAsia="es-MX"/>
        </w:rPr>
        <w:t xml:space="preserve">Por razones de seguridad pública, o para proteger los derechos de terceros, se requiera su publicación; o </w:t>
      </w:r>
    </w:p>
    <w:p w14:paraId="652C7B30" w14:textId="77777777" w:rsidR="001122B2" w:rsidRPr="000A13DF" w:rsidRDefault="001122B2" w:rsidP="00EE72BA">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0A13DF">
        <w:rPr>
          <w:rFonts w:ascii="Palatino Linotype" w:eastAsia="Times New Roman" w:hAnsi="Palatino Linotype" w:cs="Times New Roman"/>
          <w:bCs/>
          <w:lang w:eastAsia="es-MX"/>
        </w:rPr>
        <w:t xml:space="preserve">V. </w:t>
      </w:r>
      <w:r w:rsidRPr="000A13DF">
        <w:rPr>
          <w:rFonts w:ascii="Palatino Linotype" w:eastAsia="Times New Roman" w:hAnsi="Palatino Linotype" w:cs="Times New Roman"/>
          <w:lang w:eastAsia="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805643A" w14:textId="670B02FF" w:rsidR="00D54AE8" w:rsidRPr="000A13DF" w:rsidRDefault="00D54AE8"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 xml:space="preserve">Ahora bien, si bien el acuerdo de clasificación se funda y motiva, así también lo es que no efectuó la prueba de daño, la cual consiste en la </w:t>
      </w:r>
      <w:r w:rsidRPr="000A13DF">
        <w:rPr>
          <w:rFonts w:ascii="Palatino Linotype" w:hAnsi="Palatino Linotype" w:cs="Arial"/>
          <w:lang w:val="es-ES"/>
        </w:rPr>
        <w:t xml:space="preserve">justificación racional basada en el interés general, social o en la protección de los particulares, que el acto de autoridad tenga la debida fundamentación y motivación y que de la ponderación </w:t>
      </w:r>
      <w:r w:rsidRPr="000A13DF">
        <w:rPr>
          <w:rFonts w:ascii="Palatino Linotype" w:hAnsi="Palatino Linotype" w:cs="Arial"/>
          <w:lang w:val="es-ES"/>
        </w:rPr>
        <w:lastRenderedPageBreak/>
        <w:t>realizada se determine que predomina el interés general por proteger la información que el derecho particular de conocerla.</w:t>
      </w:r>
    </w:p>
    <w:p w14:paraId="78C57C46" w14:textId="77777777" w:rsidR="000A13DF" w:rsidRPr="000A13DF" w:rsidRDefault="000A13DF" w:rsidP="000A13DF">
      <w:pPr>
        <w:pStyle w:val="Prrafodelista"/>
        <w:spacing w:line="360" w:lineRule="auto"/>
        <w:ind w:left="0"/>
        <w:jc w:val="both"/>
        <w:rPr>
          <w:rFonts w:ascii="Palatino Linotype" w:hAnsi="Palatino Linotype" w:cs="Arial"/>
        </w:rPr>
      </w:pPr>
    </w:p>
    <w:p w14:paraId="009AFEFE" w14:textId="3F85BD2F" w:rsidR="00D54AE8" w:rsidRPr="000A13DF" w:rsidRDefault="00D54AE8" w:rsidP="00EE72BA">
      <w:pPr>
        <w:pStyle w:val="Prrafodelista"/>
        <w:numPr>
          <w:ilvl w:val="0"/>
          <w:numId w:val="1"/>
        </w:numPr>
        <w:spacing w:line="360" w:lineRule="auto"/>
        <w:jc w:val="both"/>
        <w:rPr>
          <w:rFonts w:ascii="Palatino Linotype" w:hAnsi="Palatino Linotype" w:cs="Arial"/>
        </w:rPr>
      </w:pPr>
      <w:r w:rsidRPr="000A13DF">
        <w:rPr>
          <w:rFonts w:ascii="Palatino Linotype" w:hAnsi="Palatino Linotype" w:cs="Arial"/>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C4D958D" w14:textId="77777777" w:rsidR="003E3CB6" w:rsidRPr="000A13DF" w:rsidRDefault="003E3CB6" w:rsidP="00EE72BA">
      <w:pPr>
        <w:spacing w:line="360" w:lineRule="auto"/>
        <w:rPr>
          <w:rFonts w:ascii="Palatino Linotype" w:hAnsi="Palatino Linotype" w:cs="Arial"/>
        </w:rPr>
      </w:pPr>
    </w:p>
    <w:p w14:paraId="2BD9A84D" w14:textId="77777777" w:rsidR="009D4370" w:rsidRPr="000A13DF" w:rsidRDefault="009D4370" w:rsidP="009D4370">
      <w:pPr>
        <w:pStyle w:val="Prrafodelista"/>
        <w:numPr>
          <w:ilvl w:val="0"/>
          <w:numId w:val="1"/>
        </w:numPr>
        <w:tabs>
          <w:tab w:val="left" w:pos="567"/>
        </w:tabs>
        <w:spacing w:line="360" w:lineRule="auto"/>
        <w:jc w:val="both"/>
        <w:rPr>
          <w:rFonts w:ascii="Palatino Linotype" w:eastAsia="Calibri" w:hAnsi="Palatino Linotype" w:cs="Arial"/>
        </w:rPr>
      </w:pPr>
      <w:r w:rsidRPr="000A13DF">
        <w:rPr>
          <w:rFonts w:ascii="Palatino Linotype" w:eastAsia="Calibri" w:hAnsi="Palatino Linotype" w:cs="Arial"/>
        </w:rPr>
        <w:t>Por lo anterior, lo conducente es MODIFICAR  la respuesta, por haber resultado fundados los motivos o razones de inconformidad hechos valer por el particular.</w:t>
      </w:r>
    </w:p>
    <w:p w14:paraId="08B77E56" w14:textId="77777777" w:rsidR="00D54AE8" w:rsidRPr="000A13DF" w:rsidRDefault="00D54AE8" w:rsidP="00EE72BA">
      <w:pPr>
        <w:pStyle w:val="Prrafodelista"/>
        <w:spacing w:line="360" w:lineRule="auto"/>
        <w:ind w:left="0"/>
        <w:jc w:val="both"/>
        <w:rPr>
          <w:rFonts w:ascii="Palatino Linotype" w:hAnsi="Palatino Linotype" w:cs="Arial"/>
        </w:rPr>
      </w:pPr>
    </w:p>
    <w:p w14:paraId="7D227E57" w14:textId="2C2EC806" w:rsidR="001122B2" w:rsidRPr="000A13DF" w:rsidRDefault="009B77DE" w:rsidP="00EE72BA">
      <w:pPr>
        <w:pStyle w:val="Prrafodelista"/>
        <w:numPr>
          <w:ilvl w:val="0"/>
          <w:numId w:val="1"/>
        </w:numPr>
        <w:spacing w:line="360" w:lineRule="auto"/>
        <w:jc w:val="both"/>
        <w:rPr>
          <w:rFonts w:ascii="Palatino Linotype" w:hAnsi="Palatino Linotype" w:cs="Arial"/>
        </w:rPr>
      </w:pPr>
      <w:r w:rsidRPr="000A13DF">
        <w:rPr>
          <w:rFonts w:ascii="Palatino Linotype" w:eastAsia="Times New Roman" w:hAnsi="Palatino Linotype" w:cs="Arial"/>
          <w:color w:val="222222"/>
          <w:lang w:eastAsia="es-MX"/>
        </w:rPr>
        <w:t xml:space="preserve">Por lo anteriormente expuesto y fundado, este </w:t>
      </w:r>
      <w:r w:rsidRPr="000A13DF">
        <w:rPr>
          <w:rFonts w:ascii="Palatino Linotype" w:eastAsia="Times New Roman" w:hAnsi="Palatino Linotype" w:cs="Arial"/>
          <w:b/>
          <w:bCs/>
          <w:color w:val="222222"/>
          <w:lang w:eastAsia="es-MX"/>
        </w:rPr>
        <w:t>ÓRGANO GARANTE</w:t>
      </w:r>
      <w:r w:rsidRPr="000A13DF">
        <w:rPr>
          <w:rFonts w:ascii="Palatino Linotype" w:eastAsia="Times New Roman" w:hAnsi="Palatino Linotype" w:cs="Arial"/>
          <w:color w:val="222222"/>
          <w:lang w:eastAsia="es-MX"/>
        </w:rPr>
        <w:t xml:space="preserve"> emite los siguientes:</w:t>
      </w:r>
    </w:p>
    <w:p w14:paraId="18C7D92B" w14:textId="77777777" w:rsidR="009959DB" w:rsidRPr="000A13DF" w:rsidRDefault="009959DB" w:rsidP="00EE72BA">
      <w:pPr>
        <w:pStyle w:val="Ttulo1"/>
        <w:spacing w:line="360" w:lineRule="auto"/>
        <w:jc w:val="center"/>
        <w:rPr>
          <w:b/>
          <w:color w:val="000000" w:themeColor="text1"/>
          <w:szCs w:val="24"/>
        </w:rPr>
      </w:pPr>
      <w:bookmarkStart w:id="37" w:name="_Toc495427547"/>
      <w:bookmarkStart w:id="38" w:name="_Toc497905366"/>
      <w:bookmarkStart w:id="39" w:name="_Toc87456497"/>
      <w:r w:rsidRPr="000A13DF">
        <w:rPr>
          <w:b/>
          <w:color w:val="000000" w:themeColor="text1"/>
          <w:szCs w:val="24"/>
        </w:rPr>
        <w:t>R E S O L U T I V O S</w:t>
      </w:r>
      <w:bookmarkEnd w:id="23"/>
      <w:bookmarkEnd w:id="24"/>
      <w:bookmarkEnd w:id="37"/>
      <w:bookmarkEnd w:id="38"/>
      <w:bookmarkEnd w:id="39"/>
    </w:p>
    <w:p w14:paraId="72383651" w14:textId="48630A61" w:rsidR="00643223" w:rsidRPr="000A13DF" w:rsidRDefault="00643223" w:rsidP="00EE72BA">
      <w:pPr>
        <w:spacing w:line="360" w:lineRule="auto"/>
        <w:jc w:val="both"/>
        <w:rPr>
          <w:rFonts w:ascii="Palatino Linotype" w:eastAsia="Times New Roman" w:hAnsi="Palatino Linotype" w:cs="Times New Roman"/>
          <w:b/>
          <w:bCs/>
          <w:color w:val="FF0000"/>
        </w:rPr>
      </w:pPr>
      <w:r w:rsidRPr="000A13DF">
        <w:rPr>
          <w:rFonts w:ascii="Palatino Linotype" w:eastAsia="Times New Roman" w:hAnsi="Palatino Linotype" w:cs="Arial"/>
          <w:b/>
          <w:lang w:val="es-ES_tradnl"/>
        </w:rPr>
        <w:t xml:space="preserve">PRIMERO. </w:t>
      </w:r>
      <w:r w:rsidRPr="000A13DF">
        <w:rPr>
          <w:rFonts w:ascii="Palatino Linotype" w:eastAsia="Times New Roman" w:hAnsi="Palatino Linotype" w:cs="Arial"/>
          <w:lang w:val="es-ES_tradnl"/>
        </w:rPr>
        <w:t>Resultan fundadas las</w:t>
      </w:r>
      <w:r w:rsidRPr="000A13DF">
        <w:rPr>
          <w:rFonts w:ascii="Palatino Linotype" w:eastAsia="Times New Roman" w:hAnsi="Palatino Linotype" w:cs="Arial"/>
          <w:b/>
          <w:lang w:val="es-ES_tradnl"/>
        </w:rPr>
        <w:t xml:space="preserve"> </w:t>
      </w:r>
      <w:r w:rsidRPr="000A13DF">
        <w:rPr>
          <w:rFonts w:ascii="Palatino Linotype" w:eastAsia="Times New Roman" w:hAnsi="Palatino Linotype" w:cs="Arial"/>
          <w:lang w:val="es-ES"/>
        </w:rPr>
        <w:t>razones o motivos de inconformidad hechos valer en el recurso de revisión</w:t>
      </w:r>
      <w:r w:rsidRPr="000A13DF">
        <w:rPr>
          <w:rFonts w:ascii="Palatino Linotype" w:eastAsia="Times New Roman" w:hAnsi="Palatino Linotype" w:cs="Times New Roman"/>
          <w:b/>
          <w:bCs/>
          <w:color w:val="FF0000"/>
        </w:rPr>
        <w:t> </w:t>
      </w:r>
      <w:r w:rsidR="0062200F" w:rsidRPr="000A13DF">
        <w:rPr>
          <w:rFonts w:ascii="Palatino Linotype" w:hAnsi="Palatino Linotype"/>
          <w:b/>
        </w:rPr>
        <w:t>03573/INFOEM/IP/RR/2022</w:t>
      </w:r>
      <w:r w:rsidR="0062200F" w:rsidRPr="000A13DF">
        <w:rPr>
          <w:rFonts w:ascii="Palatino Linotype" w:eastAsia="Times New Roman" w:hAnsi="Palatino Linotype" w:cs="Times New Roman"/>
          <w:b/>
          <w:bCs/>
          <w:color w:val="000000" w:themeColor="text1"/>
        </w:rPr>
        <w:t xml:space="preserve"> </w:t>
      </w:r>
      <w:r w:rsidRPr="000A13DF">
        <w:rPr>
          <w:rFonts w:ascii="Palatino Linotype" w:eastAsia="Times New Roman" w:hAnsi="Palatino Linotype" w:cs="Arial"/>
          <w:bCs/>
          <w:lang w:val="es-ES_tradnl" w:eastAsia="es-MX"/>
        </w:rPr>
        <w:t xml:space="preserve">en términos de los </w:t>
      </w:r>
      <w:r w:rsidRPr="000A13DF">
        <w:rPr>
          <w:rFonts w:ascii="Palatino Linotype" w:eastAsia="Times New Roman" w:hAnsi="Palatino Linotype" w:cs="Arial"/>
          <w:b/>
          <w:bCs/>
          <w:lang w:val="es-ES_tradnl" w:eastAsia="es-MX"/>
        </w:rPr>
        <w:t xml:space="preserve">Considerandos CUARTO </w:t>
      </w:r>
      <w:r w:rsidRPr="000A13DF">
        <w:rPr>
          <w:rFonts w:ascii="Palatino Linotype" w:eastAsia="Times New Roman" w:hAnsi="Palatino Linotype" w:cs="Arial"/>
          <w:bCs/>
          <w:lang w:val="es-ES_tradnl" w:eastAsia="es-MX"/>
        </w:rPr>
        <w:t>de la presente resolución</w:t>
      </w:r>
    </w:p>
    <w:p w14:paraId="7188C778" w14:textId="77777777" w:rsidR="00643223" w:rsidRPr="000A13DF" w:rsidRDefault="00643223" w:rsidP="00EE72BA">
      <w:pPr>
        <w:spacing w:line="360" w:lineRule="auto"/>
        <w:jc w:val="both"/>
        <w:rPr>
          <w:rFonts w:ascii="Palatino Linotype" w:eastAsia="MS Mincho" w:hAnsi="Palatino Linotype" w:cs="Times New Roman"/>
          <w:lang w:val="es-ES_tradnl"/>
        </w:rPr>
      </w:pPr>
    </w:p>
    <w:p w14:paraId="27594526" w14:textId="219ECE3D" w:rsidR="00643223" w:rsidRPr="000A13DF" w:rsidRDefault="00643223" w:rsidP="00EE72BA">
      <w:pPr>
        <w:spacing w:line="360" w:lineRule="auto"/>
        <w:jc w:val="both"/>
        <w:rPr>
          <w:rFonts w:ascii="Palatino Linotype" w:eastAsia="Calibri" w:hAnsi="Palatino Linotype" w:cs="Arial"/>
          <w:lang w:val="es-ES"/>
        </w:rPr>
      </w:pPr>
      <w:r w:rsidRPr="000A13DF">
        <w:rPr>
          <w:rFonts w:ascii="Palatino Linotype" w:eastAsia="Calibri" w:hAnsi="Palatino Linotype" w:cs="Arial"/>
          <w:b/>
          <w:bCs/>
          <w:lang w:val="es-ES"/>
        </w:rPr>
        <w:t xml:space="preserve">SEGUNDO. </w:t>
      </w:r>
      <w:r w:rsidRPr="000A13DF">
        <w:rPr>
          <w:rFonts w:ascii="Palatino Linotype" w:eastAsia="Calibri" w:hAnsi="Palatino Linotype" w:cs="Arial"/>
          <w:lang w:val="es-ES"/>
        </w:rPr>
        <w:t xml:space="preserve">Se </w:t>
      </w:r>
      <w:r w:rsidRPr="000A13DF">
        <w:rPr>
          <w:rFonts w:ascii="Palatino Linotype" w:eastAsia="Calibri" w:hAnsi="Palatino Linotype" w:cs="Arial"/>
          <w:b/>
          <w:lang w:val="es-ES"/>
        </w:rPr>
        <w:t xml:space="preserve">MODIFICA </w:t>
      </w:r>
      <w:r w:rsidRPr="000A13DF">
        <w:rPr>
          <w:rFonts w:ascii="Palatino Linotype" w:eastAsia="Calibri" w:hAnsi="Palatino Linotype" w:cs="Arial"/>
          <w:lang w:val="es-ES"/>
        </w:rPr>
        <w:t>la respuesta emitida por el</w:t>
      </w:r>
      <w:r w:rsidR="0062200F" w:rsidRPr="000A13DF">
        <w:rPr>
          <w:rFonts w:ascii="Palatino Linotype" w:hAnsi="Palatino Linotype"/>
          <w:b/>
        </w:rPr>
        <w:t xml:space="preserve"> Ayuntamiento de Cuautitlán Izcalli</w:t>
      </w:r>
      <w:r w:rsidRPr="000A13DF">
        <w:rPr>
          <w:rFonts w:ascii="Palatino Linotype" w:eastAsia="Calibri" w:hAnsi="Palatino Linotype" w:cs="Arial"/>
          <w:b/>
          <w:lang w:val="es-ES"/>
        </w:rPr>
        <w:t xml:space="preserve"> </w:t>
      </w:r>
      <w:r w:rsidRPr="000A13DF">
        <w:rPr>
          <w:rFonts w:ascii="Palatino Linotype" w:eastAsia="Calibri" w:hAnsi="Palatino Linotype" w:cs="Arial"/>
          <w:lang w:val="es-ES"/>
        </w:rPr>
        <w:t>y se</w:t>
      </w:r>
      <w:r w:rsidRPr="000A13DF">
        <w:rPr>
          <w:rFonts w:ascii="Palatino Linotype" w:eastAsia="Calibri" w:hAnsi="Palatino Linotype" w:cs="Arial"/>
          <w:b/>
          <w:lang w:val="es-ES"/>
        </w:rPr>
        <w:t xml:space="preserve"> ORDENA </w:t>
      </w:r>
      <w:r w:rsidR="00D80F3D" w:rsidRPr="000A13DF">
        <w:rPr>
          <w:rFonts w:ascii="Palatino Linotype" w:eastAsia="Calibri" w:hAnsi="Palatino Linotype" w:cs="Arial"/>
          <w:lang w:val="es-ES"/>
        </w:rPr>
        <w:t xml:space="preserve">entregar </w:t>
      </w:r>
      <w:r w:rsidR="00D80F3D" w:rsidRPr="000A13DF">
        <w:rPr>
          <w:rFonts w:ascii="Palatino Linotype" w:eastAsia="Palatino Linotype" w:hAnsi="Palatino Linotype" w:cs="Palatino Linotype"/>
        </w:rPr>
        <w:t xml:space="preserve">vía el Sistema de Acceso a la Información Mexiquense </w:t>
      </w:r>
      <w:r w:rsidR="003E3CB6" w:rsidRPr="000A13DF">
        <w:rPr>
          <w:rFonts w:ascii="Palatino Linotype" w:eastAsia="Palatino Linotype" w:hAnsi="Palatino Linotype" w:cs="Palatino Linotype"/>
          <w:b/>
        </w:rPr>
        <w:t>(SAIMEX).</w:t>
      </w:r>
    </w:p>
    <w:p w14:paraId="656EB08B" w14:textId="77777777" w:rsidR="007A7C82" w:rsidRPr="000A13DF" w:rsidRDefault="007A7C82" w:rsidP="00EE72BA">
      <w:pPr>
        <w:spacing w:line="360" w:lineRule="auto"/>
        <w:jc w:val="both"/>
        <w:rPr>
          <w:rFonts w:ascii="Palatino Linotype" w:eastAsia="Calibri" w:hAnsi="Palatino Linotype" w:cs="Arial"/>
          <w:lang w:val="es-ES"/>
        </w:rPr>
      </w:pPr>
    </w:p>
    <w:p w14:paraId="755F3EBB" w14:textId="1F7C3FD4" w:rsidR="00C6745E" w:rsidRPr="000A13DF" w:rsidRDefault="00643223" w:rsidP="00EE72BA">
      <w:pPr>
        <w:pStyle w:val="Prrafodelista"/>
        <w:numPr>
          <w:ilvl w:val="0"/>
          <w:numId w:val="46"/>
        </w:numPr>
        <w:spacing w:line="360" w:lineRule="auto"/>
        <w:ind w:left="567" w:right="900" w:firstLine="0"/>
        <w:jc w:val="both"/>
        <w:rPr>
          <w:rFonts w:ascii="Palatino Linotype" w:eastAsia="Times New Roman" w:hAnsi="Palatino Linotype" w:cs="Arial"/>
          <w:b/>
        </w:rPr>
      </w:pPr>
      <w:r w:rsidRPr="000A13DF">
        <w:rPr>
          <w:rFonts w:ascii="Palatino Linotype" w:eastAsia="Times New Roman" w:hAnsi="Palatino Linotype" w:cs="Arial"/>
          <w:b/>
        </w:rPr>
        <w:t xml:space="preserve">Acuerdo del Comité de Transparencia en Términos de la Ley de Transparencia y Acceso a la Información Pública del Estado de México y Municipios, en el que funde y motive la clasificación </w:t>
      </w:r>
      <w:r w:rsidR="003E3CB6" w:rsidRPr="000A13DF">
        <w:rPr>
          <w:rFonts w:ascii="Palatino Linotype" w:eastAsia="Times New Roman" w:hAnsi="Palatino Linotype" w:cs="Arial"/>
          <w:b/>
        </w:rPr>
        <w:t>confidencial</w:t>
      </w:r>
      <w:r w:rsidR="003E3CB6" w:rsidRPr="000A13DF">
        <w:rPr>
          <w:rFonts w:ascii="Palatino Linotype" w:eastAsia="Times New Roman" w:hAnsi="Palatino Linotype" w:cs="Arial"/>
        </w:rPr>
        <w:t xml:space="preserve"> </w:t>
      </w:r>
      <w:r w:rsidRPr="000A13DF">
        <w:rPr>
          <w:rFonts w:ascii="Palatino Linotype" w:eastAsia="Times New Roman" w:hAnsi="Palatino Linotype" w:cs="Arial"/>
          <w:b/>
        </w:rPr>
        <w:t xml:space="preserve">de la información. </w:t>
      </w:r>
    </w:p>
    <w:p w14:paraId="6074187E" w14:textId="77777777" w:rsidR="007A7C82" w:rsidRPr="000A13DF" w:rsidRDefault="007A7C82" w:rsidP="00EE72BA">
      <w:pPr>
        <w:shd w:val="clear" w:color="auto" w:fill="FFFFFF"/>
        <w:spacing w:before="240" w:line="360" w:lineRule="auto"/>
        <w:ind w:right="49"/>
        <w:jc w:val="both"/>
        <w:rPr>
          <w:rFonts w:ascii="Palatino Linotype" w:hAnsi="Palatino Linotype" w:cs="Arial"/>
          <w:b/>
          <w:bCs/>
          <w:color w:val="222222"/>
          <w:lang w:val="es-ES_tradnl" w:eastAsia="es-MX"/>
        </w:rPr>
      </w:pPr>
      <w:r w:rsidRPr="000A13DF">
        <w:rPr>
          <w:rFonts w:ascii="Palatino Linotype" w:hAnsi="Palatino Linotype" w:cs="Arial"/>
          <w:b/>
          <w:bCs/>
          <w:color w:val="222222"/>
          <w:lang w:val="es-ES_tradnl" w:eastAsia="es-MX"/>
        </w:rPr>
        <w:t xml:space="preserve">TERCERO. </w:t>
      </w:r>
      <w:r w:rsidRPr="000A13DF">
        <w:rPr>
          <w:rFonts w:ascii="Palatino Linotype" w:hAnsi="Palatino Linotype" w:cs="Arial"/>
          <w:b/>
          <w:color w:val="222222"/>
          <w:lang w:val="es-ES_tradnl" w:eastAsia="es-MX"/>
        </w:rPr>
        <w:t>Notifíquese</w:t>
      </w:r>
      <w:r w:rsidRPr="000A13DF">
        <w:rPr>
          <w:rFonts w:ascii="Palatino Linotype" w:hAnsi="Palatino Linotype" w:cs="Arial"/>
          <w:b/>
          <w:bCs/>
          <w:color w:val="222222"/>
          <w:lang w:val="es-ES_tradnl" w:eastAsia="es-MX"/>
        </w:rPr>
        <w:t xml:space="preserve"> </w:t>
      </w:r>
      <w:r w:rsidRPr="000A13DF">
        <w:rPr>
          <w:rFonts w:ascii="Palatino Linotype" w:hAnsi="Palatino Linotype" w:cs="Arial"/>
          <w:color w:val="222222"/>
          <w:lang w:val="es-ES_tradnl" w:eastAsia="es-MX"/>
        </w:rPr>
        <w:t xml:space="preserve">al Titular de la Unidad de Transparencia del </w:t>
      </w:r>
      <w:r w:rsidRPr="000A13DF">
        <w:rPr>
          <w:rFonts w:ascii="Palatino Linotype" w:hAnsi="Palatino Linotype" w:cs="Arial"/>
          <w:b/>
          <w:bCs/>
          <w:color w:val="222222"/>
          <w:lang w:val="es-ES_tradnl" w:eastAsia="es-MX"/>
        </w:rPr>
        <w:t>SUJETO OBLIGADO la presente resolución vía Sistema de Acceso a la Información Mexiquense (SAIMEX)</w:t>
      </w:r>
      <w:r w:rsidRPr="000A13DF">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60DC7842" w14:textId="77777777" w:rsidR="007A7C82" w:rsidRPr="000A13DF" w:rsidRDefault="007A7C82" w:rsidP="00EE72BA">
      <w:pPr>
        <w:shd w:val="clear" w:color="auto" w:fill="FFFFFF"/>
        <w:spacing w:before="240" w:line="360" w:lineRule="auto"/>
        <w:ind w:right="49"/>
        <w:jc w:val="both"/>
        <w:rPr>
          <w:rFonts w:ascii="Palatino Linotype" w:hAnsi="Palatino Linotype" w:cs="Arial"/>
          <w:b/>
          <w:bCs/>
          <w:color w:val="222222"/>
          <w:lang w:val="es-ES_tradnl" w:eastAsia="es-MX"/>
        </w:rPr>
      </w:pPr>
    </w:p>
    <w:p w14:paraId="04FE57B1" w14:textId="77777777" w:rsidR="007A7C82" w:rsidRPr="000A13DF" w:rsidRDefault="007A7C82" w:rsidP="00EE72BA">
      <w:pPr>
        <w:shd w:val="clear" w:color="auto" w:fill="FFFFFF"/>
        <w:spacing w:line="360" w:lineRule="auto"/>
        <w:jc w:val="both"/>
        <w:rPr>
          <w:rFonts w:ascii="Palatino Linotype" w:eastAsia="MS Mincho" w:hAnsi="Palatino Linotype"/>
          <w:color w:val="000000"/>
          <w:shd w:val="clear" w:color="auto" w:fill="FFFFFF"/>
          <w:lang w:val="es-ES_tradnl"/>
        </w:rPr>
      </w:pPr>
      <w:r w:rsidRPr="000A13DF">
        <w:rPr>
          <w:rFonts w:ascii="Palatino Linotype" w:eastAsia="Calibri" w:hAnsi="Palatino Linotype" w:cs="Arial"/>
          <w:b/>
          <w:bCs/>
          <w:color w:val="000000"/>
          <w:lang w:eastAsia="en-US"/>
        </w:rPr>
        <w:t>CUARTO.</w:t>
      </w:r>
      <w:r w:rsidRPr="000A13DF">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76E15E" w14:textId="77777777" w:rsidR="007A7C82" w:rsidRPr="000A13DF" w:rsidRDefault="007A7C82" w:rsidP="00EE72BA">
      <w:pPr>
        <w:spacing w:line="360" w:lineRule="auto"/>
        <w:rPr>
          <w:rFonts w:ascii="Palatino Linotype" w:eastAsia="MS Mincho" w:hAnsi="Palatino Linotype"/>
        </w:rPr>
      </w:pPr>
    </w:p>
    <w:p w14:paraId="67B0923C" w14:textId="77777777" w:rsidR="007A7C82" w:rsidRPr="000A13DF" w:rsidRDefault="007A7C82" w:rsidP="00EE72BA">
      <w:pPr>
        <w:shd w:val="clear" w:color="auto" w:fill="FFFFFF"/>
        <w:spacing w:line="360" w:lineRule="auto"/>
        <w:jc w:val="both"/>
        <w:rPr>
          <w:rFonts w:ascii="Palatino Linotype" w:hAnsi="Palatino Linotype" w:cs="Arial"/>
          <w:b/>
          <w:lang w:val="es-ES_tradnl"/>
        </w:rPr>
      </w:pPr>
      <w:r w:rsidRPr="000A13DF">
        <w:rPr>
          <w:rFonts w:ascii="Palatino Linotype" w:hAnsi="Palatino Linotype" w:cs="Arial"/>
          <w:b/>
          <w:lang w:val="es-ES_tradnl"/>
        </w:rPr>
        <w:t xml:space="preserve">QUINTO. </w:t>
      </w:r>
      <w:r w:rsidRPr="000A13DF">
        <w:rPr>
          <w:rFonts w:ascii="Palatino Linotype" w:hAnsi="Palatino Linotype"/>
          <w:b/>
          <w:bCs/>
          <w:color w:val="222222"/>
        </w:rPr>
        <w:t xml:space="preserve">Notifíquese </w:t>
      </w:r>
      <w:r w:rsidRPr="000A13DF">
        <w:rPr>
          <w:rFonts w:ascii="Palatino Linotype" w:hAnsi="Palatino Linotype"/>
          <w:bCs/>
          <w:color w:val="222222"/>
        </w:rPr>
        <w:t xml:space="preserve">al </w:t>
      </w:r>
      <w:r w:rsidRPr="000A13DF">
        <w:rPr>
          <w:rFonts w:ascii="Palatino Linotype" w:hAnsi="Palatino Linotype"/>
          <w:b/>
          <w:bCs/>
          <w:color w:val="222222"/>
        </w:rPr>
        <w:t>RECURRENTE</w:t>
      </w:r>
      <w:r w:rsidRPr="000A13DF">
        <w:rPr>
          <w:rFonts w:ascii="Palatino Linotype" w:hAnsi="Palatino Linotype"/>
          <w:bCs/>
          <w:color w:val="222222"/>
        </w:rPr>
        <w:t xml:space="preserve"> </w:t>
      </w:r>
      <w:r w:rsidRPr="000A13DF">
        <w:rPr>
          <w:rFonts w:ascii="Palatino Linotype" w:hAnsi="Palatino Linotype"/>
          <w:lang w:val="es-ES_tradnl"/>
        </w:rPr>
        <w:t xml:space="preserve">la presente resolución vía </w:t>
      </w:r>
      <w:r w:rsidRPr="000A13DF">
        <w:rPr>
          <w:rFonts w:ascii="Palatino Linotype" w:hAnsi="Palatino Linotype" w:cs="Arial"/>
          <w:lang w:val="es-ES_tradnl"/>
        </w:rPr>
        <w:t xml:space="preserve">Sistema de Acceso a la Información Mexiquense </w:t>
      </w:r>
      <w:r w:rsidRPr="000A13DF">
        <w:rPr>
          <w:rFonts w:ascii="Palatino Linotype" w:hAnsi="Palatino Linotype" w:cs="Arial"/>
          <w:b/>
          <w:lang w:val="es-ES_tradnl"/>
        </w:rPr>
        <w:t>(SAIMEX).</w:t>
      </w:r>
    </w:p>
    <w:p w14:paraId="7BE705BF" w14:textId="77777777" w:rsidR="007A7C82" w:rsidRPr="000A13DF" w:rsidRDefault="007A7C82" w:rsidP="00EE72BA">
      <w:pPr>
        <w:shd w:val="clear" w:color="auto" w:fill="FFFFFF"/>
        <w:spacing w:line="360" w:lineRule="auto"/>
        <w:jc w:val="both"/>
        <w:rPr>
          <w:rFonts w:ascii="Palatino Linotype" w:hAnsi="Palatino Linotype" w:cs="Arial"/>
          <w:b/>
          <w:lang w:val="es-ES_tradnl"/>
        </w:rPr>
      </w:pPr>
    </w:p>
    <w:p w14:paraId="68D47D8D" w14:textId="77777777" w:rsidR="007A7C82" w:rsidRPr="000A13DF" w:rsidRDefault="007A7C82" w:rsidP="00EE72BA">
      <w:pPr>
        <w:shd w:val="clear" w:color="auto" w:fill="FFFFFF"/>
        <w:spacing w:line="360" w:lineRule="auto"/>
        <w:jc w:val="both"/>
        <w:rPr>
          <w:rFonts w:ascii="Palatino Linotype" w:hAnsi="Palatino Linotype"/>
          <w:color w:val="000000" w:themeColor="text1"/>
          <w:lang w:val="es-ES_tradnl"/>
        </w:rPr>
      </w:pPr>
      <w:r w:rsidRPr="000A13DF">
        <w:rPr>
          <w:rFonts w:ascii="Palatino Linotype" w:hAnsi="Palatino Linotype" w:cs="Arial"/>
          <w:b/>
          <w:lang w:val="es-ES_tradnl"/>
        </w:rPr>
        <w:t>SEXTO.</w:t>
      </w:r>
      <w:r w:rsidRPr="000A13DF">
        <w:rPr>
          <w:rFonts w:ascii="Palatino Linotype" w:hAnsi="Palatino Linotype"/>
        </w:rPr>
        <w:t xml:space="preserve">Se hace del conocimiento del </w:t>
      </w:r>
      <w:r w:rsidRPr="000A13DF">
        <w:rPr>
          <w:rFonts w:ascii="Palatino Linotype" w:hAnsi="Palatino Linotype"/>
          <w:b/>
        </w:rPr>
        <w:t>RECURRENTE</w:t>
      </w:r>
      <w:r w:rsidRPr="000A13DF">
        <w:rPr>
          <w:rFonts w:ascii="Palatino Linotype" w:hAnsi="Palatino Linotype"/>
        </w:rPr>
        <w:t xml:space="preserve"> que, de conformidad con lo establecido en el artículo 196 de la Ley de Transparencia y Acceso a la Información Pública del Estado de México y Municipios, y en lo dispuesto en los artículos 159 y </w:t>
      </w:r>
      <w:r w:rsidRPr="000A13DF">
        <w:rPr>
          <w:rFonts w:ascii="Palatino Linotype" w:hAnsi="Palatino Linotype"/>
        </w:rPr>
        <w:lastRenderedPageBreak/>
        <w:t>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1FECAAB3" w14:textId="77777777" w:rsidR="00643223" w:rsidRPr="000A13DF" w:rsidRDefault="00643223" w:rsidP="00EE72BA">
      <w:pPr>
        <w:spacing w:line="360" w:lineRule="auto"/>
        <w:jc w:val="both"/>
        <w:rPr>
          <w:rFonts w:ascii="Palatino Linotype" w:eastAsia="MS Mincho" w:hAnsi="Palatino Linotype" w:cs="Times New Roman"/>
          <w:lang w:val="es-ES"/>
        </w:rPr>
      </w:pPr>
    </w:p>
    <w:p w14:paraId="7CFA1DB9" w14:textId="77777777" w:rsidR="00A0750D" w:rsidRDefault="00A0750D" w:rsidP="00A0750D">
      <w:pPr>
        <w:spacing w:before="240" w:after="240" w:line="360" w:lineRule="auto"/>
        <w:jc w:val="both"/>
        <w:rPr>
          <w:rFonts w:ascii="Palatino Linotype" w:hAnsi="Palatino Linotype"/>
        </w:rPr>
      </w:pPr>
      <w:r w:rsidRPr="000A13D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(25) DE ENERO DE DOS MIL VEINTITRÉS, ANTE EL SECRETARIO TÉCNICO DEL PLENO ALEXIS TAPIA RAMÍREZ.</w:t>
      </w:r>
      <w:bookmarkStart w:id="40" w:name="_GoBack"/>
      <w:bookmarkEnd w:id="40"/>
      <w:r w:rsidRPr="00624AAD">
        <w:rPr>
          <w:rFonts w:ascii="Palatino Linotype" w:hAnsi="Palatino Linotype"/>
        </w:rPr>
        <w:t xml:space="preserve"> </w:t>
      </w:r>
    </w:p>
    <w:p w14:paraId="7EFA4F21" w14:textId="77777777" w:rsidR="00895335" w:rsidRPr="00EE72BA" w:rsidRDefault="00895335" w:rsidP="00EE72BA">
      <w:pPr>
        <w:spacing w:line="360" w:lineRule="auto"/>
        <w:rPr>
          <w:rFonts w:ascii="Palatino Linotype" w:hAnsi="Palatino Linotype" w:cs="Arial"/>
          <w:color w:val="000000" w:themeColor="text1"/>
        </w:rPr>
      </w:pPr>
      <w:r w:rsidRPr="00EE72BA">
        <w:rPr>
          <w:rFonts w:ascii="Palatino Linotype" w:hAnsi="Palatino Linotype" w:cs="Arial"/>
          <w:color w:val="000000" w:themeColor="text1"/>
        </w:rPr>
        <w:br w:type="page"/>
      </w:r>
    </w:p>
    <w:sectPr w:rsidR="00895335" w:rsidRPr="00EE72BA"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028B0" w14:textId="77777777" w:rsidR="001965D3" w:rsidRDefault="001965D3" w:rsidP="00587366">
      <w:r>
        <w:separator/>
      </w:r>
    </w:p>
  </w:endnote>
  <w:endnote w:type="continuationSeparator" w:id="0">
    <w:p w14:paraId="0BB712EE" w14:textId="77777777" w:rsidR="001965D3" w:rsidRDefault="001965D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E24285C" w:rsidR="00A459FC" w:rsidRPr="00883450" w:rsidRDefault="00A459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13DF">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13DF">
              <w:rPr>
                <w:rFonts w:ascii="Palatino Linotype" w:hAnsi="Palatino Linotype"/>
                <w:b/>
                <w:bCs/>
                <w:noProof/>
                <w:sz w:val="22"/>
                <w:szCs w:val="20"/>
              </w:rPr>
              <w:t>62</w:t>
            </w:r>
            <w:r w:rsidRPr="00883450">
              <w:rPr>
                <w:rFonts w:ascii="Palatino Linotype" w:hAnsi="Palatino Linotype"/>
                <w:b/>
                <w:bCs/>
                <w:sz w:val="22"/>
                <w:szCs w:val="20"/>
              </w:rPr>
              <w:fldChar w:fldCharType="end"/>
            </w:r>
          </w:p>
        </w:sdtContent>
      </w:sdt>
    </w:sdtContent>
  </w:sdt>
  <w:p w14:paraId="6243EC1B" w14:textId="47B193F0" w:rsidR="00A459FC" w:rsidRDefault="00A459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AA3B108" w:rsidR="00A459FC" w:rsidRPr="00883450" w:rsidRDefault="00A459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13DF" w:rsidRPr="000A13D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13DF" w:rsidRPr="000A13DF">
      <w:rPr>
        <w:rFonts w:ascii="Palatino Linotype" w:hAnsi="Palatino Linotype"/>
        <w:noProof/>
        <w:sz w:val="22"/>
        <w:szCs w:val="22"/>
        <w:lang w:val="es-ES"/>
      </w:rPr>
      <w:t>62</w:t>
    </w:r>
    <w:r w:rsidRPr="00883450">
      <w:rPr>
        <w:rFonts w:ascii="Palatino Linotype" w:hAnsi="Palatino Linotype"/>
        <w:sz w:val="22"/>
        <w:szCs w:val="22"/>
      </w:rPr>
      <w:fldChar w:fldCharType="end"/>
    </w:r>
  </w:p>
  <w:p w14:paraId="5F5C4865" w14:textId="0A9A2B26" w:rsidR="00A459FC" w:rsidRPr="00883450" w:rsidRDefault="00A459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6C7B7" w14:textId="77777777" w:rsidR="001965D3" w:rsidRDefault="001965D3" w:rsidP="00587366">
      <w:r>
        <w:separator/>
      </w:r>
    </w:p>
  </w:footnote>
  <w:footnote w:type="continuationSeparator" w:id="0">
    <w:p w14:paraId="2447C453" w14:textId="77777777" w:rsidR="001965D3" w:rsidRDefault="001965D3" w:rsidP="00587366">
      <w:r>
        <w:continuationSeparator/>
      </w:r>
    </w:p>
  </w:footnote>
  <w:footnote w:id="1">
    <w:p w14:paraId="32D56466" w14:textId="77777777" w:rsidR="00A459FC" w:rsidRDefault="00A459FC" w:rsidP="008E4483">
      <w:pPr>
        <w:pStyle w:val="Textonotapie"/>
      </w:pPr>
      <w:r>
        <w:rPr>
          <w:rStyle w:val="Refdenotaalpie"/>
        </w:rPr>
        <w:footnoteRef/>
      </w:r>
      <w:r>
        <w:t xml:space="preserve"> Convención Americana sobre Derechos Humanos. Artículo 13.</w:t>
      </w:r>
    </w:p>
  </w:footnote>
  <w:footnote w:id="2">
    <w:p w14:paraId="3F7967D5" w14:textId="77777777" w:rsidR="00A459FC" w:rsidRDefault="00A459FC"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459FC" w:rsidRDefault="00A459FC"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459FC" w:rsidRDefault="00A459FC" w:rsidP="008E4483">
      <w:pPr>
        <w:pStyle w:val="Textonotapie"/>
      </w:pPr>
      <w:r>
        <w:rPr>
          <w:rStyle w:val="Refdenotaalpie"/>
        </w:rPr>
        <w:footnoteRef/>
      </w:r>
      <w:r>
        <w:t xml:space="preserve"> Ibídem. Parr. 87.</w:t>
      </w:r>
    </w:p>
  </w:footnote>
  <w:footnote w:id="5">
    <w:p w14:paraId="1C437D52" w14:textId="77777777" w:rsidR="00A459FC" w:rsidRDefault="00A459FC"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459FC" w:rsidRDefault="00A459FC" w:rsidP="008E4483">
      <w:pPr>
        <w:pStyle w:val="Textonotapie"/>
      </w:pPr>
      <w:r>
        <w:t>II. Eficacia: Obligación del Instituto para tutelar, de manera efectiva, el derecho de acceso a la información;</w:t>
      </w:r>
    </w:p>
    <w:p w14:paraId="707D8AAF" w14:textId="77777777" w:rsidR="00A459FC" w:rsidRDefault="00A459FC" w:rsidP="008E4483">
      <w:pPr>
        <w:pStyle w:val="Textonotapie"/>
      </w:pPr>
      <w:r>
        <w:t xml:space="preserve">… </w:t>
      </w:r>
    </w:p>
  </w:footnote>
  <w:footnote w:id="6">
    <w:p w14:paraId="7791BDE4" w14:textId="77777777" w:rsidR="00A459FC" w:rsidRDefault="00A459FC" w:rsidP="001122B2">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D2ED588" w14:textId="77777777" w:rsidR="00A459FC" w:rsidRPr="00266430" w:rsidRDefault="00A459FC" w:rsidP="001122B2">
      <w:pPr>
        <w:pStyle w:val="Textonotapie"/>
        <w:jc w:val="both"/>
      </w:pPr>
      <w:r w:rsidRPr="00266430">
        <w:t xml:space="preserve">1a./J. 2/2012 (9a.). Primera Sala. Décima Época. Semanario Judicial de la Federación y su Gaceta. Libro V, Febrero de 2012, Pág. 533.  </w:t>
      </w:r>
    </w:p>
  </w:footnote>
  <w:footnote w:id="7">
    <w:p w14:paraId="78C28610" w14:textId="77777777" w:rsidR="00A459FC" w:rsidRPr="00A870EF" w:rsidRDefault="00A459FC" w:rsidP="001122B2">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599E14D6" w14:textId="77777777" w:rsidR="00A459FC" w:rsidRDefault="00A459FC" w:rsidP="001122B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924DDB" w14:textId="77777777" w:rsidR="00A459FC" w:rsidRDefault="00A459FC" w:rsidP="001122B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C1848E" w14:textId="77777777" w:rsidR="00A459FC" w:rsidRPr="001E1F95" w:rsidRDefault="00A459FC" w:rsidP="001122B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460705B1" w14:textId="77777777" w:rsidR="00A459FC" w:rsidRPr="0037004E" w:rsidRDefault="00A459FC" w:rsidP="001122B2">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1672236E" w14:textId="77777777" w:rsidR="00A459FC" w:rsidRDefault="00A459FC" w:rsidP="001122B2">
      <w:pPr>
        <w:pStyle w:val="Textonotapie"/>
        <w:jc w:val="both"/>
      </w:pPr>
      <w:r>
        <w:rPr>
          <w:rStyle w:val="Refdenotaalpie"/>
        </w:rPr>
        <w:footnoteRef/>
      </w:r>
      <w:r>
        <w:t xml:space="preserve"> Artículo 3. Para los efectos de la presente Ley se entenderá por:</w:t>
      </w:r>
    </w:p>
    <w:p w14:paraId="33C5FB6B" w14:textId="77777777" w:rsidR="00A459FC" w:rsidRDefault="00A459FC" w:rsidP="001122B2">
      <w:pPr>
        <w:pStyle w:val="Textonotapie"/>
        <w:jc w:val="both"/>
      </w:pPr>
      <w:r>
        <w:t xml:space="preserve"> (…)</w:t>
      </w:r>
    </w:p>
    <w:p w14:paraId="4D4B0426" w14:textId="77777777" w:rsidR="00A459FC" w:rsidRDefault="00A459FC" w:rsidP="001122B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459FC" w:rsidRPr="00025127" w14:paraId="07F2896E" w14:textId="77777777" w:rsidTr="00FA0F09">
      <w:trPr>
        <w:trHeight w:val="138"/>
        <w:jc w:val="right"/>
      </w:trPr>
      <w:tc>
        <w:tcPr>
          <w:tcW w:w="3260" w:type="dxa"/>
          <w:vAlign w:val="center"/>
        </w:tcPr>
        <w:p w14:paraId="4A5B1974" w14:textId="44CA9AFE" w:rsidR="00A459FC" w:rsidRPr="00025127" w:rsidRDefault="00A459FC"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5B18296" w:rsidR="00A459FC" w:rsidRPr="00025127" w:rsidRDefault="00A459FC" w:rsidP="00755146">
          <w:pPr>
            <w:pStyle w:val="Encabezado"/>
            <w:jc w:val="both"/>
            <w:rPr>
              <w:rFonts w:ascii="Palatino Linotype" w:hAnsi="Palatino Linotype"/>
              <w:b/>
              <w:sz w:val="22"/>
              <w:szCs w:val="22"/>
            </w:rPr>
          </w:pPr>
          <w:r w:rsidRPr="009D5067">
            <w:rPr>
              <w:rFonts w:ascii="Palatino Linotype" w:hAnsi="Palatino Linotype"/>
              <w:b/>
              <w:sz w:val="22"/>
              <w:szCs w:val="22"/>
            </w:rPr>
            <w:t>03573/INFOEM/IP/RR/2022</w:t>
          </w:r>
        </w:p>
      </w:tc>
    </w:tr>
    <w:tr w:rsidR="00A459FC" w:rsidRPr="00025127" w14:paraId="1B5D8690" w14:textId="77777777" w:rsidTr="00FA0F09">
      <w:trPr>
        <w:trHeight w:val="233"/>
        <w:jc w:val="right"/>
      </w:trPr>
      <w:tc>
        <w:tcPr>
          <w:tcW w:w="3260" w:type="dxa"/>
          <w:vAlign w:val="center"/>
        </w:tcPr>
        <w:p w14:paraId="3903F2C6" w14:textId="22D569F8" w:rsidR="00A459FC" w:rsidRPr="00025127" w:rsidRDefault="00A459FC"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34B613B" w:rsidR="00A459FC" w:rsidRPr="00025127" w:rsidRDefault="00A459FC" w:rsidP="00CD5348">
          <w:pPr>
            <w:pStyle w:val="Encabezado"/>
            <w:jc w:val="both"/>
            <w:rPr>
              <w:rFonts w:ascii="Palatino Linotype" w:hAnsi="Palatino Linotype"/>
              <w:b/>
              <w:sz w:val="22"/>
              <w:szCs w:val="22"/>
            </w:rPr>
          </w:pPr>
          <w:r w:rsidRPr="009D5067">
            <w:rPr>
              <w:rFonts w:ascii="Palatino Linotype" w:hAnsi="Palatino Linotype"/>
              <w:b/>
              <w:sz w:val="22"/>
              <w:szCs w:val="22"/>
            </w:rPr>
            <w:t>Ayuntamiento de Cuautitlán Izcalli</w:t>
          </w:r>
        </w:p>
      </w:tc>
    </w:tr>
    <w:tr w:rsidR="00A459FC" w:rsidRPr="00025127" w14:paraId="095EB01B" w14:textId="77777777" w:rsidTr="00FA0F09">
      <w:trPr>
        <w:trHeight w:val="321"/>
        <w:jc w:val="right"/>
      </w:trPr>
      <w:tc>
        <w:tcPr>
          <w:tcW w:w="3260" w:type="dxa"/>
          <w:vAlign w:val="center"/>
        </w:tcPr>
        <w:p w14:paraId="6E000A51" w14:textId="05E1861A" w:rsidR="00A459FC" w:rsidRPr="00025127" w:rsidRDefault="00A459FC"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459FC" w:rsidRPr="00025127" w:rsidRDefault="00A459FC"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459FC" w:rsidRDefault="00A459FC"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459FC" w:rsidRDefault="000A13D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459F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459FC" w:rsidRPr="00025127" w14:paraId="0A3256F2" w14:textId="77777777" w:rsidTr="006E6B65">
      <w:trPr>
        <w:trHeight w:val="138"/>
        <w:jc w:val="right"/>
      </w:trPr>
      <w:tc>
        <w:tcPr>
          <w:tcW w:w="3261" w:type="dxa"/>
          <w:vAlign w:val="center"/>
        </w:tcPr>
        <w:p w14:paraId="3D80769D" w14:textId="316F11F8" w:rsidR="00A459FC" w:rsidRPr="00025127" w:rsidRDefault="00A459F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C90FA8A" w:rsidR="00A459FC" w:rsidRPr="00025127" w:rsidRDefault="00A459FC" w:rsidP="00B21D28">
          <w:pPr>
            <w:pStyle w:val="Encabezado"/>
            <w:rPr>
              <w:rFonts w:ascii="Palatino Linotype" w:hAnsi="Palatino Linotype"/>
              <w:b/>
              <w:sz w:val="22"/>
              <w:szCs w:val="22"/>
            </w:rPr>
          </w:pPr>
          <w:r w:rsidRPr="009C14B7">
            <w:rPr>
              <w:rFonts w:ascii="Palatino Linotype" w:hAnsi="Palatino Linotype"/>
              <w:b/>
              <w:sz w:val="22"/>
              <w:szCs w:val="22"/>
            </w:rPr>
            <w:t>03573/INFOEM/IP/RR/2022</w:t>
          </w:r>
        </w:p>
      </w:tc>
    </w:tr>
    <w:tr w:rsidR="00A459FC" w:rsidRPr="00025127" w14:paraId="128C8B3C" w14:textId="77777777" w:rsidTr="006E6B65">
      <w:trPr>
        <w:trHeight w:val="233"/>
        <w:jc w:val="right"/>
      </w:trPr>
      <w:tc>
        <w:tcPr>
          <w:tcW w:w="3261" w:type="dxa"/>
          <w:vAlign w:val="center"/>
        </w:tcPr>
        <w:p w14:paraId="483E3371" w14:textId="66B1BC74" w:rsidR="00A459FC" w:rsidRPr="00025127" w:rsidRDefault="00A459F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FAC52BE" w:rsidR="00A459FC" w:rsidRPr="0035066B" w:rsidRDefault="00370947" w:rsidP="006D541E">
          <w:pPr>
            <w:pStyle w:val="Encabezado"/>
            <w:rPr>
              <w:rFonts w:ascii="Palatino Linotype" w:hAnsi="Palatino Linotype"/>
              <w:b/>
              <w:sz w:val="22"/>
              <w:szCs w:val="22"/>
            </w:rPr>
          </w:pPr>
          <w:r>
            <w:rPr>
              <w:rFonts w:ascii="Palatino Linotype" w:hAnsi="Palatino Linotype"/>
              <w:b/>
              <w:sz w:val="22"/>
              <w:szCs w:val="22"/>
            </w:rPr>
            <w:t>XXX XXXX XXXXX</w:t>
          </w:r>
        </w:p>
      </w:tc>
    </w:tr>
    <w:tr w:rsidR="00A459FC" w:rsidRPr="00025127" w14:paraId="41BE0704" w14:textId="77777777" w:rsidTr="006E6B65">
      <w:trPr>
        <w:trHeight w:val="321"/>
        <w:jc w:val="right"/>
      </w:trPr>
      <w:tc>
        <w:tcPr>
          <w:tcW w:w="3261" w:type="dxa"/>
          <w:vAlign w:val="center"/>
        </w:tcPr>
        <w:p w14:paraId="34C64148" w14:textId="10C6C8A9" w:rsidR="00A459FC" w:rsidRPr="00025127" w:rsidRDefault="00A459F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E5FA5AB" w:rsidR="00A459FC" w:rsidRPr="00025127" w:rsidRDefault="00A459FC" w:rsidP="00AF60E5">
          <w:pPr>
            <w:pStyle w:val="Encabezado"/>
            <w:jc w:val="both"/>
            <w:rPr>
              <w:rFonts w:ascii="Palatino Linotype" w:hAnsi="Palatino Linotype"/>
              <w:b/>
              <w:sz w:val="22"/>
              <w:szCs w:val="22"/>
            </w:rPr>
          </w:pPr>
          <w:r w:rsidRPr="009D5067">
            <w:rPr>
              <w:rFonts w:ascii="Palatino Linotype" w:hAnsi="Palatino Linotype"/>
              <w:b/>
              <w:sz w:val="22"/>
              <w:szCs w:val="22"/>
            </w:rPr>
            <w:t>Ayuntamiento de Cuautitlán Izcalli</w:t>
          </w:r>
        </w:p>
      </w:tc>
    </w:tr>
    <w:tr w:rsidR="00A459FC" w:rsidRPr="00025127" w14:paraId="0C8B6193" w14:textId="77777777" w:rsidTr="006E6B65">
      <w:trPr>
        <w:trHeight w:val="321"/>
        <w:jc w:val="right"/>
      </w:trPr>
      <w:tc>
        <w:tcPr>
          <w:tcW w:w="3261" w:type="dxa"/>
          <w:vAlign w:val="center"/>
        </w:tcPr>
        <w:p w14:paraId="321FFAFF" w14:textId="0E8C2CE7" w:rsidR="00A459FC" w:rsidRPr="00025127" w:rsidRDefault="00A459F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459FC" w:rsidRPr="00025127" w:rsidRDefault="00A459F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459FC" w:rsidRDefault="00A459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D927D1D"/>
    <w:multiLevelType w:val="hybridMultilevel"/>
    <w:tmpl w:val="842280B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C76BA6"/>
    <w:multiLevelType w:val="hybridMultilevel"/>
    <w:tmpl w:val="B7527C54"/>
    <w:lvl w:ilvl="0" w:tplc="D410EB54">
      <w:start w:val="1"/>
      <w:numFmt w:val="upperRoman"/>
      <w:lvlText w:val="%1."/>
      <w:lvlJc w:val="left"/>
      <w:pPr>
        <w:ind w:left="4832" w:hanging="72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3">
    <w:nsid w:val="34317490"/>
    <w:multiLevelType w:val="hybridMultilevel"/>
    <w:tmpl w:val="292011E6"/>
    <w:lvl w:ilvl="0" w:tplc="1242D4F0">
      <w:start w:val="1"/>
      <w:numFmt w:val="decimal"/>
      <w:lvlText w:val="%1."/>
      <w:lvlJc w:val="left"/>
      <w:pPr>
        <w:ind w:left="0" w:firstLine="0"/>
      </w:pPr>
      <w:rPr>
        <w:rFonts w:ascii="Palatino Linotype" w:hAnsi="Palatino Linotype" w:hint="default"/>
        <w:b/>
        <w:i w:val="0"/>
        <w:strike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664313"/>
    <w:multiLevelType w:val="hybridMultilevel"/>
    <w:tmpl w:val="C7CE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DB915C4"/>
    <w:multiLevelType w:val="hybridMultilevel"/>
    <w:tmpl w:val="F5F07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A157CAC"/>
    <w:multiLevelType w:val="hybridMultilevel"/>
    <w:tmpl w:val="E404F9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CA1BF4"/>
    <w:multiLevelType w:val="hybridMultilevel"/>
    <w:tmpl w:val="1FDA60A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72BB4247"/>
    <w:multiLevelType w:val="multilevel"/>
    <w:tmpl w:val="C72A3DA2"/>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26"/>
  </w:num>
  <w:num w:numId="3">
    <w:abstractNumId w:val="0"/>
  </w:num>
  <w:num w:numId="4">
    <w:abstractNumId w:val="13"/>
  </w:num>
  <w:num w:numId="5">
    <w:abstractNumId w:val="39"/>
  </w:num>
  <w:num w:numId="6">
    <w:abstractNumId w:val="42"/>
  </w:num>
  <w:num w:numId="7">
    <w:abstractNumId w:val="22"/>
  </w:num>
  <w:num w:numId="8">
    <w:abstractNumId w:val="13"/>
  </w:num>
  <w:num w:numId="9">
    <w:abstractNumId w:val="24"/>
  </w:num>
  <w:num w:numId="10">
    <w:abstractNumId w:val="6"/>
  </w:num>
  <w:num w:numId="11">
    <w:abstractNumId w:val="30"/>
  </w:num>
  <w:num w:numId="12">
    <w:abstractNumId w:val="3"/>
  </w:num>
  <w:num w:numId="13">
    <w:abstractNumId w:val="15"/>
  </w:num>
  <w:num w:numId="14">
    <w:abstractNumId w:val="7"/>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31"/>
  </w:num>
  <w:num w:numId="18">
    <w:abstractNumId w:val="14"/>
  </w:num>
  <w:num w:numId="19">
    <w:abstractNumId w:val="10"/>
  </w:num>
  <w:num w:numId="20">
    <w:abstractNumId w:val="19"/>
  </w:num>
  <w:num w:numId="21">
    <w:abstractNumId w:val="1"/>
  </w:num>
  <w:num w:numId="22">
    <w:abstractNumId w:val="21"/>
  </w:num>
  <w:num w:numId="23">
    <w:abstractNumId w:val="25"/>
  </w:num>
  <w:num w:numId="24">
    <w:abstractNumId w:val="18"/>
  </w:num>
  <w:num w:numId="25">
    <w:abstractNumId w:val="27"/>
  </w:num>
  <w:num w:numId="26">
    <w:abstractNumId w:val="37"/>
  </w:num>
  <w:num w:numId="27">
    <w:abstractNumId w:val="23"/>
  </w:num>
  <w:num w:numId="28">
    <w:abstractNumId w:val="36"/>
  </w:num>
  <w:num w:numId="29">
    <w:abstractNumId w:val="8"/>
  </w:num>
  <w:num w:numId="30">
    <w:abstractNumId w:val="29"/>
  </w:num>
  <w:num w:numId="31">
    <w:abstractNumId w:val="20"/>
  </w:num>
  <w:num w:numId="32">
    <w:abstractNumId w:val="12"/>
  </w:num>
  <w:num w:numId="33">
    <w:abstractNumId w:val="4"/>
  </w:num>
  <w:num w:numId="34">
    <w:abstractNumId w:val="40"/>
  </w:num>
  <w:num w:numId="35">
    <w:abstractNumId w:val="2"/>
  </w:num>
  <w:num w:numId="36">
    <w:abstractNumId w:val="17"/>
  </w:num>
  <w:num w:numId="37">
    <w:abstractNumId w:val="32"/>
  </w:num>
  <w:num w:numId="38">
    <w:abstractNumId w:val="38"/>
  </w:num>
  <w:num w:numId="39">
    <w:abstractNumId w:val="16"/>
  </w:num>
  <w:num w:numId="40">
    <w:abstractNumId w:val="35"/>
  </w:num>
  <w:num w:numId="41">
    <w:abstractNumId w:val="11"/>
  </w:num>
  <w:num w:numId="42">
    <w:abstractNumId w:val="43"/>
  </w:num>
  <w:num w:numId="43">
    <w:abstractNumId w:val="28"/>
  </w:num>
  <w:num w:numId="44">
    <w:abstractNumId w:val="9"/>
  </w:num>
  <w:num w:numId="45">
    <w:abstractNumId w:val="5"/>
  </w:num>
  <w:num w:numId="46">
    <w:abstractNumId w:val="33"/>
  </w:num>
  <w:num w:numId="4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1DCB"/>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1AB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951"/>
    <w:rsid w:val="00086AD0"/>
    <w:rsid w:val="00087CFE"/>
    <w:rsid w:val="00090D6F"/>
    <w:rsid w:val="00091221"/>
    <w:rsid w:val="00091C2C"/>
    <w:rsid w:val="00091F3E"/>
    <w:rsid w:val="00092253"/>
    <w:rsid w:val="000929FF"/>
    <w:rsid w:val="00093D35"/>
    <w:rsid w:val="00093FB4"/>
    <w:rsid w:val="00093FC7"/>
    <w:rsid w:val="000953E2"/>
    <w:rsid w:val="00095BB9"/>
    <w:rsid w:val="0009663D"/>
    <w:rsid w:val="000A0A85"/>
    <w:rsid w:val="000A13DF"/>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597"/>
    <w:rsid w:val="000C0663"/>
    <w:rsid w:val="000C0BBB"/>
    <w:rsid w:val="000C10B9"/>
    <w:rsid w:val="000C1D19"/>
    <w:rsid w:val="000C2E5F"/>
    <w:rsid w:val="000C3423"/>
    <w:rsid w:val="000C3861"/>
    <w:rsid w:val="000C3A1B"/>
    <w:rsid w:val="000C4698"/>
    <w:rsid w:val="000C48CA"/>
    <w:rsid w:val="000C4A8E"/>
    <w:rsid w:val="000C5A04"/>
    <w:rsid w:val="000C5AF7"/>
    <w:rsid w:val="000C76B4"/>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3318"/>
    <w:rsid w:val="000E5176"/>
    <w:rsid w:val="000E67FC"/>
    <w:rsid w:val="000E769D"/>
    <w:rsid w:val="000E7706"/>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07D65"/>
    <w:rsid w:val="00111418"/>
    <w:rsid w:val="0011167C"/>
    <w:rsid w:val="00111F02"/>
    <w:rsid w:val="001122B2"/>
    <w:rsid w:val="00112640"/>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0E5C"/>
    <w:rsid w:val="001318D2"/>
    <w:rsid w:val="00132C06"/>
    <w:rsid w:val="00133B79"/>
    <w:rsid w:val="00133CE5"/>
    <w:rsid w:val="00134AEC"/>
    <w:rsid w:val="001352E5"/>
    <w:rsid w:val="00135C45"/>
    <w:rsid w:val="00135DD5"/>
    <w:rsid w:val="00136076"/>
    <w:rsid w:val="0013673A"/>
    <w:rsid w:val="0013695B"/>
    <w:rsid w:val="001374DA"/>
    <w:rsid w:val="0013752C"/>
    <w:rsid w:val="00140206"/>
    <w:rsid w:val="001408E8"/>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5F"/>
    <w:rsid w:val="00194D62"/>
    <w:rsid w:val="00196407"/>
    <w:rsid w:val="001965D3"/>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134"/>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0B1D"/>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03D4"/>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6632F"/>
    <w:rsid w:val="00370102"/>
    <w:rsid w:val="003708DD"/>
    <w:rsid w:val="00370947"/>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3CB6"/>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1438"/>
    <w:rsid w:val="00442393"/>
    <w:rsid w:val="004436D7"/>
    <w:rsid w:val="00443DCB"/>
    <w:rsid w:val="00443DEB"/>
    <w:rsid w:val="0044535B"/>
    <w:rsid w:val="00445FDA"/>
    <w:rsid w:val="004466B2"/>
    <w:rsid w:val="004473B2"/>
    <w:rsid w:val="00447F0D"/>
    <w:rsid w:val="00450A5F"/>
    <w:rsid w:val="00450D5F"/>
    <w:rsid w:val="00451514"/>
    <w:rsid w:val="00451B95"/>
    <w:rsid w:val="00453BB4"/>
    <w:rsid w:val="00454B9D"/>
    <w:rsid w:val="00456317"/>
    <w:rsid w:val="00456348"/>
    <w:rsid w:val="0045726B"/>
    <w:rsid w:val="004572A1"/>
    <w:rsid w:val="00457D45"/>
    <w:rsid w:val="00457D9A"/>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0FBB"/>
    <w:rsid w:val="004B176B"/>
    <w:rsid w:val="004B293C"/>
    <w:rsid w:val="004B2A69"/>
    <w:rsid w:val="004B3A2A"/>
    <w:rsid w:val="004B3D59"/>
    <w:rsid w:val="004B50F8"/>
    <w:rsid w:val="004B58EA"/>
    <w:rsid w:val="004B73EF"/>
    <w:rsid w:val="004C09B4"/>
    <w:rsid w:val="004C20F2"/>
    <w:rsid w:val="004C2333"/>
    <w:rsid w:val="004C251E"/>
    <w:rsid w:val="004C317C"/>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096"/>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651"/>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05D"/>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5F76A2"/>
    <w:rsid w:val="006010DA"/>
    <w:rsid w:val="006017AB"/>
    <w:rsid w:val="00604AC3"/>
    <w:rsid w:val="00605865"/>
    <w:rsid w:val="006079AA"/>
    <w:rsid w:val="00607B9A"/>
    <w:rsid w:val="00611613"/>
    <w:rsid w:val="00611DC1"/>
    <w:rsid w:val="006124AE"/>
    <w:rsid w:val="00613655"/>
    <w:rsid w:val="006144EE"/>
    <w:rsid w:val="0061507A"/>
    <w:rsid w:val="00615B86"/>
    <w:rsid w:val="0061616C"/>
    <w:rsid w:val="00617125"/>
    <w:rsid w:val="00617813"/>
    <w:rsid w:val="006206CC"/>
    <w:rsid w:val="0062200F"/>
    <w:rsid w:val="00622B06"/>
    <w:rsid w:val="00624425"/>
    <w:rsid w:val="00625136"/>
    <w:rsid w:val="006257C2"/>
    <w:rsid w:val="00625B2B"/>
    <w:rsid w:val="00626056"/>
    <w:rsid w:val="00626509"/>
    <w:rsid w:val="00627163"/>
    <w:rsid w:val="0063034E"/>
    <w:rsid w:val="00631C43"/>
    <w:rsid w:val="00632E24"/>
    <w:rsid w:val="00633581"/>
    <w:rsid w:val="00634476"/>
    <w:rsid w:val="00634884"/>
    <w:rsid w:val="006348F0"/>
    <w:rsid w:val="0063717E"/>
    <w:rsid w:val="00637475"/>
    <w:rsid w:val="00637700"/>
    <w:rsid w:val="00643223"/>
    <w:rsid w:val="0064393B"/>
    <w:rsid w:val="006439A1"/>
    <w:rsid w:val="00644375"/>
    <w:rsid w:val="00644A5C"/>
    <w:rsid w:val="0064565D"/>
    <w:rsid w:val="00646A08"/>
    <w:rsid w:val="00650392"/>
    <w:rsid w:val="0065061D"/>
    <w:rsid w:val="00651701"/>
    <w:rsid w:val="00655146"/>
    <w:rsid w:val="00656D12"/>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7B6"/>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04D7"/>
    <w:rsid w:val="006D24C4"/>
    <w:rsid w:val="006D27EF"/>
    <w:rsid w:val="006D425C"/>
    <w:rsid w:val="006D52D1"/>
    <w:rsid w:val="006D541E"/>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165F"/>
    <w:rsid w:val="00705087"/>
    <w:rsid w:val="007050B1"/>
    <w:rsid w:val="00705527"/>
    <w:rsid w:val="00707096"/>
    <w:rsid w:val="007076C5"/>
    <w:rsid w:val="00710012"/>
    <w:rsid w:val="007105F6"/>
    <w:rsid w:val="007127BB"/>
    <w:rsid w:val="007136BC"/>
    <w:rsid w:val="00714576"/>
    <w:rsid w:val="00714FEC"/>
    <w:rsid w:val="00715A04"/>
    <w:rsid w:val="00715B7D"/>
    <w:rsid w:val="00715E8F"/>
    <w:rsid w:val="007174E9"/>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6F99"/>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8DB"/>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C82"/>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2D"/>
    <w:rsid w:val="007D7CA5"/>
    <w:rsid w:val="007D7EF3"/>
    <w:rsid w:val="007E0553"/>
    <w:rsid w:val="007E5125"/>
    <w:rsid w:val="007E5DB4"/>
    <w:rsid w:val="007E6334"/>
    <w:rsid w:val="007E64B6"/>
    <w:rsid w:val="007E72DF"/>
    <w:rsid w:val="007F0617"/>
    <w:rsid w:val="007F089C"/>
    <w:rsid w:val="007F1BCA"/>
    <w:rsid w:val="007F313E"/>
    <w:rsid w:val="007F3575"/>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4C62"/>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705"/>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2311"/>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7701B"/>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2DA3"/>
    <w:rsid w:val="008A3FC8"/>
    <w:rsid w:val="008A52F3"/>
    <w:rsid w:val="008A5456"/>
    <w:rsid w:val="008A579F"/>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493"/>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07C8E"/>
    <w:rsid w:val="00910076"/>
    <w:rsid w:val="0091242A"/>
    <w:rsid w:val="00912B6D"/>
    <w:rsid w:val="00912E53"/>
    <w:rsid w:val="0091395C"/>
    <w:rsid w:val="00913AA4"/>
    <w:rsid w:val="009151ED"/>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49A3"/>
    <w:rsid w:val="00934D28"/>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1DD2"/>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D72"/>
    <w:rsid w:val="00977D37"/>
    <w:rsid w:val="009813EA"/>
    <w:rsid w:val="00982DC5"/>
    <w:rsid w:val="009830D3"/>
    <w:rsid w:val="00983B8F"/>
    <w:rsid w:val="0098595E"/>
    <w:rsid w:val="00986073"/>
    <w:rsid w:val="0098632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54E"/>
    <w:rsid w:val="009B5D1A"/>
    <w:rsid w:val="009B649B"/>
    <w:rsid w:val="009B6F16"/>
    <w:rsid w:val="009B77DE"/>
    <w:rsid w:val="009B7C14"/>
    <w:rsid w:val="009C0215"/>
    <w:rsid w:val="009C0940"/>
    <w:rsid w:val="009C0950"/>
    <w:rsid w:val="009C131C"/>
    <w:rsid w:val="009C14B7"/>
    <w:rsid w:val="009C1D99"/>
    <w:rsid w:val="009C1F8B"/>
    <w:rsid w:val="009C20A8"/>
    <w:rsid w:val="009C44CF"/>
    <w:rsid w:val="009C4817"/>
    <w:rsid w:val="009C5057"/>
    <w:rsid w:val="009C674E"/>
    <w:rsid w:val="009D1378"/>
    <w:rsid w:val="009D1471"/>
    <w:rsid w:val="009D1780"/>
    <w:rsid w:val="009D2384"/>
    <w:rsid w:val="009D3240"/>
    <w:rsid w:val="009D3A6E"/>
    <w:rsid w:val="009D4370"/>
    <w:rsid w:val="009D5067"/>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50D"/>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9FC"/>
    <w:rsid w:val="00A45B12"/>
    <w:rsid w:val="00A45C65"/>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1828"/>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6B7"/>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5A99"/>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0E5"/>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1D28"/>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6CF9"/>
    <w:rsid w:val="00B37104"/>
    <w:rsid w:val="00B403F1"/>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0E0C"/>
    <w:rsid w:val="00B62052"/>
    <w:rsid w:val="00B6295F"/>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37B2"/>
    <w:rsid w:val="00B945F2"/>
    <w:rsid w:val="00B95670"/>
    <w:rsid w:val="00B959FD"/>
    <w:rsid w:val="00B966BF"/>
    <w:rsid w:val="00B974B4"/>
    <w:rsid w:val="00BA0012"/>
    <w:rsid w:val="00BA0458"/>
    <w:rsid w:val="00BA0A18"/>
    <w:rsid w:val="00BA4BCD"/>
    <w:rsid w:val="00BA4F66"/>
    <w:rsid w:val="00BA51C5"/>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2953"/>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00E"/>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0B1F"/>
    <w:rsid w:val="00D02F72"/>
    <w:rsid w:val="00D0377B"/>
    <w:rsid w:val="00D06772"/>
    <w:rsid w:val="00D07CFB"/>
    <w:rsid w:val="00D10889"/>
    <w:rsid w:val="00D10AB0"/>
    <w:rsid w:val="00D12402"/>
    <w:rsid w:val="00D12EE7"/>
    <w:rsid w:val="00D1373C"/>
    <w:rsid w:val="00D1662F"/>
    <w:rsid w:val="00D16B19"/>
    <w:rsid w:val="00D16BAD"/>
    <w:rsid w:val="00D172B8"/>
    <w:rsid w:val="00D1735B"/>
    <w:rsid w:val="00D17702"/>
    <w:rsid w:val="00D17C3D"/>
    <w:rsid w:val="00D205FF"/>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8F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4AE8"/>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0F3D"/>
    <w:rsid w:val="00D82CB3"/>
    <w:rsid w:val="00D82D6F"/>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464"/>
    <w:rsid w:val="00DA7E2F"/>
    <w:rsid w:val="00DA7F67"/>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1A54"/>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279"/>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AA6"/>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C7DF3"/>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E72BA"/>
    <w:rsid w:val="00EF014A"/>
    <w:rsid w:val="00EF01CE"/>
    <w:rsid w:val="00EF0558"/>
    <w:rsid w:val="00EF0C03"/>
    <w:rsid w:val="00EF1D84"/>
    <w:rsid w:val="00EF1DC8"/>
    <w:rsid w:val="00EF1F30"/>
    <w:rsid w:val="00EF26CB"/>
    <w:rsid w:val="00EF2E2B"/>
    <w:rsid w:val="00EF34D2"/>
    <w:rsid w:val="00EF4C26"/>
    <w:rsid w:val="00EF5CC0"/>
    <w:rsid w:val="00EF6747"/>
    <w:rsid w:val="00EF7540"/>
    <w:rsid w:val="00EF75DE"/>
    <w:rsid w:val="00F00649"/>
    <w:rsid w:val="00F00E01"/>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6499"/>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15E1"/>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53A5"/>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6AB8"/>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A2"/>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3C2"/>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rtejustify">
    <w:name w:val="rtejustify"/>
    <w:basedOn w:val="Normal"/>
    <w:rsid w:val="00EF6747"/>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481287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3640249">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20334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62542548">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176561">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8423554">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61017394">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6544860">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879986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0182013">
      <w:bodyDiv w:val="1"/>
      <w:marLeft w:val="0"/>
      <w:marRight w:val="0"/>
      <w:marTop w:val="0"/>
      <w:marBottom w:val="0"/>
      <w:divBdr>
        <w:top w:val="none" w:sz="0" w:space="0" w:color="auto"/>
        <w:left w:val="none" w:sz="0" w:space="0" w:color="auto"/>
        <w:bottom w:val="none" w:sz="0" w:space="0" w:color="auto"/>
        <w:right w:val="none" w:sz="0" w:space="0" w:color="auto"/>
      </w:divBdr>
    </w:div>
    <w:div w:id="95363052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5067394">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6614345">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684672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sab.mx/siles/legislacion.edomex.gob.mx/files/files/pdf/gct/2021/dic3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0BDEF-8F26-4E9B-B6C0-1F90BCE1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62</Pages>
  <Words>13037</Words>
  <Characters>71709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2023-01-19T20:39:00Z</dcterms:created>
  <dcterms:modified xsi:type="dcterms:W3CDTF">2023-02-09T23:20:00Z</dcterms:modified>
</cp:coreProperties>
</file>