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D29" w:rsidRDefault="009F4277">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veintinueve de noviembre de dos mil veintitrés.</w:t>
      </w:r>
    </w:p>
    <w:p w:rsidR="00722D29" w:rsidRDefault="00722D29"/>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03354/INFOEM/IP/RR/2023</w:t>
      </w:r>
      <w:r>
        <w:rPr>
          <w:rFonts w:ascii="Palatino Linotype" w:eastAsia="Palatino Linotype" w:hAnsi="Palatino Linotype" w:cs="Palatino Linotype"/>
          <w:sz w:val="24"/>
          <w:szCs w:val="24"/>
        </w:rPr>
        <w:t xml:space="preserve">, interpuesto por </w:t>
      </w:r>
      <w:r w:rsidR="002B5F60">
        <w:rPr>
          <w:rFonts w:ascii="Palatino Linotype" w:eastAsia="Palatino Linotype" w:hAnsi="Palatino Linotype" w:cs="Palatino Linotype"/>
          <w:b/>
          <w:sz w:val="24"/>
          <w:szCs w:val="24"/>
        </w:rPr>
        <w:t>XXXXXXX</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quien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00100/TRIJAEM/IP/2023</w:t>
      </w:r>
      <w:r>
        <w:rPr>
          <w:rFonts w:ascii="Palatino Linotype" w:eastAsia="Palatino Linotype" w:hAnsi="Palatino Linotype" w:cs="Palatino Linotype"/>
          <w:sz w:val="24"/>
          <w:szCs w:val="24"/>
        </w:rPr>
        <w:t xml:space="preserve">, por parte del </w:t>
      </w:r>
      <w:r>
        <w:rPr>
          <w:rFonts w:ascii="Palatino Linotype" w:eastAsia="Palatino Linotype" w:hAnsi="Palatino Linotype" w:cs="Palatino Linotype"/>
          <w:b/>
          <w:sz w:val="24"/>
          <w:szCs w:val="24"/>
        </w:rPr>
        <w:t>Tribunal de Justicia Administrativa del Estado de México</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722D29" w:rsidRDefault="00722D29">
      <w:pPr>
        <w:rPr>
          <w:rFonts w:ascii="Palatino Linotype" w:eastAsia="Palatino Linotype" w:hAnsi="Palatino Linotype" w:cs="Palatino Linotype"/>
          <w:sz w:val="24"/>
          <w:szCs w:val="24"/>
        </w:rPr>
      </w:pPr>
    </w:p>
    <w:p w:rsidR="00722D29" w:rsidRDefault="009F4277">
      <w:pPr>
        <w:spacing w:after="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A N T E C E D E N T E S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ocho de mayo de dos mil veintitrés,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presentó a través de la Plataforma Nacional de Transparencia (PNT) vinculada al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solicitud de acceso a </w:t>
      </w:r>
      <w:r>
        <w:rPr>
          <w:rFonts w:ascii="Palatino Linotype" w:eastAsia="Palatino Linotype" w:hAnsi="Palatino Linotype" w:cs="Palatino Linotype"/>
          <w:sz w:val="24"/>
          <w:szCs w:val="24"/>
        </w:rPr>
        <w:t xml:space="preserve">la información pública, registrada bajo el número de folio </w:t>
      </w:r>
      <w:r>
        <w:rPr>
          <w:rFonts w:ascii="Palatino Linotype" w:eastAsia="Palatino Linotype" w:hAnsi="Palatino Linotype" w:cs="Palatino Linotype"/>
          <w:b/>
          <w:sz w:val="24"/>
          <w:szCs w:val="24"/>
        </w:rPr>
        <w:t>00100/TRIJAEM/IP/2023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rsidR="00722D29" w:rsidRDefault="00722D29">
      <w:pPr>
        <w:spacing w:after="0" w:line="360" w:lineRule="auto"/>
        <w:ind w:right="49"/>
        <w:jc w:val="both"/>
        <w:rPr>
          <w:rFonts w:ascii="Palatino Linotype" w:eastAsia="Palatino Linotype" w:hAnsi="Palatino Linotype" w:cs="Palatino Linotype"/>
          <w:sz w:val="24"/>
          <w:szCs w:val="24"/>
        </w:rPr>
      </w:pPr>
    </w:p>
    <w:p w:rsidR="00722D29" w:rsidRDefault="009F4277" w:rsidP="00797E69">
      <w:pPr>
        <w:spacing w:after="0" w:line="276" w:lineRule="auto"/>
        <w:ind w:left="709" w:right="758"/>
        <w:jc w:val="both"/>
        <w:rPr>
          <w:rFonts w:ascii="Palatino Linotype" w:eastAsia="Palatino Linotype" w:hAnsi="Palatino Linotype" w:cs="Palatino Linotype"/>
          <w:i/>
          <w:color w:val="000000"/>
        </w:rPr>
      </w:pPr>
      <w:bookmarkStart w:id="0" w:name="_heading=h.30j0zll" w:colFirst="0" w:colLast="0"/>
      <w:bookmarkEnd w:id="0"/>
      <w:r>
        <w:rPr>
          <w:rFonts w:ascii="Palatino Linotype" w:eastAsia="Palatino Linotype" w:hAnsi="Palatino Linotype" w:cs="Palatino Linotype"/>
          <w:i/>
          <w:color w:val="000000"/>
        </w:rPr>
        <w:t>“Se solicita acceso a la información solicitada en el documento adjunto” (Sic).</w:t>
      </w:r>
    </w:p>
    <w:p w:rsidR="00722D29" w:rsidRDefault="009F427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Modalidad de entrega: A través del </w:t>
      </w:r>
      <w:r>
        <w:rPr>
          <w:rFonts w:ascii="Palatino Linotype" w:eastAsia="Palatino Linotype" w:hAnsi="Palatino Linotype" w:cs="Palatino Linotype"/>
          <w:b/>
          <w:sz w:val="24"/>
          <w:szCs w:val="24"/>
        </w:rPr>
        <w:t>SAIMEX</w:t>
      </w:r>
      <w:r w:rsidR="00797E69">
        <w:rPr>
          <w:rFonts w:ascii="Palatino Linotype" w:eastAsia="Palatino Linotype" w:hAnsi="Palatino Linotype" w:cs="Palatino Linotype"/>
          <w:b/>
          <w:sz w:val="24"/>
          <w:szCs w:val="24"/>
        </w:rPr>
        <w:t xml:space="preserve"> y </w:t>
      </w:r>
      <w:r w:rsidR="00797E69" w:rsidRPr="00797E69">
        <w:rPr>
          <w:rFonts w:ascii="Palatino Linotype" w:eastAsia="Palatino Linotype" w:hAnsi="Palatino Linotype" w:cs="Palatino Linotype"/>
          <w:b/>
          <w:sz w:val="24"/>
          <w:szCs w:val="24"/>
          <w:highlight w:val="yellow"/>
        </w:rPr>
        <w:t>correo electrónico</w:t>
      </w:r>
      <w:r w:rsidRPr="00797E69">
        <w:rPr>
          <w:rFonts w:ascii="Palatino Linotype" w:eastAsia="Palatino Linotype" w:hAnsi="Palatino Linotype" w:cs="Palatino Linotype"/>
          <w:sz w:val="24"/>
          <w:szCs w:val="24"/>
          <w:highlight w:val="yellow"/>
        </w:rPr>
        <w:t>.</w:t>
      </w:r>
    </w:p>
    <w:p w:rsidR="00722D29" w:rsidRDefault="00722D29">
      <w:pPr>
        <w:rPr>
          <w:rFonts w:ascii="Palatino Linotype" w:eastAsia="Palatino Linotype" w:hAnsi="Palatino Linotype" w:cs="Palatino Linotype"/>
          <w:sz w:val="24"/>
          <w:szCs w:val="24"/>
        </w:rPr>
      </w:pPr>
    </w:p>
    <w:p w:rsidR="00722D29" w:rsidRDefault="009F427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tal efecto adjuntó el archivo electrónico:</w:t>
      </w:r>
    </w:p>
    <w:p w:rsidR="00722D29" w:rsidRDefault="00722D29">
      <w:pPr>
        <w:rPr>
          <w:rFonts w:ascii="Palatino Linotype" w:eastAsia="Palatino Linotype" w:hAnsi="Palatino Linotype" w:cs="Palatino Linotype"/>
          <w:sz w:val="24"/>
          <w:szCs w:val="24"/>
        </w:rPr>
      </w:pPr>
    </w:p>
    <w:p w:rsidR="002B5F60" w:rsidRDefault="009F4277" w:rsidP="002B5F60">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Archivo Adjunto a la Solicitud</w:t>
      </w:r>
      <w:r>
        <w:rPr>
          <w:rFonts w:ascii="Palatino Linotype" w:eastAsia="Palatino Linotype" w:hAnsi="Palatino Linotype" w:cs="Palatino Linotype"/>
          <w:sz w:val="24"/>
          <w:szCs w:val="24"/>
        </w:rPr>
        <w:t xml:space="preserve">”: </w:t>
      </w:r>
    </w:p>
    <w:p w:rsidR="002B5F60" w:rsidRDefault="002B5F60">
      <w:pPr>
        <w:jc w:val="center"/>
        <w:rPr>
          <w:rFonts w:ascii="Palatino Linotype" w:eastAsia="Palatino Linotype" w:hAnsi="Palatino Linotype" w:cs="Palatino Linotype"/>
          <w:sz w:val="24"/>
          <w:szCs w:val="24"/>
        </w:rPr>
      </w:pPr>
      <w:r w:rsidRPr="002B5F60">
        <w:rPr>
          <w:rFonts w:ascii="Palatino Linotype" w:eastAsia="Palatino Linotype" w:hAnsi="Palatino Linotype" w:cs="Palatino Linotype"/>
          <w:sz w:val="24"/>
          <w:szCs w:val="24"/>
        </w:rPr>
        <w:drawing>
          <wp:inline distT="0" distB="0" distL="0" distR="0" wp14:anchorId="09AD0CF7" wp14:editId="67398A9D">
            <wp:extent cx="3952875" cy="529556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2723" cy="5308757"/>
                    </a:xfrm>
                    <a:prstGeom prst="rect">
                      <a:avLst/>
                    </a:prstGeom>
                  </pic:spPr>
                </pic:pic>
              </a:graphicData>
            </a:graphic>
          </wp:inline>
        </w:drawing>
      </w:r>
    </w:p>
    <w:p w:rsidR="00722D29" w:rsidRDefault="002B5F60">
      <w:pPr>
        <w:jc w:val="center"/>
        <w:rPr>
          <w:rFonts w:ascii="Palatino Linotype" w:eastAsia="Palatino Linotype" w:hAnsi="Palatino Linotype" w:cs="Palatino Linotype"/>
          <w:sz w:val="24"/>
          <w:szCs w:val="24"/>
        </w:rPr>
      </w:pPr>
      <w:r w:rsidRPr="002B5F60">
        <w:rPr>
          <w:rFonts w:ascii="Palatino Linotype" w:eastAsia="Palatino Linotype" w:hAnsi="Palatino Linotype" w:cs="Palatino Linotype"/>
          <w:sz w:val="24"/>
          <w:szCs w:val="24"/>
        </w:rPr>
        <w:lastRenderedPageBreak/>
        <w:drawing>
          <wp:inline distT="0" distB="0" distL="0" distR="0" wp14:anchorId="72CE038A" wp14:editId="7E62AFC8">
            <wp:extent cx="4048690" cy="6011114"/>
            <wp:effectExtent l="0" t="0" r="952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8690" cy="6011114"/>
                    </a:xfrm>
                    <a:prstGeom prst="rect">
                      <a:avLst/>
                    </a:prstGeom>
                  </pic:spPr>
                </pic:pic>
              </a:graphicData>
            </a:graphic>
          </wp:inline>
        </w:drawing>
      </w:r>
    </w:p>
    <w:p w:rsidR="00722D29" w:rsidRDefault="00722D29">
      <w:pPr>
        <w:jc w:val="center"/>
        <w:rPr>
          <w:rFonts w:ascii="Palatino Linotype" w:eastAsia="Palatino Linotype" w:hAnsi="Palatino Linotype" w:cs="Palatino Linotype"/>
          <w:sz w:val="24"/>
          <w:szCs w:val="24"/>
        </w:rPr>
      </w:pPr>
    </w:p>
    <w:p w:rsidR="00722D29" w:rsidRDefault="009F4277">
      <w:pPr>
        <w:spacing w:after="0" w:line="360" w:lineRule="auto"/>
        <w:jc w:val="both"/>
      </w:pPr>
      <w:r>
        <w:rPr>
          <w:rFonts w:ascii="Palatino Linotype" w:eastAsia="Palatino Linotype" w:hAnsi="Palatino Linotype" w:cs="Palatino Linotype"/>
          <w:b/>
          <w:sz w:val="24"/>
          <w:szCs w:val="24"/>
        </w:rPr>
        <w:lastRenderedPageBreak/>
        <w:t xml:space="preserve">2. DE LA SOLICITUD DE ACLARACIÓN.  </w:t>
      </w:r>
      <w:r>
        <w:rPr>
          <w:rFonts w:ascii="Palatino Linotype" w:eastAsia="Palatino Linotype" w:hAnsi="Palatino Linotype" w:cs="Palatino Linotype"/>
          <w:sz w:val="24"/>
          <w:szCs w:val="24"/>
        </w:rPr>
        <w:t xml:space="preserve">Con fecha once de mayo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 través del SAIMEX, requirió 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aclare su solicitud de la siguiente manera:</w:t>
      </w:r>
      <w:r>
        <w:t xml:space="preserve">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“Con fundamento en el </w:t>
      </w:r>
      <w:proofErr w:type="spellStart"/>
      <w:r>
        <w:rPr>
          <w:rFonts w:ascii="Palatino Linotype" w:eastAsia="Palatino Linotype" w:hAnsi="Palatino Linotype" w:cs="Palatino Linotype"/>
          <w:i/>
        </w:rPr>
        <w:t>articulo</w:t>
      </w:r>
      <w:proofErr w:type="spellEnd"/>
      <w:r>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Se solicita aclare o precise.</w:t>
      </w: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LESLIE ADRIANA SERRANO FLORES”</w:t>
      </w:r>
    </w:p>
    <w:p w:rsidR="00722D29" w:rsidRDefault="00722D29">
      <w:pPr>
        <w:spacing w:after="0" w:line="276" w:lineRule="auto"/>
        <w:ind w:left="851" w:right="900"/>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adjuntó a su respuesta el archivo electrónico siguiente:</w:t>
      </w:r>
    </w:p>
    <w:p w:rsidR="00722D29" w:rsidRDefault="00722D29">
      <w:pPr>
        <w:spacing w:after="0" w:line="360" w:lineRule="auto"/>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ACUERDO DE ACLARACIÓN.pdf</w:t>
      </w:r>
      <w:r>
        <w:rPr>
          <w:rFonts w:ascii="Palatino Linotype" w:eastAsia="Palatino Linotype" w:hAnsi="Palatino Linotype" w:cs="Palatino Linotype"/>
          <w:sz w:val="24"/>
          <w:szCs w:val="24"/>
        </w:rPr>
        <w:t xml:space="preserve">”: el cual contiene lo siguiente: </w:t>
      </w: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5619750" cy="236220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9750" cy="2362200"/>
                    </a:xfrm>
                    <a:prstGeom prst="rect">
                      <a:avLst/>
                    </a:prstGeom>
                    <a:ln/>
                  </pic:spPr>
                </pic:pic>
              </a:graphicData>
            </a:graphic>
          </wp:inline>
        </w:drawing>
      </w:r>
    </w:p>
    <w:p w:rsidR="00722D29" w:rsidRDefault="009F4277">
      <w:pPr>
        <w:spacing w:after="0" w:line="360" w:lineRule="auto"/>
        <w:jc w:val="both"/>
      </w:pPr>
      <w:r>
        <w:lastRenderedPageBreak/>
        <w:t xml:space="preserve"> </w:t>
      </w:r>
      <w:r w:rsidR="002B5F60" w:rsidRPr="002B5F60">
        <w:drawing>
          <wp:inline distT="0" distB="0" distL="0" distR="0" wp14:anchorId="106FE945" wp14:editId="4BD51FF0">
            <wp:extent cx="5591955" cy="3562847"/>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1955" cy="3562847"/>
                    </a:xfrm>
                    <a:prstGeom prst="rect">
                      <a:avLst/>
                    </a:prstGeom>
                  </pic:spPr>
                </pic:pic>
              </a:graphicData>
            </a:graphic>
          </wp:inline>
        </w:drawing>
      </w:r>
      <w:r w:rsidR="002B5F60">
        <w:rPr>
          <w:noProof/>
        </w:rPr>
        <w:lastRenderedPageBreak/>
        <mc:AlternateContent>
          <mc:Choice Requires="wps">
            <w:drawing>
              <wp:anchor distT="0" distB="0" distL="114300" distR="114300" simplePos="0" relativeHeight="251675648" behindDoc="0" locked="0" layoutInCell="1" allowOverlap="1" wp14:anchorId="73CF1B54" wp14:editId="6B5864D1">
                <wp:simplePos x="0" y="0"/>
                <wp:positionH relativeFrom="column">
                  <wp:posOffset>1015365</wp:posOffset>
                </wp:positionH>
                <wp:positionV relativeFrom="paragraph">
                  <wp:posOffset>2181225</wp:posOffset>
                </wp:positionV>
                <wp:extent cx="323850" cy="9525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323850"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15B5" id="Rectángulo 9" o:spid="_x0000_s1026" style="position:absolute;margin-left:79.95pt;margin-top:171.75pt;width:25.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" fillcolor="black [3213]" strokecolor="black [3213]" strokeweight="1pt"/>
            </w:pict>
          </mc:Fallback>
        </mc:AlternateContent>
      </w:r>
      <w:r w:rsidR="002B5F60">
        <w:rPr>
          <w:noProof/>
        </w:rPr>
        <mc:AlternateContent>
          <mc:Choice Requires="wps">
            <w:drawing>
              <wp:anchor distT="0" distB="0" distL="114300" distR="114300" simplePos="0" relativeHeight="251673600" behindDoc="0" locked="0" layoutInCell="1" allowOverlap="1" wp14:anchorId="0473F30A" wp14:editId="6F3F869E">
                <wp:simplePos x="0" y="0"/>
                <wp:positionH relativeFrom="column">
                  <wp:posOffset>3453765</wp:posOffset>
                </wp:positionH>
                <wp:positionV relativeFrom="paragraph">
                  <wp:posOffset>2105025</wp:posOffset>
                </wp:positionV>
                <wp:extent cx="1581150" cy="14287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1581150" cy="1428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53702" id="Rectángulo 8" o:spid="_x0000_s1026" style="position:absolute;margin-left:271.95pt;margin-top:165.75pt;width:124.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" fillcolor="black [3213]" strokecolor="black [3213]" strokeweight="1pt"/>
            </w:pict>
          </mc:Fallback>
        </mc:AlternateContent>
      </w:r>
      <w:r w:rsidR="002B5F60" w:rsidRPr="002B5F60">
        <w:drawing>
          <wp:inline distT="0" distB="0" distL="0" distR="0" wp14:anchorId="584F0371" wp14:editId="494FDB3B">
            <wp:extent cx="5601482" cy="72781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1482" cy="7278116"/>
                    </a:xfrm>
                    <a:prstGeom prst="rect">
                      <a:avLst/>
                    </a:prstGeom>
                  </pic:spPr>
                </pic:pic>
              </a:graphicData>
            </a:graphic>
          </wp:inline>
        </w:drawing>
      </w:r>
      <w:r>
        <w:t xml:space="preserve"> </w:t>
      </w:r>
      <w:r w:rsidR="002B5F60" w:rsidRPr="002B5F60">
        <w:lastRenderedPageBreak/>
        <w:drawing>
          <wp:inline distT="0" distB="0" distL="0" distR="0" wp14:anchorId="7CC44AFE" wp14:editId="1DE651E3">
            <wp:extent cx="4829849" cy="6430272"/>
            <wp:effectExtent l="0" t="0" r="889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9849" cy="6430272"/>
                    </a:xfrm>
                    <a:prstGeom prst="rect">
                      <a:avLst/>
                    </a:prstGeom>
                  </pic:spPr>
                </pic:pic>
              </a:graphicData>
            </a:graphic>
          </wp:inline>
        </w:drawing>
      </w:r>
    </w:p>
    <w:p w:rsidR="00722D29" w:rsidRDefault="002B5F60">
      <w:pPr>
        <w:spacing w:after="0" w:line="360" w:lineRule="auto"/>
        <w:jc w:val="center"/>
        <w:rPr>
          <w:rFonts w:ascii="Palatino Linotype" w:eastAsia="Palatino Linotype" w:hAnsi="Palatino Linotype" w:cs="Palatino Linotype"/>
          <w:sz w:val="24"/>
          <w:szCs w:val="24"/>
        </w:rPr>
      </w:pPr>
      <w:r w:rsidRPr="002B5F60">
        <w:rPr>
          <w:rFonts w:ascii="Palatino Linotype" w:eastAsia="Palatino Linotype" w:hAnsi="Palatino Linotype" w:cs="Palatino Linotype"/>
          <w:sz w:val="24"/>
          <w:szCs w:val="24"/>
        </w:rPr>
        <w:lastRenderedPageBreak/>
        <w:drawing>
          <wp:inline distT="0" distB="0" distL="0" distR="0" wp14:anchorId="7CCE8BC0" wp14:editId="6CE9F7CB">
            <wp:extent cx="4658375" cy="6087325"/>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8375" cy="6087325"/>
                    </a:xfrm>
                    <a:prstGeom prst="rect">
                      <a:avLst/>
                    </a:prstGeom>
                  </pic:spPr>
                </pic:pic>
              </a:graphicData>
            </a:graphic>
          </wp:inline>
        </w:drawing>
      </w:r>
      <w:r w:rsidR="009F4277">
        <w:rPr>
          <w:rFonts w:ascii="Palatino Linotype" w:eastAsia="Palatino Linotype" w:hAnsi="Palatino Linotype" w:cs="Palatino Linotype"/>
          <w:noProof/>
          <w:sz w:val="24"/>
          <w:szCs w:val="24"/>
        </w:rPr>
        <w:lastRenderedPageBreak/>
        <w:drawing>
          <wp:inline distT="0" distB="0" distL="0" distR="0">
            <wp:extent cx="5612130" cy="461518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2130" cy="4615180"/>
                    </a:xfrm>
                    <a:prstGeom prst="rect">
                      <a:avLst/>
                    </a:prstGeom>
                    <a:ln/>
                  </pic:spPr>
                </pic:pic>
              </a:graphicData>
            </a:graphic>
          </wp:inline>
        </w:drawing>
      </w:r>
    </w:p>
    <w:p w:rsidR="00722D29" w:rsidRDefault="00722D29"/>
    <w:p w:rsidR="00722D29" w:rsidRDefault="009F4277">
      <w:pPr>
        <w:spacing w:after="0" w:line="360" w:lineRule="auto"/>
        <w:jc w:val="both"/>
      </w:pPr>
      <w:r>
        <w:rPr>
          <w:rFonts w:ascii="Palatino Linotype" w:eastAsia="Palatino Linotype" w:hAnsi="Palatino Linotype" w:cs="Palatino Linotype"/>
          <w:b/>
          <w:sz w:val="24"/>
          <w:szCs w:val="24"/>
        </w:rPr>
        <w:t xml:space="preserve">3. NO PRESENTÓ ACLARACIÓN.  </w:t>
      </w:r>
      <w:r>
        <w:rPr>
          <w:rFonts w:ascii="Palatino Linotype" w:eastAsia="Palatino Linotype" w:hAnsi="Palatino Linotype" w:cs="Palatino Linotype"/>
          <w:sz w:val="24"/>
          <w:szCs w:val="24"/>
        </w:rPr>
        <w:t xml:space="preserve">Con fecha veintiséis de mayo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lo siguiente:</w:t>
      </w:r>
      <w:r>
        <w:t xml:space="preserve"> </w:t>
      </w:r>
    </w:p>
    <w:p w:rsidR="00722D29" w:rsidRDefault="00722D29">
      <w:pPr>
        <w:jc w:val="both"/>
        <w:rPr>
          <w:rFonts w:ascii="Palatino Linotype" w:eastAsia="Palatino Linotype" w:hAnsi="Palatino Linotype" w:cs="Palatino Linotype"/>
          <w:sz w:val="24"/>
          <w:szCs w:val="24"/>
        </w:rPr>
      </w:pP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“Con fundamento en el </w:t>
      </w:r>
      <w:proofErr w:type="spellStart"/>
      <w:r>
        <w:rPr>
          <w:rFonts w:ascii="Palatino Linotype" w:eastAsia="Palatino Linotype" w:hAnsi="Palatino Linotype" w:cs="Palatino Linotype"/>
          <w:i/>
        </w:rPr>
        <w:t>articulo</w:t>
      </w:r>
      <w:proofErr w:type="spellEnd"/>
      <w:r>
        <w:rPr>
          <w:rFonts w:ascii="Palatino Linotype" w:eastAsia="Palatino Linotype" w:hAnsi="Palatino Linotype" w:cs="Palatino Linotype"/>
          <w:i/>
        </w:rPr>
        <w:t xml:space="preserve"> 159, tercer párrafo de la Ley de Transparencia y Acceso a la Información Pública del Estado de México y Municipios, se le hace de su conocimiento que se tiene por no presentada la solicitud de aclaración citada al rubro, en virtud de que</w:t>
      </w: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 través del adjunto, se notifica el presente acuerdo.</w:t>
      </w: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722D29" w:rsidRDefault="009F4277">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LESLIE ADRIANA SERRANO FLORES”</w:t>
      </w:r>
    </w:p>
    <w:p w:rsidR="00722D29" w:rsidRDefault="00722D29">
      <w:pPr>
        <w:spacing w:after="0" w:line="276" w:lineRule="auto"/>
        <w:ind w:left="851" w:right="900"/>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adjuntó a su pronunciamiento el archivo electrónico siguiente:</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ACUERDO. NO PRESENTÓ ACLARACIÓN</w:t>
      </w:r>
      <w:proofErr w:type="gramStart"/>
      <w:r>
        <w:rPr>
          <w:rFonts w:ascii="Palatino Linotype" w:eastAsia="Palatino Linotype" w:hAnsi="Palatino Linotype" w:cs="Palatino Linotype"/>
          <w:b/>
          <w:i/>
          <w:sz w:val="24"/>
          <w:szCs w:val="24"/>
          <w:u w:val="single"/>
        </w:rPr>
        <w:t>..</w:t>
      </w:r>
      <w:proofErr w:type="spellStart"/>
      <w:proofErr w:type="gramEnd"/>
      <w:r>
        <w:rPr>
          <w:rFonts w:ascii="Palatino Linotype" w:eastAsia="Palatino Linotype" w:hAnsi="Palatino Linotype" w:cs="Palatino Linotype"/>
          <w:b/>
          <w:i/>
          <w:sz w:val="24"/>
          <w:szCs w:val="24"/>
          <w:u w:val="single"/>
        </w:rPr>
        <w:t>pdf</w:t>
      </w:r>
      <w:proofErr w:type="spellEnd"/>
      <w:r>
        <w:rPr>
          <w:rFonts w:ascii="Palatino Linotype" w:eastAsia="Palatino Linotype" w:hAnsi="Palatino Linotype" w:cs="Palatino Linotype"/>
          <w:sz w:val="24"/>
          <w:szCs w:val="24"/>
        </w:rPr>
        <w:t xml:space="preserve">”: Acuerdo de fecha veintiséis de mayo de dos mil veintitrés, signado por la Titular de la Unidad de Información, Planeación, Programación y Evaluación, mediante el cual describe las constancias que obran en el SAIMEX, además de mencionar que la petición realizada no fue presentada dentro de los diez días hábiles a los que tiene derecho el solicitante los que transcurrieron a partir del once de mayo siendo que el día uno, hasta el día diez, fenecido el plazo para aportar mayores elementos, requiriendo se tenga por atendida la solicitud.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trece de junio de dos mil veintitrés</w:t>
      </w:r>
      <w:r>
        <w:rPr>
          <w:rFonts w:ascii="Palatino Linotype" w:eastAsia="Palatino Linotype" w:hAnsi="Palatino Linotype" w:cs="Palatino Linotype"/>
          <w:b/>
          <w:sz w:val="24"/>
          <w:szCs w:val="24"/>
        </w:rPr>
        <w:t xml:space="preserve">, LA PARTE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sz w:val="24"/>
          <w:szCs w:val="24"/>
        </w:rPr>
        <w:t>03354/INFOEM/IP/RR/2023</w:t>
      </w:r>
      <w:r>
        <w:rPr>
          <w:rFonts w:ascii="Palatino Linotype" w:eastAsia="Palatino Linotype" w:hAnsi="Palatino Linotype" w:cs="Palatino Linotype"/>
          <w:sz w:val="24"/>
          <w:szCs w:val="24"/>
        </w:rPr>
        <w:t xml:space="preserve">, en el cual manifiesta, lo siguiente: </w:t>
      </w:r>
    </w:p>
    <w:p w:rsidR="00722D29" w:rsidRDefault="009F4277">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lastRenderedPageBreak/>
        <w:t>Acto Impugnado:</w:t>
      </w:r>
    </w:p>
    <w:p w:rsidR="00722D29" w:rsidRDefault="009F4277">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respuesta contenida en el acuerdo No. 00088/TRIJAEM/IP/2023, recaída a la solicitud de folio 00088/TRIJAEM/IP/2023</w:t>
      </w:r>
      <w:r>
        <w:rPr>
          <w:rFonts w:ascii="Palatino Linotype" w:eastAsia="Palatino Linotype" w:hAnsi="Palatino Linotype" w:cs="Palatino Linotype"/>
          <w:i/>
        </w:rPr>
        <w:t>” [sic]</w:t>
      </w:r>
    </w:p>
    <w:p w:rsidR="00722D29" w:rsidRDefault="009F4277">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722D29" w:rsidRDefault="009F4277">
      <w:pPr>
        <w:spacing w:before="24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Los expresados en el escrito de agravios que incluyen: No se turnó la solicitud a las áreas competentes No se realizó una búsqueda exhaustiva ni en Libros de Gobierno” </w:t>
      </w:r>
      <w:r>
        <w:rPr>
          <w:rFonts w:ascii="Palatino Linotype" w:eastAsia="Palatino Linotype" w:hAnsi="Palatino Linotype" w:cs="Palatino Linotype"/>
          <w:i/>
        </w:rPr>
        <w:t>[sic]</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adjuntó el archivo electrónico:</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roofErr w:type="spellStart"/>
      <w:r>
        <w:rPr>
          <w:rFonts w:ascii="Palatino Linotype" w:eastAsia="Palatino Linotype" w:hAnsi="Palatino Linotype" w:cs="Palatino Linotype"/>
          <w:b/>
          <w:i/>
          <w:sz w:val="24"/>
          <w:szCs w:val="24"/>
          <w:u w:val="single"/>
        </w:rPr>
        <w:t>Revsion</w:t>
      </w:r>
      <w:proofErr w:type="spellEnd"/>
      <w:r>
        <w:rPr>
          <w:rFonts w:ascii="Palatino Linotype" w:eastAsia="Palatino Linotype" w:hAnsi="Palatino Linotype" w:cs="Palatino Linotype"/>
          <w:b/>
          <w:i/>
          <w:sz w:val="24"/>
          <w:szCs w:val="24"/>
          <w:u w:val="single"/>
        </w:rPr>
        <w:t xml:space="preserve"> PNT Moctezuma 134 vs TRIJAEM.pdf</w:t>
      </w:r>
      <w:r>
        <w:rPr>
          <w:rFonts w:ascii="Palatino Linotype" w:eastAsia="Palatino Linotype" w:hAnsi="Palatino Linotype" w:cs="Palatino Linotype"/>
          <w:sz w:val="24"/>
          <w:szCs w:val="24"/>
        </w:rPr>
        <w:t xml:space="preserve">”: Escrito de fecha ocho de mayo de dos mil veintitrés, mediante el cual expone sus motivos o razones de inconformidad, sin embargo, estas versan sobre la respuesta a una solicitud de información diversa, asimismo adjunta la solicitud, y la respuesta de diverso expediente.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6.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dieciséis de junio de dos mil veintitrés,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w:t>
      </w:r>
      <w:bookmarkStart w:id="1" w:name="_GoBack"/>
      <w:bookmarkEnd w:id="1"/>
      <w:r>
        <w:rPr>
          <w:rFonts w:ascii="Palatino Linotype" w:eastAsia="Palatino Linotype" w:hAnsi="Palatino Linotype" w:cs="Palatino Linotype"/>
          <w:sz w:val="24"/>
          <w:szCs w:val="24"/>
        </w:rPr>
        <w:t>do.</w:t>
      </w:r>
    </w:p>
    <w:p w:rsidR="00722D29" w:rsidRDefault="00722D29"/>
    <w:p w:rsidR="00722D29" w:rsidRDefault="009F427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MANIFESTACIONES.</w:t>
      </w:r>
      <w:r>
        <w:rPr>
          <w:rFonts w:ascii="Palatino Linotype" w:eastAsia="Palatino Linotype" w:hAnsi="Palatino Linotype" w:cs="Palatino Linotype"/>
          <w:sz w:val="24"/>
          <w:szCs w:val="24"/>
        </w:rPr>
        <w:t xml:space="preserve"> El veintisiete de junio de dos mil veintitrés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rsidR="00722D29" w:rsidRDefault="00722D29">
      <w:pPr>
        <w:spacing w:after="0" w:line="360" w:lineRule="auto"/>
        <w:ind w:right="49"/>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RR 03354 INFORME JUSTIFICADO.pdf</w:t>
      </w:r>
      <w:r>
        <w:rPr>
          <w:rFonts w:ascii="Palatino Linotype" w:eastAsia="Palatino Linotype" w:hAnsi="Palatino Linotype" w:cs="Palatino Linotype"/>
          <w:sz w:val="24"/>
          <w:szCs w:val="24"/>
        </w:rPr>
        <w:t xml:space="preserve">”: Oficio de fecha veintiséis de junio de dos mil veintitrés, signado por la Titular de la Unidad de Información, Planeación, Programación y Evaluación, mediante el cual describe las constancias que obran en el SAIMEX, además de mencionar que las inconformidades presentadas por el hoy recurrente corresponden a una solicitud de acceso a la información diversa, por lo que se podría considerar que no cumple con todos los elementos para considerarse su </w:t>
      </w:r>
      <w:proofErr w:type="spellStart"/>
      <w:r>
        <w:rPr>
          <w:rFonts w:ascii="Palatino Linotype" w:eastAsia="Palatino Linotype" w:hAnsi="Palatino Linotype" w:cs="Palatino Linotype"/>
          <w:sz w:val="24"/>
          <w:szCs w:val="24"/>
        </w:rPr>
        <w:t>procedibilidad</w:t>
      </w:r>
      <w:proofErr w:type="spellEnd"/>
      <w:r>
        <w:rPr>
          <w:rFonts w:ascii="Palatino Linotype" w:eastAsia="Palatino Linotype" w:hAnsi="Palatino Linotype" w:cs="Palatino Linotype"/>
          <w:sz w:val="24"/>
          <w:szCs w:val="24"/>
        </w:rPr>
        <w:t>, solicitando a este Instituto, confirme o en su defecto declare el sobreseimiento del presente recurso de revisión.</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Mismo que se puso a la vista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en fecha catorce de noviembre de dos mil veintitrés, siendo omisa de emitir sus manifestaciones conforme a derecho le corresponde.</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color w:val="000000"/>
          <w:sz w:val="24"/>
          <w:szCs w:val="24"/>
        </w:rPr>
        <w:t xml:space="preserve">veintidós </w:t>
      </w:r>
      <w:r>
        <w:rPr>
          <w:rFonts w:ascii="Palatino Linotype" w:eastAsia="Palatino Linotype" w:hAnsi="Palatino Linotype" w:cs="Palatino Linotype"/>
          <w:sz w:val="24"/>
          <w:szCs w:val="24"/>
        </w:rPr>
        <w:t>de noviembre</w:t>
      </w:r>
      <w:r>
        <w:rPr>
          <w:rFonts w:ascii="Palatino Linotype" w:eastAsia="Palatino Linotype" w:hAnsi="Palatino Linotype" w:cs="Palatino Linotype"/>
          <w:color w:val="000000"/>
          <w:sz w:val="24"/>
          <w:szCs w:val="24"/>
        </w:rPr>
        <w:t xml:space="preserve"> de dos mil veintitrés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722D29" w:rsidRDefault="00722D29">
      <w:pPr>
        <w:spacing w:line="360" w:lineRule="auto"/>
        <w:jc w:val="both"/>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rsidR="00797E69" w:rsidRDefault="00797E6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numPr>
          <w:ilvl w:val="0"/>
          <w:numId w:val="3"/>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722D29" w:rsidRDefault="009F4277">
      <w:pPr>
        <w:numPr>
          <w:ilvl w:val="0"/>
          <w:numId w:val="3"/>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numPr>
          <w:ilvl w:val="0"/>
          <w:numId w:val="3"/>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rsidR="00722D29" w:rsidRDefault="00722D29">
      <w:pPr>
        <w:spacing w:after="0" w:line="360" w:lineRule="auto"/>
        <w:ind w:left="708"/>
        <w:rPr>
          <w:rFonts w:ascii="Palatino Linotype" w:eastAsia="Palatino Linotype" w:hAnsi="Palatino Linotype" w:cs="Palatino Linotype"/>
          <w:sz w:val="24"/>
          <w:szCs w:val="24"/>
        </w:rPr>
      </w:pPr>
    </w:p>
    <w:p w:rsidR="00722D29" w:rsidRDefault="009F4277">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Argumento que encuentra sustento en la jurisprudencia P</w:t>
      </w:r>
      <w:proofErr w:type="gramStart"/>
      <w:r>
        <w:rPr>
          <w:rFonts w:ascii="Palatino Linotype" w:eastAsia="Palatino Linotype" w:hAnsi="Palatino Linotype" w:cs="Palatino Linotype"/>
          <w:sz w:val="24"/>
          <w:szCs w:val="24"/>
        </w:rPr>
        <w:t>./</w:t>
      </w:r>
      <w:proofErr w:type="gramEnd"/>
      <w:r>
        <w:rPr>
          <w:rFonts w:ascii="Palatino Linotype" w:eastAsia="Palatino Linotype" w:hAnsi="Palatino Linotype" w:cs="Palatino Linotype"/>
          <w:sz w:val="24"/>
          <w:szCs w:val="24"/>
        </w:rPr>
        <w:t xml:space="preserve">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 xml:space="preserve">“PLAZO RAZONABLE PARA RESOLVER. CONCEPTO Y ELEMENTOS QUE LO INTEGRAN A LA LUZ DEL DERECHO INTERNACIONAL DE LOS DERECHOS </w:t>
      </w:r>
      <w:r>
        <w:rPr>
          <w:rFonts w:ascii="Palatino Linotype" w:eastAsia="Palatino Linotype" w:hAnsi="Palatino Linotype" w:cs="Palatino Linotype"/>
          <w:i/>
          <w:sz w:val="24"/>
          <w:szCs w:val="24"/>
        </w:rPr>
        <w:lastRenderedPageBreak/>
        <w:t>HUMANOS.”</w:t>
      </w:r>
      <w:r>
        <w:rPr>
          <w:rFonts w:ascii="Palatino Linotype" w:eastAsia="Palatino Linotype" w:hAnsi="Palatino Linotype" w:cs="Palatino Linotype"/>
          <w:sz w:val="24"/>
          <w:szCs w:val="24"/>
        </w:rPr>
        <w:t>, visible en el Seminario Judicial de la Federación y su gaceta, con el registro digital 2002350.</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DEL CIERRE DE INSTRUCCIÓN. </w:t>
      </w:r>
      <w:r>
        <w:rPr>
          <w:rFonts w:ascii="Palatino Linotype" w:eastAsia="Palatino Linotype" w:hAnsi="Palatino Linotype" w:cs="Palatino Linotype"/>
          <w:color w:val="000000"/>
          <w:sz w:val="24"/>
          <w:szCs w:val="24"/>
        </w:rPr>
        <w:t>El veintidós de noviembre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722D29" w:rsidRDefault="00722D29"/>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rsidR="00722D29" w:rsidRDefault="00722D29">
      <w:pPr>
        <w:spacing w:after="0" w:line="360" w:lineRule="auto"/>
        <w:jc w:val="both"/>
        <w:rPr>
          <w:rFonts w:ascii="Palatino Linotype" w:eastAsia="Palatino Linotype" w:hAnsi="Palatino Linotype" w:cs="Palatino Linotype"/>
          <w:b/>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w:t>
      </w:r>
      <w:r>
        <w:rPr>
          <w:rFonts w:ascii="Palatino Linotype" w:eastAsia="Palatino Linotype" w:hAnsi="Palatino Linotype" w:cs="Palatino Linotype"/>
          <w:sz w:val="24"/>
          <w:szCs w:val="24"/>
        </w:rPr>
        <w:lastRenderedPageBreak/>
        <w:t xml:space="preserve">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722D29" w:rsidRDefault="00722D29">
      <w:pPr>
        <w:rPr>
          <w:rFonts w:ascii="Palatino Linotype" w:eastAsia="Palatino Linotype" w:hAnsi="Palatino Linotype" w:cs="Palatino Linotype"/>
          <w:sz w:val="24"/>
          <w:szCs w:val="24"/>
        </w:rPr>
      </w:pPr>
    </w:p>
    <w:p w:rsidR="00722D29" w:rsidRDefault="009F4277">
      <w:pPr>
        <w:spacing w:after="0" w:line="360" w:lineRule="auto"/>
        <w:ind w:right="-240"/>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Pr>
          <w:rFonts w:ascii="Palatino Linotype" w:eastAsia="Palatino Linotype" w:hAnsi="Palatino Linotype" w:cs="Palatino Linotype"/>
          <w:sz w:val="24"/>
          <w:szCs w:val="24"/>
        </w:rPr>
        <w:t>procedibilidad</w:t>
      </w:r>
      <w:proofErr w:type="spellEnd"/>
      <w:r>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ind w:right="-2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veintiséis de mayo del año dos mil veintitrés, mientras que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interpuso </w:t>
      </w:r>
      <w:r>
        <w:rPr>
          <w:rFonts w:ascii="Palatino Linotype" w:eastAsia="Palatino Linotype" w:hAnsi="Palatino Linotype" w:cs="Palatino Linotype"/>
          <w:sz w:val="24"/>
          <w:szCs w:val="24"/>
        </w:rPr>
        <w:lastRenderedPageBreak/>
        <w:t xml:space="preserve">el recurso de revisión en fecha trece de junio de dos mil veintitrés, </w:t>
      </w:r>
      <w:r>
        <w:rPr>
          <w:rFonts w:ascii="Palatino Linotype" w:eastAsia="Palatino Linotype" w:hAnsi="Palatino Linotype" w:cs="Palatino Linotype"/>
          <w:color w:val="000000"/>
          <w:sz w:val="24"/>
          <w:szCs w:val="24"/>
        </w:rPr>
        <w:t>esto es al décimo segundo día hábil de haber recibido la respuesta.</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Además, por cuanto hace a la </w:t>
      </w:r>
      <w:proofErr w:type="spellStart"/>
      <w:r>
        <w:rPr>
          <w:rFonts w:ascii="Palatino Linotype" w:eastAsia="Palatino Linotype" w:hAnsi="Palatino Linotype" w:cs="Palatino Linotype"/>
          <w:color w:val="000000"/>
          <w:sz w:val="24"/>
          <w:szCs w:val="24"/>
        </w:rPr>
        <w:t>procedibilidad</w:t>
      </w:r>
      <w:proofErr w:type="spellEnd"/>
      <w:r>
        <w:rPr>
          <w:rFonts w:ascii="Palatino Linotype" w:eastAsia="Palatino Linotype" w:hAnsi="Palatino Linotype" w:cs="Palatino Linotype"/>
          <w:color w:val="000000"/>
          <w:sz w:val="24"/>
          <w:szCs w:val="24"/>
        </w:rPr>
        <w:t xml:space="preserve"> del recurso de revisión, es de suma importancia señalar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proporcionó un seudónimo, como se advierte en el detalle de seguimiento del SAIMEX, no obstante lo anterior, el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22D29" w:rsidRDefault="00722D29">
      <w:pPr>
        <w:spacing w:after="0" w:line="360" w:lineRule="auto"/>
        <w:jc w:val="both"/>
        <w:rPr>
          <w:rFonts w:ascii="Palatino Linotype" w:eastAsia="Palatino Linotype" w:hAnsi="Palatino Linotype" w:cs="Palatino Linotype"/>
          <w:color w:val="000000"/>
          <w:sz w:val="24"/>
          <w:szCs w:val="24"/>
        </w:rPr>
      </w:pPr>
    </w:p>
    <w:p w:rsidR="00722D29" w:rsidRDefault="009F4277">
      <w:pPr>
        <w:spacing w:after="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 xml:space="preserve">Las solicitudes </w:t>
      </w:r>
      <w:r>
        <w:rPr>
          <w:rFonts w:ascii="Palatino Linotype" w:eastAsia="Palatino Linotype" w:hAnsi="Palatino Linotype" w:cs="Palatino Linotype"/>
          <w:i/>
          <w:color w:val="000000"/>
        </w:rPr>
        <w:t xml:space="preserve">anónimas, </w:t>
      </w:r>
      <w:r>
        <w:rPr>
          <w:rFonts w:ascii="Palatino Linotype" w:eastAsia="Palatino Linotype" w:hAnsi="Palatino Linotype" w:cs="Palatino Linotype"/>
          <w:b/>
          <w:i/>
          <w:color w:val="000000"/>
        </w:rPr>
        <w:t>con</w:t>
      </w:r>
      <w:r>
        <w:rPr>
          <w:rFonts w:ascii="Palatino Linotype" w:eastAsia="Palatino Linotype" w:hAnsi="Palatino Linotype" w:cs="Palatino Linotype"/>
          <w:i/>
          <w:color w:val="000000"/>
        </w:rPr>
        <w:t xml:space="preserve"> nombre incompleto o </w:t>
      </w:r>
      <w:r>
        <w:rPr>
          <w:rFonts w:ascii="Palatino Linotype" w:eastAsia="Palatino Linotype" w:hAnsi="Palatino Linotype" w:cs="Palatino Linotype"/>
          <w:b/>
          <w:i/>
          <w:color w:val="000000"/>
        </w:rPr>
        <w:t>seudónimo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serán procedentes para su trámite por parte del sujeto obligado ante quien se presente</w:t>
      </w:r>
      <w:r>
        <w:rPr>
          <w:rFonts w:ascii="Palatino Linotype" w:eastAsia="Palatino Linotype" w:hAnsi="Palatino Linotype" w:cs="Palatino Linotype"/>
          <w:i/>
          <w:color w:val="000000"/>
        </w:rPr>
        <w:t>. No podrá requerirse información adicional con motivo del nombre proporcionado por el solicitante."</w:t>
      </w:r>
    </w:p>
    <w:p w:rsidR="00722D29" w:rsidRDefault="00722D29">
      <w:pPr>
        <w:spacing w:after="0" w:line="360" w:lineRule="auto"/>
        <w:ind w:left="851" w:right="902"/>
        <w:jc w:val="both"/>
        <w:rPr>
          <w:rFonts w:ascii="Palatino Linotype" w:eastAsia="Palatino Linotype" w:hAnsi="Palatino Linotype" w:cs="Palatino Linotype"/>
          <w:color w:val="000000"/>
          <w:sz w:val="24"/>
          <w:szCs w:val="24"/>
        </w:rPr>
      </w:pPr>
    </w:p>
    <w:p w:rsidR="00722D29" w:rsidRDefault="009F4277">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color w:val="000000"/>
          <w:sz w:val="24"/>
          <w:szCs w:val="24"/>
        </w:rPr>
        <w:t xml:space="preserve">EL SAIMEX.  </w:t>
      </w:r>
    </w:p>
    <w:p w:rsidR="00722D29" w:rsidRDefault="009F4277">
      <w:pPr>
        <w:tabs>
          <w:tab w:val="left" w:pos="7605"/>
        </w:tabs>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r>
    </w:p>
    <w:p w:rsidR="00722D29" w:rsidRDefault="009F4277">
      <w:pPr>
        <w:spacing w:before="16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lastRenderedPageBreak/>
        <w:t xml:space="preserve">TERCERO. </w:t>
      </w:r>
      <w:r>
        <w:rPr>
          <w:rFonts w:ascii="Palatino Linotype" w:eastAsia="Palatino Linotype" w:hAnsi="Palatino Linotype" w:cs="Palatino Linotype"/>
          <w:b/>
          <w:color w:val="000000"/>
        </w:rPr>
        <w:t>ANÁLISIS DE LAS CAUSALES DE SOBRESEIMIENTO</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sz w:val="24"/>
          <w:szCs w:val="24"/>
        </w:rPr>
        <w:t xml:space="preserve">Es menester resaltar que en el procedimiento de acceso a la información pública y de los medios de impugnación de la materia, se advierten diversos supuestos de </w:t>
      </w:r>
      <w:proofErr w:type="spellStart"/>
      <w:r>
        <w:rPr>
          <w:rFonts w:ascii="Palatino Linotype" w:eastAsia="Palatino Linotype" w:hAnsi="Palatino Linotype" w:cs="Palatino Linotype"/>
          <w:sz w:val="24"/>
          <w:szCs w:val="24"/>
        </w:rPr>
        <w:t>procedibilidad</w:t>
      </w:r>
      <w:proofErr w:type="spellEnd"/>
      <w:r>
        <w:rPr>
          <w:rFonts w:ascii="Palatino Linotype" w:eastAsia="Palatino Linotype" w:hAnsi="Palatino Linotype" w:cs="Palatino Linotype"/>
          <w:sz w:val="24"/>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22D29" w:rsidRDefault="00722D29">
      <w:pPr>
        <w:spacing w:after="0" w:line="360" w:lineRule="auto"/>
        <w:jc w:val="both"/>
        <w:rPr>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manera preliminar en el caso concreto conviene analizar si se actualiza alguna de las causales de sobreseimiento del recurso de revisión.</w:t>
      </w:r>
    </w:p>
    <w:p w:rsidR="00722D29" w:rsidRDefault="00722D29">
      <w:pPr>
        <w:spacing w:after="0" w:line="360" w:lineRule="auto"/>
        <w:ind w:right="51"/>
        <w:jc w:val="both"/>
        <w:rPr>
          <w:rFonts w:ascii="Palatino Linotype" w:eastAsia="Palatino Linotype" w:hAnsi="Palatino Linotype" w:cs="Palatino Linotype"/>
          <w:sz w:val="24"/>
          <w:szCs w:val="24"/>
        </w:rPr>
      </w:pPr>
    </w:p>
    <w:p w:rsidR="00722D29" w:rsidRDefault="009F4277">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Así, del análisis de la solicitud de información motivo del recurso de revisión que ahora se resuelven, se advierte que la persona solicitante requirió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le proporcione, lo siguiente:</w:t>
      </w:r>
    </w:p>
    <w:p w:rsidR="00722D29" w:rsidRDefault="00722D29">
      <w:pPr>
        <w:spacing w:after="0" w:line="360" w:lineRule="auto"/>
        <w:ind w:right="51"/>
        <w:jc w:val="both"/>
        <w:rPr>
          <w:rFonts w:ascii="Palatino Linotype" w:eastAsia="Palatino Linotype" w:hAnsi="Palatino Linotype" w:cs="Palatino Linotype"/>
          <w:sz w:val="24"/>
          <w:szCs w:val="24"/>
        </w:rPr>
      </w:pPr>
    </w:p>
    <w:p w:rsidR="00722D29" w:rsidRDefault="009F4277">
      <w:pPr>
        <w:numPr>
          <w:ilvl w:val="0"/>
          <w:numId w:val="4"/>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La documental que obra en el expediente Juicio de Nulidad III-1678/1993. </w:t>
      </w:r>
    </w:p>
    <w:p w:rsidR="00722D29" w:rsidRDefault="00722D29">
      <w:pPr>
        <w:spacing w:after="0" w:line="360" w:lineRule="auto"/>
        <w:ind w:right="51"/>
        <w:jc w:val="both"/>
        <w:rPr>
          <w:rFonts w:ascii="Palatino Linotype" w:eastAsia="Palatino Linotype" w:hAnsi="Palatino Linotype" w:cs="Palatino Linotype"/>
          <w:sz w:val="24"/>
          <w:szCs w:val="24"/>
        </w:rPr>
      </w:pPr>
    </w:p>
    <w:p w:rsidR="00722D29" w:rsidRDefault="009F4277">
      <w:pPr>
        <w:tabs>
          <w:tab w:val="left" w:pos="7605"/>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por conducto de la Titular de la Unidad de Información, Planeación, Programación y Evaluación, requirió al solicitante precisara o aclarara los datos sobre la información requerida, señalando que, si bien es cierto, la solicitud se dirige al Tribunal de Justicia Administrativa del Estado de México, los actos de autoridad que son objeto de la Litis, son emitidos por la Secretaria de Desarrollo Urbano y Vivienda de la Ciudad de México, ya que este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tiene por objeto dirimir las controversias de carácter administrativo y fiscal que se susciten entre la administración pública del Estado de México, municipios, organismos auxiliares con funciones de autoridad y los particulares.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obstante,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resultó omisa de emitir su aclaración motivo por el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requirió se tenga por atendida la solicitud.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 xml:space="preserve">Motivo por el cual el Sujeto obligado en fecha veintiséis de mayo de dos mil veintitrés, notificó a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un oficio signado por la Titular de </w:t>
      </w:r>
      <w:r>
        <w:rPr>
          <w:rFonts w:ascii="Palatino Linotype" w:eastAsia="Palatino Linotype" w:hAnsi="Palatino Linotype" w:cs="Palatino Linotype"/>
          <w:sz w:val="24"/>
          <w:szCs w:val="24"/>
        </w:rPr>
        <w:lastRenderedPageBreak/>
        <w:t xml:space="preserve">la Unidad de Información, Planeación, Programación y Evaluación, mediante el cual menciona que la petición realizada no fue presentada dentro de los diez días hábiles a los que tiene derecho el solicitante los que transcurrieron a partir del once de mayo siendo que el día uno, hasta el día diez, fenecido el plazo para aportar mayores elementos, requiriendo se tenga por atendida la solicitud. </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al presentar el recurso de revisión que nos ocupa, se inconforma por la respuesta de la siguiente forma. </w:t>
      </w:r>
    </w:p>
    <w:p w:rsidR="00722D29" w:rsidRDefault="00722D29">
      <w:pPr>
        <w:spacing w:line="360" w:lineRule="auto"/>
        <w:jc w:val="both"/>
        <w:rPr>
          <w:rFonts w:ascii="Palatino Linotype" w:eastAsia="Palatino Linotype" w:hAnsi="Palatino Linotype" w:cs="Palatino Linotype"/>
          <w:sz w:val="24"/>
          <w:szCs w:val="24"/>
        </w:rPr>
      </w:pPr>
    </w:p>
    <w:p w:rsidR="00722D29" w:rsidRDefault="009F4277">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722D29" w:rsidRDefault="009F4277">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respuesta contenida en el acuerdo No. 00088/TRIJAEM/IP/2023, recaída a la solicitud de folio 00088/TRIJAEM/IP/2023</w:t>
      </w:r>
      <w:r>
        <w:rPr>
          <w:rFonts w:ascii="Palatino Linotype" w:eastAsia="Palatino Linotype" w:hAnsi="Palatino Linotype" w:cs="Palatino Linotype"/>
          <w:i/>
        </w:rPr>
        <w:t>” [sic]</w:t>
      </w:r>
    </w:p>
    <w:p w:rsidR="00722D29" w:rsidRDefault="009F4277">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722D29" w:rsidRDefault="009F4277">
      <w:pPr>
        <w:spacing w:before="24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Los expresados en el escrito de agravios que incluyen: No se turnó la solicitud a las áreas competentes No se realizó una búsqueda exhaustiva ni en Libros de Gobierno” </w:t>
      </w:r>
      <w:r>
        <w:rPr>
          <w:rFonts w:ascii="Palatino Linotype" w:eastAsia="Palatino Linotype" w:hAnsi="Palatino Linotype" w:cs="Palatino Linotype"/>
          <w:i/>
        </w:rPr>
        <w:t>[sic]</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Asimismo, adjuntó un archivo en el describe las constancias que obran en el SAIMEX y expone los motivos de inconformidad a la respuesta otorgada a la solicitud de información 00088/TRIJAEM/IP/2023, solicitud, que resulta ser distinta a la que dio origen al recurso de revisión citado al rubro. </w:t>
      </w:r>
    </w:p>
    <w:p w:rsidR="00722D29" w:rsidRDefault="00722D29">
      <w:pPr>
        <w:spacing w:after="0" w:line="360" w:lineRule="auto"/>
        <w:jc w:val="both"/>
        <w:rPr>
          <w:rFonts w:ascii="Palatino Linotype" w:eastAsia="Palatino Linotype" w:hAnsi="Palatino Linotype" w:cs="Palatino Linotype"/>
          <w:color w:val="000000"/>
          <w:sz w:val="24"/>
          <w:szCs w:val="24"/>
        </w:rPr>
      </w:pPr>
    </w:p>
    <w:p w:rsidR="00722D29" w:rsidRDefault="009F427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Ahora bien de la lectura a los motivos de inconformidad se advierte que estos no corresponden a la solicitud con número de folio 00100/TRIJAEM/IP/2023</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ya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se adolece por la solicitud de información 00088/TRIJAEM/IP/2023.</w:t>
      </w:r>
    </w:p>
    <w:p w:rsidR="00722D29" w:rsidRDefault="00722D29">
      <w:pPr>
        <w:spacing w:after="0" w:line="360" w:lineRule="auto"/>
        <w:jc w:val="both"/>
        <w:rPr>
          <w:rFonts w:ascii="Palatino Linotype" w:eastAsia="Palatino Linotype" w:hAnsi="Palatino Linotype" w:cs="Palatino Linotype"/>
          <w:color w:val="000000"/>
          <w:sz w:val="24"/>
          <w:szCs w:val="24"/>
        </w:rPr>
      </w:pPr>
    </w:p>
    <w:p w:rsidR="00722D29" w:rsidRDefault="009F4277">
      <w:pPr>
        <w:widowControl w:val="0"/>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efecto, atentos a la inconformidad planteada resulta necesario señalar que la misma no versa ni sobre la materia de la solicitud de información inicial, ni sobre el contenido de la respuesta emitida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en esa virtud, no se actualiza ninguna causal de procedencia, al acreditarse con las constancias que integran el expediente, que las razones o motivos de inconformidad no guardan relación con la solicitud inicial, es por ello que se actualiza la causal de improcedencia prevista en la fracción IV del artículo 192 de la Ley en la materia, en relación con la fracción III del artículo 191 del mismo ordenamiento, disposiciones normativas que señalan: </w:t>
      </w:r>
    </w:p>
    <w:p w:rsidR="00722D29" w:rsidRDefault="00722D29">
      <w:pPr>
        <w:widowControl w:val="0"/>
        <w:spacing w:after="0" w:line="276" w:lineRule="auto"/>
        <w:ind w:right="51"/>
        <w:jc w:val="both"/>
        <w:rPr>
          <w:rFonts w:ascii="Palatino Linotype" w:eastAsia="Palatino Linotype" w:hAnsi="Palatino Linotype" w:cs="Palatino Linotype"/>
          <w:color w:val="000000"/>
          <w:sz w:val="28"/>
          <w:szCs w:val="28"/>
        </w:rPr>
      </w:pPr>
    </w:p>
    <w:p w:rsidR="00722D29" w:rsidRDefault="009F4277">
      <w:pPr>
        <w:tabs>
          <w:tab w:val="left" w:pos="7938"/>
        </w:tabs>
        <w:spacing w:line="276" w:lineRule="auto"/>
        <w:ind w:left="851" w:right="62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“Artículo 191. El recurso será desechado por improcedente cuando: </w:t>
      </w:r>
    </w:p>
    <w:p w:rsidR="00722D29" w:rsidRDefault="009F4277">
      <w:pPr>
        <w:tabs>
          <w:tab w:val="left" w:pos="7938"/>
        </w:tabs>
        <w:spacing w:line="276" w:lineRule="auto"/>
        <w:ind w:left="851" w:right="620"/>
        <w:jc w:val="both"/>
        <w:rPr>
          <w:rFonts w:ascii="Palatino Linotype" w:eastAsia="Palatino Linotype" w:hAnsi="Palatino Linotype" w:cs="Palatino Linotype"/>
          <w:b/>
          <w:i/>
        </w:rPr>
      </w:pPr>
      <w:r>
        <w:rPr>
          <w:rFonts w:ascii="Palatino Linotype" w:eastAsia="Palatino Linotype" w:hAnsi="Palatino Linotype" w:cs="Palatino Linotype"/>
          <w:b/>
          <w:i/>
        </w:rPr>
        <w:t>III. No se actualice alguno de los supuestos previstos en la Ley.</w:t>
      </w:r>
    </w:p>
    <w:p w:rsidR="00722D29" w:rsidRDefault="009F4277">
      <w:pPr>
        <w:tabs>
          <w:tab w:val="left" w:pos="7938"/>
        </w:tabs>
        <w:spacing w:line="276" w:lineRule="auto"/>
        <w:ind w:left="851" w:right="620"/>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722D29" w:rsidRDefault="009F4277">
      <w:pPr>
        <w:tabs>
          <w:tab w:val="left" w:pos="7938"/>
        </w:tabs>
        <w:spacing w:line="276" w:lineRule="auto"/>
        <w:ind w:left="851" w:right="62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Artículo 192. El recurso será </w:t>
      </w:r>
      <w:r>
        <w:rPr>
          <w:rFonts w:ascii="Palatino Linotype" w:eastAsia="Palatino Linotype" w:hAnsi="Palatino Linotype" w:cs="Palatino Linotype"/>
          <w:b/>
          <w:i/>
          <w:u w:val="single"/>
        </w:rPr>
        <w:t>sobreseído</w:t>
      </w:r>
      <w:r>
        <w:rPr>
          <w:rFonts w:ascii="Palatino Linotype" w:eastAsia="Palatino Linotype" w:hAnsi="Palatino Linotype" w:cs="Palatino Linotype"/>
          <w:b/>
          <w:i/>
        </w:rPr>
        <w:t>, en todo o en parte, cuando una vez admitido, se actualicen alguno de los siguientes supuestos:</w:t>
      </w:r>
    </w:p>
    <w:p w:rsidR="00722D29" w:rsidRDefault="009F4277">
      <w:pPr>
        <w:tabs>
          <w:tab w:val="left" w:pos="7938"/>
        </w:tabs>
        <w:spacing w:line="276" w:lineRule="auto"/>
        <w:ind w:left="851" w:right="620"/>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722D29" w:rsidRDefault="009F4277">
      <w:pPr>
        <w:tabs>
          <w:tab w:val="left" w:pos="7938"/>
        </w:tabs>
        <w:spacing w:line="276" w:lineRule="auto"/>
        <w:ind w:left="851" w:right="620"/>
        <w:jc w:val="both"/>
        <w:rPr>
          <w:rFonts w:ascii="Palatino Linotype" w:eastAsia="Palatino Linotype" w:hAnsi="Palatino Linotype" w:cs="Palatino Linotype"/>
          <w:b/>
          <w:i/>
        </w:rPr>
      </w:pPr>
      <w:r>
        <w:rPr>
          <w:rFonts w:ascii="Palatino Linotype" w:eastAsia="Palatino Linotype" w:hAnsi="Palatino Linotype" w:cs="Palatino Linotype"/>
          <w:b/>
          <w:i/>
        </w:rPr>
        <w:t>IV. Admitido el recurso de revisión aparezca alguna causal de improcedencia en términos de la presente Ley… (Sic)”</w:t>
      </w:r>
    </w:p>
    <w:p w:rsidR="00722D29" w:rsidRDefault="00722D29">
      <w:pPr>
        <w:tabs>
          <w:tab w:val="left" w:pos="7938"/>
        </w:tabs>
        <w:spacing w:before="120" w:after="120"/>
        <w:ind w:right="902"/>
        <w:jc w:val="both"/>
        <w:rPr>
          <w:rFonts w:ascii="Palatino Linotype" w:eastAsia="Palatino Linotype" w:hAnsi="Palatino Linotype" w:cs="Palatino Linotype"/>
          <w:b/>
          <w:i/>
        </w:rPr>
      </w:pPr>
    </w:p>
    <w:p w:rsidR="00722D29" w:rsidRDefault="009F427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consiguiente, en estricto derecho la alegación de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xml:space="preserve"> se califican de inoperantes; </w:t>
      </w:r>
      <w:r>
        <w:rPr>
          <w:rFonts w:ascii="Palatino Linotype" w:eastAsia="Palatino Linotype" w:hAnsi="Palatino Linotype" w:cs="Palatino Linotype"/>
          <w:sz w:val="24"/>
          <w:szCs w:val="24"/>
        </w:rPr>
        <w:t xml:space="preserve">motivo por el cual lo procedente es sobreseer el recurso de revisión; </w:t>
      </w:r>
      <w:r>
        <w:rPr>
          <w:rFonts w:ascii="Palatino Linotype" w:eastAsia="Palatino Linotype" w:hAnsi="Palatino Linotype" w:cs="Palatino Linotype"/>
          <w:color w:val="000000"/>
          <w:sz w:val="24"/>
          <w:szCs w:val="24"/>
        </w:rPr>
        <w:t>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 la cual constituye un criterio orientador para este Órgano Garante, que pone en aptitudes de poder sobreseer el presente recurso de revisión, lo que en el caso particular, se tiene por acreditada la inexistencia del acto reclamado, quedando sin materia el presente asunto.</w:t>
      </w:r>
    </w:p>
    <w:p w:rsidR="00722D29" w:rsidRDefault="00722D29">
      <w:pPr>
        <w:spacing w:after="0" w:line="360" w:lineRule="auto"/>
        <w:jc w:val="both"/>
        <w:rPr>
          <w:rFonts w:ascii="Palatino Linotype" w:eastAsia="Palatino Linotype" w:hAnsi="Palatino Linotype" w:cs="Palatino Linotype"/>
          <w:color w:val="000000"/>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Derivado de lo expuesto, es necesario hacer del conocimiento de la persona solicitante que, de la simple lectura a su Recurso de Revisión, se desprende que</w:t>
      </w:r>
      <w:r>
        <w:rPr>
          <w:rFonts w:ascii="Palatino Linotype" w:eastAsia="Palatino Linotype" w:hAnsi="Palatino Linotype" w:cs="Palatino Linotype"/>
          <w:b/>
          <w:sz w:val="24"/>
          <w:szCs w:val="24"/>
          <w:u w:val="single"/>
        </w:rPr>
        <w:t xml:space="preserve"> las razones o motivos de inconformidad hechas valer, no corresponden ni con la solicitud, ni con la respuesta del SUJETO OBLIGADO para atender su requerimiento de información,</w:t>
      </w:r>
      <w:r>
        <w:rPr>
          <w:rFonts w:ascii="Palatino Linotype" w:eastAsia="Palatino Linotype" w:hAnsi="Palatino Linotype" w:cs="Palatino Linotype"/>
          <w:sz w:val="24"/>
          <w:szCs w:val="24"/>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tales circunstancias, este Instituto se encuentra impedido a entrar al estudio de fondo, en virtud que la particular no manifestó razones o motivos de inconformidad, relacionados con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 fin de atender su solicitud de acceso.</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0" w:line="360" w:lineRule="auto"/>
        <w:ind w:right="9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en virtud de los argumentos expuestos con anterioridad, así como del análisis realizado a las constancias que obran en el expediente electrónico, toda vez que no se actualizó algún supuesto de procedencia, se determina </w:t>
      </w:r>
      <w:r>
        <w:rPr>
          <w:rFonts w:ascii="Palatino Linotype" w:eastAsia="Palatino Linotype" w:hAnsi="Palatino Linotype" w:cs="Palatino Linotype"/>
          <w:i/>
          <w:sz w:val="24"/>
          <w:szCs w:val="24"/>
        </w:rPr>
        <w:t xml:space="preserve">sobreseer </w:t>
      </w:r>
      <w:r>
        <w:rPr>
          <w:rFonts w:ascii="Palatino Linotype" w:eastAsia="Palatino Linotype" w:hAnsi="Palatino Linotype" w:cs="Palatino Linotype"/>
          <w:sz w:val="24"/>
          <w:szCs w:val="24"/>
        </w:rPr>
        <w:t xml:space="preserve">el presente recurso de revisión. </w:t>
      </w:r>
    </w:p>
    <w:p w:rsidR="00722D29" w:rsidRDefault="00722D29">
      <w:pPr>
        <w:spacing w:after="0" w:line="360" w:lineRule="auto"/>
        <w:ind w:right="96"/>
        <w:jc w:val="both"/>
        <w:rPr>
          <w:rFonts w:ascii="Palatino Linotype" w:eastAsia="Palatino Linotype" w:hAnsi="Palatino Linotype" w:cs="Palatino Linotype"/>
          <w:sz w:val="24"/>
          <w:szCs w:val="24"/>
        </w:rPr>
      </w:pPr>
    </w:p>
    <w:p w:rsidR="00722D29" w:rsidRDefault="009F4277">
      <w:pPr>
        <w:spacing w:after="0" w:line="360" w:lineRule="auto"/>
        <w:ind w:right="9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Siendo el </w:t>
      </w:r>
      <w:r>
        <w:rPr>
          <w:rFonts w:ascii="Palatino Linotype" w:eastAsia="Palatino Linotype" w:hAnsi="Palatino Linotype" w:cs="Palatino Linotype"/>
          <w:i/>
          <w:sz w:val="24"/>
          <w:szCs w:val="24"/>
        </w:rPr>
        <w:t>sobreseimiento</w:t>
      </w:r>
      <w:r>
        <w:rPr>
          <w:rFonts w:ascii="Palatino Linotype" w:eastAsia="Palatino Linotype" w:hAnsi="Palatino Linotype" w:cs="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722D29" w:rsidRDefault="00722D29">
      <w:pPr>
        <w:spacing w:after="0" w:line="360" w:lineRule="auto"/>
        <w:ind w:right="96"/>
        <w:jc w:val="both"/>
        <w:rPr>
          <w:rFonts w:ascii="Palatino Linotype" w:eastAsia="Palatino Linotype" w:hAnsi="Palatino Linotype" w:cs="Palatino Linotype"/>
          <w:b/>
          <w:i/>
          <w:sz w:val="24"/>
          <w:szCs w:val="24"/>
        </w:rPr>
      </w:pPr>
    </w:p>
    <w:p w:rsidR="00722D29" w:rsidRDefault="009F4277">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SOBRESEIMIENTO, NO PERMITE ENTRAR AL ESTUDIO DE LAS CUESTIONES DE FONDO</w:t>
      </w:r>
    </w:p>
    <w:p w:rsidR="00722D29" w:rsidRDefault="009F4277">
      <w:pPr>
        <w:spacing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rsidR="00722D29" w:rsidRDefault="009F4277">
      <w:pPr>
        <w:spacing w:before="120"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722D29" w:rsidRDefault="00722D29">
      <w:pPr>
        <w:spacing w:after="0" w:line="360" w:lineRule="auto"/>
        <w:ind w:left="851" w:right="902"/>
        <w:jc w:val="both"/>
        <w:rPr>
          <w:rFonts w:ascii="Palatino Linotype" w:eastAsia="Palatino Linotype" w:hAnsi="Palatino Linotype" w:cs="Palatino Linotype"/>
          <w:i/>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spacing w:after="12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“DESECHAMIENTO O SOBRESEIMIENTO EN EL JUICIO DE AMPARO. NO IMPLICA DENEGACIÓN DE JUSTICIA NI GENERA INSEGURIDAD JURÍDICA”</w:t>
      </w:r>
    </w:p>
    <w:p w:rsidR="00722D29" w:rsidRDefault="009F4277">
      <w:pPr>
        <w:spacing w:before="120" w:after="120" w:line="276"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Pr>
          <w:rFonts w:ascii="Palatino Linotype" w:eastAsia="Palatino Linotype" w:hAnsi="Palatino Linotype" w:cs="Palatino Linotype"/>
          <w:i/>
        </w:rPr>
        <w:t>promovente</w:t>
      </w:r>
      <w:proofErr w:type="spellEnd"/>
      <w:r>
        <w:rPr>
          <w:rFonts w:ascii="Palatino Linotype" w:eastAsia="Palatino Linotype" w:hAnsi="Palatino Linotype" w:cs="Palatino Linotype"/>
          <w:i/>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Pr>
          <w:rFonts w:ascii="Palatino Linotype" w:eastAsia="Palatino Linotype" w:hAnsi="Palatino Linotype" w:cs="Palatino Linotype"/>
        </w:rPr>
        <w:tab/>
      </w:r>
    </w:p>
    <w:p w:rsidR="00722D29" w:rsidRDefault="00722D29">
      <w:pPr>
        <w:spacing w:before="120" w:after="120" w:line="276" w:lineRule="auto"/>
        <w:ind w:left="851" w:right="902"/>
        <w:jc w:val="both"/>
        <w:rPr>
          <w:rFonts w:ascii="Palatino Linotype" w:eastAsia="Palatino Linotype" w:hAnsi="Palatino Linotype" w:cs="Palatino Linotype"/>
          <w:i/>
        </w:rPr>
      </w:pPr>
    </w:p>
    <w:p w:rsidR="00722D29" w:rsidRDefault="009F4277">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Bajo ese tenor con fundamento en la segunda hipótesis de la fracción I del artículo 186, de la Ley de Transparencia y Acceso a la Información Pública del Estado de México y Municipios, se </w:t>
      </w:r>
      <w:r>
        <w:rPr>
          <w:rFonts w:ascii="Palatino Linotype" w:eastAsia="Palatino Linotype" w:hAnsi="Palatino Linotype" w:cs="Palatino Linotype"/>
          <w:b/>
          <w:sz w:val="24"/>
          <w:szCs w:val="24"/>
        </w:rPr>
        <w:t xml:space="preserve">Sobresee </w:t>
      </w:r>
      <w:r>
        <w:rPr>
          <w:rFonts w:ascii="Palatino Linotype" w:eastAsia="Palatino Linotype" w:hAnsi="Palatino Linotype" w:cs="Palatino Linotype"/>
          <w:sz w:val="24"/>
          <w:szCs w:val="24"/>
        </w:rPr>
        <w:t xml:space="preserve">el recurso de revisión </w:t>
      </w:r>
      <w:r>
        <w:rPr>
          <w:rFonts w:ascii="Palatino Linotype" w:eastAsia="Palatino Linotype" w:hAnsi="Palatino Linotype" w:cs="Palatino Linotype"/>
          <w:b/>
          <w:color w:val="000000"/>
          <w:sz w:val="24"/>
          <w:szCs w:val="24"/>
        </w:rPr>
        <w:t>03354/INFOEM/IP/RR/2023</w:t>
      </w:r>
      <w:r>
        <w:rPr>
          <w:rFonts w:ascii="Palatino Linotype" w:eastAsia="Palatino Linotype" w:hAnsi="Palatino Linotype" w:cs="Palatino Linotype"/>
          <w:sz w:val="24"/>
          <w:szCs w:val="24"/>
        </w:rPr>
        <w:t>, que ha sido materia del presente fallo.</w:t>
      </w:r>
    </w:p>
    <w:p w:rsidR="00722D29" w:rsidRDefault="00722D29">
      <w:pPr>
        <w:spacing w:line="360" w:lineRule="auto"/>
        <w:jc w:val="both"/>
        <w:rPr>
          <w:rFonts w:ascii="Palatino Linotype" w:eastAsia="Palatino Linotype" w:hAnsi="Palatino Linotype" w:cs="Palatino Linotype"/>
          <w:color w:val="FF0000"/>
          <w:sz w:val="24"/>
          <w:szCs w:val="24"/>
        </w:rPr>
      </w:pPr>
      <w:bookmarkStart w:id="2" w:name="_heading=h.gjdgxs" w:colFirst="0" w:colLast="0"/>
      <w:bookmarkEnd w:id="2"/>
    </w:p>
    <w:p w:rsidR="00722D29" w:rsidRDefault="009F4277">
      <w:pPr>
        <w:pBdr>
          <w:top w:val="nil"/>
          <w:left w:val="nil"/>
          <w:bottom w:val="nil"/>
          <w:right w:val="nil"/>
          <w:between w:val="nil"/>
        </w:pBdr>
        <w:spacing w:before="160"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rsidR="00722D29" w:rsidRDefault="00722D29">
      <w:p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p>
    <w:p w:rsidR="00722D29" w:rsidRDefault="009F4277">
      <w:pPr>
        <w:tabs>
          <w:tab w:val="left" w:pos="7936"/>
        </w:tabs>
        <w:spacing w:after="0" w:line="360" w:lineRule="auto"/>
        <w:jc w:val="both"/>
        <w:rPr>
          <w:rFonts w:ascii="Palatino Linotype" w:eastAsia="Palatino Linotype" w:hAnsi="Palatino Linotype" w:cs="Palatino Linotype"/>
          <w:sz w:val="24"/>
          <w:szCs w:val="24"/>
        </w:rPr>
      </w:pPr>
      <w:bookmarkStart w:id="3" w:name="_heading=h.3dy6vkm" w:colFirst="0" w:colLast="0"/>
      <w:bookmarkEnd w:id="3"/>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SOBRESEE</w:t>
      </w:r>
      <w:r>
        <w:rPr>
          <w:rFonts w:ascii="Palatino Linotype" w:eastAsia="Palatino Linotype" w:hAnsi="Palatino Linotype" w:cs="Palatino Linotype"/>
          <w:sz w:val="24"/>
          <w:szCs w:val="24"/>
        </w:rPr>
        <w:t xml:space="preserve"> por improcedente el recurso de revisión </w:t>
      </w:r>
      <w:r>
        <w:rPr>
          <w:rFonts w:ascii="Palatino Linotype" w:eastAsia="Palatino Linotype" w:hAnsi="Palatino Linotype" w:cs="Palatino Linotype"/>
          <w:b/>
          <w:sz w:val="24"/>
          <w:szCs w:val="24"/>
        </w:rPr>
        <w:t xml:space="preserve">03354/INFOEM/IP/RR/2023, </w:t>
      </w:r>
      <w:r>
        <w:rPr>
          <w:rFonts w:ascii="Palatino Linotype" w:eastAsia="Palatino Linotype" w:hAnsi="Palatino Linotype" w:cs="Palatino Linotype"/>
          <w:sz w:val="24"/>
          <w:szCs w:val="24"/>
        </w:rPr>
        <w:t xml:space="preserve">por actualizarse la fracción IV del artículo 192, en relación con la fracción III del artículo 191, ambos, de la Ley de Transparencia y Acceso a la Información Pública del Estado de México y Municipios, en términos del </w:t>
      </w:r>
      <w:r>
        <w:rPr>
          <w:rFonts w:ascii="Palatino Linotype" w:eastAsia="Palatino Linotype" w:hAnsi="Palatino Linotype" w:cs="Palatino Linotype"/>
          <w:b/>
          <w:sz w:val="24"/>
          <w:szCs w:val="24"/>
        </w:rPr>
        <w:t>Considerando Tercero</w:t>
      </w:r>
      <w:r>
        <w:rPr>
          <w:rFonts w:ascii="Palatino Linotype" w:eastAsia="Palatino Linotype" w:hAnsi="Palatino Linotype" w:cs="Palatino Linotype"/>
          <w:sz w:val="24"/>
          <w:szCs w:val="24"/>
        </w:rPr>
        <w:t xml:space="preserve"> de la presente resolución.</w:t>
      </w:r>
    </w:p>
    <w:p w:rsidR="00722D29" w:rsidRDefault="00722D29">
      <w:pPr>
        <w:spacing w:after="0" w:line="360" w:lineRule="auto"/>
        <w:jc w:val="both"/>
        <w:rPr>
          <w:rFonts w:ascii="Palatino Linotype" w:eastAsia="Palatino Linotype" w:hAnsi="Palatino Linotype" w:cs="Palatino Linotype"/>
          <w:b/>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bookmarkStart w:id="4" w:name="_heading=h.17dp8vu" w:colFirst="0" w:colLast="0"/>
      <w:bookmarkEnd w:id="4"/>
      <w:r>
        <w:rPr>
          <w:rFonts w:ascii="Palatino Linotype" w:eastAsia="Palatino Linotype" w:hAnsi="Palatino Linotype" w:cs="Palatino Linotype"/>
          <w:b/>
          <w:sz w:val="24"/>
          <w:szCs w:val="24"/>
        </w:rPr>
        <w:t>SEGUNDO. Notifíquese</w:t>
      </w:r>
      <w:r>
        <w:rPr>
          <w:rFonts w:ascii="Palatino Linotype" w:eastAsia="Palatino Linotype" w:hAnsi="Palatino Linotype" w:cs="Palatino Linotype"/>
          <w:sz w:val="24"/>
          <w:szCs w:val="24"/>
        </w:rPr>
        <w:t xml:space="preserve"> vía </w:t>
      </w:r>
      <w:r>
        <w:rPr>
          <w:rFonts w:ascii="Palatino Linotype" w:eastAsia="Palatino Linotype" w:hAnsi="Palatino Linotype" w:cs="Palatino Linotype"/>
          <w:b/>
          <w:sz w:val="24"/>
          <w:szCs w:val="24"/>
        </w:rPr>
        <w:t xml:space="preserve">SAIMEX </w:t>
      </w:r>
      <w:r>
        <w:rPr>
          <w:rFonts w:ascii="Palatino Linotype" w:eastAsia="Palatino Linotype" w:hAnsi="Palatino Linotype" w:cs="Palatino Linotype"/>
          <w:sz w:val="24"/>
          <w:szCs w:val="24"/>
        </w:rPr>
        <w:t xml:space="preserve">la presente resolución a la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para su conocimiento, lo anterior en términos del artículo 189 de la Ley de Transparencia y Acceso a la Información Pública del Estado de México y Municipios.</w:t>
      </w:r>
    </w:p>
    <w:p w:rsidR="00722D29" w:rsidRDefault="00722D29">
      <w:pPr>
        <w:spacing w:after="0" w:line="360" w:lineRule="auto"/>
        <w:jc w:val="both"/>
        <w:rPr>
          <w:rFonts w:ascii="Palatino Linotype" w:eastAsia="Palatino Linotype" w:hAnsi="Palatino Linotype" w:cs="Palatino Linotype"/>
          <w:sz w:val="24"/>
          <w:szCs w:val="24"/>
        </w:rPr>
      </w:pPr>
    </w:p>
    <w:p w:rsidR="00722D29" w:rsidRDefault="009F4277">
      <w:pPr>
        <w:tabs>
          <w:tab w:val="left" w:pos="8647"/>
        </w:tabs>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 vía SAIMEX</w:t>
      </w:r>
      <w:r w:rsidR="00797E69">
        <w:rPr>
          <w:rFonts w:ascii="Palatino Linotype" w:eastAsia="Palatino Linotype" w:hAnsi="Palatino Linotype" w:cs="Palatino Linotype"/>
          <w:b/>
          <w:sz w:val="24"/>
          <w:szCs w:val="24"/>
        </w:rPr>
        <w:t xml:space="preserve"> </w:t>
      </w:r>
      <w:r w:rsidR="00797E69" w:rsidRPr="00797E69">
        <w:rPr>
          <w:rFonts w:ascii="Palatino Linotype" w:eastAsia="Palatino Linotype" w:hAnsi="Palatino Linotype" w:cs="Palatino Linotype"/>
          <w:b/>
          <w:sz w:val="24"/>
          <w:szCs w:val="24"/>
          <w:highlight w:val="yellow"/>
        </w:rPr>
        <w:t>y correo electrónico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b/>
          <w:sz w:val="24"/>
          <w:szCs w:val="24"/>
        </w:rPr>
        <w:t xml:space="preserve"> </w:t>
      </w:r>
      <w:r w:rsidR="00797E69" w:rsidRPr="00797E69">
        <w:rPr>
          <w:rFonts w:ascii="Palatino Linotype" w:eastAsia="Palatino Linotype" w:hAnsi="Palatino Linotype" w:cs="Palatino Linotype"/>
          <w:b/>
          <w:sz w:val="24"/>
          <w:szCs w:val="24"/>
        </w:rPr>
        <w:t>LA PARTE</w:t>
      </w:r>
      <w:r w:rsidR="00797E69">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y hágase del conocimiento que en caso de que considere que la presente resolución le causa algún perjuicio, podrá promover el Juicio de Amparo en los términos de las leyes aplicables, de acuerdo a lo </w:t>
      </w:r>
      <w:r>
        <w:rPr>
          <w:rFonts w:ascii="Palatino Linotype" w:eastAsia="Palatino Linotype" w:hAnsi="Palatino Linotype" w:cs="Palatino Linotype"/>
          <w:sz w:val="24"/>
          <w:szCs w:val="24"/>
        </w:rPr>
        <w:lastRenderedPageBreak/>
        <w:t>estipulado por el artículo 196 de la Ley de Transparencia y Acceso a la Información Pública del Estado de México y Municipios.</w:t>
      </w:r>
    </w:p>
    <w:p w:rsidR="00722D29" w:rsidRDefault="00722D29">
      <w:pPr>
        <w:tabs>
          <w:tab w:val="left" w:pos="8647"/>
        </w:tabs>
        <w:spacing w:after="0" w:line="360" w:lineRule="auto"/>
        <w:ind w:right="51"/>
        <w:jc w:val="both"/>
        <w:rPr>
          <w:rFonts w:ascii="Palatino Linotype" w:eastAsia="Palatino Linotype" w:hAnsi="Palatino Linotype" w:cs="Palatino Linotype"/>
          <w:sz w:val="24"/>
          <w:szCs w:val="24"/>
        </w:rPr>
      </w:pPr>
    </w:p>
    <w:p w:rsidR="00722D29" w:rsidRDefault="009F427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VEINTINUEVE DE NOVIEMBRE DE DOS MIL VEINTITRÉS, ANTE EL SECRETARIO TÉCNICO DEL PLENO ALEXIS TAPIA RAMÍREZ.</w:t>
      </w:r>
    </w:p>
    <w:p w:rsidR="00722D29" w:rsidRDefault="00722D29">
      <w:pPr>
        <w:spacing w:after="0" w:line="360" w:lineRule="auto"/>
        <w:jc w:val="both"/>
        <w:rPr>
          <w:rFonts w:ascii="Palatino Linotype" w:eastAsia="Palatino Linotype" w:hAnsi="Palatino Linotype" w:cs="Palatino Linotype"/>
          <w:sz w:val="32"/>
          <w:szCs w:val="32"/>
        </w:rPr>
      </w:pPr>
    </w:p>
    <w:p w:rsidR="00722D29" w:rsidRDefault="00722D29">
      <w:pPr>
        <w:spacing w:line="360" w:lineRule="auto"/>
        <w:jc w:val="both"/>
        <w:rPr>
          <w:rFonts w:ascii="Palatino Linotype" w:eastAsia="Palatino Linotype" w:hAnsi="Palatino Linotype" w:cs="Palatino Linotype"/>
          <w:color w:val="000000"/>
          <w:sz w:val="24"/>
          <w:szCs w:val="24"/>
        </w:rPr>
      </w:pPr>
    </w:p>
    <w:p w:rsidR="00722D29" w:rsidRDefault="00722D29">
      <w:pPr>
        <w:spacing w:after="0" w:line="360" w:lineRule="auto"/>
        <w:rPr>
          <w:rFonts w:ascii="Palatino Linotype" w:eastAsia="Palatino Linotype" w:hAnsi="Palatino Linotype" w:cs="Palatino Linotype"/>
          <w:sz w:val="24"/>
          <w:szCs w:val="24"/>
        </w:rPr>
      </w:pPr>
    </w:p>
    <w:sectPr w:rsidR="00722D29">
      <w:headerReference w:type="default" r:id="rId16"/>
      <w:footerReference w:type="default" r:id="rId17"/>
      <w:headerReference w:type="first" r:id="rId18"/>
      <w:footerReference w:type="first" r:id="rId1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02B" w:rsidRDefault="00D3702B">
      <w:pPr>
        <w:spacing w:after="0" w:line="240" w:lineRule="auto"/>
      </w:pPr>
      <w:r>
        <w:separator/>
      </w:r>
    </w:p>
  </w:endnote>
  <w:endnote w:type="continuationSeparator" w:id="0">
    <w:p w:rsidR="00D3702B" w:rsidRDefault="00D3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D29" w:rsidRDefault="009F4277">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B5F60">
      <w:rPr>
        <w:rFonts w:ascii="Arial" w:eastAsia="Arial" w:hAnsi="Arial" w:cs="Arial"/>
        <w:b/>
        <w:noProof/>
        <w:color w:val="000000"/>
        <w:sz w:val="20"/>
        <w:szCs w:val="20"/>
      </w:rPr>
      <w:t>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B5F60">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rsidR="00722D29" w:rsidRDefault="00722D2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D29" w:rsidRDefault="009F4277">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B5F6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B5F60">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rsidR="00722D29" w:rsidRDefault="00722D2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02B" w:rsidRDefault="00D3702B">
      <w:pPr>
        <w:spacing w:after="0" w:line="240" w:lineRule="auto"/>
      </w:pPr>
      <w:r>
        <w:separator/>
      </w:r>
    </w:p>
  </w:footnote>
  <w:footnote w:type="continuationSeparator" w:id="0">
    <w:p w:rsidR="00D3702B" w:rsidRDefault="00D37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D29" w:rsidRDefault="00722D29">
    <w:pPr>
      <w:widowControl w:val="0"/>
      <w:pBdr>
        <w:top w:val="nil"/>
        <w:left w:val="nil"/>
        <w:bottom w:val="nil"/>
        <w:right w:val="nil"/>
        <w:between w:val="nil"/>
      </w:pBdr>
      <w:spacing w:after="0" w:line="276" w:lineRule="auto"/>
      <w:rPr>
        <w:color w:val="000000"/>
      </w:rPr>
    </w:pPr>
  </w:p>
  <w:tbl>
    <w:tblPr>
      <w:tblStyle w:val="a0"/>
      <w:tblW w:w="10273" w:type="dxa"/>
      <w:tblInd w:w="-1281" w:type="dxa"/>
      <w:tblLayout w:type="fixed"/>
      <w:tblLook w:val="0400" w:firstRow="0" w:lastRow="0" w:firstColumn="0" w:lastColumn="0" w:noHBand="0" w:noVBand="1"/>
    </w:tblPr>
    <w:tblGrid>
      <w:gridCol w:w="5716"/>
      <w:gridCol w:w="4557"/>
    </w:tblGrid>
    <w:tr w:rsidR="00722D29">
      <w:trPr>
        <w:trHeight w:val="246"/>
      </w:trPr>
      <w:tc>
        <w:tcPr>
          <w:tcW w:w="5716" w:type="dxa"/>
        </w:tcPr>
        <w:p w:rsidR="00722D29" w:rsidRDefault="009F427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r>
            <w:rPr>
              <w:noProof/>
            </w:rPr>
            <w:drawing>
              <wp:anchor distT="0" distB="0" distL="0" distR="0" simplePos="0" relativeHeight="251658240" behindDoc="1" locked="0" layoutInCell="1" hidden="0" allowOverlap="1">
                <wp:simplePos x="0" y="0"/>
                <wp:positionH relativeFrom="column">
                  <wp:posOffset>3810</wp:posOffset>
                </wp:positionH>
                <wp:positionV relativeFrom="paragraph">
                  <wp:posOffset>4445</wp:posOffset>
                </wp:positionV>
                <wp:extent cx="7353300" cy="8658225"/>
                <wp:effectExtent l="0" t="0" r="0" b="0"/>
                <wp:wrapNone/>
                <wp:docPr id="4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557" w:type="dxa"/>
        </w:tcPr>
        <w:p w:rsidR="00722D29" w:rsidRDefault="009F4277">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03354/INFOEM/IP/RR/2023.</w:t>
          </w:r>
        </w:p>
      </w:tc>
    </w:tr>
    <w:tr w:rsidR="00722D29">
      <w:trPr>
        <w:trHeight w:val="212"/>
      </w:trPr>
      <w:tc>
        <w:tcPr>
          <w:tcW w:w="5716" w:type="dxa"/>
        </w:tcPr>
        <w:p w:rsidR="00722D29" w:rsidRDefault="009F427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722D29" w:rsidRDefault="00722D29">
          <w:pPr>
            <w:spacing w:after="120"/>
            <w:ind w:left="-252" w:firstLine="567"/>
            <w:jc w:val="right"/>
            <w:rPr>
              <w:rFonts w:ascii="Palatino Linotype" w:eastAsia="Palatino Linotype" w:hAnsi="Palatino Linotype" w:cs="Palatino Linotype"/>
            </w:rPr>
          </w:pPr>
        </w:p>
      </w:tc>
    </w:tr>
    <w:tr w:rsidR="00722D29">
      <w:trPr>
        <w:trHeight w:val="264"/>
      </w:trPr>
      <w:tc>
        <w:tcPr>
          <w:tcW w:w="5716" w:type="dxa"/>
        </w:tcPr>
        <w:p w:rsidR="00722D29" w:rsidRDefault="009F4277">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rsidR="00722D29" w:rsidRDefault="009F4277">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Tribunal de Justicia </w:t>
          </w:r>
          <w:r>
            <w:rPr>
              <w:rFonts w:ascii="Palatino Linotype" w:eastAsia="Palatino Linotype" w:hAnsi="Palatino Linotype" w:cs="Palatino Linotype"/>
              <w:color w:val="000000"/>
            </w:rPr>
            <w:t>Administrativa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FFFFFF"/>
              <w:sz w:val="24"/>
              <w:szCs w:val="24"/>
            </w:rPr>
            <w:t xml:space="preserve">del   </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del</w:t>
          </w:r>
          <w:proofErr w:type="spellEnd"/>
          <w:r>
            <w:rPr>
              <w:rFonts w:ascii="Palatino Linotype" w:eastAsia="Palatino Linotype" w:hAnsi="Palatino Linotype" w:cs="Palatino Linotype"/>
              <w:color w:val="000000"/>
              <w:sz w:val="24"/>
              <w:szCs w:val="24"/>
            </w:rPr>
            <w:t xml:space="preserve"> Estado de México.</w:t>
          </w:r>
        </w:p>
      </w:tc>
    </w:tr>
    <w:tr w:rsidR="00722D29">
      <w:trPr>
        <w:trHeight w:val="373"/>
      </w:trPr>
      <w:tc>
        <w:tcPr>
          <w:tcW w:w="5716" w:type="dxa"/>
        </w:tcPr>
        <w:p w:rsidR="00722D29" w:rsidRDefault="009F4277">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722D29" w:rsidRDefault="009F4277">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722D29" w:rsidRDefault="00722D2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D29" w:rsidRDefault="00722D29">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a"/>
      <w:tblW w:w="10273" w:type="dxa"/>
      <w:tblInd w:w="-1281" w:type="dxa"/>
      <w:tblLayout w:type="fixed"/>
      <w:tblLook w:val="0400" w:firstRow="0" w:lastRow="0" w:firstColumn="0" w:lastColumn="0" w:noHBand="0" w:noVBand="1"/>
    </w:tblPr>
    <w:tblGrid>
      <w:gridCol w:w="5716"/>
      <w:gridCol w:w="4557"/>
    </w:tblGrid>
    <w:tr w:rsidR="00722D29">
      <w:trPr>
        <w:trHeight w:val="246"/>
      </w:trPr>
      <w:tc>
        <w:tcPr>
          <w:tcW w:w="5716" w:type="dxa"/>
        </w:tcPr>
        <w:p w:rsidR="00722D29" w:rsidRDefault="009F427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r>
            <w:rPr>
              <w:noProof/>
            </w:rPr>
            <w:drawing>
              <wp:anchor distT="0" distB="0" distL="0" distR="0" simplePos="0" relativeHeight="251659264" behindDoc="1" locked="0" layoutInCell="1" hidden="0" allowOverlap="1">
                <wp:simplePos x="0" y="0"/>
                <wp:positionH relativeFrom="column">
                  <wp:posOffset>3810</wp:posOffset>
                </wp:positionH>
                <wp:positionV relativeFrom="paragraph">
                  <wp:posOffset>4445</wp:posOffset>
                </wp:positionV>
                <wp:extent cx="7353300" cy="8658225"/>
                <wp:effectExtent l="0" t="0" r="0" b="0"/>
                <wp:wrapNone/>
                <wp:docPr id="3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557" w:type="dxa"/>
        </w:tcPr>
        <w:p w:rsidR="00722D29" w:rsidRDefault="009F4277">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03354/INFOEM/IP/RR/2023.</w:t>
          </w:r>
        </w:p>
      </w:tc>
    </w:tr>
    <w:tr w:rsidR="00722D29">
      <w:trPr>
        <w:trHeight w:val="212"/>
      </w:trPr>
      <w:tc>
        <w:tcPr>
          <w:tcW w:w="5716" w:type="dxa"/>
        </w:tcPr>
        <w:p w:rsidR="00722D29" w:rsidRDefault="009F427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722D29" w:rsidRDefault="002B5F60">
          <w:pPr>
            <w:spacing w:after="120"/>
            <w:ind w:left="-252" w:firstLine="567"/>
            <w:jc w:val="right"/>
            <w:rPr>
              <w:rFonts w:ascii="Palatino Linotype" w:eastAsia="Palatino Linotype" w:hAnsi="Palatino Linotype" w:cs="Palatino Linotype"/>
            </w:rPr>
          </w:pPr>
          <w:r w:rsidRPr="002B5F60">
            <w:rPr>
              <w:rFonts w:ascii="Palatino Linotype" w:eastAsia="Palatino Linotype" w:hAnsi="Palatino Linotype" w:cs="Palatino Linotype"/>
            </w:rPr>
            <w:t>XXXXXXX.</w:t>
          </w:r>
        </w:p>
      </w:tc>
    </w:tr>
    <w:tr w:rsidR="00722D29">
      <w:trPr>
        <w:trHeight w:val="264"/>
      </w:trPr>
      <w:tc>
        <w:tcPr>
          <w:tcW w:w="5716" w:type="dxa"/>
        </w:tcPr>
        <w:p w:rsidR="00722D29" w:rsidRDefault="009F4277">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rsidR="00722D29" w:rsidRDefault="009F4277">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Tribunal de Justicia </w:t>
          </w:r>
          <w:r>
            <w:rPr>
              <w:rFonts w:ascii="Palatino Linotype" w:eastAsia="Palatino Linotype" w:hAnsi="Palatino Linotype" w:cs="Palatino Linotype"/>
              <w:color w:val="000000"/>
            </w:rPr>
            <w:t>Administrativa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FFFFFF"/>
              <w:sz w:val="24"/>
              <w:szCs w:val="24"/>
            </w:rPr>
            <w:t xml:space="preserve">del   </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del</w:t>
          </w:r>
          <w:proofErr w:type="spellEnd"/>
          <w:r>
            <w:rPr>
              <w:rFonts w:ascii="Palatino Linotype" w:eastAsia="Palatino Linotype" w:hAnsi="Palatino Linotype" w:cs="Palatino Linotype"/>
              <w:color w:val="000000"/>
              <w:sz w:val="24"/>
              <w:szCs w:val="24"/>
            </w:rPr>
            <w:t xml:space="preserve"> Estado de México.</w:t>
          </w:r>
        </w:p>
      </w:tc>
    </w:tr>
    <w:tr w:rsidR="00722D29">
      <w:trPr>
        <w:trHeight w:val="373"/>
      </w:trPr>
      <w:tc>
        <w:tcPr>
          <w:tcW w:w="5716" w:type="dxa"/>
        </w:tcPr>
        <w:p w:rsidR="00722D29" w:rsidRDefault="009F4277">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722D29" w:rsidRDefault="009F4277">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722D29" w:rsidRDefault="00722D2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C5E0B"/>
    <w:multiLevelType w:val="multilevel"/>
    <w:tmpl w:val="150E05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2E7F96"/>
    <w:multiLevelType w:val="multilevel"/>
    <w:tmpl w:val="C82AA68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25448C"/>
    <w:multiLevelType w:val="multilevel"/>
    <w:tmpl w:val="DDA0C012"/>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F03FE8"/>
    <w:multiLevelType w:val="multilevel"/>
    <w:tmpl w:val="D57C6E5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29"/>
    <w:rsid w:val="002B5F60"/>
    <w:rsid w:val="00722D29"/>
    <w:rsid w:val="00797E69"/>
    <w:rsid w:val="009F4277"/>
    <w:rsid w:val="00C94E6A"/>
    <w:rsid w:val="00D3702B"/>
    <w:rsid w:val="00F01E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CF12F6-BA81-4F0A-A0C3-5ABD47C3D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68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D76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7687"/>
  </w:style>
  <w:style w:type="paragraph" w:styleId="Piedepgina">
    <w:name w:val="footer"/>
    <w:basedOn w:val="Normal"/>
    <w:link w:val="PiedepginaCar"/>
    <w:uiPriority w:val="99"/>
    <w:unhideWhenUsed/>
    <w:rsid w:val="001D76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7687"/>
  </w:style>
  <w:style w:type="paragraph" w:styleId="Prrafodelista">
    <w:name w:val="List Paragraph"/>
    <w:basedOn w:val="Normal"/>
    <w:uiPriority w:val="34"/>
    <w:qFormat/>
    <w:rsid w:val="00A33C0D"/>
    <w:pPr>
      <w:ind w:left="720"/>
      <w:contextualSpacing/>
    </w:pPr>
    <w:rPr>
      <w:rFonts w:asciiTheme="minorHAnsi" w:eastAsiaTheme="minorHAnsi" w:hAnsiTheme="minorHAnsi" w:cstheme="minorBidi"/>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IhbX/S9pcg/sGnyjz89mPlWk1w==">CgMxLjAyCGguZ2pkZ3hzMgloLjMwajB6bGwyCGguZ2pkZ3hzMgloLjNkeTZ2a20yCWguMTdkcDh2dTgAciExdVZKemZJbkQ0WjdBV29tQzBzVUp1OGdGMGNMQXJGMU8=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4183</Words>
  <Characters>23008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INFOEM505</cp:lastModifiedBy>
  <cp:revision>4</cp:revision>
  <dcterms:created xsi:type="dcterms:W3CDTF">2023-11-28T00:01:00Z</dcterms:created>
  <dcterms:modified xsi:type="dcterms:W3CDTF">2023-12-15T15:38:00Z</dcterms:modified>
</cp:coreProperties>
</file>