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FD632" w14:textId="77777777" w:rsidR="00F16734" w:rsidRPr="0086781A" w:rsidRDefault="00FB681D">
      <w:pPr>
        <w:spacing w:before="240" w:after="240" w:line="360" w:lineRule="auto"/>
        <w:jc w:val="both"/>
        <w:rPr>
          <w:rFonts w:ascii="Palatino Linotype" w:eastAsia="Palatino Linotype" w:hAnsi="Palatino Linotype" w:cs="Palatino Linotype"/>
          <w:b/>
          <w:color w:val="0D0D0D" w:themeColor="text1" w:themeTint="F2"/>
        </w:rPr>
      </w:pPr>
      <w:bookmarkStart w:id="0" w:name="_heading=h.gjdgxs" w:colFirst="0" w:colLast="0"/>
      <w:bookmarkEnd w:id="0"/>
      <w:r w:rsidRPr="0086781A">
        <w:rPr>
          <w:rFonts w:ascii="Palatino Linotype" w:eastAsia="Palatino Linotype" w:hAnsi="Palatino Linotype" w:cs="Palatino Linotype"/>
          <w:color w:val="0D0D0D" w:themeColor="text1" w:themeTint="F2"/>
        </w:rPr>
        <w:t xml:space="preserve">Resolución del Pleno del Instituto de Transparencia, Acceso a la Información Pública y Protección de Datos Personales del Estado de México y Municipios, con domicilio en Metepec, Estado de México, de fecha </w:t>
      </w:r>
      <w:r w:rsidRPr="0086781A">
        <w:rPr>
          <w:rFonts w:ascii="Palatino Linotype" w:eastAsia="Palatino Linotype" w:hAnsi="Palatino Linotype" w:cs="Palatino Linotype"/>
          <w:b/>
          <w:color w:val="0D0D0D" w:themeColor="text1" w:themeTint="F2"/>
        </w:rPr>
        <w:t>veinticuatro de mayo del dos mil veintitrés.</w:t>
      </w:r>
    </w:p>
    <w:p w14:paraId="0C793900"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bookmarkStart w:id="1" w:name="_heading=h.30j0zll" w:colFirst="0" w:colLast="0"/>
      <w:bookmarkEnd w:id="1"/>
      <w:r w:rsidRPr="0086781A">
        <w:rPr>
          <w:rFonts w:ascii="Palatino Linotype" w:eastAsia="Palatino Linotype" w:hAnsi="Palatino Linotype" w:cs="Palatino Linotype"/>
          <w:b/>
          <w:color w:val="0D0D0D" w:themeColor="text1" w:themeTint="F2"/>
        </w:rPr>
        <w:t xml:space="preserve">Visto </w:t>
      </w:r>
      <w:r w:rsidRPr="0086781A">
        <w:rPr>
          <w:rFonts w:ascii="Palatino Linotype" w:eastAsia="Palatino Linotype" w:hAnsi="Palatino Linotype" w:cs="Palatino Linotype"/>
          <w:color w:val="0D0D0D" w:themeColor="text1" w:themeTint="F2"/>
        </w:rPr>
        <w:t xml:space="preserve">el expediente relativo al recurso de revisión </w:t>
      </w:r>
      <w:r w:rsidRPr="0086781A">
        <w:rPr>
          <w:rFonts w:ascii="Palatino Linotype" w:eastAsia="Palatino Linotype" w:hAnsi="Palatino Linotype" w:cs="Palatino Linotype"/>
          <w:b/>
          <w:color w:val="0D0D0D" w:themeColor="text1" w:themeTint="F2"/>
        </w:rPr>
        <w:t>15449/INFOEM/ICR-63/IP/RR/2022</w:t>
      </w:r>
      <w:r w:rsidRPr="0086781A">
        <w:rPr>
          <w:rFonts w:ascii="Palatino Linotype" w:eastAsia="Palatino Linotype" w:hAnsi="Palatino Linotype" w:cs="Palatino Linotype"/>
          <w:color w:val="0D0D0D" w:themeColor="text1" w:themeTint="F2"/>
        </w:rPr>
        <w:t xml:space="preserve">, interpuesto por un </w:t>
      </w:r>
      <w:r w:rsidRPr="0086781A">
        <w:rPr>
          <w:rFonts w:ascii="Palatino Linotype" w:eastAsia="Palatino Linotype" w:hAnsi="Palatino Linotype" w:cs="Palatino Linotype"/>
          <w:b/>
          <w:color w:val="0D0D0D" w:themeColor="text1" w:themeTint="F2"/>
        </w:rPr>
        <w:t>particular de manera anónima,</w:t>
      </w:r>
      <w:r w:rsidRPr="0086781A">
        <w:rPr>
          <w:rFonts w:ascii="Palatino Linotype" w:eastAsia="Palatino Linotype" w:hAnsi="Palatino Linotype" w:cs="Palatino Linotype"/>
          <w:color w:val="0D0D0D" w:themeColor="text1" w:themeTint="F2"/>
        </w:rPr>
        <w:t xml:space="preserve"> en lo sucesivo la </w:t>
      </w:r>
      <w:r w:rsidRPr="0086781A">
        <w:rPr>
          <w:rFonts w:ascii="Palatino Linotype" w:eastAsia="Palatino Linotype" w:hAnsi="Palatino Linotype" w:cs="Palatino Linotype"/>
          <w:b/>
          <w:color w:val="0D0D0D" w:themeColor="text1" w:themeTint="F2"/>
        </w:rPr>
        <w:t>parte Recurrente</w:t>
      </w:r>
      <w:r w:rsidRPr="0086781A">
        <w:rPr>
          <w:rFonts w:ascii="Palatino Linotype" w:eastAsia="Palatino Linotype" w:hAnsi="Palatino Linotype" w:cs="Palatino Linotype"/>
          <w:color w:val="0D0D0D" w:themeColor="text1" w:themeTint="F2"/>
        </w:rPr>
        <w:t xml:space="preserve">, en contra de la falta de respuesta del </w:t>
      </w:r>
      <w:r w:rsidRPr="0086781A">
        <w:rPr>
          <w:rFonts w:ascii="Palatino Linotype" w:eastAsia="Palatino Linotype" w:hAnsi="Palatino Linotype" w:cs="Palatino Linotype"/>
          <w:b/>
          <w:color w:val="0D0D0D" w:themeColor="text1" w:themeTint="F2"/>
        </w:rPr>
        <w:t xml:space="preserve">Ayuntamiento de Zinacantepec, </w:t>
      </w:r>
      <w:r w:rsidRPr="0086781A">
        <w:rPr>
          <w:rFonts w:ascii="Palatino Linotype" w:eastAsia="Palatino Linotype" w:hAnsi="Palatino Linotype" w:cs="Palatino Linotype"/>
          <w:color w:val="0D0D0D" w:themeColor="text1" w:themeTint="F2"/>
        </w:rPr>
        <w:t xml:space="preserve">en lo sucesivo el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 xml:space="preserve">al cumplimiento a la determinación del diverso con número </w:t>
      </w:r>
      <w:r w:rsidRPr="0086781A">
        <w:rPr>
          <w:rFonts w:ascii="Palatino Linotype" w:eastAsia="Palatino Linotype" w:hAnsi="Palatino Linotype" w:cs="Palatino Linotype"/>
          <w:b/>
          <w:color w:val="0D0D0D" w:themeColor="text1" w:themeTint="F2"/>
        </w:rPr>
        <w:t>15449/INFOEM/IP/RR/</w:t>
      </w:r>
      <w:proofErr w:type="gramStart"/>
      <w:r w:rsidRPr="0086781A">
        <w:rPr>
          <w:rFonts w:ascii="Palatino Linotype" w:eastAsia="Palatino Linotype" w:hAnsi="Palatino Linotype" w:cs="Palatino Linotype"/>
          <w:b/>
          <w:color w:val="0D0D0D" w:themeColor="text1" w:themeTint="F2"/>
        </w:rPr>
        <w:t xml:space="preserve">2022  </w:t>
      </w:r>
      <w:r w:rsidRPr="0086781A">
        <w:rPr>
          <w:rFonts w:ascii="Palatino Linotype" w:eastAsia="Palatino Linotype" w:hAnsi="Palatino Linotype" w:cs="Palatino Linotype"/>
          <w:color w:val="0D0D0D" w:themeColor="text1" w:themeTint="F2"/>
        </w:rPr>
        <w:t>se</w:t>
      </w:r>
      <w:proofErr w:type="gramEnd"/>
      <w:r w:rsidRPr="0086781A">
        <w:rPr>
          <w:rFonts w:ascii="Palatino Linotype" w:eastAsia="Palatino Linotype" w:hAnsi="Palatino Linotype" w:cs="Palatino Linotype"/>
          <w:color w:val="0D0D0D" w:themeColor="text1" w:themeTint="F2"/>
        </w:rPr>
        <w:t xml:space="preserve"> procede a dictar la presente resolución con base en los siguientes: </w:t>
      </w:r>
    </w:p>
    <w:p w14:paraId="218C59CB" w14:textId="77777777" w:rsidR="00F16734" w:rsidRPr="0086781A" w:rsidRDefault="00FB681D">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I. A N T E C E D E N T E S</w:t>
      </w:r>
    </w:p>
    <w:p w14:paraId="205D7B58"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1. Solicitud de acceso a la información.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catorce de septiembre de dos mil veintidós</w:t>
      </w:r>
      <w:r w:rsidRPr="0086781A">
        <w:rPr>
          <w:rFonts w:ascii="Palatino Linotype" w:eastAsia="Palatino Linotype" w:hAnsi="Palatino Linotype" w:cs="Palatino Linotype"/>
          <w:color w:val="0D0D0D" w:themeColor="text1" w:themeTint="F2"/>
        </w:rPr>
        <w:t xml:space="preserve">, la </w:t>
      </w:r>
      <w:r w:rsidRPr="0086781A">
        <w:rPr>
          <w:rFonts w:ascii="Palatino Linotype" w:eastAsia="Palatino Linotype" w:hAnsi="Palatino Linotype" w:cs="Palatino Linotype"/>
          <w:b/>
          <w:color w:val="0D0D0D" w:themeColor="text1" w:themeTint="F2"/>
        </w:rPr>
        <w:t>parte Recurrente</w:t>
      </w:r>
      <w:r w:rsidRPr="0086781A">
        <w:rPr>
          <w:rFonts w:ascii="Palatino Linotype" w:eastAsia="Palatino Linotype" w:hAnsi="Palatino Linotype" w:cs="Palatino Linotype"/>
          <w:color w:val="0D0D0D" w:themeColor="text1" w:themeTint="F2"/>
        </w:rPr>
        <w:t xml:space="preserve"> formuló su solicitud de acceso a información pública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a través del Sistema de Acceso a la Información Mexiquense, en adelante </w:t>
      </w:r>
      <w:r w:rsidRPr="0086781A">
        <w:rPr>
          <w:rFonts w:ascii="Palatino Linotype" w:eastAsia="Palatino Linotype" w:hAnsi="Palatino Linotype" w:cs="Palatino Linotype"/>
          <w:b/>
          <w:color w:val="0D0D0D" w:themeColor="text1" w:themeTint="F2"/>
        </w:rPr>
        <w:t>SAIMEX,</w:t>
      </w:r>
      <w:r w:rsidRPr="0086781A">
        <w:rPr>
          <w:rFonts w:ascii="Palatino Linotype" w:eastAsia="Palatino Linotype" w:hAnsi="Palatino Linotype" w:cs="Palatino Linotype"/>
          <w:color w:val="0D0D0D" w:themeColor="text1" w:themeTint="F2"/>
        </w:rPr>
        <w:t xml:space="preserve"> requiriendo lo siguiente:</w:t>
      </w:r>
    </w:p>
    <w:p w14:paraId="3D519418" w14:textId="77777777" w:rsidR="00F16734" w:rsidRPr="0086781A" w:rsidRDefault="00FB681D">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“SOLICITO EL TITULO PROFESIONAL DE LOS</w:t>
      </w:r>
      <w:r w:rsidRPr="0086781A">
        <w:rPr>
          <w:rFonts w:ascii="Palatino Linotype" w:eastAsia="Palatino Linotype" w:hAnsi="Palatino Linotype" w:cs="Palatino Linotype"/>
          <w:b/>
          <w:i/>
          <w:color w:val="0D0D0D" w:themeColor="text1" w:themeTint="F2"/>
          <w:sz w:val="22"/>
          <w:szCs w:val="22"/>
        </w:rPr>
        <w:t xml:space="preserve"> </w:t>
      </w:r>
      <w:r w:rsidRPr="0086781A">
        <w:rPr>
          <w:rFonts w:ascii="Palatino Linotype" w:eastAsia="Palatino Linotype" w:hAnsi="Palatino Linotype" w:cs="Palatino Linotype"/>
          <w:b/>
          <w:i/>
          <w:color w:val="0D0D0D" w:themeColor="text1" w:themeTint="F2"/>
          <w:sz w:val="22"/>
          <w:szCs w:val="22"/>
          <w:u w:val="single"/>
        </w:rPr>
        <w:t>DIRECTORES DEL DIF, OPDAPAS E IMCUFIDEZ</w:t>
      </w:r>
      <w:r w:rsidRPr="0086781A">
        <w:rPr>
          <w:rFonts w:ascii="Palatino Linotype" w:eastAsia="Palatino Linotype" w:hAnsi="Palatino Linotype" w:cs="Palatino Linotype"/>
          <w:i/>
          <w:color w:val="0D0D0D" w:themeColor="text1" w:themeTint="F2"/>
          <w:sz w:val="22"/>
          <w:szCs w:val="22"/>
        </w:rPr>
        <w:t>, SUS RECIBOS DE NÓMINA DE ENERO 2022 A LA FECHA DE LA SOLICITUD, CURRICULUM VITAE, CERTIFICADO DE NO ANTECEDENTES PENALES, TODAS SUS LISTAS DE ASISTENCIA, SU DECLARACIÓN PATRIMONIAL, SUS BITACORAS DE COMBUSTIBLE, Y DE TODO EL PERSONAL ADSCRITO A DICHOS ORGANISMOS</w:t>
      </w:r>
      <w:r w:rsidRPr="0086781A">
        <w:rPr>
          <w:rFonts w:ascii="Palatino Linotype" w:eastAsia="Palatino Linotype" w:hAnsi="Palatino Linotype" w:cs="Palatino Linotype"/>
          <w:b/>
          <w:i/>
          <w:color w:val="0D0D0D" w:themeColor="text1" w:themeTint="F2"/>
          <w:sz w:val="22"/>
          <w:szCs w:val="22"/>
        </w:rPr>
        <w:t>”</w:t>
      </w:r>
      <w:r w:rsidRPr="0086781A">
        <w:rPr>
          <w:rFonts w:ascii="Palatino Linotype" w:eastAsia="Palatino Linotype" w:hAnsi="Palatino Linotype" w:cs="Palatino Linotype"/>
          <w:i/>
          <w:color w:val="0D0D0D" w:themeColor="text1" w:themeTint="F2"/>
          <w:sz w:val="22"/>
          <w:szCs w:val="22"/>
        </w:rPr>
        <w:t xml:space="preserve"> (Sic) </w:t>
      </w:r>
    </w:p>
    <w:p w14:paraId="7DAB2E3D"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Modalidad elegida para la entrega de la información: </w:t>
      </w:r>
      <w:r w:rsidRPr="0086781A">
        <w:rPr>
          <w:rFonts w:ascii="Palatino Linotype" w:eastAsia="Palatino Linotype" w:hAnsi="Palatino Linotype" w:cs="Palatino Linotype"/>
          <w:color w:val="0D0D0D" w:themeColor="text1" w:themeTint="F2"/>
        </w:rPr>
        <w:t>a través del SAIMEX.</w:t>
      </w:r>
    </w:p>
    <w:p w14:paraId="2B19CBFA" w14:textId="77777777" w:rsidR="00F16734" w:rsidRPr="0086781A" w:rsidRDefault="00F16734">
      <w:pPr>
        <w:spacing w:before="240" w:after="240" w:line="360" w:lineRule="auto"/>
        <w:jc w:val="both"/>
        <w:rPr>
          <w:rFonts w:ascii="Palatino Linotype" w:eastAsia="Palatino Linotype" w:hAnsi="Palatino Linotype" w:cs="Palatino Linotype"/>
          <w:b/>
          <w:color w:val="0D0D0D" w:themeColor="text1" w:themeTint="F2"/>
        </w:rPr>
      </w:pPr>
    </w:p>
    <w:p w14:paraId="17B30C5E" w14:textId="77777777" w:rsidR="00F16734" w:rsidRPr="0086781A" w:rsidRDefault="00FB681D">
      <w:pPr>
        <w:spacing w:before="240" w:after="240" w:line="360" w:lineRule="auto"/>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color w:val="0D0D0D" w:themeColor="text1" w:themeTint="F2"/>
        </w:rPr>
        <w:t xml:space="preserve">2. Respuesta. </w:t>
      </w:r>
      <w:r w:rsidRPr="0086781A">
        <w:rPr>
          <w:rFonts w:ascii="Palatino Linotype" w:eastAsia="Palatino Linotype" w:hAnsi="Palatino Linotype" w:cs="Palatino Linotype"/>
          <w:color w:val="0D0D0D" w:themeColor="text1" w:themeTint="F2"/>
        </w:rPr>
        <w:t xml:space="preserve">De las constancias que obran en SAIMEX, se observa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no emitió respuesta a la solicitud de información formulada por la persona solicitante.</w:t>
      </w:r>
    </w:p>
    <w:p w14:paraId="4AEE1DC2"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3. Interposición del recurso de revisión. </w:t>
      </w:r>
      <w:r w:rsidRPr="0086781A">
        <w:rPr>
          <w:rFonts w:ascii="Palatino Linotype" w:eastAsia="Palatino Linotype" w:hAnsi="Palatino Linotype" w:cs="Palatino Linotype"/>
          <w:color w:val="0D0D0D" w:themeColor="text1" w:themeTint="F2"/>
        </w:rPr>
        <w:t xml:space="preserve">Inconforme la persona solicitante con la falta de respuesta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en fecha </w:t>
      </w:r>
      <w:r w:rsidRPr="0086781A">
        <w:rPr>
          <w:rFonts w:ascii="Palatino Linotype" w:eastAsia="Palatino Linotype" w:hAnsi="Palatino Linotype" w:cs="Palatino Linotype"/>
          <w:b/>
          <w:color w:val="0D0D0D" w:themeColor="text1" w:themeTint="F2"/>
        </w:rPr>
        <w:t>siete de octubre de dos mil veintidós,</w:t>
      </w:r>
      <w:r w:rsidRPr="0086781A">
        <w:rPr>
          <w:rFonts w:ascii="Palatino Linotype" w:eastAsia="Palatino Linotype" w:hAnsi="Palatino Linotype" w:cs="Palatino Linotype"/>
          <w:color w:val="0D0D0D" w:themeColor="text1" w:themeTint="F2"/>
        </w:rPr>
        <w:t xml:space="preserve"> interpuso el recurso de revisión a través de </w:t>
      </w:r>
      <w:r w:rsidRPr="0086781A">
        <w:rPr>
          <w:rFonts w:ascii="Palatino Linotype" w:eastAsia="Palatino Linotype" w:hAnsi="Palatino Linotype" w:cs="Palatino Linotype"/>
          <w:b/>
          <w:color w:val="0D0D0D" w:themeColor="text1" w:themeTint="F2"/>
        </w:rPr>
        <w:t xml:space="preserve">SAIMEX, </w:t>
      </w:r>
      <w:r w:rsidRPr="0086781A">
        <w:rPr>
          <w:rFonts w:ascii="Palatino Linotype" w:eastAsia="Palatino Linotype" w:hAnsi="Palatino Linotype" w:cs="Palatino Linotype"/>
          <w:color w:val="0D0D0D" w:themeColor="text1" w:themeTint="F2"/>
        </w:rPr>
        <w:t>en donde se manifestó de la siguiente manera:</w:t>
      </w:r>
    </w:p>
    <w:p w14:paraId="2BF86A61" w14:textId="77777777" w:rsidR="00F16734" w:rsidRPr="0086781A" w:rsidRDefault="00FB681D">
      <w:pPr>
        <w:tabs>
          <w:tab w:val="left" w:pos="2745"/>
        </w:tabs>
        <w:spacing w:before="240" w:after="240" w:line="360" w:lineRule="auto"/>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 xml:space="preserve">Acto impugnado: </w:t>
      </w:r>
    </w:p>
    <w:p w14:paraId="7415C8FA" w14:textId="77777777" w:rsidR="00F16734" w:rsidRPr="0086781A" w:rsidRDefault="00FB681D">
      <w:pPr>
        <w:tabs>
          <w:tab w:val="left" w:pos="2745"/>
        </w:tabs>
        <w:spacing w:before="240" w:after="240"/>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“NO ENTREGA RESPUESTA “(Sic)</w:t>
      </w:r>
    </w:p>
    <w:p w14:paraId="02CC127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Razones o motivos de inconformidad</w:t>
      </w:r>
      <w:r w:rsidRPr="0086781A">
        <w:rPr>
          <w:rFonts w:ascii="Palatino Linotype" w:eastAsia="Palatino Linotype" w:hAnsi="Palatino Linotype" w:cs="Palatino Linotype"/>
          <w:color w:val="0D0D0D" w:themeColor="text1" w:themeTint="F2"/>
        </w:rPr>
        <w:t>:</w:t>
      </w:r>
    </w:p>
    <w:p w14:paraId="69EC10A7" w14:textId="77777777" w:rsidR="00F16734" w:rsidRPr="0086781A" w:rsidRDefault="00FB681D">
      <w:pPr>
        <w:ind w:left="851"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 “NO ENTREGA RESPUESTA” (Sic)</w:t>
      </w:r>
    </w:p>
    <w:p w14:paraId="2047B8D4" w14:textId="77777777" w:rsidR="00F16734" w:rsidRPr="0086781A" w:rsidRDefault="00FB681D">
      <w:pPr>
        <w:spacing w:before="240" w:after="240" w:line="360" w:lineRule="auto"/>
        <w:ind w:right="51"/>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4. Trámite del Recurso de Revisión ante el Instituto.</w:t>
      </w:r>
    </w:p>
    <w:p w14:paraId="7A8A658B" w14:textId="77777777" w:rsidR="00F16734" w:rsidRPr="0086781A" w:rsidRDefault="00FB681D">
      <w:pPr>
        <w:spacing w:before="240" w:after="240" w:line="360" w:lineRule="auto"/>
        <w:ind w:right="51"/>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a. Turno. </w:t>
      </w:r>
      <w:r w:rsidRPr="0086781A">
        <w:rPr>
          <w:rFonts w:ascii="Palatino Linotype" w:eastAsia="Palatino Linotype" w:hAnsi="Palatino Linotype" w:cs="Palatino Linotype"/>
          <w:color w:val="0D0D0D" w:themeColor="text1" w:themeTint="F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6781A">
        <w:rPr>
          <w:rFonts w:ascii="Palatino Linotype" w:eastAsia="Palatino Linotype" w:hAnsi="Palatino Linotype" w:cs="Palatino Linotype"/>
          <w:b/>
          <w:color w:val="0D0D0D" w:themeColor="text1" w:themeTint="F2"/>
        </w:rPr>
        <w:t xml:space="preserve">Guadalupe Ramírez Peña, </w:t>
      </w:r>
      <w:r w:rsidRPr="0086781A">
        <w:rPr>
          <w:rFonts w:ascii="Palatino Linotype" w:eastAsia="Palatino Linotype" w:hAnsi="Palatino Linotype" w:cs="Palatino Linotype"/>
          <w:color w:val="0D0D0D" w:themeColor="text1" w:themeTint="F2"/>
        </w:rPr>
        <w:t xml:space="preserve">a efecto de que analizara sobre su admisión o su </w:t>
      </w:r>
      <w:proofErr w:type="spellStart"/>
      <w:r w:rsidRPr="0086781A">
        <w:rPr>
          <w:rFonts w:ascii="Palatino Linotype" w:eastAsia="Palatino Linotype" w:hAnsi="Palatino Linotype" w:cs="Palatino Linotype"/>
          <w:color w:val="0D0D0D" w:themeColor="text1" w:themeTint="F2"/>
        </w:rPr>
        <w:t>desechamiento</w:t>
      </w:r>
      <w:proofErr w:type="spellEnd"/>
      <w:r w:rsidRPr="0086781A">
        <w:rPr>
          <w:rFonts w:ascii="Palatino Linotype" w:eastAsia="Palatino Linotype" w:hAnsi="Palatino Linotype" w:cs="Palatino Linotype"/>
          <w:color w:val="0D0D0D" w:themeColor="text1" w:themeTint="F2"/>
        </w:rPr>
        <w:t>.</w:t>
      </w:r>
    </w:p>
    <w:p w14:paraId="2A667F1B"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b. Admisión del Recurso de revisión.</w:t>
      </w:r>
      <w:r w:rsidRPr="0086781A">
        <w:rPr>
          <w:rFonts w:ascii="Palatino Linotype" w:eastAsia="Palatino Linotype" w:hAnsi="Palatino Linotype" w:cs="Palatino Linotype"/>
          <w:color w:val="0D0D0D" w:themeColor="text1" w:themeTint="F2"/>
        </w:rPr>
        <w:t xml:space="preserve"> El</w:t>
      </w:r>
      <w:r w:rsidRPr="0086781A">
        <w:rPr>
          <w:rFonts w:ascii="Palatino Linotype" w:eastAsia="Palatino Linotype" w:hAnsi="Palatino Linotype" w:cs="Palatino Linotype"/>
          <w:b/>
          <w:color w:val="0D0D0D" w:themeColor="text1" w:themeTint="F2"/>
        </w:rPr>
        <w:t xml:space="preserve"> doce de octubre de dos mil veintidós, </w:t>
      </w:r>
      <w:r w:rsidRPr="0086781A">
        <w:rPr>
          <w:rFonts w:ascii="Palatino Linotype" w:eastAsia="Palatino Linotype" w:hAnsi="Palatino Linotype" w:cs="Palatino Linotype"/>
          <w:color w:val="0D0D0D" w:themeColor="text1" w:themeTint="F2"/>
        </w:rPr>
        <w:t xml:space="preserve">este Instituto de Transparencia, Acceso a la Información Pública y Protección de Datos </w:t>
      </w:r>
      <w:r w:rsidRPr="0086781A">
        <w:rPr>
          <w:rFonts w:ascii="Palatino Linotype" w:eastAsia="Palatino Linotype" w:hAnsi="Palatino Linotype" w:cs="Palatino Linotype"/>
          <w:color w:val="0D0D0D" w:themeColor="text1" w:themeTint="F2"/>
        </w:rPr>
        <w:lastRenderedPageBreak/>
        <w:t xml:space="preserve">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presentara su informe justificado.</w:t>
      </w:r>
    </w:p>
    <w:p w14:paraId="39270128"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bookmarkStart w:id="2" w:name="_heading=h.2s8eyo1" w:colFirst="0" w:colLast="0"/>
      <w:bookmarkEnd w:id="2"/>
      <w:r w:rsidRPr="0086781A">
        <w:rPr>
          <w:rFonts w:ascii="Palatino Linotype" w:eastAsia="Palatino Linotype" w:hAnsi="Palatino Linotype" w:cs="Palatino Linotype"/>
          <w:b/>
          <w:color w:val="0D0D0D" w:themeColor="text1" w:themeTint="F2"/>
        </w:rPr>
        <w:t>c. Manifestaciones</w:t>
      </w:r>
      <w:r w:rsidRPr="0086781A">
        <w:rPr>
          <w:rFonts w:ascii="Palatino Linotype" w:eastAsia="Palatino Linotype" w:hAnsi="Palatino Linotype" w:cs="Palatino Linotype"/>
          <w:color w:val="0D0D0D" w:themeColor="text1" w:themeTint="F2"/>
        </w:rPr>
        <w:t xml:space="preserve">. De las constancias que integran el expediente electrónico en que se actúa se advierte que las partes fueron omisas en remitir su informe justificado o cualquier manifestación que a su derecho conviniera, por lo que se tiene por precluido su derecho para tal efecto. </w:t>
      </w:r>
    </w:p>
    <w:p w14:paraId="286426E9"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drawing>
          <wp:inline distT="0" distB="0" distL="0" distR="0" wp14:anchorId="55FA6499" wp14:editId="01F216DB">
            <wp:extent cx="5581015" cy="1530350"/>
            <wp:effectExtent l="0" t="0" r="0" b="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581015" cy="1530350"/>
                    </a:xfrm>
                    <a:prstGeom prst="rect">
                      <a:avLst/>
                    </a:prstGeom>
                    <a:ln/>
                  </pic:spPr>
                </pic:pic>
              </a:graphicData>
            </a:graphic>
          </wp:inline>
        </w:drawing>
      </w:r>
    </w:p>
    <w:p w14:paraId="25358825" w14:textId="77777777" w:rsidR="00F16734" w:rsidRPr="0086781A" w:rsidRDefault="00FB681D">
      <w:pPr>
        <w:widowControl w:val="0"/>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d. Cierre de instrucción. </w:t>
      </w:r>
      <w:r w:rsidRPr="0086781A">
        <w:rPr>
          <w:rFonts w:ascii="Palatino Linotype" w:eastAsia="Palatino Linotype" w:hAnsi="Palatino Linotype" w:cs="Palatino Linotype"/>
          <w:color w:val="0D0D0D" w:themeColor="text1" w:themeTint="F2"/>
        </w:rPr>
        <w:t xml:space="preserve">Una vez transcurrido el periodo otorgado a las partes para realizar sus manifestaciones y no habiendo documentos que integrar al expediente, el </w:t>
      </w:r>
      <w:r w:rsidRPr="0086781A">
        <w:rPr>
          <w:rFonts w:ascii="Palatino Linotype" w:eastAsia="Palatino Linotype" w:hAnsi="Palatino Linotype" w:cs="Palatino Linotype"/>
          <w:b/>
          <w:color w:val="0D0D0D" w:themeColor="text1" w:themeTint="F2"/>
        </w:rPr>
        <w:t>veintiséis de octubre de dos mil veintidós</w:t>
      </w:r>
      <w:r w:rsidRPr="0086781A">
        <w:rPr>
          <w:rFonts w:ascii="Palatino Linotype" w:eastAsia="Palatino Linotype" w:hAnsi="Palatino Linotype" w:cs="Palatino Linotype"/>
          <w:color w:val="0D0D0D" w:themeColor="text1" w:themeTint="F2"/>
        </w:rPr>
        <w:t>, la Comisionada Ponente determinó el cierre de instrucción en términos de la fracción VI del artículo 185 de la Ley de Transparencia y Acceso a la Información Pública del Estado de México y Municipios.</w:t>
      </w:r>
    </w:p>
    <w:p w14:paraId="11B4C292" w14:textId="77777777" w:rsidR="00F16734" w:rsidRPr="0086781A" w:rsidRDefault="00FB681D">
      <w:pPr>
        <w:spacing w:line="360" w:lineRule="auto"/>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 xml:space="preserve">e. Resolución del Recurso de Revisión.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nueve de noviembre de dos mil veintidós</w:t>
      </w:r>
      <w:r w:rsidRPr="0086781A">
        <w:rPr>
          <w:rFonts w:ascii="Palatino Linotype" w:eastAsia="Palatino Linotype" w:hAnsi="Palatino Linotype" w:cs="Palatino Linotype"/>
          <w:color w:val="0D0D0D" w:themeColor="text1" w:themeTint="F2"/>
        </w:rPr>
        <w:t xml:space="preserve">, el Pleno del Instituto de Transparencia, Acceso a la Información Pública </w:t>
      </w:r>
      <w:r w:rsidRPr="0086781A">
        <w:rPr>
          <w:rFonts w:ascii="Palatino Linotype" w:eastAsia="Palatino Linotype" w:hAnsi="Palatino Linotype" w:cs="Palatino Linotype"/>
          <w:color w:val="0D0D0D" w:themeColor="text1" w:themeTint="F2"/>
        </w:rPr>
        <w:lastRenderedPageBreak/>
        <w:t xml:space="preserve">y Protección de Datos Personales del Estado de México y Municipios, durante la </w:t>
      </w:r>
      <w:r w:rsidRPr="0086781A">
        <w:rPr>
          <w:rFonts w:ascii="Palatino Linotype" w:eastAsia="Palatino Linotype" w:hAnsi="Palatino Linotype" w:cs="Palatino Linotype"/>
          <w:b/>
          <w:color w:val="0D0D0D" w:themeColor="text1" w:themeTint="F2"/>
        </w:rPr>
        <w:t>Cuadragésima Sesión Ordinaria</w:t>
      </w:r>
      <w:r w:rsidRPr="0086781A">
        <w:rPr>
          <w:rFonts w:ascii="Palatino Linotype" w:eastAsia="Palatino Linotype" w:hAnsi="Palatino Linotype" w:cs="Palatino Linotype"/>
          <w:color w:val="0D0D0D" w:themeColor="text1" w:themeTint="F2"/>
        </w:rPr>
        <w:t>, aprobó por unanimidad de votos, la Resolución del Recurso de Revisión, en la cual se determinó lo siguiente:</w:t>
      </w:r>
    </w:p>
    <w:p w14:paraId="5E990752" w14:textId="77777777" w:rsidR="00F16734" w:rsidRPr="0086781A" w:rsidRDefault="00FB681D">
      <w:pPr>
        <w:spacing w:before="240" w:after="240" w:line="276" w:lineRule="auto"/>
        <w:ind w:left="567" w:right="616"/>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“Primero. Resultan fundados los motivos de inconformidad de la parte Recurrente, en el recurso de revisión 15449/INFOEM/IP/RR/2022, en términos del Considerando Cuarto de la presente resolución.</w:t>
      </w:r>
    </w:p>
    <w:p w14:paraId="2FBABC0B" w14:textId="77777777" w:rsidR="00F16734" w:rsidRPr="0086781A" w:rsidRDefault="00FB681D">
      <w:pPr>
        <w:spacing w:before="240" w:after="240" w:line="276" w:lineRule="auto"/>
        <w:ind w:left="567" w:right="616"/>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Segundo. Se Ordena al Sujeto Obligado dé trámite, vía Sistema de Acceso a la Información Mexiquense (SAIMEX), a la solicitud de acceso a la información pública 00898/ZINACANT/IP/2022, que dio origen al recurso de revisión 15449/INFOEM/IP/RR/2022, en términos del Considerando Cuarto de esta resolución y emita respuesta, debiendo observar las excepciones contenidas en la Ley de Transparencia y Acceso a la Información Pública del Estado de México y Municipios” </w:t>
      </w:r>
    </w:p>
    <w:p w14:paraId="29CCB103"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f. Notificación de la Resolución del Recurso de Revisión 15449/INFOEM/IP/RR/2022.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catorce de noviembre</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de dos mil veintidós</w:t>
      </w:r>
      <w:r w:rsidRPr="0086781A">
        <w:rPr>
          <w:rFonts w:ascii="Palatino Linotype" w:eastAsia="Palatino Linotype" w:hAnsi="Palatino Linotype" w:cs="Palatino Linotype"/>
          <w:color w:val="0D0D0D" w:themeColor="text1" w:themeTint="F2"/>
        </w:rPr>
        <w:t xml:space="preserve">, se notificó a las partes la resolución del Medio de Impugnación previamente referido, por medio del Sistema de Acceso a la Información Mexiquense (SAIMEX). </w:t>
      </w:r>
    </w:p>
    <w:p w14:paraId="2CAF90B7"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664F810A"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g. Acuerdo de Cumplimiento/Incumplimiento del Recurso de Revisión.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 xml:space="preserve">treinta </w:t>
      </w:r>
      <w:proofErr w:type="gramStart"/>
      <w:r w:rsidRPr="0086781A">
        <w:rPr>
          <w:rFonts w:ascii="Palatino Linotype" w:eastAsia="Palatino Linotype" w:hAnsi="Palatino Linotype" w:cs="Palatino Linotype"/>
          <w:b/>
          <w:color w:val="0D0D0D" w:themeColor="text1" w:themeTint="F2"/>
        </w:rPr>
        <w:t>de  noviembre</w:t>
      </w:r>
      <w:proofErr w:type="gramEnd"/>
      <w:r w:rsidRPr="0086781A">
        <w:rPr>
          <w:rFonts w:ascii="Palatino Linotype" w:eastAsia="Palatino Linotype" w:hAnsi="Palatino Linotype" w:cs="Palatino Linotype"/>
          <w:b/>
          <w:color w:val="0D0D0D" w:themeColor="text1" w:themeTint="F2"/>
        </w:rPr>
        <w:t xml:space="preserve"> de dos mil veintidós</w:t>
      </w:r>
      <w:r w:rsidRPr="0086781A">
        <w:rPr>
          <w:rFonts w:ascii="Palatino Linotype" w:eastAsia="Palatino Linotype" w:hAnsi="Palatino Linotype" w:cs="Palatino Linotype"/>
          <w:color w:val="0D0D0D" w:themeColor="text1" w:themeTint="F2"/>
        </w:rPr>
        <w:t>, la Dirección de Cumplimientos de este Instituto notificó a las partes, el acuerdo de incumplimiento a la resolución del recurso de revisión que se resuelve.</w:t>
      </w:r>
    </w:p>
    <w:p w14:paraId="13163E31"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575CA44F" w14:textId="77777777" w:rsidR="00F16734" w:rsidRPr="0086781A" w:rsidRDefault="00FB681D">
      <w:pPr>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“Con fundamento en el artículo 200, fracción I de la Ley de Transparencia y Acceso a la Información Pública del Estado de México y Municipios, se les hace de su conocimiento de las partes, el Acuerdo de Incumplimiento a la Resolución del Recurso de Revisión al rubro indicado, emitido en fecha treinta de noviembre de dos mil veintidós, que deriva de la solicitud de información señalada, para su conocimiento y efectos legales procedentes.” </w:t>
      </w:r>
    </w:p>
    <w:p w14:paraId="1818419E" w14:textId="77777777" w:rsidR="00F16734" w:rsidRPr="0086781A" w:rsidRDefault="00F16734">
      <w:pPr>
        <w:spacing w:line="276" w:lineRule="auto"/>
        <w:ind w:left="567" w:right="851"/>
        <w:jc w:val="both"/>
        <w:rPr>
          <w:rFonts w:ascii="Palatino Linotype" w:eastAsia="Palatino Linotype" w:hAnsi="Palatino Linotype" w:cs="Palatino Linotype"/>
          <w:i/>
          <w:color w:val="0D0D0D" w:themeColor="text1" w:themeTint="F2"/>
          <w:sz w:val="22"/>
          <w:szCs w:val="22"/>
        </w:rPr>
      </w:pPr>
    </w:p>
    <w:p w14:paraId="759A18D8" w14:textId="77777777" w:rsidR="00F16734" w:rsidRPr="0086781A" w:rsidRDefault="00FB681D">
      <w:pPr>
        <w:spacing w:line="276" w:lineRule="auto"/>
        <w:ind w:left="567" w:right="851"/>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Archivos adjuntos:</w:t>
      </w:r>
    </w:p>
    <w:p w14:paraId="33B81D7E" w14:textId="77777777" w:rsidR="00F16734" w:rsidRPr="0086781A" w:rsidRDefault="00FB681D">
      <w:pPr>
        <w:spacing w:line="360"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“AI-RR-15449-2022.pdf”: </w:t>
      </w:r>
      <w:r w:rsidRPr="0086781A">
        <w:rPr>
          <w:rFonts w:ascii="Palatino Linotype" w:eastAsia="Palatino Linotype" w:hAnsi="Palatino Linotype" w:cs="Palatino Linotype"/>
          <w:color w:val="0D0D0D" w:themeColor="text1" w:themeTint="F2"/>
          <w:sz w:val="22"/>
          <w:szCs w:val="22"/>
        </w:rPr>
        <w:t>Documento de seis fojas que consiste en el acuerdo de incumplimiento.</w:t>
      </w:r>
    </w:p>
    <w:p w14:paraId="39502A8A" w14:textId="77777777" w:rsidR="00F16734" w:rsidRPr="0086781A" w:rsidRDefault="00FB681D">
      <w:pPr>
        <w:spacing w:line="276" w:lineRule="auto"/>
        <w:ind w:left="567" w:right="851"/>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drawing>
          <wp:inline distT="0" distB="0" distL="0" distR="0" wp14:anchorId="3F6377CC" wp14:editId="65F79557">
            <wp:extent cx="4782389" cy="5679665"/>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782389" cy="5679665"/>
                    </a:xfrm>
                    <a:prstGeom prst="rect">
                      <a:avLst/>
                    </a:prstGeom>
                    <a:ln/>
                  </pic:spPr>
                </pic:pic>
              </a:graphicData>
            </a:graphic>
          </wp:inline>
        </w:drawing>
      </w:r>
    </w:p>
    <w:p w14:paraId="537CB9B6" w14:textId="77777777" w:rsidR="00F16734" w:rsidRPr="0086781A" w:rsidRDefault="00F16734">
      <w:pPr>
        <w:spacing w:line="276" w:lineRule="auto"/>
        <w:ind w:left="567" w:right="851"/>
        <w:jc w:val="both"/>
        <w:rPr>
          <w:rFonts w:ascii="Palatino Linotype" w:eastAsia="Palatino Linotype" w:hAnsi="Palatino Linotype" w:cs="Palatino Linotype"/>
          <w:color w:val="0D0D0D" w:themeColor="text1" w:themeTint="F2"/>
        </w:rPr>
      </w:pPr>
    </w:p>
    <w:p w14:paraId="72ED6331" w14:textId="77777777" w:rsidR="00F16734" w:rsidRPr="0086781A" w:rsidRDefault="00F16734">
      <w:pPr>
        <w:spacing w:line="276" w:lineRule="auto"/>
        <w:ind w:left="567" w:right="851"/>
        <w:jc w:val="both"/>
        <w:rPr>
          <w:rFonts w:ascii="Palatino Linotype" w:eastAsia="Palatino Linotype" w:hAnsi="Palatino Linotype" w:cs="Palatino Linotype"/>
          <w:b/>
          <w:i/>
          <w:color w:val="0D0D0D" w:themeColor="text1" w:themeTint="F2"/>
          <w:sz w:val="22"/>
          <w:szCs w:val="22"/>
        </w:rPr>
      </w:pPr>
    </w:p>
    <w:p w14:paraId="1803341B" w14:textId="77777777" w:rsidR="00F16734" w:rsidRPr="0086781A" w:rsidRDefault="00FB681D">
      <w:pPr>
        <w:spacing w:line="276"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 xml:space="preserve"> “OF-SJ-RR-15449-2022.pdf”: </w:t>
      </w:r>
      <w:r w:rsidRPr="0086781A">
        <w:rPr>
          <w:rFonts w:ascii="Palatino Linotype" w:eastAsia="Palatino Linotype" w:hAnsi="Palatino Linotype" w:cs="Palatino Linotype"/>
          <w:color w:val="0D0D0D" w:themeColor="text1" w:themeTint="F2"/>
          <w:sz w:val="22"/>
          <w:szCs w:val="22"/>
        </w:rPr>
        <w:t xml:space="preserve">Oficio INFOEM/STP/DC/6735/2022, signado por el </w:t>
      </w:r>
      <w:proofErr w:type="gramStart"/>
      <w:r w:rsidRPr="0086781A">
        <w:rPr>
          <w:rFonts w:ascii="Palatino Linotype" w:eastAsia="Palatino Linotype" w:hAnsi="Palatino Linotype" w:cs="Palatino Linotype"/>
          <w:color w:val="0D0D0D" w:themeColor="text1" w:themeTint="F2"/>
          <w:sz w:val="22"/>
          <w:szCs w:val="22"/>
        </w:rPr>
        <w:t>Director</w:t>
      </w:r>
      <w:proofErr w:type="gramEnd"/>
      <w:r w:rsidRPr="0086781A">
        <w:rPr>
          <w:rFonts w:ascii="Palatino Linotype" w:eastAsia="Palatino Linotype" w:hAnsi="Palatino Linotype" w:cs="Palatino Linotype"/>
          <w:color w:val="0D0D0D" w:themeColor="text1" w:themeTint="F2"/>
          <w:sz w:val="22"/>
          <w:szCs w:val="22"/>
        </w:rPr>
        <w:t xml:space="preserve"> de Cumplimientos, mediante el cual solicita que se notifique al superior jerárquico del responsable de dar cumplimiento a la resolución de mérito, a efecto de que dé cumplimiento a la misma en un periodo no mayor a cinco días hábiles.</w:t>
      </w:r>
    </w:p>
    <w:p w14:paraId="4DF2B976" w14:textId="77777777" w:rsidR="00F16734" w:rsidRPr="0086781A" w:rsidRDefault="00F16734">
      <w:pPr>
        <w:spacing w:line="276" w:lineRule="auto"/>
        <w:ind w:left="567" w:right="851"/>
        <w:jc w:val="both"/>
        <w:rPr>
          <w:rFonts w:ascii="Palatino Linotype" w:eastAsia="Palatino Linotype" w:hAnsi="Palatino Linotype" w:cs="Palatino Linotype"/>
          <w:color w:val="0D0D0D" w:themeColor="text1" w:themeTint="F2"/>
          <w:sz w:val="22"/>
          <w:szCs w:val="22"/>
        </w:rPr>
      </w:pPr>
    </w:p>
    <w:p w14:paraId="73C1D2E8" w14:textId="77777777" w:rsidR="00F16734" w:rsidRPr="0086781A" w:rsidRDefault="00FB681D">
      <w:pPr>
        <w:spacing w:line="276"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drawing>
          <wp:inline distT="0" distB="0" distL="0" distR="0" wp14:anchorId="66291F57" wp14:editId="52A44CA8">
            <wp:extent cx="5132296" cy="5622226"/>
            <wp:effectExtent l="0" t="0" r="0" b="0"/>
            <wp:docPr id="1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132296" cy="5622226"/>
                    </a:xfrm>
                    <a:prstGeom prst="rect">
                      <a:avLst/>
                    </a:prstGeom>
                    <a:ln/>
                  </pic:spPr>
                </pic:pic>
              </a:graphicData>
            </a:graphic>
          </wp:inline>
        </w:drawing>
      </w:r>
    </w:p>
    <w:p w14:paraId="6DC515D3" w14:textId="77777777" w:rsidR="00F16734" w:rsidRPr="0086781A" w:rsidRDefault="00F16734">
      <w:pPr>
        <w:spacing w:line="276" w:lineRule="auto"/>
        <w:ind w:left="567" w:right="851"/>
        <w:jc w:val="center"/>
        <w:rPr>
          <w:rFonts w:ascii="Palatino Linotype" w:eastAsia="Palatino Linotype" w:hAnsi="Palatino Linotype" w:cs="Palatino Linotype"/>
          <w:b/>
          <w:i/>
          <w:color w:val="0D0D0D" w:themeColor="text1" w:themeTint="F2"/>
          <w:sz w:val="22"/>
          <w:szCs w:val="22"/>
        </w:rPr>
      </w:pPr>
    </w:p>
    <w:p w14:paraId="3CE3301F"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72B9E176"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lastRenderedPageBreak/>
        <w:t xml:space="preserve">h. Turno a la Contraloría Interna para Imposición de Medida de Apremio.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treinta de noviembre de dos mil veintidós</w:t>
      </w:r>
      <w:r w:rsidRPr="0086781A">
        <w:rPr>
          <w:rFonts w:ascii="Palatino Linotype" w:eastAsia="Palatino Linotype" w:hAnsi="Palatino Linotype" w:cs="Palatino Linotype"/>
          <w:color w:val="0D0D0D" w:themeColor="text1" w:themeTint="F2"/>
        </w:rPr>
        <w:t xml:space="preserve">, el </w:t>
      </w:r>
      <w:proofErr w:type="gramStart"/>
      <w:r w:rsidRPr="0086781A">
        <w:rPr>
          <w:rFonts w:ascii="Palatino Linotype" w:eastAsia="Palatino Linotype" w:hAnsi="Palatino Linotype" w:cs="Palatino Linotype"/>
          <w:color w:val="0D0D0D" w:themeColor="text1" w:themeTint="F2"/>
        </w:rPr>
        <w:t>Director</w:t>
      </w:r>
      <w:proofErr w:type="gramEnd"/>
      <w:r w:rsidRPr="0086781A">
        <w:rPr>
          <w:rFonts w:ascii="Palatino Linotype" w:eastAsia="Palatino Linotype" w:hAnsi="Palatino Linotype" w:cs="Palatino Linotype"/>
          <w:color w:val="0D0D0D" w:themeColor="text1" w:themeTint="F2"/>
        </w:rPr>
        <w:t xml:space="preserve"> de Cumplimientos de este Instituto remitió el documento electrónico “</w:t>
      </w:r>
      <w:r w:rsidRPr="0086781A">
        <w:rPr>
          <w:rFonts w:ascii="Palatino Linotype" w:eastAsia="Palatino Linotype" w:hAnsi="Palatino Linotype" w:cs="Palatino Linotype"/>
          <w:b/>
          <w:i/>
          <w:color w:val="0D0D0D" w:themeColor="text1" w:themeTint="F2"/>
        </w:rPr>
        <w:t xml:space="preserve">OF-RR-15449-2022.pdf”, </w:t>
      </w:r>
      <w:r w:rsidRPr="0086781A">
        <w:rPr>
          <w:rFonts w:ascii="Palatino Linotype" w:eastAsia="Palatino Linotype" w:hAnsi="Palatino Linotype" w:cs="Palatino Linotype"/>
          <w:color w:val="0D0D0D" w:themeColor="text1" w:themeTint="F2"/>
        </w:rPr>
        <w:t xml:space="preserve">consistente en el oficio INFOEM/STP/6734/2022, en el cual se hace del conocimiento del Contralor Interno de este Instituto que se emitió un Acuerdo de Incumplimiento para que en uso de sus atribuciones, se impongan al Sujeto Obligado las medidas de apremio que conforme a derecho procedan. </w:t>
      </w:r>
    </w:p>
    <w:p w14:paraId="600B61A7" w14:textId="77777777" w:rsidR="00F16734" w:rsidRPr="0086781A" w:rsidRDefault="00FB681D">
      <w:pPr>
        <w:spacing w:line="360" w:lineRule="auto"/>
        <w:jc w:val="center"/>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drawing>
          <wp:inline distT="0" distB="0" distL="0" distR="0" wp14:anchorId="041DB322" wp14:editId="026DDAA0">
            <wp:extent cx="4214683" cy="5220281"/>
            <wp:effectExtent l="0" t="0" r="0" b="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14683" cy="5220281"/>
                    </a:xfrm>
                    <a:prstGeom prst="rect">
                      <a:avLst/>
                    </a:prstGeom>
                    <a:ln/>
                  </pic:spPr>
                </pic:pic>
              </a:graphicData>
            </a:graphic>
          </wp:inline>
        </w:drawing>
      </w:r>
    </w:p>
    <w:p w14:paraId="2FAE3230" w14:textId="77777777" w:rsidR="00F16734" w:rsidRPr="0086781A" w:rsidRDefault="00F16734">
      <w:pPr>
        <w:spacing w:line="360" w:lineRule="auto"/>
        <w:jc w:val="both"/>
        <w:rPr>
          <w:rFonts w:ascii="Palatino Linotype" w:eastAsia="Palatino Linotype" w:hAnsi="Palatino Linotype" w:cs="Palatino Linotype"/>
          <w:b/>
          <w:color w:val="0D0D0D" w:themeColor="text1" w:themeTint="F2"/>
        </w:rPr>
      </w:pPr>
    </w:p>
    <w:p w14:paraId="48C83234"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5. Interposición del Segundo Recurso de Revisión </w:t>
      </w:r>
      <w:r w:rsidRPr="0086781A">
        <w:rPr>
          <w:rFonts w:ascii="Palatino Linotype" w:eastAsia="Palatino Linotype" w:hAnsi="Palatino Linotype" w:cs="Palatino Linotype"/>
          <w:b/>
          <w:color w:val="0D0D0D" w:themeColor="text1" w:themeTint="F2"/>
          <w:sz w:val="22"/>
          <w:szCs w:val="22"/>
        </w:rPr>
        <w:t>15449/INFOEM/ICR-63/IP/RR/2022</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tres de febrero de dos mil veintitrés</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la parte</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 xml:space="preserve">Recurrente </w:t>
      </w:r>
      <w:r w:rsidRPr="0086781A">
        <w:rPr>
          <w:rFonts w:ascii="Palatino Linotype" w:eastAsia="Palatino Linotype" w:hAnsi="Palatino Linotype" w:cs="Palatino Linotype"/>
          <w:color w:val="0D0D0D" w:themeColor="text1" w:themeTint="F2"/>
        </w:rPr>
        <w:t xml:space="preserve">interpuso Recurso de Revisión en este Instituto, a través del Sistema de Acceso a la Información Mexiquense (SAIMEX), en contra de la falta de respuesta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en cumplimiento a la resolución referida en el antecedente 4, expresando las siguientes manifestaciones:</w:t>
      </w:r>
    </w:p>
    <w:p w14:paraId="433ADBC4" w14:textId="77777777" w:rsidR="00F16734" w:rsidRPr="0086781A" w:rsidRDefault="00FB681D">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Acto Impugnado</w:t>
      </w:r>
    </w:p>
    <w:p w14:paraId="440DD71A" w14:textId="77777777" w:rsidR="00F16734" w:rsidRPr="0086781A" w:rsidRDefault="00FB681D">
      <w:pPr>
        <w:ind w:left="567" w:right="1013"/>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“NO ENTREGA INFORMACIÓN” (Sic.)</w:t>
      </w:r>
    </w:p>
    <w:p w14:paraId="6201E5AC" w14:textId="77777777" w:rsidR="00F16734" w:rsidRPr="0086781A" w:rsidRDefault="00F16734">
      <w:pPr>
        <w:spacing w:line="360" w:lineRule="auto"/>
        <w:ind w:left="567" w:right="567"/>
        <w:jc w:val="both"/>
        <w:rPr>
          <w:rFonts w:ascii="Palatino Linotype" w:eastAsia="Palatino Linotype" w:hAnsi="Palatino Linotype" w:cs="Palatino Linotype"/>
          <w:i/>
          <w:color w:val="0D0D0D" w:themeColor="text1" w:themeTint="F2"/>
        </w:rPr>
      </w:pPr>
    </w:p>
    <w:p w14:paraId="7DD4E088" w14:textId="77777777" w:rsidR="00F16734" w:rsidRPr="0086781A" w:rsidRDefault="00FB681D">
      <w:pPr>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Razones o Motivos de la Inconformidad</w:t>
      </w:r>
    </w:p>
    <w:p w14:paraId="6AB6B492" w14:textId="77777777" w:rsidR="00F16734" w:rsidRPr="0086781A" w:rsidRDefault="00FB681D">
      <w:pPr>
        <w:spacing w:line="276" w:lineRule="auto"/>
        <w:ind w:left="567" w:right="567"/>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“NO ENTREGA INFORMACIÓN” (Sic)</w:t>
      </w:r>
    </w:p>
    <w:p w14:paraId="7E3A25EB" w14:textId="77777777" w:rsidR="00F16734" w:rsidRPr="0086781A" w:rsidRDefault="00F16734">
      <w:pPr>
        <w:widowControl w:val="0"/>
        <w:spacing w:line="360" w:lineRule="auto"/>
        <w:jc w:val="both"/>
        <w:rPr>
          <w:rFonts w:ascii="Palatino Linotype" w:eastAsia="Palatino Linotype" w:hAnsi="Palatino Linotype" w:cs="Palatino Linotype"/>
          <w:b/>
          <w:color w:val="0D0D0D" w:themeColor="text1" w:themeTint="F2"/>
        </w:rPr>
      </w:pPr>
    </w:p>
    <w:p w14:paraId="17CDA342"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6. Trámite del Recurso de Revisión con número 15449/INFOEM/ICR-63/IP/RR/2022 ante el Instituto.</w:t>
      </w:r>
    </w:p>
    <w:p w14:paraId="46FCCA42" w14:textId="77777777" w:rsidR="00F16734" w:rsidRPr="0086781A" w:rsidRDefault="00F16734">
      <w:pPr>
        <w:spacing w:line="360" w:lineRule="auto"/>
        <w:jc w:val="both"/>
        <w:rPr>
          <w:rFonts w:ascii="Palatino Linotype" w:eastAsia="Palatino Linotype" w:hAnsi="Palatino Linotype" w:cs="Palatino Linotype"/>
          <w:b/>
          <w:color w:val="0D0D0D" w:themeColor="text1" w:themeTint="F2"/>
        </w:rPr>
      </w:pPr>
    </w:p>
    <w:p w14:paraId="6AE8110D"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a) Turno del Recurso de Revisión.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tres de febrero de dos mil veintitrés</w:t>
      </w:r>
      <w:r w:rsidRPr="0086781A">
        <w:rPr>
          <w:rFonts w:ascii="Palatino Linotype" w:eastAsia="Palatino Linotype" w:hAnsi="Palatino Linotype" w:cs="Palatino Linotype"/>
          <w:color w:val="0D0D0D" w:themeColor="text1" w:themeTint="F2"/>
        </w:rPr>
        <w:t xml:space="preserve">, el Sistema de Acceso a la Información Mexiquense (SAIMEX), asignó el número de expediente </w:t>
      </w:r>
      <w:r w:rsidRPr="0086781A">
        <w:rPr>
          <w:rFonts w:ascii="Palatino Linotype" w:eastAsia="Palatino Linotype" w:hAnsi="Palatino Linotype" w:cs="Palatino Linotype"/>
          <w:b/>
          <w:color w:val="0D0D0D" w:themeColor="text1" w:themeTint="F2"/>
        </w:rPr>
        <w:t xml:space="preserve">15449/INFOEM/ICR-63/IP/RR/2022, </w:t>
      </w:r>
      <w:r w:rsidRPr="0086781A">
        <w:rPr>
          <w:rFonts w:ascii="Palatino Linotype" w:eastAsia="Palatino Linotype" w:hAnsi="Palatino Linotype" w:cs="Palatino Linotype"/>
          <w:color w:val="0D0D0D" w:themeColor="text1" w:themeTint="F2"/>
        </w:rPr>
        <w:t xml:space="preserve">al Medio de Impugnación que nos ocupa, con base en el sistema aprobado por el Pleno de este Organismo Garante y lo turnó a la </w:t>
      </w:r>
      <w:r w:rsidRPr="0086781A">
        <w:rPr>
          <w:rFonts w:ascii="Palatino Linotype" w:eastAsia="Palatino Linotype" w:hAnsi="Palatino Linotype" w:cs="Palatino Linotype"/>
          <w:b/>
          <w:color w:val="0D0D0D" w:themeColor="text1" w:themeTint="F2"/>
        </w:rPr>
        <w:t>Comisionada Ponente Guadalupe Ramírez Peña</w:t>
      </w:r>
      <w:r w:rsidRPr="0086781A">
        <w:rPr>
          <w:rFonts w:ascii="Palatino Linotype" w:eastAsia="Palatino Linotype" w:hAnsi="Palatino Linotype" w:cs="Palatino Linotype"/>
          <w:color w:val="0D0D0D" w:themeColor="text1" w:themeTint="F2"/>
        </w:rPr>
        <w:t>, para los efectos del artículo 185, fracción I de la Ley de Transparencia y Acceso a la Información Pública del Estado de México y Municipios.</w:t>
      </w:r>
    </w:p>
    <w:p w14:paraId="63E32013"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B525897" w14:textId="77777777" w:rsidR="00F16734" w:rsidRPr="0086781A" w:rsidRDefault="00FB681D">
      <w:pPr>
        <w:spacing w:line="360" w:lineRule="auto"/>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lastRenderedPageBreak/>
        <w:t xml:space="preserve">b) Admisión del Recurso de Revisión. </w:t>
      </w:r>
      <w:r w:rsidRPr="0086781A">
        <w:rPr>
          <w:rFonts w:ascii="Palatino Linotype" w:eastAsia="Palatino Linotype" w:hAnsi="Palatino Linotype" w:cs="Palatino Linotype"/>
          <w:color w:val="0D0D0D" w:themeColor="text1" w:themeTint="F2"/>
        </w:rPr>
        <w:t xml:space="preserve">El </w:t>
      </w:r>
      <w:r w:rsidRPr="0086781A">
        <w:rPr>
          <w:rFonts w:ascii="Palatino Linotype" w:eastAsia="Palatino Linotype" w:hAnsi="Palatino Linotype" w:cs="Palatino Linotype"/>
          <w:b/>
          <w:color w:val="0D0D0D" w:themeColor="text1" w:themeTint="F2"/>
        </w:rPr>
        <w:t>nueve de febrero de dos mil veintitrés</w:t>
      </w:r>
      <w:r w:rsidRPr="0086781A">
        <w:rPr>
          <w:rFonts w:ascii="Palatino Linotype" w:eastAsia="Palatino Linotype" w:hAnsi="Palatino Linotype" w:cs="Palatino Linotype"/>
          <w:color w:val="0D0D0D" w:themeColor="text1" w:themeTint="F2"/>
        </w:rPr>
        <w:t>, se acordó la admisión del Recurso de Revisión interpuesto por la parte</w:t>
      </w:r>
      <w:r w:rsidRPr="0086781A">
        <w:rPr>
          <w:rFonts w:ascii="Palatino Linotype" w:eastAsia="Palatino Linotype" w:hAnsi="Palatino Linotype" w:cs="Palatino Linotype"/>
          <w:b/>
          <w:color w:val="0D0D0D" w:themeColor="text1" w:themeTint="F2"/>
        </w:rPr>
        <w:t xml:space="preserve"> Recurrente</w:t>
      </w:r>
      <w:r w:rsidRPr="0086781A">
        <w:rPr>
          <w:rFonts w:ascii="Palatino Linotype" w:eastAsia="Palatino Linotype" w:hAnsi="Palatino Linotype" w:cs="Palatino Linotype"/>
          <w:color w:val="0D0D0D" w:themeColor="text1" w:themeTint="F2"/>
        </w:rPr>
        <w:t xml:space="preserve"> en contra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86781A">
        <w:rPr>
          <w:rFonts w:ascii="Palatino Linotype" w:eastAsia="Palatino Linotype" w:hAnsi="Palatino Linotype" w:cs="Palatino Linotype"/>
          <w:b/>
          <w:color w:val="0D0D0D" w:themeColor="text1" w:themeTint="F2"/>
        </w:rPr>
        <w:t xml:space="preserve"> </w:t>
      </w:r>
    </w:p>
    <w:p w14:paraId="411D4A9C" w14:textId="77777777" w:rsidR="00F16734" w:rsidRPr="0086781A" w:rsidRDefault="00F16734">
      <w:pPr>
        <w:spacing w:line="360" w:lineRule="auto"/>
        <w:jc w:val="both"/>
        <w:rPr>
          <w:rFonts w:ascii="Palatino Linotype" w:eastAsia="Palatino Linotype" w:hAnsi="Palatino Linotype" w:cs="Palatino Linotype"/>
          <w:b/>
          <w:color w:val="0D0D0D" w:themeColor="text1" w:themeTint="F2"/>
        </w:rPr>
      </w:pPr>
    </w:p>
    <w:p w14:paraId="1BC40D87"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c) Manifestaciones o Informe Justificado. </w:t>
      </w:r>
      <w:r w:rsidRPr="0086781A">
        <w:rPr>
          <w:rFonts w:ascii="Palatino Linotype" w:eastAsia="Palatino Linotype" w:hAnsi="Palatino Linotype" w:cs="Palatino Linotype"/>
          <w:color w:val="0D0D0D" w:themeColor="text1" w:themeTint="F2"/>
        </w:rPr>
        <w:t xml:space="preserve">De las constancias del expediente electrónico del SAIMEX, se observa que el </w:t>
      </w:r>
      <w:r w:rsidRPr="0086781A">
        <w:rPr>
          <w:rFonts w:ascii="Palatino Linotype" w:eastAsia="Palatino Linotype" w:hAnsi="Palatino Linotype" w:cs="Palatino Linotype"/>
          <w:b/>
          <w:color w:val="0D0D0D" w:themeColor="text1" w:themeTint="F2"/>
        </w:rPr>
        <w:t xml:space="preserve">treinta y uno de marzo de dos mil veintitrés, </w:t>
      </w:r>
      <w:r w:rsidRPr="0086781A">
        <w:rPr>
          <w:rFonts w:ascii="Palatino Linotype" w:eastAsia="Palatino Linotype" w:hAnsi="Palatino Linotype" w:cs="Palatino Linotype"/>
          <w:color w:val="0D0D0D" w:themeColor="text1" w:themeTint="F2"/>
        </w:rPr>
        <w:t>el</w:t>
      </w:r>
      <w:r w:rsidRPr="0086781A">
        <w:rPr>
          <w:rFonts w:ascii="Palatino Linotype" w:eastAsia="Palatino Linotype" w:hAnsi="Palatino Linotype" w:cs="Palatino Linotype"/>
          <w:b/>
          <w:color w:val="0D0D0D" w:themeColor="text1" w:themeTint="F2"/>
        </w:rPr>
        <w:t xml:space="preserve"> Sujeto Obligado </w:t>
      </w:r>
      <w:r w:rsidRPr="0086781A">
        <w:rPr>
          <w:rFonts w:ascii="Palatino Linotype" w:eastAsia="Palatino Linotype" w:hAnsi="Palatino Linotype" w:cs="Palatino Linotype"/>
          <w:color w:val="0D0D0D" w:themeColor="text1" w:themeTint="F2"/>
        </w:rPr>
        <w:t>remitió</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el</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archivo electrónico</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b/>
          <w:i/>
          <w:color w:val="0D0D0D" w:themeColor="text1" w:themeTint="F2"/>
          <w:sz w:val="22"/>
          <w:szCs w:val="22"/>
        </w:rPr>
        <w:t xml:space="preserve">Zinacantepec 47.pdf”, </w:t>
      </w:r>
      <w:r w:rsidRPr="0086781A">
        <w:rPr>
          <w:rFonts w:ascii="Palatino Linotype" w:eastAsia="Palatino Linotype" w:hAnsi="Palatino Linotype" w:cs="Palatino Linotype"/>
          <w:color w:val="0D0D0D" w:themeColor="text1" w:themeTint="F2"/>
        </w:rPr>
        <w:t xml:space="preserve">en el cual obra la solicitud de ampliación de plazo formulada por el Titular de la Unidad de Transparencia al Pleno de este Instituto por un periodo de 30 días hábiles, lo anterior en virtud de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es de precisar que una vez analizada esta documentación, se determinó ponerla a la vista de </w:t>
      </w:r>
      <w:r w:rsidRPr="0086781A">
        <w:rPr>
          <w:rFonts w:ascii="Palatino Linotype" w:eastAsia="Palatino Linotype" w:hAnsi="Palatino Linotype" w:cs="Palatino Linotype"/>
          <w:b/>
          <w:color w:val="0D0D0D" w:themeColor="text1" w:themeTint="F2"/>
        </w:rPr>
        <w:t>la parte Recurrente</w:t>
      </w:r>
      <w:r w:rsidRPr="0086781A">
        <w:rPr>
          <w:rFonts w:ascii="Palatino Linotype" w:eastAsia="Palatino Linotype" w:hAnsi="Palatino Linotype" w:cs="Palatino Linotype"/>
          <w:color w:val="0D0D0D" w:themeColor="text1" w:themeTint="F2"/>
        </w:rPr>
        <w:t xml:space="preserve"> mediante acuerdo signado por la Comisionada Ponente, el </w:t>
      </w:r>
      <w:proofErr w:type="spellStart"/>
      <w:r w:rsidRPr="0086781A">
        <w:rPr>
          <w:rFonts w:ascii="Palatino Linotype" w:eastAsia="Palatino Linotype" w:hAnsi="Palatino Linotype" w:cs="Palatino Linotype"/>
          <w:b/>
          <w:color w:val="0D0D0D" w:themeColor="text1" w:themeTint="F2"/>
        </w:rPr>
        <w:t>dieciseis</w:t>
      </w:r>
      <w:proofErr w:type="spellEnd"/>
      <w:r w:rsidRPr="0086781A">
        <w:rPr>
          <w:rFonts w:ascii="Palatino Linotype" w:eastAsia="Palatino Linotype" w:hAnsi="Palatino Linotype" w:cs="Palatino Linotype"/>
          <w:b/>
          <w:color w:val="0D0D0D" w:themeColor="text1" w:themeTint="F2"/>
        </w:rPr>
        <w:t xml:space="preserve"> de mayo de dos mil </w:t>
      </w:r>
      <w:r w:rsidRPr="0086781A">
        <w:rPr>
          <w:rFonts w:ascii="Palatino Linotype" w:eastAsia="Palatino Linotype" w:hAnsi="Palatino Linotype" w:cs="Palatino Linotype"/>
          <w:b/>
          <w:color w:val="0D0D0D" w:themeColor="text1" w:themeTint="F2"/>
        </w:rPr>
        <w:lastRenderedPageBreak/>
        <w:t>veintitrés</w:t>
      </w:r>
      <w:r w:rsidRPr="0086781A">
        <w:rPr>
          <w:rFonts w:ascii="Palatino Linotype" w:eastAsia="Palatino Linotype" w:hAnsi="Palatino Linotype" w:cs="Palatino Linotype"/>
          <w:color w:val="0D0D0D" w:themeColor="text1" w:themeTint="F2"/>
        </w:rPr>
        <w:t xml:space="preserve">, asimismo, es necesario destacar que el particular fue omiso en emitir pronunciamiento alguno, por lo que se tiene precluido su derecho para tal efecto. </w:t>
      </w:r>
    </w:p>
    <w:p w14:paraId="4B47B92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drawing>
          <wp:inline distT="0" distB="0" distL="0" distR="0" wp14:anchorId="4B68D33D" wp14:editId="0F7C9DF6">
            <wp:extent cx="5581015" cy="1899920"/>
            <wp:effectExtent l="0" t="0" r="0" b="0"/>
            <wp:docPr id="10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5581015" cy="1899920"/>
                    </a:xfrm>
                    <a:prstGeom prst="rect">
                      <a:avLst/>
                    </a:prstGeom>
                    <a:ln/>
                  </pic:spPr>
                </pic:pic>
              </a:graphicData>
            </a:graphic>
          </wp:inline>
        </w:drawing>
      </w:r>
    </w:p>
    <w:p w14:paraId="1995EC99" w14:textId="77777777" w:rsidR="00B51421" w:rsidRPr="0086781A" w:rsidRDefault="00FB681D" w:rsidP="00B51421">
      <w:pPr>
        <w:widowControl w:val="0"/>
        <w:spacing w:after="240"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b/>
          <w:color w:val="0D0D0D" w:themeColor="text1" w:themeTint="F2"/>
        </w:rPr>
        <w:t xml:space="preserve">d) </w:t>
      </w:r>
      <w:r w:rsidR="00B51421" w:rsidRPr="0086781A">
        <w:rPr>
          <w:rFonts w:ascii="Palatino Linotype" w:eastAsia="Palatino Linotype" w:hAnsi="Palatino Linotype" w:cs="Palatino Linotype"/>
          <w:b/>
          <w:color w:val="0D0D0D" w:themeColor="text1" w:themeTint="F2"/>
          <w:lang w:val="es-ES" w:eastAsia="es-MX"/>
        </w:rPr>
        <w:t>Ampliación del plazo para emitir resolución.</w:t>
      </w:r>
      <w:r w:rsidR="00B51421" w:rsidRPr="0086781A">
        <w:rPr>
          <w:rFonts w:ascii="Palatino Linotype" w:eastAsia="Palatino Linotype" w:hAnsi="Palatino Linotype" w:cs="Palatino Linotype"/>
          <w:color w:val="0D0D0D" w:themeColor="text1" w:themeTint="F2"/>
          <w:lang w:val="es-ES" w:eastAsia="es-MX"/>
        </w:rPr>
        <w:t xml:space="preserve"> El </w:t>
      </w:r>
      <w:r w:rsidR="00B51421" w:rsidRPr="0086781A">
        <w:rPr>
          <w:rFonts w:ascii="Palatino Linotype" w:eastAsia="Palatino Linotype" w:hAnsi="Palatino Linotype" w:cs="Palatino Linotype"/>
          <w:b/>
          <w:color w:val="0D0D0D" w:themeColor="text1" w:themeTint="F2"/>
          <w:lang w:val="es-ES" w:eastAsia="es-MX"/>
        </w:rPr>
        <w:t>dieciséis de mayo del año dos mil veintitrés</w:t>
      </w:r>
      <w:r w:rsidR="00B51421" w:rsidRPr="0086781A">
        <w:rPr>
          <w:rFonts w:ascii="Palatino Linotype" w:eastAsia="Palatino Linotype" w:hAnsi="Palatino Linotype" w:cs="Palatino Linotype"/>
          <w:color w:val="0D0D0D" w:themeColor="text1" w:themeTint="F2"/>
          <w:lang w:val="es-ES" w:eastAsia="es-MX"/>
        </w:rPr>
        <w:t>, con fundamento en el artículo 181, párrafo tercero de la Ley de Transparencia y Acceso a la Información Pública del Estado de México y Municipios, se acordó la ampliación del plazo para su resolución.</w:t>
      </w:r>
    </w:p>
    <w:p w14:paraId="27A2799B"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1F2008DA"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2B0048FF"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86781A">
        <w:rPr>
          <w:rFonts w:ascii="Palatino Linotype" w:eastAsia="Palatino Linotype" w:hAnsi="Palatino Linotype" w:cs="Palatino Linotype"/>
          <w:color w:val="0D0D0D" w:themeColor="text1" w:themeTint="F2"/>
          <w:lang w:val="es-ES" w:eastAsia="es-MX"/>
        </w:rPr>
        <w:lastRenderedPageBreak/>
        <w:t>razonabilidad de asuntos conforme a los parámetros establecidos por diversos órganos jurisdiccionales federales, aplicables también en procedimientos análogos, como el que nos ocupa.</w:t>
      </w:r>
    </w:p>
    <w:p w14:paraId="44FD2226"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3E13D888"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66B33F"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70F7498E"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9CDCC56"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4724F3E8" w14:textId="77777777" w:rsidR="00B51421" w:rsidRPr="0086781A" w:rsidRDefault="00B51421" w:rsidP="00B51421">
      <w:pPr>
        <w:spacing w:line="360" w:lineRule="auto"/>
        <w:jc w:val="both"/>
        <w:rPr>
          <w:rFonts w:ascii="Palatino Linotype" w:eastAsia="Palatino Linotype" w:hAnsi="Palatino Linotype" w:cs="Palatino Linotype"/>
          <w:strik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 xml:space="preserve">Por ello, excepcionalmente, si un asunto es resuelto con posterioridad a los plazos señalados por la norma debe analizarse la razonabilidad del tiempo necesario para su resolución, atentos a los siguientes criterios: </w:t>
      </w:r>
    </w:p>
    <w:p w14:paraId="6FADDE00"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7C2A9437" w14:textId="77777777" w:rsidR="00B51421" w:rsidRPr="0086781A" w:rsidRDefault="00B51421" w:rsidP="00B51421">
      <w:pPr>
        <w:numPr>
          <w:ilvl w:val="0"/>
          <w:numId w:val="15"/>
        </w:numPr>
        <w:spacing w:line="360" w:lineRule="auto"/>
        <w:ind w:left="567" w:right="900" w:hanging="141"/>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b/>
          <w:color w:val="0D0D0D" w:themeColor="text1" w:themeTint="F2"/>
          <w:lang w:val="es-ES" w:eastAsia="es-MX"/>
        </w:rPr>
        <w:t>Complejidad del Asunto</w:t>
      </w:r>
      <w:r w:rsidRPr="0086781A">
        <w:rPr>
          <w:rFonts w:ascii="Palatino Linotype" w:eastAsia="Palatino Linotype" w:hAnsi="Palatino Linotype" w:cs="Palatino Linotype"/>
          <w:color w:val="0D0D0D" w:themeColor="text1" w:themeTint="F2"/>
          <w:lang w:val="es-ES" w:eastAsia="es-MX"/>
        </w:rPr>
        <w:t xml:space="preserve">: La complejidad de la prueba, la pluralidad de sujetos procesales, el tiempo transcurrido, las características y contexto del recurso. </w:t>
      </w:r>
    </w:p>
    <w:p w14:paraId="088509AE" w14:textId="77777777" w:rsidR="00B51421" w:rsidRPr="0086781A" w:rsidRDefault="00B51421" w:rsidP="00B51421">
      <w:pPr>
        <w:spacing w:line="360" w:lineRule="auto"/>
        <w:ind w:left="567" w:right="900" w:hanging="141"/>
        <w:jc w:val="both"/>
        <w:rPr>
          <w:rFonts w:ascii="Palatino Linotype" w:eastAsia="Palatino Linotype" w:hAnsi="Palatino Linotype" w:cs="Palatino Linotype"/>
          <w:color w:val="0D0D0D" w:themeColor="text1" w:themeTint="F2"/>
          <w:lang w:val="es-ES" w:eastAsia="es-MX"/>
        </w:rPr>
      </w:pPr>
    </w:p>
    <w:p w14:paraId="72D109E3" w14:textId="77777777" w:rsidR="00B51421" w:rsidRPr="0086781A" w:rsidRDefault="00B51421" w:rsidP="00B51421">
      <w:pPr>
        <w:numPr>
          <w:ilvl w:val="0"/>
          <w:numId w:val="15"/>
        </w:numPr>
        <w:spacing w:line="360" w:lineRule="auto"/>
        <w:ind w:left="567" w:right="900" w:hanging="141"/>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b/>
          <w:color w:val="0D0D0D" w:themeColor="text1" w:themeTint="F2"/>
          <w:lang w:val="es-ES" w:eastAsia="es-MX"/>
        </w:rPr>
        <w:t>Actividad Procesal del interesado:</w:t>
      </w:r>
      <w:r w:rsidRPr="0086781A">
        <w:rPr>
          <w:rFonts w:ascii="Palatino Linotype" w:eastAsia="Palatino Linotype" w:hAnsi="Palatino Linotype" w:cs="Palatino Linotype"/>
          <w:color w:val="0D0D0D" w:themeColor="text1" w:themeTint="F2"/>
          <w:lang w:val="es-ES" w:eastAsia="es-MX"/>
        </w:rPr>
        <w:t xml:space="preserve"> Acciones u omisiones del interesado.</w:t>
      </w:r>
    </w:p>
    <w:p w14:paraId="587533B6" w14:textId="77777777" w:rsidR="00B51421" w:rsidRPr="0086781A" w:rsidRDefault="00B51421" w:rsidP="00B51421">
      <w:pPr>
        <w:spacing w:line="360" w:lineRule="auto"/>
        <w:ind w:left="567" w:right="900" w:hanging="141"/>
        <w:jc w:val="both"/>
        <w:rPr>
          <w:rFonts w:ascii="Palatino Linotype" w:eastAsia="Palatino Linotype" w:hAnsi="Palatino Linotype" w:cs="Palatino Linotype"/>
          <w:color w:val="0D0D0D" w:themeColor="text1" w:themeTint="F2"/>
          <w:lang w:val="es-ES" w:eastAsia="es-MX"/>
        </w:rPr>
      </w:pPr>
    </w:p>
    <w:p w14:paraId="234DBCD6" w14:textId="77777777" w:rsidR="00B51421" w:rsidRPr="0086781A" w:rsidRDefault="00B51421" w:rsidP="00B51421">
      <w:pPr>
        <w:numPr>
          <w:ilvl w:val="0"/>
          <w:numId w:val="15"/>
        </w:numPr>
        <w:spacing w:line="360" w:lineRule="auto"/>
        <w:ind w:left="567" w:right="900" w:hanging="141"/>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b/>
          <w:color w:val="0D0D0D" w:themeColor="text1" w:themeTint="F2"/>
          <w:lang w:val="es-ES" w:eastAsia="es-MX"/>
        </w:rPr>
        <w:t>Conducta de la Autoridad:</w:t>
      </w:r>
      <w:r w:rsidRPr="0086781A">
        <w:rPr>
          <w:rFonts w:ascii="Palatino Linotype" w:eastAsia="Palatino Linotype" w:hAnsi="Palatino Linotype" w:cs="Palatino Linotype"/>
          <w:color w:val="0D0D0D" w:themeColor="text1" w:themeTint="F2"/>
          <w:lang w:val="es-ES" w:eastAsia="es-MX"/>
        </w:rPr>
        <w:t xml:space="preserve"> Las Acciones u omisiones realizadas en el procedimiento. Así como si la autoridad actuó con la debida diligencia.</w:t>
      </w:r>
    </w:p>
    <w:p w14:paraId="785230E9" w14:textId="77777777" w:rsidR="00B51421" w:rsidRPr="0086781A" w:rsidRDefault="00B51421" w:rsidP="00B51421">
      <w:pPr>
        <w:spacing w:line="360" w:lineRule="auto"/>
        <w:ind w:left="567" w:right="900" w:hanging="141"/>
        <w:rPr>
          <w:rFonts w:ascii="Palatino Linotype" w:eastAsia="Palatino Linotype" w:hAnsi="Palatino Linotype" w:cs="Palatino Linotype"/>
          <w:color w:val="0D0D0D" w:themeColor="text1" w:themeTint="F2"/>
          <w:lang w:val="es-ES" w:eastAsia="es-MX"/>
        </w:rPr>
      </w:pPr>
    </w:p>
    <w:p w14:paraId="042B4C51" w14:textId="77777777" w:rsidR="00B51421" w:rsidRPr="0086781A" w:rsidRDefault="00B51421" w:rsidP="00B51421">
      <w:pPr>
        <w:spacing w:line="360" w:lineRule="auto"/>
        <w:ind w:left="567" w:right="900" w:hanging="141"/>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b/>
          <w:color w:val="0D0D0D" w:themeColor="text1" w:themeTint="F2"/>
          <w:lang w:val="es-ES" w:eastAsia="es-MX"/>
        </w:rPr>
        <w:t>d) La afectación generada en la situación jurídica de la persona involucrada en el proceso:</w:t>
      </w:r>
      <w:r w:rsidRPr="0086781A">
        <w:rPr>
          <w:rFonts w:ascii="Palatino Linotype" w:eastAsia="Palatino Linotype" w:hAnsi="Palatino Linotype" w:cs="Palatino Linotype"/>
          <w:color w:val="0D0D0D" w:themeColor="text1" w:themeTint="F2"/>
          <w:lang w:val="es-ES" w:eastAsia="es-MX"/>
        </w:rPr>
        <w:t xml:space="preserve"> Violación a sus derechos humanos.</w:t>
      </w:r>
    </w:p>
    <w:p w14:paraId="0C1B61AC"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117EB757"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4C2C64"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164FE37A" w14:textId="77777777" w:rsidR="00B51421" w:rsidRPr="0086781A" w:rsidRDefault="00B51421" w:rsidP="00B51421">
      <w:pPr>
        <w:spacing w:line="360" w:lineRule="auto"/>
        <w:jc w:val="both"/>
        <w:rPr>
          <w:rFonts w:ascii="Palatino Linotype" w:eastAsia="Palatino Linotype" w:hAnsi="Palatino Linotype" w:cs="Palatino Linotype"/>
          <w:b/>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 xml:space="preserve">Argumento que encuentra sustento en la jurisprudencia P./J. 32/92 emitida por el Pleno de la Suprema Corte de Justicia de la Nación de rubro </w:t>
      </w:r>
      <w:r w:rsidRPr="0086781A">
        <w:rPr>
          <w:rFonts w:ascii="Palatino Linotype" w:eastAsia="Palatino Linotype" w:hAnsi="Palatino Linotype" w:cs="Palatino Linotype"/>
          <w:i/>
          <w:color w:val="0D0D0D" w:themeColor="text1" w:themeTint="F2"/>
          <w:lang w:val="es-ES" w:eastAsia="es-MX"/>
        </w:rPr>
        <w:t>“TÉRMINOS PROCESALES. PARA DETERMINAR SI UN FUNCIONARIO JUDICIAL ACTUÓ INDEBIDAMENTE POR NO RESPETARLOS SE DEBE ATENDER AL PRESUPUESTO QUE CONSIDERÓ EL LEGISLADOR AL FIJARLOS Y LAS CARACTERÍSTICAS DEL CASO.”</w:t>
      </w:r>
      <w:r w:rsidRPr="0086781A">
        <w:rPr>
          <w:rFonts w:ascii="Palatino Linotype" w:eastAsia="Palatino Linotype" w:hAnsi="Palatino Linotype" w:cs="Palatino Linotype"/>
          <w:color w:val="0D0D0D" w:themeColor="text1" w:themeTint="F2"/>
          <w:lang w:val="es-ES" w:eastAsia="es-MX"/>
        </w:rPr>
        <w:t>, visible en la Gaceta del Seminario Judicial de la Federación con el registro digital 205635.</w:t>
      </w:r>
    </w:p>
    <w:p w14:paraId="11D68F6C"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6F48DC60"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3B4D47"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5310871E"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Al respecto, también son de considerar los criterios sostenidos por el Cuarto Tribunal Colegiado en Materia Administrativa del Primer Circuito, cuyos rubros y datos de identificación son los siguientes:</w:t>
      </w:r>
    </w:p>
    <w:p w14:paraId="3C1C5A13"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26B84C04"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t xml:space="preserve"> </w:t>
      </w:r>
      <w:r w:rsidRPr="0086781A">
        <w:rPr>
          <w:rFonts w:ascii="Palatino Linotype" w:eastAsia="Palatino Linotype" w:hAnsi="Palatino Linotype" w:cs="Palatino Linotype"/>
          <w:i/>
          <w:color w:val="0D0D0D" w:themeColor="text1" w:themeTint="F2"/>
          <w:lang w:val="es-ES" w:eastAsia="es-MX"/>
        </w:rPr>
        <w:t>“PLAZO RAZONABLE PARA RESOLVER. DIMENSIÓN Y EFECTOS DE ESTE CONCEPTO CUANDO SE ADUCE EXCESIVA CARGA DE TRABAJO.”</w:t>
      </w:r>
      <w:r w:rsidRPr="0086781A">
        <w:rPr>
          <w:rFonts w:ascii="Palatino Linotype" w:eastAsia="Palatino Linotype" w:hAnsi="Palatino Linotype" w:cs="Palatino Linotype"/>
          <w:color w:val="0D0D0D" w:themeColor="text1" w:themeTint="F2"/>
          <w:lang w:val="es-ES" w:eastAsia="es-MX"/>
        </w:rPr>
        <w:t xml:space="preserve"> consultable en el Seminario Judicial de la Federación y su gaceta, con el registro digital 2002351.</w:t>
      </w:r>
    </w:p>
    <w:p w14:paraId="07490960" w14:textId="77777777" w:rsidR="00B51421" w:rsidRPr="0086781A" w:rsidRDefault="00B51421" w:rsidP="00B51421">
      <w:pPr>
        <w:spacing w:line="360" w:lineRule="auto"/>
        <w:jc w:val="both"/>
        <w:rPr>
          <w:rFonts w:ascii="Palatino Linotype" w:eastAsia="Palatino Linotype" w:hAnsi="Palatino Linotype" w:cs="Palatino Linotype"/>
          <w:b/>
          <w:color w:val="0D0D0D" w:themeColor="text1" w:themeTint="F2"/>
          <w:lang w:val="es-ES" w:eastAsia="es-MX"/>
        </w:rPr>
      </w:pPr>
    </w:p>
    <w:p w14:paraId="17F96C23"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i/>
          <w:color w:val="0D0D0D" w:themeColor="text1" w:themeTint="F2"/>
          <w:lang w:val="es-ES" w:eastAsia="es-MX"/>
        </w:rPr>
        <w:t>“PLAZO RAZONABLE PARA RESOLVER. CONCEPTO Y ELEMENTOS QUE LO INTEGRAN A LA LUZ DEL DERECHO INTERNACIONAL DE LOS DERECHOS HUMANOS.”</w:t>
      </w:r>
      <w:r w:rsidRPr="0086781A">
        <w:rPr>
          <w:rFonts w:ascii="Palatino Linotype" w:eastAsia="Palatino Linotype" w:hAnsi="Palatino Linotype" w:cs="Palatino Linotype"/>
          <w:color w:val="0D0D0D" w:themeColor="text1" w:themeTint="F2"/>
          <w:lang w:val="es-ES" w:eastAsia="es-MX"/>
        </w:rPr>
        <w:t>, visible en el Seminario Judicial de la Federación y su gaceta, con el registro digital 2002350.</w:t>
      </w:r>
    </w:p>
    <w:p w14:paraId="56B64066"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p>
    <w:p w14:paraId="28D1600C" w14:textId="77777777" w:rsidR="00B51421" w:rsidRPr="0086781A" w:rsidRDefault="00B51421" w:rsidP="00B51421">
      <w:pPr>
        <w:spacing w:line="360" w:lineRule="auto"/>
        <w:jc w:val="both"/>
        <w:rPr>
          <w:rFonts w:ascii="Palatino Linotype" w:eastAsia="Palatino Linotype" w:hAnsi="Palatino Linotype" w:cs="Palatino Linotype"/>
          <w:color w:val="0D0D0D" w:themeColor="text1" w:themeTint="F2"/>
          <w:lang w:val="es-ES" w:eastAsia="es-MX"/>
        </w:rPr>
      </w:pPr>
      <w:r w:rsidRPr="0086781A">
        <w:rPr>
          <w:rFonts w:ascii="Palatino Linotype" w:eastAsia="Palatino Linotype" w:hAnsi="Palatino Linotype" w:cs="Palatino Linotype"/>
          <w:color w:val="0D0D0D" w:themeColor="text1" w:themeTint="F2"/>
          <w:lang w:val="es-ES" w:eastAsia="es-MX"/>
        </w:rPr>
        <w:lastRenderedPageBreak/>
        <w:t>Por ello, este organismo garante comprometido con la tutela de los derechos humanos confiados, señala que este exceso de plazo legal para resolver el presente asunto, resulta de carácter excepcional.</w:t>
      </w:r>
    </w:p>
    <w:p w14:paraId="035E81C8" w14:textId="77777777" w:rsidR="00B51421" w:rsidRPr="0086781A" w:rsidRDefault="00B51421">
      <w:pPr>
        <w:spacing w:line="360" w:lineRule="auto"/>
        <w:jc w:val="both"/>
        <w:rPr>
          <w:rFonts w:ascii="Palatino Linotype" w:eastAsia="Palatino Linotype" w:hAnsi="Palatino Linotype" w:cs="Palatino Linotype"/>
          <w:b/>
          <w:color w:val="0D0D0D" w:themeColor="text1" w:themeTint="F2"/>
        </w:rPr>
      </w:pPr>
    </w:p>
    <w:p w14:paraId="5BA58BD4" w14:textId="77777777" w:rsidR="00F16734" w:rsidRPr="0086781A" w:rsidRDefault="00B51421">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e) </w:t>
      </w:r>
      <w:r w:rsidR="00FB681D" w:rsidRPr="0086781A">
        <w:rPr>
          <w:rFonts w:ascii="Palatino Linotype" w:eastAsia="Palatino Linotype" w:hAnsi="Palatino Linotype" w:cs="Palatino Linotype"/>
          <w:b/>
          <w:color w:val="0D0D0D" w:themeColor="text1" w:themeTint="F2"/>
        </w:rPr>
        <w:t>Cierre de instrucción.</w:t>
      </w:r>
      <w:r w:rsidR="00FB681D" w:rsidRPr="0086781A">
        <w:rPr>
          <w:rFonts w:ascii="Palatino Linotype" w:eastAsia="Palatino Linotype" w:hAnsi="Palatino Linotype" w:cs="Palatino Linotype"/>
          <w:color w:val="0D0D0D" w:themeColor="text1" w:themeTint="F2"/>
        </w:rPr>
        <w:t xml:space="preserve"> El </w:t>
      </w:r>
      <w:r w:rsidR="00FB681D" w:rsidRPr="0086781A">
        <w:rPr>
          <w:rFonts w:ascii="Palatino Linotype" w:eastAsia="Palatino Linotype" w:hAnsi="Palatino Linotype" w:cs="Palatino Linotype"/>
          <w:b/>
          <w:color w:val="0D0D0D" w:themeColor="text1" w:themeTint="F2"/>
        </w:rPr>
        <w:t>veintidós de mayo de dos mil veintitrés</w:t>
      </w:r>
      <w:r w:rsidR="00FB681D" w:rsidRPr="0086781A">
        <w:rPr>
          <w:rFonts w:ascii="Palatino Linotype" w:eastAsia="Palatino Linotype" w:hAnsi="Palatino Linotype" w:cs="Palatino Linotype"/>
          <w:color w:val="0D0D0D" w:themeColor="text1" w:themeTint="F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78F22A5D" w14:textId="77777777" w:rsidR="00F16734" w:rsidRPr="0086781A" w:rsidRDefault="00FB681D">
      <w:pPr>
        <w:pBdr>
          <w:top w:val="nil"/>
          <w:left w:val="nil"/>
          <w:bottom w:val="nil"/>
          <w:right w:val="nil"/>
          <w:between w:val="nil"/>
        </w:pBdr>
        <w:spacing w:before="240" w:after="240"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En razón de que fue debidamente sustanciado el expediente electrónico y no existe diligencia pendiente de desahogo, se emite la Resolución que conforme a Derecho proceda, de acuerdo con los siguientes: </w:t>
      </w:r>
    </w:p>
    <w:p w14:paraId="7D5036A1" w14:textId="77777777" w:rsidR="00F16734" w:rsidRPr="0086781A" w:rsidRDefault="00FB681D">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II. C O N S I D E R A N D O S</w:t>
      </w:r>
    </w:p>
    <w:p w14:paraId="094CC0A4"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Primero. Competencia.</w:t>
      </w:r>
      <w:r w:rsidRPr="0086781A">
        <w:rPr>
          <w:rFonts w:ascii="Palatino Linotype" w:eastAsia="Palatino Linotype" w:hAnsi="Palatino Linotype" w:cs="Palatino Linotype"/>
          <w:color w:val="0D0D0D" w:themeColor="text1" w:themeTint="F2"/>
        </w:rPr>
        <w:t xml:space="preserve"> El Instituto de Transparencia, Acceso a la Información Pública y Protección de Datos Personales del Estado de México y Municipios, es competente para conocer y resolver el presente recurso de revisión interpuesto por </w:t>
      </w:r>
      <w:r w:rsidRPr="0086781A">
        <w:rPr>
          <w:rFonts w:ascii="Palatino Linotype" w:eastAsia="Palatino Linotype" w:hAnsi="Palatino Linotype" w:cs="Palatino Linotype"/>
          <w:b/>
          <w:color w:val="0D0D0D" w:themeColor="text1" w:themeTint="F2"/>
        </w:rPr>
        <w:t>la parte</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Recurrente</w:t>
      </w:r>
      <w:r w:rsidRPr="0086781A">
        <w:rPr>
          <w:rFonts w:ascii="Palatino Linotype" w:eastAsia="Palatino Linotype" w:hAnsi="Palatino Linotype" w:cs="Palatino Linotype"/>
          <w:color w:val="0D0D0D" w:themeColor="text1" w:themeTint="F2"/>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86781A">
        <w:rPr>
          <w:rFonts w:ascii="Palatino Linotype" w:eastAsia="Palatino Linotype" w:hAnsi="Palatino Linotype" w:cs="Palatino Linotype"/>
          <w:color w:val="0D0D0D" w:themeColor="text1" w:themeTint="F2"/>
        </w:rPr>
        <w:lastRenderedPageBreak/>
        <w:t>Pública del Estado de México y Municipios; 9, fracciones I y XXIII y 11 del Reglamento Interior del Instituto de Transparencia, Acceso a la Información Pública y Protección de Datos Personales del Estado de México y Municipios.</w:t>
      </w:r>
    </w:p>
    <w:p w14:paraId="60871AA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Segundo. Oportunidad y Procedibilidad. </w:t>
      </w:r>
      <w:r w:rsidRPr="0086781A">
        <w:rPr>
          <w:rFonts w:ascii="Palatino Linotype" w:eastAsia="Palatino Linotype" w:hAnsi="Palatino Linotype" w:cs="Palatino Linotype"/>
          <w:color w:val="0D0D0D" w:themeColor="text1" w:themeTint="F2"/>
        </w:rPr>
        <w:t>Es de precisar que la</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 xml:space="preserve">Ley de Transparencia y Acceso a la Información Pública del Estado de México y Municipios, describe el mecanismo de procedencia de los recursos de revisión, como se dispone en los artículos 163 y 166, del tenor literal siguiente: </w:t>
      </w:r>
    </w:p>
    <w:p w14:paraId="3A1793E0"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3590CC39" w14:textId="77777777" w:rsidR="00F16734" w:rsidRPr="0086781A" w:rsidRDefault="00FB681D">
      <w:pPr>
        <w:spacing w:line="276" w:lineRule="auto"/>
        <w:ind w:left="851" w:right="851"/>
        <w:jc w:val="both"/>
        <w:rPr>
          <w:rFonts w:ascii="Palatino Linotype" w:eastAsia="Palatino Linotype" w:hAnsi="Palatino Linotype" w:cs="Palatino Linotype"/>
          <w:i/>
          <w:color w:val="0D0D0D" w:themeColor="text1" w:themeTint="F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 xml:space="preserve">Artículo 163. </w:t>
      </w:r>
      <w:r w:rsidRPr="0086781A">
        <w:rPr>
          <w:rFonts w:ascii="Palatino Linotype" w:eastAsia="Palatino Linotype" w:hAnsi="Palatino Linotype" w:cs="Palatino Linotype"/>
          <w:i/>
          <w:color w:val="0D0D0D" w:themeColor="text1" w:themeTint="F2"/>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EF76400" w14:textId="77777777" w:rsidR="00F16734" w:rsidRPr="0086781A" w:rsidRDefault="00FB681D">
      <w:pPr>
        <w:spacing w:line="276" w:lineRule="auto"/>
        <w:ind w:left="851" w:right="851"/>
        <w:jc w:val="both"/>
        <w:rPr>
          <w:rFonts w:ascii="Palatino Linotype" w:eastAsia="Palatino Linotype" w:hAnsi="Palatino Linotype" w:cs="Palatino Linotype"/>
          <w:i/>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43C41DCE" w14:textId="77777777" w:rsidR="00F16734" w:rsidRPr="0086781A" w:rsidRDefault="00FB681D">
      <w:pPr>
        <w:spacing w:line="276" w:lineRule="auto"/>
        <w:ind w:left="851" w:right="851"/>
        <w:jc w:val="both"/>
        <w:rPr>
          <w:rFonts w:ascii="Palatino Linotype" w:eastAsia="Palatino Linotype" w:hAnsi="Palatino Linotype" w:cs="Palatino Linotype"/>
          <w:i/>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166.</w:t>
      </w:r>
      <w:r w:rsidRPr="0086781A">
        <w:rPr>
          <w:rFonts w:ascii="Palatino Linotype" w:eastAsia="Palatino Linotype" w:hAnsi="Palatino Linotype" w:cs="Palatino Linotype"/>
          <w:i/>
          <w:color w:val="0D0D0D" w:themeColor="text1" w:themeTint="F2"/>
          <w:sz w:val="22"/>
          <w:szCs w:val="22"/>
        </w:rPr>
        <w:t xml:space="preserve"> […]</w:t>
      </w:r>
    </w:p>
    <w:p w14:paraId="55B83E74" w14:textId="77777777" w:rsidR="00F16734" w:rsidRPr="0086781A" w:rsidRDefault="00FB681D">
      <w:pPr>
        <w:spacing w:line="276"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1840C115" w14:textId="77777777" w:rsidR="00F16734" w:rsidRPr="0086781A" w:rsidRDefault="00F16734">
      <w:pPr>
        <w:spacing w:line="276" w:lineRule="auto"/>
        <w:ind w:left="851" w:right="851"/>
        <w:jc w:val="both"/>
        <w:rPr>
          <w:rFonts w:ascii="Palatino Linotype" w:eastAsia="Palatino Linotype" w:hAnsi="Palatino Linotype" w:cs="Palatino Linotype"/>
          <w:i/>
          <w:color w:val="0D0D0D" w:themeColor="text1" w:themeTint="F2"/>
        </w:rPr>
      </w:pPr>
    </w:p>
    <w:p w14:paraId="073C0D69"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25DB3343"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654A5B11"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7094912F"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0E92BB8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Por su parte, el artículo 178 del citado ordenamiento, establece:</w:t>
      </w:r>
    </w:p>
    <w:p w14:paraId="2E2FE80E" w14:textId="77777777" w:rsidR="00F16734" w:rsidRPr="0086781A" w:rsidRDefault="00F16734">
      <w:pPr>
        <w:spacing w:line="360" w:lineRule="auto"/>
        <w:jc w:val="both"/>
        <w:rPr>
          <w:rFonts w:ascii="Palatino Linotype" w:eastAsia="Palatino Linotype" w:hAnsi="Palatino Linotype" w:cs="Palatino Linotype"/>
          <w:i/>
          <w:color w:val="0D0D0D" w:themeColor="text1" w:themeTint="F2"/>
        </w:rPr>
      </w:pPr>
    </w:p>
    <w:p w14:paraId="7EE630A8" w14:textId="77777777" w:rsidR="00F16734" w:rsidRPr="0086781A" w:rsidRDefault="00FB681D">
      <w:pPr>
        <w:spacing w:line="276" w:lineRule="auto"/>
        <w:ind w:left="567" w:right="616"/>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 xml:space="preserve">Artículo 178. </w:t>
      </w:r>
      <w:r w:rsidRPr="0086781A">
        <w:rPr>
          <w:rFonts w:ascii="Palatino Linotype" w:eastAsia="Palatino Linotype" w:hAnsi="Palatino Linotype" w:cs="Palatino Linotype"/>
          <w:i/>
          <w:color w:val="0D0D0D" w:themeColor="text1" w:themeTint="F2"/>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86781A">
        <w:rPr>
          <w:rFonts w:ascii="Palatino Linotype" w:eastAsia="Palatino Linotype" w:hAnsi="Palatino Linotype" w:cs="Palatino Linotype"/>
          <w:b/>
          <w:i/>
          <w:color w:val="0D0D0D" w:themeColor="text1" w:themeTint="F2"/>
          <w:sz w:val="22"/>
          <w:szCs w:val="22"/>
        </w:rPr>
        <w:t>.</w:t>
      </w:r>
    </w:p>
    <w:p w14:paraId="5FE5997C" w14:textId="77777777" w:rsidR="00F16734" w:rsidRPr="0086781A" w:rsidRDefault="00F16734">
      <w:pPr>
        <w:spacing w:line="276" w:lineRule="auto"/>
        <w:ind w:left="567" w:right="616"/>
        <w:jc w:val="both"/>
        <w:rPr>
          <w:rFonts w:ascii="Palatino Linotype" w:eastAsia="Palatino Linotype" w:hAnsi="Palatino Linotype" w:cs="Palatino Linotype"/>
          <w:b/>
          <w:i/>
          <w:color w:val="0D0D0D" w:themeColor="text1" w:themeTint="F2"/>
          <w:sz w:val="22"/>
          <w:szCs w:val="22"/>
        </w:rPr>
      </w:pPr>
    </w:p>
    <w:p w14:paraId="063E1F04" w14:textId="77777777" w:rsidR="00F16734" w:rsidRPr="0086781A" w:rsidRDefault="00FB681D">
      <w:pPr>
        <w:spacing w:line="276" w:lineRule="auto"/>
        <w:ind w:left="567" w:right="616"/>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 falta de respuesta del sujeto obligado, dentro de los plazos establecidos en esta Ley, a una solicitud de acceso a la información pública, el recurso podrá ser interpuesto en cualquier momento,</w:t>
      </w:r>
      <w:r w:rsidRPr="0086781A">
        <w:rPr>
          <w:color w:val="0D0D0D" w:themeColor="text1" w:themeTint="F2"/>
        </w:rPr>
        <w:t xml:space="preserve"> </w:t>
      </w:r>
      <w:r w:rsidRPr="0086781A">
        <w:rPr>
          <w:rFonts w:ascii="Palatino Linotype" w:eastAsia="Palatino Linotype" w:hAnsi="Palatino Linotype" w:cs="Palatino Linotype"/>
          <w:i/>
          <w:color w:val="0D0D0D" w:themeColor="text1" w:themeTint="F2"/>
          <w:sz w:val="22"/>
          <w:szCs w:val="22"/>
        </w:rPr>
        <w:t>acompañado con el documento que pruebe la fecha en que presentó la solicitud</w:t>
      </w:r>
      <w:r w:rsidRPr="0086781A">
        <w:rPr>
          <w:rFonts w:ascii="Palatino Linotype" w:eastAsia="Palatino Linotype" w:hAnsi="Palatino Linotype" w:cs="Palatino Linotype"/>
          <w:b/>
          <w:i/>
          <w:color w:val="0D0D0D" w:themeColor="text1" w:themeTint="F2"/>
          <w:sz w:val="22"/>
          <w:szCs w:val="22"/>
        </w:rPr>
        <w:t>.”</w:t>
      </w:r>
    </w:p>
    <w:p w14:paraId="18387E53" w14:textId="77777777" w:rsidR="00F16734" w:rsidRPr="0086781A" w:rsidRDefault="00F16734">
      <w:pPr>
        <w:spacing w:line="360" w:lineRule="auto"/>
        <w:ind w:left="851" w:right="851"/>
        <w:jc w:val="both"/>
        <w:rPr>
          <w:rFonts w:ascii="Palatino Linotype" w:eastAsia="Palatino Linotype" w:hAnsi="Palatino Linotype" w:cs="Palatino Linotype"/>
          <w:i/>
          <w:color w:val="0D0D0D" w:themeColor="text1" w:themeTint="F2"/>
        </w:rPr>
      </w:pPr>
    </w:p>
    <w:p w14:paraId="4A52ED86"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lo anterior, se advierte que el recurso de revisión no se ha de interponer dentro del plazo de quince días hábiles, a partir de la fecha en que el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86781A">
        <w:rPr>
          <w:rFonts w:ascii="Palatino Linotype" w:eastAsia="Palatino Linotype" w:hAnsi="Palatino Linotype" w:cs="Palatino Linotype"/>
          <w:b/>
          <w:color w:val="0D0D0D" w:themeColor="text1" w:themeTint="F2"/>
          <w:u w:val="single"/>
        </w:rPr>
        <w:t>la interposición del recurso de revisión puede ser en cualquier momento.</w:t>
      </w:r>
    </w:p>
    <w:p w14:paraId="6A6F106F"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41D65B99"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La negativa ficta constituye una presunción legal, en el entendido de que donde no hubo respuesta por parte del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 xml:space="preserve">existe por lo tanto, una resolución de rechazo ante la solicitud del ciudadano; ya que efectivamente, dicha figura se </w:t>
      </w:r>
      <w:r w:rsidRPr="0086781A">
        <w:rPr>
          <w:rFonts w:ascii="Palatino Linotype" w:eastAsia="Palatino Linotype" w:hAnsi="Palatino Linotype" w:cs="Palatino Linotype"/>
          <w:color w:val="0D0D0D" w:themeColor="text1" w:themeTint="F2"/>
        </w:rPr>
        <w:lastRenderedPageBreak/>
        <w:t>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5784DE4A"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F509154"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86781A">
        <w:rPr>
          <w:rFonts w:ascii="Palatino Linotype" w:eastAsia="Palatino Linotype" w:hAnsi="Palatino Linotype" w:cs="Palatino Linotype"/>
          <w:color w:val="0D0D0D" w:themeColor="text1" w:themeTint="F2"/>
        </w:rPr>
        <w:t>desechamiento</w:t>
      </w:r>
      <w:proofErr w:type="spellEnd"/>
      <w:r w:rsidRPr="0086781A">
        <w:rPr>
          <w:rFonts w:ascii="Palatino Linotype" w:eastAsia="Palatino Linotype" w:hAnsi="Palatino Linotype" w:cs="Palatino Linotype"/>
          <w:color w:val="0D0D0D" w:themeColor="text1" w:themeTint="F2"/>
        </w:rPr>
        <w:t xml:space="preserve"> del mismo.</w:t>
      </w:r>
    </w:p>
    <w:p w14:paraId="70E41230"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789AB0F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lo tanto, con la finalidad de no reducir ni limitar el derecho de acceso a la información y concederle una protección más eficaz al solicitante para impugnar el silencio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w:t>
      </w:r>
      <w:r w:rsidRPr="0086781A">
        <w:rPr>
          <w:rFonts w:ascii="Palatino Linotype" w:eastAsia="Palatino Linotype" w:hAnsi="Palatino Linotype" w:cs="Palatino Linotype"/>
          <w:color w:val="0D0D0D" w:themeColor="text1" w:themeTint="F2"/>
        </w:rPr>
        <w:lastRenderedPageBreak/>
        <w:t>publicado en el Periódico Oficial del Estado de México “Gaceta del Gobierno”, el veintitrés de abril de dos mil quince, que establece:</w:t>
      </w:r>
    </w:p>
    <w:p w14:paraId="618526B0" w14:textId="77777777" w:rsidR="00F16734" w:rsidRPr="0086781A" w:rsidRDefault="00F16734">
      <w:pPr>
        <w:spacing w:line="276" w:lineRule="auto"/>
        <w:jc w:val="both"/>
        <w:rPr>
          <w:rFonts w:ascii="Palatino Linotype" w:eastAsia="Palatino Linotype" w:hAnsi="Palatino Linotype" w:cs="Palatino Linotype"/>
          <w:i/>
          <w:color w:val="0D0D0D" w:themeColor="text1" w:themeTint="F2"/>
        </w:rPr>
      </w:pPr>
    </w:p>
    <w:p w14:paraId="4C2A181C" w14:textId="77777777" w:rsidR="00F16734" w:rsidRPr="0086781A" w:rsidRDefault="00FB681D">
      <w:pPr>
        <w:tabs>
          <w:tab w:val="left" w:pos="1276"/>
        </w:tabs>
        <w:spacing w:line="276" w:lineRule="auto"/>
        <w:ind w:left="567" w:right="616"/>
        <w:jc w:val="both"/>
        <w:rPr>
          <w:rFonts w:ascii="Palatino Linotype" w:eastAsia="Palatino Linotype" w:hAnsi="Palatino Linotype" w:cs="Palatino Linotype"/>
          <w:i/>
          <w:color w:val="0D0D0D" w:themeColor="text1" w:themeTint="F2"/>
        </w:rPr>
      </w:pPr>
      <w:r w:rsidRPr="0086781A">
        <w:rPr>
          <w:rFonts w:ascii="Palatino Linotype" w:eastAsia="Palatino Linotype" w:hAnsi="Palatino Linotype" w:cs="Palatino Linotype"/>
          <w:b/>
          <w:i/>
          <w:color w:val="0D0D0D" w:themeColor="text1" w:themeTint="F2"/>
          <w:sz w:val="22"/>
          <w:szCs w:val="22"/>
        </w:rPr>
        <w:t>“CRITERIO 0001-15. NEGATIVA FICTA. PLAZO PARA INTERPONER EL RECURSO DE REVISIÓN TRATÁNDOSE DE</w:t>
      </w:r>
      <w:r w:rsidRPr="0086781A">
        <w:rPr>
          <w:rFonts w:ascii="Palatino Linotype" w:eastAsia="Palatino Linotype" w:hAnsi="Palatino Linotype" w:cs="Palatino Linotype"/>
          <w:i/>
          <w:color w:val="0D0D0D" w:themeColor="text1" w:themeTint="F2"/>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6781A">
        <w:rPr>
          <w:rFonts w:ascii="Palatino Linotype" w:eastAsia="Palatino Linotype" w:hAnsi="Palatino Linotype" w:cs="Palatino Linotype"/>
          <w:i/>
          <w:color w:val="0D0D0D" w:themeColor="text1" w:themeTint="F2"/>
        </w:rPr>
        <w:t xml:space="preserve"> </w:t>
      </w:r>
    </w:p>
    <w:p w14:paraId="05EBD2C7" w14:textId="77777777" w:rsidR="00F16734" w:rsidRPr="0086781A" w:rsidRDefault="00F16734">
      <w:pPr>
        <w:spacing w:line="276" w:lineRule="auto"/>
        <w:ind w:left="851" w:right="851"/>
        <w:jc w:val="both"/>
        <w:rPr>
          <w:rFonts w:ascii="Palatino Linotype" w:eastAsia="Palatino Linotype" w:hAnsi="Palatino Linotype" w:cs="Palatino Linotype"/>
          <w:i/>
          <w:color w:val="0D0D0D" w:themeColor="text1" w:themeTint="F2"/>
        </w:rPr>
      </w:pPr>
    </w:p>
    <w:p w14:paraId="4301BF49"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51426B1" w14:textId="77777777" w:rsidR="00F16734" w:rsidRPr="0086781A"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Asimismo, por cuanto hace a la procedibilidad del  recurso de revisión, es de suma importancia señalar que </w:t>
      </w:r>
      <w:r w:rsidRPr="0086781A">
        <w:rPr>
          <w:rFonts w:ascii="Palatino Linotype" w:eastAsia="Palatino Linotype" w:hAnsi="Palatino Linotype" w:cs="Palatino Linotype"/>
          <w:b/>
          <w:color w:val="0D0D0D" w:themeColor="text1" w:themeTint="F2"/>
        </w:rPr>
        <w:t>la parte Recurrente</w:t>
      </w:r>
      <w:r w:rsidRPr="0086781A">
        <w:rPr>
          <w:rFonts w:ascii="Palatino Linotype" w:eastAsia="Palatino Linotype" w:hAnsi="Palatino Linotype" w:cs="Palatino Linotype"/>
          <w:color w:val="0D0D0D" w:themeColor="text1" w:themeTint="F2"/>
        </w:rPr>
        <w:t xml:space="preserve">, no señaló nombre o seudónimo con el cual desee ser identificado, como se advierte en el detalle de seguimiento del SAIMEX, no obstante lo anterior, no proporcionar el nombre no es motivo para </w:t>
      </w:r>
      <w:r w:rsidRPr="0086781A">
        <w:rPr>
          <w:rFonts w:ascii="Palatino Linotype" w:eastAsia="Palatino Linotype" w:hAnsi="Palatino Linotype" w:cs="Palatino Linotype"/>
          <w:color w:val="0D0D0D" w:themeColor="text1" w:themeTint="F2"/>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11D1F9A" w14:textId="77777777" w:rsidR="00F16734" w:rsidRPr="0086781A" w:rsidRDefault="00FB681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55245D7" w14:textId="77777777" w:rsidR="00F16734" w:rsidRPr="0086781A" w:rsidRDefault="00FB681D">
      <w:pPr>
        <w:pBdr>
          <w:top w:val="nil"/>
          <w:left w:val="nil"/>
          <w:bottom w:val="nil"/>
          <w:right w:val="nil"/>
          <w:between w:val="nil"/>
        </w:pBdr>
        <w:spacing w:before="240" w:after="240"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304E1C5A"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 xml:space="preserve">Artículo 179. </w:t>
      </w:r>
      <w:r w:rsidRPr="0086781A">
        <w:rPr>
          <w:rFonts w:ascii="Palatino Linotype" w:eastAsia="Palatino Linotype" w:hAnsi="Palatino Linotype" w:cs="Palatino Linotype"/>
          <w:i/>
          <w:color w:val="0D0D0D" w:themeColor="text1" w:themeTint="F2"/>
          <w:sz w:val="22"/>
          <w:szCs w:val="22"/>
        </w:rPr>
        <w:t>El recurso de revisión es un medio de protección que la Ley otorga a los particulares, para hacer valer su derecho de acceso a la información pública, y procederá en contra de las siguientes causas:</w:t>
      </w:r>
    </w:p>
    <w:p w14:paraId="3FA27AF8"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i/>
          <w:color w:val="0D0D0D" w:themeColor="text1" w:themeTint="F2"/>
        </w:rPr>
        <w:t>…</w:t>
      </w:r>
    </w:p>
    <w:p w14:paraId="57544081"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 xml:space="preserve">VII. </w:t>
      </w:r>
      <w:r w:rsidRPr="0086781A">
        <w:rPr>
          <w:rFonts w:ascii="Palatino Linotype" w:eastAsia="Palatino Linotype" w:hAnsi="Palatino Linotype" w:cs="Palatino Linotype"/>
          <w:i/>
          <w:color w:val="0D0D0D" w:themeColor="text1" w:themeTint="F2"/>
          <w:sz w:val="22"/>
          <w:szCs w:val="22"/>
        </w:rPr>
        <w:t>La falta de respuesta a una solicitud de acceso a la información;</w:t>
      </w:r>
    </w:p>
    <w:p w14:paraId="563B687B"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w:t>
      </w:r>
    </w:p>
    <w:p w14:paraId="40242BCC" w14:textId="77777777" w:rsidR="00F16734" w:rsidRPr="0086781A" w:rsidRDefault="00F16734">
      <w:pPr>
        <w:ind w:left="567"/>
        <w:rPr>
          <w:color w:val="0D0D0D" w:themeColor="text1" w:themeTint="F2"/>
        </w:rPr>
      </w:pPr>
    </w:p>
    <w:p w14:paraId="46B10747"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 xml:space="preserve">La respuesta que den los sujetos obligados derivada de la resolución a un recurso de revisión que proceda por las causales señaladas en las fracciones IV, </w:t>
      </w:r>
      <w:r w:rsidRPr="0086781A">
        <w:rPr>
          <w:rFonts w:ascii="Palatino Linotype" w:eastAsia="Palatino Linotype" w:hAnsi="Palatino Linotype" w:cs="Palatino Linotype"/>
          <w:b/>
          <w:i/>
          <w:color w:val="0D0D0D" w:themeColor="text1" w:themeTint="F2"/>
          <w:sz w:val="22"/>
          <w:szCs w:val="22"/>
        </w:rPr>
        <w:t>VII,</w:t>
      </w:r>
      <w:r w:rsidRPr="0086781A">
        <w:rPr>
          <w:rFonts w:ascii="Palatino Linotype" w:eastAsia="Palatino Linotype" w:hAnsi="Palatino Linotype" w:cs="Palatino Linotype"/>
          <w:i/>
          <w:color w:val="0D0D0D" w:themeColor="text1" w:themeTint="F2"/>
          <w:sz w:val="22"/>
          <w:szCs w:val="22"/>
        </w:rPr>
        <w:t xml:space="preserve"> IX, X, XI y XII es susceptible de ser impugnada de nueva cuenta, mediante recurso de revisión, ante el Instituto.”</w:t>
      </w:r>
    </w:p>
    <w:p w14:paraId="1071044A" w14:textId="77777777" w:rsidR="00F16734" w:rsidRPr="0086781A" w:rsidRDefault="00FB681D">
      <w:pPr>
        <w:pBdr>
          <w:top w:val="nil"/>
          <w:left w:val="nil"/>
          <w:bottom w:val="nil"/>
          <w:right w:val="nil"/>
          <w:between w:val="nil"/>
        </w:pBdr>
        <w:spacing w:before="240" w:after="240"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 xml:space="preserve">El precepto legal citado, establece como supuesto de procedencia del recurso de revisión, en aquellos casos en que la parte </w:t>
      </w:r>
      <w:r w:rsidRPr="0086781A">
        <w:rPr>
          <w:rFonts w:ascii="Palatino Linotype" w:eastAsia="Palatino Linotype" w:hAnsi="Palatino Linotype" w:cs="Palatino Linotype"/>
          <w:b/>
          <w:color w:val="0D0D0D" w:themeColor="text1" w:themeTint="F2"/>
        </w:rPr>
        <w:t xml:space="preserve">Recurrente </w:t>
      </w:r>
      <w:r w:rsidRPr="0086781A">
        <w:rPr>
          <w:rFonts w:ascii="Palatino Linotype" w:eastAsia="Palatino Linotype" w:hAnsi="Palatino Linotype" w:cs="Palatino Linotype"/>
          <w:color w:val="0D0D0D" w:themeColor="text1" w:themeTint="F2"/>
        </w:rPr>
        <w:t xml:space="preserve">estime negado el acceso a la información por la falta de respuesta por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en este asunto se actualiza la hipótesis jurídica citada, en atención a que la parte </w:t>
      </w:r>
      <w:r w:rsidRPr="0086781A">
        <w:rPr>
          <w:rFonts w:ascii="Palatino Linotype" w:eastAsia="Palatino Linotype" w:hAnsi="Palatino Linotype" w:cs="Palatino Linotype"/>
          <w:b/>
          <w:color w:val="0D0D0D" w:themeColor="text1" w:themeTint="F2"/>
        </w:rPr>
        <w:t>Recurrente</w:t>
      </w:r>
      <w:r w:rsidRPr="0086781A">
        <w:rPr>
          <w:rFonts w:ascii="Palatino Linotype" w:eastAsia="Palatino Linotype" w:hAnsi="Palatino Linotype" w:cs="Palatino Linotype"/>
          <w:color w:val="0D0D0D" w:themeColor="text1" w:themeTint="F2"/>
        </w:rPr>
        <w:t xml:space="preserve"> combate </w:t>
      </w:r>
      <w:r w:rsidRPr="0086781A">
        <w:rPr>
          <w:rFonts w:ascii="Palatino Linotype" w:eastAsia="Palatino Linotype" w:hAnsi="Palatino Linotype" w:cs="Palatino Linotype"/>
          <w:color w:val="0D0D0D" w:themeColor="text1" w:themeTint="F2"/>
        </w:rPr>
        <w:lastRenderedPageBreak/>
        <w:t xml:space="preserve">falta de trámite por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y expresa motivos de inconformidad en contra de dicha circunstancia.</w:t>
      </w:r>
    </w:p>
    <w:p w14:paraId="5ABE4806"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b/>
          <w:color w:val="0D0D0D" w:themeColor="text1" w:themeTint="F2"/>
        </w:rPr>
        <w:t xml:space="preserve">Tercero. Del estudio de las causas de improcedencia. </w:t>
      </w:r>
      <w:r w:rsidRPr="0086781A">
        <w:rPr>
          <w:rFonts w:ascii="Palatino Linotype" w:eastAsia="Palatino Linotype" w:hAnsi="Palatino Linotype" w:cs="Palatino Linotype"/>
          <w:color w:val="0D0D0D" w:themeColor="text1" w:themeTint="F2"/>
        </w:rPr>
        <w:t>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0DDF069" w14:textId="77777777" w:rsidR="00F16734" w:rsidRPr="0086781A" w:rsidRDefault="00F16734">
      <w:pPr>
        <w:spacing w:line="360" w:lineRule="auto"/>
        <w:jc w:val="both"/>
        <w:rPr>
          <w:rFonts w:ascii="Palatino Linotype" w:eastAsia="Palatino Linotype" w:hAnsi="Palatino Linotype" w:cs="Palatino Linotype"/>
          <w:b/>
          <w:color w:val="0D0D0D" w:themeColor="text1" w:themeTint="F2"/>
        </w:rPr>
      </w:pPr>
    </w:p>
    <w:p w14:paraId="6D5CCB0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Cuarto. Estudio del asunto. </w:t>
      </w:r>
      <w:r w:rsidRPr="0086781A">
        <w:rPr>
          <w:rFonts w:ascii="Palatino Linotype" w:eastAsia="Palatino Linotype" w:hAnsi="Palatino Linotype" w:cs="Palatino Linotype"/>
          <w:color w:val="0D0D0D" w:themeColor="text1" w:themeTint="F2"/>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BE4BD8E"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3148C27C" w14:textId="77777777" w:rsidR="00F16734" w:rsidRPr="0086781A" w:rsidRDefault="00FB681D">
      <w:pPr>
        <w:tabs>
          <w:tab w:val="left" w:pos="709"/>
        </w:tabs>
        <w:ind w:left="851" w:right="85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u w:val="single"/>
        </w:rPr>
        <w:t>Artículo 1o. En los Estados Unidos Mexicanos todas las personas gozarán de los derechos humanos reconocidos en esta Constitución y en los tratados internacionales de los que el Estado Mexicano sea parte</w:t>
      </w:r>
      <w:r w:rsidRPr="0086781A">
        <w:rPr>
          <w:rFonts w:ascii="Palatino Linotype" w:eastAsia="Palatino Linotype" w:hAnsi="Palatino Linotype" w:cs="Palatino Linotype"/>
          <w:i/>
          <w:color w:val="0D0D0D" w:themeColor="text1" w:themeTint="F2"/>
          <w:sz w:val="22"/>
          <w:szCs w:val="22"/>
        </w:rPr>
        <w:t xml:space="preserve">, así como de las garantías para su protección, cuyo ejercicio no podrá restringirse ni </w:t>
      </w:r>
      <w:r w:rsidRPr="0086781A">
        <w:rPr>
          <w:rFonts w:ascii="Palatino Linotype" w:eastAsia="Palatino Linotype" w:hAnsi="Palatino Linotype" w:cs="Palatino Linotype"/>
          <w:i/>
          <w:color w:val="0D0D0D" w:themeColor="text1" w:themeTint="F2"/>
          <w:sz w:val="22"/>
          <w:szCs w:val="22"/>
        </w:rPr>
        <w:lastRenderedPageBreak/>
        <w:t>suspenderse, salvo en los casos y bajo las condiciones que esta Constitución establece.</w:t>
      </w:r>
    </w:p>
    <w:p w14:paraId="4F59D6FA" w14:textId="77777777" w:rsidR="00F16734" w:rsidRPr="0086781A" w:rsidRDefault="00FB681D">
      <w:pPr>
        <w:tabs>
          <w:tab w:val="left" w:pos="709"/>
        </w:tabs>
        <w:ind w:left="851" w:right="850"/>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Las normas relativas a los derechos humanos se interpretarán de conformidad con esta Constitución y con los tratados internacionales de la materia favoreciendo en todo tiempo a las personas la protección más amplia.</w:t>
      </w:r>
    </w:p>
    <w:p w14:paraId="44991D0C" w14:textId="77777777" w:rsidR="00F16734" w:rsidRPr="0086781A" w:rsidRDefault="00FB681D">
      <w:pPr>
        <w:tabs>
          <w:tab w:val="left" w:pos="709"/>
        </w:tabs>
        <w:ind w:left="851" w:right="85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6781A">
        <w:rPr>
          <w:rFonts w:ascii="Palatino Linotype" w:eastAsia="Palatino Linotype" w:hAnsi="Palatino Linotype" w:cs="Palatino Linotype"/>
          <w:i/>
          <w:color w:val="0D0D0D" w:themeColor="text1" w:themeTint="F2"/>
          <w:sz w:val="22"/>
          <w:szCs w:val="22"/>
        </w:rPr>
        <w:t xml:space="preserve"> En consecuencia, el Estado deberá prevenir, investigar, sancionar y reparar las violaciones a los derechos humanos, en los términos que establezca la ley</w:t>
      </w:r>
    </w:p>
    <w:p w14:paraId="40FC223C" w14:textId="77777777" w:rsidR="00F16734" w:rsidRPr="0086781A" w:rsidRDefault="00FB681D">
      <w:pPr>
        <w:tabs>
          <w:tab w:val="left" w:pos="709"/>
        </w:tabs>
        <w:ind w:left="851" w:right="85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23BA3F93" w14:textId="77777777" w:rsidR="00F16734" w:rsidRPr="0086781A" w:rsidRDefault="00FB681D">
      <w:pPr>
        <w:ind w:left="851" w:right="90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6o.</w:t>
      </w:r>
    </w:p>
    <w:p w14:paraId="3B25B3D5" w14:textId="77777777" w:rsidR="00F16734" w:rsidRPr="0086781A" w:rsidRDefault="00FB681D">
      <w:pPr>
        <w:ind w:left="851" w:right="90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3070CC85"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A. Para el ejercicio del derecho de acceso a la información, la Federación y </w:t>
      </w:r>
      <w:r w:rsidRPr="0086781A">
        <w:rPr>
          <w:rFonts w:ascii="Palatino Linotype" w:eastAsia="Palatino Linotype" w:hAnsi="Palatino Linotype" w:cs="Palatino Linotype"/>
          <w:b/>
          <w:i/>
          <w:color w:val="0D0D0D" w:themeColor="text1" w:themeTint="F2"/>
          <w:sz w:val="22"/>
          <w:szCs w:val="22"/>
          <w:u w:val="single"/>
        </w:rPr>
        <w:t>las entidades federativas</w:t>
      </w:r>
      <w:r w:rsidRPr="0086781A">
        <w:rPr>
          <w:rFonts w:ascii="Palatino Linotype" w:eastAsia="Palatino Linotype" w:hAnsi="Palatino Linotype" w:cs="Palatino Linotype"/>
          <w:b/>
          <w:i/>
          <w:color w:val="0D0D0D" w:themeColor="text1" w:themeTint="F2"/>
          <w:sz w:val="22"/>
          <w:szCs w:val="22"/>
        </w:rPr>
        <w:t>,</w:t>
      </w:r>
      <w:r w:rsidRPr="0086781A">
        <w:rPr>
          <w:rFonts w:ascii="Palatino Linotype" w:eastAsia="Palatino Linotype" w:hAnsi="Palatino Linotype" w:cs="Palatino Linotype"/>
          <w:i/>
          <w:color w:val="0D0D0D" w:themeColor="text1" w:themeTint="F2"/>
          <w:sz w:val="22"/>
          <w:szCs w:val="22"/>
        </w:rPr>
        <w:t xml:space="preserve"> en el ámbito de sus respectivas competencias, se regirán por los siguientes principios y bases:</w:t>
      </w:r>
    </w:p>
    <w:p w14:paraId="7262D17F"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540BE468"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I. </w:t>
      </w:r>
      <w:r w:rsidRPr="0086781A">
        <w:rPr>
          <w:rFonts w:ascii="Palatino Linotype" w:eastAsia="Palatino Linotype" w:hAnsi="Palatino Linotype" w:cs="Palatino Linotype"/>
          <w:b/>
          <w:i/>
          <w:color w:val="0D0D0D" w:themeColor="text1" w:themeTint="F2"/>
          <w:sz w:val="22"/>
          <w:szCs w:val="22"/>
          <w:u w:val="single"/>
        </w:rPr>
        <w:t>Toda la información en posesión de cualquier autoridad, entidad, órgano y organismo de los Poderes</w:t>
      </w:r>
      <w:r w:rsidRPr="0086781A">
        <w:rPr>
          <w:rFonts w:ascii="Palatino Linotype" w:eastAsia="Palatino Linotype" w:hAnsi="Palatino Linotype" w:cs="Palatino Linotype"/>
          <w:i/>
          <w:color w:val="0D0D0D" w:themeColor="text1" w:themeTint="F2"/>
          <w:sz w:val="22"/>
          <w:szCs w:val="22"/>
        </w:rPr>
        <w:t xml:space="preserve"> Ejecutivo, Legislativo </w:t>
      </w:r>
      <w:r w:rsidRPr="0086781A">
        <w:rPr>
          <w:rFonts w:ascii="Palatino Linotype" w:eastAsia="Palatino Linotype" w:hAnsi="Palatino Linotype" w:cs="Palatino Linotype"/>
          <w:b/>
          <w:i/>
          <w:color w:val="0D0D0D" w:themeColor="text1" w:themeTint="F2"/>
          <w:sz w:val="22"/>
          <w:szCs w:val="22"/>
          <w:u w:val="single"/>
        </w:rPr>
        <w:t>y Judicial</w:t>
      </w:r>
      <w:r w:rsidRPr="0086781A">
        <w:rPr>
          <w:rFonts w:ascii="Palatino Linotype" w:eastAsia="Palatino Linotype" w:hAnsi="Palatino Linotype" w:cs="Palatino Linotype"/>
          <w:i/>
          <w:color w:val="0D0D0D" w:themeColor="text1" w:themeTint="F2"/>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6781A">
        <w:rPr>
          <w:rFonts w:ascii="Palatino Linotype" w:eastAsia="Palatino Linotype" w:hAnsi="Palatino Linotype" w:cs="Palatino Linotype"/>
          <w:b/>
          <w:i/>
          <w:color w:val="0D0D0D" w:themeColor="text1" w:themeTint="F2"/>
          <w:sz w:val="22"/>
          <w:szCs w:val="22"/>
        </w:rPr>
        <w:t>es pública y sólo podrá ser reservada temporalmente por razones de interés público y seguridad nacional,</w:t>
      </w:r>
      <w:r w:rsidRPr="0086781A">
        <w:rPr>
          <w:rFonts w:ascii="Palatino Linotype" w:eastAsia="Palatino Linotype" w:hAnsi="Palatino Linotype" w:cs="Palatino Linotype"/>
          <w:i/>
          <w:color w:val="0D0D0D" w:themeColor="text1" w:themeTint="F2"/>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463994"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0C1BCDC4" w14:textId="77777777" w:rsidR="00F16734" w:rsidRPr="0086781A" w:rsidRDefault="00FB681D">
      <w:pPr>
        <w:ind w:left="851"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II. La información que se refiere a la vida privada y los datos personales será protegida en los términos y con las excepciones que fijen las leyes.</w:t>
      </w:r>
    </w:p>
    <w:p w14:paraId="21B19A5E"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357BCA89"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III. </w:t>
      </w:r>
      <w:r w:rsidRPr="0086781A">
        <w:rPr>
          <w:rFonts w:ascii="Palatino Linotype" w:eastAsia="Palatino Linotype" w:hAnsi="Palatino Linotype" w:cs="Palatino Linotype"/>
          <w:b/>
          <w:i/>
          <w:color w:val="0D0D0D" w:themeColor="text1" w:themeTint="F2"/>
          <w:sz w:val="22"/>
          <w:szCs w:val="22"/>
          <w:u w:val="single"/>
        </w:rPr>
        <w:t>Toda persona, sin necesidad de acreditar interés alguno o justificar su utilización, tendrá acceso gratuito a la información pública,</w:t>
      </w:r>
      <w:r w:rsidRPr="0086781A">
        <w:rPr>
          <w:rFonts w:ascii="Palatino Linotype" w:eastAsia="Palatino Linotype" w:hAnsi="Palatino Linotype" w:cs="Palatino Linotype"/>
          <w:i/>
          <w:color w:val="0D0D0D" w:themeColor="text1" w:themeTint="F2"/>
          <w:sz w:val="22"/>
          <w:szCs w:val="22"/>
        </w:rPr>
        <w:t xml:space="preserve"> a sus datos personales o a la rectificación de éstos.</w:t>
      </w:r>
    </w:p>
    <w:p w14:paraId="6915C10F"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029C4DBF"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 xml:space="preserve">IV. </w:t>
      </w:r>
      <w:r w:rsidRPr="0086781A">
        <w:rPr>
          <w:rFonts w:ascii="Palatino Linotype" w:eastAsia="Palatino Linotype" w:hAnsi="Palatino Linotype" w:cs="Palatino Linotype"/>
          <w:i/>
          <w:color w:val="0D0D0D" w:themeColor="text1" w:themeTint="F2"/>
          <w:sz w:val="22"/>
          <w:szCs w:val="22"/>
        </w:rPr>
        <w:t>Se establecerán mecanismos de acceso a la información y procedimientos de revisión expeditos que se sustanciarán ante los organismos autónomos especializados e imparciales que establece esta Constitución.</w:t>
      </w:r>
    </w:p>
    <w:p w14:paraId="415F3E13" w14:textId="77777777" w:rsidR="00F16734" w:rsidRPr="0086781A" w:rsidRDefault="00F16734">
      <w:pPr>
        <w:ind w:left="851" w:right="851"/>
        <w:jc w:val="both"/>
        <w:rPr>
          <w:rFonts w:ascii="Palatino Linotype" w:eastAsia="Palatino Linotype" w:hAnsi="Palatino Linotype" w:cs="Palatino Linotype"/>
          <w:i/>
          <w:color w:val="0D0D0D" w:themeColor="text1" w:themeTint="F2"/>
          <w:sz w:val="22"/>
          <w:szCs w:val="22"/>
        </w:rPr>
      </w:pPr>
    </w:p>
    <w:p w14:paraId="7DDD46C0"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V. </w:t>
      </w:r>
      <w:r w:rsidRPr="0086781A">
        <w:rPr>
          <w:rFonts w:ascii="Palatino Linotype" w:eastAsia="Palatino Linotype" w:hAnsi="Palatino Linotype" w:cs="Palatino Linotype"/>
          <w:i/>
          <w:color w:val="0D0D0D" w:themeColor="text1" w:themeTint="F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CF04184"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180E31E8"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VI. </w:t>
      </w:r>
      <w:r w:rsidRPr="0086781A">
        <w:rPr>
          <w:rFonts w:ascii="Palatino Linotype" w:eastAsia="Palatino Linotype" w:hAnsi="Palatino Linotype" w:cs="Palatino Linotype"/>
          <w:i/>
          <w:color w:val="0D0D0D" w:themeColor="text1" w:themeTint="F2"/>
          <w:sz w:val="22"/>
          <w:szCs w:val="22"/>
        </w:rPr>
        <w:t>Las leyes determinarán la manera en que los sujetos obligados deberán hacer pública la información relativa a los recursos públicos que entreguen a personas físicas o morales.</w:t>
      </w:r>
    </w:p>
    <w:p w14:paraId="739D59A9"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76859410"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VII. </w:t>
      </w:r>
      <w:r w:rsidRPr="0086781A">
        <w:rPr>
          <w:rFonts w:ascii="Palatino Linotype" w:eastAsia="Palatino Linotype" w:hAnsi="Palatino Linotype" w:cs="Palatino Linotype"/>
          <w:i/>
          <w:color w:val="0D0D0D" w:themeColor="text1" w:themeTint="F2"/>
          <w:sz w:val="22"/>
          <w:szCs w:val="22"/>
        </w:rPr>
        <w:t>La inobservancia a las disposiciones en materia de acceso a la información pública será sancionada en los términos que dispongan las leyes. [...]”</w:t>
      </w:r>
    </w:p>
    <w:p w14:paraId="7D8E2AC3" w14:textId="77777777" w:rsidR="00F16734" w:rsidRPr="0086781A" w:rsidRDefault="00F16734">
      <w:pPr>
        <w:ind w:right="851"/>
        <w:jc w:val="both"/>
        <w:rPr>
          <w:rFonts w:ascii="Palatino Linotype" w:eastAsia="Palatino Linotype" w:hAnsi="Palatino Linotype" w:cs="Palatino Linotype"/>
          <w:i/>
          <w:color w:val="0D0D0D" w:themeColor="text1" w:themeTint="F2"/>
          <w:sz w:val="22"/>
          <w:szCs w:val="22"/>
        </w:rPr>
      </w:pPr>
    </w:p>
    <w:p w14:paraId="520B6BE8" w14:textId="77777777" w:rsidR="00F16734" w:rsidRPr="0086781A" w:rsidRDefault="00FB681D">
      <w:pPr>
        <w:tabs>
          <w:tab w:val="left" w:pos="709"/>
        </w:tabs>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B3780DF"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86781A">
        <w:rPr>
          <w:rFonts w:ascii="Palatino Linotype" w:eastAsia="Palatino Linotype" w:hAnsi="Palatino Linotype" w:cs="Palatino Linotype"/>
          <w:color w:val="0D0D0D" w:themeColor="text1" w:themeTint="F2"/>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3B579978" w14:textId="77777777" w:rsidR="00F16734" w:rsidRPr="0086781A" w:rsidRDefault="00FB681D">
      <w:pPr>
        <w:spacing w:before="240"/>
        <w:ind w:left="709" w:right="76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4</w:t>
      </w:r>
      <w:r w:rsidRPr="0086781A">
        <w:rPr>
          <w:rFonts w:ascii="Palatino Linotype" w:eastAsia="Palatino Linotype" w:hAnsi="Palatino Linotype" w:cs="Palatino Linotype"/>
          <w:i/>
          <w:color w:val="0D0D0D" w:themeColor="text1" w:themeTint="F2"/>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A75BC0" w14:textId="77777777" w:rsidR="00F16734" w:rsidRPr="0086781A" w:rsidRDefault="00FB681D">
      <w:pPr>
        <w:ind w:left="709" w:right="760"/>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1778F57" w14:textId="77777777" w:rsidR="00F16734" w:rsidRPr="0086781A" w:rsidRDefault="00FB681D">
      <w:pPr>
        <w:ind w:left="709" w:right="76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6781A">
        <w:rPr>
          <w:rFonts w:ascii="Palatino Linotype" w:eastAsia="Palatino Linotype" w:hAnsi="Palatino Linotype" w:cs="Palatino Linotype"/>
          <w:i/>
          <w:color w:val="0D0D0D" w:themeColor="text1" w:themeTint="F2"/>
          <w:sz w:val="22"/>
          <w:szCs w:val="22"/>
        </w:rPr>
        <w:t>.”(</w:t>
      </w:r>
      <w:proofErr w:type="gramEnd"/>
      <w:r w:rsidRPr="0086781A">
        <w:rPr>
          <w:rFonts w:ascii="Palatino Linotype" w:eastAsia="Palatino Linotype" w:hAnsi="Palatino Linotype" w:cs="Palatino Linotype"/>
          <w:i/>
          <w:color w:val="0D0D0D" w:themeColor="text1" w:themeTint="F2"/>
          <w:sz w:val="22"/>
          <w:szCs w:val="22"/>
        </w:rPr>
        <w:t>Sic)</w:t>
      </w:r>
    </w:p>
    <w:p w14:paraId="12C2FE76"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5DA8A019"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86781A">
        <w:rPr>
          <w:rFonts w:ascii="Palatino Linotype" w:eastAsia="Palatino Linotype" w:hAnsi="Palatino Linotype" w:cs="Palatino Linotype"/>
          <w:b/>
          <w:color w:val="0D0D0D" w:themeColor="text1" w:themeTint="F2"/>
        </w:rPr>
        <w:t>artículo 12</w:t>
      </w:r>
      <w:r w:rsidRPr="0086781A">
        <w:rPr>
          <w:rFonts w:ascii="Palatino Linotype" w:eastAsia="Palatino Linotype" w:hAnsi="Palatino Linotype" w:cs="Palatino Linotype"/>
          <w:color w:val="0D0D0D" w:themeColor="text1" w:themeTint="F2"/>
        </w:rPr>
        <w:t xml:space="preserve"> de la Ley de Transparencia y Acceso a la Información Pública del Estado de México y Municipios, el cual a la letra dice:</w:t>
      </w:r>
    </w:p>
    <w:p w14:paraId="2912D7DE"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52F031FE"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12</w:t>
      </w:r>
      <w:r w:rsidRPr="0086781A">
        <w:rPr>
          <w:rFonts w:ascii="Palatino Linotype" w:eastAsia="Palatino Linotype" w:hAnsi="Palatino Linotype" w:cs="Palatino Linotype"/>
          <w:i/>
          <w:color w:val="0D0D0D" w:themeColor="text1" w:themeTint="F2"/>
          <w:sz w:val="22"/>
          <w:szCs w:val="22"/>
        </w:rPr>
        <w:t xml:space="preserve">. Quienes generen, recopilen, administren, manejen, procesen, archiven o conserven información pública serán responsables de la misma en los términos de las disposiciones jurídicas aplicables. </w:t>
      </w:r>
    </w:p>
    <w:p w14:paraId="63BACF03" w14:textId="77777777" w:rsidR="00F16734" w:rsidRPr="0086781A" w:rsidRDefault="00F16734">
      <w:pPr>
        <w:ind w:left="851" w:right="851"/>
        <w:jc w:val="both"/>
        <w:rPr>
          <w:rFonts w:ascii="Palatino Linotype" w:eastAsia="Palatino Linotype" w:hAnsi="Palatino Linotype" w:cs="Palatino Linotype"/>
          <w:i/>
          <w:color w:val="0D0D0D" w:themeColor="text1" w:themeTint="F2"/>
          <w:sz w:val="22"/>
          <w:szCs w:val="22"/>
        </w:rPr>
      </w:pPr>
    </w:p>
    <w:p w14:paraId="10A49BF5"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5FFAEC5"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0CE067DA"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Es decir, que el derecho de acceso a la información pública se satisface en aquellos casos en que se entregue documento en que conste la información requerida, toda vez que, los Sujetos Obligados</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 xml:space="preserve">no tienen el deber de generar, poseer o administrar la información pública con el grado de detalle solicitado; esto es, que no tienen el deber de generar un documento </w:t>
      </w:r>
      <w:r w:rsidRPr="0086781A">
        <w:rPr>
          <w:rFonts w:ascii="Palatino Linotype" w:eastAsia="Palatino Linotype" w:hAnsi="Palatino Linotype" w:cs="Palatino Linotype"/>
          <w:i/>
          <w:color w:val="0D0D0D" w:themeColor="text1" w:themeTint="F2"/>
        </w:rPr>
        <w:t>ad hoc</w:t>
      </w:r>
      <w:r w:rsidRPr="0086781A">
        <w:rPr>
          <w:rFonts w:ascii="Palatino Linotype" w:eastAsia="Palatino Linotype" w:hAnsi="Palatino Linotype" w:cs="Palatino Linotype"/>
          <w:color w:val="0D0D0D" w:themeColor="text1" w:themeTint="F2"/>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17FCD716" w14:textId="77777777" w:rsidR="00F16734" w:rsidRPr="0086781A" w:rsidRDefault="00F16734">
      <w:pPr>
        <w:ind w:right="851"/>
        <w:jc w:val="both"/>
        <w:rPr>
          <w:rFonts w:ascii="Palatino Linotype" w:eastAsia="Palatino Linotype" w:hAnsi="Palatino Linotype" w:cs="Palatino Linotype"/>
          <w:b/>
          <w:i/>
          <w:color w:val="0D0D0D" w:themeColor="text1" w:themeTint="F2"/>
          <w:sz w:val="22"/>
          <w:szCs w:val="22"/>
        </w:rPr>
      </w:pPr>
    </w:p>
    <w:p w14:paraId="59D42601" w14:textId="77777777" w:rsidR="00F16734" w:rsidRPr="0086781A" w:rsidRDefault="00FB681D">
      <w:pPr>
        <w:ind w:left="851"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03/17</w:t>
      </w:r>
    </w:p>
    <w:p w14:paraId="3AC2EB5A" w14:textId="77777777" w:rsidR="00F16734" w:rsidRPr="0086781A" w:rsidRDefault="00FB681D">
      <w:pPr>
        <w:ind w:left="851"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“NO EXISTE OBLIGACIÓN DE ELABORAR DOCUMENTOS AD HOC PARA ATENDER LAS SOLICITUDES DE ACCESO A LA INFORM ACIÓN.</w:t>
      </w:r>
    </w:p>
    <w:p w14:paraId="62CBA041"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CFBF2C"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4E5C17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otra parte, conviene mencionar que la Ley de Transparencia vigente en el Estado de México refiere: </w:t>
      </w:r>
    </w:p>
    <w:p w14:paraId="4D3CD5B1"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31DEB5C0"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18.</w:t>
      </w:r>
      <w:r w:rsidRPr="0086781A">
        <w:rPr>
          <w:rFonts w:ascii="Palatino Linotype" w:eastAsia="Palatino Linotype" w:hAnsi="Palatino Linotype" w:cs="Palatino Linotype"/>
          <w:i/>
          <w:color w:val="0D0D0D" w:themeColor="text1" w:themeTint="F2"/>
          <w:sz w:val="22"/>
          <w:szCs w:val="22"/>
        </w:rPr>
        <w:t xml:space="preserve"> </w:t>
      </w:r>
      <w:r w:rsidRPr="0086781A">
        <w:rPr>
          <w:rFonts w:ascii="Palatino Linotype" w:eastAsia="Palatino Linotype" w:hAnsi="Palatino Linotype" w:cs="Palatino Linotype"/>
          <w:b/>
          <w:i/>
          <w:color w:val="0D0D0D" w:themeColor="text1" w:themeTint="F2"/>
          <w:sz w:val="22"/>
          <w:szCs w:val="22"/>
          <w:u w:val="single"/>
        </w:rPr>
        <w:t>Los sujetos obligados deberán documentar todo acto que derive del ejercicio de sus facultades, competencias o funciones, considerando desde su origen la eventual publicidad</w:t>
      </w:r>
      <w:r w:rsidRPr="0086781A">
        <w:rPr>
          <w:rFonts w:ascii="Palatino Linotype" w:eastAsia="Palatino Linotype" w:hAnsi="Palatino Linotype" w:cs="Palatino Linotype"/>
          <w:i/>
          <w:color w:val="0D0D0D" w:themeColor="text1" w:themeTint="F2"/>
          <w:sz w:val="22"/>
          <w:szCs w:val="22"/>
        </w:rPr>
        <w:t xml:space="preserve"> y reutilización de la información que generen.</w:t>
      </w:r>
    </w:p>
    <w:p w14:paraId="47EF6768" w14:textId="77777777" w:rsidR="00F16734" w:rsidRPr="0086781A" w:rsidRDefault="00F16734">
      <w:pPr>
        <w:ind w:left="851" w:right="851"/>
        <w:jc w:val="both"/>
        <w:rPr>
          <w:rFonts w:ascii="Palatino Linotype" w:eastAsia="Palatino Linotype" w:hAnsi="Palatino Linotype" w:cs="Palatino Linotype"/>
          <w:b/>
          <w:i/>
          <w:color w:val="0D0D0D" w:themeColor="text1" w:themeTint="F2"/>
          <w:sz w:val="22"/>
          <w:szCs w:val="22"/>
        </w:rPr>
      </w:pPr>
    </w:p>
    <w:p w14:paraId="465EE6C2"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Artículo 19. </w:t>
      </w:r>
      <w:r w:rsidRPr="0086781A">
        <w:rPr>
          <w:rFonts w:ascii="Palatino Linotype" w:eastAsia="Palatino Linotype" w:hAnsi="Palatino Linotype" w:cs="Palatino Linotype"/>
          <w:b/>
          <w:i/>
          <w:color w:val="0D0D0D" w:themeColor="text1" w:themeTint="F2"/>
          <w:sz w:val="22"/>
          <w:szCs w:val="22"/>
          <w:u w:val="single"/>
        </w:rPr>
        <w:t>Se presume que la información debe existir si se refiere a las facultades, competencias y funciones que los ordenamientos jurídicos aplicables otorgan a los sujetos obligados</w:t>
      </w:r>
      <w:r w:rsidRPr="0086781A">
        <w:rPr>
          <w:rFonts w:ascii="Palatino Linotype" w:eastAsia="Palatino Linotype" w:hAnsi="Palatino Linotype" w:cs="Palatino Linotype"/>
          <w:i/>
          <w:color w:val="0D0D0D" w:themeColor="text1" w:themeTint="F2"/>
          <w:sz w:val="22"/>
          <w:szCs w:val="22"/>
        </w:rPr>
        <w:t>.</w:t>
      </w:r>
    </w:p>
    <w:p w14:paraId="41C7827C" w14:textId="77777777" w:rsidR="00F16734" w:rsidRPr="0086781A" w:rsidRDefault="00F16734">
      <w:pPr>
        <w:ind w:left="851" w:right="851"/>
        <w:jc w:val="both"/>
        <w:rPr>
          <w:rFonts w:ascii="Palatino Linotype" w:eastAsia="Palatino Linotype" w:hAnsi="Palatino Linotype" w:cs="Palatino Linotype"/>
          <w:i/>
          <w:color w:val="0D0D0D" w:themeColor="text1" w:themeTint="F2"/>
          <w:sz w:val="22"/>
          <w:szCs w:val="22"/>
        </w:rPr>
      </w:pPr>
    </w:p>
    <w:p w14:paraId="1DE59901"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En los casos en que ciertas facultades, competencias o funciones no se hayan ejercido, se debe motivar la respuesta en función de las causas que motiven tal circunstancia. </w:t>
      </w:r>
    </w:p>
    <w:p w14:paraId="0C2B798F" w14:textId="77777777" w:rsidR="00F16734" w:rsidRPr="0086781A" w:rsidRDefault="00F16734">
      <w:pPr>
        <w:ind w:left="851" w:right="851"/>
        <w:jc w:val="both"/>
        <w:rPr>
          <w:rFonts w:ascii="Palatino Linotype" w:eastAsia="Palatino Linotype" w:hAnsi="Palatino Linotype" w:cs="Palatino Linotype"/>
          <w:i/>
          <w:color w:val="0D0D0D" w:themeColor="text1" w:themeTint="F2"/>
          <w:sz w:val="22"/>
          <w:szCs w:val="22"/>
        </w:rPr>
      </w:pPr>
    </w:p>
    <w:p w14:paraId="7AE30D48"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381750B" w14:textId="77777777" w:rsidR="00F16734" w:rsidRPr="0086781A" w:rsidRDefault="00F16734">
      <w:pPr>
        <w:ind w:left="851" w:right="851"/>
        <w:jc w:val="both"/>
        <w:rPr>
          <w:rFonts w:ascii="Palatino Linotype" w:eastAsia="Palatino Linotype" w:hAnsi="Palatino Linotype" w:cs="Palatino Linotype"/>
          <w:i/>
          <w:color w:val="0D0D0D" w:themeColor="text1" w:themeTint="F2"/>
          <w:sz w:val="22"/>
          <w:szCs w:val="22"/>
        </w:rPr>
      </w:pPr>
    </w:p>
    <w:p w14:paraId="48742ACB" w14:textId="77777777" w:rsidR="00F16734" w:rsidRPr="0086781A" w:rsidRDefault="00FB681D">
      <w:pPr>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(Énfasis añadido)</w:t>
      </w:r>
    </w:p>
    <w:p w14:paraId="2B9A9B11"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53BB58A"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conclusión, el derecho de acceso a la información pública, consiste en que la información solicitada conste en un documento en cualquiera de sus formas, a </w:t>
      </w:r>
      <w:r w:rsidRPr="0086781A">
        <w:rPr>
          <w:rFonts w:ascii="Palatino Linotype" w:eastAsia="Palatino Linotype" w:hAnsi="Palatino Linotype" w:cs="Palatino Linotype"/>
          <w:color w:val="0D0D0D" w:themeColor="text1" w:themeTint="F2"/>
        </w:rPr>
        <w:lastRenderedPageBreak/>
        <w:t xml:space="preserve">saber: expedientes, reportes, estudios, actas, resoluciones, oficios, correspondencia, acuerdos, directivas, directrices, circulares, contratos, convenios, instructivos, notas, memorandos, estadísticas o bien, </w:t>
      </w:r>
      <w:r w:rsidRPr="0086781A">
        <w:rPr>
          <w:rFonts w:ascii="Palatino Linotype" w:eastAsia="Palatino Linotype" w:hAnsi="Palatino Linotype" w:cs="Palatino Linotype"/>
          <w:b/>
          <w:color w:val="0D0D0D" w:themeColor="text1" w:themeTint="F2"/>
        </w:rPr>
        <w:t>cualquier otro registro que documente el ejercicio de las facultades, funciones, obligaciones y competencias de los Sujetos Obligados</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los que, podrán estar en cualquier medio</w:t>
      </w:r>
      <w:r w:rsidRPr="0086781A">
        <w:rPr>
          <w:rFonts w:ascii="Palatino Linotype" w:eastAsia="Palatino Linotype" w:hAnsi="Palatino Linotype" w:cs="Palatino Linotype"/>
          <w:color w:val="0D0D0D" w:themeColor="text1" w:themeTint="F2"/>
        </w:rPr>
        <w:t xml:space="preserve">, sea escrito, impreso, sonoro, visual, </w:t>
      </w:r>
      <w:r w:rsidRPr="0086781A">
        <w:rPr>
          <w:rFonts w:ascii="Palatino Linotype" w:eastAsia="Palatino Linotype" w:hAnsi="Palatino Linotype" w:cs="Palatino Linotype"/>
          <w:b/>
          <w:color w:val="0D0D0D" w:themeColor="text1" w:themeTint="F2"/>
        </w:rPr>
        <w:t>electrónico</w:t>
      </w:r>
      <w:r w:rsidRPr="0086781A">
        <w:rPr>
          <w:rFonts w:ascii="Palatino Linotype" w:eastAsia="Palatino Linotype" w:hAnsi="Palatino Linotype" w:cs="Palatino Linotype"/>
          <w:color w:val="0D0D0D" w:themeColor="text1" w:themeTint="F2"/>
        </w:rPr>
        <w:t xml:space="preserve">, informático u holográfico, esto es, </w:t>
      </w:r>
      <w:r w:rsidRPr="0086781A">
        <w:rPr>
          <w:rFonts w:ascii="Palatino Linotype" w:eastAsia="Palatino Linotype" w:hAnsi="Palatino Linotype" w:cs="Palatino Linotype"/>
          <w:b/>
          <w:color w:val="0D0D0D" w:themeColor="text1" w:themeTint="F2"/>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B04B38" w14:textId="77777777" w:rsidR="00F16734" w:rsidRPr="0086781A" w:rsidRDefault="00FB681D">
      <w:pPr>
        <w:spacing w:before="280" w:after="28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ahí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6781A">
        <w:rPr>
          <w:rFonts w:ascii="Palatino Linotype" w:eastAsia="Palatino Linotype" w:hAnsi="Palatino Linotype" w:cs="Palatino Linotype"/>
          <w:color w:val="0D0D0D" w:themeColor="text1" w:themeTint="F2"/>
          <w:vertAlign w:val="superscript"/>
        </w:rPr>
        <w:footnoteReference w:id="1"/>
      </w:r>
      <w:r w:rsidRPr="0086781A">
        <w:rPr>
          <w:rFonts w:ascii="Palatino Linotype" w:eastAsia="Palatino Linotype" w:hAnsi="Palatino Linotype" w:cs="Palatino Linotype"/>
          <w:color w:val="0D0D0D" w:themeColor="text1" w:themeTint="F2"/>
        </w:rPr>
        <w:t xml:space="preserve">, así como de interés público, es decir, aquella que resulta relevante o beneficiosa para la sociedad y no simplemente de interés individual, y cuya divulgación resulta útil para que el público comprenda las </w:t>
      </w:r>
      <w:r w:rsidRPr="0086781A">
        <w:rPr>
          <w:rFonts w:ascii="Palatino Linotype" w:eastAsia="Palatino Linotype" w:hAnsi="Palatino Linotype" w:cs="Palatino Linotype"/>
          <w:color w:val="0D0D0D" w:themeColor="text1" w:themeTint="F2"/>
        </w:rPr>
        <w:lastRenderedPageBreak/>
        <w:t>actividades que llevan a cabo los Sujetos Obligados</w:t>
      </w:r>
      <w:r w:rsidRPr="0086781A">
        <w:rPr>
          <w:rFonts w:ascii="Palatino Linotype" w:eastAsia="Palatino Linotype" w:hAnsi="Palatino Linotype" w:cs="Palatino Linotype"/>
          <w:color w:val="0D0D0D" w:themeColor="text1" w:themeTint="F2"/>
          <w:vertAlign w:val="superscript"/>
        </w:rPr>
        <w:footnoteReference w:id="2"/>
      </w:r>
      <w:r w:rsidRPr="0086781A">
        <w:rPr>
          <w:rFonts w:ascii="Palatino Linotype" w:eastAsia="Palatino Linotype" w:hAnsi="Palatino Linotype" w:cs="Palatino Linotype"/>
          <w:color w:val="0D0D0D" w:themeColor="text1" w:themeTint="F2"/>
        </w:rPr>
        <w:t>, como pudiera tratarse de aquella relacionada con las obligaciones de transparencia señaladas en los artículos 92 y 100 de la Ley de la Materia.</w:t>
      </w:r>
    </w:p>
    <w:p w14:paraId="0C428641" w14:textId="77777777" w:rsidR="00F16734" w:rsidRPr="0086781A" w:rsidRDefault="00FB681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este sentido, es conveniente recordar y analizar las constancias que obran en el expediente electrónico para efecto de determinar si hubo una violación al derecho de acceso a la información pública del particular.</w:t>
      </w:r>
    </w:p>
    <w:p w14:paraId="6F251618" w14:textId="77777777" w:rsidR="00F16734" w:rsidRPr="0086781A" w:rsidRDefault="00FB681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Precisado lo anterior, conviene señalar que el particular requirió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lo siguiente:</w:t>
      </w:r>
    </w:p>
    <w:p w14:paraId="7CCD968B" w14:textId="77777777" w:rsidR="00F16734" w:rsidRPr="0086781A" w:rsidRDefault="00FB681D">
      <w:pPr>
        <w:pBdr>
          <w:top w:val="nil"/>
          <w:left w:val="nil"/>
          <w:bottom w:val="nil"/>
          <w:right w:val="nil"/>
          <w:between w:val="nil"/>
        </w:pBdr>
        <w:tabs>
          <w:tab w:val="left" w:pos="426"/>
        </w:tabs>
        <w:spacing w:before="240" w:line="276" w:lineRule="auto"/>
        <w:ind w:left="567" w:right="851"/>
        <w:jc w:val="both"/>
        <w:rPr>
          <w:rFonts w:ascii="Palatino Linotype" w:eastAsia="Palatino Linotype" w:hAnsi="Palatino Linotype" w:cs="Palatino Linotype"/>
          <w:b/>
          <w:color w:val="0D0D0D" w:themeColor="text1" w:themeTint="F2"/>
          <w:u w:val="single"/>
        </w:rPr>
      </w:pPr>
      <w:r w:rsidRPr="0086781A">
        <w:rPr>
          <w:rFonts w:ascii="Palatino Linotype" w:eastAsia="Palatino Linotype" w:hAnsi="Palatino Linotype" w:cs="Palatino Linotype"/>
          <w:color w:val="0D0D0D" w:themeColor="text1" w:themeTint="F2"/>
          <w:sz w:val="22"/>
          <w:szCs w:val="22"/>
        </w:rPr>
        <w:t>De los</w:t>
      </w:r>
      <w:r w:rsidRPr="0086781A">
        <w:rPr>
          <w:rFonts w:ascii="Palatino Linotype" w:eastAsia="Palatino Linotype" w:hAnsi="Palatino Linotype" w:cs="Palatino Linotype"/>
          <w:b/>
          <w:color w:val="0D0D0D" w:themeColor="text1" w:themeTint="F2"/>
          <w:sz w:val="22"/>
          <w:szCs w:val="22"/>
        </w:rPr>
        <w:t xml:space="preserve"> </w:t>
      </w:r>
      <w:proofErr w:type="gramStart"/>
      <w:r w:rsidRPr="0086781A">
        <w:rPr>
          <w:rFonts w:ascii="Palatino Linotype" w:eastAsia="Palatino Linotype" w:hAnsi="Palatino Linotype" w:cs="Palatino Linotype"/>
          <w:b/>
          <w:color w:val="0D0D0D" w:themeColor="text1" w:themeTint="F2"/>
          <w:sz w:val="22"/>
          <w:szCs w:val="22"/>
        </w:rPr>
        <w:t>Directores</w:t>
      </w:r>
      <w:proofErr w:type="gramEnd"/>
      <w:r w:rsidRPr="0086781A">
        <w:rPr>
          <w:rFonts w:ascii="Palatino Linotype" w:eastAsia="Palatino Linotype" w:hAnsi="Palatino Linotype" w:cs="Palatino Linotype"/>
          <w:b/>
          <w:color w:val="0D0D0D" w:themeColor="text1" w:themeTint="F2"/>
          <w:sz w:val="22"/>
          <w:szCs w:val="22"/>
        </w:rPr>
        <w:t xml:space="preserve"> del DIF, OPDAPAS e IMCUFIDEZ y de todo el personal adscrito a dichos organismos</w:t>
      </w:r>
      <w:r w:rsidRPr="0086781A">
        <w:rPr>
          <w:rFonts w:ascii="Palatino Linotype" w:eastAsia="Palatino Linotype" w:hAnsi="Palatino Linotype" w:cs="Palatino Linotype"/>
          <w:b/>
          <w:color w:val="0D0D0D" w:themeColor="text1" w:themeTint="F2"/>
        </w:rPr>
        <w:t>:</w:t>
      </w:r>
      <w:r w:rsidRPr="0086781A">
        <w:rPr>
          <w:rFonts w:ascii="Palatino Linotype" w:eastAsia="Palatino Linotype" w:hAnsi="Palatino Linotype" w:cs="Palatino Linotype"/>
          <w:b/>
          <w:color w:val="0D0D0D" w:themeColor="text1" w:themeTint="F2"/>
          <w:u w:val="single"/>
        </w:rPr>
        <w:t xml:space="preserve"> </w:t>
      </w:r>
    </w:p>
    <w:p w14:paraId="76154E33"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Título Profesional</w:t>
      </w:r>
    </w:p>
    <w:p w14:paraId="2A65F689"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Recibos de nómina de enero a la fecha de la solicitud</w:t>
      </w:r>
    </w:p>
    <w:p w14:paraId="24AFB0ED"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2"/>
          <w:szCs w:val="22"/>
        </w:rPr>
      </w:pPr>
      <w:proofErr w:type="spellStart"/>
      <w:r w:rsidRPr="0086781A">
        <w:rPr>
          <w:rFonts w:ascii="Palatino Linotype" w:eastAsia="Palatino Linotype" w:hAnsi="Palatino Linotype" w:cs="Palatino Linotype"/>
          <w:color w:val="0D0D0D" w:themeColor="text1" w:themeTint="F2"/>
          <w:sz w:val="22"/>
          <w:szCs w:val="22"/>
        </w:rPr>
        <w:t>Curriculum</w:t>
      </w:r>
      <w:proofErr w:type="spellEnd"/>
      <w:r w:rsidRPr="0086781A">
        <w:rPr>
          <w:rFonts w:ascii="Palatino Linotype" w:eastAsia="Palatino Linotype" w:hAnsi="Palatino Linotype" w:cs="Palatino Linotype"/>
          <w:color w:val="0D0D0D" w:themeColor="text1" w:themeTint="F2"/>
          <w:sz w:val="22"/>
          <w:szCs w:val="22"/>
        </w:rPr>
        <w:t xml:space="preserve"> vitae</w:t>
      </w:r>
    </w:p>
    <w:p w14:paraId="03232EB2"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Certificado de no antecedentes penales</w:t>
      </w:r>
    </w:p>
    <w:p w14:paraId="77C317C9"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 xml:space="preserve">Listas de asistencia </w:t>
      </w:r>
    </w:p>
    <w:p w14:paraId="127471E9"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Declaración Patrimonial</w:t>
      </w:r>
    </w:p>
    <w:p w14:paraId="1842B3D1"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color w:val="0D0D0D" w:themeColor="text1" w:themeTint="F2"/>
          <w:sz w:val="28"/>
          <w:szCs w:val="28"/>
        </w:rPr>
      </w:pPr>
      <w:r w:rsidRPr="0086781A">
        <w:rPr>
          <w:rFonts w:ascii="Palatino Linotype" w:eastAsia="Palatino Linotype" w:hAnsi="Palatino Linotype" w:cs="Palatino Linotype"/>
          <w:color w:val="0D0D0D" w:themeColor="text1" w:themeTint="F2"/>
          <w:sz w:val="22"/>
          <w:szCs w:val="22"/>
        </w:rPr>
        <w:t>Bitácoras de combustible</w:t>
      </w:r>
    </w:p>
    <w:p w14:paraId="51F906EE" w14:textId="77777777" w:rsidR="00F16734" w:rsidRPr="0086781A" w:rsidRDefault="00F16734">
      <w:pPr>
        <w:tabs>
          <w:tab w:val="left" w:pos="4962"/>
        </w:tabs>
        <w:spacing w:line="360" w:lineRule="auto"/>
        <w:jc w:val="both"/>
        <w:rPr>
          <w:rFonts w:ascii="Palatino Linotype" w:eastAsia="Palatino Linotype" w:hAnsi="Palatino Linotype" w:cs="Palatino Linotype"/>
          <w:b/>
          <w:color w:val="0D0D0D" w:themeColor="text1" w:themeTint="F2"/>
        </w:rPr>
      </w:pPr>
    </w:p>
    <w:p w14:paraId="598BC688" w14:textId="77777777" w:rsidR="00F16734" w:rsidRPr="0086781A" w:rsidRDefault="00FB681D">
      <w:pPr>
        <w:tabs>
          <w:tab w:val="left" w:pos="4962"/>
        </w:tabs>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Ante la falta de respuesta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la parte</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Recurrente</w:t>
      </w:r>
      <w:r w:rsidRPr="0086781A">
        <w:rPr>
          <w:rFonts w:ascii="Palatino Linotype" w:eastAsia="Palatino Linotype" w:hAnsi="Palatino Linotype" w:cs="Palatino Linotype"/>
          <w:color w:val="0D0D0D" w:themeColor="text1" w:themeTint="F2"/>
        </w:rPr>
        <w:t xml:space="preserve">, justamente se inconformó por la negativa de no entregar la información requerida, lo cual </w:t>
      </w:r>
      <w:r w:rsidRPr="0086781A">
        <w:rPr>
          <w:rFonts w:ascii="Palatino Linotype" w:eastAsia="Palatino Linotype" w:hAnsi="Palatino Linotype" w:cs="Palatino Linotype"/>
          <w:color w:val="0D0D0D" w:themeColor="text1" w:themeTint="F2"/>
        </w:rPr>
        <w:lastRenderedPageBreak/>
        <w:t xml:space="preserve">actualiza el supuesto previsto en el artículo 179, fracción VII, de la Ley de Transparencia y Acceso a la Información Pública del Estado de México y Municipios. </w:t>
      </w:r>
    </w:p>
    <w:p w14:paraId="624C22BA" w14:textId="77777777" w:rsidR="00F16734" w:rsidRPr="0086781A" w:rsidRDefault="00F16734">
      <w:pPr>
        <w:tabs>
          <w:tab w:val="left" w:pos="4962"/>
        </w:tabs>
        <w:spacing w:line="360" w:lineRule="auto"/>
        <w:jc w:val="both"/>
        <w:rPr>
          <w:rFonts w:ascii="Palatino Linotype" w:eastAsia="Palatino Linotype" w:hAnsi="Palatino Linotype" w:cs="Palatino Linotype"/>
          <w:color w:val="0D0D0D" w:themeColor="text1" w:themeTint="F2"/>
        </w:rPr>
      </w:pPr>
    </w:p>
    <w:p w14:paraId="1DDD12D0" w14:textId="77777777" w:rsidR="00127E7B" w:rsidRPr="0086781A" w:rsidRDefault="00FB681D">
      <w:pPr>
        <w:tabs>
          <w:tab w:val="left" w:pos="4962"/>
        </w:tabs>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Así las cosas, una vez admitido y notificado el Recurso de Revisión a las partes, se tiene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remitió su informe justificado mediante el archivo electrónico </w:t>
      </w:r>
      <w:r w:rsidRPr="0086781A">
        <w:rPr>
          <w:rFonts w:ascii="Palatino Linotype" w:eastAsia="Palatino Linotype" w:hAnsi="Palatino Linotype" w:cs="Palatino Linotype"/>
          <w:b/>
          <w:i/>
          <w:color w:val="0D0D0D" w:themeColor="text1" w:themeTint="F2"/>
        </w:rPr>
        <w:t xml:space="preserve">“Zinacantepec 47.pdf”, </w:t>
      </w:r>
      <w:r w:rsidRPr="0086781A">
        <w:rPr>
          <w:rFonts w:ascii="Palatino Linotype" w:eastAsia="Palatino Linotype" w:hAnsi="Palatino Linotype" w:cs="Palatino Linotype"/>
          <w:color w:val="0D0D0D" w:themeColor="text1" w:themeTint="F2"/>
        </w:rPr>
        <w:t xml:space="preserve">el cual consiste en un requerimiento de ampliación de plazos para la atención de la solicitud, </w:t>
      </w:r>
    </w:p>
    <w:p w14:paraId="452775DA" w14:textId="77777777" w:rsidR="00127E7B" w:rsidRPr="0086781A" w:rsidRDefault="00127E7B" w:rsidP="00127E7B">
      <w:pPr>
        <w:tabs>
          <w:tab w:val="left" w:pos="4962"/>
        </w:tabs>
        <w:spacing w:line="276" w:lineRule="auto"/>
        <w:ind w:left="567" w:right="851"/>
        <w:jc w:val="both"/>
        <w:rPr>
          <w:rFonts w:ascii="Palatino Linotype" w:hAnsi="Palatino Linotype"/>
          <w:i/>
          <w:color w:val="0D0D0D" w:themeColor="text1" w:themeTint="F2"/>
          <w:sz w:val="22"/>
          <w:szCs w:val="22"/>
        </w:rPr>
      </w:pPr>
      <w:r w:rsidRPr="0086781A">
        <w:rPr>
          <w:color w:val="0D0D0D" w:themeColor="text1" w:themeTint="F2"/>
        </w:rPr>
        <w:t xml:space="preserve"> </w:t>
      </w:r>
      <w:r w:rsidRPr="0086781A">
        <w:rPr>
          <w:rFonts w:ascii="Palatino Linotype" w:hAnsi="Palatino Linotype"/>
          <w:i/>
          <w:color w:val="0D0D0D" w:themeColor="text1" w:themeTint="F2"/>
          <w:sz w:val="22"/>
          <w:szCs w:val="22"/>
        </w:rPr>
        <w:t xml:space="preserve">“… </w:t>
      </w:r>
    </w:p>
    <w:p w14:paraId="15E10031" w14:textId="77777777" w:rsidR="00F16734" w:rsidRPr="0086781A" w:rsidRDefault="00127E7B" w:rsidP="00127E7B">
      <w:pPr>
        <w:tabs>
          <w:tab w:val="left" w:pos="4962"/>
        </w:tabs>
        <w:spacing w:line="276" w:lineRule="auto"/>
        <w:ind w:left="567" w:right="851"/>
        <w:jc w:val="both"/>
        <w:rPr>
          <w:rFonts w:ascii="Palatino Linotype" w:hAnsi="Palatino Linotype"/>
          <w:i/>
          <w:color w:val="0D0D0D" w:themeColor="text1" w:themeTint="F2"/>
          <w:sz w:val="22"/>
          <w:szCs w:val="22"/>
        </w:rPr>
      </w:pPr>
      <w:r w:rsidRPr="0086781A">
        <w:rPr>
          <w:rFonts w:ascii="Palatino Linotype" w:hAnsi="Palatino Linotype"/>
          <w:i/>
          <w:color w:val="0D0D0D" w:themeColor="text1" w:themeTint="F2"/>
          <w:sz w:val="22"/>
          <w:szCs w:val="22"/>
        </w:rPr>
        <w:t>Por medio del presente les envío un cordial saludo y del mismo modo de conformidad con lo señalado los artículos 163 segundo párrafo, 186 último párrafo y 198 segundo párrafo de la Ley Transparencia y Acceso a la Información Pública del Estado de México y Municipios relativos a la ampliación de plazos para la atención a las Solicitudes de Información.</w:t>
      </w:r>
    </w:p>
    <w:p w14:paraId="73D12307" w14:textId="77777777" w:rsidR="00127E7B" w:rsidRPr="0086781A" w:rsidRDefault="00127E7B" w:rsidP="00127E7B">
      <w:pPr>
        <w:tabs>
          <w:tab w:val="left" w:pos="4962"/>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El requerimiento de ampliación de plazos para la atención de solicitudes deriva de que, la Unidad cuenta con un alto índice de interposición de recursos de revisión, solicitudes de información y solicitudes ARCO, las cuales han sido ingresadas a través de las diferentes plataformas del INFOEM. En este sentido le informo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w:t>
      </w:r>
    </w:p>
    <w:p w14:paraId="3939AB78" w14:textId="77777777" w:rsidR="00127E7B" w:rsidRPr="0086781A" w:rsidRDefault="00127E7B" w:rsidP="00127E7B">
      <w:pPr>
        <w:tabs>
          <w:tab w:val="left" w:pos="4962"/>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Aunado a ello, se suman las limitantes con las que se cuenta, tales como técnicas, administrativas, tecnológicas y humanas de la Unidad de Transparencia del Municipio de Zinacantepec. Bajo esa tesitura, 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w:t>
      </w:r>
      <w:r w:rsidRPr="0086781A">
        <w:rPr>
          <w:rFonts w:ascii="Palatino Linotype" w:eastAsia="Palatino Linotype" w:hAnsi="Palatino Linotype" w:cs="Palatino Linotype"/>
          <w:i/>
          <w:color w:val="0D0D0D" w:themeColor="text1" w:themeTint="F2"/>
          <w:sz w:val="22"/>
          <w:szCs w:val="22"/>
        </w:rPr>
        <w:lastRenderedPageBreak/>
        <w:t>y/o información reservada en caso de que aplique. Para hacer de su conocimiento que, en la Segunda Sesión Extraordinaria del Comité Municipal de Transparencia se aprobó la petición de ampliar los plazos para la atención a las Solicitudes de Información</w:t>
      </w:r>
    </w:p>
    <w:p w14:paraId="7473F208" w14:textId="77777777" w:rsidR="00127E7B" w:rsidRPr="0086781A" w:rsidRDefault="00127E7B" w:rsidP="00127E7B">
      <w:pPr>
        <w:tabs>
          <w:tab w:val="left" w:pos="4962"/>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1F191C23" w14:textId="77777777" w:rsidR="00127E7B" w:rsidRPr="0086781A" w:rsidRDefault="00127E7B" w:rsidP="00127E7B">
      <w:pPr>
        <w:tabs>
          <w:tab w:val="left" w:pos="4962"/>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 …” (Sic)</w:t>
      </w:r>
    </w:p>
    <w:p w14:paraId="21592EAD" w14:textId="77777777" w:rsidR="00127E7B" w:rsidRPr="0086781A" w:rsidRDefault="00127E7B">
      <w:pPr>
        <w:tabs>
          <w:tab w:val="left" w:pos="4962"/>
        </w:tabs>
        <w:spacing w:line="360" w:lineRule="auto"/>
        <w:jc w:val="both"/>
        <w:rPr>
          <w:rFonts w:ascii="Palatino Linotype" w:eastAsia="Palatino Linotype" w:hAnsi="Palatino Linotype" w:cs="Palatino Linotype"/>
          <w:color w:val="0D0D0D" w:themeColor="text1" w:themeTint="F2"/>
        </w:rPr>
      </w:pPr>
    </w:p>
    <w:p w14:paraId="75607305" w14:textId="77777777" w:rsidR="00127E7B" w:rsidRPr="0086781A" w:rsidRDefault="00127E7B">
      <w:pPr>
        <w:tabs>
          <w:tab w:val="left" w:pos="4962"/>
        </w:tabs>
        <w:spacing w:line="360" w:lineRule="auto"/>
        <w:jc w:val="both"/>
        <w:rPr>
          <w:rFonts w:ascii="Palatino Linotype" w:hAnsi="Palatino Linotype"/>
          <w:color w:val="0D0D0D" w:themeColor="text1" w:themeTint="F2"/>
        </w:rPr>
      </w:pPr>
      <w:r w:rsidRPr="0086781A">
        <w:rPr>
          <w:rFonts w:ascii="Palatino Linotype" w:hAnsi="Palatino Linotype"/>
          <w:color w:val="0D0D0D" w:themeColor="text1" w:themeTint="F2"/>
        </w:rPr>
        <w:t xml:space="preserve">Derivado de ello, este Instituto de Transparencia, Acceso a la Información Pública y Protección de Datos Personales del Estado de México y Municipios, es competente para conocer y resolver la solicitud de ampliación de plazo para dar cumplimiento a la presente resolución del recurso de revisión </w:t>
      </w:r>
      <w:r w:rsidRPr="0086781A">
        <w:rPr>
          <w:rFonts w:ascii="Palatino Linotype" w:hAnsi="Palatino Linotype"/>
          <w:b/>
          <w:color w:val="0D0D0D" w:themeColor="text1" w:themeTint="F2"/>
        </w:rPr>
        <w:t>15449/INFOEM/ICR-63/IP/RR/2022</w:t>
      </w:r>
      <w:r w:rsidRPr="0086781A">
        <w:rPr>
          <w:rFonts w:ascii="Palatino Linotype" w:hAnsi="Palatino Linotype"/>
          <w:color w:val="0D0D0D" w:themeColor="text1" w:themeTint="F2"/>
        </w:rPr>
        <w:t xml:space="preserve">, de conformidad con el artículo 198, párrafo tercero de la Ley de Transparencia y Acceso a la Información del Estado de México y Municipios; precepto del que se deriva que los sujetos obligados deben cumplir en estricto sentido los plazos establecidos en las resoluciones de este Organismo Garante, que se podrá solicitar excepcionalmente y de manera fundada y motivada la ampliación del plazo para el cumplimiento de la resolución y que deberán gestionar la respuesta a la solicitud de información al instante, atendiendo al principio de máxima publicidad y favoreciendo en todo momento a los particulares la protección más amplia. </w:t>
      </w:r>
    </w:p>
    <w:p w14:paraId="10296E4C" w14:textId="77777777" w:rsidR="00127E7B" w:rsidRPr="0086781A" w:rsidRDefault="00127E7B">
      <w:pPr>
        <w:tabs>
          <w:tab w:val="left" w:pos="4962"/>
        </w:tabs>
        <w:spacing w:line="360" w:lineRule="auto"/>
        <w:jc w:val="both"/>
        <w:rPr>
          <w:rFonts w:ascii="Palatino Linotype" w:hAnsi="Palatino Linotype"/>
          <w:color w:val="0D0D0D" w:themeColor="text1" w:themeTint="F2"/>
        </w:rPr>
      </w:pPr>
    </w:p>
    <w:p w14:paraId="2079073E" w14:textId="77777777" w:rsidR="00127E7B" w:rsidRPr="0086781A" w:rsidRDefault="00127E7B">
      <w:pPr>
        <w:tabs>
          <w:tab w:val="left" w:pos="4962"/>
        </w:tabs>
        <w:spacing w:line="360" w:lineRule="auto"/>
        <w:jc w:val="both"/>
        <w:rPr>
          <w:rFonts w:ascii="Palatino Linotype" w:eastAsia="Palatino Linotype" w:hAnsi="Palatino Linotype" w:cs="Palatino Linotype"/>
          <w:color w:val="0D0D0D" w:themeColor="text1" w:themeTint="F2"/>
        </w:rPr>
      </w:pPr>
      <w:r w:rsidRPr="0086781A">
        <w:rPr>
          <w:rFonts w:ascii="Palatino Linotype" w:hAnsi="Palatino Linotype"/>
          <w:color w:val="0D0D0D" w:themeColor="text1" w:themeTint="F2"/>
        </w:rPr>
        <w:t>En esta tesitura, al reunir los requisitos establecidos en la normatividad aplicable para la ampliación del término de cumplimiento, resulta procedente el otorgar al Sujeto Obligado, una ampliación de plazo, para que tenga un total de 30 días para el cumplimiento de la presente Resolución.</w:t>
      </w:r>
    </w:p>
    <w:p w14:paraId="5E17A0C0" w14:textId="77777777" w:rsidR="00127E7B" w:rsidRPr="0086781A" w:rsidRDefault="00127E7B">
      <w:pPr>
        <w:tabs>
          <w:tab w:val="left" w:pos="4962"/>
        </w:tabs>
        <w:spacing w:line="360" w:lineRule="auto"/>
        <w:jc w:val="both"/>
        <w:rPr>
          <w:rFonts w:ascii="Palatino Linotype" w:eastAsia="Palatino Linotype" w:hAnsi="Palatino Linotype" w:cs="Palatino Linotype"/>
          <w:color w:val="0D0D0D" w:themeColor="text1" w:themeTint="F2"/>
        </w:rPr>
      </w:pPr>
    </w:p>
    <w:p w14:paraId="4B7ECDAD" w14:textId="77777777" w:rsidR="00F16734" w:rsidRPr="0086781A" w:rsidRDefault="00FB681D">
      <w:pPr>
        <w:spacing w:line="360" w:lineRule="auto"/>
        <w:ind w:right="-28"/>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Acotado lo anterior, de la revisión de la solicitud de información y del Recurso de Revisión, se logra vislumbrar que la pretensión de la ahora </w:t>
      </w:r>
      <w:r w:rsidRPr="0086781A">
        <w:rPr>
          <w:rFonts w:ascii="Palatino Linotype" w:eastAsia="Palatino Linotype" w:hAnsi="Palatino Linotype" w:cs="Palatino Linotype"/>
          <w:b/>
          <w:color w:val="0D0D0D" w:themeColor="text1" w:themeTint="F2"/>
        </w:rPr>
        <w:t>parte Recurrente</w:t>
      </w:r>
      <w:r w:rsidRPr="0086781A">
        <w:rPr>
          <w:rFonts w:ascii="Palatino Linotype" w:eastAsia="Palatino Linotype" w:hAnsi="Palatino Linotype" w:cs="Palatino Linotype"/>
          <w:color w:val="0D0D0D" w:themeColor="text1" w:themeTint="F2"/>
        </w:rPr>
        <w:t>, es obtener diversa información de tres organismos descentralizados; en ese contexto, el análisis se dividirá de la siguiente manera:</w:t>
      </w:r>
    </w:p>
    <w:p w14:paraId="5AA53D36" w14:textId="77777777" w:rsidR="00F16734" w:rsidRPr="0086781A" w:rsidRDefault="00F16734">
      <w:pPr>
        <w:spacing w:line="360" w:lineRule="auto"/>
        <w:ind w:right="-28"/>
        <w:jc w:val="both"/>
        <w:rPr>
          <w:rFonts w:ascii="Palatino Linotype" w:eastAsia="Palatino Linotype" w:hAnsi="Palatino Linotype" w:cs="Palatino Linotype"/>
          <w:color w:val="0D0D0D" w:themeColor="text1" w:themeTint="F2"/>
          <w:sz w:val="22"/>
          <w:szCs w:val="22"/>
        </w:rPr>
      </w:pPr>
    </w:p>
    <w:p w14:paraId="102A38E1" w14:textId="77777777" w:rsidR="00F16734" w:rsidRPr="0086781A" w:rsidRDefault="00FB681D">
      <w:pPr>
        <w:numPr>
          <w:ilvl w:val="0"/>
          <w:numId w:val="5"/>
        </w:numPr>
        <w:tabs>
          <w:tab w:val="left" w:pos="567"/>
        </w:tabs>
        <w:spacing w:line="360" w:lineRule="auto"/>
        <w:ind w:right="-28" w:hanging="294"/>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Información relativa al DIF y OPDAPAS</w:t>
      </w:r>
    </w:p>
    <w:p w14:paraId="3ED4D7AB" w14:textId="77777777" w:rsidR="00F16734" w:rsidRPr="0086781A" w:rsidRDefault="00F16734">
      <w:pPr>
        <w:spacing w:line="360" w:lineRule="auto"/>
        <w:ind w:left="720" w:right="-28"/>
        <w:jc w:val="both"/>
        <w:rPr>
          <w:rFonts w:ascii="Palatino Linotype" w:eastAsia="Palatino Linotype" w:hAnsi="Palatino Linotype" w:cs="Palatino Linotype"/>
          <w:color w:val="0D0D0D" w:themeColor="text1" w:themeTint="F2"/>
          <w:sz w:val="22"/>
          <w:szCs w:val="22"/>
        </w:rPr>
      </w:pPr>
    </w:p>
    <w:p w14:paraId="0662A35A" w14:textId="77777777" w:rsidR="00F16734" w:rsidRPr="0086781A" w:rsidRDefault="00FB681D" w:rsidP="00BA6436">
      <w:pPr>
        <w:numPr>
          <w:ilvl w:val="0"/>
          <w:numId w:val="5"/>
        </w:numPr>
        <w:pBdr>
          <w:top w:val="nil"/>
          <w:left w:val="nil"/>
          <w:bottom w:val="nil"/>
          <w:right w:val="nil"/>
          <w:between w:val="nil"/>
        </w:pBdr>
        <w:spacing w:after="160" w:line="360" w:lineRule="auto"/>
        <w:ind w:left="567" w:right="-28" w:hanging="141"/>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Información relativa al IMCUFIDEZ</w:t>
      </w:r>
    </w:p>
    <w:p w14:paraId="11215A36" w14:textId="77777777" w:rsidR="00BA6436" w:rsidRPr="0086781A" w:rsidRDefault="00BA6436" w:rsidP="00127E7B">
      <w:pPr>
        <w:pBdr>
          <w:top w:val="nil"/>
          <w:left w:val="nil"/>
          <w:bottom w:val="nil"/>
          <w:right w:val="nil"/>
          <w:between w:val="nil"/>
        </w:pBdr>
        <w:spacing w:after="160" w:line="360" w:lineRule="auto"/>
        <w:ind w:right="-28"/>
        <w:jc w:val="both"/>
        <w:rPr>
          <w:rFonts w:ascii="Palatino Linotype" w:eastAsia="Palatino Linotype" w:hAnsi="Palatino Linotype" w:cs="Palatino Linotype"/>
          <w:b/>
          <w:color w:val="0D0D0D" w:themeColor="text1" w:themeTint="F2"/>
          <w:sz w:val="22"/>
          <w:szCs w:val="22"/>
        </w:rPr>
      </w:pPr>
    </w:p>
    <w:p w14:paraId="478E8B08" w14:textId="77777777" w:rsidR="00F16734" w:rsidRPr="0086781A" w:rsidRDefault="00FB681D">
      <w:pPr>
        <w:numPr>
          <w:ilvl w:val="0"/>
          <w:numId w:val="5"/>
        </w:numPr>
        <w:pBdr>
          <w:top w:val="nil"/>
          <w:left w:val="nil"/>
          <w:bottom w:val="nil"/>
          <w:right w:val="nil"/>
          <w:between w:val="nil"/>
        </w:pBdr>
        <w:ind w:left="142" w:hanging="142"/>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De la información relativa al DIF y OPDAPAS</w:t>
      </w:r>
    </w:p>
    <w:p w14:paraId="42787B56" w14:textId="77777777" w:rsidR="00F16734" w:rsidRPr="0086781A" w:rsidRDefault="00F16734">
      <w:pPr>
        <w:spacing w:line="360" w:lineRule="auto"/>
        <w:ind w:right="-28"/>
        <w:jc w:val="both"/>
        <w:rPr>
          <w:rFonts w:ascii="Palatino Linotype" w:eastAsia="Palatino Linotype" w:hAnsi="Palatino Linotype" w:cs="Palatino Linotype"/>
          <w:color w:val="0D0D0D" w:themeColor="text1" w:themeTint="F2"/>
        </w:rPr>
      </w:pPr>
    </w:p>
    <w:p w14:paraId="23206C62" w14:textId="77777777" w:rsidR="00F16734" w:rsidRPr="0086781A" w:rsidRDefault="00FB681D">
      <w:pPr>
        <w:spacing w:line="360" w:lineRule="auto"/>
        <w:ind w:right="-28"/>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color w:val="0D0D0D" w:themeColor="text1" w:themeTint="F2"/>
        </w:rPr>
        <w:t xml:space="preserve">En ese contexto, de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86781A">
        <w:rPr>
          <w:rFonts w:ascii="Palatino Linotype" w:eastAsia="Palatino Linotype" w:hAnsi="Palatino Linotype" w:cs="Palatino Linotype"/>
          <w:b/>
          <w:color w:val="0D0D0D" w:themeColor="text1" w:themeTint="F2"/>
        </w:rPr>
        <w:t>cuando la misma no sea competencia del Sujeto Obligado ante el cual se formule la solicitud de acceso.</w:t>
      </w:r>
    </w:p>
    <w:p w14:paraId="2DEAB2C9"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FD991ED"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Asimismo, que los Comités de Transparencia tienen entre sus atribuciones confirmar, modificar o revocar la </w:t>
      </w:r>
      <w:r w:rsidRPr="0086781A">
        <w:rPr>
          <w:rFonts w:ascii="Palatino Linotype" w:eastAsia="Palatino Linotype" w:hAnsi="Palatino Linotype" w:cs="Palatino Linotype"/>
          <w:b/>
          <w:color w:val="0D0D0D" w:themeColor="text1" w:themeTint="F2"/>
        </w:rPr>
        <w:t>declaración de incompetencia</w:t>
      </w:r>
      <w:r w:rsidRPr="0086781A">
        <w:rPr>
          <w:rFonts w:ascii="Palatino Linotype" w:eastAsia="Palatino Linotype" w:hAnsi="Palatino Linotype" w:cs="Palatino Linotype"/>
          <w:color w:val="0D0D0D" w:themeColor="text1" w:themeTint="F2"/>
        </w:rPr>
        <w:t xml:space="preserve"> que realicen los titulares de las unidades administrativas. Asimismo, cuando las Unidades de Transparencia determinen </w:t>
      </w:r>
      <w:r w:rsidRPr="0086781A">
        <w:rPr>
          <w:rFonts w:ascii="Palatino Linotype" w:eastAsia="Palatino Linotype" w:hAnsi="Palatino Linotype" w:cs="Palatino Linotype"/>
          <w:b/>
          <w:color w:val="0D0D0D" w:themeColor="text1" w:themeTint="F2"/>
        </w:rPr>
        <w:t>la notoria incompetencia</w:t>
      </w:r>
      <w:r w:rsidRPr="0086781A">
        <w:rPr>
          <w:rFonts w:ascii="Palatino Linotype" w:eastAsia="Palatino Linotype" w:hAnsi="Palatino Linotype" w:cs="Palatino Linotype"/>
          <w:color w:val="0D0D0D" w:themeColor="text1" w:themeTint="F2"/>
        </w:rPr>
        <w:t xml:space="preserve"> por parte de los sujetos obligados deberán comunicar al solicitante la misma dentro de los tres días posteriores a la recepción de la solicitud.</w:t>
      </w:r>
    </w:p>
    <w:p w14:paraId="78C000D1"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78EC5C51"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Como se logra observar, si bien la Ley de la materia, prevé el supuesto de incompetencia para que los sujetos obligados den atención a solitudes de información, también lo es, que no se precisa en que consiste dicho concepto; al respecto, según Cabanellas, Guillermo (1993), en el “Diccionario Jurídico Elemental” (p. 32 y 161), precisó los siguientes conceptos:</w:t>
      </w:r>
    </w:p>
    <w:p w14:paraId="1E9E7C26"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410D86DC" w14:textId="77777777" w:rsidR="00F16734" w:rsidRPr="0086781A" w:rsidRDefault="00FB681D">
      <w:pPr>
        <w:numPr>
          <w:ilvl w:val="0"/>
          <w:numId w:val="6"/>
        </w:num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 xml:space="preserve">Competencia: </w:t>
      </w:r>
      <w:r w:rsidRPr="0086781A">
        <w:rPr>
          <w:rFonts w:ascii="Palatino Linotype" w:eastAsia="Palatino Linotype" w:hAnsi="Palatino Linotype" w:cs="Palatino Linotype"/>
          <w:color w:val="0D0D0D" w:themeColor="text1" w:themeTint="F2"/>
        </w:rPr>
        <w:t>La capacidad de una autoridad para conocer sobre una materia o asunto.</w:t>
      </w:r>
    </w:p>
    <w:p w14:paraId="3EFB8395" w14:textId="77777777" w:rsidR="00F16734" w:rsidRPr="0086781A" w:rsidRDefault="00F16734">
      <w:pPr>
        <w:spacing w:line="360" w:lineRule="auto"/>
        <w:ind w:left="780"/>
        <w:jc w:val="both"/>
        <w:rPr>
          <w:rFonts w:ascii="Palatino Linotype" w:eastAsia="Palatino Linotype" w:hAnsi="Palatino Linotype" w:cs="Palatino Linotype"/>
          <w:color w:val="0D0D0D" w:themeColor="text1" w:themeTint="F2"/>
        </w:rPr>
      </w:pPr>
    </w:p>
    <w:p w14:paraId="51F3C6EA" w14:textId="77777777" w:rsidR="00F16734" w:rsidRPr="0086781A" w:rsidRDefault="00FB681D">
      <w:pPr>
        <w:numPr>
          <w:ilvl w:val="0"/>
          <w:numId w:val="6"/>
        </w:num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Incompetencia:</w:t>
      </w:r>
      <w:r w:rsidRPr="0086781A">
        <w:rPr>
          <w:rFonts w:ascii="Palatino Linotype" w:eastAsia="Palatino Linotype" w:hAnsi="Palatino Linotype" w:cs="Palatino Linotype"/>
          <w:color w:val="0D0D0D" w:themeColor="text1" w:themeTint="F2"/>
        </w:rPr>
        <w:t xml:space="preserve"> Falta de Competencia.</w:t>
      </w:r>
    </w:p>
    <w:p w14:paraId="1022EC68"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26D40CC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lo que, </w:t>
      </w:r>
      <w:r w:rsidRPr="0086781A">
        <w:rPr>
          <w:rFonts w:ascii="Palatino Linotype" w:eastAsia="Palatino Linotype" w:hAnsi="Palatino Linotype" w:cs="Palatino Linotype"/>
          <w:b/>
          <w:color w:val="0D0D0D" w:themeColor="text1" w:themeTint="F2"/>
        </w:rPr>
        <w:t>la incompetencia</w:t>
      </w:r>
      <w:r w:rsidRPr="0086781A">
        <w:rPr>
          <w:rFonts w:ascii="Palatino Linotype" w:eastAsia="Palatino Linotype" w:hAnsi="Palatino Linotype" w:cs="Palatino Linotype"/>
          <w:color w:val="0D0D0D" w:themeColor="text1" w:themeTint="F2"/>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86781A">
        <w:rPr>
          <w:rFonts w:ascii="Palatino Linotype" w:eastAsia="Palatino Linotype" w:hAnsi="Palatino Linotype" w:cs="Palatino Linotype"/>
          <w:color w:val="0D0D0D" w:themeColor="text1" w:themeTint="F2"/>
        </w:rPr>
        <w:t>Mayo</w:t>
      </w:r>
      <w:proofErr w:type="gramEnd"/>
      <w:r w:rsidRPr="0086781A">
        <w:rPr>
          <w:rFonts w:ascii="Palatino Linotype" w:eastAsia="Palatino Linotype" w:hAnsi="Palatino Linotype" w:cs="Palatino Linotype"/>
          <w:color w:val="0D0D0D" w:themeColor="text1" w:themeTint="F2"/>
        </w:rPr>
        <w:t xml:space="preserve"> de 2002, Pág. 1243, ya que precisa lo siguiente: </w:t>
      </w:r>
    </w:p>
    <w:p w14:paraId="2FF9F9B8" w14:textId="77777777" w:rsidR="00F16734" w:rsidRPr="0086781A" w:rsidRDefault="00FB681D">
      <w:pPr>
        <w:spacing w:line="276" w:lineRule="auto"/>
        <w:ind w:left="567" w:right="567"/>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“LEGITIMACIÓN DE FUNCIONARIOS PÚBLICOS. LOS TRIBUNALES DE AMPARO, POR ESTAR VINCULADOS CON EL CONCEPTO DE COMPETENCIA A QUE SE REFIERE EL ARTÍCULO 16 CONSTITUCIONAL, NO PUEDEN CONOCER DE AQUÉLLA. </w:t>
      </w:r>
      <w:r w:rsidRPr="0086781A">
        <w:rPr>
          <w:rFonts w:ascii="Palatino Linotype" w:eastAsia="Palatino Linotype" w:hAnsi="Palatino Linotype" w:cs="Palatino Linotype"/>
          <w:i/>
          <w:color w:val="0D0D0D" w:themeColor="text1" w:themeTint="F2"/>
          <w:sz w:val="22"/>
          <w:szCs w:val="22"/>
        </w:rPr>
        <w:t>El artículo </w:t>
      </w:r>
      <w:hyperlink r:id="rId13">
        <w:r w:rsidRPr="0086781A">
          <w:rPr>
            <w:rFonts w:ascii="Palatino Linotype" w:eastAsia="Palatino Linotype" w:hAnsi="Palatino Linotype" w:cs="Palatino Linotype"/>
            <w:i/>
            <w:color w:val="0D0D0D" w:themeColor="text1" w:themeTint="F2"/>
            <w:sz w:val="22"/>
            <w:szCs w:val="22"/>
            <w:u w:val="single"/>
          </w:rPr>
          <w:t>16 constitucional</w:t>
        </w:r>
      </w:hyperlink>
      <w:r w:rsidRPr="0086781A">
        <w:rPr>
          <w:rFonts w:ascii="Palatino Linotype" w:eastAsia="Palatino Linotype" w:hAnsi="Palatino Linotype" w:cs="Palatino Linotype"/>
          <w:i/>
          <w:color w:val="0D0D0D" w:themeColor="text1" w:themeTint="F2"/>
          <w:sz w:val="22"/>
          <w:szCs w:val="22"/>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w:t>
      </w:r>
      <w:r w:rsidRPr="0086781A">
        <w:rPr>
          <w:rFonts w:ascii="Palatino Linotype" w:eastAsia="Palatino Linotype" w:hAnsi="Palatino Linotype" w:cs="Palatino Linotype"/>
          <w:i/>
          <w:color w:val="0D0D0D" w:themeColor="text1" w:themeTint="F2"/>
          <w:sz w:val="22"/>
          <w:szCs w:val="22"/>
        </w:rPr>
        <w:lastRenderedPageBreak/>
        <w:t>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23EDC4C3"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73A23A2A"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la misma manera, resulta necesario traer a colación, el Criterio de Interpretación, de la Segunda Época, con número de registro SO/013/2017, emitido por el Instituto Nacional de Transparencia, Acceso a la Información y Protección de Datos Personales, que dispone lo siguiente: </w:t>
      </w:r>
    </w:p>
    <w:p w14:paraId="319E487B"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204F6DD4"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 xml:space="preserve">Incompetencia. </w:t>
      </w:r>
      <w:r w:rsidRPr="0086781A">
        <w:rPr>
          <w:rFonts w:ascii="Palatino Linotype" w:eastAsia="Palatino Linotype" w:hAnsi="Palatino Linotype" w:cs="Palatino Linotype"/>
          <w:i/>
          <w:color w:val="0D0D0D" w:themeColor="text1" w:themeTint="F2"/>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2351B02"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6A59F005"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tal virtud, la </w:t>
      </w:r>
      <w:r w:rsidRPr="0086781A">
        <w:rPr>
          <w:rFonts w:ascii="Palatino Linotype" w:eastAsia="Palatino Linotype" w:hAnsi="Palatino Linotype" w:cs="Palatino Linotype"/>
          <w:b/>
          <w:color w:val="0D0D0D" w:themeColor="text1" w:themeTint="F2"/>
        </w:rPr>
        <w:t xml:space="preserve">incompetencia </w:t>
      </w:r>
      <w:r w:rsidRPr="0086781A">
        <w:rPr>
          <w:rFonts w:ascii="Palatino Linotype" w:eastAsia="Palatino Linotype" w:hAnsi="Palatino Linotype" w:cs="Palatino Linotype"/>
          <w:color w:val="0D0D0D" w:themeColor="text1" w:themeTint="F2"/>
        </w:rPr>
        <w:t xml:space="preserve">implica </w:t>
      </w:r>
      <w:proofErr w:type="gramStart"/>
      <w:r w:rsidRPr="0086781A">
        <w:rPr>
          <w:rFonts w:ascii="Palatino Linotype" w:eastAsia="Palatino Linotype" w:hAnsi="Palatino Linotype" w:cs="Palatino Linotype"/>
          <w:color w:val="0D0D0D" w:themeColor="text1" w:themeTint="F2"/>
        </w:rPr>
        <w:t>que</w:t>
      </w:r>
      <w:proofErr w:type="gramEnd"/>
      <w:r w:rsidRPr="0086781A">
        <w:rPr>
          <w:rFonts w:ascii="Palatino Linotype" w:eastAsia="Palatino Linotype" w:hAnsi="Palatino Linotype" w:cs="Palatino Linotype"/>
          <w:color w:val="0D0D0D" w:themeColor="text1" w:themeTint="F2"/>
        </w:rPr>
        <w:t xml:space="preserve"> de conformidad con las atribuciones conferidas al sujeto obligado, no habría razón por la cual éste deba contar con la información solicitada, en cuyo caso, tendría que orientar al particular para que acuda a la instancia competente. En otro orden de ideas, dicho concepto refiere a la ausencia de atribuciones por parte del sujeto obligado, para contar con la información que se requiere, es decir, se trata de una situación que se dilucida a partir de las facultades atribuidas a éste.</w:t>
      </w:r>
    </w:p>
    <w:p w14:paraId="1759D6EC" w14:textId="77777777" w:rsidR="00F16734" w:rsidRPr="0086781A" w:rsidRDefault="00F16734">
      <w:pPr>
        <w:spacing w:line="360" w:lineRule="auto"/>
        <w:jc w:val="both"/>
        <w:rPr>
          <w:rFonts w:ascii="Palatino Linotype" w:eastAsia="Palatino Linotype" w:hAnsi="Palatino Linotype" w:cs="Palatino Linotype"/>
          <w:b/>
          <w:i/>
          <w:color w:val="0D0D0D" w:themeColor="text1" w:themeTint="F2"/>
          <w:sz w:val="22"/>
          <w:szCs w:val="22"/>
        </w:rPr>
      </w:pPr>
    </w:p>
    <w:p w14:paraId="6C96CCCF" w14:textId="77777777" w:rsidR="00F16734" w:rsidRPr="0086781A" w:rsidRDefault="00FB681D">
      <w:pPr>
        <w:widowControl w:val="0"/>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tanto, a continuación, se analiza si en la especie,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cuenta con atribuciones para conocer sobre la información requerida; para ello, es necesario traer a colación, el artículo 21, del Bando Municipal dos mil veintidós de Zinacantepec, que establece que para el adecuado ejercicio de sus atribuciones el </w:t>
      </w:r>
      <w:r w:rsidRPr="0086781A">
        <w:rPr>
          <w:rFonts w:ascii="Palatino Linotype" w:eastAsia="Palatino Linotype" w:hAnsi="Palatino Linotype" w:cs="Palatino Linotype"/>
          <w:b/>
          <w:color w:val="0D0D0D" w:themeColor="text1" w:themeTint="F2"/>
        </w:rPr>
        <w:lastRenderedPageBreak/>
        <w:t>Sujeto Obligado</w:t>
      </w:r>
      <w:r w:rsidRPr="0086781A">
        <w:rPr>
          <w:rFonts w:ascii="Palatino Linotype" w:eastAsia="Palatino Linotype" w:hAnsi="Palatino Linotype" w:cs="Palatino Linotype"/>
          <w:color w:val="0D0D0D" w:themeColor="text1" w:themeTint="F2"/>
        </w:rPr>
        <w:t xml:space="preserve"> se auxiliará de organismos descentralizados de la administración pública municipal, entre los cuáles se encuentra el </w:t>
      </w:r>
      <w:r w:rsidRPr="0086781A">
        <w:rPr>
          <w:rFonts w:ascii="Palatino Linotype" w:eastAsia="Palatino Linotype" w:hAnsi="Palatino Linotype" w:cs="Palatino Linotype"/>
          <w:b/>
          <w:color w:val="0D0D0D" w:themeColor="text1" w:themeTint="F2"/>
        </w:rPr>
        <w:t>Sistema Municipal para el Desarrollo Integral de la Familia de Zinacantepec</w:t>
      </w:r>
      <w:r w:rsidRPr="0086781A">
        <w:rPr>
          <w:rFonts w:ascii="Palatino Linotype" w:eastAsia="Palatino Linotype" w:hAnsi="Palatino Linotype" w:cs="Palatino Linotype"/>
          <w:color w:val="0D0D0D" w:themeColor="text1" w:themeTint="F2"/>
        </w:rPr>
        <w:t xml:space="preserve"> y </w:t>
      </w:r>
      <w:r w:rsidRPr="0086781A">
        <w:rPr>
          <w:rFonts w:ascii="Palatino Linotype" w:eastAsia="Palatino Linotype" w:hAnsi="Palatino Linotype" w:cs="Palatino Linotype"/>
          <w:b/>
          <w:color w:val="0D0D0D" w:themeColor="text1" w:themeTint="F2"/>
        </w:rPr>
        <w:t>Organismo Público Descentralizado para la Prestación de Servicios de Agua Potable, Alcantarillado y Saneamiento de Zinacantepec</w:t>
      </w:r>
      <w:r w:rsidRPr="0086781A">
        <w:rPr>
          <w:rFonts w:ascii="Palatino Linotype" w:eastAsia="Palatino Linotype" w:hAnsi="Palatino Linotype" w:cs="Palatino Linotype"/>
          <w:color w:val="0D0D0D" w:themeColor="text1" w:themeTint="F2"/>
        </w:rPr>
        <w:t xml:space="preserve"> y el Instituto Municipal de Cultura Física y Deporte de Zinacantepec.</w:t>
      </w:r>
    </w:p>
    <w:p w14:paraId="703C206D"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4DB4DFEC"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ese contexto, conforme al artículo 1° de la Ley que crea los Organismos Públicos Descentralizados de Asistencia Social, de Carácter Municipal, denominados “Sistemas Municipales para el Desarrollo Integral de la Familia” y el diverso 4° del Reglamento Interior del Organismo Público Descentralizado para la Prestación de Servicios de Agua Potable, Alcantarillado y Saneamiento de Zinacantepec, prevén que dichos entes son organismos públicos descentralizados municipales, con personalidad jurídica y patrimonio propios, así como, con autonomía técnica y administrativa en el manejo de recursos.</w:t>
      </w:r>
    </w:p>
    <w:p w14:paraId="2EFF30FC"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0F06FBA2"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ese orden de ideas y toda vez que dichos Organismos descentralizados municipales, se procede a verificar si son sujetos obligados de transparencia, distintos al </w:t>
      </w:r>
      <w:r w:rsidRPr="0086781A">
        <w:rPr>
          <w:rFonts w:ascii="Palatino Linotype" w:eastAsia="Palatino Linotype" w:hAnsi="Palatino Linotype" w:cs="Palatino Linotype"/>
          <w:b/>
          <w:color w:val="0D0D0D" w:themeColor="text1" w:themeTint="F2"/>
        </w:rPr>
        <w:t>Ayuntamiento de Zinacantepec</w:t>
      </w:r>
      <w:r w:rsidRPr="0086781A">
        <w:rPr>
          <w:rFonts w:ascii="Palatino Linotype" w:eastAsia="Palatino Linotype" w:hAnsi="Palatino Linotype" w:cs="Palatino Linotype"/>
          <w:color w:val="0D0D0D" w:themeColor="text1" w:themeTint="F2"/>
        </w:rPr>
        <w:t>; por lo que, resulta necesario traer a colación, el Directorio de Sujetos Obligados de la página oficial de este Instituto (consultado el dieciséis de mayo de dos mil veintidós), del cual se advierte que son considerados como sujetos obligados que se encuentran constreñidos a cumplir con las Leyes de Transparencia, al Ayuntamiento, así como, los dos organismos descentralizados referidos en párrafos anteriores, tal como se observa a continuación:</w:t>
      </w:r>
    </w:p>
    <w:p w14:paraId="19F01F4A"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2BED1E85" w14:textId="77777777" w:rsidR="00F16734" w:rsidRPr="0086781A" w:rsidRDefault="00FB681D">
      <w:pPr>
        <w:spacing w:line="360" w:lineRule="auto"/>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drawing>
          <wp:inline distT="0" distB="0" distL="0" distR="0" wp14:anchorId="3AC4A5D5" wp14:editId="251AB073">
            <wp:extent cx="5581015" cy="1825625"/>
            <wp:effectExtent l="0" t="0" r="0" b="0"/>
            <wp:docPr id="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581015" cy="1825625"/>
                    </a:xfrm>
                    <a:prstGeom prst="rect">
                      <a:avLst/>
                    </a:prstGeom>
                    <a:ln/>
                  </pic:spPr>
                </pic:pic>
              </a:graphicData>
            </a:graphic>
          </wp:inline>
        </w:drawing>
      </w:r>
    </w:p>
    <w:p w14:paraId="42B8967A" w14:textId="77777777" w:rsidR="00F16734" w:rsidRPr="0086781A" w:rsidRDefault="00FB681D">
      <w:pPr>
        <w:spacing w:line="360" w:lineRule="auto"/>
        <w:rPr>
          <w:rFonts w:ascii="Palatino Linotype" w:eastAsia="Palatino Linotype" w:hAnsi="Palatino Linotype" w:cs="Palatino Linotype"/>
          <w:color w:val="0D0D0D" w:themeColor="text1" w:themeTint="F2"/>
          <w:sz w:val="22"/>
          <w:szCs w:val="22"/>
        </w:rPr>
      </w:pPr>
      <w:r w:rsidRPr="0086781A">
        <w:rPr>
          <w:noProof/>
          <w:color w:val="0D0D0D" w:themeColor="text1" w:themeTint="F2"/>
          <w:lang w:eastAsia="es-MX"/>
        </w:rPr>
        <w:drawing>
          <wp:anchor distT="0" distB="0" distL="114300" distR="114300" simplePos="0" relativeHeight="251658240" behindDoc="0" locked="0" layoutInCell="1" hidden="0" allowOverlap="1" wp14:anchorId="0BEFFDFA" wp14:editId="10EF1D44">
            <wp:simplePos x="0" y="0"/>
            <wp:positionH relativeFrom="column">
              <wp:posOffset>-356234</wp:posOffset>
            </wp:positionH>
            <wp:positionV relativeFrom="paragraph">
              <wp:posOffset>0</wp:posOffset>
            </wp:positionV>
            <wp:extent cx="6285121" cy="923925"/>
            <wp:effectExtent l="0" t="0" r="0" b="0"/>
            <wp:wrapTopAndBottom distT="0" distB="0"/>
            <wp:docPr id="1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6285121" cy="923925"/>
                    </a:xfrm>
                    <a:prstGeom prst="rect">
                      <a:avLst/>
                    </a:prstGeom>
                    <a:ln/>
                  </pic:spPr>
                </pic:pic>
              </a:graphicData>
            </a:graphic>
          </wp:anchor>
        </w:drawing>
      </w:r>
    </w:p>
    <w:p w14:paraId="3E71AF12" w14:textId="77777777" w:rsidR="00F16734" w:rsidRPr="0086781A" w:rsidRDefault="00FB681D">
      <w:pPr>
        <w:widowControl w:val="0"/>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Lo anterior, toma sustento con el Portal de Información Pública de Oficio Mexiquense, que prevé el listado de Sujetos Obligados, entre los cuales se encuentra el </w:t>
      </w:r>
      <w:r w:rsidRPr="0086781A">
        <w:rPr>
          <w:rFonts w:ascii="Palatino Linotype" w:eastAsia="Palatino Linotype" w:hAnsi="Palatino Linotype" w:cs="Palatino Linotype"/>
          <w:b/>
          <w:color w:val="0D0D0D" w:themeColor="text1" w:themeTint="F2"/>
        </w:rPr>
        <w:t>Organismo Público Descentralizado para la Prestación de Servicios de Agua Potable, Alcantarillado y Saneamiento de Zinacantepec</w:t>
      </w:r>
      <w:r w:rsidRPr="0086781A">
        <w:rPr>
          <w:rFonts w:ascii="Palatino Linotype" w:eastAsia="Palatino Linotype" w:hAnsi="Palatino Linotype" w:cs="Palatino Linotype"/>
          <w:color w:val="0D0D0D" w:themeColor="text1" w:themeTint="F2"/>
        </w:rPr>
        <w:t xml:space="preserve"> y el </w:t>
      </w:r>
      <w:r w:rsidRPr="0086781A">
        <w:rPr>
          <w:rFonts w:ascii="Palatino Linotype" w:eastAsia="Palatino Linotype" w:hAnsi="Palatino Linotype" w:cs="Palatino Linotype"/>
          <w:b/>
          <w:color w:val="0D0D0D" w:themeColor="text1" w:themeTint="F2"/>
        </w:rPr>
        <w:t>Sistema Municipal para el Desarrollo Integral de la Familia de Zinacantepec</w:t>
      </w:r>
      <w:r w:rsidRPr="0086781A">
        <w:rPr>
          <w:rFonts w:ascii="Palatino Linotype" w:eastAsia="Palatino Linotype" w:hAnsi="Palatino Linotype" w:cs="Palatino Linotype"/>
          <w:color w:val="0D0D0D" w:themeColor="text1" w:themeTint="F2"/>
        </w:rPr>
        <w:t>, tal como se observa a continuación:</w:t>
      </w:r>
    </w:p>
    <w:p w14:paraId="2A561CD5"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449CE24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drawing>
          <wp:inline distT="0" distB="0" distL="0" distR="0" wp14:anchorId="40426B15" wp14:editId="4F12D301">
            <wp:extent cx="5581015" cy="295275"/>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581015" cy="295275"/>
                    </a:xfrm>
                    <a:prstGeom prst="rect">
                      <a:avLst/>
                    </a:prstGeom>
                    <a:ln/>
                  </pic:spPr>
                </pic:pic>
              </a:graphicData>
            </a:graphic>
          </wp:inline>
        </w:drawing>
      </w:r>
    </w:p>
    <w:p w14:paraId="51A2BCC0" w14:textId="77777777" w:rsidR="00F16734" w:rsidRPr="0086781A" w:rsidRDefault="00FB681D">
      <w:pPr>
        <w:spacing w:line="360" w:lineRule="auto"/>
        <w:jc w:val="center"/>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w:t>
      </w:r>
    </w:p>
    <w:p w14:paraId="6B2FF999" w14:textId="77777777" w:rsidR="00F16734" w:rsidRPr="0086781A" w:rsidRDefault="00FB681D">
      <w:pPr>
        <w:spacing w:line="360" w:lineRule="auto"/>
        <w:jc w:val="center"/>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drawing>
          <wp:inline distT="0" distB="0" distL="0" distR="0" wp14:anchorId="2035A70E" wp14:editId="455687D2">
            <wp:extent cx="5581015" cy="641985"/>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581015" cy="641985"/>
                    </a:xfrm>
                    <a:prstGeom prst="rect">
                      <a:avLst/>
                    </a:prstGeom>
                    <a:ln/>
                  </pic:spPr>
                </pic:pic>
              </a:graphicData>
            </a:graphic>
          </wp:inline>
        </w:drawing>
      </w:r>
    </w:p>
    <w:p w14:paraId="2A875958" w14:textId="77777777" w:rsidR="00F16734" w:rsidRPr="0086781A" w:rsidRDefault="00FB681D">
      <w:pPr>
        <w:spacing w:line="360" w:lineRule="auto"/>
        <w:jc w:val="center"/>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w:t>
      </w:r>
    </w:p>
    <w:p w14:paraId="257B5B10" w14:textId="77777777" w:rsidR="00F16734" w:rsidRPr="0086781A" w:rsidRDefault="00FB681D">
      <w:pPr>
        <w:spacing w:line="360" w:lineRule="auto"/>
        <w:jc w:val="center"/>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lastRenderedPageBreak/>
        <w:drawing>
          <wp:inline distT="0" distB="0" distL="0" distR="0" wp14:anchorId="23A564EC" wp14:editId="1B1D7F36">
            <wp:extent cx="5581015" cy="624205"/>
            <wp:effectExtent l="0" t="0" r="0" b="0"/>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81015" cy="624205"/>
                    </a:xfrm>
                    <a:prstGeom prst="rect">
                      <a:avLst/>
                    </a:prstGeom>
                    <a:ln/>
                  </pic:spPr>
                </pic:pic>
              </a:graphicData>
            </a:graphic>
          </wp:inline>
        </w:drawing>
      </w:r>
    </w:p>
    <w:p w14:paraId="08614357"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166121D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Inclusive, dichos entes públicos cuentan con su propio Portal de Información Pública de Oficio Mexiquense, en la cual deben de publicar sus obligaciones de transparencia, tal como se muestra a continuación:</w:t>
      </w:r>
    </w:p>
    <w:p w14:paraId="275D2382"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3B27EE3F" w14:textId="77777777" w:rsidR="00F16734" w:rsidRPr="0086781A" w:rsidRDefault="00F16734">
      <w:pPr>
        <w:spacing w:line="360" w:lineRule="auto"/>
        <w:jc w:val="center"/>
        <w:rPr>
          <w:color w:val="0D0D0D" w:themeColor="text1" w:themeTint="F2"/>
          <w:sz w:val="20"/>
          <w:szCs w:val="20"/>
        </w:rPr>
      </w:pPr>
    </w:p>
    <w:p w14:paraId="05EBAD53" w14:textId="77777777" w:rsidR="00F16734" w:rsidRPr="0086781A" w:rsidRDefault="00F16734">
      <w:pPr>
        <w:spacing w:line="360" w:lineRule="auto"/>
        <w:rPr>
          <w:color w:val="0D0D0D" w:themeColor="text1" w:themeTint="F2"/>
          <w:sz w:val="20"/>
          <w:szCs w:val="20"/>
        </w:rPr>
      </w:pPr>
    </w:p>
    <w:p w14:paraId="3D64F2BD" w14:textId="77777777" w:rsidR="00F16734" w:rsidRPr="0086781A" w:rsidRDefault="00FB681D">
      <w:pPr>
        <w:spacing w:line="360" w:lineRule="auto"/>
        <w:jc w:val="center"/>
        <w:rPr>
          <w:color w:val="0D0D0D" w:themeColor="text1" w:themeTint="F2"/>
          <w:sz w:val="20"/>
          <w:szCs w:val="20"/>
        </w:rPr>
      </w:pPr>
      <w:r w:rsidRPr="0086781A">
        <w:rPr>
          <w:noProof/>
          <w:color w:val="0D0D0D" w:themeColor="text1" w:themeTint="F2"/>
          <w:sz w:val="20"/>
          <w:szCs w:val="20"/>
          <w:lang w:eastAsia="es-MX"/>
        </w:rPr>
        <w:drawing>
          <wp:inline distT="0" distB="0" distL="0" distR="0" wp14:anchorId="55A60D69" wp14:editId="5E5D6A55">
            <wp:extent cx="4881852" cy="2220690"/>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881852" cy="2220690"/>
                    </a:xfrm>
                    <a:prstGeom prst="rect">
                      <a:avLst/>
                    </a:prstGeom>
                    <a:ln/>
                  </pic:spPr>
                </pic:pic>
              </a:graphicData>
            </a:graphic>
          </wp:inline>
        </w:drawing>
      </w:r>
    </w:p>
    <w:p w14:paraId="64C10F3B" w14:textId="77777777" w:rsidR="00F16734" w:rsidRPr="0086781A" w:rsidRDefault="00F16734">
      <w:pPr>
        <w:spacing w:line="360" w:lineRule="auto"/>
        <w:jc w:val="center"/>
        <w:rPr>
          <w:color w:val="0D0D0D" w:themeColor="text1" w:themeTint="F2"/>
          <w:sz w:val="20"/>
          <w:szCs w:val="20"/>
        </w:rPr>
      </w:pPr>
    </w:p>
    <w:p w14:paraId="5D722AB7" w14:textId="77777777" w:rsidR="00F16734" w:rsidRPr="0086781A" w:rsidRDefault="00FB681D">
      <w:pPr>
        <w:spacing w:line="360" w:lineRule="auto"/>
        <w:jc w:val="center"/>
        <w:rPr>
          <w:color w:val="0D0D0D" w:themeColor="text1" w:themeTint="F2"/>
          <w:sz w:val="20"/>
          <w:szCs w:val="20"/>
        </w:rPr>
      </w:pPr>
      <w:r w:rsidRPr="0086781A">
        <w:rPr>
          <w:noProof/>
          <w:color w:val="0D0D0D" w:themeColor="text1" w:themeTint="F2"/>
          <w:sz w:val="20"/>
          <w:szCs w:val="20"/>
          <w:lang w:eastAsia="es-MX"/>
        </w:rPr>
        <w:lastRenderedPageBreak/>
        <w:drawing>
          <wp:inline distT="0" distB="0" distL="0" distR="0" wp14:anchorId="40C51C04" wp14:editId="64D096D3">
            <wp:extent cx="4766729" cy="2590814"/>
            <wp:effectExtent l="0" t="0" r="0" b="0"/>
            <wp:docPr id="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766729" cy="2590814"/>
                    </a:xfrm>
                    <a:prstGeom prst="rect">
                      <a:avLst/>
                    </a:prstGeom>
                    <a:ln/>
                  </pic:spPr>
                </pic:pic>
              </a:graphicData>
            </a:graphic>
          </wp:inline>
        </w:drawing>
      </w:r>
    </w:p>
    <w:p w14:paraId="7FDD97FA" w14:textId="77777777" w:rsidR="00F16734" w:rsidRPr="0086781A" w:rsidRDefault="00F16734">
      <w:pPr>
        <w:spacing w:line="360" w:lineRule="auto"/>
        <w:jc w:val="both"/>
        <w:rPr>
          <w:color w:val="0D0D0D" w:themeColor="text1" w:themeTint="F2"/>
          <w:sz w:val="20"/>
          <w:szCs w:val="20"/>
        </w:rPr>
      </w:pPr>
    </w:p>
    <w:p w14:paraId="731C486E" w14:textId="77777777" w:rsidR="00F16734" w:rsidRPr="0086781A" w:rsidRDefault="00FB681D">
      <w:pPr>
        <w:spacing w:line="360" w:lineRule="auto"/>
        <w:jc w:val="center"/>
        <w:rPr>
          <w:color w:val="0D0D0D" w:themeColor="text1" w:themeTint="F2"/>
          <w:sz w:val="20"/>
          <w:szCs w:val="20"/>
        </w:rPr>
      </w:pPr>
      <w:r w:rsidRPr="0086781A">
        <w:rPr>
          <w:noProof/>
          <w:color w:val="0D0D0D" w:themeColor="text1" w:themeTint="F2"/>
          <w:sz w:val="20"/>
          <w:szCs w:val="20"/>
          <w:lang w:eastAsia="es-MX"/>
        </w:rPr>
        <w:drawing>
          <wp:inline distT="0" distB="0" distL="0" distR="0" wp14:anchorId="31370088" wp14:editId="261C401E">
            <wp:extent cx="4991615" cy="2479621"/>
            <wp:effectExtent l="0" t="0" r="0" b="0"/>
            <wp:docPr id="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991615" cy="2479621"/>
                    </a:xfrm>
                    <a:prstGeom prst="rect">
                      <a:avLst/>
                    </a:prstGeom>
                    <a:ln/>
                  </pic:spPr>
                </pic:pic>
              </a:graphicData>
            </a:graphic>
          </wp:inline>
        </w:drawing>
      </w:r>
    </w:p>
    <w:p w14:paraId="1F13927C" w14:textId="77777777" w:rsidR="00F16734" w:rsidRPr="0086781A" w:rsidRDefault="00F16734">
      <w:pPr>
        <w:spacing w:line="360" w:lineRule="auto"/>
        <w:jc w:val="center"/>
        <w:rPr>
          <w:rFonts w:ascii="Palatino Linotype" w:eastAsia="Palatino Linotype" w:hAnsi="Palatino Linotype" w:cs="Palatino Linotype"/>
          <w:color w:val="0D0D0D" w:themeColor="text1" w:themeTint="F2"/>
          <w:sz w:val="22"/>
          <w:szCs w:val="22"/>
        </w:rPr>
      </w:pPr>
    </w:p>
    <w:p w14:paraId="4CE74F86"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Como se logra observar, tanto el Organismo Público Descentralizado para la Prestación de Servicios de Agua Potable, Alcantarillado y Saneamiento de Zinacantepec y el Sistema Municipal para el Desarrollo Integral de la Familia de Zinacantepec, son sujetos obligados distintos al Ayuntamiento; por lo que, tienen su propia Unidad de Transparencia, y se encuentran constreñidos a proporcionar la documentación que obre en sus archivos.</w:t>
      </w:r>
    </w:p>
    <w:p w14:paraId="60E2B586"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745ABA75" w14:textId="77777777" w:rsidR="00F16734" w:rsidRPr="0086781A" w:rsidRDefault="00FB681D">
      <w:pPr>
        <w:tabs>
          <w:tab w:val="left" w:pos="4962"/>
        </w:tabs>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Así, se colige que el Ente Recurrido es </w:t>
      </w:r>
      <w:r w:rsidRPr="0086781A">
        <w:rPr>
          <w:rFonts w:ascii="Palatino Linotype" w:eastAsia="Palatino Linotype" w:hAnsi="Palatino Linotype" w:cs="Palatino Linotype"/>
          <w:b/>
          <w:color w:val="0D0D0D" w:themeColor="text1" w:themeTint="F2"/>
        </w:rPr>
        <w:t>notoriamente incompetente</w:t>
      </w:r>
      <w:r w:rsidRPr="0086781A">
        <w:rPr>
          <w:rFonts w:ascii="Palatino Linotype" w:eastAsia="Palatino Linotype" w:hAnsi="Palatino Linotype" w:cs="Palatino Linotype"/>
          <w:color w:val="0D0D0D" w:themeColor="text1" w:themeTint="F2"/>
        </w:rPr>
        <w:t xml:space="preserve"> para conocer de la información de los dos organismos públicos descentralizados de Zinacantepec. En ese contexto, es necesario traer a colación el en el Criterio de Interpretación, de la Segunda Época, con número de registro SO/002/2020, emitido por el Instituto Nacional de Transparencia, Acceso a la Información y Protección de Datos Personales, que precisa que cuando la incompetencia no sea manifestada por el Sujeto Obligado, o bien, que se necesite efectuar un análisis mayor, a la verificación de atribuciones, será necesario que sea declarada por el Comité de Transparencia.</w:t>
      </w:r>
    </w:p>
    <w:p w14:paraId="57B0001B" w14:textId="77777777" w:rsidR="00F16734" w:rsidRPr="0086781A" w:rsidRDefault="00F16734">
      <w:pPr>
        <w:spacing w:line="360" w:lineRule="auto"/>
        <w:ind w:right="-28"/>
        <w:jc w:val="both"/>
        <w:rPr>
          <w:rFonts w:ascii="Palatino Linotype" w:eastAsia="Palatino Linotype" w:hAnsi="Palatino Linotype" w:cs="Palatino Linotype"/>
          <w:color w:val="0D0D0D" w:themeColor="text1" w:themeTint="F2"/>
          <w:sz w:val="22"/>
          <w:szCs w:val="22"/>
        </w:rPr>
      </w:pPr>
    </w:p>
    <w:p w14:paraId="1600F157" w14:textId="77777777" w:rsidR="00F16734" w:rsidRPr="0086781A" w:rsidRDefault="00FB681D">
      <w:pPr>
        <w:tabs>
          <w:tab w:val="left" w:pos="4962"/>
        </w:tabs>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Al respecto, en el presente caso, si bien la </w:t>
      </w:r>
      <w:r w:rsidRPr="0086781A">
        <w:rPr>
          <w:rFonts w:ascii="Palatino Linotype" w:eastAsia="Palatino Linotype" w:hAnsi="Palatino Linotype" w:cs="Palatino Linotype"/>
          <w:b/>
          <w:color w:val="0D0D0D" w:themeColor="text1" w:themeTint="F2"/>
        </w:rPr>
        <w:t>incompetencia es notoria</w:t>
      </w:r>
      <w:r w:rsidRPr="0086781A">
        <w:rPr>
          <w:rFonts w:ascii="Palatino Linotype" w:eastAsia="Palatino Linotype" w:hAnsi="Palatino Linotype" w:cs="Palatino Linotype"/>
          <w:color w:val="0D0D0D" w:themeColor="text1" w:themeTint="F2"/>
        </w:rPr>
        <w:t xml:space="preserve">, pues de las atribuciones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no se localizó ninguna donde se advierta que pueda contar con lo peticionado, también lo es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no manifestó su incompetencia dentro del plazo establecido en la ley;</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 xml:space="preserve">por lo que, para dar por atendida la solicitud de acceso a la información, se considera procedente ordenar la entrega del Acuerdo emitido por el Comité de Transparencia, a efecto de confirmar la incompetencia para conocer la información relativa a los títulos profesionales, recibos de nómina de enero a la fecha de la solicitud, </w:t>
      </w:r>
      <w:proofErr w:type="spellStart"/>
      <w:r w:rsidRPr="0086781A">
        <w:rPr>
          <w:rFonts w:ascii="Palatino Linotype" w:eastAsia="Palatino Linotype" w:hAnsi="Palatino Linotype" w:cs="Palatino Linotype"/>
          <w:color w:val="0D0D0D" w:themeColor="text1" w:themeTint="F2"/>
        </w:rPr>
        <w:t>curriculum</w:t>
      </w:r>
      <w:proofErr w:type="spellEnd"/>
      <w:r w:rsidRPr="0086781A">
        <w:rPr>
          <w:rFonts w:ascii="Palatino Linotype" w:eastAsia="Palatino Linotype" w:hAnsi="Palatino Linotype" w:cs="Palatino Linotype"/>
          <w:color w:val="0D0D0D" w:themeColor="text1" w:themeTint="F2"/>
        </w:rPr>
        <w:t xml:space="preserve"> vitae</w:t>
      </w:r>
    </w:p>
    <w:p w14:paraId="3D374ECD" w14:textId="77777777" w:rsidR="00F16734" w:rsidRPr="0086781A" w:rsidRDefault="00FB681D">
      <w:pPr>
        <w:tabs>
          <w:tab w:val="left" w:pos="4962"/>
        </w:tabs>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Certificado de no antecedentes penales, listas de asistencia, declaración Patrimonial, bitácoras de combustible de los </w:t>
      </w:r>
      <w:proofErr w:type="gramStart"/>
      <w:r w:rsidRPr="0086781A">
        <w:rPr>
          <w:rFonts w:ascii="Palatino Linotype" w:eastAsia="Palatino Linotype" w:hAnsi="Palatino Linotype" w:cs="Palatino Linotype"/>
          <w:color w:val="0D0D0D" w:themeColor="text1" w:themeTint="F2"/>
        </w:rPr>
        <w:t>Directores</w:t>
      </w:r>
      <w:proofErr w:type="gramEnd"/>
      <w:r w:rsidRPr="0086781A">
        <w:rPr>
          <w:rFonts w:ascii="Palatino Linotype" w:eastAsia="Palatino Linotype" w:hAnsi="Palatino Linotype" w:cs="Palatino Linotype"/>
          <w:color w:val="0D0D0D" w:themeColor="text1" w:themeTint="F2"/>
        </w:rPr>
        <w:t xml:space="preserve"> del DIF y OPDAPAS, así como de todo el personal adscrito a dichos organismos.</w:t>
      </w:r>
    </w:p>
    <w:p w14:paraId="0DD6F128" w14:textId="77777777" w:rsidR="00F16734" w:rsidRPr="0086781A" w:rsidRDefault="00F16734">
      <w:pPr>
        <w:tabs>
          <w:tab w:val="left" w:pos="4962"/>
        </w:tabs>
        <w:spacing w:line="360" w:lineRule="auto"/>
        <w:jc w:val="both"/>
        <w:rPr>
          <w:rFonts w:ascii="Palatino Linotype" w:eastAsia="Palatino Linotype" w:hAnsi="Palatino Linotype" w:cs="Palatino Linotype"/>
          <w:color w:val="0D0D0D" w:themeColor="text1" w:themeTint="F2"/>
        </w:rPr>
      </w:pPr>
    </w:p>
    <w:p w14:paraId="09EE477A" w14:textId="77777777" w:rsidR="00F16734" w:rsidRPr="0086781A" w:rsidRDefault="00FB681D">
      <w:pPr>
        <w:numPr>
          <w:ilvl w:val="0"/>
          <w:numId w:val="7"/>
        </w:numPr>
        <w:pBdr>
          <w:top w:val="nil"/>
          <w:left w:val="nil"/>
          <w:bottom w:val="nil"/>
          <w:right w:val="nil"/>
          <w:between w:val="nil"/>
        </w:pBdr>
        <w:spacing w:after="160" w:line="360" w:lineRule="auto"/>
        <w:ind w:left="142" w:right="-28" w:hanging="142"/>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De la información relativa al IMCUFIDEZ</w:t>
      </w:r>
    </w:p>
    <w:p w14:paraId="1538D2CA"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Teniendo en cuenta lo anterior, el presente análisis se centrará en el </w:t>
      </w:r>
      <w:r w:rsidRPr="0086781A">
        <w:rPr>
          <w:rFonts w:ascii="Palatino Linotype" w:eastAsia="Palatino Linotype" w:hAnsi="Palatino Linotype" w:cs="Palatino Linotype"/>
          <w:b/>
          <w:color w:val="0D0D0D" w:themeColor="text1" w:themeTint="F2"/>
        </w:rPr>
        <w:t>Instituto Municipal de Cultura Física y Deporte de Zinacantepec</w:t>
      </w:r>
      <w:r w:rsidRPr="0086781A">
        <w:rPr>
          <w:rFonts w:ascii="Palatino Linotype" w:eastAsia="Palatino Linotype" w:hAnsi="Palatino Linotype" w:cs="Palatino Linotype"/>
          <w:color w:val="0D0D0D" w:themeColor="text1" w:themeTint="F2"/>
        </w:rPr>
        <w:t xml:space="preserve">, el cual en términos del artículo 21 del Bando Municipal es un organismo descentralizado pero forma parte de la estructura orgánica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por lo que conviene iniciar el presente estudio señalando que de las constancias que conforman el expediente electrónico, se advierte que no se turnó la solicitud a los servidores públicos habilitados, por lo que no se satisfizo en su totalidad el derecho de acceso el derecho de acceso a la información pública del ahora </w:t>
      </w:r>
      <w:r w:rsidRPr="0086781A">
        <w:rPr>
          <w:rFonts w:ascii="Palatino Linotype" w:eastAsia="Palatino Linotype" w:hAnsi="Palatino Linotype" w:cs="Palatino Linotype"/>
          <w:b/>
          <w:color w:val="0D0D0D" w:themeColor="text1" w:themeTint="F2"/>
        </w:rPr>
        <w:t>Recurrente</w:t>
      </w:r>
      <w:r w:rsidRPr="0086781A">
        <w:rPr>
          <w:rFonts w:ascii="Palatino Linotype" w:eastAsia="Palatino Linotype" w:hAnsi="Palatino Linotype" w:cs="Palatino Linotype"/>
          <w:color w:val="0D0D0D" w:themeColor="text1" w:themeTint="F2"/>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debieron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3FFB3D17"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4636D8E"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156E9E08"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Excepcionalmente, el plazo referido podrá ampliarse por siete días hábiles más, cuando existan razones fundadas y motivadas, a través del Comité de Transparencia; </w:t>
      </w:r>
    </w:p>
    <w:p w14:paraId="4FB14A49"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F7BA0E5"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4D84AE2"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8BD83D7" w14:textId="77777777" w:rsidR="00F16734" w:rsidRPr="0086781A" w:rsidRDefault="00FB681D">
      <w:pPr>
        <w:shd w:val="clear" w:color="auto" w:fill="FFFFFF"/>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En este orden de ideas, se reitera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 la Dirección de Administración o a la Coordinación de Administración y Finanzas del Instituto Municipal de Cultura Física y Deporte de Zinacantepec, ello en virtud de que cuentan con las siguientes facultades: </w:t>
      </w:r>
    </w:p>
    <w:p w14:paraId="39778A60" w14:textId="77777777" w:rsidR="00F16734" w:rsidRPr="0086781A" w:rsidRDefault="00F16734">
      <w:pPr>
        <w:shd w:val="clear" w:color="auto" w:fill="FFFFFF"/>
        <w:spacing w:before="240" w:after="240" w:line="276" w:lineRule="auto"/>
        <w:jc w:val="both"/>
        <w:rPr>
          <w:rFonts w:ascii="Palatino Linotype" w:eastAsia="Palatino Linotype" w:hAnsi="Palatino Linotype" w:cs="Palatino Linotype"/>
          <w:b/>
          <w:color w:val="0D0D0D" w:themeColor="text1" w:themeTint="F2"/>
          <w:sz w:val="22"/>
          <w:szCs w:val="22"/>
        </w:rPr>
      </w:pPr>
    </w:p>
    <w:p w14:paraId="3A04525A" w14:textId="77777777" w:rsidR="00F16734" w:rsidRPr="0086781A" w:rsidRDefault="00FB681D">
      <w:pPr>
        <w:shd w:val="clear" w:color="auto" w:fill="FFFFFF"/>
        <w:spacing w:before="240" w:after="240" w:line="276" w:lineRule="auto"/>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Reglamento Orgánico Municipal de Zinacantepec 2022</w:t>
      </w:r>
    </w:p>
    <w:p w14:paraId="52D8197E" w14:textId="77777777" w:rsidR="00F16734" w:rsidRPr="0086781A" w:rsidRDefault="00FB681D">
      <w:pPr>
        <w:shd w:val="clear" w:color="auto" w:fill="FFFFFF"/>
        <w:spacing w:before="240" w:after="240" w:line="276" w:lineRule="auto"/>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 xml:space="preserve">Dirección de Administración: </w:t>
      </w:r>
    </w:p>
    <w:p w14:paraId="4756C599"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“Artículo 52.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66E75BB7"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53. Además de las previstas en las disposiciones normativas y administrativas en la materia, la Dirección de Administración tiene las siguientes funciones y atribuciones:</w:t>
      </w:r>
    </w:p>
    <w:p w14:paraId="54B67337"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766EE8DB"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II. Mantener el resguardo y actualización del Archivo de personal del Ayuntamiento;</w:t>
      </w:r>
    </w:p>
    <w:p w14:paraId="17E81EA2"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3EEBF71B"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VI. Desarrollar un registro para el control de asistencias, nombramientos, remociones, renuncias, licencias, cambios de adscripción, promociones, </w:t>
      </w:r>
      <w:r w:rsidRPr="0086781A">
        <w:rPr>
          <w:rFonts w:ascii="Palatino Linotype" w:eastAsia="Palatino Linotype" w:hAnsi="Palatino Linotype" w:cs="Palatino Linotype"/>
          <w:b/>
          <w:i/>
          <w:color w:val="0D0D0D" w:themeColor="text1" w:themeTint="F2"/>
          <w:sz w:val="22"/>
          <w:szCs w:val="22"/>
        </w:rPr>
        <w:lastRenderedPageBreak/>
        <w:t xml:space="preserve">incapacidades, vacaciones, días no laborables, y demás días de inconsistencia en los Servidores Públicos Municipales; </w:t>
      </w:r>
    </w:p>
    <w:p w14:paraId="7D73A0DE"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VII. Proveer de insumos, bienes y servicios generales que requieran las distintas áreas que conforman la Administración Pública Municipal, para su buen funcionamiento; </w:t>
      </w:r>
    </w:p>
    <w:p w14:paraId="57EF7196"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VIII. Diseñar políticas para el mantenimiento de los bienes muebles e inmuebles de las diferentes áreas de la Administración Pública Municipal; </w:t>
      </w:r>
    </w:p>
    <w:p w14:paraId="17E57AF6"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IX. Evaluar programas, procesos y procedimientos para la elaboración y pago de nómina;</w:t>
      </w:r>
    </w:p>
    <w:p w14:paraId="59AADF52"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0B463039" w14:textId="77777777" w:rsidR="00F16734" w:rsidRPr="0086781A" w:rsidRDefault="00FB681D">
      <w:pPr>
        <w:shd w:val="clear" w:color="auto" w:fill="FFFFFF"/>
        <w:spacing w:before="240"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XVI. Establecer controles del estado físico y mantenimiento del parque vehicular oficial, así como del pago de sus obligaciones fiscales y administrativas;”</w:t>
      </w:r>
    </w:p>
    <w:p w14:paraId="1EB4AF9C" w14:textId="77777777" w:rsidR="00F16734" w:rsidRPr="0086781A" w:rsidRDefault="00FB681D">
      <w:pPr>
        <w:spacing w:line="360" w:lineRule="auto"/>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 xml:space="preserve">Reglamento Interno Instituto Municipal de Cultura Física y Deporte de Zinacantepec 2022: </w:t>
      </w:r>
    </w:p>
    <w:p w14:paraId="14C1B04B"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23.- Corresponde a la Coordinación de Administración y Finanzas, además de las atribuciones generales, las siguientes:</w:t>
      </w:r>
    </w:p>
    <w:p w14:paraId="6594DEB2"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1B304E60" w14:textId="77777777" w:rsidR="00F16734" w:rsidRPr="0086781A" w:rsidRDefault="00FB681D">
      <w:pP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IV. Controlar los ingresos y egresos del Instituto, por medio de la administración de los recursos financieros, humanos y materiales; </w:t>
      </w:r>
    </w:p>
    <w:p w14:paraId="273B6815" w14:textId="77777777" w:rsidR="00F16734" w:rsidRPr="0086781A" w:rsidRDefault="00FB681D">
      <w:pP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V. Coordinar la programación, solicitud oportuna y eficiente de los requerimientos en materia de servicios generales, materiales y suministros que se requieran para las diversas unidades que conforman el Instituto</w:t>
      </w:r>
    </w:p>
    <w:p w14:paraId="2D14B1BD"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0DF37DC6" w14:textId="77777777" w:rsidR="00F16734" w:rsidRPr="0086781A" w:rsidRDefault="00FB681D">
      <w:pP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XX. Proponer los lineamientos normativos y de control interno en materia de adquisición de bienes y servicios y en sus diferentes modalidades: mantenimiento vehicular, mantenimiento de bienes informáticos, control de almacenes, elaboración de contratos, inventario de bienes y suministro de combustible;</w:t>
      </w:r>
    </w:p>
    <w:p w14:paraId="512CCDCD" w14:textId="77777777" w:rsidR="00F16734" w:rsidRPr="0086781A" w:rsidRDefault="00FB681D">
      <w:pP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w:t>
      </w:r>
    </w:p>
    <w:p w14:paraId="3EE00624" w14:textId="77777777" w:rsidR="00F16734" w:rsidRPr="0086781A" w:rsidRDefault="00FB681D">
      <w:pP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 xml:space="preserve">XXV. Recibir, capturar, revisar y efectuar todos los movimientos que se generen cada quincena como son: altas, bajas, cambios, transferencias, demociones, promociones, tiempo extraordinario, ausencias y préstamos; </w:t>
      </w:r>
    </w:p>
    <w:p w14:paraId="335876A9"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XXVI. Efectuar los movimientos de altas, bajas, cambios y la orden de pago del ISSEMyM que se generen quincenalmente, así como acudir a las oficinas de esta Institución para los trámites correspondientes</w:t>
      </w:r>
      <w:r w:rsidRPr="0086781A">
        <w:rPr>
          <w:rFonts w:ascii="Palatino Linotype" w:eastAsia="Palatino Linotype" w:hAnsi="Palatino Linotype" w:cs="Palatino Linotype"/>
          <w:i/>
          <w:color w:val="0D0D0D" w:themeColor="text1" w:themeTint="F2"/>
          <w:sz w:val="22"/>
          <w:szCs w:val="22"/>
        </w:rPr>
        <w:t>;”</w:t>
      </w:r>
    </w:p>
    <w:p w14:paraId="63CCF43B"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48C2562C"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Teniendo esto en cuenta, se procede al análisis de cada uno de los puntos solicitados para efecto de determinar la procedencia de la entrega de la información. </w:t>
      </w:r>
    </w:p>
    <w:p w14:paraId="6270AE8C"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7E52587" w14:textId="77777777" w:rsidR="00F16734" w:rsidRPr="0086781A" w:rsidRDefault="00FB681D">
      <w:pPr>
        <w:numPr>
          <w:ilvl w:val="0"/>
          <w:numId w:val="7"/>
        </w:numPr>
        <w:pBdr>
          <w:top w:val="nil"/>
          <w:left w:val="nil"/>
          <w:bottom w:val="nil"/>
          <w:right w:val="nil"/>
          <w:between w:val="nil"/>
        </w:pBdr>
        <w:tabs>
          <w:tab w:val="left" w:pos="426"/>
        </w:tabs>
        <w:spacing w:before="240" w:line="276" w:lineRule="auto"/>
        <w:ind w:left="142" w:right="851" w:hanging="142"/>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Título Profesional</w:t>
      </w:r>
    </w:p>
    <w:p w14:paraId="4CDD5866" w14:textId="77777777" w:rsidR="00F16734" w:rsidRPr="0086781A" w:rsidRDefault="00FB681D">
      <w:pPr>
        <w:pBdr>
          <w:top w:val="nil"/>
          <w:left w:val="nil"/>
          <w:bottom w:val="nil"/>
          <w:right w:val="nil"/>
          <w:between w:val="nil"/>
        </w:pBdr>
        <w:tabs>
          <w:tab w:val="left" w:pos="426"/>
        </w:tabs>
        <w:spacing w:before="240" w:line="360" w:lineRule="auto"/>
        <w:ind w:left="142"/>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lo tocante a este punto, resulta oportuno referir que el título profesional es el documento expedido por instituciones del Estado o descentralizadas, y por instituciones particulares que tengan reconocimiento de validez oficial de estudios, a favor de la persona que haya concluido </w:t>
      </w:r>
      <w:r w:rsidR="00BA6436" w:rsidRPr="0086781A">
        <w:rPr>
          <w:rFonts w:ascii="Palatino Linotype" w:eastAsia="Palatino Linotype" w:hAnsi="Palatino Linotype" w:cs="Palatino Linotype"/>
          <w:color w:val="0D0D0D" w:themeColor="text1" w:themeTint="F2"/>
        </w:rPr>
        <w:t>los estudios correspondientes o demostrados</w:t>
      </w:r>
      <w:r w:rsidRPr="0086781A">
        <w:rPr>
          <w:rFonts w:ascii="Palatino Linotype" w:eastAsia="Palatino Linotype" w:hAnsi="Palatino Linotype" w:cs="Palatino Linotype"/>
          <w:color w:val="0D0D0D" w:themeColor="text1" w:themeTint="F2"/>
        </w:rPr>
        <w:t xml:space="preserve"> tener los conocimientos necesarios de conformidad con la normatividad aplicable.</w:t>
      </w:r>
    </w:p>
    <w:p w14:paraId="62952F46" w14:textId="77777777" w:rsidR="00F16734" w:rsidRPr="0086781A" w:rsidRDefault="00FB681D">
      <w:pPr>
        <w:pBdr>
          <w:top w:val="nil"/>
          <w:left w:val="nil"/>
          <w:bottom w:val="nil"/>
          <w:right w:val="nil"/>
          <w:between w:val="nil"/>
        </w:pBdr>
        <w:tabs>
          <w:tab w:val="left" w:pos="426"/>
        </w:tabs>
        <w:spacing w:before="240" w:line="360" w:lineRule="auto"/>
        <w:ind w:left="142"/>
        <w:jc w:val="both"/>
        <w:rPr>
          <w:rFonts w:ascii="Palatino Linotype" w:eastAsia="Palatino Linotype" w:hAnsi="Palatino Linotype" w:cs="Palatino Linotype"/>
          <w:color w:val="0D0D0D" w:themeColor="text1" w:themeTint="F2"/>
          <w:sz w:val="28"/>
          <w:szCs w:val="28"/>
        </w:rPr>
      </w:pPr>
      <w:r w:rsidRPr="0086781A">
        <w:rPr>
          <w:rFonts w:ascii="Palatino Linotype" w:eastAsia="Palatino Linotype" w:hAnsi="Palatino Linotype" w:cs="Palatino Linotype"/>
          <w:color w:val="0D0D0D" w:themeColor="text1" w:themeTint="F2"/>
        </w:rPr>
        <w:t>En este sentido, el documento en cita es susceptible de reflejar algunos de los siguientes atributos:</w:t>
      </w:r>
    </w:p>
    <w:p w14:paraId="104371B1" w14:textId="77777777" w:rsidR="00F16734" w:rsidRPr="0086781A" w:rsidRDefault="00FB681D">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Symbol" w:eastAsia="Symbol" w:hAnsi="Symbol" w:cs="Symbol"/>
          <w:color w:val="0D0D0D" w:themeColor="text1" w:themeTint="F2"/>
          <w:sz w:val="22"/>
          <w:szCs w:val="22"/>
        </w:rPr>
        <w:t>∙</w:t>
      </w:r>
      <w:r w:rsidRPr="0086781A">
        <w:rPr>
          <w:rFonts w:ascii="Palatino Linotype" w:eastAsia="Palatino Linotype" w:hAnsi="Palatino Linotype" w:cs="Palatino Linotype"/>
          <w:color w:val="0D0D0D" w:themeColor="text1" w:themeTint="F2"/>
          <w:sz w:val="22"/>
          <w:szCs w:val="22"/>
        </w:rPr>
        <w:t xml:space="preserve"> </w:t>
      </w:r>
      <w:r w:rsidRPr="0086781A">
        <w:rPr>
          <w:rFonts w:ascii="Palatino Linotype" w:eastAsia="Palatino Linotype" w:hAnsi="Palatino Linotype" w:cs="Palatino Linotype"/>
          <w:b/>
          <w:color w:val="0D0D0D" w:themeColor="text1" w:themeTint="F2"/>
          <w:sz w:val="22"/>
          <w:szCs w:val="22"/>
        </w:rPr>
        <w:t>Fotografía:</w:t>
      </w:r>
      <w:r w:rsidRPr="0086781A">
        <w:rPr>
          <w:rFonts w:ascii="Palatino Linotype" w:eastAsia="Palatino Linotype" w:hAnsi="Palatino Linotype" w:cs="Palatino Linotype"/>
          <w:color w:val="0D0D0D" w:themeColor="text1" w:themeTint="F2"/>
          <w:sz w:val="22"/>
          <w:szCs w:val="22"/>
        </w:rPr>
        <w:t xml:space="preserve"> Tratándose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w:t>
      </w:r>
      <w:r w:rsidRPr="0086781A">
        <w:rPr>
          <w:rFonts w:ascii="Palatino Linotype" w:eastAsia="Palatino Linotype" w:hAnsi="Palatino Linotype" w:cs="Palatino Linotype"/>
          <w:color w:val="0D0D0D" w:themeColor="text1" w:themeTint="F2"/>
          <w:sz w:val="22"/>
          <w:szCs w:val="22"/>
        </w:rPr>
        <w:lastRenderedPageBreak/>
        <w:t xml:space="preserve">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w:t>
      </w:r>
    </w:p>
    <w:p w14:paraId="066D3DF0" w14:textId="77777777" w:rsidR="00F16734" w:rsidRPr="0086781A" w:rsidRDefault="00FB681D">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Symbol" w:eastAsia="Symbol" w:hAnsi="Symbol" w:cs="Symbol"/>
          <w:color w:val="0D0D0D" w:themeColor="text1" w:themeTint="F2"/>
          <w:sz w:val="22"/>
          <w:szCs w:val="22"/>
        </w:rPr>
        <w:t>∙</w:t>
      </w:r>
      <w:r w:rsidRPr="0086781A">
        <w:rPr>
          <w:rFonts w:ascii="Palatino Linotype" w:eastAsia="Palatino Linotype" w:hAnsi="Palatino Linotype" w:cs="Palatino Linotype"/>
          <w:color w:val="0D0D0D" w:themeColor="text1" w:themeTint="F2"/>
          <w:sz w:val="22"/>
          <w:szCs w:val="22"/>
        </w:rPr>
        <w:t xml:space="preserve"> </w:t>
      </w:r>
      <w:r w:rsidRPr="0086781A">
        <w:rPr>
          <w:rFonts w:ascii="Palatino Linotype" w:eastAsia="Palatino Linotype" w:hAnsi="Palatino Linotype" w:cs="Palatino Linotype"/>
          <w:b/>
          <w:color w:val="0D0D0D" w:themeColor="text1" w:themeTint="F2"/>
          <w:sz w:val="22"/>
          <w:szCs w:val="22"/>
        </w:rPr>
        <w:t>Nombre del titular:</w:t>
      </w:r>
      <w:r w:rsidRPr="0086781A">
        <w:rPr>
          <w:rFonts w:ascii="Palatino Linotype" w:eastAsia="Palatino Linotype" w:hAnsi="Palatino Linotype" w:cs="Palatino Linotype"/>
          <w:color w:val="0D0D0D" w:themeColor="text1" w:themeTint="F2"/>
          <w:sz w:val="22"/>
          <w:szCs w:val="22"/>
        </w:rPr>
        <w:t xml:space="preserve"> 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w:t>
      </w:r>
    </w:p>
    <w:p w14:paraId="27EDE13A" w14:textId="77777777" w:rsidR="00F16734" w:rsidRPr="0086781A" w:rsidRDefault="00FB681D">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Symbol" w:eastAsia="Symbol" w:hAnsi="Symbol" w:cs="Symbol"/>
          <w:color w:val="0D0D0D" w:themeColor="text1" w:themeTint="F2"/>
          <w:sz w:val="22"/>
          <w:szCs w:val="22"/>
        </w:rPr>
        <w:t>∙</w:t>
      </w:r>
      <w:r w:rsidRPr="0086781A">
        <w:rPr>
          <w:rFonts w:ascii="Palatino Linotype" w:eastAsia="Palatino Linotype" w:hAnsi="Palatino Linotype" w:cs="Palatino Linotype"/>
          <w:color w:val="0D0D0D" w:themeColor="text1" w:themeTint="F2"/>
          <w:sz w:val="22"/>
          <w:szCs w:val="22"/>
        </w:rPr>
        <w:t xml:space="preserve"> </w:t>
      </w:r>
      <w:r w:rsidRPr="0086781A">
        <w:rPr>
          <w:rFonts w:ascii="Palatino Linotype" w:eastAsia="Palatino Linotype" w:hAnsi="Palatino Linotype" w:cs="Palatino Linotype"/>
          <w:b/>
          <w:color w:val="0D0D0D" w:themeColor="text1" w:themeTint="F2"/>
          <w:sz w:val="22"/>
          <w:szCs w:val="22"/>
        </w:rPr>
        <w:t>Clave Única de Registro de Población:</w:t>
      </w:r>
      <w:r w:rsidRPr="0086781A">
        <w:rPr>
          <w:rFonts w:ascii="Palatino Linotype" w:eastAsia="Palatino Linotype" w:hAnsi="Palatino Linotype" w:cs="Palatino Linotype"/>
          <w:color w:val="0D0D0D" w:themeColor="text1" w:themeTint="F2"/>
          <w:sz w:val="22"/>
          <w:szCs w:val="22"/>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BE63B05" w14:textId="77777777" w:rsidR="00F16734" w:rsidRPr="0086781A" w:rsidRDefault="00FB681D">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D0D0D" w:themeColor="text1" w:themeTint="F2"/>
          <w:sz w:val="22"/>
          <w:szCs w:val="22"/>
        </w:rPr>
      </w:pPr>
      <w:r w:rsidRPr="0086781A">
        <w:rPr>
          <w:rFonts w:ascii="Symbol" w:eastAsia="Symbol" w:hAnsi="Symbol" w:cs="Symbol"/>
          <w:color w:val="0D0D0D" w:themeColor="text1" w:themeTint="F2"/>
          <w:sz w:val="22"/>
          <w:szCs w:val="22"/>
        </w:rPr>
        <w:t>∙</w:t>
      </w:r>
      <w:r w:rsidRPr="0086781A">
        <w:rPr>
          <w:rFonts w:ascii="Palatino Linotype" w:eastAsia="Palatino Linotype" w:hAnsi="Palatino Linotype" w:cs="Palatino Linotype"/>
          <w:color w:val="0D0D0D" w:themeColor="text1" w:themeTint="F2"/>
          <w:sz w:val="22"/>
          <w:szCs w:val="22"/>
        </w:rPr>
        <w:t xml:space="preserve"> </w:t>
      </w:r>
      <w:r w:rsidRPr="0086781A">
        <w:rPr>
          <w:rFonts w:ascii="Palatino Linotype" w:eastAsia="Palatino Linotype" w:hAnsi="Palatino Linotype" w:cs="Palatino Linotype"/>
          <w:b/>
          <w:color w:val="0D0D0D" w:themeColor="text1" w:themeTint="F2"/>
          <w:sz w:val="22"/>
          <w:szCs w:val="22"/>
        </w:rPr>
        <w:t xml:space="preserve">Nombre y firma del </w:t>
      </w:r>
      <w:proofErr w:type="gramStart"/>
      <w:r w:rsidRPr="0086781A">
        <w:rPr>
          <w:rFonts w:ascii="Palatino Linotype" w:eastAsia="Palatino Linotype" w:hAnsi="Palatino Linotype" w:cs="Palatino Linotype"/>
          <w:b/>
          <w:color w:val="0D0D0D" w:themeColor="text1" w:themeTint="F2"/>
          <w:sz w:val="22"/>
          <w:szCs w:val="22"/>
        </w:rPr>
        <w:t>Director General</w:t>
      </w:r>
      <w:proofErr w:type="gramEnd"/>
      <w:r w:rsidRPr="0086781A">
        <w:rPr>
          <w:rFonts w:ascii="Palatino Linotype" w:eastAsia="Palatino Linotype" w:hAnsi="Palatino Linotype" w:cs="Palatino Linotype"/>
          <w:b/>
          <w:color w:val="0D0D0D" w:themeColor="text1" w:themeTint="F2"/>
          <w:sz w:val="22"/>
          <w:szCs w:val="22"/>
        </w:rPr>
        <w:t xml:space="preserve"> de Profesiones de la Secretaría de Educación Pública:</w:t>
      </w:r>
      <w:r w:rsidRPr="0086781A">
        <w:rPr>
          <w:rFonts w:ascii="Palatino Linotype" w:eastAsia="Palatino Linotype" w:hAnsi="Palatino Linotype" w:cs="Palatino Linotype"/>
          <w:color w:val="0D0D0D" w:themeColor="text1" w:themeTint="F2"/>
          <w:sz w:val="22"/>
          <w:szCs w:val="22"/>
        </w:rPr>
        <w:t xml:space="preserve"> Se estima como un dato de carácter público, al dar fe de que la expedición del título profesional fue en ejercicio de las facultades conferidas. </w:t>
      </w:r>
    </w:p>
    <w:p w14:paraId="7A731D8F" w14:textId="77777777" w:rsidR="00F16734" w:rsidRPr="0086781A" w:rsidRDefault="00FB681D">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D0D0D" w:themeColor="text1" w:themeTint="F2"/>
          <w:sz w:val="28"/>
          <w:szCs w:val="28"/>
        </w:rPr>
      </w:pPr>
      <w:r w:rsidRPr="0086781A">
        <w:rPr>
          <w:rFonts w:ascii="Symbol" w:eastAsia="Symbol" w:hAnsi="Symbol" w:cs="Symbol"/>
          <w:color w:val="0D0D0D" w:themeColor="text1" w:themeTint="F2"/>
          <w:sz w:val="22"/>
          <w:szCs w:val="22"/>
        </w:rPr>
        <w:t>∙</w:t>
      </w:r>
      <w:r w:rsidRPr="0086781A">
        <w:rPr>
          <w:rFonts w:ascii="Palatino Linotype" w:eastAsia="Palatino Linotype" w:hAnsi="Palatino Linotype" w:cs="Palatino Linotype"/>
          <w:color w:val="0D0D0D" w:themeColor="text1" w:themeTint="F2"/>
          <w:sz w:val="22"/>
          <w:szCs w:val="22"/>
        </w:rPr>
        <w:t xml:space="preserve"> </w:t>
      </w:r>
      <w:r w:rsidRPr="0086781A">
        <w:rPr>
          <w:rFonts w:ascii="Palatino Linotype" w:eastAsia="Palatino Linotype" w:hAnsi="Palatino Linotype" w:cs="Palatino Linotype"/>
          <w:b/>
          <w:color w:val="0D0D0D" w:themeColor="text1" w:themeTint="F2"/>
          <w:sz w:val="22"/>
          <w:szCs w:val="22"/>
        </w:rPr>
        <w:t>Firma del titular:</w:t>
      </w:r>
      <w:r w:rsidRPr="0086781A">
        <w:rPr>
          <w:rFonts w:ascii="Palatino Linotype" w:eastAsia="Palatino Linotype" w:hAnsi="Palatino Linotype" w:cs="Palatino Linotype"/>
          <w:color w:val="0D0D0D" w:themeColor="text1" w:themeTint="F2"/>
          <w:sz w:val="22"/>
          <w:szCs w:val="22"/>
        </w:rPr>
        <w:t xml:space="preserve"> Tratándose de personas físicas en el rol de ciudadanos, es considerada como un atributo de la personalidad, en virtud de que a través de esta se puede identificar a una persona, por lo que se considera un </w:t>
      </w:r>
      <w:r w:rsidRPr="0086781A">
        <w:rPr>
          <w:rFonts w:ascii="Palatino Linotype" w:eastAsia="Palatino Linotype" w:hAnsi="Palatino Linotype" w:cs="Palatino Linotype"/>
          <w:color w:val="0D0D0D" w:themeColor="text1" w:themeTint="F2"/>
          <w:sz w:val="22"/>
          <w:szCs w:val="22"/>
        </w:rPr>
        <w:lastRenderedPageBreak/>
        <w:t>dato personal y, dado que para otorgar su acceso se necesita el consentimiento de su titular, es información clasificada como confidencial. 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14:paraId="2D41E2C6" w14:textId="77777777" w:rsidR="00F16734" w:rsidRPr="0086781A" w:rsidRDefault="00FB681D">
      <w:pPr>
        <w:spacing w:before="240" w:after="240" w:line="360" w:lineRule="auto"/>
        <w:ind w:left="142"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Ahora bien, es necesario resaltar el hecho de que una vez realizada al marco normativo que regula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no se advirtió fuente obligacional para exigirle al personal que labora en el Instituto Municipal de Cultura Física y Deporte de Zinacantepec, la presentación de su título profesional</w:t>
      </w:r>
      <w:r w:rsidRPr="0086781A">
        <w:rPr>
          <w:rFonts w:ascii="Palatino Linotype" w:eastAsia="Palatino Linotype" w:hAnsi="Palatino Linotype" w:cs="Palatino Linotype"/>
          <w:color w:val="0D0D0D" w:themeColor="text1" w:themeTint="F2"/>
        </w:rPr>
        <w:t xml:space="preserve">, no obstante, debemos recordar que al no haber un pronunciamiento por parte del servidor público habilitado competente, no se tiene la certeza de que dicha información obre en los archivos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por lo que recordando que en líneas anteriores se hizo referencia al artículo 53, fracción II del Reglamento Orgánico Municipal de Zinacantepec 2022, mediante el cual se señala que le corresponde a la Dirección de Administración, mantener el resguardo y actualización del Archivo de personal del Ayuntamiento, resulta pertinente ordenar una búsqueda para efecto de localizar los títulos profesionales de los servidores públicos adscritos al Instituto Municipal de Cultura Física y Deporte de Zinacantepec, no </w:t>
      </w:r>
      <w:r w:rsidRPr="0086781A">
        <w:rPr>
          <w:rFonts w:ascii="Palatino Linotype" w:eastAsia="Palatino Linotype" w:hAnsi="Palatino Linotype" w:cs="Palatino Linotype"/>
          <w:color w:val="0D0D0D" w:themeColor="text1" w:themeTint="F2"/>
        </w:rPr>
        <w:lastRenderedPageBreak/>
        <w:t xml:space="preserve">obstante, de actualizarse el supuesto en el que derivado de la búsqueda exhaustiva y razonable practicada al patrimonio documental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no se localizara la información requerida,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53A58817" w14:textId="77777777" w:rsidR="00F16734" w:rsidRPr="0086781A" w:rsidRDefault="00FB681D">
      <w:pPr>
        <w:pBdr>
          <w:top w:val="nil"/>
          <w:left w:val="nil"/>
          <w:bottom w:val="nil"/>
          <w:right w:val="nil"/>
          <w:between w:val="nil"/>
        </w:pBdr>
        <w:spacing w:before="120" w:after="120"/>
        <w:ind w:left="851" w:right="902"/>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19</w:t>
      </w:r>
      <w:r w:rsidRPr="0086781A">
        <w:rPr>
          <w:rFonts w:ascii="Palatino Linotype" w:eastAsia="Palatino Linotype" w:hAnsi="Palatino Linotype" w:cs="Palatino Linotype"/>
          <w:i/>
          <w:color w:val="0D0D0D" w:themeColor="text1" w:themeTint="F2"/>
          <w:sz w:val="22"/>
          <w:szCs w:val="22"/>
        </w:rPr>
        <w:t>…</w:t>
      </w:r>
    </w:p>
    <w:p w14:paraId="1062C31C" w14:textId="77777777" w:rsidR="00F16734" w:rsidRPr="0086781A" w:rsidRDefault="00FB681D">
      <w:pPr>
        <w:pBdr>
          <w:top w:val="nil"/>
          <w:left w:val="nil"/>
          <w:bottom w:val="nil"/>
          <w:right w:val="nil"/>
          <w:between w:val="nil"/>
        </w:pBdr>
        <w:spacing w:before="120" w:after="120"/>
        <w:ind w:left="851" w:right="902"/>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En los casos en que ciertas facultades, competencias o funciones no se hayan ejercido, se debe motivar la respuesta en función de las causas que motiven tal circunstancia.”</w:t>
      </w:r>
    </w:p>
    <w:p w14:paraId="37E3BA1A" w14:textId="77777777" w:rsidR="00F16734" w:rsidRPr="0086781A" w:rsidRDefault="00FB681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otra parte, por cuanto hace al </w:t>
      </w:r>
      <w:proofErr w:type="gramStart"/>
      <w:r w:rsidRPr="0086781A">
        <w:rPr>
          <w:rFonts w:ascii="Palatino Linotype" w:eastAsia="Palatino Linotype" w:hAnsi="Palatino Linotype" w:cs="Palatino Linotype"/>
          <w:color w:val="0D0D0D" w:themeColor="text1" w:themeTint="F2"/>
        </w:rPr>
        <w:t>Director</w:t>
      </w:r>
      <w:proofErr w:type="gramEnd"/>
      <w:r w:rsidRPr="0086781A">
        <w:rPr>
          <w:rFonts w:ascii="Palatino Linotype" w:eastAsia="Palatino Linotype" w:hAnsi="Palatino Linotype" w:cs="Palatino Linotype"/>
          <w:color w:val="0D0D0D" w:themeColor="text1" w:themeTint="F2"/>
        </w:rPr>
        <w:t xml:space="preserve"> de este Instituto, el artículo 123 Bis de la Ley Orgánica Municipal del Estado de México, así como el artículo 13 del Reglamento Interno del IMCUFIDEZ, mandatan al titular de este organismo descentralizado, la presentación del título profesional, sirven de referencia las siguientes citas:  </w:t>
      </w:r>
    </w:p>
    <w:p w14:paraId="36674260" w14:textId="77777777" w:rsidR="00F16734" w:rsidRPr="0086781A" w:rsidRDefault="00FB681D">
      <w:pPr>
        <w:pBdr>
          <w:top w:val="nil"/>
          <w:left w:val="nil"/>
          <w:bottom w:val="nil"/>
          <w:right w:val="nil"/>
          <w:between w:val="nil"/>
        </w:pBdr>
        <w:tabs>
          <w:tab w:val="left" w:pos="426"/>
        </w:tabs>
        <w:spacing w:before="240" w:line="360" w:lineRule="auto"/>
        <w:ind w:left="567"/>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Ley Orgánica Municipal del Estado de México</w:t>
      </w:r>
    </w:p>
    <w:p w14:paraId="326A28EE"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“Artículo 123 </w:t>
      </w:r>
      <w:proofErr w:type="gramStart"/>
      <w:r w:rsidRPr="0086781A">
        <w:rPr>
          <w:rFonts w:ascii="Palatino Linotype" w:eastAsia="Palatino Linotype" w:hAnsi="Palatino Linotype" w:cs="Palatino Linotype"/>
          <w:i/>
          <w:color w:val="0D0D0D" w:themeColor="text1" w:themeTint="F2"/>
          <w:sz w:val="22"/>
          <w:szCs w:val="22"/>
        </w:rPr>
        <w:t>Bis.-</w:t>
      </w:r>
      <w:proofErr w:type="gramEnd"/>
      <w:r w:rsidRPr="0086781A">
        <w:rPr>
          <w:rFonts w:ascii="Palatino Linotype" w:eastAsia="Palatino Linotype" w:hAnsi="Palatino Linotype" w:cs="Palatino Linotype"/>
          <w:i/>
          <w:color w:val="0D0D0D" w:themeColor="text1" w:themeTint="F2"/>
          <w:sz w:val="22"/>
          <w:szCs w:val="22"/>
        </w:rPr>
        <w:t xml:space="preserve"> </w:t>
      </w:r>
      <w:r w:rsidRPr="0086781A">
        <w:rPr>
          <w:rFonts w:ascii="Palatino Linotype" w:eastAsia="Palatino Linotype" w:hAnsi="Palatino Linotype" w:cs="Palatino Linotype"/>
          <w:b/>
          <w:i/>
          <w:color w:val="0D0D0D" w:themeColor="text1" w:themeTint="F2"/>
          <w:sz w:val="22"/>
          <w:szCs w:val="22"/>
        </w:rPr>
        <w:t>La persona titular de los organismos públicos descentralizados en materia de cultura física y deporte</w:t>
      </w:r>
      <w:r w:rsidRPr="0086781A">
        <w:rPr>
          <w:rFonts w:ascii="Palatino Linotype" w:eastAsia="Palatino Linotype" w:hAnsi="Palatino Linotype" w:cs="Palatino Linotype"/>
          <w:i/>
          <w:color w:val="0D0D0D" w:themeColor="text1" w:themeTint="F2"/>
          <w:sz w:val="22"/>
          <w:szCs w:val="22"/>
        </w:rPr>
        <w:t xml:space="preserve">, a que se refiere el artículo anterior, además de los requisitos establecidos en el artículo 32 de esta Ley, preferentemente </w:t>
      </w:r>
      <w:r w:rsidRPr="0086781A">
        <w:rPr>
          <w:rFonts w:ascii="Palatino Linotype" w:eastAsia="Palatino Linotype" w:hAnsi="Palatino Linotype" w:cs="Palatino Linotype"/>
          <w:b/>
          <w:i/>
          <w:color w:val="0D0D0D" w:themeColor="text1" w:themeTint="F2"/>
          <w:sz w:val="22"/>
          <w:szCs w:val="22"/>
          <w:u w:val="single"/>
        </w:rPr>
        <w:t>deberá contar con título profesional en el área de educación física o disciplina afín.</w:t>
      </w:r>
      <w:r w:rsidRPr="0086781A">
        <w:rPr>
          <w:rFonts w:ascii="Palatino Linotype" w:eastAsia="Palatino Linotype" w:hAnsi="Palatino Linotype" w:cs="Palatino Linotype"/>
          <w:i/>
          <w:color w:val="0D0D0D" w:themeColor="text1" w:themeTint="F2"/>
          <w:sz w:val="22"/>
          <w:szCs w:val="22"/>
        </w:rPr>
        <w:t>”</w:t>
      </w:r>
    </w:p>
    <w:p w14:paraId="2DB0F3F3" w14:textId="77777777" w:rsidR="00F16734" w:rsidRPr="0086781A" w:rsidRDefault="00F16734">
      <w:pPr>
        <w:pBdr>
          <w:top w:val="nil"/>
          <w:left w:val="nil"/>
          <w:bottom w:val="nil"/>
          <w:right w:val="nil"/>
          <w:between w:val="nil"/>
        </w:pBdr>
        <w:tabs>
          <w:tab w:val="left" w:pos="426"/>
        </w:tabs>
        <w:spacing w:line="276" w:lineRule="auto"/>
        <w:ind w:left="567" w:right="851"/>
        <w:rPr>
          <w:rFonts w:ascii="Palatino Linotype" w:eastAsia="Palatino Linotype" w:hAnsi="Palatino Linotype" w:cs="Palatino Linotype"/>
          <w:i/>
          <w:color w:val="0D0D0D" w:themeColor="text1" w:themeTint="F2"/>
          <w:sz w:val="22"/>
          <w:szCs w:val="22"/>
        </w:rPr>
      </w:pPr>
    </w:p>
    <w:p w14:paraId="788B81AC" w14:textId="77777777" w:rsidR="00F16734" w:rsidRPr="0086781A" w:rsidRDefault="00FB681D">
      <w:pPr>
        <w:pBdr>
          <w:top w:val="nil"/>
          <w:left w:val="nil"/>
          <w:bottom w:val="nil"/>
          <w:right w:val="nil"/>
          <w:between w:val="nil"/>
        </w:pBdr>
        <w:tabs>
          <w:tab w:val="left" w:pos="426"/>
        </w:tabs>
        <w:spacing w:line="276" w:lineRule="auto"/>
        <w:ind w:left="567" w:right="851"/>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 xml:space="preserve">Reglamento Interno del IMCUFIDEZ: </w:t>
      </w:r>
    </w:p>
    <w:p w14:paraId="1AFA9FDE" w14:textId="77777777" w:rsidR="00F16734" w:rsidRPr="0086781A" w:rsidRDefault="00F16734">
      <w:pPr>
        <w:pBdr>
          <w:top w:val="nil"/>
          <w:left w:val="nil"/>
          <w:bottom w:val="nil"/>
          <w:right w:val="nil"/>
          <w:between w:val="nil"/>
        </w:pBdr>
        <w:tabs>
          <w:tab w:val="left" w:pos="426"/>
        </w:tabs>
        <w:spacing w:line="276" w:lineRule="auto"/>
        <w:ind w:left="567" w:right="851"/>
        <w:rPr>
          <w:rFonts w:ascii="Palatino Linotype" w:eastAsia="Palatino Linotype" w:hAnsi="Palatino Linotype" w:cs="Palatino Linotype"/>
          <w:b/>
          <w:color w:val="0D0D0D" w:themeColor="text1" w:themeTint="F2"/>
          <w:sz w:val="22"/>
          <w:szCs w:val="22"/>
        </w:rPr>
      </w:pPr>
    </w:p>
    <w:p w14:paraId="1BD3CF35"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13.- Para ocupar el cargo de director (a) del Instituto, deberá contar con los siguientes requisitos:</w:t>
      </w:r>
    </w:p>
    <w:p w14:paraId="27C0E9A4"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I. Ser mexicano (a) por nacimiento;</w:t>
      </w:r>
    </w:p>
    <w:p w14:paraId="2ECFF3B3"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II. Ser mayor de 22 años;</w:t>
      </w:r>
    </w:p>
    <w:p w14:paraId="7AC4D990"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b/>
          <w:i/>
          <w:color w:val="0D0D0D" w:themeColor="text1" w:themeTint="F2"/>
          <w:sz w:val="22"/>
          <w:szCs w:val="22"/>
          <w:u w:val="single"/>
        </w:rPr>
      </w:pPr>
      <w:r w:rsidRPr="0086781A">
        <w:rPr>
          <w:rFonts w:ascii="Palatino Linotype" w:eastAsia="Palatino Linotype" w:hAnsi="Palatino Linotype" w:cs="Palatino Linotype"/>
          <w:b/>
          <w:i/>
          <w:color w:val="0D0D0D" w:themeColor="text1" w:themeTint="F2"/>
          <w:sz w:val="22"/>
          <w:szCs w:val="22"/>
          <w:u w:val="single"/>
        </w:rPr>
        <w:t>III. Tener grado académico mínimo de carrera técnica, licenciatura y/o equivalente a esta;</w:t>
      </w:r>
    </w:p>
    <w:p w14:paraId="6CDB6AB6"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IV. Preferentemente, tener amplia experiencia en las unidades administrativas de cultura física y deporte;</w:t>
      </w:r>
    </w:p>
    <w:p w14:paraId="3899BCA2"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 Ser persona de amplia solvencia moral y de reconocido prestigio profesional; y</w:t>
      </w:r>
    </w:p>
    <w:p w14:paraId="7CE657B5" w14:textId="77777777" w:rsidR="00F16734" w:rsidRPr="0086781A" w:rsidRDefault="00FB681D">
      <w:pPr>
        <w:pBdr>
          <w:top w:val="nil"/>
          <w:left w:val="nil"/>
          <w:bottom w:val="nil"/>
          <w:right w:val="nil"/>
          <w:between w:val="nil"/>
        </w:pBdr>
        <w:tabs>
          <w:tab w:val="left" w:pos="426"/>
        </w:tabs>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 Las demás que, en su caso, señale el presente reglamento interno.”</w:t>
      </w:r>
    </w:p>
    <w:p w14:paraId="2BBFB82F" w14:textId="77777777" w:rsidR="00F16734" w:rsidRPr="0086781A" w:rsidRDefault="00F16734">
      <w:pPr>
        <w:pBdr>
          <w:top w:val="nil"/>
          <w:left w:val="nil"/>
          <w:bottom w:val="nil"/>
          <w:right w:val="nil"/>
          <w:between w:val="nil"/>
        </w:pBdr>
        <w:tabs>
          <w:tab w:val="left" w:pos="426"/>
        </w:tabs>
        <w:spacing w:line="276" w:lineRule="auto"/>
        <w:ind w:right="851"/>
        <w:jc w:val="both"/>
        <w:rPr>
          <w:rFonts w:ascii="Palatino Linotype" w:eastAsia="Palatino Linotype" w:hAnsi="Palatino Linotype" w:cs="Palatino Linotype"/>
          <w:i/>
          <w:color w:val="0D0D0D" w:themeColor="text1" w:themeTint="F2"/>
        </w:rPr>
      </w:pPr>
    </w:p>
    <w:p w14:paraId="7509BF9C" w14:textId="77777777" w:rsidR="00F16734" w:rsidRPr="0086781A" w:rsidRDefault="00FB681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 por lo anterior que este Organismo Garante considera que el título profesional del </w:t>
      </w:r>
      <w:proofErr w:type="gramStart"/>
      <w:r w:rsidRPr="0086781A">
        <w:rPr>
          <w:rFonts w:ascii="Palatino Linotype" w:eastAsia="Palatino Linotype" w:hAnsi="Palatino Linotype" w:cs="Palatino Linotype"/>
          <w:color w:val="0D0D0D" w:themeColor="text1" w:themeTint="F2"/>
        </w:rPr>
        <w:t>Director</w:t>
      </w:r>
      <w:proofErr w:type="gramEnd"/>
      <w:r w:rsidRPr="0086781A">
        <w:rPr>
          <w:rFonts w:ascii="Palatino Linotype" w:eastAsia="Palatino Linotype" w:hAnsi="Palatino Linotype" w:cs="Palatino Linotype"/>
          <w:color w:val="0D0D0D" w:themeColor="text1" w:themeTint="F2"/>
        </w:rPr>
        <w:t xml:space="preserve"> del Instituto Municipal de Cultura Física y Deporte de Zinacantepec debe obrar en los archivos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y por ende, es procedente ordenar su entrega. </w:t>
      </w:r>
    </w:p>
    <w:p w14:paraId="1208AA07"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716F86D0" w14:textId="77777777" w:rsidR="00F16734" w:rsidRPr="0086781A" w:rsidRDefault="00FB681D">
      <w:pPr>
        <w:numPr>
          <w:ilvl w:val="0"/>
          <w:numId w:val="1"/>
        </w:numPr>
        <w:pBdr>
          <w:top w:val="nil"/>
          <w:left w:val="nil"/>
          <w:bottom w:val="nil"/>
          <w:right w:val="nil"/>
          <w:between w:val="nil"/>
        </w:pBdr>
        <w:spacing w:line="360" w:lineRule="auto"/>
        <w:ind w:left="0" w:hanging="142"/>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De los recibos de nómina</w:t>
      </w:r>
    </w:p>
    <w:p w14:paraId="5E93C336"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65B4CCF3" w14:textId="77777777" w:rsidR="00F16734" w:rsidRPr="0086781A" w:rsidRDefault="00FB681D">
      <w:pPr>
        <w:spacing w:line="360" w:lineRule="auto"/>
        <w:jc w:val="both"/>
        <w:rPr>
          <w:rFonts w:ascii="Palatino Linotype" w:eastAsia="Palatino Linotype" w:hAnsi="Palatino Linotype" w:cs="Palatino Linotype"/>
          <w:i/>
          <w:color w:val="0D0D0D" w:themeColor="text1" w:themeTint="F2"/>
        </w:rPr>
      </w:pPr>
      <w:r w:rsidRPr="0086781A">
        <w:rPr>
          <w:rFonts w:ascii="Palatino Linotype" w:eastAsia="Palatino Linotype" w:hAnsi="Palatino Linotype" w:cs="Palatino Linotype"/>
          <w:color w:val="0D0D0D" w:themeColor="text1" w:themeTint="F2"/>
        </w:rPr>
        <w:t>En primera instancia, sobre la naturaleza de la información solicitada, conviene precisar que si bien el término “</w:t>
      </w:r>
      <w:r w:rsidRPr="0086781A">
        <w:rPr>
          <w:rFonts w:ascii="Palatino Linotype" w:eastAsia="Palatino Linotype" w:hAnsi="Palatino Linotype" w:cs="Palatino Linotype"/>
          <w:i/>
          <w:color w:val="0D0D0D" w:themeColor="text1" w:themeTint="F2"/>
        </w:rPr>
        <w:t xml:space="preserve">nómina” </w:t>
      </w:r>
      <w:r w:rsidRPr="0086781A">
        <w:rPr>
          <w:rFonts w:ascii="Palatino Linotype" w:eastAsia="Palatino Linotype" w:hAnsi="Palatino Linotype" w:cs="Palatino Linotype"/>
          <w:color w:val="0D0D0D" w:themeColor="text1" w:themeTint="F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86781A">
        <w:rPr>
          <w:rFonts w:ascii="Palatino Linotype" w:eastAsia="Palatino Linotype" w:hAnsi="Palatino Linotype" w:cs="Palatino Linotype"/>
          <w:i/>
          <w:color w:val="0D0D0D" w:themeColor="text1" w:themeTint="F2"/>
        </w:rPr>
        <w:t>listado general de los trabajadores de una institución, en</w:t>
      </w:r>
      <w:r w:rsidRPr="0086781A">
        <w:rPr>
          <w:rFonts w:ascii="Palatino Linotype" w:eastAsia="Palatino Linotype" w:hAnsi="Palatino Linotype" w:cs="Palatino Linotype"/>
          <w:b/>
          <w:i/>
          <w:color w:val="0D0D0D" w:themeColor="text1" w:themeTint="F2"/>
        </w:rPr>
        <w:t xml:space="preserve"> </w:t>
      </w:r>
      <w:r w:rsidRPr="0086781A">
        <w:rPr>
          <w:rFonts w:ascii="Palatino Linotype" w:eastAsia="Palatino Linotype" w:hAnsi="Palatino Linotype" w:cs="Palatino Linotype"/>
          <w:i/>
          <w:color w:val="0D0D0D" w:themeColor="text1" w:themeTint="F2"/>
        </w:rPr>
        <w:t xml:space="preserve">el cual se </w:t>
      </w:r>
      <w:r w:rsidRPr="0086781A">
        <w:rPr>
          <w:rFonts w:ascii="Palatino Linotype" w:eastAsia="Palatino Linotype" w:hAnsi="Palatino Linotype" w:cs="Palatino Linotype"/>
          <w:b/>
          <w:i/>
          <w:color w:val="0D0D0D" w:themeColor="text1" w:themeTint="F2"/>
        </w:rPr>
        <w:t xml:space="preserve">asientan las </w:t>
      </w:r>
      <w:r w:rsidRPr="0086781A">
        <w:rPr>
          <w:rFonts w:ascii="Palatino Linotype" w:eastAsia="Palatino Linotype" w:hAnsi="Palatino Linotype" w:cs="Palatino Linotype"/>
          <w:b/>
          <w:i/>
          <w:color w:val="0D0D0D" w:themeColor="text1" w:themeTint="F2"/>
          <w:u w:val="single"/>
        </w:rPr>
        <w:t>percepciones brutas, deducciones y alcance neto de las mismas</w:t>
      </w:r>
      <w:r w:rsidRPr="0086781A">
        <w:rPr>
          <w:rFonts w:ascii="Palatino Linotype" w:eastAsia="Palatino Linotype" w:hAnsi="Palatino Linotype" w:cs="Palatino Linotype"/>
          <w:i/>
          <w:color w:val="0D0D0D" w:themeColor="text1" w:themeTint="F2"/>
        </w:rPr>
        <w:t>; la nómina es utilizada para</w:t>
      </w:r>
      <w:r w:rsidRPr="0086781A">
        <w:rPr>
          <w:rFonts w:ascii="Palatino Linotype" w:eastAsia="Palatino Linotype" w:hAnsi="Palatino Linotype" w:cs="Palatino Linotype"/>
          <w:b/>
          <w:i/>
          <w:color w:val="0D0D0D" w:themeColor="text1" w:themeTint="F2"/>
        </w:rPr>
        <w:t xml:space="preserve"> efectuar los pagos periódicos</w:t>
      </w:r>
      <w:r w:rsidRPr="0086781A">
        <w:rPr>
          <w:rFonts w:ascii="Palatino Linotype" w:eastAsia="Palatino Linotype" w:hAnsi="Palatino Linotype" w:cs="Palatino Linotype"/>
          <w:i/>
          <w:color w:val="0D0D0D" w:themeColor="text1" w:themeTint="F2"/>
        </w:rPr>
        <w:t xml:space="preserve"> (semanales, quincenales o</w:t>
      </w:r>
      <w:r w:rsidRPr="0086781A">
        <w:rPr>
          <w:rFonts w:ascii="Palatino Linotype" w:eastAsia="Palatino Linotype" w:hAnsi="Palatino Linotype" w:cs="Palatino Linotype"/>
          <w:b/>
          <w:i/>
          <w:color w:val="0D0D0D" w:themeColor="text1" w:themeTint="F2"/>
        </w:rPr>
        <w:t xml:space="preserve"> </w:t>
      </w:r>
      <w:r w:rsidRPr="0086781A">
        <w:rPr>
          <w:rFonts w:ascii="Palatino Linotype" w:eastAsia="Palatino Linotype" w:hAnsi="Palatino Linotype" w:cs="Palatino Linotype"/>
          <w:i/>
          <w:color w:val="0D0D0D" w:themeColor="text1" w:themeTint="F2"/>
        </w:rPr>
        <w:t xml:space="preserve">mensuales) a los trabajadores por concepto de </w:t>
      </w:r>
      <w:r w:rsidRPr="0086781A">
        <w:rPr>
          <w:rFonts w:ascii="Palatino Linotype" w:eastAsia="Palatino Linotype" w:hAnsi="Palatino Linotype" w:cs="Palatino Linotype"/>
          <w:b/>
          <w:i/>
          <w:color w:val="0D0D0D" w:themeColor="text1" w:themeTint="F2"/>
        </w:rPr>
        <w:t>sueldos y salarios</w:t>
      </w:r>
      <w:r w:rsidRPr="0086781A">
        <w:rPr>
          <w:rFonts w:ascii="Palatino Linotype" w:eastAsia="Palatino Linotype" w:hAnsi="Palatino Linotype" w:cs="Palatino Linotype"/>
          <w:i/>
          <w:color w:val="0D0D0D" w:themeColor="text1" w:themeTint="F2"/>
        </w:rPr>
        <w:t>.</w:t>
      </w:r>
    </w:p>
    <w:p w14:paraId="64277A6A" w14:textId="77777777" w:rsidR="00F16734" w:rsidRPr="0086781A" w:rsidRDefault="00FB681D">
      <w:pPr>
        <w:spacing w:before="240" w:after="36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5990232D" w14:textId="77777777" w:rsidR="00F16734" w:rsidRPr="0086781A" w:rsidRDefault="00FB681D">
      <w:pPr>
        <w:spacing w:after="160" w:line="259" w:lineRule="auto"/>
        <w:ind w:left="851" w:right="84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 “</w:t>
      </w:r>
      <w:r w:rsidRPr="0086781A">
        <w:rPr>
          <w:rFonts w:ascii="Palatino Linotype" w:eastAsia="Palatino Linotype" w:hAnsi="Palatino Linotype" w:cs="Palatino Linotype"/>
          <w:b/>
          <w:i/>
          <w:color w:val="0D0D0D" w:themeColor="text1" w:themeTint="F2"/>
          <w:sz w:val="22"/>
          <w:szCs w:val="22"/>
        </w:rPr>
        <w:t>Artículo 350.-</w:t>
      </w:r>
      <w:r w:rsidRPr="0086781A">
        <w:rPr>
          <w:rFonts w:ascii="Palatino Linotype" w:eastAsia="Palatino Linotype" w:hAnsi="Palatino Linotype" w:cs="Palatino Linotype"/>
          <w:i/>
          <w:color w:val="0D0D0D" w:themeColor="text1" w:themeTint="F2"/>
          <w:sz w:val="22"/>
          <w:szCs w:val="22"/>
        </w:rPr>
        <w:t xml:space="preserve"> La Secretaría y </w:t>
      </w:r>
      <w:r w:rsidRPr="0086781A">
        <w:rPr>
          <w:rFonts w:ascii="Palatino Linotype" w:eastAsia="Palatino Linotype" w:hAnsi="Palatino Linotype" w:cs="Palatino Linotype"/>
          <w:b/>
          <w:i/>
          <w:color w:val="0D0D0D" w:themeColor="text1" w:themeTint="F2"/>
          <w:sz w:val="22"/>
          <w:szCs w:val="22"/>
        </w:rPr>
        <w:t>las tesorerías</w:t>
      </w:r>
      <w:r w:rsidRPr="0086781A">
        <w:rPr>
          <w:rFonts w:ascii="Palatino Linotype" w:eastAsia="Palatino Linotype" w:hAnsi="Palatino Linotype" w:cs="Palatino Linotype"/>
          <w:i/>
          <w:color w:val="0D0D0D" w:themeColor="text1" w:themeTint="F2"/>
          <w:sz w:val="22"/>
          <w:szCs w:val="22"/>
        </w:rPr>
        <w:t xml:space="preserve"> enviarán al Órgano Superior, de manera trimestral, dentro de los primeros veinte días hábiles posteriores al término del trimestre que se informa, para su análisis, la siguiente información:</w:t>
      </w:r>
    </w:p>
    <w:p w14:paraId="09A25A0E" w14:textId="77777777" w:rsidR="00F16734" w:rsidRPr="0086781A" w:rsidRDefault="00FB681D">
      <w:pPr>
        <w:spacing w:after="160" w:line="259" w:lineRule="auto"/>
        <w:ind w:left="1134" w:right="84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w:t>
      </w:r>
      <w:r w:rsidRPr="0086781A">
        <w:rPr>
          <w:rFonts w:ascii="Palatino Linotype" w:eastAsia="Palatino Linotype" w:hAnsi="Palatino Linotype" w:cs="Palatino Linotype"/>
          <w:i/>
          <w:color w:val="0D0D0D" w:themeColor="text1" w:themeTint="F2"/>
          <w:sz w:val="22"/>
          <w:szCs w:val="22"/>
        </w:rPr>
        <w:t xml:space="preserve"> Patrimonial. </w:t>
      </w:r>
    </w:p>
    <w:p w14:paraId="3465835C" w14:textId="77777777" w:rsidR="00F16734" w:rsidRPr="0086781A" w:rsidRDefault="00FB681D">
      <w:pPr>
        <w:spacing w:after="160" w:line="259" w:lineRule="auto"/>
        <w:ind w:left="1134" w:right="84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II</w:t>
      </w:r>
      <w:r w:rsidRPr="0086781A">
        <w:rPr>
          <w:rFonts w:ascii="Palatino Linotype" w:eastAsia="Palatino Linotype" w:hAnsi="Palatino Linotype" w:cs="Palatino Linotype"/>
          <w:i/>
          <w:color w:val="0D0D0D" w:themeColor="text1" w:themeTint="F2"/>
          <w:sz w:val="22"/>
          <w:szCs w:val="22"/>
        </w:rPr>
        <w:t xml:space="preserve">. Presupuestal. </w:t>
      </w:r>
    </w:p>
    <w:p w14:paraId="356D23B5" w14:textId="77777777" w:rsidR="00F16734" w:rsidRPr="0086781A" w:rsidRDefault="00FB681D">
      <w:pPr>
        <w:spacing w:after="160" w:line="259" w:lineRule="auto"/>
        <w:ind w:left="1134" w:right="84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III</w:t>
      </w:r>
      <w:r w:rsidRPr="0086781A">
        <w:rPr>
          <w:rFonts w:ascii="Palatino Linotype" w:eastAsia="Palatino Linotype" w:hAnsi="Palatino Linotype" w:cs="Palatino Linotype"/>
          <w:i/>
          <w:color w:val="0D0D0D" w:themeColor="text1" w:themeTint="F2"/>
          <w:sz w:val="22"/>
          <w:szCs w:val="22"/>
        </w:rPr>
        <w:t>. De la obra pública.</w:t>
      </w:r>
    </w:p>
    <w:p w14:paraId="36FFB4F1" w14:textId="77777777" w:rsidR="00F16734" w:rsidRPr="0086781A" w:rsidRDefault="00FB681D">
      <w:pPr>
        <w:spacing w:after="160" w:line="259" w:lineRule="auto"/>
        <w:ind w:left="1134" w:right="849"/>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IV. De nómina.</w:t>
      </w:r>
    </w:p>
    <w:p w14:paraId="0ACD4165" w14:textId="77777777" w:rsidR="00F16734" w:rsidRPr="0086781A" w:rsidRDefault="00FB681D">
      <w:pPr>
        <w:spacing w:after="160" w:line="259" w:lineRule="auto"/>
        <w:ind w:left="1134" w:right="84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V</w:t>
      </w:r>
      <w:r w:rsidRPr="0086781A">
        <w:rPr>
          <w:rFonts w:ascii="Palatino Linotype" w:eastAsia="Palatino Linotype" w:hAnsi="Palatino Linotype" w:cs="Palatino Linotype"/>
          <w:i/>
          <w:color w:val="0D0D0D" w:themeColor="text1" w:themeTint="F2"/>
          <w:sz w:val="22"/>
          <w:szCs w:val="22"/>
        </w:rPr>
        <w:t xml:space="preserve">. Avance del cumplimiento del Plan de Desarrollo del Estado de México. </w:t>
      </w:r>
    </w:p>
    <w:p w14:paraId="7F5269DF" w14:textId="77777777" w:rsidR="00F16734" w:rsidRPr="0086781A" w:rsidRDefault="00FB681D">
      <w:pPr>
        <w:spacing w:after="160" w:line="259" w:lineRule="auto"/>
        <w:ind w:left="851" w:right="84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17B49A55" w14:textId="77777777" w:rsidR="00F16734" w:rsidRPr="0086781A" w:rsidRDefault="00FB681D">
      <w:pPr>
        <w:spacing w:after="160" w:line="259" w:lineRule="auto"/>
        <w:ind w:left="851" w:right="849"/>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El informe trimestral correspondiente al cuarto trimestre se entregará junto con las Cuentas Públicas del ejercicio fiscal de que se trate</w:t>
      </w:r>
      <w:r w:rsidRPr="0086781A">
        <w:rPr>
          <w:rFonts w:ascii="Palatino Linotype" w:eastAsia="Palatino Linotype" w:hAnsi="Palatino Linotype" w:cs="Palatino Linotype"/>
          <w:b/>
          <w:i/>
          <w:color w:val="0D0D0D" w:themeColor="text1" w:themeTint="F2"/>
          <w:sz w:val="22"/>
          <w:szCs w:val="22"/>
        </w:rPr>
        <w:t>.”</w:t>
      </w:r>
    </w:p>
    <w:p w14:paraId="06916E59" w14:textId="77777777" w:rsidR="00F16734" w:rsidRPr="0086781A" w:rsidRDefault="00FB681D">
      <w:pPr>
        <w:spacing w:before="240" w:after="36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Por su parte la Ley del Trabajo de los Servidores Públicos del Estado y Municipios, en su artículo 220-K fracciones II y IV y último párrafo, establecen lo siguiente:</w:t>
      </w:r>
    </w:p>
    <w:p w14:paraId="1442FA0B" w14:textId="77777777" w:rsidR="00F16734" w:rsidRPr="0086781A" w:rsidRDefault="00FB681D">
      <w:pPr>
        <w:tabs>
          <w:tab w:val="left" w:pos="9072"/>
        </w:tabs>
        <w:spacing w:after="16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220 K.-</w:t>
      </w:r>
      <w:r w:rsidRPr="0086781A">
        <w:rPr>
          <w:rFonts w:ascii="Palatino Linotype" w:eastAsia="Palatino Linotype" w:hAnsi="Palatino Linotype" w:cs="Palatino Linotype"/>
          <w:i/>
          <w:color w:val="0D0D0D" w:themeColor="text1" w:themeTint="F2"/>
          <w:sz w:val="22"/>
          <w:szCs w:val="22"/>
        </w:rPr>
        <w:t xml:space="preserve"> La institución o dependencia pública tiene la obligación de conservar y exhibir en el proceso los documentos que a continuación se precisan:</w:t>
      </w:r>
    </w:p>
    <w:p w14:paraId="687F23D4" w14:textId="77777777" w:rsidR="00F16734" w:rsidRPr="0086781A" w:rsidRDefault="00FB681D">
      <w:pPr>
        <w:tabs>
          <w:tab w:val="left" w:pos="9072"/>
        </w:tabs>
        <w:spacing w:after="16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708E5FD1" w14:textId="77777777" w:rsidR="00F16734" w:rsidRPr="0086781A" w:rsidRDefault="00FB681D">
      <w:pPr>
        <w:tabs>
          <w:tab w:val="left" w:pos="9072"/>
        </w:tabs>
        <w:spacing w:after="16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 xml:space="preserve">II. </w:t>
      </w:r>
      <w:r w:rsidRPr="0086781A">
        <w:rPr>
          <w:rFonts w:ascii="Palatino Linotype" w:eastAsia="Palatino Linotype" w:hAnsi="Palatino Linotype" w:cs="Palatino Linotype"/>
          <w:b/>
          <w:i/>
          <w:color w:val="0D0D0D" w:themeColor="text1" w:themeTint="F2"/>
          <w:sz w:val="22"/>
          <w:szCs w:val="22"/>
        </w:rPr>
        <w:t>Recibos de pagos de salarios</w:t>
      </w:r>
      <w:r w:rsidRPr="0086781A">
        <w:rPr>
          <w:rFonts w:ascii="Palatino Linotype" w:eastAsia="Palatino Linotype" w:hAnsi="Palatino Linotype" w:cs="Palatino Linotype"/>
          <w:i/>
          <w:color w:val="0D0D0D" w:themeColor="text1" w:themeTint="F2"/>
          <w:sz w:val="22"/>
          <w:szCs w:val="22"/>
        </w:rPr>
        <w:t xml:space="preserve"> o las constancias documentales del pago de salario cuando sea por depósito o mediante información electrónica;</w:t>
      </w:r>
    </w:p>
    <w:p w14:paraId="20FED308" w14:textId="77777777" w:rsidR="00F16734" w:rsidRPr="0086781A" w:rsidRDefault="00FB681D">
      <w:pPr>
        <w:tabs>
          <w:tab w:val="left" w:pos="9072"/>
        </w:tabs>
        <w:spacing w:after="16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6AF2A85B" w14:textId="77777777" w:rsidR="00F16734" w:rsidRPr="0086781A" w:rsidRDefault="00F16734">
      <w:pPr>
        <w:tabs>
          <w:tab w:val="left" w:pos="9072"/>
        </w:tabs>
        <w:spacing w:after="160" w:line="259" w:lineRule="auto"/>
        <w:ind w:left="1134" w:right="902"/>
        <w:jc w:val="both"/>
        <w:rPr>
          <w:rFonts w:ascii="Palatino Linotype" w:eastAsia="Palatino Linotype" w:hAnsi="Palatino Linotype" w:cs="Palatino Linotype"/>
          <w:i/>
          <w:color w:val="0D0D0D" w:themeColor="text1" w:themeTint="F2"/>
          <w:sz w:val="22"/>
          <w:szCs w:val="22"/>
        </w:rPr>
      </w:pPr>
    </w:p>
    <w:p w14:paraId="7A318BB6" w14:textId="77777777" w:rsidR="00F16734" w:rsidRPr="0086781A" w:rsidRDefault="00FB681D">
      <w:pPr>
        <w:tabs>
          <w:tab w:val="left" w:pos="9072"/>
        </w:tabs>
        <w:spacing w:after="16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IV. Recibos o las constancias de depósito o del medio de información magnética o electrónica que sean utilizadas para el pago de salarios, prima vacacional, aguinaldo y demás prestaciones establecidas en la presente ley; y…</w:t>
      </w:r>
    </w:p>
    <w:p w14:paraId="59C9D19B" w14:textId="77777777" w:rsidR="00F16734" w:rsidRPr="0086781A" w:rsidRDefault="00FB681D">
      <w:pPr>
        <w:tabs>
          <w:tab w:val="left" w:pos="9072"/>
        </w:tabs>
        <w:spacing w:after="16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E7B1754" w14:textId="77777777" w:rsidR="00F16734" w:rsidRPr="0086781A" w:rsidRDefault="00FB681D">
      <w:pPr>
        <w:tabs>
          <w:tab w:val="left" w:pos="9072"/>
        </w:tabs>
        <w:spacing w:after="16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33ABA32" w14:textId="77777777" w:rsidR="00F16734" w:rsidRPr="0086781A" w:rsidRDefault="00FB681D">
      <w:pPr>
        <w:tabs>
          <w:tab w:val="left" w:pos="9072"/>
        </w:tabs>
        <w:spacing w:after="16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3F05F159" w14:textId="77777777" w:rsidR="00F16734" w:rsidRPr="0086781A" w:rsidRDefault="00FB681D">
      <w:pPr>
        <w:spacing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El incumplimiento por lo dispuesto por este artículo, establecerá la presunción de ser ciertos los hechos que el actor exprese en su demanda, en relación con tales documentos, salvo prueba en contrario.”</w:t>
      </w:r>
    </w:p>
    <w:p w14:paraId="6208AD5C" w14:textId="77777777" w:rsidR="00F16734" w:rsidRPr="0086781A" w:rsidRDefault="00FB681D">
      <w:pPr>
        <w:spacing w:before="12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Sobre la base del precepto legal citado, se advierte que </w:t>
      </w:r>
      <w:r w:rsidRPr="0086781A">
        <w:rPr>
          <w:rFonts w:ascii="Palatino Linotype" w:eastAsia="Palatino Linotype" w:hAnsi="Palatino Linotype" w:cs="Palatino Linotype"/>
          <w:i/>
          <w:color w:val="0D0D0D" w:themeColor="text1" w:themeTint="F2"/>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86781A">
        <w:rPr>
          <w:rFonts w:ascii="Palatino Linotype" w:eastAsia="Palatino Linotype" w:hAnsi="Palatino Linotype" w:cs="Palatino Linotype"/>
          <w:color w:val="0D0D0D" w:themeColor="text1" w:themeTint="F2"/>
        </w:rPr>
        <w:t>.</w:t>
      </w:r>
    </w:p>
    <w:p w14:paraId="01EF8DF3"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5E25497D"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Por tanto, los </w:t>
      </w:r>
      <w:r w:rsidRPr="0086781A">
        <w:rPr>
          <w:rFonts w:ascii="Palatino Linotype" w:eastAsia="Palatino Linotype" w:hAnsi="Palatino Linotype" w:cs="Palatino Linotype"/>
          <w:i/>
          <w:color w:val="0D0D0D" w:themeColor="text1" w:themeTint="F2"/>
        </w:rPr>
        <w:t xml:space="preserve">recibos de nómina o comprobantes digitales por concepto de nómina </w:t>
      </w:r>
      <w:r w:rsidRPr="0086781A">
        <w:rPr>
          <w:rFonts w:ascii="Palatino Linotype" w:eastAsia="Palatino Linotype" w:hAnsi="Palatino Linotype" w:cs="Palatino Linotype"/>
          <w:color w:val="0D0D0D" w:themeColor="text1" w:themeTint="F2"/>
        </w:rPr>
        <w:t>tienen como objetivo presentar la información del pago de las remuneraciones de cada uno de los servidores públicos de la entidad fiscalizable de que se trate correspondiente a un periodo determinado.</w:t>
      </w:r>
    </w:p>
    <w:p w14:paraId="578132AD"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28207C5"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2170B9C7"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7C93DD62"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8.-</w:t>
      </w:r>
      <w:r w:rsidRPr="0086781A">
        <w:rPr>
          <w:rFonts w:ascii="Palatino Linotype" w:eastAsia="Palatino Linotype" w:hAnsi="Palatino Linotype" w:cs="Palatino Linotype"/>
          <w:i/>
          <w:color w:val="0D0D0D" w:themeColor="text1" w:themeTint="F2"/>
          <w:sz w:val="22"/>
          <w:szCs w:val="22"/>
        </w:rPr>
        <w:t xml:space="preserve"> El </w:t>
      </w:r>
      <w:r w:rsidRPr="0086781A">
        <w:rPr>
          <w:rFonts w:ascii="Palatino Linotype" w:eastAsia="Palatino Linotype" w:hAnsi="Palatino Linotype" w:cs="Palatino Linotype"/>
          <w:b/>
          <w:i/>
          <w:color w:val="0D0D0D" w:themeColor="text1" w:themeTint="F2"/>
          <w:sz w:val="22"/>
          <w:szCs w:val="22"/>
        </w:rPr>
        <w:t>Órgano Superior</w:t>
      </w:r>
      <w:r w:rsidRPr="0086781A">
        <w:rPr>
          <w:rFonts w:ascii="Palatino Linotype" w:eastAsia="Palatino Linotype" w:hAnsi="Palatino Linotype" w:cs="Palatino Linotype"/>
          <w:i/>
          <w:color w:val="0D0D0D" w:themeColor="text1" w:themeTint="F2"/>
          <w:sz w:val="22"/>
          <w:szCs w:val="22"/>
        </w:rPr>
        <w:t xml:space="preserve"> tendrá las siguientes atribuciones:</w:t>
      </w:r>
    </w:p>
    <w:p w14:paraId="4FA0ED7D"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6BC3BC09"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XI</w:t>
      </w:r>
      <w:r w:rsidRPr="0086781A">
        <w:rPr>
          <w:rFonts w:ascii="Palatino Linotype" w:eastAsia="Palatino Linotype" w:hAnsi="Palatino Linotype" w:cs="Palatino Linotype"/>
          <w:i/>
          <w:color w:val="0D0D0D" w:themeColor="text1" w:themeTint="F2"/>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F118720" w14:textId="77777777" w:rsidR="00F16734" w:rsidRPr="0086781A" w:rsidRDefault="00F16734">
      <w:pPr>
        <w:spacing w:line="276" w:lineRule="auto"/>
        <w:ind w:left="1134" w:right="902"/>
        <w:jc w:val="both"/>
        <w:rPr>
          <w:rFonts w:ascii="Palatino Linotype" w:eastAsia="Palatino Linotype" w:hAnsi="Palatino Linotype" w:cs="Palatino Linotype"/>
          <w:i/>
          <w:color w:val="0D0D0D" w:themeColor="text1" w:themeTint="F2"/>
          <w:sz w:val="22"/>
          <w:szCs w:val="22"/>
        </w:rPr>
      </w:pPr>
    </w:p>
    <w:p w14:paraId="6E79B927"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w:t>
      </w:r>
      <w:r w:rsidRPr="0086781A">
        <w:rPr>
          <w:rFonts w:ascii="Palatino Linotype" w:eastAsia="Palatino Linotype" w:hAnsi="Palatino Linotype" w:cs="Palatino Linotype"/>
          <w:color w:val="0D0D0D" w:themeColor="text1" w:themeTint="F2"/>
        </w:rPr>
        <w:lastRenderedPageBreak/>
        <w:t>correspondiente de acuerdo a lo establecido en el artículo 350 del Código Financiero del Estado de México citado con antelación.</w:t>
      </w:r>
    </w:p>
    <w:p w14:paraId="4EC107E6" w14:textId="77777777" w:rsidR="00F16734" w:rsidRPr="0086781A" w:rsidRDefault="00F16734">
      <w:pPr>
        <w:spacing w:line="360" w:lineRule="auto"/>
        <w:jc w:val="both"/>
        <w:rPr>
          <w:rFonts w:ascii="Palatino Linotype" w:eastAsia="Palatino Linotype" w:hAnsi="Palatino Linotype" w:cs="Palatino Linotype"/>
          <w:i/>
          <w:color w:val="0D0D0D" w:themeColor="text1" w:themeTint="F2"/>
        </w:rPr>
      </w:pPr>
    </w:p>
    <w:p w14:paraId="5E58F0C6"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1519BD31"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77BAB70" w14:textId="77777777" w:rsidR="00F16734" w:rsidRPr="0086781A" w:rsidRDefault="00FB681D">
      <w:pPr>
        <w:spacing w:after="8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86781A">
        <w:rPr>
          <w:rFonts w:ascii="Palatino Linotype" w:eastAsia="Palatino Linotype" w:hAnsi="Palatino Linotype" w:cs="Palatino Linotype"/>
          <w:color w:val="0D0D0D" w:themeColor="text1" w:themeTint="F2"/>
          <w:vertAlign w:val="superscript"/>
        </w:rPr>
        <w:footnoteReference w:id="3"/>
      </w:r>
      <w:r w:rsidRPr="0086781A">
        <w:rPr>
          <w:rFonts w:ascii="Palatino Linotype" w:eastAsia="Palatino Linotype" w:hAnsi="Palatino Linotype" w:cs="Palatino Linotype"/>
          <w:color w:val="0D0D0D" w:themeColor="text1" w:themeTint="F2"/>
        </w:rPr>
        <w:t>, con la finalidad de definir los criterios, los formatos y la documentación necesaria para presentar los informes trimestrales, que deben ser entregados a través de cuatro módulos, que contienen la siguiente información:</w:t>
      </w:r>
    </w:p>
    <w:p w14:paraId="7E6CA8B9" w14:textId="77777777" w:rsidR="00F16734" w:rsidRPr="0086781A" w:rsidRDefault="00FB681D">
      <w:pPr>
        <w:spacing w:before="80" w:after="160" w:line="360" w:lineRule="auto"/>
        <w:ind w:right="49"/>
        <w:jc w:val="center"/>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lastRenderedPageBreak/>
        <w:drawing>
          <wp:inline distT="0" distB="0" distL="0" distR="0" wp14:anchorId="24D48928" wp14:editId="089E773C">
            <wp:extent cx="5610225" cy="2324100"/>
            <wp:effectExtent l="0" t="0" r="0" b="0"/>
            <wp:docPr id="1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610225" cy="2324100"/>
                    </a:xfrm>
                    <a:prstGeom prst="rect">
                      <a:avLst/>
                    </a:prstGeom>
                    <a:ln/>
                  </pic:spPr>
                </pic:pic>
              </a:graphicData>
            </a:graphic>
          </wp:inline>
        </w:drawing>
      </w:r>
    </w:p>
    <w:p w14:paraId="2991B486" w14:textId="77777777" w:rsidR="00F16734" w:rsidRPr="0086781A" w:rsidRDefault="00FB681D">
      <w:pPr>
        <w:spacing w:before="240" w:after="160" w:line="360" w:lineRule="auto"/>
        <w:ind w:right="49"/>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 xml:space="preserve">La información que con motivo de la nómina genera el </w:t>
      </w:r>
      <w:r w:rsidRPr="0086781A">
        <w:rPr>
          <w:rFonts w:ascii="Palatino Linotype" w:eastAsia="Palatino Linotype" w:hAnsi="Palatino Linotype" w:cs="Palatino Linotype"/>
          <w:b/>
          <w:color w:val="0D0D0D" w:themeColor="text1" w:themeTint="F2"/>
          <w:sz w:val="22"/>
          <w:szCs w:val="22"/>
        </w:rPr>
        <w:t>Sujeto Obligado</w:t>
      </w:r>
      <w:r w:rsidRPr="0086781A">
        <w:rPr>
          <w:rFonts w:ascii="Palatino Linotype" w:eastAsia="Palatino Linotype" w:hAnsi="Palatino Linotype" w:cs="Palatino Linotype"/>
          <w:color w:val="0D0D0D" w:themeColor="text1" w:themeTint="F2"/>
          <w:sz w:val="22"/>
          <w:szCs w:val="22"/>
        </w:rPr>
        <w:t>, se encuentra contenida en el Módulo 4 Información administrativa, Submódulo Nómina y Comprobantes Fiscales, como se muestra a continuación:</w:t>
      </w:r>
    </w:p>
    <w:p w14:paraId="55C74122" w14:textId="77777777" w:rsidR="00F16734" w:rsidRPr="0086781A" w:rsidRDefault="00FB681D">
      <w:pPr>
        <w:spacing w:before="240" w:after="160" w:line="360" w:lineRule="auto"/>
        <w:ind w:right="49"/>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noProof/>
          <w:color w:val="0D0D0D" w:themeColor="text1" w:themeTint="F2"/>
          <w:sz w:val="22"/>
          <w:szCs w:val="22"/>
          <w:lang w:eastAsia="es-MX"/>
        </w:rPr>
        <w:drawing>
          <wp:inline distT="0" distB="0" distL="0" distR="0" wp14:anchorId="4250F903" wp14:editId="376DB51E">
            <wp:extent cx="5610225" cy="2495550"/>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610225" cy="2495550"/>
                    </a:xfrm>
                    <a:prstGeom prst="rect">
                      <a:avLst/>
                    </a:prstGeom>
                    <a:ln/>
                  </pic:spPr>
                </pic:pic>
              </a:graphicData>
            </a:graphic>
          </wp:inline>
        </w:drawing>
      </w:r>
      <w:r w:rsidRPr="0086781A">
        <w:rPr>
          <w:rFonts w:ascii="Palatino Linotype" w:eastAsia="Palatino Linotype" w:hAnsi="Palatino Linotype" w:cs="Palatino Linotype"/>
          <w:color w:val="0D0D0D" w:themeColor="text1" w:themeTint="F2"/>
          <w:sz w:val="22"/>
          <w:szCs w:val="22"/>
        </w:rPr>
        <w:t xml:space="preserve"> </w:t>
      </w:r>
      <w:r w:rsidRPr="0086781A">
        <w:rPr>
          <w:noProof/>
          <w:color w:val="0D0D0D" w:themeColor="text1" w:themeTint="F2"/>
          <w:lang w:eastAsia="es-MX"/>
        </w:rPr>
        <mc:AlternateContent>
          <mc:Choice Requires="wps">
            <w:drawing>
              <wp:anchor distT="0" distB="0" distL="114300" distR="114300" simplePos="0" relativeHeight="251659264" behindDoc="0" locked="0" layoutInCell="1" hidden="0" allowOverlap="1" wp14:anchorId="06CA0F40" wp14:editId="10B7CB71">
                <wp:simplePos x="0" y="0"/>
                <wp:positionH relativeFrom="column">
                  <wp:posOffset>76201</wp:posOffset>
                </wp:positionH>
                <wp:positionV relativeFrom="paragraph">
                  <wp:posOffset>1930400</wp:posOffset>
                </wp:positionV>
                <wp:extent cx="5476875" cy="581025"/>
                <wp:effectExtent l="0" t="0" r="0" b="0"/>
                <wp:wrapNone/>
                <wp:docPr id="98" name="Rectángulo 98"/>
                <wp:cNvGraphicFramePr/>
                <a:graphic xmlns:a="http://schemas.openxmlformats.org/drawingml/2006/main">
                  <a:graphicData uri="http://schemas.microsoft.com/office/word/2010/wordprocessingShape">
                    <wps:wsp>
                      <wps:cNvSpPr/>
                      <wps:spPr>
                        <a:xfrm>
                          <a:off x="2626613" y="3508538"/>
                          <a:ext cx="5438775" cy="542925"/>
                        </a:xfrm>
                        <a:prstGeom prst="rect">
                          <a:avLst/>
                        </a:prstGeom>
                        <a:noFill/>
                        <a:ln w="38100" cap="flat" cmpd="sng">
                          <a:solidFill>
                            <a:srgbClr val="C00000"/>
                          </a:solidFill>
                          <a:prstDash val="solid"/>
                          <a:round/>
                          <a:headEnd type="none" w="sm" len="sm"/>
                          <a:tailEnd type="none" w="sm" len="sm"/>
                        </a:ln>
                      </wps:spPr>
                      <wps:txbx>
                        <w:txbxContent>
                          <w:p w14:paraId="76444555" w14:textId="77777777" w:rsidR="006F3BD7" w:rsidRDefault="006F3BD7">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CA0F40" id="Rectángulo 98" o:spid="_x0000_s1026" style="position:absolute;left:0;text-align:left;margin-left:6pt;margin-top:152pt;width:431.2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" filled="f" strokecolor="#c00000" strokeweight="3pt">
                <v:stroke startarrowwidth="narrow" startarrowlength="short" endarrowwidth="narrow" endarrowlength="short" joinstyle="round"/>
                <v:textbox inset="2.53958mm,2.53958mm,2.53958mm,2.53958mm">
                  <w:txbxContent>
                    <w:p w14:paraId="76444555" w14:textId="77777777" w:rsidR="006F3BD7" w:rsidRDefault="006F3BD7">
                      <w:pPr>
                        <w:spacing w:line="258" w:lineRule="auto"/>
                        <w:textDirection w:val="btLr"/>
                      </w:pPr>
                    </w:p>
                  </w:txbxContent>
                </v:textbox>
              </v:rect>
            </w:pict>
          </mc:Fallback>
        </mc:AlternateContent>
      </w:r>
    </w:p>
    <w:p w14:paraId="581AA7FE" w14:textId="77777777" w:rsidR="00F16734" w:rsidRPr="0086781A" w:rsidRDefault="00F16734">
      <w:pPr>
        <w:spacing w:before="240" w:after="360" w:line="360" w:lineRule="auto"/>
        <w:rPr>
          <w:rFonts w:ascii="Palatino Linotype" w:eastAsia="Palatino Linotype" w:hAnsi="Palatino Linotype" w:cs="Palatino Linotype"/>
          <w:color w:val="0D0D0D" w:themeColor="text1" w:themeTint="F2"/>
        </w:rPr>
      </w:pPr>
    </w:p>
    <w:p w14:paraId="11AB91AB"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Calibri" w:eastAsia="Calibri" w:hAnsi="Calibri" w:cs="Calibri"/>
          <w:noProof/>
          <w:color w:val="0D0D0D" w:themeColor="text1" w:themeTint="F2"/>
          <w:sz w:val="22"/>
          <w:szCs w:val="22"/>
          <w:lang w:eastAsia="es-MX"/>
        </w:rPr>
        <w:lastRenderedPageBreak/>
        <w:drawing>
          <wp:inline distT="0" distB="0" distL="0" distR="0" wp14:anchorId="76046293" wp14:editId="214687E8">
            <wp:extent cx="5609305" cy="7380664"/>
            <wp:effectExtent l="0" t="0" r="0" b="0"/>
            <wp:docPr id="117" name="image16.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nterfaz de usuario gráfica&#10;&#10;Descripción generada automáticamente"/>
                    <pic:cNvPicPr preferRelativeResize="0"/>
                  </pic:nvPicPr>
                  <pic:blipFill>
                    <a:blip r:embed="rId24"/>
                    <a:srcRect l="34623" t="19010" r="36354" b="13095"/>
                    <a:stretch>
                      <a:fillRect/>
                    </a:stretch>
                  </pic:blipFill>
                  <pic:spPr>
                    <a:xfrm>
                      <a:off x="0" y="0"/>
                      <a:ext cx="5609305" cy="7380664"/>
                    </a:xfrm>
                    <a:prstGeom prst="rect">
                      <a:avLst/>
                    </a:prstGeom>
                    <a:ln/>
                  </pic:spPr>
                </pic:pic>
              </a:graphicData>
            </a:graphic>
          </wp:inline>
        </w:drawing>
      </w:r>
    </w:p>
    <w:p w14:paraId="7E001127"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En estas condiciones, resulta claro que la información de mérito fue generada en ejercicio de las atribuciones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639F02AC"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663663EA"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FA3E345"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u w:val="single"/>
        </w:rPr>
      </w:pPr>
      <w:r w:rsidRPr="0086781A">
        <w:rPr>
          <w:rFonts w:ascii="Palatino Linotype" w:eastAsia="Palatino Linotype" w:hAnsi="Palatino Linotype" w:cs="Palatino Linotype"/>
          <w:b/>
          <w:i/>
          <w:color w:val="0D0D0D" w:themeColor="text1" w:themeTint="F2"/>
          <w:sz w:val="22"/>
          <w:szCs w:val="22"/>
          <w:u w:val="single"/>
        </w:rPr>
        <w:t>“Artículo 7. El Estado de México garantizará el efectivo acceso de toda persona a la información en posesión de cualquier entidad,</w:t>
      </w:r>
      <w:r w:rsidRPr="0086781A">
        <w:rPr>
          <w:rFonts w:ascii="Palatino Linotype" w:eastAsia="Palatino Linotype" w:hAnsi="Palatino Linotype" w:cs="Palatino Linotype"/>
          <w:i/>
          <w:color w:val="0D0D0D" w:themeColor="text1" w:themeTint="F2"/>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6781A">
        <w:rPr>
          <w:rFonts w:ascii="Palatino Linotype" w:eastAsia="Palatino Linotype" w:hAnsi="Palatino Linotype" w:cs="Palatino Linotype"/>
          <w:b/>
          <w:i/>
          <w:color w:val="0D0D0D" w:themeColor="text1" w:themeTint="F2"/>
          <w:sz w:val="22"/>
          <w:szCs w:val="22"/>
          <w:u w:val="single"/>
        </w:rPr>
        <w:t xml:space="preserve">que reciba y ejerza </w:t>
      </w:r>
      <w:r w:rsidRPr="0086781A">
        <w:rPr>
          <w:rFonts w:ascii="Palatino Linotype" w:eastAsia="Palatino Linotype" w:hAnsi="Palatino Linotype" w:cs="Palatino Linotype"/>
          <w:b/>
          <w:i/>
          <w:color w:val="0D0D0D" w:themeColor="text1" w:themeTint="F2"/>
          <w:sz w:val="22"/>
          <w:szCs w:val="22"/>
          <w:u w:val="single"/>
        </w:rPr>
        <w:lastRenderedPageBreak/>
        <w:t>recursos públicos</w:t>
      </w:r>
      <w:r w:rsidRPr="0086781A">
        <w:rPr>
          <w:rFonts w:ascii="Palatino Linotype" w:eastAsia="Palatino Linotype" w:hAnsi="Palatino Linotype" w:cs="Palatino Linotype"/>
          <w:i/>
          <w:color w:val="0D0D0D" w:themeColor="text1" w:themeTint="F2"/>
          <w:sz w:val="22"/>
          <w:szCs w:val="22"/>
        </w:rPr>
        <w:t xml:space="preserve"> o realice actos de autoridad </w:t>
      </w:r>
      <w:r w:rsidRPr="0086781A">
        <w:rPr>
          <w:rFonts w:ascii="Palatino Linotype" w:eastAsia="Palatino Linotype" w:hAnsi="Palatino Linotype" w:cs="Palatino Linotype"/>
          <w:b/>
          <w:i/>
          <w:color w:val="0D0D0D" w:themeColor="text1" w:themeTint="F2"/>
          <w:sz w:val="22"/>
          <w:szCs w:val="22"/>
          <w:u w:val="single"/>
        </w:rPr>
        <w:t>en el ámbito de competencia del Estado de México y sus municipios</w:t>
      </w:r>
      <w:r w:rsidRPr="0086781A">
        <w:rPr>
          <w:rFonts w:ascii="Palatino Linotype" w:eastAsia="Palatino Linotype" w:hAnsi="Palatino Linotype" w:cs="Palatino Linotype"/>
          <w:i/>
          <w:color w:val="0D0D0D" w:themeColor="text1" w:themeTint="F2"/>
          <w:sz w:val="22"/>
          <w:szCs w:val="22"/>
          <w:u w:val="single"/>
        </w:rPr>
        <w:t>.</w:t>
      </w:r>
    </w:p>
    <w:p w14:paraId="5D52B10C"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23. Son sujetos obligados a transparentar y permitir el acceso a su información y proteger los datos personales que obren en su poder:</w:t>
      </w:r>
    </w:p>
    <w:p w14:paraId="485EF12D"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7D5720B0" w14:textId="77777777" w:rsidR="00F16734" w:rsidRPr="0086781A" w:rsidRDefault="00FB681D">
      <w:pPr>
        <w:spacing w:after="160" w:line="259" w:lineRule="auto"/>
        <w:ind w:left="851" w:right="851"/>
        <w:jc w:val="both"/>
        <w:rPr>
          <w:rFonts w:ascii="Palatino Linotype" w:eastAsia="Palatino Linotype" w:hAnsi="Palatino Linotype" w:cs="Palatino Linotype"/>
          <w:b/>
          <w:i/>
          <w:color w:val="0D0D0D" w:themeColor="text1" w:themeTint="F2"/>
          <w:sz w:val="22"/>
          <w:szCs w:val="22"/>
          <w:u w:val="single"/>
        </w:rPr>
      </w:pPr>
      <w:r w:rsidRPr="0086781A">
        <w:rPr>
          <w:rFonts w:ascii="Palatino Linotype" w:eastAsia="Palatino Linotype" w:hAnsi="Palatino Linotype" w:cs="Palatino Linotype"/>
          <w:b/>
          <w:i/>
          <w:color w:val="0D0D0D" w:themeColor="text1" w:themeTint="F2"/>
          <w:sz w:val="22"/>
          <w:szCs w:val="22"/>
          <w:u w:val="single"/>
        </w:rPr>
        <w:t>IV. Los ayuntamientos y las dependencias, organismos, órganos y entidades de la administración municipal;</w:t>
      </w:r>
    </w:p>
    <w:p w14:paraId="128DFBDF"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6C045E45" w14:textId="77777777" w:rsidR="00F16734" w:rsidRPr="0086781A" w:rsidRDefault="00FB681D">
      <w:pPr>
        <w:spacing w:after="160" w:line="259" w:lineRule="auto"/>
        <w:ind w:left="851" w:right="851"/>
        <w:jc w:val="both"/>
        <w:rPr>
          <w:rFonts w:ascii="Palatino Linotype" w:eastAsia="Palatino Linotype" w:hAnsi="Palatino Linotype" w:cs="Palatino Linotype"/>
          <w:b/>
          <w:i/>
          <w:color w:val="0D0D0D" w:themeColor="text1" w:themeTint="F2"/>
          <w:sz w:val="22"/>
          <w:szCs w:val="22"/>
          <w:u w:val="single"/>
        </w:rPr>
      </w:pPr>
      <w:r w:rsidRPr="0086781A">
        <w:rPr>
          <w:rFonts w:ascii="Palatino Linotype" w:eastAsia="Palatino Linotype" w:hAnsi="Palatino Linotype" w:cs="Palatino Linotype"/>
          <w:b/>
          <w:i/>
          <w:color w:val="0D0D0D" w:themeColor="text1" w:themeTint="F2"/>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EA1691C" w14:textId="77777777" w:rsidR="00F16734" w:rsidRPr="0086781A" w:rsidRDefault="00FB681D">
      <w:pPr>
        <w:spacing w:after="160" w:line="259" w:lineRule="auto"/>
        <w:ind w:left="851"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Los servidores públicos deberán transparentar sus </w:t>
      </w:r>
      <w:proofErr w:type="gramStart"/>
      <w:r w:rsidRPr="0086781A">
        <w:rPr>
          <w:rFonts w:ascii="Palatino Linotype" w:eastAsia="Palatino Linotype" w:hAnsi="Palatino Linotype" w:cs="Palatino Linotype"/>
          <w:i/>
          <w:color w:val="0D0D0D" w:themeColor="text1" w:themeTint="F2"/>
          <w:sz w:val="22"/>
          <w:szCs w:val="22"/>
        </w:rPr>
        <w:t>acciones</w:t>
      </w:r>
      <w:proofErr w:type="gramEnd"/>
      <w:r w:rsidRPr="0086781A">
        <w:rPr>
          <w:rFonts w:ascii="Palatino Linotype" w:eastAsia="Palatino Linotype" w:hAnsi="Palatino Linotype" w:cs="Palatino Linotype"/>
          <w:i/>
          <w:color w:val="0D0D0D" w:themeColor="text1" w:themeTint="F2"/>
          <w:sz w:val="22"/>
          <w:szCs w:val="22"/>
        </w:rPr>
        <w:t xml:space="preserve"> así como garantizar y respetar el derecho de acceso a la información pública.”</w:t>
      </w:r>
      <w:r w:rsidRPr="0086781A">
        <w:rPr>
          <w:rFonts w:ascii="Palatino Linotype" w:eastAsia="Palatino Linotype" w:hAnsi="Palatino Linotype" w:cs="Palatino Linotype"/>
          <w:b/>
          <w:i/>
          <w:color w:val="0D0D0D" w:themeColor="text1" w:themeTint="F2"/>
          <w:sz w:val="22"/>
          <w:szCs w:val="22"/>
        </w:rPr>
        <w:t xml:space="preserve"> [Sic]</w:t>
      </w:r>
    </w:p>
    <w:p w14:paraId="114A54AE" w14:textId="77777777" w:rsidR="00F16734" w:rsidRPr="0086781A" w:rsidRDefault="00F16734">
      <w:pPr>
        <w:spacing w:after="160" w:line="360" w:lineRule="auto"/>
        <w:jc w:val="both"/>
        <w:rPr>
          <w:rFonts w:ascii="Palatino Linotype" w:eastAsia="Palatino Linotype" w:hAnsi="Palatino Linotype" w:cs="Palatino Linotype"/>
          <w:color w:val="0D0D0D" w:themeColor="text1" w:themeTint="F2"/>
          <w:sz w:val="22"/>
          <w:szCs w:val="22"/>
        </w:rPr>
      </w:pPr>
    </w:p>
    <w:p w14:paraId="6B9F5446" w14:textId="77777777" w:rsidR="00F16734" w:rsidRPr="0086781A" w:rsidRDefault="00FB681D">
      <w:pPr>
        <w:spacing w:after="16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Sirve de sustento por analogía, para justificar la publicidad sobre los datos relativos a los montos por concepto de pago de las remuneraciones, los criterios </w:t>
      </w:r>
      <w:r w:rsidRPr="0086781A">
        <w:rPr>
          <w:rFonts w:ascii="Palatino Linotype" w:eastAsia="Palatino Linotype" w:hAnsi="Palatino Linotype" w:cs="Palatino Linotype"/>
          <w:b/>
          <w:color w:val="0D0D0D" w:themeColor="text1" w:themeTint="F2"/>
        </w:rPr>
        <w:t>01/2003</w:t>
      </w:r>
      <w:r w:rsidRPr="0086781A">
        <w:rPr>
          <w:rFonts w:ascii="Palatino Linotype" w:eastAsia="Palatino Linotype" w:hAnsi="Palatino Linotype" w:cs="Palatino Linotype"/>
          <w:color w:val="0D0D0D" w:themeColor="text1" w:themeTint="F2"/>
        </w:rPr>
        <w:t xml:space="preserve"> y </w:t>
      </w:r>
      <w:r w:rsidRPr="0086781A">
        <w:rPr>
          <w:rFonts w:ascii="Palatino Linotype" w:eastAsia="Palatino Linotype" w:hAnsi="Palatino Linotype" w:cs="Palatino Linotype"/>
          <w:b/>
          <w:color w:val="0D0D0D" w:themeColor="text1" w:themeTint="F2"/>
        </w:rPr>
        <w:t>02/2003</w:t>
      </w:r>
      <w:r w:rsidRPr="0086781A">
        <w:rPr>
          <w:rFonts w:ascii="Palatino Linotype" w:eastAsia="Palatino Linotype" w:hAnsi="Palatino Linotype" w:cs="Palatino Linotype"/>
          <w:color w:val="0D0D0D" w:themeColor="text1" w:themeTint="F2"/>
        </w:rPr>
        <w:t xml:space="preserve"> emitidos por el Comité de Acceso a la Información Pública y Protección de Datos Personales de la Suprema Corte de Justicia de la Nación que a continuación se citan: </w:t>
      </w:r>
    </w:p>
    <w:p w14:paraId="5A71030E" w14:textId="77777777" w:rsidR="00F16734" w:rsidRPr="0086781A" w:rsidRDefault="00FB681D">
      <w:pPr>
        <w:spacing w:after="160" w:line="259" w:lineRule="auto"/>
        <w:ind w:left="851" w:right="851"/>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“Criterio 01/2003.</w:t>
      </w:r>
    </w:p>
    <w:p w14:paraId="3C8F1337"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INGRESOS DE LOS SERVIDORES PÚBLICOS. CONSTITUYEN INFORMACIÓN PÚBLICA AÚN Y CUANDO SU DIFUSIÓN PUEDE AFECTAR LA VIDA O LA SEGURIDAD DE AQUELLOS.</w:t>
      </w:r>
      <w:r w:rsidRPr="0086781A">
        <w:rPr>
          <w:rFonts w:ascii="Palatino Linotype" w:eastAsia="Palatino Linotype" w:hAnsi="Palatino Linotype" w:cs="Palatino Linotype"/>
          <w:i/>
          <w:color w:val="0D0D0D" w:themeColor="text1" w:themeTint="F2"/>
          <w:sz w:val="22"/>
          <w:szCs w:val="22"/>
        </w:rPr>
        <w:t xml:space="preserve"> </w:t>
      </w:r>
    </w:p>
    <w:p w14:paraId="57E10ABB"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u w:val="single"/>
        </w:rPr>
      </w:pPr>
      <w:r w:rsidRPr="0086781A">
        <w:rPr>
          <w:rFonts w:ascii="Palatino Linotype" w:eastAsia="Palatino Linotype" w:hAnsi="Palatino Linotype" w:cs="Palatino Linotype"/>
          <w:i/>
          <w:color w:val="0D0D0D" w:themeColor="text1" w:themeTint="F2"/>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w:t>
      </w:r>
      <w:r w:rsidRPr="0086781A">
        <w:rPr>
          <w:rFonts w:ascii="Palatino Linotype" w:eastAsia="Palatino Linotype" w:hAnsi="Palatino Linotype" w:cs="Palatino Linotype"/>
          <w:i/>
          <w:color w:val="0D0D0D" w:themeColor="text1" w:themeTint="F2"/>
          <w:sz w:val="22"/>
          <w:szCs w:val="22"/>
        </w:rPr>
        <w:lastRenderedPageBreak/>
        <w:t xml:space="preserve">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6781A">
        <w:rPr>
          <w:rFonts w:ascii="Palatino Linotype" w:eastAsia="Palatino Linotype" w:hAnsi="Palatino Linotype" w:cs="Palatino Linotype"/>
          <w:b/>
          <w:i/>
          <w:color w:val="0D0D0D" w:themeColor="text1" w:themeTint="F2"/>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6781A">
        <w:rPr>
          <w:rFonts w:ascii="Palatino Linotype" w:eastAsia="Palatino Linotype" w:hAnsi="Palatino Linotype" w:cs="Palatino Linotype"/>
          <w:i/>
          <w:color w:val="0D0D0D" w:themeColor="text1" w:themeTint="F2"/>
          <w:sz w:val="22"/>
          <w:szCs w:val="22"/>
          <w:u w:val="single"/>
        </w:rPr>
        <w:t>…”</w:t>
      </w:r>
    </w:p>
    <w:p w14:paraId="6F659B65" w14:textId="77777777" w:rsidR="00F16734" w:rsidRPr="0086781A" w:rsidRDefault="00F16734">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p>
    <w:p w14:paraId="28076E60" w14:textId="77777777" w:rsidR="00F16734" w:rsidRPr="0086781A" w:rsidRDefault="00FB681D">
      <w:pPr>
        <w:spacing w:after="160" w:line="259" w:lineRule="auto"/>
        <w:ind w:left="851" w:right="851"/>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“Criterio 02/2003.</w:t>
      </w:r>
    </w:p>
    <w:p w14:paraId="402215F1"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INGRESOS DE LOS SERVIDORES PÚBLICOS, SON INFORMACIÓN PÚBLICA AÚN Y CUANDO CONSTITUYEN DATOS PERSONALES QUE SE REFIEREN AL PATRIMONIO DE AQUÉLLOS.</w:t>
      </w:r>
      <w:r w:rsidRPr="0086781A">
        <w:rPr>
          <w:rFonts w:ascii="Palatino Linotype" w:eastAsia="Palatino Linotype" w:hAnsi="Palatino Linotype" w:cs="Palatino Linotype"/>
          <w:i/>
          <w:color w:val="0D0D0D" w:themeColor="text1" w:themeTint="F2"/>
          <w:sz w:val="22"/>
          <w:szCs w:val="22"/>
        </w:rPr>
        <w:t xml:space="preserve"> </w:t>
      </w:r>
    </w:p>
    <w:p w14:paraId="76B099CF" w14:textId="77777777" w:rsidR="00F16734" w:rsidRPr="0086781A" w:rsidRDefault="00FB681D">
      <w:pPr>
        <w:spacing w:line="276" w:lineRule="auto"/>
        <w:ind w:left="851"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6781A">
        <w:rPr>
          <w:rFonts w:ascii="Palatino Linotype" w:eastAsia="Palatino Linotype" w:hAnsi="Palatino Linotype" w:cs="Palatino Linotype"/>
          <w:b/>
          <w:i/>
          <w:color w:val="0D0D0D" w:themeColor="text1" w:themeTint="F2"/>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6781A">
        <w:rPr>
          <w:rFonts w:ascii="Palatino Linotype" w:eastAsia="Palatino Linotype" w:hAnsi="Palatino Linotype" w:cs="Palatino Linotype"/>
          <w:i/>
          <w:color w:val="0D0D0D" w:themeColor="text1" w:themeTint="F2"/>
          <w:sz w:val="22"/>
          <w:szCs w:val="22"/>
        </w:rPr>
        <w:t xml:space="preserve"> el sistema de compensación…” </w:t>
      </w:r>
      <w:r w:rsidRPr="0086781A">
        <w:rPr>
          <w:rFonts w:ascii="Palatino Linotype" w:eastAsia="Palatino Linotype" w:hAnsi="Palatino Linotype" w:cs="Palatino Linotype"/>
          <w:b/>
          <w:i/>
          <w:color w:val="0D0D0D" w:themeColor="text1" w:themeTint="F2"/>
          <w:sz w:val="22"/>
          <w:szCs w:val="22"/>
        </w:rPr>
        <w:t>[Sic]</w:t>
      </w:r>
    </w:p>
    <w:p w14:paraId="7009A38A"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3CD3E363"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Ahora bien, el artículo 70 de la Ley General de Transparencia y Acceso a la Información Pública dispone lo siguiente: </w:t>
      </w:r>
    </w:p>
    <w:p w14:paraId="27C7295A"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sz w:val="22"/>
          <w:szCs w:val="22"/>
        </w:rPr>
      </w:pPr>
    </w:p>
    <w:p w14:paraId="1E8A3A1D" w14:textId="77777777" w:rsidR="00F16734" w:rsidRPr="0086781A" w:rsidRDefault="00FB681D">
      <w:pPr>
        <w:spacing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7E42AE6" w14:textId="77777777" w:rsidR="00F16734" w:rsidRPr="0086781A" w:rsidRDefault="00FB681D">
      <w:pPr>
        <w:spacing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 </w:t>
      </w:r>
    </w:p>
    <w:p w14:paraId="474E9484" w14:textId="77777777" w:rsidR="00F16734" w:rsidRPr="0086781A" w:rsidRDefault="00FB681D">
      <w:pPr>
        <w:spacing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CA4796D" w14:textId="77777777" w:rsidR="00F16734" w:rsidRPr="0086781A" w:rsidRDefault="00F16734">
      <w:pPr>
        <w:spacing w:line="360" w:lineRule="auto"/>
        <w:jc w:val="both"/>
        <w:rPr>
          <w:rFonts w:ascii="Calibri" w:eastAsia="Calibri" w:hAnsi="Calibri" w:cs="Calibri"/>
          <w:color w:val="0D0D0D" w:themeColor="text1" w:themeTint="F2"/>
          <w:sz w:val="22"/>
          <w:szCs w:val="22"/>
        </w:rPr>
      </w:pPr>
    </w:p>
    <w:p w14:paraId="3CD30C89" w14:textId="77777777" w:rsidR="00F16734" w:rsidRPr="0086781A" w:rsidRDefault="00FB681D">
      <w:pP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Robustece lo anterior, el artículo 92, fracción VIII de la Ley de Transparencia y Acceso a la Información Pública del Estado de México y Municipios, señala: </w:t>
      </w:r>
    </w:p>
    <w:p w14:paraId="0794B79E" w14:textId="77777777" w:rsidR="00F16734" w:rsidRPr="0086781A" w:rsidRDefault="00F16734">
      <w:pPr>
        <w:spacing w:line="360" w:lineRule="auto"/>
        <w:ind w:right="49"/>
        <w:jc w:val="both"/>
        <w:rPr>
          <w:rFonts w:ascii="Palatino Linotype" w:eastAsia="Palatino Linotype" w:hAnsi="Palatino Linotype" w:cs="Palatino Linotype"/>
          <w:color w:val="0D0D0D" w:themeColor="text1" w:themeTint="F2"/>
          <w:sz w:val="22"/>
          <w:szCs w:val="22"/>
        </w:rPr>
      </w:pPr>
    </w:p>
    <w:p w14:paraId="6F54E5B0" w14:textId="77777777" w:rsidR="00F16734" w:rsidRPr="0086781A" w:rsidRDefault="00FB681D">
      <w:pPr>
        <w:spacing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6FC811B" w14:textId="77777777" w:rsidR="00F16734" w:rsidRPr="0086781A" w:rsidRDefault="00FB681D">
      <w:pPr>
        <w:spacing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3FF1BF80" w14:textId="77777777" w:rsidR="00F16734" w:rsidRPr="0086781A" w:rsidRDefault="00FB681D">
      <w:pPr>
        <w:spacing w:line="276"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84C7169" w14:textId="77777777" w:rsidR="00F16734" w:rsidRPr="0086781A" w:rsidRDefault="00F16734">
      <w:pPr>
        <w:spacing w:line="360" w:lineRule="auto"/>
        <w:jc w:val="both"/>
        <w:rPr>
          <w:rFonts w:ascii="Calibri" w:eastAsia="Calibri" w:hAnsi="Calibri" w:cs="Calibri"/>
          <w:color w:val="0D0D0D" w:themeColor="text1" w:themeTint="F2"/>
          <w:sz w:val="22"/>
          <w:szCs w:val="22"/>
        </w:rPr>
      </w:pPr>
    </w:p>
    <w:p w14:paraId="67A78FCD"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22449054" w14:textId="77777777" w:rsidR="00F16734" w:rsidRPr="0086781A" w:rsidRDefault="00FB681D">
      <w:pPr>
        <w:shd w:val="clear" w:color="auto" w:fill="FFFFFF"/>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No pasa desapercibido para este Organismo Garante que si bien es cierto, el particular requiere los recibos de nómina de los servidores públicos adscritos a la Instituto Municipal de Cultura Física y Deporte de Zinacantepec generados de enero a la fecha de la solicitud, es decir del 1 de enero al 14 de septiembre del 2022, no menos cierto es que para dar cumplimiento a este punto, bastará con que entregue dichos recibos generados del 1 de enero al 31 de agosto de 2022, esto en virtud de que como se apuntó en líneas anteriores, estos soportes documentales se generan de manera quincenal, por lo tanto, a la fecha de la solicitud no había transcurrido aun la primera quincena de septiembre.</w:t>
      </w:r>
    </w:p>
    <w:p w14:paraId="3B61ACB9"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tal contexto, se estima procedente ordenar la entrega del soporte documental del que se desprenda la información solicitada, en versión pública conforme al considerando quinto.</w:t>
      </w:r>
    </w:p>
    <w:p w14:paraId="2D2C169E"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0F6C63F9" w14:textId="77777777" w:rsidR="00F16734" w:rsidRPr="0086781A" w:rsidRDefault="00FB681D">
      <w:pPr>
        <w:numPr>
          <w:ilvl w:val="0"/>
          <w:numId w:val="8"/>
        </w:numPr>
        <w:pBdr>
          <w:top w:val="nil"/>
          <w:left w:val="nil"/>
          <w:bottom w:val="nil"/>
          <w:right w:val="nil"/>
          <w:between w:val="nil"/>
        </w:pBdr>
        <w:spacing w:line="360" w:lineRule="auto"/>
        <w:ind w:left="-142" w:firstLine="0"/>
        <w:jc w:val="both"/>
        <w:rPr>
          <w:rFonts w:ascii="Palatino Linotype" w:eastAsia="Palatino Linotype" w:hAnsi="Palatino Linotype" w:cs="Palatino Linotype"/>
          <w:b/>
          <w:color w:val="0D0D0D" w:themeColor="text1" w:themeTint="F2"/>
          <w:sz w:val="22"/>
          <w:szCs w:val="22"/>
        </w:rPr>
      </w:pPr>
      <w:proofErr w:type="spellStart"/>
      <w:r w:rsidRPr="0086781A">
        <w:rPr>
          <w:rFonts w:ascii="Palatino Linotype" w:eastAsia="Palatino Linotype" w:hAnsi="Palatino Linotype" w:cs="Palatino Linotype"/>
          <w:b/>
          <w:color w:val="0D0D0D" w:themeColor="text1" w:themeTint="F2"/>
          <w:sz w:val="22"/>
          <w:szCs w:val="22"/>
        </w:rPr>
        <w:t>Curriculum</w:t>
      </w:r>
      <w:proofErr w:type="spellEnd"/>
      <w:r w:rsidRPr="0086781A">
        <w:rPr>
          <w:rFonts w:ascii="Palatino Linotype" w:eastAsia="Palatino Linotype" w:hAnsi="Palatino Linotype" w:cs="Palatino Linotype"/>
          <w:b/>
          <w:color w:val="0D0D0D" w:themeColor="text1" w:themeTint="F2"/>
          <w:sz w:val="22"/>
          <w:szCs w:val="22"/>
        </w:rPr>
        <w:t xml:space="preserve"> vitae</w:t>
      </w:r>
    </w:p>
    <w:p w14:paraId="4C440041"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lo concerniente a este apartado conviene mencionar que la información solicitada corresponde con la obligación de transparencia prevista en el artículo 92, fracción XXI de la Ley de Transparencia y Acceso a la Información Pública del Estado de México y Municipios, a saber:</w:t>
      </w:r>
    </w:p>
    <w:p w14:paraId="67CA8B50" w14:textId="77777777" w:rsidR="00F16734" w:rsidRPr="0086781A" w:rsidRDefault="00FB681D">
      <w:pPr>
        <w:spacing w:before="120" w:after="120"/>
        <w:ind w:left="567" w:right="902"/>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 “Artículo 92</w:t>
      </w:r>
      <w:r w:rsidRPr="0086781A">
        <w:rPr>
          <w:rFonts w:ascii="Palatino Linotype" w:eastAsia="Palatino Linotype" w:hAnsi="Palatino Linotype" w:cs="Palatino Linotype"/>
          <w:i/>
          <w:color w:val="0D0D0D" w:themeColor="text1" w:themeTint="F2"/>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04F63C3" w14:textId="77777777" w:rsidR="00F16734" w:rsidRPr="0086781A" w:rsidRDefault="00FB681D">
      <w:pPr>
        <w:spacing w:before="120" w:after="120"/>
        <w:ind w:left="567" w:right="902"/>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w:t>
      </w:r>
    </w:p>
    <w:p w14:paraId="60B318AA" w14:textId="77777777" w:rsidR="00F16734" w:rsidRPr="0086781A" w:rsidRDefault="00FB681D">
      <w:pPr>
        <w:spacing w:before="120" w:after="120"/>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XXI.</w:t>
      </w:r>
      <w:r w:rsidRPr="0086781A">
        <w:rPr>
          <w:rFonts w:ascii="Palatino Linotype" w:eastAsia="Palatino Linotype" w:hAnsi="Palatino Linotype" w:cs="Palatino Linotype"/>
          <w:i/>
          <w:color w:val="0D0D0D" w:themeColor="text1" w:themeTint="F2"/>
          <w:sz w:val="22"/>
          <w:szCs w:val="22"/>
        </w:rPr>
        <w:t xml:space="preserve"> La </w:t>
      </w:r>
      <w:r w:rsidRPr="0086781A">
        <w:rPr>
          <w:rFonts w:ascii="Palatino Linotype" w:eastAsia="Palatino Linotype" w:hAnsi="Palatino Linotype" w:cs="Palatino Linotype"/>
          <w:b/>
          <w:i/>
          <w:color w:val="0D0D0D" w:themeColor="text1" w:themeTint="F2"/>
          <w:sz w:val="22"/>
          <w:szCs w:val="22"/>
        </w:rPr>
        <w:t>información curricular</w:t>
      </w:r>
      <w:r w:rsidRPr="0086781A">
        <w:rPr>
          <w:rFonts w:ascii="Palatino Linotype" w:eastAsia="Palatino Linotype" w:hAnsi="Palatino Linotype" w:cs="Palatino Linotype"/>
          <w:i/>
          <w:color w:val="0D0D0D" w:themeColor="text1" w:themeTint="F2"/>
          <w:sz w:val="22"/>
          <w:szCs w:val="22"/>
        </w:rPr>
        <w:t>, desde el nivel de jefe de departamento o equivalente, hasta el titular del sujeto obligado, así como, en su caso, las sanciones administrativas de que haya sido objeto;”</w:t>
      </w:r>
    </w:p>
    <w:p w14:paraId="51C61004"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tal sentido, es oportuno mencionar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366156A0" w14:textId="77777777" w:rsidR="00F16734" w:rsidRPr="0086781A" w:rsidRDefault="00FB681D">
      <w:pPr>
        <w:spacing w:before="240"/>
        <w:ind w:left="851"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XVII</w:t>
      </w:r>
      <w:r w:rsidRPr="0086781A">
        <w:rPr>
          <w:rFonts w:ascii="Palatino Linotype" w:eastAsia="Palatino Linotype" w:hAnsi="Palatino Linotype" w:cs="Palatino Linotype"/>
          <w:i/>
          <w:color w:val="0D0D0D" w:themeColor="text1" w:themeTint="F2"/>
          <w:sz w:val="22"/>
          <w:szCs w:val="22"/>
        </w:rPr>
        <w:t xml:space="preserve">. La información curricular desde el nivel de jefe de departamento o equivalente hasta el titular del sujeto obligado, así como, en su caso, las sanciones administrativas de que haya sido objeto. </w:t>
      </w:r>
    </w:p>
    <w:p w14:paraId="4F45048D" w14:textId="77777777" w:rsidR="00F16734" w:rsidRPr="0086781A" w:rsidRDefault="00FB681D">
      <w:pPr>
        <w:ind w:left="851"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86781A">
        <w:rPr>
          <w:rFonts w:ascii="Palatino Linotype" w:eastAsia="Palatino Linotype" w:hAnsi="Palatino Linotype" w:cs="Palatino Linotype"/>
          <w:b/>
          <w:i/>
          <w:color w:val="0D0D0D" w:themeColor="text1" w:themeTint="F2"/>
          <w:sz w:val="22"/>
          <w:szCs w:val="22"/>
          <w:u w:val="single"/>
        </w:rPr>
        <w:t>desde nivel de jefe de departamento o equivalente y hasta el titular del sujeto obligado</w:t>
      </w:r>
      <w:r w:rsidRPr="0086781A">
        <w:rPr>
          <w:rFonts w:ascii="Palatino Linotype" w:eastAsia="Palatino Linotype" w:hAnsi="Palatino Linotype" w:cs="Palatino Linotype"/>
          <w:b/>
          <w:i/>
          <w:color w:val="0D0D0D" w:themeColor="text1" w:themeTint="F2"/>
          <w:sz w:val="22"/>
          <w:szCs w:val="22"/>
        </w:rPr>
        <w:t>–, que permita conocer su trayectoria en el ámbito laboral y escolar</w:t>
      </w:r>
      <w:r w:rsidRPr="0086781A">
        <w:rPr>
          <w:rFonts w:ascii="Palatino Linotype" w:eastAsia="Palatino Linotype" w:hAnsi="Palatino Linotype" w:cs="Palatino Linotype"/>
          <w:i/>
          <w:color w:val="0D0D0D" w:themeColor="text1" w:themeTint="F2"/>
          <w:sz w:val="22"/>
          <w:szCs w:val="22"/>
        </w:rPr>
        <w:t xml:space="preserve">. </w:t>
      </w:r>
    </w:p>
    <w:p w14:paraId="25CC798E" w14:textId="77777777" w:rsidR="00F16734" w:rsidRPr="0086781A" w:rsidRDefault="00FB681D">
      <w:pPr>
        <w:ind w:left="851"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Por cada servidor(a) público(a) se deberá especificar si ha sido acreedor a sanciones administrativas definitivas y que hayan sido aplicadas por autoridad u organismo competente. </w:t>
      </w:r>
    </w:p>
    <w:p w14:paraId="305FF861" w14:textId="77777777" w:rsidR="00F16734" w:rsidRPr="0086781A" w:rsidRDefault="00FB681D">
      <w:pPr>
        <w:ind w:left="851" w:right="902"/>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Periodo de actualización: trimestral </w:t>
      </w:r>
    </w:p>
    <w:p w14:paraId="6CC87920" w14:textId="77777777" w:rsidR="00F16734" w:rsidRPr="0086781A" w:rsidRDefault="00FB681D">
      <w:pPr>
        <w:ind w:left="851" w:right="902"/>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En su caso, 15 días hábiles después de alguna modificación a la información de los servidores públicos que integran el sujeto obligado, así como su información curricular.</w:t>
      </w:r>
    </w:p>
    <w:p w14:paraId="61DBC34C" w14:textId="77777777" w:rsidR="00F16734" w:rsidRPr="0086781A" w:rsidRDefault="00FB681D">
      <w:pPr>
        <w:ind w:left="851" w:right="902"/>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Conservar en el sitio de Internet: información vigente </w:t>
      </w:r>
    </w:p>
    <w:p w14:paraId="46E0326B" w14:textId="77777777" w:rsidR="00F16734" w:rsidRPr="0086781A" w:rsidRDefault="00FB681D">
      <w:pPr>
        <w:ind w:left="851"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Aplica a: todos los sujetos </w:t>
      </w:r>
      <w:proofErr w:type="gramStart"/>
      <w:r w:rsidRPr="0086781A">
        <w:rPr>
          <w:rFonts w:ascii="Palatino Linotype" w:eastAsia="Palatino Linotype" w:hAnsi="Palatino Linotype" w:cs="Palatino Linotype"/>
          <w:b/>
          <w:i/>
          <w:color w:val="0D0D0D" w:themeColor="text1" w:themeTint="F2"/>
          <w:sz w:val="22"/>
          <w:szCs w:val="22"/>
        </w:rPr>
        <w:t>obligados</w:t>
      </w:r>
      <w:r w:rsidRPr="0086781A">
        <w:rPr>
          <w:rFonts w:ascii="Palatino Linotype" w:eastAsia="Palatino Linotype" w:hAnsi="Palatino Linotype" w:cs="Palatino Linotype"/>
          <w:i/>
          <w:color w:val="0D0D0D" w:themeColor="text1" w:themeTint="F2"/>
          <w:sz w:val="22"/>
          <w:szCs w:val="22"/>
        </w:rPr>
        <w:t>”(</w:t>
      </w:r>
      <w:proofErr w:type="gramEnd"/>
      <w:r w:rsidRPr="0086781A">
        <w:rPr>
          <w:rFonts w:ascii="Palatino Linotype" w:eastAsia="Palatino Linotype" w:hAnsi="Palatino Linotype" w:cs="Palatino Linotype"/>
          <w:i/>
          <w:color w:val="0D0D0D" w:themeColor="text1" w:themeTint="F2"/>
          <w:sz w:val="22"/>
          <w:szCs w:val="22"/>
        </w:rPr>
        <w:t>Sic)</w:t>
      </w:r>
    </w:p>
    <w:p w14:paraId="21FB1DB9" w14:textId="77777777" w:rsidR="00F16734" w:rsidRPr="0086781A" w:rsidRDefault="00FB681D">
      <w:pPr>
        <w:spacing w:before="240" w:after="240" w:line="360" w:lineRule="auto"/>
        <w:ind w:right="51"/>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Como se aprecia en el dispositivo legal citado, los Sujetos Obligados deben publicar la información curricular desde el nivel del jefe de departamento o equivalente, </w:t>
      </w:r>
      <w:r w:rsidRPr="0086781A">
        <w:rPr>
          <w:rFonts w:ascii="Palatino Linotype" w:eastAsia="Palatino Linotype" w:hAnsi="Palatino Linotype" w:cs="Palatino Linotype"/>
          <w:color w:val="0D0D0D" w:themeColor="text1" w:themeTint="F2"/>
        </w:rPr>
        <w:lastRenderedPageBreak/>
        <w:t xml:space="preserve">hasta el titular del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w:t>
      </w:r>
    </w:p>
    <w:p w14:paraId="39AFF66F" w14:textId="77777777" w:rsidR="00F16734" w:rsidRPr="0086781A" w:rsidRDefault="00FB681D">
      <w:pPr>
        <w:spacing w:before="240" w:after="240" w:line="360" w:lineRule="auto"/>
        <w:ind w:right="51"/>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tal sentido, respecto de la información de los servidores públicos que no ostentan la calidad de mandos medios y superiores, el hecho de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se encuentre constreñido a publicar la información curricular únicamente de servidores públicos con cargos de mandos medios y superiores, no es óbice para que se encuentre impedido a contar información respecto de todos los servidores públicos con los que tenga una relación laboral.</w:t>
      </w:r>
    </w:p>
    <w:p w14:paraId="2E8DCAF4" w14:textId="77777777" w:rsidR="00F16734" w:rsidRPr="0086781A" w:rsidRDefault="00FB681D">
      <w:pPr>
        <w:spacing w:before="240" w:after="240" w:line="360" w:lineRule="auto"/>
        <w:ind w:right="-234"/>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Asimismo, cabe mencionar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10AFC930" w14:textId="77777777" w:rsidR="00F16734" w:rsidRPr="0086781A" w:rsidRDefault="00FB681D">
      <w:pPr>
        <w:spacing w:before="240" w:after="240" w:line="360" w:lineRule="auto"/>
        <w:ind w:right="-234"/>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 mayor abundamiento conviene mencionar, el Criterio 03/09 emitido por el Pleno del entonces Instituto Federal de Acceso a la Información y Protección de Datos establece que: </w:t>
      </w:r>
    </w:p>
    <w:p w14:paraId="42C5E20C" w14:textId="77777777" w:rsidR="00F16734" w:rsidRPr="0086781A" w:rsidRDefault="00FB681D">
      <w:pPr>
        <w:spacing w:before="120" w:after="120"/>
        <w:ind w:left="851" w:right="902"/>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i/>
          <w:color w:val="0D0D0D" w:themeColor="text1" w:themeTint="F2"/>
          <w:sz w:val="22"/>
          <w:szCs w:val="22"/>
        </w:rPr>
        <w:lastRenderedPageBreak/>
        <w:t>“</w:t>
      </w:r>
      <w:proofErr w:type="spellStart"/>
      <w:r w:rsidRPr="0086781A">
        <w:rPr>
          <w:rFonts w:ascii="Palatino Linotype" w:eastAsia="Palatino Linotype" w:hAnsi="Palatino Linotype" w:cs="Palatino Linotype"/>
          <w:b/>
          <w:i/>
          <w:color w:val="0D0D0D" w:themeColor="text1" w:themeTint="F2"/>
          <w:sz w:val="22"/>
          <w:szCs w:val="22"/>
        </w:rPr>
        <w:t>Curriculum</w:t>
      </w:r>
      <w:proofErr w:type="spellEnd"/>
      <w:r w:rsidRPr="0086781A">
        <w:rPr>
          <w:rFonts w:ascii="Palatino Linotype" w:eastAsia="Palatino Linotype" w:hAnsi="Palatino Linotype" w:cs="Palatino Linotype"/>
          <w:b/>
          <w:i/>
          <w:color w:val="0D0D0D" w:themeColor="text1" w:themeTint="F2"/>
          <w:sz w:val="22"/>
          <w:szCs w:val="22"/>
        </w:rPr>
        <w:t xml:space="preserve"> Vitae de servidores públicos</w:t>
      </w:r>
      <w:r w:rsidRPr="0086781A">
        <w:rPr>
          <w:rFonts w:ascii="Palatino Linotype" w:eastAsia="Palatino Linotype" w:hAnsi="Palatino Linotype" w:cs="Palatino Linotype"/>
          <w:i/>
          <w:color w:val="0D0D0D" w:themeColor="text1" w:themeTint="F2"/>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86781A">
        <w:rPr>
          <w:rFonts w:ascii="Palatino Linotype" w:eastAsia="Palatino Linotype" w:hAnsi="Palatino Linotype" w:cs="Palatino Linotype"/>
          <w:i/>
          <w:color w:val="0D0D0D" w:themeColor="text1" w:themeTint="F2"/>
          <w:sz w:val="22"/>
          <w:szCs w:val="22"/>
        </w:rPr>
        <w:t>curriculum</w:t>
      </w:r>
      <w:proofErr w:type="spellEnd"/>
      <w:r w:rsidRPr="0086781A">
        <w:rPr>
          <w:rFonts w:ascii="Palatino Linotype" w:eastAsia="Palatino Linotype" w:hAnsi="Palatino Linotype" w:cs="Palatino Linotype"/>
          <w:i/>
          <w:color w:val="0D0D0D" w:themeColor="text1" w:themeTint="F2"/>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6781A">
        <w:rPr>
          <w:rFonts w:ascii="Palatino Linotype" w:eastAsia="Palatino Linotype" w:hAnsi="Palatino Linotype" w:cs="Palatino Linotype"/>
          <w:i/>
          <w:color w:val="0D0D0D" w:themeColor="text1" w:themeTint="F2"/>
          <w:sz w:val="22"/>
          <w:szCs w:val="22"/>
        </w:rPr>
        <w:t>curriculum</w:t>
      </w:r>
      <w:proofErr w:type="spellEnd"/>
      <w:r w:rsidRPr="0086781A">
        <w:rPr>
          <w:rFonts w:ascii="Palatino Linotype" w:eastAsia="Palatino Linotype" w:hAnsi="Palatino Linotype" w:cs="Palatino Linotype"/>
          <w:i/>
          <w:color w:val="0D0D0D" w:themeColor="text1" w:themeTint="F2"/>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6781A">
        <w:rPr>
          <w:rFonts w:ascii="Palatino Linotype" w:eastAsia="Palatino Linotype" w:hAnsi="Palatino Linotype" w:cs="Palatino Linotype"/>
          <w:i/>
          <w:color w:val="0D0D0D" w:themeColor="text1" w:themeTint="F2"/>
          <w:sz w:val="22"/>
          <w:szCs w:val="22"/>
        </w:rPr>
        <w:t>curriculum</w:t>
      </w:r>
      <w:proofErr w:type="spellEnd"/>
      <w:r w:rsidRPr="0086781A">
        <w:rPr>
          <w:rFonts w:ascii="Palatino Linotype" w:eastAsia="Palatino Linotype" w:hAnsi="Palatino Linotype" w:cs="Palatino Linotype"/>
          <w:i/>
          <w:color w:val="0D0D0D" w:themeColor="text1" w:themeTint="F2"/>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3C7DB542" w14:textId="77777777" w:rsidR="00F16734" w:rsidRPr="0086781A" w:rsidRDefault="00FB681D">
      <w:pPr>
        <w:spacing w:before="240" w:after="36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w:t>
      </w:r>
    </w:p>
    <w:p w14:paraId="3D9F8915"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Y, si bien es cierto que no existe disposición legal que ordene de manera expresa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deba contar en sus archivos con un documento denominado “</w:t>
      </w:r>
      <w:r w:rsidRPr="0086781A">
        <w:rPr>
          <w:rFonts w:ascii="Palatino Linotype" w:eastAsia="Palatino Linotype" w:hAnsi="Palatino Linotype" w:cs="Palatino Linotype"/>
          <w:i/>
          <w:color w:val="0D0D0D" w:themeColor="text1" w:themeTint="F2"/>
        </w:rPr>
        <w:t>currículum vitae</w:t>
      </w:r>
      <w:r w:rsidRPr="0086781A">
        <w:rPr>
          <w:rFonts w:ascii="Palatino Linotype" w:eastAsia="Palatino Linotype" w:hAnsi="Palatino Linotype" w:cs="Palatino Linotype"/>
          <w:color w:val="0D0D0D" w:themeColor="text1" w:themeTint="F2"/>
        </w:rPr>
        <w:t xml:space="preserve">” de sus servidores públicos, también lo es que para </w:t>
      </w:r>
      <w:r w:rsidRPr="0086781A">
        <w:rPr>
          <w:rFonts w:ascii="Palatino Linotype" w:eastAsia="Palatino Linotype" w:hAnsi="Palatino Linotype" w:cs="Palatino Linotype"/>
          <w:color w:val="0D0D0D" w:themeColor="text1" w:themeTint="F2"/>
        </w:rPr>
        <w:lastRenderedPageBreak/>
        <w:t xml:space="preserve">el desempeño de un empleo, cargo o comisión en el servició público sí es requisito, entre otros, presentar una solicitud del empleo, como se desprende del artículo 47 fracción I de la Ley del Trabajo para los Servidores Públicos del Estado y Municipios. </w:t>
      </w:r>
    </w:p>
    <w:p w14:paraId="2C5AB7E2"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w:t>
      </w:r>
    </w:p>
    <w:p w14:paraId="2F4D16FE"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manera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podría atender el requerimiento de información a través de la entrega, en versión pública de ser necesario, del currículum vitae, la solicitud de empleo, ficha curricular o cualquier documento análogo en el que se advierta la formación académica y la trayectoria laboral de los servidores públicos faltantes, en razón de que se trata de documentos que se encuentran en su posesión derivado de su facultad para establecer relaciones de trabajo, y que resultan ser los documentos idóneos para satisfacer el requerimiento planteado, de acuerdo a sus características.</w:t>
      </w:r>
    </w:p>
    <w:p w14:paraId="3B77E976" w14:textId="77777777" w:rsidR="00F16734" w:rsidRPr="0086781A" w:rsidRDefault="00FB681D">
      <w:pPr>
        <w:numPr>
          <w:ilvl w:val="0"/>
          <w:numId w:val="8"/>
        </w:numPr>
        <w:pBdr>
          <w:top w:val="nil"/>
          <w:left w:val="nil"/>
          <w:bottom w:val="nil"/>
          <w:right w:val="nil"/>
          <w:between w:val="nil"/>
        </w:pBdr>
        <w:tabs>
          <w:tab w:val="left" w:pos="426"/>
        </w:tabs>
        <w:spacing w:before="240" w:line="276" w:lineRule="auto"/>
        <w:ind w:left="142" w:right="851" w:hanging="284"/>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Certificado de no antecedentes penales</w:t>
      </w:r>
    </w:p>
    <w:p w14:paraId="02442FE2" w14:textId="77777777" w:rsidR="00F16734" w:rsidRPr="0086781A" w:rsidRDefault="00F16734">
      <w:pPr>
        <w:pBdr>
          <w:top w:val="nil"/>
          <w:left w:val="nil"/>
          <w:bottom w:val="nil"/>
          <w:right w:val="nil"/>
          <w:between w:val="nil"/>
        </w:pBdr>
        <w:tabs>
          <w:tab w:val="left" w:pos="426"/>
        </w:tabs>
        <w:spacing w:before="240" w:line="276" w:lineRule="auto"/>
        <w:ind w:left="142" w:right="851"/>
        <w:jc w:val="both"/>
        <w:rPr>
          <w:rFonts w:ascii="Palatino Linotype" w:eastAsia="Palatino Linotype" w:hAnsi="Palatino Linotype" w:cs="Palatino Linotype"/>
          <w:b/>
          <w:color w:val="0D0D0D" w:themeColor="text1" w:themeTint="F2"/>
          <w:sz w:val="22"/>
          <w:szCs w:val="22"/>
        </w:rPr>
      </w:pPr>
    </w:p>
    <w:p w14:paraId="0CEDA6AE"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Para abordar este punto, debe tenerse en cuenta que el artículo 47 de la Ley del Trabajo de los Servidores Públicos del Estado y Municipios, refiere </w:t>
      </w:r>
      <w:proofErr w:type="gramStart"/>
      <w:r w:rsidRPr="0086781A">
        <w:rPr>
          <w:rFonts w:ascii="Palatino Linotype" w:eastAsia="Palatino Linotype" w:hAnsi="Palatino Linotype" w:cs="Palatino Linotype"/>
          <w:color w:val="0D0D0D" w:themeColor="text1" w:themeTint="F2"/>
        </w:rPr>
        <w:t>que</w:t>
      </w:r>
      <w:proofErr w:type="gramEnd"/>
      <w:r w:rsidRPr="0086781A">
        <w:rPr>
          <w:rFonts w:ascii="Palatino Linotype" w:eastAsia="Palatino Linotype" w:hAnsi="Palatino Linotype" w:cs="Palatino Linotype"/>
          <w:color w:val="0D0D0D" w:themeColor="text1" w:themeTint="F2"/>
        </w:rPr>
        <w:t xml:space="preserve"> para ingresar al servicio público, se requiere, entre otras cosas, cumplir con diversos requisitos, los cuales se citan a continuación:</w:t>
      </w:r>
    </w:p>
    <w:p w14:paraId="14200FD2"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2D0BB503"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“ARTÍCULO 47.</w:t>
      </w:r>
      <w:r w:rsidRPr="0086781A">
        <w:rPr>
          <w:rFonts w:ascii="Palatino Linotype" w:eastAsia="Palatino Linotype" w:hAnsi="Palatino Linotype" w:cs="Palatino Linotype"/>
          <w:i/>
          <w:color w:val="0D0D0D" w:themeColor="text1" w:themeTint="F2"/>
          <w:sz w:val="22"/>
          <w:szCs w:val="22"/>
        </w:rPr>
        <w:t xml:space="preserve"> Para ingresar al servicio público se requiere:</w:t>
      </w:r>
    </w:p>
    <w:p w14:paraId="352BF47E"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 Presentar una solicitud utilizando la forma oficial que se autorice por la institución pública o dependencia correspondiente;</w:t>
      </w:r>
    </w:p>
    <w:p w14:paraId="724F5109"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II. Ser de nacionalidad mexicana, con la excepción prevista en el artículo 17 de la presente ley; </w:t>
      </w:r>
    </w:p>
    <w:p w14:paraId="67E4C4DC"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III. Estar en pleno ejercicio de sus derechos civiles y políticos, en su caso;</w:t>
      </w:r>
    </w:p>
    <w:p w14:paraId="4E611472"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IV. Acreditar, cuando proceda, el cumplimiento de la Ley del Servicio Militar Nacional;</w:t>
      </w:r>
    </w:p>
    <w:p w14:paraId="7D5A4229"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 Derogada.</w:t>
      </w:r>
    </w:p>
    <w:p w14:paraId="0AA91C8E"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 No haber sido separado anteriormente del servicio por las causas previstas en el artículo 93 de la presente ley;</w:t>
      </w:r>
    </w:p>
    <w:p w14:paraId="14B9183B"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VII. Tener buena salud, lo que se comprobará con los certificados médicos correspondientes, en la forma en que se establezca en cada institución pública;</w:t>
      </w:r>
    </w:p>
    <w:p w14:paraId="1BE33C18"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VIII. Cumplir con los requisitos que se establezcan para los diferentes puestos;</w:t>
      </w:r>
    </w:p>
    <w:p w14:paraId="77852215"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IX. Acreditar por medio de los exámenes correspondientes los conocimientos y aptitudes necesarios para el desempeño del puesto; y </w:t>
      </w:r>
    </w:p>
    <w:p w14:paraId="497976C4"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X. No estar inhabilitado para el ejercicio del servicio público.</w:t>
      </w:r>
    </w:p>
    <w:p w14:paraId="53CE0FD9" w14:textId="77777777" w:rsidR="00F16734" w:rsidRPr="0086781A" w:rsidRDefault="00FB681D">
      <w:pPr>
        <w:spacing w:line="276" w:lineRule="auto"/>
        <w:ind w:left="567" w:right="53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342DF16" w14:textId="77777777" w:rsidR="00F16734" w:rsidRPr="0086781A" w:rsidRDefault="00F16734">
      <w:pPr>
        <w:spacing w:line="360" w:lineRule="auto"/>
        <w:jc w:val="both"/>
        <w:rPr>
          <w:rFonts w:ascii="Palatino Linotype" w:eastAsia="Palatino Linotype" w:hAnsi="Palatino Linotype" w:cs="Palatino Linotype"/>
          <w:b/>
          <w:color w:val="0D0D0D" w:themeColor="text1" w:themeTint="F2"/>
          <w:sz w:val="22"/>
          <w:szCs w:val="22"/>
        </w:rPr>
      </w:pPr>
    </w:p>
    <w:p w14:paraId="57750E01"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40A7335A"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 xml:space="preserve"> “</w:t>
      </w:r>
      <w:r w:rsidRPr="0086781A">
        <w:rPr>
          <w:rFonts w:ascii="Palatino Linotype" w:eastAsia="Palatino Linotype" w:hAnsi="Palatino Linotype" w:cs="Palatino Linotype"/>
          <w:b/>
          <w:i/>
          <w:color w:val="0D0D0D" w:themeColor="text1" w:themeTint="F2"/>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86781A">
        <w:rPr>
          <w:rFonts w:ascii="Palatino Linotype" w:eastAsia="Palatino Linotype" w:hAnsi="Palatino Linotype" w:cs="Palatino Linotype"/>
          <w:i/>
          <w:color w:val="0D0D0D" w:themeColor="text1" w:themeTint="F2"/>
          <w:sz w:val="22"/>
          <w:szCs w:val="22"/>
        </w:rPr>
        <w:t>, lo que se traduce en una violación de derecho y libertades consagrados en nuestra Carta Magna y en la propia Ley Federal para Prevenir y Eliminar la Discriminación, específicamente en su artículo 1, fracción III.</w:t>
      </w:r>
    </w:p>
    <w:p w14:paraId="6969C841" w14:textId="77777777" w:rsidR="00F16734" w:rsidRPr="0086781A" w:rsidRDefault="00FB681D">
      <w:pP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86781A">
        <w:rPr>
          <w:rFonts w:ascii="Palatino Linotype" w:eastAsia="Palatino Linotype" w:hAnsi="Palatino Linotype" w:cs="Palatino Linotype"/>
          <w:i/>
          <w:color w:val="0D0D0D" w:themeColor="text1" w:themeTint="F2"/>
          <w:sz w:val="22"/>
          <w:szCs w:val="22"/>
        </w:rPr>
        <w:t>” (Énfasis añadido)</w:t>
      </w:r>
    </w:p>
    <w:p w14:paraId="1A34472C"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629B297D" w14:textId="77777777" w:rsidR="00FE0128" w:rsidRPr="0086781A" w:rsidRDefault="00FB681D" w:rsidP="00BA6436">
      <w:pP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servicio público es inexistente, </w:t>
      </w:r>
      <w:r w:rsidR="00FE0128" w:rsidRPr="0086781A">
        <w:rPr>
          <w:rFonts w:ascii="Palatino Linotype" w:eastAsia="Palatino Linotype" w:hAnsi="Palatino Linotype" w:cs="Palatino Linotype"/>
          <w:color w:val="0D0D0D" w:themeColor="text1" w:themeTint="F2"/>
        </w:rPr>
        <w:t>sin embargo, para el caso en el que los servidores públicos referidos en la solicitud de información se encontraran dados de alta previa derogación de esta porción</w:t>
      </w:r>
      <w:r w:rsidR="006F3BD7" w:rsidRPr="0086781A">
        <w:rPr>
          <w:rFonts w:ascii="Palatino Linotype" w:eastAsia="Palatino Linotype" w:hAnsi="Palatino Linotype" w:cs="Palatino Linotype"/>
          <w:color w:val="0D0D0D" w:themeColor="text1" w:themeTint="F2"/>
        </w:rPr>
        <w:t xml:space="preserve"> normativa,  y por ello se encontraron obligados a proporcionar dicho documento el Sujeto Obligado </w:t>
      </w:r>
      <w:r w:rsidR="00FE0128" w:rsidRPr="0086781A">
        <w:rPr>
          <w:rFonts w:ascii="Palatino Linotype" w:eastAsia="Palatino Linotype" w:hAnsi="Palatino Linotype" w:cs="Palatino Linotype"/>
          <w:color w:val="0D0D0D" w:themeColor="text1" w:themeTint="F2"/>
        </w:rPr>
        <w:t xml:space="preserve">deberá </w:t>
      </w:r>
      <w:r w:rsidR="00BA6436" w:rsidRPr="0086781A">
        <w:rPr>
          <w:rFonts w:ascii="Palatino Linotype" w:eastAsia="Palatino Linotype" w:hAnsi="Palatino Linotype" w:cs="Palatino Linotype"/>
          <w:color w:val="0D0D0D" w:themeColor="text1" w:themeTint="F2"/>
        </w:rPr>
        <w:t xml:space="preserve">hacer entrega del mismo </w:t>
      </w:r>
      <w:r w:rsidR="00FE0128" w:rsidRPr="0086781A">
        <w:rPr>
          <w:rFonts w:ascii="Palatino Linotype" w:hAnsi="Palatino Linotype"/>
          <w:color w:val="0D0D0D" w:themeColor="text1" w:themeTint="F2"/>
        </w:rPr>
        <w:t xml:space="preserve">en versión pública, al contener información confidencial en términos de los artículos 143, fracción I de la Ley de </w:t>
      </w:r>
      <w:r w:rsidR="00FE0128" w:rsidRPr="0086781A">
        <w:rPr>
          <w:rFonts w:ascii="Palatino Linotype" w:hAnsi="Palatino Linotype"/>
          <w:color w:val="0D0D0D" w:themeColor="text1" w:themeTint="F2"/>
        </w:rPr>
        <w:lastRenderedPageBreak/>
        <w:t>Transparencia del Estado de México y Municipios y 4, fracciones VII y VIII de la Ley de Protección de Datos Personales del Estado de México.</w:t>
      </w:r>
    </w:p>
    <w:p w14:paraId="75939DB0" w14:textId="77777777" w:rsidR="00FE0128" w:rsidRPr="0086781A" w:rsidRDefault="00FE0128" w:rsidP="00FE0128">
      <w:pPr>
        <w:pStyle w:val="NormalWeb"/>
        <w:spacing w:before="240" w:beforeAutospacing="0" w:after="240" w:afterAutospacing="0" w:line="360" w:lineRule="auto"/>
        <w:ind w:right="49"/>
        <w:jc w:val="both"/>
        <w:rPr>
          <w:color w:val="0D0D0D" w:themeColor="text1" w:themeTint="F2"/>
        </w:rPr>
      </w:pPr>
      <w:r w:rsidRPr="0086781A">
        <w:rPr>
          <w:rFonts w:ascii="Palatino Linotype" w:hAnsi="Palatino Linotype"/>
          <w:color w:val="0D0D0D" w:themeColor="text1" w:themeTint="F2"/>
        </w:rPr>
        <w:t>Ahora bien, 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del derecho adoptado como preferente que sea el adecuado para el logro de un fin constitucionalmente válido o apto para conseguir el fin pretendido (idoneidad),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w:t>
      </w:r>
    </w:p>
    <w:p w14:paraId="3B155DC0" w14:textId="77777777" w:rsidR="00F16734" w:rsidRPr="0086781A" w:rsidRDefault="00FE0128" w:rsidP="00FE0128">
      <w:pPr>
        <w:pStyle w:val="NormalWeb"/>
        <w:spacing w:before="240" w:beforeAutospacing="0" w:after="240" w:afterAutospacing="0" w:line="360" w:lineRule="auto"/>
        <w:ind w:right="51"/>
        <w:jc w:val="both"/>
        <w:rPr>
          <w:rFonts w:ascii="Palatino Linotype" w:hAnsi="Palatino Linotype"/>
          <w:color w:val="0D0D0D" w:themeColor="text1" w:themeTint="F2"/>
        </w:rPr>
      </w:pPr>
      <w:r w:rsidRPr="0086781A">
        <w:rPr>
          <w:rFonts w:ascii="Palatino Linotype" w:hAnsi="Palatino Linotype"/>
          <w:color w:val="0D0D0D" w:themeColor="text1" w:themeTint="F2"/>
        </w:rPr>
        <w:t xml:space="preserve">En consecuencia, el </w:t>
      </w:r>
      <w:r w:rsidRPr="0086781A">
        <w:rPr>
          <w:rFonts w:ascii="Palatino Linotype" w:hAnsi="Palatino Linotype"/>
          <w:b/>
          <w:bCs/>
          <w:color w:val="0D0D0D" w:themeColor="text1" w:themeTint="F2"/>
        </w:rPr>
        <w:t>Sujeto Obligado</w:t>
      </w:r>
      <w:r w:rsidRPr="0086781A">
        <w:rPr>
          <w:rFonts w:ascii="Palatino Linotype" w:hAnsi="Palatino Linotype"/>
          <w:color w:val="0D0D0D" w:themeColor="text1" w:themeTint="F2"/>
        </w:rPr>
        <w:t xml:space="preserve"> tiene la posibilidad de otorgar satisfacción al presente requerimiento, por lo que resulta p</w:t>
      </w:r>
      <w:r w:rsidR="00BA6436" w:rsidRPr="0086781A">
        <w:rPr>
          <w:rFonts w:ascii="Palatino Linotype" w:hAnsi="Palatino Linotype"/>
          <w:color w:val="0D0D0D" w:themeColor="text1" w:themeTint="F2"/>
        </w:rPr>
        <w:t xml:space="preserve">rocedente ordenar la entrega de los </w:t>
      </w:r>
      <w:r w:rsidRPr="0086781A">
        <w:rPr>
          <w:rFonts w:ascii="Palatino Linotype" w:hAnsi="Palatino Linotype"/>
          <w:color w:val="0D0D0D" w:themeColor="text1" w:themeTint="F2"/>
        </w:rPr>
        <w:t>certificado</w:t>
      </w:r>
      <w:r w:rsidR="00BA6436" w:rsidRPr="0086781A">
        <w:rPr>
          <w:rFonts w:ascii="Palatino Linotype" w:hAnsi="Palatino Linotype"/>
          <w:color w:val="0D0D0D" w:themeColor="text1" w:themeTint="F2"/>
        </w:rPr>
        <w:t>s</w:t>
      </w:r>
      <w:r w:rsidRPr="0086781A">
        <w:rPr>
          <w:rFonts w:ascii="Palatino Linotype" w:hAnsi="Palatino Linotype"/>
          <w:color w:val="0D0D0D" w:themeColor="text1" w:themeTint="F2"/>
        </w:rPr>
        <w:t xml:space="preserve"> de </w:t>
      </w:r>
      <w:r w:rsidR="00BA6436" w:rsidRPr="0086781A">
        <w:rPr>
          <w:rFonts w:ascii="Palatino Linotype" w:hAnsi="Palatino Linotype"/>
          <w:color w:val="0D0D0D" w:themeColor="text1" w:themeTint="F2"/>
        </w:rPr>
        <w:t xml:space="preserve">no antecedentes no penales de los servidores públicos que en su caso hayan ingresado previo a la derogación de la Proción normativa antes señalada, </w:t>
      </w:r>
      <w:r w:rsidRPr="0086781A">
        <w:rPr>
          <w:rFonts w:ascii="Palatino Linotype" w:hAnsi="Palatino Linotype"/>
          <w:color w:val="0D0D0D" w:themeColor="text1" w:themeTint="F2"/>
        </w:rPr>
        <w:t xml:space="preserve">en versión pública de acuerdo a lo señalado por el considerando siguiente, </w:t>
      </w:r>
      <w:r w:rsidRPr="0086781A">
        <w:rPr>
          <w:rFonts w:ascii="Palatino Linotype" w:eastAsia="Palatino Linotype" w:hAnsi="Palatino Linotype" w:cs="Palatino Linotype"/>
          <w:color w:val="0D0D0D" w:themeColor="text1" w:themeTint="F2"/>
        </w:rPr>
        <w:t xml:space="preserve">no obstante, </w:t>
      </w:r>
      <w:r w:rsidR="00BA6436" w:rsidRPr="0086781A">
        <w:rPr>
          <w:rFonts w:ascii="Palatino Linotype" w:eastAsia="Palatino Linotype" w:hAnsi="Palatino Linotype" w:cs="Palatino Linotype"/>
          <w:color w:val="0D0D0D" w:themeColor="text1" w:themeTint="F2"/>
        </w:rPr>
        <w:t xml:space="preserve">en </w:t>
      </w:r>
      <w:r w:rsidRPr="0086781A">
        <w:rPr>
          <w:rFonts w:ascii="Palatino Linotype" w:eastAsia="Palatino Linotype" w:hAnsi="Palatino Linotype" w:cs="Palatino Linotype"/>
          <w:color w:val="0D0D0D" w:themeColor="text1" w:themeTint="F2"/>
        </w:rPr>
        <w:t xml:space="preserve">el supuesto en el que derivado de la búsqueda exhaustiva y razonable practicada al patrimonio documental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no se localizara la información requerida,</w:t>
      </w:r>
      <w:r w:rsidR="00BA6436" w:rsidRPr="0086781A">
        <w:rPr>
          <w:rFonts w:ascii="Palatino Linotype" w:eastAsia="Palatino Linotype" w:hAnsi="Palatino Linotype" w:cs="Palatino Linotype"/>
          <w:color w:val="0D0D0D" w:themeColor="text1" w:themeTint="F2"/>
        </w:rPr>
        <w:t xml:space="preserve"> por no actualizarse el supuesto,</w:t>
      </w:r>
      <w:r w:rsidRPr="0086781A">
        <w:rPr>
          <w:rFonts w:ascii="Palatino Linotype" w:eastAsia="Palatino Linotype" w:hAnsi="Palatino Linotype" w:cs="Palatino Linotype"/>
          <w:color w:val="0D0D0D" w:themeColor="text1" w:themeTint="F2"/>
        </w:rPr>
        <w:t xml:space="preserve"> </w:t>
      </w:r>
      <w:r w:rsidR="00C61048" w:rsidRPr="0086781A">
        <w:rPr>
          <w:rFonts w:ascii="Palatino Linotype" w:eastAsia="Palatino Linotype" w:hAnsi="Palatino Linotype" w:cs="Palatino Linotype"/>
          <w:color w:val="0D0D0D" w:themeColor="text1" w:themeTint="F2"/>
        </w:rPr>
        <w:t xml:space="preserve">esto es que por la fecha en </w:t>
      </w:r>
      <w:r w:rsidR="00C61048" w:rsidRPr="0086781A">
        <w:rPr>
          <w:rFonts w:ascii="Palatino Linotype" w:eastAsia="Palatino Linotype" w:hAnsi="Palatino Linotype" w:cs="Palatino Linotype"/>
          <w:color w:val="0D0D0D" w:themeColor="text1" w:themeTint="F2"/>
        </w:rPr>
        <w:lastRenderedPageBreak/>
        <w:t xml:space="preserve">la que se dieron de alta ya no estuvieran obligados a proporcionarlo, </w:t>
      </w:r>
      <w:r w:rsidRPr="0086781A">
        <w:rPr>
          <w:rFonts w:ascii="Palatino Linotype" w:eastAsia="Palatino Linotype" w:hAnsi="Palatino Linotype" w:cs="Palatino Linotype"/>
          <w:color w:val="0D0D0D" w:themeColor="text1" w:themeTint="F2"/>
        </w:rPr>
        <w:t>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w:t>
      </w:r>
    </w:p>
    <w:p w14:paraId="3DBA6F7C" w14:textId="77777777" w:rsidR="00F16734" w:rsidRPr="0086781A" w:rsidRDefault="00FB681D">
      <w:pPr>
        <w:numPr>
          <w:ilvl w:val="0"/>
          <w:numId w:val="8"/>
        </w:numPr>
        <w:pBdr>
          <w:top w:val="nil"/>
          <w:left w:val="nil"/>
          <w:bottom w:val="nil"/>
          <w:right w:val="nil"/>
          <w:between w:val="nil"/>
        </w:pBdr>
        <w:tabs>
          <w:tab w:val="left" w:pos="426"/>
        </w:tabs>
        <w:spacing w:before="240" w:line="276" w:lineRule="auto"/>
        <w:ind w:left="142" w:right="851" w:hanging="142"/>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 xml:space="preserve">Listas de asistencia </w:t>
      </w:r>
    </w:p>
    <w:p w14:paraId="3453AEA1" w14:textId="77777777" w:rsidR="00F16734" w:rsidRPr="0086781A" w:rsidRDefault="00F16734">
      <w:pPr>
        <w:pBdr>
          <w:top w:val="nil"/>
          <w:left w:val="nil"/>
          <w:bottom w:val="nil"/>
          <w:right w:val="nil"/>
          <w:between w:val="nil"/>
        </w:pBdr>
        <w:jc w:val="both"/>
        <w:rPr>
          <w:rFonts w:ascii="Palatino Linotype" w:eastAsia="Palatino Linotype" w:hAnsi="Palatino Linotype" w:cs="Palatino Linotype"/>
          <w:b/>
          <w:color w:val="0D0D0D" w:themeColor="text1" w:themeTint="F2"/>
          <w:sz w:val="22"/>
          <w:szCs w:val="22"/>
        </w:rPr>
      </w:pPr>
    </w:p>
    <w:p w14:paraId="095F3461"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Para estudiar este requerimiento, conviene iniciar señalando que en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14:paraId="24691135" w14:textId="77777777" w:rsidR="00F16734" w:rsidRPr="0086781A" w:rsidRDefault="00F16734">
      <w:pPr>
        <w:rPr>
          <w:color w:val="0D0D0D" w:themeColor="text1" w:themeTint="F2"/>
        </w:rPr>
      </w:pPr>
    </w:p>
    <w:p w14:paraId="6DC5D8EC"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49.-</w:t>
      </w:r>
      <w:r w:rsidRPr="0086781A">
        <w:rPr>
          <w:rFonts w:ascii="Palatino Linotype" w:eastAsia="Palatino Linotype" w:hAnsi="Palatino Linotype" w:cs="Palatino Linotype"/>
          <w:i/>
          <w:color w:val="0D0D0D" w:themeColor="text1" w:themeTint="F2"/>
          <w:sz w:val="22"/>
          <w:szCs w:val="22"/>
        </w:rPr>
        <w:t xml:space="preserve"> Los nombramientos, contratos o formato único de Movimientos de Personal de los servidores públicos deberán contener:</w:t>
      </w:r>
    </w:p>
    <w:p w14:paraId="5A1FB830" w14:textId="77777777" w:rsidR="00F16734" w:rsidRPr="0086781A" w:rsidRDefault="00F16734">
      <w:pPr>
        <w:rPr>
          <w:color w:val="0D0D0D" w:themeColor="text1" w:themeTint="F2"/>
        </w:rPr>
      </w:pPr>
    </w:p>
    <w:p w14:paraId="0DE9FD5B"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 Nombre completo del servidor público; </w:t>
      </w:r>
    </w:p>
    <w:p w14:paraId="64A93F75"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II. Cargo para el que es designado, fecha de inicio de sus servicios y lugar de adscripción; </w:t>
      </w:r>
    </w:p>
    <w:p w14:paraId="4BF45C92"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III. Carácter del nombramiento, ya sea de servidores públicos generales o de confianza, así como la temporalidad del mismo; </w:t>
      </w:r>
    </w:p>
    <w:p w14:paraId="78902A8C"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IV. Remuneración correspondiente al puesto; </w:t>
      </w:r>
    </w:p>
    <w:p w14:paraId="4DBD3113"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V. Jornada de trabajo; </w:t>
      </w:r>
    </w:p>
    <w:p w14:paraId="6E107540"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VI. Derogada; </w:t>
      </w:r>
    </w:p>
    <w:p w14:paraId="086EFFCE"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VII. Firma del servidor público autorizado para emitir el nombramiento, contrato o formato único de Movimientos de Personal, así como el fundamento legal de esa atribución.”</w:t>
      </w:r>
    </w:p>
    <w:p w14:paraId="25583683" w14:textId="77777777" w:rsidR="00F16734" w:rsidRPr="0086781A" w:rsidRDefault="00F16734">
      <w:pPr>
        <w:rPr>
          <w:color w:val="0D0D0D" w:themeColor="text1" w:themeTint="F2"/>
        </w:rPr>
      </w:pPr>
    </w:p>
    <w:p w14:paraId="44300DAA"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 xml:space="preserve">Del citado ordenamiento legal, se advierte que, en los nombramientos, contratos o formatos únicos de movimientos de personal, deben contener, entre otros requisitos, la jornada de trabajo; </w:t>
      </w:r>
      <w:r w:rsidRPr="0086781A">
        <w:rPr>
          <w:rFonts w:ascii="Palatino Linotype" w:eastAsia="Palatino Linotype" w:hAnsi="Palatino Linotype" w:cs="Palatino Linotype"/>
          <w:b/>
          <w:color w:val="0D0D0D" w:themeColor="text1" w:themeTint="F2"/>
        </w:rPr>
        <w:t>es decir el periodo o espacio de tiempo por el cual el servidor público prestará su servicio al ente público del que se trate</w:t>
      </w:r>
      <w:r w:rsidRPr="0086781A">
        <w:rPr>
          <w:rFonts w:ascii="Palatino Linotype" w:eastAsia="Palatino Linotype" w:hAnsi="Palatino Linotype" w:cs="Palatino Linotype"/>
          <w:color w:val="0D0D0D" w:themeColor="text1" w:themeTint="F2"/>
        </w:rPr>
        <w:t xml:space="preserve">, lo que se </w:t>
      </w:r>
      <w:r w:rsidRPr="0086781A">
        <w:rPr>
          <w:rFonts w:ascii="Palatino Linotype" w:eastAsia="Palatino Linotype" w:hAnsi="Palatino Linotype" w:cs="Palatino Linotype"/>
          <w:color w:val="0D0D0D" w:themeColor="text1" w:themeTint="F2"/>
        </w:rPr>
        <w:lastRenderedPageBreak/>
        <w:t>robustece con lo establecido en los artículos 56 y 59 del mismo ordenamiento legal, que dispone lo siguiente: </w:t>
      </w:r>
    </w:p>
    <w:p w14:paraId="028916F1" w14:textId="77777777" w:rsidR="00F16734" w:rsidRPr="0086781A" w:rsidRDefault="00F16734">
      <w:pPr>
        <w:ind w:left="567" w:right="851"/>
        <w:rPr>
          <w:color w:val="0D0D0D" w:themeColor="text1" w:themeTint="F2"/>
        </w:rPr>
      </w:pPr>
    </w:p>
    <w:p w14:paraId="6041C968"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56</w:t>
      </w:r>
      <w:r w:rsidRPr="0086781A">
        <w:rPr>
          <w:rFonts w:ascii="Palatino Linotype" w:eastAsia="Palatino Linotype" w:hAnsi="Palatino Linotype" w:cs="Palatino Linotype"/>
          <w:i/>
          <w:color w:val="0D0D0D" w:themeColor="text1" w:themeTint="F2"/>
          <w:sz w:val="22"/>
          <w:szCs w:val="22"/>
        </w:rPr>
        <w:t>. Las condiciones generales de trabajo, establecerán como mínimo:</w:t>
      </w:r>
    </w:p>
    <w:p w14:paraId="56D87AEA"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 Duración de la jornada de trabajo;</w:t>
      </w:r>
    </w:p>
    <w:p w14:paraId="49F05593"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 </w:t>
      </w:r>
    </w:p>
    <w:p w14:paraId="240FB7D4" w14:textId="77777777" w:rsidR="00F16734" w:rsidRPr="0086781A" w:rsidRDefault="00FB681D">
      <w:pPr>
        <w:pBdr>
          <w:top w:val="nil"/>
          <w:left w:val="nil"/>
          <w:bottom w:val="nil"/>
          <w:right w:val="nil"/>
          <w:between w:val="nil"/>
        </w:pBdr>
        <w:ind w:left="567" w:right="851"/>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59.</w:t>
      </w:r>
      <w:r w:rsidRPr="0086781A">
        <w:rPr>
          <w:rFonts w:ascii="Palatino Linotype" w:eastAsia="Palatino Linotype" w:hAnsi="Palatino Linotype" w:cs="Palatino Linotype"/>
          <w:i/>
          <w:color w:val="0D0D0D" w:themeColor="text1" w:themeTint="F2"/>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0A0C082D"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 </w:t>
      </w:r>
    </w:p>
    <w:p w14:paraId="0AA256C1"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En ese contexto, la duración de la jornada de trabajo puede ser de varias maneras, las cuales se encuentran establecidas en el artículo 60, 61, 62 y 63 de la mencionada Ley de Trabajo que literalmente señalan lo siguiente: </w:t>
      </w:r>
    </w:p>
    <w:p w14:paraId="10E6EAA1" w14:textId="77777777" w:rsidR="00F16734" w:rsidRPr="0086781A" w:rsidRDefault="00F16734">
      <w:pPr>
        <w:rPr>
          <w:color w:val="0D0D0D" w:themeColor="text1" w:themeTint="F2"/>
        </w:rPr>
      </w:pPr>
    </w:p>
    <w:p w14:paraId="05C3E507"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60</w:t>
      </w:r>
      <w:r w:rsidRPr="0086781A">
        <w:rPr>
          <w:rFonts w:ascii="Palatino Linotype" w:eastAsia="Palatino Linotype" w:hAnsi="Palatino Linotype" w:cs="Palatino Linotype"/>
          <w:i/>
          <w:color w:val="0D0D0D" w:themeColor="text1" w:themeTint="F2"/>
          <w:sz w:val="22"/>
          <w:szCs w:val="22"/>
        </w:rPr>
        <w:t>. La jornada de trabajo puede ser diurna, nocturna o mixta, conforme a lo siguiente: </w:t>
      </w:r>
    </w:p>
    <w:p w14:paraId="4735FC68"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 Diurna, la comprendida entre las seis y las veinte horas; </w:t>
      </w:r>
    </w:p>
    <w:p w14:paraId="7D210AD4" w14:textId="77777777" w:rsidR="00F16734" w:rsidRPr="0086781A" w:rsidRDefault="00FB681D">
      <w:pPr>
        <w:pBdr>
          <w:top w:val="nil"/>
          <w:left w:val="nil"/>
          <w:bottom w:val="nil"/>
          <w:right w:val="nil"/>
          <w:between w:val="nil"/>
        </w:pBdr>
        <w:ind w:left="567"/>
        <w:rPr>
          <w:color w:val="0D0D0D" w:themeColor="text1" w:themeTint="F2"/>
        </w:rPr>
      </w:pPr>
      <w:r w:rsidRPr="0086781A">
        <w:rPr>
          <w:rFonts w:ascii="Palatino Linotype" w:eastAsia="Palatino Linotype" w:hAnsi="Palatino Linotype" w:cs="Palatino Linotype"/>
          <w:i/>
          <w:color w:val="0D0D0D" w:themeColor="text1" w:themeTint="F2"/>
          <w:sz w:val="22"/>
          <w:szCs w:val="22"/>
        </w:rPr>
        <w:t>II. Nocturna, la comprendida entre las veinte y las seis horas; y </w:t>
      </w:r>
    </w:p>
    <w:p w14:paraId="77A95A2D" w14:textId="77777777" w:rsidR="00F16734" w:rsidRPr="0086781A" w:rsidRDefault="00FB681D">
      <w:pPr>
        <w:pBdr>
          <w:top w:val="nil"/>
          <w:left w:val="nil"/>
          <w:bottom w:val="nil"/>
          <w:right w:val="nil"/>
          <w:between w:val="nil"/>
        </w:pBdr>
        <w:ind w:left="567"/>
        <w:rPr>
          <w:color w:val="0D0D0D" w:themeColor="text1" w:themeTint="F2"/>
        </w:rPr>
      </w:pPr>
      <w:r w:rsidRPr="0086781A">
        <w:rPr>
          <w:rFonts w:ascii="Palatino Linotype" w:eastAsia="Palatino Linotype" w:hAnsi="Palatino Linotype" w:cs="Palatino Linotype"/>
          <w:i/>
          <w:color w:val="0D0D0D" w:themeColor="text1" w:themeTint="F2"/>
          <w:sz w:val="22"/>
          <w:szCs w:val="22"/>
        </w:rPr>
        <w:t>III. Mixta, la que comprenda períodos de tiempo de las jornadas diurna y nocturna, siempre que el período nocturno sea menor de tres horas y media, pues en caso contrario, se considerará como jornada nocturna. </w:t>
      </w:r>
    </w:p>
    <w:p w14:paraId="36F57798" w14:textId="77777777" w:rsidR="00F16734" w:rsidRPr="0086781A" w:rsidRDefault="00F16734">
      <w:pPr>
        <w:rPr>
          <w:color w:val="0D0D0D" w:themeColor="text1" w:themeTint="F2"/>
        </w:rPr>
      </w:pPr>
    </w:p>
    <w:p w14:paraId="01F9D6D1"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61.</w:t>
      </w:r>
      <w:r w:rsidRPr="0086781A">
        <w:rPr>
          <w:rFonts w:ascii="Palatino Linotype" w:eastAsia="Palatino Linotype" w:hAnsi="Palatino Linotype" w:cs="Palatino Linotype"/>
          <w:i/>
          <w:color w:val="0D0D0D" w:themeColor="text1" w:themeTint="F2"/>
          <w:sz w:val="22"/>
          <w:szCs w:val="22"/>
        </w:rPr>
        <w:t xml:space="preserve"> Cuando la naturaleza del trabajo así lo exija, la jornada se reducirá teniendo en cuenta el número de horas que pueda trabajar un individuo normal sin sufrir quebranto en su salud. </w:t>
      </w:r>
    </w:p>
    <w:p w14:paraId="68B2C62C" w14:textId="77777777" w:rsidR="00F16734" w:rsidRPr="0086781A" w:rsidRDefault="00F16734">
      <w:pPr>
        <w:rPr>
          <w:color w:val="0D0D0D" w:themeColor="text1" w:themeTint="F2"/>
        </w:rPr>
      </w:pPr>
    </w:p>
    <w:p w14:paraId="2D69734F"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62.</w:t>
      </w:r>
      <w:r w:rsidRPr="0086781A">
        <w:rPr>
          <w:rFonts w:ascii="Palatino Linotype" w:eastAsia="Palatino Linotype" w:hAnsi="Palatino Linotype" w:cs="Palatino Linotype"/>
          <w:i/>
          <w:color w:val="0D0D0D" w:themeColor="text1" w:themeTint="F2"/>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417968B4" w14:textId="77777777" w:rsidR="00F16734" w:rsidRPr="0086781A" w:rsidRDefault="00F16734">
      <w:pPr>
        <w:rPr>
          <w:color w:val="0D0D0D" w:themeColor="text1" w:themeTint="F2"/>
        </w:rPr>
      </w:pPr>
    </w:p>
    <w:p w14:paraId="69B29469"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63.</w:t>
      </w:r>
      <w:r w:rsidRPr="0086781A">
        <w:rPr>
          <w:rFonts w:ascii="Palatino Linotype" w:eastAsia="Palatino Linotype" w:hAnsi="Palatino Linotype" w:cs="Palatino Linotype"/>
          <w:i/>
          <w:color w:val="0D0D0D" w:themeColor="text1" w:themeTint="F2"/>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w:t>
      </w:r>
      <w:r w:rsidRPr="0086781A">
        <w:rPr>
          <w:rFonts w:ascii="Palatino Linotype" w:eastAsia="Palatino Linotype" w:hAnsi="Palatino Linotype" w:cs="Palatino Linotype"/>
          <w:i/>
          <w:color w:val="0D0D0D" w:themeColor="text1" w:themeTint="F2"/>
          <w:sz w:val="22"/>
          <w:szCs w:val="22"/>
        </w:rPr>
        <w:lastRenderedPageBreak/>
        <w:t>sus servicios durante la hora de descanso o de comidas, el tiempo correspondiente le será considerado como tiempo efectivo de trabajo.”</w:t>
      </w:r>
    </w:p>
    <w:p w14:paraId="02F463E1" w14:textId="77777777" w:rsidR="00F16734" w:rsidRPr="0086781A" w:rsidRDefault="00F16734">
      <w:pPr>
        <w:rPr>
          <w:color w:val="0D0D0D" w:themeColor="text1" w:themeTint="F2"/>
        </w:rPr>
      </w:pPr>
    </w:p>
    <w:p w14:paraId="74A85925"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7970D94D" w14:textId="77777777" w:rsidR="00F16734" w:rsidRPr="0086781A" w:rsidRDefault="00F16734">
      <w:pPr>
        <w:rPr>
          <w:color w:val="0D0D0D" w:themeColor="text1" w:themeTint="F2"/>
        </w:rPr>
      </w:pPr>
    </w:p>
    <w:p w14:paraId="794D4F49"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88.</w:t>
      </w:r>
      <w:r w:rsidRPr="0086781A">
        <w:rPr>
          <w:rFonts w:ascii="Palatino Linotype" w:eastAsia="Palatino Linotype" w:hAnsi="Palatino Linotype" w:cs="Palatino Linotype"/>
          <w:i/>
          <w:color w:val="0D0D0D" w:themeColor="text1" w:themeTint="F2"/>
          <w:sz w:val="22"/>
          <w:szCs w:val="22"/>
        </w:rPr>
        <w:t xml:space="preserve"> Son obligaciones de los servidores públicos: </w:t>
      </w:r>
    </w:p>
    <w:p w14:paraId="25E7AE83"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441EAF55"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68391E40"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724A7D4D"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VI. Cumplir con las obligaciones que señalan las condiciones generales de trabajo;”</w:t>
      </w:r>
    </w:p>
    <w:p w14:paraId="2EB5DD13" w14:textId="77777777" w:rsidR="00F16734" w:rsidRPr="0086781A" w:rsidRDefault="00F16734">
      <w:pPr>
        <w:rPr>
          <w:color w:val="0D0D0D" w:themeColor="text1" w:themeTint="F2"/>
        </w:rPr>
      </w:pPr>
    </w:p>
    <w:p w14:paraId="11EEDD2C"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13A7AE77" w14:textId="77777777" w:rsidR="00F16734" w:rsidRPr="0086781A" w:rsidRDefault="00F16734">
      <w:pPr>
        <w:rPr>
          <w:color w:val="0D0D0D" w:themeColor="text1" w:themeTint="F2"/>
        </w:rPr>
      </w:pPr>
    </w:p>
    <w:p w14:paraId="22DCB7AA"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93.</w:t>
      </w:r>
      <w:r w:rsidRPr="0086781A">
        <w:rPr>
          <w:rFonts w:ascii="Palatino Linotype" w:eastAsia="Palatino Linotype" w:hAnsi="Palatino Linotype" w:cs="Palatino Linotype"/>
          <w:i/>
          <w:color w:val="0D0D0D" w:themeColor="text1" w:themeTint="F2"/>
          <w:sz w:val="22"/>
          <w:szCs w:val="22"/>
        </w:rPr>
        <w:t xml:space="preserve"> Son causas de rescisión de la relación laboral, sin responsabilidad para las instituciones públicas:</w:t>
      </w:r>
    </w:p>
    <w:p w14:paraId="087EC396"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02220845"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V. Incurrir en cuatro o más faltas de asistencia a sus labores sin causa justificada, dentro de un lapso de treinta días;</w:t>
      </w:r>
    </w:p>
    <w:p w14:paraId="6EA3EA13"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V. Abandonar las labores sin autorización previa o razón plenamente justificada, en contravención a lo establecido en las condiciones generales de trabajo;</w:t>
      </w:r>
    </w:p>
    <w:p w14:paraId="2157BEC9"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3E3EF45E"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lastRenderedPageBreak/>
        <w:t xml:space="preserve">XVII. Sustraer tarjetas o listas de puntualidad y asistencia del lugar destinado para ello, ya sea la del propio servidor público o la de otro, utilizar o registrar asistencia con gafete-credencial o </w:t>
      </w:r>
      <w:proofErr w:type="gramStart"/>
      <w:r w:rsidRPr="0086781A">
        <w:rPr>
          <w:rFonts w:ascii="Palatino Linotype" w:eastAsia="Palatino Linotype" w:hAnsi="Palatino Linotype" w:cs="Palatino Linotype"/>
          <w:i/>
          <w:color w:val="0D0D0D" w:themeColor="text1" w:themeTint="F2"/>
          <w:sz w:val="22"/>
          <w:szCs w:val="22"/>
        </w:rPr>
        <w:t>tarjeta distinto</w:t>
      </w:r>
      <w:proofErr w:type="gramEnd"/>
      <w:r w:rsidRPr="0086781A">
        <w:rPr>
          <w:rFonts w:ascii="Palatino Linotype" w:eastAsia="Palatino Linotype" w:hAnsi="Palatino Linotype" w:cs="Palatino Linotype"/>
          <w:i/>
          <w:color w:val="0D0D0D" w:themeColor="text1" w:themeTint="F2"/>
          <w:sz w:val="22"/>
          <w:szCs w:val="22"/>
        </w:rPr>
        <w:t xml:space="preserve"> al suyo o alterar en cualquier forma los registros de control de puntualidad y asistencia; siempre y cuando no sea resultado de un error involuntario;”</w:t>
      </w:r>
    </w:p>
    <w:p w14:paraId="1031A1B4" w14:textId="77777777" w:rsidR="00F16734" w:rsidRPr="0086781A" w:rsidRDefault="00F16734">
      <w:pPr>
        <w:rPr>
          <w:color w:val="0D0D0D" w:themeColor="text1" w:themeTint="F2"/>
        </w:rPr>
      </w:pPr>
    </w:p>
    <w:p w14:paraId="5B152AEA" w14:textId="77777777" w:rsidR="00F16734" w:rsidRPr="0086781A" w:rsidRDefault="00FB681D">
      <w:pPr>
        <w:pBdr>
          <w:top w:val="nil"/>
          <w:left w:val="nil"/>
          <w:bottom w:val="nil"/>
          <w:right w:val="nil"/>
          <w:between w:val="nil"/>
        </w:pBdr>
        <w:spacing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Ahora bien, para comprobar el cumplimiento de la jornada de trabajo del Servidor Público, de conformidad con lo que establecen la fracción III y el penúltimo párrafo del artículo 220-K de la Ley en cita, precisa que: </w:t>
      </w:r>
    </w:p>
    <w:p w14:paraId="561C3982" w14:textId="77777777" w:rsidR="00F16734" w:rsidRPr="0086781A" w:rsidRDefault="00F16734">
      <w:pPr>
        <w:rPr>
          <w:color w:val="0D0D0D" w:themeColor="text1" w:themeTint="F2"/>
        </w:rPr>
      </w:pPr>
    </w:p>
    <w:p w14:paraId="13D71CA7"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“ARTÍCULO 220 K.-</w:t>
      </w:r>
      <w:r w:rsidRPr="0086781A">
        <w:rPr>
          <w:rFonts w:ascii="Palatino Linotype" w:eastAsia="Palatino Linotype" w:hAnsi="Palatino Linotype" w:cs="Palatino Linotype"/>
          <w:i/>
          <w:color w:val="0D0D0D" w:themeColor="text1" w:themeTint="F2"/>
          <w:sz w:val="22"/>
          <w:szCs w:val="22"/>
        </w:rPr>
        <w:t xml:space="preserve"> La institución o dependencia pública tiene la obligación de conservar y exhibir en el proceso los documentos que a continuación se precisan: </w:t>
      </w:r>
    </w:p>
    <w:p w14:paraId="3E72DFC6"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57FF961B"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III. Controles de asistencia o la información magnética o electrónica de asistencia de los servidores públicos</w:t>
      </w:r>
      <w:r w:rsidRPr="0086781A">
        <w:rPr>
          <w:rFonts w:ascii="Palatino Linotype" w:eastAsia="Palatino Linotype" w:hAnsi="Palatino Linotype" w:cs="Palatino Linotype"/>
          <w:i/>
          <w:color w:val="0D0D0D" w:themeColor="text1" w:themeTint="F2"/>
          <w:sz w:val="22"/>
          <w:szCs w:val="22"/>
        </w:rPr>
        <w:t>; </w:t>
      </w:r>
    </w:p>
    <w:p w14:paraId="032E6839"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w:t>
      </w:r>
    </w:p>
    <w:p w14:paraId="26610117" w14:textId="77777777" w:rsidR="00F16734" w:rsidRPr="0086781A" w:rsidRDefault="00FB681D">
      <w:pPr>
        <w:pBdr>
          <w:top w:val="nil"/>
          <w:left w:val="nil"/>
          <w:bottom w:val="nil"/>
          <w:right w:val="nil"/>
          <w:between w:val="nil"/>
        </w:pBdr>
        <w:ind w:left="567" w:right="567"/>
        <w:jc w:val="both"/>
        <w:rPr>
          <w:color w:val="0D0D0D" w:themeColor="text1" w:themeTint="F2"/>
        </w:rPr>
      </w:pPr>
      <w:r w:rsidRPr="0086781A">
        <w:rPr>
          <w:rFonts w:ascii="Palatino Linotype" w:eastAsia="Palatino Linotype" w:hAnsi="Palatino Linotype" w:cs="Palatino Linotype"/>
          <w:i/>
          <w:color w:val="0D0D0D" w:themeColor="text1" w:themeTint="F2"/>
          <w:sz w:val="22"/>
          <w:szCs w:val="22"/>
        </w:rPr>
        <w:t xml:space="preserve">Los documentos señalados en la fracción I de este artículo, deberán conservarse mientras dure la relación laboral y hasta un año después; </w:t>
      </w:r>
      <w:r w:rsidRPr="0086781A">
        <w:rPr>
          <w:rFonts w:ascii="Palatino Linotype" w:eastAsia="Palatino Linotype" w:hAnsi="Palatino Linotype" w:cs="Palatino Linotype"/>
          <w:b/>
          <w:i/>
          <w:color w:val="0D0D0D" w:themeColor="text1" w:themeTint="F2"/>
          <w:sz w:val="22"/>
          <w:szCs w:val="22"/>
        </w:rPr>
        <w:t>los señalados por las fracciones</w:t>
      </w:r>
      <w:r w:rsidRPr="0086781A">
        <w:rPr>
          <w:rFonts w:ascii="Palatino Linotype" w:eastAsia="Palatino Linotype" w:hAnsi="Palatino Linotype" w:cs="Palatino Linotype"/>
          <w:i/>
          <w:color w:val="0D0D0D" w:themeColor="text1" w:themeTint="F2"/>
          <w:sz w:val="22"/>
          <w:szCs w:val="22"/>
        </w:rPr>
        <w:t xml:space="preserve"> II, </w:t>
      </w:r>
      <w:r w:rsidRPr="0086781A">
        <w:rPr>
          <w:rFonts w:ascii="Palatino Linotype" w:eastAsia="Palatino Linotype" w:hAnsi="Palatino Linotype" w:cs="Palatino Linotype"/>
          <w:b/>
          <w:i/>
          <w:color w:val="0D0D0D" w:themeColor="text1" w:themeTint="F2"/>
          <w:sz w:val="22"/>
          <w:szCs w:val="22"/>
        </w:rPr>
        <w:t>III,</w:t>
      </w:r>
      <w:r w:rsidRPr="0086781A">
        <w:rPr>
          <w:rFonts w:ascii="Palatino Linotype" w:eastAsia="Palatino Linotype" w:hAnsi="Palatino Linotype" w:cs="Palatino Linotype"/>
          <w:i/>
          <w:color w:val="0D0D0D" w:themeColor="text1" w:themeTint="F2"/>
          <w:sz w:val="22"/>
          <w:szCs w:val="22"/>
        </w:rPr>
        <w:t xml:space="preserve"> IV </w:t>
      </w:r>
      <w:r w:rsidRPr="0086781A">
        <w:rPr>
          <w:rFonts w:ascii="Palatino Linotype" w:eastAsia="Palatino Linotype" w:hAnsi="Palatino Linotype" w:cs="Palatino Linotype"/>
          <w:b/>
          <w:i/>
          <w:color w:val="0D0D0D" w:themeColor="text1" w:themeTint="F2"/>
          <w:sz w:val="22"/>
          <w:szCs w:val="22"/>
        </w:rPr>
        <w:t>durante el último año y un año después de que se extinga la relación laboral</w:t>
      </w:r>
      <w:r w:rsidRPr="0086781A">
        <w:rPr>
          <w:rFonts w:ascii="Palatino Linotype" w:eastAsia="Palatino Linotype" w:hAnsi="Palatino Linotype" w:cs="Palatino Linotype"/>
          <w:i/>
          <w:color w:val="0D0D0D" w:themeColor="text1" w:themeTint="F2"/>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273938A" w14:textId="77777777" w:rsidR="00F16734" w:rsidRPr="0086781A" w:rsidRDefault="00F16734">
      <w:pPr>
        <w:pBdr>
          <w:top w:val="nil"/>
          <w:left w:val="nil"/>
          <w:bottom w:val="nil"/>
          <w:right w:val="nil"/>
          <w:between w:val="nil"/>
        </w:pBdr>
        <w:tabs>
          <w:tab w:val="left" w:pos="426"/>
        </w:tabs>
        <w:spacing w:before="240" w:line="276" w:lineRule="auto"/>
        <w:ind w:left="142" w:right="851"/>
        <w:jc w:val="both"/>
        <w:rPr>
          <w:rFonts w:ascii="Palatino Linotype" w:eastAsia="Palatino Linotype" w:hAnsi="Palatino Linotype" w:cs="Palatino Linotype"/>
          <w:b/>
          <w:color w:val="0D0D0D" w:themeColor="text1" w:themeTint="F2"/>
          <w:sz w:val="22"/>
          <w:szCs w:val="22"/>
        </w:rPr>
      </w:pPr>
    </w:p>
    <w:p w14:paraId="56F01137" w14:textId="77777777" w:rsidR="00FE0128" w:rsidRPr="0086781A" w:rsidRDefault="00FE0128">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Asimismo, el Reglamento Orgánico Municipal del Ayuntamiento de Zinacantepec, establece en su artículo 53 lo siguiente: </w:t>
      </w:r>
    </w:p>
    <w:p w14:paraId="52D13D07" w14:textId="77777777" w:rsidR="00BA6436" w:rsidRPr="0086781A" w:rsidRDefault="00BA6436">
      <w:pPr>
        <w:spacing w:line="360" w:lineRule="auto"/>
        <w:jc w:val="both"/>
        <w:rPr>
          <w:rFonts w:ascii="Palatino Linotype" w:eastAsia="Palatino Linotype" w:hAnsi="Palatino Linotype" w:cs="Palatino Linotype"/>
          <w:color w:val="0D0D0D" w:themeColor="text1" w:themeTint="F2"/>
        </w:rPr>
      </w:pPr>
    </w:p>
    <w:p w14:paraId="401F0B69" w14:textId="77777777" w:rsidR="00FE0128" w:rsidRPr="0086781A" w:rsidRDefault="00FE0128" w:rsidP="00FE0128">
      <w:pPr>
        <w:spacing w:line="276" w:lineRule="auto"/>
        <w:ind w:left="567" w:right="851"/>
        <w:jc w:val="both"/>
        <w:rPr>
          <w:rFonts w:ascii="Palatino Linotype" w:eastAsia="Palatino Linotype" w:hAnsi="Palatino Linotype" w:cs="Palatino Linotype"/>
          <w:i/>
          <w:color w:val="0D0D0D" w:themeColor="text1" w:themeTint="F2"/>
          <w:sz w:val="22"/>
        </w:rPr>
      </w:pPr>
      <w:r w:rsidRPr="0086781A">
        <w:rPr>
          <w:rFonts w:ascii="Palatino Linotype" w:eastAsia="Palatino Linotype" w:hAnsi="Palatino Linotype" w:cs="Palatino Linotype"/>
          <w:i/>
          <w:color w:val="0D0D0D" w:themeColor="text1" w:themeTint="F2"/>
          <w:sz w:val="22"/>
        </w:rPr>
        <w:t>“Artículo 53. Además de las previstas en las disposiciones normativas y administrativas en la materia, la Dirección de Administración tiene las siguientes funciones y atribuciones:</w:t>
      </w:r>
    </w:p>
    <w:p w14:paraId="02059B22" w14:textId="77777777" w:rsidR="00FE0128" w:rsidRPr="0086781A" w:rsidRDefault="00FE0128" w:rsidP="00FE0128">
      <w:pPr>
        <w:spacing w:line="276" w:lineRule="auto"/>
        <w:ind w:left="567" w:right="851"/>
        <w:jc w:val="both"/>
        <w:rPr>
          <w:rFonts w:ascii="Palatino Linotype" w:eastAsia="Palatino Linotype" w:hAnsi="Palatino Linotype" w:cs="Palatino Linotype"/>
          <w:i/>
          <w:color w:val="0D0D0D" w:themeColor="text1" w:themeTint="F2"/>
          <w:sz w:val="22"/>
        </w:rPr>
      </w:pPr>
      <w:r w:rsidRPr="0086781A">
        <w:rPr>
          <w:rFonts w:ascii="Palatino Linotype" w:eastAsia="Palatino Linotype" w:hAnsi="Palatino Linotype" w:cs="Palatino Linotype"/>
          <w:i/>
          <w:color w:val="0D0D0D" w:themeColor="text1" w:themeTint="F2"/>
          <w:sz w:val="22"/>
        </w:rPr>
        <w:t>…</w:t>
      </w:r>
    </w:p>
    <w:p w14:paraId="2C1D0E9E" w14:textId="77777777" w:rsidR="00FE0128" w:rsidRPr="0086781A" w:rsidRDefault="00FE0128" w:rsidP="00FE0128">
      <w:pPr>
        <w:spacing w:line="276" w:lineRule="auto"/>
        <w:ind w:left="567" w:right="851"/>
        <w:jc w:val="both"/>
        <w:rPr>
          <w:rFonts w:ascii="Palatino Linotype" w:eastAsia="Palatino Linotype" w:hAnsi="Palatino Linotype" w:cs="Palatino Linotype"/>
          <w:i/>
          <w:color w:val="0D0D0D" w:themeColor="text1" w:themeTint="F2"/>
          <w:sz w:val="22"/>
        </w:rPr>
      </w:pPr>
      <w:r w:rsidRPr="0086781A">
        <w:rPr>
          <w:rFonts w:ascii="Palatino Linotype" w:eastAsia="Palatino Linotype" w:hAnsi="Palatino Linotype" w:cs="Palatino Linotype"/>
          <w:i/>
          <w:color w:val="0D0D0D" w:themeColor="text1" w:themeTint="F2"/>
          <w:sz w:val="22"/>
        </w:rPr>
        <w:t xml:space="preserve">VI. </w:t>
      </w:r>
      <w:r w:rsidRPr="0086781A">
        <w:rPr>
          <w:rFonts w:ascii="Palatino Linotype" w:eastAsia="Palatino Linotype" w:hAnsi="Palatino Linotype" w:cs="Palatino Linotype"/>
          <w:b/>
          <w:i/>
          <w:color w:val="0D0D0D" w:themeColor="text1" w:themeTint="F2"/>
          <w:sz w:val="22"/>
          <w:u w:val="single"/>
        </w:rPr>
        <w:t>Desarrollar un registro para el control de asistencias</w:t>
      </w:r>
      <w:r w:rsidRPr="0086781A">
        <w:rPr>
          <w:rFonts w:ascii="Palatino Linotype" w:eastAsia="Palatino Linotype" w:hAnsi="Palatino Linotype" w:cs="Palatino Linotype"/>
          <w:i/>
          <w:color w:val="0D0D0D" w:themeColor="text1" w:themeTint="F2"/>
          <w:sz w:val="22"/>
        </w:rPr>
        <w:t xml:space="preserve">, nombramientos, remociones, renuncias, licencias, cambios de adscripción, promociones, </w:t>
      </w:r>
      <w:r w:rsidRPr="0086781A">
        <w:rPr>
          <w:rFonts w:ascii="Palatino Linotype" w:eastAsia="Palatino Linotype" w:hAnsi="Palatino Linotype" w:cs="Palatino Linotype"/>
          <w:i/>
          <w:color w:val="0D0D0D" w:themeColor="text1" w:themeTint="F2"/>
          <w:sz w:val="22"/>
        </w:rPr>
        <w:lastRenderedPageBreak/>
        <w:t>incapacidades, vacaciones, días no laborables, y demás días de inconsistencia en los Servidores Públicos Municipales;</w:t>
      </w:r>
    </w:p>
    <w:p w14:paraId="71C67DC4" w14:textId="77777777" w:rsidR="00BA6436" w:rsidRPr="0086781A" w:rsidRDefault="00BA6436">
      <w:pPr>
        <w:spacing w:line="360" w:lineRule="auto"/>
        <w:jc w:val="both"/>
        <w:rPr>
          <w:rFonts w:ascii="Palatino Linotype" w:eastAsia="Palatino Linotype" w:hAnsi="Palatino Linotype" w:cs="Palatino Linotype"/>
          <w:color w:val="0D0D0D" w:themeColor="text1" w:themeTint="F2"/>
        </w:rPr>
      </w:pPr>
    </w:p>
    <w:p w14:paraId="66D3CC26" w14:textId="77777777" w:rsidR="00FE0128" w:rsidRPr="0086781A" w:rsidRDefault="00FE0128">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lo tanto, se colige que existe fuente obligacional para generar, poseer y/o administrar la información requerida. </w:t>
      </w:r>
    </w:p>
    <w:p w14:paraId="664BC90F" w14:textId="77777777" w:rsidR="00FE0128" w:rsidRPr="0086781A" w:rsidRDefault="00FE0128">
      <w:pPr>
        <w:spacing w:line="360" w:lineRule="auto"/>
        <w:jc w:val="both"/>
        <w:rPr>
          <w:rFonts w:ascii="Palatino Linotype" w:eastAsia="Palatino Linotype" w:hAnsi="Palatino Linotype" w:cs="Palatino Linotype"/>
          <w:color w:val="0D0D0D" w:themeColor="text1" w:themeTint="F2"/>
        </w:rPr>
      </w:pPr>
    </w:p>
    <w:p w14:paraId="046D3CF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proofErr w:type="gramStart"/>
      <w:r w:rsidRPr="0086781A">
        <w:rPr>
          <w:rFonts w:ascii="Palatino Linotype" w:eastAsia="Palatino Linotype" w:hAnsi="Palatino Linotype" w:cs="Palatino Linotype"/>
          <w:color w:val="0D0D0D" w:themeColor="text1" w:themeTint="F2"/>
        </w:rPr>
        <w:t>Finalmente</w:t>
      </w:r>
      <w:proofErr w:type="gramEnd"/>
      <w:r w:rsidRPr="0086781A">
        <w:rPr>
          <w:rFonts w:ascii="Palatino Linotype" w:eastAsia="Palatino Linotype" w:hAnsi="Palatino Linotype" w:cs="Palatino Linotype"/>
          <w:color w:val="0D0D0D" w:themeColor="text1" w:themeTint="F2"/>
        </w:rPr>
        <w:t xml:space="preserve"> del análisis a la solicitud de información del particular, se tiene que no señaló una temporalidad en específico sobre la cual requiriera la información, es por ello que conviene traer a colación el contenido del Criterio Orientador SO/003/2019, emitido por el Instituto Nacional de Transparencia, Acceso a la Información y Protección de Datos Personales: </w:t>
      </w:r>
    </w:p>
    <w:p w14:paraId="6DC779A8"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8932442" w14:textId="77777777" w:rsidR="00F16734" w:rsidRPr="0086781A" w:rsidRDefault="00FB681D">
      <w:pPr>
        <w:spacing w:line="276" w:lineRule="auto"/>
        <w:ind w:left="567" w:right="70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Periodo de búsqueda de la información</w:t>
      </w:r>
      <w:r w:rsidRPr="0086781A">
        <w:rPr>
          <w:rFonts w:ascii="Palatino Linotype" w:eastAsia="Palatino Linotype" w:hAnsi="Palatino Linotype" w:cs="Palatino Linotype"/>
          <w:i/>
          <w:color w:val="0D0D0D" w:themeColor="text1" w:themeTint="F2"/>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(Sic) </w:t>
      </w:r>
    </w:p>
    <w:p w14:paraId="5FE2C620" w14:textId="77777777" w:rsidR="00F16734" w:rsidRPr="0086781A" w:rsidRDefault="00FB681D">
      <w:pPr>
        <w:spacing w:before="240" w:after="240" w:line="360" w:lineRule="auto"/>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color w:val="0D0D0D" w:themeColor="text1" w:themeTint="F2"/>
        </w:rPr>
        <w:t xml:space="preserve">De tal suerte que como señala el criterio orientador, al no señalar expresamente la temporalidad respecto de la que requiere la información resultará pertinente considerar que la información peticionada comprende del </w:t>
      </w:r>
      <w:r w:rsidRPr="0086781A">
        <w:rPr>
          <w:rFonts w:ascii="Palatino Linotype" w:eastAsia="Palatino Linotype" w:hAnsi="Palatino Linotype" w:cs="Palatino Linotype"/>
          <w:b/>
          <w:color w:val="0D0D0D" w:themeColor="text1" w:themeTint="F2"/>
        </w:rPr>
        <w:t>14 de septiembre del 2021 al 14 de septiembre de 2022</w:t>
      </w:r>
      <w:r w:rsidRPr="0086781A">
        <w:rPr>
          <w:rFonts w:ascii="Palatino Linotype" w:eastAsia="Palatino Linotype" w:hAnsi="Palatino Linotype" w:cs="Palatino Linotype"/>
          <w:color w:val="0D0D0D" w:themeColor="text1" w:themeTint="F2"/>
        </w:rPr>
        <w:t xml:space="preserve">, por lo que es dable ordenar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una búsqueda exhaustiva y razonable en sus archivos para efectuar la entrega de las listas de asistencia generadas por el Instituto Municipal de Cultura Física y Deporte de Zinacantepec del 14 de septiembre del 2021 al 14 de septiembre de 2022, de ser procedente en versión pública, en términos del considerando quinto. </w:t>
      </w:r>
    </w:p>
    <w:p w14:paraId="19D7A4C6"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Ahora bien, para el caso que no cuente con la lista de asistencia de alguna área, o de determinado periodo, deberá proporcionar el documento que autorice dichas circunstancias, es decir, la expresión documental que establezca la excepción de elaborar listas de asistencia, durante el periodo solicitado; lo anterior, con el fin de acreditar que existe una autorización expresa y dar cumplimiento a los artículos citados en el párrafo anterior, sin embargo, para el caso en el que no cuente con este documento,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 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w:t>
      </w:r>
    </w:p>
    <w:p w14:paraId="00D91008"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2248BD0E"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ese orden de ideas, el Criterio de interpretación, de la Primera Época, con clave de control SO/012/2010, emitido por el Pleno del Instituto Nacional de </w:t>
      </w:r>
      <w:r w:rsidRPr="0086781A">
        <w:rPr>
          <w:rFonts w:ascii="Palatino Linotype" w:eastAsia="Palatino Linotype" w:hAnsi="Palatino Linotype" w:cs="Palatino Linotype"/>
          <w:color w:val="0D0D0D" w:themeColor="text1" w:themeTint="F2"/>
        </w:rPr>
        <w:lastRenderedPageBreak/>
        <w:t xml:space="preserve">Transparencia, Acceso a la Información y Protección de Datos Personales, mismo que se cita por analogía, establece lo siguiente: </w:t>
      </w:r>
    </w:p>
    <w:p w14:paraId="5B8973C3" w14:textId="77777777" w:rsidR="00F16734" w:rsidRPr="0086781A" w:rsidRDefault="00F16734">
      <w:pPr>
        <w:spacing w:line="276" w:lineRule="auto"/>
        <w:jc w:val="both"/>
        <w:rPr>
          <w:rFonts w:ascii="Palatino Linotype" w:eastAsia="Palatino Linotype" w:hAnsi="Palatino Linotype" w:cs="Palatino Linotype"/>
          <w:color w:val="0D0D0D" w:themeColor="text1" w:themeTint="F2"/>
        </w:rPr>
      </w:pPr>
    </w:p>
    <w:p w14:paraId="432AF597" w14:textId="77777777" w:rsidR="00F16734" w:rsidRPr="0086781A" w:rsidRDefault="00FB681D">
      <w:pPr>
        <w:spacing w:line="276"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Propósito de la declaración formal de inexistencia</w:t>
      </w:r>
      <w:r w:rsidRPr="0086781A">
        <w:rPr>
          <w:rFonts w:ascii="Palatino Linotype" w:eastAsia="Palatino Linotype" w:hAnsi="Palatino Linotype" w:cs="Palatino Linotype"/>
          <w:i/>
          <w:color w:val="0D0D0D" w:themeColor="text1" w:themeTint="F2"/>
          <w:sz w:val="22"/>
          <w:szCs w:val="22"/>
        </w:rPr>
        <w:t>.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w:t>
      </w:r>
    </w:p>
    <w:p w14:paraId="621C79AB" w14:textId="77777777" w:rsidR="00F16734" w:rsidRPr="0086781A" w:rsidRDefault="00F16734">
      <w:pPr>
        <w:spacing w:line="276" w:lineRule="auto"/>
        <w:jc w:val="both"/>
        <w:rPr>
          <w:rFonts w:ascii="Palatino Linotype" w:eastAsia="Palatino Linotype" w:hAnsi="Palatino Linotype" w:cs="Palatino Linotype"/>
          <w:color w:val="0D0D0D" w:themeColor="text1" w:themeTint="F2"/>
        </w:rPr>
      </w:pPr>
    </w:p>
    <w:p w14:paraId="797490D3"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 De la misma manera, el Criterio de interpretación, de la Segunda Época, con clave de control SO/004/2019, emitido por el del Instituto Nacional de Transparencia, Acceso a la Información y Protección de Datos Personales, cuyo texto y rubro son los siguientes: </w:t>
      </w:r>
    </w:p>
    <w:p w14:paraId="07E4EA96" w14:textId="77777777" w:rsidR="00F16734" w:rsidRPr="0086781A" w:rsidRDefault="00FB681D">
      <w:pPr>
        <w:spacing w:line="276"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Propósito de la declaración formal de inexistencia.</w:t>
      </w:r>
      <w:r w:rsidRPr="0086781A">
        <w:rPr>
          <w:rFonts w:ascii="Palatino Linotype" w:eastAsia="Palatino Linotype" w:hAnsi="Palatino Linotype" w:cs="Palatino Linotype"/>
          <w:i/>
          <w:color w:val="0D0D0D" w:themeColor="text1" w:themeTint="F2"/>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740840C0"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7BA8F1CB"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1B50F641"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0C03D8A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Asimismo, según Calero, Natalia (2016), en la “Ley General de Transparencia y Acceso a la Información Pública Comentada” (p. 419), las declaraciones de inexistencia, deben contener lo siguiente: </w:t>
      </w:r>
    </w:p>
    <w:p w14:paraId="0A9C667A"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2D1412F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a) Los elementos que le permitan a los solicitantes tener certeza de que el Sujeto Obligado utilizó un criterio de búsqueda exhaustivo:</w:t>
      </w:r>
      <w:r w:rsidRPr="0086781A">
        <w:rPr>
          <w:rFonts w:ascii="Palatino Linotype" w:eastAsia="Palatino Linotype" w:hAnsi="Palatino Linotype" w:cs="Palatino Linotype"/>
          <w:color w:val="0D0D0D" w:themeColor="text1" w:themeTint="F2"/>
        </w:rPr>
        <w:t xml:space="preserve"> Para atender dicho supuesto, se debe precisar en qué unidades administrativas buscó, así como en el tipo de archivos y la manera en que realizó la indagación; </w:t>
      </w:r>
    </w:p>
    <w:p w14:paraId="7627590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b) Las circunstancias de tiempo, modo y lugar que motiven las razones por las cuales la información es inexistente:</w:t>
      </w:r>
      <w:r w:rsidRPr="0086781A">
        <w:rPr>
          <w:rFonts w:ascii="Palatino Linotype" w:eastAsia="Palatino Linotype" w:hAnsi="Palatino Linotype" w:cs="Palatino Linotype"/>
          <w:color w:val="0D0D0D" w:themeColor="text1" w:themeTint="F2"/>
        </w:rPr>
        <w:t xml:space="preserve"> Al respecto, los sujetos obligados para acreditar dicho punto, deberán proveer la mayor cantidad de elementos posibles que permitan evidencia las razones por las cuales la información requerida no existe, y </w:t>
      </w:r>
    </w:p>
    <w:p w14:paraId="5E8E50B4"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c) El servidor público responsable de contar con ésta:</w:t>
      </w:r>
      <w:r w:rsidRPr="0086781A">
        <w:rPr>
          <w:rFonts w:ascii="Palatino Linotype" w:eastAsia="Palatino Linotype" w:hAnsi="Palatino Linotype" w:cs="Palatino Linotype"/>
          <w:color w:val="0D0D0D" w:themeColor="text1" w:themeTint="F2"/>
        </w:rPr>
        <w:t xml:space="preserve"> Es importante indicar, el cargo y las razones jurídicas por las cuales debió generar la información. </w:t>
      </w:r>
    </w:p>
    <w:p w14:paraId="14BB0566"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65CAE521"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Conforme a lo citado, se considera que es necesario que el Sujeto Obligado, declare por medio de su Comité de Transparencia, la inexistencia de los registros de asistencia correspondientes, para el caso que no obre en sus archivos y no cuente con un documento que autorice la omisión a generar dichas documentales;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14:paraId="33C52357"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2CE9A037"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1. Analizar el caso y tomar las medidas necesarias para localizar la información;</w:t>
      </w:r>
    </w:p>
    <w:p w14:paraId="19B42F21"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3080D3F7"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59506F70"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4. Notificar al Órgano Interno de Control o equivalente, a efecto de que inicie el procedimiento de responsabilidad administrativa correspondiente. </w:t>
      </w:r>
    </w:p>
    <w:p w14:paraId="7DD00B2D"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3149C857"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Por tales circunstancias, para dar atención al requerimiento de información, se considera que el Sujeto Obligado deberá proporcionar las documentales solicitadas o declarar la inexistencia de manera formal, de manera fundada y motivada por el Comité de Transparencia, conforme a los criterios previamente establecidos.</w:t>
      </w:r>
    </w:p>
    <w:p w14:paraId="76978958" w14:textId="77777777" w:rsidR="00F16734" w:rsidRPr="0086781A" w:rsidRDefault="00F16734">
      <w:pPr>
        <w:pBdr>
          <w:top w:val="nil"/>
          <w:left w:val="nil"/>
          <w:bottom w:val="nil"/>
          <w:right w:val="nil"/>
          <w:between w:val="nil"/>
        </w:pBdr>
        <w:tabs>
          <w:tab w:val="left" w:pos="426"/>
        </w:tabs>
        <w:spacing w:before="240" w:line="276" w:lineRule="auto"/>
        <w:ind w:right="851"/>
        <w:jc w:val="both"/>
        <w:rPr>
          <w:rFonts w:ascii="Palatino Linotype" w:eastAsia="Palatino Linotype" w:hAnsi="Palatino Linotype" w:cs="Palatino Linotype"/>
          <w:b/>
          <w:color w:val="0D0D0D" w:themeColor="text1" w:themeTint="F2"/>
        </w:rPr>
      </w:pPr>
    </w:p>
    <w:p w14:paraId="2E7CE9B5" w14:textId="77777777" w:rsidR="00F16734" w:rsidRPr="0086781A" w:rsidRDefault="00FB681D">
      <w:pPr>
        <w:numPr>
          <w:ilvl w:val="0"/>
          <w:numId w:val="8"/>
        </w:numPr>
        <w:pBdr>
          <w:top w:val="nil"/>
          <w:left w:val="nil"/>
          <w:bottom w:val="nil"/>
          <w:right w:val="nil"/>
          <w:between w:val="nil"/>
        </w:pBdr>
        <w:tabs>
          <w:tab w:val="left" w:pos="426"/>
        </w:tabs>
        <w:spacing w:before="240" w:line="276" w:lineRule="auto"/>
        <w:ind w:left="142" w:right="851" w:firstLine="0"/>
        <w:jc w:val="both"/>
        <w:rPr>
          <w:rFonts w:ascii="Palatino Linotype" w:eastAsia="Palatino Linotype" w:hAnsi="Palatino Linotype" w:cs="Palatino Linotype"/>
          <w:b/>
          <w:color w:val="0D0D0D" w:themeColor="text1" w:themeTint="F2"/>
          <w:sz w:val="22"/>
          <w:szCs w:val="22"/>
        </w:rPr>
      </w:pPr>
      <w:r w:rsidRPr="0086781A">
        <w:rPr>
          <w:rFonts w:ascii="Palatino Linotype" w:eastAsia="Palatino Linotype" w:hAnsi="Palatino Linotype" w:cs="Palatino Linotype"/>
          <w:b/>
          <w:color w:val="0D0D0D" w:themeColor="text1" w:themeTint="F2"/>
          <w:sz w:val="22"/>
          <w:szCs w:val="22"/>
        </w:rPr>
        <w:t>Declaración Patrimonial</w:t>
      </w:r>
    </w:p>
    <w:p w14:paraId="091E9E99" w14:textId="77777777" w:rsidR="00F16734" w:rsidRPr="0086781A" w:rsidRDefault="00F16734">
      <w:pPr>
        <w:pBdr>
          <w:top w:val="nil"/>
          <w:left w:val="nil"/>
          <w:bottom w:val="nil"/>
          <w:right w:val="nil"/>
          <w:between w:val="nil"/>
        </w:pBdr>
        <w:tabs>
          <w:tab w:val="left" w:pos="426"/>
        </w:tabs>
        <w:spacing w:before="240" w:line="276" w:lineRule="auto"/>
        <w:ind w:left="142" w:right="851"/>
        <w:jc w:val="both"/>
        <w:rPr>
          <w:rFonts w:ascii="Palatino Linotype" w:eastAsia="Palatino Linotype" w:hAnsi="Palatino Linotype" w:cs="Palatino Linotype"/>
          <w:b/>
          <w:color w:val="0D0D0D" w:themeColor="text1" w:themeTint="F2"/>
          <w:sz w:val="22"/>
          <w:szCs w:val="22"/>
        </w:rPr>
      </w:pPr>
    </w:p>
    <w:p w14:paraId="76B6FEE3" w14:textId="77777777" w:rsidR="00F16734" w:rsidRPr="0086781A" w:rsidRDefault="00FB681D">
      <w:pPr>
        <w:spacing w:after="240" w:line="360" w:lineRule="auto"/>
        <w:ind w:right="49"/>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color w:val="0D0D0D" w:themeColor="text1" w:themeTint="F2"/>
        </w:rPr>
        <w:t>Para el estudio de este punto, resulta necesario traer a colación el contenido de los artículos 110, 111, 112, fracción XVI de la Ley Orgánica Municipal del Estado de México, los cuales disponen:</w:t>
      </w:r>
      <w:r w:rsidRPr="0086781A">
        <w:rPr>
          <w:rFonts w:ascii="Palatino Linotype" w:eastAsia="Palatino Linotype" w:hAnsi="Palatino Linotype" w:cs="Palatino Linotype"/>
          <w:b/>
          <w:color w:val="0D0D0D" w:themeColor="text1" w:themeTint="F2"/>
        </w:rPr>
        <w:t xml:space="preserve"> </w:t>
      </w:r>
    </w:p>
    <w:p w14:paraId="655D4A37" w14:textId="77777777" w:rsidR="00F16734" w:rsidRPr="0086781A" w:rsidRDefault="00FB681D">
      <w:pPr>
        <w:spacing w:after="240"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110.- Las funciones de contraloría interna estarán a cargo del órgano que establezca el Ayuntamiento.</w:t>
      </w:r>
      <w:r w:rsidRPr="0086781A">
        <w:rPr>
          <w:rFonts w:ascii="Palatino Linotype" w:eastAsia="Palatino Linotype" w:hAnsi="Palatino Linotype" w:cs="Palatino Linotype"/>
          <w:i/>
          <w:color w:val="0D0D0D" w:themeColor="text1" w:themeTint="F2"/>
          <w:sz w:val="22"/>
          <w:szCs w:val="22"/>
        </w:rPr>
        <w:t xml:space="preserve"> </w:t>
      </w:r>
    </w:p>
    <w:p w14:paraId="46F514A5" w14:textId="77777777" w:rsidR="00F16734" w:rsidRPr="0086781A" w:rsidRDefault="00FB681D">
      <w:pPr>
        <w:spacing w:after="240"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Artículo 111.- La contraloría municipal tendrá un titular denominado Contralor, quien será designado por el ayuntamiento a propuesta del presidente municipal. </w:t>
      </w:r>
    </w:p>
    <w:p w14:paraId="4325D0AA" w14:textId="77777777" w:rsidR="00F16734" w:rsidRPr="0086781A" w:rsidRDefault="00FB681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112. El órgano interno de control municipal, tendrá a su cargo las funciones siguientes:</w:t>
      </w:r>
    </w:p>
    <w:p w14:paraId="1CC2D19E" w14:textId="77777777" w:rsidR="00F16734" w:rsidRPr="0086781A" w:rsidRDefault="00FB681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78F0554A" w14:textId="77777777" w:rsidR="00F16734" w:rsidRPr="0086781A" w:rsidRDefault="00FB681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XVI. </w:t>
      </w:r>
      <w:r w:rsidRPr="0086781A">
        <w:rPr>
          <w:rFonts w:ascii="Palatino Linotype" w:eastAsia="Palatino Linotype" w:hAnsi="Palatino Linotype" w:cs="Palatino Linotype"/>
          <w:b/>
          <w:i/>
          <w:color w:val="0D0D0D" w:themeColor="text1" w:themeTint="F2"/>
          <w:sz w:val="22"/>
          <w:szCs w:val="22"/>
        </w:rPr>
        <w:t>Verificar que los servidores públicos municipales cumplan con la obligación de presentar oportunamente la manifestación de bienes,</w:t>
      </w:r>
      <w:r w:rsidRPr="0086781A">
        <w:rPr>
          <w:rFonts w:ascii="Palatino Linotype" w:eastAsia="Palatino Linotype" w:hAnsi="Palatino Linotype" w:cs="Palatino Linotype"/>
          <w:i/>
          <w:color w:val="0D0D0D" w:themeColor="text1" w:themeTint="F2"/>
          <w:sz w:val="22"/>
          <w:szCs w:val="22"/>
        </w:rPr>
        <w:t xml:space="preserve"> en términos de la Ley de Responsabilidades de los Servidores Públicos del Estado y Municipios;” (Énfasis añadido)</w:t>
      </w:r>
    </w:p>
    <w:p w14:paraId="3704EF3F" w14:textId="77777777" w:rsidR="00F16734" w:rsidRPr="0086781A" w:rsidRDefault="00F16734">
      <w:pPr>
        <w:pBdr>
          <w:top w:val="nil"/>
          <w:left w:val="nil"/>
          <w:bottom w:val="nil"/>
          <w:right w:val="nil"/>
          <w:between w:val="nil"/>
        </w:pBdr>
        <w:spacing w:line="360" w:lineRule="auto"/>
        <w:ind w:right="1043"/>
        <w:jc w:val="both"/>
        <w:rPr>
          <w:rFonts w:ascii="Palatino Linotype" w:eastAsia="Palatino Linotype" w:hAnsi="Palatino Linotype" w:cs="Palatino Linotype"/>
          <w:color w:val="0D0D0D" w:themeColor="text1" w:themeTint="F2"/>
        </w:rPr>
      </w:pPr>
    </w:p>
    <w:p w14:paraId="535B0500"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Preceptos legales, de los que se puede advertir que la Contraloría Municipal estará a cargo de un Contralor el cual entre sus funciones se encuentra la de verificar que </w:t>
      </w:r>
      <w:r w:rsidRPr="0086781A">
        <w:rPr>
          <w:rFonts w:ascii="Palatino Linotype" w:eastAsia="Palatino Linotype" w:hAnsi="Palatino Linotype" w:cs="Palatino Linotype"/>
          <w:color w:val="0D0D0D" w:themeColor="text1" w:themeTint="F2"/>
        </w:rPr>
        <w:lastRenderedPageBreak/>
        <w:t>los servidores públicos municipales cumplan con la obligación de presentar oportunamente la manifestación de bienes.</w:t>
      </w:r>
    </w:p>
    <w:p w14:paraId="65DBA4EB"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3652B5FF"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Acotado lo anterior, es necesario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fracción XII, de la Ley General de Transparencia y Acceso a la Información Pública, precisan lo siguiente, con relación a las versiones públicas de las declaraciones patrimoniales y de intereses de los servidores públicos:</w:t>
      </w:r>
    </w:p>
    <w:p w14:paraId="1E1CBD53" w14:textId="77777777" w:rsidR="00F16734" w:rsidRPr="0086781A" w:rsidRDefault="00F16734">
      <w:pPr>
        <w:pBdr>
          <w:top w:val="nil"/>
          <w:left w:val="nil"/>
          <w:bottom w:val="nil"/>
          <w:right w:val="nil"/>
          <w:between w:val="nil"/>
        </w:pBdr>
        <w:spacing w:line="360" w:lineRule="auto"/>
        <w:ind w:left="567" w:right="49"/>
        <w:jc w:val="both"/>
        <w:rPr>
          <w:color w:val="0D0D0D" w:themeColor="text1" w:themeTint="F2"/>
        </w:rPr>
      </w:pPr>
    </w:p>
    <w:p w14:paraId="4F97C9C8"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“XII. La información en Versión Pública de las declaraciones patrimoniales, de los Servidores Públicos que así lo determinen, en los sistemas habilitados para ello de acuerdo a la normatividad aplicable. </w:t>
      </w:r>
    </w:p>
    <w:p w14:paraId="0D24D314" w14:textId="77777777" w:rsidR="00F16734" w:rsidRPr="0086781A" w:rsidRDefault="00F16734">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p>
    <w:p w14:paraId="58C25C70"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 Los sujetos obligados deberán publicar la versión pública de la declaración de situación patrimonial de los(as) servidores(as) públicos(as), integrantes, miembros del sujeto obligado y/o toda persona que desempeñe un empleo, cargo o comisión y/o ejerza actos de autoridad, y que tiene la obligación de presentar declaración de</w:t>
      </w:r>
      <w:r w:rsidRPr="0086781A">
        <w:rPr>
          <w:rFonts w:ascii="Palatino Linotype" w:eastAsia="Palatino Linotype" w:hAnsi="Palatino Linotype" w:cs="Palatino Linotype"/>
          <w:i/>
          <w:color w:val="0D0D0D" w:themeColor="text1" w:themeTint="F2"/>
          <w:sz w:val="22"/>
          <w:szCs w:val="22"/>
        </w:rPr>
        <w:t xml:space="preserve"> </w:t>
      </w:r>
      <w:r w:rsidRPr="0086781A">
        <w:rPr>
          <w:rFonts w:ascii="Palatino Linotype" w:eastAsia="Palatino Linotype" w:hAnsi="Palatino Linotype" w:cs="Palatino Linotype"/>
          <w:b/>
          <w:i/>
          <w:color w:val="0D0D0D" w:themeColor="text1" w:themeTint="F2"/>
          <w:sz w:val="22"/>
          <w:szCs w:val="22"/>
        </w:rPr>
        <w:t xml:space="preserve">situación patrimonial en sus tres modalidades: inicio, modificación y de conclusión, de conformidad con la normatividad que resulte aplicable en la materia. </w:t>
      </w:r>
    </w:p>
    <w:p w14:paraId="33611B0A" w14:textId="77777777" w:rsidR="00F16734" w:rsidRPr="0086781A" w:rsidRDefault="00F16734">
      <w:pPr>
        <w:pBdr>
          <w:top w:val="nil"/>
          <w:left w:val="nil"/>
          <w:bottom w:val="nil"/>
          <w:right w:val="nil"/>
          <w:between w:val="nil"/>
        </w:pBdr>
        <w:spacing w:line="276" w:lineRule="auto"/>
        <w:ind w:left="851" w:right="567"/>
        <w:jc w:val="both"/>
        <w:rPr>
          <w:rFonts w:ascii="Palatino Linotype" w:eastAsia="Palatino Linotype" w:hAnsi="Palatino Linotype" w:cs="Palatino Linotype"/>
          <w:b/>
          <w:i/>
          <w:color w:val="0D0D0D" w:themeColor="text1" w:themeTint="F2"/>
          <w:sz w:val="22"/>
          <w:szCs w:val="22"/>
        </w:rPr>
      </w:pPr>
    </w:p>
    <w:p w14:paraId="2F572D1E"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Lo anterior con fundamento en lo establecido en el artículo 32 de la Ley General de Responsabilidades Administrativas, en el que se señala que están obligados a presentar las declaraciones de situación patrimonial y de </w:t>
      </w:r>
      <w:r w:rsidRPr="0086781A">
        <w:rPr>
          <w:rFonts w:ascii="Palatino Linotype" w:eastAsia="Palatino Linotype" w:hAnsi="Palatino Linotype" w:cs="Palatino Linotype"/>
          <w:b/>
          <w:i/>
          <w:color w:val="0D0D0D" w:themeColor="text1" w:themeTint="F2"/>
          <w:sz w:val="22"/>
          <w:szCs w:val="22"/>
        </w:rPr>
        <w:lastRenderedPageBreak/>
        <w:t xml:space="preserve">intereses, bajo protesta de decir verdad y ante las Secretarías o su respectivo Órgano interno de control, todos los Servidores Públicos, en los términos previstos en dicha norma” </w:t>
      </w:r>
      <w:r w:rsidRPr="0086781A">
        <w:rPr>
          <w:rFonts w:ascii="Palatino Linotype" w:eastAsia="Palatino Linotype" w:hAnsi="Palatino Linotype" w:cs="Palatino Linotype"/>
          <w:i/>
          <w:color w:val="0D0D0D" w:themeColor="text1" w:themeTint="F2"/>
          <w:sz w:val="22"/>
          <w:szCs w:val="22"/>
        </w:rPr>
        <w:t>(Énfasis añadido)</w:t>
      </w:r>
    </w:p>
    <w:p w14:paraId="3E6AB39C" w14:textId="77777777" w:rsidR="00F16734" w:rsidRPr="0086781A" w:rsidRDefault="00F16734">
      <w:pPr>
        <w:pBdr>
          <w:top w:val="nil"/>
          <w:left w:val="nil"/>
          <w:bottom w:val="nil"/>
          <w:right w:val="nil"/>
          <w:between w:val="nil"/>
        </w:pBdr>
        <w:spacing w:line="360" w:lineRule="auto"/>
        <w:ind w:right="49"/>
        <w:jc w:val="both"/>
        <w:rPr>
          <w:color w:val="0D0D0D" w:themeColor="text1" w:themeTint="F2"/>
          <w:sz w:val="28"/>
          <w:szCs w:val="28"/>
        </w:rPr>
      </w:pPr>
    </w:p>
    <w:p w14:paraId="1E794E1A"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En correlación al artículo anterior, es dable precisar que el artículo 92, fracción XIII, de la Ley de Transparencia y Acceso a la Información Pública del Estado de México y Municipios, estipula lo siguiente:</w:t>
      </w:r>
    </w:p>
    <w:p w14:paraId="2EB5FA89" w14:textId="77777777" w:rsidR="00F16734" w:rsidRPr="0086781A" w:rsidRDefault="00F16734">
      <w:pPr>
        <w:pBdr>
          <w:top w:val="nil"/>
          <w:left w:val="nil"/>
          <w:bottom w:val="nil"/>
          <w:right w:val="nil"/>
          <w:between w:val="nil"/>
        </w:pBdr>
        <w:spacing w:line="276" w:lineRule="auto"/>
        <w:ind w:right="49"/>
        <w:jc w:val="both"/>
        <w:rPr>
          <w:rFonts w:ascii="Palatino Linotype" w:eastAsia="Palatino Linotype" w:hAnsi="Palatino Linotype" w:cs="Palatino Linotype"/>
          <w:b/>
          <w:i/>
          <w:color w:val="0D0D0D" w:themeColor="text1" w:themeTint="F2"/>
          <w:sz w:val="22"/>
          <w:szCs w:val="22"/>
        </w:rPr>
      </w:pPr>
    </w:p>
    <w:p w14:paraId="1659315D"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C77D38"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 I a XII… </w:t>
      </w:r>
    </w:p>
    <w:p w14:paraId="5E1BD5A3"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14:paraId="6CDFB7A3"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XIV a LII…”</w:t>
      </w:r>
    </w:p>
    <w:p w14:paraId="5D94D7DB"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3229DF46"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Ahora bien, aunque los preceptos legales descritos, establecen la obligatoriedad de los Sujetos Obligados a que publiquen de manera permanente y actualizada, de forma sencilla, precisa y entendible, la información generada correspondiente a las declaraciones patrimoniales de los servidores públicos que así lo determinen, es decir mediante autorización previa y específica de los mismos; sin embargo, dicha obligatoriedad se encuentra sujeta a la tablas de aplicabilidad de cada uno de los Sujetos Obligados. </w:t>
      </w:r>
    </w:p>
    <w:p w14:paraId="0B675DCB"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1785F4AA"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Precisado lo anterior, es importante resaltar que de acuerdo a las “Tablas de aplicabilidad”,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no le es aplicable el cumplimiento del artículo 92, fracción XII de la Ley de la Materia, tal como se muestra a continuación: </w:t>
      </w:r>
    </w:p>
    <w:p w14:paraId="0907CEEA"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0B99A07B"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drawing>
          <wp:inline distT="0" distB="0" distL="0" distR="0" wp14:anchorId="29D89557" wp14:editId="74E5FE13">
            <wp:extent cx="4746360" cy="4752840"/>
            <wp:effectExtent l="0" t="0" r="0" b="0"/>
            <wp:docPr id="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746360" cy="4752840"/>
                    </a:xfrm>
                    <a:prstGeom prst="rect">
                      <a:avLst/>
                    </a:prstGeom>
                    <a:ln/>
                  </pic:spPr>
                </pic:pic>
              </a:graphicData>
            </a:graphic>
          </wp:inline>
        </w:drawing>
      </w:r>
      <w:r w:rsidRPr="0086781A">
        <w:rPr>
          <w:noProof/>
          <w:color w:val="0D0D0D" w:themeColor="text1" w:themeTint="F2"/>
          <w:lang w:eastAsia="es-MX"/>
        </w:rPr>
        <mc:AlternateContent>
          <mc:Choice Requires="wps">
            <w:drawing>
              <wp:anchor distT="0" distB="0" distL="114300" distR="114300" simplePos="0" relativeHeight="251660288" behindDoc="0" locked="0" layoutInCell="1" hidden="0" allowOverlap="1" wp14:anchorId="36510614" wp14:editId="5D630BC0">
                <wp:simplePos x="0" y="0"/>
                <wp:positionH relativeFrom="column">
                  <wp:posOffset>-12699</wp:posOffset>
                </wp:positionH>
                <wp:positionV relativeFrom="paragraph">
                  <wp:posOffset>4508500</wp:posOffset>
                </wp:positionV>
                <wp:extent cx="4781550" cy="263525"/>
                <wp:effectExtent l="0" t="0" r="0" b="0"/>
                <wp:wrapNone/>
                <wp:docPr id="97" name="Rectángulo 97"/>
                <wp:cNvGraphicFramePr/>
                <a:graphic xmlns:a="http://schemas.openxmlformats.org/drawingml/2006/main">
                  <a:graphicData uri="http://schemas.microsoft.com/office/word/2010/wordprocessingShape">
                    <wps:wsp>
                      <wps:cNvSpPr/>
                      <wps:spPr>
                        <a:xfrm>
                          <a:off x="2974275" y="3667288"/>
                          <a:ext cx="4743450" cy="225425"/>
                        </a:xfrm>
                        <a:prstGeom prst="rect">
                          <a:avLst/>
                        </a:prstGeom>
                        <a:noFill/>
                        <a:ln w="38100" cap="flat" cmpd="sng">
                          <a:solidFill>
                            <a:srgbClr val="0070C0"/>
                          </a:solidFill>
                          <a:prstDash val="solid"/>
                          <a:miter lim="800000"/>
                          <a:headEnd type="none" w="sm" len="sm"/>
                          <a:tailEnd type="none" w="sm" len="sm"/>
                        </a:ln>
                      </wps:spPr>
                      <wps:txbx>
                        <w:txbxContent>
                          <w:p w14:paraId="7FD831D8" w14:textId="77777777" w:rsidR="006F3BD7" w:rsidRDefault="006F3BD7">
                            <w:pPr>
                              <w:textDirection w:val="btLr"/>
                            </w:pPr>
                          </w:p>
                        </w:txbxContent>
                      </wps:txbx>
                      <wps:bodyPr spcFirstLastPara="1" wrap="square" lIns="91425" tIns="91425" rIns="91425" bIns="91425" anchor="ctr" anchorCtr="0">
                        <a:noAutofit/>
                      </wps:bodyPr>
                    </wps:wsp>
                  </a:graphicData>
                </a:graphic>
              </wp:anchor>
            </w:drawing>
          </mc:Choice>
          <mc:Fallback>
            <w:pict>
              <v:rect w14:anchorId="36510614" id="Rectángulo 97" o:spid="_x0000_s1027" style="position:absolute;left:0;text-align:left;margin-left:-1pt;margin-top:355pt;width:376.5pt;height:2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" filled="f" strokecolor="#0070c0" strokeweight="3pt">
                <v:stroke startarrowwidth="narrow" startarrowlength="short" endarrowwidth="narrow" endarrowlength="short"/>
                <v:textbox inset="2.53958mm,2.53958mm,2.53958mm,2.53958mm">
                  <w:txbxContent>
                    <w:p w14:paraId="7FD831D8" w14:textId="77777777" w:rsidR="006F3BD7" w:rsidRDefault="006F3BD7">
                      <w:pPr>
                        <w:textDirection w:val="btLr"/>
                      </w:pPr>
                    </w:p>
                  </w:txbxContent>
                </v:textbox>
              </v:rect>
            </w:pict>
          </mc:Fallback>
        </mc:AlternateContent>
      </w:r>
    </w:p>
    <w:p w14:paraId="1FAE4E60"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7D017B7C" w14:textId="77777777" w:rsidR="00F16734" w:rsidRPr="0086781A" w:rsidRDefault="00FB681D">
      <w:pPr>
        <w:pBdr>
          <w:top w:val="nil"/>
          <w:left w:val="nil"/>
          <w:bottom w:val="nil"/>
          <w:right w:val="nil"/>
          <w:between w:val="nil"/>
        </w:pBdr>
        <w:spacing w:line="360" w:lineRule="auto"/>
        <w:ind w:right="49"/>
        <w:jc w:val="center"/>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lastRenderedPageBreak/>
        <w:drawing>
          <wp:inline distT="0" distB="0" distL="0" distR="0" wp14:anchorId="3BC6A076" wp14:editId="4E06B54B">
            <wp:extent cx="4417977" cy="4399378"/>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417977" cy="4399378"/>
                    </a:xfrm>
                    <a:prstGeom prst="rect">
                      <a:avLst/>
                    </a:prstGeom>
                    <a:ln/>
                  </pic:spPr>
                </pic:pic>
              </a:graphicData>
            </a:graphic>
          </wp:inline>
        </w:drawing>
      </w:r>
      <w:r w:rsidRPr="0086781A">
        <w:rPr>
          <w:noProof/>
          <w:color w:val="0D0D0D" w:themeColor="text1" w:themeTint="F2"/>
          <w:lang w:eastAsia="es-MX"/>
        </w:rPr>
        <mc:AlternateContent>
          <mc:Choice Requires="wps">
            <w:drawing>
              <wp:anchor distT="0" distB="0" distL="114300" distR="114300" simplePos="0" relativeHeight="251661312" behindDoc="0" locked="0" layoutInCell="1" hidden="0" allowOverlap="1" wp14:anchorId="7265E3B2" wp14:editId="49DD219E">
                <wp:simplePos x="0" y="0"/>
                <wp:positionH relativeFrom="column">
                  <wp:posOffset>558800</wp:posOffset>
                </wp:positionH>
                <wp:positionV relativeFrom="paragraph">
                  <wp:posOffset>4178300</wp:posOffset>
                </wp:positionV>
                <wp:extent cx="4438650" cy="238125"/>
                <wp:effectExtent l="0" t="0" r="0" b="0"/>
                <wp:wrapNone/>
                <wp:docPr id="99" name="Rectángulo 99"/>
                <wp:cNvGraphicFramePr/>
                <a:graphic xmlns:a="http://schemas.openxmlformats.org/drawingml/2006/main">
                  <a:graphicData uri="http://schemas.microsoft.com/office/word/2010/wordprocessingShape">
                    <wps:wsp>
                      <wps:cNvSpPr/>
                      <wps:spPr>
                        <a:xfrm>
                          <a:off x="3140963" y="3675225"/>
                          <a:ext cx="4410075" cy="209550"/>
                        </a:xfrm>
                        <a:prstGeom prst="rect">
                          <a:avLst/>
                        </a:prstGeom>
                        <a:noFill/>
                        <a:ln w="28575" cap="flat" cmpd="sng">
                          <a:solidFill>
                            <a:srgbClr val="0070C0"/>
                          </a:solidFill>
                          <a:prstDash val="solid"/>
                          <a:miter lim="800000"/>
                          <a:headEnd type="none" w="sm" len="sm"/>
                          <a:tailEnd type="none" w="sm" len="sm"/>
                        </a:ln>
                      </wps:spPr>
                      <wps:txbx>
                        <w:txbxContent>
                          <w:p w14:paraId="3F6ABAB9" w14:textId="77777777" w:rsidR="006F3BD7" w:rsidRDefault="006F3BD7">
                            <w:pPr>
                              <w:textDirection w:val="btLr"/>
                            </w:pPr>
                          </w:p>
                        </w:txbxContent>
                      </wps:txbx>
                      <wps:bodyPr spcFirstLastPara="1" wrap="square" lIns="91425" tIns="91425" rIns="91425" bIns="91425" anchor="ctr" anchorCtr="0">
                        <a:noAutofit/>
                      </wps:bodyPr>
                    </wps:wsp>
                  </a:graphicData>
                </a:graphic>
              </wp:anchor>
            </w:drawing>
          </mc:Choice>
          <mc:Fallback>
            <w:pict>
              <v:rect w14:anchorId="7265E3B2" id="Rectángulo 99" o:spid="_x0000_s1028" style="position:absolute;left:0;text-align:left;margin-left:44pt;margin-top:329pt;width:349.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" filled="f" strokecolor="#0070c0" strokeweight="2.25pt">
                <v:stroke startarrowwidth="narrow" startarrowlength="short" endarrowwidth="narrow" endarrowlength="short"/>
                <v:textbox inset="2.53958mm,2.53958mm,2.53958mm,2.53958mm">
                  <w:txbxContent>
                    <w:p w14:paraId="3F6ABAB9" w14:textId="77777777" w:rsidR="006F3BD7" w:rsidRDefault="006F3BD7">
                      <w:pPr>
                        <w:textDirection w:val="btLr"/>
                      </w:pPr>
                    </w:p>
                  </w:txbxContent>
                </v:textbox>
              </v:rect>
            </w:pict>
          </mc:Fallback>
        </mc:AlternateContent>
      </w:r>
    </w:p>
    <w:p w14:paraId="3CEB303E"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25A69F74"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 con base en lo señalado previamente, que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14:paraId="043FF252"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243FEAB7"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Ahora bien, es importante señalar que el artículo 32 de la Ley General de Responsabilidades Administrativas, establece:</w:t>
      </w:r>
    </w:p>
    <w:p w14:paraId="431C276D"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2A215C3D"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32.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14:paraId="5CDC4941"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09F32C31"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lo anterior,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 </w:t>
      </w:r>
    </w:p>
    <w:p w14:paraId="50F304A7"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160664FE"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 así que, la obligación de presentar su declaración de situación patrimonial, es exclusiva de aquellas personas que desempeñen un empleo, cargo o comisión en los entes públicos, en el ámbito federal y local. </w:t>
      </w:r>
    </w:p>
    <w:p w14:paraId="0E5D3473"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28B1E0E4"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Aunado a lo anterior, la Ley de Responsabilidades Administrativas del Estado de México y Municipios establece en el artículo 2 fracción VI que tiene como objeto 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14:paraId="4B0D5EBF"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5AF8B002"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“Artículo 33. Estarán obligados a presentar las declaraciones de situación patrimonial y de intereses, bajo protesta de decir verdad ante la Secretaría de la Contraloría o los órganos internos de control, todos los servidores públicos estatales </w:t>
      </w:r>
      <w:r w:rsidRPr="0086781A">
        <w:rPr>
          <w:rFonts w:ascii="Palatino Linotype" w:eastAsia="Palatino Linotype" w:hAnsi="Palatino Linotype" w:cs="Palatino Linotype"/>
          <w:i/>
          <w:color w:val="0D0D0D" w:themeColor="text1" w:themeTint="F2"/>
          <w:sz w:val="22"/>
          <w:szCs w:val="22"/>
        </w:rPr>
        <w:lastRenderedPageBreak/>
        <w:t>y municipales, en los términos previstos en la presente Ley. Asimismo, deberán presentar su declaración fiscal anual, en los términos que disponga la legislación de la materia.</w:t>
      </w:r>
    </w:p>
    <w:p w14:paraId="118528C7" w14:textId="77777777" w:rsidR="00F16734" w:rsidRPr="0086781A" w:rsidRDefault="00F16734">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p>
    <w:p w14:paraId="3C7A0AEC"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Artículo 34. La declaración de situación patrimonial, deberá presentarse en los siguientes plazos: </w:t>
      </w:r>
    </w:p>
    <w:p w14:paraId="3101D527"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I. Declaración inicial, dentro de los sesenta días naturales siguientes a la toma de posesión con motivo del: </w:t>
      </w:r>
    </w:p>
    <w:p w14:paraId="2E5B15B5"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 Ingreso al servicio público por primera vez. </w:t>
      </w:r>
    </w:p>
    <w:p w14:paraId="775C80BD"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b) Reingreso al servicio público después de sesenta días naturales de la conclusión de su último encargo. </w:t>
      </w:r>
    </w:p>
    <w:p w14:paraId="32C3D782"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II. Declaración de modificación patrimonial, durante el mes de mayo de cada año. </w:t>
      </w:r>
    </w:p>
    <w:p w14:paraId="1E2F7204"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III. Declaración de conclusión del encargo, dentro de los sesenta días naturales siguientes a la conclusión.</w:t>
      </w:r>
    </w:p>
    <w:p w14:paraId="1D35CA7D"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En el caso de cambio de dependencia o ente público en el mismo orden de gobierno, únicamente se dará aviso de dicha situación y no será necesario presentar la declaración de conclusión.</w:t>
      </w:r>
    </w:p>
    <w:p w14:paraId="33A5D861"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p>
    <w:p w14:paraId="7C6AD933"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2A1B832C"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35. La declaración de situación patrimonial, deberá ser presentada a través de medios electrónicos, empleándose medios de identificación electrónica.</w:t>
      </w:r>
    </w:p>
    <w:p w14:paraId="7C83FC62"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14:paraId="6E762DCA"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La Secretaría de la Contraloría tendrá a su cargo el sistema de certificación de los medios de identificación electrónica que utilicen los servidores públicos y llevará el control de dicho medio.</w:t>
      </w:r>
    </w:p>
    <w:p w14:paraId="46C797B1"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14:paraId="72133E22"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p>
    <w:p w14:paraId="6743A093"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Los servidores públicos facultados para recabar la declaración de situación patrimonial, deberán resguardar la información a la que accedan observando lo dispuesto en la Ley de Transparencia y Acceso a la Información Pública del Estado de México y </w:t>
      </w:r>
      <w:proofErr w:type="gramStart"/>
      <w:r w:rsidRPr="0086781A">
        <w:rPr>
          <w:rFonts w:ascii="Palatino Linotype" w:eastAsia="Palatino Linotype" w:hAnsi="Palatino Linotype" w:cs="Palatino Linotype"/>
          <w:i/>
          <w:color w:val="0D0D0D" w:themeColor="text1" w:themeTint="F2"/>
          <w:sz w:val="22"/>
          <w:szCs w:val="22"/>
        </w:rPr>
        <w:t>Municipios</w:t>
      </w:r>
      <w:proofErr w:type="gramEnd"/>
      <w:r w:rsidRPr="0086781A">
        <w:rPr>
          <w:rFonts w:ascii="Palatino Linotype" w:eastAsia="Palatino Linotype" w:hAnsi="Palatino Linotype" w:cs="Palatino Linotype"/>
          <w:i/>
          <w:color w:val="0D0D0D" w:themeColor="text1" w:themeTint="F2"/>
          <w:sz w:val="22"/>
          <w:szCs w:val="22"/>
        </w:rPr>
        <w:t xml:space="preserve"> así como en la Ley de Protección de Datos Personales del Estado de México.”</w:t>
      </w:r>
    </w:p>
    <w:p w14:paraId="28741BEB"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095FCB29"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w:t>
      </w:r>
      <w:r w:rsidRPr="0086781A">
        <w:rPr>
          <w:rFonts w:ascii="Palatino Linotype" w:eastAsia="Palatino Linotype" w:hAnsi="Palatino Linotype" w:cs="Palatino Linotype"/>
          <w:color w:val="0D0D0D" w:themeColor="text1" w:themeTint="F2"/>
        </w:rPr>
        <w:lastRenderedPageBreak/>
        <w:t xml:space="preserve">certificación de los medios de identificación electrónica que utilicen los servidores públicos y llevará el control de dicho medio. </w:t>
      </w:r>
    </w:p>
    <w:p w14:paraId="3B018DA1"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45A339FF"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21F4C3AE"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4603AE19"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“Artículo 24. A la Dirección General de Responsabilidades Administrativas, corresponden las atribuciones siguientes: </w:t>
      </w:r>
    </w:p>
    <w:p w14:paraId="163ABE4A"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 a V</w:t>
      </w:r>
    </w:p>
    <w:p w14:paraId="66A2E21D"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 </w:t>
      </w:r>
    </w:p>
    <w:p w14:paraId="11C96C72"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VI. Recibir las declaraciones de situación patrimonial, de intereses y el acuse de la presentación de la declaración fiscal de los servidores públicos de la Administración Pública Estatal y Municipal; </w:t>
      </w:r>
    </w:p>
    <w:p w14:paraId="77521931"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 </w:t>
      </w:r>
    </w:p>
    <w:p w14:paraId="239D6D74" w14:textId="77777777" w:rsidR="00F16734" w:rsidRPr="0086781A" w:rsidRDefault="00FB681D">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VIII a XLII…”</w:t>
      </w:r>
    </w:p>
    <w:p w14:paraId="697CD055"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74513ADF"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Así que, de los preceptos legales referidos, se advierte que a la Secretaría de la Contraloría le corresponde en a través de la Dirección General de </w:t>
      </w:r>
      <w:r w:rsidRPr="0086781A">
        <w:rPr>
          <w:rFonts w:ascii="Palatino Linotype" w:eastAsia="Palatino Linotype" w:hAnsi="Palatino Linotype" w:cs="Palatino Linotype"/>
          <w:color w:val="0D0D0D" w:themeColor="text1" w:themeTint="F2"/>
        </w:rPr>
        <w:lastRenderedPageBreak/>
        <w:t xml:space="preserve">Responsabilidades Administrativas, recibir, registrar y resguardar </w:t>
      </w:r>
      <w:proofErr w:type="gramStart"/>
      <w:r w:rsidRPr="0086781A">
        <w:rPr>
          <w:rFonts w:ascii="Palatino Linotype" w:eastAsia="Palatino Linotype" w:hAnsi="Palatino Linotype" w:cs="Palatino Linotype"/>
          <w:color w:val="0D0D0D" w:themeColor="text1" w:themeTint="F2"/>
        </w:rPr>
        <w:t>las declaración fiscal</w:t>
      </w:r>
      <w:proofErr w:type="gramEnd"/>
      <w:r w:rsidRPr="0086781A">
        <w:rPr>
          <w:rFonts w:ascii="Palatino Linotype" w:eastAsia="Palatino Linotype" w:hAnsi="Palatino Linotype" w:cs="Palatino Linotype"/>
          <w:color w:val="0D0D0D" w:themeColor="text1" w:themeTint="F2"/>
        </w:rPr>
        <w:t xml:space="preserve"> de los servidores públicos de la Administración Pública Estatal y Municipal.</w:t>
      </w:r>
    </w:p>
    <w:p w14:paraId="6B4C6FBA"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6E671001"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Bajo esta línea de pensamiento resulta importante señalar que respecto de la Declaración Patrimonial, este Instituto advirtió que en la página oficial de la Secretaría de la Contraloría, en el apartado de Declaración Patrimonial y de Intereses, consultada en la liga electrónica </w:t>
      </w:r>
      <w:hyperlink r:id="rId27">
        <w:r w:rsidRPr="0086781A">
          <w:rPr>
            <w:rFonts w:ascii="Palatino Linotype" w:eastAsia="Palatino Linotype" w:hAnsi="Palatino Linotype" w:cs="Palatino Linotype"/>
            <w:color w:val="0D0D0D" w:themeColor="text1" w:themeTint="F2"/>
            <w:u w:val="single"/>
          </w:rPr>
          <w:t>https://portal.secogem.gob.mx/declaranet</w:t>
        </w:r>
      </w:hyperlink>
      <w:r w:rsidRPr="0086781A">
        <w:rPr>
          <w:rFonts w:ascii="Palatino Linotype" w:eastAsia="Palatino Linotype" w:hAnsi="Palatino Linotype" w:cs="Palatino Linotype"/>
          <w:color w:val="0D0D0D" w:themeColor="text1" w:themeTint="F2"/>
        </w:rPr>
        <w:t xml:space="preserve">, precisa que dicha dependencia ofrece el portal </w:t>
      </w:r>
      <w:proofErr w:type="spellStart"/>
      <w:r w:rsidRPr="0086781A">
        <w:rPr>
          <w:rFonts w:ascii="Palatino Linotype" w:eastAsia="Palatino Linotype" w:hAnsi="Palatino Linotype" w:cs="Palatino Linotype"/>
          <w:color w:val="0D0D0D" w:themeColor="text1" w:themeTint="F2"/>
        </w:rPr>
        <w:t>Decl@ranet</w:t>
      </w:r>
      <w:proofErr w:type="spellEnd"/>
      <w:r w:rsidRPr="0086781A">
        <w:rPr>
          <w:rFonts w:ascii="Palatino Linotype" w:eastAsia="Palatino Linotype" w:hAnsi="Palatino Linotype" w:cs="Palatino Linotype"/>
          <w:color w:val="0D0D0D" w:themeColor="text1" w:themeTint="F2"/>
        </w:rPr>
        <w:t>, con la finalidad de facilitar a los servidores públicos del Estado de México, presenten su Declaración de Situación Patrimonial, Declaración de Intereses o Posible Conflicto de Intereses y presentación de Constancia de Declaración Fiscal.</w:t>
      </w:r>
    </w:p>
    <w:p w14:paraId="02DDE3B0" w14:textId="77777777" w:rsidR="00F16734" w:rsidRPr="0086781A" w:rsidRDefault="00FB681D">
      <w:pPr>
        <w:pBdr>
          <w:top w:val="nil"/>
          <w:left w:val="nil"/>
          <w:bottom w:val="nil"/>
          <w:right w:val="nil"/>
          <w:between w:val="nil"/>
        </w:pBdr>
        <w:spacing w:line="360" w:lineRule="auto"/>
        <w:ind w:right="49"/>
        <w:jc w:val="center"/>
        <w:rPr>
          <w:rFonts w:ascii="Palatino Linotype" w:eastAsia="Palatino Linotype" w:hAnsi="Palatino Linotype" w:cs="Palatino Linotype"/>
          <w:color w:val="0D0D0D" w:themeColor="text1" w:themeTint="F2"/>
        </w:rPr>
      </w:pPr>
      <w:r w:rsidRPr="0086781A">
        <w:rPr>
          <w:noProof/>
          <w:color w:val="0D0D0D" w:themeColor="text1" w:themeTint="F2"/>
          <w:lang w:eastAsia="es-MX"/>
        </w:rPr>
        <w:drawing>
          <wp:inline distT="0" distB="0" distL="0" distR="0" wp14:anchorId="435F9146" wp14:editId="44551354">
            <wp:extent cx="4113865" cy="3059617"/>
            <wp:effectExtent l="0" t="0" r="0" b="0"/>
            <wp:docPr id="1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l="34816" t="6675" r="3913" b="12317"/>
                    <a:stretch>
                      <a:fillRect/>
                    </a:stretch>
                  </pic:blipFill>
                  <pic:spPr>
                    <a:xfrm>
                      <a:off x="0" y="0"/>
                      <a:ext cx="4113865" cy="3059617"/>
                    </a:xfrm>
                    <a:prstGeom prst="rect">
                      <a:avLst/>
                    </a:prstGeom>
                    <a:ln/>
                  </pic:spPr>
                </pic:pic>
              </a:graphicData>
            </a:graphic>
          </wp:inline>
        </w:drawing>
      </w:r>
    </w:p>
    <w:p w14:paraId="15748B04"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3305D526"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 xml:space="preserve">Además, que en dicho portal </w:t>
      </w:r>
      <w:proofErr w:type="gramStart"/>
      <w:r w:rsidRPr="0086781A">
        <w:rPr>
          <w:rFonts w:ascii="Palatino Linotype" w:eastAsia="Palatino Linotype" w:hAnsi="Palatino Linotype" w:cs="Palatino Linotype"/>
          <w:color w:val="0D0D0D" w:themeColor="text1" w:themeTint="F2"/>
        </w:rPr>
        <w:t>se  precisa</w:t>
      </w:r>
      <w:proofErr w:type="gramEnd"/>
      <w:r w:rsidRPr="0086781A">
        <w:rPr>
          <w:rFonts w:ascii="Palatino Linotype" w:eastAsia="Palatino Linotype" w:hAnsi="Palatino Linotype" w:cs="Palatino Linotype"/>
          <w:color w:val="0D0D0D" w:themeColor="text1" w:themeTint="F2"/>
        </w:rPr>
        <w:t xml:space="preserve"> que el sistema </w:t>
      </w:r>
      <w:proofErr w:type="spellStart"/>
      <w:r w:rsidRPr="0086781A">
        <w:rPr>
          <w:rFonts w:ascii="Palatino Linotype" w:eastAsia="Palatino Linotype" w:hAnsi="Palatino Linotype" w:cs="Palatino Linotype"/>
          <w:color w:val="0D0D0D" w:themeColor="text1" w:themeTint="F2"/>
        </w:rPr>
        <w:t>Decl@ranet</w:t>
      </w:r>
      <w:proofErr w:type="spellEnd"/>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es administrado por la Secretaría de la Contraloría,</w:t>
      </w:r>
      <w:r w:rsidRPr="0086781A">
        <w:rPr>
          <w:rFonts w:ascii="Palatino Linotype" w:eastAsia="Palatino Linotype" w:hAnsi="Palatino Linotype" w:cs="Palatino Linotype"/>
          <w:color w:val="0D0D0D" w:themeColor="text1" w:themeTint="F2"/>
        </w:rPr>
        <w:t xml:space="preserve"> y cuyo fin es que los servidores públicos del Estado de México, presenten su presenten su Declaración de Situación Patrimonial, Declaración de Intereses o Posible Conflicto de Intereses y presentación de Constancia de Declaración Fiscal.</w:t>
      </w:r>
    </w:p>
    <w:p w14:paraId="01CEE23C"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78C9B996"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Como se logra observar, el Sistema </w:t>
      </w:r>
      <w:proofErr w:type="spellStart"/>
      <w:r w:rsidRPr="0086781A">
        <w:rPr>
          <w:rFonts w:ascii="Palatino Linotype" w:eastAsia="Palatino Linotype" w:hAnsi="Palatino Linotype" w:cs="Palatino Linotype"/>
          <w:color w:val="0D0D0D" w:themeColor="text1" w:themeTint="F2"/>
        </w:rPr>
        <w:t>Decl@ranet</w:t>
      </w:r>
      <w:proofErr w:type="spellEnd"/>
      <w:r w:rsidRPr="0086781A">
        <w:rPr>
          <w:rFonts w:ascii="Palatino Linotype" w:eastAsia="Palatino Linotype" w:hAnsi="Palatino Linotype" w:cs="Palatino Linotype"/>
          <w:b/>
          <w:color w:val="0D0D0D" w:themeColor="text1" w:themeTint="F2"/>
        </w:rPr>
        <w:t>, es operado únicamente por la Secretaría de la Contraloría, por lo que, es la única dependencia que tiene acceso a las declaraciones presentadas por dicha plataforma</w:t>
      </w:r>
      <w:r w:rsidRPr="0086781A">
        <w:rPr>
          <w:rFonts w:ascii="Palatino Linotype" w:eastAsia="Palatino Linotype" w:hAnsi="Palatino Linotype" w:cs="Palatino Linotype"/>
          <w:color w:val="0D0D0D" w:themeColor="text1" w:themeTint="F2"/>
        </w:rPr>
        <w:t>; situación que se robustece con el Manual General de Organización de la Secretaría de la Contraloría, que señala que dicha dependencia cuenta con diversas unidades administrativas para el ejercicio de sus funciones, entre las cuales se encuentra el Departamento de Recepción y Análisis de Manifestación de Bienes y Declaración de Intereses, encargado de realizar la recepción, registro y resguardo de las declaraciones de situación patrimonial de los servidores públicos de las Administraciones Públicas Estatal y Municipal.</w:t>
      </w:r>
    </w:p>
    <w:p w14:paraId="6DE1AC9F"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05A84DB8"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ese orden de ideas,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al tenerse por acreditado que los Ayuntamientos </w:t>
      </w:r>
      <w:r w:rsidRPr="0086781A">
        <w:rPr>
          <w:rFonts w:ascii="Palatino Linotype" w:eastAsia="Palatino Linotype" w:hAnsi="Palatino Linotype" w:cs="Palatino Linotype"/>
          <w:b/>
          <w:color w:val="0D0D0D" w:themeColor="text1" w:themeTint="F2"/>
        </w:rPr>
        <w:t xml:space="preserve">únicamente verifican el cumplimiento de entrega de las declaraciones patrimoniales, sin que ellos funjan como intermediarios en la recepción y </w:t>
      </w:r>
      <w:r w:rsidRPr="0086781A">
        <w:rPr>
          <w:rFonts w:ascii="Palatino Linotype" w:eastAsia="Palatino Linotype" w:hAnsi="Palatino Linotype" w:cs="Palatino Linotype"/>
          <w:b/>
          <w:color w:val="0D0D0D" w:themeColor="text1" w:themeTint="F2"/>
        </w:rPr>
        <w:lastRenderedPageBreak/>
        <w:t>posterior entrega de las mismas ante la Secretaría de la Contraloría del Gobierno del Estado de México</w:t>
      </w:r>
      <w:r w:rsidRPr="0086781A">
        <w:rPr>
          <w:rFonts w:ascii="Palatino Linotype" w:eastAsia="Palatino Linotype" w:hAnsi="Palatino Linotype" w:cs="Palatino Linotype"/>
          <w:color w:val="0D0D0D" w:themeColor="text1" w:themeTint="F2"/>
        </w:rPr>
        <w:t xml:space="preserve">, es fácticamente imposible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haga entrega de información que no genera, administra o posee en ejercicio de sus atribuciones.</w:t>
      </w:r>
    </w:p>
    <w:p w14:paraId="24BA4C5C"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1A1027F6" w14:textId="77777777" w:rsidR="00F16734" w:rsidRPr="0086781A" w:rsidRDefault="00FB681D">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Conforme a lo anterior, se logra vislumbrar que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es incompetente para conocer de la información solicitada, pues el encargado de recibir, registrar y resguardar las declaraciones patrimoniales de los Ayuntamientos, incluyendo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es únicamente la Secretaría de la Contraloría. </w:t>
      </w:r>
    </w:p>
    <w:p w14:paraId="78D9C73B"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55BD0B7B"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Con base en lo anterior, se estima que es aplicable el contenido del artículo 49 fracción II de la ley de la materia, el cual dispone lo siguiente:</w:t>
      </w:r>
    </w:p>
    <w:p w14:paraId="506E60FF" w14:textId="77777777" w:rsidR="00F16734" w:rsidRPr="0086781A" w:rsidRDefault="00F16734">
      <w:pPr>
        <w:pBdr>
          <w:top w:val="nil"/>
          <w:left w:val="nil"/>
          <w:bottom w:val="nil"/>
          <w:right w:val="nil"/>
          <w:between w:val="nil"/>
        </w:pBdr>
        <w:ind w:left="864" w:right="864"/>
        <w:jc w:val="both"/>
        <w:rPr>
          <w:rFonts w:ascii="Palatino Linotype" w:eastAsia="Palatino Linotype" w:hAnsi="Palatino Linotype" w:cs="Palatino Linotype"/>
          <w:i/>
          <w:color w:val="0D0D0D" w:themeColor="text1" w:themeTint="F2"/>
          <w:sz w:val="22"/>
          <w:szCs w:val="22"/>
        </w:rPr>
      </w:pPr>
    </w:p>
    <w:p w14:paraId="358C0562" w14:textId="77777777" w:rsidR="00F16734" w:rsidRPr="0086781A" w:rsidRDefault="00FB681D">
      <w:pPr>
        <w:pBdr>
          <w:top w:val="nil"/>
          <w:left w:val="nil"/>
          <w:bottom w:val="nil"/>
          <w:right w:val="nil"/>
          <w:between w:val="nil"/>
        </w:pBdr>
        <w:ind w:left="864" w:right="864"/>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Artículo 49. Los Comités de Transparencia tendrán las siguientes atribuciones:</w:t>
      </w:r>
    </w:p>
    <w:p w14:paraId="57B745E9" w14:textId="77777777" w:rsidR="00F16734" w:rsidRPr="0086781A" w:rsidRDefault="00FB681D">
      <w:pPr>
        <w:pBdr>
          <w:top w:val="nil"/>
          <w:left w:val="nil"/>
          <w:bottom w:val="nil"/>
          <w:right w:val="nil"/>
          <w:between w:val="nil"/>
        </w:pBdr>
        <w:ind w:left="864" w:right="864"/>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2D01D629" w14:textId="77777777" w:rsidR="00F16734" w:rsidRPr="0086781A" w:rsidRDefault="00FB681D">
      <w:pPr>
        <w:pBdr>
          <w:top w:val="nil"/>
          <w:left w:val="nil"/>
          <w:bottom w:val="nil"/>
          <w:right w:val="nil"/>
          <w:between w:val="nil"/>
        </w:pBdr>
        <w:ind w:left="864" w:right="864"/>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II.</w:t>
      </w:r>
      <w:r w:rsidRPr="0086781A">
        <w:rPr>
          <w:rFonts w:ascii="Palatino Linotype" w:eastAsia="Palatino Linotype" w:hAnsi="Palatino Linotype" w:cs="Palatino Linotype"/>
          <w:i/>
          <w:color w:val="0D0D0D" w:themeColor="text1" w:themeTint="F2"/>
          <w:sz w:val="22"/>
          <w:szCs w:val="22"/>
        </w:rPr>
        <w:tab/>
        <w:t xml:space="preserve">Confirmar, modificar o revocar las determinaciones </w:t>
      </w:r>
      <w:proofErr w:type="gramStart"/>
      <w:r w:rsidRPr="0086781A">
        <w:rPr>
          <w:rFonts w:ascii="Palatino Linotype" w:eastAsia="Palatino Linotype" w:hAnsi="Palatino Linotype" w:cs="Palatino Linotype"/>
          <w:i/>
          <w:color w:val="0D0D0D" w:themeColor="text1" w:themeTint="F2"/>
          <w:sz w:val="22"/>
          <w:szCs w:val="22"/>
        </w:rPr>
        <w:t>que</w:t>
      </w:r>
      <w:proofErr w:type="gramEnd"/>
      <w:r w:rsidRPr="0086781A">
        <w:rPr>
          <w:rFonts w:ascii="Palatino Linotype" w:eastAsia="Palatino Linotype" w:hAnsi="Palatino Linotype" w:cs="Palatino Linotype"/>
          <w:i/>
          <w:color w:val="0D0D0D" w:themeColor="text1" w:themeTint="F2"/>
          <w:sz w:val="22"/>
          <w:szCs w:val="22"/>
        </w:rPr>
        <w:t xml:space="preserve"> en materia de ampliación del plazo de respuesta, clasificación de la información y declaración de inexistencia o de incompetencia realicen los titulares de las áreas de los sujetos obligados;</w:t>
      </w:r>
    </w:p>
    <w:p w14:paraId="3A81A68E" w14:textId="77777777" w:rsidR="00F16734" w:rsidRPr="0086781A" w:rsidRDefault="00FB681D">
      <w:pPr>
        <w:pBdr>
          <w:top w:val="nil"/>
          <w:left w:val="nil"/>
          <w:bottom w:val="nil"/>
          <w:right w:val="nil"/>
          <w:between w:val="nil"/>
        </w:pBdr>
        <w:ind w:left="864" w:right="864"/>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1ADF7040" w14:textId="77777777" w:rsidR="00F16734" w:rsidRPr="0086781A" w:rsidRDefault="00F16734">
      <w:pPr>
        <w:pBdr>
          <w:top w:val="nil"/>
          <w:left w:val="nil"/>
          <w:bottom w:val="nil"/>
          <w:right w:val="nil"/>
          <w:between w:val="nil"/>
        </w:pBdr>
        <w:ind w:left="864" w:right="864"/>
        <w:jc w:val="both"/>
        <w:rPr>
          <w:rFonts w:ascii="Palatino Linotype" w:eastAsia="Palatino Linotype" w:hAnsi="Palatino Linotype" w:cs="Palatino Linotype"/>
          <w:i/>
          <w:color w:val="0D0D0D" w:themeColor="text1" w:themeTint="F2"/>
          <w:sz w:val="22"/>
          <w:szCs w:val="22"/>
        </w:rPr>
      </w:pPr>
    </w:p>
    <w:p w14:paraId="08E218DA"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esta manera, se sustenta que </w:t>
      </w:r>
      <w:r w:rsidRPr="0086781A">
        <w:rPr>
          <w:rFonts w:ascii="Palatino Linotype" w:eastAsia="Palatino Linotype" w:hAnsi="Palatino Linotype" w:cs="Palatino Linotype"/>
          <w:b/>
          <w:color w:val="0D0D0D" w:themeColor="text1" w:themeTint="F2"/>
        </w:rPr>
        <w:t>el Sujeto Obligado</w:t>
      </w:r>
      <w:r w:rsidRPr="0086781A">
        <w:rPr>
          <w:rFonts w:ascii="Palatino Linotype" w:eastAsia="Palatino Linotype" w:hAnsi="Palatino Linotype" w:cs="Palatino Linotype"/>
          <w:color w:val="0D0D0D" w:themeColor="text1" w:themeTint="F2"/>
        </w:rPr>
        <w:t xml:space="preserve"> a través de su Comité de Transparencia debe confirmar la incompetencia que en el presente asunto encuadra en el supuesto de la ley, es decir, se deberá elaborar el acuerdo correspondiente mediante el cual se confirme la incompetencia declarada por la Contraloría Interna Municipal a través de la Unidad de Transparencia, únicamente respecto a la </w:t>
      </w:r>
      <w:r w:rsidRPr="0086781A">
        <w:rPr>
          <w:rFonts w:ascii="Palatino Linotype" w:eastAsia="Palatino Linotype" w:hAnsi="Palatino Linotype" w:cs="Palatino Linotype"/>
          <w:color w:val="0D0D0D" w:themeColor="text1" w:themeTint="F2"/>
        </w:rPr>
        <w:lastRenderedPageBreak/>
        <w:t>declaración de incompetencia</w:t>
      </w:r>
      <w:r w:rsidRPr="0086781A">
        <w:rPr>
          <w:rFonts w:ascii="Palatino Linotype" w:eastAsia="Palatino Linotype" w:hAnsi="Palatino Linotype" w:cs="Palatino Linotype"/>
          <w:b/>
          <w:color w:val="0D0D0D" w:themeColor="text1" w:themeTint="F2"/>
        </w:rPr>
        <w:t>,</w:t>
      </w:r>
      <w:r w:rsidRPr="0086781A">
        <w:rPr>
          <w:rFonts w:ascii="Palatino Linotype" w:eastAsia="Palatino Linotype" w:hAnsi="Palatino Linotype" w:cs="Palatino Linotype"/>
          <w:color w:val="0D0D0D" w:themeColor="text1" w:themeTint="F2"/>
        </w:rPr>
        <w:t xml:space="preserve"> debiendo notificarle de igual forma el Acuerdo de referencia.</w:t>
      </w:r>
    </w:p>
    <w:p w14:paraId="64E00F40" w14:textId="77777777" w:rsidR="00F16734" w:rsidRPr="0086781A" w:rsidRDefault="00FB681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color w:val="0D0D0D" w:themeColor="text1" w:themeTint="F2"/>
        </w:rPr>
        <w:t xml:space="preserve">Por otra parte, ante la incompetencia, </w:t>
      </w:r>
      <w:r w:rsidRPr="0086781A">
        <w:rPr>
          <w:rFonts w:ascii="Palatino Linotype" w:eastAsia="Palatino Linotype" w:hAnsi="Palatino Linotype" w:cs="Palatino Linotype"/>
          <w:b/>
          <w:color w:val="0D0D0D" w:themeColor="text1" w:themeTint="F2"/>
        </w:rPr>
        <w:t>el Sujeto Obligado</w:t>
      </w:r>
      <w:r w:rsidRPr="0086781A">
        <w:rPr>
          <w:rFonts w:ascii="Palatino Linotype" w:eastAsia="Palatino Linotype" w:hAnsi="Palatino Linotype" w:cs="Palatino Linotype"/>
          <w:color w:val="0D0D0D" w:themeColor="text1" w:themeTint="F2"/>
        </w:rPr>
        <w:t xml:space="preserve"> tiene la potestad de orientar al particular sobre la dependencia pública ante quien deba presentar su solicitud de información. En este orden de ideas, se dejan a salvo los derechos de </w:t>
      </w:r>
      <w:r w:rsidRPr="0086781A">
        <w:rPr>
          <w:rFonts w:ascii="Palatino Linotype" w:eastAsia="Palatino Linotype" w:hAnsi="Palatino Linotype" w:cs="Palatino Linotype"/>
          <w:b/>
          <w:color w:val="0D0D0D" w:themeColor="text1" w:themeTint="F2"/>
        </w:rPr>
        <w:t>la Parte Recurrente</w:t>
      </w:r>
      <w:r w:rsidRPr="0086781A">
        <w:rPr>
          <w:rFonts w:ascii="Palatino Linotype" w:eastAsia="Palatino Linotype" w:hAnsi="Palatino Linotype" w:cs="Palatino Linotype"/>
          <w:color w:val="0D0D0D" w:themeColor="text1" w:themeTint="F2"/>
        </w:rPr>
        <w:t xml:space="preserve"> para que formule una nueva solicitud de información ante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competente.</w:t>
      </w:r>
    </w:p>
    <w:p w14:paraId="02B602F7" w14:textId="77777777" w:rsidR="00F16734" w:rsidRPr="0086781A" w:rsidRDefault="00FB681D">
      <w:pPr>
        <w:numPr>
          <w:ilvl w:val="0"/>
          <w:numId w:val="4"/>
        </w:numPr>
        <w:pBdr>
          <w:top w:val="nil"/>
          <w:left w:val="nil"/>
          <w:bottom w:val="nil"/>
          <w:right w:val="nil"/>
          <w:between w:val="nil"/>
        </w:pBdr>
        <w:tabs>
          <w:tab w:val="left" w:pos="426"/>
        </w:tabs>
        <w:spacing w:before="240" w:line="276" w:lineRule="auto"/>
        <w:ind w:left="567" w:right="851" w:hanging="425"/>
        <w:jc w:val="both"/>
        <w:rPr>
          <w:rFonts w:ascii="Palatino Linotype" w:eastAsia="Palatino Linotype" w:hAnsi="Palatino Linotype" w:cs="Palatino Linotype"/>
          <w:b/>
          <w:color w:val="0D0D0D" w:themeColor="text1" w:themeTint="F2"/>
          <w:sz w:val="28"/>
          <w:szCs w:val="28"/>
        </w:rPr>
      </w:pPr>
      <w:r w:rsidRPr="0086781A">
        <w:rPr>
          <w:rFonts w:ascii="Palatino Linotype" w:eastAsia="Palatino Linotype" w:hAnsi="Palatino Linotype" w:cs="Palatino Linotype"/>
          <w:b/>
          <w:color w:val="0D0D0D" w:themeColor="text1" w:themeTint="F2"/>
          <w:sz w:val="22"/>
          <w:szCs w:val="22"/>
        </w:rPr>
        <w:t>Bitácoras de combustible</w:t>
      </w:r>
    </w:p>
    <w:p w14:paraId="1B9C62BF" w14:textId="77777777" w:rsidR="00F16734" w:rsidRPr="0086781A" w:rsidRDefault="00FB681D">
      <w:pPr>
        <w:pBdr>
          <w:top w:val="nil"/>
          <w:left w:val="nil"/>
          <w:bottom w:val="nil"/>
          <w:right w:val="nil"/>
          <w:between w:val="nil"/>
        </w:pBdr>
        <w:spacing w:before="240" w:after="240" w:line="360" w:lineRule="auto"/>
        <w:jc w:val="both"/>
        <w:rPr>
          <w:color w:val="0D0D0D" w:themeColor="text1" w:themeTint="F2"/>
        </w:rPr>
      </w:pPr>
      <w:r w:rsidRPr="0086781A">
        <w:rPr>
          <w:rFonts w:ascii="Palatino Linotype" w:eastAsia="Palatino Linotype" w:hAnsi="Palatino Linotype" w:cs="Palatino Linotype"/>
          <w:color w:val="0D0D0D" w:themeColor="text1" w:themeTint="F2"/>
        </w:rPr>
        <w:t xml:space="preserve">En lo concerniente a este soporte documental, es importante referir que, las erogaciones que realice el Municipio sobre estos rubros, además de justificarse con la factura; los </w:t>
      </w:r>
      <w:r w:rsidRPr="0086781A">
        <w:rPr>
          <w:rFonts w:ascii="Palatino Linotype" w:eastAsia="Palatino Linotype" w:hAnsi="Palatino Linotype" w:cs="Palatino Linotype"/>
          <w:b/>
          <w:color w:val="0D0D0D" w:themeColor="text1" w:themeTint="F2"/>
        </w:rPr>
        <w:t xml:space="preserve">Lineamientos de Control Financiero y Administrativo para las Entidades Fiscalizables Municipales del Estado de México </w:t>
      </w:r>
      <w:r w:rsidRPr="0086781A">
        <w:rPr>
          <w:rFonts w:ascii="Palatino Linotype" w:eastAsia="Palatino Linotype" w:hAnsi="Palatino Linotype" w:cs="Palatino Linotype"/>
          <w:color w:val="0D0D0D" w:themeColor="text1" w:themeTint="F2"/>
        </w:rPr>
        <w:t>establecen lo siguiente el numeral Vigésimo Octavo: </w:t>
      </w:r>
    </w:p>
    <w:p w14:paraId="598508E3" w14:textId="77777777" w:rsidR="00F16734" w:rsidRPr="0086781A" w:rsidRDefault="00FB681D">
      <w:pPr>
        <w:pBdr>
          <w:top w:val="nil"/>
          <w:left w:val="nil"/>
          <w:bottom w:val="nil"/>
          <w:right w:val="nil"/>
          <w:between w:val="nil"/>
        </w:pBdr>
        <w:spacing w:before="240" w:after="240"/>
        <w:ind w:left="851" w:right="616"/>
        <w:jc w:val="both"/>
        <w:rPr>
          <w:color w:val="0D0D0D" w:themeColor="text1" w:themeTint="F2"/>
        </w:rPr>
      </w:pPr>
      <w:r w:rsidRPr="0086781A">
        <w:rPr>
          <w:rFonts w:ascii="Palatino Linotype" w:eastAsia="Palatino Linotype" w:hAnsi="Palatino Linotype" w:cs="Palatino Linotype"/>
          <w:b/>
          <w:i/>
          <w:color w:val="0D0D0D" w:themeColor="text1" w:themeTint="F2"/>
          <w:sz w:val="22"/>
          <w:szCs w:val="22"/>
        </w:rPr>
        <w:t>“VIGÉSIMO OCTAVO: Los servidores públicos municipales responsables de llevar a cabo el control del consumo de los combustibles</w:t>
      </w:r>
      <w:r w:rsidRPr="0086781A">
        <w:rPr>
          <w:rFonts w:ascii="Palatino Linotype" w:eastAsia="Palatino Linotype" w:hAnsi="Palatino Linotype" w:cs="Palatino Linotype"/>
          <w:i/>
          <w:color w:val="0D0D0D" w:themeColor="text1" w:themeTint="F2"/>
          <w:sz w:val="22"/>
          <w:szCs w:val="22"/>
        </w:rPr>
        <w:t xml:space="preserve"> y lubricantes de cada uno de los vehículos y maquinaria de la entidad fiscalizable municipal, por medio de los </w:t>
      </w:r>
      <w:r w:rsidRPr="0086781A">
        <w:rPr>
          <w:rFonts w:ascii="Palatino Linotype" w:eastAsia="Palatino Linotype" w:hAnsi="Palatino Linotype" w:cs="Palatino Linotype"/>
          <w:b/>
          <w:i/>
          <w:color w:val="0D0D0D" w:themeColor="text1" w:themeTint="F2"/>
          <w:sz w:val="22"/>
          <w:szCs w:val="22"/>
          <w:u w:val="single"/>
        </w:rPr>
        <w:t>vales de gasolina o por los consumos foráneos que realicen fuera del municipio, deberán llevar una bitácora de acuerdo al anexo 3</w:t>
      </w:r>
      <w:r w:rsidRPr="0086781A">
        <w:rPr>
          <w:rFonts w:ascii="Palatino Linotype" w:eastAsia="Palatino Linotype" w:hAnsi="Palatino Linotype" w:cs="Palatino Linotype"/>
          <w:i/>
          <w:color w:val="0D0D0D" w:themeColor="text1" w:themeTint="F2"/>
          <w:sz w:val="22"/>
          <w:szCs w:val="22"/>
        </w:rPr>
        <w:t>. “</w:t>
      </w:r>
    </w:p>
    <w:p w14:paraId="5FB2D297" w14:textId="77777777" w:rsidR="00F16734" w:rsidRPr="0086781A" w:rsidRDefault="00F16734">
      <w:pPr>
        <w:pBdr>
          <w:top w:val="nil"/>
          <w:left w:val="nil"/>
          <w:bottom w:val="nil"/>
          <w:right w:val="nil"/>
          <w:between w:val="nil"/>
        </w:pBdr>
        <w:spacing w:line="360" w:lineRule="auto"/>
        <w:ind w:right="49"/>
        <w:jc w:val="both"/>
        <w:rPr>
          <w:rFonts w:ascii="Palatino Linotype" w:eastAsia="Palatino Linotype" w:hAnsi="Palatino Linotype" w:cs="Palatino Linotype"/>
          <w:color w:val="0D0D0D" w:themeColor="text1" w:themeTint="F2"/>
        </w:rPr>
      </w:pPr>
    </w:p>
    <w:p w14:paraId="6A45DACC" w14:textId="77777777" w:rsidR="00F16734" w:rsidRPr="0086781A" w:rsidRDefault="00F16734">
      <w:pPr>
        <w:pBdr>
          <w:top w:val="nil"/>
          <w:left w:val="nil"/>
          <w:bottom w:val="nil"/>
          <w:right w:val="nil"/>
          <w:between w:val="nil"/>
        </w:pBdr>
        <w:spacing w:line="360" w:lineRule="auto"/>
        <w:ind w:right="49"/>
        <w:jc w:val="both"/>
        <w:rPr>
          <w:color w:val="0D0D0D" w:themeColor="text1" w:themeTint="F2"/>
        </w:rPr>
      </w:pPr>
    </w:p>
    <w:p w14:paraId="14E7AC30" w14:textId="77777777" w:rsidR="00F16734" w:rsidRPr="0086781A" w:rsidRDefault="00F16734">
      <w:pPr>
        <w:pBdr>
          <w:top w:val="nil"/>
          <w:left w:val="nil"/>
          <w:bottom w:val="nil"/>
          <w:right w:val="nil"/>
          <w:between w:val="nil"/>
        </w:pBdr>
        <w:tabs>
          <w:tab w:val="left" w:pos="426"/>
        </w:tabs>
        <w:spacing w:before="240" w:line="360" w:lineRule="auto"/>
        <w:ind w:left="142" w:right="851"/>
        <w:jc w:val="both"/>
        <w:rPr>
          <w:rFonts w:ascii="Palatino Linotype" w:eastAsia="Palatino Linotype" w:hAnsi="Palatino Linotype" w:cs="Palatino Linotype"/>
          <w:color w:val="0D0D0D" w:themeColor="text1" w:themeTint="F2"/>
        </w:rPr>
      </w:pPr>
    </w:p>
    <w:p w14:paraId="16C56C61" w14:textId="77777777" w:rsidR="00F16734" w:rsidRPr="0086781A" w:rsidRDefault="00FB681D">
      <w:pPr>
        <w:shd w:val="clear" w:color="auto" w:fill="FFFFFF"/>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noProof/>
          <w:color w:val="0D0D0D" w:themeColor="text1" w:themeTint="F2"/>
          <w:lang w:eastAsia="es-MX"/>
        </w:rPr>
        <w:lastRenderedPageBreak/>
        <w:drawing>
          <wp:inline distT="0" distB="0" distL="0" distR="0" wp14:anchorId="0ED362BF" wp14:editId="5E7FFC12">
            <wp:extent cx="5581015" cy="2769267"/>
            <wp:effectExtent l="0" t="0" r="0" b="0"/>
            <wp:docPr id="1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581015" cy="2769267"/>
                    </a:xfrm>
                    <a:prstGeom prst="rect">
                      <a:avLst/>
                    </a:prstGeom>
                    <a:ln/>
                  </pic:spPr>
                </pic:pic>
              </a:graphicData>
            </a:graphic>
          </wp:inline>
        </w:drawing>
      </w:r>
    </w:p>
    <w:p w14:paraId="2EDB8EE5" w14:textId="77777777" w:rsidR="00F16734" w:rsidRPr="0086781A" w:rsidRDefault="00FB681D">
      <w:pPr>
        <w:shd w:val="clear" w:color="auto" w:fill="FFFFFF"/>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manera que como se vio anteriormente, le corresponde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llevar el control del consumo de combustibles, es importante resaltar el hecho de que como ya se apuntó debidamente, es atribución de la Dirección de Administración o de la Coordinación de Administración y Finanzas proveer de insumos, bienes y servicios que requieran las distintas áreas que conforman la administración pública municipal para su funcionamiento, por lo que deberá realizarse una búsqueda exhaustiva y razonable para efecto de entregar las bitácoras de combustible. </w:t>
      </w:r>
    </w:p>
    <w:p w14:paraId="3805AFDF"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igual forma, como se señaló en líneas argumentativas anteriores, se tiene que no señaló una temporalidad en específico sobre la cual requiriera la información, es por ello que conviene traer a colación el contenido del Criterio Orientador SO/003/2019, emitido por el Instituto Nacional de Transparencia, Acceso a la Información y Protección de Datos Personales: </w:t>
      </w:r>
    </w:p>
    <w:p w14:paraId="4D38DF31" w14:textId="77777777" w:rsidR="00F16734" w:rsidRPr="0086781A" w:rsidRDefault="00F16734">
      <w:pPr>
        <w:spacing w:line="360" w:lineRule="auto"/>
        <w:jc w:val="both"/>
        <w:rPr>
          <w:rFonts w:ascii="Palatino Linotype" w:eastAsia="Palatino Linotype" w:hAnsi="Palatino Linotype" w:cs="Palatino Linotype"/>
          <w:color w:val="0D0D0D" w:themeColor="text1" w:themeTint="F2"/>
        </w:rPr>
      </w:pPr>
    </w:p>
    <w:p w14:paraId="19D74B32" w14:textId="77777777" w:rsidR="00F16734" w:rsidRPr="0086781A" w:rsidRDefault="00FB681D">
      <w:pPr>
        <w:spacing w:line="276" w:lineRule="auto"/>
        <w:ind w:left="567" w:right="709"/>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lastRenderedPageBreak/>
        <w:t>“</w:t>
      </w:r>
      <w:r w:rsidRPr="0086781A">
        <w:rPr>
          <w:rFonts w:ascii="Palatino Linotype" w:eastAsia="Palatino Linotype" w:hAnsi="Palatino Linotype" w:cs="Palatino Linotype"/>
          <w:b/>
          <w:i/>
          <w:color w:val="0D0D0D" w:themeColor="text1" w:themeTint="F2"/>
          <w:sz w:val="22"/>
          <w:szCs w:val="22"/>
        </w:rPr>
        <w:t>Periodo de búsqueda de la información</w:t>
      </w:r>
      <w:r w:rsidRPr="0086781A">
        <w:rPr>
          <w:rFonts w:ascii="Palatino Linotype" w:eastAsia="Palatino Linotype" w:hAnsi="Palatino Linotype" w:cs="Palatino Linotype"/>
          <w:i/>
          <w:color w:val="0D0D0D" w:themeColor="text1" w:themeTint="F2"/>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(Sic) </w:t>
      </w:r>
    </w:p>
    <w:p w14:paraId="736C8252" w14:textId="77777777" w:rsidR="00F16734" w:rsidRPr="0086781A" w:rsidRDefault="00FB681D">
      <w:pPr>
        <w:spacing w:before="240" w:after="240" w:line="360" w:lineRule="auto"/>
        <w:jc w:val="both"/>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color w:val="0D0D0D" w:themeColor="text1" w:themeTint="F2"/>
        </w:rPr>
        <w:t xml:space="preserve">De tal suerte que como señala el criterio orientador, al no señalar expresamente la temporalidad respecto de la que requiere la información resultará pertinente considerar que la información peticionada comprende del </w:t>
      </w:r>
      <w:r w:rsidRPr="0086781A">
        <w:rPr>
          <w:rFonts w:ascii="Palatino Linotype" w:eastAsia="Palatino Linotype" w:hAnsi="Palatino Linotype" w:cs="Palatino Linotype"/>
          <w:b/>
          <w:color w:val="0D0D0D" w:themeColor="text1" w:themeTint="F2"/>
        </w:rPr>
        <w:t>14 de septiembre del 2021 al 14 de septiembre de 2022</w:t>
      </w:r>
      <w:r w:rsidRPr="0086781A">
        <w:rPr>
          <w:rFonts w:ascii="Palatino Linotype" w:eastAsia="Palatino Linotype" w:hAnsi="Palatino Linotype" w:cs="Palatino Linotype"/>
          <w:color w:val="0D0D0D" w:themeColor="text1" w:themeTint="F2"/>
        </w:rPr>
        <w:t xml:space="preserve">, por lo que es dable ordenar al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una búsqueda exhaustiva y razonable en sus archivos para efectuar la entrega de las bitácoras de combustible del Instituto Municipal de Cultura Física y Deporte de Zinacantepec, generadas del 14 de septiembre del 2021 al 14 de septiembre de 2022, de ser procedente en versión pública, en términos del considerando quinto. </w:t>
      </w:r>
    </w:p>
    <w:p w14:paraId="24D076BB"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Acotado lo anterior, resulta importante destacar </w:t>
      </w:r>
      <w:proofErr w:type="gramStart"/>
      <w:r w:rsidRPr="0086781A">
        <w:rPr>
          <w:rFonts w:ascii="Palatino Linotype" w:eastAsia="Palatino Linotype" w:hAnsi="Palatino Linotype" w:cs="Palatino Linotype"/>
          <w:color w:val="0D0D0D" w:themeColor="text1" w:themeTint="F2"/>
        </w:rPr>
        <w:t>que</w:t>
      </w:r>
      <w:proofErr w:type="gramEnd"/>
      <w:r w:rsidRPr="0086781A">
        <w:rPr>
          <w:rFonts w:ascii="Palatino Linotype" w:eastAsia="Palatino Linotype" w:hAnsi="Palatino Linotype" w:cs="Palatino Linotype"/>
          <w:color w:val="0D0D0D" w:themeColor="text1" w:themeTint="F2"/>
        </w:rPr>
        <w:t xml:space="preserve"> en efecto,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no garantizó el derecho de acceso a la información del particular, toda vez que dentro de los plazos establecidos por la legislación, no otorgó respuesta, aunado al hecho de que ya hubo una primera resolución que no fue atendida, por lo que en términos del marco normativo planteado, el </w:t>
      </w:r>
      <w:r w:rsidRPr="0086781A">
        <w:rPr>
          <w:rFonts w:ascii="Palatino Linotype" w:eastAsia="Palatino Linotype" w:hAnsi="Palatino Linotype" w:cs="Palatino Linotype"/>
          <w:b/>
          <w:color w:val="0D0D0D" w:themeColor="text1" w:themeTint="F2"/>
        </w:rPr>
        <w:t>Ayuntamiento de Zinacantepec</w:t>
      </w:r>
      <w:r w:rsidRPr="0086781A">
        <w:rPr>
          <w:rFonts w:ascii="Palatino Linotype" w:eastAsia="Palatino Linotype" w:hAnsi="Palatino Linotype" w:cs="Palatino Linotype"/>
          <w:color w:val="0D0D0D" w:themeColor="text1" w:themeTint="F2"/>
        </w:rPr>
        <w:t xml:space="preserve"> puede generar, poseer o administrar, la siguiente información:</w:t>
      </w:r>
    </w:p>
    <w:p w14:paraId="6C67AFFC"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709"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 xml:space="preserve">Acuerdo emitido por el Comité de Transparencia, a efecto de confirmar la incompetencia para conocer la información relativa a los títulos profesionales, recibos de nómina de enero a la fecha de la solicitud, </w:t>
      </w:r>
      <w:proofErr w:type="spellStart"/>
      <w:r w:rsidRPr="0086781A">
        <w:rPr>
          <w:rFonts w:ascii="Palatino Linotype" w:eastAsia="Palatino Linotype" w:hAnsi="Palatino Linotype" w:cs="Palatino Linotype"/>
          <w:b/>
          <w:i/>
          <w:color w:val="0D0D0D" w:themeColor="text1" w:themeTint="F2"/>
        </w:rPr>
        <w:t>curriculum</w:t>
      </w:r>
      <w:proofErr w:type="spellEnd"/>
      <w:r w:rsidRPr="0086781A">
        <w:rPr>
          <w:rFonts w:ascii="Palatino Linotype" w:eastAsia="Palatino Linotype" w:hAnsi="Palatino Linotype" w:cs="Palatino Linotype"/>
          <w:b/>
          <w:i/>
          <w:color w:val="0D0D0D" w:themeColor="text1" w:themeTint="F2"/>
        </w:rPr>
        <w:t xml:space="preserve"> vitae, certificado de no antecedentes penales, listas de asistencia, declaración Patrimonial, bitácoras de combustible de los Directores del DIF y OPDAPAS, así como de todo el personal adscrito a </w:t>
      </w:r>
      <w:r w:rsidRPr="0086781A">
        <w:rPr>
          <w:rFonts w:ascii="Palatino Linotype" w:eastAsia="Palatino Linotype" w:hAnsi="Palatino Linotype" w:cs="Palatino Linotype"/>
          <w:b/>
          <w:i/>
          <w:color w:val="0D0D0D" w:themeColor="text1" w:themeTint="F2"/>
        </w:rPr>
        <w:lastRenderedPageBreak/>
        <w:t>dichos organismos; así como, declaración patrimonial, que deban realizar los servidores públicos referidos en la solicitud, en el ejercicio de sus funciones.</w:t>
      </w:r>
    </w:p>
    <w:p w14:paraId="60D73E65"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709"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 xml:space="preserve">Título profesional del </w:t>
      </w:r>
      <w:proofErr w:type="gramStart"/>
      <w:r w:rsidRPr="0086781A">
        <w:rPr>
          <w:rFonts w:ascii="Palatino Linotype" w:eastAsia="Palatino Linotype" w:hAnsi="Palatino Linotype" w:cs="Palatino Linotype"/>
          <w:b/>
          <w:i/>
          <w:color w:val="0D0D0D" w:themeColor="text1" w:themeTint="F2"/>
        </w:rPr>
        <w:t>Director</w:t>
      </w:r>
      <w:proofErr w:type="gramEnd"/>
      <w:r w:rsidRPr="0086781A">
        <w:rPr>
          <w:rFonts w:ascii="Palatino Linotype" w:eastAsia="Palatino Linotype" w:hAnsi="Palatino Linotype" w:cs="Palatino Linotype"/>
          <w:b/>
          <w:i/>
          <w:color w:val="0D0D0D" w:themeColor="text1" w:themeTint="F2"/>
        </w:rPr>
        <w:t xml:space="preserve"> del Instituto Municipal de Cultura Física y Deporte de Zinacantepec, en funciones al 14 de septiembre de 2022.</w:t>
      </w:r>
    </w:p>
    <w:p w14:paraId="3C819F9A"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709"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Título profesional de los servidores públicos adscritos al Instituto Municipal de Cultura Física y Deporte de Zinacantepec, en funciones al 14 de septiembre de 2022.</w:t>
      </w:r>
    </w:p>
    <w:p w14:paraId="53D4BAE6"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709"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Recibos de nómina de los servidores públicos adscritos a la Instituto Municipal de Cultura Física y Deporte de Zinacantepec generados del 1 de enero al 31 de agosto del 2022.</w:t>
      </w:r>
    </w:p>
    <w:p w14:paraId="2312EF3C"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709"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Documento donde conste la información curricular de los servidores públicos adscritos al Instituto Municipal de Cultura Física y Deporte de Zinacantepec, en funciones al 14 de septiembre de 2022.</w:t>
      </w:r>
    </w:p>
    <w:p w14:paraId="287096EE"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709"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Certificado de no antecedentes penales, de los servidores públicos adscritos al Instituto Municipal de Cultura Física y Deporte de Zinacantepec, en funciones al 14 de septiembre de 2022</w:t>
      </w:r>
    </w:p>
    <w:p w14:paraId="025B02E7"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567" w:right="851" w:hanging="283"/>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Listas de asistencia de los servidores públicos adscritos al Instituto Municipal de Cultura Física y Deporte de Zinacantepec, del 14 de septiembre del 2021 al 14 de septiembre de 2022, o bien la autorización emitida por autoridad competente, para omitir la elaboración de listas de asistencia, para exceptuar el registro de asistencia de determinados servidores públicos, del periodo señalado en el punto anterior.</w:t>
      </w:r>
    </w:p>
    <w:p w14:paraId="788B149B" w14:textId="77777777" w:rsidR="00B51421" w:rsidRPr="0086781A" w:rsidRDefault="00B51421" w:rsidP="00B51421">
      <w:pPr>
        <w:pStyle w:val="Prrafodelista"/>
        <w:numPr>
          <w:ilvl w:val="0"/>
          <w:numId w:val="14"/>
        </w:numPr>
        <w:pBdr>
          <w:top w:val="nil"/>
          <w:left w:val="nil"/>
          <w:bottom w:val="nil"/>
          <w:right w:val="nil"/>
          <w:between w:val="nil"/>
        </w:pBdr>
        <w:tabs>
          <w:tab w:val="left" w:pos="4962"/>
        </w:tabs>
        <w:spacing w:line="276" w:lineRule="auto"/>
        <w:ind w:left="567" w:right="851" w:hanging="283"/>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Las bitácoras de combustible del Instituto Municipal de Cultura Física y Deporte de Zinacantepec, generadas del 14 de septiembre del 2021 al 14 de septiembre de 2022.</w:t>
      </w:r>
    </w:p>
    <w:p w14:paraId="0AA28376"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 por ello que se estima pertinente ordenar al </w:t>
      </w:r>
      <w:r w:rsidRPr="0086781A">
        <w:rPr>
          <w:rFonts w:ascii="Palatino Linotype" w:eastAsia="Palatino Linotype" w:hAnsi="Palatino Linotype" w:cs="Palatino Linotype"/>
          <w:b/>
          <w:color w:val="0D0D0D" w:themeColor="text1" w:themeTint="F2"/>
        </w:rPr>
        <w:t xml:space="preserve">Sujeto Obligado, la entrega de esta documentación, </w:t>
      </w:r>
      <w:r w:rsidRPr="0086781A">
        <w:rPr>
          <w:rFonts w:ascii="Palatino Linotype" w:eastAsia="Palatino Linotype" w:hAnsi="Palatino Linotype" w:cs="Palatino Linotype"/>
          <w:color w:val="0D0D0D" w:themeColor="text1" w:themeTint="F2"/>
        </w:rPr>
        <w:t>en versión pública de ser procedente, ello conforme a lo que dispone el siguiente considerando.</w:t>
      </w:r>
    </w:p>
    <w:p w14:paraId="179A07BB" w14:textId="77777777" w:rsidR="00F16734" w:rsidRPr="0086781A" w:rsidRDefault="00FB681D">
      <w:pPr>
        <w:spacing w:before="240" w:after="240" w:line="360" w:lineRule="auto"/>
        <w:ind w:right="51"/>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sz w:val="22"/>
          <w:szCs w:val="22"/>
        </w:rPr>
        <w:t xml:space="preserve">Quinto. Versión Pública. </w:t>
      </w:r>
      <w:r w:rsidRPr="0086781A">
        <w:rPr>
          <w:rFonts w:ascii="Palatino Linotype" w:eastAsia="Palatino Linotype" w:hAnsi="Palatino Linotype" w:cs="Palatino Linotype"/>
          <w:color w:val="0D0D0D" w:themeColor="text1" w:themeTint="F2"/>
        </w:rPr>
        <w:t>Como fue debidamente apuntado,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debe satisfacer la solicitud de acceso a la información; sin embargo, dada </w:t>
      </w:r>
      <w:r w:rsidRPr="0086781A">
        <w:rPr>
          <w:rFonts w:ascii="Palatino Linotype" w:eastAsia="Palatino Linotype" w:hAnsi="Palatino Linotype" w:cs="Palatino Linotype"/>
          <w:color w:val="0D0D0D" w:themeColor="text1" w:themeTint="F2"/>
        </w:rPr>
        <w:lastRenderedPageBreak/>
        <w:t>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B275DD0"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046B5FB"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3C00140"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Al respecto, los artículos 3, fracciones IX, XX, XXI, XXXII, XLV; 6, 91, 137, 143 fracción I, de la Ley de Transparencia y Acceso a la Información Pública del Estado de México y Municipios vigente establecen:</w:t>
      </w:r>
    </w:p>
    <w:p w14:paraId="67FCCE63" w14:textId="77777777" w:rsidR="00F16734" w:rsidRPr="0086781A" w:rsidRDefault="00FB681D">
      <w:pPr>
        <w:spacing w:before="120" w:after="120" w:line="259" w:lineRule="auto"/>
        <w:ind w:left="851"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 </w:t>
      </w: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3.</w:t>
      </w:r>
      <w:r w:rsidRPr="0086781A">
        <w:rPr>
          <w:rFonts w:ascii="Palatino Linotype" w:eastAsia="Palatino Linotype" w:hAnsi="Palatino Linotype" w:cs="Palatino Linotype"/>
          <w:i/>
          <w:color w:val="0D0D0D" w:themeColor="text1" w:themeTint="F2"/>
          <w:sz w:val="22"/>
          <w:szCs w:val="22"/>
        </w:rPr>
        <w:t xml:space="preserve"> Para los efectos de la presente Ley se entenderá por:</w:t>
      </w:r>
    </w:p>
    <w:p w14:paraId="6886A7E5"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10E3E6AB"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IX. Datos personales</w:t>
      </w:r>
      <w:r w:rsidRPr="0086781A">
        <w:rPr>
          <w:rFonts w:ascii="Palatino Linotype" w:eastAsia="Palatino Linotype" w:hAnsi="Palatino Linotype" w:cs="Palatino Linotype"/>
          <w:i/>
          <w:color w:val="0D0D0D" w:themeColor="text1" w:themeTint="F2"/>
          <w:sz w:val="22"/>
          <w:szCs w:val="22"/>
        </w:rPr>
        <w:t>: La información concerniente a una persona, identificada o identificable según lo dispuesto por la Ley de Protección de Datos Personales del Estado de México;</w:t>
      </w:r>
    </w:p>
    <w:p w14:paraId="1214E5DF"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46C354E2"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XX. Información clasificada</w:t>
      </w:r>
      <w:r w:rsidRPr="0086781A">
        <w:rPr>
          <w:rFonts w:ascii="Palatino Linotype" w:eastAsia="Palatino Linotype" w:hAnsi="Palatino Linotype" w:cs="Palatino Linotype"/>
          <w:i/>
          <w:color w:val="0D0D0D" w:themeColor="text1" w:themeTint="F2"/>
          <w:sz w:val="22"/>
          <w:szCs w:val="22"/>
        </w:rPr>
        <w:t>: Aquella considerada por la presente Ley como reservada o confidencial;</w:t>
      </w:r>
    </w:p>
    <w:p w14:paraId="4E9C36C5"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XXI. Información confidencial</w:t>
      </w:r>
      <w:r w:rsidRPr="0086781A">
        <w:rPr>
          <w:rFonts w:ascii="Palatino Linotype" w:eastAsia="Palatino Linotype" w:hAnsi="Palatino Linotype" w:cs="Palatino Linotype"/>
          <w:i/>
          <w:color w:val="0D0D0D" w:themeColor="text1" w:themeTint="F2"/>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9EE0725"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1B94FFA5"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XXXII. Protección de Datos Personales</w:t>
      </w:r>
      <w:r w:rsidRPr="0086781A">
        <w:rPr>
          <w:rFonts w:ascii="Palatino Linotype" w:eastAsia="Palatino Linotype" w:hAnsi="Palatino Linotype" w:cs="Palatino Linotype"/>
          <w:i/>
          <w:color w:val="0D0D0D" w:themeColor="text1" w:themeTint="F2"/>
          <w:sz w:val="22"/>
          <w:szCs w:val="22"/>
        </w:rPr>
        <w:t>: Derecho humano que tutela la privacidad de datos personales en poder de los sujetos obligados y sujetos particulares;</w:t>
      </w:r>
    </w:p>
    <w:p w14:paraId="3E201151" w14:textId="77777777" w:rsidR="00F16734" w:rsidRPr="0086781A" w:rsidRDefault="00FB681D">
      <w:pPr>
        <w:tabs>
          <w:tab w:val="left" w:pos="1276"/>
        </w:tabs>
        <w:spacing w:before="120" w:after="120" w:line="259" w:lineRule="auto"/>
        <w:ind w:left="1134"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6F4528FD" w14:textId="77777777" w:rsidR="00F16734" w:rsidRPr="0086781A" w:rsidRDefault="00FB681D">
      <w:pPr>
        <w:tabs>
          <w:tab w:val="left" w:pos="1276"/>
        </w:tabs>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XLV. Versión pública</w:t>
      </w:r>
      <w:r w:rsidRPr="0086781A">
        <w:rPr>
          <w:rFonts w:ascii="Palatino Linotype" w:eastAsia="Palatino Linotype" w:hAnsi="Palatino Linotype" w:cs="Palatino Linotype"/>
          <w:i/>
          <w:color w:val="0D0D0D" w:themeColor="text1" w:themeTint="F2"/>
          <w:sz w:val="22"/>
          <w:szCs w:val="22"/>
        </w:rPr>
        <w:t>: Documento en el que se elimine, suprime o borra la información clasificada como reservada o confidencial para permitir su acceso.</w:t>
      </w:r>
    </w:p>
    <w:p w14:paraId="4B426693"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Artículo 6</w:t>
      </w:r>
      <w:r w:rsidRPr="0086781A">
        <w:rPr>
          <w:rFonts w:ascii="Palatino Linotype" w:eastAsia="Palatino Linotype" w:hAnsi="Palatino Linotype" w:cs="Palatino Linotype"/>
          <w:i/>
          <w:color w:val="0D0D0D" w:themeColor="text1" w:themeTint="F2"/>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D65E833"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w:t>
      </w:r>
    </w:p>
    <w:p w14:paraId="5989BB5A"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91.</w:t>
      </w:r>
      <w:r w:rsidRPr="0086781A">
        <w:rPr>
          <w:rFonts w:ascii="Palatino Linotype" w:eastAsia="Palatino Linotype" w:hAnsi="Palatino Linotype" w:cs="Palatino Linotype"/>
          <w:i/>
          <w:color w:val="0D0D0D" w:themeColor="text1" w:themeTint="F2"/>
          <w:sz w:val="22"/>
          <w:szCs w:val="22"/>
        </w:rPr>
        <w:t xml:space="preserve"> El acceso a la información pública será restringido excepcionalmente, cuando ésta sea clasificada como reservada o confidencial.</w:t>
      </w:r>
    </w:p>
    <w:p w14:paraId="13E548D6"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5E27E4C0"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137.</w:t>
      </w:r>
      <w:r w:rsidRPr="0086781A">
        <w:rPr>
          <w:rFonts w:ascii="Palatino Linotype" w:eastAsia="Palatino Linotype" w:hAnsi="Palatino Linotype" w:cs="Palatino Linotype"/>
          <w:i/>
          <w:color w:val="0D0D0D" w:themeColor="text1" w:themeTint="F2"/>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B7F7DA1"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Artículo 143.</w:t>
      </w:r>
      <w:r w:rsidRPr="0086781A">
        <w:rPr>
          <w:rFonts w:ascii="Palatino Linotype" w:eastAsia="Palatino Linotype" w:hAnsi="Palatino Linotype" w:cs="Palatino Linotype"/>
          <w:i/>
          <w:color w:val="0D0D0D" w:themeColor="text1" w:themeTint="F2"/>
          <w:sz w:val="22"/>
          <w:szCs w:val="22"/>
        </w:rPr>
        <w:t xml:space="preserve"> Para los efectos de esta Ley se considera información confidencial, la clasificada como tal, de manera permanente, por su naturaleza, cuando:</w:t>
      </w:r>
    </w:p>
    <w:p w14:paraId="25036833" w14:textId="77777777" w:rsidR="00F16734" w:rsidRPr="0086781A" w:rsidRDefault="00FB681D">
      <w:pPr>
        <w:spacing w:before="120" w:after="120" w:line="259" w:lineRule="auto"/>
        <w:ind w:left="567"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I.</w:t>
      </w:r>
      <w:r w:rsidRPr="0086781A">
        <w:rPr>
          <w:rFonts w:ascii="Palatino Linotype" w:eastAsia="Palatino Linotype" w:hAnsi="Palatino Linotype" w:cs="Palatino Linotype"/>
          <w:i/>
          <w:color w:val="0D0D0D" w:themeColor="text1" w:themeTint="F2"/>
          <w:sz w:val="22"/>
          <w:szCs w:val="22"/>
        </w:rPr>
        <w:t xml:space="preserve"> Se refiera a la información privada y los datos personales concernientes a una persona física o jurídico colectiva identificada o identificable...”</w:t>
      </w:r>
    </w:p>
    <w:p w14:paraId="0EC136C9" w14:textId="77777777" w:rsidR="00F16734" w:rsidRPr="0086781A" w:rsidRDefault="00FB681D">
      <w:pPr>
        <w:spacing w:before="240" w:after="240" w:line="360" w:lineRule="auto"/>
        <w:ind w:right="50"/>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55F70B9" w14:textId="77777777" w:rsidR="00F16734" w:rsidRPr="0086781A" w:rsidRDefault="00FB681D">
      <w:pPr>
        <w:spacing w:before="240" w:after="240" w:line="360" w:lineRule="auto"/>
        <w:ind w:right="50"/>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974296B"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el caso específico, dada la naturaleza de la información que se ordena, si bien tiene el carácter información pública en razón de que se trata de documentos que se encuentran en posesión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derivado del ejercicio de sus atribuciones, tal como quedo acotado en el cuerpo de la presente Resolución, también contienen los datos personales de servidores públicos, que de hacerse </w:t>
      </w:r>
      <w:r w:rsidRPr="0086781A">
        <w:rPr>
          <w:rFonts w:ascii="Palatino Linotype" w:eastAsia="Palatino Linotype" w:hAnsi="Palatino Linotype" w:cs="Palatino Linotype"/>
          <w:color w:val="0D0D0D" w:themeColor="text1" w:themeTint="F2"/>
        </w:rPr>
        <w:lastRenderedPageBreak/>
        <w:t xml:space="preserve">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6781A">
        <w:rPr>
          <w:rFonts w:ascii="Palatino Linotype" w:eastAsia="Palatino Linotype" w:hAnsi="Palatino Linotype" w:cs="Palatino Linotype"/>
          <w:b/>
          <w:color w:val="0D0D0D" w:themeColor="text1" w:themeTint="F2"/>
        </w:rPr>
        <w:t>Registro Federal de Contribuyentes</w:t>
      </w:r>
      <w:r w:rsidRPr="0086781A">
        <w:rPr>
          <w:rFonts w:ascii="Palatino Linotype" w:eastAsia="Palatino Linotype" w:hAnsi="Palatino Linotype" w:cs="Palatino Linotype"/>
          <w:color w:val="0D0D0D" w:themeColor="text1" w:themeTint="F2"/>
        </w:rPr>
        <w:t xml:space="preserve"> (RFC), la </w:t>
      </w:r>
      <w:r w:rsidRPr="0086781A">
        <w:rPr>
          <w:rFonts w:ascii="Palatino Linotype" w:eastAsia="Palatino Linotype" w:hAnsi="Palatino Linotype" w:cs="Palatino Linotype"/>
          <w:b/>
          <w:color w:val="0D0D0D" w:themeColor="text1" w:themeTint="F2"/>
        </w:rPr>
        <w:t>Clave Única de Registro de Población</w:t>
      </w:r>
      <w:r w:rsidRPr="0086781A">
        <w:rPr>
          <w:rFonts w:ascii="Palatino Linotype" w:eastAsia="Palatino Linotype" w:hAnsi="Palatino Linotype" w:cs="Palatino Linotype"/>
          <w:color w:val="0D0D0D" w:themeColor="text1" w:themeTint="F2"/>
        </w:rPr>
        <w:t xml:space="preserve"> (CURP), la </w:t>
      </w:r>
      <w:r w:rsidRPr="0086781A">
        <w:rPr>
          <w:rFonts w:ascii="Palatino Linotype" w:eastAsia="Palatino Linotype" w:hAnsi="Palatino Linotype" w:cs="Palatino Linotype"/>
          <w:b/>
          <w:color w:val="0D0D0D" w:themeColor="text1" w:themeTint="F2"/>
        </w:rPr>
        <w:t>Clave de cualquier tipo de seguridad social</w:t>
      </w:r>
      <w:r w:rsidRPr="0086781A">
        <w:rPr>
          <w:rFonts w:ascii="Palatino Linotype" w:eastAsia="Palatino Linotype" w:hAnsi="Palatino Linotype" w:cs="Palatino Linotype"/>
          <w:color w:val="0D0D0D" w:themeColor="text1" w:themeTint="F2"/>
        </w:rPr>
        <w:t xml:space="preserve"> (ISSEMYM, u otros), los </w:t>
      </w:r>
      <w:r w:rsidRPr="0086781A">
        <w:rPr>
          <w:rFonts w:ascii="Palatino Linotype" w:eastAsia="Palatino Linotype" w:hAnsi="Palatino Linotype" w:cs="Palatino Linotype"/>
          <w:b/>
          <w:color w:val="0D0D0D" w:themeColor="text1" w:themeTint="F2"/>
        </w:rPr>
        <w:t>números de cuentas bancarias</w:t>
      </w:r>
      <w:r w:rsidRPr="0086781A">
        <w:rPr>
          <w:rFonts w:ascii="Palatino Linotype" w:eastAsia="Palatino Linotype" w:hAnsi="Palatino Linotype" w:cs="Palatino Linotype"/>
          <w:color w:val="0D0D0D" w:themeColor="text1" w:themeTint="F2"/>
        </w:rPr>
        <w:t xml:space="preserve">, claves estandarizadas – interbancarias - (CLABES) y de tarjetas, los </w:t>
      </w:r>
      <w:r w:rsidRPr="0086781A">
        <w:rPr>
          <w:rFonts w:ascii="Palatino Linotype" w:eastAsia="Palatino Linotype" w:hAnsi="Palatino Linotype" w:cs="Palatino Linotype"/>
          <w:b/>
          <w:color w:val="0D0D0D" w:themeColor="text1" w:themeTint="F2"/>
        </w:rPr>
        <w:t>préstamos o descuentos</w:t>
      </w:r>
      <w:r w:rsidRPr="0086781A">
        <w:rPr>
          <w:rFonts w:ascii="Palatino Linotype" w:eastAsia="Palatino Linotype" w:hAnsi="Palatino Linotype" w:cs="Palatino Linotype"/>
          <w:color w:val="0D0D0D" w:themeColor="text1" w:themeTint="F2"/>
        </w:rPr>
        <w:t xml:space="preserve"> que se le hagan a la persona y que no tengan relación con los impuestos o la cuota por seguridad social, el</w:t>
      </w:r>
      <w:r w:rsidRPr="0086781A">
        <w:rPr>
          <w:rFonts w:ascii="Palatino Linotype" w:eastAsia="Palatino Linotype" w:hAnsi="Palatino Linotype" w:cs="Palatino Linotype"/>
          <w:b/>
          <w:color w:val="0D0D0D" w:themeColor="text1" w:themeTint="F2"/>
        </w:rPr>
        <w:t xml:space="preserve"> número de empleado, </w:t>
      </w:r>
      <w:r w:rsidRPr="0086781A">
        <w:rPr>
          <w:rFonts w:ascii="Palatino Linotype" w:eastAsia="Palatino Linotype" w:hAnsi="Palatino Linotype" w:cs="Palatino Linotype"/>
          <w:color w:val="0D0D0D" w:themeColor="text1" w:themeTint="F2"/>
        </w:rPr>
        <w:t xml:space="preserve">así como de ser el caso, el </w:t>
      </w:r>
      <w:r w:rsidRPr="0086781A">
        <w:rPr>
          <w:rFonts w:ascii="Palatino Linotype" w:eastAsia="Palatino Linotype" w:hAnsi="Palatino Linotype" w:cs="Palatino Linotype"/>
          <w:b/>
          <w:color w:val="0D0D0D" w:themeColor="text1" w:themeTint="F2"/>
        </w:rPr>
        <w:t>folio fiscal</w:t>
      </w:r>
      <w:r w:rsidRPr="0086781A">
        <w:rPr>
          <w:rFonts w:ascii="Palatino Linotype" w:eastAsia="Palatino Linotype" w:hAnsi="Palatino Linotype" w:cs="Palatino Linotype"/>
          <w:color w:val="0D0D0D" w:themeColor="text1" w:themeTint="F2"/>
        </w:rPr>
        <w:t xml:space="preserve">, la  </w:t>
      </w:r>
      <w:r w:rsidRPr="0086781A">
        <w:rPr>
          <w:rFonts w:ascii="Palatino Linotype" w:eastAsia="Palatino Linotype" w:hAnsi="Palatino Linotype" w:cs="Palatino Linotype"/>
          <w:b/>
          <w:color w:val="0D0D0D" w:themeColor="text1" w:themeTint="F2"/>
        </w:rPr>
        <w:t xml:space="preserve">cadena original, </w:t>
      </w:r>
      <w:r w:rsidRPr="0086781A">
        <w:rPr>
          <w:rFonts w:ascii="Palatino Linotype" w:eastAsia="Palatino Linotype" w:hAnsi="Palatino Linotype" w:cs="Palatino Linotype"/>
          <w:color w:val="0D0D0D" w:themeColor="text1" w:themeTint="F2"/>
        </w:rPr>
        <w:t>los</w:t>
      </w:r>
      <w:r w:rsidRPr="0086781A">
        <w:rPr>
          <w:rFonts w:ascii="Palatino Linotype" w:eastAsia="Palatino Linotype" w:hAnsi="Palatino Linotype" w:cs="Palatino Linotype"/>
          <w:b/>
          <w:color w:val="0D0D0D" w:themeColor="text1" w:themeTint="F2"/>
        </w:rPr>
        <w:t xml:space="preserve"> códigos bidimensionales o códigos QR,</w:t>
      </w:r>
      <w:r w:rsidRPr="0086781A">
        <w:rPr>
          <w:rFonts w:ascii="Palatino Linotype" w:eastAsia="Palatino Linotype" w:hAnsi="Palatino Linotype" w:cs="Palatino Linotype"/>
          <w:color w:val="0D0D0D" w:themeColor="text1" w:themeTint="F2"/>
        </w:rPr>
        <w:t xml:space="preserve"> y cualquier información de carácter fiscal, bajo las siguientes consideraciones. </w:t>
      </w:r>
    </w:p>
    <w:p w14:paraId="5865E142" w14:textId="77777777" w:rsidR="00F16734" w:rsidRPr="0086781A" w:rsidRDefault="00FB681D">
      <w:pPr>
        <w:spacing w:before="240" w:after="240" w:line="360" w:lineRule="auto"/>
        <w:ind w:right="50"/>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77F96B0"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86781A">
        <w:rPr>
          <w:rFonts w:ascii="Palatino Linotype" w:eastAsia="Palatino Linotype" w:hAnsi="Palatino Linotype" w:cs="Palatino Linotype"/>
          <w:color w:val="0D0D0D" w:themeColor="text1" w:themeTint="F2"/>
        </w:rPr>
        <w:t>homoclave</w:t>
      </w:r>
      <w:proofErr w:type="spellEnd"/>
      <w:r w:rsidRPr="0086781A">
        <w:rPr>
          <w:rFonts w:ascii="Palatino Linotype" w:eastAsia="Palatino Linotype" w:hAnsi="Palatino Linotype" w:cs="Palatino Linotype"/>
          <w:color w:val="0D0D0D" w:themeColor="text1" w:themeTint="F2"/>
        </w:rPr>
        <w:t>, por lo que para su obtención es necesario acreditar ante la autoridad fiscal previamente la identidad de la persona, su fecha de nacimiento, entre otros aspectos.</w:t>
      </w:r>
    </w:p>
    <w:p w14:paraId="54C4C57D"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BD9274D"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Lo anterior es compartido por el Instituto Nacional de Transparencia, Acceso a la Información y Protección de Datos Personales, INAI, a través del Criterio 19/17, el cual es del tenor literal siguiente:</w:t>
      </w:r>
    </w:p>
    <w:p w14:paraId="74C5751C" w14:textId="77777777" w:rsidR="00F16734" w:rsidRPr="0086781A" w:rsidRDefault="00FB681D">
      <w:pPr>
        <w:spacing w:after="16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 “Registro Federal de Contribuyentes (RFC) de personas físicas</w:t>
      </w:r>
      <w:r w:rsidRPr="0086781A">
        <w:rPr>
          <w:rFonts w:ascii="Palatino Linotype" w:eastAsia="Palatino Linotype" w:hAnsi="Palatino Linotype" w:cs="Palatino Linotype"/>
          <w:i/>
          <w:color w:val="0D0D0D" w:themeColor="text1" w:themeTint="F2"/>
          <w:sz w:val="22"/>
          <w:szCs w:val="22"/>
        </w:rPr>
        <w:t>. El RFC es una clave de carácter fiscal, única e irrepetible, que permite identificar al titular, su edad y fecha de nacimiento, por lo que es un dato personal de carácter confidencial.”</w:t>
      </w:r>
    </w:p>
    <w:p w14:paraId="562A9F98" w14:textId="77777777" w:rsidR="00F16734" w:rsidRPr="0086781A"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Así, el Registro Federal de Contribuyentes, RFC, se vincula al nombre de su titular y permite identificar la edad de la persona, su fecha de nacimiento, así como su </w:t>
      </w:r>
      <w:proofErr w:type="spellStart"/>
      <w:r w:rsidRPr="0086781A">
        <w:rPr>
          <w:rFonts w:ascii="Palatino Linotype" w:eastAsia="Palatino Linotype" w:hAnsi="Palatino Linotype" w:cs="Palatino Linotype"/>
          <w:color w:val="0D0D0D" w:themeColor="text1" w:themeTint="F2"/>
        </w:rPr>
        <w:t>homoclave</w:t>
      </w:r>
      <w:proofErr w:type="spellEnd"/>
      <w:r w:rsidRPr="0086781A">
        <w:rPr>
          <w:rFonts w:ascii="Palatino Linotype" w:eastAsia="Palatino Linotype" w:hAnsi="Palatino Linotype" w:cs="Palatino Linotype"/>
          <w:color w:val="0D0D0D" w:themeColor="text1" w:themeTint="F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C395DC4" w14:textId="77777777" w:rsidR="00F16734" w:rsidRPr="0086781A"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w:t>
      </w:r>
      <w:r w:rsidRPr="0086781A">
        <w:rPr>
          <w:rFonts w:ascii="Palatino Linotype" w:eastAsia="Palatino Linotype" w:hAnsi="Palatino Linotype" w:cs="Palatino Linotype"/>
          <w:color w:val="0D0D0D" w:themeColor="text1" w:themeTint="F2"/>
        </w:rPr>
        <w:lastRenderedPageBreak/>
        <w:t>nombre, sus apellidos y su lugar de nacimiento; información que permite distinguirlo del resto de los habitantes, por tal motivo, se considera que es de carácter confidencial.</w:t>
      </w:r>
    </w:p>
    <w:p w14:paraId="7FCEEFFB" w14:textId="77777777" w:rsidR="00F16734" w:rsidRPr="0086781A"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Argumento que es compartido por el Instituto Nacional de Transparencia, Acceso a la Información y Protección de Datos Personales, INAI, conforme al criterio 18/17, el cual refiere:</w:t>
      </w:r>
    </w:p>
    <w:p w14:paraId="40D970D6" w14:textId="77777777" w:rsidR="00F16734" w:rsidRPr="0086781A" w:rsidRDefault="00FB681D">
      <w:pPr>
        <w:spacing w:after="160" w:line="259" w:lineRule="auto"/>
        <w:ind w:left="851"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 “Clave Única de Registro de Población (CURP). </w:t>
      </w:r>
      <w:r w:rsidRPr="0086781A">
        <w:rPr>
          <w:rFonts w:ascii="Palatino Linotype" w:eastAsia="Palatino Linotype" w:hAnsi="Palatino Linotype" w:cs="Palatino Linotype"/>
          <w:i/>
          <w:color w:val="0D0D0D" w:themeColor="text1" w:themeTint="F2"/>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0CA96EF"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70D3CD2"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41E310A4"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86781A">
        <w:rPr>
          <w:rFonts w:ascii="Palatino Linotype" w:eastAsia="Palatino Linotype" w:hAnsi="Palatino Linotype" w:cs="Palatino Linotype"/>
          <w:color w:val="0D0D0D" w:themeColor="text1" w:themeTint="F2"/>
        </w:rPr>
        <w:lastRenderedPageBreak/>
        <w:t>operaciones bancarias de diversa naturaleza, por lo que la difusión pública del mismo facilitaría la afectación al patrimonio del titular de la cuenta.</w:t>
      </w:r>
    </w:p>
    <w:p w14:paraId="3F0240F0"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4821D77" w14:textId="77777777" w:rsidR="00F16734" w:rsidRPr="0086781A"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esa virtud, este Pleno determina que dicha información no puede ser del dominio público, toda vez que se podría dar un uso inadecuado a la misma o cometer algún ilícito o fraude como ya ha sido expuesto. </w:t>
      </w:r>
    </w:p>
    <w:p w14:paraId="1EB135C0"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Lo anterior no es así tratándose de las cuentas bancarias o claves interbancarias de los Sujetos Obligados ya que su publicidad cede a la rendición de cuentas al transparentar la forma en que son administrados los recursos públicos.</w:t>
      </w:r>
    </w:p>
    <w:p w14:paraId="0F67C039"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Lo argumentado encuentra sustento en los criterios 10/17 y 11/17 emitidos por el Instituto Nacional de Transparencia, Acceso a la Información y Protección de Datos Personales, INAI, que llevan por rubro y texto los siguientes:</w:t>
      </w:r>
    </w:p>
    <w:p w14:paraId="1A460A66" w14:textId="77777777" w:rsidR="00F16734" w:rsidRPr="0086781A" w:rsidRDefault="00FB681D">
      <w:pPr>
        <w:spacing w:before="240" w:after="24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Cuentas bancarias y/o CLABE interbancaria de personas físicas y morales privadas.</w:t>
      </w:r>
      <w:r w:rsidRPr="0086781A">
        <w:rPr>
          <w:rFonts w:ascii="Palatino Linotype" w:eastAsia="Palatino Linotype" w:hAnsi="Palatino Linotype" w:cs="Palatino Linotype"/>
          <w:i/>
          <w:color w:val="0D0D0D" w:themeColor="text1" w:themeTint="F2"/>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C09ADAB" w14:textId="77777777" w:rsidR="00F16734" w:rsidRPr="0086781A" w:rsidRDefault="00FB681D">
      <w:pPr>
        <w:spacing w:before="240" w:after="24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Cuentas bancarias y/o CLABE interbancaria de sujetos obligados que reciben y/o transfieren recursos públicos, son información pública.</w:t>
      </w:r>
      <w:r w:rsidRPr="0086781A">
        <w:rPr>
          <w:rFonts w:ascii="Palatino Linotype" w:eastAsia="Palatino Linotype" w:hAnsi="Palatino Linotype" w:cs="Palatino Linotype"/>
          <w:i/>
          <w:color w:val="0D0D0D" w:themeColor="text1" w:themeTint="F2"/>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A583EF4"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cuanto hace a los </w:t>
      </w:r>
      <w:r w:rsidRPr="0086781A">
        <w:rPr>
          <w:rFonts w:ascii="Palatino Linotype" w:eastAsia="Palatino Linotype" w:hAnsi="Palatino Linotype" w:cs="Palatino Linotype"/>
          <w:b/>
          <w:color w:val="0D0D0D" w:themeColor="text1" w:themeTint="F2"/>
        </w:rPr>
        <w:t>préstamos o descuentos de carácter personal</w:t>
      </w:r>
      <w:r w:rsidRPr="0086781A">
        <w:rPr>
          <w:rFonts w:ascii="Palatino Linotype" w:eastAsia="Palatino Linotype" w:hAnsi="Palatino Linotype" w:cs="Palatino Linotype"/>
          <w:color w:val="0D0D0D" w:themeColor="text1" w:themeTint="F2"/>
        </w:rPr>
        <w:t>, en virtud de no tener relación con la prestación del servicio y al no involucrar instituciones públicas, se consideran datos confidenciales.</w:t>
      </w:r>
    </w:p>
    <w:p w14:paraId="5673FB91"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sz w:val="22"/>
          <w:szCs w:val="22"/>
        </w:rPr>
        <w:t>Para entender los límites y alcances de esta restricción, es oportuno recurrir al artículo 84 de la Ley del Trabajo de los Servidores Públicos del Estado y Municipios:</w:t>
      </w:r>
    </w:p>
    <w:p w14:paraId="3A86DD37" w14:textId="77777777" w:rsidR="00F16734" w:rsidRPr="0086781A" w:rsidRDefault="00FB681D">
      <w:pPr>
        <w:spacing w:before="240" w:after="240" w:line="259" w:lineRule="auto"/>
        <w:ind w:left="851" w:right="900"/>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“ARTÍCULO 84. </w:t>
      </w:r>
      <w:r w:rsidRPr="0086781A">
        <w:rPr>
          <w:rFonts w:ascii="Palatino Linotype" w:eastAsia="Palatino Linotype" w:hAnsi="Palatino Linotype" w:cs="Palatino Linotype"/>
          <w:i/>
          <w:color w:val="0D0D0D" w:themeColor="text1" w:themeTint="F2"/>
          <w:sz w:val="22"/>
          <w:szCs w:val="22"/>
        </w:rPr>
        <w:t>Sólo podrán hacerse retenciones, descuentos o deducciones al sueldo de los servidores públicos por concepto de:</w:t>
      </w:r>
    </w:p>
    <w:p w14:paraId="62E16444"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 Gravámenes fiscales relacionados con el sueldo;</w:t>
      </w:r>
    </w:p>
    <w:p w14:paraId="7BD06402"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II. Deudas contraídas con las instituciones públicas o dependencias por concepto de anticipos de sueldo, pagos hechos con exceso, errores o pérdidas debidamente comprobados;</w:t>
      </w:r>
    </w:p>
    <w:p w14:paraId="0499A2BB"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III. Cuotas sindicales;</w:t>
      </w:r>
    </w:p>
    <w:p w14:paraId="1504991B"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IV. Cuotas de aportación a fondos para la constitución de cooperativas y de cajas de ahorro, siempre que el servidor público hubiese manifestado previamente, de manera expresa, su conformidad;</w:t>
      </w:r>
    </w:p>
    <w:p w14:paraId="6C726AFC"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 Descuentos ordenados por el Instituto de Seguridad Social del Estado de México y Municipios, con motivo de cuotas y obligaciones contraídas con éste por los servidores públicos;</w:t>
      </w:r>
    </w:p>
    <w:p w14:paraId="7C7F3F01"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 Obligaciones a cargo del servidor público con las que haya consentido, derivadas de la adquisición o del uso de habitaciones consideradas como de interés social;</w:t>
      </w:r>
    </w:p>
    <w:p w14:paraId="38A0F423"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VII. Faltas de puntualidad o de asistencia injustificadas;</w:t>
      </w:r>
    </w:p>
    <w:p w14:paraId="11C2B66A" w14:textId="77777777" w:rsidR="00F16734" w:rsidRPr="0086781A" w:rsidRDefault="00FB681D">
      <w:pPr>
        <w:spacing w:after="160" w:line="259" w:lineRule="auto"/>
        <w:ind w:left="993" w:right="90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VIII. Pensiones alimenticias ordenadas por la autoridad judicial;</w:t>
      </w:r>
      <w:r w:rsidRPr="0086781A">
        <w:rPr>
          <w:rFonts w:ascii="Palatino Linotype" w:eastAsia="Palatino Linotype" w:hAnsi="Palatino Linotype" w:cs="Palatino Linotype"/>
          <w:i/>
          <w:color w:val="0D0D0D" w:themeColor="text1" w:themeTint="F2"/>
          <w:sz w:val="22"/>
          <w:szCs w:val="22"/>
        </w:rPr>
        <w:t xml:space="preserve"> o</w:t>
      </w:r>
    </w:p>
    <w:p w14:paraId="75DCAFDC" w14:textId="77777777" w:rsidR="00F16734" w:rsidRPr="0086781A" w:rsidRDefault="00FB681D">
      <w:pPr>
        <w:spacing w:after="160" w:line="259" w:lineRule="auto"/>
        <w:ind w:left="993" w:right="902"/>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IX. Cualquier otro convenido con instituciones de servicios y aceptado por el servidor público.</w:t>
      </w:r>
    </w:p>
    <w:p w14:paraId="2E538355" w14:textId="77777777" w:rsidR="00F16734" w:rsidRPr="0086781A" w:rsidRDefault="00FB681D">
      <w:pPr>
        <w:spacing w:before="240" w:after="24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4E229D2"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36B443F"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Con relación al </w:t>
      </w:r>
      <w:r w:rsidRPr="0086781A">
        <w:rPr>
          <w:rFonts w:ascii="Palatino Linotype" w:eastAsia="Palatino Linotype" w:hAnsi="Palatino Linotype" w:cs="Palatino Linotype"/>
          <w:b/>
          <w:color w:val="0D0D0D" w:themeColor="text1" w:themeTint="F2"/>
        </w:rPr>
        <w:t>número de empleado</w:t>
      </w:r>
      <w:r w:rsidRPr="0086781A">
        <w:rPr>
          <w:rFonts w:ascii="Palatino Linotype" w:eastAsia="Palatino Linotype" w:hAnsi="Palatino Linotype" w:cs="Palatino Linotype"/>
          <w:color w:val="0D0D0D" w:themeColor="text1" w:themeTint="F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6781A">
        <w:rPr>
          <w:rFonts w:ascii="Palatino Linotype" w:eastAsia="Palatino Linotype" w:hAnsi="Palatino Linotype" w:cs="Palatino Linotype"/>
          <w:color w:val="0D0D0D" w:themeColor="text1" w:themeTint="F2"/>
          <w:vertAlign w:val="superscript"/>
        </w:rPr>
        <w:footnoteReference w:id="4"/>
      </w:r>
      <w:r w:rsidRPr="0086781A">
        <w:rPr>
          <w:rFonts w:ascii="Palatino Linotype" w:eastAsia="Palatino Linotype" w:hAnsi="Palatino Linotype" w:cs="Palatino Linotype"/>
          <w:color w:val="0D0D0D" w:themeColor="text1" w:themeTint="F2"/>
        </w:rPr>
        <w:t>.</w:t>
      </w:r>
    </w:p>
    <w:p w14:paraId="4525C807"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Bajo esos argumentos, se entendería que la información relativa al número de empleado constituye información confidencial al tratarse de un número de </w:t>
      </w:r>
      <w:r w:rsidRPr="0086781A">
        <w:rPr>
          <w:rFonts w:ascii="Palatino Linotype" w:eastAsia="Palatino Linotype" w:hAnsi="Palatino Linotype" w:cs="Palatino Linotype"/>
          <w:color w:val="0D0D0D" w:themeColor="text1" w:themeTint="F2"/>
        </w:rPr>
        <w:lastRenderedPageBreak/>
        <w:t xml:space="preserve">identificación personal a través del cual se puede consultar la situación laboral personal, empero el Pleno del el Instituto Nacional de Transparencia, Acceso a la Información, y Protección de Datos Personales, </w:t>
      </w:r>
      <w:proofErr w:type="gramStart"/>
      <w:r w:rsidRPr="0086781A">
        <w:rPr>
          <w:rFonts w:ascii="Palatino Linotype" w:eastAsia="Palatino Linotype" w:hAnsi="Palatino Linotype" w:cs="Palatino Linotype"/>
          <w:color w:val="0D0D0D" w:themeColor="text1" w:themeTint="F2"/>
        </w:rPr>
        <w:t>INAI  se</w:t>
      </w:r>
      <w:proofErr w:type="gramEnd"/>
      <w:r w:rsidRPr="0086781A">
        <w:rPr>
          <w:rFonts w:ascii="Palatino Linotype" w:eastAsia="Palatino Linotype" w:hAnsi="Palatino Linotype" w:cs="Palatino Linotype"/>
          <w:color w:val="0D0D0D" w:themeColor="text1" w:themeTint="F2"/>
        </w:rPr>
        <w:t xml:space="preserve"> ha pronunciado sobre su publicidad, a través del criterio 06/19, que indica lo siguiente:</w:t>
      </w:r>
    </w:p>
    <w:p w14:paraId="557795A6" w14:textId="77777777" w:rsidR="00F16734" w:rsidRPr="0086781A" w:rsidRDefault="00FB681D">
      <w:pPr>
        <w:tabs>
          <w:tab w:val="left" w:pos="7655"/>
        </w:tabs>
        <w:spacing w:before="240" w:after="240" w:line="259" w:lineRule="auto"/>
        <w:ind w:left="993" w:right="992"/>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“Número de empleado. </w:t>
      </w:r>
      <w:r w:rsidRPr="0086781A">
        <w:rPr>
          <w:rFonts w:ascii="Palatino Linotype" w:eastAsia="Palatino Linotype" w:hAnsi="Palatino Linotype" w:cs="Palatino Linotype"/>
          <w:i/>
          <w:color w:val="0D0D0D" w:themeColor="text1" w:themeTint="F2"/>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7B4EABA"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29DD137"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De la información fiscal</w:t>
      </w:r>
      <w:r w:rsidRPr="0086781A">
        <w:rPr>
          <w:rFonts w:ascii="Palatino Linotype" w:eastAsia="Palatino Linotype" w:hAnsi="Palatino Linotype" w:cs="Palatino Linotype"/>
          <w:color w:val="0D0D0D" w:themeColor="text1" w:themeTint="F2"/>
        </w:rPr>
        <w:t xml:space="preserve">: </w:t>
      </w:r>
    </w:p>
    <w:p w14:paraId="1B6FF72F"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La </w:t>
      </w:r>
      <w:r w:rsidRPr="0086781A">
        <w:rPr>
          <w:rFonts w:ascii="Palatino Linotype" w:eastAsia="Palatino Linotype" w:hAnsi="Palatino Linotype" w:cs="Palatino Linotype"/>
          <w:b/>
          <w:color w:val="0D0D0D" w:themeColor="text1" w:themeTint="F2"/>
        </w:rPr>
        <w:t>Cadena Original</w:t>
      </w:r>
      <w:r w:rsidRPr="0086781A">
        <w:rPr>
          <w:rFonts w:ascii="Palatino Linotype" w:eastAsia="Palatino Linotype" w:hAnsi="Palatino Linotype" w:cs="Palatino Linotype"/>
          <w:color w:val="0D0D0D" w:themeColor="text1" w:themeTint="F2"/>
        </w:rPr>
        <w:t xml:space="preserve"> es la secuencia de datos formada con la información contenida dentro de los comprobantes fiscales, entre los que podría encontrarse de manera enunciativa, más no limitativa, el RFC del receptor, es decir del servidor público. En </w:t>
      </w:r>
      <w:r w:rsidRPr="0086781A">
        <w:rPr>
          <w:rFonts w:ascii="Palatino Linotype" w:eastAsia="Palatino Linotype" w:hAnsi="Palatino Linotype" w:cs="Palatino Linotype"/>
          <w:color w:val="0D0D0D" w:themeColor="text1" w:themeTint="F2"/>
        </w:rPr>
        <w:lastRenderedPageBreak/>
        <w:t xml:space="preserve">dicho supuesto, la cadena original constituiría información que únicamente atañe al contribuyente, siendo tarea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analizar dicha circunstancia con la finalidad de proteger, de ser el caso, la información a través de su clasificación por actualizarse el supuesto de confidencialidad.</w:t>
      </w:r>
    </w:p>
    <w:p w14:paraId="316A9580"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Los </w:t>
      </w:r>
      <w:r w:rsidRPr="0086781A">
        <w:rPr>
          <w:rFonts w:ascii="Palatino Linotype" w:eastAsia="Palatino Linotype" w:hAnsi="Palatino Linotype" w:cs="Palatino Linotype"/>
          <w:b/>
          <w:color w:val="0D0D0D" w:themeColor="text1" w:themeTint="F2"/>
        </w:rPr>
        <w:t>códigos bidimensionales</w:t>
      </w:r>
      <w:r w:rsidRPr="0086781A">
        <w:rPr>
          <w:rFonts w:ascii="Palatino Linotype" w:eastAsia="Palatino Linotype" w:hAnsi="Palatino Linotype" w:cs="Palatino Linotype"/>
          <w:color w:val="0D0D0D" w:themeColor="text1" w:themeTint="F2"/>
        </w:rPr>
        <w:t xml:space="preserve"> o </w:t>
      </w:r>
      <w:r w:rsidRPr="0086781A">
        <w:rPr>
          <w:rFonts w:ascii="Palatino Linotype" w:eastAsia="Palatino Linotype" w:hAnsi="Palatino Linotype" w:cs="Palatino Linotype"/>
          <w:b/>
          <w:color w:val="0D0D0D" w:themeColor="text1" w:themeTint="F2"/>
        </w:rPr>
        <w:t xml:space="preserve">códigos QR, </w:t>
      </w:r>
      <w:r w:rsidRPr="0086781A">
        <w:rPr>
          <w:rFonts w:ascii="Palatino Linotype" w:eastAsia="Palatino Linotype" w:hAnsi="Palatino Linotype" w:cs="Palatino Linotype"/>
          <w:color w:val="0D0D0D" w:themeColor="text1" w:themeTint="F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analizar dicha circunstancia con la finalidad de determinar si se actualiza algún supuesto de confidencialidad.</w:t>
      </w:r>
    </w:p>
    <w:p w14:paraId="60F617A7"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tal sentido, si derivado del análisis efectuado por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14:paraId="5BF65ECC" w14:textId="77777777" w:rsidR="00F16734" w:rsidRPr="0086781A" w:rsidRDefault="00FB681D">
      <w:pPr>
        <w:widowControl w:val="0"/>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El Acuerdo de Clasificación de Información, se emitirá en términos de lo dispuesto tanto como en los en los artículos 128 y 129 de la Ley de Transparencia y Acceso a </w:t>
      </w:r>
      <w:r w:rsidRPr="0086781A">
        <w:rPr>
          <w:rFonts w:ascii="Palatino Linotype" w:eastAsia="Palatino Linotype" w:hAnsi="Palatino Linotype" w:cs="Palatino Linotype"/>
          <w:color w:val="0D0D0D" w:themeColor="text1" w:themeTint="F2"/>
        </w:rPr>
        <w:lastRenderedPageBreak/>
        <w:t xml:space="preserve">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86781A">
        <w:rPr>
          <w:rFonts w:ascii="Palatino Linotype" w:eastAsia="Palatino Linotype" w:hAnsi="Palatino Linotype" w:cs="Palatino Linotype"/>
          <w:b/>
          <w:color w:val="0D0D0D" w:themeColor="text1" w:themeTint="F2"/>
          <w:u w:val="single"/>
        </w:rPr>
        <w:t>razones, motivos o circunstancias especiales</w:t>
      </w:r>
      <w:r w:rsidRPr="0086781A">
        <w:rPr>
          <w:rFonts w:ascii="Palatino Linotype" w:eastAsia="Palatino Linotype" w:hAnsi="Palatino Linotype" w:cs="Palatino Linotype"/>
          <w:color w:val="0D0D0D" w:themeColor="text1" w:themeTint="F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159F9EFD" w14:textId="77777777" w:rsidR="00F16734" w:rsidRPr="0086781A" w:rsidRDefault="00FB681D">
      <w:pPr>
        <w:spacing w:before="240" w:after="240" w:line="360" w:lineRule="auto"/>
        <w:ind w:right="50"/>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86781A">
        <w:rPr>
          <w:rFonts w:ascii="Palatino Linotype" w:eastAsia="Palatino Linotype" w:hAnsi="Palatino Linotype" w:cs="Palatino Linotype"/>
          <w:color w:val="0D0D0D" w:themeColor="text1" w:themeTint="F2"/>
        </w:rPr>
        <w:t>Responsable</w:t>
      </w:r>
      <w:proofErr w:type="gramEnd"/>
      <w:r w:rsidRPr="0086781A">
        <w:rPr>
          <w:rFonts w:ascii="Palatino Linotype" w:eastAsia="Palatino Linotype" w:hAnsi="Palatino Linotype" w:cs="Palatino Linotype"/>
          <w:color w:val="0D0D0D" w:themeColor="text1" w:themeTint="F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7A31273" w14:textId="77777777" w:rsidR="00F16734" w:rsidRPr="0086781A" w:rsidRDefault="00FB681D">
      <w:pPr>
        <w:spacing w:before="120" w:after="120" w:line="259"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49.</w:t>
      </w:r>
      <w:r w:rsidRPr="0086781A">
        <w:rPr>
          <w:rFonts w:ascii="Palatino Linotype" w:eastAsia="Palatino Linotype" w:hAnsi="Palatino Linotype" w:cs="Palatino Linotype"/>
          <w:i/>
          <w:color w:val="0D0D0D" w:themeColor="text1" w:themeTint="F2"/>
          <w:sz w:val="22"/>
          <w:szCs w:val="22"/>
        </w:rPr>
        <w:t xml:space="preserve"> </w:t>
      </w:r>
      <w:r w:rsidRPr="0086781A">
        <w:rPr>
          <w:rFonts w:ascii="Palatino Linotype" w:eastAsia="Palatino Linotype" w:hAnsi="Palatino Linotype" w:cs="Palatino Linotype"/>
          <w:b/>
          <w:i/>
          <w:color w:val="0D0D0D" w:themeColor="text1" w:themeTint="F2"/>
          <w:sz w:val="22"/>
          <w:szCs w:val="22"/>
        </w:rPr>
        <w:t>Los Comités de Transparencia</w:t>
      </w:r>
      <w:r w:rsidRPr="0086781A">
        <w:rPr>
          <w:rFonts w:ascii="Palatino Linotype" w:eastAsia="Palatino Linotype" w:hAnsi="Palatino Linotype" w:cs="Palatino Linotype"/>
          <w:i/>
          <w:color w:val="0D0D0D" w:themeColor="text1" w:themeTint="F2"/>
          <w:sz w:val="22"/>
          <w:szCs w:val="22"/>
        </w:rPr>
        <w:t xml:space="preserve"> tendrán las siguientes atribuciones:</w:t>
      </w:r>
    </w:p>
    <w:p w14:paraId="360784A5" w14:textId="77777777" w:rsidR="00F16734" w:rsidRPr="0086781A" w:rsidRDefault="00FB681D">
      <w:pPr>
        <w:spacing w:before="120" w:after="120" w:line="259"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lastRenderedPageBreak/>
        <w:t>VIII. Aprobar, modificar o revocar la clasificación de la información</w:t>
      </w:r>
      <w:r w:rsidRPr="0086781A">
        <w:rPr>
          <w:rFonts w:ascii="Palatino Linotype" w:eastAsia="Palatino Linotype" w:hAnsi="Palatino Linotype" w:cs="Palatino Linotype"/>
          <w:i/>
          <w:color w:val="0D0D0D" w:themeColor="text1" w:themeTint="F2"/>
          <w:sz w:val="22"/>
          <w:szCs w:val="22"/>
        </w:rPr>
        <w:t>…”</w:t>
      </w:r>
    </w:p>
    <w:p w14:paraId="597870A0" w14:textId="77777777" w:rsidR="00F16734" w:rsidRPr="0086781A" w:rsidRDefault="00FB681D">
      <w:pPr>
        <w:spacing w:before="120" w:after="120" w:line="259"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53.</w:t>
      </w:r>
      <w:r w:rsidRPr="0086781A">
        <w:rPr>
          <w:rFonts w:ascii="Palatino Linotype" w:eastAsia="Palatino Linotype" w:hAnsi="Palatino Linotype" w:cs="Palatino Linotype"/>
          <w:i/>
          <w:color w:val="0D0D0D" w:themeColor="text1" w:themeTint="F2"/>
          <w:sz w:val="22"/>
          <w:szCs w:val="22"/>
        </w:rPr>
        <w:t xml:space="preserve"> Las </w:t>
      </w:r>
      <w:r w:rsidRPr="0086781A">
        <w:rPr>
          <w:rFonts w:ascii="Palatino Linotype" w:eastAsia="Palatino Linotype" w:hAnsi="Palatino Linotype" w:cs="Palatino Linotype"/>
          <w:b/>
          <w:i/>
          <w:color w:val="0D0D0D" w:themeColor="text1" w:themeTint="F2"/>
          <w:sz w:val="22"/>
          <w:szCs w:val="22"/>
        </w:rPr>
        <w:t>Unidades de Transparencia</w:t>
      </w:r>
      <w:r w:rsidRPr="0086781A">
        <w:rPr>
          <w:rFonts w:ascii="Palatino Linotype" w:eastAsia="Palatino Linotype" w:hAnsi="Palatino Linotype" w:cs="Palatino Linotype"/>
          <w:i/>
          <w:color w:val="0D0D0D" w:themeColor="text1" w:themeTint="F2"/>
          <w:sz w:val="22"/>
          <w:szCs w:val="22"/>
        </w:rPr>
        <w:t xml:space="preserve"> tendrán las siguientes </w:t>
      </w:r>
      <w:r w:rsidRPr="0086781A">
        <w:rPr>
          <w:rFonts w:ascii="Palatino Linotype" w:eastAsia="Palatino Linotype" w:hAnsi="Palatino Linotype" w:cs="Palatino Linotype"/>
          <w:b/>
          <w:i/>
          <w:color w:val="0D0D0D" w:themeColor="text1" w:themeTint="F2"/>
          <w:sz w:val="22"/>
          <w:szCs w:val="22"/>
        </w:rPr>
        <w:t>funciones</w:t>
      </w:r>
      <w:r w:rsidRPr="0086781A">
        <w:rPr>
          <w:rFonts w:ascii="Palatino Linotype" w:eastAsia="Palatino Linotype" w:hAnsi="Palatino Linotype" w:cs="Palatino Linotype"/>
          <w:i/>
          <w:color w:val="0D0D0D" w:themeColor="text1" w:themeTint="F2"/>
          <w:sz w:val="22"/>
          <w:szCs w:val="22"/>
        </w:rPr>
        <w:t>:</w:t>
      </w:r>
    </w:p>
    <w:p w14:paraId="7C859D49" w14:textId="77777777" w:rsidR="00F16734" w:rsidRPr="0086781A" w:rsidRDefault="00FB681D">
      <w:pPr>
        <w:spacing w:before="120" w:after="120" w:line="259"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X. Presentar ante el Comité, el proyecto de clasificación de información</w:t>
      </w:r>
      <w:r w:rsidRPr="0086781A">
        <w:rPr>
          <w:rFonts w:ascii="Palatino Linotype" w:eastAsia="Palatino Linotype" w:hAnsi="Palatino Linotype" w:cs="Palatino Linotype"/>
          <w:i/>
          <w:color w:val="0D0D0D" w:themeColor="text1" w:themeTint="F2"/>
          <w:sz w:val="22"/>
          <w:szCs w:val="22"/>
        </w:rPr>
        <w:t xml:space="preserve">…” </w:t>
      </w:r>
    </w:p>
    <w:p w14:paraId="2CF000B1" w14:textId="77777777" w:rsidR="00F16734" w:rsidRPr="0086781A" w:rsidRDefault="00FB681D">
      <w:pPr>
        <w:spacing w:before="120" w:after="120" w:line="259"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“Artículo 59.</w:t>
      </w:r>
      <w:r w:rsidRPr="0086781A">
        <w:rPr>
          <w:rFonts w:ascii="Palatino Linotype" w:eastAsia="Palatino Linotype" w:hAnsi="Palatino Linotype" w:cs="Palatino Linotype"/>
          <w:i/>
          <w:color w:val="0D0D0D" w:themeColor="text1" w:themeTint="F2"/>
          <w:sz w:val="22"/>
          <w:szCs w:val="22"/>
        </w:rPr>
        <w:t xml:space="preserve"> Los </w:t>
      </w:r>
      <w:r w:rsidRPr="0086781A">
        <w:rPr>
          <w:rFonts w:ascii="Palatino Linotype" w:eastAsia="Palatino Linotype" w:hAnsi="Palatino Linotype" w:cs="Palatino Linotype"/>
          <w:b/>
          <w:i/>
          <w:color w:val="0D0D0D" w:themeColor="text1" w:themeTint="F2"/>
          <w:sz w:val="22"/>
          <w:szCs w:val="22"/>
        </w:rPr>
        <w:t>servidores públicos habilitados</w:t>
      </w:r>
      <w:r w:rsidRPr="0086781A">
        <w:rPr>
          <w:rFonts w:ascii="Palatino Linotype" w:eastAsia="Palatino Linotype" w:hAnsi="Palatino Linotype" w:cs="Palatino Linotype"/>
          <w:i/>
          <w:color w:val="0D0D0D" w:themeColor="text1" w:themeTint="F2"/>
          <w:sz w:val="22"/>
          <w:szCs w:val="22"/>
        </w:rPr>
        <w:t xml:space="preserve"> tendrán las </w:t>
      </w:r>
      <w:r w:rsidRPr="0086781A">
        <w:rPr>
          <w:rFonts w:ascii="Palatino Linotype" w:eastAsia="Palatino Linotype" w:hAnsi="Palatino Linotype" w:cs="Palatino Linotype"/>
          <w:b/>
          <w:i/>
          <w:color w:val="0D0D0D" w:themeColor="text1" w:themeTint="F2"/>
          <w:sz w:val="22"/>
          <w:szCs w:val="22"/>
        </w:rPr>
        <w:t>funciones</w:t>
      </w:r>
      <w:r w:rsidRPr="0086781A">
        <w:rPr>
          <w:rFonts w:ascii="Palatino Linotype" w:eastAsia="Palatino Linotype" w:hAnsi="Palatino Linotype" w:cs="Palatino Linotype"/>
          <w:i/>
          <w:color w:val="0D0D0D" w:themeColor="text1" w:themeTint="F2"/>
          <w:sz w:val="22"/>
          <w:szCs w:val="22"/>
        </w:rPr>
        <w:t xml:space="preserve"> siguientes:</w:t>
      </w:r>
    </w:p>
    <w:p w14:paraId="0E5753DB" w14:textId="77777777" w:rsidR="00F16734" w:rsidRPr="0086781A" w:rsidRDefault="00FB681D">
      <w:pPr>
        <w:spacing w:before="120" w:after="120" w:line="259"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V. Integrar y presentar al responsable de la Unidad de Transparencia la propuesta de clasificación de información</w:t>
      </w:r>
      <w:r w:rsidRPr="0086781A">
        <w:rPr>
          <w:rFonts w:ascii="Palatino Linotype" w:eastAsia="Palatino Linotype" w:hAnsi="Palatino Linotype" w:cs="Palatino Linotype"/>
          <w:i/>
          <w:color w:val="0D0D0D" w:themeColor="text1" w:themeTint="F2"/>
          <w:sz w:val="22"/>
          <w:szCs w:val="22"/>
        </w:rPr>
        <w:t>, la cual tendrá los fundamentos y argumentos en que se basa dicha propuesta…”</w:t>
      </w:r>
    </w:p>
    <w:p w14:paraId="4738ABF6"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429C712"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sz w:val="22"/>
          <w:szCs w:val="22"/>
        </w:rPr>
      </w:pPr>
      <w:r w:rsidRPr="0086781A">
        <w:rPr>
          <w:rFonts w:ascii="Palatino Linotype" w:eastAsia="Palatino Linotype" w:hAnsi="Palatino Linotype" w:cs="Palatino Linotype"/>
          <w:color w:val="0D0D0D" w:themeColor="text1" w:themeTint="F2"/>
        </w:rPr>
        <w:t>Para lo cual, a su vez en el caso de información de carácter confidencial, se debe atender a lo que señala el artículo 149 de la Ley de Transparencia Local vigente, que se lee como sigue</w:t>
      </w:r>
      <w:r w:rsidRPr="0086781A">
        <w:rPr>
          <w:rFonts w:ascii="Palatino Linotype" w:eastAsia="Palatino Linotype" w:hAnsi="Palatino Linotype" w:cs="Palatino Linotype"/>
          <w:color w:val="0D0D0D" w:themeColor="text1" w:themeTint="F2"/>
          <w:sz w:val="22"/>
          <w:szCs w:val="22"/>
        </w:rPr>
        <w:t>:</w:t>
      </w:r>
    </w:p>
    <w:p w14:paraId="31C6DB0D" w14:textId="77777777" w:rsidR="00F16734" w:rsidRPr="0086781A" w:rsidRDefault="00FB681D">
      <w:pPr>
        <w:spacing w:after="24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r w:rsidRPr="0086781A">
        <w:rPr>
          <w:rFonts w:ascii="Palatino Linotype" w:eastAsia="Palatino Linotype" w:hAnsi="Palatino Linotype" w:cs="Palatino Linotype"/>
          <w:b/>
          <w:i/>
          <w:color w:val="0D0D0D" w:themeColor="text1" w:themeTint="F2"/>
          <w:sz w:val="22"/>
          <w:szCs w:val="22"/>
        </w:rPr>
        <w:t>Artículo 149.</w:t>
      </w:r>
      <w:r w:rsidRPr="0086781A">
        <w:rPr>
          <w:rFonts w:ascii="Palatino Linotype" w:eastAsia="Palatino Linotype" w:hAnsi="Palatino Linotype" w:cs="Palatino Linotype"/>
          <w:i/>
          <w:color w:val="0D0D0D" w:themeColor="text1" w:themeTint="F2"/>
          <w:sz w:val="22"/>
          <w:szCs w:val="22"/>
        </w:rPr>
        <w:t xml:space="preserve"> El </w:t>
      </w:r>
      <w:r w:rsidRPr="0086781A">
        <w:rPr>
          <w:rFonts w:ascii="Palatino Linotype" w:eastAsia="Palatino Linotype" w:hAnsi="Palatino Linotype" w:cs="Palatino Linotype"/>
          <w:b/>
          <w:i/>
          <w:color w:val="0D0D0D" w:themeColor="text1" w:themeTint="F2"/>
          <w:sz w:val="22"/>
          <w:szCs w:val="22"/>
        </w:rPr>
        <w:t>acuerdo que clasifique la información como confidencial</w:t>
      </w:r>
      <w:r w:rsidRPr="0086781A">
        <w:rPr>
          <w:rFonts w:ascii="Palatino Linotype" w:eastAsia="Palatino Linotype" w:hAnsi="Palatino Linotype" w:cs="Palatino Linotype"/>
          <w:i/>
          <w:color w:val="0D0D0D" w:themeColor="text1" w:themeTint="F2"/>
          <w:sz w:val="22"/>
          <w:szCs w:val="22"/>
        </w:rPr>
        <w:t xml:space="preserve"> deberá contener un razonamiento lógico en el que demuestre que la información se encuentra en alguna o algunas de las hipótesis previstas en la presente Ley.” (Sic)</w:t>
      </w:r>
    </w:p>
    <w:p w14:paraId="34CE4F93" w14:textId="77777777" w:rsidR="00F16734" w:rsidRPr="0086781A" w:rsidRDefault="00FB681D">
      <w:pPr>
        <w:spacing w:before="240" w:after="240" w:line="360" w:lineRule="auto"/>
        <w:ind w:right="51"/>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Es decir, 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xml:space="preserve"> a través de su Comité de Transparencia, deberá elaborar acuerdo que contenga un razonamiento lógico con el que se demuestre </w:t>
      </w:r>
      <w:r w:rsidRPr="0086781A">
        <w:rPr>
          <w:rFonts w:ascii="Palatino Linotype" w:eastAsia="Palatino Linotype" w:hAnsi="Palatino Linotype" w:cs="Palatino Linotype"/>
          <w:color w:val="0D0D0D" w:themeColor="text1" w:themeTint="F2"/>
        </w:rPr>
        <w:lastRenderedPageBreak/>
        <w:t>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9CF89AD" w14:textId="77777777" w:rsidR="00F16734" w:rsidRPr="0086781A" w:rsidRDefault="00FB681D">
      <w:pPr>
        <w:spacing w:before="240" w:after="240" w:line="360" w:lineRule="auto"/>
        <w:ind w:right="49"/>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 xml:space="preserve">Por último, respecto a la versión pública de los documentos que contenga la información solicitada, cabe señalar que el Comité de Transparencia del </w:t>
      </w:r>
      <w:r w:rsidRPr="0086781A">
        <w:rPr>
          <w:rFonts w:ascii="Palatino Linotype" w:eastAsia="Palatino Linotype" w:hAnsi="Palatino Linotype" w:cs="Palatino Linotype"/>
          <w:b/>
          <w:color w:val="0D0D0D" w:themeColor="text1" w:themeTint="F2"/>
        </w:rPr>
        <w:t>Sujeto Obligado</w:t>
      </w:r>
      <w:r w:rsidRPr="0086781A">
        <w:rPr>
          <w:rFonts w:ascii="Palatino Linotype" w:eastAsia="Palatino Linotype" w:hAnsi="Palatino Linotype" w:cs="Palatino Linotype"/>
          <w:color w:val="0D0D0D" w:themeColor="text1" w:themeTint="F2"/>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9E1926E"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b/>
          <w:i/>
          <w:color w:val="0D0D0D" w:themeColor="text1" w:themeTint="F2"/>
          <w:sz w:val="21"/>
          <w:szCs w:val="21"/>
        </w:rPr>
      </w:pPr>
      <w:bookmarkStart w:id="3" w:name="_heading=h.1t3h5sf" w:colFirst="0" w:colLast="0"/>
      <w:bookmarkEnd w:id="3"/>
      <w:r w:rsidRPr="0086781A">
        <w:rPr>
          <w:rFonts w:ascii="Palatino Linotype" w:eastAsia="Palatino Linotype" w:hAnsi="Palatino Linotype" w:cs="Palatino Linotype"/>
          <w:i/>
          <w:color w:val="0D0D0D" w:themeColor="text1" w:themeTint="F2"/>
          <w:sz w:val="21"/>
          <w:szCs w:val="21"/>
        </w:rPr>
        <w:t>“</w:t>
      </w:r>
      <w:r w:rsidRPr="0086781A">
        <w:rPr>
          <w:rFonts w:ascii="Palatino Linotype" w:eastAsia="Palatino Linotype" w:hAnsi="Palatino Linotype" w:cs="Palatino Linotype"/>
          <w:b/>
          <w:i/>
          <w:color w:val="0D0D0D" w:themeColor="text1" w:themeTint="F2"/>
          <w:sz w:val="21"/>
          <w:szCs w:val="21"/>
        </w:rPr>
        <w:t>Artículo 132.</w:t>
      </w:r>
      <w:r w:rsidRPr="0086781A">
        <w:rPr>
          <w:rFonts w:ascii="Palatino Linotype" w:eastAsia="Palatino Linotype" w:hAnsi="Palatino Linotype" w:cs="Palatino Linotype"/>
          <w:i/>
          <w:color w:val="0D0D0D" w:themeColor="text1" w:themeTint="F2"/>
          <w:sz w:val="21"/>
          <w:szCs w:val="21"/>
        </w:rPr>
        <w:t xml:space="preserve"> </w:t>
      </w:r>
      <w:r w:rsidRPr="0086781A">
        <w:rPr>
          <w:rFonts w:ascii="Palatino Linotype" w:eastAsia="Palatino Linotype" w:hAnsi="Palatino Linotype" w:cs="Palatino Linotype"/>
          <w:b/>
          <w:i/>
          <w:color w:val="0D0D0D" w:themeColor="text1" w:themeTint="F2"/>
          <w:sz w:val="21"/>
          <w:szCs w:val="21"/>
        </w:rPr>
        <w:t>La clasificación de la información se llevará a cabo en el momento en que:</w:t>
      </w:r>
    </w:p>
    <w:p w14:paraId="3DBB64F8"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w:t>
      </w:r>
    </w:p>
    <w:p w14:paraId="591D6438"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II.</w:t>
      </w:r>
      <w:r w:rsidRPr="0086781A">
        <w:rPr>
          <w:rFonts w:ascii="Palatino Linotype" w:eastAsia="Palatino Linotype" w:hAnsi="Palatino Linotype" w:cs="Palatino Linotype"/>
          <w:i/>
          <w:color w:val="0D0D0D" w:themeColor="text1" w:themeTint="F2"/>
          <w:sz w:val="21"/>
          <w:szCs w:val="21"/>
        </w:rPr>
        <w:t xml:space="preserve"> Se determine mediante resolución de autoridad competente; o</w:t>
      </w:r>
    </w:p>
    <w:p w14:paraId="579AA849"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III</w:t>
      </w:r>
      <w:r w:rsidRPr="0086781A">
        <w:rPr>
          <w:rFonts w:ascii="Palatino Linotype" w:eastAsia="Palatino Linotype" w:hAnsi="Palatino Linotype" w:cs="Palatino Linotype"/>
          <w:i/>
          <w:color w:val="0D0D0D" w:themeColor="text1" w:themeTint="F2"/>
          <w:sz w:val="21"/>
          <w:szCs w:val="21"/>
        </w:rPr>
        <w:t xml:space="preserve">. </w:t>
      </w:r>
      <w:r w:rsidRPr="0086781A">
        <w:rPr>
          <w:rFonts w:ascii="Palatino Linotype" w:eastAsia="Palatino Linotype" w:hAnsi="Palatino Linotype" w:cs="Palatino Linotype"/>
          <w:b/>
          <w:i/>
          <w:color w:val="0D0D0D" w:themeColor="text1" w:themeTint="F2"/>
          <w:sz w:val="21"/>
          <w:szCs w:val="21"/>
        </w:rPr>
        <w:t>Se generen versiones públicas para dar cumplimiento a las obligaciones de transparencia previstas en esta Ley</w:t>
      </w:r>
      <w:r w:rsidRPr="0086781A">
        <w:rPr>
          <w:rFonts w:ascii="Palatino Linotype" w:eastAsia="Palatino Linotype" w:hAnsi="Palatino Linotype" w:cs="Palatino Linotype"/>
          <w:i/>
          <w:color w:val="0D0D0D" w:themeColor="text1" w:themeTint="F2"/>
          <w:sz w:val="21"/>
          <w:szCs w:val="21"/>
        </w:rPr>
        <w:t>.”</w:t>
      </w:r>
    </w:p>
    <w:p w14:paraId="6336E098"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w:t>
      </w:r>
      <w:proofErr w:type="gramStart"/>
      <w:r w:rsidRPr="0086781A">
        <w:rPr>
          <w:rFonts w:ascii="Palatino Linotype" w:eastAsia="Palatino Linotype" w:hAnsi="Palatino Linotype" w:cs="Palatino Linotype"/>
          <w:b/>
          <w:i/>
          <w:color w:val="0D0D0D" w:themeColor="text1" w:themeTint="F2"/>
          <w:sz w:val="21"/>
          <w:szCs w:val="21"/>
        </w:rPr>
        <w:t>Segundo.-</w:t>
      </w:r>
      <w:proofErr w:type="gramEnd"/>
      <w:r w:rsidRPr="0086781A">
        <w:rPr>
          <w:rFonts w:ascii="Palatino Linotype" w:eastAsia="Palatino Linotype" w:hAnsi="Palatino Linotype" w:cs="Palatino Linotype"/>
          <w:i/>
          <w:color w:val="0D0D0D" w:themeColor="text1" w:themeTint="F2"/>
          <w:sz w:val="21"/>
          <w:szCs w:val="21"/>
        </w:rPr>
        <w:t xml:space="preserve"> Para efectos de los presentes Lineamientos Generales, se entenderá por:</w:t>
      </w:r>
    </w:p>
    <w:p w14:paraId="4B530C85"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XVIII.</w:t>
      </w:r>
      <w:r w:rsidRPr="0086781A">
        <w:rPr>
          <w:rFonts w:ascii="Palatino Linotype" w:eastAsia="Palatino Linotype" w:hAnsi="Palatino Linotype" w:cs="Palatino Linotype"/>
          <w:i/>
          <w:color w:val="0D0D0D" w:themeColor="text1" w:themeTint="F2"/>
          <w:sz w:val="21"/>
          <w:szCs w:val="21"/>
        </w:rPr>
        <w:t xml:space="preserve"> </w:t>
      </w:r>
      <w:r w:rsidRPr="0086781A">
        <w:rPr>
          <w:rFonts w:ascii="Palatino Linotype" w:eastAsia="Palatino Linotype" w:hAnsi="Palatino Linotype" w:cs="Palatino Linotype"/>
          <w:b/>
          <w:i/>
          <w:color w:val="0D0D0D" w:themeColor="text1" w:themeTint="F2"/>
          <w:sz w:val="21"/>
          <w:szCs w:val="21"/>
        </w:rPr>
        <w:t>Versión pública:</w:t>
      </w:r>
      <w:r w:rsidRPr="0086781A">
        <w:rPr>
          <w:rFonts w:ascii="Palatino Linotype" w:eastAsia="Palatino Linotype" w:hAnsi="Palatino Linotype" w:cs="Palatino Linotype"/>
          <w:i/>
          <w:color w:val="0D0D0D" w:themeColor="text1" w:themeTint="F2"/>
          <w:sz w:val="21"/>
          <w:szCs w:val="21"/>
        </w:rPr>
        <w:t xml:space="preserve"> El documento a partir del que se otorga acceso a la información, en el que se testan partes o secciones clasificadas, indicando el contenido de éstas de manera genérica, </w:t>
      </w:r>
      <w:r w:rsidRPr="0086781A">
        <w:rPr>
          <w:rFonts w:ascii="Palatino Linotype" w:eastAsia="Palatino Linotype" w:hAnsi="Palatino Linotype" w:cs="Palatino Linotype"/>
          <w:b/>
          <w:i/>
          <w:color w:val="0D0D0D" w:themeColor="text1" w:themeTint="F2"/>
          <w:sz w:val="21"/>
          <w:szCs w:val="21"/>
        </w:rPr>
        <w:t>fundando y motivando la</w:t>
      </w:r>
      <w:r w:rsidRPr="0086781A">
        <w:rPr>
          <w:rFonts w:ascii="Palatino Linotype" w:eastAsia="Palatino Linotype" w:hAnsi="Palatino Linotype" w:cs="Palatino Linotype"/>
          <w:i/>
          <w:color w:val="0D0D0D" w:themeColor="text1" w:themeTint="F2"/>
          <w:sz w:val="21"/>
          <w:szCs w:val="21"/>
        </w:rPr>
        <w:t xml:space="preserve"> reserva o </w:t>
      </w:r>
      <w:r w:rsidRPr="0086781A">
        <w:rPr>
          <w:rFonts w:ascii="Palatino Linotype" w:eastAsia="Palatino Linotype" w:hAnsi="Palatino Linotype" w:cs="Palatino Linotype"/>
          <w:b/>
          <w:i/>
          <w:color w:val="0D0D0D" w:themeColor="text1" w:themeTint="F2"/>
          <w:sz w:val="21"/>
          <w:szCs w:val="21"/>
        </w:rPr>
        <w:lastRenderedPageBreak/>
        <w:t>confidencialidad</w:t>
      </w:r>
      <w:r w:rsidRPr="0086781A">
        <w:rPr>
          <w:rFonts w:ascii="Palatino Linotype" w:eastAsia="Palatino Linotype" w:hAnsi="Palatino Linotype" w:cs="Palatino Linotype"/>
          <w:i/>
          <w:color w:val="0D0D0D" w:themeColor="text1" w:themeTint="F2"/>
          <w:sz w:val="21"/>
          <w:szCs w:val="21"/>
        </w:rPr>
        <w:t>, a través de la resolución que para tal efecto emita el Comité de Transparencia.</w:t>
      </w:r>
    </w:p>
    <w:p w14:paraId="4C143A55"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Cuarto.</w:t>
      </w:r>
      <w:r w:rsidRPr="0086781A">
        <w:rPr>
          <w:rFonts w:ascii="Palatino Linotype" w:eastAsia="Palatino Linotype" w:hAnsi="Palatino Linotype" w:cs="Palatino Linotype"/>
          <w:i/>
          <w:color w:val="0D0D0D" w:themeColor="text1" w:themeTint="F2"/>
          <w:sz w:val="21"/>
          <w:szCs w:val="21"/>
        </w:rPr>
        <w:t xml:space="preserve"> </w:t>
      </w:r>
      <w:r w:rsidRPr="0086781A">
        <w:rPr>
          <w:rFonts w:ascii="Palatino Linotype" w:eastAsia="Palatino Linotype" w:hAnsi="Palatino Linotype" w:cs="Palatino Linotype"/>
          <w:b/>
          <w:i/>
          <w:color w:val="0D0D0D" w:themeColor="text1" w:themeTint="F2"/>
          <w:sz w:val="21"/>
          <w:szCs w:val="21"/>
        </w:rPr>
        <w:t>Para clasificar la información como</w:t>
      </w:r>
      <w:r w:rsidRPr="0086781A">
        <w:rPr>
          <w:rFonts w:ascii="Palatino Linotype" w:eastAsia="Palatino Linotype" w:hAnsi="Palatino Linotype" w:cs="Palatino Linotype"/>
          <w:i/>
          <w:color w:val="0D0D0D" w:themeColor="text1" w:themeTint="F2"/>
          <w:sz w:val="21"/>
          <w:szCs w:val="21"/>
        </w:rPr>
        <w:t xml:space="preserve"> reservada o </w:t>
      </w:r>
      <w:r w:rsidRPr="0086781A">
        <w:rPr>
          <w:rFonts w:ascii="Palatino Linotype" w:eastAsia="Palatino Linotype" w:hAnsi="Palatino Linotype" w:cs="Palatino Linotype"/>
          <w:b/>
          <w:i/>
          <w:color w:val="0D0D0D" w:themeColor="text1" w:themeTint="F2"/>
          <w:sz w:val="21"/>
          <w:szCs w:val="21"/>
        </w:rPr>
        <w:t>confidencial, de manera total o parcial, el titular del área del sujeto obligado deberá atender lo dispuesto por el Título Sexto de la Ley General</w:t>
      </w:r>
      <w:r w:rsidRPr="0086781A">
        <w:rPr>
          <w:rFonts w:ascii="Palatino Linotype" w:eastAsia="Palatino Linotype" w:hAnsi="Palatino Linotype" w:cs="Palatino Linotype"/>
          <w:i/>
          <w:color w:val="0D0D0D" w:themeColor="text1" w:themeTint="F2"/>
          <w:sz w:val="21"/>
          <w:szCs w:val="21"/>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0EBDEC"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Los sujetos obligados deberán aplicar, de manera estricta, las excepciones al derecho de acceso a la información y sólo podrán invocarlas cuando acrediten su procedencia.</w:t>
      </w:r>
    </w:p>
    <w:p w14:paraId="3398E7EB"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Quinto.</w:t>
      </w:r>
      <w:r w:rsidRPr="0086781A">
        <w:rPr>
          <w:rFonts w:ascii="Palatino Linotype" w:eastAsia="Palatino Linotype" w:hAnsi="Palatino Linotype" w:cs="Palatino Linotype"/>
          <w:i/>
          <w:color w:val="0D0D0D" w:themeColor="text1" w:themeTint="F2"/>
          <w:sz w:val="21"/>
          <w:szCs w:val="21"/>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05EC67" w14:textId="77777777" w:rsidR="00F16734" w:rsidRPr="0086781A" w:rsidRDefault="00FB681D">
      <w:pPr>
        <w:tabs>
          <w:tab w:val="left" w:pos="8222"/>
        </w:tabs>
        <w:spacing w:before="120" w:after="120" w:line="259" w:lineRule="auto"/>
        <w:ind w:left="567"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Sexto.</w:t>
      </w:r>
      <w:r w:rsidRPr="0086781A">
        <w:rPr>
          <w:rFonts w:ascii="Palatino Linotype" w:eastAsia="Palatino Linotype" w:hAnsi="Palatino Linotype" w:cs="Palatino Linotype"/>
          <w:i/>
          <w:color w:val="0D0D0D" w:themeColor="text1" w:themeTint="F2"/>
          <w:sz w:val="21"/>
          <w:szCs w:val="21"/>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A4AF093"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La clasificación de información se realizará conforme a un análisis caso por caso, mediante la aplicación de la prueba de daño y de interés público.</w:t>
      </w:r>
    </w:p>
    <w:p w14:paraId="07FC2A59"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Séptimo.</w:t>
      </w:r>
      <w:r w:rsidRPr="0086781A">
        <w:rPr>
          <w:rFonts w:ascii="Palatino Linotype" w:eastAsia="Palatino Linotype" w:hAnsi="Palatino Linotype" w:cs="Palatino Linotype"/>
          <w:i/>
          <w:color w:val="0D0D0D" w:themeColor="text1" w:themeTint="F2"/>
          <w:sz w:val="21"/>
          <w:szCs w:val="21"/>
        </w:rPr>
        <w:t xml:space="preserve"> La clasificación de la información se llevará a cabo en el momento en que:</w:t>
      </w:r>
    </w:p>
    <w:p w14:paraId="6FF13DDE" w14:textId="77777777" w:rsidR="00F16734" w:rsidRPr="0086781A" w:rsidRDefault="00FB681D">
      <w:pPr>
        <w:tabs>
          <w:tab w:val="left" w:pos="8222"/>
        </w:tabs>
        <w:spacing w:before="120" w:after="120" w:line="259" w:lineRule="auto"/>
        <w:ind w:left="1134"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I.</w:t>
      </w:r>
      <w:r w:rsidRPr="0086781A">
        <w:rPr>
          <w:rFonts w:ascii="Palatino Linotype" w:eastAsia="Palatino Linotype" w:hAnsi="Palatino Linotype" w:cs="Palatino Linotype"/>
          <w:i/>
          <w:color w:val="0D0D0D" w:themeColor="text1" w:themeTint="F2"/>
          <w:sz w:val="21"/>
          <w:szCs w:val="21"/>
        </w:rPr>
        <w:t xml:space="preserve"> Se reciba una solicitud de acceso a la información;</w:t>
      </w:r>
    </w:p>
    <w:p w14:paraId="14DF6DEE" w14:textId="77777777" w:rsidR="00F16734" w:rsidRPr="0086781A" w:rsidRDefault="00FB681D">
      <w:pPr>
        <w:tabs>
          <w:tab w:val="left" w:pos="8222"/>
        </w:tabs>
        <w:spacing w:before="120" w:after="120" w:line="259" w:lineRule="auto"/>
        <w:ind w:left="1134"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II.</w:t>
      </w:r>
      <w:r w:rsidRPr="0086781A">
        <w:rPr>
          <w:rFonts w:ascii="Palatino Linotype" w:eastAsia="Palatino Linotype" w:hAnsi="Palatino Linotype" w:cs="Palatino Linotype"/>
          <w:i/>
          <w:color w:val="0D0D0D" w:themeColor="text1" w:themeTint="F2"/>
          <w:sz w:val="21"/>
          <w:szCs w:val="21"/>
        </w:rPr>
        <w:t xml:space="preserve"> Se determine mediante resolución de autoridad competente, o</w:t>
      </w:r>
    </w:p>
    <w:p w14:paraId="5A88F5BD" w14:textId="77777777" w:rsidR="00F16734" w:rsidRPr="0086781A" w:rsidRDefault="00FB681D">
      <w:pPr>
        <w:tabs>
          <w:tab w:val="left" w:pos="8222"/>
        </w:tabs>
        <w:spacing w:before="120" w:after="120" w:line="259" w:lineRule="auto"/>
        <w:ind w:left="1134"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III.</w:t>
      </w:r>
      <w:r w:rsidRPr="0086781A">
        <w:rPr>
          <w:rFonts w:ascii="Palatino Linotype" w:eastAsia="Palatino Linotype" w:hAnsi="Palatino Linotype" w:cs="Palatino Linotype"/>
          <w:i/>
          <w:color w:val="0D0D0D" w:themeColor="text1" w:themeTint="F2"/>
          <w:sz w:val="21"/>
          <w:szCs w:val="21"/>
        </w:rPr>
        <w:t xml:space="preserve"> Se generen versiones públicas para dar cumplimiento a las obligaciones de transparencia previstas en la Ley General, la Ley Federal y las correspondientes de las entidades federativas.</w:t>
      </w:r>
    </w:p>
    <w:p w14:paraId="534828ED"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Los titulares de las áreas deberán revisar la clasificación al momento de la recepción de una solicitud de acceso a la información, para verificar si encuadra en una causal de reserva o de confidencialidad.</w:t>
      </w:r>
    </w:p>
    <w:p w14:paraId="12570110"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lastRenderedPageBreak/>
        <w:t>Octavo.</w:t>
      </w:r>
      <w:r w:rsidRPr="0086781A">
        <w:rPr>
          <w:rFonts w:ascii="Palatino Linotype" w:eastAsia="Palatino Linotype" w:hAnsi="Palatino Linotype" w:cs="Palatino Linotype"/>
          <w:i/>
          <w:color w:val="0D0D0D" w:themeColor="text1" w:themeTint="F2"/>
          <w:sz w:val="21"/>
          <w:szCs w:val="21"/>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D08B0B"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Para motivar la clasificación se deberán señalar las razones o circunstancias especiales que lo llevaron a concluir que el caso particular se ajusta al supuesto previsto por la norma legal invocada como fundamento.</w:t>
      </w:r>
    </w:p>
    <w:p w14:paraId="117302BC"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En caso de referirse a información reservada, la motivación de la clasificación también deberá comprender las circunstancias que justifican el establecimiento de determinado plazo de reserva.</w:t>
      </w:r>
    </w:p>
    <w:p w14:paraId="043CA2B1"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Tratándose de información clasificada como confidencial respecto de la cual se haya determinado su conservación permanente por tener valor histórico, ésta conservará tal carácter de conformidad con la normativa aplicable en materia de archivos.</w:t>
      </w:r>
    </w:p>
    <w:p w14:paraId="253A2337"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Los documentos contenidos en los archivos históricos y los identificados como históricos confidenciales no serán susceptibles de clasificación como reservados.</w:t>
      </w:r>
    </w:p>
    <w:p w14:paraId="4265B053"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Noveno.</w:t>
      </w:r>
      <w:r w:rsidRPr="0086781A">
        <w:rPr>
          <w:rFonts w:ascii="Palatino Linotype" w:eastAsia="Palatino Linotype" w:hAnsi="Palatino Linotype" w:cs="Palatino Linotype"/>
          <w:i/>
          <w:color w:val="0D0D0D" w:themeColor="text1" w:themeTint="F2"/>
          <w:sz w:val="21"/>
          <w:szCs w:val="21"/>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2A3499"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Décimo.</w:t>
      </w:r>
      <w:r w:rsidRPr="0086781A">
        <w:rPr>
          <w:rFonts w:ascii="Palatino Linotype" w:eastAsia="Palatino Linotype" w:hAnsi="Palatino Linotype" w:cs="Palatino Linotype"/>
          <w:i/>
          <w:color w:val="0D0D0D" w:themeColor="text1" w:themeTint="F2"/>
          <w:sz w:val="21"/>
          <w:szCs w:val="2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30A042"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i/>
          <w:color w:val="0D0D0D" w:themeColor="text1" w:themeTint="F2"/>
          <w:sz w:val="21"/>
          <w:szCs w:val="21"/>
        </w:rPr>
        <w:t>En ausencia de los titulares de las áreas, la información será clasificada o desclasificada por la persona que lo supla, en términos de la normativa que rija la actuación del sujeto obligado.</w:t>
      </w:r>
    </w:p>
    <w:p w14:paraId="3C80D32D" w14:textId="77777777" w:rsidR="00F16734" w:rsidRPr="0086781A" w:rsidRDefault="00FB681D">
      <w:pPr>
        <w:tabs>
          <w:tab w:val="left" w:pos="8222"/>
        </w:tabs>
        <w:spacing w:before="120" w:after="120" w:line="259" w:lineRule="auto"/>
        <w:ind w:left="851" w:right="1134"/>
        <w:jc w:val="both"/>
        <w:rPr>
          <w:rFonts w:ascii="Palatino Linotype" w:eastAsia="Palatino Linotype" w:hAnsi="Palatino Linotype" w:cs="Palatino Linotype"/>
          <w:i/>
          <w:color w:val="0D0D0D" w:themeColor="text1" w:themeTint="F2"/>
          <w:sz w:val="21"/>
          <w:szCs w:val="21"/>
        </w:rPr>
      </w:pPr>
      <w:r w:rsidRPr="0086781A">
        <w:rPr>
          <w:rFonts w:ascii="Palatino Linotype" w:eastAsia="Palatino Linotype" w:hAnsi="Palatino Linotype" w:cs="Palatino Linotype"/>
          <w:b/>
          <w:i/>
          <w:color w:val="0D0D0D" w:themeColor="text1" w:themeTint="F2"/>
          <w:sz w:val="21"/>
          <w:szCs w:val="21"/>
        </w:rPr>
        <w:t>Décimo primero.</w:t>
      </w:r>
      <w:r w:rsidRPr="0086781A">
        <w:rPr>
          <w:rFonts w:ascii="Palatino Linotype" w:eastAsia="Palatino Linotype" w:hAnsi="Palatino Linotype" w:cs="Palatino Linotype"/>
          <w:i/>
          <w:color w:val="0D0D0D" w:themeColor="text1" w:themeTint="F2"/>
          <w:sz w:val="21"/>
          <w:szCs w:val="21"/>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5323EF6"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bookmarkStart w:id="4" w:name="_heading=h.4d34og8" w:colFirst="0" w:colLast="0"/>
      <w:bookmarkEnd w:id="4"/>
      <w:r w:rsidRPr="0086781A">
        <w:rPr>
          <w:rFonts w:ascii="Palatino Linotype" w:eastAsia="Palatino Linotype" w:hAnsi="Palatino Linotype" w:cs="Palatino Linotype"/>
          <w:color w:val="0D0D0D" w:themeColor="text1" w:themeTint="F2"/>
        </w:rPr>
        <w:lastRenderedPageBreak/>
        <w:t xml:space="preserve">Asimismo, deberá observar los numerales Quincuagésimo tercero y Quincuagésimo quinto de los Lineamientos Generales en Materia de Clasificación y Desclasificación de la Información </w:t>
      </w:r>
      <w:proofErr w:type="spellStart"/>
      <w:r w:rsidRPr="0086781A">
        <w:rPr>
          <w:rFonts w:ascii="Palatino Linotype" w:eastAsia="Palatino Linotype" w:hAnsi="Palatino Linotype" w:cs="Palatino Linotype"/>
          <w:color w:val="0D0D0D" w:themeColor="text1" w:themeTint="F2"/>
        </w:rPr>
        <w:t>supraindicados</w:t>
      </w:r>
      <w:proofErr w:type="spellEnd"/>
      <w:r w:rsidRPr="0086781A">
        <w:rPr>
          <w:rFonts w:ascii="Palatino Linotype" w:eastAsia="Palatino Linotype" w:hAnsi="Palatino Linotype" w:cs="Palatino Linotype"/>
          <w:color w:val="0D0D0D" w:themeColor="text1" w:themeTint="F2"/>
        </w:rPr>
        <w:t xml:space="preserve">, que establecen los formatos para la clasificación parcial y total de los documentos, conforme a lo siguiente: </w:t>
      </w:r>
    </w:p>
    <w:p w14:paraId="63A6467F" w14:textId="77777777" w:rsidR="00F16734" w:rsidRPr="0086781A" w:rsidRDefault="00FB681D">
      <w:pPr>
        <w:spacing w:after="160" w:line="259" w:lineRule="auto"/>
        <w:ind w:left="851" w:right="900"/>
        <w:jc w:val="center"/>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CAPÍTULO VIII</w:t>
      </w:r>
    </w:p>
    <w:p w14:paraId="7CEB5BE3" w14:textId="77777777" w:rsidR="00F16734" w:rsidRPr="0086781A" w:rsidRDefault="00FB681D">
      <w:pPr>
        <w:spacing w:after="160" w:line="259" w:lineRule="auto"/>
        <w:ind w:left="851" w:right="900"/>
        <w:jc w:val="center"/>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DE LA LEYENDA DE CLASIFICACIÓN</w:t>
      </w:r>
    </w:p>
    <w:p w14:paraId="6C3106ED" w14:textId="77777777" w:rsidR="00F16734" w:rsidRPr="0086781A" w:rsidRDefault="00FB681D">
      <w:pPr>
        <w:spacing w:after="16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w:t>
      </w:r>
    </w:p>
    <w:p w14:paraId="2FE3AEDB" w14:textId="77777777" w:rsidR="00F16734" w:rsidRPr="0086781A" w:rsidRDefault="00FB681D">
      <w:pPr>
        <w:spacing w:after="16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 xml:space="preserve">Quincuagésimo tercero. </w:t>
      </w:r>
      <w:r w:rsidRPr="0086781A">
        <w:rPr>
          <w:rFonts w:ascii="Palatino Linotype" w:eastAsia="Palatino Linotype" w:hAnsi="Palatino Linotype" w:cs="Palatino Linotype"/>
          <w:b/>
          <w:i/>
          <w:color w:val="0D0D0D" w:themeColor="text1" w:themeTint="F2"/>
          <w:sz w:val="22"/>
          <w:szCs w:val="22"/>
          <w:u w:val="single"/>
        </w:rPr>
        <w:t>El formato para señalar la clasificación parcial de un documento</w:t>
      </w:r>
      <w:r w:rsidRPr="0086781A">
        <w:rPr>
          <w:rFonts w:ascii="Palatino Linotype" w:eastAsia="Palatino Linotype" w:hAnsi="Palatino Linotype" w:cs="Palatino Linotype"/>
          <w:i/>
          <w:color w:val="0D0D0D" w:themeColor="text1" w:themeTint="F2"/>
          <w:sz w:val="22"/>
          <w:szCs w:val="22"/>
        </w:rPr>
        <w:t>, es el siguiente:</w:t>
      </w:r>
    </w:p>
    <w:p w14:paraId="4CB7CBAB" w14:textId="77777777" w:rsidR="00F16734" w:rsidRPr="0086781A" w:rsidRDefault="00FB681D">
      <w:pPr>
        <w:spacing w:after="160" w:line="259" w:lineRule="auto"/>
        <w:ind w:left="851" w:right="900"/>
        <w:jc w:val="both"/>
        <w:rPr>
          <w:rFonts w:ascii="Palatino Linotype" w:eastAsia="Palatino Linotype" w:hAnsi="Palatino Linotype" w:cs="Palatino Linotype"/>
          <w:b/>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w:t>
      </w:r>
    </w:p>
    <w:p w14:paraId="420D3D3B" w14:textId="77777777" w:rsidR="00F16734" w:rsidRPr="0086781A" w:rsidRDefault="00FB681D">
      <w:pPr>
        <w:spacing w:after="16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b/>
          <w:i/>
          <w:color w:val="0D0D0D" w:themeColor="text1" w:themeTint="F2"/>
          <w:sz w:val="22"/>
          <w:szCs w:val="22"/>
        </w:rPr>
        <w:t>Quincuagésimo quinto</w:t>
      </w:r>
      <w:r w:rsidRPr="0086781A">
        <w:rPr>
          <w:rFonts w:ascii="Palatino Linotype" w:eastAsia="Palatino Linotype" w:hAnsi="Palatino Linotype" w:cs="Palatino Linotype"/>
          <w:i/>
          <w:color w:val="0D0D0D" w:themeColor="text1" w:themeTint="F2"/>
          <w:sz w:val="22"/>
          <w:szCs w:val="22"/>
        </w:rPr>
        <w:t>. Los documentos que integren un expediente reservado o confidencial en su totalidad no deberán marcarse en lo individual.</w:t>
      </w:r>
    </w:p>
    <w:p w14:paraId="10F2DFAC" w14:textId="77777777" w:rsidR="00F16734" w:rsidRPr="0086781A" w:rsidRDefault="00FB681D">
      <w:pPr>
        <w:spacing w:after="16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Una vez desclasificados los expedientes, si existieren documentos que tuvieran el carácter de reservados o confidenciales, deberán ser marcados.</w:t>
      </w:r>
    </w:p>
    <w:p w14:paraId="507B77CA" w14:textId="77777777" w:rsidR="00F16734" w:rsidRPr="0086781A" w:rsidRDefault="00FB681D">
      <w:pPr>
        <w:spacing w:after="160" w:line="259" w:lineRule="auto"/>
        <w:ind w:left="851"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El formato para señalar la clasificación de expedientes que por su naturaleza sean en su totalidad reservados o confidenciales, es el siguiente:”</w:t>
      </w:r>
    </w:p>
    <w:tbl>
      <w:tblPr>
        <w:tblStyle w:val="aa"/>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86781A" w:rsidRPr="0086781A" w14:paraId="05673E6B" w14:textId="77777777" w:rsidTr="00F16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BAF63F7" w14:textId="77777777" w:rsidR="00F16734" w:rsidRPr="0086781A" w:rsidRDefault="00FB681D">
            <w:pPr>
              <w:jc w:val="center"/>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Parcial</w:t>
            </w:r>
          </w:p>
        </w:tc>
        <w:tc>
          <w:tcPr>
            <w:tcW w:w="4414" w:type="dxa"/>
            <w:gridSpan w:val="2"/>
          </w:tcPr>
          <w:p w14:paraId="029ABD92" w14:textId="77777777" w:rsidR="00F16734" w:rsidRPr="0086781A" w:rsidRDefault="00FB681D">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Total</w:t>
            </w:r>
          </w:p>
        </w:tc>
      </w:tr>
      <w:tr w:rsidR="0086781A" w:rsidRPr="0086781A" w14:paraId="62631778"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4D24113" w14:textId="77777777" w:rsidR="00F16734" w:rsidRPr="0086781A" w:rsidRDefault="00FB681D">
            <w:pPr>
              <w:jc w:val="center"/>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Concepto</w:t>
            </w:r>
          </w:p>
        </w:tc>
        <w:tc>
          <w:tcPr>
            <w:tcW w:w="3421" w:type="dxa"/>
          </w:tcPr>
          <w:p w14:paraId="71175B31" w14:textId="77777777" w:rsidR="00F16734" w:rsidRPr="0086781A" w:rsidRDefault="00FB681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Dónde</w:t>
            </w:r>
          </w:p>
        </w:tc>
        <w:tc>
          <w:tcPr>
            <w:tcW w:w="968" w:type="dxa"/>
          </w:tcPr>
          <w:p w14:paraId="28126DE6" w14:textId="77777777" w:rsidR="00F16734" w:rsidRPr="0086781A" w:rsidRDefault="00FB681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Concepto</w:t>
            </w:r>
          </w:p>
        </w:tc>
        <w:tc>
          <w:tcPr>
            <w:tcW w:w="3446" w:type="dxa"/>
          </w:tcPr>
          <w:p w14:paraId="660ED736" w14:textId="77777777" w:rsidR="00F16734" w:rsidRPr="0086781A" w:rsidRDefault="00FB681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Dónde</w:t>
            </w:r>
          </w:p>
        </w:tc>
      </w:tr>
      <w:tr w:rsidR="0086781A" w:rsidRPr="0086781A" w14:paraId="1C8583AB" w14:textId="77777777" w:rsidTr="00F16734">
        <w:tc>
          <w:tcPr>
            <w:cnfStyle w:val="001000000000" w:firstRow="0" w:lastRow="0" w:firstColumn="1" w:lastColumn="0" w:oddVBand="0" w:evenVBand="0" w:oddHBand="0" w:evenHBand="0" w:firstRowFirstColumn="0" w:firstRowLastColumn="0" w:lastRowFirstColumn="0" w:lastRowLastColumn="0"/>
            <w:tcW w:w="8828" w:type="dxa"/>
            <w:gridSpan w:val="4"/>
          </w:tcPr>
          <w:p w14:paraId="0E88432B" w14:textId="77777777" w:rsidR="00F16734" w:rsidRPr="0086781A" w:rsidRDefault="00FB681D">
            <w:pPr>
              <w:jc w:val="center"/>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Sello oficial o logotipo del sujeto obligado</w:t>
            </w:r>
          </w:p>
        </w:tc>
      </w:tr>
      <w:tr w:rsidR="0086781A" w:rsidRPr="0086781A" w14:paraId="0E6899B4"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918EFB1"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Fecha de clasificación</w:t>
            </w:r>
          </w:p>
        </w:tc>
        <w:tc>
          <w:tcPr>
            <w:tcW w:w="3421" w:type="dxa"/>
          </w:tcPr>
          <w:p w14:paraId="5CB03875"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anotará la fecha en la que el Comité de Transparencia confirmó la clasificación del documento, en su caso.</w:t>
            </w:r>
          </w:p>
        </w:tc>
        <w:tc>
          <w:tcPr>
            <w:tcW w:w="968" w:type="dxa"/>
          </w:tcPr>
          <w:p w14:paraId="6F72D491"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Fecha de clasificación</w:t>
            </w:r>
          </w:p>
        </w:tc>
        <w:tc>
          <w:tcPr>
            <w:tcW w:w="3446" w:type="dxa"/>
          </w:tcPr>
          <w:p w14:paraId="2351A661"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anotará la fecha en la que el Comité de Transparencia confirmó la clasificación del documento, en su caso.</w:t>
            </w:r>
          </w:p>
        </w:tc>
      </w:tr>
      <w:tr w:rsidR="0086781A" w:rsidRPr="0086781A" w14:paraId="494909B6" w14:textId="77777777" w:rsidTr="00F16734">
        <w:tc>
          <w:tcPr>
            <w:cnfStyle w:val="001000000000" w:firstRow="0" w:lastRow="0" w:firstColumn="1" w:lastColumn="0" w:oddVBand="0" w:evenVBand="0" w:oddHBand="0" w:evenHBand="0" w:firstRowFirstColumn="0" w:firstRowLastColumn="0" w:lastRowFirstColumn="0" w:lastRowLastColumn="0"/>
            <w:tcW w:w="993" w:type="dxa"/>
          </w:tcPr>
          <w:p w14:paraId="5DDD4649"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Área</w:t>
            </w:r>
          </w:p>
        </w:tc>
        <w:tc>
          <w:tcPr>
            <w:tcW w:w="3421" w:type="dxa"/>
          </w:tcPr>
          <w:p w14:paraId="0CDE4BB2"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señalará el nombre del área del cual es titular quien clasifica.</w:t>
            </w:r>
          </w:p>
        </w:tc>
        <w:tc>
          <w:tcPr>
            <w:tcW w:w="968" w:type="dxa"/>
          </w:tcPr>
          <w:p w14:paraId="470A91BA"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Área</w:t>
            </w:r>
          </w:p>
        </w:tc>
        <w:tc>
          <w:tcPr>
            <w:tcW w:w="3446" w:type="dxa"/>
          </w:tcPr>
          <w:p w14:paraId="7B8570E5"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señalará el nombre del área de la cual es el titular quien clasifica.</w:t>
            </w:r>
          </w:p>
        </w:tc>
      </w:tr>
      <w:tr w:rsidR="0086781A" w:rsidRPr="0086781A" w14:paraId="5C371CDC"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2066329"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Información reservada</w:t>
            </w:r>
          </w:p>
        </w:tc>
        <w:tc>
          <w:tcPr>
            <w:tcW w:w="3421" w:type="dxa"/>
          </w:tcPr>
          <w:p w14:paraId="1A16DFC8"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A93C4DC"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Reservado</w:t>
            </w:r>
          </w:p>
        </w:tc>
        <w:tc>
          <w:tcPr>
            <w:tcW w:w="3446" w:type="dxa"/>
          </w:tcPr>
          <w:p w14:paraId="11F41786"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Leyenda de información RESERVADA.</w:t>
            </w:r>
          </w:p>
        </w:tc>
      </w:tr>
      <w:tr w:rsidR="0086781A" w:rsidRPr="0086781A" w14:paraId="05DAECF9" w14:textId="77777777" w:rsidTr="00F16734">
        <w:tc>
          <w:tcPr>
            <w:cnfStyle w:val="001000000000" w:firstRow="0" w:lastRow="0" w:firstColumn="1" w:lastColumn="0" w:oddVBand="0" w:evenVBand="0" w:oddHBand="0" w:evenHBand="0" w:firstRowFirstColumn="0" w:firstRowLastColumn="0" w:lastRowFirstColumn="0" w:lastRowLastColumn="0"/>
            <w:tcW w:w="993" w:type="dxa"/>
          </w:tcPr>
          <w:p w14:paraId="495B1211"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Fundamento legal</w:t>
            </w:r>
          </w:p>
        </w:tc>
        <w:tc>
          <w:tcPr>
            <w:tcW w:w="3421" w:type="dxa"/>
          </w:tcPr>
          <w:p w14:paraId="45D0F077"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señalará el nombre del ordenamiento, el o los artículos, fracción(es), párrafo(s) con base en los cuales se sustente la reserva.</w:t>
            </w:r>
          </w:p>
        </w:tc>
        <w:tc>
          <w:tcPr>
            <w:tcW w:w="968" w:type="dxa"/>
          </w:tcPr>
          <w:p w14:paraId="7BA5DA58"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Periodo de reserva</w:t>
            </w:r>
          </w:p>
        </w:tc>
        <w:tc>
          <w:tcPr>
            <w:tcW w:w="3446" w:type="dxa"/>
          </w:tcPr>
          <w:p w14:paraId="24B66F5C"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anotará el número de años o meses por los que se mantendrá el documento o las partes del mismo como reservado. Si el expediente no es reservado, sino confidencial, deberá tacharse este apartado.</w:t>
            </w:r>
          </w:p>
        </w:tc>
      </w:tr>
      <w:tr w:rsidR="0086781A" w:rsidRPr="0086781A" w14:paraId="68ECBCA2"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C1CA0C"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Ampliación del periodo de reserva</w:t>
            </w:r>
          </w:p>
        </w:tc>
        <w:tc>
          <w:tcPr>
            <w:tcW w:w="3421" w:type="dxa"/>
          </w:tcPr>
          <w:p w14:paraId="3771140A"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En caso de haber solicitado la ampliación del periodo de reserva originalmente establecido, se deberá anotar el número de años o meses por los que se amplía la reserva.</w:t>
            </w:r>
          </w:p>
        </w:tc>
        <w:tc>
          <w:tcPr>
            <w:tcW w:w="968" w:type="dxa"/>
          </w:tcPr>
          <w:p w14:paraId="081A89C5"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Fundamento legal</w:t>
            </w:r>
          </w:p>
        </w:tc>
        <w:tc>
          <w:tcPr>
            <w:tcW w:w="3446" w:type="dxa"/>
          </w:tcPr>
          <w:p w14:paraId="7D23FEA3"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señalará el nombre del o de los ordenamientos jurídicos, el o los artículos, fracción(es), párrafo(s) con base en los cuales se sustenta la reserva.</w:t>
            </w:r>
          </w:p>
        </w:tc>
      </w:tr>
      <w:tr w:rsidR="0086781A" w:rsidRPr="0086781A" w14:paraId="485E774B" w14:textId="77777777" w:rsidTr="00F16734">
        <w:tc>
          <w:tcPr>
            <w:cnfStyle w:val="001000000000" w:firstRow="0" w:lastRow="0" w:firstColumn="1" w:lastColumn="0" w:oddVBand="0" w:evenVBand="0" w:oddHBand="0" w:evenHBand="0" w:firstRowFirstColumn="0" w:firstRowLastColumn="0" w:lastRowFirstColumn="0" w:lastRowLastColumn="0"/>
            <w:tcW w:w="993" w:type="dxa"/>
          </w:tcPr>
          <w:p w14:paraId="5D0D71C9"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Confidencial</w:t>
            </w:r>
          </w:p>
        </w:tc>
        <w:tc>
          <w:tcPr>
            <w:tcW w:w="3421" w:type="dxa"/>
          </w:tcPr>
          <w:p w14:paraId="67D30B2D"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660B16A"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Ampliación del periodo de reserva</w:t>
            </w:r>
          </w:p>
        </w:tc>
        <w:tc>
          <w:tcPr>
            <w:tcW w:w="3446" w:type="dxa"/>
          </w:tcPr>
          <w:p w14:paraId="6682F0D8"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En caso de haber solicitado la ampliación del periodo de reserva originalmente establecido, se deberá anotar el número de años o meses por los que se amplía la reserva.</w:t>
            </w:r>
          </w:p>
        </w:tc>
      </w:tr>
      <w:tr w:rsidR="0086781A" w:rsidRPr="0086781A" w14:paraId="24393952"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135681"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Fundamento legal</w:t>
            </w:r>
          </w:p>
        </w:tc>
        <w:tc>
          <w:tcPr>
            <w:tcW w:w="3421" w:type="dxa"/>
          </w:tcPr>
          <w:p w14:paraId="5FEA8008"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señalará el nombre del ordenamiento, el o los artículos, fracción(es), párrafo(s) con base en los cuales se sustente la confidencialidad.</w:t>
            </w:r>
          </w:p>
        </w:tc>
        <w:tc>
          <w:tcPr>
            <w:tcW w:w="968" w:type="dxa"/>
          </w:tcPr>
          <w:p w14:paraId="423EA5C6"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Confidencial</w:t>
            </w:r>
          </w:p>
        </w:tc>
        <w:tc>
          <w:tcPr>
            <w:tcW w:w="3446" w:type="dxa"/>
          </w:tcPr>
          <w:p w14:paraId="786A61DC"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Leyenda de información CONFIDENCIAL.</w:t>
            </w:r>
          </w:p>
        </w:tc>
      </w:tr>
      <w:tr w:rsidR="0086781A" w:rsidRPr="0086781A" w14:paraId="02151DC3" w14:textId="77777777" w:rsidTr="00F16734">
        <w:tc>
          <w:tcPr>
            <w:cnfStyle w:val="001000000000" w:firstRow="0" w:lastRow="0" w:firstColumn="1" w:lastColumn="0" w:oddVBand="0" w:evenVBand="0" w:oddHBand="0" w:evenHBand="0" w:firstRowFirstColumn="0" w:firstRowLastColumn="0" w:lastRowFirstColumn="0" w:lastRowLastColumn="0"/>
            <w:tcW w:w="993" w:type="dxa"/>
          </w:tcPr>
          <w:p w14:paraId="4258D721"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lastRenderedPageBreak/>
              <w:t>Rúbrica del titular del área</w:t>
            </w:r>
          </w:p>
        </w:tc>
        <w:tc>
          <w:tcPr>
            <w:tcW w:w="3421" w:type="dxa"/>
          </w:tcPr>
          <w:p w14:paraId="6541ECBF"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Rúbrica autógrafa de quien clasifica.</w:t>
            </w:r>
          </w:p>
        </w:tc>
        <w:tc>
          <w:tcPr>
            <w:tcW w:w="968" w:type="dxa"/>
          </w:tcPr>
          <w:p w14:paraId="2D243A79"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Fundamento legal</w:t>
            </w:r>
          </w:p>
        </w:tc>
        <w:tc>
          <w:tcPr>
            <w:tcW w:w="3446" w:type="dxa"/>
          </w:tcPr>
          <w:p w14:paraId="61E3FAB0"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señalará el nombre del o de los ordenamientos jurídicos, el o los artículos, fracción(es), párrafo(s) con base en los cuales se sustente la confidencialidad.</w:t>
            </w:r>
          </w:p>
        </w:tc>
      </w:tr>
      <w:tr w:rsidR="0086781A" w:rsidRPr="0086781A" w14:paraId="660FB65D"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2383EC"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Fecha de desclasificación</w:t>
            </w:r>
          </w:p>
        </w:tc>
        <w:tc>
          <w:tcPr>
            <w:tcW w:w="3421" w:type="dxa"/>
          </w:tcPr>
          <w:p w14:paraId="1088FCE2"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anotará la fecha en que se desclasifica el documento.</w:t>
            </w:r>
          </w:p>
        </w:tc>
        <w:tc>
          <w:tcPr>
            <w:tcW w:w="968" w:type="dxa"/>
          </w:tcPr>
          <w:p w14:paraId="725A3627"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Rúbrica del titular del área</w:t>
            </w:r>
          </w:p>
        </w:tc>
        <w:tc>
          <w:tcPr>
            <w:tcW w:w="3446" w:type="dxa"/>
          </w:tcPr>
          <w:p w14:paraId="09DC5E06"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Rúbrica autógrafa de quien clasifica.</w:t>
            </w:r>
          </w:p>
        </w:tc>
      </w:tr>
      <w:tr w:rsidR="0086781A" w:rsidRPr="0086781A" w14:paraId="45575B23" w14:textId="77777777" w:rsidTr="00F16734">
        <w:tc>
          <w:tcPr>
            <w:cnfStyle w:val="001000000000" w:firstRow="0" w:lastRow="0" w:firstColumn="1" w:lastColumn="0" w:oddVBand="0" w:evenVBand="0" w:oddHBand="0" w:evenHBand="0" w:firstRowFirstColumn="0" w:firstRowLastColumn="0" w:lastRowFirstColumn="0" w:lastRowLastColumn="0"/>
            <w:tcW w:w="993" w:type="dxa"/>
          </w:tcPr>
          <w:p w14:paraId="03D3F1BE" w14:textId="77777777" w:rsidR="00F16734" w:rsidRPr="0086781A" w:rsidRDefault="00FB681D">
            <w:pPr>
              <w:jc w:val="both"/>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Rúbrica y cargo del servidor público</w:t>
            </w:r>
          </w:p>
        </w:tc>
        <w:tc>
          <w:tcPr>
            <w:tcW w:w="3421" w:type="dxa"/>
          </w:tcPr>
          <w:p w14:paraId="74EDC556"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Rúbrica autógrafa de quien desclasifica.</w:t>
            </w:r>
          </w:p>
        </w:tc>
        <w:tc>
          <w:tcPr>
            <w:tcW w:w="968" w:type="dxa"/>
          </w:tcPr>
          <w:p w14:paraId="60B860BD"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Fecha de desclasificación</w:t>
            </w:r>
          </w:p>
        </w:tc>
        <w:tc>
          <w:tcPr>
            <w:tcW w:w="3446" w:type="dxa"/>
          </w:tcPr>
          <w:p w14:paraId="1C640D1A"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Se anotará la fecha en que se desclasifica.</w:t>
            </w:r>
          </w:p>
        </w:tc>
      </w:tr>
      <w:tr w:rsidR="0086781A" w:rsidRPr="0086781A" w14:paraId="12E921DB" w14:textId="7777777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3502C80" w14:textId="77777777" w:rsidR="00F16734" w:rsidRPr="0086781A" w:rsidRDefault="00F16734">
            <w:pPr>
              <w:jc w:val="both"/>
              <w:rPr>
                <w:rFonts w:ascii="Palatino Linotype" w:eastAsia="Palatino Linotype" w:hAnsi="Palatino Linotype" w:cs="Palatino Linotype"/>
                <w:color w:val="0D0D0D" w:themeColor="text1" w:themeTint="F2"/>
                <w:sz w:val="12"/>
                <w:szCs w:val="12"/>
              </w:rPr>
            </w:pPr>
          </w:p>
        </w:tc>
        <w:tc>
          <w:tcPr>
            <w:tcW w:w="3421" w:type="dxa"/>
          </w:tcPr>
          <w:p w14:paraId="75C7FBB8" w14:textId="77777777" w:rsidR="00F16734" w:rsidRPr="0086781A" w:rsidRDefault="00F1673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p>
        </w:tc>
        <w:tc>
          <w:tcPr>
            <w:tcW w:w="968" w:type="dxa"/>
          </w:tcPr>
          <w:p w14:paraId="1410BE27"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Partes o secciones reservadas o confidenciales</w:t>
            </w:r>
          </w:p>
        </w:tc>
        <w:tc>
          <w:tcPr>
            <w:tcW w:w="3446" w:type="dxa"/>
          </w:tcPr>
          <w:p w14:paraId="615B9ED4" w14:textId="77777777" w:rsidR="00F16734" w:rsidRPr="0086781A"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 xml:space="preserve">En caso que una vez desclasificado el expediente, </w:t>
            </w:r>
            <w:proofErr w:type="spellStart"/>
            <w:r w:rsidRPr="0086781A">
              <w:rPr>
                <w:rFonts w:ascii="Palatino Linotype" w:eastAsia="Palatino Linotype" w:hAnsi="Palatino Linotype" w:cs="Palatino Linotype"/>
                <w:color w:val="0D0D0D" w:themeColor="text1" w:themeTint="F2"/>
                <w:sz w:val="12"/>
                <w:szCs w:val="12"/>
              </w:rPr>
              <w:t>subsistanpartes</w:t>
            </w:r>
            <w:proofErr w:type="spellEnd"/>
            <w:r w:rsidRPr="0086781A">
              <w:rPr>
                <w:rFonts w:ascii="Palatino Linotype" w:eastAsia="Palatino Linotype" w:hAnsi="Palatino Linotype" w:cs="Palatino Linotype"/>
                <w:color w:val="0D0D0D" w:themeColor="text1" w:themeTint="F2"/>
                <w:sz w:val="12"/>
                <w:szCs w:val="12"/>
              </w:rPr>
              <w:t xml:space="preserve"> o secciones del mismo reservadas o confidenciales, se señalará este hecho.</w:t>
            </w:r>
          </w:p>
        </w:tc>
      </w:tr>
      <w:tr w:rsidR="0086781A" w:rsidRPr="0086781A" w14:paraId="59176C8B" w14:textId="77777777" w:rsidTr="00F16734">
        <w:tc>
          <w:tcPr>
            <w:cnfStyle w:val="001000000000" w:firstRow="0" w:lastRow="0" w:firstColumn="1" w:lastColumn="0" w:oddVBand="0" w:evenVBand="0" w:oddHBand="0" w:evenHBand="0" w:firstRowFirstColumn="0" w:firstRowLastColumn="0" w:lastRowFirstColumn="0" w:lastRowLastColumn="0"/>
            <w:tcW w:w="993" w:type="dxa"/>
          </w:tcPr>
          <w:p w14:paraId="14C4852F" w14:textId="77777777" w:rsidR="00F16734" w:rsidRPr="0086781A" w:rsidRDefault="00F16734">
            <w:pPr>
              <w:jc w:val="both"/>
              <w:rPr>
                <w:rFonts w:ascii="Palatino Linotype" w:eastAsia="Palatino Linotype" w:hAnsi="Palatino Linotype" w:cs="Palatino Linotype"/>
                <w:color w:val="0D0D0D" w:themeColor="text1" w:themeTint="F2"/>
                <w:sz w:val="12"/>
                <w:szCs w:val="12"/>
              </w:rPr>
            </w:pPr>
          </w:p>
        </w:tc>
        <w:tc>
          <w:tcPr>
            <w:tcW w:w="3421" w:type="dxa"/>
          </w:tcPr>
          <w:p w14:paraId="52361F82" w14:textId="77777777" w:rsidR="00F16734" w:rsidRPr="0086781A" w:rsidRDefault="00F1673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p>
        </w:tc>
        <w:tc>
          <w:tcPr>
            <w:tcW w:w="968" w:type="dxa"/>
          </w:tcPr>
          <w:p w14:paraId="0163AA5A"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D0D0D" w:themeColor="text1" w:themeTint="F2"/>
                <w:sz w:val="12"/>
                <w:szCs w:val="12"/>
              </w:rPr>
            </w:pPr>
            <w:r w:rsidRPr="0086781A">
              <w:rPr>
                <w:rFonts w:ascii="Palatino Linotype" w:eastAsia="Palatino Linotype" w:hAnsi="Palatino Linotype" w:cs="Palatino Linotype"/>
                <w:b/>
                <w:color w:val="0D0D0D" w:themeColor="text1" w:themeTint="F2"/>
                <w:sz w:val="12"/>
                <w:szCs w:val="12"/>
              </w:rPr>
              <w:t>Rúbrica y cargo del servidor público</w:t>
            </w:r>
          </w:p>
        </w:tc>
        <w:tc>
          <w:tcPr>
            <w:tcW w:w="3446" w:type="dxa"/>
          </w:tcPr>
          <w:p w14:paraId="678AF64A" w14:textId="77777777" w:rsidR="00F16734" w:rsidRPr="0086781A"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D0D0D" w:themeColor="text1" w:themeTint="F2"/>
                <w:sz w:val="12"/>
                <w:szCs w:val="12"/>
              </w:rPr>
            </w:pPr>
            <w:r w:rsidRPr="0086781A">
              <w:rPr>
                <w:rFonts w:ascii="Palatino Linotype" w:eastAsia="Palatino Linotype" w:hAnsi="Palatino Linotype" w:cs="Palatino Linotype"/>
                <w:color w:val="0D0D0D" w:themeColor="text1" w:themeTint="F2"/>
                <w:sz w:val="12"/>
                <w:szCs w:val="12"/>
              </w:rPr>
              <w:t>Rúbrica autógrafa de quien desclasifica.</w:t>
            </w:r>
          </w:p>
        </w:tc>
      </w:tr>
    </w:tbl>
    <w:p w14:paraId="72ABF8DE" w14:textId="77777777" w:rsidR="00F16734" w:rsidRPr="0086781A" w:rsidRDefault="00F16734">
      <w:pPr>
        <w:spacing w:before="240" w:after="240" w:line="360" w:lineRule="auto"/>
        <w:jc w:val="both"/>
        <w:rPr>
          <w:rFonts w:ascii="Palatino Linotype" w:eastAsia="Palatino Linotype" w:hAnsi="Palatino Linotype" w:cs="Palatino Linotype"/>
          <w:b/>
          <w:color w:val="0D0D0D" w:themeColor="text1" w:themeTint="F2"/>
        </w:rPr>
      </w:pPr>
    </w:p>
    <w:p w14:paraId="4A775DD3"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color w:val="0D0D0D" w:themeColor="text1" w:themeTint="F2"/>
        </w:rPr>
        <w:t>Así, con fundamento en lo prescrito en los</w:t>
      </w:r>
      <w:r w:rsidRPr="0086781A">
        <w:rPr>
          <w:color w:val="0D0D0D" w:themeColor="text1" w:themeTint="F2"/>
        </w:rPr>
        <w:t xml:space="preserve"> </w:t>
      </w:r>
      <w:r w:rsidRPr="0086781A">
        <w:rPr>
          <w:rFonts w:ascii="Palatino Linotype" w:eastAsia="Palatino Linotype" w:hAnsi="Palatino Linotype" w:cs="Palatino Linotype"/>
          <w:color w:val="0D0D0D" w:themeColor="text1" w:themeTint="F2"/>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057472F" w14:textId="77777777" w:rsidR="00F16734" w:rsidRPr="0086781A" w:rsidRDefault="00FB681D">
      <w:pPr>
        <w:pBdr>
          <w:top w:val="nil"/>
          <w:left w:val="nil"/>
          <w:bottom w:val="nil"/>
          <w:right w:val="nil"/>
          <w:between w:val="nil"/>
        </w:pBdr>
        <w:spacing w:before="280" w:after="280" w:line="360" w:lineRule="auto"/>
        <w:jc w:val="center"/>
        <w:rPr>
          <w:rFonts w:ascii="Palatino Linotype" w:eastAsia="Palatino Linotype" w:hAnsi="Palatino Linotype" w:cs="Palatino Linotype"/>
          <w:b/>
          <w:color w:val="0D0D0D" w:themeColor="text1" w:themeTint="F2"/>
        </w:rPr>
      </w:pPr>
      <w:r w:rsidRPr="0086781A">
        <w:rPr>
          <w:rFonts w:ascii="Palatino Linotype" w:eastAsia="Palatino Linotype" w:hAnsi="Palatino Linotype" w:cs="Palatino Linotype"/>
          <w:b/>
          <w:color w:val="0D0D0D" w:themeColor="text1" w:themeTint="F2"/>
        </w:rPr>
        <w:t>III. R E S U E L V E</w:t>
      </w:r>
    </w:p>
    <w:p w14:paraId="0F52C69F" w14:textId="77777777" w:rsidR="00F16734" w:rsidRPr="0086781A" w:rsidRDefault="00FB681D">
      <w:pPr>
        <w:spacing w:line="360" w:lineRule="auto"/>
        <w:ind w:right="49"/>
        <w:jc w:val="both"/>
        <w:rPr>
          <w:rFonts w:ascii="Palatino Linotype" w:eastAsia="Palatino Linotype" w:hAnsi="Palatino Linotype" w:cs="Palatino Linotype"/>
          <w:color w:val="0D0D0D" w:themeColor="text1" w:themeTint="F2"/>
        </w:rPr>
      </w:pPr>
      <w:bookmarkStart w:id="5" w:name="_heading=h.3znysh7" w:colFirst="0" w:colLast="0"/>
      <w:bookmarkEnd w:id="5"/>
      <w:r w:rsidRPr="0086781A">
        <w:rPr>
          <w:rFonts w:ascii="Palatino Linotype" w:eastAsia="Palatino Linotype" w:hAnsi="Palatino Linotype" w:cs="Palatino Linotype"/>
          <w:b/>
          <w:color w:val="0D0D0D" w:themeColor="text1" w:themeTint="F2"/>
        </w:rPr>
        <w:t>Primero.</w:t>
      </w:r>
      <w:r w:rsidRPr="0086781A">
        <w:rPr>
          <w:rFonts w:ascii="Palatino Linotype" w:eastAsia="Palatino Linotype" w:hAnsi="Palatino Linotype" w:cs="Palatino Linotype"/>
          <w:color w:val="0D0D0D" w:themeColor="text1" w:themeTint="F2"/>
          <w:sz w:val="22"/>
          <w:szCs w:val="22"/>
        </w:rPr>
        <w:t xml:space="preserve"> </w:t>
      </w:r>
      <w:r w:rsidRPr="0086781A">
        <w:rPr>
          <w:rFonts w:ascii="Palatino Linotype" w:eastAsia="Palatino Linotype" w:hAnsi="Palatino Linotype" w:cs="Palatino Linotype"/>
          <w:color w:val="0D0D0D" w:themeColor="text1" w:themeTint="F2"/>
        </w:rPr>
        <w:t xml:space="preserve">Resultan </w:t>
      </w:r>
      <w:r w:rsidRPr="0086781A">
        <w:rPr>
          <w:rFonts w:ascii="Palatino Linotype" w:eastAsia="Palatino Linotype" w:hAnsi="Palatino Linotype" w:cs="Palatino Linotype"/>
          <w:b/>
          <w:color w:val="0D0D0D" w:themeColor="text1" w:themeTint="F2"/>
        </w:rPr>
        <w:t>fundadas</w:t>
      </w:r>
      <w:r w:rsidRPr="0086781A">
        <w:rPr>
          <w:rFonts w:ascii="Palatino Linotype" w:eastAsia="Palatino Linotype" w:hAnsi="Palatino Linotype" w:cs="Palatino Linotype"/>
          <w:color w:val="0D0D0D" w:themeColor="text1" w:themeTint="F2"/>
        </w:rPr>
        <w:t xml:space="preserve"> las razones o motivos de inconformidad hechos valer por </w:t>
      </w:r>
      <w:r w:rsidRPr="0086781A">
        <w:rPr>
          <w:rFonts w:ascii="Palatino Linotype" w:eastAsia="Palatino Linotype" w:hAnsi="Palatino Linotype" w:cs="Palatino Linotype"/>
          <w:b/>
          <w:color w:val="0D0D0D" w:themeColor="text1" w:themeTint="F2"/>
        </w:rPr>
        <w:t xml:space="preserve">la parte Recurrente, </w:t>
      </w:r>
      <w:r w:rsidRPr="0086781A">
        <w:rPr>
          <w:rFonts w:ascii="Palatino Linotype" w:eastAsia="Palatino Linotype" w:hAnsi="Palatino Linotype" w:cs="Palatino Linotype"/>
          <w:color w:val="0D0D0D" w:themeColor="text1" w:themeTint="F2"/>
        </w:rPr>
        <w:t>en el recurso de revisión</w:t>
      </w:r>
      <w:r w:rsidRPr="0086781A">
        <w:rPr>
          <w:rFonts w:ascii="Palatino Linotype" w:eastAsia="Palatino Linotype" w:hAnsi="Palatino Linotype" w:cs="Palatino Linotype"/>
          <w:b/>
          <w:color w:val="0D0D0D" w:themeColor="text1" w:themeTint="F2"/>
        </w:rPr>
        <w:t xml:space="preserve"> 15449/INFOEM/ICR-63/IP/RR/2022, </w:t>
      </w:r>
      <w:r w:rsidRPr="0086781A">
        <w:rPr>
          <w:rFonts w:ascii="Palatino Linotype" w:eastAsia="Palatino Linotype" w:hAnsi="Palatino Linotype" w:cs="Palatino Linotype"/>
          <w:color w:val="0D0D0D" w:themeColor="text1" w:themeTint="F2"/>
        </w:rPr>
        <w:t xml:space="preserve">en términos del </w:t>
      </w:r>
      <w:r w:rsidRPr="0086781A">
        <w:rPr>
          <w:rFonts w:ascii="Palatino Linotype" w:eastAsia="Palatino Linotype" w:hAnsi="Palatino Linotype" w:cs="Palatino Linotype"/>
          <w:b/>
          <w:color w:val="0D0D0D" w:themeColor="text1" w:themeTint="F2"/>
        </w:rPr>
        <w:t>Considerando</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 xml:space="preserve">Cuarto </w:t>
      </w:r>
      <w:r w:rsidRPr="0086781A">
        <w:rPr>
          <w:rFonts w:ascii="Palatino Linotype" w:eastAsia="Palatino Linotype" w:hAnsi="Palatino Linotype" w:cs="Palatino Linotype"/>
          <w:color w:val="0D0D0D" w:themeColor="text1" w:themeTint="F2"/>
        </w:rPr>
        <w:t>de la presente resolución.</w:t>
      </w:r>
    </w:p>
    <w:p w14:paraId="759A6E7E" w14:textId="77777777" w:rsidR="00F16734" w:rsidRPr="0086781A" w:rsidRDefault="00F16734">
      <w:pPr>
        <w:spacing w:line="360" w:lineRule="auto"/>
        <w:jc w:val="both"/>
        <w:rPr>
          <w:rFonts w:ascii="Palatino Linotype" w:eastAsia="Palatino Linotype" w:hAnsi="Palatino Linotype" w:cs="Palatino Linotype"/>
          <w:b/>
          <w:color w:val="0D0D0D" w:themeColor="text1" w:themeTint="F2"/>
        </w:rPr>
      </w:pPr>
    </w:p>
    <w:p w14:paraId="408DC279" w14:textId="77777777" w:rsidR="00F16734" w:rsidRPr="0086781A" w:rsidRDefault="00FB681D">
      <w:pPr>
        <w:spacing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Segundo</w:t>
      </w:r>
      <w:r w:rsidRPr="0086781A">
        <w:rPr>
          <w:rFonts w:ascii="Palatino Linotype" w:eastAsia="Palatino Linotype" w:hAnsi="Palatino Linotype" w:cs="Palatino Linotype"/>
          <w:color w:val="0D0D0D" w:themeColor="text1" w:themeTint="F2"/>
        </w:rPr>
        <w:t>. Se</w:t>
      </w:r>
      <w:r w:rsidRPr="0086781A">
        <w:rPr>
          <w:rFonts w:ascii="Palatino Linotype" w:eastAsia="Palatino Linotype" w:hAnsi="Palatino Linotype" w:cs="Palatino Linotype"/>
          <w:b/>
          <w:color w:val="0D0D0D" w:themeColor="text1" w:themeTint="F2"/>
        </w:rPr>
        <w:t> ORDENA </w:t>
      </w:r>
      <w:r w:rsidRPr="0086781A">
        <w:rPr>
          <w:rFonts w:ascii="Palatino Linotype" w:eastAsia="Palatino Linotype" w:hAnsi="Palatino Linotype" w:cs="Palatino Linotype"/>
          <w:color w:val="0D0D0D" w:themeColor="text1" w:themeTint="F2"/>
        </w:rPr>
        <w:t xml:space="preserve">al </w:t>
      </w:r>
      <w:r w:rsidRPr="0086781A">
        <w:rPr>
          <w:rFonts w:ascii="Palatino Linotype" w:eastAsia="Palatino Linotype" w:hAnsi="Palatino Linotype" w:cs="Palatino Linotype"/>
          <w:b/>
          <w:color w:val="0D0D0D" w:themeColor="text1" w:themeTint="F2"/>
        </w:rPr>
        <w:t xml:space="preserve">Sujeto Obligado, </w:t>
      </w:r>
      <w:r w:rsidRPr="0086781A">
        <w:rPr>
          <w:rFonts w:ascii="Palatino Linotype" w:eastAsia="Palatino Linotype" w:hAnsi="Palatino Linotype" w:cs="Palatino Linotype"/>
          <w:color w:val="0D0D0D" w:themeColor="text1" w:themeTint="F2"/>
        </w:rPr>
        <w:t xml:space="preserve">que en términos de los </w:t>
      </w:r>
      <w:r w:rsidRPr="0086781A">
        <w:rPr>
          <w:rFonts w:ascii="Palatino Linotype" w:eastAsia="Palatino Linotype" w:hAnsi="Palatino Linotype" w:cs="Palatino Linotype"/>
          <w:b/>
          <w:color w:val="0D0D0D" w:themeColor="text1" w:themeTint="F2"/>
        </w:rPr>
        <w:t>Considerandos</w:t>
      </w:r>
      <w:r w:rsidRPr="0086781A">
        <w:rPr>
          <w:rFonts w:ascii="Palatino Linotype" w:eastAsia="Palatino Linotype" w:hAnsi="Palatino Linotype" w:cs="Palatino Linotype"/>
          <w:color w:val="0D0D0D" w:themeColor="text1" w:themeTint="F2"/>
        </w:rPr>
        <w:t xml:space="preserve"> </w:t>
      </w:r>
      <w:r w:rsidRPr="0086781A">
        <w:rPr>
          <w:rFonts w:ascii="Palatino Linotype" w:eastAsia="Palatino Linotype" w:hAnsi="Palatino Linotype" w:cs="Palatino Linotype"/>
          <w:b/>
          <w:color w:val="0D0D0D" w:themeColor="text1" w:themeTint="F2"/>
        </w:rPr>
        <w:t xml:space="preserve">Cuarto y Quinto </w:t>
      </w:r>
      <w:r w:rsidRPr="0086781A">
        <w:rPr>
          <w:rFonts w:ascii="Palatino Linotype" w:eastAsia="Palatino Linotype" w:hAnsi="Palatino Linotype" w:cs="Palatino Linotype"/>
          <w:color w:val="0D0D0D" w:themeColor="text1" w:themeTint="F2"/>
        </w:rPr>
        <w:t xml:space="preserve">de esta resolución, entregue a la parte </w:t>
      </w:r>
      <w:proofErr w:type="gramStart"/>
      <w:r w:rsidRPr="0086781A">
        <w:rPr>
          <w:rFonts w:ascii="Palatino Linotype" w:eastAsia="Palatino Linotype" w:hAnsi="Palatino Linotype" w:cs="Palatino Linotype"/>
          <w:b/>
          <w:color w:val="0D0D0D" w:themeColor="text1" w:themeTint="F2"/>
        </w:rPr>
        <w:t>Recurrente,</w:t>
      </w:r>
      <w:r w:rsidRPr="0086781A">
        <w:rPr>
          <w:rFonts w:ascii="Palatino Linotype" w:eastAsia="Palatino Linotype" w:hAnsi="Palatino Linotype" w:cs="Palatino Linotype"/>
          <w:color w:val="0D0D0D" w:themeColor="text1" w:themeTint="F2"/>
        </w:rPr>
        <w:t xml:space="preserve">  vía</w:t>
      </w:r>
      <w:proofErr w:type="gramEnd"/>
      <w:r w:rsidRPr="0086781A">
        <w:rPr>
          <w:rFonts w:ascii="Palatino Linotype" w:eastAsia="Palatino Linotype" w:hAnsi="Palatino Linotype" w:cs="Palatino Linotype"/>
          <w:color w:val="0D0D0D" w:themeColor="text1" w:themeTint="F2"/>
        </w:rPr>
        <w:t xml:space="preserve"> Sistema de Acceso a la Información Mexiquense (SAIMEX), previa búsqueda exhaustiva y razonable, de ser el caso en </w:t>
      </w:r>
      <w:r w:rsidRPr="0086781A">
        <w:rPr>
          <w:rFonts w:ascii="Palatino Linotype" w:eastAsia="Palatino Linotype" w:hAnsi="Palatino Linotype" w:cs="Palatino Linotype"/>
          <w:b/>
          <w:color w:val="0D0D0D" w:themeColor="text1" w:themeTint="F2"/>
        </w:rPr>
        <w:t>versión pública</w:t>
      </w:r>
      <w:r w:rsidRPr="0086781A">
        <w:rPr>
          <w:rFonts w:ascii="Palatino Linotype" w:eastAsia="Palatino Linotype" w:hAnsi="Palatino Linotype" w:cs="Palatino Linotype"/>
          <w:color w:val="0D0D0D" w:themeColor="text1" w:themeTint="F2"/>
        </w:rPr>
        <w:t>, de</w:t>
      </w:r>
      <w:r w:rsidRPr="0086781A">
        <w:rPr>
          <w:rFonts w:ascii="Palatino Linotype" w:eastAsia="Palatino Linotype" w:hAnsi="Palatino Linotype" w:cs="Palatino Linotype"/>
          <w:b/>
          <w:color w:val="0D0D0D" w:themeColor="text1" w:themeTint="F2"/>
        </w:rPr>
        <w:t xml:space="preserve"> </w:t>
      </w:r>
      <w:r w:rsidRPr="0086781A">
        <w:rPr>
          <w:rFonts w:ascii="Palatino Linotype" w:eastAsia="Palatino Linotype" w:hAnsi="Palatino Linotype" w:cs="Palatino Linotype"/>
          <w:color w:val="0D0D0D" w:themeColor="text1" w:themeTint="F2"/>
        </w:rPr>
        <w:t>lo siguiente:</w:t>
      </w:r>
    </w:p>
    <w:p w14:paraId="196A689D" w14:textId="77777777" w:rsidR="00127E7B" w:rsidRPr="0086781A" w:rsidRDefault="00FB681D" w:rsidP="00127E7B">
      <w:pPr>
        <w:pStyle w:val="Prrafodelista"/>
        <w:numPr>
          <w:ilvl w:val="0"/>
          <w:numId w:val="14"/>
        </w:numPr>
        <w:pBdr>
          <w:top w:val="nil"/>
          <w:left w:val="nil"/>
          <w:bottom w:val="nil"/>
          <w:right w:val="nil"/>
          <w:between w:val="nil"/>
        </w:pBdr>
        <w:tabs>
          <w:tab w:val="left" w:pos="4962"/>
        </w:tabs>
        <w:spacing w:line="276" w:lineRule="auto"/>
        <w:ind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lastRenderedPageBreak/>
        <w:t xml:space="preserve">Acuerdo emitido por el Comité de Transparencia, a efecto de confirmar la incompetencia para conocer la información relativa a los títulos profesionales, recibos de nómina de enero a la fecha de la solicitud, </w:t>
      </w:r>
      <w:proofErr w:type="spellStart"/>
      <w:r w:rsidRPr="0086781A">
        <w:rPr>
          <w:rFonts w:ascii="Palatino Linotype" w:eastAsia="Palatino Linotype" w:hAnsi="Palatino Linotype" w:cs="Palatino Linotype"/>
          <w:b/>
          <w:i/>
          <w:color w:val="0D0D0D" w:themeColor="text1" w:themeTint="F2"/>
        </w:rPr>
        <w:t>curriculum</w:t>
      </w:r>
      <w:proofErr w:type="spellEnd"/>
      <w:r w:rsidRPr="0086781A">
        <w:rPr>
          <w:rFonts w:ascii="Palatino Linotype" w:eastAsia="Palatino Linotype" w:hAnsi="Palatino Linotype" w:cs="Palatino Linotype"/>
          <w:b/>
          <w:i/>
          <w:color w:val="0D0D0D" w:themeColor="text1" w:themeTint="F2"/>
        </w:rPr>
        <w:t xml:space="preserve"> vitae, certificado de no antecedentes penales, listas de asistencia, declaración Patrimonial, bitácoras de combustible de los Directores del DIF y OPDAPAS, así como de todo el personal adscrito a dichos organismos; así como, declaración patrimonial, que deban realizar los servidores públicos referidos en la solicitud, en el ejercicio de sus funciones.</w:t>
      </w:r>
    </w:p>
    <w:p w14:paraId="223BFB8B" w14:textId="77777777" w:rsidR="00127E7B" w:rsidRPr="0086781A" w:rsidRDefault="00FB681D" w:rsidP="00127E7B">
      <w:pPr>
        <w:pStyle w:val="Prrafodelista"/>
        <w:numPr>
          <w:ilvl w:val="0"/>
          <w:numId w:val="14"/>
        </w:numPr>
        <w:pBdr>
          <w:top w:val="nil"/>
          <w:left w:val="nil"/>
          <w:bottom w:val="nil"/>
          <w:right w:val="nil"/>
          <w:between w:val="nil"/>
        </w:pBdr>
        <w:tabs>
          <w:tab w:val="left" w:pos="4962"/>
        </w:tabs>
        <w:spacing w:line="276" w:lineRule="auto"/>
        <w:ind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 xml:space="preserve">Título profesional del </w:t>
      </w:r>
      <w:proofErr w:type="gramStart"/>
      <w:r w:rsidRPr="0086781A">
        <w:rPr>
          <w:rFonts w:ascii="Palatino Linotype" w:eastAsia="Palatino Linotype" w:hAnsi="Palatino Linotype" w:cs="Palatino Linotype"/>
          <w:b/>
          <w:i/>
          <w:color w:val="0D0D0D" w:themeColor="text1" w:themeTint="F2"/>
        </w:rPr>
        <w:t>Director</w:t>
      </w:r>
      <w:proofErr w:type="gramEnd"/>
      <w:r w:rsidRPr="0086781A">
        <w:rPr>
          <w:rFonts w:ascii="Palatino Linotype" w:eastAsia="Palatino Linotype" w:hAnsi="Palatino Linotype" w:cs="Palatino Linotype"/>
          <w:b/>
          <w:i/>
          <w:color w:val="0D0D0D" w:themeColor="text1" w:themeTint="F2"/>
        </w:rPr>
        <w:t xml:space="preserve"> del Instituto Municipal de Cultura Física y Deporte de Zinacantepec, en funciones al 14 de septiembre de 2022.</w:t>
      </w:r>
    </w:p>
    <w:p w14:paraId="722DD949" w14:textId="77777777" w:rsidR="00127E7B" w:rsidRPr="0086781A" w:rsidRDefault="00FB681D" w:rsidP="00127E7B">
      <w:pPr>
        <w:pStyle w:val="Prrafodelista"/>
        <w:numPr>
          <w:ilvl w:val="0"/>
          <w:numId w:val="14"/>
        </w:numPr>
        <w:pBdr>
          <w:top w:val="nil"/>
          <w:left w:val="nil"/>
          <w:bottom w:val="nil"/>
          <w:right w:val="nil"/>
          <w:between w:val="nil"/>
        </w:pBdr>
        <w:tabs>
          <w:tab w:val="left" w:pos="4962"/>
        </w:tabs>
        <w:spacing w:line="276" w:lineRule="auto"/>
        <w:ind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Título profesional de los servidores públicos adscritos al Instituto Municipal de Cultura Física y Deporte de Zinacantepec, en funciones al 14 de septiembre de 2022.</w:t>
      </w:r>
    </w:p>
    <w:p w14:paraId="63F5C4E5" w14:textId="77777777" w:rsidR="00127E7B" w:rsidRPr="0086781A" w:rsidRDefault="00FB681D" w:rsidP="00127E7B">
      <w:pPr>
        <w:pStyle w:val="Prrafodelista"/>
        <w:numPr>
          <w:ilvl w:val="0"/>
          <w:numId w:val="14"/>
        </w:numPr>
        <w:pBdr>
          <w:top w:val="nil"/>
          <w:left w:val="nil"/>
          <w:bottom w:val="nil"/>
          <w:right w:val="nil"/>
          <w:between w:val="nil"/>
        </w:pBdr>
        <w:tabs>
          <w:tab w:val="left" w:pos="4962"/>
        </w:tabs>
        <w:spacing w:line="276" w:lineRule="auto"/>
        <w:ind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Recibos de nómina de los servidores públicos adscritos a la Instituto Municipal de Cultura Física y Deporte de Zinacantepec generados del 1 de enero al 31 de agosto del 2022.</w:t>
      </w:r>
    </w:p>
    <w:p w14:paraId="668F7D4D" w14:textId="77777777" w:rsidR="00127E7B" w:rsidRPr="0086781A" w:rsidRDefault="00FB681D" w:rsidP="00127E7B">
      <w:pPr>
        <w:pStyle w:val="Prrafodelista"/>
        <w:numPr>
          <w:ilvl w:val="0"/>
          <w:numId w:val="14"/>
        </w:numPr>
        <w:pBdr>
          <w:top w:val="nil"/>
          <w:left w:val="nil"/>
          <w:bottom w:val="nil"/>
          <w:right w:val="nil"/>
          <w:between w:val="nil"/>
        </w:pBdr>
        <w:tabs>
          <w:tab w:val="left" w:pos="4962"/>
        </w:tabs>
        <w:spacing w:line="276" w:lineRule="auto"/>
        <w:ind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Documento donde conste la información curricular de los servidores públicos adscritos al Instituto Municipal de Cultura Física y Deporte de Zinacantepec, en funciones al 14 de septiembre de 2022.</w:t>
      </w:r>
    </w:p>
    <w:p w14:paraId="29C6D355" w14:textId="77777777" w:rsidR="00127E7B" w:rsidRPr="0086781A" w:rsidRDefault="00FE0128" w:rsidP="00127E7B">
      <w:pPr>
        <w:pStyle w:val="Prrafodelista"/>
        <w:numPr>
          <w:ilvl w:val="0"/>
          <w:numId w:val="14"/>
        </w:numPr>
        <w:pBdr>
          <w:top w:val="nil"/>
          <w:left w:val="nil"/>
          <w:bottom w:val="nil"/>
          <w:right w:val="nil"/>
          <w:between w:val="nil"/>
        </w:pBdr>
        <w:tabs>
          <w:tab w:val="left" w:pos="4962"/>
        </w:tabs>
        <w:spacing w:line="276" w:lineRule="auto"/>
        <w:ind w:right="851"/>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Certificado de no antecedentes penales, de los servidores públicos adscritos al Instituto Municipal de Cultura Física y Deporte de Zinacantepec, en funciones al 14 de septiembre de 2022</w:t>
      </w:r>
    </w:p>
    <w:p w14:paraId="4BA62DFC" w14:textId="77777777" w:rsidR="00127E7B" w:rsidRPr="0086781A" w:rsidRDefault="00FB681D" w:rsidP="000663DB">
      <w:pPr>
        <w:pStyle w:val="Prrafodelista"/>
        <w:numPr>
          <w:ilvl w:val="0"/>
          <w:numId w:val="14"/>
        </w:numPr>
        <w:pBdr>
          <w:top w:val="nil"/>
          <w:left w:val="nil"/>
          <w:bottom w:val="nil"/>
          <w:right w:val="nil"/>
          <w:between w:val="nil"/>
        </w:pBdr>
        <w:tabs>
          <w:tab w:val="left" w:pos="4962"/>
        </w:tabs>
        <w:spacing w:line="276" w:lineRule="auto"/>
        <w:ind w:left="567" w:right="851" w:hanging="283"/>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Listas de asistencia de los servidores públicos adscritos al Instituto Municipal de Cultura Física y Deporte de Zinacantepec, del 14 de septiembre del 2</w:t>
      </w:r>
      <w:r w:rsidR="000663DB" w:rsidRPr="0086781A">
        <w:rPr>
          <w:rFonts w:ascii="Palatino Linotype" w:eastAsia="Palatino Linotype" w:hAnsi="Palatino Linotype" w:cs="Palatino Linotype"/>
          <w:b/>
          <w:i/>
          <w:color w:val="0D0D0D" w:themeColor="text1" w:themeTint="F2"/>
        </w:rPr>
        <w:t>021 al 14 de septiembre de 2022, o bien l</w:t>
      </w:r>
      <w:r w:rsidRPr="0086781A">
        <w:rPr>
          <w:rFonts w:ascii="Palatino Linotype" w:eastAsia="Palatino Linotype" w:hAnsi="Palatino Linotype" w:cs="Palatino Linotype"/>
          <w:b/>
          <w:i/>
          <w:color w:val="0D0D0D" w:themeColor="text1" w:themeTint="F2"/>
        </w:rPr>
        <w:t>a autorización emitida por autoridad competente, para omitir la elaboración de listas de asistencia, para exceptuar el registro de asistencia de determinados servidores públicos, del periodo señalado en el punto anterior.</w:t>
      </w:r>
    </w:p>
    <w:p w14:paraId="413EE8AD" w14:textId="77777777" w:rsidR="00F16734" w:rsidRPr="0086781A" w:rsidRDefault="00FB681D" w:rsidP="00127E7B">
      <w:pPr>
        <w:pStyle w:val="Prrafodelista"/>
        <w:numPr>
          <w:ilvl w:val="0"/>
          <w:numId w:val="14"/>
        </w:numPr>
        <w:pBdr>
          <w:top w:val="nil"/>
          <w:left w:val="nil"/>
          <w:bottom w:val="nil"/>
          <w:right w:val="nil"/>
          <w:between w:val="nil"/>
        </w:pBdr>
        <w:tabs>
          <w:tab w:val="left" w:pos="4962"/>
        </w:tabs>
        <w:spacing w:line="276" w:lineRule="auto"/>
        <w:ind w:left="567" w:right="851" w:hanging="283"/>
        <w:jc w:val="both"/>
        <w:rPr>
          <w:rFonts w:ascii="Palatino Linotype" w:eastAsia="Palatino Linotype" w:hAnsi="Palatino Linotype" w:cs="Palatino Linotype"/>
          <w:b/>
          <w:i/>
          <w:color w:val="0D0D0D" w:themeColor="text1" w:themeTint="F2"/>
        </w:rPr>
      </w:pPr>
      <w:r w:rsidRPr="0086781A">
        <w:rPr>
          <w:rFonts w:ascii="Palatino Linotype" w:eastAsia="Palatino Linotype" w:hAnsi="Palatino Linotype" w:cs="Palatino Linotype"/>
          <w:b/>
          <w:i/>
          <w:color w:val="0D0D0D" w:themeColor="text1" w:themeTint="F2"/>
        </w:rPr>
        <w:t>Las bitácoras de combustible del Instituto Municipal de Cultura Física y Deporte de Zinacantepec, generadas del 14 de septiembre del 2021 al 14 de septiembre de 2022.</w:t>
      </w:r>
    </w:p>
    <w:p w14:paraId="2570FD4E" w14:textId="77777777" w:rsidR="00F16734" w:rsidRPr="0086781A" w:rsidRDefault="00FB681D">
      <w:pPr>
        <w:spacing w:before="120" w:after="120"/>
        <w:ind w:left="567" w:right="851"/>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 xml:space="preserve">Para la entrega en versión pública deberá emitir el Acuerdo del Comité de Transparencia en términos de los artículos 49, fracción VIII y 132 fracción II de la </w:t>
      </w:r>
      <w:r w:rsidRPr="0086781A">
        <w:rPr>
          <w:rFonts w:ascii="Palatino Linotype" w:eastAsia="Palatino Linotype" w:hAnsi="Palatino Linotype" w:cs="Palatino Linotype"/>
          <w:i/>
          <w:color w:val="0D0D0D" w:themeColor="text1" w:themeTint="F2"/>
          <w:sz w:val="22"/>
          <w:szCs w:val="22"/>
        </w:rPr>
        <w:lastRenderedPageBreak/>
        <w:t>Ley de Transparencia y Acceso a la Información Pública del Estado de México y Municipios, en el que funde y motive las razones sobre los datos que se supriman o eliminen y se ponga a disposición de la parte Recurrente.</w:t>
      </w:r>
    </w:p>
    <w:p w14:paraId="7AB2659C" w14:textId="77777777" w:rsidR="00F16734" w:rsidRPr="0086781A" w:rsidRDefault="00FB681D">
      <w:pPr>
        <w:spacing w:before="240" w:after="240" w:line="276" w:lineRule="auto"/>
        <w:ind w:left="567" w:right="900"/>
        <w:jc w:val="both"/>
        <w:rPr>
          <w:rFonts w:ascii="Palatino Linotype" w:eastAsia="Palatino Linotype" w:hAnsi="Palatino Linotype" w:cs="Palatino Linotype"/>
          <w:i/>
          <w:color w:val="0D0D0D" w:themeColor="text1" w:themeTint="F2"/>
          <w:sz w:val="22"/>
          <w:szCs w:val="22"/>
        </w:rPr>
      </w:pPr>
      <w:bookmarkStart w:id="6" w:name="_heading=h.1fob9te" w:colFirst="0" w:colLast="0"/>
      <w:bookmarkEnd w:id="6"/>
      <w:r w:rsidRPr="0086781A">
        <w:rPr>
          <w:rFonts w:ascii="Palatino Linotype" w:eastAsia="Palatino Linotype" w:hAnsi="Palatino Linotype" w:cs="Palatino Linotype"/>
          <w:i/>
          <w:color w:val="0D0D0D" w:themeColor="text1" w:themeTint="F2"/>
          <w:sz w:val="22"/>
          <w:szCs w:val="22"/>
        </w:rPr>
        <w:t>En el caso de que derivado de la búsqueda exhaustiva y razonable, no se localice la informació</w:t>
      </w:r>
      <w:r w:rsidR="00FE0128" w:rsidRPr="0086781A">
        <w:rPr>
          <w:rFonts w:ascii="Palatino Linotype" w:eastAsia="Palatino Linotype" w:hAnsi="Palatino Linotype" w:cs="Palatino Linotype"/>
          <w:i/>
          <w:color w:val="0D0D0D" w:themeColor="text1" w:themeTint="F2"/>
          <w:sz w:val="22"/>
          <w:szCs w:val="22"/>
        </w:rPr>
        <w:t>n que se ordena en los incisos g) y h</w:t>
      </w:r>
      <w:r w:rsidRPr="0086781A">
        <w:rPr>
          <w:rFonts w:ascii="Palatino Linotype" w:eastAsia="Palatino Linotype" w:hAnsi="Palatino Linotype" w:cs="Palatino Linotype"/>
          <w:i/>
          <w:color w:val="0D0D0D" w:themeColor="text1" w:themeTint="F2"/>
          <w:sz w:val="22"/>
          <w:szCs w:val="22"/>
        </w:rPr>
        <w:t xml:space="preserve">), el </w:t>
      </w:r>
      <w:r w:rsidRPr="0086781A">
        <w:rPr>
          <w:rFonts w:ascii="Palatino Linotype" w:eastAsia="Palatino Linotype" w:hAnsi="Palatino Linotype" w:cs="Palatino Linotype"/>
          <w:b/>
          <w:i/>
          <w:color w:val="0D0D0D" w:themeColor="text1" w:themeTint="F2"/>
          <w:sz w:val="22"/>
          <w:szCs w:val="22"/>
        </w:rPr>
        <w:t>Sujeto Obligado</w:t>
      </w:r>
      <w:r w:rsidRPr="0086781A">
        <w:rPr>
          <w:rFonts w:ascii="Palatino Linotype" w:eastAsia="Palatino Linotype" w:hAnsi="Palatino Linotype" w:cs="Palatino Linotype"/>
          <w:i/>
          <w:color w:val="0D0D0D" w:themeColor="text1" w:themeTint="F2"/>
          <w:sz w:val="22"/>
          <w:szCs w:val="22"/>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28F10E6E" w14:textId="77777777" w:rsidR="00F16734" w:rsidRPr="0086781A" w:rsidRDefault="00FB681D">
      <w:pPr>
        <w:tabs>
          <w:tab w:val="left" w:pos="7655"/>
        </w:tabs>
        <w:spacing w:before="240" w:line="276" w:lineRule="auto"/>
        <w:ind w:left="567" w:right="900"/>
        <w:jc w:val="both"/>
        <w:rPr>
          <w:rFonts w:ascii="Palatino Linotype" w:eastAsia="Palatino Linotype" w:hAnsi="Palatino Linotype" w:cs="Palatino Linotype"/>
          <w:i/>
          <w:color w:val="0D0D0D" w:themeColor="text1" w:themeTint="F2"/>
          <w:sz w:val="22"/>
          <w:szCs w:val="22"/>
        </w:rPr>
      </w:pPr>
      <w:r w:rsidRPr="0086781A">
        <w:rPr>
          <w:rFonts w:ascii="Palatino Linotype" w:eastAsia="Palatino Linotype" w:hAnsi="Palatino Linotype" w:cs="Palatino Linotype"/>
          <w:i/>
          <w:color w:val="0D0D0D" w:themeColor="text1" w:themeTint="F2"/>
          <w:sz w:val="22"/>
          <w:szCs w:val="22"/>
        </w:rPr>
        <w:t>Para el caso en el que no cuente con la información ordenada en el inciso c)</w:t>
      </w:r>
      <w:r w:rsidR="00FE0128" w:rsidRPr="0086781A">
        <w:rPr>
          <w:rFonts w:ascii="Palatino Linotype" w:eastAsia="Palatino Linotype" w:hAnsi="Palatino Linotype" w:cs="Palatino Linotype"/>
          <w:i/>
          <w:color w:val="0D0D0D" w:themeColor="text1" w:themeTint="F2"/>
          <w:sz w:val="22"/>
          <w:szCs w:val="22"/>
        </w:rPr>
        <w:t xml:space="preserve"> y f)</w:t>
      </w:r>
      <w:r w:rsidRPr="0086781A">
        <w:rPr>
          <w:rFonts w:ascii="Palatino Linotype" w:eastAsia="Palatino Linotype" w:hAnsi="Palatino Linotype" w:cs="Palatino Linotype"/>
          <w:i/>
          <w:color w:val="0D0D0D" w:themeColor="text1" w:themeTint="F2"/>
          <w:sz w:val="22"/>
          <w:szCs w:val="22"/>
        </w:rPr>
        <w:t xml:space="preserve">, por no haberse generado, poseído o administrado, deberá hacerlo del conocimiento de </w:t>
      </w:r>
      <w:r w:rsidRPr="0086781A">
        <w:rPr>
          <w:rFonts w:ascii="Palatino Linotype" w:eastAsia="Palatino Linotype" w:hAnsi="Palatino Linotype" w:cs="Palatino Linotype"/>
          <w:b/>
          <w:i/>
          <w:color w:val="0D0D0D" w:themeColor="text1" w:themeTint="F2"/>
          <w:sz w:val="22"/>
          <w:szCs w:val="22"/>
        </w:rPr>
        <w:t>la parte Recurrente</w:t>
      </w:r>
      <w:r w:rsidRPr="0086781A">
        <w:rPr>
          <w:rFonts w:ascii="Palatino Linotype" w:eastAsia="Palatino Linotype" w:hAnsi="Palatino Linotype" w:cs="Palatino Linotype"/>
          <w:i/>
          <w:color w:val="0D0D0D" w:themeColor="text1" w:themeTint="F2"/>
          <w:sz w:val="22"/>
          <w:szCs w:val="22"/>
        </w:rPr>
        <w:t xml:space="preserve"> de manera fundada y motivada, en términos del segundo párrafo del artículo 19 de la Ley de Transparencia y Acceso a la Información Pública del Estado de México y Municipios. </w:t>
      </w:r>
    </w:p>
    <w:p w14:paraId="42C35612" w14:textId="77777777" w:rsidR="00FD70DD" w:rsidRPr="0086781A" w:rsidRDefault="00FD70DD">
      <w:pPr>
        <w:spacing w:after="240" w:line="360" w:lineRule="auto"/>
        <w:jc w:val="both"/>
        <w:rPr>
          <w:rFonts w:ascii="Palatino Linotype" w:eastAsia="Palatino Linotype" w:hAnsi="Palatino Linotype" w:cs="Palatino Linotype"/>
          <w:b/>
          <w:color w:val="0D0D0D" w:themeColor="text1" w:themeTint="F2"/>
        </w:rPr>
      </w:pPr>
      <w:bookmarkStart w:id="7" w:name="_heading=h.2et92p0" w:colFirst="0" w:colLast="0"/>
      <w:bookmarkEnd w:id="7"/>
    </w:p>
    <w:p w14:paraId="5AC9CEA6" w14:textId="77777777" w:rsidR="00F16734" w:rsidRPr="0086781A" w:rsidRDefault="00FB681D">
      <w:pPr>
        <w:spacing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t>Tercero</w:t>
      </w:r>
      <w:r w:rsidRPr="0086781A">
        <w:rPr>
          <w:rFonts w:ascii="Palatino Linotype" w:eastAsia="Palatino Linotype" w:hAnsi="Palatino Linotype" w:cs="Palatino Linotype"/>
          <w:b/>
          <w:color w:val="0D0D0D" w:themeColor="text1" w:themeTint="F2"/>
          <w:sz w:val="28"/>
          <w:szCs w:val="28"/>
        </w:rPr>
        <w:t xml:space="preserve">.  </w:t>
      </w:r>
      <w:r w:rsidRPr="0086781A">
        <w:rPr>
          <w:rFonts w:ascii="Palatino Linotype" w:eastAsia="Palatino Linotype" w:hAnsi="Palatino Linotype" w:cs="Palatino Linotype"/>
          <w:b/>
          <w:color w:val="0D0D0D" w:themeColor="text1" w:themeTint="F2"/>
        </w:rPr>
        <w:t>Notifíquese vía SAIMEX,</w:t>
      </w:r>
      <w:r w:rsidRPr="0086781A">
        <w:rPr>
          <w:rFonts w:ascii="Palatino Linotype" w:eastAsia="Palatino Linotype" w:hAnsi="Palatino Linotype" w:cs="Palatino Linotype"/>
          <w:b/>
          <w:color w:val="0D0D0D" w:themeColor="text1" w:themeTint="F2"/>
          <w:sz w:val="28"/>
          <w:szCs w:val="28"/>
        </w:rPr>
        <w:t xml:space="preserve"> </w:t>
      </w:r>
      <w:r w:rsidRPr="0086781A">
        <w:rPr>
          <w:rFonts w:ascii="Palatino Linotype" w:eastAsia="Palatino Linotype" w:hAnsi="Palatino Linotype" w:cs="Palatino Linotype"/>
          <w:color w:val="0D0D0D" w:themeColor="text1" w:themeTint="F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w:t>
      </w:r>
      <w:r w:rsidR="00FE0128" w:rsidRPr="0086781A">
        <w:rPr>
          <w:rFonts w:ascii="Palatino Linotype" w:eastAsia="Palatino Linotype" w:hAnsi="Palatino Linotype" w:cs="Palatino Linotype"/>
          <w:color w:val="0D0D0D" w:themeColor="text1" w:themeTint="F2"/>
        </w:rPr>
        <w:t>rdenado dentro del plazo de treinta</w:t>
      </w:r>
      <w:r w:rsidRPr="0086781A">
        <w:rPr>
          <w:rFonts w:ascii="Palatino Linotype" w:eastAsia="Palatino Linotype" w:hAnsi="Palatino Linotype" w:cs="Palatino Linotype"/>
          <w:color w:val="0D0D0D" w:themeColor="text1" w:themeTint="F2"/>
        </w:rPr>
        <w:t xml:space="preserve">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09958B" w14:textId="77777777" w:rsidR="00F16734" w:rsidRPr="0086781A" w:rsidRDefault="00FB681D">
      <w:pPr>
        <w:spacing w:before="240" w:after="240" w:line="360" w:lineRule="auto"/>
        <w:jc w:val="both"/>
        <w:rPr>
          <w:rFonts w:ascii="Palatino Linotype" w:eastAsia="Palatino Linotype" w:hAnsi="Palatino Linotype" w:cs="Palatino Linotype"/>
          <w:color w:val="0D0D0D" w:themeColor="text1" w:themeTint="F2"/>
        </w:rPr>
      </w:pPr>
      <w:r w:rsidRPr="0086781A">
        <w:rPr>
          <w:rFonts w:ascii="Palatino Linotype" w:eastAsia="Palatino Linotype" w:hAnsi="Palatino Linotype" w:cs="Palatino Linotype"/>
          <w:b/>
          <w:color w:val="0D0D0D" w:themeColor="text1" w:themeTint="F2"/>
        </w:rPr>
        <w:lastRenderedPageBreak/>
        <w:t xml:space="preserve">Cuarto. Notifíquese </w:t>
      </w:r>
      <w:r w:rsidRPr="0086781A">
        <w:rPr>
          <w:rFonts w:ascii="Palatino Linotype" w:eastAsia="Palatino Linotype" w:hAnsi="Palatino Linotype" w:cs="Palatino Linotype"/>
          <w:color w:val="0D0D0D" w:themeColor="text1" w:themeTint="F2"/>
        </w:rPr>
        <w:t>la presente resolución al</w:t>
      </w:r>
      <w:r w:rsidRPr="0086781A">
        <w:rPr>
          <w:rFonts w:ascii="Palatino Linotype" w:eastAsia="Palatino Linotype" w:hAnsi="Palatino Linotype" w:cs="Palatino Linotype"/>
          <w:b/>
          <w:color w:val="0D0D0D" w:themeColor="text1" w:themeTint="F2"/>
        </w:rPr>
        <w:t xml:space="preserve"> Recurrente</w:t>
      </w:r>
      <w:r w:rsidRPr="0086781A">
        <w:rPr>
          <w:rFonts w:ascii="Palatino Linotype" w:eastAsia="Palatino Linotype" w:hAnsi="Palatino Linotype" w:cs="Palatino Linotype"/>
          <w:color w:val="0D0D0D" w:themeColor="text1" w:themeTint="F2"/>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 </w:t>
      </w:r>
    </w:p>
    <w:p w14:paraId="09BAA3CE" w14:textId="77777777" w:rsidR="00F16734" w:rsidRPr="0086781A" w:rsidRDefault="00FB681D">
      <w:pPr>
        <w:spacing w:line="360" w:lineRule="auto"/>
        <w:ind w:right="49"/>
        <w:jc w:val="both"/>
        <w:rPr>
          <w:rFonts w:ascii="Palatino Linotype" w:eastAsia="Palatino Linotype" w:hAnsi="Palatino Linotype" w:cs="Palatino Linotype"/>
          <w:color w:val="0D0D0D" w:themeColor="text1" w:themeTint="F2"/>
        </w:rPr>
        <w:sectPr w:rsidR="00F16734" w:rsidRPr="0086781A">
          <w:headerReference w:type="default" r:id="rId30"/>
          <w:footerReference w:type="default" r:id="rId31"/>
          <w:headerReference w:type="first" r:id="rId32"/>
          <w:footerReference w:type="first" r:id="rId33"/>
          <w:pgSz w:w="12240" w:h="15840"/>
          <w:pgMar w:top="1985" w:right="1750" w:bottom="1701" w:left="1701" w:header="709" w:footer="709" w:gutter="0"/>
          <w:pgNumType w:start="1"/>
          <w:cols w:space="720"/>
          <w:titlePg/>
        </w:sectPr>
      </w:pPr>
      <w:r w:rsidRPr="0086781A">
        <w:rPr>
          <w:rFonts w:ascii="Palatino Linotype" w:eastAsia="Palatino Linotype" w:hAnsi="Palatino Linotype" w:cs="Palatino Linotype"/>
          <w:color w:val="0D0D0D" w:themeColor="text1" w:themeTint="F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VEINTICUATRO DE MAYO DE DOS MIL VEINTITRÉS, ANTE EL SECRETARIO TÉCNICO DEL PLENO ALEXIS TAPIA RAMÍREZ.</w:t>
      </w:r>
    </w:p>
    <w:p w14:paraId="582AD30D" w14:textId="77777777" w:rsidR="00F16734" w:rsidRPr="0086781A" w:rsidRDefault="00F16734">
      <w:pPr>
        <w:tabs>
          <w:tab w:val="left" w:pos="709"/>
        </w:tabs>
        <w:spacing w:before="240" w:after="240" w:line="360" w:lineRule="auto"/>
        <w:jc w:val="both"/>
        <w:rPr>
          <w:rFonts w:ascii="Palatino Linotype" w:eastAsia="Palatino Linotype" w:hAnsi="Palatino Linotype" w:cs="Palatino Linotype"/>
          <w:color w:val="0D0D0D" w:themeColor="text1" w:themeTint="F2"/>
        </w:rPr>
      </w:pPr>
    </w:p>
    <w:p w14:paraId="7DEF82EB" w14:textId="77777777" w:rsidR="00F16734" w:rsidRPr="0086781A" w:rsidRDefault="00F16734">
      <w:pPr>
        <w:rPr>
          <w:color w:val="0D0D0D" w:themeColor="text1" w:themeTint="F2"/>
        </w:rPr>
      </w:pPr>
    </w:p>
    <w:p w14:paraId="687E7278" w14:textId="77777777" w:rsidR="00F16734" w:rsidRPr="0086781A" w:rsidRDefault="00F16734">
      <w:pPr>
        <w:rPr>
          <w:color w:val="0D0D0D" w:themeColor="text1" w:themeTint="F2"/>
        </w:rPr>
      </w:pPr>
    </w:p>
    <w:sectPr w:rsidR="00F16734" w:rsidRPr="0086781A">
      <w:headerReference w:type="first" r:id="rId3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C777B" w14:textId="77777777" w:rsidR="00C93A8D" w:rsidRDefault="00C93A8D">
      <w:r>
        <w:separator/>
      </w:r>
    </w:p>
  </w:endnote>
  <w:endnote w:type="continuationSeparator" w:id="0">
    <w:p w14:paraId="70C13E20" w14:textId="77777777" w:rsidR="00C93A8D" w:rsidRDefault="00C93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4551" w14:textId="77777777" w:rsidR="006F3BD7" w:rsidRDefault="006F3BD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D7713">
      <w:rPr>
        <w:rFonts w:ascii="Arial" w:eastAsia="Arial" w:hAnsi="Arial" w:cs="Arial"/>
        <w:b/>
        <w:noProof/>
        <w:color w:val="000000"/>
        <w:sz w:val="20"/>
        <w:szCs w:val="20"/>
      </w:rPr>
      <w:t>110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D7713">
      <w:rPr>
        <w:rFonts w:ascii="Arial" w:eastAsia="Arial" w:hAnsi="Arial" w:cs="Arial"/>
        <w:b/>
        <w:noProof/>
        <w:color w:val="000000"/>
        <w:sz w:val="20"/>
        <w:szCs w:val="20"/>
      </w:rPr>
      <w:t>111</w:t>
    </w:r>
    <w:r>
      <w:rPr>
        <w:rFonts w:ascii="Arial" w:eastAsia="Arial" w:hAnsi="Arial" w:cs="Arial"/>
        <w:b/>
        <w:color w:val="000000"/>
        <w:sz w:val="20"/>
        <w:szCs w:val="20"/>
      </w:rPr>
      <w:fldChar w:fldCharType="end"/>
    </w:r>
  </w:p>
  <w:p w14:paraId="19D63588" w14:textId="77777777" w:rsidR="006F3BD7" w:rsidRDefault="006F3BD7">
    <w:pPr>
      <w:pBdr>
        <w:top w:val="nil"/>
        <w:left w:val="nil"/>
        <w:bottom w:val="nil"/>
        <w:right w:val="nil"/>
        <w:between w:val="nil"/>
      </w:pBdr>
      <w:tabs>
        <w:tab w:val="center" w:pos="4252"/>
        <w:tab w:val="right" w:pos="8504"/>
      </w:tabs>
      <w:rPr>
        <w:color w:val="000000"/>
      </w:rPr>
    </w:pPr>
  </w:p>
  <w:p w14:paraId="49D054AF" w14:textId="77777777" w:rsidR="006F3BD7" w:rsidRDefault="006F3BD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AE22" w14:textId="77777777" w:rsidR="006F3BD7" w:rsidRDefault="006F3BD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D7713">
      <w:rPr>
        <w:rFonts w:ascii="Arial" w:eastAsia="Arial" w:hAnsi="Arial" w:cs="Arial"/>
        <w:b/>
        <w:noProof/>
        <w:color w:val="000000"/>
        <w:sz w:val="20"/>
        <w:szCs w:val="20"/>
      </w:rPr>
      <w:t>111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D7713">
      <w:rPr>
        <w:rFonts w:ascii="Arial" w:eastAsia="Arial" w:hAnsi="Arial" w:cs="Arial"/>
        <w:b/>
        <w:noProof/>
        <w:color w:val="000000"/>
        <w:sz w:val="20"/>
        <w:szCs w:val="20"/>
      </w:rPr>
      <w:t>111</w:t>
    </w:r>
    <w:r>
      <w:rPr>
        <w:rFonts w:ascii="Arial" w:eastAsia="Arial" w:hAnsi="Arial" w:cs="Arial"/>
        <w:b/>
        <w:color w:val="000000"/>
        <w:sz w:val="20"/>
        <w:szCs w:val="20"/>
      </w:rPr>
      <w:fldChar w:fldCharType="end"/>
    </w:r>
  </w:p>
  <w:p w14:paraId="408F2F9C" w14:textId="77777777" w:rsidR="006F3BD7" w:rsidRDefault="006F3BD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31B4" w14:textId="77777777" w:rsidR="00C93A8D" w:rsidRDefault="00C93A8D">
      <w:r>
        <w:separator/>
      </w:r>
    </w:p>
  </w:footnote>
  <w:footnote w:type="continuationSeparator" w:id="0">
    <w:p w14:paraId="53641D14" w14:textId="77777777" w:rsidR="00C93A8D" w:rsidRDefault="00C93A8D">
      <w:r>
        <w:continuationSeparator/>
      </w:r>
    </w:p>
  </w:footnote>
  <w:footnote w:id="1">
    <w:p w14:paraId="0F2C4E7F" w14:textId="77777777" w:rsidR="006F3BD7" w:rsidRDefault="006F3BD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1CC19DB" w14:textId="77777777" w:rsidR="006F3BD7" w:rsidRDefault="006F3BD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E08B77A" w14:textId="77777777" w:rsidR="006F3BD7" w:rsidRDefault="006F3BD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4">
    <w:p w14:paraId="2F73CA1E" w14:textId="77777777" w:rsidR="006F3BD7" w:rsidRDefault="006F3BD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9C14" w14:textId="77777777" w:rsidR="006F3BD7" w:rsidRDefault="006F3BD7">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61BD9A22" wp14:editId="41CEF81F">
          <wp:simplePos x="0" y="0"/>
          <wp:positionH relativeFrom="column">
            <wp:posOffset>-1017901</wp:posOffset>
          </wp:positionH>
          <wp:positionV relativeFrom="paragraph">
            <wp:posOffset>-325025</wp:posOffset>
          </wp:positionV>
          <wp:extent cx="7635163" cy="9944100"/>
          <wp:effectExtent l="0" t="0" r="0" b="0"/>
          <wp:wrapNone/>
          <wp:docPr id="10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635163" cy="99441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c"/>
      <w:tblW w:w="6378" w:type="dxa"/>
      <w:tblInd w:w="3261" w:type="dxa"/>
      <w:tblLayout w:type="fixed"/>
      <w:tblLook w:val="0400" w:firstRow="0" w:lastRow="0" w:firstColumn="0" w:lastColumn="0" w:noHBand="0" w:noVBand="1"/>
    </w:tblPr>
    <w:tblGrid>
      <w:gridCol w:w="2552"/>
      <w:gridCol w:w="3826"/>
    </w:tblGrid>
    <w:tr w:rsidR="006F3BD7" w14:paraId="3CFA8F9C" w14:textId="77777777">
      <w:tc>
        <w:tcPr>
          <w:tcW w:w="2552" w:type="dxa"/>
          <w:vAlign w:val="center"/>
        </w:tcPr>
        <w:p w14:paraId="3BF86CC1" w14:textId="77777777" w:rsidR="006F3BD7" w:rsidRDefault="006F3BD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6" w:type="dxa"/>
          <w:vAlign w:val="center"/>
        </w:tcPr>
        <w:p w14:paraId="4470F883" w14:textId="77777777" w:rsidR="006F3BD7" w:rsidRDefault="006F3BD7">
          <w:pPr>
            <w:ind w:right="-54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15449/INFOEM/ICR-63/IP/RR/2022</w:t>
          </w:r>
        </w:p>
      </w:tc>
    </w:tr>
    <w:tr w:rsidR="006F3BD7" w14:paraId="4DB6128F" w14:textId="77777777">
      <w:trPr>
        <w:trHeight w:val="228"/>
      </w:trPr>
      <w:tc>
        <w:tcPr>
          <w:tcW w:w="2552" w:type="dxa"/>
          <w:vAlign w:val="center"/>
        </w:tcPr>
        <w:p w14:paraId="73641B3A" w14:textId="77777777" w:rsidR="006F3BD7" w:rsidRDefault="006F3BD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6" w:type="dxa"/>
          <w:vAlign w:val="center"/>
        </w:tcPr>
        <w:p w14:paraId="62756BD1" w14:textId="77777777" w:rsidR="006F3BD7" w:rsidRDefault="006F3BD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6F3BD7" w14:paraId="79B12683" w14:textId="77777777">
      <w:tc>
        <w:tcPr>
          <w:tcW w:w="2552" w:type="dxa"/>
          <w:vAlign w:val="center"/>
        </w:tcPr>
        <w:p w14:paraId="5CF2C56C" w14:textId="77777777" w:rsidR="006F3BD7" w:rsidRDefault="006F3BD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6" w:type="dxa"/>
          <w:vAlign w:val="center"/>
        </w:tcPr>
        <w:p w14:paraId="688CB964" w14:textId="77777777" w:rsidR="006F3BD7" w:rsidRDefault="006F3BD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1F7317" w14:textId="77777777" w:rsidR="006F3BD7" w:rsidRDefault="006F3BD7">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3712" w14:textId="77777777" w:rsidR="006F3BD7" w:rsidRDefault="006F3BD7">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3C119B13" wp14:editId="0A76EB44">
          <wp:simplePos x="0" y="0"/>
          <wp:positionH relativeFrom="column">
            <wp:posOffset>-1010915</wp:posOffset>
          </wp:positionH>
          <wp:positionV relativeFrom="paragraph">
            <wp:posOffset>-276220</wp:posOffset>
          </wp:positionV>
          <wp:extent cx="7635240" cy="9942830"/>
          <wp:effectExtent l="0" t="0" r="0" b="0"/>
          <wp:wrapNone/>
          <wp:docPr id="10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b"/>
      <w:tblW w:w="6460" w:type="dxa"/>
      <w:tblInd w:w="2612" w:type="dxa"/>
      <w:tblLayout w:type="fixed"/>
      <w:tblLook w:val="0400" w:firstRow="0" w:lastRow="0" w:firstColumn="0" w:lastColumn="0" w:noHBand="0" w:noVBand="1"/>
    </w:tblPr>
    <w:tblGrid>
      <w:gridCol w:w="2551"/>
      <w:gridCol w:w="3909"/>
    </w:tblGrid>
    <w:tr w:rsidR="006F3BD7" w14:paraId="6D8540BA" w14:textId="77777777">
      <w:tc>
        <w:tcPr>
          <w:tcW w:w="2551" w:type="dxa"/>
          <w:vAlign w:val="center"/>
        </w:tcPr>
        <w:p w14:paraId="36D875C5" w14:textId="77777777" w:rsidR="006F3BD7" w:rsidRDefault="006F3BD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14:paraId="292AE44E" w14:textId="77777777" w:rsidR="006F3BD7" w:rsidRDefault="006F3BD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15449/INFOEM/ICR-63/IP/RR/2022</w:t>
          </w:r>
        </w:p>
      </w:tc>
    </w:tr>
    <w:tr w:rsidR="006F3BD7" w14:paraId="564DFAA9" w14:textId="77777777">
      <w:tc>
        <w:tcPr>
          <w:tcW w:w="2551" w:type="dxa"/>
          <w:vAlign w:val="center"/>
        </w:tcPr>
        <w:p w14:paraId="2C1108D9" w14:textId="77777777" w:rsidR="006F3BD7" w:rsidRDefault="006F3BD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14:paraId="248D2841" w14:textId="77777777" w:rsidR="006F3BD7" w:rsidRDefault="006F3BD7">
          <w:pPr>
            <w:ind w:left="-45"/>
            <w:jc w:val="both"/>
            <w:rPr>
              <w:rFonts w:ascii="Palatino Linotype" w:eastAsia="Palatino Linotype" w:hAnsi="Palatino Linotype" w:cs="Palatino Linotype"/>
              <w:b/>
              <w:sz w:val="22"/>
              <w:szCs w:val="22"/>
            </w:rPr>
          </w:pPr>
        </w:p>
      </w:tc>
    </w:tr>
    <w:tr w:rsidR="006F3BD7" w14:paraId="1784A54F" w14:textId="77777777">
      <w:trPr>
        <w:trHeight w:val="228"/>
      </w:trPr>
      <w:tc>
        <w:tcPr>
          <w:tcW w:w="2551" w:type="dxa"/>
          <w:vAlign w:val="center"/>
        </w:tcPr>
        <w:p w14:paraId="08961651" w14:textId="77777777" w:rsidR="006F3BD7" w:rsidRDefault="006F3BD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14:paraId="00E2CAA4" w14:textId="77777777" w:rsidR="006F3BD7" w:rsidRDefault="006F3BD7">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6F3BD7" w14:paraId="4B330AEC" w14:textId="77777777">
      <w:tc>
        <w:tcPr>
          <w:tcW w:w="2551" w:type="dxa"/>
          <w:vAlign w:val="center"/>
        </w:tcPr>
        <w:p w14:paraId="56C69639" w14:textId="77777777" w:rsidR="006F3BD7" w:rsidRDefault="006F3BD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14:paraId="1B7DFBD6" w14:textId="77777777" w:rsidR="006F3BD7" w:rsidRDefault="006F3BD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36D2D6" w14:textId="77777777" w:rsidR="006F3BD7" w:rsidRDefault="006F3BD7">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FB43" w14:textId="77777777" w:rsidR="006F3BD7" w:rsidRDefault="006F3BD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FD22469" w14:textId="77777777" w:rsidR="006F3BD7" w:rsidRDefault="006F3BD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1760"/>
    <w:multiLevelType w:val="multilevel"/>
    <w:tmpl w:val="E0F0F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BC36CE"/>
    <w:multiLevelType w:val="multilevel"/>
    <w:tmpl w:val="5980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753281"/>
    <w:multiLevelType w:val="multilevel"/>
    <w:tmpl w:val="8618AF84"/>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C243C15"/>
    <w:multiLevelType w:val="multilevel"/>
    <w:tmpl w:val="40E614AA"/>
    <w:lvl w:ilvl="0">
      <w:start w:val="1"/>
      <w:numFmt w:val="decimal"/>
      <w:lvlText w:val="%1."/>
      <w:lvlJc w:val="left"/>
      <w:pPr>
        <w:ind w:left="720" w:hanging="360"/>
      </w:pPr>
    </w:lvl>
    <w:lvl w:ilvl="1">
      <w:start w:val="1"/>
      <w:numFmt w:val="lowerLetter"/>
      <w:lvlText w:val="%2)"/>
      <w:lvlJc w:val="left"/>
      <w:pPr>
        <w:ind w:left="9007"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1DA726A"/>
    <w:multiLevelType w:val="multilevel"/>
    <w:tmpl w:val="5A609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DE2337"/>
    <w:multiLevelType w:val="multilevel"/>
    <w:tmpl w:val="4E1C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2B1CD2"/>
    <w:multiLevelType w:val="multilevel"/>
    <w:tmpl w:val="B5C4B3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600264EA"/>
    <w:multiLevelType w:val="multilevel"/>
    <w:tmpl w:val="66986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7F32E9"/>
    <w:multiLevelType w:val="hybridMultilevel"/>
    <w:tmpl w:val="BE267182"/>
    <w:lvl w:ilvl="0" w:tplc="54863034">
      <w:start w:val="1"/>
      <w:numFmt w:val="lowerLetter"/>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DDF4350"/>
    <w:multiLevelType w:val="multilevel"/>
    <w:tmpl w:val="2544ED2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703F7F6E"/>
    <w:multiLevelType w:val="multilevel"/>
    <w:tmpl w:val="C176882A"/>
    <w:lvl w:ilvl="0">
      <w:numFmt w:val="lowerLetter"/>
      <w:lvlText w:val="%1."/>
      <w:lvlJc w:val="left"/>
      <w:pPr>
        <w:ind w:left="0" w:firstLine="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42A4372"/>
    <w:multiLevelType w:val="multilevel"/>
    <w:tmpl w:val="428436E6"/>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143BD0"/>
    <w:multiLevelType w:val="multilevel"/>
    <w:tmpl w:val="BA18A22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CB5679"/>
    <w:multiLevelType w:val="multilevel"/>
    <w:tmpl w:val="356AA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1"/>
  </w:num>
  <w:num w:numId="3">
    <w:abstractNumId w:val="4"/>
  </w:num>
  <w:num w:numId="4">
    <w:abstractNumId w:val="2"/>
  </w:num>
  <w:num w:numId="5">
    <w:abstractNumId w:val="0"/>
  </w:num>
  <w:num w:numId="6">
    <w:abstractNumId w:val="10"/>
  </w:num>
  <w:num w:numId="7">
    <w:abstractNumId w:val="1"/>
  </w:num>
  <w:num w:numId="8">
    <w:abstractNumId w:val="12"/>
  </w:num>
  <w:num w:numId="9">
    <w:abstractNumId w:val="7"/>
  </w:num>
  <w:num w:numId="10">
    <w:abstractNumId w:val="6"/>
    <w:lvlOverride w:ilvl="0">
      <w:lvl w:ilvl="0">
        <w:numFmt w:val="lowerLetter"/>
        <w:lvlText w:val="%1."/>
        <w:lvlJc w:val="left"/>
      </w:lvl>
    </w:lvlOverride>
  </w:num>
  <w:num w:numId="11">
    <w:abstractNumId w:val="5"/>
  </w:num>
  <w:num w:numId="12">
    <w:abstractNumId w:val="13"/>
    <w:lvlOverride w:ilvl="0">
      <w:lvl w:ilvl="0">
        <w:numFmt w:val="lowerLetter"/>
        <w:lvlText w:val="%1."/>
        <w:lvlJc w:val="left"/>
      </w:lvl>
    </w:lvlOverride>
  </w:num>
  <w:num w:numId="13">
    <w:abstractNumId w:val="14"/>
    <w:lvlOverride w:ilvl="0">
      <w:lvl w:ilvl="0">
        <w:numFmt w:val="decimal"/>
        <w:lvlText w:val="%1."/>
        <w:lvlJc w:val="left"/>
      </w:lvl>
    </w:lvlOverride>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34"/>
    <w:rsid w:val="000663DB"/>
    <w:rsid w:val="00127E7B"/>
    <w:rsid w:val="002A597D"/>
    <w:rsid w:val="005E722A"/>
    <w:rsid w:val="006F3BD7"/>
    <w:rsid w:val="00717182"/>
    <w:rsid w:val="007729F9"/>
    <w:rsid w:val="0086781A"/>
    <w:rsid w:val="00B51421"/>
    <w:rsid w:val="00B64220"/>
    <w:rsid w:val="00BA6436"/>
    <w:rsid w:val="00C61048"/>
    <w:rsid w:val="00C93A8D"/>
    <w:rsid w:val="00CF4569"/>
    <w:rsid w:val="00D40988"/>
    <w:rsid w:val="00DD1B48"/>
    <w:rsid w:val="00ED7713"/>
    <w:rsid w:val="00F16734"/>
    <w:rsid w:val="00FB681D"/>
    <w:rsid w:val="00FD70DD"/>
    <w:rsid w:val="00FE0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B3D7"/>
  <w15:docId w15:val="{C0968552-46EB-4A86-ACB8-46EEA8C7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94A"/>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0E76A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ortal.secogem.gob.mx/declaranet"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7IbEROF8N+YdVgMhgtRnGxJs2g==">CgMxLjAyCGguZ2pkZ3hzMgloLjMwajB6bGwyCWguMnM4ZXlvMTIJaC4xdDNoNXNmMgloLjRkMzRvZzgyCWguM3pueXNoNzIJaC4xZm9iOXRlMgloLjJldDkycDA4AHIhMUNxVGtCRlRwUlpVeDZ0Wm9YakFVbVktUjNjejdIcmdk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111</Pages>
  <Words>26633</Words>
  <Characters>146482</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2023-05-26T16:50:00Z</cp:lastPrinted>
  <dcterms:created xsi:type="dcterms:W3CDTF">2023-06-05T23:48:00Z</dcterms:created>
  <dcterms:modified xsi:type="dcterms:W3CDTF">2023-06-05T23:48:00Z</dcterms:modified>
</cp:coreProperties>
</file>