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tres de octubre de dos mil veintitrés</w:t>
      </w:r>
      <w:r>
        <w:rPr>
          <w:rFonts w:ascii="Palatino Linotype" w:eastAsia="Palatino Linotype" w:hAnsi="Palatino Linotype" w:cs="Palatino Linotype"/>
        </w:rPr>
        <w:t xml:space="preserve">. </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02324/INFOEM/IP/RR/2023</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por interpuesto por</w:t>
      </w:r>
      <w:r w:rsidR="009E053D">
        <w:rPr>
          <w:rFonts w:ascii="Palatino Linotype" w:eastAsia="Palatino Linotype" w:hAnsi="Palatino Linotype" w:cs="Palatino Linotype"/>
          <w:b/>
        </w:rPr>
        <w:t xml:space="preserve"> XXXX XXXXXXX XX XXXXXXXXXXXXX XX XXXXXXXXXXXXX</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Sindicato de Maestros al Servicio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622CED" w:rsidRDefault="00F60549">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catorce</w:t>
      </w:r>
      <w:r>
        <w:rPr>
          <w:rFonts w:ascii="Palatino Linotype" w:eastAsia="Palatino Linotype" w:hAnsi="Palatino Linotype" w:cs="Palatino Linotype"/>
        </w:rPr>
        <w:t xml:space="preserve"> </w:t>
      </w:r>
      <w:r>
        <w:rPr>
          <w:rFonts w:ascii="Palatino Linotype" w:eastAsia="Palatino Linotype" w:hAnsi="Palatino Linotype" w:cs="Palatino Linotype"/>
          <w:b/>
        </w:rPr>
        <w:t>de marzo del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00008/SMSEM/IP/2023, </w:t>
      </w:r>
      <w:r>
        <w:rPr>
          <w:rFonts w:ascii="Palatino Linotype" w:eastAsia="Palatino Linotype" w:hAnsi="Palatino Linotype" w:cs="Palatino Linotype"/>
        </w:rPr>
        <w:t xml:space="preserve">mediante la cual requirió la información siguiente: </w:t>
      </w:r>
    </w:p>
    <w:p w:rsidR="00622CED" w:rsidRDefault="00F60549">
      <w:pPr>
        <w:spacing w:before="240"/>
        <w:ind w:left="851" w:right="902"/>
        <w:jc w:val="both"/>
        <w:rPr>
          <w:rFonts w:ascii="Palatino Linotype" w:eastAsia="Palatino Linotype" w:hAnsi="Palatino Linotype" w:cs="Palatino Linotype"/>
          <w:b/>
          <w:i/>
          <w:sz w:val="22"/>
          <w:szCs w:val="22"/>
          <w:u w:val="single"/>
        </w:rPr>
      </w:pPr>
      <w:bookmarkStart w:id="0" w:name="_heading=h.gjdgxs" w:colFirst="0" w:colLast="0"/>
      <w:bookmarkEnd w:id="0"/>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SOLICITO EL MONTO DEL DINERO DESTINADO AL APOYO DE ALEJANDRA DEL MORAL</w:t>
      </w:r>
      <w:r>
        <w:rPr>
          <w:rFonts w:ascii="Palatino Linotype" w:eastAsia="Palatino Linotype" w:hAnsi="Palatino Linotype" w:cs="Palatino Linotype"/>
          <w:i/>
          <w:sz w:val="22"/>
          <w:szCs w:val="22"/>
        </w:rPr>
        <w:t>” (Sic) (Énfasis añadido)</w:t>
      </w:r>
    </w:p>
    <w:p w:rsidR="00622CED" w:rsidRDefault="00622CED">
      <w:pPr>
        <w:spacing w:line="360" w:lineRule="auto"/>
        <w:ind w:right="900"/>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622CED" w:rsidRDefault="00622CED">
      <w:pPr>
        <w:spacing w:line="360" w:lineRule="auto"/>
        <w:jc w:val="both"/>
        <w:rPr>
          <w:rFonts w:ascii="Palatino Linotype" w:eastAsia="Palatino Linotype" w:hAnsi="Palatino Linotype" w:cs="Palatino Linotype"/>
        </w:rPr>
      </w:pPr>
    </w:p>
    <w:p w:rsidR="00622CED" w:rsidRDefault="00F60549">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doce de abril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622CED" w:rsidRDefault="00F60549">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“ESTIMADA (O) </w:t>
      </w:r>
      <w:r w:rsidR="009E053D">
        <w:rPr>
          <w:rFonts w:ascii="Palatino Linotype" w:eastAsia="Palatino Linotype" w:hAnsi="Palatino Linotype" w:cs="Palatino Linotype"/>
          <w:i/>
          <w:sz w:val="22"/>
          <w:szCs w:val="22"/>
        </w:rPr>
        <w:t>XXXXXXXXXXX</w:t>
      </w:r>
      <w:r>
        <w:rPr>
          <w:rFonts w:ascii="Palatino Linotype" w:eastAsia="Palatino Linotype" w:hAnsi="Palatino Linotype" w:cs="Palatino Linotype"/>
          <w:i/>
          <w:sz w:val="22"/>
          <w:szCs w:val="22"/>
        </w:rPr>
        <w:t xml:space="preserve"> P R E S E N T E De conformidad con los artículos 1, 2, 3 fracción XLIV, 4, 12, 16, 23 fracción IX, 24 fracción XI y último párrafo, 50, 51, y 53 fracciones II, IV, V y VI de la Ley de Transparencia y Acceso a la Información Pública del Estado de México y Municipios, me permito contestar que: Derivado de su solicitud de información 00008/SMSEM/IP/2023, ingresada a través del Sistema de Acceso a la Información Mexiquense (SAIMEX), mediante la cual requiere conocer: “SOLICITO EL MONTO DEL DINERO DESTINADO AL APOYO DE ALEJANDRA DEL MORAL” (sic) Visto su requerimiento, con fundamento en lo establecido por los artículos 12 y 23 de la Ley de Transparencia y Acceso a la Información Pública del Estado de México y Municipios, 7 y 8 de los estatutos del SMSEM. </w:t>
      </w:r>
      <w:r>
        <w:rPr>
          <w:rFonts w:ascii="Palatino Linotype" w:eastAsia="Palatino Linotype" w:hAnsi="Palatino Linotype" w:cs="Palatino Linotype"/>
          <w:b/>
          <w:i/>
          <w:sz w:val="22"/>
          <w:szCs w:val="22"/>
        </w:rPr>
        <w:t>Una vez realizado el análisis correspondiente,</w:t>
      </w:r>
      <w:r>
        <w:rPr>
          <w:rFonts w:ascii="Palatino Linotype" w:eastAsia="Palatino Linotype" w:hAnsi="Palatino Linotype" w:cs="Palatino Linotype"/>
          <w:i/>
          <w:sz w:val="22"/>
          <w:szCs w:val="22"/>
        </w:rPr>
        <w:t xml:space="preserve"> adicional a lo anterior </w:t>
      </w:r>
      <w:r>
        <w:rPr>
          <w:rFonts w:ascii="Palatino Linotype" w:eastAsia="Palatino Linotype" w:hAnsi="Palatino Linotype" w:cs="Palatino Linotype"/>
          <w:b/>
          <w:i/>
          <w:sz w:val="22"/>
          <w:szCs w:val="22"/>
        </w:rPr>
        <w:t xml:space="preserve">se menciona que no se cuenta con partida presupuestal dentro del convenio de sueldo y </w:t>
      </w:r>
      <w:proofErr w:type="gramStart"/>
      <w:r>
        <w:rPr>
          <w:rFonts w:ascii="Palatino Linotype" w:eastAsia="Palatino Linotype" w:hAnsi="Palatino Linotype" w:cs="Palatino Linotype"/>
          <w:b/>
          <w:i/>
          <w:sz w:val="22"/>
          <w:szCs w:val="22"/>
        </w:rPr>
        <w:t>prestaciones vigente</w:t>
      </w:r>
      <w:proofErr w:type="gramEnd"/>
      <w:r>
        <w:rPr>
          <w:rFonts w:ascii="Palatino Linotype" w:eastAsia="Palatino Linotype" w:hAnsi="Palatino Linotype" w:cs="Palatino Linotype"/>
          <w:b/>
          <w:i/>
          <w:sz w:val="22"/>
          <w:szCs w:val="22"/>
        </w:rPr>
        <w:t xml:space="preserve"> que refiera el otorgamiento de recursos a personas físicas similares o análogas</w:t>
      </w:r>
      <w:r>
        <w:rPr>
          <w:rFonts w:ascii="Palatino Linotype" w:eastAsia="Palatino Linotype" w:hAnsi="Palatino Linotype" w:cs="Palatino Linotype"/>
          <w:i/>
          <w:sz w:val="22"/>
          <w:szCs w:val="22"/>
        </w:rPr>
        <w:t>.</w:t>
      </w:r>
    </w:p>
    <w:p w:rsidR="00622CED" w:rsidRDefault="00F60549">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622CED" w:rsidRDefault="00F60549">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JOSEFINA BERNAL SERRANO” (Sic)</w:t>
      </w:r>
    </w:p>
    <w:p w:rsidR="00622CED" w:rsidRDefault="00F60549">
      <w:pPr>
        <w:spacing w:before="240" w:after="240"/>
        <w:ind w:left="567"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rsidR="00622CED" w:rsidRDefault="00F6054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“SMSEM-UT-013-2023.pdf”: </w:t>
      </w:r>
      <w:r>
        <w:rPr>
          <w:rFonts w:ascii="Palatino Linotype" w:eastAsia="Palatino Linotype" w:hAnsi="Palatino Linotype" w:cs="Palatino Linotype"/>
        </w:rPr>
        <w:t>Documento de tres fojas en el que medularmente la Titular de la Unidad de Transparencia señala que conforme a los artículos 7 y 8 de los Estatutos del SMSEM, el Sujeto Obligado deberá garantizar a sus agremiados una serie de compromisos.</w:t>
      </w:r>
    </w:p>
    <w:p w:rsidR="00622CED" w:rsidRDefault="00992693">
      <w:pPr>
        <w:spacing w:before="240" w:after="240" w:line="360" w:lineRule="auto"/>
        <w:ind w:left="567" w:right="902"/>
        <w:jc w:val="both"/>
        <w:rPr>
          <w:rFonts w:ascii="Palatino Linotype" w:eastAsia="Palatino Linotype" w:hAnsi="Palatino Linotype" w:cs="Palatino Linotype"/>
        </w:rPr>
      </w:pPr>
      <w:r>
        <w:rPr>
          <w:noProof/>
          <w:lang w:val="es-MX"/>
        </w:rPr>
        <w:lastRenderedPageBreak/>
        <w:drawing>
          <wp:inline distT="0" distB="0" distL="0" distR="0" wp14:anchorId="0DE7C2BF" wp14:editId="567A7F6B">
            <wp:extent cx="4838700" cy="643118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4" t="20217" r="38731" b="16415"/>
                    <a:stretch/>
                  </pic:blipFill>
                  <pic:spPr bwMode="auto">
                    <a:xfrm>
                      <a:off x="0" y="0"/>
                      <a:ext cx="4850174" cy="6446432"/>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622CED" w:rsidRDefault="00622CED">
      <w:pPr>
        <w:spacing w:before="240" w:after="240" w:line="360" w:lineRule="auto"/>
        <w:ind w:left="567" w:right="902"/>
        <w:jc w:val="both"/>
        <w:rPr>
          <w:rFonts w:ascii="Palatino Linotype" w:eastAsia="Palatino Linotype" w:hAnsi="Palatino Linotype" w:cs="Palatino Linotype"/>
        </w:rPr>
      </w:pPr>
    </w:p>
    <w:p w:rsidR="00622CED" w:rsidRDefault="00F6054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10796" cy="4839375"/>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810796" cy="4839375"/>
                    </a:xfrm>
                    <a:prstGeom prst="rect">
                      <a:avLst/>
                    </a:prstGeom>
                    <a:ln/>
                  </pic:spPr>
                </pic:pic>
              </a:graphicData>
            </a:graphic>
          </wp:inline>
        </w:drawing>
      </w:r>
    </w:p>
    <w:p w:rsidR="00622CED" w:rsidRDefault="00F6054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01270" cy="5420481"/>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01270" cy="5420481"/>
                    </a:xfrm>
                    <a:prstGeom prst="rect">
                      <a:avLst/>
                    </a:prstGeom>
                    <a:ln/>
                  </pic:spPr>
                </pic:pic>
              </a:graphicData>
            </a:graphic>
          </wp:inline>
        </w:drawing>
      </w:r>
    </w:p>
    <w:p w:rsidR="00622CED" w:rsidRDefault="00F6054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dos de mayo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622CED" w:rsidRDefault="00F60549">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 Acto impugnado: </w:t>
      </w:r>
      <w:r>
        <w:rPr>
          <w:rFonts w:ascii="Palatino Linotype" w:eastAsia="Palatino Linotype" w:hAnsi="Palatino Linotype" w:cs="Palatino Linotype"/>
          <w:b/>
        </w:rPr>
        <w:tab/>
      </w:r>
    </w:p>
    <w:p w:rsidR="00622CED" w:rsidRDefault="00F60549">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DEL SUJETO OBLIGADO” (Sic)</w:t>
      </w:r>
    </w:p>
    <w:p w:rsidR="00622CED" w:rsidRDefault="00622CED">
      <w:pPr>
        <w:ind w:left="851" w:right="902"/>
        <w:jc w:val="both"/>
        <w:rPr>
          <w:rFonts w:ascii="Palatino Linotype" w:eastAsia="Palatino Linotype" w:hAnsi="Palatino Linotype" w:cs="Palatino Linotype"/>
          <w:i/>
          <w:sz w:val="22"/>
          <w:szCs w:val="22"/>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w:t>
      </w:r>
    </w:p>
    <w:p w:rsidR="00622CED" w:rsidRDefault="00F60549">
      <w:pPr>
        <w:ind w:left="567"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“A FIN DE AGOTAR EL PRINCIPIO DE DEFINITIVIDAD, EXPONGO: HAY INDICIOS DEL PROCEDER DE ESTE SINDICATO COMO LOS SIGUIENTES: https://diarioportal.com/2023/04/14/promete-del-moral-salvar-un-issemym-arruinado-por-el-pri-y-smsem-compromete-voto-de-maestros/ https://www.jornada.com.mx/notas/2023/04/14/estados/anuncia-del-moral-diez-compromisos-para-el-magisterio-mexiquense/ POR TANTO, ES MENESTER SE REALICE UNA BUSQUEDA EXAHUSTIVA O AGOTE EL EJERCICIO DE LA BUSQUEDA EXAHISTIVA, DEBIDAMENTE ACREDITADA CON LOS OFICIOS CORRESPONDIENTES, QUE DEMUESTREN QUE SE EJERCIO EN TODAS LAS AREAS QUE CONFORMAN AL SUJETO OBLIGADO” (Sic) </w:t>
      </w:r>
    </w:p>
    <w:p w:rsidR="00622CED" w:rsidRDefault="00622CED">
      <w:pPr>
        <w:ind w:left="567" w:right="902"/>
        <w:jc w:val="both"/>
        <w:rPr>
          <w:rFonts w:ascii="Palatino Linotype" w:eastAsia="Palatino Linotype" w:hAnsi="Palatino Linotype" w:cs="Palatino Linotype"/>
          <w:i/>
          <w:sz w:val="22"/>
          <w:szCs w:val="22"/>
        </w:rPr>
      </w:pPr>
    </w:p>
    <w:p w:rsidR="00622CED" w:rsidRDefault="00622CED">
      <w:pPr>
        <w:ind w:right="902"/>
        <w:jc w:val="both"/>
        <w:rPr>
          <w:rFonts w:ascii="Palatino Linotype" w:eastAsia="Palatino Linotype" w:hAnsi="Palatino Linotype" w:cs="Palatino Linotype"/>
          <w:sz w:val="22"/>
          <w:szCs w:val="22"/>
        </w:rPr>
      </w:pPr>
    </w:p>
    <w:p w:rsidR="00622CED" w:rsidRDefault="00F6054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analizará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622CED" w:rsidRDefault="00622CED">
      <w:pPr>
        <w:spacing w:line="360" w:lineRule="auto"/>
        <w:ind w:right="51"/>
        <w:jc w:val="both"/>
        <w:rPr>
          <w:rFonts w:ascii="Palatino Linotype" w:eastAsia="Palatino Linotype" w:hAnsi="Palatino Linotype" w:cs="Palatino Linotype"/>
        </w:rPr>
      </w:pPr>
    </w:p>
    <w:p w:rsidR="00622CED" w:rsidRDefault="00F605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ocho de mayo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Pr>
          <w:rFonts w:ascii="Palatino Linotype" w:eastAsia="Palatino Linotype" w:hAnsi="Palatino Linotype" w:cs="Palatino Linotype"/>
        </w:rPr>
        <w:lastRenderedPageBreak/>
        <w:t xml:space="preserve">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622CED" w:rsidRDefault="00F60549">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dieciséis de mayo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mediante el archivo electrónico “</w:t>
      </w:r>
      <w:r>
        <w:rPr>
          <w:rFonts w:ascii="Palatino Linotype" w:eastAsia="Palatino Linotype" w:hAnsi="Palatino Linotype" w:cs="Palatino Linotype"/>
          <w:b/>
          <w:i/>
        </w:rPr>
        <w:t xml:space="preserve">SMSEM-UT-025-2023 Manifestaciones.pdf”, </w:t>
      </w:r>
      <w:r>
        <w:rPr>
          <w:rFonts w:ascii="Palatino Linotype" w:eastAsia="Palatino Linotype" w:hAnsi="Palatino Linotype" w:cs="Palatino Linotype"/>
        </w:rPr>
        <w:t xml:space="preserve">en el cual señala toralmente lo siguiente: </w:t>
      </w:r>
    </w:p>
    <w:p w:rsidR="00622CED" w:rsidRDefault="00F60549">
      <w:pPr>
        <w:spacing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“CUATRO</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Ahora bien con el fin de poder generar una nueva búsqueda exhaustiva de la información </w:t>
      </w:r>
      <w:r>
        <w:rPr>
          <w:rFonts w:ascii="Palatino Linotype" w:eastAsia="Palatino Linotype" w:hAnsi="Palatino Linotype" w:cs="Palatino Linotype"/>
          <w:b/>
          <w:i/>
          <w:sz w:val="22"/>
          <w:szCs w:val="22"/>
        </w:rPr>
        <w:t>se procedió a solicitar la información a la Secretaría de Finanzas de este SMSEM</w:t>
      </w:r>
      <w:r>
        <w:rPr>
          <w:rFonts w:ascii="Palatino Linotype" w:eastAsia="Palatino Linotype" w:hAnsi="Palatino Linotype" w:cs="Palatino Linotype"/>
          <w:i/>
          <w:sz w:val="22"/>
          <w:szCs w:val="22"/>
        </w:rPr>
        <w:t>…</w:t>
      </w:r>
    </w:p>
    <w:p w:rsidR="00622CED" w:rsidRDefault="00F60549">
      <w:pPr>
        <w:spacing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Al respecto, la Profesora </w:t>
      </w:r>
      <w:proofErr w:type="spellStart"/>
      <w:r>
        <w:rPr>
          <w:rFonts w:ascii="Palatino Linotype" w:eastAsia="Palatino Linotype" w:hAnsi="Palatino Linotype" w:cs="Palatino Linotype"/>
          <w:b/>
          <w:i/>
          <w:sz w:val="22"/>
          <w:szCs w:val="22"/>
        </w:rPr>
        <w:t>Cleotilde</w:t>
      </w:r>
      <w:proofErr w:type="spellEnd"/>
      <w:r>
        <w:rPr>
          <w:rFonts w:ascii="Palatino Linotype" w:eastAsia="Palatino Linotype" w:hAnsi="Palatino Linotype" w:cs="Palatino Linotype"/>
          <w:b/>
          <w:i/>
          <w:sz w:val="22"/>
          <w:szCs w:val="22"/>
        </w:rPr>
        <w:t xml:space="preserve"> Castillo Méndez, secretaria de Finanzas responde mediante el siguiente oficio:”</w:t>
      </w:r>
    </w:p>
    <w:p w:rsidR="00622CED" w:rsidRDefault="00F60549">
      <w:pPr>
        <w:spacing w:after="240" w:line="276" w:lineRule="auto"/>
        <w:ind w:lef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extent cx="5086350" cy="5285035"/>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086350" cy="5285035"/>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889000</wp:posOffset>
                </wp:positionH>
                <wp:positionV relativeFrom="paragraph">
                  <wp:posOffset>2616200</wp:posOffset>
                </wp:positionV>
                <wp:extent cx="4419600" cy="828675"/>
                <wp:effectExtent l="0" t="0" r="0" b="0"/>
                <wp:wrapNone/>
                <wp:docPr id="53" name="Rectángulo 53"/>
                <wp:cNvGraphicFramePr/>
                <a:graphic xmlns:a="http://schemas.openxmlformats.org/drawingml/2006/main">
                  <a:graphicData uri="http://schemas.microsoft.com/office/word/2010/wordprocessingShape">
                    <wps:wsp>
                      <wps:cNvSpPr/>
                      <wps:spPr>
                        <a:xfrm>
                          <a:off x="3155250" y="3384713"/>
                          <a:ext cx="4381500" cy="790575"/>
                        </a:xfrm>
                        <a:prstGeom prst="rect">
                          <a:avLst/>
                        </a:prstGeom>
                        <a:noFill/>
                        <a:ln w="38100" cap="flat" cmpd="sng">
                          <a:solidFill>
                            <a:srgbClr val="C00000"/>
                          </a:solidFill>
                          <a:prstDash val="solid"/>
                          <a:round/>
                          <a:headEnd type="none" w="sm" len="sm"/>
                          <a:tailEnd type="none" w="sm" len="sm"/>
                        </a:ln>
                      </wps:spPr>
                      <wps:txbx>
                        <w:txbxContent>
                          <w:p w:rsidR="00622CED" w:rsidRDefault="00622CE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2616200</wp:posOffset>
                </wp:positionV>
                <wp:extent cx="4419600" cy="828675"/>
                <wp:effectExtent b="0" l="0" r="0" t="0"/>
                <wp:wrapNone/>
                <wp:docPr id="53"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4419600" cy="828675"/>
                        </a:xfrm>
                        <a:prstGeom prst="rect"/>
                        <a:ln/>
                      </pic:spPr>
                    </pic:pic>
                  </a:graphicData>
                </a:graphic>
              </wp:anchor>
            </w:drawing>
          </mc:Fallback>
        </mc:AlternateContent>
      </w:r>
    </w:p>
    <w:p w:rsidR="00622CED" w:rsidRDefault="00F60549">
      <w:pPr>
        <w:spacing w:after="240" w:line="276" w:lineRule="auto"/>
        <w:ind w:lef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extent cx="5171409" cy="649498"/>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b="81129"/>
                    <a:stretch>
                      <a:fillRect/>
                    </a:stretch>
                  </pic:blipFill>
                  <pic:spPr>
                    <a:xfrm>
                      <a:off x="0" y="0"/>
                      <a:ext cx="5171409" cy="649498"/>
                    </a:xfrm>
                    <a:prstGeom prst="rect">
                      <a:avLst/>
                    </a:prstGeom>
                    <a:ln/>
                  </pic:spPr>
                </pic:pic>
              </a:graphicData>
            </a:graphic>
          </wp:inline>
        </w:drawing>
      </w:r>
    </w:p>
    <w:p w:rsidR="00622CED" w:rsidRDefault="00F605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una vez analizados estos soportes documentales,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emitido por la Comisionada Ponente, el </w:t>
      </w:r>
      <w:r>
        <w:rPr>
          <w:rFonts w:ascii="Palatino Linotype" w:eastAsia="Palatino Linotype" w:hAnsi="Palatino Linotype" w:cs="Palatino Linotype"/>
          <w:b/>
        </w:rPr>
        <w:t>veinte de septiembre de dos mil veintitrés</w:t>
      </w:r>
      <w:r>
        <w:rPr>
          <w:rFonts w:ascii="Palatino Linotype" w:eastAsia="Palatino Linotype" w:hAnsi="Palatino Linotype" w:cs="Palatino Linotype"/>
        </w:rPr>
        <w:t xml:space="preserve">, asimismo es de señalar que </w:t>
      </w:r>
      <w:r>
        <w:rPr>
          <w:rFonts w:ascii="Palatino Linotype" w:eastAsia="Palatino Linotype" w:hAnsi="Palatino Linotype" w:cs="Palatino Linotype"/>
          <w:b/>
        </w:rPr>
        <w:lastRenderedPageBreak/>
        <w:t>la persona Recurrente</w:t>
      </w:r>
      <w:r>
        <w:rPr>
          <w:rFonts w:ascii="Palatino Linotype" w:eastAsia="Palatino Linotype" w:hAnsi="Palatino Linotype" w:cs="Palatino Linotype"/>
        </w:rPr>
        <w:t xml:space="preserve"> fue omisa en pronunciarse durante esta etapa,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rsidR="00622CED" w:rsidRDefault="00F60549">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veinte de septiembre del año dos mil veintitrés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622CED" w:rsidRDefault="00622CED">
      <w:pPr>
        <w:spacing w:line="360" w:lineRule="auto"/>
        <w:jc w:val="both"/>
        <w:rPr>
          <w:rFonts w:ascii="Palatino Linotype" w:eastAsia="Palatino Linotype" w:hAnsi="Palatino Linotype" w:cs="Palatino Linotype"/>
        </w:rPr>
      </w:pPr>
    </w:p>
    <w:p w:rsidR="00622CED" w:rsidRDefault="00F60549">
      <w:pPr>
        <w:numPr>
          <w:ilvl w:val="0"/>
          <w:numId w:val="3"/>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622CED" w:rsidRDefault="00622CED">
      <w:pPr>
        <w:spacing w:line="360" w:lineRule="auto"/>
        <w:ind w:left="567" w:right="900" w:hanging="283"/>
        <w:jc w:val="both"/>
        <w:rPr>
          <w:rFonts w:ascii="Palatino Linotype" w:eastAsia="Palatino Linotype" w:hAnsi="Palatino Linotype" w:cs="Palatino Linotype"/>
        </w:rPr>
      </w:pPr>
    </w:p>
    <w:p w:rsidR="00622CED" w:rsidRDefault="00F60549">
      <w:pPr>
        <w:numPr>
          <w:ilvl w:val="0"/>
          <w:numId w:val="3"/>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Acciones u omisiones del interesado.</w:t>
      </w:r>
    </w:p>
    <w:p w:rsidR="00622CED" w:rsidRDefault="00622CED">
      <w:pPr>
        <w:spacing w:line="360" w:lineRule="auto"/>
        <w:ind w:left="567" w:right="900" w:hanging="283"/>
        <w:jc w:val="both"/>
        <w:rPr>
          <w:rFonts w:ascii="Palatino Linotype" w:eastAsia="Palatino Linotype" w:hAnsi="Palatino Linotype" w:cs="Palatino Linotype"/>
          <w:b/>
        </w:rPr>
      </w:pPr>
    </w:p>
    <w:p w:rsidR="00622CED" w:rsidRDefault="00F60549">
      <w:pPr>
        <w:numPr>
          <w:ilvl w:val="0"/>
          <w:numId w:val="3"/>
        </w:num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rsidR="00622CED" w:rsidRDefault="00622CED">
      <w:pPr>
        <w:spacing w:line="360" w:lineRule="auto"/>
        <w:ind w:left="567" w:right="900" w:hanging="283"/>
        <w:rPr>
          <w:rFonts w:ascii="Palatino Linotype" w:eastAsia="Palatino Linotype" w:hAnsi="Palatino Linotype" w:cs="Palatino Linotype"/>
        </w:rPr>
      </w:pPr>
    </w:p>
    <w:p w:rsidR="00622CED" w:rsidRDefault="00F60549">
      <w:pPr>
        <w:spacing w:line="360" w:lineRule="auto"/>
        <w:ind w:left="567" w:right="900" w:hanging="283"/>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622CED" w:rsidRDefault="00622CED">
      <w:pPr>
        <w:spacing w:line="360" w:lineRule="auto"/>
        <w:jc w:val="both"/>
        <w:rPr>
          <w:rFonts w:ascii="Palatino Linotype" w:eastAsia="Palatino Linotype" w:hAnsi="Palatino Linotype" w:cs="Palatino Linotype"/>
          <w:b/>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622CED" w:rsidRDefault="00F60549">
      <w:pPr>
        <w:widowControl w:val="0"/>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8.</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 xml:space="preserve">veintiséis </w:t>
      </w:r>
      <w:r>
        <w:rPr>
          <w:rFonts w:ascii="Palatino Linotype" w:eastAsia="Palatino Linotype" w:hAnsi="Palatino Linotype" w:cs="Palatino Linotype"/>
          <w:b/>
          <w:color w:val="000000"/>
        </w:rPr>
        <w:t>de septiembre de dos mil veintitrés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622CED" w:rsidRDefault="00F60549">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622CED" w:rsidRDefault="00F60549">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lastRenderedPageBreak/>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622CED" w:rsidRDefault="00F60549">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22CED" w:rsidRDefault="00F60549">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doce de abril de dos mil veintitrés,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tuvo por presentado el </w:t>
      </w:r>
      <w:r>
        <w:rPr>
          <w:rFonts w:ascii="Palatino Linotype" w:eastAsia="Palatino Linotype" w:hAnsi="Palatino Linotype" w:cs="Palatino Linotype"/>
          <w:color w:val="000000"/>
        </w:rPr>
        <w:t xml:space="preserve">día </w:t>
      </w:r>
      <w:r>
        <w:rPr>
          <w:rFonts w:ascii="Palatino Linotype" w:eastAsia="Palatino Linotype" w:hAnsi="Palatino Linotype" w:cs="Palatino Linotype"/>
          <w:b/>
          <w:color w:val="000000"/>
        </w:rPr>
        <w:t>dos de mayo de dos mil veintitrés</w:t>
      </w:r>
      <w:r>
        <w:rPr>
          <w:rFonts w:ascii="Palatino Linotype" w:eastAsia="Palatino Linotype" w:hAnsi="Palatino Linotype" w:cs="Palatino Linotype"/>
          <w:color w:val="000000"/>
        </w:rPr>
        <w:t xml:space="preserve">; esto es, al </w:t>
      </w:r>
      <w:r>
        <w:rPr>
          <w:rFonts w:ascii="Palatino Linotype" w:eastAsia="Palatino Linotype" w:hAnsi="Palatino Linotype" w:cs="Palatino Linotype"/>
          <w:b/>
          <w:color w:val="000000"/>
        </w:rPr>
        <w:t>décimo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tercer día hábil siguiente</w:t>
      </w:r>
      <w:r>
        <w:rPr>
          <w:rFonts w:ascii="Palatino Linotype" w:eastAsia="Palatino Linotype" w:hAnsi="Palatino Linotype" w:cs="Palatino Linotype"/>
          <w:b/>
          <w:strike/>
          <w:color w:val="000000"/>
        </w:rPr>
        <w:t xml:space="preserve"> </w:t>
      </w:r>
      <w:r>
        <w:rPr>
          <w:rFonts w:ascii="Palatino Linotype" w:eastAsia="Palatino Linotype" w:hAnsi="Palatino Linotype" w:cs="Palatino Linotype"/>
        </w:rPr>
        <w:t xml:space="preserve">en que tuvo conocimiento de la respuesta impugnada. </w:t>
      </w:r>
    </w:p>
    <w:p w:rsidR="00622CED" w:rsidRDefault="00F6054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este sentido, al considerar la fecha en que se formuló la solicitud y la fecha en que respondió a 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rsidR="00622CED" w:rsidRDefault="00F6054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22CED" w:rsidRDefault="00F60549">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solicitudes anónimas, con nombre incompleto </w:t>
      </w:r>
      <w:r>
        <w:rPr>
          <w:rFonts w:ascii="Palatino Linotype" w:eastAsia="Palatino Linotype" w:hAnsi="Palatino Linotype" w:cs="Palatino Linotype"/>
          <w:b/>
          <w:i/>
          <w:color w:val="000000"/>
          <w:sz w:val="22"/>
          <w:szCs w:val="22"/>
          <w:u w:val="single"/>
        </w:rPr>
        <w:t>o seudónimo</w:t>
      </w:r>
      <w:r>
        <w:rPr>
          <w:rFonts w:ascii="Palatino Linotype" w:eastAsia="Palatino Linotype" w:hAnsi="Palatino Linotype" w:cs="Palatino Linotype"/>
          <w:i/>
          <w:color w:val="000000"/>
          <w:sz w:val="22"/>
          <w:szCs w:val="22"/>
        </w:rPr>
        <w:t xml:space="preserve"> serán procedentes para su trámite por parte del sujeto obligado ante quien se presente. No podrá requerirse información adicional con motivo del nombre proporcionado por el solicitante."</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22CED" w:rsidRDefault="00F6054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Ahora bien, resulta procedente la interposición del recurso, según lo aducido por la parte recurrente en sus razones o motivos de inconformidad, de acuerdo al artículo 179, fracción I </w:t>
      </w:r>
      <w:r>
        <w:rPr>
          <w:rFonts w:ascii="Palatino Linotype" w:eastAsia="Palatino Linotype" w:hAnsi="Palatino Linotype" w:cs="Palatino Linotype"/>
        </w:rPr>
        <w:t xml:space="preserve">de </w:t>
      </w:r>
      <w:r>
        <w:rPr>
          <w:rFonts w:ascii="Palatino Linotype" w:eastAsia="Palatino Linotype" w:hAnsi="Palatino Linotype" w:cs="Palatino Linotype"/>
          <w:color w:val="000000"/>
        </w:rPr>
        <w:t>la Ley de Transparencia y Acceso a la Información Pública del Estado de México y Municipios; que a la letra dice:</w:t>
      </w:r>
    </w:p>
    <w:p w:rsidR="00622CED" w:rsidRDefault="00F6054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622CED" w:rsidRDefault="00F6054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622CED" w:rsidRDefault="00F6054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 La negativa a la información solicitada</w:t>
      </w:r>
      <w:r>
        <w:rPr>
          <w:rFonts w:ascii="Palatino Linotype" w:eastAsia="Palatino Linotype" w:hAnsi="Palatino Linotype" w:cs="Palatino Linotype"/>
          <w:i/>
          <w:color w:val="000000"/>
          <w:sz w:val="22"/>
          <w:szCs w:val="22"/>
        </w:rPr>
        <w:t>;” (Énfasis añadido)</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Análisis de las causas de sobreseimiento del recurso de revisión. </w:t>
      </w:r>
      <w:r>
        <w:rPr>
          <w:rFonts w:ascii="Palatino Linotype" w:eastAsia="Palatino Linotype" w:hAnsi="Palatino Linotype" w:cs="Palatino Linotype"/>
        </w:rPr>
        <w:t>En primera instancia, debe apuntarse que del análisis al recurso de revisión que ahora se resuelve, se tiene que se actualiza la causal de sobreseimiento del recurso de revisión establecido en la fracción III del artículo 192</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en relación con el diverso 186 fracción I</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rsidR="00622CED" w:rsidRDefault="00F60549">
      <w:pPr>
        <w:tabs>
          <w:tab w:val="left" w:pos="7513"/>
        </w:tabs>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una mejor comprensión del asunto, de las constancias que obran en el expediente electrónico, valoradas anteriormente, destacan por su importancia los antecedentes siguientes:</w:t>
      </w:r>
    </w:p>
    <w:p w:rsidR="00622CED" w:rsidRDefault="00F60549">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la solicitud de información materia del presente recurso,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siguiente:</w:t>
      </w:r>
    </w:p>
    <w:p w:rsidR="00622CED" w:rsidRDefault="00F60549">
      <w:pPr>
        <w:numPr>
          <w:ilvl w:val="0"/>
          <w:numId w:val="1"/>
        </w:numPr>
        <w:pBdr>
          <w:top w:val="nil"/>
          <w:left w:val="nil"/>
          <w:bottom w:val="nil"/>
          <w:right w:val="nil"/>
          <w:between w:val="nil"/>
        </w:pBdr>
        <w:spacing w:before="240" w:after="240" w:line="360" w:lineRule="auto"/>
        <w:ind w:left="567" w:right="-93"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El monto del dinero destinado al apoyo de Alejandra del Moral </w:t>
      </w:r>
    </w:p>
    <w:p w:rsidR="00622CED" w:rsidRDefault="00F60549">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refirió que conforme a los artículos 7 y 8 de los Estatutos del SMSEM,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garantizar a sus agremiados una serie de compromisos.</w:t>
      </w:r>
    </w:p>
    <w:p w:rsidR="00622CED" w:rsidRDefault="00F6054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441641" cy="1523864"/>
            <wp:effectExtent l="9525" t="9525" r="9525" b="9525"/>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8909" t="76183" r="1629"/>
                    <a:stretch>
                      <a:fillRect/>
                    </a:stretch>
                  </pic:blipFill>
                  <pic:spPr>
                    <a:xfrm>
                      <a:off x="0" y="0"/>
                      <a:ext cx="4441641" cy="1523864"/>
                    </a:xfrm>
                    <a:prstGeom prst="rect">
                      <a:avLst/>
                    </a:prstGeom>
                    <a:ln w="9525">
                      <a:solidFill>
                        <a:srgbClr val="000000"/>
                      </a:solidFill>
                      <a:prstDash val="solid"/>
                    </a:ln>
                  </pic:spPr>
                </pic:pic>
              </a:graphicData>
            </a:graphic>
          </wp:inline>
        </w:drawing>
      </w:r>
    </w:p>
    <w:p w:rsidR="00622CED" w:rsidRDefault="00F6054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425342" cy="4451632"/>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425342" cy="4451632"/>
                    </a:xfrm>
                    <a:prstGeom prst="rect">
                      <a:avLst/>
                    </a:prstGeom>
                    <a:ln/>
                  </pic:spPr>
                </pic:pic>
              </a:graphicData>
            </a:graphic>
          </wp:inline>
        </w:drawing>
      </w:r>
    </w:p>
    <w:p w:rsidR="00622CED" w:rsidRDefault="00F6054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01270" cy="5420481"/>
            <wp:effectExtent l="0" t="0" r="0" 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01270" cy="5420481"/>
                    </a:xfrm>
                    <a:prstGeom prst="rect">
                      <a:avLst/>
                    </a:prstGeom>
                    <a:ln/>
                  </pic:spPr>
                </pic:pic>
              </a:graphicData>
            </a:graphic>
          </wp:inline>
        </w:drawing>
      </w:r>
    </w:p>
    <w:p w:rsidR="00622CED" w:rsidRDefault="00F6054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refiere que no se cuenta con partida presupuestal dentro del convenio de sueldo y prestaciones vigente que refiera el otorgamiento de recursos a personas físicas similares o análogas.</w:t>
      </w:r>
    </w:p>
    <w:p w:rsidR="00622CED" w:rsidRDefault="00F60549">
      <w:pPr>
        <w:spacing w:before="240" w:after="240" w:line="360" w:lineRule="auto"/>
        <w:ind w:right="49"/>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rPr>
        <w:lastRenderedPageBreak/>
        <w:t xml:space="preserve">Una vez conocida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la ahora parte Recurrente</w:t>
      </w:r>
      <w:r>
        <w:rPr>
          <w:rFonts w:ascii="Palatino Linotype" w:eastAsia="Palatino Linotype" w:hAnsi="Palatino Linotype" w:cs="Palatino Linotype"/>
        </w:rPr>
        <w:t xml:space="preserve"> interpuso el recurso de revisión que nos ocupa, inconformándose </w:t>
      </w:r>
      <w:r>
        <w:rPr>
          <w:rFonts w:ascii="Palatino Linotype" w:eastAsia="Palatino Linotype" w:hAnsi="Palatino Linotype" w:cs="Palatino Linotype"/>
          <w:color w:val="000000"/>
        </w:rPr>
        <w:t>por lo siguiente:</w:t>
      </w:r>
      <w:r>
        <w:rPr>
          <w:rFonts w:ascii="Palatino Linotype" w:eastAsia="Palatino Linotype" w:hAnsi="Palatino Linotype" w:cs="Palatino Linotype"/>
          <w:b/>
          <w:i/>
          <w:color w:val="000000"/>
          <w:u w:val="single"/>
        </w:rPr>
        <w:t xml:space="preserve"> “A FIN DE AGOTAR EL PRINCIPIO DE DEFINITIVIDAD, EXPONGO: HAY INDICIOS DEL PROCEDER DE ESTE SINDICATO COMO LOS SIGUIENTES: https://diarioportal.com/2023/04/14/promete-del-moral-salvar-un-issemym-arruinado-por-el-pri-y-smsem-compromete-voto-de-maestros/ https://www.jornada.com.mx/notas/2023/04/14/estados/anuncia-del-moral-diez-compromisos-para-el-magisterio-mexiquense/ POR TANTO, ES MENESTER SE REALICE UNA BUSQUEDA EXAHUSTIVA O AGOTE EL EJERCICIO DE LA BUSQUEDA EXAHISTIVA, DEBIDAMENTE ACREDITADA CON LOS OFICIOS CORRESPONDIENTES, QUE DEMUESTREN QUE SE EJERCIO EN TODAS LAS AREAS QUE CONFORMAN AL SUJETO OBLIGADO”</w:t>
      </w:r>
      <w:r>
        <w:rPr>
          <w:rFonts w:ascii="Palatino Linotype" w:eastAsia="Palatino Linotype" w:hAnsi="Palatino Linotype" w:cs="Palatino Linotype"/>
          <w:i/>
          <w:color w:val="000000"/>
        </w:rPr>
        <w:t xml:space="preserve"> (Sic) (Énfasis añadido)</w:t>
      </w:r>
    </w:p>
    <w:p w:rsidR="00622CED" w:rsidRDefault="00F6054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una vez admitido el presente recurso de revisión, dentro del término otorgado para realizar toda clase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a través del SAIMEX, su informe justificado, del cual se desprenden las siguientes consideraciones:</w:t>
      </w:r>
    </w:p>
    <w:p w:rsidR="00622CED" w:rsidRDefault="00F60549">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se procedió a solicitar la información a la Secretaría de Finanzas del SMSEM.</w:t>
      </w:r>
    </w:p>
    <w:p w:rsidR="00622CED" w:rsidRDefault="00F60549">
      <w:pPr>
        <w:numPr>
          <w:ilvl w:val="0"/>
          <w:numId w:val="1"/>
        </w:numPr>
        <w:pBdr>
          <w:top w:val="nil"/>
          <w:left w:val="nil"/>
          <w:bottom w:val="nil"/>
          <w:right w:val="nil"/>
          <w:between w:val="nil"/>
        </w:pBdr>
        <w:spacing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se pronunció la</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color w:val="000000"/>
        </w:rPr>
        <w:t xml:space="preserve">Profesora </w:t>
      </w:r>
      <w:proofErr w:type="spellStart"/>
      <w:r>
        <w:rPr>
          <w:rFonts w:ascii="Palatino Linotype" w:eastAsia="Palatino Linotype" w:hAnsi="Palatino Linotype" w:cs="Palatino Linotype"/>
          <w:color w:val="000000"/>
        </w:rPr>
        <w:t>Cleotilde</w:t>
      </w:r>
      <w:proofErr w:type="spellEnd"/>
      <w:r>
        <w:rPr>
          <w:rFonts w:ascii="Palatino Linotype" w:eastAsia="Palatino Linotype" w:hAnsi="Palatino Linotype" w:cs="Palatino Linotype"/>
          <w:color w:val="000000"/>
        </w:rPr>
        <w:t xml:space="preserve"> Castillo Méndez, secretaria de Finanzas, quien señaló que el resultado fue que </w:t>
      </w:r>
      <w:r>
        <w:rPr>
          <w:rFonts w:ascii="Palatino Linotype" w:eastAsia="Palatino Linotype" w:hAnsi="Palatino Linotype" w:cs="Palatino Linotype"/>
          <w:b/>
          <w:color w:val="000000"/>
          <w:u w:val="single"/>
        </w:rPr>
        <w:t>no se cuenta con algún documento que contenga información referente a “monto de dinero destinado al apoyo de alguna persona física”</w:t>
      </w:r>
      <w:r>
        <w:rPr>
          <w:rFonts w:ascii="Palatino Linotype" w:eastAsia="Palatino Linotype" w:hAnsi="Palatino Linotype" w:cs="Palatino Linotype"/>
          <w:color w:val="000000"/>
        </w:rPr>
        <w:t xml:space="preserve"> como lo </w:t>
      </w:r>
      <w:r>
        <w:rPr>
          <w:rFonts w:ascii="Palatino Linotype" w:eastAsia="Palatino Linotype" w:hAnsi="Palatino Linotype" w:cs="Palatino Linotype"/>
          <w:color w:val="000000"/>
        </w:rPr>
        <w:lastRenderedPageBreak/>
        <w:t>menciona en la solicitud de información de origen mediante folio 00008/SMSEM/IP/2023.</w:t>
      </w:r>
    </w:p>
    <w:p w:rsidR="00622CED" w:rsidRDefault="00F605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iniciar el presente estudio, es necesario señalar que si bien es cierto, </w:t>
      </w:r>
      <w:r>
        <w:rPr>
          <w:rFonts w:ascii="Palatino Linotype" w:eastAsia="Palatino Linotype" w:hAnsi="Palatino Linotype" w:cs="Palatino Linotype"/>
          <w:b/>
          <w:u w:val="single"/>
        </w:rPr>
        <w:t>en respuesta</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turnarla al servidor público habilitado competente, no menos cierto es que en informe justificado obra el pronunciamiento de la persona servidora pública habilitada de la Secretaría de Finanzas de dicho Sindicato, quien de conformidad con los Estatutos del Sindicato de Maestros al Servicio del Estado de México cuenta con las siguientes atribuciones:</w:t>
      </w:r>
    </w:p>
    <w:p w:rsidR="00622CED" w:rsidRDefault="00F60549">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noProof/>
          <w:sz w:val="22"/>
          <w:szCs w:val="22"/>
          <w:lang w:val="es-MX"/>
        </w:rPr>
        <w:drawing>
          <wp:inline distT="0" distB="0" distL="0" distR="0">
            <wp:extent cx="5544324" cy="3877216"/>
            <wp:effectExtent l="0" t="0" r="0" 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544324" cy="3877216"/>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12701</wp:posOffset>
                </wp:positionH>
                <wp:positionV relativeFrom="paragraph">
                  <wp:posOffset>673100</wp:posOffset>
                </wp:positionV>
                <wp:extent cx="5295900" cy="800100"/>
                <wp:effectExtent l="0" t="0" r="0" b="0"/>
                <wp:wrapNone/>
                <wp:docPr id="54" name="Rectángulo 54"/>
                <wp:cNvGraphicFramePr/>
                <a:graphic xmlns:a="http://schemas.openxmlformats.org/drawingml/2006/main">
                  <a:graphicData uri="http://schemas.microsoft.com/office/word/2010/wordprocessingShape">
                    <wps:wsp>
                      <wps:cNvSpPr/>
                      <wps:spPr>
                        <a:xfrm>
                          <a:off x="2712338" y="3394238"/>
                          <a:ext cx="5267325" cy="771525"/>
                        </a:xfrm>
                        <a:prstGeom prst="rect">
                          <a:avLst/>
                        </a:prstGeom>
                        <a:noFill/>
                        <a:ln w="28575" cap="flat" cmpd="sng">
                          <a:solidFill>
                            <a:srgbClr val="C00000"/>
                          </a:solidFill>
                          <a:prstDash val="solid"/>
                          <a:round/>
                          <a:headEnd type="none" w="sm" len="sm"/>
                          <a:tailEnd type="none" w="sm" len="sm"/>
                        </a:ln>
                      </wps:spPr>
                      <wps:txbx>
                        <w:txbxContent>
                          <w:p w:rsidR="00622CED" w:rsidRDefault="00622CE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673100</wp:posOffset>
                </wp:positionV>
                <wp:extent cx="5295900" cy="800100"/>
                <wp:effectExtent b="0" l="0" r="0" t="0"/>
                <wp:wrapNone/>
                <wp:docPr id="54"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5295900" cy="800100"/>
                        </a:xfrm>
                        <a:prstGeom prst="rect"/>
                        <a:ln/>
                      </pic:spPr>
                    </pic:pic>
                  </a:graphicData>
                </a:graphic>
              </wp:anchor>
            </w:drawing>
          </mc:Fallback>
        </mc:AlternateContent>
      </w:r>
    </w:p>
    <w:p w:rsidR="00622CED" w:rsidRDefault="00F60549">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insertado previamente, se advierte que las atribuciones de esta unidad administrativa se encuentran encaminadas a administrar las finanzas del Sindicato, así como efectuar gastos mediante suscritos por el Secretario General del Comité Ejecutivo Estatal.</w:t>
      </w:r>
    </w:p>
    <w:p w:rsidR="00622CED" w:rsidRDefault="00F60549">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Atentos a lo anterior, a continuación se inserta el siguiente esquema para efecto de analizar la información provista durante las constancias que conforman el expediente electrónico:</w:t>
      </w:r>
    </w:p>
    <w:tbl>
      <w:tblPr>
        <w:tblStyle w:val="a3"/>
        <w:tblW w:w="856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2239"/>
        <w:gridCol w:w="3390"/>
        <w:gridCol w:w="1492"/>
      </w:tblGrid>
      <w:tr w:rsidR="00622CED">
        <w:tc>
          <w:tcPr>
            <w:tcW w:w="1447" w:type="dxa"/>
            <w:shd w:val="clear" w:color="auto" w:fill="DDD9C4"/>
          </w:tcPr>
          <w:p w:rsidR="00622CED" w:rsidRDefault="00F60549">
            <w:pPr>
              <w:spacing w:after="240"/>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Requerimiento de información</w:t>
            </w:r>
          </w:p>
        </w:tc>
        <w:tc>
          <w:tcPr>
            <w:tcW w:w="2239" w:type="dxa"/>
            <w:shd w:val="clear" w:color="auto" w:fill="DDD9C4"/>
          </w:tcPr>
          <w:p w:rsidR="00622CED" w:rsidRDefault="00F60549">
            <w:pPr>
              <w:spacing w:after="240"/>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Respuesta</w:t>
            </w:r>
          </w:p>
          <w:p w:rsidR="00622CED" w:rsidRDefault="00F60549">
            <w:pPr>
              <w:spacing w:after="240"/>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Titular de la Unidad de Transparencia</w:t>
            </w:r>
          </w:p>
        </w:tc>
        <w:tc>
          <w:tcPr>
            <w:tcW w:w="3390" w:type="dxa"/>
            <w:shd w:val="clear" w:color="auto" w:fill="DDD9C4"/>
          </w:tcPr>
          <w:p w:rsidR="00622CED" w:rsidRDefault="00F60549">
            <w:pPr>
              <w:spacing w:after="240"/>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Informe Justificado</w:t>
            </w:r>
          </w:p>
          <w:p w:rsidR="00622CED" w:rsidRDefault="00F60549">
            <w:pPr>
              <w:spacing w:after="240"/>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Secretaría de Finanzas del SMSEM</w:t>
            </w:r>
          </w:p>
        </w:tc>
        <w:tc>
          <w:tcPr>
            <w:tcW w:w="1492" w:type="dxa"/>
            <w:shd w:val="clear" w:color="auto" w:fill="DDD9C4"/>
          </w:tcPr>
          <w:p w:rsidR="00622CED" w:rsidRDefault="00F60549">
            <w:pPr>
              <w:spacing w:after="240"/>
              <w:ind w:right="49"/>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6"/>
                <w:szCs w:val="16"/>
              </w:rPr>
              <w:t>¿El pronunciamiento satisface el requerimiento de información?</w:t>
            </w:r>
          </w:p>
        </w:tc>
      </w:tr>
      <w:tr w:rsidR="00622CED">
        <w:tc>
          <w:tcPr>
            <w:tcW w:w="1447" w:type="dxa"/>
          </w:tcPr>
          <w:p w:rsidR="00622CED" w:rsidRDefault="00F60549">
            <w:pPr>
              <w:spacing w:after="240"/>
              <w:ind w:right="49"/>
              <w:jc w:val="both"/>
              <w:rPr>
                <w:rFonts w:ascii="Palatino Linotype" w:eastAsia="Palatino Linotype" w:hAnsi="Palatino Linotype" w:cs="Palatino Linotype"/>
                <w:b/>
              </w:rPr>
            </w:pPr>
            <w:r>
              <w:rPr>
                <w:rFonts w:ascii="Palatino Linotype" w:eastAsia="Palatino Linotype" w:hAnsi="Palatino Linotype" w:cs="Palatino Linotype"/>
                <w:b/>
                <w:sz w:val="18"/>
                <w:szCs w:val="18"/>
              </w:rPr>
              <w:t>1.El monto del dinero destinado al apoyo de Alejandra del Moral</w:t>
            </w:r>
          </w:p>
        </w:tc>
        <w:tc>
          <w:tcPr>
            <w:tcW w:w="2239" w:type="dxa"/>
          </w:tcPr>
          <w:p w:rsidR="00622CED" w:rsidRDefault="00F60549">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Refirió que conforme a los artículos 7 y 8 de los Estatutos del SMSEM, 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deberá garantizar a sus agremiados una serie de compromisos.</w:t>
            </w:r>
          </w:p>
          <w:p w:rsidR="00622CED" w:rsidRDefault="00622CED">
            <w:pPr>
              <w:spacing w:before="240" w:after="240"/>
              <w:jc w:val="both"/>
              <w:rPr>
                <w:rFonts w:ascii="Palatino Linotype" w:eastAsia="Palatino Linotype" w:hAnsi="Palatino Linotype" w:cs="Palatino Linotype"/>
                <w:sz w:val="20"/>
                <w:szCs w:val="20"/>
              </w:rPr>
            </w:pPr>
          </w:p>
          <w:p w:rsidR="00622CED" w:rsidRDefault="00622CED">
            <w:pPr>
              <w:spacing w:before="240" w:after="240" w:line="360" w:lineRule="auto"/>
              <w:ind w:left="567" w:right="902"/>
              <w:jc w:val="both"/>
              <w:rPr>
                <w:rFonts w:ascii="Palatino Linotype" w:eastAsia="Palatino Linotype" w:hAnsi="Palatino Linotype" w:cs="Palatino Linotype"/>
              </w:rPr>
            </w:pPr>
          </w:p>
          <w:p w:rsidR="00622CED" w:rsidRDefault="00622CED">
            <w:pPr>
              <w:spacing w:after="240"/>
              <w:ind w:right="49"/>
              <w:jc w:val="both"/>
              <w:rPr>
                <w:rFonts w:ascii="Palatino Linotype" w:eastAsia="Palatino Linotype" w:hAnsi="Palatino Linotype" w:cs="Palatino Linotype"/>
              </w:rPr>
            </w:pPr>
          </w:p>
        </w:tc>
        <w:tc>
          <w:tcPr>
            <w:tcW w:w="3390" w:type="dxa"/>
          </w:tcPr>
          <w:p w:rsidR="00622CED" w:rsidRDefault="00F60549">
            <w:pPr>
              <w:spacing w:after="240"/>
              <w:ind w:right="49"/>
              <w:jc w:val="both"/>
              <w:rPr>
                <w:rFonts w:ascii="Palatino Linotype" w:eastAsia="Palatino Linotype" w:hAnsi="Palatino Linotype" w:cs="Palatino Linotype"/>
                <w:sz w:val="14"/>
                <w:szCs w:val="14"/>
              </w:rPr>
            </w:pPr>
            <w:r>
              <w:rPr>
                <w:rFonts w:ascii="Palatino Linotype" w:eastAsia="Palatino Linotype" w:hAnsi="Palatino Linotype" w:cs="Palatino Linotype"/>
                <w:b/>
                <w:sz w:val="20"/>
                <w:szCs w:val="20"/>
                <w:u w:val="single"/>
              </w:rPr>
              <w:t>no se cuenta con algún documento que contenga información referente a “monto de dinero destinado al apoyo de alguna persona física”</w:t>
            </w:r>
          </w:p>
          <w:p w:rsidR="00622CED" w:rsidRDefault="00622CED">
            <w:pPr>
              <w:spacing w:after="240"/>
              <w:ind w:right="49"/>
              <w:jc w:val="both"/>
              <w:rPr>
                <w:rFonts w:ascii="Palatino Linotype" w:eastAsia="Palatino Linotype" w:hAnsi="Palatino Linotype" w:cs="Palatino Linotype"/>
                <w:sz w:val="18"/>
                <w:szCs w:val="18"/>
              </w:rPr>
            </w:pPr>
          </w:p>
        </w:tc>
        <w:tc>
          <w:tcPr>
            <w:tcW w:w="1492" w:type="dxa"/>
          </w:tcPr>
          <w:p w:rsidR="00622CED" w:rsidRDefault="00F60549">
            <w:pPr>
              <w:spacing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Sí</w:t>
            </w:r>
          </w:p>
          <w:p w:rsidR="00622CED" w:rsidRDefault="00F60549">
            <w:pPr>
              <w:spacing w:after="240"/>
              <w:ind w:right="49"/>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 xml:space="preserve">Puntualización: </w:t>
            </w:r>
            <w:r>
              <w:rPr>
                <w:rFonts w:ascii="Palatino Linotype" w:eastAsia="Palatino Linotype" w:hAnsi="Palatino Linotype" w:cs="Palatino Linotype"/>
                <w:sz w:val="18"/>
                <w:szCs w:val="18"/>
              </w:rPr>
              <w:t>Si bien desde la respuesta no se había turnado al servidor público habilitado competente, en informe justificado se subsana esta circunstancia turnando el requerimiento a la Secretaría de Finanzas, unidad administrativa competente.</w:t>
            </w:r>
          </w:p>
        </w:tc>
      </w:tr>
    </w:tbl>
    <w:p w:rsidR="00622CED" w:rsidRDefault="00622CED">
      <w:pPr>
        <w:spacing w:after="240" w:line="360" w:lineRule="auto"/>
        <w:ind w:right="49"/>
        <w:jc w:val="both"/>
        <w:rPr>
          <w:rFonts w:ascii="Palatino Linotype" w:eastAsia="Palatino Linotype" w:hAnsi="Palatino Linotype" w:cs="Palatino Linotype"/>
        </w:rPr>
      </w:pPr>
    </w:p>
    <w:p w:rsidR="00622CED" w:rsidRDefault="00F60549">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insertado con antelación, se observa que es hasta la etapa procesal del informe justificado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expresa por conducto de su servidor público habilitado competente, es decir, de la Secretaria de Finanzas, que manifiesta que </w:t>
      </w:r>
      <w:r>
        <w:rPr>
          <w:rFonts w:ascii="Palatino Linotype" w:eastAsia="Palatino Linotype" w:hAnsi="Palatino Linotype" w:cs="Palatino Linotype"/>
          <w:b/>
          <w:u w:val="single"/>
        </w:rPr>
        <w:t>no se cuenta con algún documento que contenga información referente a “monto de dinero destinado al apoyo de alguna persona física”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tanto, </w:t>
      </w:r>
      <w:r>
        <w:rPr>
          <w:rFonts w:ascii="Palatino Linotype" w:eastAsia="Palatino Linotype" w:hAnsi="Palatino Linotype" w:cs="Palatino Linotype"/>
          <w:color w:val="000000"/>
        </w:rPr>
        <w:t xml:space="preserve">se determinó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no posee, administra ni genera la información requerida, consecuentemente, se constituye un hecho negativo; en si se considera el hecho negativo, es obvio que éste no puede fácticamente obrar en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ya que no puede probarse por ser lógica y materialmente imposible.</w:t>
      </w:r>
    </w:p>
    <w:p w:rsidR="00622CED" w:rsidRDefault="00F6054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Asimismo, no se trata de un caso por el cual la negación del hecho implique la afirmación del mismo, simplemente se está ante una notoria y evidente inexistencia fáctica de la información solicitada.</w:t>
      </w:r>
    </w:p>
    <w:p w:rsidR="00622CED" w:rsidRDefault="00F60549">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622CED" w:rsidRDefault="00F60549">
      <w:pPr>
        <w:pBdr>
          <w:top w:val="nil"/>
          <w:left w:val="nil"/>
          <w:bottom w:val="nil"/>
          <w:right w:val="nil"/>
          <w:between w:val="nil"/>
        </w:pBdr>
        <w:spacing w:line="276" w:lineRule="auto"/>
        <w:ind w:left="860" w:right="560"/>
        <w:jc w:val="both"/>
        <w:rPr>
          <w:color w:val="000000"/>
        </w:rPr>
      </w:pPr>
      <w:r>
        <w:rPr>
          <w:rFonts w:ascii="Palatino Linotype" w:eastAsia="Palatino Linotype" w:hAnsi="Palatino Linotype" w:cs="Palatino Linotype"/>
          <w:b/>
          <w:i/>
          <w:color w:val="000000"/>
          <w:sz w:val="22"/>
          <w:szCs w:val="22"/>
        </w:rPr>
        <w:t>“HECHOS NEGATIVOS, NO SON SUSCEPTIBLES DE DEMOSTRACIÓN.</w:t>
      </w:r>
    </w:p>
    <w:p w:rsidR="00622CED" w:rsidRDefault="00F60549">
      <w:pPr>
        <w:pBdr>
          <w:top w:val="nil"/>
          <w:left w:val="nil"/>
          <w:bottom w:val="nil"/>
          <w:right w:val="nil"/>
          <w:between w:val="nil"/>
        </w:pBdr>
        <w:spacing w:line="276" w:lineRule="auto"/>
        <w:ind w:left="860" w:right="560"/>
        <w:jc w:val="both"/>
        <w:rPr>
          <w:color w:val="000000"/>
        </w:rPr>
      </w:pPr>
      <w:r>
        <w:rPr>
          <w:rFonts w:ascii="Palatino Linotype" w:eastAsia="Palatino Linotype" w:hAnsi="Palatino Linotype" w:cs="Palatino Linotype"/>
          <w:i/>
          <w:color w:val="000000"/>
          <w:sz w:val="22"/>
          <w:szCs w:val="22"/>
        </w:rPr>
        <w:t xml:space="preserve">Tratándose de un hecho negativo, el Juez no tiene </w:t>
      </w:r>
      <w:proofErr w:type="spellStart"/>
      <w:r>
        <w:rPr>
          <w:rFonts w:ascii="Palatino Linotype" w:eastAsia="Palatino Linotype" w:hAnsi="Palatino Linotype" w:cs="Palatino Linotype"/>
          <w:i/>
          <w:color w:val="000000"/>
          <w:sz w:val="22"/>
          <w:szCs w:val="22"/>
        </w:rPr>
        <w:t>por que</w:t>
      </w:r>
      <w:proofErr w:type="spellEnd"/>
      <w:r>
        <w:rPr>
          <w:rFonts w:ascii="Palatino Linotype" w:eastAsia="Palatino Linotype" w:hAnsi="Palatino Linotype" w:cs="Palatino Linotype"/>
          <w:i/>
          <w:color w:val="000000"/>
          <w:sz w:val="22"/>
          <w:szCs w:val="22"/>
        </w:rPr>
        <w:t xml:space="preserve"> invocar prueba alguna de la que se desprenda, ya que es bien sabido que esta clase de hechos no son susceptibles de demostración.</w:t>
      </w:r>
    </w:p>
    <w:p w:rsidR="00622CED" w:rsidRDefault="00F60549">
      <w:pPr>
        <w:pBdr>
          <w:top w:val="nil"/>
          <w:left w:val="nil"/>
          <w:bottom w:val="nil"/>
          <w:right w:val="nil"/>
          <w:between w:val="nil"/>
        </w:pBdr>
        <w:spacing w:line="276" w:lineRule="auto"/>
        <w:ind w:left="860" w:right="560"/>
        <w:jc w:val="both"/>
        <w:rPr>
          <w:color w:val="000000"/>
        </w:rPr>
      </w:pPr>
      <w:r>
        <w:rPr>
          <w:rFonts w:ascii="Palatino Linotype" w:eastAsia="Palatino Linotype" w:hAnsi="Palatino Linotype" w:cs="Palatino Linotype"/>
          <w:i/>
          <w:color w:val="000000"/>
          <w:sz w:val="22"/>
          <w:szCs w:val="22"/>
        </w:rPr>
        <w:lastRenderedPageBreak/>
        <w:t>Amparo en revisión 2022/61. José García Florín (Menor). 9 de octubre de 1961. Cinco votos. Ponente: José Rivera Pérez Campos.”</w:t>
      </w:r>
    </w:p>
    <w:p w:rsidR="00622CED" w:rsidRDefault="00F60549">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sólo proporcionará la información que obra en sus archivos, lo que a</w:t>
      </w:r>
      <w:r>
        <w:rPr>
          <w:rFonts w:ascii="Palatino Linotype" w:eastAsia="Palatino Linotype" w:hAnsi="Palatino Linotype" w:cs="Palatino Linotype"/>
          <w:i/>
          <w:color w:val="000000"/>
        </w:rPr>
        <w:t xml:space="preserve"> contrario sensu</w:t>
      </w:r>
      <w:r>
        <w:rPr>
          <w:rFonts w:ascii="Palatino Linotype" w:eastAsia="Palatino Linotype" w:hAnsi="Palatino Linotype" w:cs="Palatino Linotype"/>
          <w:color w:val="000000"/>
        </w:rPr>
        <w:t xml:space="preserve"> significa que no se está obligado a proporcionar lo que no obre en sus archivos; por ende, las razones o motivos de inconformidad al respecto devienen infundados.</w:t>
      </w:r>
    </w:p>
    <w:p w:rsidR="00622CED" w:rsidRDefault="00F60549">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 xml:space="preserve">Aunado a lo anterior, este Pleno considera necesario dejar claro que, al haber existido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622CED" w:rsidRDefault="00F60549">
      <w:pPr>
        <w:pBdr>
          <w:top w:val="nil"/>
          <w:left w:val="nil"/>
          <w:bottom w:val="nil"/>
          <w:right w:val="nil"/>
          <w:between w:val="nil"/>
        </w:pBdr>
        <w:spacing w:line="276" w:lineRule="auto"/>
        <w:ind w:left="567" w:right="90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Pr>
          <w:rFonts w:ascii="Palatino Linotype" w:eastAsia="Palatino Linotype" w:hAnsi="Palatino Linotype" w:cs="Palatino Linotype"/>
          <w:i/>
          <w:color w:val="000000"/>
          <w:sz w:val="22"/>
          <w:szCs w:val="22"/>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22CED" w:rsidRDefault="00622CED">
      <w:pPr>
        <w:spacing w:line="360" w:lineRule="auto"/>
        <w:jc w:val="both"/>
        <w:rPr>
          <w:rFonts w:ascii="Palatino Linotype" w:eastAsia="Palatino Linotype" w:hAnsi="Palatino Linotype" w:cs="Palatino Linotype"/>
        </w:rPr>
      </w:pPr>
    </w:p>
    <w:p w:rsidR="00622CED" w:rsidRDefault="00F60549">
      <w:pPr>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No obstante lo anterior, </w:t>
      </w:r>
      <w:r>
        <w:rPr>
          <w:rFonts w:ascii="Palatino Linotype" w:eastAsia="Palatino Linotype" w:hAnsi="Palatino Linotype" w:cs="Palatino Linotype"/>
        </w:rPr>
        <w:t>resulta importante señalar que el siete de febrero de dos mil catorce, se publicó en el Diario Oficial de la Federación, el Decreto por el que se reforman y adicionan diversas disposiciones de la Constitución Política de los Estados Unidos Mexicanos en materia de transparencia, en el cual se modificó el artículo 6° de nuestro texto constitucional, mismo que quedó de la siguiente manera:</w:t>
      </w:r>
    </w:p>
    <w:p w:rsidR="00622CED" w:rsidRDefault="00F60549">
      <w:pPr>
        <w:spacing w:before="120" w:after="120"/>
        <w:ind w:left="567"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6o. </w:t>
      </w:r>
      <w:r>
        <w:rPr>
          <w:rFonts w:ascii="Palatino Linotype" w:eastAsia="Palatino Linotype" w:hAnsi="Palatino Linotype" w:cs="Palatino Linotype"/>
          <w:i/>
          <w:sz w:val="22"/>
          <w:szCs w:val="22"/>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22CED" w:rsidRDefault="00F60549">
      <w:pPr>
        <w:spacing w:before="120" w:after="120"/>
        <w:ind w:left="567"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22CED" w:rsidRDefault="00F60549">
      <w:pPr>
        <w:spacing w:before="120" w:after="120"/>
        <w:ind w:left="567"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rsidR="00622CED" w:rsidRDefault="00F60549">
      <w:pPr>
        <w:spacing w:before="120" w:after="120"/>
        <w:ind w:left="567"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 xml:space="preserve">Para el ejercicio del derecho de acceso a la información, la Federación y las entidades federativas, en el ámbito de sus respectivas competencias, se regirán por los siguientes principios y bases: </w:t>
      </w:r>
    </w:p>
    <w:p w:rsidR="00622CED" w:rsidRDefault="00F60549">
      <w:pPr>
        <w:spacing w:before="120" w:after="120"/>
        <w:ind w:left="567"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Toda la información en posesión de cualquier autoridad, entidad, órgano y organismo de los Poderes Ejecutivo, Legislativo y Judicial, órganos autónomos, partidos políticos, fideicomisos y fondos públicos, </w:t>
      </w:r>
      <w:r>
        <w:rPr>
          <w:rFonts w:ascii="Palatino Linotype" w:eastAsia="Palatino Linotype" w:hAnsi="Palatino Linotype" w:cs="Palatino Linotype"/>
          <w:b/>
          <w:i/>
          <w:sz w:val="22"/>
          <w:szCs w:val="22"/>
        </w:rPr>
        <w:t xml:space="preserve">así como de cualquier persona física, moral o </w:t>
      </w:r>
      <w:r>
        <w:rPr>
          <w:rFonts w:ascii="Palatino Linotype" w:eastAsia="Palatino Linotype" w:hAnsi="Palatino Linotype" w:cs="Palatino Linotype"/>
          <w:b/>
          <w:i/>
          <w:sz w:val="22"/>
          <w:szCs w:val="22"/>
          <w:u w:val="single"/>
        </w:rPr>
        <w:t>sindicato</w:t>
      </w:r>
      <w:r>
        <w:rPr>
          <w:rFonts w:ascii="Palatino Linotype" w:eastAsia="Palatino Linotype" w:hAnsi="Palatino Linotype" w:cs="Palatino Linotype"/>
          <w:b/>
          <w:i/>
          <w:sz w:val="22"/>
          <w:szCs w:val="22"/>
        </w:rPr>
        <w:t xml:space="preserve"> que reciba y ejerza recursos públicos o realice actos de autoridad</w:t>
      </w:r>
      <w:r>
        <w:rPr>
          <w:rFonts w:ascii="Palatino Linotype" w:eastAsia="Palatino Linotype" w:hAnsi="Palatino Linotype" w:cs="Palatino Linotype"/>
          <w:i/>
          <w:sz w:val="22"/>
          <w:szCs w:val="22"/>
        </w:rPr>
        <w:t xml:space="preserve">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622CED" w:rsidRDefault="00F60549">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lastRenderedPageBreak/>
        <w:t xml:space="preserve">Como se advierte, un aspecto relevante de la referida reforma constitucional, consistió en la ampliación del catálogo de los sujetos obligados, contemplando en primer lugar a cualquier autoridad  de  los  tres  poderes  de  la  Unión  y  de  los  organismos  públicos autónomos, seguidos de los partidos políticos, los fideicomisos y los fondos públicos así como cualquier persona, física o moral y </w:t>
      </w:r>
      <w:r>
        <w:rPr>
          <w:rFonts w:ascii="Palatino Linotype" w:eastAsia="Palatino Linotype" w:hAnsi="Palatino Linotype" w:cs="Palatino Linotype"/>
          <w:b/>
          <w:u w:val="single"/>
        </w:rPr>
        <w:t>sindicatos, que reciban y ejerzan recursos públicos.</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la Iniciativa con Proyecto de Decreto por el que se expide la Ley General de Transparencia y Acceso a la Información Pública, en la Exposición de Motivos, se precisó la ampliación de sujetos obligados a las Leyes de Transparencia, entre los que se encuentran los </w:t>
      </w:r>
      <w:r>
        <w:rPr>
          <w:rFonts w:ascii="Palatino Linotype" w:eastAsia="Palatino Linotype" w:hAnsi="Palatino Linotype" w:cs="Palatino Linotype"/>
          <w:b/>
        </w:rPr>
        <w:t xml:space="preserve">sindicatos, </w:t>
      </w:r>
      <w:r>
        <w:rPr>
          <w:rFonts w:ascii="Palatino Linotype" w:eastAsia="Palatino Linotype" w:hAnsi="Palatino Linotype" w:cs="Palatino Linotype"/>
        </w:rPr>
        <w:t xml:space="preserve"> como se desprende del artículo 23, mismo que dispone que son sujetos obligados a transparentar y permitir el acceso a su información, así como a proteger los datos personales que obren en su poder, además de las instituciones públicas, cualquier persona física, moral o sindicato que reciba y ejerza recursos públicos o realice actos de autoridad en los ámbitos federal, estatal y municipal.</w:t>
      </w: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congruencia con la Ley General antes citada, el artículo 3°, fracción XLI, de la Ley de Transparencia y Acceso a la Información Pública del Estado de México y Municipios, establece lo siguiente:</w:t>
      </w:r>
    </w:p>
    <w:p w:rsidR="00622CED" w:rsidRDefault="00F60549">
      <w:pPr>
        <w:ind w:left="851"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622CED" w:rsidRDefault="00F60549">
      <w:pPr>
        <w:ind w:left="1134"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22CED" w:rsidRDefault="00F60549">
      <w:pPr>
        <w:ind w:left="1134" w:right="118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Sujetos obligados:</w:t>
      </w:r>
      <w:r>
        <w:rPr>
          <w:rFonts w:ascii="Palatino Linotype" w:eastAsia="Palatino Linotype" w:hAnsi="Palatino Linotype" w:cs="Palatino Linotype"/>
          <w:i/>
          <w:sz w:val="22"/>
          <w:szCs w:val="22"/>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Pr>
          <w:rFonts w:ascii="Palatino Linotype" w:eastAsia="Palatino Linotype" w:hAnsi="Palatino Linotype" w:cs="Palatino Linotype"/>
          <w:b/>
          <w:i/>
          <w:sz w:val="22"/>
          <w:szCs w:val="22"/>
        </w:rPr>
        <w:t xml:space="preserve">cualquier </w:t>
      </w:r>
      <w:r>
        <w:rPr>
          <w:rFonts w:ascii="Palatino Linotype" w:eastAsia="Palatino Linotype" w:hAnsi="Palatino Linotype" w:cs="Palatino Linotype"/>
          <w:b/>
          <w:i/>
          <w:sz w:val="22"/>
          <w:szCs w:val="22"/>
        </w:rPr>
        <w:lastRenderedPageBreak/>
        <w:t xml:space="preserve">persona física, jurídico colectiva o </w:t>
      </w:r>
      <w:r>
        <w:rPr>
          <w:rFonts w:ascii="Palatino Linotype" w:eastAsia="Palatino Linotype" w:hAnsi="Palatino Linotype" w:cs="Palatino Linotype"/>
          <w:b/>
          <w:i/>
          <w:sz w:val="22"/>
          <w:szCs w:val="22"/>
          <w:u w:val="single"/>
        </w:rPr>
        <w:t>sindicato que reciba y ejerza recursos públicos o realice actos de autoridad</w:t>
      </w:r>
      <w:r>
        <w:rPr>
          <w:rFonts w:ascii="Palatino Linotype" w:eastAsia="Palatino Linotype" w:hAnsi="Palatino Linotype" w:cs="Palatino Linotype"/>
          <w:b/>
          <w:i/>
          <w:sz w:val="22"/>
          <w:szCs w:val="22"/>
        </w:rPr>
        <w:t xml:space="preserve"> en el ámbito estatal y municipal, que deba cumplir con las obligaciones previstas en la presente Ley; “</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disposiciones previamente referidas, se desprende que los Sujetos Obligados de las Leyes de Transparencia, son instituciones públicas, partidos políticos, fideicomisos y fondos públicos, o bien cualquier persona física, moral o </w:t>
      </w:r>
      <w:r>
        <w:rPr>
          <w:rFonts w:ascii="Palatino Linotype" w:eastAsia="Palatino Linotype" w:hAnsi="Palatino Linotype" w:cs="Palatino Linotype"/>
          <w:b/>
          <w:u w:val="single"/>
        </w:rPr>
        <w:t>sindicato</w:t>
      </w:r>
      <w:r>
        <w:rPr>
          <w:rFonts w:ascii="Palatino Linotype" w:eastAsia="Palatino Linotype" w:hAnsi="Palatino Linotype" w:cs="Palatino Linotype"/>
          <w:b/>
        </w:rPr>
        <w:t xml:space="preserve"> </w:t>
      </w:r>
      <w:r>
        <w:rPr>
          <w:rFonts w:ascii="Palatino Linotype" w:eastAsia="Palatino Linotype" w:hAnsi="Palatino Linotype" w:cs="Palatino Linotype"/>
        </w:rPr>
        <w:t>que reciba y ejerza recursos públicos o realice actos de autoridad en los ámbitos federal, estatal y municipal.</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los sindicatos, </w:t>
      </w:r>
      <w:r>
        <w:rPr>
          <w:rFonts w:ascii="Palatino Linotype" w:eastAsia="Palatino Linotype" w:hAnsi="Palatino Linotype" w:cs="Palatino Linotype"/>
          <w:i/>
        </w:rPr>
        <w:t>per se</w:t>
      </w:r>
      <w:r>
        <w:rPr>
          <w:rFonts w:ascii="Palatino Linotype" w:eastAsia="Palatino Linotype" w:hAnsi="Palatino Linotype" w:cs="Palatino Linotype"/>
        </w:rPr>
        <w:t xml:space="preserve">, no desempeñan actividades en alguno de los tres órdenes de gobierno, por lo que, </w:t>
      </w:r>
      <w:r>
        <w:rPr>
          <w:rFonts w:ascii="Palatino Linotype" w:eastAsia="Palatino Linotype" w:hAnsi="Palatino Linotype" w:cs="Palatino Linotype"/>
          <w:b/>
        </w:rPr>
        <w:t>no pueden, por definición realizar actos que puedan reputarse como públicos y oficiales</w:t>
      </w:r>
      <w:r>
        <w:rPr>
          <w:rFonts w:ascii="Palatino Linotype" w:eastAsia="Palatino Linotype" w:hAnsi="Palatino Linotype" w:cs="Palatino Linotype"/>
        </w:rPr>
        <w:t xml:space="preserve">, al guardar la característica de ser privados; sin embargo, en el caso de que dichos actos hayan sido realizados o bien, la actividad haya sido cubierta </w:t>
      </w:r>
      <w:r>
        <w:rPr>
          <w:rFonts w:ascii="Palatino Linotype" w:eastAsia="Palatino Linotype" w:hAnsi="Palatino Linotype" w:cs="Palatino Linotype"/>
          <w:b/>
        </w:rPr>
        <w:t xml:space="preserve">con recursos públicos, generan una responsabilidad de rendición de cuentas y por lo tanto, el acto debe ser considerado de escrutinio público, al involucrar ejercicio de recursos públicos, situación que sí es de interés público y general, </w:t>
      </w:r>
      <w:r>
        <w:rPr>
          <w:rFonts w:ascii="Palatino Linotype" w:eastAsia="Palatino Linotype" w:hAnsi="Palatino Linotype" w:cs="Palatino Linotype"/>
        </w:rPr>
        <w:t>con   las excepciones que la propia Constitución y las leyes de la materia señalen.</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estima así con base en los artículos 4, párrafo segundo de la Ley General de Transparencia y Acceso a la Información Pública y Ley de Transparencia y Acceso a la Información Pública del Estado de México y Municipios, toda la información generada, obtenida, adquirida, transformada, administrada o en posesión de los Sujetos Obligados es pública y accesible de manera permanente a </w:t>
      </w:r>
      <w:r>
        <w:rPr>
          <w:rFonts w:ascii="Palatino Linotype" w:eastAsia="Palatino Linotype" w:hAnsi="Palatino Linotype" w:cs="Palatino Linotype"/>
        </w:rPr>
        <w:lastRenderedPageBreak/>
        <w:t>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sentido, Islas, Jorge (2016), en la “Ley General de Transparencia y Acceso a la Información Pública Comentada” (p. 107 y 108), refirió que la nueva ley estableció dos tipos de entes sujetos a las Leyes de Transparencia, en los cuales impera el espíritu de que por el hecho de recibir o ejercer recursos públicos tienen la obligación de hacer dicho ejercicio una práctica transparente, cada uno de estos con ciertas particularidades, a saber:</w:t>
      </w:r>
    </w:p>
    <w:p w:rsidR="00622CED" w:rsidRDefault="00F60549">
      <w:pPr>
        <w:numPr>
          <w:ilvl w:val="0"/>
          <w:numId w:val="2"/>
        </w:numPr>
        <w:spacing w:line="360" w:lineRule="auto"/>
        <w:ind w:left="284"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Los </w:t>
      </w:r>
      <w:r>
        <w:rPr>
          <w:rFonts w:ascii="Palatino Linotype" w:eastAsia="Palatino Linotype" w:hAnsi="Palatino Linotype" w:cs="Palatino Linotype"/>
          <w:b/>
        </w:rPr>
        <w:t xml:space="preserve">Sujetos Obligados: </w:t>
      </w:r>
      <w:r>
        <w:rPr>
          <w:rFonts w:ascii="Palatino Linotype" w:eastAsia="Palatino Linotype" w:hAnsi="Palatino Linotype" w:cs="Palatino Linotype"/>
        </w:rPr>
        <w:t>Son los que tienen de manera imperativa el ejercicio de la transparencia, como las instituciones públicas de los tres niveles de gobierno, Federal, estatal y municipal; por lo que tienen que generar toda una estructura de las Unidades de Transparencia establecidas en la normatividad aplicable.</w:t>
      </w:r>
    </w:p>
    <w:p w:rsidR="00622CED" w:rsidRDefault="00F60549">
      <w:pPr>
        <w:numPr>
          <w:ilvl w:val="0"/>
          <w:numId w:val="2"/>
        </w:numPr>
        <w:spacing w:line="360" w:lineRule="auto"/>
        <w:ind w:left="284" w:firstLine="0"/>
        <w:jc w:val="both"/>
        <w:rPr>
          <w:rFonts w:ascii="Palatino Linotype" w:eastAsia="Palatino Linotype" w:hAnsi="Palatino Linotype" w:cs="Palatino Linotype"/>
          <w:b/>
        </w:rPr>
      </w:pPr>
      <w:r>
        <w:rPr>
          <w:rFonts w:ascii="Palatino Linotype" w:eastAsia="Palatino Linotype" w:hAnsi="Palatino Linotype" w:cs="Palatino Linotype"/>
        </w:rPr>
        <w:t>Los</w:t>
      </w:r>
      <w:r>
        <w:rPr>
          <w:rFonts w:ascii="Palatino Linotype" w:eastAsia="Palatino Linotype" w:hAnsi="Palatino Linotype" w:cs="Palatino Linotype"/>
          <w:b/>
        </w:rPr>
        <w:t xml:space="preserve"> Sujetos Regulados: </w:t>
      </w:r>
      <w:r>
        <w:rPr>
          <w:rFonts w:ascii="Palatino Linotype" w:eastAsia="Palatino Linotype" w:hAnsi="Palatino Linotype" w:cs="Palatino Linotype"/>
        </w:rPr>
        <w:t xml:space="preserve">Son aquellos que </w:t>
      </w:r>
      <w:r>
        <w:rPr>
          <w:rFonts w:ascii="Palatino Linotype" w:eastAsia="Palatino Linotype" w:hAnsi="Palatino Linotype" w:cs="Palatino Linotype"/>
          <w:b/>
        </w:rPr>
        <w:t>deben permitir el acceso</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a parte de su información</w:t>
      </w:r>
      <w:r>
        <w:rPr>
          <w:rFonts w:ascii="Palatino Linotype" w:eastAsia="Palatino Linotype" w:hAnsi="Palatino Linotype" w:cs="Palatino Linotype"/>
        </w:rPr>
        <w:t xml:space="preserve">; esto es, que su obligación implica permitir el acceso a la documentación que generen y </w:t>
      </w:r>
      <w:r>
        <w:rPr>
          <w:rFonts w:ascii="Palatino Linotype" w:eastAsia="Palatino Linotype" w:hAnsi="Palatino Linotype" w:cs="Palatino Linotype"/>
          <w:b/>
        </w:rPr>
        <w:t>que tenga el carácter de ser pública</w:t>
      </w:r>
      <w:r>
        <w:rPr>
          <w:rFonts w:ascii="Palatino Linotype" w:eastAsia="Palatino Linotype" w:hAnsi="Palatino Linotype" w:cs="Palatino Linotype"/>
        </w:rPr>
        <w:t xml:space="preserve">, entre los que </w:t>
      </w:r>
      <w:r>
        <w:rPr>
          <w:rFonts w:ascii="Palatino Linotype" w:eastAsia="Palatino Linotype" w:hAnsi="Palatino Linotype" w:cs="Palatino Linotype"/>
        </w:rPr>
        <w:lastRenderedPageBreak/>
        <w:t xml:space="preserve">destacan los </w:t>
      </w:r>
      <w:r>
        <w:rPr>
          <w:rFonts w:ascii="Palatino Linotype" w:eastAsia="Palatino Linotype" w:hAnsi="Palatino Linotype" w:cs="Palatino Linotype"/>
          <w:b/>
        </w:rPr>
        <w:t>sindicatos,</w:t>
      </w:r>
      <w:r>
        <w:rPr>
          <w:rFonts w:ascii="Palatino Linotype" w:eastAsia="Palatino Linotype" w:hAnsi="Palatino Linotype" w:cs="Palatino Linotype"/>
        </w:rPr>
        <w:t xml:space="preserve"> los partidos políticos e incluso las personas físicas y jurídico colectivas.</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colige que los Sindicatos, al ser </w:t>
      </w:r>
      <w:r>
        <w:rPr>
          <w:rFonts w:ascii="Palatino Linotype" w:eastAsia="Palatino Linotype" w:hAnsi="Palatino Linotype" w:cs="Palatino Linotype"/>
          <w:b/>
        </w:rPr>
        <w:t>Sujetos Regulados</w:t>
      </w:r>
      <w:r>
        <w:rPr>
          <w:rFonts w:ascii="Palatino Linotype" w:eastAsia="Palatino Linotype" w:hAnsi="Palatino Linotype" w:cs="Palatino Linotype"/>
        </w:rPr>
        <w:t xml:space="preserve"> de las Leyes de Transparencia, son Sujetos Obligados </w:t>
      </w:r>
      <w:r>
        <w:rPr>
          <w:rFonts w:ascii="Palatino Linotype" w:eastAsia="Palatino Linotype" w:hAnsi="Palatino Linotype" w:cs="Palatino Linotype"/>
          <w:b/>
          <w:u w:val="single"/>
        </w:rPr>
        <w:t>especiales</w:t>
      </w:r>
      <w:r>
        <w:rPr>
          <w:rFonts w:ascii="Palatino Linotype" w:eastAsia="Palatino Linotype" w:hAnsi="Palatino Linotype" w:cs="Palatino Linotype"/>
        </w:rPr>
        <w:t xml:space="preserve"> que únicamente se encuentran constreñidos a </w:t>
      </w:r>
      <w:r>
        <w:rPr>
          <w:rFonts w:ascii="Palatino Linotype" w:eastAsia="Palatino Linotype" w:hAnsi="Palatino Linotype" w:cs="Palatino Linotype"/>
          <w:b/>
        </w:rPr>
        <w:t>transparentar la información que tenga el carácter de pública</w:t>
      </w:r>
      <w:r>
        <w:rPr>
          <w:rFonts w:ascii="Palatino Linotype" w:eastAsia="Palatino Linotype" w:hAnsi="Palatino Linotype" w:cs="Palatino Linotype"/>
        </w:rPr>
        <w:t xml:space="preserve">; es decir, que sea de escrutinio público, como puede ser, aquella que </w:t>
      </w:r>
      <w:r>
        <w:rPr>
          <w:rFonts w:ascii="Palatino Linotype" w:eastAsia="Palatino Linotype" w:hAnsi="Palatino Linotype" w:cs="Palatino Linotype"/>
          <w:b/>
        </w:rPr>
        <w:t>dé cuenta del ejercicio de recursos públicos o la realización de actos de autoridad.</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se puede concluir que los documentos que den cuenta de la recepción y ejercicio de recursos públicos o bien de la realización de actos de autoridad, en posesión de los sindicatos, es información pública; en razón de ello, la información que tenga la Asociación de Servidores Públicos Académicos y Administrativos de la Universidad Tecnológica del Sur del Estado de México, que contengan esta característica es materia de las Leyes de Transparencia.</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como se  ha  abordado,  la información respecto a los sindicatos a la cual se puede acceder, es la relativa a la rendición de cuentas respecto del ejercicio de recursos públicos, así como la derivada de actos de autoridad, por  lo  que  la información que escape de ese ámbito podría incidir negativamente en otros derechos  fundamentales  como  es  el  de  libertad  sindical  consagrada  en  la Constitución mexicana en el artículo 123 apartado A, fracción XVI y apartado B, fracción X; reconocida igualmente en convenios de derechos humanos y la Convención  Americana  de  Derechos  Humanos  -artículo  16  sobre  la  libertad de  asociación-  y la  Declaración  Universal  de  los  Derechos Humanos  -artículo 23  </w:t>
      </w:r>
      <w:r>
        <w:rPr>
          <w:rFonts w:ascii="Palatino Linotype" w:eastAsia="Palatino Linotype" w:hAnsi="Palatino Linotype" w:cs="Palatino Linotype"/>
        </w:rPr>
        <w:lastRenderedPageBreak/>
        <w:t>sobre  el  derecho  a  la  sindicalización-,  a  lo  que  agregamos  que  México tiene ratificado el Convenio sobre la Libertad Sindical y la Protección del Derecho de Sindicación, Convenio 87 de la Organización Internacional del Trabajo.</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aquella información que obre en poder de la Organización Sindical, que provenga de recursos privados y se refiera a la vida interna de dicho Sindicato, no está sujeta al escrutinio público en términos de la Ley de Transparencia, al no existir interés público de acceder a la misma, ya que no tiene una afectación fuera de sus agremiados.</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encuentra sustento en el Convenio 87, de la Organización Internacional del Trabajo, que en sus artículos 3° y 8°, establece lo siguiente:</w:t>
      </w:r>
    </w:p>
    <w:p w:rsidR="00622CED" w:rsidRDefault="00F60549">
      <w:pPr>
        <w:spacing w:before="120" w:after="120"/>
        <w:ind w:left="851" w:right="118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w:t>
      </w:r>
    </w:p>
    <w:p w:rsidR="00622CED" w:rsidRDefault="00F60549">
      <w:pPr>
        <w:spacing w:before="120" w:after="120"/>
        <w:ind w:left="851"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rsidR="00622CED" w:rsidRDefault="00F60549">
      <w:pPr>
        <w:spacing w:before="120" w:after="120"/>
        <w:ind w:left="851"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Las autoridades públicas deberán abstenerse de toda intervención que tienda a limitar este derecho o a entorpecer su ejercicio legal.</w:t>
      </w:r>
    </w:p>
    <w:p w:rsidR="00622CED" w:rsidRDefault="00F60549">
      <w:pPr>
        <w:spacing w:before="120" w:after="120"/>
        <w:ind w:left="851"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22CED" w:rsidRDefault="00F60549">
      <w:pPr>
        <w:spacing w:before="120" w:after="120"/>
        <w:ind w:left="851" w:right="118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8</w:t>
      </w:r>
    </w:p>
    <w:p w:rsidR="00622CED" w:rsidRDefault="00F60549">
      <w:pPr>
        <w:spacing w:before="120" w:after="120"/>
        <w:ind w:left="851"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Al ejercer los derechos que se le reconocer en el presente Convenio, los trabajadores, los empleadores y sus organizaciones respectivas están obligados, lo mismo que las demás personas o las colectividades organizadas, a respetar la legalidad.</w:t>
      </w:r>
    </w:p>
    <w:p w:rsidR="00622CED" w:rsidRDefault="00F60549">
      <w:pPr>
        <w:spacing w:before="120" w:after="120"/>
        <w:ind w:left="851" w:right="118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La legislación nacional no menoscabará, ni será aplicada de suerte que menoscabe las garantías previstas por el presente Convenio.</w:t>
      </w:r>
      <w:r>
        <w:rPr>
          <w:rFonts w:ascii="Palatino Linotype" w:eastAsia="Palatino Linotype" w:hAnsi="Palatino Linotype" w:cs="Palatino Linotype"/>
          <w:i/>
        </w:rPr>
        <w:t>”</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 </w:t>
      </w:r>
    </w:p>
    <w:p w:rsidR="00622CED" w:rsidRDefault="00F60549">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En ese orden de ideas, del análisis de la información solicitada en este apartado, se logra vislumbrar que </w:t>
      </w:r>
      <w:r>
        <w:rPr>
          <w:rFonts w:ascii="Palatino Linotype" w:eastAsia="Palatino Linotype" w:hAnsi="Palatino Linotype" w:cs="Palatino Linotype"/>
          <w:b/>
        </w:rPr>
        <w:t xml:space="preserve">no se refiere a la obtención o ejercicio de recursos públicos, </w:t>
      </w:r>
      <w:r>
        <w:rPr>
          <w:rFonts w:ascii="Palatino Linotype" w:eastAsia="Palatino Linotype" w:hAnsi="Palatino Linotype" w:cs="Palatino Linotype"/>
        </w:rPr>
        <w:t>así como tampoco</w:t>
      </w:r>
      <w:r>
        <w:rPr>
          <w:rFonts w:ascii="Palatino Linotype" w:eastAsia="Palatino Linotype" w:hAnsi="Palatino Linotype" w:cs="Palatino Linotype"/>
          <w:b/>
        </w:rPr>
        <w:t xml:space="preserve"> corresponde con actos de autoridad </w:t>
      </w:r>
      <w:r>
        <w:rPr>
          <w:rFonts w:ascii="Palatino Linotype" w:eastAsia="Palatino Linotype" w:hAnsi="Palatino Linotype" w:cs="Palatino Linotype"/>
        </w:rPr>
        <w:t xml:space="preserve">sino que corresponde con actividades relacionadas con la vida interna del sindicato, su forma de organización, funcionamiento y la toma de decisiones, </w:t>
      </w:r>
      <w:r>
        <w:rPr>
          <w:rFonts w:ascii="Palatino Linotype" w:eastAsia="Palatino Linotype" w:hAnsi="Palatino Linotype" w:cs="Palatino Linotype"/>
          <w:u w:val="single"/>
        </w:rPr>
        <w:t>derechos que tiene el propio sindicato, como persona jurídico colectiva del derecho social,</w:t>
      </w:r>
      <w:r>
        <w:rPr>
          <w:rFonts w:ascii="Palatino Linotype" w:eastAsia="Palatino Linotype" w:hAnsi="Palatino Linotype" w:cs="Palatino Linotype"/>
        </w:rPr>
        <w:t xml:space="preserve"> por lo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al tratarse de información que no es de escrutinio público sino que corresponde con la  transparencia interna del Sindicato, que únicamente le atañe al gremio y a sus afiliados, </w:t>
      </w:r>
      <w:r>
        <w:rPr>
          <w:rFonts w:ascii="Palatino Linotype" w:eastAsia="Palatino Linotype" w:hAnsi="Palatino Linotype" w:cs="Palatino Linotype"/>
          <w:b/>
          <w:u w:val="single"/>
        </w:rPr>
        <w:t>no es susceptible de acceso vía el ejercicio del derecho de acceso a la información pública, de manera que, en estricto sentido, el Sindicato de Maestros al Servicio del Estado de México no se encuentra obligada a atender esta parte la solicitud por dicha en la vía.</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no es procedente la entrega de documento alguno, toda vez que como se refirió en lo concerniente a este apartado, la información requerida no abona a la transparencia y, por el contrario, se tiene que esta información se trata de recursos erogados por los trabajadores afiliados en ejercicio de su derecho de libertad sindical.</w:t>
      </w:r>
    </w:p>
    <w:p w:rsidR="00622CED" w:rsidRDefault="00F60549">
      <w:pPr>
        <w:spacing w:line="360" w:lineRule="auto"/>
        <w:jc w:val="both"/>
        <w:rPr>
          <w:rFonts w:ascii="Palatino Linotype" w:eastAsia="Palatino Linotype" w:hAnsi="Palatino Linotype" w:cs="Palatino Linotype"/>
        </w:rPr>
      </w:pPr>
      <w:bookmarkStart w:id="5" w:name="_heading=h.3znysh7" w:colFirst="0" w:colLast="0"/>
      <w:bookmarkEnd w:id="5"/>
      <w:r>
        <w:rPr>
          <w:rFonts w:ascii="Palatino Linotype" w:eastAsia="Palatino Linotype" w:hAnsi="Palatino Linotype" w:cs="Palatino Linotype"/>
        </w:rPr>
        <w:lastRenderedPageBreak/>
        <w:t xml:space="preserve">Es por todo lo anteriormente expuesto que este Organismo Garante determina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amplió los argumentos de su respuesta, ya que, mediante el informe justificado, se tiene que amplió la información proporcionada referente al monto de apoyo a favor de una persona física, solicitado por </w:t>
      </w:r>
      <w:r>
        <w:rPr>
          <w:rFonts w:ascii="Palatino Linotype" w:eastAsia="Palatino Linotype" w:hAnsi="Palatino Linotype" w:cs="Palatino Linotype"/>
          <w:b/>
        </w:rPr>
        <w:t>la parte Recurrente</w:t>
      </w:r>
      <w:r>
        <w:rPr>
          <w:rFonts w:ascii="Palatino Linotype" w:eastAsia="Palatino Linotype" w:hAnsi="Palatino Linotype" w:cs="Palatino Linotype"/>
        </w:rPr>
        <w:t>.</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622CED" w:rsidRDefault="00622CED">
      <w:pPr>
        <w:spacing w:line="360" w:lineRule="auto"/>
        <w:jc w:val="both"/>
        <w:rPr>
          <w:rFonts w:ascii="Palatino Linotype" w:eastAsia="Palatino Linotype" w:hAnsi="Palatino Linotype" w:cs="Palatino Linotype"/>
          <w:color w:val="FF0000"/>
        </w:rPr>
      </w:pPr>
    </w:p>
    <w:p w:rsidR="00622CED" w:rsidRDefault="00F6054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622CED" w:rsidRDefault="00F60549">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622CED" w:rsidRDefault="00F60549">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622CED" w:rsidRDefault="00622CED">
      <w:pPr>
        <w:spacing w:line="360" w:lineRule="auto"/>
        <w:jc w:val="both"/>
        <w:rPr>
          <w:rFonts w:ascii="Palatino Linotype" w:eastAsia="Palatino Linotype" w:hAnsi="Palatino Linotype" w:cs="Palatino Linotype"/>
          <w:b/>
          <w:i/>
        </w:rPr>
      </w:pPr>
    </w:p>
    <w:p w:rsidR="00622CED" w:rsidRDefault="00F605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w:t>
      </w:r>
      <w:r>
        <w:rPr>
          <w:rFonts w:ascii="Palatino Linotype" w:eastAsia="Palatino Linotype" w:hAnsi="Palatino Linotype" w:cs="Palatino Linotype"/>
        </w:rPr>
        <w:lastRenderedPageBreak/>
        <w:t xml:space="preserve">diversa de manera posterior y en esta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622CED" w:rsidRDefault="00F60549">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622CED" w:rsidRDefault="00622CED">
      <w:pPr>
        <w:spacing w:line="360" w:lineRule="auto"/>
        <w:jc w:val="both"/>
        <w:rPr>
          <w:rFonts w:ascii="Palatino Linotype" w:eastAsia="Palatino Linotype" w:hAnsi="Palatino Linotype" w:cs="Palatino Linotype"/>
        </w:rPr>
      </w:pPr>
    </w:p>
    <w:p w:rsidR="00622CED" w:rsidRDefault="00F60549">
      <w:pPr>
        <w:spacing w:line="360" w:lineRule="auto"/>
        <w:jc w:val="both"/>
        <w:rPr>
          <w:rFonts w:ascii="Palatino Linotype" w:eastAsia="Palatino Linotype" w:hAnsi="Palatino Linotype" w:cs="Palatino Linotype"/>
          <w:b/>
        </w:rPr>
      </w:pPr>
      <w:bookmarkStart w:id="6" w:name="_heading=h.1fob9te" w:colFirst="0" w:colLast="0"/>
      <w:bookmarkEnd w:id="6"/>
      <w:r>
        <w:rPr>
          <w:rFonts w:ascii="Palatino Linotype" w:eastAsia="Palatino Linotype" w:hAnsi="Palatino Linotype" w:cs="Palatino Linotype"/>
        </w:rPr>
        <w:t xml:space="preserve">En tanto, en el presente caso queda sin materia, toda vez que con 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modificó la respuesta </w:t>
      </w:r>
      <w:r>
        <w:rPr>
          <w:rFonts w:ascii="Palatino Linotype" w:eastAsia="Palatino Linotype" w:hAnsi="Palatino Linotype" w:cs="Palatino Linotype"/>
          <w:b/>
          <w:color w:val="000000"/>
        </w:rPr>
        <w:t xml:space="preserve">al señalar por conducto del servidor público habilitado competente que no se cuenta con algún documento que contenga información referente a “monto de dinero destinado al apoyo de alguna persona física”, </w:t>
      </w:r>
      <w:r>
        <w:rPr>
          <w:rFonts w:ascii="Palatino Linotype" w:eastAsia="Palatino Linotype" w:hAnsi="Palatino Linotype" w:cs="Palatino Linotype"/>
          <w:color w:val="000000"/>
        </w:rPr>
        <w:t>por lo que t</w:t>
      </w:r>
      <w:r>
        <w:rPr>
          <w:rFonts w:ascii="Palatino Linotype" w:eastAsia="Palatino Linotype" w:hAnsi="Palatino Linotype" w:cs="Palatino Linotype"/>
        </w:rPr>
        <w:t xml:space="preserve">omando en consideración dicha circunstancia, así como el hecho de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puesta a la vista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 </w:t>
      </w:r>
      <w:r>
        <w:rPr>
          <w:rFonts w:ascii="Palatino Linotype" w:eastAsia="Palatino Linotype" w:hAnsi="Palatino Linotype" w:cs="Palatino Linotype"/>
          <w:b/>
        </w:rPr>
        <w:t>la ahora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622CED" w:rsidRDefault="00F60549">
      <w:pPr>
        <w:spacing w:before="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rsidR="00622CED" w:rsidRDefault="00F6054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622CED" w:rsidRDefault="00F6054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622CED" w:rsidRDefault="00622CED">
      <w:pPr>
        <w:ind w:left="567" w:right="567"/>
        <w:jc w:val="both"/>
        <w:rPr>
          <w:rFonts w:ascii="Palatino Linotype" w:eastAsia="Palatino Linotype" w:hAnsi="Palatino Linotype" w:cs="Palatino Linotype"/>
          <w:i/>
          <w:sz w:val="22"/>
          <w:szCs w:val="22"/>
        </w:rPr>
      </w:pPr>
    </w:p>
    <w:p w:rsidR="00622CED" w:rsidRDefault="00F605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622CED" w:rsidRDefault="00F60549">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622CED" w:rsidRDefault="00F60549">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Pr>
          <w:rFonts w:ascii="Palatino Linotype" w:eastAsia="Palatino Linotype" w:hAnsi="Palatino Linotype" w:cs="Palatino Linotype"/>
          <w:i/>
          <w:sz w:val="22"/>
          <w:szCs w:val="22"/>
        </w:rPr>
        <w:t>promovente</w:t>
      </w:r>
      <w:proofErr w:type="spellEnd"/>
      <w:r>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622CED" w:rsidRDefault="00622CED">
      <w:pPr>
        <w:spacing w:line="360" w:lineRule="auto"/>
        <w:jc w:val="both"/>
        <w:rPr>
          <w:rFonts w:ascii="Palatino Linotype" w:eastAsia="Palatino Linotype" w:hAnsi="Palatino Linotype" w:cs="Palatino Linotype"/>
        </w:rPr>
      </w:pPr>
    </w:p>
    <w:p w:rsidR="00622CED" w:rsidRDefault="00F6054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segundo, trigésimo tercero y trigésimo cuarto,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622CED" w:rsidRDefault="00F60549">
      <w:pPr>
        <w:numPr>
          <w:ilvl w:val="0"/>
          <w:numId w:val="4"/>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622CED" w:rsidRDefault="00F60549">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w:t>
      </w:r>
      <w:r>
        <w:rPr>
          <w:rFonts w:ascii="Palatino Linotype" w:eastAsia="Palatino Linotype" w:hAnsi="Palatino Linotype" w:cs="Palatino Linotype"/>
          <w:b/>
        </w:rPr>
        <w:t xml:space="preserve">02324/INFOEM/IP/RR/2023, </w:t>
      </w:r>
      <w:r>
        <w:rPr>
          <w:rFonts w:ascii="Palatino Linotype" w:eastAsia="Palatino Linotype" w:hAnsi="Palatino Linotype" w:cs="Palatino Linotype"/>
          <w:color w:val="000000"/>
        </w:rPr>
        <w:t xml:space="preserve">porque al </w:t>
      </w:r>
      <w:r>
        <w:rPr>
          <w:rFonts w:ascii="Palatino Linotype" w:eastAsia="Palatino Linotype" w:hAnsi="Palatino Linotype" w:cs="Palatino Linotype"/>
          <w:b/>
          <w:color w:val="000000"/>
        </w:rPr>
        <w:t>modificar la respuesta</w:t>
      </w:r>
      <w:r>
        <w:rPr>
          <w:rFonts w:ascii="Palatino Linotype" w:eastAsia="Palatino Linotype" w:hAnsi="Palatino Linotype" w:cs="Palatino Linotype"/>
          <w:color w:val="000000"/>
        </w:rPr>
        <w:t xml:space="preserve"> se actualizó la causal prevista en el artículo 192, fracción III, de la Ley de Transparencia y Acceso a la Información Pública del Estado de México y Municipios, quedando sin materia en términos del considerando </w:t>
      </w:r>
      <w:r>
        <w:rPr>
          <w:rFonts w:ascii="Palatino Linotype" w:eastAsia="Palatino Linotype" w:hAnsi="Palatino Linotype" w:cs="Palatino Linotype"/>
          <w:b/>
          <w:color w:val="000000"/>
        </w:rPr>
        <w:t xml:space="preserve">Tercero </w:t>
      </w:r>
      <w:r>
        <w:rPr>
          <w:rFonts w:ascii="Palatino Linotype" w:eastAsia="Palatino Linotype" w:hAnsi="Palatino Linotype" w:cs="Palatino Linotype"/>
          <w:color w:val="000000"/>
        </w:rPr>
        <w:t>de la presente Resolución.</w:t>
      </w:r>
    </w:p>
    <w:p w:rsidR="00622CED" w:rsidRDefault="00F60549">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highlight w:val="white"/>
        </w:rPr>
        <w:lastRenderedPageBreak/>
        <w:t>Segundo</w:t>
      </w:r>
      <w:r>
        <w:rPr>
          <w:rFonts w:ascii="Palatino Linotype" w:eastAsia="Palatino Linotype" w:hAnsi="Palatino Linotype" w:cs="Palatino Linotype"/>
          <w:b/>
          <w:color w:val="000000"/>
          <w:sz w:val="28"/>
          <w:szCs w:val="28"/>
          <w:highlight w:val="white"/>
        </w:rPr>
        <w:t>.</w:t>
      </w:r>
      <w:r>
        <w:rPr>
          <w:rFonts w:ascii="Palatino Linotype" w:eastAsia="Palatino Linotype" w:hAnsi="Palatino Linotype" w:cs="Palatino Linotype"/>
          <w:b/>
          <w:color w:val="000000"/>
          <w:sz w:val="19"/>
          <w:szCs w:val="19"/>
          <w:highlight w:val="white"/>
        </w:rPr>
        <w:t xml:space="preserve"> </w:t>
      </w:r>
      <w:r>
        <w:rPr>
          <w:rFonts w:ascii="Palatino Linotype" w:eastAsia="Palatino Linotype" w:hAnsi="Palatino Linotype" w:cs="Palatino Linotype"/>
          <w:b/>
          <w:color w:val="000000"/>
          <w:highlight w:val="white"/>
        </w:rPr>
        <w:t xml:space="preserve">Notifíquese vía </w:t>
      </w:r>
      <w:r>
        <w:rPr>
          <w:rFonts w:ascii="Palatino Linotype" w:eastAsia="Palatino Linotype" w:hAnsi="Palatino Linotype" w:cs="Palatino Linotype"/>
          <w:b/>
          <w:color w:val="000000"/>
        </w:rPr>
        <w:t>Sistema de Acceso a la Información Mexiquense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highlight w:val="white"/>
        </w:rPr>
        <w:t>SAIMEX)</w:t>
      </w:r>
      <w:r>
        <w:rPr>
          <w:rFonts w:ascii="Palatino Linotype" w:eastAsia="Palatino Linotype" w:hAnsi="Palatino Linotype" w:cs="Palatino Linotype"/>
          <w:b/>
          <w:i/>
          <w:color w:val="000000"/>
          <w:highlight w:val="white"/>
        </w:rPr>
        <w:t xml:space="preserve">, </w:t>
      </w:r>
      <w:r>
        <w:rPr>
          <w:rFonts w:ascii="Palatino Linotype" w:eastAsia="Palatino Linotype" w:hAnsi="Palatino Linotype" w:cs="Palatino Linotype"/>
          <w:color w:val="000000"/>
          <w:highlight w:val="white"/>
        </w:rPr>
        <w:t xml:space="preserve">al Titular de la Unidad de Transparencia del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la presente resolución, para su conocimiento.</w:t>
      </w:r>
    </w:p>
    <w:p w:rsidR="00622CED" w:rsidRDefault="00F60549">
      <w:pPr>
        <w:spacing w:before="240" w:after="240" w:line="360" w:lineRule="auto"/>
        <w:jc w:val="both"/>
        <w:rPr>
          <w:rFonts w:ascii="Palatino Linotype" w:eastAsia="Palatino Linotype" w:hAnsi="Palatino Linotype" w:cs="Palatino Linotype"/>
        </w:rPr>
      </w:pPr>
      <w:bookmarkStart w:id="7" w:name="_heading=h.3rdcrjn" w:colFirst="0" w:colLast="0"/>
      <w:bookmarkEnd w:id="7"/>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 xml:space="preserve">Notifíquese, vía Sistema de Acceso a la Información Mexiquense (SAIMEX), </w:t>
      </w:r>
      <w:r>
        <w:rPr>
          <w:rFonts w:ascii="Palatino Linotype" w:eastAsia="Palatino Linotype" w:hAnsi="Palatino Linotype" w:cs="Palatino Linotype"/>
        </w:rPr>
        <w:t xml:space="preserve">la presente resolución a la parte recurrente, 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rsidR="00622CED" w:rsidRDefault="00F6054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TRES DE OCTUBRE DE DOS MIL VEINTITRÉS, ANTE EL SECRETARIO TÉCNICO DEL PLENO ALEXIS TAPIA RAMÍREZ.</w:t>
      </w: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p w:rsidR="00622CED" w:rsidRDefault="00622CED">
      <w:pPr>
        <w:spacing w:before="240" w:after="240" w:line="360" w:lineRule="auto"/>
        <w:jc w:val="both"/>
        <w:rPr>
          <w:rFonts w:ascii="Palatino Linotype" w:eastAsia="Palatino Linotype" w:hAnsi="Palatino Linotype" w:cs="Palatino Linotype"/>
        </w:rPr>
      </w:pPr>
    </w:p>
    <w:sectPr w:rsidR="00622CED">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95B" w:rsidRDefault="00A5295B">
      <w:r>
        <w:separator/>
      </w:r>
    </w:p>
  </w:endnote>
  <w:endnote w:type="continuationSeparator" w:id="0">
    <w:p w:rsidR="00A5295B" w:rsidRDefault="00A5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CED" w:rsidRDefault="00F605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269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2693">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rsidR="00622CED" w:rsidRDefault="00622CE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CED" w:rsidRDefault="00F6054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26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2693">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rsidR="00622CED" w:rsidRDefault="00622CE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95B" w:rsidRDefault="00A5295B">
      <w:r>
        <w:separator/>
      </w:r>
    </w:p>
  </w:footnote>
  <w:footnote w:type="continuationSeparator" w:id="0">
    <w:p w:rsidR="00A5295B" w:rsidRDefault="00A5295B">
      <w:r>
        <w:continuationSeparator/>
      </w:r>
    </w:p>
  </w:footnote>
  <w:footnote w:id="1">
    <w:p w:rsidR="00622CED" w:rsidRDefault="00F6054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rsidR="00622CED" w:rsidRDefault="00F6054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rsidR="00622CED" w:rsidRDefault="00F6054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rsidR="00622CED" w:rsidRDefault="00F6054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rsidR="00622CED" w:rsidRDefault="00F60549">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CED" w:rsidRDefault="00F60549">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-1127123</wp:posOffset>
          </wp:positionH>
          <wp:positionV relativeFrom="paragraph">
            <wp:posOffset>-344803</wp:posOffset>
          </wp:positionV>
          <wp:extent cx="7809865" cy="10165715"/>
          <wp:effectExtent l="0" t="0" r="0" b="0"/>
          <wp:wrapNone/>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622CED">
      <w:tc>
        <w:tcPr>
          <w:tcW w:w="2489" w:type="dxa"/>
          <w:shd w:val="clear" w:color="auto" w:fill="auto"/>
        </w:tcPr>
        <w:p w:rsidR="00622CED" w:rsidRDefault="00F605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622CED" w:rsidRDefault="00F6054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02324/INFOEM/IP/RR/2023</w:t>
          </w:r>
        </w:p>
      </w:tc>
    </w:tr>
    <w:tr w:rsidR="00622CED">
      <w:trPr>
        <w:trHeight w:val="228"/>
      </w:trPr>
      <w:tc>
        <w:tcPr>
          <w:tcW w:w="2489" w:type="dxa"/>
          <w:shd w:val="clear" w:color="auto" w:fill="auto"/>
          <w:vAlign w:val="center"/>
        </w:tcPr>
        <w:p w:rsidR="00622CED" w:rsidRDefault="00F605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622CED" w:rsidRDefault="00F60549">
          <w:pPr>
            <w:tabs>
              <w:tab w:val="left" w:pos="2499"/>
            </w:tabs>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Sindicato de Maestros al Servicio del Estado de México</w:t>
          </w:r>
        </w:p>
      </w:tc>
    </w:tr>
    <w:tr w:rsidR="00622CED">
      <w:tc>
        <w:tcPr>
          <w:tcW w:w="2489" w:type="dxa"/>
          <w:shd w:val="clear" w:color="auto" w:fill="auto"/>
          <w:vAlign w:val="center"/>
        </w:tcPr>
        <w:p w:rsidR="00622CED" w:rsidRDefault="00F6054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622CED" w:rsidRDefault="00F60549">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22CED" w:rsidRDefault="00F6054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CED" w:rsidRDefault="00F6054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-955673</wp:posOffset>
          </wp:positionH>
          <wp:positionV relativeFrom="paragraph">
            <wp:posOffset>-288923</wp:posOffset>
          </wp:positionV>
          <wp:extent cx="7809865" cy="10165715"/>
          <wp:effectExtent l="0" t="0" r="0" b="0"/>
          <wp:wrapNone/>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670" w:type="dxa"/>
      <w:tblInd w:w="3261" w:type="dxa"/>
      <w:tblLayout w:type="fixed"/>
      <w:tblLook w:val="0400" w:firstRow="0" w:lastRow="0" w:firstColumn="0" w:lastColumn="0" w:noHBand="0" w:noVBand="1"/>
    </w:tblPr>
    <w:tblGrid>
      <w:gridCol w:w="2551"/>
      <w:gridCol w:w="3119"/>
    </w:tblGrid>
    <w:tr w:rsidR="00622CED">
      <w:tc>
        <w:tcPr>
          <w:tcW w:w="2551" w:type="dxa"/>
          <w:shd w:val="clear" w:color="auto" w:fill="auto"/>
          <w:vAlign w:val="center"/>
        </w:tcPr>
        <w:p w:rsidR="00622CED" w:rsidRDefault="00F605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622CED" w:rsidRDefault="00F6054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02324/INFOEM/IP/RR/2023</w:t>
          </w:r>
        </w:p>
      </w:tc>
    </w:tr>
    <w:tr w:rsidR="00622CED">
      <w:trPr>
        <w:trHeight w:val="130"/>
      </w:trPr>
      <w:tc>
        <w:tcPr>
          <w:tcW w:w="2551" w:type="dxa"/>
          <w:shd w:val="clear" w:color="auto" w:fill="auto"/>
          <w:vAlign w:val="center"/>
        </w:tcPr>
        <w:p w:rsidR="00622CED" w:rsidRDefault="00F605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622CED" w:rsidRDefault="009E053D" w:rsidP="009E053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 XXXXXXXXXXXXX XX XXXXXXXXXXXXX</w:t>
          </w:r>
        </w:p>
      </w:tc>
    </w:tr>
    <w:tr w:rsidR="00622CED">
      <w:trPr>
        <w:trHeight w:val="228"/>
      </w:trPr>
      <w:tc>
        <w:tcPr>
          <w:tcW w:w="2551" w:type="dxa"/>
          <w:shd w:val="clear" w:color="auto" w:fill="auto"/>
          <w:vAlign w:val="center"/>
        </w:tcPr>
        <w:p w:rsidR="00622CED" w:rsidRDefault="00F605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622CED" w:rsidRDefault="00F60549">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Sindicato de Maestros al Servicio del Estado de México</w:t>
          </w:r>
        </w:p>
      </w:tc>
    </w:tr>
    <w:tr w:rsidR="00622CED">
      <w:tc>
        <w:tcPr>
          <w:tcW w:w="2551" w:type="dxa"/>
          <w:shd w:val="clear" w:color="auto" w:fill="auto"/>
          <w:vAlign w:val="center"/>
        </w:tcPr>
        <w:p w:rsidR="00622CED" w:rsidRDefault="00F605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622CED" w:rsidRDefault="00F60549">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22CED" w:rsidRDefault="00622CE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7FE1"/>
    <w:multiLevelType w:val="multilevel"/>
    <w:tmpl w:val="7CD213F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1D02DDA"/>
    <w:multiLevelType w:val="multilevel"/>
    <w:tmpl w:val="A426D3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B2D5CD3"/>
    <w:multiLevelType w:val="multilevel"/>
    <w:tmpl w:val="CE7C1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69B67C0"/>
    <w:multiLevelType w:val="multilevel"/>
    <w:tmpl w:val="F5F8F61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CED"/>
    <w:rsid w:val="002B2D4B"/>
    <w:rsid w:val="002E420B"/>
    <w:rsid w:val="00531CAC"/>
    <w:rsid w:val="00622CED"/>
    <w:rsid w:val="00992693"/>
    <w:rsid w:val="009E053D"/>
    <w:rsid w:val="00A5295B"/>
    <w:rsid w:val="00F605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B7BA6D-2F69-434C-A583-7C1FF0E42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62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0"/>
    <w:rPr>
      <w:rFonts w:ascii="Cambria" w:eastAsia="Cambria" w:hAnsi="Cambria" w:cs="Cambria"/>
    </w:rPr>
    <w:tblPr>
      <w:tblStyleRowBandSize w:val="1"/>
      <w:tblStyleColBandSize w:val="1"/>
      <w:tblCellMar>
        <w:top w:w="0" w:type="dxa"/>
        <w:left w:w="115" w:type="dxa"/>
        <w:bottom w:w="0" w:type="dxa"/>
        <w:right w:w="115" w:type="dxa"/>
      </w:tblCellMar>
    </w:tblPr>
  </w:style>
  <w:style w:type="table" w:customStyle="1" w:styleId="a4">
    <w:basedOn w:val="TableNormal0"/>
    <w:rPr>
      <w:rFonts w:ascii="Cambria" w:eastAsia="Cambria" w:hAnsi="Cambria" w:cs="Cambria"/>
    </w:rPr>
    <w:tblPr>
      <w:tblStyleRowBandSize w:val="1"/>
      <w:tblStyleColBandSize w:val="1"/>
      <w:tblCellMar>
        <w:top w:w="0" w:type="dxa"/>
        <w:left w:w="115" w:type="dxa"/>
        <w:bottom w:w="0" w:type="dxa"/>
        <w:right w:w="115" w:type="dxa"/>
      </w:tblCellMar>
    </w:tblPr>
  </w:style>
  <w:style w:type="table" w:customStyle="1" w:styleId="a5">
    <w:basedOn w:val="TableNormal0"/>
    <w:rPr>
      <w:rFonts w:ascii="Cambria" w:eastAsia="Cambria" w:hAnsi="Cambria" w:cs="Cambria"/>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3439damBJGDc72xK0sv62e30KQ==">CgMxLjAyCGguZ2pkZ3hzMgloLjMwajB6bGwyCWguMnM4ZXlvMTIIaC50eWpjd3QyCWguM3pueXNoNzIJaC4xZm9iOXRlMgloLjNyZGNyam44AHIhMTNGcEJfdWNaNF9Ld2VFODhZU0lISGpEZDNpS21KRW1W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6709</Words>
  <Characters>36902</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2023-10-04T17:24:00Z</cp:lastPrinted>
  <dcterms:created xsi:type="dcterms:W3CDTF">2023-10-25T20:52:00Z</dcterms:created>
  <dcterms:modified xsi:type="dcterms:W3CDTF">2023-10-25T20:52:00Z</dcterms:modified>
</cp:coreProperties>
</file>