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B80BBB4"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8949FA">
        <w:rPr>
          <w:rFonts w:ascii="Palatino Linotype" w:hAnsi="Palatino Linotype" w:cs="Arial"/>
          <w:color w:val="000000"/>
          <w:lang w:eastAsia="es-MX"/>
        </w:rPr>
        <w:t>veintinueve de noviembre</w:t>
      </w:r>
      <w:r w:rsidR="00594F75">
        <w:rPr>
          <w:rFonts w:ascii="Palatino Linotype" w:hAnsi="Palatino Linotype" w:cs="Arial"/>
          <w:color w:val="000000"/>
          <w:lang w:eastAsia="es-MX"/>
        </w:rPr>
        <w:t xml:space="preserve"> de dos mil veintitrés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64F59639"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w:t>
      </w:r>
      <w:r w:rsidRPr="008949FA">
        <w:rPr>
          <w:rFonts w:ascii="Palatino Linotype" w:hAnsi="Palatino Linotype" w:cs="Arial"/>
        </w:rPr>
        <w:t xml:space="preserve">electrónico formado con motivo del recurso de revisión número </w:t>
      </w:r>
      <w:r w:rsidR="008949FA" w:rsidRPr="008949FA">
        <w:rPr>
          <w:rFonts w:ascii="Palatino Linotype" w:hAnsi="Palatino Linotype" w:cs="Arial"/>
          <w:b/>
          <w:bCs/>
          <w:lang w:eastAsia="es-MX"/>
        </w:rPr>
        <w:t>01915/INFOEM/IP/RR/2023</w:t>
      </w:r>
      <w:r w:rsidR="000D4CB2" w:rsidRPr="008949FA">
        <w:rPr>
          <w:rFonts w:ascii="Palatino Linotype" w:hAnsi="Palatino Linotype" w:cs="Arial"/>
        </w:rPr>
        <w:t xml:space="preserve">, </w:t>
      </w:r>
      <w:r w:rsidR="008949FA" w:rsidRPr="008949FA">
        <w:rPr>
          <w:rFonts w:ascii="Palatino Linotype" w:hAnsi="Palatino Linotype"/>
        </w:rPr>
        <w:t>promovido por</w:t>
      </w:r>
      <w:r w:rsidR="008949FA" w:rsidRPr="008949FA">
        <w:rPr>
          <w:rFonts w:ascii="Palatino Linotype" w:hAnsi="Palatino Linotype"/>
          <w:lang w:val="es-ES_tradnl"/>
        </w:rPr>
        <w:t xml:space="preserve"> un particular que al momento de ingresar la solicitud de información no señaló nombre o seudónimo con el cual desee ser identificado</w:t>
      </w:r>
      <w:r w:rsidR="008949FA" w:rsidRPr="008949FA">
        <w:rPr>
          <w:rFonts w:ascii="Palatino Linotype" w:hAnsi="Palatino Linotype"/>
        </w:rPr>
        <w:t xml:space="preserve">, quien en lo sucesivo y para efectos prácticos se le denominara como </w:t>
      </w:r>
      <w:r w:rsidR="008949FA">
        <w:rPr>
          <w:rFonts w:ascii="Palatino Linotype" w:hAnsi="Palatino Linotype"/>
          <w:b/>
        </w:rPr>
        <w:t>El</w:t>
      </w:r>
      <w:r w:rsidR="008949FA" w:rsidRPr="008949FA">
        <w:rPr>
          <w:rFonts w:ascii="Palatino Linotype" w:hAnsi="Palatino Linotype"/>
          <w:b/>
        </w:rPr>
        <w:t xml:space="preserve"> </w:t>
      </w:r>
      <w:bookmarkStart w:id="0" w:name="_GoBack"/>
      <w:bookmarkEnd w:id="0"/>
      <w:r w:rsidR="008949FA" w:rsidRPr="008949FA">
        <w:rPr>
          <w:rFonts w:ascii="Palatino Linotype" w:hAnsi="Palatino Linotype"/>
          <w:b/>
        </w:rPr>
        <w:t>Recurrente</w:t>
      </w:r>
      <w:r w:rsidRPr="008949FA">
        <w:rPr>
          <w:rFonts w:ascii="Palatino Linotype" w:hAnsi="Palatino Linotype" w:cs="Arial"/>
        </w:rPr>
        <w:t xml:space="preserve">, en contra de la respuesta </w:t>
      </w:r>
      <w:r w:rsidR="000D4CB2" w:rsidRPr="008949FA">
        <w:rPr>
          <w:rFonts w:ascii="Palatino Linotype" w:hAnsi="Palatino Linotype" w:cs="Arial"/>
        </w:rPr>
        <w:t>de</w:t>
      </w:r>
      <w:r w:rsidR="00165D3D" w:rsidRPr="008949FA">
        <w:rPr>
          <w:rFonts w:ascii="Palatino Linotype" w:hAnsi="Palatino Linotype" w:cs="Arial"/>
        </w:rPr>
        <w:t>l</w:t>
      </w:r>
      <w:r w:rsidRPr="008949FA">
        <w:rPr>
          <w:rFonts w:ascii="Palatino Linotype" w:hAnsi="Palatino Linotype" w:cs="Arial"/>
        </w:rPr>
        <w:t xml:space="preserve"> </w:t>
      </w:r>
      <w:r w:rsidR="008949FA" w:rsidRPr="008949FA">
        <w:rPr>
          <w:rFonts w:ascii="Palatino Linotype" w:hAnsi="Palatino Linotype" w:cs="Arial"/>
          <w:b/>
        </w:rPr>
        <w:t>Ayuntamiento de Atizapán de Zaragoza</w:t>
      </w:r>
      <w:r w:rsidRPr="008949FA">
        <w:rPr>
          <w:rFonts w:ascii="Palatino Linotype" w:hAnsi="Palatino Linotype" w:cs="Arial"/>
        </w:rPr>
        <w:t>, en lo</w:t>
      </w:r>
      <w:r w:rsidRPr="00B21190">
        <w:rPr>
          <w:rFonts w:ascii="Palatino Linotype" w:hAnsi="Palatino Linotype" w:cs="Arial"/>
        </w:rPr>
        <w:t xml:space="preserve">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288E2A08" w:rsidR="005219ED" w:rsidRPr="005219ED" w:rsidRDefault="005219ED" w:rsidP="005219ED">
      <w:pPr>
        <w:spacing w:line="360" w:lineRule="auto"/>
        <w:jc w:val="both"/>
        <w:rPr>
          <w:rFonts w:ascii="Palatino Linotype" w:hAnsi="Palatino Linotype"/>
        </w:rPr>
      </w:pPr>
      <w:r w:rsidRPr="005219ED">
        <w:rPr>
          <w:rFonts w:ascii="Palatino Linotype" w:hAnsi="Palatino Linotype"/>
        </w:rPr>
        <w:t xml:space="preserve">Con fecha </w:t>
      </w:r>
      <w:r w:rsidR="008949FA">
        <w:rPr>
          <w:rFonts w:ascii="Palatino Linotype" w:hAnsi="Palatino Linotype"/>
        </w:rPr>
        <w:t>veinte</w:t>
      </w:r>
      <w:r w:rsidR="00904FFE">
        <w:rPr>
          <w:rFonts w:ascii="Palatino Linotype" w:hAnsi="Palatino Linotype"/>
        </w:rPr>
        <w:t xml:space="preserve"> de febrero de dos mil veintidós</w:t>
      </w:r>
      <w:r w:rsidRPr="005219ED">
        <w:rPr>
          <w:rFonts w:ascii="Palatino Linotype" w:hAnsi="Palatino Linotype"/>
        </w:rPr>
        <w:t xml:space="preserve">, </w:t>
      </w:r>
      <w:r w:rsidR="006A6499">
        <w:rPr>
          <w:rFonts w:ascii="Palatino Linotype" w:hAnsi="Palatino Linotype"/>
          <w:b/>
        </w:rPr>
        <w:t>el</w:t>
      </w:r>
      <w:r w:rsidR="00293D51">
        <w:rPr>
          <w:rFonts w:ascii="Palatino Linotype" w:hAnsi="Palatino Linotype"/>
          <w:b/>
        </w:rPr>
        <w:t xml:space="preserve"> Recurrente</w:t>
      </w:r>
      <w:r w:rsidRPr="005219ED">
        <w:rPr>
          <w:rFonts w:ascii="Palatino Linotype" w:hAnsi="Palatino Linotype"/>
        </w:rPr>
        <w:t>, presentó a través del Sistema de Acceso a la Información Mexiquense (</w:t>
      </w:r>
      <w:r w:rsidRPr="005219ED">
        <w:rPr>
          <w:rFonts w:ascii="Palatino Linotype" w:hAnsi="Palatino Linotype"/>
          <w:b/>
        </w:rPr>
        <w:t>SAIMEX)</w:t>
      </w:r>
      <w:r w:rsidRPr="005219ED">
        <w:rPr>
          <w:rFonts w:ascii="Palatino Linotype" w:hAnsi="Palatino Linotype"/>
        </w:rPr>
        <w:t xml:space="preserve"> ante </w:t>
      </w:r>
      <w:r w:rsidRPr="005219ED">
        <w:rPr>
          <w:rFonts w:ascii="Palatino Linotype" w:hAnsi="Palatino Linotype"/>
          <w:b/>
        </w:rPr>
        <w:t>el</w:t>
      </w:r>
      <w:r w:rsidRPr="005219ED">
        <w:rPr>
          <w:rFonts w:ascii="Palatino Linotype" w:hAnsi="Palatino Linotype"/>
        </w:rPr>
        <w:t xml:space="preserve"> </w:t>
      </w:r>
      <w:r w:rsidRPr="005219ED">
        <w:rPr>
          <w:rFonts w:ascii="Palatino Linotype" w:hAnsi="Palatino Linotype"/>
          <w:b/>
        </w:rPr>
        <w:t>Sujeto Obligado</w:t>
      </w:r>
      <w:r w:rsidRPr="005219ED">
        <w:rPr>
          <w:rFonts w:ascii="Palatino Linotype" w:hAnsi="Palatino Linotype"/>
        </w:rPr>
        <w:t>, solicitud de acceso a la información pública, registrada bajo el número de expediente</w:t>
      </w:r>
      <w:r w:rsidRPr="005219ED">
        <w:rPr>
          <w:rFonts w:ascii="Palatino Linotype" w:hAnsi="Palatino Linotype"/>
          <w:b/>
        </w:rPr>
        <w:t xml:space="preserve"> </w:t>
      </w:r>
      <w:r w:rsidR="008949FA" w:rsidRPr="008949FA">
        <w:rPr>
          <w:rFonts w:ascii="Palatino Linotype" w:hAnsi="Palatino Linotype"/>
          <w:b/>
        </w:rPr>
        <w:t>00086/ATIZARA/IP/2023</w:t>
      </w:r>
      <w:r w:rsidRPr="005219ED">
        <w:rPr>
          <w:rFonts w:ascii="Palatino Linotype" w:hAnsi="Palatino Linotype"/>
          <w:b/>
          <w:lang w:eastAsia="es-MX"/>
        </w:rPr>
        <w:t xml:space="preserve">, </w:t>
      </w:r>
      <w:r w:rsidRPr="005219ED">
        <w:rPr>
          <w:rFonts w:ascii="Palatino Linotype" w:hAnsi="Palatino Linotype"/>
        </w:rPr>
        <w:t>mediante la cual solicitó información en el tenor siguiente:</w:t>
      </w:r>
    </w:p>
    <w:p w14:paraId="6D3C7D4C" w14:textId="77777777" w:rsidR="005219ED" w:rsidRPr="005219ED" w:rsidRDefault="005219ED" w:rsidP="005219ED">
      <w:pPr>
        <w:spacing w:line="360" w:lineRule="auto"/>
        <w:jc w:val="both"/>
        <w:rPr>
          <w:rFonts w:ascii="Palatino Linotype" w:hAnsi="Palatino Linotype"/>
        </w:rPr>
      </w:pPr>
    </w:p>
    <w:p w14:paraId="408424B1" w14:textId="142A2175" w:rsidR="005219ED" w:rsidRPr="00755085" w:rsidRDefault="0066233C" w:rsidP="00755085">
      <w:pPr>
        <w:ind w:left="567" w:right="567"/>
        <w:jc w:val="both"/>
        <w:rPr>
          <w:rFonts w:ascii="Palatino Linotype" w:hAnsi="Palatino Linotype"/>
          <w:i/>
          <w:lang w:val="es-ES_tradnl"/>
        </w:rPr>
      </w:pPr>
      <w:r>
        <w:rPr>
          <w:rFonts w:ascii="Palatino Linotype" w:hAnsi="Palatino Linotype"/>
          <w:i/>
          <w:lang w:val="es-ES_tradnl"/>
        </w:rPr>
        <w:t>“</w:t>
      </w:r>
      <w:r w:rsidR="008949FA" w:rsidRPr="008949FA">
        <w:rPr>
          <w:rFonts w:ascii="Palatino Linotype" w:hAnsi="Palatino Linotype"/>
          <w:i/>
          <w:lang w:val="es-ES_tradnl"/>
        </w:rPr>
        <w:t xml:space="preserve">los procedimientos administrativos </w:t>
      </w:r>
      <w:proofErr w:type="spellStart"/>
      <w:r w:rsidR="008949FA" w:rsidRPr="008949FA">
        <w:rPr>
          <w:rFonts w:ascii="Palatino Linotype" w:hAnsi="Palatino Linotype"/>
          <w:i/>
          <w:lang w:val="es-ES_tradnl"/>
        </w:rPr>
        <w:t>encontra</w:t>
      </w:r>
      <w:proofErr w:type="spellEnd"/>
      <w:r w:rsidR="008949FA" w:rsidRPr="008949FA">
        <w:rPr>
          <w:rFonts w:ascii="Palatino Linotype" w:hAnsi="Palatino Linotype"/>
          <w:i/>
          <w:lang w:val="es-ES_tradnl"/>
        </w:rPr>
        <w:t xml:space="preserve"> de los titulares del órgano de control interno o similar del año 2018 a la fecha</w:t>
      </w:r>
      <w:r w:rsidR="005219ED" w:rsidRPr="005219ED">
        <w:rPr>
          <w:rFonts w:ascii="Palatino Linotype" w:hAnsi="Palatino Linotype"/>
          <w:i/>
          <w:lang w:val="es-ES_tradnl"/>
        </w:rPr>
        <w:t>” [Sic]</w:t>
      </w:r>
    </w:p>
    <w:p w14:paraId="5873ADB0" w14:textId="77777777" w:rsidR="00165D3D" w:rsidRDefault="00165D3D" w:rsidP="00293D51">
      <w:pPr>
        <w:spacing w:line="360" w:lineRule="auto"/>
        <w:jc w:val="both"/>
        <w:rPr>
          <w:rFonts w:ascii="Palatino Linotype" w:hAnsi="Palatino Linotype"/>
          <w:lang w:val="es-ES_tradnl"/>
        </w:rPr>
      </w:pPr>
    </w:p>
    <w:p w14:paraId="679F57FD" w14:textId="41F3558E" w:rsidR="0087697C" w:rsidRPr="00293D51" w:rsidRDefault="005219ED" w:rsidP="00293D51">
      <w:pPr>
        <w:spacing w:line="360" w:lineRule="auto"/>
        <w:jc w:val="both"/>
        <w:rPr>
          <w:rFonts w:ascii="Palatino Linotype" w:hAnsi="Palatino Linotype"/>
          <w:lang w:val="es-ES_tradnl"/>
        </w:rPr>
      </w:pPr>
      <w:r w:rsidRPr="005219ED">
        <w:rPr>
          <w:rFonts w:ascii="Palatino Linotype" w:hAnsi="Palatino Linotype"/>
          <w:lang w:val="es-ES_tradnl"/>
        </w:rPr>
        <w:lastRenderedPageBreak/>
        <w:t xml:space="preserve">Modalidad de entrega: </w:t>
      </w:r>
      <w:r w:rsidR="00B30770">
        <w:rPr>
          <w:rFonts w:ascii="Palatino Linotype" w:hAnsi="Palatino Linotype"/>
          <w:b/>
          <w:lang w:val="es-ES_tradnl"/>
        </w:rPr>
        <w:t>A través del SAIMEX</w:t>
      </w:r>
      <w:r w:rsidRPr="005219ED">
        <w:rPr>
          <w:rFonts w:ascii="Palatino Linotype" w:hAnsi="Palatino Linotype"/>
          <w:b/>
          <w:lang w:val="es-ES_tradnl"/>
        </w:rPr>
        <w:t>.</w:t>
      </w:r>
    </w:p>
    <w:p w14:paraId="0E1BF3F4" w14:textId="77777777" w:rsidR="0066233C" w:rsidRDefault="0066233C" w:rsidP="00FF74F5">
      <w:pPr>
        <w:spacing w:line="360" w:lineRule="auto"/>
        <w:jc w:val="both"/>
        <w:rPr>
          <w:rFonts w:ascii="Palatino Linotype" w:hAnsi="Palatino Linotype" w:cs="Arial"/>
          <w:b/>
          <w:sz w:val="28"/>
        </w:rPr>
      </w:pPr>
    </w:p>
    <w:p w14:paraId="4CF9760A" w14:textId="77777777" w:rsidR="008949FA" w:rsidRPr="008949FA" w:rsidRDefault="008949FA" w:rsidP="008949FA">
      <w:pPr>
        <w:spacing w:line="360" w:lineRule="auto"/>
        <w:ind w:right="850"/>
        <w:jc w:val="both"/>
        <w:rPr>
          <w:rFonts w:ascii="Palatino Linotype" w:hAnsi="Palatino Linotype" w:cs="Arial"/>
          <w:b/>
          <w:sz w:val="28"/>
          <w:szCs w:val="28"/>
        </w:rPr>
      </w:pPr>
      <w:r w:rsidRPr="008949FA">
        <w:rPr>
          <w:rFonts w:ascii="Palatino Linotype" w:hAnsi="Palatino Linotype" w:cs="Arial"/>
          <w:b/>
          <w:sz w:val="28"/>
          <w:szCs w:val="28"/>
        </w:rPr>
        <w:t xml:space="preserve">SEGUNDO. De la prórroga del Sujeto Obligado. </w:t>
      </w:r>
    </w:p>
    <w:p w14:paraId="19324E7B" w14:textId="045E31CB" w:rsidR="008949FA" w:rsidRDefault="008949FA" w:rsidP="008949FA">
      <w:pPr>
        <w:spacing w:line="360" w:lineRule="auto"/>
        <w:jc w:val="both"/>
        <w:rPr>
          <w:rFonts w:ascii="Palatino Linotype" w:hAnsi="Palatino Linotype" w:cs="Arial"/>
        </w:rPr>
      </w:pPr>
      <w:r w:rsidRPr="008949FA">
        <w:rPr>
          <w:rFonts w:ascii="Palatino Linotype" w:hAnsi="Palatino Linotype" w:cs="Arial"/>
        </w:rPr>
        <w:t xml:space="preserve">De las constancias que obran en los expedientes electrónicos del </w:t>
      </w:r>
      <w:r w:rsidRPr="008949FA">
        <w:rPr>
          <w:rFonts w:ascii="Palatino Linotype" w:hAnsi="Palatino Linotype" w:cs="Arial"/>
          <w:b/>
        </w:rPr>
        <w:t xml:space="preserve">SAIMEX </w:t>
      </w:r>
      <w:r w:rsidRPr="008949FA">
        <w:rPr>
          <w:rFonts w:ascii="Palatino Linotype" w:hAnsi="Palatino Linotype" w:cs="Arial"/>
        </w:rPr>
        <w:t xml:space="preserve">correspondiente a la solicitud de información, se advierte que en fecha </w:t>
      </w:r>
      <w:r>
        <w:rPr>
          <w:rFonts w:ascii="Palatino Linotype" w:hAnsi="Palatino Linotype" w:cs="Arial"/>
        </w:rPr>
        <w:t>diecisiete</w:t>
      </w:r>
      <w:r w:rsidRPr="008949FA">
        <w:rPr>
          <w:rFonts w:ascii="Palatino Linotype" w:hAnsi="Palatino Linotype" w:cs="Arial"/>
        </w:rPr>
        <w:t xml:space="preserve"> de marzo de dos mil veintitrés, </w:t>
      </w:r>
      <w:r w:rsidRPr="008949FA">
        <w:rPr>
          <w:rFonts w:ascii="Palatino Linotype" w:hAnsi="Palatino Linotype" w:cs="Arial"/>
          <w:b/>
          <w:bCs/>
        </w:rPr>
        <w:t xml:space="preserve">El Sujeto Obligado </w:t>
      </w:r>
      <w:r w:rsidRPr="008949FA">
        <w:rPr>
          <w:rFonts w:ascii="Palatino Linotype" w:hAnsi="Palatino Linotype" w:cs="Arial"/>
        </w:rPr>
        <w:t xml:space="preserve">comunico </w:t>
      </w:r>
      <w:r w:rsidRPr="008949FA">
        <w:rPr>
          <w:rFonts w:ascii="Palatino Linotype" w:hAnsi="Palatino Linotype" w:cs="Arial"/>
          <w:b/>
          <w:bCs/>
        </w:rPr>
        <w:t>a</w:t>
      </w:r>
      <w:r>
        <w:rPr>
          <w:rFonts w:ascii="Palatino Linotype" w:hAnsi="Palatino Linotype" w:cs="Arial"/>
          <w:b/>
          <w:bCs/>
        </w:rPr>
        <w:t>l</w:t>
      </w:r>
      <w:r w:rsidRPr="008949FA">
        <w:rPr>
          <w:rFonts w:ascii="Palatino Linotype" w:hAnsi="Palatino Linotype" w:cs="Arial"/>
          <w:b/>
          <w:bCs/>
        </w:rPr>
        <w:t xml:space="preserve"> Recurrente</w:t>
      </w:r>
      <w:r w:rsidRPr="008949FA">
        <w:rPr>
          <w:rFonts w:ascii="Palatino Linotype" w:eastAsia="Calibri" w:hAnsi="Palatino Linotype" w:cs="Calibri"/>
          <w:szCs w:val="22"/>
          <w:lang w:val="es-MX" w:eastAsia="es-MX"/>
        </w:rPr>
        <w:t xml:space="preserve"> </w:t>
      </w:r>
      <w:r w:rsidRPr="008949FA">
        <w:rPr>
          <w:rFonts w:ascii="Palatino Linotype" w:hAnsi="Palatino Linotype" w:cs="Arial"/>
        </w:rPr>
        <w:t>que el plazo de 15 días hábiles para atender su solicitud de información ha sido prorrogado por 7 días</w:t>
      </w:r>
      <w:r w:rsidRPr="008949FA">
        <w:rPr>
          <w:rFonts w:ascii="Palatino Linotype" w:hAnsi="Palatino Linotype" w:cs="Arial"/>
          <w:b/>
        </w:rPr>
        <w:t xml:space="preserve">, </w:t>
      </w:r>
      <w:r w:rsidRPr="008949FA">
        <w:rPr>
          <w:rFonts w:ascii="Palatino Linotype" w:hAnsi="Palatino Linotype" w:cs="Arial"/>
        </w:rPr>
        <w:t>advirtiendo que dicha</w:t>
      </w:r>
      <w:r w:rsidRPr="008949FA">
        <w:rPr>
          <w:rFonts w:ascii="Palatino Linotype" w:hAnsi="Palatino Linotype"/>
        </w:rPr>
        <w:t xml:space="preserve"> prórroga no cumple con lo establecido en el artículo 49, fracción II, así como en el artículo 163 segundo párrafo, de la </w:t>
      </w:r>
      <w:r w:rsidRPr="008949FA">
        <w:rPr>
          <w:rFonts w:ascii="Palatino Linotype" w:hAnsi="Palatino Linotype" w:cs="Arial"/>
        </w:rPr>
        <w:t>Ley de Transparencia y Acceso a la Información Pública del Estado de México y Municipios.</w:t>
      </w:r>
    </w:p>
    <w:p w14:paraId="4431F2E2" w14:textId="77777777" w:rsidR="008949FA" w:rsidRPr="008949FA" w:rsidRDefault="008949FA" w:rsidP="008949FA">
      <w:pPr>
        <w:spacing w:line="360" w:lineRule="auto"/>
        <w:jc w:val="both"/>
        <w:rPr>
          <w:rFonts w:ascii="Palatino Linotype" w:hAnsi="Palatino Linotype" w:cs="Arial"/>
          <w:b/>
          <w:bCs/>
        </w:rPr>
      </w:pPr>
    </w:p>
    <w:p w14:paraId="4F492B14" w14:textId="3517482A" w:rsidR="00D34057" w:rsidRPr="00B21190" w:rsidRDefault="008949FA" w:rsidP="00FF74F5">
      <w:pPr>
        <w:spacing w:line="360" w:lineRule="auto"/>
        <w:jc w:val="both"/>
        <w:rPr>
          <w:rFonts w:ascii="Palatino Linotype" w:hAnsi="Palatino Linotype" w:cs="Arial"/>
          <w:b/>
          <w:sz w:val="28"/>
          <w:szCs w:val="20"/>
        </w:rPr>
      </w:pPr>
      <w:r>
        <w:rPr>
          <w:rFonts w:ascii="Palatino Linotype" w:hAnsi="Palatino Linotype" w:cs="Arial"/>
          <w:b/>
          <w:sz w:val="28"/>
        </w:rPr>
        <w:t>TERCERO</w:t>
      </w:r>
      <w:r w:rsidR="00D34057" w:rsidRPr="00B21190">
        <w:rPr>
          <w:rFonts w:ascii="Palatino Linotype" w:hAnsi="Palatino Linotype" w:cs="Arial"/>
          <w:b/>
          <w:sz w:val="28"/>
        </w:rPr>
        <w:t xml:space="preserve">. </w:t>
      </w:r>
      <w:r w:rsidR="00D34057"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00D34057" w:rsidRPr="00B21190">
        <w:rPr>
          <w:rFonts w:ascii="Palatino Linotype" w:hAnsi="Palatino Linotype" w:cs="Arial"/>
          <w:b/>
          <w:sz w:val="28"/>
          <w:szCs w:val="20"/>
        </w:rPr>
        <w:t>bligado</w:t>
      </w:r>
    </w:p>
    <w:p w14:paraId="4506813A" w14:textId="6796A87E" w:rsidR="00972636" w:rsidRPr="00B21190" w:rsidRDefault="0050427F" w:rsidP="003D0754">
      <w:pPr>
        <w:spacing w:line="360" w:lineRule="auto"/>
        <w:jc w:val="both"/>
        <w:rPr>
          <w:rFonts w:ascii="Palatino Linotype" w:hAnsi="Palatino Linotype" w:cs="Arial"/>
        </w:rPr>
      </w:pPr>
      <w:r w:rsidRPr="00B21190">
        <w:rPr>
          <w:rFonts w:ascii="Palatino Linotype" w:hAnsi="Palatino Linotype" w:cs="Arial"/>
        </w:rPr>
        <w:t>En el expediente electrónico</w:t>
      </w:r>
      <w:r w:rsidR="006A6499">
        <w:rPr>
          <w:rFonts w:ascii="Palatino Linotype" w:hAnsi="Palatino Linotype" w:cs="Arial"/>
        </w:rPr>
        <w:t xml:space="preserve"> del Sistema de Acceso a la Información Mexiquense</w:t>
      </w:r>
      <w:r w:rsidRPr="00B21190">
        <w:rPr>
          <w:rFonts w:ascii="Palatino Linotype" w:hAnsi="Palatino Linotype" w:cs="Arial"/>
        </w:rPr>
        <w:t xml:space="preserve"> </w:t>
      </w:r>
      <w:r w:rsidRPr="00B21190">
        <w:rPr>
          <w:rFonts w:ascii="Palatino Linotype" w:hAnsi="Palatino Linotype" w:cs="Arial"/>
          <w:b/>
        </w:rPr>
        <w:t>SAIMEX</w:t>
      </w:r>
      <w:r w:rsidRPr="00B21190">
        <w:rPr>
          <w:rFonts w:ascii="Palatino Linotype" w:hAnsi="Palatino Linotype" w:cs="Arial"/>
        </w:rPr>
        <w:t xml:space="preserve">, se aprecia que el día </w:t>
      </w:r>
      <w:r w:rsidR="008949FA">
        <w:rPr>
          <w:rFonts w:ascii="Palatino Linotype" w:hAnsi="Palatino Linotype" w:cs="Arial"/>
        </w:rPr>
        <w:t>diez de abril de dos mil veintitrés</w:t>
      </w:r>
      <w:r w:rsidRPr="00B21190">
        <w:rPr>
          <w:rFonts w:ascii="Palatino Linotype" w:hAnsi="Palatino Linotype" w:cs="Arial"/>
        </w:rPr>
        <w:t xml:space="preserve">, </w:t>
      </w:r>
      <w:r w:rsidRPr="00B21190">
        <w:rPr>
          <w:rFonts w:ascii="Palatino Linotype" w:hAnsi="Palatino Linotype" w:cs="Arial"/>
          <w:b/>
        </w:rPr>
        <w:t>El Sujeto Obligado</w:t>
      </w:r>
      <w:r w:rsidRPr="00B21190">
        <w:rPr>
          <w:rFonts w:ascii="Palatino Linotype" w:hAnsi="Palatino Linotype" w:cs="Arial"/>
        </w:rPr>
        <w:t xml:space="preserve"> dio respuesta a la solicitud de información</w:t>
      </w:r>
      <w:r w:rsidR="000C7DA1" w:rsidRPr="000C7DA1">
        <w:t xml:space="preserve"> </w:t>
      </w:r>
      <w:r w:rsidR="000C7DA1" w:rsidRPr="000C7DA1">
        <w:rPr>
          <w:rFonts w:ascii="Palatino Linotype" w:hAnsi="Palatino Linotype" w:cs="Arial"/>
        </w:rPr>
        <w:t>en los siguientes términos:</w:t>
      </w:r>
    </w:p>
    <w:p w14:paraId="25986DC1" w14:textId="77777777" w:rsidR="003F3CC8" w:rsidRPr="00B21190" w:rsidRDefault="003F3CC8" w:rsidP="00FF74F5">
      <w:pPr>
        <w:pStyle w:val="Sinespaciado"/>
      </w:pPr>
    </w:p>
    <w:p w14:paraId="20B8554D" w14:textId="77777777" w:rsidR="008949FA" w:rsidRPr="008949FA" w:rsidRDefault="003F3CC8" w:rsidP="008949FA">
      <w:pPr>
        <w:ind w:left="567" w:right="567"/>
        <w:jc w:val="right"/>
        <w:rPr>
          <w:rFonts w:ascii="Palatino Linotype" w:hAnsi="Palatino Linotype" w:cs="Arial"/>
          <w:i/>
        </w:rPr>
      </w:pPr>
      <w:r w:rsidRPr="00B21190">
        <w:rPr>
          <w:rFonts w:ascii="Palatino Linotype" w:hAnsi="Palatino Linotype" w:cs="Arial"/>
          <w:i/>
        </w:rPr>
        <w:t>“</w:t>
      </w:r>
      <w:r w:rsidR="008949FA" w:rsidRPr="008949FA">
        <w:rPr>
          <w:rFonts w:ascii="Palatino Linotype" w:hAnsi="Palatino Linotype" w:cs="Arial"/>
          <w:i/>
        </w:rPr>
        <w:t xml:space="preserve">Folio de la solicitud: </w:t>
      </w:r>
      <w:r w:rsidR="008949FA" w:rsidRPr="008949FA">
        <w:rPr>
          <w:rFonts w:ascii="Palatino Linotype" w:hAnsi="Palatino Linotype" w:cs="Arial"/>
          <w:b/>
          <w:bCs/>
          <w:i/>
        </w:rPr>
        <w:t>00086/ATIZARA/IP/2023</w:t>
      </w:r>
    </w:p>
    <w:p w14:paraId="1080DE10" w14:textId="77777777" w:rsidR="008949FA" w:rsidRDefault="008949FA" w:rsidP="008949FA">
      <w:pPr>
        <w:ind w:left="567" w:right="567"/>
        <w:jc w:val="both"/>
        <w:rPr>
          <w:rFonts w:ascii="Palatino Linotype" w:hAnsi="Palatino Linotype" w:cs="Arial"/>
          <w:i/>
        </w:rPr>
      </w:pPr>
    </w:p>
    <w:p w14:paraId="5AAD4137" w14:textId="2250CACD" w:rsidR="008949FA" w:rsidRDefault="008949FA" w:rsidP="008949FA">
      <w:pPr>
        <w:ind w:left="567" w:right="567"/>
        <w:jc w:val="both"/>
        <w:rPr>
          <w:rFonts w:ascii="Palatino Linotype" w:hAnsi="Palatino Linotype" w:cs="Arial"/>
          <w:i/>
        </w:rPr>
      </w:pPr>
      <w:r w:rsidRPr="008949F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729628" w14:textId="77777777" w:rsidR="008949FA" w:rsidRPr="008949FA" w:rsidRDefault="008949FA" w:rsidP="008949FA">
      <w:pPr>
        <w:ind w:left="567" w:right="567"/>
        <w:jc w:val="both"/>
        <w:rPr>
          <w:rFonts w:ascii="Palatino Linotype" w:hAnsi="Palatino Linotype" w:cs="Arial"/>
          <w:i/>
        </w:rPr>
      </w:pPr>
    </w:p>
    <w:p w14:paraId="43ABB771" w14:textId="31F774F1" w:rsidR="008949FA" w:rsidRPr="008949FA" w:rsidRDefault="008949FA" w:rsidP="008949FA">
      <w:pPr>
        <w:ind w:left="567" w:right="567"/>
        <w:jc w:val="both"/>
        <w:rPr>
          <w:rFonts w:ascii="Palatino Linotype" w:hAnsi="Palatino Linotype" w:cs="Arial"/>
          <w:i/>
        </w:rPr>
      </w:pPr>
      <w:r w:rsidRPr="008949FA">
        <w:rPr>
          <w:rFonts w:ascii="Palatino Linotype" w:hAnsi="Palatino Linotype" w:cs="Arial"/>
          <w:i/>
        </w:rPr>
        <w:t xml:space="preserve">Se </w:t>
      </w:r>
      <w:proofErr w:type="spellStart"/>
      <w:r w:rsidRPr="008949FA">
        <w:rPr>
          <w:rFonts w:ascii="Palatino Linotype" w:hAnsi="Palatino Linotype" w:cs="Arial"/>
          <w:i/>
        </w:rPr>
        <w:t>brindo</w:t>
      </w:r>
      <w:proofErr w:type="spellEnd"/>
      <w:r w:rsidRPr="008949FA">
        <w:rPr>
          <w:rFonts w:ascii="Palatino Linotype" w:hAnsi="Palatino Linotype" w:cs="Arial"/>
          <w:i/>
        </w:rPr>
        <w:t xml:space="preserve"> atención a la petición y se proporciona respuesta a la solicitud.</w:t>
      </w:r>
    </w:p>
    <w:p w14:paraId="7168F642" w14:textId="77777777" w:rsidR="008949FA" w:rsidRDefault="008949FA" w:rsidP="008949FA">
      <w:pPr>
        <w:ind w:left="567" w:right="567"/>
        <w:jc w:val="both"/>
        <w:rPr>
          <w:rFonts w:ascii="Palatino Linotype" w:hAnsi="Palatino Linotype" w:cs="Arial"/>
          <w:i/>
        </w:rPr>
      </w:pPr>
    </w:p>
    <w:p w14:paraId="2DA94970" w14:textId="37E543DB" w:rsidR="008949FA" w:rsidRPr="008949FA" w:rsidRDefault="008949FA" w:rsidP="008949FA">
      <w:pPr>
        <w:ind w:left="567" w:right="567"/>
        <w:jc w:val="both"/>
        <w:rPr>
          <w:rFonts w:ascii="Palatino Linotype" w:hAnsi="Palatino Linotype" w:cs="Arial"/>
          <w:i/>
        </w:rPr>
      </w:pPr>
      <w:r w:rsidRPr="008949FA">
        <w:rPr>
          <w:rFonts w:ascii="Palatino Linotype" w:hAnsi="Palatino Linotype" w:cs="Arial"/>
          <w:i/>
        </w:rPr>
        <w:t>ATENTAMENTE</w:t>
      </w:r>
    </w:p>
    <w:p w14:paraId="54820A0C" w14:textId="527309EE" w:rsidR="003F3CC8" w:rsidRPr="00B21190" w:rsidRDefault="008949FA" w:rsidP="008949FA">
      <w:pPr>
        <w:ind w:left="567" w:right="567"/>
        <w:jc w:val="both"/>
        <w:rPr>
          <w:rFonts w:ascii="Palatino Linotype" w:hAnsi="Palatino Linotype" w:cs="Arial"/>
          <w:i/>
        </w:rPr>
      </w:pPr>
      <w:r w:rsidRPr="008949FA">
        <w:rPr>
          <w:rFonts w:ascii="Palatino Linotype" w:hAnsi="Palatino Linotype" w:cs="Arial"/>
          <w:i/>
        </w:rPr>
        <w:t>LIC. SERGIO PÉREZ SUÁREZ</w:t>
      </w:r>
      <w:r w:rsidR="003F3CC8" w:rsidRPr="00B21190">
        <w:rPr>
          <w:rFonts w:ascii="Palatino Linotype" w:hAnsi="Palatino Linotype" w:cs="Arial"/>
          <w:i/>
        </w:rPr>
        <w:t>”</w:t>
      </w:r>
      <w:r w:rsidR="00755085">
        <w:rPr>
          <w:rFonts w:ascii="Palatino Linotype" w:hAnsi="Palatino Linotype" w:cs="Arial"/>
          <w:i/>
        </w:rPr>
        <w:t xml:space="preserve"> </w:t>
      </w:r>
      <w:r w:rsidR="006A6499">
        <w:rPr>
          <w:rFonts w:ascii="Palatino Linotype" w:hAnsi="Palatino Linotype" w:cs="Arial"/>
          <w:i/>
        </w:rPr>
        <w:t>(Sic)</w:t>
      </w:r>
    </w:p>
    <w:p w14:paraId="1BC84A99" w14:textId="77777777" w:rsidR="00F3632E" w:rsidRPr="00B21190" w:rsidRDefault="00F3632E" w:rsidP="00F3632E">
      <w:pPr>
        <w:pStyle w:val="Sinespaciado"/>
      </w:pPr>
    </w:p>
    <w:p w14:paraId="1D09219D" w14:textId="25B3068B" w:rsidR="00FD1200" w:rsidRPr="00755085" w:rsidRDefault="00165D3D" w:rsidP="00755085">
      <w:pPr>
        <w:pStyle w:val="Sinespaciado"/>
        <w:spacing w:line="360" w:lineRule="auto"/>
        <w:jc w:val="both"/>
        <w:rPr>
          <w:rFonts w:ascii="Palatino Linotype" w:eastAsiaTheme="minorHAnsi" w:hAnsi="Palatino Linotype" w:cs="Arial"/>
          <w:lang w:eastAsia="en-US"/>
        </w:rPr>
      </w:pPr>
      <w:bookmarkStart w:id="1" w:name="_Hlk90488978"/>
      <w:r>
        <w:rPr>
          <w:rFonts w:ascii="Palatino Linotype" w:eastAsiaTheme="minorHAnsi" w:hAnsi="Palatino Linotype" w:cs="Arial"/>
          <w:lang w:eastAsia="en-US"/>
        </w:rPr>
        <w:t xml:space="preserve">Adjuntando para tal efecto, </w:t>
      </w:r>
      <w:r w:rsidR="00E054FD">
        <w:rPr>
          <w:rFonts w:ascii="Palatino Linotype" w:eastAsiaTheme="minorHAnsi" w:hAnsi="Palatino Linotype" w:cs="Arial"/>
          <w:lang w:eastAsia="en-US"/>
        </w:rPr>
        <w:t>los</w:t>
      </w:r>
      <w:r w:rsidR="00F46230" w:rsidRPr="00F46230">
        <w:rPr>
          <w:rFonts w:ascii="Palatino Linotype" w:eastAsiaTheme="minorHAnsi" w:hAnsi="Palatino Linotype" w:cs="Arial"/>
          <w:lang w:eastAsia="en-US"/>
        </w:rPr>
        <w:t xml:space="preserve"> </w:t>
      </w:r>
      <w:r w:rsidR="0066233C">
        <w:rPr>
          <w:rFonts w:ascii="Palatino Linotype" w:eastAsiaTheme="minorHAnsi" w:hAnsi="Palatino Linotype" w:cs="Arial"/>
          <w:lang w:eastAsia="en-US"/>
        </w:rPr>
        <w:t>archivo</w:t>
      </w:r>
      <w:r w:rsidR="00E054FD">
        <w:rPr>
          <w:rFonts w:ascii="Palatino Linotype" w:eastAsiaTheme="minorHAnsi" w:hAnsi="Palatino Linotype" w:cs="Arial"/>
          <w:lang w:eastAsia="en-US"/>
        </w:rPr>
        <w:t>s</w:t>
      </w:r>
      <w:r w:rsidR="0066233C">
        <w:rPr>
          <w:rFonts w:ascii="Palatino Linotype" w:eastAsiaTheme="minorHAnsi" w:hAnsi="Palatino Linotype" w:cs="Arial"/>
          <w:lang w:eastAsia="en-US"/>
        </w:rPr>
        <w:t xml:space="preserve"> electrónico</w:t>
      </w:r>
      <w:bookmarkEnd w:id="1"/>
      <w:r w:rsidR="00E054FD">
        <w:rPr>
          <w:rFonts w:ascii="Palatino Linotype" w:eastAsiaTheme="minorHAnsi" w:hAnsi="Palatino Linotype" w:cs="Arial"/>
          <w:lang w:eastAsia="en-US"/>
        </w:rPr>
        <w:t>s</w:t>
      </w:r>
      <w:r w:rsidR="0066233C">
        <w:rPr>
          <w:rFonts w:ascii="Palatino Linotype" w:eastAsiaTheme="minorHAnsi" w:hAnsi="Palatino Linotype" w:cs="Arial"/>
          <w:lang w:eastAsia="en-US"/>
        </w:rPr>
        <w:t xml:space="preserve"> denominado</w:t>
      </w:r>
      <w:r w:rsidR="00E054FD">
        <w:rPr>
          <w:rFonts w:ascii="Palatino Linotype" w:eastAsiaTheme="minorHAnsi" w:hAnsi="Palatino Linotype" w:cs="Arial"/>
          <w:lang w:eastAsia="en-US"/>
        </w:rPr>
        <w:t>s</w:t>
      </w:r>
      <w:r w:rsidR="00F46230" w:rsidRPr="00F46230">
        <w:rPr>
          <w:rFonts w:ascii="Palatino Linotype" w:eastAsiaTheme="minorHAnsi" w:hAnsi="Palatino Linotype" w:cs="Arial"/>
          <w:lang w:eastAsia="en-US"/>
        </w:rPr>
        <w:t xml:space="preserve"> “</w:t>
      </w:r>
      <w:r w:rsidR="00E054FD" w:rsidRPr="00E054FD">
        <w:rPr>
          <w:rFonts w:ascii="Palatino Linotype" w:eastAsiaTheme="minorHAnsi" w:hAnsi="Palatino Linotype" w:cs="Arial"/>
          <w:b/>
          <w:bCs/>
          <w:lang w:eastAsia="en-US"/>
        </w:rPr>
        <w:t>ContSaimex0086.pdf</w:t>
      </w:r>
      <w:r>
        <w:rPr>
          <w:rFonts w:ascii="Palatino Linotype" w:eastAsiaTheme="minorHAnsi" w:hAnsi="Palatino Linotype" w:cs="Arial"/>
          <w:lang w:eastAsia="en-US"/>
        </w:rPr>
        <w:t>”</w:t>
      </w:r>
      <w:r w:rsidR="00E054FD">
        <w:rPr>
          <w:rFonts w:ascii="Palatino Linotype" w:eastAsiaTheme="minorHAnsi" w:hAnsi="Palatino Linotype" w:cs="Arial"/>
          <w:lang w:eastAsia="en-US"/>
        </w:rPr>
        <w:t xml:space="preserve"> y “</w:t>
      </w:r>
      <w:r w:rsidR="00E054FD" w:rsidRPr="00E054FD">
        <w:rPr>
          <w:rFonts w:ascii="Palatino Linotype" w:eastAsiaTheme="minorHAnsi" w:hAnsi="Palatino Linotype" w:cs="Arial"/>
          <w:b/>
          <w:bCs/>
          <w:lang w:eastAsia="en-US"/>
        </w:rPr>
        <w:t>ACUERDO-02 CTIII-O27-03-23</w:t>
      </w:r>
      <w:proofErr w:type="gramStart"/>
      <w:r w:rsidR="00E054FD" w:rsidRPr="00E054FD">
        <w:rPr>
          <w:rFonts w:ascii="Palatino Linotype" w:eastAsiaTheme="minorHAnsi" w:hAnsi="Palatino Linotype" w:cs="Arial"/>
          <w:b/>
          <w:bCs/>
          <w:lang w:eastAsia="en-US"/>
        </w:rPr>
        <w:t>. .</w:t>
      </w:r>
      <w:proofErr w:type="spellStart"/>
      <w:r w:rsidR="00E054FD" w:rsidRPr="00E054FD">
        <w:rPr>
          <w:rFonts w:ascii="Palatino Linotype" w:eastAsiaTheme="minorHAnsi" w:hAnsi="Palatino Linotype" w:cs="Arial"/>
          <w:b/>
          <w:bCs/>
          <w:lang w:eastAsia="en-US"/>
        </w:rPr>
        <w:t>pdf</w:t>
      </w:r>
      <w:proofErr w:type="spellEnd"/>
      <w:proofErr w:type="gramEnd"/>
      <w:r w:rsidR="00E054FD">
        <w:rPr>
          <w:rFonts w:ascii="Palatino Linotype" w:eastAsiaTheme="minorHAnsi" w:hAnsi="Palatino Linotype" w:cs="Arial"/>
          <w:lang w:eastAsia="en-US"/>
        </w:rPr>
        <w:t>”</w:t>
      </w:r>
      <w:r w:rsidR="00F46230">
        <w:rPr>
          <w:rFonts w:ascii="Palatino Linotype" w:eastAsiaTheme="minorHAnsi" w:hAnsi="Palatino Linotype" w:cs="Arial"/>
          <w:lang w:eastAsia="en-US"/>
        </w:rPr>
        <w:t xml:space="preserve">, </w:t>
      </w:r>
      <w:r w:rsidR="00E054FD">
        <w:rPr>
          <w:rFonts w:ascii="Palatino Linotype" w:eastAsiaTheme="minorHAnsi" w:hAnsi="Palatino Linotype" w:cs="Arial"/>
          <w:lang w:eastAsia="en-US"/>
        </w:rPr>
        <w:t>los</w:t>
      </w:r>
      <w:r w:rsidR="0066233C">
        <w:rPr>
          <w:rFonts w:ascii="Palatino Linotype" w:eastAsiaTheme="minorHAnsi" w:hAnsi="Palatino Linotype" w:cs="Arial"/>
          <w:lang w:eastAsia="en-US"/>
        </w:rPr>
        <w:t xml:space="preserve"> cual</w:t>
      </w:r>
      <w:r w:rsidR="00E054FD">
        <w:rPr>
          <w:rFonts w:ascii="Palatino Linotype" w:eastAsiaTheme="minorHAnsi" w:hAnsi="Palatino Linotype" w:cs="Arial"/>
          <w:lang w:eastAsia="en-US"/>
        </w:rPr>
        <w:t>es</w:t>
      </w:r>
      <w:r w:rsidR="0066233C">
        <w:rPr>
          <w:rFonts w:ascii="Palatino Linotype" w:eastAsiaTheme="minorHAnsi" w:hAnsi="Palatino Linotype" w:cs="Arial"/>
          <w:lang w:eastAsia="en-US"/>
        </w:rPr>
        <w:t xml:space="preserve"> no se reproduce</w:t>
      </w:r>
      <w:r>
        <w:rPr>
          <w:rFonts w:ascii="Palatino Linotype" w:eastAsiaTheme="minorHAnsi" w:hAnsi="Palatino Linotype" w:cs="Arial"/>
          <w:lang w:eastAsia="en-US"/>
        </w:rPr>
        <w:t>n</w:t>
      </w:r>
      <w:r w:rsidR="00F46230" w:rsidRPr="00F46230">
        <w:rPr>
          <w:rFonts w:ascii="Palatino Linotype" w:eastAsiaTheme="minorHAnsi" w:hAnsi="Palatino Linotype" w:cs="Arial"/>
          <w:lang w:eastAsia="en-US"/>
        </w:rPr>
        <w:t xml:space="preserve"> toda vez que su contenido es del conocimiento de las partes; no obstante, se hará mérito de su contenido más adelante.</w:t>
      </w:r>
    </w:p>
    <w:p w14:paraId="30630136" w14:textId="77777777" w:rsidR="00F46230" w:rsidRPr="00B21190" w:rsidRDefault="00F46230" w:rsidP="00D81C1B">
      <w:pPr>
        <w:spacing w:line="360" w:lineRule="auto"/>
        <w:jc w:val="both"/>
      </w:pPr>
    </w:p>
    <w:p w14:paraId="2B85071E" w14:textId="614357AB" w:rsidR="00D34057" w:rsidRPr="00B21190" w:rsidRDefault="00E054FD" w:rsidP="003D0754">
      <w:pPr>
        <w:spacing w:line="360" w:lineRule="auto"/>
        <w:jc w:val="both"/>
        <w:rPr>
          <w:rFonts w:ascii="Palatino Linotype" w:hAnsi="Palatino Linotype" w:cs="Arial"/>
          <w:b/>
          <w:sz w:val="28"/>
        </w:rPr>
      </w:pPr>
      <w:r>
        <w:rPr>
          <w:rFonts w:ascii="Palatino Linotype" w:hAnsi="Palatino Linotype" w:cs="Arial"/>
          <w:b/>
          <w:sz w:val="28"/>
        </w:rPr>
        <w:t>CUARTO</w:t>
      </w:r>
      <w:r w:rsidR="00D34057" w:rsidRPr="00B21190">
        <w:rPr>
          <w:rFonts w:ascii="Palatino Linotype" w:hAnsi="Palatino Linotype" w:cs="Arial"/>
          <w:b/>
          <w:sz w:val="28"/>
        </w:rPr>
        <w:t xml:space="preserve">. </w:t>
      </w:r>
      <w:r w:rsidR="00D34057" w:rsidRPr="00B21190">
        <w:rPr>
          <w:rFonts w:ascii="Palatino Linotype" w:hAnsi="Palatino Linotype"/>
          <w:b/>
          <w:sz w:val="28"/>
        </w:rPr>
        <w:t>Del recurso de revisión.</w:t>
      </w:r>
    </w:p>
    <w:p w14:paraId="296EDA60" w14:textId="60A4317F"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6A6499">
        <w:rPr>
          <w:rFonts w:ascii="Palatino Linotype" w:hAnsi="Palatino Linotype" w:cs="Arial"/>
          <w:b/>
        </w:rPr>
        <w:t>el</w:t>
      </w:r>
      <w:r w:rsidR="00293D51">
        <w:rPr>
          <w:rFonts w:ascii="Palatino Linotype" w:hAnsi="Palatino Linotype" w:cs="Arial"/>
          <w:b/>
        </w:rPr>
        <w:t xml:space="preserve"> Recurrente</w:t>
      </w:r>
      <w:r w:rsidRPr="00B21190">
        <w:rPr>
          <w:rFonts w:ascii="Palatino Linotype" w:hAnsi="Palatino Linotype" w:cs="Arial"/>
          <w:b/>
        </w:rPr>
        <w:t xml:space="preserve"> </w:t>
      </w:r>
      <w:r w:rsidRPr="00B21190">
        <w:rPr>
          <w:rFonts w:ascii="Palatino Linotype" w:hAnsi="Palatino Linotype" w:cs="Arial"/>
        </w:rPr>
        <w:t xml:space="preserve">interpuso el recurso de revisión, en fecha </w:t>
      </w:r>
      <w:r w:rsidR="00E054FD">
        <w:rPr>
          <w:rFonts w:ascii="Palatino Linotype" w:hAnsi="Palatino Linotype" w:cs="Arial"/>
        </w:rPr>
        <w:t>trece de abril de dos mil veintitrés</w:t>
      </w:r>
      <w:r w:rsidRPr="00B21190">
        <w:rPr>
          <w:rFonts w:ascii="Palatino Linotype" w:hAnsi="Palatino Linotype" w:cs="Arial"/>
        </w:rPr>
        <w:t>, el cual fue registrado</w:t>
      </w:r>
      <w:r w:rsidRPr="00B21190">
        <w:rPr>
          <w:rFonts w:ascii="Palatino Linotype" w:hAnsi="Palatino Linotype" w:cs="Arial"/>
          <w:b/>
        </w:rPr>
        <w:t xml:space="preserve"> </w:t>
      </w:r>
      <w:r w:rsidRPr="00B21190">
        <w:rPr>
          <w:rFonts w:ascii="Palatino Linotype" w:hAnsi="Palatino Linotype" w:cs="Arial"/>
        </w:rPr>
        <w:t xml:space="preserve">en el sistema electrónico con el expediente número </w:t>
      </w:r>
      <w:r w:rsidR="00E054FD" w:rsidRPr="00E054FD">
        <w:rPr>
          <w:rFonts w:ascii="Palatino Linotype" w:hAnsi="Palatino Linotype" w:cs="Arial"/>
          <w:b/>
          <w:bCs/>
          <w:lang w:eastAsia="es-MX"/>
        </w:rPr>
        <w:t>01915/INFOEM/IP/RR/2023</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75D69C08" w:rsidR="00D34057" w:rsidRPr="00B21190" w:rsidRDefault="00D34057" w:rsidP="007D7483">
      <w:pPr>
        <w:ind w:left="851" w:right="850"/>
        <w:jc w:val="both"/>
        <w:rPr>
          <w:rFonts w:ascii="Palatino Linotype" w:hAnsi="Palatino Linotype" w:cs="Arial"/>
          <w:i/>
        </w:rPr>
      </w:pPr>
      <w:r w:rsidRPr="00B21190">
        <w:rPr>
          <w:rFonts w:ascii="Palatino Linotype" w:hAnsi="Palatino Linotype" w:cs="Arial"/>
          <w:i/>
        </w:rPr>
        <w:t>“</w:t>
      </w:r>
      <w:r w:rsidR="00E054FD" w:rsidRPr="00E054FD">
        <w:rPr>
          <w:rFonts w:ascii="Palatino Linotype" w:hAnsi="Palatino Linotype"/>
          <w:i/>
          <w:color w:val="000000"/>
        </w:rPr>
        <w:t>No cumple con lo señalado en la ley de transparencia federal ni local</w:t>
      </w:r>
      <w:r w:rsidRPr="00B21190">
        <w:rPr>
          <w:rFonts w:ascii="Palatino Linotype" w:hAnsi="Palatino Linotype" w:cs="Arial"/>
          <w:i/>
        </w:rPr>
        <w:t>”</w:t>
      </w:r>
      <w:r w:rsidR="00CF70A0">
        <w:rPr>
          <w:rFonts w:ascii="Palatino Linotype" w:hAnsi="Palatino Linotype" w:cs="Arial"/>
          <w:i/>
        </w:rPr>
        <w:t xml:space="preserve"> </w:t>
      </w:r>
      <w:r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BAB5DFF" w14:textId="7D120671" w:rsidR="0088792E" w:rsidRPr="0088792E" w:rsidRDefault="00D34057" w:rsidP="00E054FD">
      <w:pPr>
        <w:ind w:left="851" w:right="850"/>
        <w:jc w:val="both"/>
        <w:rPr>
          <w:rFonts w:ascii="Palatino Linotype" w:hAnsi="Palatino Linotype" w:cs="Arial"/>
          <w:i/>
        </w:rPr>
      </w:pPr>
      <w:r w:rsidRPr="00E054FD">
        <w:rPr>
          <w:rFonts w:ascii="Palatino Linotype" w:hAnsi="Palatino Linotype" w:cs="Arial"/>
          <w:i/>
        </w:rPr>
        <w:t>“</w:t>
      </w:r>
      <w:r w:rsidR="00E054FD" w:rsidRPr="00E054FD">
        <w:rPr>
          <w:rFonts w:ascii="Palatino Linotype" w:hAnsi="Palatino Linotype"/>
          <w:i/>
          <w:color w:val="000000"/>
        </w:rPr>
        <w:t>No cumple con lo señalado en la ley de transparencia federal ni local</w:t>
      </w:r>
      <w:r w:rsidRPr="00E054FD">
        <w:rPr>
          <w:rFonts w:ascii="Palatino Linotype" w:hAnsi="Palatino Linotype" w:cs="Arial"/>
          <w:i/>
        </w:rPr>
        <w:t>” [sic]</w:t>
      </w:r>
    </w:p>
    <w:p w14:paraId="5AE43361" w14:textId="77777777" w:rsidR="0088792E" w:rsidRDefault="0088792E" w:rsidP="003D0754">
      <w:pPr>
        <w:spacing w:line="360" w:lineRule="auto"/>
        <w:jc w:val="both"/>
        <w:rPr>
          <w:rFonts w:ascii="Palatino Linotype" w:hAnsi="Palatino Linotype" w:cs="Arial"/>
          <w:b/>
          <w:sz w:val="28"/>
        </w:rPr>
      </w:pPr>
    </w:p>
    <w:p w14:paraId="3DE918EE" w14:textId="07DCD0D1" w:rsidR="00D34057" w:rsidRPr="00B21190" w:rsidRDefault="00E054FD" w:rsidP="003D0754">
      <w:pPr>
        <w:spacing w:line="360" w:lineRule="auto"/>
        <w:jc w:val="both"/>
        <w:rPr>
          <w:rFonts w:ascii="Palatino Linotype" w:hAnsi="Palatino Linotype" w:cs="Arial"/>
          <w:b/>
        </w:rPr>
      </w:pPr>
      <w:r>
        <w:rPr>
          <w:rFonts w:ascii="Palatino Linotype" w:hAnsi="Palatino Linotype" w:cs="Arial"/>
          <w:b/>
          <w:sz w:val="28"/>
        </w:rPr>
        <w:t>QUINTO</w:t>
      </w:r>
      <w:r w:rsidR="00D34057" w:rsidRPr="00B21190">
        <w:rPr>
          <w:rFonts w:ascii="Palatino Linotype" w:hAnsi="Palatino Linotype" w:cs="Arial"/>
          <w:b/>
        </w:rPr>
        <w:t xml:space="preserve">. </w:t>
      </w:r>
      <w:r w:rsidR="00D34057" w:rsidRPr="00B21190">
        <w:rPr>
          <w:rFonts w:ascii="Palatino Linotype" w:hAnsi="Palatino Linotype" w:cs="Arial"/>
          <w:b/>
          <w:sz w:val="28"/>
          <w:szCs w:val="28"/>
        </w:rPr>
        <w:t>Del turno del recurso de revisión.</w:t>
      </w:r>
    </w:p>
    <w:p w14:paraId="326E2B84" w14:textId="1695D2B7"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Medio de impugnación que le fue turnado a</w:t>
      </w:r>
      <w:r w:rsidR="006A6499">
        <w:rPr>
          <w:rFonts w:ascii="Palatino Linotype" w:hAnsi="Palatino Linotype" w:cs="Arial"/>
        </w:rPr>
        <w:t>l</w:t>
      </w:r>
      <w:r w:rsidRPr="00B21190">
        <w:rPr>
          <w:rFonts w:ascii="Palatino Linotype" w:hAnsi="Palatino Linotype" w:cs="Arial"/>
        </w:rPr>
        <w:t xml:space="preserve"> Comisionad</w:t>
      </w:r>
      <w:r w:rsidR="006A6499">
        <w:rPr>
          <w:rFonts w:ascii="Palatino Linotype" w:hAnsi="Palatino Linotype" w:cs="Arial"/>
        </w:rPr>
        <w:t>o</w:t>
      </w:r>
      <w:r w:rsidRPr="00B21190">
        <w:rPr>
          <w:rFonts w:ascii="Palatino Linotype" w:hAnsi="Palatino Linotype" w:cs="Arial"/>
        </w:rPr>
        <w:t xml:space="preserve"> </w:t>
      </w:r>
      <w:r w:rsidR="006A6499">
        <w:rPr>
          <w:rFonts w:ascii="Palatino Linotype" w:hAnsi="Palatino Linotype" w:cs="Arial"/>
          <w:b/>
        </w:rPr>
        <w:t>José Martínez Vilchis</w:t>
      </w:r>
      <w:r w:rsidRPr="00B21190">
        <w:rPr>
          <w:rFonts w:ascii="Palatino Linotype" w:hAnsi="Palatino Linotype" w:cs="Arial"/>
        </w:rPr>
        <w:t>, por medio del sistema electrónico en términos del arábigo 185</w:t>
      </w:r>
      <w:r w:rsidR="003D0754" w:rsidRPr="00B21190">
        <w:rPr>
          <w:rFonts w:ascii="Palatino Linotype" w:hAnsi="Palatino Linotype" w:cs="Arial"/>
        </w:rPr>
        <w:t>,</w:t>
      </w:r>
      <w:r w:rsidRPr="00B21190">
        <w:rPr>
          <w:rFonts w:ascii="Palatino Linotype" w:hAnsi="Palatino Linotype" w:cs="Arial"/>
        </w:rPr>
        <w:t xml:space="preserve"> fracción I</w:t>
      </w:r>
      <w:r w:rsidR="003D0754" w:rsidRPr="00B21190">
        <w:rPr>
          <w:rFonts w:ascii="Palatino Linotype" w:hAnsi="Palatino Linotype" w:cs="Arial"/>
        </w:rPr>
        <w:t>,</w:t>
      </w:r>
      <w:r w:rsidRPr="00B21190">
        <w:rPr>
          <w:rFonts w:ascii="Palatino Linotype" w:hAnsi="Palatino Linotype" w:cs="Arial"/>
        </w:rPr>
        <w:t xml:space="preserve"> de la Ley de Transparencia y Acceso a la información Pública del Estado de México y Municipios, del cual recayó acuerdo de admisión en fecha</w:t>
      </w:r>
      <w:r w:rsidR="00D27E5B">
        <w:rPr>
          <w:rFonts w:ascii="Palatino Linotype" w:hAnsi="Palatino Linotype" w:cs="Arial"/>
        </w:rPr>
        <w:t xml:space="preserve"> </w:t>
      </w:r>
      <w:r w:rsidR="00E17750">
        <w:rPr>
          <w:rFonts w:ascii="Palatino Linotype" w:hAnsi="Palatino Linotype" w:cs="Arial"/>
        </w:rPr>
        <w:t>diecinueve de abril</w:t>
      </w:r>
      <w:r w:rsidRPr="00B21190">
        <w:rPr>
          <w:rFonts w:ascii="Palatino Linotype" w:hAnsi="Palatino Linotype" w:cs="Arial"/>
        </w:rPr>
        <w:t xml:space="preserve"> de</w:t>
      </w:r>
      <w:r w:rsidR="00BD28E3" w:rsidRPr="00B21190">
        <w:rPr>
          <w:rFonts w:ascii="Palatino Linotype" w:hAnsi="Palatino Linotype" w:cs="Arial"/>
        </w:rPr>
        <w:t>l</w:t>
      </w:r>
      <w:r w:rsidRPr="00B21190">
        <w:rPr>
          <w:rFonts w:ascii="Palatino Linotype" w:hAnsi="Palatino Linotype" w:cs="Arial"/>
        </w:rPr>
        <w:t xml:space="preserve"> </w:t>
      </w:r>
      <w:r w:rsidR="00BD28E3" w:rsidRPr="00B21190">
        <w:rPr>
          <w:rFonts w:ascii="Palatino Linotype" w:hAnsi="Palatino Linotype" w:cs="Arial"/>
        </w:rPr>
        <w:t>año en curso</w:t>
      </w:r>
      <w:r w:rsidRPr="00B21190">
        <w:rPr>
          <w:rFonts w:ascii="Palatino Linotype" w:hAnsi="Palatino Linotype" w:cs="Arial"/>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rPr>
      </w:pPr>
    </w:p>
    <w:p w14:paraId="51BD16D2" w14:textId="35382FF1" w:rsidR="00D34057" w:rsidRPr="00B21190" w:rsidRDefault="00E17750" w:rsidP="003D0754">
      <w:pPr>
        <w:spacing w:line="360" w:lineRule="auto"/>
        <w:jc w:val="both"/>
        <w:rPr>
          <w:rFonts w:ascii="Palatino Linotype" w:hAnsi="Palatino Linotype" w:cs="Arial"/>
          <w:b/>
        </w:rPr>
      </w:pPr>
      <w:r>
        <w:rPr>
          <w:rFonts w:ascii="Palatino Linotype" w:hAnsi="Palatino Linotype" w:cs="Arial"/>
          <w:b/>
          <w:sz w:val="28"/>
        </w:rPr>
        <w:t>SEXTO</w:t>
      </w:r>
      <w:r w:rsidR="00D34057" w:rsidRPr="00B21190">
        <w:rPr>
          <w:rFonts w:ascii="Palatino Linotype" w:hAnsi="Palatino Linotype" w:cs="Arial"/>
          <w:b/>
        </w:rPr>
        <w:t xml:space="preserve">. </w:t>
      </w:r>
      <w:r w:rsidR="00D34057" w:rsidRPr="00B21190">
        <w:rPr>
          <w:rFonts w:ascii="Palatino Linotype" w:hAnsi="Palatino Linotype" w:cs="Arial"/>
          <w:b/>
          <w:sz w:val="28"/>
          <w:szCs w:val="28"/>
        </w:rPr>
        <w:t>De la etapa de instrucción.</w:t>
      </w:r>
    </w:p>
    <w:p w14:paraId="5DEF163C" w14:textId="36B0E5B8" w:rsidR="00073779" w:rsidRPr="00073779" w:rsidRDefault="00073779" w:rsidP="00073779">
      <w:pPr>
        <w:spacing w:line="360" w:lineRule="auto"/>
        <w:jc w:val="both"/>
        <w:rPr>
          <w:rFonts w:ascii="Palatino Linotype" w:hAnsi="Palatino Linotype"/>
          <w:lang w:val="es-MX"/>
        </w:rPr>
      </w:pPr>
      <w:r w:rsidRPr="00073779">
        <w:rPr>
          <w:rFonts w:ascii="Palatino Linotype" w:hAnsi="Palatino Linotype"/>
          <w:lang w:val="es-MX"/>
        </w:rPr>
        <w:t xml:space="preserve">Así, una vez abierta la etapa de instrucción, en el sumario se observa que </w:t>
      </w:r>
      <w:r w:rsidRPr="00073779">
        <w:rPr>
          <w:rFonts w:ascii="Palatino Linotype" w:hAnsi="Palatino Linotype"/>
          <w:b/>
          <w:bCs/>
          <w:lang w:val="es-MX"/>
        </w:rPr>
        <w:t>el Sujeto Obligado</w:t>
      </w:r>
      <w:r w:rsidRPr="00073779">
        <w:rPr>
          <w:rFonts w:ascii="Palatino Linotype" w:hAnsi="Palatino Linotype"/>
          <w:lang w:val="es-MX"/>
        </w:rPr>
        <w:t xml:space="preserve"> en fecha </w:t>
      </w:r>
      <w:r w:rsidR="00E17750">
        <w:rPr>
          <w:rFonts w:ascii="Palatino Linotype" w:hAnsi="Palatino Linotype"/>
          <w:lang w:val="es-MX"/>
        </w:rPr>
        <w:t>veintiuno de abril de dos mil veintitrés</w:t>
      </w:r>
      <w:r w:rsidRPr="00073779">
        <w:rPr>
          <w:rFonts w:ascii="Palatino Linotype" w:hAnsi="Palatino Linotype"/>
          <w:lang w:val="es-MX"/>
        </w:rPr>
        <w:t xml:space="preserve">, presentó su informe justificado, dicho Informe </w:t>
      </w:r>
      <w:r w:rsidR="00066CFD">
        <w:rPr>
          <w:rFonts w:ascii="Palatino Linotype" w:hAnsi="Palatino Linotype"/>
          <w:lang w:val="es-MX"/>
        </w:rPr>
        <w:t>se puso</w:t>
      </w:r>
      <w:r w:rsidRPr="00073779">
        <w:rPr>
          <w:rFonts w:ascii="Palatino Linotype" w:hAnsi="Palatino Linotype"/>
          <w:lang w:val="es-MX"/>
        </w:rPr>
        <w:t xml:space="preserve"> a la vista del </w:t>
      </w:r>
      <w:r w:rsidRPr="00073779">
        <w:rPr>
          <w:rFonts w:ascii="Palatino Linotype" w:hAnsi="Palatino Linotype"/>
          <w:b/>
          <w:bCs/>
          <w:lang w:val="es-MX"/>
        </w:rPr>
        <w:t>Recurrente</w:t>
      </w:r>
      <w:r w:rsidRPr="00073779">
        <w:rPr>
          <w:rFonts w:ascii="Palatino Linotype" w:hAnsi="Palatino Linotype"/>
          <w:lang w:val="es-MX"/>
        </w:rPr>
        <w:t xml:space="preserve"> mediante acuerdo de fecha </w:t>
      </w:r>
      <w:r w:rsidR="00E17750">
        <w:rPr>
          <w:rFonts w:ascii="Palatino Linotype" w:hAnsi="Palatino Linotype"/>
          <w:lang w:val="es-MX"/>
        </w:rPr>
        <w:t>seis de septiembre de dos mil veintitrés</w:t>
      </w:r>
      <w:r w:rsidRPr="00073779">
        <w:rPr>
          <w:rFonts w:ascii="Palatino Linotype" w:hAnsi="Palatino Linotype"/>
          <w:lang w:val="es-MX"/>
        </w:rPr>
        <w:t xml:space="preserve">, para que en un término de tres días el </w:t>
      </w:r>
      <w:r w:rsidRPr="00073779">
        <w:rPr>
          <w:rFonts w:ascii="Palatino Linotype" w:hAnsi="Palatino Linotype"/>
          <w:b/>
          <w:bCs/>
          <w:lang w:val="es-MX"/>
        </w:rPr>
        <w:t>Recurrente</w:t>
      </w:r>
      <w:r w:rsidRPr="00073779">
        <w:rPr>
          <w:rFonts w:ascii="Palatino Linotype" w:hAnsi="Palatino Linotype"/>
          <w:lang w:val="es-MX"/>
        </w:rPr>
        <w:t xml:space="preserve"> adujera manifestaciones; asimismo, se hace constar que el </w:t>
      </w:r>
      <w:r w:rsidRPr="00073779">
        <w:rPr>
          <w:rFonts w:ascii="Palatino Linotype" w:hAnsi="Palatino Linotype"/>
          <w:b/>
          <w:bCs/>
          <w:lang w:val="es-MX"/>
        </w:rPr>
        <w:t>Recurrente</w:t>
      </w:r>
      <w:r w:rsidRPr="00073779">
        <w:rPr>
          <w:rFonts w:ascii="Palatino Linotype" w:hAnsi="Palatino Linotype"/>
          <w:lang w:val="es-MX"/>
        </w:rPr>
        <w:t xml:space="preserve"> fue omiso en presentar sus manifestaciones respecto al informe justificado remitido por </w:t>
      </w:r>
      <w:r w:rsidRPr="00073779">
        <w:rPr>
          <w:rFonts w:ascii="Palatino Linotype" w:hAnsi="Palatino Linotype"/>
          <w:b/>
          <w:bCs/>
          <w:lang w:val="es-MX"/>
        </w:rPr>
        <w:t>el Sujeto Obligado</w:t>
      </w:r>
      <w:r w:rsidRPr="00073779">
        <w:rPr>
          <w:rFonts w:ascii="Palatino Linotype" w:hAnsi="Palatino Linotype"/>
          <w:lang w:val="es-MX"/>
        </w:rPr>
        <w:t>, finalmente se advierte de las constancias que integran el presente expediente, que no existe prueba alguna que deba desahogarse.</w:t>
      </w:r>
    </w:p>
    <w:p w14:paraId="2FFA296B" w14:textId="77777777" w:rsidR="00220EE7" w:rsidRDefault="00220EE7" w:rsidP="00D27E5B">
      <w:pPr>
        <w:spacing w:line="360" w:lineRule="auto"/>
        <w:jc w:val="both"/>
        <w:rPr>
          <w:rFonts w:ascii="Palatino Linotype" w:hAnsi="Palatino Linotype"/>
          <w:b/>
          <w:sz w:val="28"/>
          <w:szCs w:val="28"/>
        </w:rPr>
      </w:pPr>
    </w:p>
    <w:p w14:paraId="6878CCBD" w14:textId="4072EF4B" w:rsidR="00D27E5B" w:rsidRPr="00D27E5B" w:rsidRDefault="00E17750" w:rsidP="00D27E5B">
      <w:pPr>
        <w:spacing w:line="360" w:lineRule="auto"/>
        <w:jc w:val="both"/>
        <w:rPr>
          <w:rFonts w:ascii="Palatino Linotype" w:hAnsi="Palatino Linotype"/>
          <w:b/>
          <w:sz w:val="28"/>
          <w:szCs w:val="28"/>
        </w:rPr>
      </w:pPr>
      <w:r>
        <w:rPr>
          <w:rFonts w:ascii="Palatino Linotype" w:hAnsi="Palatino Linotype"/>
          <w:b/>
          <w:sz w:val="28"/>
          <w:szCs w:val="28"/>
        </w:rPr>
        <w:t>SÉPTIMO</w:t>
      </w:r>
      <w:r w:rsidR="00D27E5B" w:rsidRPr="00D27E5B">
        <w:rPr>
          <w:rFonts w:ascii="Palatino Linotype" w:hAnsi="Palatino Linotype"/>
          <w:b/>
          <w:sz w:val="28"/>
          <w:szCs w:val="28"/>
        </w:rPr>
        <w:t>. Del cierre de instrucción.</w:t>
      </w:r>
      <w:r w:rsidR="00D27E5B" w:rsidRPr="00D27E5B">
        <w:rPr>
          <w:rFonts w:ascii="Palatino Linotype" w:hAnsi="Palatino Linotype"/>
          <w:b/>
          <w:sz w:val="28"/>
          <w:szCs w:val="28"/>
        </w:rPr>
        <w:tab/>
      </w:r>
    </w:p>
    <w:p w14:paraId="7D5351C9" w14:textId="406E2743" w:rsidR="00D27E5B" w:rsidRPr="00D27E5B" w:rsidRDefault="00D27E5B" w:rsidP="00D27E5B">
      <w:pPr>
        <w:spacing w:line="360" w:lineRule="auto"/>
        <w:jc w:val="both"/>
        <w:rPr>
          <w:rFonts w:ascii="Palatino Linotype" w:hAnsi="Palatino Linotype"/>
        </w:rPr>
      </w:pPr>
      <w:r w:rsidRPr="00D27E5B">
        <w:rPr>
          <w:rFonts w:ascii="Palatino Linotype" w:hAnsi="Palatino Linotype"/>
        </w:rPr>
        <w:t xml:space="preserve">Así, una vez transcurrido el término legal, se decretó el cierre de instrucción en fecha </w:t>
      </w:r>
      <w:r w:rsidR="00E17750">
        <w:rPr>
          <w:rFonts w:ascii="Palatino Linotype" w:hAnsi="Palatino Linotype"/>
        </w:rPr>
        <w:t>dieciséis de noviembre de dos mil veintidós</w:t>
      </w:r>
      <w:r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437645E0" w14:textId="77777777" w:rsidR="00220EE7" w:rsidRPr="00220EE7" w:rsidRDefault="00220EE7" w:rsidP="00220EE7">
      <w:pPr>
        <w:spacing w:line="360" w:lineRule="auto"/>
        <w:jc w:val="both"/>
        <w:rPr>
          <w:rFonts w:ascii="Palatino Linotype" w:hAnsi="Palatino Linotype"/>
          <w:b/>
          <w:sz w:val="28"/>
          <w:szCs w:val="28"/>
        </w:rPr>
      </w:pPr>
    </w:p>
    <w:p w14:paraId="0EEC8193" w14:textId="1BEDE4BC" w:rsidR="00E17750" w:rsidRPr="00E17750" w:rsidRDefault="00E17750" w:rsidP="00E17750">
      <w:pPr>
        <w:pBdr>
          <w:top w:val="nil"/>
          <w:left w:val="nil"/>
          <w:bottom w:val="nil"/>
          <w:right w:val="nil"/>
          <w:between w:val="nil"/>
        </w:pBdr>
        <w:spacing w:line="360" w:lineRule="auto"/>
        <w:jc w:val="both"/>
        <w:rPr>
          <w:rFonts w:ascii="Palatino Linotype" w:eastAsia="Palatino Linotype" w:hAnsi="Palatino Linotype" w:cs="Palatino Linotype"/>
          <w:b/>
          <w:bCs/>
          <w:color w:val="000000"/>
          <w:sz w:val="26"/>
          <w:szCs w:val="26"/>
          <w:lang w:val="es-ES_tradnl" w:eastAsia="es-MX"/>
        </w:rPr>
      </w:pPr>
      <w:r>
        <w:rPr>
          <w:rFonts w:ascii="Palatino Linotype" w:eastAsia="Palatino Linotype" w:hAnsi="Palatino Linotype" w:cs="Palatino Linotype"/>
          <w:b/>
          <w:bCs/>
          <w:color w:val="000000"/>
          <w:sz w:val="26"/>
          <w:szCs w:val="26"/>
          <w:lang w:val="es-ES_tradnl" w:eastAsia="es-MX"/>
        </w:rPr>
        <w:t>OCTAVO</w:t>
      </w:r>
      <w:r w:rsidRPr="00E17750">
        <w:rPr>
          <w:rFonts w:ascii="Palatino Linotype" w:eastAsia="Palatino Linotype" w:hAnsi="Palatino Linotype" w:cs="Palatino Linotype"/>
          <w:b/>
          <w:bCs/>
          <w:color w:val="000000"/>
          <w:sz w:val="26"/>
          <w:szCs w:val="26"/>
          <w:lang w:val="es-ES_tradnl" w:eastAsia="es-MX"/>
        </w:rPr>
        <w:t>. De la ampliación del término para resolver.</w:t>
      </w:r>
    </w:p>
    <w:p w14:paraId="223397BB" w14:textId="77777777" w:rsidR="00E17750" w:rsidRPr="00E17750" w:rsidRDefault="00E17750" w:rsidP="00E177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E17750">
        <w:rPr>
          <w:rFonts w:ascii="Palatino Linotype" w:eastAsia="Palatino Linotype" w:hAnsi="Palatino Linotype" w:cs="Palatino Linotype"/>
          <w:color w:val="000000"/>
          <w:lang w:val="es-ES_tradnl" w:eastAsia="es-MX"/>
        </w:rPr>
        <w:t>En fecha seis de septiembre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3050A4AC" w14:textId="77777777" w:rsidR="00E17750" w:rsidRPr="00E17750" w:rsidRDefault="00E17750" w:rsidP="00E177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20CA15C1"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lastRenderedPageBreak/>
        <w:t xml:space="preserve">Este organismo garante no pasa por alto justificar, </w:t>
      </w:r>
      <w:r w:rsidRPr="00E17750">
        <w:rPr>
          <w:rFonts w:ascii="Palatino Linotype" w:eastAsiaTheme="minorHAnsi" w:hAnsi="Palatino Linotype" w:cstheme="minorBidi"/>
          <w:bCs/>
          <w:lang w:val="es-MX" w:eastAsia="en-US"/>
        </w:rPr>
        <w:t xml:space="preserve">que el plazo para emitir resolución en el presente asunto </w:t>
      </w:r>
      <w:r w:rsidRPr="00E17750">
        <w:rPr>
          <w:rFonts w:ascii="Palatino Linotype" w:eastAsiaTheme="minorHAnsi" w:hAnsi="Palatino Linotype" w:cstheme="minorBidi"/>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B15A98"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45ED25A7"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 xml:space="preserve">Por ello, es menester precisar que, si bien se ha excedido el plazo para resolver el presente medio de impugnación, de conformidad con la ley de la materia, </w:t>
      </w:r>
      <w:r w:rsidRPr="00E17750">
        <w:rPr>
          <w:rFonts w:ascii="Palatino Linotype" w:eastAsiaTheme="minorHAnsi" w:hAnsi="Palatino Linotype" w:cstheme="minorBidi"/>
          <w:bCs/>
          <w:lang w:val="es-MX" w:eastAsia="en-US"/>
        </w:rPr>
        <w:t>el plazo para emitir resolución</w:t>
      </w:r>
      <w:r w:rsidRPr="00E17750">
        <w:rPr>
          <w:rFonts w:ascii="Palatino Linotype" w:eastAsiaTheme="minorHAnsi" w:hAnsi="Palatino Linotype" w:cstheme="minorBidi"/>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5CA467E"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2BFF2CE9"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6AB803"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54225555"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307CAA"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132B56FC"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00B4B121"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2EFBFF94" w14:textId="77777777" w:rsidR="00E17750" w:rsidRPr="00E17750" w:rsidRDefault="00E17750" w:rsidP="00E17750">
      <w:pPr>
        <w:numPr>
          <w:ilvl w:val="0"/>
          <w:numId w:val="29"/>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E17750">
        <w:rPr>
          <w:rFonts w:ascii="Palatino Linotype" w:eastAsiaTheme="minorHAnsi" w:hAnsi="Palatino Linotype" w:cstheme="minorBidi"/>
          <w:lang w:val="es-ES_tradnl" w:eastAsia="en-US"/>
        </w:rPr>
        <w:t>Complejidad del asunto: La complejidad de la prueba, la pluralidad de sujetos procesales, el tiempo transcurrido, las características y contexto del recurso.</w:t>
      </w:r>
    </w:p>
    <w:p w14:paraId="14889A46" w14:textId="77777777" w:rsidR="00E17750" w:rsidRPr="00E17750" w:rsidRDefault="00E17750" w:rsidP="00E17750">
      <w:pPr>
        <w:numPr>
          <w:ilvl w:val="0"/>
          <w:numId w:val="29"/>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E17750">
        <w:rPr>
          <w:rFonts w:ascii="Palatino Linotype" w:eastAsiaTheme="minorHAnsi" w:hAnsi="Palatino Linotype" w:cstheme="minorBidi"/>
          <w:lang w:val="es-ES_tradnl" w:eastAsia="en-US"/>
        </w:rPr>
        <w:t>Actividad Procesal del interesado: Acciones u omisiones del interesado.</w:t>
      </w:r>
    </w:p>
    <w:p w14:paraId="579335AD" w14:textId="77777777" w:rsidR="00E17750" w:rsidRPr="00E17750" w:rsidRDefault="00E17750" w:rsidP="00E17750">
      <w:pPr>
        <w:numPr>
          <w:ilvl w:val="0"/>
          <w:numId w:val="29"/>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E17750">
        <w:rPr>
          <w:rFonts w:ascii="Palatino Linotype" w:eastAsiaTheme="minorHAnsi" w:hAnsi="Palatino Linotype" w:cstheme="minorBidi"/>
          <w:lang w:val="es-ES_tradnl" w:eastAsia="en-US"/>
        </w:rPr>
        <w:t>Conducta de la Autoridad: Las Acciones u omisiones realizadas en el procedimiento. Así como si la autoridad actuó con la debida diligencia.</w:t>
      </w:r>
    </w:p>
    <w:p w14:paraId="457EFF8F" w14:textId="77777777" w:rsidR="00E17750" w:rsidRPr="00E17750" w:rsidRDefault="00E17750" w:rsidP="00E17750">
      <w:pPr>
        <w:numPr>
          <w:ilvl w:val="0"/>
          <w:numId w:val="29"/>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E17750">
        <w:rPr>
          <w:rFonts w:ascii="Palatino Linotype" w:eastAsiaTheme="minorHAnsi" w:hAnsi="Palatino Linotype" w:cstheme="minorBidi"/>
          <w:lang w:val="es-ES_tradnl" w:eastAsia="en-US"/>
        </w:rPr>
        <w:t>La afectación generada en la situación jurídica de la persona involucrada en el proceso: Violación a sus derechos humanos.</w:t>
      </w:r>
    </w:p>
    <w:p w14:paraId="341EDAAE"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1EB814DD"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518FC"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399C45F4"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Argumento que encuentra sustento en la jurisprudencia P</w:t>
      </w:r>
      <w:proofErr w:type="gramStart"/>
      <w:r w:rsidRPr="00E17750">
        <w:rPr>
          <w:rFonts w:ascii="Palatino Linotype" w:eastAsiaTheme="minorHAnsi" w:hAnsi="Palatino Linotype" w:cstheme="minorBidi"/>
          <w:lang w:val="es-MX" w:eastAsia="en-US"/>
        </w:rPr>
        <w:t>./</w:t>
      </w:r>
      <w:proofErr w:type="gramEnd"/>
      <w:r w:rsidRPr="00E17750">
        <w:rPr>
          <w:rFonts w:ascii="Palatino Linotype" w:eastAsiaTheme="minorHAnsi" w:hAnsi="Palatino Linotype" w:cstheme="minorBidi"/>
          <w:lang w:val="es-MX" w:eastAsia="en-US"/>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E17750">
        <w:rPr>
          <w:rFonts w:ascii="Palatino Linotype" w:eastAsiaTheme="minorHAnsi" w:hAnsi="Palatino Linotype" w:cstheme="minorBidi"/>
          <w:lang w:val="es-MX" w:eastAsia="en-US"/>
        </w:rPr>
        <w:lastRenderedPageBreak/>
        <w:t>CARACTERÍSTICAS DEL CASO.”, visible en la Gaceta del Seminario Judicial de la Federación con el registro digital 205635.</w:t>
      </w:r>
    </w:p>
    <w:p w14:paraId="3B346347"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63D17920"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7620B4C3"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5FC38B82"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Al respecto, también son de considerar los criterios sostenidos por el Cuarto Tribunal Colegiado en Materia Administrativa del Primer Circuito, cuyos rubros y datos de identificación son los siguientes:</w:t>
      </w:r>
    </w:p>
    <w:p w14:paraId="6BCBDF01"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07370EF8"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“PLAZO RAZONABLE PARA RESOLVER. DIMENSIÓN Y EFECTOS DE ESTE CONCEPTO CUANDO SE ADUCE EXCESIVA CARGA DE TRABAJO.” consultable en el Seminario Judicial de la Federación y su gaceta, con el registro digital 2002351.</w:t>
      </w:r>
    </w:p>
    <w:p w14:paraId="6645FF42"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265E658A"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E17750">
        <w:rPr>
          <w:rFonts w:ascii="Palatino Linotype" w:eastAsiaTheme="minorHAnsi" w:hAnsi="Palatino Linotype" w:cstheme="minorBidi"/>
          <w:lang w:val="es-MX" w:eastAsia="en-US"/>
        </w:rPr>
        <w:t xml:space="preserve">“PLAZO RAZONABLE PARA RESOLVER. CONCEPTO Y ELEMENTOS QUE LO INTEGRAN A LA LUZ DEL DERECHO INTERNACIONAL DE LOS DERECHOS </w:t>
      </w:r>
      <w:r w:rsidRPr="00E17750">
        <w:rPr>
          <w:rFonts w:ascii="Palatino Linotype" w:eastAsiaTheme="minorHAnsi" w:hAnsi="Palatino Linotype" w:cstheme="minorBidi"/>
          <w:lang w:val="es-MX" w:eastAsia="en-US"/>
        </w:rPr>
        <w:lastRenderedPageBreak/>
        <w:t>HUMANOS.”, visible en el Seminario Judicial de la Federación y su gaceta, con el registro digital 2002350.</w:t>
      </w:r>
    </w:p>
    <w:p w14:paraId="0E6A1B74" w14:textId="77777777" w:rsidR="00E17750" w:rsidRPr="00E17750" w:rsidRDefault="00E17750" w:rsidP="00E17750">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17ABED16" w14:textId="77777777" w:rsidR="00E17750" w:rsidRPr="00E17750" w:rsidRDefault="00E17750" w:rsidP="00E177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E17750">
        <w:rPr>
          <w:rFonts w:ascii="Palatino Linotype" w:eastAsiaTheme="minorHAnsi" w:hAnsi="Palatino Linotype" w:cstheme="minorBidi"/>
          <w:bCs/>
          <w:lang w:val="es-MX" w:eastAsia="en-US"/>
        </w:rPr>
        <w:t>Por ello, este organismo garante comprometido con la tutela de los derechos humanos confiados señala que este exceso del plazo legal para resolver el presente asunto resulta de carácter excepcional.</w:t>
      </w:r>
    </w:p>
    <w:p w14:paraId="39B32475" w14:textId="77777777" w:rsidR="00E17750" w:rsidRPr="00E17750" w:rsidRDefault="00E17750" w:rsidP="00E177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288A7093" w14:textId="77777777" w:rsidR="00E17750" w:rsidRPr="00E17750" w:rsidRDefault="00E17750" w:rsidP="00E177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eastAsia="es-MX"/>
        </w:rPr>
      </w:pPr>
      <w:r w:rsidRPr="00E17750">
        <w:rPr>
          <w:rFonts w:ascii="Palatino Linotype" w:eastAsia="Palatino Linotype" w:hAnsi="Palatino Linotype" w:cs="Palatino Linotype"/>
          <w:b/>
          <w:color w:val="000000"/>
          <w:sz w:val="28"/>
          <w:szCs w:val="28"/>
          <w:lang w:val="es-ES_tradnl" w:eastAsia="es-MX"/>
        </w:rPr>
        <w:t>C O N S I D E R A N D O</w:t>
      </w:r>
    </w:p>
    <w:p w14:paraId="620D8999" w14:textId="77777777" w:rsidR="00E17750" w:rsidRPr="00E17750" w:rsidRDefault="00E17750" w:rsidP="00E177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C649663" w14:textId="77777777" w:rsidR="00E17750" w:rsidRPr="00E17750" w:rsidRDefault="00E17750" w:rsidP="00E1775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lang w:val="es-ES_tradnl" w:eastAsia="es-MX"/>
        </w:rPr>
      </w:pPr>
      <w:r w:rsidRPr="00E17750">
        <w:rPr>
          <w:rFonts w:ascii="Palatino Linotype" w:eastAsia="Palatino Linotype" w:hAnsi="Palatino Linotype" w:cs="Palatino Linotype"/>
          <w:b/>
          <w:bCs/>
          <w:color w:val="000000" w:themeColor="text1"/>
          <w:sz w:val="28"/>
          <w:szCs w:val="28"/>
          <w:lang w:eastAsia="es-MX"/>
        </w:rPr>
        <w:t>PRIMERO. De la competencia.</w:t>
      </w:r>
    </w:p>
    <w:p w14:paraId="79EA2BB4" w14:textId="77777777" w:rsidR="00E17750" w:rsidRPr="00E17750" w:rsidRDefault="00E17750" w:rsidP="00E17750">
      <w:pPr>
        <w:pBdr>
          <w:top w:val="nil"/>
          <w:left w:val="nil"/>
          <w:bottom w:val="nil"/>
          <w:right w:val="nil"/>
          <w:between w:val="nil"/>
        </w:pBdr>
        <w:spacing w:line="360" w:lineRule="auto"/>
        <w:jc w:val="both"/>
        <w:rPr>
          <w:rFonts w:ascii="Palatino Linotype" w:eastAsia="Calibri" w:hAnsi="Palatino Linotype" w:cs="Calibri"/>
          <w:szCs w:val="22"/>
          <w:lang w:val="es-MX" w:eastAsia="es-MX"/>
        </w:rPr>
      </w:pPr>
      <w:r w:rsidRPr="00E17750">
        <w:rPr>
          <w:rFonts w:ascii="Palatino Linotype" w:eastAsia="Palatino Linotype" w:hAnsi="Palatino Linotype" w:cs="Palatino Linotype"/>
          <w:lang w:eastAsia="es-MX"/>
        </w:rPr>
        <w:t>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04FC6202"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148A9EF" w14:textId="3BAC3368" w:rsidR="00A746AA" w:rsidRDefault="00A746AA" w:rsidP="007B1512">
      <w:pPr>
        <w:pStyle w:val="Prrafodelista"/>
        <w:autoSpaceDE w:val="0"/>
        <w:autoSpaceDN w:val="0"/>
        <w:adjustRightInd w:val="0"/>
        <w:spacing w:line="360" w:lineRule="auto"/>
        <w:ind w:left="0"/>
        <w:jc w:val="both"/>
        <w:rPr>
          <w:rFonts w:ascii="Palatino Linotype" w:hAnsi="Palatino Linotype" w:cs="Arial"/>
        </w:rPr>
      </w:pPr>
    </w:p>
    <w:p w14:paraId="3286A933" w14:textId="77777777" w:rsidR="00A746AA" w:rsidRPr="00161CEB" w:rsidRDefault="00A746AA" w:rsidP="00A746AA">
      <w:pPr>
        <w:autoSpaceDE w:val="0"/>
        <w:autoSpaceDN w:val="0"/>
        <w:adjustRightInd w:val="0"/>
        <w:spacing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7315CAA3" w14:textId="77777777" w:rsidR="00A746AA" w:rsidRPr="00161CEB" w:rsidRDefault="00A746AA" w:rsidP="00A746AA">
      <w:pPr>
        <w:autoSpaceDE w:val="0"/>
        <w:autoSpaceDN w:val="0"/>
        <w:adjustRightInd w:val="0"/>
        <w:spacing w:line="360" w:lineRule="auto"/>
        <w:jc w:val="both"/>
        <w:rPr>
          <w:rFonts w:ascii="Palatino Linotype" w:hAnsi="Palatino Linotype" w:cs="Arial"/>
          <w:sz w:val="28"/>
        </w:rPr>
      </w:pPr>
      <w:r w:rsidRPr="00161CEB">
        <w:rPr>
          <w:rFonts w:ascii="Palatino Linotype" w:hAnsi="Palatino Linotype" w:cs="Arial"/>
        </w:rPr>
        <w:t xml:space="preserve">El Recurso de Revisión en estudio contiene los elementos normativos de validez exigidos en </w:t>
      </w:r>
      <w:r w:rsidRPr="00161CEB">
        <w:rPr>
          <w:rFonts w:ascii="Palatino Linotype" w:hAnsi="Palatino Linotype"/>
        </w:rPr>
        <w:t xml:space="preserve">la Ley de Transparencia y </w:t>
      </w:r>
      <w:r w:rsidRPr="00161CEB">
        <w:rPr>
          <w:rFonts w:ascii="Palatino Linotype" w:hAnsi="Palatino Linotype" w:cs="Arial"/>
          <w:lang w:val="es-ES_tradnl"/>
        </w:rPr>
        <w:t>Acceso a la Información Pública del Estado de México y Municipios</w:t>
      </w:r>
      <w:r w:rsidRPr="00161CEB">
        <w:rPr>
          <w:rFonts w:ascii="Palatino Linotype" w:hAnsi="Palatino Linotype"/>
        </w:rPr>
        <w:t>, establecidos en el artículo 180, que enuncia:</w:t>
      </w:r>
    </w:p>
    <w:p w14:paraId="260BC980" w14:textId="77777777" w:rsidR="00A746AA" w:rsidRPr="00161CEB" w:rsidRDefault="00A746AA" w:rsidP="00A746AA">
      <w:pPr>
        <w:pStyle w:val="Sinespaciado"/>
      </w:pPr>
    </w:p>
    <w:p w14:paraId="2D3DF7C3"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3D56B986"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431820AC"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0FAA3BE8"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10C8E975"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06B0ED7F"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C93D942"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5F0294B0"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10F0A5E"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390D773D" w14:textId="77777777" w:rsidR="00A746AA" w:rsidRPr="00161CEB" w:rsidRDefault="00A746AA" w:rsidP="00A746AA">
      <w:pPr>
        <w:pStyle w:val="Prrafodelista"/>
        <w:ind w:left="851" w:right="1275"/>
        <w:jc w:val="both"/>
        <w:rPr>
          <w:rFonts w:ascii="Palatino Linotype" w:hAnsi="Palatino Linotype" w:cs="Arial"/>
          <w:i/>
          <w:sz w:val="22"/>
        </w:rPr>
      </w:pPr>
    </w:p>
    <w:p w14:paraId="54A436C0"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lastRenderedPageBreak/>
        <w:t>Adicionalmente, se podrán anexar las pruebas y demás elementos que considere procedentes someter a juicio del Instituto.</w:t>
      </w:r>
    </w:p>
    <w:p w14:paraId="3AD55604" w14:textId="77777777" w:rsidR="00A746AA" w:rsidRPr="00161CEB" w:rsidRDefault="00A746AA" w:rsidP="00A746AA">
      <w:pPr>
        <w:pStyle w:val="Prrafodelista"/>
        <w:ind w:left="851" w:right="1275"/>
        <w:jc w:val="both"/>
        <w:rPr>
          <w:rFonts w:ascii="Palatino Linotype" w:hAnsi="Palatino Linotype" w:cs="Arial"/>
          <w:i/>
          <w:sz w:val="22"/>
        </w:rPr>
      </w:pPr>
    </w:p>
    <w:p w14:paraId="2551B15E"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4A0E3BCA" w14:textId="77777777" w:rsidR="00A746AA" w:rsidRPr="00161CEB" w:rsidRDefault="00A746AA" w:rsidP="00A746AA">
      <w:pPr>
        <w:pStyle w:val="Prrafodelista"/>
        <w:ind w:left="851" w:right="1275"/>
        <w:jc w:val="both"/>
        <w:rPr>
          <w:rFonts w:ascii="Palatino Linotype" w:hAnsi="Palatino Linotype" w:cs="Arial"/>
          <w:i/>
          <w:sz w:val="22"/>
        </w:rPr>
      </w:pPr>
    </w:p>
    <w:p w14:paraId="1F1889A7" w14:textId="77777777" w:rsidR="00A746AA" w:rsidRPr="00161CEB" w:rsidRDefault="00A746AA" w:rsidP="00A746AA">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0B659A45" w14:textId="77777777" w:rsidR="00A746AA" w:rsidRPr="004008E2" w:rsidRDefault="00A746AA" w:rsidP="00A746AA">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53DC114C" w14:textId="77777777" w:rsidR="00A746AA" w:rsidRDefault="00A746AA" w:rsidP="00A746AA">
      <w:pPr>
        <w:spacing w:line="360" w:lineRule="auto"/>
        <w:jc w:val="both"/>
        <w:rPr>
          <w:rFonts w:ascii="Palatino Linotype" w:eastAsia="Calibri" w:hAnsi="Palatino Linotype" w:cs="Segoe UI"/>
        </w:rPr>
      </w:pPr>
    </w:p>
    <w:p w14:paraId="3C906E58" w14:textId="347D1E26" w:rsidR="00A746AA" w:rsidRDefault="00A746AA" w:rsidP="00A746AA">
      <w:pPr>
        <w:spacing w:line="360" w:lineRule="auto"/>
        <w:jc w:val="both"/>
        <w:rPr>
          <w:rFonts w:ascii="Palatino Linotype" w:eastAsia="Calibri" w:hAnsi="Palatino Linotype" w:cs="Arial"/>
        </w:rPr>
      </w:pPr>
      <w:r w:rsidRPr="00161CEB">
        <w:rPr>
          <w:rFonts w:ascii="Palatino Linotype" w:eastAsia="Calibri" w:hAnsi="Palatino Linotype" w:cs="Segoe UI"/>
        </w:rPr>
        <w:t xml:space="preserve">Cabe señalar que </w:t>
      </w:r>
      <w:r w:rsidRPr="00161CEB">
        <w:rPr>
          <w:rFonts w:ascii="Palatino Linotype" w:eastAsia="Calibri" w:hAnsi="Palatino Linotype" w:cs="Segoe UI"/>
          <w:b/>
        </w:rPr>
        <w:t xml:space="preserve">El Recurrente </w:t>
      </w:r>
      <w:r w:rsidR="00E17750">
        <w:rPr>
          <w:rFonts w:ascii="Palatino Linotype" w:eastAsia="Calibri" w:hAnsi="Palatino Linotype" w:cs="Segoe UI"/>
        </w:rPr>
        <w:t>no señaló nombre o seudónimo para ser identificado</w:t>
      </w:r>
      <w:r w:rsidR="00E137B7">
        <w:rPr>
          <w:rFonts w:ascii="Palatino Linotype" w:eastAsia="Calibri" w:hAnsi="Palatino Linotype" w:cs="Segoe UI"/>
        </w:rPr>
        <w:t xml:space="preserve"> </w:t>
      </w:r>
      <w:r w:rsidR="00E137B7" w:rsidRPr="00161CEB">
        <w:rPr>
          <w:rFonts w:ascii="Palatino Linotype" w:eastAsia="Calibri" w:hAnsi="Palatino Linotype" w:cs="Segoe UI"/>
        </w:rPr>
        <w:t>en</w:t>
      </w:r>
      <w:r w:rsidRPr="00161CEB">
        <w:rPr>
          <w:rFonts w:ascii="Palatino Linotype" w:eastAsia="Calibri" w:hAnsi="Palatino Linotype" w:cs="Segoe UI"/>
        </w:rPr>
        <w:t xml:space="preserve"> la solicitud de información</w:t>
      </w:r>
      <w:r w:rsidRPr="00161CEB">
        <w:rPr>
          <w:rFonts w:ascii="Palatino Linotype" w:eastAsiaTheme="minorEastAsia" w:hAnsi="Palatino Linotype" w:cs="Arial"/>
        </w:rPr>
        <w:t xml:space="preserve">. </w:t>
      </w:r>
      <w:r w:rsidRPr="00161CEB">
        <w:rPr>
          <w:rFonts w:ascii="Palatino Linotype" w:eastAsia="Calibri" w:hAnsi="Palatino Linotype"/>
        </w:rPr>
        <w:t xml:space="preserve">No obstante lo anterior, proporcionar </w:t>
      </w:r>
      <w:r>
        <w:rPr>
          <w:rFonts w:ascii="Palatino Linotype" w:eastAsia="Calibri" w:hAnsi="Palatino Linotype"/>
        </w:rPr>
        <w:t xml:space="preserve">un </w:t>
      </w:r>
      <w:r w:rsidR="00E137B7">
        <w:rPr>
          <w:rFonts w:ascii="Palatino Linotype" w:eastAsia="Calibri" w:hAnsi="Palatino Linotype"/>
        </w:rPr>
        <w:t xml:space="preserve">seudónimo, </w:t>
      </w:r>
      <w:r w:rsidR="00E137B7" w:rsidRPr="00161CEB">
        <w:rPr>
          <w:rFonts w:ascii="Palatino Linotype" w:eastAsia="Calibri" w:hAnsi="Palatino Linotype"/>
        </w:rPr>
        <w:t>no</w:t>
      </w:r>
      <w:r w:rsidRPr="00161CEB">
        <w:rPr>
          <w:rFonts w:ascii="Palatino Linotype" w:eastAsia="Calibri" w:hAnsi="Palatino Linotype"/>
        </w:rPr>
        <w:t xml:space="preserve"> es motivo para desechar las </w:t>
      </w:r>
      <w:r w:rsidRPr="00161CEB">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0BE608BA" w14:textId="77777777" w:rsidR="00A746AA" w:rsidRPr="002813C0" w:rsidRDefault="00A746AA" w:rsidP="00A746AA">
      <w:pPr>
        <w:pStyle w:val="Sinespaciado"/>
        <w:rPr>
          <w:rFonts w:eastAsia="Calibri"/>
          <w:sz w:val="16"/>
          <w:lang w:val="es-ES"/>
        </w:rPr>
      </w:pPr>
    </w:p>
    <w:p w14:paraId="12E98A7C" w14:textId="77777777" w:rsidR="00A746AA" w:rsidRPr="00161CEB" w:rsidRDefault="00A746AA" w:rsidP="00A746AA">
      <w:pPr>
        <w:pStyle w:val="Sinespaciado"/>
        <w:rPr>
          <w:rFonts w:eastAsia="Calibri"/>
          <w:sz w:val="2"/>
          <w:lang w:val="es-ES"/>
        </w:rPr>
      </w:pPr>
    </w:p>
    <w:p w14:paraId="24727264" w14:textId="77777777" w:rsidR="00A746AA" w:rsidRDefault="00A746AA" w:rsidP="00A746AA">
      <w:pPr>
        <w:ind w:left="851" w:right="900"/>
        <w:jc w:val="both"/>
        <w:rPr>
          <w:rFonts w:ascii="Palatino Linotype" w:eastAsia="Calibri" w:hAnsi="Palatino Linotype" w:cs="Arial"/>
          <w:i/>
        </w:rPr>
      </w:pPr>
      <w:r w:rsidRPr="00161CEB">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559B3AC5" w14:textId="77777777" w:rsidR="00A746AA" w:rsidRPr="002813C0" w:rsidRDefault="00A746AA" w:rsidP="00A746AA">
      <w:pPr>
        <w:ind w:left="851" w:right="900"/>
        <w:jc w:val="both"/>
        <w:rPr>
          <w:rFonts w:ascii="Palatino Linotype" w:eastAsia="Calibri" w:hAnsi="Palatino Linotype" w:cs="Arial"/>
          <w:i/>
          <w:sz w:val="12"/>
        </w:rPr>
      </w:pPr>
    </w:p>
    <w:p w14:paraId="3F2A8C9B" w14:textId="77777777" w:rsidR="00A746AA" w:rsidRPr="00161CEB" w:rsidRDefault="00A746AA" w:rsidP="00A746AA">
      <w:pPr>
        <w:spacing w:before="240" w:after="240" w:line="360" w:lineRule="auto"/>
        <w:jc w:val="both"/>
        <w:rPr>
          <w:rFonts w:ascii="Palatino Linotype" w:eastAsia="Calibri" w:hAnsi="Palatino Linotype"/>
        </w:rPr>
      </w:pPr>
      <w:r w:rsidRPr="00161CEB">
        <w:rPr>
          <w:rFonts w:ascii="Palatino Linotype" w:eastAsia="Calibri" w:hAnsi="Palatino Linotype"/>
        </w:rPr>
        <w:t>Robusteciendo lo anterior se encuentra lo dispuesto en los artículos 6, Apartado A, fracciones III y IV</w:t>
      </w:r>
      <w:r>
        <w:rPr>
          <w:rFonts w:ascii="Palatino Linotype" w:eastAsia="Calibri" w:hAnsi="Palatino Linotype"/>
        </w:rPr>
        <w:t>,</w:t>
      </w:r>
      <w:r w:rsidRPr="00161CEB">
        <w:rPr>
          <w:rFonts w:ascii="Palatino Linotype" w:eastAsia="Calibri" w:hAnsi="Palatino Linotype"/>
        </w:rPr>
        <w:t xml:space="preserve"> de la Constitución Política de los Estados Unidos Mexicanos y 5 párrafos </w:t>
      </w:r>
      <w:r w:rsidRPr="00161CEB">
        <w:rPr>
          <w:rFonts w:ascii="Palatino Linotype" w:eastAsia="Calibri" w:hAnsi="Palatino Linotype" w:cs="Arial"/>
        </w:rPr>
        <w:t>vigésimo, vigésimo primero</w:t>
      </w:r>
      <w:r w:rsidRPr="00161CEB">
        <w:rPr>
          <w:rFonts w:ascii="Palatino Linotype" w:hAnsi="Palatino Linotype" w:cs="Arial"/>
        </w:rPr>
        <w:t xml:space="preserve"> y vigésimo segundo</w:t>
      </w:r>
      <w:r w:rsidRPr="00161CEB">
        <w:rPr>
          <w:rFonts w:ascii="Palatino Linotype" w:eastAsia="Calibri" w:hAnsi="Palatino Linotype"/>
        </w:rPr>
        <w:t>, de la Constitución Política del Estado Libre y Soberano de México, se establece lo siguiente:</w:t>
      </w:r>
    </w:p>
    <w:p w14:paraId="5E60E582" w14:textId="77777777" w:rsidR="00A746AA" w:rsidRPr="00161CEB" w:rsidRDefault="00A746AA" w:rsidP="00A746AA">
      <w:pPr>
        <w:spacing w:before="240" w:after="240"/>
        <w:ind w:left="851" w:right="900"/>
        <w:jc w:val="center"/>
        <w:rPr>
          <w:rFonts w:ascii="Palatino Linotype" w:eastAsia="Calibri" w:hAnsi="Palatino Linotype"/>
          <w:b/>
          <w:i/>
        </w:rPr>
      </w:pPr>
      <w:r w:rsidRPr="00161CEB">
        <w:rPr>
          <w:rFonts w:ascii="Palatino Linotype" w:eastAsia="Calibri" w:hAnsi="Palatino Linotype"/>
          <w:b/>
          <w:i/>
        </w:rPr>
        <w:t>Constitución Política de los Estados Unidos Mexicanos</w:t>
      </w:r>
    </w:p>
    <w:p w14:paraId="465185D7"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w:t>
      </w:r>
      <w:r w:rsidRPr="00161CEB">
        <w:rPr>
          <w:rFonts w:ascii="Palatino Linotype" w:eastAsia="Calibri" w:hAnsi="Palatino Linotype"/>
          <w:b/>
          <w:i/>
        </w:rPr>
        <w:t>Artículo 6</w:t>
      </w:r>
      <w:r w:rsidRPr="00161CEB">
        <w:rPr>
          <w:rFonts w:ascii="Palatino Linotype" w:eastAsia="Calibri" w:hAnsi="Palatino Linotype"/>
          <w:i/>
        </w:rPr>
        <w:t xml:space="preserve">°.- La manifestación de las ideas no será objeto de ninguna inquisición judicial o administrativa, sino en el caso de que ataque a la moral, la vida privada o los derechos de terceros, provoque algún delito, o perturbe </w:t>
      </w:r>
      <w:r w:rsidRPr="00161CEB">
        <w:rPr>
          <w:rFonts w:ascii="Palatino Linotype" w:eastAsia="Calibri" w:hAnsi="Palatino Linotype"/>
          <w:i/>
        </w:rPr>
        <w:lastRenderedPageBreak/>
        <w:t>el orden público; el derecho de réplica será ejercido en los términos dispuestos por la ley. El derecho a la información será garantizado por el Estado.</w:t>
      </w:r>
    </w:p>
    <w:p w14:paraId="40886C3C"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w:t>
      </w:r>
    </w:p>
    <w:p w14:paraId="4CAD1F8D"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 xml:space="preserve">Para efectos de lo dispuesto en el presente artículo se observará lo siguiente: </w:t>
      </w:r>
    </w:p>
    <w:p w14:paraId="28A03153"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24911379"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w:t>
      </w:r>
    </w:p>
    <w:p w14:paraId="6CA4C605"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084DAF72" w14:textId="77777777" w:rsidR="00A746AA" w:rsidRPr="002813C0"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2750652F" w14:textId="77777777" w:rsidR="00A746AA" w:rsidRPr="00161CEB" w:rsidRDefault="00A746AA" w:rsidP="00A746AA">
      <w:pPr>
        <w:spacing w:before="240" w:after="240"/>
        <w:ind w:left="851" w:right="900"/>
        <w:jc w:val="center"/>
        <w:rPr>
          <w:rFonts w:ascii="Palatino Linotype" w:eastAsia="Calibri" w:hAnsi="Palatino Linotype"/>
          <w:b/>
          <w:i/>
        </w:rPr>
      </w:pPr>
      <w:r w:rsidRPr="00161CEB">
        <w:rPr>
          <w:rFonts w:ascii="Palatino Linotype" w:eastAsia="Calibri" w:hAnsi="Palatino Linotype"/>
          <w:b/>
          <w:i/>
        </w:rPr>
        <w:t>Constitución Política del Estado Libre y Soberano de México</w:t>
      </w:r>
    </w:p>
    <w:p w14:paraId="52467B76"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w:t>
      </w:r>
      <w:r w:rsidRPr="00161CEB">
        <w:rPr>
          <w:rFonts w:ascii="Palatino Linotype" w:eastAsia="Calibri" w:hAnsi="Palatino Linotype"/>
          <w:b/>
          <w:i/>
        </w:rPr>
        <w:t>Artículo 5</w:t>
      </w:r>
      <w:r w:rsidRPr="00161CEB">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4FB5154"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w:t>
      </w:r>
    </w:p>
    <w:p w14:paraId="686C0032"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12506199"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 xml:space="preserve"> (…)</w:t>
      </w:r>
    </w:p>
    <w:p w14:paraId="30BCDF7C"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lastRenderedPageBreak/>
        <w:t xml:space="preserve">El derecho a la información será garantizado por el Estado. La ley establecerá las previsiones que permitan asegurar la protección, el respeto y la difusión de este derecho. </w:t>
      </w:r>
    </w:p>
    <w:p w14:paraId="58D654AA"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17AD593"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50603DBF"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172D9DF5"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w:t>
      </w:r>
    </w:p>
    <w:p w14:paraId="4C11841D"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7062AA5" w14:textId="77777777" w:rsidR="00A746AA" w:rsidRPr="00161CEB" w:rsidRDefault="00A746AA" w:rsidP="00A746AA">
      <w:pPr>
        <w:spacing w:before="240" w:after="240"/>
        <w:ind w:left="851" w:right="900"/>
        <w:jc w:val="both"/>
        <w:rPr>
          <w:rFonts w:ascii="Palatino Linotype" w:eastAsia="Calibri" w:hAnsi="Palatino Linotype"/>
          <w:i/>
        </w:rPr>
      </w:pPr>
    </w:p>
    <w:p w14:paraId="229EDB2D" w14:textId="77777777" w:rsidR="00A746AA" w:rsidRPr="00161CEB" w:rsidRDefault="00A746AA" w:rsidP="00A746AA">
      <w:pPr>
        <w:spacing w:before="240" w:after="240" w:line="360" w:lineRule="auto"/>
        <w:jc w:val="both"/>
        <w:rPr>
          <w:rFonts w:ascii="Palatino Linotype" w:eastAsia="Calibri" w:hAnsi="Palatino Linotype"/>
        </w:rPr>
      </w:pPr>
      <w:r w:rsidRPr="00161CEB">
        <w:rPr>
          <w:rFonts w:ascii="Palatino Linotype" w:eastAsia="Calibri" w:hAnsi="Palatino Linotype"/>
        </w:rPr>
        <w:t>Por otra parte, del contenido del artículo 1, de la Constitución Política de los Estados Unidos Mexicanos, se destaca lo siguiente:</w:t>
      </w:r>
    </w:p>
    <w:p w14:paraId="434B2204"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w:t>
      </w:r>
      <w:r w:rsidRPr="00161CEB">
        <w:rPr>
          <w:rFonts w:ascii="Palatino Linotype" w:eastAsia="Calibri" w:hAnsi="Palatino Linotype"/>
          <w:b/>
          <w:i/>
        </w:rPr>
        <w:t>Artículo 1o</w:t>
      </w:r>
      <w:r w:rsidRPr="00161CEB">
        <w:rPr>
          <w:rFonts w:ascii="Palatino Linotype" w:eastAsia="Calibri" w:hAnsi="Palatino Linotype"/>
          <w:i/>
        </w:rPr>
        <w:t xml:space="preserve">. En los Estados Unidos Mexicanos todas las personas gozarán de los derechos humanos reconocidos en esta Constitución y en los tratados internacionales de los que el Estado Mexicano sea parte, así como de las </w:t>
      </w:r>
      <w:r w:rsidRPr="00161CEB">
        <w:rPr>
          <w:rFonts w:ascii="Palatino Linotype" w:eastAsia="Calibri" w:hAnsi="Palatino Linotype"/>
          <w:i/>
        </w:rPr>
        <w:lastRenderedPageBreak/>
        <w:t>garantías para su protección, cuyo ejercicio no podrá restringirse ni suspenderse, salvo en los casos y bajo las condiciones que esta Constitución establece.</w:t>
      </w:r>
    </w:p>
    <w:p w14:paraId="3464D709" w14:textId="77777777" w:rsidR="00A746AA" w:rsidRPr="00161CEB"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1B9A371C" w14:textId="77777777" w:rsidR="00A746AA" w:rsidRDefault="00A746AA" w:rsidP="00A746AA">
      <w:pPr>
        <w:spacing w:before="240" w:after="240"/>
        <w:ind w:left="851" w:right="900"/>
        <w:jc w:val="both"/>
        <w:rPr>
          <w:rFonts w:ascii="Palatino Linotype" w:eastAsia="Calibri" w:hAnsi="Palatino Linotype"/>
          <w:i/>
        </w:rPr>
      </w:pPr>
      <w:r w:rsidRPr="00161CEB">
        <w:rPr>
          <w:rFonts w:ascii="Palatino Linotype" w:eastAsia="Calibri"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640E18D" w14:textId="77777777" w:rsidR="00A746AA" w:rsidRPr="004008E2" w:rsidRDefault="00A746AA" w:rsidP="00A746AA">
      <w:pPr>
        <w:pStyle w:val="Sinespaciado"/>
        <w:rPr>
          <w:rFonts w:eastAsia="Calibri"/>
          <w:sz w:val="8"/>
          <w:lang w:val="es-ES"/>
        </w:rPr>
      </w:pPr>
    </w:p>
    <w:p w14:paraId="0219906E" w14:textId="77777777" w:rsidR="00A746AA" w:rsidRPr="00161CEB" w:rsidRDefault="00A746AA" w:rsidP="00A746AA">
      <w:pPr>
        <w:spacing w:before="240" w:after="240" w:line="360" w:lineRule="auto"/>
        <w:jc w:val="both"/>
        <w:rPr>
          <w:rFonts w:ascii="Palatino Linotype" w:eastAsia="Calibri" w:hAnsi="Palatino Linotype"/>
        </w:rPr>
      </w:pPr>
      <w:r w:rsidRPr="00161CEB">
        <w:rPr>
          <w:rFonts w:ascii="Palatino Linotype" w:eastAsia="Calibri" w:hAnsi="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C673E6" w14:textId="77777777" w:rsidR="00A746AA" w:rsidRPr="00161CEB" w:rsidRDefault="00A746AA" w:rsidP="00A746AA">
      <w:pPr>
        <w:pStyle w:val="Sinespaciado"/>
        <w:rPr>
          <w:rFonts w:eastAsia="Calibri"/>
          <w:sz w:val="10"/>
          <w:lang w:val="es-ES"/>
        </w:rPr>
      </w:pPr>
    </w:p>
    <w:p w14:paraId="3D591147" w14:textId="77777777" w:rsidR="00A746AA" w:rsidRPr="002813C0" w:rsidRDefault="00A746AA" w:rsidP="00A746AA">
      <w:pPr>
        <w:spacing w:line="360" w:lineRule="auto"/>
        <w:jc w:val="both"/>
        <w:rPr>
          <w:rFonts w:ascii="Palatino Linotype" w:eastAsia="Calibri" w:hAnsi="Palatino Linotype" w:cs="Arial"/>
        </w:rPr>
      </w:pPr>
      <w:r w:rsidRPr="00161CEB">
        <w:rPr>
          <w:rFonts w:ascii="Palatino Linotype" w:eastAsia="Calibri" w:hAnsi="Palatino Linotype" w:cs="Arial"/>
        </w:rPr>
        <w:t xml:space="preserve">En conclusión, se cubrieron los requisitos de procedencia y </w:t>
      </w:r>
      <w:proofErr w:type="spellStart"/>
      <w:r w:rsidRPr="00161CEB">
        <w:rPr>
          <w:rFonts w:ascii="Palatino Linotype" w:eastAsia="Calibri" w:hAnsi="Palatino Linotype" w:cs="Arial"/>
        </w:rPr>
        <w:t>procedibilidad</w:t>
      </w:r>
      <w:proofErr w:type="spellEnd"/>
      <w:r w:rsidRPr="00161CEB">
        <w:rPr>
          <w:rFonts w:ascii="Palatino Linotype" w:eastAsia="Calibri" w:hAnsi="Palatino Linotype" w:cs="Arial"/>
        </w:rPr>
        <w:t xml:space="preserve"> y conforme a las constancias que obran en el expediente.</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297EEF63" w:rsidR="00912A21" w:rsidRPr="0006149A" w:rsidRDefault="00A746AA"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rPr>
      </w:pPr>
    </w:p>
    <w:p w14:paraId="5B2CC6B5" w14:textId="0D2DB8E7" w:rsidR="00912A21" w:rsidRPr="0006149A" w:rsidRDefault="00A746AA"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27CCD24B" w14:textId="77777777" w:rsidR="009D7D7B" w:rsidRPr="00B21190" w:rsidRDefault="009D7D7B" w:rsidP="009D7D7B">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En primer término es necesario hacer alusión a las solicitudes de información ya que de ellas deriva por un lado al procedimiento de acceso a la información ante el sujeto </w:t>
      </w:r>
      <w:r w:rsidRPr="00B21190">
        <w:rPr>
          <w:rFonts w:ascii="Palatino Linotype" w:hAnsi="Palatino Linotype" w:cs="Arial"/>
        </w:rPr>
        <w:lastRenderedPageBreak/>
        <w:t>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7F4B524D"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w:t>
      </w:r>
      <w:r w:rsidR="009C2A92">
        <w:rPr>
          <w:rFonts w:ascii="Palatino Linotype" w:hAnsi="Palatino Linotype" w:cs="Arial"/>
        </w:rPr>
        <w:t>el</w:t>
      </w:r>
      <w:r w:rsidR="00293D51">
        <w:rPr>
          <w:rFonts w:ascii="Palatino Linotype" w:hAnsi="Palatino Linotype" w:cs="Arial"/>
        </w:rPr>
        <w:t xml:space="preserve"> Recurrente</w:t>
      </w:r>
      <w:r w:rsidRPr="00B21190">
        <w:rPr>
          <w:rFonts w:ascii="Palatino Linotype" w:hAnsi="Palatino Linotype" w:cs="Arial"/>
        </w:rPr>
        <w:t xml:space="preserv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53638A77" w14:textId="4A85FD19" w:rsidR="00847043" w:rsidRDefault="00C57CB5" w:rsidP="00755085">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B21190">
        <w:rPr>
          <w:rFonts w:ascii="Palatino Linotype" w:hAnsi="Palatino Linotype" w:cs="Arial"/>
        </w:rPr>
        <w:lastRenderedPageBreak/>
        <w:t>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14B8200" w14:textId="77777777" w:rsidR="00755085" w:rsidRDefault="00755085" w:rsidP="00755085">
      <w:pPr>
        <w:pStyle w:val="Prrafodelista"/>
        <w:autoSpaceDE w:val="0"/>
        <w:autoSpaceDN w:val="0"/>
        <w:adjustRightInd w:val="0"/>
        <w:spacing w:line="360" w:lineRule="auto"/>
        <w:ind w:left="0"/>
        <w:jc w:val="both"/>
        <w:rPr>
          <w:rFonts w:ascii="Palatino Linotype" w:hAnsi="Palatino Linotype" w:cs="Arial"/>
        </w:rPr>
      </w:pPr>
    </w:p>
    <w:p w14:paraId="7D47C591" w14:textId="1552259B" w:rsidR="005F17DC" w:rsidRDefault="005F17DC" w:rsidP="005F17DC">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w:t>
      </w:r>
      <w:r w:rsidR="004D6277">
        <w:rPr>
          <w:rFonts w:ascii="Palatino Linotype" w:hAnsi="Palatino Linotype"/>
        </w:rPr>
        <w:t>el</w:t>
      </w:r>
      <w:r w:rsidRPr="00E152F9">
        <w:rPr>
          <w:rFonts w:ascii="Palatino Linotype" w:hAnsi="Palatino Linotype"/>
        </w:rPr>
        <w:t xml:space="preserve"> </w:t>
      </w:r>
      <w:r>
        <w:rPr>
          <w:rFonts w:ascii="Palatino Linotype" w:hAnsi="Palatino Linotype"/>
        </w:rPr>
        <w:t>R</w:t>
      </w:r>
      <w:r w:rsidRPr="00E152F9">
        <w:rPr>
          <w:rFonts w:ascii="Palatino Linotype" w:hAnsi="Palatino Linotype"/>
        </w:rPr>
        <w:t>ecurrente, peticiona</w:t>
      </w:r>
      <w:r w:rsidR="002813F3">
        <w:rPr>
          <w:rFonts w:ascii="Palatino Linotype" w:hAnsi="Palatino Linotype"/>
        </w:rPr>
        <w:t xml:space="preserve"> lo siguiente</w:t>
      </w:r>
      <w:r w:rsidRPr="00E152F9">
        <w:rPr>
          <w:rFonts w:ascii="Palatino Linotype" w:hAnsi="Palatino Linotype"/>
        </w:rPr>
        <w:t>:</w:t>
      </w:r>
    </w:p>
    <w:p w14:paraId="6543A29F" w14:textId="4F007ACE" w:rsidR="00E137B7" w:rsidRPr="00ED2219" w:rsidRDefault="00ED2219" w:rsidP="00ED2219">
      <w:pPr>
        <w:pStyle w:val="Prrafodelista"/>
        <w:numPr>
          <w:ilvl w:val="0"/>
          <w:numId w:val="30"/>
        </w:numPr>
        <w:ind w:left="567" w:right="567"/>
        <w:jc w:val="both"/>
        <w:rPr>
          <w:rFonts w:ascii="Palatino Linotype" w:hAnsi="Palatino Linotype"/>
          <w:i/>
          <w:lang w:val="es-ES_tradnl"/>
        </w:rPr>
      </w:pPr>
      <w:bookmarkStart w:id="2" w:name="_Hlk151056482"/>
      <w:r>
        <w:rPr>
          <w:rFonts w:ascii="Palatino Linotype" w:hAnsi="Palatino Linotype"/>
          <w:i/>
          <w:lang w:val="es-ES_tradnl"/>
        </w:rPr>
        <w:t xml:space="preserve">Expedientes formados con motivo de </w:t>
      </w:r>
      <w:r w:rsidRPr="00ED2219">
        <w:rPr>
          <w:rFonts w:ascii="Palatino Linotype" w:hAnsi="Palatino Linotype"/>
          <w:i/>
          <w:lang w:val="es-ES_tradnl"/>
        </w:rPr>
        <w:t xml:space="preserve">procedimientos administrativos </w:t>
      </w:r>
      <w:r>
        <w:rPr>
          <w:rFonts w:ascii="Palatino Linotype" w:hAnsi="Palatino Linotype"/>
          <w:i/>
          <w:lang w:val="es-ES_tradnl"/>
        </w:rPr>
        <w:t xml:space="preserve">instaurados </w:t>
      </w:r>
      <w:r w:rsidRPr="00ED2219">
        <w:rPr>
          <w:rFonts w:ascii="Palatino Linotype" w:hAnsi="Palatino Linotype"/>
          <w:i/>
          <w:lang w:val="es-ES_tradnl"/>
        </w:rPr>
        <w:t>en</w:t>
      </w:r>
      <w:r>
        <w:rPr>
          <w:rFonts w:ascii="Palatino Linotype" w:hAnsi="Palatino Linotype"/>
          <w:i/>
          <w:lang w:val="es-ES_tradnl"/>
        </w:rPr>
        <w:t xml:space="preserve"> </w:t>
      </w:r>
      <w:r w:rsidRPr="00ED2219">
        <w:rPr>
          <w:rFonts w:ascii="Palatino Linotype" w:hAnsi="Palatino Linotype"/>
          <w:i/>
          <w:lang w:val="es-ES_tradnl"/>
        </w:rPr>
        <w:t xml:space="preserve">contra de los Titulares </w:t>
      </w:r>
      <w:r>
        <w:rPr>
          <w:rFonts w:ascii="Palatino Linotype" w:hAnsi="Palatino Linotype"/>
          <w:i/>
          <w:lang w:val="es-ES_tradnl"/>
        </w:rPr>
        <w:t>d</w:t>
      </w:r>
      <w:r w:rsidRPr="00ED2219">
        <w:rPr>
          <w:rFonts w:ascii="Palatino Linotype" w:hAnsi="Palatino Linotype"/>
          <w:i/>
          <w:lang w:val="es-ES_tradnl"/>
        </w:rPr>
        <w:t xml:space="preserve">el Órgano </w:t>
      </w:r>
      <w:r>
        <w:rPr>
          <w:rFonts w:ascii="Palatino Linotype" w:hAnsi="Palatino Linotype"/>
          <w:i/>
          <w:lang w:val="es-ES_tradnl"/>
        </w:rPr>
        <w:t>d</w:t>
      </w:r>
      <w:r w:rsidRPr="00ED2219">
        <w:rPr>
          <w:rFonts w:ascii="Palatino Linotype" w:hAnsi="Palatino Linotype"/>
          <w:i/>
          <w:lang w:val="es-ES_tradnl"/>
        </w:rPr>
        <w:t xml:space="preserve">e Control Interno del año 2018 </w:t>
      </w:r>
      <w:r>
        <w:rPr>
          <w:rFonts w:ascii="Palatino Linotype" w:hAnsi="Palatino Linotype"/>
          <w:i/>
          <w:lang w:val="es-ES_tradnl"/>
        </w:rPr>
        <w:t>al 20 de febrero de 2023</w:t>
      </w:r>
      <w:bookmarkEnd w:id="2"/>
      <w:r>
        <w:rPr>
          <w:rFonts w:ascii="Palatino Linotype" w:hAnsi="Palatino Linotype"/>
          <w:i/>
          <w:lang w:val="es-ES_tradnl"/>
        </w:rPr>
        <w:t>.</w:t>
      </w:r>
    </w:p>
    <w:p w14:paraId="0B94B847" w14:textId="77777777" w:rsidR="00E137B7" w:rsidRDefault="00E137B7" w:rsidP="00FF14FE">
      <w:pPr>
        <w:pStyle w:val="Prrafodelista"/>
        <w:spacing w:line="360" w:lineRule="auto"/>
        <w:ind w:left="0"/>
        <w:contextualSpacing/>
        <w:jc w:val="both"/>
        <w:rPr>
          <w:rFonts w:ascii="Palatino Linotype" w:hAnsi="Palatino Linotype"/>
          <w:color w:val="000000"/>
          <w:lang w:val="es-ES_tradnl"/>
        </w:rPr>
      </w:pPr>
    </w:p>
    <w:p w14:paraId="388D0269" w14:textId="05262070" w:rsidR="005E50F1" w:rsidRDefault="00755085" w:rsidP="00FF14FE">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t>Ahora bien, en respuesta a</w:t>
      </w:r>
      <w:r w:rsidR="000F5CBE" w:rsidRPr="000F5CBE">
        <w:rPr>
          <w:rFonts w:ascii="Palatino Linotype" w:hAnsi="Palatino Linotype"/>
          <w:color w:val="000000"/>
          <w:lang w:val="es-ES_tradnl"/>
        </w:rPr>
        <w:t xml:space="preserve"> los requerimientos formulados por el particular, </w:t>
      </w:r>
      <w:r w:rsidR="003A6491">
        <w:rPr>
          <w:rFonts w:ascii="Palatino Linotype" w:hAnsi="Palatino Linotype"/>
          <w:color w:val="000000"/>
          <w:lang w:val="es-ES_tradnl"/>
        </w:rPr>
        <w:t>E</w:t>
      </w:r>
      <w:r w:rsidR="000F5CBE" w:rsidRPr="000F5CBE">
        <w:rPr>
          <w:rFonts w:ascii="Palatino Linotype" w:hAnsi="Palatino Linotype"/>
          <w:color w:val="000000"/>
          <w:lang w:val="es-ES_tradnl"/>
        </w:rPr>
        <w:t xml:space="preserve">l </w:t>
      </w:r>
      <w:r w:rsidR="003A6491">
        <w:rPr>
          <w:rFonts w:ascii="Palatino Linotype" w:hAnsi="Palatino Linotype"/>
          <w:b/>
          <w:color w:val="000000"/>
          <w:lang w:val="es-ES_tradnl"/>
        </w:rPr>
        <w:t>S</w:t>
      </w:r>
      <w:r w:rsidR="000F5CBE" w:rsidRPr="000F5CBE">
        <w:rPr>
          <w:rFonts w:ascii="Palatino Linotype" w:hAnsi="Palatino Linotype"/>
          <w:b/>
          <w:color w:val="000000"/>
          <w:lang w:val="es-ES_tradnl"/>
        </w:rPr>
        <w:t xml:space="preserve">ujeto </w:t>
      </w:r>
      <w:r w:rsidR="003A6491">
        <w:rPr>
          <w:rFonts w:ascii="Palatino Linotype" w:hAnsi="Palatino Linotype"/>
          <w:b/>
          <w:color w:val="000000"/>
          <w:lang w:val="es-ES_tradnl"/>
        </w:rPr>
        <w:t>O</w:t>
      </w:r>
      <w:r w:rsidR="000F5CBE" w:rsidRPr="000F5CBE">
        <w:rPr>
          <w:rFonts w:ascii="Palatino Linotype" w:hAnsi="Palatino Linotype"/>
          <w:b/>
          <w:color w:val="000000"/>
          <w:lang w:val="es-ES_tradnl"/>
        </w:rPr>
        <w:t xml:space="preserve">bligado </w:t>
      </w:r>
      <w:r w:rsidR="00943E92">
        <w:rPr>
          <w:rFonts w:ascii="Palatino Linotype" w:hAnsi="Palatino Linotype"/>
          <w:color w:val="000000"/>
          <w:lang w:val="es-ES_tradnl"/>
        </w:rPr>
        <w:t xml:space="preserve">remitió </w:t>
      </w:r>
      <w:r w:rsidR="00ED2219">
        <w:rPr>
          <w:rFonts w:ascii="Palatino Linotype" w:hAnsi="Palatino Linotype"/>
          <w:color w:val="000000"/>
          <w:lang w:val="es-ES_tradnl"/>
        </w:rPr>
        <w:t>los</w:t>
      </w:r>
      <w:r w:rsidR="00E3734C">
        <w:rPr>
          <w:rFonts w:ascii="Palatino Linotype" w:hAnsi="Palatino Linotype"/>
          <w:color w:val="000000"/>
          <w:lang w:val="es-ES_tradnl"/>
        </w:rPr>
        <w:t xml:space="preserve"> archivo</w:t>
      </w:r>
      <w:r w:rsidR="00ED2219">
        <w:rPr>
          <w:rFonts w:ascii="Palatino Linotype" w:hAnsi="Palatino Linotype"/>
          <w:color w:val="000000"/>
          <w:lang w:val="es-ES_tradnl"/>
        </w:rPr>
        <w:t>s electrónicos</w:t>
      </w:r>
      <w:r w:rsidR="00E3734C">
        <w:rPr>
          <w:rFonts w:ascii="Palatino Linotype" w:hAnsi="Palatino Linotype"/>
          <w:color w:val="000000"/>
          <w:lang w:val="es-ES_tradnl"/>
        </w:rPr>
        <w:t xml:space="preserve"> denominado</w:t>
      </w:r>
      <w:r w:rsidR="00ED2219">
        <w:rPr>
          <w:rFonts w:ascii="Palatino Linotype" w:hAnsi="Palatino Linotype"/>
          <w:color w:val="000000"/>
          <w:lang w:val="es-ES_tradnl"/>
        </w:rPr>
        <w:t>s</w:t>
      </w:r>
      <w:r w:rsidR="00E3734C">
        <w:rPr>
          <w:rFonts w:ascii="Palatino Linotype" w:hAnsi="Palatino Linotype"/>
          <w:color w:val="000000"/>
          <w:lang w:val="es-ES_tradnl"/>
        </w:rPr>
        <w:t xml:space="preserve"> “</w:t>
      </w:r>
      <w:r w:rsidR="00ED2219" w:rsidRPr="00ED2219">
        <w:rPr>
          <w:rFonts w:ascii="Palatino Linotype" w:hAnsi="Palatino Linotype"/>
          <w:b/>
          <w:bCs/>
          <w:i/>
          <w:iCs/>
          <w:color w:val="000000"/>
          <w:lang w:val="es-ES_tradnl"/>
        </w:rPr>
        <w:t>ContSaimex0086.pdf</w:t>
      </w:r>
      <w:r w:rsidR="00E3734C">
        <w:rPr>
          <w:rFonts w:ascii="Palatino Linotype" w:hAnsi="Palatino Linotype"/>
          <w:color w:val="000000"/>
          <w:lang w:val="es-ES_tradnl"/>
        </w:rPr>
        <w:t>”</w:t>
      </w:r>
      <w:r w:rsidR="00ED2219">
        <w:rPr>
          <w:rFonts w:ascii="Palatino Linotype" w:hAnsi="Palatino Linotype"/>
          <w:color w:val="000000"/>
          <w:lang w:val="es-ES_tradnl"/>
        </w:rPr>
        <w:t xml:space="preserve"> y “</w:t>
      </w:r>
      <w:r w:rsidR="00ED2219" w:rsidRPr="00ED2219">
        <w:rPr>
          <w:rFonts w:ascii="Palatino Linotype" w:hAnsi="Palatino Linotype"/>
          <w:b/>
          <w:bCs/>
          <w:i/>
          <w:iCs/>
          <w:color w:val="000000"/>
          <w:lang w:val="es-ES_tradnl"/>
        </w:rPr>
        <w:t>ACUERDO-02 CTIII-O27-03-23</w:t>
      </w:r>
      <w:proofErr w:type="gramStart"/>
      <w:r w:rsidR="00ED2219" w:rsidRPr="00ED2219">
        <w:rPr>
          <w:rFonts w:ascii="Palatino Linotype" w:hAnsi="Palatino Linotype"/>
          <w:b/>
          <w:bCs/>
          <w:i/>
          <w:iCs/>
          <w:color w:val="000000"/>
          <w:lang w:val="es-ES_tradnl"/>
        </w:rPr>
        <w:t>. .</w:t>
      </w:r>
      <w:proofErr w:type="spellStart"/>
      <w:r w:rsidR="00ED2219" w:rsidRPr="00ED2219">
        <w:rPr>
          <w:rFonts w:ascii="Palatino Linotype" w:hAnsi="Palatino Linotype"/>
          <w:b/>
          <w:bCs/>
          <w:i/>
          <w:iCs/>
          <w:color w:val="000000"/>
          <w:lang w:val="es-ES_tradnl"/>
        </w:rPr>
        <w:t>pdf</w:t>
      </w:r>
      <w:proofErr w:type="spellEnd"/>
      <w:proofErr w:type="gramEnd"/>
      <w:r w:rsidR="00ED2219">
        <w:rPr>
          <w:rFonts w:ascii="Palatino Linotype" w:hAnsi="Palatino Linotype"/>
          <w:color w:val="000000"/>
          <w:lang w:val="es-ES_tradnl"/>
        </w:rPr>
        <w:t>”</w:t>
      </w:r>
      <w:r w:rsidR="005E50F1">
        <w:rPr>
          <w:rFonts w:ascii="Palatino Linotype" w:hAnsi="Palatino Linotype"/>
          <w:color w:val="000000"/>
          <w:lang w:val="es-ES_tradnl"/>
        </w:rPr>
        <w:t xml:space="preserve"> </w:t>
      </w:r>
      <w:r w:rsidR="00E3734C">
        <w:rPr>
          <w:rFonts w:ascii="Palatino Linotype" w:hAnsi="Palatino Linotype"/>
          <w:color w:val="000000"/>
          <w:lang w:val="es-ES_tradnl"/>
        </w:rPr>
        <w:t>de</w:t>
      </w:r>
      <w:r w:rsidR="00ED2219">
        <w:rPr>
          <w:rFonts w:ascii="Palatino Linotype" w:hAnsi="Palatino Linotype"/>
          <w:color w:val="000000"/>
          <w:lang w:val="es-ES_tradnl"/>
        </w:rPr>
        <w:t xml:space="preserve"> los</w:t>
      </w:r>
      <w:r w:rsidR="00E3734C">
        <w:rPr>
          <w:rFonts w:ascii="Palatino Linotype" w:hAnsi="Palatino Linotype"/>
          <w:color w:val="000000"/>
          <w:lang w:val="es-ES_tradnl"/>
        </w:rPr>
        <w:t xml:space="preserve"> </w:t>
      </w:r>
      <w:r w:rsidR="00ED2219">
        <w:rPr>
          <w:rFonts w:ascii="Palatino Linotype" w:hAnsi="Palatino Linotype"/>
          <w:color w:val="000000"/>
          <w:lang w:val="es-ES_tradnl"/>
        </w:rPr>
        <w:t xml:space="preserve">cuales </w:t>
      </w:r>
      <w:r w:rsidR="00E3734C">
        <w:rPr>
          <w:rFonts w:ascii="Palatino Linotype" w:hAnsi="Palatino Linotype"/>
          <w:color w:val="000000"/>
          <w:lang w:val="es-ES_tradnl"/>
        </w:rPr>
        <w:t xml:space="preserve">se desprende el </w:t>
      </w:r>
      <w:r w:rsidR="005E50F1">
        <w:rPr>
          <w:rFonts w:ascii="Palatino Linotype" w:hAnsi="Palatino Linotype"/>
          <w:color w:val="000000"/>
          <w:lang w:val="es-ES_tradnl"/>
        </w:rPr>
        <w:t>contenido siguiente:</w:t>
      </w:r>
    </w:p>
    <w:p w14:paraId="793F0FE0" w14:textId="77777777" w:rsidR="003A6491" w:rsidRDefault="003A6491" w:rsidP="00FF14FE">
      <w:pPr>
        <w:pStyle w:val="Prrafodelista"/>
        <w:spacing w:line="360" w:lineRule="auto"/>
        <w:ind w:left="0"/>
        <w:contextualSpacing/>
        <w:jc w:val="both"/>
        <w:rPr>
          <w:rFonts w:ascii="Palatino Linotype" w:hAnsi="Palatino Linotype"/>
          <w:color w:val="000000"/>
          <w:lang w:val="es-ES_tradnl"/>
        </w:rPr>
      </w:pPr>
    </w:p>
    <w:p w14:paraId="029C6A4C" w14:textId="340DF3EC" w:rsidR="00ED2219" w:rsidRDefault="00ED2219" w:rsidP="00943E92">
      <w:pPr>
        <w:pStyle w:val="Prrafodelista"/>
        <w:numPr>
          <w:ilvl w:val="0"/>
          <w:numId w:val="14"/>
        </w:numPr>
        <w:spacing w:line="360" w:lineRule="auto"/>
        <w:contextualSpacing/>
        <w:jc w:val="both"/>
        <w:rPr>
          <w:rFonts w:ascii="Palatino Linotype" w:hAnsi="Palatino Linotype"/>
          <w:color w:val="000000"/>
          <w:lang w:val="es-ES_tradnl"/>
        </w:rPr>
      </w:pPr>
      <w:bookmarkStart w:id="3" w:name="_Hlk87023195"/>
      <w:r>
        <w:rPr>
          <w:rFonts w:ascii="Palatino Linotype" w:hAnsi="Palatino Linotype"/>
          <w:color w:val="000000"/>
          <w:lang w:val="es-ES_tradnl"/>
        </w:rPr>
        <w:t>“</w:t>
      </w:r>
      <w:r w:rsidRPr="00ED2219">
        <w:rPr>
          <w:rFonts w:ascii="Palatino Linotype" w:hAnsi="Palatino Linotype"/>
          <w:b/>
          <w:bCs/>
          <w:color w:val="000000"/>
          <w:lang w:val="es-ES_tradnl"/>
        </w:rPr>
        <w:t>ContSaimex0086.pdf</w:t>
      </w:r>
      <w:r>
        <w:rPr>
          <w:rFonts w:ascii="Palatino Linotype" w:hAnsi="Palatino Linotype"/>
          <w:color w:val="000000"/>
          <w:lang w:val="es-ES_tradnl"/>
        </w:rPr>
        <w:t xml:space="preserve">”: </w:t>
      </w:r>
      <w:r w:rsidR="00E3734C">
        <w:rPr>
          <w:rFonts w:ascii="Palatino Linotype" w:hAnsi="Palatino Linotype"/>
          <w:color w:val="000000"/>
          <w:lang w:val="es-ES_tradnl"/>
        </w:rPr>
        <w:t>O</w:t>
      </w:r>
      <w:r w:rsidR="005967F1" w:rsidRPr="005967F1">
        <w:rPr>
          <w:rFonts w:ascii="Palatino Linotype" w:hAnsi="Palatino Linotype"/>
          <w:color w:val="000000"/>
          <w:lang w:val="es-ES_tradnl"/>
        </w:rPr>
        <w:t xml:space="preserve">ficio No. </w:t>
      </w:r>
      <w:r>
        <w:rPr>
          <w:rFonts w:ascii="Palatino Linotype" w:hAnsi="Palatino Linotype"/>
          <w:color w:val="000000"/>
          <w:lang w:val="es-ES_tradnl"/>
        </w:rPr>
        <w:t>AZCIM/SCCYE/0973/2023</w:t>
      </w:r>
      <w:r w:rsidR="005967F1">
        <w:rPr>
          <w:rFonts w:ascii="Palatino Linotype" w:hAnsi="Palatino Linotype"/>
          <w:color w:val="000000"/>
          <w:lang w:val="es-ES_tradnl"/>
        </w:rPr>
        <w:t xml:space="preserve">, </w:t>
      </w:r>
      <w:r w:rsidR="008E65AF">
        <w:rPr>
          <w:rFonts w:ascii="Palatino Linotype" w:hAnsi="Palatino Linotype"/>
          <w:color w:val="000000"/>
          <w:lang w:val="es-ES_tradnl"/>
        </w:rPr>
        <w:t>signado</w:t>
      </w:r>
      <w:r w:rsidR="005967F1">
        <w:rPr>
          <w:rFonts w:ascii="Palatino Linotype" w:hAnsi="Palatino Linotype"/>
          <w:color w:val="000000"/>
          <w:lang w:val="es-ES_tradnl"/>
        </w:rPr>
        <w:t xml:space="preserve"> por el </w:t>
      </w:r>
      <w:r w:rsidR="00E3734C">
        <w:rPr>
          <w:rFonts w:ascii="Palatino Linotype" w:hAnsi="Palatino Linotype"/>
          <w:color w:val="000000"/>
          <w:lang w:val="es-ES_tradnl"/>
        </w:rPr>
        <w:t xml:space="preserve">Contralor </w:t>
      </w:r>
      <w:r>
        <w:rPr>
          <w:rFonts w:ascii="Palatino Linotype" w:hAnsi="Palatino Linotype"/>
          <w:color w:val="000000"/>
          <w:lang w:val="es-ES_tradnl"/>
        </w:rPr>
        <w:t>Municipal</w:t>
      </w:r>
      <w:r w:rsidR="00E3734C">
        <w:rPr>
          <w:rFonts w:ascii="Palatino Linotype" w:hAnsi="Palatino Linotype"/>
          <w:color w:val="000000"/>
          <w:lang w:val="es-ES_tradnl"/>
        </w:rPr>
        <w:t>, mismo que fue remitido al Titular de la Unidad de Transparencia, ambos del</w:t>
      </w:r>
      <w:r w:rsidR="005967F1">
        <w:rPr>
          <w:rFonts w:ascii="Palatino Linotype" w:hAnsi="Palatino Linotype"/>
          <w:color w:val="000000"/>
          <w:lang w:val="es-ES_tradnl"/>
        </w:rPr>
        <w:t xml:space="preserve"> Sujeto Obligado,</w:t>
      </w:r>
      <w:r w:rsidR="00E3734C">
        <w:rPr>
          <w:rFonts w:ascii="Palatino Linotype" w:hAnsi="Palatino Linotype"/>
          <w:color w:val="000000"/>
          <w:lang w:val="es-ES_tradnl"/>
        </w:rPr>
        <w:t xml:space="preserve"> </w:t>
      </w:r>
      <w:r w:rsidR="005967F1">
        <w:rPr>
          <w:rFonts w:ascii="Palatino Linotype" w:hAnsi="Palatino Linotype"/>
          <w:color w:val="000000"/>
          <w:lang w:val="es-ES_tradnl"/>
        </w:rPr>
        <w:t>mediante el cual, medularmente le informa que,</w:t>
      </w:r>
      <w:r>
        <w:rPr>
          <w:rFonts w:ascii="Palatino Linotype" w:hAnsi="Palatino Linotype"/>
          <w:color w:val="000000"/>
          <w:lang w:val="es-ES_tradnl"/>
        </w:rPr>
        <w:t xml:space="preserve"> adjunta Memorándum </w:t>
      </w:r>
      <w:proofErr w:type="spellStart"/>
      <w:r>
        <w:rPr>
          <w:rFonts w:ascii="Palatino Linotype" w:hAnsi="Palatino Linotype"/>
          <w:color w:val="000000"/>
          <w:lang w:val="es-ES_tradnl"/>
        </w:rPr>
        <w:t>SSyR</w:t>
      </w:r>
      <w:proofErr w:type="spellEnd"/>
      <w:r>
        <w:rPr>
          <w:rFonts w:ascii="Palatino Linotype" w:hAnsi="Palatino Linotype"/>
          <w:color w:val="000000"/>
          <w:lang w:val="es-ES_tradnl"/>
        </w:rPr>
        <w:t>/017/2023, con la respuesta emitida por la S</w:t>
      </w:r>
      <w:r w:rsidR="00AE5B25">
        <w:rPr>
          <w:rFonts w:ascii="Palatino Linotype" w:hAnsi="Palatino Linotype"/>
          <w:color w:val="000000"/>
          <w:lang w:val="es-ES_tradnl"/>
        </w:rPr>
        <w:t xml:space="preserve">ubdirectora Substanciadora y </w:t>
      </w:r>
      <w:proofErr w:type="spellStart"/>
      <w:r w:rsidR="00AE5B25">
        <w:rPr>
          <w:rFonts w:ascii="Palatino Linotype" w:hAnsi="Palatino Linotype"/>
          <w:color w:val="000000"/>
          <w:lang w:val="es-ES_tradnl"/>
        </w:rPr>
        <w:t>Resolutora</w:t>
      </w:r>
      <w:proofErr w:type="spellEnd"/>
      <w:r w:rsidR="00AE5B25">
        <w:rPr>
          <w:rFonts w:ascii="Palatino Linotype" w:hAnsi="Palatino Linotype"/>
          <w:color w:val="000000"/>
          <w:lang w:val="es-ES_tradnl"/>
        </w:rPr>
        <w:t xml:space="preserve">, comunicando además, que bajo el Acuerdo-02 CT/III-O/027-03-23, en la Tercera Sesión Ordinaria del Comité de Transparencia de fecha 27 de marzo de 2023, se confirma el acuerdo de clasificación de información en su modalidad de reservada, relativo a los procedimientos </w:t>
      </w:r>
      <w:r w:rsidR="005148EE">
        <w:rPr>
          <w:rFonts w:ascii="Palatino Linotype" w:hAnsi="Palatino Linotype"/>
          <w:color w:val="000000"/>
          <w:lang w:val="es-ES_tradnl"/>
        </w:rPr>
        <w:t>administrativos en contra de los titulares</w:t>
      </w:r>
      <w:r w:rsidR="00E076EC">
        <w:rPr>
          <w:rFonts w:ascii="Palatino Linotype" w:hAnsi="Palatino Linotype"/>
          <w:color w:val="000000"/>
          <w:lang w:val="es-ES_tradnl"/>
        </w:rPr>
        <w:t xml:space="preserve"> del Órgano de Control Interno o similar de 2018 a la fecha.</w:t>
      </w:r>
    </w:p>
    <w:p w14:paraId="1C2E7EF3" w14:textId="15B50E2A" w:rsidR="00E076EC" w:rsidRDefault="00E076EC" w:rsidP="00E076EC">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lastRenderedPageBreak/>
        <w:t xml:space="preserve">Asimismo, remitió el </w:t>
      </w:r>
      <w:r w:rsidRPr="00E076EC">
        <w:rPr>
          <w:rFonts w:ascii="Palatino Linotype" w:hAnsi="Palatino Linotype"/>
          <w:color w:val="000000"/>
          <w:lang w:val="es-ES_tradnl"/>
        </w:rPr>
        <w:t>Memorándum</w:t>
      </w:r>
      <w:r>
        <w:rPr>
          <w:rFonts w:ascii="Palatino Linotype" w:hAnsi="Palatino Linotype"/>
          <w:color w:val="000000"/>
          <w:lang w:val="es-ES_tradnl"/>
        </w:rPr>
        <w:t xml:space="preserve"> número</w:t>
      </w:r>
      <w:r w:rsidRPr="00E076EC">
        <w:rPr>
          <w:rFonts w:ascii="Palatino Linotype" w:hAnsi="Palatino Linotype"/>
          <w:color w:val="000000"/>
          <w:lang w:val="es-ES_tradnl"/>
        </w:rPr>
        <w:t xml:space="preserve"> </w:t>
      </w:r>
      <w:proofErr w:type="spellStart"/>
      <w:r w:rsidRPr="00E076EC">
        <w:rPr>
          <w:rFonts w:ascii="Palatino Linotype" w:hAnsi="Palatino Linotype"/>
          <w:color w:val="000000"/>
          <w:lang w:val="es-ES_tradnl"/>
        </w:rPr>
        <w:t>SSyR</w:t>
      </w:r>
      <w:proofErr w:type="spellEnd"/>
      <w:r w:rsidRPr="00E076EC">
        <w:rPr>
          <w:rFonts w:ascii="Palatino Linotype" w:hAnsi="Palatino Linotype"/>
          <w:color w:val="000000"/>
          <w:lang w:val="es-ES_tradnl"/>
        </w:rPr>
        <w:t xml:space="preserve">/017/2023, </w:t>
      </w:r>
      <w:r>
        <w:rPr>
          <w:rFonts w:ascii="Palatino Linotype" w:hAnsi="Palatino Linotype"/>
          <w:color w:val="000000"/>
          <w:lang w:val="es-ES_tradnl"/>
        </w:rPr>
        <w:t>con el cual,</w:t>
      </w:r>
      <w:r w:rsidRPr="00E076EC">
        <w:rPr>
          <w:rFonts w:ascii="Palatino Linotype" w:hAnsi="Palatino Linotype"/>
          <w:color w:val="000000"/>
          <w:lang w:val="es-ES_tradnl"/>
        </w:rPr>
        <w:t xml:space="preserve"> la Subdirectora Substanciadora y </w:t>
      </w:r>
      <w:proofErr w:type="spellStart"/>
      <w:r w:rsidRPr="00E076EC">
        <w:rPr>
          <w:rFonts w:ascii="Palatino Linotype" w:hAnsi="Palatino Linotype"/>
          <w:color w:val="000000"/>
          <w:lang w:val="es-ES_tradnl"/>
        </w:rPr>
        <w:t>Resolutora</w:t>
      </w:r>
      <w:proofErr w:type="spellEnd"/>
      <w:r>
        <w:rPr>
          <w:rFonts w:ascii="Palatino Linotype" w:hAnsi="Palatino Linotype"/>
          <w:color w:val="000000"/>
          <w:lang w:val="es-ES_tradnl"/>
        </w:rPr>
        <w:t xml:space="preserve">, comunica al Subdirector de Cumplimiento, Control y Evaluación que, se advierte que obra información relativa a datos personales correspondientes a nombre de </w:t>
      </w:r>
      <w:proofErr w:type="spellStart"/>
      <w:r>
        <w:rPr>
          <w:rFonts w:ascii="Palatino Linotype" w:hAnsi="Palatino Linotype"/>
          <w:color w:val="000000"/>
          <w:lang w:val="es-ES_tradnl"/>
        </w:rPr>
        <w:t>exservidores</w:t>
      </w:r>
      <w:proofErr w:type="spellEnd"/>
      <w:r>
        <w:rPr>
          <w:rFonts w:ascii="Palatino Linotype" w:hAnsi="Palatino Linotype"/>
          <w:color w:val="000000"/>
          <w:lang w:val="es-ES_tradnl"/>
        </w:rPr>
        <w:t xml:space="preserve"> públicos sujetos a un procedimiento administrativo por presuntas faltas administrativas</w:t>
      </w:r>
      <w:r w:rsidR="00BB2275">
        <w:rPr>
          <w:rFonts w:ascii="Palatino Linotype" w:hAnsi="Palatino Linotype"/>
          <w:color w:val="000000"/>
          <w:lang w:val="es-ES_tradnl"/>
        </w:rPr>
        <w:t xml:space="preserve">, de las cuales, no ha </w:t>
      </w:r>
      <w:r w:rsidR="00BC3C78">
        <w:rPr>
          <w:rFonts w:ascii="Palatino Linotype" w:hAnsi="Palatino Linotype"/>
          <w:color w:val="000000"/>
          <w:lang w:val="es-ES_tradnl"/>
        </w:rPr>
        <w:t>caído</w:t>
      </w:r>
      <w:r w:rsidR="00BB2275">
        <w:rPr>
          <w:rFonts w:ascii="Palatino Linotype" w:hAnsi="Palatino Linotype"/>
          <w:color w:val="000000"/>
          <w:lang w:val="es-ES_tradnl"/>
        </w:rPr>
        <w:t xml:space="preserve"> determinación, </w:t>
      </w:r>
      <w:r w:rsidR="00BC3C78">
        <w:rPr>
          <w:rFonts w:ascii="Palatino Linotype" w:hAnsi="Palatino Linotype"/>
          <w:color w:val="000000"/>
          <w:lang w:val="es-ES_tradnl"/>
        </w:rPr>
        <w:t xml:space="preserve">afectando el sentido de la misma, por lo cual, la información solicitada no </w:t>
      </w:r>
      <w:proofErr w:type="spellStart"/>
      <w:r w:rsidR="00BC3C78">
        <w:rPr>
          <w:rFonts w:ascii="Palatino Linotype" w:hAnsi="Palatino Linotype"/>
          <w:color w:val="000000"/>
          <w:lang w:val="es-ES_tradnl"/>
        </w:rPr>
        <w:t>sebe</w:t>
      </w:r>
      <w:proofErr w:type="spellEnd"/>
      <w:r w:rsidR="00BC3C78">
        <w:rPr>
          <w:rFonts w:ascii="Palatino Linotype" w:hAnsi="Palatino Linotype"/>
          <w:color w:val="000000"/>
          <w:lang w:val="es-ES_tradnl"/>
        </w:rPr>
        <w:t xml:space="preserve"> ser susceptible de difusión, por lo que solicita se clasifique como información reservada </w:t>
      </w:r>
      <w:r w:rsidR="00BB2275">
        <w:rPr>
          <w:rFonts w:ascii="Palatino Linotype" w:hAnsi="Palatino Linotype"/>
          <w:color w:val="000000"/>
          <w:lang w:val="es-ES_tradnl"/>
        </w:rPr>
        <w:t xml:space="preserve"> </w:t>
      </w:r>
      <w:r w:rsidR="00BC3C78">
        <w:rPr>
          <w:rFonts w:ascii="Palatino Linotype" w:hAnsi="Palatino Linotype"/>
          <w:color w:val="000000"/>
          <w:lang w:val="es-ES_tradnl"/>
        </w:rPr>
        <w:t xml:space="preserve">por un periodo de cinco años. </w:t>
      </w:r>
    </w:p>
    <w:p w14:paraId="1029A732" w14:textId="188A0988" w:rsidR="005967F1" w:rsidRDefault="005967F1" w:rsidP="00ED2219">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 xml:space="preserve">  </w:t>
      </w:r>
    </w:p>
    <w:p w14:paraId="3ECD2286" w14:textId="04979312" w:rsidR="001F7D91" w:rsidRPr="00BC3C78" w:rsidRDefault="00ED2219" w:rsidP="00BC3C78">
      <w:pPr>
        <w:pStyle w:val="Prrafodelista"/>
        <w:numPr>
          <w:ilvl w:val="0"/>
          <w:numId w:val="14"/>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Pr="00ED2219">
        <w:rPr>
          <w:rFonts w:ascii="Palatino Linotype" w:hAnsi="Palatino Linotype"/>
          <w:b/>
          <w:bCs/>
          <w:color w:val="000000"/>
          <w:lang w:val="es-ES_tradnl"/>
        </w:rPr>
        <w:t>ACUERDO-02 CTIII-O27-03-23</w:t>
      </w:r>
      <w:proofErr w:type="gramStart"/>
      <w:r w:rsidRPr="00ED2219">
        <w:rPr>
          <w:rFonts w:ascii="Palatino Linotype" w:hAnsi="Palatino Linotype"/>
          <w:b/>
          <w:bCs/>
          <w:color w:val="000000"/>
          <w:lang w:val="es-ES_tradnl"/>
        </w:rPr>
        <w:t>. .</w:t>
      </w:r>
      <w:proofErr w:type="spellStart"/>
      <w:proofErr w:type="gramEnd"/>
      <w:r w:rsidRPr="00ED2219">
        <w:rPr>
          <w:rFonts w:ascii="Palatino Linotype" w:hAnsi="Palatino Linotype"/>
          <w:b/>
          <w:bCs/>
          <w:color w:val="000000"/>
          <w:lang w:val="es-ES_tradnl"/>
        </w:rPr>
        <w:t>pdf</w:t>
      </w:r>
      <w:proofErr w:type="spellEnd"/>
      <w:r>
        <w:rPr>
          <w:rFonts w:ascii="Palatino Linotype" w:hAnsi="Palatino Linotype"/>
          <w:color w:val="000000"/>
          <w:lang w:val="es-ES_tradnl"/>
        </w:rPr>
        <w:t xml:space="preserve">”: </w:t>
      </w:r>
      <w:r w:rsidR="00BC3C78">
        <w:rPr>
          <w:rFonts w:ascii="Palatino Linotype" w:hAnsi="Palatino Linotype"/>
          <w:color w:val="000000"/>
          <w:lang w:val="es-ES_tradnl"/>
        </w:rPr>
        <w:t xml:space="preserve">Contiene el </w:t>
      </w:r>
      <w:r w:rsidR="00BC3C78" w:rsidRPr="00BC3C78">
        <w:rPr>
          <w:rFonts w:ascii="Palatino Linotype" w:hAnsi="Palatino Linotype"/>
          <w:color w:val="000000"/>
        </w:rPr>
        <w:t>ACUERDO-02 CT/III-O/27-03-23</w:t>
      </w:r>
      <w:r w:rsidR="00BC3C78">
        <w:rPr>
          <w:rFonts w:ascii="Palatino Linotype" w:hAnsi="Palatino Linotype"/>
          <w:color w:val="000000"/>
        </w:rPr>
        <w:t xml:space="preserve"> d</w:t>
      </w:r>
      <w:r w:rsidR="00BC3C78" w:rsidRPr="00BC3C78">
        <w:rPr>
          <w:rFonts w:ascii="Palatino Linotype" w:hAnsi="Palatino Linotype"/>
          <w:color w:val="000000"/>
        </w:rPr>
        <w:t xml:space="preserve">e </w:t>
      </w:r>
      <w:r w:rsidR="00BC3C78">
        <w:rPr>
          <w:rFonts w:ascii="Palatino Linotype" w:hAnsi="Palatino Linotype"/>
          <w:color w:val="000000"/>
        </w:rPr>
        <w:t>l</w:t>
      </w:r>
      <w:r w:rsidR="00BC3C78" w:rsidRPr="00BC3C78">
        <w:rPr>
          <w:rFonts w:ascii="Palatino Linotype" w:hAnsi="Palatino Linotype"/>
          <w:color w:val="000000"/>
        </w:rPr>
        <w:t xml:space="preserve">a Tercera Sesión Ordinaria </w:t>
      </w:r>
      <w:r w:rsidR="00BC3C78">
        <w:rPr>
          <w:rFonts w:ascii="Palatino Linotype" w:hAnsi="Palatino Linotype"/>
          <w:color w:val="000000"/>
        </w:rPr>
        <w:t>d</w:t>
      </w:r>
      <w:r w:rsidR="00BC3C78" w:rsidRPr="00BC3C78">
        <w:rPr>
          <w:rFonts w:ascii="Palatino Linotype" w:hAnsi="Palatino Linotype"/>
          <w:color w:val="000000"/>
        </w:rPr>
        <w:t xml:space="preserve">el Comité </w:t>
      </w:r>
      <w:r w:rsidR="00BC3C78">
        <w:rPr>
          <w:rFonts w:ascii="Palatino Linotype" w:hAnsi="Palatino Linotype"/>
          <w:color w:val="000000"/>
        </w:rPr>
        <w:t>d</w:t>
      </w:r>
      <w:r w:rsidR="00BC3C78" w:rsidRPr="00BC3C78">
        <w:rPr>
          <w:rFonts w:ascii="Palatino Linotype" w:hAnsi="Palatino Linotype"/>
          <w:color w:val="000000"/>
        </w:rPr>
        <w:t xml:space="preserve">e Transparencia </w:t>
      </w:r>
      <w:r w:rsidR="00BC3C78">
        <w:rPr>
          <w:rFonts w:ascii="Palatino Linotype" w:hAnsi="Palatino Linotype"/>
          <w:color w:val="000000"/>
        </w:rPr>
        <w:t>d</w:t>
      </w:r>
      <w:r w:rsidR="00BC3C78" w:rsidRPr="00BC3C78">
        <w:rPr>
          <w:rFonts w:ascii="Palatino Linotype" w:hAnsi="Palatino Linotype"/>
          <w:color w:val="000000"/>
        </w:rPr>
        <w:t xml:space="preserve">el H. Ayuntamiento </w:t>
      </w:r>
      <w:r w:rsidR="00BC3C78">
        <w:rPr>
          <w:rFonts w:ascii="Palatino Linotype" w:hAnsi="Palatino Linotype"/>
          <w:color w:val="000000"/>
        </w:rPr>
        <w:t>d</w:t>
      </w:r>
      <w:r w:rsidR="00BC3C78" w:rsidRPr="00BC3C78">
        <w:rPr>
          <w:rFonts w:ascii="Palatino Linotype" w:hAnsi="Palatino Linotype"/>
          <w:color w:val="000000"/>
        </w:rPr>
        <w:t xml:space="preserve">e Atizapán </w:t>
      </w:r>
      <w:r w:rsidR="00BC3C78">
        <w:rPr>
          <w:rFonts w:ascii="Palatino Linotype" w:hAnsi="Palatino Linotype"/>
          <w:color w:val="000000"/>
        </w:rPr>
        <w:t>d</w:t>
      </w:r>
      <w:r w:rsidR="00BC3C78" w:rsidRPr="00BC3C78">
        <w:rPr>
          <w:rFonts w:ascii="Palatino Linotype" w:hAnsi="Palatino Linotype"/>
          <w:color w:val="000000"/>
        </w:rPr>
        <w:t xml:space="preserve">e Zaragoza, Estado De México; </w:t>
      </w:r>
      <w:r w:rsidR="00BC3C78">
        <w:rPr>
          <w:rFonts w:ascii="Palatino Linotype" w:hAnsi="Palatino Linotype"/>
          <w:color w:val="000000"/>
        </w:rPr>
        <w:t>d</w:t>
      </w:r>
      <w:r w:rsidR="00BC3C78" w:rsidRPr="00BC3C78">
        <w:rPr>
          <w:rFonts w:ascii="Palatino Linotype" w:hAnsi="Palatino Linotype"/>
          <w:color w:val="000000"/>
        </w:rPr>
        <w:t xml:space="preserve">e Fecha 27 </w:t>
      </w:r>
      <w:r w:rsidR="00BC3C78">
        <w:rPr>
          <w:rFonts w:ascii="Palatino Linotype" w:hAnsi="Palatino Linotype"/>
          <w:color w:val="000000"/>
        </w:rPr>
        <w:t>d</w:t>
      </w:r>
      <w:r w:rsidR="00BC3C78" w:rsidRPr="00BC3C78">
        <w:rPr>
          <w:rFonts w:ascii="Palatino Linotype" w:hAnsi="Palatino Linotype"/>
          <w:color w:val="000000"/>
        </w:rPr>
        <w:t xml:space="preserve">e Marzo </w:t>
      </w:r>
      <w:r w:rsidR="00BC3C78">
        <w:rPr>
          <w:rFonts w:ascii="Palatino Linotype" w:hAnsi="Palatino Linotype"/>
          <w:color w:val="000000"/>
        </w:rPr>
        <w:t>d</w:t>
      </w:r>
      <w:r w:rsidR="00BC3C78" w:rsidRPr="00BC3C78">
        <w:rPr>
          <w:rFonts w:ascii="Palatino Linotype" w:hAnsi="Palatino Linotype"/>
          <w:color w:val="000000"/>
        </w:rPr>
        <w:t>el Año 2023</w:t>
      </w:r>
      <w:r w:rsidR="00BC3C78">
        <w:rPr>
          <w:rFonts w:ascii="Palatino Linotype" w:hAnsi="Palatino Linotype"/>
          <w:color w:val="000000"/>
        </w:rPr>
        <w:t>, con el que s</w:t>
      </w:r>
      <w:r w:rsidR="00BC3C78" w:rsidRPr="00BC3C78">
        <w:rPr>
          <w:rFonts w:ascii="Palatino Linotype" w:hAnsi="Palatino Linotype"/>
          <w:color w:val="000000"/>
        </w:rPr>
        <w:t xml:space="preserve">e </w:t>
      </w:r>
      <w:r w:rsidR="00BC3C78">
        <w:rPr>
          <w:rFonts w:ascii="Palatino Linotype" w:hAnsi="Palatino Linotype"/>
          <w:color w:val="000000"/>
        </w:rPr>
        <w:t>c</w:t>
      </w:r>
      <w:r w:rsidR="00BC3C78" w:rsidRPr="00BC3C78">
        <w:rPr>
          <w:rFonts w:ascii="Palatino Linotype" w:hAnsi="Palatino Linotype"/>
          <w:color w:val="000000"/>
        </w:rPr>
        <w:t xml:space="preserve">onfirma </w:t>
      </w:r>
      <w:r w:rsidR="00BC3C78">
        <w:rPr>
          <w:rFonts w:ascii="Palatino Linotype" w:hAnsi="Palatino Linotype"/>
          <w:color w:val="000000"/>
        </w:rPr>
        <w:t>e</w:t>
      </w:r>
      <w:r w:rsidR="00BC3C78" w:rsidRPr="00BC3C78">
        <w:rPr>
          <w:rFonts w:ascii="Palatino Linotype" w:hAnsi="Palatino Linotype"/>
          <w:color w:val="000000"/>
        </w:rPr>
        <w:t xml:space="preserve">l Acuerdo </w:t>
      </w:r>
      <w:r w:rsidR="00BC3C78">
        <w:rPr>
          <w:rFonts w:ascii="Palatino Linotype" w:hAnsi="Palatino Linotype"/>
          <w:color w:val="000000"/>
        </w:rPr>
        <w:t>d</w:t>
      </w:r>
      <w:r w:rsidR="00BC3C78" w:rsidRPr="00BC3C78">
        <w:rPr>
          <w:rFonts w:ascii="Palatino Linotype" w:hAnsi="Palatino Linotype"/>
          <w:color w:val="000000"/>
        </w:rPr>
        <w:t xml:space="preserve">e Clasificación </w:t>
      </w:r>
      <w:r w:rsidR="00BC3C78">
        <w:rPr>
          <w:rFonts w:ascii="Palatino Linotype" w:hAnsi="Palatino Linotype"/>
          <w:color w:val="000000"/>
        </w:rPr>
        <w:t>d</w:t>
      </w:r>
      <w:r w:rsidR="00BC3C78" w:rsidRPr="00BC3C78">
        <w:rPr>
          <w:rFonts w:ascii="Palatino Linotype" w:hAnsi="Palatino Linotype"/>
          <w:color w:val="000000"/>
        </w:rPr>
        <w:t xml:space="preserve">e Información </w:t>
      </w:r>
      <w:r w:rsidR="00BC3C78">
        <w:rPr>
          <w:rFonts w:ascii="Palatino Linotype" w:hAnsi="Palatino Linotype"/>
          <w:color w:val="000000"/>
        </w:rPr>
        <w:t>e</w:t>
      </w:r>
      <w:r w:rsidR="00BC3C78" w:rsidRPr="00BC3C78">
        <w:rPr>
          <w:rFonts w:ascii="Palatino Linotype" w:hAnsi="Palatino Linotype"/>
          <w:color w:val="000000"/>
        </w:rPr>
        <w:t xml:space="preserve">n </w:t>
      </w:r>
      <w:r w:rsidR="00BC3C78">
        <w:rPr>
          <w:rFonts w:ascii="Palatino Linotype" w:hAnsi="Palatino Linotype"/>
          <w:color w:val="000000"/>
        </w:rPr>
        <w:t>s</w:t>
      </w:r>
      <w:r w:rsidR="00BC3C78" w:rsidRPr="00BC3C78">
        <w:rPr>
          <w:rFonts w:ascii="Palatino Linotype" w:hAnsi="Palatino Linotype"/>
          <w:color w:val="000000"/>
        </w:rPr>
        <w:t xml:space="preserve">u </w:t>
      </w:r>
      <w:r w:rsidR="00BC3C78">
        <w:rPr>
          <w:rFonts w:ascii="Palatino Linotype" w:hAnsi="Palatino Linotype"/>
          <w:color w:val="000000"/>
        </w:rPr>
        <w:t>m</w:t>
      </w:r>
      <w:r w:rsidR="00BC3C78" w:rsidRPr="00BC3C78">
        <w:rPr>
          <w:rFonts w:ascii="Palatino Linotype" w:hAnsi="Palatino Linotype"/>
          <w:color w:val="000000"/>
        </w:rPr>
        <w:t xml:space="preserve">odalidad </w:t>
      </w:r>
      <w:r w:rsidR="00BC3C78">
        <w:rPr>
          <w:rFonts w:ascii="Palatino Linotype" w:hAnsi="Palatino Linotype"/>
          <w:color w:val="000000"/>
        </w:rPr>
        <w:t>de r</w:t>
      </w:r>
      <w:r w:rsidR="00BC3C78" w:rsidRPr="00BC3C78">
        <w:rPr>
          <w:rFonts w:ascii="Palatino Linotype" w:hAnsi="Palatino Linotype"/>
          <w:color w:val="000000"/>
        </w:rPr>
        <w:t xml:space="preserve">eservada, relativo de los procedimientos administrativos en contra de los Titulares </w:t>
      </w:r>
      <w:r w:rsidR="00BC3C78">
        <w:rPr>
          <w:rFonts w:ascii="Palatino Linotype" w:hAnsi="Palatino Linotype"/>
          <w:color w:val="000000"/>
        </w:rPr>
        <w:t>d</w:t>
      </w:r>
      <w:r w:rsidR="00BC3C78" w:rsidRPr="00BC3C78">
        <w:rPr>
          <w:rFonts w:ascii="Palatino Linotype" w:hAnsi="Palatino Linotype"/>
          <w:color w:val="000000"/>
        </w:rPr>
        <w:t xml:space="preserve">el Órgano </w:t>
      </w:r>
      <w:r w:rsidR="00BC3C78">
        <w:rPr>
          <w:rFonts w:ascii="Palatino Linotype" w:hAnsi="Palatino Linotype"/>
          <w:color w:val="000000"/>
        </w:rPr>
        <w:t>d</w:t>
      </w:r>
      <w:r w:rsidR="00BC3C78" w:rsidRPr="00BC3C78">
        <w:rPr>
          <w:rFonts w:ascii="Palatino Linotype" w:hAnsi="Palatino Linotype"/>
          <w:color w:val="000000"/>
        </w:rPr>
        <w:t xml:space="preserve">e Control Interno </w:t>
      </w:r>
      <w:r w:rsidR="00BC3C78">
        <w:rPr>
          <w:rFonts w:ascii="Palatino Linotype" w:hAnsi="Palatino Linotype"/>
          <w:color w:val="000000"/>
        </w:rPr>
        <w:t>d</w:t>
      </w:r>
      <w:r w:rsidR="00BC3C78" w:rsidRPr="00BC3C78">
        <w:rPr>
          <w:rFonts w:ascii="Palatino Linotype" w:hAnsi="Palatino Linotype"/>
          <w:color w:val="000000"/>
        </w:rPr>
        <w:t xml:space="preserve"> </w:t>
      </w:r>
      <w:r w:rsidR="00BC3C78">
        <w:rPr>
          <w:rFonts w:ascii="Palatino Linotype" w:hAnsi="Palatino Linotype"/>
          <w:color w:val="000000"/>
        </w:rPr>
        <w:t>s</w:t>
      </w:r>
      <w:r w:rsidR="00BC3C78" w:rsidRPr="00BC3C78">
        <w:rPr>
          <w:rFonts w:ascii="Palatino Linotype" w:hAnsi="Palatino Linotype"/>
          <w:color w:val="000000"/>
        </w:rPr>
        <w:t xml:space="preserve">imilar </w:t>
      </w:r>
      <w:r w:rsidR="00BC3C78">
        <w:rPr>
          <w:rFonts w:ascii="Palatino Linotype" w:hAnsi="Palatino Linotype"/>
          <w:color w:val="000000"/>
        </w:rPr>
        <w:t>d</w:t>
      </w:r>
      <w:r w:rsidR="00BC3C78" w:rsidRPr="00BC3C78">
        <w:rPr>
          <w:rFonts w:ascii="Palatino Linotype" w:hAnsi="Palatino Linotype"/>
          <w:color w:val="000000"/>
        </w:rPr>
        <w:t xml:space="preserve">el Año 2018 </w:t>
      </w:r>
      <w:r w:rsidR="00BC3C78">
        <w:rPr>
          <w:rFonts w:ascii="Palatino Linotype" w:hAnsi="Palatino Linotype"/>
          <w:color w:val="000000"/>
        </w:rPr>
        <w:t>a</w:t>
      </w:r>
      <w:r w:rsidR="00BC3C78" w:rsidRPr="00BC3C78">
        <w:rPr>
          <w:rFonts w:ascii="Palatino Linotype" w:hAnsi="Palatino Linotype"/>
          <w:color w:val="000000"/>
        </w:rPr>
        <w:t xml:space="preserve"> </w:t>
      </w:r>
      <w:r w:rsidR="00BC3C78">
        <w:rPr>
          <w:rFonts w:ascii="Palatino Linotype" w:hAnsi="Palatino Linotype"/>
          <w:color w:val="000000"/>
        </w:rPr>
        <w:t>l</w:t>
      </w:r>
      <w:r w:rsidR="00BC3C78" w:rsidRPr="00BC3C78">
        <w:rPr>
          <w:rFonts w:ascii="Palatino Linotype" w:hAnsi="Palatino Linotype"/>
          <w:color w:val="000000"/>
        </w:rPr>
        <w:t xml:space="preserve">a </w:t>
      </w:r>
      <w:r w:rsidR="00B326AC">
        <w:rPr>
          <w:rFonts w:ascii="Palatino Linotype" w:hAnsi="Palatino Linotype"/>
          <w:color w:val="000000"/>
        </w:rPr>
        <w:t>F</w:t>
      </w:r>
      <w:r w:rsidR="00BC3C78" w:rsidRPr="00BC3C78">
        <w:rPr>
          <w:rFonts w:ascii="Palatino Linotype" w:hAnsi="Palatino Linotype"/>
          <w:color w:val="000000"/>
        </w:rPr>
        <w:t>ech</w:t>
      </w:r>
      <w:r w:rsidR="006630DD">
        <w:rPr>
          <w:rFonts w:ascii="Palatino Linotype" w:hAnsi="Palatino Linotype"/>
          <w:color w:val="000000"/>
        </w:rPr>
        <w:t>a, misma que fue remitida sin firmas de los integrantes del Comité de Transparencia del Sujeto Obligado.</w:t>
      </w:r>
    </w:p>
    <w:bookmarkEnd w:id="3"/>
    <w:p w14:paraId="54207F85" w14:textId="77777777" w:rsidR="00BF390A" w:rsidRDefault="00BF390A" w:rsidP="005B7C1F">
      <w:pPr>
        <w:tabs>
          <w:tab w:val="left" w:pos="8647"/>
        </w:tabs>
        <w:spacing w:line="360" w:lineRule="auto"/>
        <w:jc w:val="both"/>
        <w:rPr>
          <w:rFonts w:ascii="Palatino Linotype" w:hAnsi="Palatino Linotype" w:cs="Arial"/>
        </w:rPr>
      </w:pPr>
    </w:p>
    <w:p w14:paraId="618AECDA" w14:textId="42B289A1" w:rsidR="005D6129" w:rsidRDefault="005D6129" w:rsidP="00BF390A">
      <w:pPr>
        <w:tabs>
          <w:tab w:val="left" w:pos="709"/>
        </w:tabs>
        <w:spacing w:line="360" w:lineRule="auto"/>
        <w:ind w:right="51"/>
        <w:jc w:val="both"/>
        <w:rPr>
          <w:rFonts w:ascii="Palatino Linotype" w:hAnsi="Palatino Linotype" w:cs="Arial"/>
        </w:rPr>
      </w:pPr>
      <w:r w:rsidRPr="005D6129">
        <w:rPr>
          <w:rFonts w:ascii="Palatino Linotype" w:hAnsi="Palatino Linotype" w:cs="Arial"/>
        </w:rPr>
        <w:t>Señalado lo anterior, es conveniente precisar que, mediante informe justificado, el Sujeto Obligado</w:t>
      </w:r>
      <w:r>
        <w:rPr>
          <w:rFonts w:ascii="Palatino Linotype" w:hAnsi="Palatino Linotype" w:cs="Arial"/>
        </w:rPr>
        <w:t xml:space="preserve"> ratifico su respuesta primigenia</w:t>
      </w:r>
      <w:r w:rsidR="00A918DA">
        <w:rPr>
          <w:rFonts w:ascii="Palatino Linotype" w:hAnsi="Palatino Linotype" w:cs="Arial"/>
        </w:rPr>
        <w:t xml:space="preserve"> </w:t>
      </w:r>
      <w:r w:rsidRPr="005D6129">
        <w:rPr>
          <w:rFonts w:ascii="Palatino Linotype" w:hAnsi="Palatino Linotype" w:cs="Arial"/>
        </w:rPr>
        <w:t>a través del Contralor Municipa</w:t>
      </w:r>
      <w:r>
        <w:rPr>
          <w:rFonts w:ascii="Palatino Linotype" w:hAnsi="Palatino Linotype" w:cs="Arial"/>
        </w:rPr>
        <w:t>l</w:t>
      </w:r>
      <w:r w:rsidRPr="005D6129">
        <w:rPr>
          <w:rFonts w:ascii="Palatino Linotype" w:hAnsi="Palatino Linotype" w:cs="Arial"/>
        </w:rPr>
        <w:t xml:space="preserve"> </w:t>
      </w:r>
      <w:r w:rsidR="00A918DA">
        <w:rPr>
          <w:rFonts w:ascii="Palatino Linotype" w:hAnsi="Palatino Linotype" w:cs="Arial"/>
        </w:rPr>
        <w:t xml:space="preserve">informando </w:t>
      </w:r>
      <w:r w:rsidRPr="005D6129">
        <w:rPr>
          <w:rFonts w:ascii="Palatino Linotype" w:hAnsi="Palatino Linotype" w:cs="Arial"/>
        </w:rPr>
        <w:t>que</w:t>
      </w:r>
      <w:r>
        <w:rPr>
          <w:rFonts w:ascii="Palatino Linotype" w:hAnsi="Palatino Linotype" w:cs="Arial"/>
        </w:rPr>
        <w:t>,</w:t>
      </w:r>
      <w:r w:rsidRPr="005D6129">
        <w:rPr>
          <w:rFonts w:ascii="Palatino Linotype" w:hAnsi="Palatino Linotype" w:cs="Arial"/>
        </w:rPr>
        <w:t xml:space="preserve"> </w:t>
      </w:r>
      <w:r w:rsidR="00A918DA">
        <w:rPr>
          <w:rFonts w:ascii="Palatino Linotype" w:hAnsi="Palatino Linotype" w:cs="Arial"/>
        </w:rPr>
        <w:t xml:space="preserve"> remite nuevamente </w:t>
      </w:r>
      <w:r w:rsidR="00A918DA" w:rsidRPr="00A918DA">
        <w:rPr>
          <w:rFonts w:ascii="Palatino Linotype" w:hAnsi="Palatino Linotype" w:cs="Arial"/>
        </w:rPr>
        <w:t xml:space="preserve">el Acuerdo-02 CT/III-O/027-03-23, en la Tercera Sesión Ordinaria del Comité de Transparencia de fecha 27 de marzo de 2023, </w:t>
      </w:r>
      <w:r w:rsidR="00A918DA">
        <w:rPr>
          <w:rFonts w:ascii="Palatino Linotype" w:hAnsi="Palatino Linotype" w:cs="Arial"/>
        </w:rPr>
        <w:t xml:space="preserve">por el que </w:t>
      </w:r>
      <w:r w:rsidR="00A918DA" w:rsidRPr="00A918DA">
        <w:rPr>
          <w:rFonts w:ascii="Palatino Linotype" w:hAnsi="Palatino Linotype" w:cs="Arial"/>
        </w:rPr>
        <w:t xml:space="preserve">se confirma el acuerdo de clasificación de información en su modalidad de reservada, relativo a los procedimientos administrativos en contra de los titulares del </w:t>
      </w:r>
      <w:r w:rsidR="00A918DA" w:rsidRPr="00A918DA">
        <w:rPr>
          <w:rFonts w:ascii="Palatino Linotype" w:hAnsi="Palatino Linotype" w:cs="Arial"/>
        </w:rPr>
        <w:lastRenderedPageBreak/>
        <w:t>Órgano de Control Interno o similar de 2018 a la fech</w:t>
      </w:r>
      <w:r w:rsidR="00A918DA">
        <w:rPr>
          <w:rFonts w:ascii="Palatino Linotype" w:hAnsi="Palatino Linotype" w:cs="Arial"/>
        </w:rPr>
        <w:t xml:space="preserve">a, adjuntando dicho documento firmado por </w:t>
      </w:r>
      <w:r w:rsidR="00A918DA" w:rsidRPr="00A918DA">
        <w:rPr>
          <w:rFonts w:ascii="Palatino Linotype" w:hAnsi="Palatino Linotype" w:cs="Arial"/>
        </w:rPr>
        <w:t>los integrantes del Comité de Transparencia del Sujeto Obligado</w:t>
      </w:r>
      <w:r w:rsidR="00A918DA">
        <w:rPr>
          <w:rFonts w:ascii="Palatino Linotype" w:hAnsi="Palatino Linotype" w:cs="Arial"/>
        </w:rPr>
        <w:t>.</w:t>
      </w:r>
    </w:p>
    <w:p w14:paraId="7AF49647" w14:textId="77777777" w:rsidR="005D6129" w:rsidRDefault="005D6129" w:rsidP="00BF390A">
      <w:pPr>
        <w:tabs>
          <w:tab w:val="left" w:pos="709"/>
        </w:tabs>
        <w:spacing w:line="360" w:lineRule="auto"/>
        <w:ind w:right="51"/>
        <w:jc w:val="both"/>
        <w:rPr>
          <w:rFonts w:ascii="Palatino Linotype" w:hAnsi="Palatino Linotype" w:cs="Arial"/>
        </w:rPr>
      </w:pPr>
    </w:p>
    <w:p w14:paraId="2056CAAE" w14:textId="29AD5DCF" w:rsidR="00BF390A" w:rsidRDefault="00BF390A" w:rsidP="00BF390A">
      <w:pPr>
        <w:tabs>
          <w:tab w:val="left" w:pos="709"/>
        </w:tabs>
        <w:spacing w:line="360" w:lineRule="auto"/>
        <w:ind w:right="51"/>
        <w:jc w:val="both"/>
        <w:rPr>
          <w:rFonts w:ascii="Palatino Linotype" w:hAnsi="Palatino Linotype" w:cs="Arial"/>
        </w:rPr>
      </w:pPr>
      <w:r w:rsidRPr="007F45B9">
        <w:rPr>
          <w:rFonts w:ascii="Palatino Linotype" w:hAnsi="Palatino Linotype" w:cs="Arial"/>
        </w:rPr>
        <w:t xml:space="preserve">Bajo las premisas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3E4EB687" w14:textId="77777777" w:rsidR="00895C8A" w:rsidRDefault="00895C8A" w:rsidP="00BF390A">
      <w:pPr>
        <w:tabs>
          <w:tab w:val="left" w:pos="709"/>
        </w:tabs>
        <w:spacing w:line="360" w:lineRule="auto"/>
        <w:ind w:right="51"/>
        <w:jc w:val="both"/>
        <w:rPr>
          <w:rFonts w:ascii="Palatino Linotype" w:hAnsi="Palatino Linotype" w:cs="Arial"/>
        </w:rPr>
      </w:pPr>
    </w:p>
    <w:p w14:paraId="3CAA3187" w14:textId="14ADDA36" w:rsidR="00BF390A" w:rsidRPr="009B3996" w:rsidRDefault="00313D5B" w:rsidP="00BF390A">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En es</w:t>
      </w:r>
      <w:r w:rsidR="00594F75">
        <w:rPr>
          <w:rFonts w:ascii="Palatino Linotype" w:hAnsi="Palatino Linotype" w:cs="Arial"/>
          <w:color w:val="000000"/>
        </w:rPr>
        <w:t>e</w:t>
      </w:r>
      <w:r>
        <w:rPr>
          <w:rFonts w:ascii="Palatino Linotype" w:hAnsi="Palatino Linotype" w:cs="Arial"/>
          <w:color w:val="000000"/>
        </w:rPr>
        <w:t xml:space="preserve"> sentido</w:t>
      </w:r>
      <w:r w:rsidR="00BF390A"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73D3E29" w14:textId="77777777" w:rsidR="00BF390A" w:rsidRPr="006F3207" w:rsidRDefault="00BF390A" w:rsidP="00BF390A">
      <w:pPr>
        <w:ind w:left="851" w:right="851"/>
        <w:jc w:val="both"/>
        <w:rPr>
          <w:rFonts w:ascii="Palatino Linotype" w:hAnsi="Palatino Linotype" w:cs="Arial"/>
          <w:bCs/>
          <w:i/>
        </w:rPr>
      </w:pPr>
      <w:r w:rsidRPr="006F3207">
        <w:rPr>
          <w:rFonts w:ascii="Palatino Linotype" w:hAnsi="Palatino Linotype" w:cs="Arial"/>
          <w:bCs/>
          <w:i/>
        </w:rPr>
        <w:t>…</w:t>
      </w:r>
    </w:p>
    <w:p w14:paraId="43867EF7" w14:textId="77777777" w:rsidR="00BF390A" w:rsidRPr="006F3207" w:rsidRDefault="00BF390A" w:rsidP="00BF390A">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ind w:left="851" w:right="851"/>
        <w:jc w:val="both"/>
        <w:rPr>
          <w:rFonts w:ascii="Palatino Linotype" w:hAnsi="Palatino Linotype" w:cs="Arial"/>
          <w:bCs/>
          <w:i/>
        </w:rPr>
      </w:pPr>
    </w:p>
    <w:p w14:paraId="3387B6E7" w14:textId="77777777" w:rsidR="00BF390A" w:rsidRPr="006F3207" w:rsidRDefault="00BF390A" w:rsidP="00BF390A">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6F3207">
        <w:rPr>
          <w:rFonts w:ascii="Palatino Linotype" w:hAnsi="Palatino Linotype" w:cs="Arial"/>
          <w:bCs/>
          <w:i/>
        </w:rPr>
        <w:lastRenderedPageBreak/>
        <w:t>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rPr>
      </w:pPr>
    </w:p>
    <w:p w14:paraId="77AD88C4" w14:textId="77777777" w:rsidR="00BF390A" w:rsidRDefault="00BF390A" w:rsidP="00BF390A">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rPr>
      </w:pPr>
    </w:p>
    <w:p w14:paraId="5042B287"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29C7C567"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i/>
        </w:rPr>
        <w:t>…</w:t>
      </w:r>
    </w:p>
    <w:p w14:paraId="6FECCA85"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6A2242CE" w14:textId="77777777" w:rsidR="00BF390A" w:rsidRPr="006F3207" w:rsidRDefault="00BF390A" w:rsidP="00BF390A">
      <w:pPr>
        <w:ind w:left="851" w:right="851"/>
        <w:jc w:val="both"/>
        <w:rPr>
          <w:rFonts w:ascii="Palatino Linotype" w:hAnsi="Palatino Linotype" w:cs="Arial"/>
          <w:i/>
        </w:rPr>
      </w:pPr>
    </w:p>
    <w:p w14:paraId="3F69C7A8"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w:t>
      </w:r>
      <w:r w:rsidRPr="006F3207">
        <w:rPr>
          <w:rFonts w:ascii="Palatino Linotype" w:hAnsi="Palatino Linotype" w:cs="Arial"/>
          <w:bCs/>
          <w:i/>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ind w:left="851" w:right="851"/>
        <w:jc w:val="both"/>
        <w:rPr>
          <w:rFonts w:ascii="Palatino Linotype" w:hAnsi="Palatino Linotype" w:cs="Arial"/>
          <w:i/>
        </w:rPr>
      </w:pPr>
    </w:p>
    <w:p w14:paraId="108E5842"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ind w:left="851" w:right="851"/>
        <w:jc w:val="both"/>
        <w:rPr>
          <w:rFonts w:ascii="Palatino Linotype" w:hAnsi="Palatino Linotype" w:cs="Arial"/>
          <w:i/>
        </w:rPr>
      </w:pPr>
    </w:p>
    <w:p w14:paraId="0CE53664" w14:textId="77777777" w:rsidR="00BF390A" w:rsidRPr="006F3207" w:rsidRDefault="00BF390A" w:rsidP="00BF390A">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50645B11" w14:textId="77777777" w:rsidR="00BF390A" w:rsidRPr="006F3207" w:rsidRDefault="00BF390A" w:rsidP="00BF390A">
      <w:pPr>
        <w:ind w:left="851" w:right="851"/>
        <w:jc w:val="right"/>
        <w:rPr>
          <w:rFonts w:ascii="Palatino Linotype" w:hAnsi="Palatino Linotype" w:cs="Arial"/>
        </w:rPr>
      </w:pPr>
    </w:p>
    <w:p w14:paraId="3506729E" w14:textId="77777777" w:rsidR="00BF390A" w:rsidRDefault="00BF390A" w:rsidP="00BF390A">
      <w:pPr>
        <w:ind w:left="851" w:right="851"/>
        <w:jc w:val="right"/>
        <w:rPr>
          <w:rFonts w:ascii="Palatino Linotype" w:hAnsi="Palatino Linotype" w:cs="Arial"/>
        </w:rPr>
      </w:pPr>
      <w:r w:rsidRPr="006F3207">
        <w:rPr>
          <w:rFonts w:ascii="Palatino Linotype" w:hAnsi="Palatino Linotype" w:cs="Arial"/>
        </w:rPr>
        <w:t>[Énfasis añadido]</w:t>
      </w:r>
    </w:p>
    <w:p w14:paraId="5367F043" w14:textId="77777777" w:rsidR="00BF390A" w:rsidRPr="006F3207" w:rsidRDefault="00BF390A" w:rsidP="00BF390A">
      <w:pPr>
        <w:ind w:left="851" w:right="851"/>
        <w:jc w:val="right"/>
        <w:rPr>
          <w:rFonts w:ascii="Palatino Linotype" w:hAnsi="Palatino Linotype" w:cs="Arial"/>
        </w:rPr>
      </w:pPr>
    </w:p>
    <w:p w14:paraId="4FFF6A48" w14:textId="5906CA8D" w:rsidR="001212E7" w:rsidRPr="00313D5B" w:rsidRDefault="00BF390A" w:rsidP="001212E7">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33D4282" w14:textId="149D28FF" w:rsidR="003148B9" w:rsidRPr="007475B4" w:rsidRDefault="003148B9" w:rsidP="001212E7">
      <w:pPr>
        <w:spacing w:line="360" w:lineRule="auto"/>
        <w:jc w:val="both"/>
        <w:rPr>
          <w:rFonts w:ascii="Palatino Linotype" w:eastAsia="Calibri" w:hAnsi="Palatino Linotype" w:cs="Arial"/>
          <w:lang w:val="es-MX" w:eastAsia="en-US"/>
        </w:rPr>
      </w:pPr>
    </w:p>
    <w:p w14:paraId="302D1FF0" w14:textId="3A595BF6" w:rsidR="003148B9" w:rsidRPr="007475B4" w:rsidRDefault="003148B9" w:rsidP="003148B9">
      <w:pPr>
        <w:tabs>
          <w:tab w:val="left" w:pos="709"/>
        </w:tabs>
        <w:spacing w:line="360" w:lineRule="auto"/>
        <w:jc w:val="both"/>
        <w:rPr>
          <w:rFonts w:ascii="Palatino Linotype" w:eastAsia="Calibri" w:hAnsi="Palatino Linotype" w:cs="Arial"/>
          <w:lang w:val="es-MX" w:eastAsia="en-US"/>
        </w:rPr>
      </w:pPr>
      <w:r w:rsidRPr="007475B4">
        <w:rPr>
          <w:rFonts w:ascii="Palatino Linotype" w:eastAsia="Calibri" w:hAnsi="Palatino Linotype" w:cs="Arial"/>
          <w:lang w:val="es-MX" w:eastAsia="en-US"/>
        </w:rPr>
        <w:t xml:space="preserve">En ese contexto, a efecto de realizar un análisis respecto de si la información otorgada colma lo requerido por la entonces solicitante, es de precisarse que </w:t>
      </w:r>
      <w:r w:rsidRPr="007475B4">
        <w:rPr>
          <w:rFonts w:ascii="Palatino Linotype" w:eastAsia="Calibri" w:hAnsi="Palatino Linotype" w:cs="Arial"/>
          <w:b/>
          <w:lang w:val="es-MX" w:eastAsia="en-US"/>
        </w:rPr>
        <w:t>el Recurrente</w:t>
      </w:r>
      <w:r w:rsidRPr="007475B4">
        <w:rPr>
          <w:rFonts w:ascii="Palatino Linotype" w:eastAsia="Calibri" w:hAnsi="Palatino Linotype" w:cs="Arial"/>
          <w:lang w:val="es-MX" w:eastAsia="en-US"/>
        </w:rPr>
        <w:t xml:space="preserve"> desea conocer específicamente, el o los documentos en donde conste lo siguiente:</w:t>
      </w:r>
    </w:p>
    <w:p w14:paraId="4E2F0231" w14:textId="77777777" w:rsidR="003148B9" w:rsidRPr="007475B4" w:rsidRDefault="003148B9" w:rsidP="003148B9">
      <w:pPr>
        <w:spacing w:line="360" w:lineRule="auto"/>
        <w:jc w:val="both"/>
        <w:rPr>
          <w:rFonts w:ascii="Palatino Linotype" w:hAnsi="Palatino Linotype"/>
          <w:lang w:val="es-MX"/>
        </w:rPr>
      </w:pPr>
    </w:p>
    <w:p w14:paraId="272BF879" w14:textId="34496AC9" w:rsidR="00313D5B" w:rsidRPr="00313D5B" w:rsidRDefault="00313D5B" w:rsidP="00313D5B">
      <w:pPr>
        <w:numPr>
          <w:ilvl w:val="0"/>
          <w:numId w:val="27"/>
        </w:numPr>
        <w:spacing w:after="240" w:line="259" w:lineRule="auto"/>
        <w:jc w:val="both"/>
        <w:rPr>
          <w:rFonts w:ascii="Palatino Linotype" w:hAnsi="Palatino Linotype"/>
          <w:i/>
        </w:rPr>
      </w:pPr>
      <w:bookmarkStart w:id="4" w:name="_Hlk151057204"/>
      <w:r w:rsidRPr="00313D5B">
        <w:rPr>
          <w:rFonts w:ascii="Palatino Linotype" w:hAnsi="Palatino Linotype"/>
          <w:i/>
        </w:rPr>
        <w:t>Expedientes formados con motivo de procedimientos administrativos instaurados en contra de los Titulares del Órgano de Control Interno del año 2018 al 20 de febrero de 2023</w:t>
      </w:r>
      <w:bookmarkEnd w:id="4"/>
      <w:r w:rsidR="00B4288A">
        <w:rPr>
          <w:rFonts w:ascii="Palatino Linotype" w:hAnsi="Palatino Linotype"/>
          <w:i/>
        </w:rPr>
        <w:t>.</w:t>
      </w:r>
    </w:p>
    <w:p w14:paraId="324C326A" w14:textId="77777777" w:rsidR="00313D5B" w:rsidRDefault="00313D5B" w:rsidP="002D7098">
      <w:pPr>
        <w:spacing w:line="360" w:lineRule="auto"/>
        <w:jc w:val="both"/>
        <w:rPr>
          <w:rFonts w:ascii="Palatino Linotype" w:hAnsi="Palatino Linotype" w:cs="Arial"/>
        </w:rPr>
      </w:pPr>
    </w:p>
    <w:p w14:paraId="030E2EE6" w14:textId="010C4748" w:rsidR="002D7098" w:rsidRPr="002D7098" w:rsidRDefault="009C68F6" w:rsidP="002D7098">
      <w:pPr>
        <w:spacing w:line="360" w:lineRule="auto"/>
        <w:jc w:val="both"/>
        <w:rPr>
          <w:rFonts w:ascii="Palatino Linotype" w:hAnsi="Palatino Linotype" w:cs="Arial"/>
        </w:rPr>
      </w:pPr>
      <w:r>
        <w:rPr>
          <w:rFonts w:ascii="Palatino Linotype" w:hAnsi="Palatino Linotype" w:cs="Arial"/>
        </w:rPr>
        <w:t>Precisado lo anterior</w:t>
      </w:r>
      <w:r w:rsidR="003C4E5D">
        <w:rPr>
          <w:rFonts w:ascii="Palatino Linotype" w:hAnsi="Palatino Linotype" w:cs="Arial"/>
        </w:rPr>
        <w:t xml:space="preserve">, se debe señalar que el Sujeto </w:t>
      </w:r>
      <w:r>
        <w:rPr>
          <w:rFonts w:ascii="Palatino Linotype" w:hAnsi="Palatino Linotype" w:cs="Arial"/>
        </w:rPr>
        <w:t>O</w:t>
      </w:r>
      <w:r w:rsidR="003C4E5D">
        <w:rPr>
          <w:rFonts w:ascii="Palatino Linotype" w:hAnsi="Palatino Linotype" w:cs="Arial"/>
        </w:rPr>
        <w:t>bligad</w:t>
      </w:r>
      <w:r>
        <w:rPr>
          <w:rFonts w:ascii="Palatino Linotype" w:hAnsi="Palatino Linotype" w:cs="Arial"/>
        </w:rPr>
        <w:t xml:space="preserve">o, informó mediante respuesta primigenia que </w:t>
      </w:r>
      <w:r w:rsidRPr="009C68F6">
        <w:rPr>
          <w:rFonts w:ascii="Palatino Linotype" w:hAnsi="Palatino Linotype" w:cs="Arial"/>
        </w:rPr>
        <w:t xml:space="preserve">la información requerida se considera información reservada, en relación a </w:t>
      </w:r>
      <w:r w:rsidR="00313D5B">
        <w:rPr>
          <w:rFonts w:ascii="Palatino Linotype" w:hAnsi="Palatino Linotype" w:cs="Arial"/>
        </w:rPr>
        <w:t>los</w:t>
      </w:r>
      <w:r w:rsidR="00313D5B" w:rsidRPr="00313D5B">
        <w:rPr>
          <w:rFonts w:ascii="Palatino Linotype" w:hAnsi="Palatino Linotype" w:cs="Arial"/>
        </w:rPr>
        <w:t xml:space="preserve"> procedimientos administrativos instaurados en contra de los Titulares del Órgano de Control Interno del año 2018 al 20 de febrero de 2023</w:t>
      </w:r>
      <w:r w:rsidR="003C4E5D">
        <w:rPr>
          <w:rFonts w:ascii="Palatino Linotype" w:hAnsi="Palatino Linotype" w:cs="Arial"/>
        </w:rPr>
        <w:t>,</w:t>
      </w:r>
      <w:r>
        <w:rPr>
          <w:rFonts w:ascii="Palatino Linotype" w:hAnsi="Palatino Linotype" w:cs="Arial"/>
        </w:rPr>
        <w:t xml:space="preserve"> </w:t>
      </w:r>
      <w:r w:rsidR="00313D5B">
        <w:rPr>
          <w:rFonts w:ascii="Palatino Linotype" w:hAnsi="Palatino Linotype" w:cs="Arial"/>
        </w:rPr>
        <w:t>por corresponder al</w:t>
      </w:r>
      <w:r w:rsidR="00313D5B" w:rsidRPr="00313D5B">
        <w:rPr>
          <w:rFonts w:ascii="Palatino Linotype" w:hAnsi="Palatino Linotype" w:cs="Arial"/>
        </w:rPr>
        <w:t xml:space="preserve"> nombre de </w:t>
      </w:r>
      <w:proofErr w:type="spellStart"/>
      <w:r w:rsidR="00313D5B" w:rsidRPr="00313D5B">
        <w:rPr>
          <w:rFonts w:ascii="Palatino Linotype" w:hAnsi="Palatino Linotype" w:cs="Arial"/>
        </w:rPr>
        <w:t>exservidores</w:t>
      </w:r>
      <w:proofErr w:type="spellEnd"/>
      <w:r w:rsidR="00313D5B" w:rsidRPr="00313D5B">
        <w:rPr>
          <w:rFonts w:ascii="Palatino Linotype" w:hAnsi="Palatino Linotype" w:cs="Arial"/>
        </w:rPr>
        <w:t xml:space="preserve"> públicos sujetos a un procedimiento administrativo por presuntas faltas administrativas, de las cuales, no ha caído determinación,</w:t>
      </w:r>
      <w:r w:rsidR="00313D5B">
        <w:rPr>
          <w:rFonts w:ascii="Palatino Linotype" w:hAnsi="Palatino Linotype" w:cs="Arial"/>
        </w:rPr>
        <w:t xml:space="preserve"> remitiendo para tal efecto</w:t>
      </w:r>
      <w:r>
        <w:rPr>
          <w:rFonts w:ascii="Palatino Linotype" w:hAnsi="Palatino Linotype" w:cs="Arial"/>
        </w:rPr>
        <w:t xml:space="preserve"> el acuerdo que sustent</w:t>
      </w:r>
      <w:r w:rsidR="00313D5B">
        <w:rPr>
          <w:rFonts w:ascii="Palatino Linotype" w:hAnsi="Palatino Linotype" w:cs="Arial"/>
        </w:rPr>
        <w:t>a</w:t>
      </w:r>
      <w:r>
        <w:rPr>
          <w:rFonts w:ascii="Palatino Linotype" w:hAnsi="Palatino Linotype" w:cs="Arial"/>
        </w:rPr>
        <w:t xml:space="preserve"> la clasificación como información reservada de la información solicitada; </w:t>
      </w:r>
      <w:r w:rsidR="00313D5B">
        <w:rPr>
          <w:rFonts w:ascii="Palatino Linotype" w:hAnsi="Palatino Linotype" w:cs="Arial"/>
        </w:rPr>
        <w:t>sin embargo</w:t>
      </w:r>
      <w:r>
        <w:rPr>
          <w:rFonts w:ascii="Palatino Linotype" w:hAnsi="Palatino Linotype" w:cs="Arial"/>
        </w:rPr>
        <w:t>, omitió pronunciarse respecto de</w:t>
      </w:r>
      <w:r w:rsidR="00313D5B">
        <w:rPr>
          <w:rFonts w:ascii="Palatino Linotype" w:hAnsi="Palatino Linotype" w:cs="Arial"/>
        </w:rPr>
        <w:t xml:space="preserve"> la existencia </w:t>
      </w:r>
      <w:r w:rsidR="00313D5B" w:rsidRPr="00313D5B">
        <w:rPr>
          <w:rFonts w:ascii="Palatino Linotype" w:hAnsi="Palatino Linotype" w:cs="Arial"/>
        </w:rPr>
        <w:t>de aquellos que se encuentran en trámite y que se relacionen con actos de corrupción, delitos de lesa humanidad o posibles violaciones graves a derechos humanos</w:t>
      </w:r>
      <w:r>
        <w:rPr>
          <w:rFonts w:ascii="Palatino Linotype" w:hAnsi="Palatino Linotype" w:cs="Arial"/>
        </w:rPr>
        <w:t>,</w:t>
      </w:r>
      <w:r w:rsidR="003C4E5D">
        <w:rPr>
          <w:rFonts w:ascii="Palatino Linotype" w:hAnsi="Palatino Linotype" w:cs="Arial"/>
        </w:rPr>
        <w:t xml:space="preserve"> por tal motivo,</w:t>
      </w:r>
      <w:r w:rsidR="0081409D" w:rsidRPr="0081409D">
        <w:rPr>
          <w:rFonts w:ascii="Palatino Linotype" w:hAnsi="Palatino Linotype" w:cs="Arial"/>
        </w:rPr>
        <w:t xml:space="preserve"> no colma el derecho de acceso a la información del Recurrente, </w:t>
      </w:r>
      <w:r w:rsidR="003C4E5D">
        <w:rPr>
          <w:rFonts w:ascii="Palatino Linotype" w:hAnsi="Palatino Linotype" w:cs="Arial"/>
        </w:rPr>
        <w:t>con base en las siguientes consideraciones de hecho y de derecho:</w:t>
      </w:r>
    </w:p>
    <w:p w14:paraId="5229E167" w14:textId="77777777" w:rsidR="002D7098" w:rsidRPr="002D7098" w:rsidRDefault="002D7098" w:rsidP="002D7098">
      <w:pPr>
        <w:spacing w:line="360" w:lineRule="auto"/>
        <w:jc w:val="both"/>
        <w:rPr>
          <w:rFonts w:ascii="Palatino Linotype" w:eastAsiaTheme="minorHAnsi" w:hAnsi="Palatino Linotype" w:cs="Arial"/>
          <w:lang w:val="es-MX" w:eastAsia="en-US"/>
        </w:rPr>
      </w:pPr>
      <w:r w:rsidRPr="002D7098">
        <w:rPr>
          <w:rFonts w:ascii="Palatino Linotype" w:eastAsiaTheme="minorHAnsi" w:hAnsi="Palatino Linotype" w:cs="Arial"/>
          <w:lang w:val="es-MX" w:eastAsia="en-US"/>
        </w:rPr>
        <w:t xml:space="preserve"> </w:t>
      </w:r>
    </w:p>
    <w:p w14:paraId="2BB920EF" w14:textId="2C079AC3" w:rsidR="002D7098" w:rsidRPr="002D7098" w:rsidRDefault="002D7098" w:rsidP="002D7098">
      <w:pPr>
        <w:tabs>
          <w:tab w:val="left" w:pos="709"/>
        </w:tabs>
        <w:spacing w:line="360" w:lineRule="auto"/>
        <w:jc w:val="both"/>
        <w:rPr>
          <w:rFonts w:ascii="Palatino Linotype" w:eastAsiaTheme="minorHAnsi" w:hAnsi="Palatino Linotype" w:cs="Arial"/>
          <w:lang w:val="es-MX" w:eastAsia="en-US"/>
        </w:rPr>
      </w:pPr>
      <w:r w:rsidRPr="002D7098">
        <w:rPr>
          <w:rFonts w:ascii="Palatino Linotype" w:eastAsiaTheme="minorHAnsi" w:hAnsi="Palatino Linotype" w:cs="Arial"/>
          <w:lang w:val="es-MX" w:eastAsia="en-US"/>
        </w:rPr>
        <w:t xml:space="preserve">El artículo 1 de la Ley de Transparencia y Acceso a la Información Pública del Estado de México y Municipios, establece los principios, bases generales y procedimientos para tutelar y garantizar la transparencia y el derecho humano de acceso a la información pública en posesión de los sujetos obligados, así mismo el numeral 3° del mismo ordenamiento legal, define a los sujetos obligados como cualquier autoridad, entidad, órgano y organismo de los Poderes Ejecutivo, Legislativo y Judicial, órganos </w:t>
      </w:r>
      <w:r w:rsidRPr="002D7098">
        <w:rPr>
          <w:rFonts w:ascii="Palatino Linotype" w:eastAsiaTheme="minorHAnsi" w:hAnsi="Palatino Linotype" w:cs="Arial"/>
          <w:lang w:val="es-MX" w:eastAsia="en-US"/>
        </w:rPr>
        <w:lastRenderedPageBreak/>
        <w:t xml:space="preserve">autónomos, partidos políticos, fideicomisos y fondos públicos estatales y municipales, así como de la administración pública municipal y sus organismos descentralizados o cualquier persona física, jurídico colectiva o sindicato que reciba y ejerza recursos públicos o realice actos de autoridad en el ámbito estatal y municipal, que deba cumplir con las obligaciones previstas en la Ley de Transparencia y Acceso a la Información Pública del Estado de México y Municipios; que en el presente caso es el </w:t>
      </w:r>
      <w:r w:rsidR="000677F2" w:rsidRPr="000677F2">
        <w:rPr>
          <w:rFonts w:ascii="Palatino Linotype" w:eastAsiaTheme="minorHAnsi" w:hAnsi="Palatino Linotype" w:cs="Arial"/>
          <w:lang w:val="es-MX" w:eastAsia="en-US"/>
        </w:rPr>
        <w:t>Ayuntamiento de Atizapán de Zaragoza</w:t>
      </w:r>
      <w:r w:rsidR="00E43ABA">
        <w:rPr>
          <w:rFonts w:ascii="Palatino Linotype" w:eastAsiaTheme="minorHAnsi" w:hAnsi="Palatino Linotype" w:cs="Arial"/>
          <w:lang w:val="es-MX" w:eastAsia="en-US"/>
        </w:rPr>
        <w:t>.</w:t>
      </w:r>
    </w:p>
    <w:p w14:paraId="52A46F82" w14:textId="77777777" w:rsidR="002D7098" w:rsidRPr="002D7098" w:rsidRDefault="002D7098" w:rsidP="002D7098">
      <w:pPr>
        <w:tabs>
          <w:tab w:val="left" w:pos="709"/>
        </w:tabs>
        <w:spacing w:line="360" w:lineRule="auto"/>
        <w:jc w:val="both"/>
        <w:rPr>
          <w:rFonts w:ascii="Palatino Linotype" w:eastAsiaTheme="minorHAnsi" w:hAnsi="Palatino Linotype" w:cs="Arial"/>
          <w:lang w:val="es-MX" w:eastAsia="en-US"/>
        </w:rPr>
      </w:pPr>
    </w:p>
    <w:p w14:paraId="5C328914" w14:textId="58DB20D5" w:rsidR="002D7098" w:rsidRDefault="002D7098" w:rsidP="002D7098">
      <w:pPr>
        <w:spacing w:line="360" w:lineRule="auto"/>
        <w:jc w:val="both"/>
        <w:rPr>
          <w:rFonts w:ascii="Palatino Linotype" w:eastAsiaTheme="minorHAnsi" w:hAnsi="Palatino Linotype" w:cs="Arial"/>
          <w:lang w:val="es-MX" w:eastAsia="en-US"/>
        </w:rPr>
      </w:pPr>
      <w:r w:rsidRPr="002D7098">
        <w:rPr>
          <w:rFonts w:ascii="Palatino Linotype" w:eastAsiaTheme="minorHAnsi" w:hAnsi="Palatino Linotype" w:cs="Arial"/>
          <w:lang w:val="es-MX" w:eastAsia="en-US"/>
        </w:rPr>
        <w:t>Por lo anterior,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14:paraId="4186A02A" w14:textId="77777777" w:rsidR="00313D5B" w:rsidRPr="002D7098" w:rsidRDefault="00313D5B" w:rsidP="002D7098">
      <w:pPr>
        <w:spacing w:line="360" w:lineRule="auto"/>
        <w:jc w:val="both"/>
        <w:rPr>
          <w:rFonts w:ascii="Palatino Linotype" w:eastAsiaTheme="minorHAnsi" w:hAnsi="Palatino Linotype" w:cs="Arial"/>
          <w:lang w:val="es-MX" w:eastAsia="en-US"/>
        </w:rPr>
      </w:pPr>
    </w:p>
    <w:p w14:paraId="19C1B7F5" w14:textId="77777777" w:rsidR="002D7098" w:rsidRPr="002D7098" w:rsidRDefault="002D7098" w:rsidP="002D7098">
      <w:pPr>
        <w:spacing w:line="360" w:lineRule="auto"/>
        <w:jc w:val="both"/>
        <w:rPr>
          <w:rFonts w:ascii="Palatino Linotype" w:eastAsiaTheme="minorHAnsi" w:hAnsi="Palatino Linotype" w:cs="Arial"/>
          <w:lang w:val="es-MX" w:eastAsia="en-US"/>
        </w:rPr>
      </w:pPr>
      <w:r w:rsidRPr="002D7098">
        <w:rPr>
          <w:rFonts w:ascii="Palatino Linotype" w:eastAsiaTheme="minorHAnsi" w:hAnsi="Palatino Linotype" w:cs="Arial"/>
          <w:lang w:val="es-MX" w:eastAsia="en-US"/>
        </w:rPr>
        <w:t>Respecto a la información reservada, resulta necesario señalar que de conformidad con el artículo 3, fracciones XXIV de la Ley de Transparencia y Acceso a la Información Pública del Estado de México y Municipios, se define de la siguiente manera:</w:t>
      </w:r>
    </w:p>
    <w:p w14:paraId="37BAF6DD" w14:textId="77777777" w:rsidR="002D7098" w:rsidRPr="002D7098" w:rsidRDefault="002D7098" w:rsidP="002D7098">
      <w:pPr>
        <w:spacing w:line="360" w:lineRule="auto"/>
        <w:jc w:val="both"/>
        <w:rPr>
          <w:rFonts w:ascii="Palatino Linotype" w:eastAsiaTheme="minorHAnsi" w:hAnsi="Palatino Linotype" w:cs="Arial"/>
          <w:sz w:val="14"/>
          <w:lang w:val="es-MX" w:eastAsia="en-US"/>
        </w:rPr>
      </w:pPr>
    </w:p>
    <w:p w14:paraId="1A9D535B" w14:textId="77777777" w:rsidR="002D7098" w:rsidRPr="002D7098" w:rsidRDefault="002D7098" w:rsidP="002D7098">
      <w:pPr>
        <w:ind w:left="567" w:right="567"/>
        <w:jc w:val="both"/>
        <w:rPr>
          <w:rFonts w:ascii="Palatino Linotype" w:eastAsiaTheme="minorHAnsi" w:hAnsi="Palatino Linotype" w:cs="Arial"/>
          <w:i/>
          <w:sz w:val="22"/>
          <w:szCs w:val="22"/>
          <w:lang w:val="es-MX" w:eastAsia="en-US"/>
        </w:rPr>
      </w:pPr>
      <w:r w:rsidRPr="002D7098">
        <w:rPr>
          <w:rFonts w:ascii="Palatino Linotype" w:eastAsiaTheme="minorHAnsi" w:hAnsi="Palatino Linotype" w:cs="Arial"/>
          <w:b/>
          <w:i/>
          <w:sz w:val="22"/>
          <w:szCs w:val="22"/>
          <w:lang w:val="es-MX" w:eastAsia="en-US"/>
        </w:rPr>
        <w:t>“…XXIV. Información reservada:</w:t>
      </w:r>
      <w:r w:rsidRPr="002D7098">
        <w:rPr>
          <w:rFonts w:ascii="Palatino Linotype" w:eastAsiaTheme="minorHAnsi" w:hAnsi="Palatino Linotype" w:cs="Arial"/>
          <w:i/>
          <w:sz w:val="22"/>
          <w:szCs w:val="22"/>
          <w:lang w:val="es-MX" w:eastAsia="en-US"/>
        </w:rPr>
        <w:t xml:space="preserve"> La clasificada con este carácter de manera temporal por las disposiciones de esta Ley, cuya divulgación puede causar daño en términos de lo establecido por esta Ley…”</w:t>
      </w:r>
    </w:p>
    <w:p w14:paraId="20938016" w14:textId="77777777" w:rsidR="002D7098" w:rsidRPr="002D7098" w:rsidRDefault="002D7098" w:rsidP="002D7098">
      <w:pPr>
        <w:spacing w:line="360" w:lineRule="auto"/>
        <w:jc w:val="both"/>
        <w:rPr>
          <w:rFonts w:ascii="Palatino Linotype" w:eastAsiaTheme="minorHAnsi" w:hAnsi="Palatino Linotype" w:cs="Arial"/>
          <w:lang w:val="es-MX" w:eastAsia="en-US"/>
        </w:rPr>
      </w:pPr>
    </w:p>
    <w:p w14:paraId="55A57E0B" w14:textId="3028045A" w:rsidR="002D7098" w:rsidRPr="002D7098" w:rsidRDefault="002D7098" w:rsidP="002D7098">
      <w:pPr>
        <w:spacing w:line="360" w:lineRule="auto"/>
        <w:jc w:val="both"/>
        <w:rPr>
          <w:rFonts w:ascii="Palatino Linotype" w:eastAsiaTheme="minorHAnsi" w:hAnsi="Palatino Linotype" w:cs="Arial"/>
          <w:lang w:val="es-MX" w:eastAsia="en-US"/>
        </w:rPr>
      </w:pPr>
      <w:r w:rsidRPr="002D7098">
        <w:rPr>
          <w:rFonts w:ascii="Palatino Linotype" w:eastAsiaTheme="minorHAnsi" w:hAnsi="Palatino Linotype" w:cs="Arial"/>
          <w:lang w:val="es-MX" w:eastAsia="en-US"/>
        </w:rPr>
        <w:t xml:space="preserve">En síntesis, se determina que, excepcionalmente la información pública podrá ser clasificada como reservada temporalmente por razones de interés público, en los </w:t>
      </w:r>
      <w:r w:rsidRPr="002D7098">
        <w:rPr>
          <w:rFonts w:ascii="Palatino Linotype" w:eastAsiaTheme="minorHAnsi" w:hAnsi="Palatino Linotype" w:cs="Arial"/>
          <w:lang w:val="es-MX" w:eastAsia="en-US"/>
        </w:rPr>
        <w:lastRenderedPageBreak/>
        <w:t>términos de las causas legítimas y estrictamente necesarias previstas por la Ley de Transparencia, por lo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14:paraId="48E152B9" w14:textId="77777777" w:rsidR="002D7098" w:rsidRPr="002D7098" w:rsidRDefault="002D7098" w:rsidP="002D7098">
      <w:pPr>
        <w:spacing w:line="360" w:lineRule="auto"/>
        <w:jc w:val="both"/>
        <w:rPr>
          <w:rFonts w:ascii="Palatino Linotype" w:eastAsiaTheme="minorHAnsi" w:hAnsi="Palatino Linotype" w:cs="Arial"/>
          <w:lang w:val="es-MX" w:eastAsia="en-US"/>
        </w:rPr>
      </w:pPr>
    </w:p>
    <w:p w14:paraId="072F5E2C" w14:textId="77777777" w:rsidR="002D7098" w:rsidRPr="002D7098" w:rsidRDefault="002D7098" w:rsidP="002D7098">
      <w:pPr>
        <w:spacing w:line="360" w:lineRule="auto"/>
        <w:jc w:val="both"/>
        <w:rPr>
          <w:rFonts w:ascii="Palatino Linotype" w:eastAsia="Calibri" w:hAnsi="Palatino Linotype" w:cs="Arial"/>
        </w:rPr>
      </w:pPr>
      <w:r w:rsidRPr="002D7098">
        <w:rPr>
          <w:rFonts w:ascii="Palatino Linotype" w:eastAsia="Calibri" w:hAnsi="Palatino Linotype" w:cs="Arial"/>
          <w:lang w:eastAsia="es-CO"/>
        </w:rPr>
        <w:t xml:space="preserve">Es así, que respecto a la información clasificada como reservada la </w:t>
      </w:r>
      <w:r w:rsidRPr="002D7098">
        <w:rPr>
          <w:rFonts w:ascii="Palatino Linotype" w:eastAsia="Calibri" w:hAnsi="Palatino Linotype" w:cs="Arial"/>
        </w:rPr>
        <w:t>Ley de Transparencia vigente en nuestra entidad establece en su artículo 140 una serie de hipótesis en las cuales radica la posibilidad de tal clasificación de información, que son:</w:t>
      </w:r>
    </w:p>
    <w:p w14:paraId="3F3C8517"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i/>
          <w:lang w:eastAsia="en-US"/>
        </w:rPr>
        <w:t xml:space="preserve"> </w:t>
      </w:r>
      <w:r w:rsidRPr="002D7098">
        <w:rPr>
          <w:rFonts w:ascii="Palatino Linotype" w:eastAsia="Calibri" w:hAnsi="Palatino Linotype"/>
          <w:i/>
          <w:sz w:val="22"/>
          <w:szCs w:val="22"/>
          <w:lang w:val="es-MX" w:eastAsia="en-US"/>
        </w:rPr>
        <w:t>“</w:t>
      </w:r>
      <w:r w:rsidRPr="002D7098">
        <w:rPr>
          <w:rFonts w:ascii="Palatino Linotype" w:eastAsia="Calibri" w:hAnsi="Palatino Linotype"/>
          <w:b/>
          <w:i/>
          <w:sz w:val="22"/>
          <w:szCs w:val="22"/>
          <w:lang w:eastAsia="en-US"/>
        </w:rPr>
        <w:t>Artículo 140.</w:t>
      </w:r>
      <w:r w:rsidRPr="002D7098">
        <w:rPr>
          <w:rFonts w:ascii="Palatino Linotype" w:eastAsia="Calibri" w:hAnsi="Palatino Linotype"/>
          <w:i/>
          <w:sz w:val="22"/>
          <w:szCs w:val="22"/>
          <w:lang w:eastAsia="en-US"/>
        </w:rPr>
        <w:t xml:space="preserve"> El acceso a la información pública será restringido excepcionalmente, cuando por razones de interés público, ésta sea clasificada como reservada, conforme a los criterios siguientes: </w:t>
      </w:r>
    </w:p>
    <w:p w14:paraId="0FCAABA9"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I.</w:t>
      </w:r>
      <w:r w:rsidRPr="002D7098">
        <w:rPr>
          <w:rFonts w:ascii="Palatino Linotype" w:eastAsia="Calibri" w:hAnsi="Palatino Linotype"/>
          <w:i/>
          <w:sz w:val="22"/>
          <w:szCs w:val="22"/>
          <w:lang w:eastAsia="en-US"/>
        </w:rPr>
        <w:t xml:space="preserve"> Comprometa la seguridad pública y cuente con un propósito genuino y un efecto demostrable; </w:t>
      </w:r>
    </w:p>
    <w:p w14:paraId="6D281FE0"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II.</w:t>
      </w:r>
      <w:r w:rsidRPr="002D7098">
        <w:rPr>
          <w:rFonts w:ascii="Palatino Linotype" w:eastAsia="Calibri" w:hAnsi="Palatino Linotype"/>
          <w:i/>
          <w:sz w:val="22"/>
          <w:szCs w:val="22"/>
          <w:lang w:eastAsia="en-US"/>
        </w:rPr>
        <w:t xml:space="preserve"> Pueda menoscabar la conducción de las negociaciones y relaciones internacionales; </w:t>
      </w:r>
    </w:p>
    <w:p w14:paraId="375BB808"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III.</w:t>
      </w:r>
      <w:r w:rsidRPr="002D7098">
        <w:rPr>
          <w:rFonts w:ascii="Palatino Linotype" w:eastAsia="Calibri" w:hAnsi="Palatino Linotype"/>
          <w:i/>
          <w:sz w:val="22"/>
          <w:szCs w:val="22"/>
          <w:lang w:eastAsia="en-U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4AFD4DC"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IV.</w:t>
      </w:r>
      <w:r w:rsidRPr="002D7098">
        <w:rPr>
          <w:rFonts w:ascii="Palatino Linotype" w:eastAsia="Calibri" w:hAnsi="Palatino Linotype"/>
          <w:i/>
          <w:sz w:val="22"/>
          <w:szCs w:val="22"/>
          <w:lang w:eastAsia="en-US"/>
        </w:rPr>
        <w:t xml:space="preserve"> Ponga en riesgo la vida, la seguridad o la salud de una persona física; </w:t>
      </w:r>
    </w:p>
    <w:p w14:paraId="7885E079"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V.</w:t>
      </w:r>
      <w:r w:rsidRPr="002D7098">
        <w:rPr>
          <w:rFonts w:ascii="Palatino Linotype" w:eastAsia="Calibri" w:hAnsi="Palatino Linotype"/>
          <w:i/>
          <w:sz w:val="22"/>
          <w:szCs w:val="22"/>
          <w:lang w:eastAsia="en-US"/>
        </w:rPr>
        <w:t xml:space="preserve"> Aquella cuya divulgación obstruya o pueda causar un serio perjuicio a: </w:t>
      </w:r>
    </w:p>
    <w:p w14:paraId="43017905"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1.</w:t>
      </w:r>
      <w:r w:rsidRPr="002D7098">
        <w:rPr>
          <w:rFonts w:ascii="Palatino Linotype" w:eastAsia="Calibri" w:hAnsi="Palatino Linotype"/>
          <w:i/>
          <w:sz w:val="22"/>
          <w:szCs w:val="22"/>
          <w:lang w:eastAsia="en-US"/>
        </w:rPr>
        <w:t xml:space="preserve"> Las actividades de fiscalización, verificación, inspección, comprobación y auditoría sobre el cumplimiento de las Leyes; o </w:t>
      </w:r>
    </w:p>
    <w:p w14:paraId="2A8C806C"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2.</w:t>
      </w:r>
      <w:r w:rsidRPr="002D7098">
        <w:rPr>
          <w:rFonts w:ascii="Palatino Linotype" w:eastAsia="Calibri" w:hAnsi="Palatino Linotype"/>
          <w:i/>
          <w:sz w:val="22"/>
          <w:szCs w:val="22"/>
          <w:lang w:eastAsia="en-US"/>
        </w:rPr>
        <w:t xml:space="preserve"> La recaudación de las contribuciones. </w:t>
      </w:r>
    </w:p>
    <w:p w14:paraId="6B276D46"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lastRenderedPageBreak/>
        <w:t>VI.</w:t>
      </w:r>
      <w:r w:rsidRPr="002D7098">
        <w:rPr>
          <w:rFonts w:ascii="Palatino Linotype" w:eastAsia="Calibri" w:hAnsi="Palatino Linotype"/>
          <w:i/>
          <w:sz w:val="22"/>
          <w:szCs w:val="22"/>
          <w:lang w:eastAsia="en-U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297FF8D"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VII.</w:t>
      </w:r>
      <w:r w:rsidRPr="002D7098">
        <w:rPr>
          <w:rFonts w:ascii="Palatino Linotype" w:eastAsia="Calibri" w:hAnsi="Palatino Linotype"/>
          <w:i/>
          <w:sz w:val="22"/>
          <w:szCs w:val="22"/>
          <w:lang w:eastAsia="en-US"/>
        </w:rPr>
        <w:t xml:space="preserve"> La que contengan las opiniones, recomendaciones o puntos de vista que formen parte del proceso deliberativo de los servidores públicos, hasta en tanto sea adoptada la decisión definitiva, la cual deberá estar documentada; </w:t>
      </w:r>
    </w:p>
    <w:p w14:paraId="7C33BE6D"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VIII.</w:t>
      </w:r>
      <w:r w:rsidRPr="002D7098">
        <w:rPr>
          <w:rFonts w:ascii="Palatino Linotype" w:eastAsia="Calibri" w:hAnsi="Palatino Linotype"/>
          <w:i/>
          <w:sz w:val="22"/>
          <w:szCs w:val="22"/>
          <w:lang w:eastAsia="en-US"/>
        </w:rPr>
        <w:t xml:space="preserve"> </w:t>
      </w:r>
      <w:r w:rsidRPr="002D7098">
        <w:rPr>
          <w:rFonts w:ascii="Palatino Linotype" w:eastAsia="Calibri" w:hAnsi="Palatino Linotype"/>
          <w:b/>
          <w:bCs/>
          <w:i/>
          <w:sz w:val="22"/>
          <w:szCs w:val="22"/>
          <w:lang w:eastAsia="en-US"/>
        </w:rPr>
        <w:t>Vulnere la conducción de los expedientes judiciales o de los procedimientos administrativos seguidos en forma de juicio, en tanto no hayan quedado firmes</w:t>
      </w:r>
      <w:r w:rsidRPr="002D7098">
        <w:rPr>
          <w:rFonts w:ascii="Palatino Linotype" w:eastAsia="Calibri" w:hAnsi="Palatino Linotype"/>
          <w:i/>
          <w:sz w:val="22"/>
          <w:szCs w:val="22"/>
          <w:lang w:eastAsia="en-US"/>
        </w:rPr>
        <w:t xml:space="preserve">; </w:t>
      </w:r>
    </w:p>
    <w:p w14:paraId="681D659D"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IX.</w:t>
      </w:r>
      <w:r w:rsidRPr="002D7098">
        <w:rPr>
          <w:rFonts w:ascii="Palatino Linotype" w:eastAsia="Calibri" w:hAnsi="Palatino Linotype"/>
          <w:i/>
          <w:sz w:val="22"/>
          <w:szCs w:val="22"/>
          <w:lang w:eastAsia="en-US"/>
        </w:rPr>
        <w:t xml:space="preserve"> Se encuentre contenida dentro de las investigaciones de hechos que la Ley señale como delitos y se tramiten ante el Ministerio Público; </w:t>
      </w:r>
    </w:p>
    <w:p w14:paraId="4AD0285A" w14:textId="77777777" w:rsidR="002D7098" w:rsidRPr="002D7098" w:rsidRDefault="002D7098" w:rsidP="002D7098">
      <w:pPr>
        <w:spacing w:after="120"/>
        <w:ind w:left="851" w:right="851"/>
        <w:jc w:val="both"/>
        <w:rPr>
          <w:rFonts w:ascii="Palatino Linotype" w:eastAsia="Calibri" w:hAnsi="Palatino Linotype"/>
          <w:i/>
          <w:sz w:val="22"/>
          <w:szCs w:val="22"/>
          <w:lang w:eastAsia="en-US"/>
        </w:rPr>
      </w:pPr>
      <w:r w:rsidRPr="002D7098">
        <w:rPr>
          <w:rFonts w:ascii="Palatino Linotype" w:eastAsia="Calibri" w:hAnsi="Palatino Linotype"/>
          <w:b/>
          <w:i/>
          <w:sz w:val="22"/>
          <w:szCs w:val="22"/>
          <w:lang w:eastAsia="en-US"/>
        </w:rPr>
        <w:t>X.</w:t>
      </w:r>
      <w:r w:rsidRPr="002D7098">
        <w:rPr>
          <w:rFonts w:ascii="Palatino Linotype" w:eastAsia="Calibri" w:hAnsi="Palatino Linotype"/>
          <w:i/>
          <w:sz w:val="22"/>
          <w:szCs w:val="22"/>
          <w:lang w:eastAsia="en-US"/>
        </w:rPr>
        <w:t xml:space="preserve"> </w:t>
      </w:r>
      <w:r w:rsidRPr="002D7098">
        <w:rPr>
          <w:rFonts w:ascii="Palatino Linotype" w:eastAsia="Calibri" w:hAnsi="Palatino Linotype"/>
          <w:b/>
          <w:bCs/>
          <w:i/>
          <w:sz w:val="22"/>
          <w:szCs w:val="22"/>
          <w:lang w:eastAsia="en-U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2D7098">
        <w:rPr>
          <w:rFonts w:ascii="Palatino Linotype" w:eastAsia="Calibri" w:hAnsi="Palatino Linotype"/>
          <w:i/>
          <w:sz w:val="22"/>
          <w:szCs w:val="22"/>
          <w:lang w:eastAsia="en-US"/>
        </w:rPr>
        <w:t xml:space="preserve"> </w:t>
      </w:r>
    </w:p>
    <w:p w14:paraId="2EA8E940" w14:textId="77777777" w:rsidR="002D7098" w:rsidRPr="002D7098" w:rsidRDefault="002D7098" w:rsidP="002D7098">
      <w:pPr>
        <w:spacing w:after="120"/>
        <w:ind w:left="851" w:right="851"/>
        <w:jc w:val="both"/>
        <w:rPr>
          <w:rFonts w:ascii="Palatino Linotype" w:eastAsia="Calibri" w:hAnsi="Palatino Linotype"/>
          <w:b/>
          <w:bCs/>
          <w:i/>
          <w:sz w:val="22"/>
          <w:szCs w:val="22"/>
          <w:lang w:eastAsia="en-US"/>
        </w:rPr>
      </w:pPr>
      <w:r w:rsidRPr="002D7098">
        <w:rPr>
          <w:rFonts w:ascii="Palatino Linotype" w:eastAsia="Calibri" w:hAnsi="Palatino Linotype"/>
          <w:b/>
          <w:bCs/>
          <w:i/>
          <w:sz w:val="22"/>
          <w:szCs w:val="22"/>
          <w:lang w:eastAsia="en-U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1090CF3" w14:textId="77777777" w:rsidR="002D7098" w:rsidRPr="002D7098" w:rsidRDefault="002D7098" w:rsidP="002D7098">
      <w:pPr>
        <w:spacing w:after="120"/>
        <w:ind w:left="851" w:right="851"/>
        <w:jc w:val="both"/>
        <w:rPr>
          <w:rFonts w:ascii="Palatino Linotype" w:eastAsia="Calibri" w:hAnsi="Palatino Linotype"/>
          <w:sz w:val="22"/>
          <w:szCs w:val="22"/>
          <w:lang w:val="es-MX" w:eastAsia="en-US"/>
        </w:rPr>
      </w:pPr>
      <w:r w:rsidRPr="002D7098">
        <w:rPr>
          <w:rFonts w:ascii="Palatino Linotype" w:eastAsia="Calibri" w:hAnsi="Palatino Linotype"/>
          <w:b/>
          <w:i/>
          <w:sz w:val="22"/>
          <w:szCs w:val="22"/>
          <w:lang w:eastAsia="en-US"/>
        </w:rPr>
        <w:t>XI.</w:t>
      </w:r>
      <w:r w:rsidRPr="002D7098">
        <w:rPr>
          <w:rFonts w:ascii="Palatino Linotype" w:eastAsia="Calibri" w:hAnsi="Palatino Linotype"/>
          <w:i/>
          <w:sz w:val="22"/>
          <w:szCs w:val="22"/>
          <w:lang w:eastAsia="en-US"/>
        </w:rPr>
        <w:t xml:space="preserve"> Las que por disposición expresa de una ley tengan tal carácter, siempre que sean acordes con las bases, principios y disposiciones establecidos en esta Ley y no la contravengan; así como las previstas en tratados internacionales” (Sic).</w:t>
      </w:r>
    </w:p>
    <w:p w14:paraId="734291CD" w14:textId="77777777" w:rsidR="002D7098" w:rsidRPr="002D7098" w:rsidRDefault="002D7098" w:rsidP="002D7098">
      <w:pPr>
        <w:spacing w:line="360" w:lineRule="auto"/>
        <w:jc w:val="both"/>
        <w:rPr>
          <w:rFonts w:ascii="Palatino Linotype" w:eastAsiaTheme="minorHAnsi" w:hAnsi="Palatino Linotype" w:cstheme="minorBidi"/>
        </w:rPr>
      </w:pPr>
    </w:p>
    <w:p w14:paraId="466E8A9A" w14:textId="77777777" w:rsidR="000677F2" w:rsidRPr="000677F2" w:rsidRDefault="000677F2" w:rsidP="000677F2">
      <w:pPr>
        <w:spacing w:line="360" w:lineRule="auto"/>
        <w:jc w:val="both"/>
        <w:rPr>
          <w:rFonts w:ascii="Palatino Linotype" w:eastAsiaTheme="minorHAnsi" w:hAnsi="Palatino Linotype" w:cstheme="minorBidi"/>
          <w:bCs/>
          <w:lang w:eastAsia="en-US"/>
        </w:rPr>
      </w:pPr>
      <w:r w:rsidRPr="000677F2">
        <w:rPr>
          <w:rFonts w:ascii="Palatino Linotype" w:eastAsiaTheme="minorHAnsi" w:hAnsi="Palatino Linotype" w:cstheme="minorBidi"/>
          <w:bCs/>
          <w:lang w:eastAsia="en-US"/>
        </w:rPr>
        <w:t xml:space="preserve">Del precepto antes referido, podemos advertir que la Ley de Transparencia vigente en nuestra entidad establece que la información pública será restringida excepcionalmente cuando por razones de interés público, ésta sea clasificada como reservada, estableciendo una serie de supuestos entre los que se encuentran cuando </w:t>
      </w:r>
      <w:r w:rsidRPr="000677F2">
        <w:rPr>
          <w:rFonts w:ascii="Palatino Linotype" w:eastAsiaTheme="minorHAnsi" w:hAnsi="Palatino Linotype" w:cstheme="minorBidi"/>
          <w:bCs/>
          <w:lang w:eastAsia="en-US"/>
        </w:rPr>
        <w:lastRenderedPageBreak/>
        <w:t>afecte o vulnere la conducción o los derechos del debido proceso en los procedimientos judiciales o administrativos, incluidos los de quejas, denuncias, inconformidades, responsabilidades administrativas y resarcitorias en tanto no hayan quedado firmes.</w:t>
      </w:r>
    </w:p>
    <w:p w14:paraId="19C822BE" w14:textId="77777777" w:rsidR="000677F2" w:rsidRPr="000677F2" w:rsidRDefault="000677F2" w:rsidP="000677F2">
      <w:pPr>
        <w:spacing w:line="360" w:lineRule="auto"/>
        <w:jc w:val="both"/>
        <w:rPr>
          <w:rFonts w:ascii="Palatino Linotype" w:eastAsiaTheme="minorHAnsi" w:hAnsi="Palatino Linotype" w:cstheme="minorBidi"/>
          <w:bCs/>
          <w:lang w:eastAsia="en-US"/>
        </w:rPr>
      </w:pPr>
    </w:p>
    <w:p w14:paraId="2DE9A2F9" w14:textId="1058538E" w:rsidR="000677F2" w:rsidRPr="000677F2" w:rsidRDefault="000677F2" w:rsidP="000677F2">
      <w:pPr>
        <w:autoSpaceDE w:val="0"/>
        <w:autoSpaceDN w:val="0"/>
        <w:adjustRightInd w:val="0"/>
        <w:spacing w:line="360" w:lineRule="auto"/>
        <w:jc w:val="both"/>
        <w:rPr>
          <w:rFonts w:ascii="Palatino Linotype" w:hAnsi="Palatino Linotype"/>
        </w:rPr>
      </w:pPr>
      <w:r w:rsidRPr="000677F2">
        <w:rPr>
          <w:rFonts w:ascii="Palatino Linotype" w:hAnsi="Palatino Linotype"/>
        </w:rPr>
        <w:t xml:space="preserve">En esa línea de ideas, es conveniente recordar que, tanto en la respuesta primigenia, como en informe justificado, </w:t>
      </w:r>
      <w:r w:rsidRPr="000677F2">
        <w:rPr>
          <w:rFonts w:ascii="Palatino Linotype" w:hAnsi="Palatino Linotype"/>
          <w:b/>
        </w:rPr>
        <w:t>el sujeto obligado</w:t>
      </w:r>
      <w:r w:rsidRPr="000677F2">
        <w:rPr>
          <w:rFonts w:ascii="Palatino Linotype" w:hAnsi="Palatino Linotype"/>
        </w:rPr>
        <w:t xml:space="preserve"> manifestó que</w:t>
      </w:r>
      <w:r>
        <w:rPr>
          <w:rFonts w:ascii="Palatino Linotype" w:hAnsi="Palatino Linotype"/>
        </w:rPr>
        <w:t>, de entregar la información, se</w:t>
      </w:r>
      <w:r w:rsidRPr="000677F2">
        <w:rPr>
          <w:rFonts w:ascii="Palatino Linotype" w:hAnsi="Palatino Linotype"/>
        </w:rPr>
        <w:t xml:space="preserve"> podrían menoscabar los derechos de los servidores públicos involucrados y perturbar al propio proceso de que son sujetos y del cual </w:t>
      </w:r>
      <w:r w:rsidRPr="000677F2">
        <w:rPr>
          <w:rFonts w:ascii="Palatino Linotype" w:hAnsi="Palatino Linotype"/>
          <w:b/>
          <w:bCs/>
          <w:u w:val="single"/>
        </w:rPr>
        <w:t>no ha recaído una determinación afectando el sentido de la misma</w:t>
      </w:r>
      <w:r w:rsidRPr="000677F2">
        <w:rPr>
          <w:rFonts w:ascii="Palatino Linotype" w:hAnsi="Palatino Linotype"/>
        </w:rPr>
        <w:t xml:space="preserve">, por las actuaciones y diligencias no deben ser susceptibles de difusión, ya que de ser así se obstaculizaría la atribución a cargo de la Autoridad correspondiente, por lo que a la fecha no ha sido concluido, clasificándolo como reservado por un periodo de </w:t>
      </w:r>
      <w:r>
        <w:rPr>
          <w:rFonts w:ascii="Palatino Linotype" w:hAnsi="Palatino Linotype"/>
        </w:rPr>
        <w:t>5</w:t>
      </w:r>
      <w:r w:rsidRPr="000677F2">
        <w:rPr>
          <w:rFonts w:ascii="Palatino Linotype" w:hAnsi="Palatino Linotype"/>
        </w:rPr>
        <w:t xml:space="preserve"> año</w:t>
      </w:r>
      <w:r>
        <w:rPr>
          <w:rFonts w:ascii="Palatino Linotype" w:hAnsi="Palatino Linotype"/>
        </w:rPr>
        <w:t>s</w:t>
      </w:r>
      <w:r w:rsidRPr="000677F2">
        <w:rPr>
          <w:rFonts w:ascii="Palatino Linotype" w:hAnsi="Palatino Linotype"/>
        </w:rPr>
        <w:t>, así en virtud de que dichos procedimientos se encuentran en trámite no son susceptibles de entregar hasta no hayan causado estado.</w:t>
      </w:r>
    </w:p>
    <w:p w14:paraId="771DFD06" w14:textId="77777777" w:rsidR="000677F2" w:rsidRPr="000677F2" w:rsidRDefault="000677F2" w:rsidP="000677F2">
      <w:pPr>
        <w:autoSpaceDE w:val="0"/>
        <w:autoSpaceDN w:val="0"/>
        <w:adjustRightInd w:val="0"/>
        <w:spacing w:line="360" w:lineRule="auto"/>
        <w:jc w:val="both"/>
        <w:rPr>
          <w:rFonts w:ascii="Palatino Linotype" w:hAnsi="Palatino Linotype"/>
        </w:rPr>
      </w:pPr>
    </w:p>
    <w:p w14:paraId="5480D5D3" w14:textId="694A27F5" w:rsidR="000677F2" w:rsidRPr="000677F2" w:rsidRDefault="000677F2" w:rsidP="000677F2">
      <w:pPr>
        <w:autoSpaceDE w:val="0"/>
        <w:autoSpaceDN w:val="0"/>
        <w:adjustRightInd w:val="0"/>
        <w:spacing w:line="360" w:lineRule="auto"/>
        <w:jc w:val="both"/>
        <w:rPr>
          <w:rFonts w:ascii="Palatino Linotype" w:hAnsi="Palatino Linotype"/>
        </w:rPr>
      </w:pPr>
      <w:r w:rsidRPr="000677F2">
        <w:rPr>
          <w:rFonts w:ascii="Palatino Linotype" w:hAnsi="Palatino Linotype"/>
        </w:rPr>
        <w:t xml:space="preserve">De igual forma señaló que, </w:t>
      </w:r>
      <w:r w:rsidR="00B326AC" w:rsidRPr="00B326AC">
        <w:rPr>
          <w:rFonts w:ascii="Palatino Linotype" w:hAnsi="Palatino Linotype"/>
        </w:rPr>
        <w:t xml:space="preserve">Proporcionar la información pública de los procedimientos administrativos que se encuentran pendientes de pronunciar resolución lesiona el interés jurídicamente protegido de los presuntos responsables del procedimiento administrativo en virtud que aún no han sido resueltos donde se haya determinado una sanción definitiva en congruencia con el principio de inocencia y de legalidad y su divulgación pueda producir un daño o menoscabo a la (s) persona (s), debido a que con la publicidad de la información ese daño seria mayor al propio interés de conocer la información pública por razones de interés público, considerando que de ser entregada se afecta y se vulnera la conducción y los derechos del debido proceso en </w:t>
      </w:r>
      <w:r w:rsidR="00B326AC" w:rsidRPr="00B326AC">
        <w:rPr>
          <w:rFonts w:ascii="Palatino Linotype" w:hAnsi="Palatino Linotype"/>
        </w:rPr>
        <w:lastRenderedPageBreak/>
        <w:t>los procedimientos administrativos señalados en los expedientes de responsabilidades administrativas resarcitorias que aún no han quedado firmes encontrándose pendientes de emitir la resolución que en derecho proceda. Es ese contexto el derecho al interés público se traduce a un interés particular, al ser información solicitada por un particular en el ejercicio de un derecho fundamental de acceso a la información pública</w:t>
      </w:r>
      <w:r w:rsidRPr="000677F2">
        <w:rPr>
          <w:rFonts w:ascii="Palatino Linotype" w:hAnsi="Palatino Linotype"/>
        </w:rPr>
        <w:t>.</w:t>
      </w:r>
    </w:p>
    <w:p w14:paraId="6D97E939" w14:textId="77777777" w:rsidR="000677F2" w:rsidRPr="000677F2" w:rsidRDefault="000677F2" w:rsidP="000677F2">
      <w:pPr>
        <w:autoSpaceDE w:val="0"/>
        <w:autoSpaceDN w:val="0"/>
        <w:adjustRightInd w:val="0"/>
        <w:spacing w:line="360" w:lineRule="auto"/>
        <w:jc w:val="both"/>
        <w:rPr>
          <w:rFonts w:ascii="Palatino Linotype" w:hAnsi="Palatino Linotype"/>
        </w:rPr>
      </w:pPr>
    </w:p>
    <w:p w14:paraId="77DB2D49" w14:textId="017815E7" w:rsidR="000677F2" w:rsidRPr="000677F2" w:rsidRDefault="000677F2" w:rsidP="000677F2">
      <w:pPr>
        <w:autoSpaceDE w:val="0"/>
        <w:autoSpaceDN w:val="0"/>
        <w:adjustRightInd w:val="0"/>
        <w:spacing w:line="360" w:lineRule="auto"/>
        <w:jc w:val="both"/>
        <w:rPr>
          <w:rFonts w:ascii="Palatino Linotype" w:hAnsi="Palatino Linotype"/>
        </w:rPr>
      </w:pPr>
      <w:r w:rsidRPr="000677F2">
        <w:rPr>
          <w:rFonts w:ascii="Palatino Linotype" w:hAnsi="Palatino Linotype"/>
        </w:rPr>
        <w:t xml:space="preserve">Aunado a lo antes expuesto, </w:t>
      </w:r>
      <w:r w:rsidRPr="000677F2">
        <w:rPr>
          <w:rFonts w:ascii="Palatino Linotype" w:hAnsi="Palatino Linotype"/>
          <w:b/>
        </w:rPr>
        <w:t>el sujeto obligado</w:t>
      </w:r>
      <w:r w:rsidRPr="000677F2">
        <w:rPr>
          <w:rFonts w:ascii="Palatino Linotype" w:hAnsi="Palatino Linotype"/>
        </w:rPr>
        <w:t xml:space="preserve">, remitió </w:t>
      </w:r>
      <w:r w:rsidR="00B326AC" w:rsidRPr="00B326AC">
        <w:rPr>
          <w:rFonts w:ascii="Palatino Linotype" w:hAnsi="Palatino Linotype"/>
          <w:lang w:val="es-ES_tradnl"/>
        </w:rPr>
        <w:t xml:space="preserve">el </w:t>
      </w:r>
      <w:r w:rsidR="00B326AC" w:rsidRPr="00B326AC">
        <w:rPr>
          <w:rFonts w:ascii="Palatino Linotype" w:hAnsi="Palatino Linotype"/>
        </w:rPr>
        <w:t xml:space="preserve">ACUERDO-02 CT/III-O/27-03-23 de la Tercera Sesión Ordinaria del Comité de Transparencia del H. Ayuntamiento de Atizapán de Zaragoza, Estado De México; de Fecha 27 de Marzo del Año 2023, con el que se confirma el Acuerdo de Clasificación de Información en su modalidad de reservada, relativo de los procedimientos administrativos en contra de los Titulares del Órgano de Control Interno d similar del Año 2018 a la </w:t>
      </w:r>
      <w:r w:rsidR="00B326AC">
        <w:rPr>
          <w:rFonts w:ascii="Palatino Linotype" w:hAnsi="Palatino Linotype"/>
        </w:rPr>
        <w:t>f</w:t>
      </w:r>
      <w:r w:rsidR="00B326AC" w:rsidRPr="00B326AC">
        <w:rPr>
          <w:rFonts w:ascii="Palatino Linotype" w:hAnsi="Palatino Linotype"/>
        </w:rPr>
        <w:t>echa</w:t>
      </w:r>
      <w:r w:rsidRPr="000677F2">
        <w:rPr>
          <w:rFonts w:ascii="Palatino Linotype" w:hAnsi="Palatino Linotype"/>
        </w:rPr>
        <w:t xml:space="preserve">, de acuerdo a lo establecido en </w:t>
      </w:r>
      <w:r w:rsidRPr="000677F2">
        <w:rPr>
          <w:rFonts w:ascii="Palatino Linotype" w:hAnsi="Palatino Linotype" w:cs="Arial"/>
        </w:rPr>
        <w:t xml:space="preserve">los artículos 128, 129, 132 fracción I y 134 tercer párrafo de la Ley de la materia; así como los numerales Sexto </w:t>
      </w:r>
      <w:r w:rsidRPr="000677F2">
        <w:rPr>
          <w:rFonts w:ascii="Palatino Linotype" w:hAnsi="Palatino Linotype" w:cs="Arial"/>
          <w:lang w:val="es-ES_tradnl"/>
        </w:rPr>
        <w:t xml:space="preserve">al Décimo Primero de los Lineamientos Generales en materia de Clasificación y Desclasificación de la Información, así como para la elaboración de Versiones Públicas, </w:t>
      </w:r>
      <w:r w:rsidRPr="000677F2">
        <w:rPr>
          <w:rFonts w:ascii="Palatino Linotype" w:hAnsi="Palatino Linotype" w:cs="Arial"/>
        </w:rPr>
        <w:t xml:space="preserve">que disponen lo siguiente: </w:t>
      </w:r>
    </w:p>
    <w:p w14:paraId="2E6533D8" w14:textId="77777777" w:rsidR="000677F2" w:rsidRPr="000677F2" w:rsidRDefault="000677F2" w:rsidP="000677F2">
      <w:pPr>
        <w:shd w:val="clear" w:color="auto" w:fill="FFFFFF"/>
        <w:jc w:val="both"/>
        <w:rPr>
          <w:rFonts w:ascii="Palatino Linotype" w:hAnsi="Palatino Linotype" w:cs="Arial"/>
        </w:rPr>
      </w:pPr>
    </w:p>
    <w:p w14:paraId="7B82B5B7"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u w:val="single"/>
          <w:lang w:val="es-MX" w:eastAsia="en-US"/>
        </w:rPr>
      </w:pPr>
      <w:r w:rsidRPr="000677F2">
        <w:rPr>
          <w:rFonts w:ascii="Palatino Linotype" w:eastAsiaTheme="minorHAnsi" w:hAnsi="Palatino Linotype" w:cs="Arial"/>
          <w:b/>
          <w:i/>
          <w:color w:val="000000"/>
          <w:sz w:val="22"/>
          <w:szCs w:val="22"/>
          <w:lang w:val="es-MX" w:eastAsia="en-US"/>
        </w:rPr>
        <w:t>“Artículo 128.</w:t>
      </w:r>
      <w:r w:rsidRPr="000677F2">
        <w:rPr>
          <w:rFonts w:ascii="Palatino Linotype" w:eastAsiaTheme="minorHAnsi" w:hAnsi="Palatino Linotype" w:cs="Arial"/>
          <w:i/>
          <w:color w:val="000000"/>
          <w:sz w:val="22"/>
          <w:szCs w:val="22"/>
          <w:lang w:val="es-MX" w:eastAsia="en-US"/>
        </w:rPr>
        <w:t xml:space="preserve"> </w:t>
      </w:r>
      <w:r w:rsidRPr="000677F2">
        <w:rPr>
          <w:rFonts w:ascii="Palatino Linotype" w:eastAsiaTheme="minorHAnsi" w:hAnsi="Palatino Linotype" w:cs="Arial"/>
          <w:b/>
          <w:i/>
          <w:color w:val="000000"/>
          <w:sz w:val="22"/>
          <w:szCs w:val="22"/>
          <w:lang w:val="es-MX" w:eastAsia="en-US"/>
        </w:rPr>
        <w:t xml:space="preserve">En los casos en que se niegue el acceso a la información, por actualizarse alguno de los supuestos de clasificación, </w:t>
      </w:r>
      <w:r w:rsidRPr="000677F2">
        <w:rPr>
          <w:rFonts w:ascii="Palatino Linotype" w:eastAsiaTheme="minorHAnsi" w:hAnsi="Palatino Linotype" w:cs="Arial"/>
          <w:b/>
          <w:i/>
          <w:color w:val="000000"/>
          <w:sz w:val="22"/>
          <w:szCs w:val="22"/>
          <w:u w:val="single"/>
          <w:lang w:val="es-MX" w:eastAsia="en-US"/>
        </w:rPr>
        <w:t>el Comité de Transparencia deberá confirmar, modificar o revocar la decisión.</w:t>
      </w:r>
    </w:p>
    <w:p w14:paraId="60821BEC" w14:textId="77777777" w:rsidR="000677F2" w:rsidRPr="000677F2" w:rsidRDefault="000677F2" w:rsidP="000677F2">
      <w:pPr>
        <w:spacing w:after="160" w:line="259" w:lineRule="auto"/>
        <w:ind w:left="851" w:right="850"/>
        <w:jc w:val="both"/>
        <w:rPr>
          <w:rFonts w:ascii="Palatino Linotype" w:eastAsiaTheme="minorHAnsi" w:hAnsi="Palatino Linotype" w:cs="Arial"/>
          <w:b/>
          <w:i/>
          <w:color w:val="000000"/>
          <w:sz w:val="22"/>
          <w:szCs w:val="22"/>
          <w:lang w:val="es-MX" w:eastAsia="en-US"/>
        </w:rPr>
      </w:pPr>
      <w:r w:rsidRPr="000677F2">
        <w:rPr>
          <w:rFonts w:ascii="Palatino Linotype" w:eastAsiaTheme="minorHAnsi" w:hAnsi="Palatino Linotype" w:cs="Arial"/>
          <w:i/>
          <w:color w:val="000000"/>
          <w:sz w:val="22"/>
          <w:szCs w:val="22"/>
          <w:lang w:val="es-MX" w:eastAsia="en-US"/>
        </w:rPr>
        <w:t xml:space="preserve">Para </w:t>
      </w:r>
      <w:r w:rsidRPr="000677F2">
        <w:rPr>
          <w:rFonts w:ascii="Palatino Linotype" w:eastAsiaTheme="minorHAnsi" w:hAnsi="Palatino Linotype" w:cs="Arial"/>
          <w:b/>
          <w:i/>
          <w:color w:val="000000"/>
          <w:sz w:val="22"/>
          <w:szCs w:val="22"/>
          <w:lang w:val="es-MX" w:eastAsia="en-US"/>
        </w:rPr>
        <w:t>motivar la clasificación de la información</w:t>
      </w:r>
      <w:r w:rsidRPr="000677F2">
        <w:rPr>
          <w:rFonts w:ascii="Palatino Linotype" w:eastAsiaTheme="minorHAnsi" w:hAnsi="Palatino Linotype" w:cs="Arial"/>
          <w:i/>
          <w:color w:val="000000"/>
          <w:sz w:val="22"/>
          <w:szCs w:val="22"/>
          <w:lang w:val="es-MX" w:eastAsia="en-US"/>
        </w:rPr>
        <w:t xml:space="preserve"> y la ampliación del plazo de reserva, se </w:t>
      </w:r>
      <w:r w:rsidRPr="000677F2">
        <w:rPr>
          <w:rFonts w:ascii="Palatino Linotype" w:eastAsiaTheme="minorHAnsi" w:hAnsi="Palatino Linotype" w:cs="Arial"/>
          <w:b/>
          <w:i/>
          <w:color w:val="000000"/>
          <w:sz w:val="22"/>
          <w:szCs w:val="22"/>
          <w:lang w:val="es-MX" w:eastAsia="en-US"/>
        </w:rPr>
        <w:t>deberán señalar las razones, motivos o circunstancias especiales</w:t>
      </w:r>
      <w:r w:rsidRPr="000677F2">
        <w:rPr>
          <w:rFonts w:ascii="Palatino Linotype" w:eastAsiaTheme="minorHAnsi" w:hAnsi="Palatino Linotype" w:cs="Arial"/>
          <w:i/>
          <w:color w:val="000000"/>
          <w:sz w:val="22"/>
          <w:szCs w:val="22"/>
          <w:lang w:val="es-MX" w:eastAsia="en-US"/>
        </w:rPr>
        <w:t xml:space="preserve"> que llevaron al sujeto obligado </w:t>
      </w:r>
      <w:r w:rsidRPr="000677F2">
        <w:rPr>
          <w:rFonts w:ascii="Palatino Linotype" w:eastAsiaTheme="minorHAnsi" w:hAnsi="Palatino Linotype" w:cs="Arial"/>
          <w:b/>
          <w:i/>
          <w:color w:val="000000"/>
          <w:sz w:val="22"/>
          <w:szCs w:val="22"/>
          <w:lang w:val="es-MX" w:eastAsia="en-US"/>
        </w:rPr>
        <w:t xml:space="preserve">a concluir que el caso particular se ajusta al </w:t>
      </w:r>
      <w:r w:rsidRPr="000677F2">
        <w:rPr>
          <w:rFonts w:ascii="Palatino Linotype" w:eastAsiaTheme="minorHAnsi" w:hAnsi="Palatino Linotype" w:cs="Arial"/>
          <w:b/>
          <w:i/>
          <w:color w:val="000000"/>
          <w:sz w:val="22"/>
          <w:szCs w:val="22"/>
          <w:lang w:val="es-MX" w:eastAsia="en-US"/>
        </w:rPr>
        <w:lastRenderedPageBreak/>
        <w:t>supuesto previsto por la norma legal invocada como fundamento</w:t>
      </w:r>
      <w:r w:rsidRPr="000677F2">
        <w:rPr>
          <w:rFonts w:ascii="Palatino Linotype" w:eastAsiaTheme="minorHAnsi" w:hAnsi="Palatino Linotype" w:cs="Arial"/>
          <w:i/>
          <w:color w:val="000000"/>
          <w:sz w:val="22"/>
          <w:szCs w:val="22"/>
          <w:lang w:val="es-MX" w:eastAsia="en-US"/>
        </w:rPr>
        <w:t xml:space="preserve">. </w:t>
      </w:r>
      <w:r w:rsidRPr="000677F2">
        <w:rPr>
          <w:rFonts w:ascii="Palatino Linotype" w:eastAsiaTheme="minorHAnsi" w:hAnsi="Palatino Linotype" w:cs="Arial"/>
          <w:b/>
          <w:i/>
          <w:color w:val="000000"/>
          <w:sz w:val="22"/>
          <w:szCs w:val="22"/>
          <w:lang w:val="es-MX" w:eastAsia="en-US"/>
        </w:rPr>
        <w:t>Además</w:t>
      </w:r>
      <w:r w:rsidRPr="000677F2">
        <w:rPr>
          <w:rFonts w:ascii="Palatino Linotype" w:eastAsiaTheme="minorHAnsi" w:hAnsi="Palatino Linotype" w:cs="Arial"/>
          <w:i/>
          <w:color w:val="000000"/>
          <w:sz w:val="22"/>
          <w:szCs w:val="22"/>
          <w:lang w:val="es-MX" w:eastAsia="en-US"/>
        </w:rPr>
        <w:t xml:space="preserve">, el sujeto obligado deberá, en todo momento, aplicar una </w:t>
      </w:r>
      <w:r w:rsidRPr="000677F2">
        <w:rPr>
          <w:rFonts w:ascii="Palatino Linotype" w:eastAsiaTheme="minorHAnsi" w:hAnsi="Palatino Linotype" w:cs="Arial"/>
          <w:b/>
          <w:i/>
          <w:color w:val="000000"/>
          <w:sz w:val="22"/>
          <w:szCs w:val="22"/>
          <w:lang w:val="es-MX" w:eastAsia="en-US"/>
        </w:rPr>
        <w:t>prueba de daño.</w:t>
      </w:r>
    </w:p>
    <w:p w14:paraId="7A76230B"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i/>
          <w:color w:val="000000"/>
          <w:sz w:val="22"/>
          <w:szCs w:val="22"/>
          <w:lang w:val="es-MX" w:eastAsia="en-US"/>
        </w:rPr>
        <w:t>Tratándose de aquélla información que actualice los supuestos de clasificación, deberá señalarse el plazo al que estará sujeto la reserva.</w:t>
      </w:r>
    </w:p>
    <w:p w14:paraId="212B55EF"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b/>
          <w:i/>
          <w:color w:val="000000"/>
          <w:sz w:val="22"/>
          <w:szCs w:val="22"/>
          <w:lang w:val="es-MX" w:eastAsia="en-US"/>
        </w:rPr>
        <w:t>Artículo 129.</w:t>
      </w:r>
      <w:r w:rsidRPr="000677F2">
        <w:rPr>
          <w:rFonts w:ascii="Palatino Linotype" w:eastAsiaTheme="minorHAnsi" w:hAnsi="Palatino Linotype" w:cs="Arial"/>
          <w:i/>
          <w:color w:val="000000"/>
          <w:sz w:val="22"/>
          <w:szCs w:val="22"/>
          <w:lang w:val="es-MX" w:eastAsia="en-US"/>
        </w:rPr>
        <w:t xml:space="preserve"> En la </w:t>
      </w:r>
      <w:r w:rsidRPr="000677F2">
        <w:rPr>
          <w:rFonts w:ascii="Palatino Linotype" w:eastAsiaTheme="minorHAnsi" w:hAnsi="Palatino Linotype" w:cs="Arial"/>
          <w:b/>
          <w:i/>
          <w:color w:val="000000"/>
          <w:sz w:val="22"/>
          <w:szCs w:val="22"/>
          <w:lang w:val="es-MX" w:eastAsia="en-US"/>
        </w:rPr>
        <w:t>aplicación de la prueba de daño</w:t>
      </w:r>
      <w:r w:rsidRPr="000677F2">
        <w:rPr>
          <w:rFonts w:ascii="Palatino Linotype" w:eastAsiaTheme="minorHAnsi" w:hAnsi="Palatino Linotype" w:cs="Arial"/>
          <w:i/>
          <w:color w:val="000000"/>
          <w:sz w:val="22"/>
          <w:szCs w:val="22"/>
          <w:lang w:val="es-MX" w:eastAsia="en-US"/>
        </w:rPr>
        <w:t>, el sujeto obligado deberá precisar las razones objetivas por las que la apertura de la información generaría una afectación, justificando que:</w:t>
      </w:r>
    </w:p>
    <w:p w14:paraId="168C6BE6"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i/>
          <w:color w:val="000000"/>
          <w:sz w:val="22"/>
          <w:szCs w:val="22"/>
          <w:lang w:val="es-MX" w:eastAsia="en-US"/>
        </w:rPr>
        <w:t>I. La divulgación de la información representa un riesgo real, demostrable e identificable del perjuicio significativo al interés público o a la seguridad pública;</w:t>
      </w:r>
    </w:p>
    <w:p w14:paraId="24140144"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i/>
          <w:color w:val="000000"/>
          <w:sz w:val="22"/>
          <w:szCs w:val="22"/>
          <w:lang w:val="es-MX" w:eastAsia="en-US"/>
        </w:rPr>
        <w:t>II. El riesgo de perjuicio que supondría la divulgación supera el interés público general de que se difunda; y</w:t>
      </w:r>
    </w:p>
    <w:p w14:paraId="2E8155B6"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i/>
          <w:color w:val="000000"/>
          <w:sz w:val="22"/>
          <w:szCs w:val="22"/>
          <w:lang w:val="es-MX" w:eastAsia="en-US"/>
        </w:rPr>
        <w:t>III. La limitación se adecua al principio de proporcionalidad y representa el medio menos restrictivo disponible representa el medio menos restrictivo disponible para evitar el perjuicio.</w:t>
      </w:r>
    </w:p>
    <w:p w14:paraId="32C1EFF3"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b/>
          <w:i/>
          <w:color w:val="000000"/>
          <w:sz w:val="22"/>
          <w:szCs w:val="22"/>
          <w:lang w:val="es-MX" w:eastAsia="en-US"/>
        </w:rPr>
        <w:t xml:space="preserve">Artículo 132. </w:t>
      </w:r>
      <w:r w:rsidRPr="000677F2">
        <w:rPr>
          <w:rFonts w:ascii="Palatino Linotype" w:eastAsiaTheme="minorHAnsi" w:hAnsi="Palatino Linotype" w:cs="Arial"/>
          <w:i/>
          <w:color w:val="000000"/>
          <w:sz w:val="22"/>
          <w:szCs w:val="22"/>
          <w:lang w:val="es-MX" w:eastAsia="en-US"/>
        </w:rPr>
        <w:t xml:space="preserve">La </w:t>
      </w:r>
      <w:r w:rsidRPr="000677F2">
        <w:rPr>
          <w:rFonts w:ascii="Palatino Linotype" w:eastAsiaTheme="minorHAnsi" w:hAnsi="Palatino Linotype" w:cs="Arial"/>
          <w:b/>
          <w:i/>
          <w:color w:val="000000"/>
          <w:sz w:val="22"/>
          <w:szCs w:val="22"/>
          <w:lang w:val="es-MX" w:eastAsia="en-US"/>
        </w:rPr>
        <w:t>clasificación de la información se llevará a cabo</w:t>
      </w:r>
      <w:r w:rsidRPr="000677F2">
        <w:rPr>
          <w:rFonts w:ascii="Palatino Linotype" w:eastAsiaTheme="minorHAnsi" w:hAnsi="Palatino Linotype" w:cs="Arial"/>
          <w:i/>
          <w:color w:val="000000"/>
          <w:sz w:val="22"/>
          <w:szCs w:val="22"/>
          <w:lang w:val="es-MX" w:eastAsia="en-US"/>
        </w:rPr>
        <w:t xml:space="preserve"> en el momento en que:</w:t>
      </w:r>
    </w:p>
    <w:p w14:paraId="551F0608"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i/>
          <w:color w:val="000000"/>
          <w:sz w:val="22"/>
          <w:szCs w:val="22"/>
          <w:lang w:val="es-MX" w:eastAsia="en-US"/>
        </w:rPr>
        <w:t xml:space="preserve">I. </w:t>
      </w:r>
      <w:r w:rsidRPr="000677F2">
        <w:rPr>
          <w:rFonts w:ascii="Palatino Linotype" w:eastAsiaTheme="minorHAnsi" w:hAnsi="Palatino Linotype" w:cs="Arial"/>
          <w:b/>
          <w:i/>
          <w:color w:val="000000"/>
          <w:sz w:val="22"/>
          <w:szCs w:val="22"/>
          <w:lang w:val="es-MX" w:eastAsia="en-US"/>
        </w:rPr>
        <w:t>Se reciba una solicitud</w:t>
      </w:r>
      <w:r w:rsidRPr="000677F2">
        <w:rPr>
          <w:rFonts w:ascii="Palatino Linotype" w:eastAsiaTheme="minorHAnsi" w:hAnsi="Palatino Linotype" w:cs="Arial"/>
          <w:i/>
          <w:color w:val="000000"/>
          <w:sz w:val="22"/>
          <w:szCs w:val="22"/>
          <w:lang w:val="es-MX" w:eastAsia="en-US"/>
        </w:rPr>
        <w:t xml:space="preserve"> de acceso a la información;</w:t>
      </w:r>
    </w:p>
    <w:p w14:paraId="2237490F"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i/>
          <w:color w:val="000000"/>
          <w:sz w:val="22"/>
          <w:szCs w:val="22"/>
          <w:lang w:val="es-MX" w:eastAsia="en-US"/>
        </w:rPr>
        <w:t>II. Se determine mediante resolución de autoridad competente; o</w:t>
      </w:r>
    </w:p>
    <w:p w14:paraId="3DFA8A5C"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i/>
          <w:color w:val="000000"/>
          <w:sz w:val="22"/>
          <w:szCs w:val="22"/>
          <w:lang w:val="es-MX" w:eastAsia="en-US"/>
        </w:rPr>
        <w:t>III. Se generen versiones públicas para dar cumplimiento a las obligaciones de transparencia previstas en esta Ley.</w:t>
      </w:r>
    </w:p>
    <w:p w14:paraId="4F9AB0F4" w14:textId="77777777" w:rsidR="000677F2" w:rsidRPr="000677F2" w:rsidRDefault="000677F2" w:rsidP="000677F2">
      <w:pPr>
        <w:spacing w:after="160" w:line="259" w:lineRule="auto"/>
        <w:ind w:left="851" w:right="850"/>
        <w:jc w:val="both"/>
        <w:rPr>
          <w:rFonts w:ascii="Palatino Linotype" w:eastAsiaTheme="minorHAnsi" w:hAnsi="Palatino Linotype" w:cs="Arial"/>
          <w:b/>
          <w:i/>
          <w:color w:val="000000"/>
          <w:sz w:val="22"/>
          <w:szCs w:val="22"/>
          <w:u w:val="single"/>
          <w:lang w:val="es-MX" w:eastAsia="en-US"/>
        </w:rPr>
      </w:pPr>
      <w:r w:rsidRPr="000677F2">
        <w:rPr>
          <w:rFonts w:ascii="Palatino Linotype" w:eastAsiaTheme="minorHAnsi" w:hAnsi="Palatino Linotype" w:cs="Arial"/>
          <w:b/>
          <w:i/>
          <w:color w:val="000000"/>
          <w:sz w:val="22"/>
          <w:szCs w:val="22"/>
          <w:u w:val="single"/>
          <w:lang w:val="es-MX" w:eastAsia="en-US"/>
        </w:rPr>
        <w:t>Tratándose de información reservada, los titulares de las áreas deberán revisar la clasificación al momento de la recepción de una solicitud, para verificar si subsisten las causas que le dieron origen.</w:t>
      </w:r>
    </w:p>
    <w:p w14:paraId="7C83700E" w14:textId="77777777" w:rsidR="000677F2" w:rsidRPr="000677F2" w:rsidRDefault="000677F2" w:rsidP="000677F2">
      <w:pPr>
        <w:spacing w:after="160" w:line="259" w:lineRule="auto"/>
        <w:ind w:left="851" w:right="850"/>
        <w:jc w:val="both"/>
        <w:rPr>
          <w:rFonts w:ascii="Palatino Linotype" w:eastAsiaTheme="minorHAnsi" w:hAnsi="Palatino Linotype" w:cs="Arial"/>
          <w:i/>
          <w:color w:val="000000"/>
          <w:sz w:val="22"/>
          <w:szCs w:val="22"/>
          <w:lang w:val="es-MX" w:eastAsia="en-US"/>
        </w:rPr>
      </w:pPr>
      <w:r w:rsidRPr="000677F2">
        <w:rPr>
          <w:rFonts w:ascii="Palatino Linotype" w:eastAsiaTheme="minorHAnsi" w:hAnsi="Palatino Linotype" w:cs="Arial"/>
          <w:b/>
          <w:i/>
          <w:color w:val="000000"/>
          <w:sz w:val="22"/>
          <w:szCs w:val="22"/>
          <w:lang w:val="es-MX" w:eastAsia="en-US"/>
        </w:rPr>
        <w:t>Artículo 134.</w:t>
      </w:r>
      <w:r w:rsidRPr="000677F2">
        <w:rPr>
          <w:rFonts w:ascii="Palatino Linotype" w:eastAsiaTheme="minorHAnsi" w:hAnsi="Palatino Linotype" w:cs="Arial"/>
          <w:i/>
          <w:color w:val="000000"/>
          <w:sz w:val="22"/>
          <w:szCs w:val="22"/>
          <w:lang w:val="es-MX" w:eastAsia="en-US"/>
        </w:rPr>
        <w:t xml:space="preserve"> …</w:t>
      </w:r>
    </w:p>
    <w:p w14:paraId="596ECD1C" w14:textId="77777777" w:rsidR="000677F2" w:rsidRPr="000677F2" w:rsidRDefault="000677F2" w:rsidP="000677F2">
      <w:pPr>
        <w:spacing w:after="160" w:line="259" w:lineRule="auto"/>
        <w:ind w:left="851" w:right="850"/>
        <w:jc w:val="both"/>
        <w:rPr>
          <w:rFonts w:ascii="Palatino Linotype" w:eastAsiaTheme="minorHAnsi" w:hAnsi="Palatino Linotype" w:cs="Arial"/>
          <w:b/>
          <w:i/>
          <w:color w:val="000000"/>
          <w:sz w:val="22"/>
          <w:szCs w:val="22"/>
          <w:lang w:val="es-MX" w:eastAsia="en-US"/>
        </w:rPr>
      </w:pPr>
      <w:r w:rsidRPr="000677F2">
        <w:rPr>
          <w:rFonts w:ascii="Palatino Linotype" w:eastAsiaTheme="minorHAnsi" w:hAnsi="Palatino Linotype" w:cs="Arial"/>
          <w:b/>
          <w:i/>
          <w:color w:val="000000"/>
          <w:sz w:val="22"/>
          <w:szCs w:val="22"/>
          <w:lang w:val="es-MX" w:eastAsia="en-US"/>
        </w:rPr>
        <w:t>La clasificación de información se realizará conforme a un análisis caso por caso, mediante la aplicación de la prueba de daño.</w:t>
      </w:r>
    </w:p>
    <w:p w14:paraId="0ABF871D" w14:textId="77777777" w:rsidR="000677F2" w:rsidRPr="000677F2" w:rsidRDefault="000677F2" w:rsidP="000677F2">
      <w:pPr>
        <w:spacing w:after="160" w:line="259" w:lineRule="auto"/>
        <w:ind w:left="851" w:right="850"/>
        <w:jc w:val="both"/>
        <w:rPr>
          <w:rFonts w:ascii="Palatino Linotype" w:eastAsiaTheme="minorHAnsi" w:hAnsi="Palatino Linotype" w:cs="Arial"/>
          <w:b/>
          <w:i/>
          <w:color w:val="000000"/>
          <w:sz w:val="22"/>
          <w:szCs w:val="22"/>
          <w:lang w:val="es-MX" w:eastAsia="en-US"/>
        </w:rPr>
      </w:pPr>
    </w:p>
    <w:p w14:paraId="70AF1223" w14:textId="77777777" w:rsidR="000677F2" w:rsidRPr="000677F2" w:rsidRDefault="000677F2" w:rsidP="000677F2">
      <w:pPr>
        <w:spacing w:after="160" w:line="259" w:lineRule="auto"/>
        <w:ind w:left="851" w:right="850"/>
        <w:jc w:val="center"/>
        <w:rPr>
          <w:rFonts w:ascii="Palatino Linotype" w:eastAsiaTheme="minorHAnsi" w:hAnsi="Palatino Linotype" w:cs="Arial"/>
          <w:b/>
          <w:i/>
          <w:color w:val="000000"/>
          <w:sz w:val="22"/>
          <w:szCs w:val="22"/>
          <w:lang w:val="es-MX" w:eastAsia="en-US"/>
        </w:rPr>
      </w:pPr>
      <w:r w:rsidRPr="000677F2">
        <w:rPr>
          <w:rFonts w:ascii="Palatino Linotype" w:eastAsiaTheme="minorHAnsi" w:hAnsi="Palatino Linotype" w:cs="Arial"/>
          <w:b/>
          <w:i/>
          <w:color w:val="000000"/>
          <w:sz w:val="22"/>
          <w:szCs w:val="22"/>
          <w:lang w:val="es-MX" w:eastAsia="en-US"/>
        </w:rPr>
        <w:t>Lineamientos Generales en materia de Clasificación y Desclasificación de la Información, así como para la elaboración de Versiones Públicas.</w:t>
      </w:r>
    </w:p>
    <w:p w14:paraId="0757C82C" w14:textId="77777777" w:rsidR="000677F2" w:rsidRPr="000677F2" w:rsidRDefault="000677F2" w:rsidP="000677F2">
      <w:pPr>
        <w:spacing w:after="160" w:line="259" w:lineRule="auto"/>
        <w:ind w:left="851" w:right="850"/>
        <w:jc w:val="center"/>
        <w:rPr>
          <w:rFonts w:ascii="Palatino Linotype" w:eastAsiaTheme="minorHAnsi" w:hAnsi="Palatino Linotype" w:cs="Arial"/>
          <w:b/>
          <w:i/>
          <w:color w:val="000000"/>
          <w:sz w:val="22"/>
          <w:szCs w:val="22"/>
          <w:lang w:val="es-MX" w:eastAsia="en-US"/>
        </w:rPr>
      </w:pPr>
    </w:p>
    <w:p w14:paraId="4DA6F269"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b/>
          <w:i/>
          <w:sz w:val="22"/>
          <w:szCs w:val="22"/>
          <w:lang w:val="es-MX" w:eastAsia="es-MX"/>
        </w:rPr>
        <w:t>“Sexto.</w:t>
      </w:r>
      <w:r w:rsidRPr="000677F2">
        <w:rPr>
          <w:rFonts w:ascii="Palatino Linotype" w:eastAsiaTheme="minorHAnsi"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8AE895A"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i/>
          <w:sz w:val="22"/>
          <w:szCs w:val="22"/>
          <w:lang w:val="es-MX" w:eastAsia="es-MX"/>
        </w:rPr>
        <w:t xml:space="preserve">La </w:t>
      </w:r>
      <w:r w:rsidRPr="000677F2">
        <w:rPr>
          <w:rFonts w:ascii="Palatino Linotype" w:eastAsiaTheme="minorHAnsi" w:hAnsi="Palatino Linotype" w:cs="Arial"/>
          <w:b/>
          <w:i/>
          <w:sz w:val="22"/>
          <w:szCs w:val="22"/>
          <w:u w:val="single"/>
          <w:lang w:val="es-MX" w:eastAsia="es-MX"/>
        </w:rPr>
        <w:t>clasificación de información se realizará conforme a un análisis caso por caso</w:t>
      </w:r>
      <w:r w:rsidRPr="000677F2">
        <w:rPr>
          <w:rFonts w:ascii="Palatino Linotype" w:eastAsiaTheme="minorHAnsi" w:hAnsi="Palatino Linotype" w:cs="Arial"/>
          <w:i/>
          <w:sz w:val="22"/>
          <w:szCs w:val="22"/>
          <w:lang w:val="es-MX" w:eastAsia="es-MX"/>
        </w:rPr>
        <w:t xml:space="preserve">, </w:t>
      </w:r>
      <w:r w:rsidRPr="000677F2">
        <w:rPr>
          <w:rFonts w:ascii="Palatino Linotype" w:eastAsiaTheme="minorHAnsi" w:hAnsi="Palatino Linotype" w:cs="Arial"/>
          <w:b/>
          <w:i/>
          <w:sz w:val="22"/>
          <w:szCs w:val="22"/>
          <w:lang w:val="es-MX" w:eastAsia="es-MX"/>
        </w:rPr>
        <w:t>mediante la aplicación de la prueba de daño y de interés público</w:t>
      </w:r>
      <w:r w:rsidRPr="000677F2">
        <w:rPr>
          <w:rFonts w:ascii="Palatino Linotype" w:eastAsiaTheme="minorHAnsi" w:hAnsi="Palatino Linotype" w:cs="Arial"/>
          <w:i/>
          <w:sz w:val="22"/>
          <w:szCs w:val="22"/>
          <w:lang w:val="es-MX" w:eastAsia="es-MX"/>
        </w:rPr>
        <w:t>.</w:t>
      </w:r>
    </w:p>
    <w:p w14:paraId="7AD8080D"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b/>
          <w:i/>
          <w:sz w:val="22"/>
          <w:szCs w:val="22"/>
          <w:lang w:val="es-MX" w:eastAsia="es-MX"/>
        </w:rPr>
        <w:t>Séptimo.</w:t>
      </w:r>
      <w:r w:rsidRPr="000677F2">
        <w:rPr>
          <w:rFonts w:ascii="Palatino Linotype" w:eastAsiaTheme="minorHAnsi" w:hAnsi="Palatino Linotype" w:cs="Arial"/>
          <w:i/>
          <w:sz w:val="22"/>
          <w:szCs w:val="22"/>
          <w:lang w:val="es-MX" w:eastAsia="es-MX"/>
        </w:rPr>
        <w:t xml:space="preserve"> La </w:t>
      </w:r>
      <w:r w:rsidRPr="000677F2">
        <w:rPr>
          <w:rFonts w:ascii="Palatino Linotype" w:eastAsiaTheme="minorHAnsi" w:hAnsi="Palatino Linotype" w:cs="Arial"/>
          <w:b/>
          <w:i/>
          <w:sz w:val="22"/>
          <w:szCs w:val="22"/>
          <w:lang w:val="es-MX" w:eastAsia="es-MX"/>
        </w:rPr>
        <w:t>clasificación de la información se llevará a cabo</w:t>
      </w:r>
      <w:r w:rsidRPr="000677F2">
        <w:rPr>
          <w:rFonts w:ascii="Palatino Linotype" w:eastAsiaTheme="minorHAnsi" w:hAnsi="Palatino Linotype" w:cs="Arial"/>
          <w:i/>
          <w:sz w:val="22"/>
          <w:szCs w:val="22"/>
          <w:lang w:val="es-MX" w:eastAsia="es-MX"/>
        </w:rPr>
        <w:t xml:space="preserve"> en el momento en que:</w:t>
      </w:r>
    </w:p>
    <w:p w14:paraId="4CB9CA11"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b/>
          <w:i/>
          <w:sz w:val="22"/>
          <w:szCs w:val="22"/>
          <w:lang w:val="es-MX" w:eastAsia="es-MX"/>
        </w:rPr>
        <w:t>I.</w:t>
      </w:r>
      <w:r w:rsidRPr="000677F2">
        <w:rPr>
          <w:rFonts w:ascii="Palatino Linotype" w:eastAsiaTheme="minorHAnsi" w:hAnsi="Palatino Linotype" w:cs="Arial"/>
          <w:i/>
          <w:sz w:val="22"/>
          <w:szCs w:val="22"/>
          <w:lang w:val="es-MX" w:eastAsia="es-MX"/>
        </w:rPr>
        <w:t xml:space="preserve"> </w:t>
      </w:r>
      <w:r w:rsidRPr="000677F2">
        <w:rPr>
          <w:rFonts w:ascii="Palatino Linotype" w:eastAsiaTheme="minorHAnsi" w:hAnsi="Palatino Linotype" w:cs="Arial"/>
          <w:b/>
          <w:i/>
          <w:sz w:val="22"/>
          <w:szCs w:val="22"/>
          <w:lang w:val="es-MX" w:eastAsia="es-MX"/>
        </w:rPr>
        <w:t>Se reciba una solicitud de acceso a la información</w:t>
      </w:r>
      <w:r w:rsidRPr="000677F2">
        <w:rPr>
          <w:rFonts w:ascii="Palatino Linotype" w:eastAsiaTheme="minorHAnsi" w:hAnsi="Palatino Linotype" w:cs="Arial"/>
          <w:i/>
          <w:sz w:val="22"/>
          <w:szCs w:val="22"/>
          <w:lang w:val="es-MX" w:eastAsia="es-MX"/>
        </w:rPr>
        <w:t>;</w:t>
      </w:r>
    </w:p>
    <w:p w14:paraId="0E89C505"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b/>
          <w:i/>
          <w:sz w:val="22"/>
          <w:szCs w:val="22"/>
          <w:lang w:val="es-MX" w:eastAsia="es-MX"/>
        </w:rPr>
        <w:t>II.</w:t>
      </w:r>
      <w:r w:rsidRPr="000677F2">
        <w:rPr>
          <w:rFonts w:ascii="Palatino Linotype" w:eastAsiaTheme="minorHAnsi" w:hAnsi="Palatino Linotype" w:cs="Arial"/>
          <w:i/>
          <w:sz w:val="22"/>
          <w:szCs w:val="22"/>
          <w:lang w:val="es-MX" w:eastAsia="es-MX"/>
        </w:rPr>
        <w:t xml:space="preserve"> Se determine mediante resolución de autoridad competente, o</w:t>
      </w:r>
    </w:p>
    <w:p w14:paraId="5658184C"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b/>
          <w:i/>
          <w:sz w:val="22"/>
          <w:szCs w:val="22"/>
          <w:lang w:val="es-MX" w:eastAsia="es-MX"/>
        </w:rPr>
        <w:t>III.</w:t>
      </w:r>
      <w:r w:rsidRPr="000677F2">
        <w:rPr>
          <w:rFonts w:ascii="Palatino Linotype" w:eastAsiaTheme="minorHAnsi"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0CA90064"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4A80BB91"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b/>
          <w:i/>
          <w:sz w:val="22"/>
          <w:szCs w:val="22"/>
          <w:lang w:val="es-MX" w:eastAsia="es-MX"/>
        </w:rPr>
        <w:t>Octavo.</w:t>
      </w:r>
      <w:r w:rsidRPr="000677F2">
        <w:rPr>
          <w:rFonts w:ascii="Palatino Linotype" w:eastAsiaTheme="minorHAnsi" w:hAnsi="Palatino Linotype" w:cs="Arial"/>
          <w:i/>
          <w:sz w:val="22"/>
          <w:szCs w:val="22"/>
          <w:lang w:val="es-MX" w:eastAsia="es-MX"/>
        </w:rPr>
        <w:t xml:space="preserve"> Para </w:t>
      </w:r>
      <w:r w:rsidRPr="000677F2">
        <w:rPr>
          <w:rFonts w:ascii="Palatino Linotype" w:eastAsiaTheme="minorHAnsi" w:hAnsi="Palatino Linotype" w:cs="Arial"/>
          <w:b/>
          <w:i/>
          <w:sz w:val="22"/>
          <w:szCs w:val="22"/>
          <w:lang w:val="es-MX" w:eastAsia="es-MX"/>
        </w:rPr>
        <w:t>fundar la clasificación de la información se debe señalar el artículo, fracción, inciso, párrafo o numeral de la ley o tratado internacional suscrito por el Estado mexicano que expresamente le otorga el carácter de reservada</w:t>
      </w:r>
      <w:r w:rsidRPr="000677F2">
        <w:rPr>
          <w:rFonts w:ascii="Palatino Linotype" w:eastAsiaTheme="minorHAnsi" w:hAnsi="Palatino Linotype" w:cs="Arial"/>
          <w:i/>
          <w:sz w:val="22"/>
          <w:szCs w:val="22"/>
          <w:lang w:val="es-MX" w:eastAsia="es-MX"/>
        </w:rPr>
        <w:t xml:space="preserve"> o confidencial.</w:t>
      </w:r>
    </w:p>
    <w:p w14:paraId="47A88F34" w14:textId="77777777" w:rsidR="000677F2" w:rsidRPr="000677F2" w:rsidRDefault="000677F2" w:rsidP="000677F2">
      <w:pPr>
        <w:spacing w:after="160" w:line="259" w:lineRule="auto"/>
        <w:ind w:left="851" w:right="902"/>
        <w:jc w:val="both"/>
        <w:rPr>
          <w:rFonts w:ascii="Palatino Linotype" w:eastAsiaTheme="minorHAnsi" w:hAnsi="Palatino Linotype" w:cs="Arial"/>
          <w:b/>
          <w:i/>
          <w:sz w:val="22"/>
          <w:szCs w:val="22"/>
          <w:u w:val="single"/>
          <w:lang w:val="es-MX" w:eastAsia="es-MX"/>
        </w:rPr>
      </w:pPr>
      <w:r w:rsidRPr="000677F2">
        <w:rPr>
          <w:rFonts w:ascii="Palatino Linotype" w:eastAsiaTheme="minorHAnsi" w:hAnsi="Palatino Linotype" w:cs="Arial"/>
          <w:b/>
          <w:i/>
          <w:sz w:val="22"/>
          <w:szCs w:val="22"/>
          <w:lang w:val="es-MX" w:eastAsia="es-MX"/>
        </w:rPr>
        <w:t>Para motivar la clasificación</w:t>
      </w:r>
      <w:r w:rsidRPr="000677F2">
        <w:rPr>
          <w:rFonts w:ascii="Palatino Linotype" w:eastAsiaTheme="minorHAnsi" w:hAnsi="Palatino Linotype" w:cs="Arial"/>
          <w:i/>
          <w:sz w:val="22"/>
          <w:szCs w:val="22"/>
          <w:lang w:val="es-MX" w:eastAsia="es-MX"/>
        </w:rPr>
        <w:t xml:space="preserve"> se deberán </w:t>
      </w:r>
      <w:r w:rsidRPr="000677F2">
        <w:rPr>
          <w:rFonts w:ascii="Palatino Linotype" w:eastAsiaTheme="minorHAnsi" w:hAnsi="Palatino Linotype" w:cs="Arial"/>
          <w:b/>
          <w:i/>
          <w:sz w:val="22"/>
          <w:szCs w:val="22"/>
          <w:lang w:val="es-MX" w:eastAsia="es-MX"/>
        </w:rPr>
        <w:t xml:space="preserve">señalar las razones o circunstancias especiales que lo llevaron a concluir que el </w:t>
      </w:r>
      <w:r w:rsidRPr="000677F2">
        <w:rPr>
          <w:rFonts w:ascii="Palatino Linotype" w:eastAsiaTheme="minorHAnsi" w:hAnsi="Palatino Linotype" w:cs="Arial"/>
          <w:b/>
          <w:i/>
          <w:sz w:val="22"/>
          <w:szCs w:val="22"/>
          <w:u w:val="single"/>
          <w:lang w:val="es-MX" w:eastAsia="es-MX"/>
        </w:rPr>
        <w:t>caso particular se ajusta al supuesto previsto por la norma legal invocada como fundamento.</w:t>
      </w:r>
    </w:p>
    <w:p w14:paraId="288A9C74"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14:paraId="68A0CA75"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B83CCCE" w14:textId="77777777" w:rsidR="000677F2" w:rsidRPr="000677F2" w:rsidRDefault="000677F2" w:rsidP="000677F2">
      <w:pPr>
        <w:spacing w:after="160" w:line="259" w:lineRule="auto"/>
        <w:ind w:left="851" w:right="902"/>
        <w:jc w:val="both"/>
        <w:rPr>
          <w:rFonts w:ascii="Palatino Linotype" w:eastAsiaTheme="minorHAnsi" w:hAnsi="Palatino Linotype" w:cs="Arial"/>
          <w:i/>
          <w:sz w:val="22"/>
          <w:szCs w:val="22"/>
          <w:lang w:val="es-MX" w:eastAsia="es-MX"/>
        </w:rPr>
      </w:pPr>
      <w:r w:rsidRPr="000677F2">
        <w:rPr>
          <w:rFonts w:ascii="Palatino Linotype" w:eastAsiaTheme="minorHAnsi" w:hAnsi="Palatino Linotype" w:cs="Arial"/>
          <w:i/>
          <w:sz w:val="22"/>
          <w:szCs w:val="22"/>
          <w:lang w:val="es-MX" w:eastAsia="es-MX"/>
        </w:rPr>
        <w:lastRenderedPageBreak/>
        <w:t>Los documentos contenidos en los archivos históricos y los identificados como históricos confidenciales no serán susceptibles de clasificación como reservados.”</w:t>
      </w:r>
    </w:p>
    <w:p w14:paraId="0A550708" w14:textId="77777777" w:rsidR="000677F2" w:rsidRPr="000677F2" w:rsidRDefault="000677F2" w:rsidP="000677F2">
      <w:pPr>
        <w:spacing w:after="160" w:line="259" w:lineRule="auto"/>
        <w:ind w:right="850"/>
        <w:rPr>
          <w:rFonts w:ascii="Palatino Linotype" w:eastAsiaTheme="minorHAnsi" w:hAnsi="Palatino Linotype" w:cs="Arial"/>
          <w:b/>
          <w:i/>
          <w:color w:val="000000"/>
          <w:sz w:val="22"/>
          <w:szCs w:val="22"/>
          <w:u w:val="single"/>
          <w:lang w:val="es-MX"/>
        </w:rPr>
      </w:pPr>
    </w:p>
    <w:p w14:paraId="7AFB6BAF" w14:textId="77777777" w:rsidR="000677F2" w:rsidRPr="000677F2" w:rsidRDefault="000677F2" w:rsidP="000677F2">
      <w:pPr>
        <w:autoSpaceDE w:val="0"/>
        <w:autoSpaceDN w:val="0"/>
        <w:adjustRightInd w:val="0"/>
        <w:spacing w:line="360" w:lineRule="auto"/>
        <w:jc w:val="both"/>
        <w:rPr>
          <w:rFonts w:ascii="Palatino Linotype" w:hAnsi="Palatino Linotype" w:cs="Arial"/>
        </w:rPr>
      </w:pPr>
      <w:r w:rsidRPr="000677F2">
        <w:rPr>
          <w:rFonts w:ascii="Palatino Linotype" w:hAnsi="Palatino Linotype" w:cs="Arial"/>
        </w:rPr>
        <w:t>De la normatividad transcrita, se desprende que la clasificación de información como reservada debe llevarse a cabo de manera específica para la solicitud de mérito y conforme a un análisis al caso concreto, mediante la aplicación de la prueba de daño;  asimismo, existe obligatoriedad por parte de los Titulares de las áreas para revisar la clasificación al momento de que se presente una nueva solicitud, con la finalidad de verificar si subsisten las causas que dieron origen a la clasificación de que se trate.</w:t>
      </w:r>
    </w:p>
    <w:p w14:paraId="1A5F181B" w14:textId="77777777" w:rsidR="000677F2" w:rsidRPr="000677F2" w:rsidRDefault="000677F2" w:rsidP="000677F2">
      <w:pPr>
        <w:autoSpaceDE w:val="0"/>
        <w:autoSpaceDN w:val="0"/>
        <w:adjustRightInd w:val="0"/>
        <w:spacing w:line="360" w:lineRule="auto"/>
        <w:jc w:val="both"/>
        <w:rPr>
          <w:rFonts w:ascii="Palatino Linotype" w:hAnsi="Palatino Linotype" w:cs="Arial"/>
        </w:rPr>
      </w:pPr>
    </w:p>
    <w:p w14:paraId="4D2C7D47" w14:textId="0596D054" w:rsidR="000677F2" w:rsidRPr="000677F2" w:rsidRDefault="000677F2" w:rsidP="000677F2">
      <w:pPr>
        <w:shd w:val="clear" w:color="auto" w:fill="FFFFFF"/>
        <w:spacing w:line="360" w:lineRule="auto"/>
        <w:jc w:val="both"/>
        <w:rPr>
          <w:rFonts w:ascii="Palatino Linotype" w:hAnsi="Palatino Linotype"/>
        </w:rPr>
      </w:pPr>
      <w:r w:rsidRPr="000677F2">
        <w:rPr>
          <w:rFonts w:ascii="Palatino Linotype" w:hAnsi="Palatino Linotype" w:cs="Arial"/>
        </w:rPr>
        <w:t>Atento a lo anterior, es de precisar que el</w:t>
      </w:r>
      <w:r w:rsidRPr="000677F2">
        <w:rPr>
          <w:rFonts w:ascii="Palatino Linotype" w:hAnsi="Palatino Linotype" w:cs="Arial"/>
          <w:b/>
        </w:rPr>
        <w:t xml:space="preserve"> Sujeto Obligado</w:t>
      </w:r>
      <w:r w:rsidRPr="000677F2">
        <w:rPr>
          <w:rFonts w:ascii="Palatino Linotype" w:hAnsi="Palatino Linotype" w:cs="Arial"/>
        </w:rPr>
        <w:t xml:space="preserve"> remite una resolución, a través de la cual el Comité de Transparencia de</w:t>
      </w:r>
      <w:r w:rsidR="00B326AC">
        <w:rPr>
          <w:rFonts w:ascii="Palatino Linotype" w:hAnsi="Palatino Linotype" w:cs="Arial"/>
        </w:rPr>
        <w:t>l</w:t>
      </w:r>
      <w:r w:rsidRPr="000677F2">
        <w:rPr>
          <w:rFonts w:ascii="Palatino Linotype" w:hAnsi="Palatino Linotype" w:cs="Arial"/>
        </w:rPr>
        <w:t xml:space="preserve"> </w:t>
      </w:r>
      <w:r w:rsidR="00B326AC" w:rsidRPr="00B326AC">
        <w:rPr>
          <w:rFonts w:ascii="Palatino Linotype" w:hAnsi="Palatino Linotype" w:cs="Arial"/>
        </w:rPr>
        <w:t>Ayuntamiento de Atizapán de Zaragoza</w:t>
      </w:r>
      <w:r w:rsidRPr="000677F2">
        <w:rPr>
          <w:rFonts w:ascii="Palatino Linotype" w:hAnsi="Palatino Linotype" w:cs="Arial"/>
        </w:rPr>
        <w:t xml:space="preserve">, clasificó como información reservada </w:t>
      </w:r>
      <w:r w:rsidR="00B326AC">
        <w:rPr>
          <w:rFonts w:ascii="Palatino Linotype" w:hAnsi="Palatino Linotype" w:cs="Arial"/>
        </w:rPr>
        <w:t>los e</w:t>
      </w:r>
      <w:r w:rsidR="00B326AC" w:rsidRPr="00B326AC">
        <w:rPr>
          <w:rFonts w:ascii="Palatino Linotype" w:hAnsi="Palatino Linotype" w:cs="Arial"/>
        </w:rPr>
        <w:t>xpedientes formados con motivo de procedimientos administrativos instaurados en contra de los Titulares del Órgano de Control Interno del año 2018 al 20 de febrero de 2023</w:t>
      </w:r>
      <w:r w:rsidRPr="000677F2">
        <w:rPr>
          <w:rFonts w:ascii="Palatino Linotype" w:hAnsi="Palatino Linotype" w:cs="Arial"/>
        </w:rPr>
        <w:t xml:space="preserve"> por un periodo de </w:t>
      </w:r>
      <w:r w:rsidR="00B326AC">
        <w:rPr>
          <w:rFonts w:ascii="Palatino Linotype" w:hAnsi="Palatino Linotype" w:cs="Arial"/>
        </w:rPr>
        <w:t>cinco</w:t>
      </w:r>
      <w:r w:rsidRPr="000677F2">
        <w:rPr>
          <w:rFonts w:ascii="Palatino Linotype" w:hAnsi="Palatino Linotype" w:cs="Arial"/>
        </w:rPr>
        <w:t xml:space="preserve"> año</w:t>
      </w:r>
      <w:r w:rsidR="00B326AC">
        <w:rPr>
          <w:rFonts w:ascii="Palatino Linotype" w:hAnsi="Palatino Linotype" w:cs="Arial"/>
        </w:rPr>
        <w:t>s</w:t>
      </w:r>
      <w:r w:rsidRPr="000677F2">
        <w:rPr>
          <w:rFonts w:ascii="Palatino Linotype" w:hAnsi="Palatino Linotype" w:cs="Arial"/>
        </w:rPr>
        <w:t xml:space="preserve"> o en tanto no haya quedado firme,</w:t>
      </w:r>
      <w:r w:rsidRPr="000677F2">
        <w:rPr>
          <w:rFonts w:ascii="Palatino Linotype" w:hAnsi="Palatino Linotype" w:cs="Arial"/>
          <w:lang w:val="es-MX" w:eastAsia="es-MX"/>
        </w:rPr>
        <w:t xml:space="preserve"> debidamente fundado y motivado, </w:t>
      </w:r>
      <w:r w:rsidRPr="000677F2">
        <w:rPr>
          <w:rFonts w:ascii="Palatino Linotype" w:hAnsi="Palatino Linotype" w:cs="Arial"/>
          <w:color w:val="000000"/>
        </w:rPr>
        <w:t xml:space="preserve">en términos de lo dispuesto en </w:t>
      </w:r>
      <w:r w:rsidRPr="000677F2">
        <w:rPr>
          <w:rFonts w:ascii="Palatino Linotype" w:hAnsi="Palatino Linotype"/>
        </w:rPr>
        <w:t xml:space="preserve">los anteriormente citados artículos 128 y 129 de la Ley de Trasparencia y Acceso a la Información Pública del Estado de México y Municipios, motivando la referida clasificación al señalar las razones, motivos o circunstancias especiales que llevaron al </w:t>
      </w:r>
      <w:r w:rsidRPr="000677F2">
        <w:rPr>
          <w:rFonts w:ascii="Palatino Linotype" w:hAnsi="Palatino Linotype"/>
          <w:b/>
        </w:rPr>
        <w:t>Sujeto Obligado</w:t>
      </w:r>
      <w:r w:rsidRPr="000677F2">
        <w:rPr>
          <w:rFonts w:ascii="Palatino Linotype" w:hAnsi="Palatino Linotype"/>
        </w:rPr>
        <w:t xml:space="preserve"> a concluir que el caso concreto</w:t>
      </w:r>
      <w:r w:rsidRPr="000677F2">
        <w:rPr>
          <w:rFonts w:ascii="Palatino Linotype" w:hAnsi="Palatino Linotype"/>
          <w:b/>
        </w:rPr>
        <w:t>,</w:t>
      </w:r>
      <w:r w:rsidRPr="000677F2">
        <w:rPr>
          <w:rFonts w:ascii="Palatino Linotype" w:hAnsi="Palatino Linotype"/>
        </w:rPr>
        <w:t xml:space="preserve"> se ajustó a los supuestos previstos en la normatividad legal invocada como fundamento; realizando para tal efecto una prueba de daño, en la que se justificaron las razones, motivos y circunstancias que avalen que la divulgación de la información representa un riesgo real, demostrable e identificable de perjuicio significativo al interés público o a la </w:t>
      </w:r>
      <w:r w:rsidRPr="000677F2">
        <w:rPr>
          <w:rFonts w:ascii="Palatino Linotype" w:hAnsi="Palatino Linotype"/>
        </w:rPr>
        <w:lastRenderedPageBreak/>
        <w:t>seguridad nacional y que el riesgo de perjuicio que supondría la divulgación supera el interés público general de que se difunda, y que la limitación se adecuada al principio de proporcionalidad y representa el medio menos restrictivo disponible para evitar el perjuicio.</w:t>
      </w:r>
    </w:p>
    <w:p w14:paraId="3ECEF2D8" w14:textId="77777777" w:rsidR="000677F2" w:rsidRPr="000677F2" w:rsidRDefault="000677F2" w:rsidP="000677F2">
      <w:pPr>
        <w:spacing w:line="360" w:lineRule="auto"/>
        <w:jc w:val="both"/>
        <w:rPr>
          <w:rFonts w:ascii="Palatino Linotype" w:eastAsiaTheme="minorHAnsi" w:hAnsi="Palatino Linotype" w:cstheme="minorBidi"/>
          <w:lang w:val="es-MX" w:eastAsia="es-MX"/>
        </w:rPr>
      </w:pPr>
    </w:p>
    <w:p w14:paraId="24473172" w14:textId="7CAB2177" w:rsidR="000677F2" w:rsidRPr="000677F2" w:rsidRDefault="000677F2" w:rsidP="000677F2">
      <w:pPr>
        <w:spacing w:line="360" w:lineRule="auto"/>
        <w:jc w:val="both"/>
        <w:rPr>
          <w:rFonts w:ascii="Palatino Linotype" w:eastAsiaTheme="minorHAnsi" w:hAnsi="Palatino Linotype" w:cs="Arial"/>
          <w:lang w:val="es-MX" w:eastAsia="en-US"/>
        </w:rPr>
      </w:pPr>
      <w:r w:rsidRPr="000677F2">
        <w:rPr>
          <w:rFonts w:ascii="Palatino Linotype" w:eastAsiaTheme="minorHAnsi" w:hAnsi="Palatino Linotype" w:cs="Arial"/>
          <w:lang w:val="es-MX" w:eastAsia="en-US"/>
        </w:rPr>
        <w:t xml:space="preserve">Por todo lo anteriormente expuesto, se reitera que </w:t>
      </w:r>
      <w:r w:rsidRPr="000677F2">
        <w:rPr>
          <w:rFonts w:ascii="Palatino Linotype" w:eastAsiaTheme="minorHAnsi" w:hAnsi="Palatino Linotype" w:cs="Arial"/>
          <w:b/>
          <w:lang w:val="es-MX" w:eastAsia="en-US"/>
        </w:rPr>
        <w:t>el Sujeto Obligado</w:t>
      </w:r>
      <w:r w:rsidRPr="000677F2">
        <w:rPr>
          <w:rFonts w:ascii="Palatino Linotype" w:eastAsiaTheme="minorHAnsi" w:hAnsi="Palatino Linotype" w:cs="Arial"/>
          <w:lang w:val="es-MX" w:eastAsia="en-US"/>
        </w:rPr>
        <w:t xml:space="preserve"> expuso las razones objetivas de la prueba de daño estipuladas en el artículo 129 de la Ley referida, las que pueden observarse el </w:t>
      </w:r>
      <w:r w:rsidR="00B326AC" w:rsidRPr="00B326AC">
        <w:rPr>
          <w:rFonts w:ascii="Palatino Linotype" w:eastAsiaTheme="minorHAnsi" w:hAnsi="Palatino Linotype" w:cs="Arial"/>
          <w:lang w:eastAsia="en-US"/>
        </w:rPr>
        <w:t>ACUERDO-02 CT/III-O/27-03-23 de la Tercera Sesión Ordinaria del Comité de Transparencia del H. Ayuntamiento de Atizapán de Zaragoza</w:t>
      </w:r>
      <w:r w:rsidRPr="000677F2">
        <w:rPr>
          <w:rFonts w:ascii="Palatino Linotype" w:eastAsiaTheme="minorHAnsi" w:hAnsi="Palatino Linotype" w:cs="Arial"/>
          <w:lang w:val="es-MX" w:eastAsia="en-US"/>
        </w:rPr>
        <w:t xml:space="preserve"> remitido mediante respuesta primigenia</w:t>
      </w:r>
      <w:r w:rsidR="00B326AC">
        <w:rPr>
          <w:rFonts w:ascii="Palatino Linotype" w:eastAsiaTheme="minorHAnsi" w:hAnsi="Palatino Linotype" w:cs="Arial"/>
          <w:lang w:val="es-MX" w:eastAsia="en-US"/>
        </w:rPr>
        <w:t xml:space="preserve"> e informe justificado</w:t>
      </w:r>
      <w:r w:rsidRPr="000677F2">
        <w:rPr>
          <w:rFonts w:ascii="Palatino Linotype" w:eastAsiaTheme="minorHAnsi" w:hAnsi="Palatino Linotype" w:cs="Arial"/>
          <w:lang w:val="es-MX" w:eastAsia="en-US"/>
        </w:rPr>
        <w:t>, toda vez que este Órgano Garante considera que se trata de un razonamiento lógico debidamente fundamentado y motivado en donde se establece que de no clasificar la información como reservada podrá a fin vulnerar los derechos del debido proceso, toda vez que el resultado de la investigación correspondiente pudiera tener como consecuencia el inicio del procedimiento de responsabilidad administrativa, y si fuera el caso, fincar algún tipo de sanción administrativa a los servidores públicos involucrados.</w:t>
      </w:r>
    </w:p>
    <w:p w14:paraId="78FDD454" w14:textId="77777777" w:rsidR="00B4288A" w:rsidRDefault="00B4288A" w:rsidP="002D7098">
      <w:pPr>
        <w:tabs>
          <w:tab w:val="left" w:pos="709"/>
        </w:tabs>
        <w:spacing w:line="360" w:lineRule="auto"/>
        <w:jc w:val="both"/>
        <w:rPr>
          <w:rFonts w:ascii="Palatino Linotype" w:eastAsiaTheme="minorHAnsi" w:hAnsi="Palatino Linotype" w:cstheme="minorBidi"/>
          <w:lang w:val="es-MX" w:eastAsia="en-US"/>
        </w:rPr>
      </w:pPr>
    </w:p>
    <w:p w14:paraId="72AB5090" w14:textId="2B3F79F7" w:rsidR="002D7098" w:rsidRPr="002D7098" w:rsidRDefault="00B326AC" w:rsidP="002D7098">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Contrario a lo anterior</w:t>
      </w:r>
      <w:r w:rsidR="002D7098" w:rsidRPr="002D7098">
        <w:rPr>
          <w:rFonts w:ascii="Palatino Linotype" w:eastAsiaTheme="minorHAnsi" w:hAnsi="Palatino Linotype" w:cstheme="minorBidi"/>
          <w:lang w:val="es-MX" w:eastAsia="en-US"/>
        </w:rPr>
        <w:t xml:space="preserve">, resulta importante para </w:t>
      </w:r>
      <w:r>
        <w:rPr>
          <w:rFonts w:ascii="Palatino Linotype" w:eastAsiaTheme="minorHAnsi" w:hAnsi="Palatino Linotype" w:cstheme="minorBidi"/>
          <w:lang w:val="es-MX" w:eastAsia="en-US"/>
        </w:rPr>
        <w:t xml:space="preserve">este Órgano </w:t>
      </w:r>
      <w:proofErr w:type="spellStart"/>
      <w:r>
        <w:rPr>
          <w:rFonts w:ascii="Palatino Linotype" w:eastAsiaTheme="minorHAnsi" w:hAnsi="Palatino Linotype" w:cstheme="minorBidi"/>
          <w:lang w:val="es-MX" w:eastAsia="en-US"/>
        </w:rPr>
        <w:t>Resolutor</w:t>
      </w:r>
      <w:proofErr w:type="spellEnd"/>
      <w:r w:rsidR="002D7098" w:rsidRPr="002D7098">
        <w:rPr>
          <w:rFonts w:ascii="Palatino Linotype" w:eastAsiaTheme="minorHAnsi" w:hAnsi="Palatino Linotype" w:cstheme="minorBidi"/>
          <w:lang w:val="es-MX" w:eastAsia="en-US"/>
        </w:rPr>
        <w:t xml:space="preserve"> señalar que </w:t>
      </w:r>
      <w:r w:rsidRPr="00B326AC">
        <w:rPr>
          <w:rFonts w:ascii="Palatino Linotype" w:eastAsiaTheme="minorHAnsi" w:hAnsi="Palatino Linotype" w:cstheme="minorBidi"/>
          <w:b/>
          <w:bCs/>
          <w:u w:val="single"/>
          <w:lang w:val="es-MX" w:eastAsia="en-US"/>
        </w:rPr>
        <w:t>omitió pronunciarse respecto de la existencia</w:t>
      </w:r>
      <w:r>
        <w:rPr>
          <w:rFonts w:ascii="Palatino Linotype" w:eastAsiaTheme="minorHAnsi" w:hAnsi="Palatino Linotype" w:cstheme="minorBidi"/>
          <w:b/>
          <w:bCs/>
          <w:u w:val="single"/>
          <w:lang w:val="es-MX" w:eastAsia="en-US"/>
        </w:rPr>
        <w:t xml:space="preserve"> o inexistencia</w:t>
      </w:r>
      <w:r w:rsidRPr="00B326AC">
        <w:rPr>
          <w:rFonts w:ascii="Palatino Linotype" w:eastAsiaTheme="minorHAnsi" w:hAnsi="Palatino Linotype" w:cstheme="minorBidi"/>
          <w:b/>
          <w:bCs/>
          <w:u w:val="single"/>
          <w:lang w:val="es-MX" w:eastAsia="en-US"/>
        </w:rPr>
        <w:t xml:space="preserve"> de aquellos</w:t>
      </w:r>
      <w:r>
        <w:rPr>
          <w:rFonts w:ascii="Palatino Linotype" w:eastAsiaTheme="minorHAnsi" w:hAnsi="Palatino Linotype" w:cstheme="minorBidi"/>
          <w:b/>
          <w:bCs/>
          <w:u w:val="single"/>
          <w:lang w:val="es-MX" w:eastAsia="en-US"/>
        </w:rPr>
        <w:t xml:space="preserve"> procedimientos</w:t>
      </w:r>
      <w:r w:rsidRPr="00B326AC">
        <w:rPr>
          <w:rFonts w:ascii="Palatino Linotype" w:eastAsiaTheme="minorHAnsi" w:hAnsi="Palatino Linotype" w:cstheme="minorBidi"/>
          <w:b/>
          <w:bCs/>
          <w:u w:val="single"/>
          <w:lang w:val="es-MX" w:eastAsia="en-US"/>
        </w:rPr>
        <w:t xml:space="preserve"> que se encuentran en trámite y que se relacionen con actos de corrupción, delitos de lesa humanidad o posibles violaciones graves a derechos humanos</w:t>
      </w:r>
      <w:r w:rsidRPr="00B326AC">
        <w:rPr>
          <w:rFonts w:ascii="Palatino Linotype" w:eastAsiaTheme="minorHAnsi" w:hAnsi="Palatino Linotype" w:cstheme="minorBidi"/>
          <w:lang w:val="es-MX" w:eastAsia="en-US"/>
        </w:rPr>
        <w:t>, por tal motivo, no colma el derecho de acceso a la información del Recurrente</w:t>
      </w:r>
      <w:r w:rsidR="002D7098" w:rsidRPr="002D7098">
        <w:rPr>
          <w:rFonts w:ascii="Palatino Linotype" w:eastAsiaTheme="minorHAnsi" w:hAnsi="Palatino Linotype" w:cstheme="minorBidi"/>
          <w:lang w:val="es-MX" w:eastAsia="en-US"/>
        </w:rPr>
        <w:t xml:space="preserve">, </w:t>
      </w:r>
      <w:r>
        <w:rPr>
          <w:rFonts w:ascii="Palatino Linotype" w:eastAsiaTheme="minorHAnsi" w:hAnsi="Palatino Linotype" w:cstheme="minorBidi"/>
          <w:lang w:val="es-MX" w:eastAsia="en-US"/>
        </w:rPr>
        <w:t xml:space="preserve">ante ello, </w:t>
      </w:r>
      <w:r w:rsidR="002D7098" w:rsidRPr="002D7098">
        <w:rPr>
          <w:rFonts w:ascii="Palatino Linotype" w:eastAsiaTheme="minorHAnsi" w:hAnsi="Palatino Linotype" w:cstheme="minorBidi"/>
          <w:lang w:val="es-MX" w:eastAsia="en-US"/>
        </w:rPr>
        <w:t>resulta necesario realizar las siguientes precisiones respecto al origen y estado en el que pueda</w:t>
      </w:r>
      <w:r w:rsidR="00E3263B">
        <w:rPr>
          <w:rFonts w:ascii="Palatino Linotype" w:eastAsiaTheme="minorHAnsi" w:hAnsi="Palatino Linotype" w:cstheme="minorBidi"/>
          <w:lang w:val="es-MX" w:eastAsia="en-US"/>
        </w:rPr>
        <w:t>n</w:t>
      </w:r>
      <w:r w:rsidR="002D7098" w:rsidRPr="002D7098">
        <w:rPr>
          <w:rFonts w:ascii="Palatino Linotype" w:eastAsiaTheme="minorHAnsi" w:hAnsi="Palatino Linotype" w:cstheme="minorBidi"/>
          <w:lang w:val="es-MX" w:eastAsia="en-US"/>
        </w:rPr>
        <w:t xml:space="preserve"> encontrarse </w:t>
      </w:r>
      <w:r w:rsidR="00E3263B">
        <w:rPr>
          <w:rFonts w:ascii="Palatino Linotype" w:eastAsiaTheme="minorHAnsi" w:hAnsi="Palatino Linotype" w:cstheme="minorBidi"/>
          <w:lang w:val="es-MX" w:eastAsia="en-US"/>
        </w:rPr>
        <w:t>los</w:t>
      </w:r>
      <w:r w:rsidR="002D7098" w:rsidRPr="002D7098">
        <w:rPr>
          <w:rFonts w:ascii="Palatino Linotype" w:eastAsiaTheme="minorHAnsi" w:hAnsi="Palatino Linotype" w:cstheme="minorBidi"/>
          <w:lang w:val="es-MX" w:eastAsia="en-US"/>
        </w:rPr>
        <w:t xml:space="preserve"> procedimientos de responsabilidad </w:t>
      </w:r>
      <w:r w:rsidR="002D7098" w:rsidRPr="002D7098">
        <w:rPr>
          <w:rFonts w:ascii="Palatino Linotype" w:eastAsiaTheme="minorHAnsi" w:hAnsi="Palatino Linotype" w:cstheme="minorBidi"/>
          <w:lang w:val="es-MX" w:eastAsia="en-US"/>
        </w:rPr>
        <w:lastRenderedPageBreak/>
        <w:t>administrativa de referencia, por lo que se deberá tomar en cuenta las siguientes consideración para el cumplimiento de la presente resolución.</w:t>
      </w:r>
    </w:p>
    <w:p w14:paraId="313E95CB"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49055726"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r w:rsidRPr="002D7098">
        <w:rPr>
          <w:rFonts w:ascii="Palatino Linotype" w:eastAsiaTheme="minorHAnsi" w:hAnsi="Palatino Linotype" w:cstheme="minorBidi"/>
          <w:lang w:val="es-MX" w:eastAsia="en-US"/>
        </w:rPr>
        <w:t xml:space="preserve"> Con fundamento en los artículos 113 fracción IX de la Ley General Transparencia y Acceso a la Información Pública, Vigésimo Octavo de los Lineamientos Generales en Materia de Clasificación y Desclasificación de la Información y 140 fracción IV y VIII de la Ley de Transparencia y Acceso a la Información Pública del Estado de México y Municipios, el cual prevé como algunos de los criterios de reserva de la información cuando: se obstruya los procedimientos para fincar responsabilidad a los servidores públicos, en tanto no se haya dictado la resolución administrativa correspondiente; cuando afecte o vulnere la conducción o los derechos del debido proceso en los procedimientos administrativos, incluidos los de quejas, denuncias, inconformidades, responsabilidades administrativas y resarcitorias en tanto no hayan quedado firmes o afecte la administración de justicia o la seguridad de un denunciante, querellante o testigo, así como sus familias; se vulnere la conducción de los procedimientos administrativos seguidos en forma de juicio, en tanto no hayan quedado firmes, disposiciones legales que son del tenor literal siguiente:</w:t>
      </w:r>
    </w:p>
    <w:p w14:paraId="6CED34CE"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630FA12B" w14:textId="77777777" w:rsidR="002D7098" w:rsidRPr="002D7098" w:rsidRDefault="002D7098" w:rsidP="002D7098">
      <w:pPr>
        <w:tabs>
          <w:tab w:val="left" w:pos="709"/>
        </w:tabs>
        <w:jc w:val="center"/>
        <w:rPr>
          <w:rFonts w:ascii="Palatino Linotype" w:eastAsiaTheme="minorHAnsi" w:hAnsi="Palatino Linotype" w:cstheme="minorBidi"/>
          <w:b/>
          <w:i/>
          <w:sz w:val="22"/>
          <w:lang w:val="es-MX" w:eastAsia="en-US"/>
        </w:rPr>
      </w:pPr>
      <w:r w:rsidRPr="002D7098">
        <w:rPr>
          <w:rFonts w:ascii="Palatino Linotype" w:eastAsiaTheme="minorHAnsi" w:hAnsi="Palatino Linotype" w:cstheme="minorBidi"/>
          <w:b/>
          <w:i/>
          <w:sz w:val="22"/>
          <w:lang w:val="es-MX" w:eastAsia="en-US"/>
        </w:rPr>
        <w:t>Ley General Transparencia y Acceso a la Información Pública</w:t>
      </w:r>
    </w:p>
    <w:p w14:paraId="69A6E2D5" w14:textId="77777777" w:rsidR="002D7098" w:rsidRPr="002D7098" w:rsidRDefault="002D7098" w:rsidP="002D7098">
      <w:pPr>
        <w:tabs>
          <w:tab w:val="left" w:pos="709"/>
        </w:tabs>
        <w:jc w:val="center"/>
        <w:rPr>
          <w:rFonts w:ascii="Palatino Linotype" w:eastAsiaTheme="minorHAnsi" w:hAnsi="Palatino Linotype" w:cstheme="minorBidi"/>
          <w:b/>
          <w:i/>
          <w:sz w:val="22"/>
          <w:lang w:val="es-MX" w:eastAsia="en-US"/>
        </w:rPr>
      </w:pPr>
    </w:p>
    <w:p w14:paraId="4258FB04"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Artículo 113.</w:t>
      </w:r>
      <w:r w:rsidRPr="002D7098">
        <w:rPr>
          <w:rFonts w:ascii="Palatino Linotype" w:eastAsiaTheme="minorHAnsi" w:hAnsi="Palatino Linotype" w:cstheme="minorBidi"/>
          <w:i/>
          <w:sz w:val="22"/>
          <w:szCs w:val="22"/>
          <w:lang w:val="es-MX" w:eastAsia="en-US"/>
        </w:rPr>
        <w:t xml:space="preserve"> Como información reservada podrá clasificarse aquella cuya publicación:</w:t>
      </w:r>
    </w:p>
    <w:p w14:paraId="6AA2A909"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w:t>
      </w:r>
    </w:p>
    <w:p w14:paraId="7D3B9D46"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IX.</w:t>
      </w:r>
      <w:r w:rsidRPr="002D7098">
        <w:rPr>
          <w:rFonts w:ascii="Palatino Linotype" w:eastAsiaTheme="minorHAnsi" w:hAnsi="Palatino Linotype" w:cstheme="minorBidi"/>
          <w:i/>
          <w:sz w:val="22"/>
          <w:szCs w:val="22"/>
          <w:lang w:val="es-MX" w:eastAsia="en-US"/>
        </w:rPr>
        <w:t xml:space="preserve"> Obstruya los procedimientos para fincar responsabilidad a los Servidores Públicos, en tanto no se haya dictado la resolución administrativa;</w:t>
      </w:r>
    </w:p>
    <w:p w14:paraId="730D92EB" w14:textId="77777777" w:rsidR="002D7098" w:rsidRPr="002D7098" w:rsidRDefault="002D7098" w:rsidP="002D7098">
      <w:pPr>
        <w:tabs>
          <w:tab w:val="left" w:pos="709"/>
        </w:tabs>
        <w:ind w:left="567" w:right="567"/>
        <w:jc w:val="center"/>
        <w:rPr>
          <w:rFonts w:ascii="Palatino Linotype" w:eastAsiaTheme="minorHAnsi" w:hAnsi="Palatino Linotype" w:cstheme="minorBidi"/>
          <w:b/>
          <w:i/>
          <w:sz w:val="28"/>
          <w:szCs w:val="22"/>
          <w:lang w:val="es-MX" w:eastAsia="en-US"/>
        </w:rPr>
      </w:pPr>
    </w:p>
    <w:p w14:paraId="6ACA3163" w14:textId="77777777" w:rsidR="002D7098" w:rsidRPr="002D7098" w:rsidRDefault="002D7098" w:rsidP="002D7098">
      <w:pPr>
        <w:tabs>
          <w:tab w:val="left" w:pos="709"/>
        </w:tabs>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Vigésimo Octavo de los Lineamientos Generales en Materia de Clasificación y Desclasificación de la Información</w:t>
      </w:r>
    </w:p>
    <w:p w14:paraId="69D59215" w14:textId="77777777" w:rsidR="002D7098" w:rsidRPr="002D7098" w:rsidRDefault="002D7098" w:rsidP="002D7098">
      <w:pPr>
        <w:tabs>
          <w:tab w:val="left" w:pos="709"/>
        </w:tabs>
        <w:ind w:left="567" w:right="567"/>
        <w:jc w:val="both"/>
        <w:rPr>
          <w:rFonts w:ascii="Palatino Linotype" w:eastAsiaTheme="minorHAnsi" w:hAnsi="Palatino Linotype" w:cstheme="minorBidi"/>
          <w:sz w:val="22"/>
          <w:szCs w:val="22"/>
          <w:lang w:val="es-MX" w:eastAsia="en-US"/>
        </w:rPr>
      </w:pPr>
    </w:p>
    <w:p w14:paraId="415217DB"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Vigésimo octavo.</w:t>
      </w:r>
      <w:r w:rsidRPr="002D7098">
        <w:rPr>
          <w:rFonts w:ascii="Palatino Linotype" w:eastAsiaTheme="minorHAnsi" w:hAnsi="Palatino Linotype" w:cstheme="minorBidi"/>
          <w:i/>
          <w:sz w:val="22"/>
          <w:szCs w:val="22"/>
          <w:lang w:val="es-MX" w:eastAsia="en-US"/>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0569F970"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I.</w:t>
      </w:r>
      <w:r w:rsidRPr="002D7098">
        <w:rPr>
          <w:rFonts w:ascii="Palatino Linotype" w:eastAsiaTheme="minorHAnsi" w:hAnsi="Palatino Linotype" w:cstheme="minorBidi"/>
          <w:i/>
          <w:sz w:val="22"/>
          <w:szCs w:val="22"/>
          <w:lang w:val="es-MX" w:eastAsia="en-US"/>
        </w:rPr>
        <w:t xml:space="preserve">        La existencia de un procedimiento de responsabilidad administrativa en trámite, y</w:t>
      </w:r>
    </w:p>
    <w:p w14:paraId="4D92FF19"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II.</w:t>
      </w:r>
      <w:r w:rsidRPr="002D7098">
        <w:rPr>
          <w:rFonts w:ascii="Palatino Linotype" w:eastAsiaTheme="minorHAnsi" w:hAnsi="Palatino Linotype" w:cstheme="minorBidi"/>
          <w:i/>
          <w:sz w:val="22"/>
          <w:szCs w:val="22"/>
          <w:lang w:val="es-MX" w:eastAsia="en-US"/>
        </w:rPr>
        <w:t xml:space="preserve">       Que la información se refiera a actuaciones, diligencias y constancias propias del procedimiento de responsabilidad.</w:t>
      </w:r>
    </w:p>
    <w:p w14:paraId="1B5151E1"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8"/>
          <w:szCs w:val="22"/>
          <w:lang w:val="es-MX" w:eastAsia="en-US"/>
        </w:rPr>
      </w:pPr>
    </w:p>
    <w:p w14:paraId="19BED884" w14:textId="77777777" w:rsidR="002D7098" w:rsidRPr="002D7098" w:rsidRDefault="002D7098" w:rsidP="002D7098">
      <w:pPr>
        <w:tabs>
          <w:tab w:val="left" w:pos="709"/>
        </w:tabs>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sz w:val="22"/>
          <w:szCs w:val="22"/>
          <w:lang w:val="es-MX" w:eastAsia="en-US"/>
        </w:rPr>
        <w:t>Ley de Transparencia y Acceso a la Información Pública del Estado de México y Municipios</w:t>
      </w:r>
    </w:p>
    <w:p w14:paraId="49850722" w14:textId="77777777" w:rsidR="002D7098" w:rsidRPr="002D7098" w:rsidRDefault="002D7098" w:rsidP="002D7098">
      <w:pPr>
        <w:tabs>
          <w:tab w:val="left" w:pos="709"/>
        </w:tabs>
        <w:ind w:left="567" w:right="567"/>
        <w:jc w:val="both"/>
        <w:rPr>
          <w:rFonts w:asciiTheme="minorHAnsi" w:eastAsiaTheme="minorHAnsi" w:hAnsiTheme="minorHAnsi" w:cstheme="minorBidi"/>
          <w:sz w:val="22"/>
          <w:szCs w:val="22"/>
          <w:lang w:val="es-MX" w:eastAsia="en-US"/>
        </w:rPr>
      </w:pPr>
    </w:p>
    <w:p w14:paraId="0F6F92A0"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Artículo 140.</w:t>
      </w:r>
      <w:r w:rsidRPr="002D7098">
        <w:rPr>
          <w:rFonts w:ascii="Palatino Linotype" w:eastAsiaTheme="minorHAnsi" w:hAnsi="Palatino Linotype" w:cstheme="minorBidi"/>
          <w:i/>
          <w:sz w:val="22"/>
          <w:szCs w:val="22"/>
          <w:lang w:val="es-MX" w:eastAsia="en-US"/>
        </w:rPr>
        <w:t xml:space="preserve"> El acceso a la información pública será restringido excepcionalmente, cuando por razones de interés público, ésta sea clasificada como reservada, conforme a los criterios siguientes:</w:t>
      </w:r>
    </w:p>
    <w:p w14:paraId="4658AD7C"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w:t>
      </w:r>
    </w:p>
    <w:p w14:paraId="53045213"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p>
    <w:p w14:paraId="67CD8F8C"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IV.</w:t>
      </w:r>
      <w:r w:rsidRPr="002D7098">
        <w:rPr>
          <w:rFonts w:ascii="Palatino Linotype" w:eastAsiaTheme="minorHAnsi" w:hAnsi="Palatino Linotype" w:cstheme="minorBidi"/>
          <w:i/>
          <w:sz w:val="22"/>
          <w:szCs w:val="22"/>
          <w:lang w:val="es-MX" w:eastAsia="en-US"/>
        </w:rPr>
        <w:t xml:space="preserve"> Ponga en riesgo la vida, la seguridad o la salud de una persona física;</w:t>
      </w:r>
    </w:p>
    <w:p w14:paraId="5408D63C"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w:t>
      </w:r>
    </w:p>
    <w:p w14:paraId="720F969B" w14:textId="77777777" w:rsidR="002D7098" w:rsidRPr="002D7098" w:rsidRDefault="002D7098" w:rsidP="002D7098">
      <w:pPr>
        <w:tabs>
          <w:tab w:val="left" w:pos="709"/>
        </w:tabs>
        <w:ind w:left="567" w:right="567"/>
        <w:jc w:val="both"/>
        <w:rPr>
          <w:rFonts w:ascii="Palatino Linotype" w:eastAsiaTheme="minorHAnsi" w:hAnsi="Palatino Linotype" w:cstheme="minorBidi"/>
          <w:sz w:val="32"/>
          <w:lang w:val="es-MX" w:eastAsia="en-US"/>
        </w:rPr>
      </w:pPr>
      <w:r w:rsidRPr="002D7098">
        <w:rPr>
          <w:rFonts w:ascii="Palatino Linotype" w:eastAsiaTheme="minorHAnsi" w:hAnsi="Palatino Linotype" w:cstheme="minorBidi"/>
          <w:b/>
          <w:i/>
          <w:sz w:val="22"/>
          <w:szCs w:val="22"/>
          <w:lang w:val="es-MX" w:eastAsia="en-US"/>
        </w:rPr>
        <w:t>VIII.</w:t>
      </w:r>
      <w:r w:rsidRPr="002D7098">
        <w:rPr>
          <w:rFonts w:ascii="Palatino Linotype" w:eastAsiaTheme="minorHAnsi" w:hAnsi="Palatino Linotype" w:cstheme="minorBidi"/>
          <w:i/>
          <w:sz w:val="22"/>
          <w:szCs w:val="22"/>
          <w:lang w:val="es-MX" w:eastAsia="en-US"/>
        </w:rPr>
        <w:t xml:space="preserve"> Vulnere la conducción de los expedientes judiciales o de los procedimientos administrativos seguidos en forma de juicio, en tanto no hayan quedado firmes;</w:t>
      </w:r>
      <w:r w:rsidRPr="002D7098">
        <w:rPr>
          <w:rFonts w:ascii="Palatino Linotype" w:eastAsiaTheme="minorHAnsi" w:hAnsi="Palatino Linotype" w:cstheme="minorBidi"/>
          <w:i/>
          <w:sz w:val="22"/>
          <w:szCs w:val="22"/>
          <w:lang w:val="es-MX" w:eastAsia="en-US"/>
        </w:rPr>
        <w:cr/>
      </w:r>
    </w:p>
    <w:p w14:paraId="5B11BE34" w14:textId="2F080EB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r w:rsidRPr="002D7098">
        <w:rPr>
          <w:rFonts w:ascii="Palatino Linotype" w:eastAsiaTheme="minorHAnsi" w:hAnsi="Palatino Linotype" w:cstheme="minorBidi"/>
          <w:lang w:val="es-MX" w:eastAsia="en-US"/>
        </w:rPr>
        <w:t>En tal contexto, en el presente asunto la información requerida</w:t>
      </w:r>
      <w:r w:rsidR="002C3329">
        <w:rPr>
          <w:rFonts w:ascii="Palatino Linotype" w:eastAsiaTheme="minorHAnsi" w:hAnsi="Palatino Linotype" w:cstheme="minorBidi"/>
          <w:lang w:val="es-MX" w:eastAsia="en-US"/>
        </w:rPr>
        <w:t xml:space="preserve"> correspondiente a</w:t>
      </w:r>
      <w:r w:rsidRPr="002D7098">
        <w:rPr>
          <w:rFonts w:ascii="Palatino Linotype" w:eastAsiaTheme="minorHAnsi" w:hAnsi="Palatino Linotype" w:cstheme="minorBidi"/>
          <w:lang w:val="es-MX" w:eastAsia="en-US"/>
        </w:rPr>
        <w:t xml:space="preserve"> </w:t>
      </w:r>
      <w:r w:rsidR="007C0955" w:rsidRPr="007C0955">
        <w:rPr>
          <w:rFonts w:ascii="Palatino Linotype" w:eastAsiaTheme="minorHAnsi" w:hAnsi="Palatino Linotype" w:cstheme="minorBidi"/>
          <w:lang w:val="es-MX" w:eastAsia="en-US"/>
        </w:rPr>
        <w:t>los expedientes</w:t>
      </w:r>
      <w:r w:rsidR="00B326AC" w:rsidRPr="00B326AC">
        <w:rPr>
          <w:rFonts w:ascii="Palatino Linotype" w:eastAsiaTheme="minorHAnsi" w:hAnsi="Palatino Linotype" w:cstheme="minorBidi"/>
          <w:lang w:val="es-MX" w:eastAsia="en-US"/>
        </w:rPr>
        <w:t xml:space="preserve"> formados con motivo de procedimientos administrativos instaurados en contra de los Titulares del Órgano de Control Interno del año 2018 al 20 de febrero de 2023</w:t>
      </w:r>
      <w:r w:rsidRPr="002D7098">
        <w:rPr>
          <w:rFonts w:ascii="Palatino Linotype" w:eastAsiaTheme="minorHAnsi" w:hAnsi="Palatino Linotype" w:cs="Arial"/>
          <w:b/>
          <w:szCs w:val="22"/>
          <w:lang w:val="es-MX" w:eastAsia="en-US"/>
        </w:rPr>
        <w:t>,</w:t>
      </w:r>
      <w:r w:rsidRPr="002D7098">
        <w:rPr>
          <w:rFonts w:ascii="Palatino Linotype" w:eastAsiaTheme="minorHAnsi" w:hAnsi="Palatino Linotype" w:cstheme="minorBidi"/>
          <w:lang w:val="es-MX" w:eastAsia="en-US"/>
        </w:rPr>
        <w:t xml:space="preserve"> colma los extremos establecidos en los preceptos de referencia toda vez que se trata de</w:t>
      </w:r>
      <w:r w:rsidR="006A6797">
        <w:rPr>
          <w:rFonts w:ascii="Palatino Linotype" w:eastAsiaTheme="minorHAnsi" w:hAnsi="Palatino Linotype" w:cstheme="minorBidi"/>
          <w:lang w:val="es-MX" w:eastAsia="en-US"/>
        </w:rPr>
        <w:t xml:space="preserve"> documentos inmersos en expedientes formados con motivo de</w:t>
      </w:r>
      <w:r w:rsidRPr="002D7098">
        <w:rPr>
          <w:rFonts w:ascii="Palatino Linotype" w:eastAsiaTheme="minorHAnsi" w:hAnsi="Palatino Linotype" w:cstheme="minorBidi"/>
          <w:lang w:val="es-MX" w:eastAsia="en-US"/>
        </w:rPr>
        <w:t xml:space="preserve"> procedimiento</w:t>
      </w:r>
      <w:r w:rsidR="006A6797">
        <w:rPr>
          <w:rFonts w:ascii="Palatino Linotype" w:eastAsiaTheme="minorHAnsi" w:hAnsi="Palatino Linotype" w:cstheme="minorBidi"/>
          <w:lang w:val="es-MX" w:eastAsia="en-US"/>
        </w:rPr>
        <w:t>s</w:t>
      </w:r>
      <w:r w:rsidRPr="002D7098">
        <w:rPr>
          <w:rFonts w:ascii="Palatino Linotype" w:eastAsiaTheme="minorHAnsi" w:hAnsi="Palatino Linotype" w:cstheme="minorBidi"/>
          <w:lang w:val="es-MX" w:eastAsia="en-US"/>
        </w:rPr>
        <w:t xml:space="preserve"> de responsabilidad administrativa</w:t>
      </w:r>
      <w:r w:rsidR="006A6797">
        <w:rPr>
          <w:rFonts w:ascii="Palatino Linotype" w:eastAsiaTheme="minorHAnsi" w:hAnsi="Palatino Linotype" w:cstheme="minorBidi"/>
          <w:lang w:val="es-MX" w:eastAsia="en-US"/>
        </w:rPr>
        <w:t>,</w:t>
      </w:r>
      <w:r w:rsidRPr="002D7098">
        <w:rPr>
          <w:rFonts w:ascii="Palatino Linotype" w:eastAsiaTheme="minorHAnsi" w:hAnsi="Palatino Linotype" w:cstheme="minorBidi"/>
          <w:lang w:val="es-MX" w:eastAsia="en-US"/>
        </w:rPr>
        <w:t xml:space="preserve"> </w:t>
      </w:r>
      <w:r w:rsidR="006A6797">
        <w:rPr>
          <w:rFonts w:ascii="Palatino Linotype" w:eastAsiaTheme="minorHAnsi" w:hAnsi="Palatino Linotype" w:cstheme="minorBidi"/>
          <w:lang w:val="es-MX" w:eastAsia="en-US"/>
        </w:rPr>
        <w:t>los</w:t>
      </w:r>
      <w:r w:rsidRPr="002D7098">
        <w:rPr>
          <w:rFonts w:ascii="Palatino Linotype" w:eastAsiaTheme="minorHAnsi" w:hAnsi="Palatino Linotype" w:cstheme="minorBidi"/>
          <w:lang w:val="es-MX" w:eastAsia="en-US"/>
        </w:rPr>
        <w:t xml:space="preserve"> cual</w:t>
      </w:r>
      <w:r w:rsidR="006A6797">
        <w:rPr>
          <w:rFonts w:ascii="Palatino Linotype" w:eastAsiaTheme="minorHAnsi" w:hAnsi="Palatino Linotype" w:cstheme="minorBidi"/>
          <w:lang w:val="es-MX" w:eastAsia="en-US"/>
        </w:rPr>
        <w:t>es</w:t>
      </w:r>
      <w:r w:rsidRPr="002D7098">
        <w:rPr>
          <w:rFonts w:ascii="Palatino Linotype" w:eastAsiaTheme="minorHAnsi" w:hAnsi="Palatino Linotype" w:cstheme="minorBidi"/>
          <w:lang w:val="es-MX" w:eastAsia="en-US"/>
        </w:rPr>
        <w:t xml:space="preserve"> se encuentra</w:t>
      </w:r>
      <w:r w:rsidR="006A6797">
        <w:rPr>
          <w:rFonts w:ascii="Palatino Linotype" w:eastAsiaTheme="minorHAnsi" w:hAnsi="Palatino Linotype" w:cstheme="minorBidi"/>
          <w:lang w:val="es-MX" w:eastAsia="en-US"/>
        </w:rPr>
        <w:t>n</w:t>
      </w:r>
      <w:r w:rsidRPr="002D7098">
        <w:rPr>
          <w:rFonts w:ascii="Palatino Linotype" w:eastAsiaTheme="minorHAnsi" w:hAnsi="Palatino Linotype" w:cstheme="minorBidi"/>
          <w:lang w:val="es-MX" w:eastAsia="en-US"/>
        </w:rPr>
        <w:t xml:space="preserve"> previsto</w:t>
      </w:r>
      <w:r w:rsidR="006A6797">
        <w:rPr>
          <w:rFonts w:ascii="Palatino Linotype" w:eastAsiaTheme="minorHAnsi" w:hAnsi="Palatino Linotype" w:cstheme="minorBidi"/>
          <w:lang w:val="es-MX" w:eastAsia="en-US"/>
        </w:rPr>
        <w:t>s</w:t>
      </w:r>
      <w:r w:rsidRPr="002D7098">
        <w:rPr>
          <w:rFonts w:ascii="Palatino Linotype" w:eastAsiaTheme="minorHAnsi" w:hAnsi="Palatino Linotype" w:cstheme="minorBidi"/>
          <w:lang w:val="es-MX" w:eastAsia="en-US"/>
        </w:rPr>
        <w:t xml:space="preserve"> en la Ley de Responsabilidades Administrativas del Estado de México, y la cual tiene su naturaleza en el derecho administrativo, entendiéndose desde el inicio de la investigación correspondiente y hasta antes del dictado de la resolución del procedimiento, en tal </w:t>
      </w:r>
      <w:r w:rsidRPr="002D7098">
        <w:rPr>
          <w:rFonts w:ascii="Palatino Linotype" w:eastAsiaTheme="minorHAnsi" w:hAnsi="Palatino Linotype" w:cstheme="minorBidi"/>
          <w:lang w:val="es-MX" w:eastAsia="en-US"/>
        </w:rPr>
        <w:lastRenderedPageBreak/>
        <w:t xml:space="preserve">contexto </w:t>
      </w:r>
      <w:r w:rsidRPr="002D7098">
        <w:rPr>
          <w:rFonts w:ascii="Palatino Linotype" w:eastAsiaTheme="minorHAnsi" w:hAnsi="Palatino Linotype" w:cstheme="minorBidi"/>
          <w:b/>
          <w:lang w:val="es-MX" w:eastAsia="en-US"/>
        </w:rPr>
        <w:t xml:space="preserve">si el expediente que contiene el procedimiento de responsabilidad administrativa actualiza la hipótesis normativa señalada anteriormente debe ser considerado como información reservada, </w:t>
      </w:r>
      <w:r w:rsidRPr="002D7098">
        <w:rPr>
          <w:rFonts w:ascii="Palatino Linotype" w:eastAsiaTheme="minorHAnsi" w:hAnsi="Palatino Linotype" w:cstheme="minorBidi"/>
          <w:lang w:val="es-MX" w:eastAsia="en-US"/>
        </w:rPr>
        <w:t xml:space="preserve">previa cumplimiento de todas y cada una de las formalidades establecidas para su clasificación, </w:t>
      </w:r>
      <w:r w:rsidRPr="002D7098">
        <w:rPr>
          <w:rFonts w:ascii="Palatino Linotype" w:eastAsiaTheme="minorHAnsi" w:hAnsi="Palatino Linotype" w:cstheme="minorBidi"/>
          <w:b/>
          <w:lang w:val="es-MX" w:eastAsia="en-US"/>
        </w:rPr>
        <w:t xml:space="preserve">lo anterior resulta aplicable tanto a las investigaciones o procedimientos de responsabilidad administrativa originado por faltas administrativas no graves y las graves </w:t>
      </w:r>
      <w:r w:rsidRPr="002D7098">
        <w:rPr>
          <w:rFonts w:ascii="Palatino Linotype" w:eastAsiaTheme="minorHAnsi" w:hAnsi="Palatino Linotype" w:cs="Arial"/>
          <w:szCs w:val="22"/>
          <w:lang w:val="es-MX" w:eastAsia="en-US"/>
        </w:rPr>
        <w:t>siempre que se encuentre en trámite.</w:t>
      </w:r>
      <w:r w:rsidRPr="002D7098">
        <w:rPr>
          <w:rFonts w:ascii="Palatino Linotype" w:eastAsiaTheme="minorHAnsi" w:hAnsi="Palatino Linotype" w:cstheme="minorBidi"/>
          <w:lang w:val="es-MX" w:eastAsia="en-US"/>
        </w:rPr>
        <w:t xml:space="preserve"> </w:t>
      </w:r>
    </w:p>
    <w:p w14:paraId="52BAC182" w14:textId="77777777" w:rsidR="002D7098" w:rsidRPr="002D7098" w:rsidRDefault="002D7098" w:rsidP="002D7098">
      <w:pPr>
        <w:tabs>
          <w:tab w:val="left" w:pos="709"/>
        </w:tabs>
        <w:spacing w:line="360" w:lineRule="auto"/>
        <w:jc w:val="both"/>
        <w:rPr>
          <w:rFonts w:ascii="Palatino Linotype" w:eastAsiaTheme="minorHAnsi" w:hAnsi="Palatino Linotype" w:cstheme="minorBidi"/>
          <w:b/>
          <w:lang w:val="es-MX" w:eastAsia="en-US"/>
        </w:rPr>
      </w:pPr>
    </w:p>
    <w:p w14:paraId="619E724A" w14:textId="5021F092" w:rsidR="002D7098" w:rsidRPr="002D7098" w:rsidRDefault="002D7098" w:rsidP="002D7098">
      <w:pPr>
        <w:tabs>
          <w:tab w:val="left" w:pos="709"/>
        </w:tabs>
        <w:spacing w:line="360" w:lineRule="auto"/>
        <w:jc w:val="both"/>
        <w:rPr>
          <w:rFonts w:ascii="Palatino Linotype" w:eastAsia="Calibri" w:hAnsi="Palatino Linotype" w:cs="Tahoma"/>
          <w:bCs/>
          <w:lang w:val="es-MX" w:eastAsia="en-US"/>
        </w:rPr>
      </w:pPr>
      <w:r w:rsidRPr="002D7098">
        <w:rPr>
          <w:rFonts w:ascii="Palatino Linotype" w:eastAsiaTheme="minorHAnsi" w:hAnsi="Palatino Linotype" w:cstheme="minorBidi"/>
          <w:lang w:val="es-MX" w:eastAsia="en-US"/>
        </w:rPr>
        <w:t>En suma a lo anterior, no se omite señalar que</w:t>
      </w:r>
      <w:r w:rsidR="007949E4">
        <w:rPr>
          <w:rFonts w:ascii="Palatino Linotype" w:eastAsiaTheme="minorHAnsi" w:hAnsi="Palatino Linotype" w:cstheme="minorBidi"/>
          <w:lang w:val="es-MX" w:eastAsia="en-US"/>
        </w:rPr>
        <w:t>,</w:t>
      </w:r>
      <w:r w:rsidRPr="002D7098">
        <w:rPr>
          <w:rFonts w:ascii="Palatino Linotype" w:eastAsiaTheme="minorHAnsi" w:hAnsi="Palatino Linotype" w:cstheme="minorBidi"/>
          <w:lang w:val="es-MX" w:eastAsia="en-US"/>
        </w:rPr>
        <w:t xml:space="preserve"> es criterio del Pleno del máximo Tribunal que</w:t>
      </w:r>
      <w:r w:rsidR="007949E4">
        <w:rPr>
          <w:rFonts w:ascii="Palatino Linotype" w:eastAsiaTheme="minorHAnsi" w:hAnsi="Palatino Linotype" w:cstheme="minorBidi"/>
          <w:lang w:val="es-MX" w:eastAsia="en-US"/>
        </w:rPr>
        <w:t>,</w:t>
      </w:r>
      <w:r w:rsidRPr="002D7098">
        <w:rPr>
          <w:rFonts w:ascii="Palatino Linotype" w:eastAsiaTheme="minorHAnsi" w:hAnsi="Palatino Linotype" w:cstheme="minorBidi"/>
          <w:lang w:val="es-MX" w:eastAsia="en-US"/>
        </w:rPr>
        <w:t xml:space="preserve"> </w:t>
      </w:r>
      <w:r w:rsidRPr="002D7098">
        <w:rPr>
          <w:rFonts w:ascii="Palatino Linotype" w:eastAsia="Calibri" w:hAnsi="Palatino Linotype" w:cs="Tahoma"/>
          <w:bCs/>
          <w:lang w:val="es-MX" w:eastAsia="en-US"/>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16936776" w14:textId="77777777" w:rsidR="002D7098" w:rsidRPr="002D7098" w:rsidRDefault="002D7098" w:rsidP="002D7098">
      <w:pPr>
        <w:tabs>
          <w:tab w:val="left" w:pos="709"/>
        </w:tabs>
        <w:spacing w:line="360" w:lineRule="auto"/>
        <w:jc w:val="both"/>
        <w:rPr>
          <w:rFonts w:ascii="Palatino Linotype" w:eastAsia="Calibri" w:hAnsi="Palatino Linotype" w:cs="Tahoma"/>
          <w:bCs/>
          <w:lang w:val="es-MX" w:eastAsia="en-US"/>
        </w:rPr>
      </w:pPr>
    </w:p>
    <w:p w14:paraId="2FF4E6E5" w14:textId="77777777" w:rsidR="002D7098" w:rsidRPr="002D7098" w:rsidRDefault="002D7098" w:rsidP="002D7098">
      <w:pPr>
        <w:tabs>
          <w:tab w:val="left" w:pos="709"/>
        </w:tabs>
        <w:ind w:left="567" w:right="567"/>
        <w:jc w:val="both"/>
        <w:rPr>
          <w:rFonts w:ascii="Palatino Linotype" w:eastAsia="Calibri" w:hAnsi="Palatino Linotype" w:cs="Tahoma"/>
          <w:b/>
          <w:i/>
          <w:sz w:val="22"/>
          <w:szCs w:val="22"/>
          <w:lang w:val="es-MX" w:eastAsia="en-US"/>
        </w:rPr>
      </w:pPr>
      <w:r w:rsidRPr="002D7098">
        <w:rPr>
          <w:rFonts w:ascii="Palatino Linotype" w:eastAsia="Calibri" w:hAnsi="Palatino Linotype" w:cs="Tahoma"/>
          <w:b/>
          <w:i/>
          <w:sz w:val="22"/>
          <w:szCs w:val="22"/>
          <w:lang w:val="es-MX" w:eastAsia="en-US"/>
        </w:rPr>
        <w:t>PRESUNCIÓN DE INOCENCIA. ESTE PRINCIPIO ES APLICABLE AL PROCEDIMIENTO ADMINISTRATIVO SANCIONADOR, CON MATICES O MODULACIONES.</w:t>
      </w:r>
    </w:p>
    <w:p w14:paraId="614AAE8A"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0916CBB0"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14:paraId="4A90D376"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310D3C5F"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63D1CE91"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 xml:space="preserve">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w:t>
      </w:r>
      <w:proofErr w:type="spellStart"/>
      <w:r w:rsidRPr="002D7098">
        <w:rPr>
          <w:rFonts w:ascii="Palatino Linotype" w:eastAsia="Calibri" w:hAnsi="Palatino Linotype" w:cs="Tahoma"/>
          <w:bCs/>
          <w:i/>
          <w:sz w:val="22"/>
          <w:szCs w:val="22"/>
          <w:lang w:val="es-MX" w:eastAsia="en-US"/>
        </w:rPr>
        <w:t>Dayán</w:t>
      </w:r>
      <w:proofErr w:type="spellEnd"/>
      <w:r w:rsidRPr="002D7098">
        <w:rPr>
          <w:rFonts w:ascii="Palatino Linotype" w:eastAsia="Calibri" w:hAnsi="Palatino Linotype" w:cs="Tahoma"/>
          <w:bCs/>
          <w:i/>
          <w:sz w:val="22"/>
          <w:szCs w:val="22"/>
          <w:lang w:val="es-MX" w:eastAsia="en-US"/>
        </w:rPr>
        <w:t>. Ponente: Olga Sánchez Cordero de García Villegas. Secretario: Octavio Joel Flores Díaz.</w:t>
      </w:r>
    </w:p>
    <w:p w14:paraId="02EE8A83"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14448468"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239841D5"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Tesis y/o criterios contendientes:</w:t>
      </w:r>
    </w:p>
    <w:p w14:paraId="23224DC4"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 xml:space="preserve">Tesis 1a. XCIII/2013 (10a.), de rubro: "PRESUNCIÓN DE INOCENCIA. LA APLICACIÓN DE ESTE DERECHO A LOS PROCEDIMIENTOS </w:t>
      </w:r>
      <w:r w:rsidRPr="002D7098">
        <w:rPr>
          <w:rFonts w:ascii="Palatino Linotype" w:eastAsia="Calibri" w:hAnsi="Palatino Linotype" w:cs="Tahoma"/>
          <w:bCs/>
          <w:i/>
          <w:sz w:val="22"/>
          <w:szCs w:val="22"/>
          <w:lang w:val="es-MX" w:eastAsia="en-US"/>
        </w:rPr>
        <w:lastRenderedPageBreak/>
        <w:t>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760E1352"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150816B2"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725B5F56"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36655AAF"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6954A98A"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6FF8F549"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14:paraId="3CE6EFC6"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02895B52"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El Tribunal Pleno, el veintiséis de mayo en curso, aprobó, con el número 43/2014 (10a.), la tesis jurisprudencial que antecede. México, Distrito Federal, a veintiséis de mayo de dos mil catorce.</w:t>
      </w:r>
    </w:p>
    <w:p w14:paraId="6A810AD7"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7389C0D5"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06B79D59"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4D1C1D72"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p>
    <w:p w14:paraId="4AA28E82" w14:textId="77777777" w:rsidR="002D7098" w:rsidRPr="002D7098" w:rsidRDefault="002D7098" w:rsidP="002D7098">
      <w:pPr>
        <w:tabs>
          <w:tab w:val="left" w:pos="709"/>
        </w:tabs>
        <w:ind w:left="567" w:right="567"/>
        <w:jc w:val="both"/>
        <w:rPr>
          <w:rFonts w:ascii="Palatino Linotype" w:eastAsia="Calibri" w:hAnsi="Palatino Linotype" w:cs="Tahoma"/>
          <w:bCs/>
          <w:i/>
          <w:sz w:val="22"/>
          <w:szCs w:val="22"/>
          <w:lang w:val="es-MX" w:eastAsia="en-US"/>
        </w:rPr>
      </w:pPr>
      <w:r w:rsidRPr="002D7098">
        <w:rPr>
          <w:rFonts w:ascii="Palatino Linotype" w:eastAsia="Calibri" w:hAnsi="Palatino Linotype" w:cs="Tahoma"/>
          <w:bCs/>
          <w:i/>
          <w:sz w:val="22"/>
          <w:szCs w:val="22"/>
          <w:lang w:val="es-MX" w:eastAsia="en-US"/>
        </w:rPr>
        <w:t xml:space="preserve">Esta tesis se publicó el viernes 06 de junio de 2014 a las 12:30 horas en el Semanario Judicial de la Federación y, por ende, se considera de aplicación obligatoria a partir del lunes 09 de </w:t>
      </w:r>
      <w:r w:rsidRPr="002D7098">
        <w:rPr>
          <w:rFonts w:ascii="Palatino Linotype" w:eastAsia="Calibri" w:hAnsi="Palatino Linotype" w:cs="Tahoma"/>
          <w:bCs/>
          <w:i/>
          <w:sz w:val="22"/>
          <w:szCs w:val="22"/>
          <w:lang w:val="es-MX" w:eastAsia="en-US"/>
        </w:rPr>
        <w:lastRenderedPageBreak/>
        <w:t>junio de 2014, para los efectos previstos en el punto séptimo del Acuerdo General Plenario 19/2013.</w:t>
      </w:r>
    </w:p>
    <w:p w14:paraId="5941E0E0" w14:textId="77777777" w:rsidR="002D7098" w:rsidRPr="002D7098" w:rsidRDefault="002D7098" w:rsidP="002D7098">
      <w:pPr>
        <w:tabs>
          <w:tab w:val="left" w:pos="709"/>
        </w:tabs>
        <w:ind w:left="567" w:right="567"/>
        <w:jc w:val="both"/>
        <w:rPr>
          <w:rFonts w:ascii="Palatino Linotype" w:eastAsia="Calibri" w:hAnsi="Palatino Linotype" w:cs="Tahoma"/>
          <w:bCs/>
          <w:i/>
          <w:sz w:val="28"/>
          <w:szCs w:val="22"/>
          <w:lang w:val="es-MX" w:eastAsia="en-US"/>
        </w:rPr>
      </w:pPr>
    </w:p>
    <w:p w14:paraId="4F5CCE6F"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r w:rsidRPr="002D7098">
        <w:rPr>
          <w:rFonts w:ascii="Palatino Linotype" w:eastAsiaTheme="minorHAnsi" w:hAnsi="Palatino Linotype" w:cstheme="minorBidi"/>
          <w:lang w:val="es-MX" w:eastAsia="en-US"/>
        </w:rPr>
        <w:t xml:space="preserve">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w:t>
      </w:r>
      <w:r w:rsidRPr="00B326AC">
        <w:rPr>
          <w:rFonts w:ascii="Palatino Linotype" w:eastAsiaTheme="minorHAnsi" w:hAnsi="Palatino Linotype" w:cstheme="minorBidi"/>
          <w:b/>
          <w:bCs/>
          <w:u w:val="single"/>
          <w:lang w:val="es-MX" w:eastAsia="en-US"/>
        </w:rPr>
        <w:t xml:space="preserve">no podrá invocarse con el carácter de reservada, aquella información que se encuentre relacionada con posibles violaciones a derechos humanos </w:t>
      </w:r>
      <w:r w:rsidRPr="00B326AC">
        <w:rPr>
          <w:rFonts w:ascii="Palatino Linotype" w:eastAsiaTheme="minorHAnsi" w:hAnsi="Palatino Linotype" w:cstheme="minorBidi"/>
          <w:b/>
          <w:bCs/>
          <w:sz w:val="22"/>
          <w:szCs w:val="22"/>
          <w:u w:val="single"/>
          <w:lang w:val="es-MX" w:eastAsia="en-US"/>
        </w:rPr>
        <w:t>delitos de lesa humanidad</w:t>
      </w:r>
      <w:r w:rsidRPr="00B326AC">
        <w:rPr>
          <w:rFonts w:asciiTheme="minorHAnsi" w:eastAsiaTheme="minorHAnsi" w:hAnsiTheme="minorHAnsi" w:cstheme="minorBidi"/>
          <w:b/>
          <w:bCs/>
          <w:sz w:val="22"/>
          <w:szCs w:val="22"/>
          <w:u w:val="single"/>
          <w:lang w:val="es-MX" w:eastAsia="en-US"/>
        </w:rPr>
        <w:t xml:space="preserve"> </w:t>
      </w:r>
      <w:r w:rsidRPr="00B326AC">
        <w:rPr>
          <w:rFonts w:ascii="Palatino Linotype" w:eastAsiaTheme="minorHAnsi" w:hAnsi="Palatino Linotype" w:cstheme="minorBidi"/>
          <w:b/>
          <w:bCs/>
          <w:u w:val="single"/>
          <w:lang w:val="es-MX" w:eastAsia="en-US"/>
        </w:rPr>
        <w:t>o actos de corrupción</w:t>
      </w:r>
      <w:r w:rsidRPr="002D7098">
        <w:rPr>
          <w:rFonts w:ascii="Palatino Linotype" w:eastAsiaTheme="minorHAnsi" w:hAnsi="Palatino Linotype" w:cstheme="minorBidi"/>
          <w:lang w:val="es-MX" w:eastAsia="en-US"/>
        </w:rPr>
        <w:t>, preceptos legales que establecen lo siguiente:</w:t>
      </w:r>
    </w:p>
    <w:p w14:paraId="36686918"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5E947F5B" w14:textId="77777777" w:rsidR="002D7098" w:rsidRPr="002D7098" w:rsidRDefault="002D7098" w:rsidP="002D7098">
      <w:pPr>
        <w:tabs>
          <w:tab w:val="left" w:pos="709"/>
        </w:tabs>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General de Transparencia y Acceso a la Información Pública</w:t>
      </w:r>
    </w:p>
    <w:p w14:paraId="01E6A466"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Artículo 115.</w:t>
      </w:r>
      <w:r w:rsidRPr="002D7098">
        <w:rPr>
          <w:rFonts w:ascii="Palatino Linotype" w:eastAsiaTheme="minorHAnsi" w:hAnsi="Palatino Linotype" w:cstheme="minorBidi"/>
          <w:i/>
          <w:sz w:val="22"/>
          <w:szCs w:val="22"/>
          <w:lang w:val="es-MX" w:eastAsia="en-US"/>
        </w:rPr>
        <w:t xml:space="preserve"> No podrá invocarse el carácter de reservado cuando:</w:t>
      </w:r>
    </w:p>
    <w:p w14:paraId="083D8479"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 Se trate de violaciones graves de derechos humanos o delitos de lesa humanidad, o</w:t>
      </w:r>
    </w:p>
    <w:p w14:paraId="3B0FB7E7"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II. Se trate de información relacionada con actos de corrupción de acuerdo con las leyes aplicables.</w:t>
      </w:r>
    </w:p>
    <w:p w14:paraId="650EEE40"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p>
    <w:p w14:paraId="08D6F9E6" w14:textId="77777777" w:rsidR="002D7098" w:rsidRPr="002D7098" w:rsidRDefault="002D7098" w:rsidP="002D7098">
      <w:pPr>
        <w:tabs>
          <w:tab w:val="left" w:pos="709"/>
        </w:tabs>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de Transparencia y Acceso a la Información Pública del Estado de México y Municipios</w:t>
      </w:r>
    </w:p>
    <w:p w14:paraId="3A3DAE91"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Artículo 142. Bajo ninguna circunstancia podrá invocarse el carácter de reservado cuando:</w:t>
      </w:r>
    </w:p>
    <w:p w14:paraId="6B5ECB7D"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 Se trate de violaciones graves de derechos humanos, calificada así por autoridad competente;</w:t>
      </w:r>
    </w:p>
    <w:p w14:paraId="2EB159F2"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4D4632B"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2ED42AF"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IV. Se trate de información relacionada con actos de corrupción de conformidad con las disposiciones jurídicas aplicables.</w:t>
      </w:r>
    </w:p>
    <w:p w14:paraId="23241A27"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p>
    <w:p w14:paraId="3B0C1732" w14:textId="77777777" w:rsidR="002D7098" w:rsidRPr="002D7098" w:rsidRDefault="002D7098" w:rsidP="002D7098">
      <w:pPr>
        <w:tabs>
          <w:tab w:val="left" w:pos="709"/>
        </w:tabs>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color w:val="2F2F2F"/>
          <w:sz w:val="22"/>
          <w:szCs w:val="22"/>
          <w:shd w:val="clear" w:color="auto" w:fill="FFFFFF"/>
          <w:lang w:val="es-MX" w:eastAsia="en-US"/>
        </w:rPr>
        <w:lastRenderedPageBreak/>
        <w:t>LINEAMIENTOS GENERALES EN MATERIA DE CLASIFICACIÓN Y DESCLASIFICACIÓN DE LA INFORMACIÓN, ASÍ COMO PARA LA ELABORACIÓN DE VERSIONES PÚBLICAS.</w:t>
      </w:r>
    </w:p>
    <w:p w14:paraId="59E2A883"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Trigésimo séptimo. No podrá invocarse el carácter de reservado de la información cuando:</w:t>
      </w:r>
    </w:p>
    <w:p w14:paraId="67679123"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        Se trate de violaciones graves de derechos humanos;</w:t>
      </w:r>
    </w:p>
    <w:p w14:paraId="0B37ECF8"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7B8AA63B"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111811DC"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6371D21A" w14:textId="77777777" w:rsidR="002D7098" w:rsidRPr="002D7098" w:rsidRDefault="002D7098" w:rsidP="002D7098">
      <w:pPr>
        <w:tabs>
          <w:tab w:val="left" w:pos="709"/>
        </w:tabs>
        <w:spacing w:line="360" w:lineRule="auto"/>
        <w:ind w:right="567"/>
        <w:jc w:val="both"/>
        <w:rPr>
          <w:rFonts w:ascii="Palatino Linotype" w:eastAsiaTheme="minorHAnsi" w:hAnsi="Palatino Linotype" w:cstheme="minorBidi"/>
          <w:i/>
          <w:sz w:val="22"/>
          <w:szCs w:val="22"/>
          <w:lang w:val="es-MX" w:eastAsia="en-US"/>
        </w:rPr>
      </w:pPr>
    </w:p>
    <w:p w14:paraId="20961D98" w14:textId="61D085B3"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r w:rsidRPr="002D7098">
        <w:rPr>
          <w:rFonts w:ascii="Palatino Linotype" w:eastAsiaTheme="minorHAnsi" w:hAnsi="Palatino Linotype" w:cstheme="minorBidi"/>
          <w:lang w:val="es-MX" w:eastAsia="en-US"/>
        </w:rPr>
        <w:t xml:space="preserve">Al respecto, derivado de la excepción establecida en los preceptos legales antes citados, resulta oportuno mencionar que en tal supuesto, </w:t>
      </w:r>
      <w:r w:rsidR="00B326AC">
        <w:rPr>
          <w:rFonts w:ascii="Palatino Linotype" w:eastAsiaTheme="minorHAnsi" w:hAnsi="Palatino Linotype" w:cstheme="minorBidi"/>
          <w:lang w:val="es-MX" w:eastAsia="en-US"/>
        </w:rPr>
        <w:t xml:space="preserve">este Órgano </w:t>
      </w:r>
      <w:proofErr w:type="spellStart"/>
      <w:r w:rsidR="00B326AC">
        <w:rPr>
          <w:rFonts w:ascii="Palatino Linotype" w:eastAsiaTheme="minorHAnsi" w:hAnsi="Palatino Linotype" w:cstheme="minorBidi"/>
          <w:lang w:val="es-MX" w:eastAsia="en-US"/>
        </w:rPr>
        <w:t>Resolutor</w:t>
      </w:r>
      <w:proofErr w:type="spellEnd"/>
      <w:r w:rsidRPr="002D7098">
        <w:rPr>
          <w:rFonts w:ascii="Palatino Linotype" w:eastAsiaTheme="minorHAnsi" w:hAnsi="Palatino Linotype" w:cstheme="minorBidi"/>
          <w:lang w:val="es-MX" w:eastAsia="en-US"/>
        </w:rPr>
        <w:t xml:space="preserve">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14:paraId="415058FA"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42723F4B" w14:textId="2CDA79F9" w:rsidR="002D7098" w:rsidRPr="002D7098" w:rsidRDefault="00266747" w:rsidP="002D7098">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lastRenderedPageBreak/>
        <w:t>Asimismo</w:t>
      </w:r>
      <w:r w:rsidR="002D7098" w:rsidRPr="002D7098">
        <w:rPr>
          <w:rFonts w:ascii="Palatino Linotype" w:eastAsiaTheme="minorHAnsi" w:hAnsi="Palatino Linotype" w:cstheme="minorBidi"/>
          <w:lang w:val="es-MX" w:eastAsia="en-US"/>
        </w:rPr>
        <w:t>,</w:t>
      </w:r>
      <w:r w:rsidR="002D7098" w:rsidRPr="002D7098">
        <w:rPr>
          <w:rFonts w:ascii="Palatino Linotype" w:eastAsiaTheme="minorHAnsi" w:hAnsi="Palatino Linotype" w:cstheme="minorBidi"/>
          <w:b/>
          <w:lang w:val="es-MX" w:eastAsia="en-US"/>
        </w:rPr>
        <w:t xml:space="preserve"> </w:t>
      </w:r>
      <w:r w:rsidR="002D7098" w:rsidRPr="002D7098">
        <w:rPr>
          <w:rFonts w:ascii="Palatino Linotype" w:eastAsiaTheme="minorHAnsi" w:hAnsi="Palatino Linotype" w:cstheme="minorBidi"/>
          <w:lang w:val="es-MX" w:eastAsia="en-US"/>
        </w:rPr>
        <w:t>con</w:t>
      </w:r>
      <w:r w:rsidR="002D7098" w:rsidRPr="002D7098">
        <w:rPr>
          <w:rFonts w:ascii="Palatino Linotype" w:eastAsiaTheme="minorHAnsi" w:hAnsi="Palatino Linotype" w:cstheme="minorBidi"/>
          <w:b/>
          <w:lang w:val="es-MX" w:eastAsia="en-US"/>
        </w:rPr>
        <w:t xml:space="preserve"> </w:t>
      </w:r>
      <w:r w:rsidR="002D7098" w:rsidRPr="002D7098">
        <w:rPr>
          <w:rFonts w:ascii="Palatino Linotype" w:eastAsiaTheme="minorHAnsi" w:hAnsi="Palatino Linotype" w:cstheme="minorBidi"/>
          <w:lang w:val="es-MX" w:eastAsia="en-US"/>
        </w:rPr>
        <w:t>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w:t>
      </w:r>
      <w:r>
        <w:rPr>
          <w:rFonts w:ascii="Palatino Linotype" w:eastAsiaTheme="minorHAnsi" w:hAnsi="Palatino Linotype" w:cstheme="minorBidi"/>
          <w:lang w:val="es-MX" w:eastAsia="en-US"/>
        </w:rPr>
        <w:t>,</w:t>
      </w:r>
      <w:r w:rsidR="002D7098" w:rsidRPr="002D7098">
        <w:rPr>
          <w:rFonts w:ascii="Palatino Linotype" w:eastAsiaTheme="minorHAnsi" w:hAnsi="Palatino Linotype" w:cstheme="minorBidi"/>
          <w:lang w:val="es-MX" w:eastAsia="en-US"/>
        </w:rPr>
        <w:t xml:space="preserve">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14:paraId="33F2FD3C"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0BE9AA3C" w14:textId="77777777" w:rsidR="002D7098" w:rsidRPr="002D7098" w:rsidRDefault="002D7098" w:rsidP="002D7098">
      <w:pPr>
        <w:tabs>
          <w:tab w:val="left" w:pos="709"/>
        </w:tabs>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General del Sistema Nacional Anticorrupción.</w:t>
      </w:r>
    </w:p>
    <w:p w14:paraId="1E34858F"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“Artículo 53.</w:t>
      </w:r>
      <w:r w:rsidRPr="002D7098">
        <w:rPr>
          <w:rFonts w:ascii="Palatino Linotype" w:eastAsiaTheme="minorHAnsi" w:hAnsi="Palatino Linotype" w:cstheme="minorBidi"/>
          <w:i/>
          <w:sz w:val="22"/>
          <w:szCs w:val="22"/>
          <w:lang w:val="es-MX" w:eastAsia="en-US"/>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5FF4768B"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4074AA28" w14:textId="77777777" w:rsidR="002D7098" w:rsidRPr="002D7098" w:rsidRDefault="002D7098" w:rsidP="002D7098">
      <w:pPr>
        <w:tabs>
          <w:tab w:val="left" w:pos="709"/>
        </w:tabs>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General de Responsabilidades Administrativas.</w:t>
      </w:r>
    </w:p>
    <w:p w14:paraId="56B09D71" w14:textId="77777777" w:rsidR="002D7098" w:rsidRPr="002D7098" w:rsidRDefault="002D7098" w:rsidP="002D7098">
      <w:pPr>
        <w:tabs>
          <w:tab w:val="left" w:pos="709"/>
        </w:tabs>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“27…</w:t>
      </w:r>
    </w:p>
    <w:p w14:paraId="5094DAE1"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i/>
          <w:sz w:val="22"/>
          <w:szCs w:val="22"/>
          <w:lang w:val="es-MX" w:eastAsia="en-US"/>
        </w:rPr>
        <w:t xml:space="preserve">En el sistema nacional de Servidores Públicos y particulares sancionados de la Plataforma digital nacional se inscribirán y se harán públicas, de conformidad con lo dispuesto en la </w:t>
      </w:r>
      <w:r w:rsidRPr="002D7098">
        <w:rPr>
          <w:rFonts w:ascii="Palatino Linotype" w:eastAsiaTheme="minorHAnsi" w:hAnsi="Palatino Linotype" w:cstheme="minorBidi"/>
          <w:i/>
          <w:sz w:val="22"/>
          <w:szCs w:val="22"/>
          <w:lang w:val="es-MX" w:eastAsia="en-US"/>
        </w:rPr>
        <w:lastRenderedPageBreak/>
        <w:t>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14:paraId="799DD9FA"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8"/>
          <w:lang w:val="es-MX" w:eastAsia="en-US"/>
        </w:rPr>
      </w:pPr>
    </w:p>
    <w:p w14:paraId="37C04FC5" w14:textId="77777777" w:rsidR="002D7098" w:rsidRPr="002D7098" w:rsidRDefault="002D7098" w:rsidP="002D7098">
      <w:pPr>
        <w:tabs>
          <w:tab w:val="left" w:pos="709"/>
        </w:tabs>
        <w:ind w:left="567" w:right="567"/>
        <w:jc w:val="center"/>
        <w:rPr>
          <w:rFonts w:ascii="Palatino Linotype" w:eastAsiaTheme="minorHAnsi" w:hAnsi="Palatino Linotype" w:cstheme="minorBidi"/>
          <w:b/>
          <w:i/>
          <w:lang w:val="es-MX" w:eastAsia="en-US"/>
        </w:rPr>
      </w:pPr>
      <w:r w:rsidRPr="002D7098">
        <w:rPr>
          <w:rFonts w:ascii="Palatino Linotype" w:eastAsiaTheme="minorHAnsi" w:hAnsi="Palatino Linotype" w:cstheme="minorBidi"/>
          <w:b/>
          <w:i/>
          <w:lang w:val="es-MX" w:eastAsia="en-US"/>
        </w:rPr>
        <w:t>Ley del Sistema Anticorrupción del Estado de México</w:t>
      </w:r>
    </w:p>
    <w:p w14:paraId="67C10D75" w14:textId="77777777" w:rsidR="002D7098" w:rsidRPr="002D7098" w:rsidRDefault="002D7098" w:rsidP="002D7098">
      <w:pPr>
        <w:tabs>
          <w:tab w:val="left" w:pos="709"/>
        </w:tabs>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 xml:space="preserve">“Artículo 53. </w:t>
      </w:r>
      <w:r w:rsidRPr="002D7098">
        <w:rPr>
          <w:rFonts w:ascii="Palatino Linotype" w:eastAsiaTheme="minorHAnsi" w:hAnsi="Palatino Linotype" w:cstheme="minorBidi"/>
          <w:i/>
          <w:sz w:val="22"/>
          <w:szCs w:val="22"/>
          <w:lang w:val="es-MX" w:eastAsia="en-US"/>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2D7098">
        <w:rPr>
          <w:rFonts w:ascii="Palatino Linotype" w:eastAsiaTheme="minorHAnsi" w:hAnsi="Palatino Linotype" w:cstheme="minorBidi"/>
          <w:b/>
          <w:i/>
          <w:sz w:val="22"/>
          <w:szCs w:val="22"/>
          <w:lang w:val="es-MX" w:eastAsia="en-US"/>
        </w:rPr>
        <w:t>”.</w:t>
      </w:r>
    </w:p>
    <w:p w14:paraId="742E39FC" w14:textId="77777777" w:rsidR="002D7098" w:rsidRPr="002D7098" w:rsidRDefault="002D7098" w:rsidP="002D7098">
      <w:pPr>
        <w:tabs>
          <w:tab w:val="left" w:pos="709"/>
        </w:tabs>
        <w:ind w:left="567" w:right="567"/>
        <w:jc w:val="both"/>
        <w:rPr>
          <w:rFonts w:ascii="Palatino Linotype" w:eastAsiaTheme="minorHAnsi" w:hAnsi="Palatino Linotype" w:cstheme="minorBidi"/>
          <w:b/>
          <w:i/>
          <w:sz w:val="22"/>
          <w:szCs w:val="22"/>
          <w:lang w:val="es-MX" w:eastAsia="en-US"/>
        </w:rPr>
      </w:pPr>
    </w:p>
    <w:p w14:paraId="2C737BBF" w14:textId="77777777" w:rsidR="002D7098" w:rsidRPr="002D7098" w:rsidRDefault="002D7098" w:rsidP="002D7098">
      <w:pPr>
        <w:tabs>
          <w:tab w:val="left" w:pos="709"/>
        </w:tabs>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General de Transparencia y Acceso a la Información Pública.</w:t>
      </w:r>
    </w:p>
    <w:p w14:paraId="655F2A52"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Artículo 70.</w:t>
      </w:r>
      <w:r w:rsidRPr="002D7098">
        <w:rPr>
          <w:rFonts w:ascii="Palatino Linotype" w:eastAsiaTheme="minorHAnsi" w:hAnsi="Palatino Linotype" w:cstheme="minorBidi"/>
          <w:i/>
          <w:sz w:val="22"/>
          <w:szCs w:val="22"/>
          <w:lang w:val="es-MX" w:eastAsia="en-US"/>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EE78720"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w:t>
      </w:r>
    </w:p>
    <w:p w14:paraId="6337895A"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XVII.</w:t>
      </w:r>
      <w:r w:rsidRPr="002D7098">
        <w:rPr>
          <w:rFonts w:ascii="Palatino Linotype" w:eastAsiaTheme="minorHAnsi" w:hAnsi="Palatino Linotype" w:cstheme="minorBidi"/>
          <w:i/>
          <w:sz w:val="22"/>
          <w:szCs w:val="22"/>
          <w:lang w:val="es-MX" w:eastAsia="en-US"/>
        </w:rPr>
        <w:t xml:space="preserve"> La información curricular, desde el nivel de jefe de departamento o equivalente, hasta el titular del sujeto obligado, así como, en su caso, las sanciones administrativas de que haya sido objeto;</w:t>
      </w:r>
    </w:p>
    <w:p w14:paraId="649D1A69"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XVIII.</w:t>
      </w:r>
      <w:r w:rsidRPr="002D7098">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14:paraId="7A0B0A61"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p>
    <w:p w14:paraId="149A1C15" w14:textId="77777777" w:rsidR="002D7098" w:rsidRPr="002D7098" w:rsidRDefault="002D7098" w:rsidP="002D7098">
      <w:pPr>
        <w:tabs>
          <w:tab w:val="left" w:pos="709"/>
        </w:tabs>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de Transparencia y Acceso a la Información Pública del Estado de México y Municipios.</w:t>
      </w:r>
    </w:p>
    <w:p w14:paraId="77341A62"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Artículo 92.</w:t>
      </w:r>
      <w:r w:rsidRPr="002D7098">
        <w:rPr>
          <w:rFonts w:ascii="Palatino Linotype" w:eastAsiaTheme="minorHAnsi" w:hAnsi="Palatino Linotype" w:cstheme="minorBidi"/>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509C1" w14:textId="77777777" w:rsidR="002D7098" w:rsidRPr="002D7098" w:rsidRDefault="002D7098" w:rsidP="002D7098">
      <w:pPr>
        <w:tabs>
          <w:tab w:val="left" w:pos="709"/>
        </w:tabs>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w:t>
      </w:r>
    </w:p>
    <w:p w14:paraId="01B3F72D"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r w:rsidRPr="002D7098">
        <w:rPr>
          <w:rFonts w:ascii="Palatino Linotype" w:eastAsiaTheme="minorHAnsi" w:hAnsi="Palatino Linotype" w:cstheme="minorBidi"/>
          <w:b/>
          <w:i/>
          <w:sz w:val="22"/>
          <w:szCs w:val="22"/>
          <w:lang w:val="es-MX" w:eastAsia="en-US"/>
        </w:rPr>
        <w:t>XXII.</w:t>
      </w:r>
      <w:r w:rsidRPr="002D7098">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14:paraId="701E2674"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p>
    <w:p w14:paraId="4FB61752"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p>
    <w:p w14:paraId="17A973D7" w14:textId="77777777" w:rsidR="002D7098" w:rsidRPr="002D7098" w:rsidRDefault="002D7098" w:rsidP="002D7098">
      <w:pPr>
        <w:tabs>
          <w:tab w:val="left" w:pos="709"/>
        </w:tabs>
        <w:ind w:left="567" w:right="567"/>
        <w:jc w:val="both"/>
        <w:rPr>
          <w:rFonts w:ascii="Palatino Linotype" w:eastAsiaTheme="minorHAnsi" w:hAnsi="Palatino Linotype" w:cstheme="minorBidi"/>
          <w:i/>
          <w:sz w:val="22"/>
          <w:szCs w:val="22"/>
          <w:lang w:val="es-MX" w:eastAsia="en-US"/>
        </w:rPr>
      </w:pPr>
    </w:p>
    <w:p w14:paraId="5ACDCAC8" w14:textId="6F8A6141" w:rsidR="002D7098" w:rsidRPr="009F375A" w:rsidRDefault="002D7098" w:rsidP="002D7098">
      <w:pPr>
        <w:tabs>
          <w:tab w:val="left" w:pos="709"/>
        </w:tabs>
        <w:spacing w:line="360" w:lineRule="auto"/>
        <w:jc w:val="both"/>
        <w:rPr>
          <w:rFonts w:ascii="Palatino Linotype" w:eastAsiaTheme="minorHAnsi" w:hAnsi="Palatino Linotype" w:cstheme="minorBidi"/>
          <w:lang w:val="es-MX" w:eastAsia="en-US"/>
        </w:rPr>
      </w:pPr>
      <w:r w:rsidRPr="009F375A">
        <w:rPr>
          <w:rFonts w:ascii="Palatino Linotype" w:eastAsiaTheme="minorHAnsi" w:hAnsi="Palatino Linotype" w:cstheme="minorBidi"/>
          <w:lang w:val="es-MX" w:eastAsia="en-US"/>
        </w:rPr>
        <w:lastRenderedPageBreak/>
        <w:t xml:space="preserve">En tal sentido, en el supuesto de que </w:t>
      </w:r>
      <w:r w:rsidR="007B6430">
        <w:rPr>
          <w:rFonts w:ascii="Palatino Linotype" w:eastAsiaTheme="minorHAnsi" w:hAnsi="Palatino Linotype" w:cstheme="minorBidi"/>
          <w:lang w:val="es-MX" w:eastAsia="en-US"/>
        </w:rPr>
        <w:t>los</w:t>
      </w:r>
      <w:r w:rsidR="00266747" w:rsidRPr="009F375A">
        <w:rPr>
          <w:rFonts w:ascii="Palatino Linotype" w:eastAsiaTheme="minorHAnsi" w:hAnsi="Palatino Linotype" w:cstheme="minorBidi"/>
          <w:lang w:val="es-MX" w:eastAsia="en-US"/>
        </w:rPr>
        <w:t xml:space="preserve"> expedientes formados con motivo de procedimientos administrativo</w:t>
      </w:r>
      <w:r w:rsidR="00266747" w:rsidRPr="009F375A">
        <w:rPr>
          <w:rFonts w:ascii="Palatino Linotype" w:eastAsiaTheme="minorHAnsi" w:hAnsi="Palatino Linotype" w:cs="Arial"/>
          <w:b/>
          <w:lang w:val="es-MX" w:eastAsia="en-US"/>
        </w:rPr>
        <w:t>s</w:t>
      </w:r>
      <w:r w:rsidRPr="009F375A">
        <w:rPr>
          <w:rFonts w:ascii="Palatino Linotype" w:eastAsiaTheme="minorHAnsi" w:hAnsi="Palatino Linotype" w:cstheme="minorBidi"/>
          <w:lang w:val="es-MX" w:eastAsia="en-US"/>
        </w:rPr>
        <w:t xml:space="preserve"> se ajuste</w:t>
      </w:r>
      <w:r w:rsidR="00266747" w:rsidRPr="009F375A">
        <w:rPr>
          <w:rFonts w:ascii="Palatino Linotype" w:eastAsiaTheme="minorHAnsi" w:hAnsi="Palatino Linotype" w:cstheme="minorBidi"/>
          <w:lang w:val="es-MX" w:eastAsia="en-US"/>
        </w:rPr>
        <w:t>n</w:t>
      </w:r>
      <w:r w:rsidRPr="009F375A">
        <w:rPr>
          <w:rFonts w:ascii="Palatino Linotype" w:eastAsiaTheme="minorHAnsi" w:hAnsi="Palatino Linotype" w:cstheme="minorBidi"/>
          <w:lang w:val="es-MX" w:eastAsia="en-US"/>
        </w:rPr>
        <w:t xml:space="preserve"> a las hipótesis establecidos en los artículos de referencia, es decir que </w:t>
      </w:r>
      <w:r w:rsidR="00266747" w:rsidRPr="009F375A">
        <w:rPr>
          <w:rFonts w:ascii="Palatino Linotype" w:eastAsiaTheme="minorHAnsi" w:hAnsi="Palatino Linotype" w:cstheme="minorBidi"/>
          <w:lang w:val="es-MX" w:eastAsia="en-US"/>
        </w:rPr>
        <w:t>en los expedientes en referencia</w:t>
      </w:r>
      <w:r w:rsidRPr="009F375A">
        <w:rPr>
          <w:rFonts w:ascii="Palatino Linotype" w:eastAsiaTheme="minorHAnsi" w:hAnsi="Palatino Linotype" w:cstheme="minorBidi"/>
          <w:lang w:val="es-MX" w:eastAsia="en-US"/>
        </w:rPr>
        <w:t xml:space="preserve"> </w:t>
      </w:r>
      <w:r w:rsidRPr="009F375A">
        <w:rPr>
          <w:rFonts w:ascii="Palatino Linotype" w:eastAsiaTheme="minorHAnsi" w:hAnsi="Palatino Linotype" w:cstheme="minorBidi"/>
          <w:b/>
          <w:lang w:val="es-MX" w:eastAsia="en-US"/>
        </w:rPr>
        <w:t>contenga</w:t>
      </w:r>
      <w:r w:rsidR="00266747" w:rsidRPr="009F375A">
        <w:rPr>
          <w:rFonts w:ascii="Palatino Linotype" w:eastAsiaTheme="minorHAnsi" w:hAnsi="Palatino Linotype" w:cstheme="minorBidi"/>
          <w:b/>
          <w:lang w:val="es-MX" w:eastAsia="en-US"/>
        </w:rPr>
        <w:t>n</w:t>
      </w:r>
      <w:r w:rsidRPr="009F375A">
        <w:rPr>
          <w:rFonts w:ascii="Palatino Linotype" w:eastAsiaTheme="minorHAnsi" w:hAnsi="Palatino Linotype" w:cstheme="minorBidi"/>
          <w:b/>
          <w:lang w:val="es-MX" w:eastAsia="en-US"/>
        </w:rPr>
        <w:t xml:space="preserve"> resolución con sanción  por responsabilidad administrativa por motivo de una faltas administrativas graves, y la misma hayan causado estado,</w:t>
      </w:r>
      <w:r w:rsidRPr="009F375A">
        <w:rPr>
          <w:rFonts w:ascii="Palatino Linotype" w:eastAsiaTheme="minorHAnsi" w:hAnsi="Palatino Linotype" w:cstheme="minorBidi"/>
          <w:lang w:val="es-MX" w:eastAsia="en-US"/>
        </w:rPr>
        <w:t xml:space="preserve"> </w:t>
      </w:r>
      <w:r w:rsidRPr="009F375A">
        <w:rPr>
          <w:rFonts w:ascii="Palatino Linotype" w:eastAsiaTheme="minorHAnsi" w:hAnsi="Palatino Linotype" w:cstheme="minorBidi"/>
          <w:b/>
          <w:lang w:val="es-MX" w:eastAsia="en-US"/>
        </w:rPr>
        <w:t xml:space="preserve">debe ser considerado como información pública, </w:t>
      </w:r>
      <w:r w:rsidRPr="009F375A">
        <w:rPr>
          <w:rFonts w:ascii="Palatino Linotype" w:eastAsiaTheme="minorHAnsi" w:hAnsi="Palatino Linotype" w:cstheme="minorBidi"/>
          <w:lang w:val="es-MX" w:eastAsia="en-US"/>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14:paraId="23E94608" w14:textId="77777777" w:rsidR="002D7098" w:rsidRPr="002D7098" w:rsidRDefault="002D7098" w:rsidP="002D7098">
      <w:pPr>
        <w:tabs>
          <w:tab w:val="left" w:pos="709"/>
        </w:tabs>
        <w:spacing w:line="360" w:lineRule="auto"/>
        <w:jc w:val="both"/>
        <w:rPr>
          <w:rFonts w:ascii="Palatino Linotype" w:eastAsiaTheme="minorHAnsi" w:hAnsi="Palatino Linotype" w:cstheme="minorBidi"/>
          <w:b/>
          <w:lang w:val="es-MX" w:eastAsia="en-US"/>
        </w:rPr>
      </w:pPr>
    </w:p>
    <w:p w14:paraId="47305F8C"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r w:rsidRPr="002D7098">
        <w:rPr>
          <w:rFonts w:ascii="Palatino Linotype" w:eastAsiaTheme="minorHAnsi" w:hAnsi="Palatino Linotype" w:cstheme="minorBidi"/>
          <w:lang w:val="es-MX" w:eastAsia="en-US"/>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25CE5201"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772CC986" w14:textId="77777777" w:rsidR="002D7098" w:rsidRPr="002D7098" w:rsidRDefault="002D7098" w:rsidP="002D7098">
      <w:pPr>
        <w:tabs>
          <w:tab w:val="left" w:pos="709"/>
        </w:tabs>
        <w:spacing w:line="360" w:lineRule="auto"/>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General del Sistema Nacional Anticorrupción</w:t>
      </w:r>
    </w:p>
    <w:p w14:paraId="0C3C1FBB" w14:textId="77777777" w:rsidR="002D7098" w:rsidRPr="002D7098" w:rsidRDefault="002D7098" w:rsidP="002D7098">
      <w:pPr>
        <w:tabs>
          <w:tab w:val="left" w:pos="709"/>
        </w:tabs>
        <w:spacing w:line="360" w:lineRule="auto"/>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“53…</w:t>
      </w:r>
    </w:p>
    <w:p w14:paraId="7999FAC2" w14:textId="77777777" w:rsidR="002D7098" w:rsidRPr="002D7098" w:rsidRDefault="002D7098" w:rsidP="002D7098">
      <w:pPr>
        <w:tabs>
          <w:tab w:val="left" w:pos="709"/>
        </w:tabs>
        <w:spacing w:line="360" w:lineRule="auto"/>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i/>
          <w:sz w:val="22"/>
          <w:szCs w:val="22"/>
          <w:lang w:val="es-MX" w:eastAsia="en-US"/>
        </w:rPr>
        <w:t>Los registros de las sanciones relativas a responsabilidades administrativas no graves, quedarán registradas para efectos de eventual reincidencia, pero no serán públicas</w:t>
      </w:r>
      <w:r w:rsidRPr="002D7098">
        <w:rPr>
          <w:rFonts w:ascii="Palatino Linotype" w:eastAsiaTheme="minorHAnsi" w:hAnsi="Palatino Linotype" w:cstheme="minorBidi"/>
          <w:b/>
          <w:i/>
          <w:sz w:val="22"/>
          <w:szCs w:val="22"/>
          <w:lang w:val="es-MX" w:eastAsia="en-US"/>
        </w:rPr>
        <w:t xml:space="preserve">...” </w:t>
      </w:r>
    </w:p>
    <w:p w14:paraId="2335DCAA" w14:textId="77777777" w:rsidR="002D7098" w:rsidRPr="002D7098" w:rsidRDefault="002D7098" w:rsidP="002D7098">
      <w:pPr>
        <w:tabs>
          <w:tab w:val="left" w:pos="709"/>
        </w:tabs>
        <w:spacing w:line="360" w:lineRule="auto"/>
        <w:ind w:left="567" w:right="567"/>
        <w:jc w:val="both"/>
        <w:rPr>
          <w:rFonts w:ascii="Palatino Linotype" w:eastAsiaTheme="minorHAnsi" w:hAnsi="Palatino Linotype" w:cstheme="minorBidi"/>
          <w:b/>
          <w:i/>
          <w:sz w:val="22"/>
          <w:szCs w:val="22"/>
          <w:lang w:val="es-MX" w:eastAsia="en-US"/>
        </w:rPr>
      </w:pPr>
    </w:p>
    <w:p w14:paraId="645F26B8" w14:textId="77777777" w:rsidR="002D7098" w:rsidRPr="002D7098" w:rsidRDefault="002D7098" w:rsidP="002D7098">
      <w:pPr>
        <w:tabs>
          <w:tab w:val="left" w:pos="709"/>
        </w:tabs>
        <w:spacing w:line="360" w:lineRule="auto"/>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del Sistema Anticorrupción del Estado de México</w:t>
      </w:r>
    </w:p>
    <w:p w14:paraId="315D4D31" w14:textId="77777777" w:rsidR="002D7098" w:rsidRPr="002D7098" w:rsidRDefault="002D7098" w:rsidP="002D7098">
      <w:pPr>
        <w:tabs>
          <w:tab w:val="left" w:pos="709"/>
        </w:tabs>
        <w:spacing w:line="360" w:lineRule="auto"/>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“53…</w:t>
      </w:r>
    </w:p>
    <w:p w14:paraId="63671D4D" w14:textId="77777777" w:rsidR="002D7098" w:rsidRPr="002D7098" w:rsidRDefault="002D7098" w:rsidP="002D7098">
      <w:pPr>
        <w:tabs>
          <w:tab w:val="left" w:pos="709"/>
        </w:tabs>
        <w:spacing w:line="360" w:lineRule="auto"/>
        <w:ind w:left="567" w:right="567"/>
        <w:jc w:val="both"/>
        <w:rPr>
          <w:rFonts w:ascii="Palatino Linotype" w:eastAsiaTheme="minorHAnsi" w:hAnsi="Palatino Linotype" w:cstheme="minorBidi"/>
          <w:sz w:val="22"/>
          <w:szCs w:val="22"/>
          <w:lang w:val="es-MX" w:eastAsia="en-US"/>
        </w:rPr>
      </w:pPr>
      <w:r w:rsidRPr="002D7098">
        <w:rPr>
          <w:rFonts w:ascii="Palatino Linotype" w:eastAsiaTheme="minorHAnsi" w:hAnsi="Palatino Linotype" w:cstheme="minorBidi"/>
          <w:sz w:val="22"/>
          <w:szCs w:val="22"/>
          <w:lang w:val="es-MX" w:eastAsia="en-US"/>
        </w:rPr>
        <w:t>Los registros de las sanciones relativas a responsabilidades administrativas no graves, quedarán registradas para efectos de eventual reincidencia, pero no serán públicas…”</w:t>
      </w:r>
    </w:p>
    <w:p w14:paraId="05DBFE46" w14:textId="77777777" w:rsidR="002D7098" w:rsidRPr="002D7098" w:rsidRDefault="002D7098" w:rsidP="002D7098">
      <w:pPr>
        <w:tabs>
          <w:tab w:val="left" w:pos="709"/>
        </w:tabs>
        <w:spacing w:line="360" w:lineRule="auto"/>
        <w:ind w:left="567" w:right="567"/>
        <w:jc w:val="both"/>
        <w:rPr>
          <w:rFonts w:ascii="Palatino Linotype" w:eastAsiaTheme="minorHAnsi" w:hAnsi="Palatino Linotype" w:cstheme="minorBidi"/>
          <w:sz w:val="22"/>
          <w:szCs w:val="22"/>
          <w:lang w:val="es-MX" w:eastAsia="en-US"/>
        </w:rPr>
      </w:pPr>
    </w:p>
    <w:p w14:paraId="63B67B19" w14:textId="77777777" w:rsidR="002D7098" w:rsidRPr="002D7098" w:rsidRDefault="002D7098" w:rsidP="002D7098">
      <w:pPr>
        <w:tabs>
          <w:tab w:val="left" w:pos="709"/>
        </w:tabs>
        <w:spacing w:line="360" w:lineRule="auto"/>
        <w:ind w:left="567" w:right="567"/>
        <w:jc w:val="center"/>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Ley General de Responsabilidades Administrativas</w:t>
      </w:r>
    </w:p>
    <w:p w14:paraId="6A9D6CB5" w14:textId="77777777" w:rsidR="002D7098" w:rsidRPr="002D7098" w:rsidRDefault="002D7098" w:rsidP="002D7098">
      <w:pPr>
        <w:tabs>
          <w:tab w:val="left" w:pos="709"/>
        </w:tabs>
        <w:spacing w:line="360" w:lineRule="auto"/>
        <w:ind w:left="567" w:right="567"/>
        <w:jc w:val="both"/>
        <w:rPr>
          <w:rFonts w:ascii="Palatino Linotype" w:eastAsiaTheme="minorHAnsi" w:hAnsi="Palatino Linotype" w:cstheme="minorBidi"/>
          <w:b/>
          <w:i/>
          <w:sz w:val="22"/>
          <w:szCs w:val="22"/>
          <w:lang w:val="es-MX" w:eastAsia="en-US"/>
        </w:rPr>
      </w:pPr>
      <w:r w:rsidRPr="002D7098">
        <w:rPr>
          <w:rFonts w:ascii="Palatino Linotype" w:eastAsiaTheme="minorHAnsi" w:hAnsi="Palatino Linotype" w:cstheme="minorBidi"/>
          <w:b/>
          <w:i/>
          <w:sz w:val="22"/>
          <w:szCs w:val="22"/>
          <w:lang w:val="es-MX" w:eastAsia="en-US"/>
        </w:rPr>
        <w:t>“27…</w:t>
      </w:r>
    </w:p>
    <w:p w14:paraId="34605AE9" w14:textId="77777777" w:rsidR="002D7098" w:rsidRPr="002D7098" w:rsidRDefault="002D7098" w:rsidP="002D7098">
      <w:pPr>
        <w:tabs>
          <w:tab w:val="left" w:pos="709"/>
        </w:tabs>
        <w:spacing w:line="360" w:lineRule="auto"/>
        <w:ind w:left="567" w:right="567"/>
        <w:jc w:val="both"/>
        <w:rPr>
          <w:rFonts w:ascii="Palatino Linotype" w:eastAsiaTheme="minorHAnsi" w:hAnsi="Palatino Linotype" w:cstheme="minorBidi"/>
          <w:i/>
          <w:sz w:val="22"/>
          <w:szCs w:val="22"/>
          <w:lang w:val="es-MX" w:eastAsia="en-US"/>
        </w:rPr>
      </w:pPr>
      <w:proofErr w:type="gramStart"/>
      <w:r w:rsidRPr="002D7098">
        <w:rPr>
          <w:rFonts w:ascii="Palatino Linotype" w:eastAsiaTheme="minorHAnsi" w:hAnsi="Palatino Linotype" w:cstheme="minorBidi"/>
          <w:i/>
          <w:sz w:val="22"/>
          <w:szCs w:val="22"/>
          <w:lang w:val="es-MX" w:eastAsia="en-US"/>
        </w:rPr>
        <w:t>así</w:t>
      </w:r>
      <w:proofErr w:type="gramEnd"/>
      <w:r w:rsidRPr="002D7098">
        <w:rPr>
          <w:rFonts w:ascii="Palatino Linotype" w:eastAsiaTheme="minorHAnsi" w:hAnsi="Palatino Linotype" w:cstheme="minorBidi"/>
          <w:i/>
          <w:sz w:val="22"/>
          <w:szCs w:val="22"/>
          <w:lang w:val="es-MX" w:eastAsia="en-US"/>
        </w:rPr>
        <w:t xml:space="preserve"> como la anotación de aquellas abstenciones que hayan realizado las autoridades investigadoras o el Tribunal, en términos de los artículos 77 y 80 de esta Ley”.</w:t>
      </w:r>
    </w:p>
    <w:p w14:paraId="6F8C597C" w14:textId="77777777" w:rsidR="002D7098" w:rsidRPr="002D7098" w:rsidRDefault="002D7098" w:rsidP="002D7098">
      <w:pPr>
        <w:tabs>
          <w:tab w:val="left" w:pos="709"/>
        </w:tabs>
        <w:spacing w:line="360" w:lineRule="auto"/>
        <w:ind w:right="567"/>
        <w:jc w:val="both"/>
        <w:rPr>
          <w:rFonts w:ascii="Palatino Linotype" w:eastAsiaTheme="minorHAnsi" w:hAnsi="Palatino Linotype" w:cstheme="minorBidi"/>
          <w:sz w:val="22"/>
          <w:szCs w:val="22"/>
          <w:lang w:val="es-MX" w:eastAsia="en-US"/>
        </w:rPr>
      </w:pPr>
    </w:p>
    <w:p w14:paraId="7651D6C4"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r w:rsidRPr="002D7098">
        <w:rPr>
          <w:rFonts w:ascii="Palatino Linotype" w:eastAsiaTheme="minorHAnsi" w:hAnsi="Palatino Linotype" w:cstheme="minorBidi"/>
          <w:lang w:val="es-MX" w:eastAsia="en-US"/>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3CA90C9F"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4C50A3E4" w14:textId="210A7F21" w:rsidR="002D7098" w:rsidRPr="005E6AE8" w:rsidRDefault="002D7098" w:rsidP="002D7098">
      <w:pPr>
        <w:tabs>
          <w:tab w:val="left" w:pos="709"/>
        </w:tabs>
        <w:spacing w:line="360" w:lineRule="auto"/>
        <w:jc w:val="both"/>
        <w:rPr>
          <w:rFonts w:ascii="Palatino Linotype" w:eastAsiaTheme="minorHAnsi" w:hAnsi="Palatino Linotype" w:cstheme="minorBidi"/>
          <w:lang w:val="es-MX" w:eastAsia="en-US"/>
        </w:rPr>
      </w:pPr>
      <w:r w:rsidRPr="002D7098">
        <w:rPr>
          <w:rFonts w:ascii="Palatino Linotype" w:eastAsiaTheme="minorHAnsi" w:hAnsi="Palatino Linotype" w:cstheme="minorBidi"/>
          <w:lang w:val="es-MX" w:eastAsia="en-US"/>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201C891C"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01C4B43E" w14:textId="72F4B59F" w:rsidR="002D7098" w:rsidRPr="002D7098" w:rsidRDefault="005E6AE8" w:rsidP="002D7098">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Por todo lo anteriormente señalado, toda vez que de la respuesta emitida por el Sujeto obligado, no se desprenden los elementos suficientes que permitan a este Órgano Garante tener certeza de existan o no </w:t>
      </w:r>
      <w:r w:rsidRPr="005E6AE8">
        <w:rPr>
          <w:rFonts w:ascii="Palatino Linotype" w:eastAsiaTheme="minorHAnsi" w:hAnsi="Palatino Linotype" w:cstheme="minorBidi"/>
          <w:b/>
          <w:bCs/>
          <w:lang w:val="es-MX" w:eastAsia="en-US"/>
        </w:rPr>
        <w:t>procedimientos que se encuentran en trámite y que se relacionen con actos de corrupción, delitos de lesa humanidad o posibles violaciones graves a derechos humanos</w:t>
      </w:r>
      <w:r w:rsidR="002D7098" w:rsidRPr="002D7098">
        <w:rPr>
          <w:rFonts w:ascii="Palatino Linotype" w:eastAsiaTheme="minorHAnsi" w:hAnsi="Palatino Linotype" w:cstheme="minorBidi"/>
          <w:lang w:val="es-MX" w:eastAsia="en-US"/>
        </w:rPr>
        <w:t xml:space="preserve">, </w:t>
      </w:r>
      <w:r>
        <w:rPr>
          <w:rFonts w:ascii="Palatino Linotype" w:eastAsiaTheme="minorHAnsi" w:hAnsi="Palatino Linotype" w:cstheme="minorBidi"/>
          <w:lang w:val="es-MX" w:eastAsia="en-US"/>
        </w:rPr>
        <w:t>es que, de ser el caso</w:t>
      </w:r>
      <w:r w:rsidR="002D7098" w:rsidRPr="002D7098">
        <w:rPr>
          <w:rFonts w:ascii="Palatino Linotype" w:eastAsiaTheme="minorHAnsi" w:hAnsi="Palatino Linotype" w:cstheme="minorBidi"/>
          <w:lang w:val="es-MX" w:eastAsia="en-US"/>
        </w:rPr>
        <w:t xml:space="preserve">, </w:t>
      </w:r>
      <w:r>
        <w:rPr>
          <w:rFonts w:ascii="Palatino Linotype" w:eastAsiaTheme="minorHAnsi" w:hAnsi="Palatino Linotype" w:cstheme="minorBidi"/>
          <w:lang w:val="es-MX" w:eastAsia="en-US"/>
        </w:rPr>
        <w:t xml:space="preserve">el Sujeto Obligado </w:t>
      </w:r>
      <w:r w:rsidR="002D7098" w:rsidRPr="002D7098">
        <w:rPr>
          <w:rFonts w:ascii="Palatino Linotype" w:eastAsiaTheme="minorHAnsi" w:hAnsi="Palatino Linotype" w:cstheme="minorBidi"/>
          <w:lang w:val="es-MX" w:eastAsia="en-US"/>
        </w:rPr>
        <w:t>deberá</w:t>
      </w:r>
      <w:r>
        <w:rPr>
          <w:rFonts w:ascii="Palatino Linotype" w:eastAsiaTheme="minorHAnsi" w:hAnsi="Palatino Linotype" w:cstheme="minorBidi"/>
          <w:lang w:val="es-MX" w:eastAsia="en-US"/>
        </w:rPr>
        <w:t xml:space="preserve"> hacer entrega de los e</w:t>
      </w:r>
      <w:r w:rsidRPr="005E6AE8">
        <w:rPr>
          <w:rFonts w:ascii="Palatino Linotype" w:eastAsiaTheme="minorHAnsi" w:hAnsi="Palatino Linotype" w:cstheme="minorBidi"/>
          <w:lang w:val="es-MX" w:eastAsia="en-US"/>
        </w:rPr>
        <w:t>xpedientes formados con motivo de procedimientos administrativos instaurados en contra de los Titulares del Órgano de Control Interno del año 2018 al 20 de febrero de 2023</w:t>
      </w:r>
      <w:r>
        <w:rPr>
          <w:rFonts w:ascii="Palatino Linotype" w:eastAsiaTheme="minorHAnsi" w:hAnsi="Palatino Linotype" w:cstheme="minorBidi"/>
          <w:lang w:val="es-MX" w:eastAsia="en-US"/>
        </w:rPr>
        <w:t xml:space="preserve">, en </w:t>
      </w:r>
      <w:r w:rsidR="002D7098" w:rsidRPr="002D7098">
        <w:rPr>
          <w:rFonts w:ascii="Palatino Linotype" w:eastAsiaTheme="minorHAnsi" w:hAnsi="Palatino Linotype" w:cstheme="minorBidi"/>
          <w:lang w:val="es-MX" w:eastAsia="en-US"/>
        </w:rPr>
        <w:t>versión pública</w:t>
      </w:r>
      <w:r>
        <w:rPr>
          <w:rFonts w:ascii="Palatino Linotype" w:eastAsiaTheme="minorHAnsi" w:hAnsi="Palatino Linotype" w:cstheme="minorBidi"/>
          <w:lang w:val="es-MX" w:eastAsia="en-US"/>
        </w:rPr>
        <w:t xml:space="preserve"> de ser procedente</w:t>
      </w:r>
      <w:r w:rsidR="002D7098" w:rsidRPr="002D7098">
        <w:rPr>
          <w:rFonts w:ascii="Palatino Linotype" w:eastAsiaTheme="minorHAnsi" w:hAnsi="Palatino Linotype" w:cstheme="minorBidi"/>
          <w:lang w:val="es-MX" w:eastAsia="en-US"/>
        </w:rPr>
        <w:t xml:space="preserve"> en la que se eliminen </w:t>
      </w:r>
      <w:r>
        <w:rPr>
          <w:rFonts w:ascii="Palatino Linotype" w:eastAsiaTheme="minorHAnsi" w:hAnsi="Palatino Linotype" w:cstheme="minorBidi"/>
          <w:lang w:val="es-MX" w:eastAsia="en-US"/>
        </w:rPr>
        <w:t>en su caso datos de terceros</w:t>
      </w:r>
      <w:r w:rsidR="002D7098" w:rsidRPr="002D7098">
        <w:rPr>
          <w:rFonts w:ascii="Palatino Linotype" w:eastAsiaTheme="minorHAnsi" w:hAnsi="Palatino Linotype" w:cstheme="minorBidi"/>
          <w:lang w:val="es-MX" w:eastAsia="en-US"/>
        </w:rPr>
        <w:t>,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7243636C"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1E4A0938" w14:textId="77777777" w:rsidR="002D7098" w:rsidRPr="002D7098" w:rsidRDefault="002D7098" w:rsidP="002D7098">
      <w:pPr>
        <w:tabs>
          <w:tab w:val="left" w:pos="709"/>
        </w:tabs>
        <w:spacing w:line="360" w:lineRule="auto"/>
        <w:jc w:val="both"/>
        <w:rPr>
          <w:rFonts w:ascii="Palatino Linotype" w:eastAsiaTheme="minorHAnsi" w:hAnsi="Palatino Linotype" w:cstheme="minorBidi"/>
          <w:lang w:val="es-MX" w:eastAsia="en-US"/>
        </w:rPr>
      </w:pPr>
    </w:p>
    <w:p w14:paraId="195071CD" w14:textId="77777777" w:rsidR="002D7098" w:rsidRPr="002D7098" w:rsidRDefault="002D7098" w:rsidP="002D7098">
      <w:pPr>
        <w:spacing w:line="360" w:lineRule="auto"/>
        <w:jc w:val="both"/>
        <w:rPr>
          <w:rFonts w:asciiTheme="minorHAnsi" w:eastAsiaTheme="minorHAnsi" w:hAnsiTheme="minorHAnsi" w:cs="Arial"/>
          <w:sz w:val="22"/>
          <w:szCs w:val="22"/>
          <w:lang w:val="es-MX" w:eastAsia="en-US"/>
        </w:rPr>
      </w:pPr>
      <w:r w:rsidRPr="002D7098">
        <w:rPr>
          <w:rFonts w:ascii="Palatino Linotype" w:eastAsiaTheme="minorHAnsi" w:hAnsi="Palatino Linotype" w:cstheme="minorBidi"/>
          <w:b/>
          <w:i/>
          <w:sz w:val="28"/>
          <w:szCs w:val="28"/>
          <w:u w:val="single"/>
          <w:lang w:val="es-MX" w:eastAsia="en-US"/>
        </w:rPr>
        <w:t>De la Versión Pública.</w:t>
      </w:r>
    </w:p>
    <w:p w14:paraId="3E2A91C0" w14:textId="77777777" w:rsidR="002D7098" w:rsidRPr="002D7098" w:rsidRDefault="002D7098" w:rsidP="002D7098">
      <w:pPr>
        <w:autoSpaceDE w:val="0"/>
        <w:autoSpaceDN w:val="0"/>
        <w:adjustRightInd w:val="0"/>
        <w:spacing w:line="360" w:lineRule="auto"/>
        <w:jc w:val="both"/>
        <w:rPr>
          <w:rFonts w:ascii="Palatino Linotype" w:hAnsi="Palatino Linotype" w:cs="Arial"/>
        </w:rPr>
      </w:pPr>
      <w:r w:rsidRPr="002D7098">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2D7098">
        <w:rPr>
          <w:rFonts w:ascii="Palatino Linotype" w:eastAsia="Arial Unicode MS" w:hAnsi="Palatino Linotype" w:cs="Arial"/>
        </w:rPr>
        <w:t>esto es, omitirá, eliminará o suprimirá la información personal de los servidores públicos sujetos a evaluación, e</w:t>
      </w:r>
      <w:r w:rsidRPr="002D7098">
        <w:rPr>
          <w:rFonts w:ascii="Palatino Linotype" w:hAnsi="Palatino Linotype"/>
        </w:rPr>
        <w:t xml:space="preserve">n el caso específico en dichos documentos pueden obran datos que son considerados confidenciales, cuyo acceso debe ser restringido, los cuales </w:t>
      </w:r>
      <w:r w:rsidRPr="002D7098">
        <w:rPr>
          <w:rFonts w:ascii="Palatino Linotype" w:hAnsi="Palatino Linotype" w:cs="Arial"/>
        </w:rPr>
        <w:t xml:space="preserve">deben testarse al momento de la elaboración de versiones públicas, como es el caso del </w:t>
      </w:r>
      <w:r w:rsidRPr="002D7098">
        <w:rPr>
          <w:rFonts w:ascii="Palatino Linotype" w:hAnsi="Palatino Linotype" w:cs="Arial"/>
          <w:b/>
        </w:rPr>
        <w:t>Registro Federal de Contribuyentes</w:t>
      </w:r>
      <w:r w:rsidRPr="002D7098">
        <w:rPr>
          <w:rFonts w:ascii="Palatino Linotype" w:hAnsi="Palatino Linotype" w:cs="Arial"/>
        </w:rPr>
        <w:t xml:space="preserve"> (RFC), la </w:t>
      </w:r>
      <w:r w:rsidRPr="002D7098">
        <w:rPr>
          <w:rFonts w:ascii="Palatino Linotype" w:hAnsi="Palatino Linotype" w:cs="Arial"/>
          <w:b/>
        </w:rPr>
        <w:t>Clave Única de Registro de Población</w:t>
      </w:r>
      <w:r w:rsidRPr="002D7098">
        <w:rPr>
          <w:rFonts w:ascii="Palatino Linotype" w:hAnsi="Palatino Linotype" w:cs="Arial"/>
        </w:rPr>
        <w:t xml:space="preserve"> </w:t>
      </w:r>
      <w:r w:rsidRPr="002D7098">
        <w:rPr>
          <w:rFonts w:ascii="Palatino Linotype" w:hAnsi="Palatino Linotype" w:cs="Arial"/>
        </w:rPr>
        <w:lastRenderedPageBreak/>
        <w:t xml:space="preserve">(CURP), la </w:t>
      </w:r>
      <w:r w:rsidRPr="002D7098">
        <w:rPr>
          <w:rFonts w:ascii="Palatino Linotype" w:hAnsi="Palatino Linotype" w:cs="Arial"/>
          <w:b/>
        </w:rPr>
        <w:t>Clave de cualquier tipo de seguridad social</w:t>
      </w:r>
      <w:r w:rsidRPr="002D7098">
        <w:rPr>
          <w:rFonts w:ascii="Palatino Linotype" w:hAnsi="Palatino Linotype" w:cs="Arial"/>
        </w:rPr>
        <w:t xml:space="preserve"> (ISSEMYM); </w:t>
      </w:r>
      <w:r w:rsidRPr="002D7098">
        <w:rPr>
          <w:rFonts w:ascii="Palatino Linotype" w:hAnsi="Palatino Linotype" w:cs="Arial"/>
          <w:b/>
        </w:rPr>
        <w:t>préstamos o descuentos</w:t>
      </w:r>
      <w:r w:rsidRPr="002D7098">
        <w:rPr>
          <w:rFonts w:ascii="Palatino Linotype" w:hAnsi="Palatino Linotype" w:cs="Arial"/>
        </w:rPr>
        <w:t xml:space="preserve"> que se les hagan y que no tengan relación con los impuestos o la cuota por seguridad social, así como, firmas y calificaciones, entre otros datos.</w:t>
      </w:r>
    </w:p>
    <w:p w14:paraId="02264925" w14:textId="77777777" w:rsidR="002D7098" w:rsidRPr="002D7098" w:rsidRDefault="002D7098" w:rsidP="002D7098">
      <w:pPr>
        <w:autoSpaceDE w:val="0"/>
        <w:autoSpaceDN w:val="0"/>
        <w:adjustRightInd w:val="0"/>
        <w:spacing w:line="360" w:lineRule="auto"/>
        <w:jc w:val="both"/>
        <w:rPr>
          <w:rFonts w:ascii="Palatino Linotype" w:eastAsiaTheme="minorHAnsi" w:hAnsi="Palatino Linotype" w:cs="Arial"/>
          <w:lang w:val="es-MX" w:eastAsia="en-US"/>
        </w:rPr>
      </w:pPr>
    </w:p>
    <w:p w14:paraId="11D0D47B" w14:textId="77777777" w:rsidR="002D7098" w:rsidRPr="002D7098" w:rsidRDefault="002D7098" w:rsidP="002D7098">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2D7098">
        <w:rPr>
          <w:rFonts w:ascii="Palatino Linotype" w:eastAsiaTheme="minorHAnsi" w:hAnsi="Palatino Linotype" w:cs="Arial"/>
          <w:szCs w:val="22"/>
          <w:lang w:val="es-MX" w:eastAsia="es-MX"/>
        </w:rPr>
        <w:t xml:space="preserve">Por cuanto hace al </w:t>
      </w:r>
      <w:r w:rsidRPr="002D7098">
        <w:rPr>
          <w:rFonts w:ascii="Palatino Linotype" w:eastAsiaTheme="minorHAnsi" w:hAnsi="Palatino Linotype" w:cs="Arial"/>
          <w:b/>
          <w:szCs w:val="22"/>
          <w:lang w:val="es-MX" w:eastAsia="es-MX"/>
        </w:rPr>
        <w:t>Registro Federal de Contribuyentes</w:t>
      </w:r>
      <w:r w:rsidRPr="002D7098">
        <w:rPr>
          <w:rFonts w:ascii="Palatino Linotype" w:eastAsiaTheme="minorHAnsi" w:hAnsi="Palatino Linotype" w:cs="Arial"/>
          <w:szCs w:val="22"/>
          <w:lang w:val="es-MX" w:eastAsia="es-MX"/>
        </w:rPr>
        <w:t xml:space="preserve"> </w:t>
      </w:r>
      <w:r w:rsidRPr="002D7098">
        <w:rPr>
          <w:rFonts w:ascii="Palatino Linotype" w:eastAsiaTheme="minorHAnsi" w:hAnsi="Palatino Linotype" w:cs="Arial"/>
          <w:b/>
          <w:szCs w:val="22"/>
          <w:lang w:val="es-MX" w:eastAsia="es-MX"/>
        </w:rPr>
        <w:t>de las personas físicas</w:t>
      </w:r>
      <w:r w:rsidRPr="002D7098">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D7098">
        <w:rPr>
          <w:rFonts w:ascii="Palatino Linotype" w:eastAsiaTheme="minorHAnsi" w:hAnsi="Palatino Linotype" w:cstheme="minorBidi"/>
          <w:szCs w:val="22"/>
          <w:lang w:val="es-MX" w:eastAsia="en-US"/>
        </w:rPr>
        <w:t xml:space="preserve"> y finalmente la </w:t>
      </w:r>
      <w:proofErr w:type="spellStart"/>
      <w:r w:rsidRPr="002D7098">
        <w:rPr>
          <w:rFonts w:ascii="Palatino Linotype" w:eastAsiaTheme="minorHAnsi" w:hAnsi="Palatino Linotype" w:cstheme="minorBidi"/>
          <w:szCs w:val="22"/>
          <w:lang w:val="es-MX" w:eastAsia="en-US"/>
        </w:rPr>
        <w:t>homoclave</w:t>
      </w:r>
      <w:proofErr w:type="spellEnd"/>
      <w:r w:rsidRPr="002D7098">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14:paraId="13742378" w14:textId="77777777" w:rsidR="002D7098" w:rsidRPr="002D7098" w:rsidRDefault="002D7098" w:rsidP="002D7098">
      <w:pPr>
        <w:rPr>
          <w:lang w:val="es-MX"/>
        </w:rPr>
      </w:pPr>
    </w:p>
    <w:p w14:paraId="69816039" w14:textId="77777777" w:rsidR="002D7098" w:rsidRPr="002D7098" w:rsidRDefault="002D7098" w:rsidP="002D7098">
      <w:pPr>
        <w:spacing w:after="160" w:line="360" w:lineRule="auto"/>
        <w:ind w:right="-91"/>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23555C4D" w14:textId="77777777" w:rsidR="002D7098" w:rsidRPr="002D7098" w:rsidRDefault="002D7098" w:rsidP="002D7098">
      <w:pPr>
        <w:rPr>
          <w:lang w:val="es-MX"/>
        </w:rPr>
      </w:pPr>
    </w:p>
    <w:p w14:paraId="1CC2B78A" w14:textId="77777777" w:rsidR="002D7098" w:rsidRPr="002D7098" w:rsidRDefault="002D7098" w:rsidP="002D7098">
      <w:pPr>
        <w:spacing w:after="160" w:line="259" w:lineRule="auto"/>
        <w:ind w:left="851" w:right="902"/>
        <w:jc w:val="both"/>
        <w:rPr>
          <w:rFonts w:ascii="Palatino Linotype" w:eastAsiaTheme="minorHAnsi" w:hAnsi="Palatino Linotype" w:cs="Arial"/>
          <w:b/>
          <w:bCs/>
          <w:i/>
          <w:sz w:val="22"/>
          <w:szCs w:val="22"/>
          <w:lang w:val="es-MX" w:eastAsia="en-US"/>
        </w:rPr>
      </w:pPr>
      <w:r w:rsidRPr="002D7098">
        <w:rPr>
          <w:rFonts w:ascii="Palatino Linotype" w:eastAsiaTheme="minorHAnsi" w:hAnsi="Palatino Linotype" w:cs="Arial"/>
          <w:b/>
          <w:bCs/>
          <w:i/>
          <w:sz w:val="22"/>
          <w:szCs w:val="22"/>
          <w:lang w:val="es-MX" w:eastAsia="en-US"/>
        </w:rPr>
        <w:t xml:space="preserve">“Registro Federal de Contribuyentes (RFC) de personas físicas. </w:t>
      </w:r>
      <w:r w:rsidRPr="002D7098">
        <w:rPr>
          <w:rFonts w:ascii="Palatino Linotype" w:eastAsiaTheme="minorHAnsi" w:hAnsi="Palatino Linotype" w:cs="Arial"/>
          <w:bCs/>
          <w:i/>
          <w:sz w:val="22"/>
          <w:szCs w:val="22"/>
          <w:lang w:val="es-MX" w:eastAsia="en-US"/>
        </w:rPr>
        <w:t xml:space="preserve">El RFC es una clave de carácter fiscal, </w:t>
      </w:r>
      <w:proofErr w:type="gramStart"/>
      <w:r w:rsidRPr="002D7098">
        <w:rPr>
          <w:rFonts w:ascii="Palatino Linotype" w:eastAsiaTheme="minorHAnsi" w:hAnsi="Palatino Linotype" w:cs="Arial"/>
          <w:bCs/>
          <w:i/>
          <w:sz w:val="22"/>
          <w:szCs w:val="22"/>
          <w:lang w:val="es-MX" w:eastAsia="en-US"/>
        </w:rPr>
        <w:t>única</w:t>
      </w:r>
      <w:proofErr w:type="gramEnd"/>
      <w:r w:rsidRPr="002D7098">
        <w:rPr>
          <w:rFonts w:ascii="Palatino Linotype" w:eastAsiaTheme="minorHAnsi" w:hAnsi="Palatino Linotype" w:cs="Arial"/>
          <w:bCs/>
          <w:i/>
          <w:sz w:val="22"/>
          <w:szCs w:val="22"/>
          <w:lang w:val="es-MX" w:eastAsia="en-US"/>
        </w:rPr>
        <w:t xml:space="preserve"> e irrepetible, que permite identificar al titular, su edad y fecha de nacimiento, por lo que es un dato personal de carácter confidencial.</w:t>
      </w:r>
    </w:p>
    <w:p w14:paraId="7507DA22" w14:textId="77777777" w:rsidR="002D7098" w:rsidRPr="002D7098" w:rsidRDefault="002D7098" w:rsidP="002D7098">
      <w:pPr>
        <w:rPr>
          <w:lang w:val="es-MX"/>
        </w:rPr>
      </w:pPr>
    </w:p>
    <w:p w14:paraId="4948429C" w14:textId="77777777" w:rsidR="002D7098" w:rsidRPr="002D7098" w:rsidRDefault="002D7098" w:rsidP="002D7098">
      <w:pPr>
        <w:ind w:left="851" w:right="902"/>
        <w:jc w:val="both"/>
        <w:rPr>
          <w:rFonts w:ascii="Palatino Linotype" w:eastAsiaTheme="minorHAnsi" w:hAnsi="Palatino Linotype" w:cs="Arial"/>
          <w:b/>
          <w:bCs/>
          <w:i/>
          <w:sz w:val="22"/>
          <w:szCs w:val="22"/>
          <w:lang w:val="es-MX" w:eastAsia="en-US"/>
        </w:rPr>
      </w:pPr>
      <w:r w:rsidRPr="002D7098">
        <w:rPr>
          <w:rFonts w:ascii="Palatino Linotype" w:eastAsiaTheme="minorHAnsi" w:hAnsi="Palatino Linotype" w:cs="Arial"/>
          <w:b/>
          <w:bCs/>
          <w:i/>
          <w:sz w:val="22"/>
          <w:szCs w:val="22"/>
          <w:lang w:val="es-MX" w:eastAsia="en-US"/>
        </w:rPr>
        <w:t>Resoluciones:</w:t>
      </w:r>
    </w:p>
    <w:p w14:paraId="7430490A" w14:textId="77777777" w:rsidR="002D7098" w:rsidRPr="002D7098" w:rsidRDefault="002D7098" w:rsidP="002D7098">
      <w:pPr>
        <w:ind w:left="851" w:right="902"/>
        <w:jc w:val="both"/>
        <w:rPr>
          <w:rFonts w:ascii="Palatino Linotype" w:eastAsiaTheme="minorHAnsi" w:hAnsi="Palatino Linotype" w:cs="Arial"/>
          <w:bCs/>
          <w:i/>
          <w:sz w:val="22"/>
          <w:szCs w:val="22"/>
          <w:lang w:val="es-MX" w:eastAsia="en-US"/>
        </w:rPr>
      </w:pPr>
      <w:r w:rsidRPr="002D7098">
        <w:rPr>
          <w:rFonts w:ascii="Palatino Linotype" w:eastAsiaTheme="minorHAnsi" w:hAnsi="Palatino Linotype" w:cs="Arial"/>
          <w:b/>
          <w:bCs/>
          <w:i/>
          <w:sz w:val="22"/>
          <w:szCs w:val="22"/>
          <w:lang w:val="es-MX" w:eastAsia="en-US"/>
        </w:rPr>
        <w:t>•</w:t>
      </w:r>
      <w:r w:rsidRPr="002D7098">
        <w:rPr>
          <w:rFonts w:ascii="Palatino Linotype" w:eastAsiaTheme="minorHAnsi" w:hAnsi="Palatino Linotype" w:cs="Arial"/>
          <w:b/>
          <w:bCs/>
          <w:i/>
          <w:sz w:val="22"/>
          <w:szCs w:val="22"/>
          <w:lang w:val="es-MX" w:eastAsia="en-US"/>
        </w:rPr>
        <w:tab/>
        <w:t xml:space="preserve">RRA 0189/17. </w:t>
      </w:r>
      <w:r w:rsidRPr="002D7098">
        <w:rPr>
          <w:rFonts w:ascii="Palatino Linotype" w:eastAsiaTheme="minorHAnsi" w:hAnsi="Palatino Linotype" w:cs="Arial"/>
          <w:bCs/>
          <w:i/>
          <w:sz w:val="22"/>
          <w:szCs w:val="22"/>
          <w:lang w:val="es-MX" w:eastAsia="en-US"/>
        </w:rPr>
        <w:t>Morena. 08 de febrero de 2017. Por unanimidad. Comisionado Ponente Joel Salas Suárez.</w:t>
      </w:r>
    </w:p>
    <w:p w14:paraId="7B6EF3D3" w14:textId="77777777" w:rsidR="002D7098" w:rsidRPr="002D7098" w:rsidRDefault="002D7098" w:rsidP="002D7098">
      <w:pPr>
        <w:ind w:left="851" w:right="902"/>
        <w:jc w:val="both"/>
        <w:rPr>
          <w:rFonts w:ascii="Palatino Linotype" w:eastAsiaTheme="minorHAnsi" w:hAnsi="Palatino Linotype" w:cs="Arial"/>
          <w:b/>
          <w:bCs/>
          <w:i/>
          <w:sz w:val="22"/>
          <w:szCs w:val="22"/>
          <w:lang w:val="es-MX" w:eastAsia="en-US"/>
        </w:rPr>
      </w:pPr>
      <w:r w:rsidRPr="002D7098">
        <w:rPr>
          <w:rFonts w:ascii="Palatino Linotype" w:eastAsiaTheme="minorHAnsi" w:hAnsi="Palatino Linotype" w:cs="Arial"/>
          <w:b/>
          <w:bCs/>
          <w:i/>
          <w:sz w:val="22"/>
          <w:szCs w:val="22"/>
          <w:lang w:val="es-MX" w:eastAsia="en-US"/>
        </w:rPr>
        <w:t>•</w:t>
      </w:r>
      <w:r w:rsidRPr="002D7098">
        <w:rPr>
          <w:rFonts w:ascii="Palatino Linotype" w:eastAsiaTheme="minorHAnsi" w:hAnsi="Palatino Linotype" w:cs="Arial"/>
          <w:b/>
          <w:bCs/>
          <w:i/>
          <w:sz w:val="22"/>
          <w:szCs w:val="22"/>
          <w:lang w:val="es-MX" w:eastAsia="en-US"/>
        </w:rPr>
        <w:tab/>
        <w:t xml:space="preserve">RRA 0677/17. </w:t>
      </w:r>
      <w:r w:rsidRPr="002D7098">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2D7098">
        <w:rPr>
          <w:rFonts w:ascii="Palatino Linotype" w:eastAsiaTheme="minorHAnsi" w:hAnsi="Palatino Linotype" w:cs="Arial"/>
          <w:bCs/>
          <w:i/>
          <w:sz w:val="22"/>
          <w:szCs w:val="22"/>
          <w:lang w:val="es-MX" w:eastAsia="en-US"/>
        </w:rPr>
        <w:t>Rosendoevgueni</w:t>
      </w:r>
      <w:proofErr w:type="spellEnd"/>
      <w:r w:rsidRPr="002D7098">
        <w:rPr>
          <w:rFonts w:ascii="Palatino Linotype" w:eastAsiaTheme="minorHAnsi" w:hAnsi="Palatino Linotype" w:cs="Arial"/>
          <w:bCs/>
          <w:i/>
          <w:sz w:val="22"/>
          <w:szCs w:val="22"/>
          <w:lang w:val="es-MX" w:eastAsia="en-US"/>
        </w:rPr>
        <w:t xml:space="preserve"> Monterrey </w:t>
      </w:r>
      <w:proofErr w:type="spellStart"/>
      <w:r w:rsidRPr="002D7098">
        <w:rPr>
          <w:rFonts w:ascii="Palatino Linotype" w:eastAsiaTheme="minorHAnsi" w:hAnsi="Palatino Linotype" w:cs="Arial"/>
          <w:bCs/>
          <w:i/>
          <w:sz w:val="22"/>
          <w:szCs w:val="22"/>
          <w:lang w:val="es-MX" w:eastAsia="en-US"/>
        </w:rPr>
        <w:t>Chepov</w:t>
      </w:r>
      <w:proofErr w:type="spellEnd"/>
      <w:r w:rsidRPr="002D7098">
        <w:rPr>
          <w:rFonts w:ascii="Palatino Linotype" w:eastAsiaTheme="minorHAnsi" w:hAnsi="Palatino Linotype" w:cs="Arial"/>
          <w:bCs/>
          <w:i/>
          <w:sz w:val="22"/>
          <w:szCs w:val="22"/>
          <w:lang w:val="es-MX" w:eastAsia="en-US"/>
        </w:rPr>
        <w:t>.</w:t>
      </w:r>
      <w:r w:rsidRPr="002D7098">
        <w:rPr>
          <w:rFonts w:ascii="Palatino Linotype" w:eastAsiaTheme="minorHAnsi" w:hAnsi="Palatino Linotype" w:cs="Arial"/>
          <w:b/>
          <w:bCs/>
          <w:i/>
          <w:sz w:val="22"/>
          <w:szCs w:val="22"/>
          <w:lang w:val="es-MX" w:eastAsia="en-US"/>
        </w:rPr>
        <w:t xml:space="preserve"> </w:t>
      </w:r>
    </w:p>
    <w:p w14:paraId="6A8CD4C5" w14:textId="77777777" w:rsidR="002D7098" w:rsidRPr="002D7098" w:rsidRDefault="002D7098" w:rsidP="002D7098">
      <w:pPr>
        <w:ind w:left="851" w:right="900"/>
        <w:jc w:val="both"/>
        <w:rPr>
          <w:rFonts w:ascii="Palatino Linotype" w:eastAsiaTheme="minorHAnsi" w:hAnsi="Palatino Linotype" w:cs="Arial"/>
          <w:sz w:val="22"/>
          <w:szCs w:val="20"/>
          <w:lang w:val="es-MX" w:eastAsia="es-MX"/>
        </w:rPr>
      </w:pPr>
      <w:r w:rsidRPr="002D7098">
        <w:rPr>
          <w:rFonts w:ascii="Palatino Linotype" w:eastAsiaTheme="minorHAnsi" w:hAnsi="Palatino Linotype" w:cs="Arial"/>
          <w:b/>
          <w:bCs/>
          <w:i/>
          <w:sz w:val="22"/>
          <w:szCs w:val="22"/>
          <w:lang w:val="es-MX" w:eastAsia="en-US"/>
        </w:rPr>
        <w:lastRenderedPageBreak/>
        <w:t>•</w:t>
      </w:r>
      <w:r w:rsidRPr="002D7098">
        <w:rPr>
          <w:rFonts w:ascii="Palatino Linotype" w:eastAsiaTheme="minorHAnsi" w:hAnsi="Palatino Linotype" w:cs="Arial"/>
          <w:b/>
          <w:bCs/>
          <w:i/>
          <w:sz w:val="22"/>
          <w:szCs w:val="22"/>
          <w:lang w:val="es-MX" w:eastAsia="en-US"/>
        </w:rPr>
        <w:tab/>
        <w:t xml:space="preserve">RRA 1564/17. </w:t>
      </w:r>
      <w:r w:rsidRPr="002D7098">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2D7098">
        <w:rPr>
          <w:rFonts w:ascii="Palatino Linotype" w:eastAsiaTheme="minorHAnsi" w:hAnsi="Palatino Linotype" w:cs="Arial"/>
          <w:i/>
          <w:sz w:val="22"/>
          <w:szCs w:val="22"/>
          <w:lang w:val="es-MX" w:eastAsia="en-US"/>
        </w:rPr>
        <w:t>.”</w:t>
      </w:r>
    </w:p>
    <w:p w14:paraId="37CB71CB" w14:textId="77777777" w:rsidR="002D7098" w:rsidRPr="002D7098" w:rsidRDefault="002D7098" w:rsidP="002D7098">
      <w:pPr>
        <w:spacing w:after="160" w:line="259" w:lineRule="auto"/>
        <w:jc w:val="both"/>
        <w:rPr>
          <w:rFonts w:ascii="Palatino Linotype" w:eastAsiaTheme="minorHAnsi" w:hAnsi="Palatino Linotype" w:cs="Arial"/>
          <w:sz w:val="16"/>
          <w:szCs w:val="16"/>
          <w:lang w:val="es-MX" w:eastAsia="es-MX"/>
        </w:rPr>
      </w:pPr>
    </w:p>
    <w:p w14:paraId="12D945A0" w14:textId="77777777" w:rsidR="002D7098" w:rsidRPr="002D7098" w:rsidRDefault="002D7098" w:rsidP="002D7098">
      <w:pPr>
        <w:spacing w:after="160" w:line="360" w:lineRule="auto"/>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2D7098">
        <w:rPr>
          <w:rFonts w:ascii="Palatino Linotype" w:eastAsiaTheme="minorHAnsi" w:hAnsi="Palatino Linotype" w:cs="Arial"/>
          <w:szCs w:val="22"/>
          <w:lang w:val="es-MX" w:eastAsia="es-MX"/>
        </w:rPr>
        <w:t>homoclave</w:t>
      </w:r>
      <w:proofErr w:type="spellEnd"/>
      <w:r w:rsidRPr="002D7098">
        <w:rPr>
          <w:rFonts w:ascii="Palatino Linotype" w:eastAsiaTheme="minorHAnsi" w:hAnsi="Palatino Linotype" w:cs="Arial"/>
          <w:szCs w:val="22"/>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450CC8A" w14:textId="77777777" w:rsidR="002D7098" w:rsidRPr="002D7098" w:rsidRDefault="002D7098" w:rsidP="002D7098">
      <w:pPr>
        <w:spacing w:after="160" w:line="259" w:lineRule="auto"/>
        <w:ind w:right="-93"/>
        <w:jc w:val="both"/>
        <w:rPr>
          <w:rFonts w:ascii="Palatino Linotype" w:eastAsiaTheme="minorHAnsi" w:hAnsi="Palatino Linotype" w:cs="Arial"/>
          <w:sz w:val="16"/>
          <w:szCs w:val="16"/>
          <w:lang w:val="es-MX" w:eastAsia="es-MX"/>
        </w:rPr>
      </w:pPr>
    </w:p>
    <w:p w14:paraId="1AC39391" w14:textId="77777777" w:rsidR="002D7098" w:rsidRPr="002D7098" w:rsidRDefault="002D7098" w:rsidP="002D7098">
      <w:pPr>
        <w:spacing w:line="360" w:lineRule="auto"/>
        <w:ind w:right="-93"/>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 xml:space="preserve">De igual manera la </w:t>
      </w:r>
      <w:r w:rsidRPr="002D7098">
        <w:rPr>
          <w:rFonts w:ascii="Palatino Linotype" w:eastAsiaTheme="minorHAnsi" w:hAnsi="Palatino Linotype" w:cs="Arial"/>
          <w:b/>
          <w:szCs w:val="22"/>
          <w:lang w:val="es-MX" w:eastAsia="en-US"/>
        </w:rPr>
        <w:t xml:space="preserve">Clave Única de Registro de Población, </w:t>
      </w:r>
      <w:r w:rsidRPr="002D7098">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C00D573" w14:textId="77777777" w:rsidR="002D7098" w:rsidRPr="002D7098" w:rsidRDefault="002D7098" w:rsidP="002D7098">
      <w:pPr>
        <w:spacing w:line="360" w:lineRule="auto"/>
        <w:ind w:right="-93"/>
        <w:jc w:val="both"/>
        <w:rPr>
          <w:rFonts w:ascii="Palatino Linotype" w:eastAsiaTheme="minorHAnsi" w:hAnsi="Palatino Linotype" w:cs="Arial"/>
          <w:szCs w:val="22"/>
          <w:lang w:val="es-MX" w:eastAsia="es-MX"/>
        </w:rPr>
      </w:pPr>
    </w:p>
    <w:p w14:paraId="27098A53" w14:textId="77777777" w:rsidR="002D7098" w:rsidRPr="002D7098" w:rsidRDefault="002D7098" w:rsidP="002D7098">
      <w:pPr>
        <w:spacing w:line="360" w:lineRule="auto"/>
        <w:ind w:right="-93"/>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Lo anterior, tiene sustento en los artículos 86 y 91, de la Ley General de Población, la cual señala lo siguiente:</w:t>
      </w:r>
    </w:p>
    <w:p w14:paraId="340C5B0F" w14:textId="77777777" w:rsidR="002D7098" w:rsidRPr="002D7098" w:rsidRDefault="002D7098" w:rsidP="002D7098">
      <w:pPr>
        <w:rPr>
          <w:rFonts w:eastAsiaTheme="minorHAnsi"/>
          <w:lang w:val="es-MX" w:eastAsia="es-MX"/>
        </w:rPr>
      </w:pPr>
    </w:p>
    <w:p w14:paraId="590E1E2C" w14:textId="77777777" w:rsidR="002D7098" w:rsidRPr="002D7098" w:rsidRDefault="002D7098" w:rsidP="002D7098">
      <w:pPr>
        <w:rPr>
          <w:sz w:val="4"/>
          <w:lang w:val="es-MX" w:eastAsia="es-MX"/>
        </w:rPr>
      </w:pPr>
    </w:p>
    <w:p w14:paraId="0DA86204" w14:textId="77777777" w:rsidR="002D7098" w:rsidRPr="002D7098" w:rsidRDefault="002D7098" w:rsidP="002D7098">
      <w:pPr>
        <w:spacing w:line="276" w:lineRule="auto"/>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Bold"/>
          <w:b/>
          <w:bCs/>
          <w:i/>
          <w:sz w:val="22"/>
          <w:szCs w:val="22"/>
          <w:lang w:val="es-MX" w:eastAsia="es-MX"/>
        </w:rPr>
        <w:t xml:space="preserve">“Artículo 86. </w:t>
      </w:r>
      <w:r w:rsidRPr="002D7098">
        <w:rPr>
          <w:rFonts w:ascii="Palatino Linotype" w:eastAsiaTheme="minorHAnsi" w:hAnsi="Palatino Linotype" w:cs="Arial"/>
          <w:i/>
          <w:sz w:val="22"/>
          <w:szCs w:val="22"/>
          <w:lang w:val="es-MX" w:eastAsia="es-MX"/>
        </w:rPr>
        <w:t xml:space="preserve">El </w:t>
      </w:r>
      <w:r w:rsidRPr="002D7098">
        <w:rPr>
          <w:rFonts w:ascii="Palatino Linotype" w:eastAsiaTheme="minorHAnsi" w:hAnsi="Palatino Linotype" w:cs="Arial"/>
          <w:i/>
          <w:color w:val="000000"/>
          <w:sz w:val="22"/>
          <w:szCs w:val="22"/>
          <w:lang w:val="es-MX" w:eastAsia="en-US"/>
        </w:rPr>
        <w:t>Registro</w:t>
      </w:r>
      <w:r w:rsidRPr="002D7098">
        <w:rPr>
          <w:rFonts w:ascii="Palatino Linotype" w:eastAsiaTheme="minorHAnsi" w:hAnsi="Palatino Linotype" w:cs="Arial"/>
          <w:i/>
          <w:sz w:val="22"/>
          <w:szCs w:val="22"/>
          <w:lang w:val="es-MX" w:eastAsia="es-MX"/>
        </w:rPr>
        <w:t xml:space="preserve"> Nacional </w:t>
      </w:r>
      <w:r w:rsidRPr="002D7098">
        <w:rPr>
          <w:rFonts w:ascii="Palatino Linotype" w:eastAsiaTheme="minorHAnsi" w:hAnsi="Palatino Linotype" w:cs="Arial"/>
          <w:i/>
          <w:sz w:val="22"/>
          <w:szCs w:val="22"/>
          <w:lang w:val="es-MX" w:eastAsia="en-US"/>
        </w:rPr>
        <w:t>de</w:t>
      </w:r>
      <w:r w:rsidRPr="002D7098">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0FC4F9BD" w14:textId="77777777" w:rsidR="002D7098" w:rsidRPr="002D7098" w:rsidRDefault="002D7098" w:rsidP="002D7098">
      <w:pPr>
        <w:spacing w:line="276" w:lineRule="auto"/>
        <w:ind w:left="851" w:right="900"/>
        <w:jc w:val="both"/>
        <w:rPr>
          <w:rFonts w:ascii="Palatino Linotype" w:eastAsiaTheme="minorHAnsi" w:hAnsi="Palatino Linotype" w:cs="Arial,Bold"/>
          <w:b/>
          <w:bCs/>
          <w:i/>
          <w:sz w:val="22"/>
          <w:szCs w:val="22"/>
          <w:lang w:val="es-MX" w:eastAsia="es-MX"/>
        </w:rPr>
      </w:pPr>
    </w:p>
    <w:p w14:paraId="12AD89AD" w14:textId="77777777" w:rsidR="002D7098" w:rsidRPr="002D7098" w:rsidRDefault="002D7098" w:rsidP="002D7098">
      <w:pPr>
        <w:spacing w:line="276" w:lineRule="auto"/>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Bold"/>
          <w:b/>
          <w:bCs/>
          <w:i/>
          <w:sz w:val="22"/>
          <w:szCs w:val="22"/>
          <w:lang w:val="es-MX" w:eastAsia="es-MX"/>
        </w:rPr>
        <w:lastRenderedPageBreak/>
        <w:t xml:space="preserve">Artículo 91. </w:t>
      </w:r>
      <w:r w:rsidRPr="002D7098">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2D7098">
        <w:rPr>
          <w:rFonts w:ascii="Palatino Linotype" w:eastAsiaTheme="minorHAnsi" w:hAnsi="Palatino Linotype" w:cs="Arial"/>
          <w:i/>
          <w:color w:val="000000"/>
          <w:sz w:val="22"/>
          <w:szCs w:val="22"/>
          <w:lang w:val="es-MX" w:eastAsia="en-US"/>
        </w:rPr>
        <w:t>Clave</w:t>
      </w:r>
      <w:r w:rsidRPr="002D7098">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2D7098">
        <w:rPr>
          <w:rFonts w:ascii="Palatino Linotype" w:eastAsiaTheme="minorHAnsi" w:hAnsi="Palatino Linotype" w:cs="Arial"/>
          <w:i/>
          <w:sz w:val="22"/>
          <w:szCs w:val="22"/>
          <w:lang w:val="es-MX" w:eastAsia="en-US"/>
        </w:rPr>
        <w:t>individual</w:t>
      </w:r>
      <w:r w:rsidRPr="002D7098">
        <w:rPr>
          <w:rFonts w:ascii="Palatino Linotype" w:eastAsiaTheme="minorHAnsi" w:hAnsi="Palatino Linotype" w:cs="Arial"/>
          <w:i/>
          <w:sz w:val="22"/>
          <w:szCs w:val="22"/>
          <w:lang w:val="es-MX" w:eastAsia="es-MX"/>
        </w:rPr>
        <w:t>.”</w:t>
      </w:r>
    </w:p>
    <w:p w14:paraId="2687664D" w14:textId="77777777" w:rsidR="002D7098" w:rsidRPr="002D7098" w:rsidRDefault="002D7098" w:rsidP="002D7098">
      <w:pPr>
        <w:spacing w:line="276" w:lineRule="auto"/>
        <w:ind w:left="851" w:right="900"/>
        <w:jc w:val="both"/>
        <w:rPr>
          <w:rFonts w:ascii="Palatino Linotype" w:eastAsiaTheme="minorHAnsi" w:hAnsi="Palatino Linotype" w:cs="Arial"/>
          <w:i/>
          <w:sz w:val="22"/>
          <w:szCs w:val="22"/>
          <w:lang w:val="es-MX" w:eastAsia="es-MX"/>
        </w:rPr>
      </w:pPr>
    </w:p>
    <w:p w14:paraId="336C5125" w14:textId="77777777" w:rsidR="002D7098" w:rsidRPr="002D7098" w:rsidRDefault="002D7098" w:rsidP="002D7098">
      <w:pPr>
        <w:shd w:val="clear" w:color="auto" w:fill="FFFFFF"/>
        <w:spacing w:line="360" w:lineRule="auto"/>
        <w:jc w:val="both"/>
        <w:rPr>
          <w:rFonts w:ascii="Palatino Linotype" w:eastAsiaTheme="minorHAnsi" w:hAnsi="Palatino Linotype" w:cstheme="minorBidi"/>
          <w:szCs w:val="22"/>
          <w:lang w:val="es-MX" w:eastAsia="es-MX"/>
        </w:rPr>
      </w:pPr>
      <w:r w:rsidRPr="002D7098">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2D7098">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2D7098">
        <w:rPr>
          <w:rFonts w:ascii="Palatino Linotype" w:eastAsiaTheme="minorHAnsi" w:hAnsi="Palatino Linotype" w:cstheme="minorBidi"/>
          <w:szCs w:val="22"/>
          <w:lang w:val="es-MX" w:eastAsia="es-MX"/>
        </w:rPr>
        <w:t xml:space="preserve">; sexo; entidad federativa o lugar de nacimiento; finalmente una </w:t>
      </w:r>
      <w:proofErr w:type="spellStart"/>
      <w:r w:rsidRPr="002D7098">
        <w:rPr>
          <w:rFonts w:ascii="Palatino Linotype" w:eastAsiaTheme="minorHAnsi" w:hAnsi="Palatino Linotype" w:cstheme="minorBidi"/>
          <w:szCs w:val="22"/>
          <w:lang w:val="es-MX" w:eastAsia="es-MX"/>
        </w:rPr>
        <w:t>homoclave</w:t>
      </w:r>
      <w:proofErr w:type="spellEnd"/>
      <w:r w:rsidRPr="002D7098">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14:paraId="5D71C29E" w14:textId="77777777" w:rsidR="002D7098" w:rsidRPr="002D7098" w:rsidRDefault="002D7098" w:rsidP="002D7098">
      <w:pPr>
        <w:spacing w:after="160" w:line="360" w:lineRule="auto"/>
        <w:ind w:right="-91"/>
        <w:jc w:val="both"/>
        <w:rPr>
          <w:rFonts w:ascii="Palatino Linotype" w:eastAsiaTheme="minorHAnsi" w:hAnsi="Palatino Linotype" w:cs="Arial"/>
          <w:szCs w:val="22"/>
          <w:lang w:val="es-MX" w:eastAsia="es-MX"/>
        </w:rPr>
      </w:pPr>
    </w:p>
    <w:p w14:paraId="704420DB" w14:textId="77777777" w:rsidR="002D7098" w:rsidRPr="002D7098" w:rsidRDefault="002D7098" w:rsidP="002D7098">
      <w:pPr>
        <w:spacing w:after="160" w:line="360" w:lineRule="auto"/>
        <w:ind w:right="-91"/>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Al respecto, el INAI a través del Criterio 18/17, señala literalmente lo siguiente:</w:t>
      </w:r>
    </w:p>
    <w:p w14:paraId="00AD5C43" w14:textId="77777777" w:rsidR="002D7098" w:rsidRPr="002D7098" w:rsidRDefault="002D7098" w:rsidP="002D7098">
      <w:pPr>
        <w:spacing w:before="120" w:after="120" w:line="259" w:lineRule="auto"/>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
          <w:b/>
          <w:bCs/>
          <w:i/>
          <w:sz w:val="22"/>
          <w:szCs w:val="22"/>
          <w:lang w:val="es-MX" w:eastAsia="es-MX"/>
        </w:rPr>
        <w:t>“Clave Única de Registro de Población (CURP)</w:t>
      </w:r>
      <w:r w:rsidRPr="002D7098">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5B91CA2" w14:textId="77777777" w:rsidR="002D7098" w:rsidRPr="002D7098" w:rsidRDefault="002D7098" w:rsidP="002D7098">
      <w:pPr>
        <w:spacing w:before="120" w:after="120" w:line="259" w:lineRule="auto"/>
        <w:ind w:left="851" w:right="900"/>
        <w:jc w:val="both"/>
        <w:rPr>
          <w:rFonts w:ascii="Palatino Linotype" w:eastAsiaTheme="minorHAnsi" w:hAnsi="Palatino Linotype" w:cs="Arial"/>
          <w:i/>
          <w:sz w:val="22"/>
          <w:szCs w:val="22"/>
          <w:lang w:val="es-MX" w:eastAsia="es-MX"/>
        </w:rPr>
      </w:pPr>
    </w:p>
    <w:p w14:paraId="798C1F5B" w14:textId="77777777" w:rsidR="002D7098" w:rsidRPr="002D7098" w:rsidRDefault="002D7098" w:rsidP="002D7098">
      <w:pPr>
        <w:ind w:left="851" w:right="900"/>
        <w:jc w:val="both"/>
        <w:rPr>
          <w:rFonts w:ascii="Palatino Linotype" w:eastAsiaTheme="minorHAnsi" w:hAnsi="Palatino Linotype" w:cs="Arial"/>
          <w:b/>
          <w:i/>
          <w:sz w:val="22"/>
          <w:szCs w:val="22"/>
          <w:lang w:val="es-MX" w:eastAsia="es-MX"/>
        </w:rPr>
      </w:pPr>
      <w:r w:rsidRPr="002D7098">
        <w:rPr>
          <w:rFonts w:ascii="Palatino Linotype" w:eastAsiaTheme="minorHAnsi" w:hAnsi="Palatino Linotype" w:cs="Arial"/>
          <w:b/>
          <w:i/>
          <w:sz w:val="22"/>
          <w:szCs w:val="22"/>
          <w:lang w:val="es-MX" w:eastAsia="es-MX"/>
        </w:rPr>
        <w:t>Resoluciones:</w:t>
      </w:r>
    </w:p>
    <w:p w14:paraId="0F9BEDB8" w14:textId="77777777" w:rsidR="002D7098" w:rsidRPr="002D7098" w:rsidRDefault="002D7098" w:rsidP="002D7098">
      <w:pPr>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
          <w:i/>
          <w:sz w:val="22"/>
          <w:szCs w:val="22"/>
          <w:lang w:val="es-MX" w:eastAsia="es-MX"/>
        </w:rPr>
        <w:t>•</w:t>
      </w:r>
      <w:r w:rsidRPr="002D7098">
        <w:rPr>
          <w:rFonts w:ascii="Palatino Linotype" w:eastAsiaTheme="minorHAnsi" w:hAnsi="Palatino Linotype" w:cs="Arial"/>
          <w:i/>
          <w:sz w:val="22"/>
          <w:szCs w:val="22"/>
          <w:lang w:val="es-MX" w:eastAsia="es-MX"/>
        </w:rPr>
        <w:tab/>
      </w:r>
      <w:r w:rsidRPr="002D7098">
        <w:rPr>
          <w:rFonts w:ascii="Palatino Linotype" w:eastAsiaTheme="minorHAnsi" w:hAnsi="Palatino Linotype" w:cs="Arial"/>
          <w:b/>
          <w:i/>
          <w:sz w:val="22"/>
          <w:szCs w:val="22"/>
          <w:lang w:val="es-MX" w:eastAsia="es-MX"/>
        </w:rPr>
        <w:t>RRA 3995/16</w:t>
      </w:r>
      <w:r w:rsidRPr="002D7098">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2D7098">
        <w:rPr>
          <w:rFonts w:ascii="Palatino Linotype" w:eastAsiaTheme="minorHAnsi" w:hAnsi="Palatino Linotype" w:cs="Arial"/>
          <w:i/>
          <w:sz w:val="22"/>
          <w:szCs w:val="22"/>
          <w:lang w:val="es-MX" w:eastAsia="es-MX"/>
        </w:rPr>
        <w:t>Rosendoevgueni</w:t>
      </w:r>
      <w:proofErr w:type="spellEnd"/>
      <w:r w:rsidRPr="002D7098">
        <w:rPr>
          <w:rFonts w:ascii="Palatino Linotype" w:eastAsiaTheme="minorHAnsi" w:hAnsi="Palatino Linotype" w:cs="Arial"/>
          <w:i/>
          <w:sz w:val="22"/>
          <w:szCs w:val="22"/>
          <w:lang w:val="es-MX" w:eastAsia="es-MX"/>
        </w:rPr>
        <w:t xml:space="preserve"> Monterrey </w:t>
      </w:r>
      <w:proofErr w:type="spellStart"/>
      <w:r w:rsidRPr="002D7098">
        <w:rPr>
          <w:rFonts w:ascii="Palatino Linotype" w:eastAsiaTheme="minorHAnsi" w:hAnsi="Palatino Linotype" w:cs="Arial"/>
          <w:i/>
          <w:sz w:val="22"/>
          <w:szCs w:val="22"/>
          <w:lang w:val="es-MX" w:eastAsia="es-MX"/>
        </w:rPr>
        <w:t>Chepov</w:t>
      </w:r>
      <w:proofErr w:type="spellEnd"/>
      <w:r w:rsidRPr="002D7098">
        <w:rPr>
          <w:rFonts w:ascii="Palatino Linotype" w:eastAsiaTheme="minorHAnsi" w:hAnsi="Palatino Linotype" w:cs="Arial"/>
          <w:i/>
          <w:sz w:val="22"/>
          <w:szCs w:val="22"/>
          <w:lang w:val="es-MX" w:eastAsia="es-MX"/>
        </w:rPr>
        <w:t>.</w:t>
      </w:r>
    </w:p>
    <w:p w14:paraId="6BFB6D41" w14:textId="77777777" w:rsidR="002D7098" w:rsidRPr="002D7098" w:rsidRDefault="002D7098" w:rsidP="002D7098">
      <w:pPr>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
          <w:i/>
          <w:sz w:val="22"/>
          <w:szCs w:val="22"/>
          <w:lang w:val="es-MX" w:eastAsia="es-MX"/>
        </w:rPr>
        <w:t>•</w:t>
      </w:r>
      <w:r w:rsidRPr="002D7098">
        <w:rPr>
          <w:rFonts w:ascii="Palatino Linotype" w:eastAsiaTheme="minorHAnsi" w:hAnsi="Palatino Linotype" w:cs="Arial"/>
          <w:i/>
          <w:sz w:val="22"/>
          <w:szCs w:val="22"/>
          <w:lang w:val="es-MX" w:eastAsia="es-MX"/>
        </w:rPr>
        <w:tab/>
      </w:r>
      <w:r w:rsidRPr="002D7098">
        <w:rPr>
          <w:rFonts w:ascii="Palatino Linotype" w:eastAsiaTheme="minorHAnsi" w:hAnsi="Palatino Linotype" w:cs="Arial"/>
          <w:b/>
          <w:i/>
          <w:sz w:val="22"/>
          <w:szCs w:val="22"/>
          <w:lang w:val="es-MX" w:eastAsia="es-MX"/>
        </w:rPr>
        <w:t>RRA 0937/17</w:t>
      </w:r>
      <w:r w:rsidRPr="002D7098">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279B4668" w14:textId="77777777" w:rsidR="002D7098" w:rsidRPr="002D7098" w:rsidRDefault="002D7098" w:rsidP="002D7098">
      <w:pPr>
        <w:ind w:left="851" w:right="900"/>
        <w:jc w:val="both"/>
        <w:rPr>
          <w:rFonts w:ascii="Palatino Linotype" w:eastAsiaTheme="minorHAnsi" w:hAnsi="Palatino Linotype" w:cs="Arial"/>
          <w:sz w:val="22"/>
          <w:szCs w:val="22"/>
          <w:lang w:val="es-MX" w:eastAsia="es-MX"/>
        </w:rPr>
      </w:pPr>
      <w:r w:rsidRPr="002D7098">
        <w:rPr>
          <w:rFonts w:ascii="Palatino Linotype" w:eastAsiaTheme="minorHAnsi" w:hAnsi="Palatino Linotype" w:cs="Arial"/>
          <w:i/>
          <w:sz w:val="22"/>
          <w:szCs w:val="22"/>
          <w:lang w:val="es-MX" w:eastAsia="es-MX"/>
        </w:rPr>
        <w:lastRenderedPageBreak/>
        <w:t>•</w:t>
      </w:r>
      <w:r w:rsidRPr="002D7098">
        <w:rPr>
          <w:rFonts w:ascii="Palatino Linotype" w:eastAsiaTheme="minorHAnsi" w:hAnsi="Palatino Linotype" w:cs="Arial"/>
          <w:i/>
          <w:sz w:val="22"/>
          <w:szCs w:val="22"/>
          <w:lang w:val="es-MX" w:eastAsia="es-MX"/>
        </w:rPr>
        <w:tab/>
      </w:r>
      <w:r w:rsidRPr="002D7098">
        <w:rPr>
          <w:rFonts w:ascii="Palatino Linotype" w:eastAsiaTheme="minorHAnsi" w:hAnsi="Palatino Linotype" w:cs="Arial"/>
          <w:b/>
          <w:i/>
          <w:sz w:val="22"/>
          <w:szCs w:val="22"/>
          <w:lang w:val="es-MX" w:eastAsia="es-MX"/>
        </w:rPr>
        <w:t>RRA 0478/17</w:t>
      </w:r>
      <w:r w:rsidRPr="002D7098">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2D7098">
        <w:rPr>
          <w:rFonts w:ascii="Palatino Linotype" w:eastAsiaTheme="minorHAnsi" w:hAnsi="Palatino Linotype" w:cs="Arial"/>
          <w:i/>
          <w:sz w:val="22"/>
          <w:szCs w:val="22"/>
          <w:lang w:val="es-MX" w:eastAsia="en-US"/>
        </w:rPr>
        <w:t>”</w:t>
      </w:r>
    </w:p>
    <w:p w14:paraId="0AE8DDEC" w14:textId="77777777" w:rsidR="002D7098" w:rsidRPr="002D7098" w:rsidRDefault="002D7098" w:rsidP="002D7098">
      <w:pPr>
        <w:spacing w:after="160" w:line="360" w:lineRule="auto"/>
        <w:ind w:left="851" w:right="900"/>
        <w:jc w:val="both"/>
        <w:rPr>
          <w:rFonts w:ascii="Palatino Linotype" w:eastAsiaTheme="minorHAnsi" w:hAnsi="Palatino Linotype" w:cs="Arial"/>
          <w:sz w:val="16"/>
          <w:szCs w:val="16"/>
          <w:lang w:val="es-MX" w:eastAsia="es-MX"/>
        </w:rPr>
      </w:pPr>
    </w:p>
    <w:p w14:paraId="22966DEB" w14:textId="77777777" w:rsidR="002D7098" w:rsidRPr="002D7098" w:rsidRDefault="002D7098" w:rsidP="002D7098">
      <w:pPr>
        <w:spacing w:after="160" w:line="360" w:lineRule="auto"/>
        <w:ind w:right="-93"/>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 xml:space="preserve">De lo anterior, se desprende que la </w:t>
      </w:r>
      <w:r w:rsidRPr="002D7098">
        <w:rPr>
          <w:rFonts w:ascii="Palatino Linotype" w:eastAsiaTheme="minorHAnsi" w:hAnsi="Palatino Linotype" w:cstheme="minorBidi"/>
          <w:szCs w:val="22"/>
          <w:lang w:val="es-MX" w:eastAsia="es-MX"/>
        </w:rPr>
        <w:t xml:space="preserve">Clave Única de Registro de Población, </w:t>
      </w:r>
      <w:r w:rsidRPr="002D7098">
        <w:rPr>
          <w:rFonts w:ascii="Palatino Linotype" w:eastAsiaTheme="minorHAnsi" w:hAnsi="Palatino Linotype" w:cs="Arial"/>
          <w:szCs w:val="22"/>
          <w:lang w:val="es-MX" w:eastAsia="es-MX"/>
        </w:rPr>
        <w:t xml:space="preserve">se encuentra vinculado al nombre de la persona, permitiendo identificar la edad, fecha de nacimiento, sexo, lugar de nacimiento, así como su </w:t>
      </w:r>
      <w:proofErr w:type="spellStart"/>
      <w:r w:rsidRPr="002D7098">
        <w:rPr>
          <w:rFonts w:ascii="Palatino Linotype" w:eastAsiaTheme="minorHAnsi" w:hAnsi="Palatino Linotype" w:cs="Arial"/>
          <w:szCs w:val="22"/>
          <w:lang w:val="es-MX" w:eastAsia="es-MX"/>
        </w:rPr>
        <w:t>homoclave</w:t>
      </w:r>
      <w:proofErr w:type="spellEnd"/>
      <w:r w:rsidRPr="002D7098">
        <w:rPr>
          <w:rFonts w:ascii="Palatino Linotype" w:eastAsiaTheme="minorHAnsi" w:hAnsi="Palatino Linotype" w:cs="Arial"/>
          <w:szCs w:val="22"/>
          <w:lang w:val="es-MX"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0039948" w14:textId="77777777" w:rsidR="002D7098" w:rsidRPr="002D7098" w:rsidRDefault="002D7098" w:rsidP="002D7098">
      <w:pPr>
        <w:rPr>
          <w:lang w:val="es-MX"/>
        </w:rPr>
      </w:pPr>
    </w:p>
    <w:p w14:paraId="49540140" w14:textId="6581D390" w:rsidR="00D47C18" w:rsidRPr="002D7098" w:rsidRDefault="002D7098" w:rsidP="002D7098">
      <w:pPr>
        <w:spacing w:line="360" w:lineRule="auto"/>
        <w:ind w:right="-93"/>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 xml:space="preserve">Por cuanto hace a la </w:t>
      </w:r>
      <w:r w:rsidRPr="002D7098">
        <w:rPr>
          <w:rFonts w:ascii="Palatino Linotype" w:eastAsiaTheme="minorHAnsi" w:hAnsi="Palatino Linotype" w:cs="Arial"/>
          <w:b/>
          <w:szCs w:val="22"/>
          <w:lang w:val="es-MX" w:eastAsia="en-US"/>
        </w:rPr>
        <w:t>Clave de cualquier tipo de seguridad social</w:t>
      </w:r>
      <w:r w:rsidRPr="002D7098">
        <w:rPr>
          <w:rFonts w:ascii="Palatino Linotype" w:eastAsiaTheme="minorHAnsi" w:hAnsi="Palatino Linotype" w:cs="Arial"/>
          <w:szCs w:val="22"/>
          <w:lang w:val="es-MX" w:eastAsia="en-US"/>
        </w:rPr>
        <w:t xml:space="preserve"> (ISSEMYM, u otros), está integrada por una </w:t>
      </w:r>
      <w:r w:rsidRPr="002D7098">
        <w:rPr>
          <w:rFonts w:ascii="Palatino Linotype" w:eastAsiaTheme="minorHAnsi" w:hAnsi="Palatino Linotype" w:cs="Arial"/>
          <w:bCs/>
          <w:szCs w:val="22"/>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D7098">
        <w:rPr>
          <w:rFonts w:ascii="Palatino Linotype" w:eastAsiaTheme="minorHAnsi" w:hAnsi="Palatino Linotype" w:cs="Arial"/>
          <w:szCs w:val="22"/>
          <w:lang w:val="es-MX"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F7F93FC" w14:textId="77777777" w:rsidR="002D7098" w:rsidRPr="002D7098" w:rsidRDefault="002D7098" w:rsidP="002D7098">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1C5CFEA8" w14:textId="567F33EE" w:rsidR="002D7098" w:rsidRPr="002D7098" w:rsidRDefault="002D7098" w:rsidP="002D7098">
      <w:pPr>
        <w:spacing w:line="360" w:lineRule="auto"/>
        <w:jc w:val="both"/>
        <w:rPr>
          <w:rFonts w:ascii="Palatino Linotype" w:hAnsi="Palatino Linotype"/>
          <w:lang w:val="es-MX"/>
        </w:rPr>
      </w:pPr>
      <w:r w:rsidRPr="002D7098">
        <w:rPr>
          <w:rFonts w:ascii="Palatino Linotype" w:hAnsi="Palatino Linotype"/>
          <w:lang w:val="es-MX"/>
        </w:rPr>
        <w:t xml:space="preserve">En mérito de lo expuesto en líneas anteriores, resultan </w:t>
      </w:r>
      <w:r w:rsidR="0060430C">
        <w:rPr>
          <w:rFonts w:ascii="Palatino Linotype" w:hAnsi="Palatino Linotype"/>
          <w:lang w:val="es-MX"/>
        </w:rPr>
        <w:t xml:space="preserve">parcialmente </w:t>
      </w:r>
      <w:r w:rsidRPr="002D7098">
        <w:rPr>
          <w:rFonts w:ascii="Palatino Linotype" w:hAnsi="Palatino Linotype"/>
          <w:lang w:val="es-MX"/>
        </w:rPr>
        <w:t>fundados los motivos de inconformidad que arguye el</w:t>
      </w:r>
      <w:r w:rsidRPr="002D7098">
        <w:rPr>
          <w:rFonts w:ascii="Palatino Linotype" w:hAnsi="Palatino Linotype"/>
          <w:b/>
          <w:lang w:val="es-MX"/>
        </w:rPr>
        <w:t xml:space="preserve"> Recurrente</w:t>
      </w:r>
      <w:r w:rsidRPr="002D7098">
        <w:rPr>
          <w:rFonts w:ascii="Palatino Linotype" w:hAnsi="Palatino Linotype"/>
          <w:lang w:val="es-MX"/>
        </w:rPr>
        <w:t xml:space="preserve"> en su medio de impugnación que fue materia de estudio, por ello </w:t>
      </w:r>
      <w:r w:rsidRPr="002D7098">
        <w:rPr>
          <w:rFonts w:ascii="Palatino Linotype" w:hAnsi="Palatino Linotype" w:cs="Arial"/>
          <w:lang w:val="es-MX"/>
        </w:rPr>
        <w:t>con fundamento en la segunda hipótesis de la</w:t>
      </w:r>
      <w:r w:rsidRPr="002D7098">
        <w:rPr>
          <w:rFonts w:ascii="Palatino Linotype" w:hAnsi="Palatino Linotype" w:cs="Arial"/>
          <w:b/>
          <w:lang w:val="es-MX"/>
        </w:rPr>
        <w:t xml:space="preserve"> </w:t>
      </w:r>
      <w:r w:rsidRPr="002D7098">
        <w:rPr>
          <w:rFonts w:ascii="Palatino Linotype" w:hAnsi="Palatino Linotype" w:cs="Arial"/>
          <w:lang w:val="es-MX"/>
        </w:rPr>
        <w:t>fracción</w:t>
      </w:r>
      <w:r w:rsidRPr="002D7098">
        <w:rPr>
          <w:rFonts w:ascii="Palatino Linotype" w:hAnsi="Palatino Linotype" w:cs="Arial"/>
          <w:b/>
          <w:lang w:val="es-MX"/>
        </w:rPr>
        <w:t xml:space="preserve"> </w:t>
      </w:r>
      <w:r w:rsidRPr="002D7098">
        <w:rPr>
          <w:rFonts w:ascii="Palatino Linotype" w:hAnsi="Palatino Linotype" w:cs="Arial"/>
          <w:lang w:val="es-MX"/>
        </w:rPr>
        <w:lastRenderedPageBreak/>
        <w:t>III, del artículo 186,</w:t>
      </w:r>
      <w:r w:rsidRPr="002D7098">
        <w:rPr>
          <w:rFonts w:ascii="Palatino Linotype" w:hAnsi="Palatino Linotype" w:cs="Arial"/>
          <w:b/>
          <w:lang w:val="es-MX"/>
        </w:rPr>
        <w:t xml:space="preserve"> </w:t>
      </w:r>
      <w:r w:rsidRPr="002D7098">
        <w:rPr>
          <w:rFonts w:ascii="Palatino Linotype" w:hAnsi="Palatino Linotype" w:cs="Arial"/>
          <w:lang w:val="es-MX"/>
        </w:rPr>
        <w:t xml:space="preserve">de la Ley de Transparencia y Acceso a la Información Pública del Estado de México y Municipios, se </w:t>
      </w:r>
      <w:r w:rsidRPr="002D7098">
        <w:rPr>
          <w:rFonts w:ascii="Palatino Linotype" w:hAnsi="Palatino Linotype" w:cs="Arial"/>
          <w:b/>
          <w:lang w:val="es-MX"/>
        </w:rPr>
        <w:t xml:space="preserve">MODIFICA </w:t>
      </w:r>
      <w:r w:rsidRPr="002D7098">
        <w:rPr>
          <w:rFonts w:ascii="Palatino Linotype" w:hAnsi="Palatino Linotype" w:cs="Arial"/>
          <w:lang w:val="es-MX"/>
        </w:rPr>
        <w:t>la respuesta a la solicitud de información número</w:t>
      </w:r>
      <w:r w:rsidRPr="002D7098">
        <w:rPr>
          <w:rFonts w:ascii="Palatino Linotype" w:hAnsi="Palatino Linotype"/>
          <w:b/>
          <w:lang w:val="es-MX"/>
        </w:rPr>
        <w:t xml:space="preserve"> </w:t>
      </w:r>
      <w:r w:rsidR="005E6AE8" w:rsidRPr="005E6AE8">
        <w:rPr>
          <w:rFonts w:ascii="Palatino Linotype" w:eastAsiaTheme="minorHAnsi" w:hAnsi="Palatino Linotype" w:cs="Arial"/>
          <w:b/>
          <w:szCs w:val="22"/>
          <w:lang w:val="es-MX" w:eastAsia="en-US"/>
        </w:rPr>
        <w:t>00086/ATIZARA/IP/2023</w:t>
      </w:r>
      <w:r w:rsidRPr="002D7098">
        <w:rPr>
          <w:rFonts w:ascii="Palatino Linotype" w:eastAsiaTheme="minorHAnsi" w:hAnsi="Palatino Linotype" w:cs="Arial"/>
          <w:b/>
          <w:lang w:val="es-MX" w:eastAsia="en-US"/>
        </w:rPr>
        <w:t>,</w:t>
      </w:r>
      <w:r w:rsidRPr="002D7098">
        <w:rPr>
          <w:rFonts w:ascii="Palatino Linotype" w:hAnsi="Palatino Linotype" w:cs="Arial"/>
          <w:b/>
          <w:lang w:val="es-MX"/>
        </w:rPr>
        <w:t xml:space="preserve"> </w:t>
      </w:r>
      <w:r w:rsidRPr="002D7098">
        <w:rPr>
          <w:rFonts w:ascii="Palatino Linotype" w:hAnsi="Palatino Linotype"/>
          <w:lang w:val="es-MX"/>
        </w:rPr>
        <w:t>que ha sido materia del presente fallo.</w:t>
      </w:r>
    </w:p>
    <w:p w14:paraId="36A23592" w14:textId="77777777" w:rsidR="002D7098" w:rsidRPr="002D7098" w:rsidRDefault="002D7098" w:rsidP="002D7098">
      <w:pPr>
        <w:spacing w:line="360" w:lineRule="auto"/>
        <w:jc w:val="both"/>
        <w:rPr>
          <w:rFonts w:ascii="Palatino Linotype" w:hAnsi="Palatino Linotype"/>
          <w:lang w:val="es-MX"/>
        </w:rPr>
      </w:pPr>
    </w:p>
    <w:p w14:paraId="07EDE0E8" w14:textId="77777777" w:rsidR="002D7098" w:rsidRPr="002D7098" w:rsidRDefault="002D7098" w:rsidP="002D7098">
      <w:pPr>
        <w:spacing w:line="360" w:lineRule="auto"/>
        <w:jc w:val="both"/>
        <w:rPr>
          <w:rFonts w:ascii="Palatino Linotype" w:hAnsi="Palatino Linotype"/>
          <w:lang w:val="es-MX"/>
        </w:rPr>
      </w:pPr>
      <w:r w:rsidRPr="002D7098">
        <w:rPr>
          <w:rFonts w:ascii="Palatino Linotype" w:hAnsi="Palatino Linotype"/>
          <w:lang w:val="es-MX"/>
        </w:rPr>
        <w:t>Por lo antes expuesto y fundado es de resolverse y,</w:t>
      </w:r>
    </w:p>
    <w:p w14:paraId="4BD9E6F8" w14:textId="77777777" w:rsidR="002D7098" w:rsidRPr="002D7098" w:rsidRDefault="002D7098" w:rsidP="002D7098">
      <w:pPr>
        <w:spacing w:before="100" w:beforeAutospacing="1" w:after="100" w:afterAutospacing="1" w:line="360" w:lineRule="auto"/>
        <w:ind w:left="1080"/>
        <w:jc w:val="center"/>
        <w:rPr>
          <w:rFonts w:ascii="Palatino Linotype" w:hAnsi="Palatino Linotype" w:cs="Arial"/>
          <w:b/>
          <w:lang w:val="es-MX" w:eastAsia="es-MX"/>
        </w:rPr>
      </w:pPr>
      <w:r w:rsidRPr="002D7098">
        <w:rPr>
          <w:rFonts w:ascii="Palatino Linotype" w:hAnsi="Palatino Linotype" w:cs="Arial"/>
          <w:b/>
          <w:lang w:val="es-MX" w:eastAsia="es-MX"/>
        </w:rPr>
        <w:t>SE      R E S U E L V E:</w:t>
      </w:r>
    </w:p>
    <w:p w14:paraId="017E84E6" w14:textId="1F54B9E1" w:rsidR="002D7098" w:rsidRPr="002D7098" w:rsidRDefault="002D7098" w:rsidP="002D7098">
      <w:pPr>
        <w:spacing w:line="360" w:lineRule="auto"/>
        <w:jc w:val="both"/>
        <w:rPr>
          <w:rFonts w:ascii="Palatino Linotype" w:eastAsiaTheme="minorHAnsi" w:hAnsi="Palatino Linotype" w:cs="Arial"/>
          <w:b/>
          <w:lang w:val="es-MX" w:eastAsia="en-US"/>
        </w:rPr>
      </w:pPr>
      <w:r w:rsidRPr="002D7098">
        <w:rPr>
          <w:rFonts w:ascii="Palatino Linotype" w:eastAsiaTheme="minorHAnsi" w:hAnsi="Palatino Linotype" w:cs="Arial"/>
          <w:b/>
          <w:lang w:val="es-MX" w:eastAsia="en-US"/>
        </w:rPr>
        <w:t xml:space="preserve">PRIMERO. </w:t>
      </w:r>
      <w:bookmarkStart w:id="5" w:name="_Hlk63453450"/>
      <w:bookmarkStart w:id="6" w:name="_Hlk63431287"/>
      <w:r w:rsidRPr="002D7098">
        <w:rPr>
          <w:rFonts w:ascii="Palatino Linotype" w:eastAsiaTheme="minorHAnsi" w:hAnsi="Palatino Linotype" w:cs="Arial"/>
          <w:lang w:val="es-MX" w:eastAsia="en-US"/>
        </w:rPr>
        <w:t>Son</w:t>
      </w:r>
      <w:r w:rsidR="0060430C">
        <w:rPr>
          <w:rFonts w:ascii="Palatino Linotype" w:eastAsiaTheme="minorHAnsi" w:hAnsi="Palatino Linotype" w:cs="Arial"/>
          <w:lang w:val="es-MX" w:eastAsia="en-US"/>
        </w:rPr>
        <w:t xml:space="preserve"> parcialmente</w:t>
      </w:r>
      <w:r w:rsidRPr="002D7098">
        <w:rPr>
          <w:rFonts w:ascii="Palatino Linotype" w:eastAsiaTheme="minorHAnsi" w:hAnsi="Palatino Linotype" w:cs="Arial"/>
          <w:lang w:val="es-MX" w:eastAsia="en-US"/>
        </w:rPr>
        <w:t xml:space="preserve"> fundados los motivos de inconformidad aducidos por </w:t>
      </w:r>
      <w:r w:rsidRPr="002D7098">
        <w:rPr>
          <w:rFonts w:ascii="Palatino Linotype" w:eastAsiaTheme="minorHAnsi" w:hAnsi="Palatino Linotype" w:cs="Arial"/>
          <w:b/>
          <w:lang w:val="es-MX" w:eastAsia="en-US"/>
        </w:rPr>
        <w:t>El Recurrente</w:t>
      </w:r>
      <w:r w:rsidRPr="002D7098">
        <w:rPr>
          <w:rFonts w:ascii="Palatino Linotype" w:eastAsia="Arial Unicode MS" w:hAnsi="Palatino Linotype" w:cs="Arial"/>
          <w:lang w:val="es-MX" w:eastAsia="en-US"/>
        </w:rPr>
        <w:t xml:space="preserve"> </w:t>
      </w:r>
      <w:bookmarkStart w:id="7" w:name="_Hlk62112942"/>
      <w:r w:rsidRPr="002D7098">
        <w:rPr>
          <w:rFonts w:ascii="Palatino Linotype" w:eastAsia="Arial Unicode MS" w:hAnsi="Palatino Linotype" w:cs="Arial"/>
          <w:lang w:val="es-MX" w:eastAsia="en-US"/>
        </w:rPr>
        <w:t xml:space="preserve">en el Recurso de Revisión </w:t>
      </w:r>
      <w:r w:rsidR="005E6AE8" w:rsidRPr="005E6AE8">
        <w:rPr>
          <w:rFonts w:ascii="Palatino Linotype" w:eastAsia="Arial Unicode MS" w:hAnsi="Palatino Linotype" w:cs="Arial"/>
          <w:b/>
          <w:bCs/>
          <w:lang w:val="es-MX" w:eastAsia="en-US"/>
        </w:rPr>
        <w:t>01915/INFOEM/IP/RR/2023</w:t>
      </w:r>
      <w:r w:rsidRPr="002D7098">
        <w:rPr>
          <w:rFonts w:ascii="Palatino Linotype" w:eastAsiaTheme="minorHAnsi" w:hAnsi="Palatino Linotype" w:cs="Arial"/>
          <w:lang w:val="es-MX" w:eastAsia="en-US"/>
        </w:rPr>
        <w:t xml:space="preserve">, </w:t>
      </w:r>
      <w:bookmarkEnd w:id="7"/>
      <w:r w:rsidRPr="002D7098">
        <w:rPr>
          <w:rFonts w:ascii="Palatino Linotype" w:eastAsiaTheme="minorHAnsi" w:hAnsi="Palatino Linotype" w:cs="Arial"/>
          <w:lang w:val="es-MX" w:eastAsia="en-US"/>
        </w:rPr>
        <w:t xml:space="preserve">en términos de los argumentos de derecho señalados en el considerando </w:t>
      </w:r>
      <w:r w:rsidR="00A746AA" w:rsidRPr="0060430C">
        <w:rPr>
          <w:rFonts w:ascii="Palatino Linotype" w:eastAsiaTheme="minorHAnsi" w:hAnsi="Palatino Linotype" w:cs="Arial"/>
          <w:b/>
          <w:bCs/>
          <w:lang w:val="es-MX" w:eastAsia="en-US"/>
        </w:rPr>
        <w:t>QUINTO</w:t>
      </w:r>
      <w:r w:rsidRPr="002D7098">
        <w:rPr>
          <w:rFonts w:ascii="Palatino Linotype" w:eastAsiaTheme="minorHAnsi" w:hAnsi="Palatino Linotype" w:cs="Arial"/>
          <w:lang w:val="es-MX" w:eastAsia="en-US"/>
        </w:rPr>
        <w:t xml:space="preserve">, por ende, se </w:t>
      </w:r>
      <w:r w:rsidRPr="002D7098">
        <w:rPr>
          <w:rFonts w:ascii="Palatino Linotype" w:eastAsiaTheme="minorHAnsi" w:hAnsi="Palatino Linotype" w:cs="Arial"/>
          <w:b/>
          <w:lang w:val="es-MX" w:eastAsia="en-US"/>
        </w:rPr>
        <w:t xml:space="preserve">MODIFICA, </w:t>
      </w:r>
      <w:r w:rsidRPr="002D7098">
        <w:rPr>
          <w:rFonts w:ascii="Palatino Linotype" w:eastAsiaTheme="minorHAnsi" w:hAnsi="Palatino Linotype" w:cs="Arial"/>
          <w:lang w:val="es-MX" w:eastAsia="en-US"/>
        </w:rPr>
        <w:t xml:space="preserve">la respuesta del </w:t>
      </w:r>
      <w:r w:rsidRPr="002D7098">
        <w:rPr>
          <w:rFonts w:ascii="Palatino Linotype" w:eastAsiaTheme="minorHAnsi" w:hAnsi="Palatino Linotype" w:cs="Arial"/>
          <w:b/>
          <w:lang w:val="es-MX" w:eastAsia="en-US"/>
        </w:rPr>
        <w:t>Sujeto Obligado</w:t>
      </w:r>
      <w:r w:rsidR="005E6AE8" w:rsidRPr="005E6AE8">
        <w:rPr>
          <w:rFonts w:ascii="Palatino Linotype" w:hAnsi="Palatino Linotype"/>
          <w:bCs/>
        </w:rPr>
        <w:t xml:space="preserve"> </w:t>
      </w:r>
      <w:r w:rsidR="005E6AE8" w:rsidRPr="0014447C">
        <w:rPr>
          <w:rFonts w:ascii="Palatino Linotype" w:hAnsi="Palatino Linotype"/>
          <w:bCs/>
        </w:rPr>
        <w:t xml:space="preserve">a la solicitud de información </w:t>
      </w:r>
      <w:r w:rsidR="005E6AE8" w:rsidRPr="005E6AE8">
        <w:rPr>
          <w:rFonts w:ascii="Palatino Linotype" w:hAnsi="Palatino Linotype"/>
          <w:b/>
        </w:rPr>
        <w:t>00086/ATIZARA/IP/2023</w:t>
      </w:r>
      <w:r w:rsidR="005E6AE8">
        <w:rPr>
          <w:rFonts w:ascii="Palatino Linotype" w:hAnsi="Palatino Linotype"/>
          <w:b/>
        </w:rPr>
        <w:t>.</w:t>
      </w:r>
    </w:p>
    <w:p w14:paraId="6DBD25FF" w14:textId="77777777" w:rsidR="002D7098" w:rsidRPr="002D7098" w:rsidRDefault="002D7098" w:rsidP="002D7098">
      <w:pPr>
        <w:spacing w:line="360" w:lineRule="auto"/>
        <w:jc w:val="both"/>
        <w:rPr>
          <w:rFonts w:ascii="Palatino Linotype" w:eastAsiaTheme="minorHAnsi" w:hAnsi="Palatino Linotype" w:cs="Arial"/>
          <w:lang w:val="es-MX" w:eastAsia="en-US"/>
        </w:rPr>
      </w:pPr>
    </w:p>
    <w:p w14:paraId="7DC75599" w14:textId="2F82A2AE" w:rsidR="002D7098" w:rsidRDefault="002D7098" w:rsidP="00CC4FA2">
      <w:pPr>
        <w:spacing w:line="360" w:lineRule="auto"/>
        <w:jc w:val="both"/>
        <w:rPr>
          <w:rFonts w:ascii="Palatino Linotype" w:eastAsiaTheme="minorHAnsi" w:hAnsi="Palatino Linotype" w:cstheme="minorBidi"/>
          <w:lang w:val="es-MX" w:eastAsia="en-US"/>
        </w:rPr>
      </w:pPr>
      <w:r w:rsidRPr="002D7098">
        <w:rPr>
          <w:rFonts w:ascii="Palatino Linotype" w:eastAsiaTheme="minorHAnsi" w:hAnsi="Palatino Linotype" w:cs="Arial"/>
          <w:b/>
          <w:lang w:val="es-MX" w:eastAsia="en-US"/>
        </w:rPr>
        <w:t>SEGUNDO.</w:t>
      </w:r>
      <w:r w:rsidRPr="002D7098">
        <w:rPr>
          <w:rFonts w:ascii="Palatino Linotype" w:eastAsia="Calibri" w:hAnsi="Palatino Linotype" w:cs="Arial"/>
          <w:lang w:val="es-MX" w:eastAsia="en-US"/>
        </w:rPr>
        <w:t xml:space="preserve"> </w:t>
      </w:r>
      <w:r w:rsidRPr="002D7098">
        <w:rPr>
          <w:rFonts w:ascii="Palatino Linotype" w:eastAsiaTheme="minorHAnsi" w:hAnsi="Palatino Linotype" w:cs="Arial"/>
          <w:lang w:val="es-MX" w:eastAsia="en-US"/>
        </w:rPr>
        <w:t>Se</w:t>
      </w:r>
      <w:r w:rsidRPr="002D7098">
        <w:rPr>
          <w:rFonts w:ascii="Palatino Linotype" w:eastAsiaTheme="minorHAnsi" w:hAnsi="Palatino Linotype" w:cs="Arial"/>
          <w:b/>
          <w:lang w:val="es-MX" w:eastAsia="en-US"/>
        </w:rPr>
        <w:t xml:space="preserve"> </w:t>
      </w:r>
      <w:r w:rsidRPr="002D7098">
        <w:rPr>
          <w:rFonts w:ascii="Palatino Linotype" w:eastAsiaTheme="minorHAnsi" w:hAnsi="Palatino Linotype" w:cstheme="minorBidi"/>
          <w:b/>
          <w:lang w:val="es-MX" w:eastAsia="en-US"/>
        </w:rPr>
        <w:t xml:space="preserve">ORDENA </w:t>
      </w:r>
      <w:r w:rsidRPr="002D7098">
        <w:rPr>
          <w:rFonts w:ascii="Palatino Linotype" w:eastAsiaTheme="minorHAnsi" w:hAnsi="Palatino Linotype" w:cstheme="minorBidi"/>
          <w:lang w:val="es-MX" w:eastAsia="en-US"/>
        </w:rPr>
        <w:t xml:space="preserve">al </w:t>
      </w:r>
      <w:r w:rsidRPr="002D7098">
        <w:rPr>
          <w:rFonts w:ascii="Palatino Linotype" w:eastAsiaTheme="minorHAnsi" w:hAnsi="Palatino Linotype" w:cstheme="minorBidi"/>
          <w:b/>
          <w:lang w:val="es-MX" w:eastAsia="en-US"/>
        </w:rPr>
        <w:t>Sujeto Obligado</w:t>
      </w:r>
      <w:r w:rsidRPr="002D7098">
        <w:rPr>
          <w:rFonts w:ascii="Palatino Linotype" w:eastAsiaTheme="minorHAnsi" w:hAnsi="Palatino Linotype" w:cstheme="minorBidi"/>
          <w:lang w:val="es-MX" w:eastAsia="en-US"/>
        </w:rPr>
        <w:t xml:space="preserve"> en términos del Considerando </w:t>
      </w:r>
      <w:r w:rsidR="00A746AA" w:rsidRPr="0060430C">
        <w:rPr>
          <w:rFonts w:ascii="Palatino Linotype" w:eastAsiaTheme="minorHAnsi" w:hAnsi="Palatino Linotype" w:cstheme="minorBidi"/>
          <w:b/>
          <w:bCs/>
          <w:lang w:val="es-MX" w:eastAsia="en-US"/>
        </w:rPr>
        <w:t>QUINTO</w:t>
      </w:r>
      <w:r w:rsidRPr="002D7098">
        <w:rPr>
          <w:rFonts w:ascii="Palatino Linotype" w:eastAsiaTheme="minorHAnsi" w:hAnsi="Palatino Linotype" w:cstheme="minorBidi"/>
          <w:lang w:val="es-MX" w:eastAsia="en-US"/>
        </w:rPr>
        <w:t xml:space="preserve">, </w:t>
      </w:r>
      <w:r w:rsidRPr="002D7098">
        <w:rPr>
          <w:rFonts w:ascii="Palatino Linotype" w:eastAsiaTheme="minorHAnsi" w:hAnsi="Palatino Linotype" w:cs="Arial"/>
          <w:lang w:val="es-MX" w:eastAsia="en-US"/>
        </w:rPr>
        <w:t xml:space="preserve">haga entrega a través a través del Sistema de Acceso a la Información Mexiquense (SAIMEX), de ser procedente en versión pública, </w:t>
      </w:r>
      <w:r w:rsidRPr="002D7098">
        <w:rPr>
          <w:rFonts w:ascii="Palatino Linotype" w:eastAsiaTheme="minorHAnsi" w:hAnsi="Palatino Linotype" w:cs="Arial"/>
          <w:bCs/>
          <w:lang w:val="es-MX" w:eastAsia="en-US"/>
        </w:rPr>
        <w:t xml:space="preserve">de </w:t>
      </w:r>
      <w:r w:rsidRPr="002D7098">
        <w:rPr>
          <w:rFonts w:ascii="Palatino Linotype" w:eastAsiaTheme="minorHAnsi" w:hAnsi="Palatino Linotype" w:cstheme="minorBidi"/>
          <w:lang w:val="es-MX" w:eastAsia="en-US"/>
        </w:rPr>
        <w:t>lo siguiente:</w:t>
      </w:r>
    </w:p>
    <w:p w14:paraId="41A7CB2C" w14:textId="77777777" w:rsidR="00CC4FA2" w:rsidRPr="00CC4FA2" w:rsidRDefault="00CC4FA2" w:rsidP="00CC4FA2">
      <w:pPr>
        <w:spacing w:line="360" w:lineRule="auto"/>
        <w:jc w:val="both"/>
        <w:rPr>
          <w:rFonts w:ascii="Palatino Linotype" w:eastAsiaTheme="minorHAnsi" w:hAnsi="Palatino Linotype" w:cstheme="minorBidi"/>
          <w:lang w:val="es-MX" w:eastAsia="en-US"/>
        </w:rPr>
      </w:pPr>
    </w:p>
    <w:p w14:paraId="55A5CB41" w14:textId="2AC06175" w:rsidR="007538C5" w:rsidRPr="002D7098" w:rsidRDefault="002D7098" w:rsidP="00CC4FA2">
      <w:pPr>
        <w:spacing w:line="276" w:lineRule="auto"/>
        <w:ind w:left="720"/>
        <w:jc w:val="both"/>
        <w:rPr>
          <w:rFonts w:ascii="Palatino Linotype" w:hAnsi="Palatino Linotype"/>
          <w:color w:val="000000"/>
        </w:rPr>
      </w:pPr>
      <w:bookmarkStart w:id="8" w:name="_Hlk62045713"/>
      <w:bookmarkEnd w:id="5"/>
      <w:r w:rsidRPr="002D7098">
        <w:rPr>
          <w:rFonts w:ascii="Palatino Linotype" w:hAnsi="Palatino Linotype"/>
        </w:rPr>
        <w:t xml:space="preserve">1.- </w:t>
      </w:r>
      <w:r w:rsidR="0060430C">
        <w:rPr>
          <w:rFonts w:ascii="Palatino Linotype" w:hAnsi="Palatino Linotype"/>
          <w:i/>
          <w:iCs/>
        </w:rPr>
        <w:t>L</w:t>
      </w:r>
      <w:r w:rsidR="003C2B1D" w:rsidRPr="007538C5">
        <w:rPr>
          <w:rFonts w:ascii="Palatino Linotype" w:hAnsi="Palatino Linotype"/>
          <w:i/>
          <w:iCs/>
        </w:rPr>
        <w:t xml:space="preserve">os expedientes </w:t>
      </w:r>
      <w:r w:rsidR="007538C5" w:rsidRPr="007538C5">
        <w:rPr>
          <w:rFonts w:ascii="Palatino Linotype" w:hAnsi="Palatino Linotype"/>
          <w:i/>
          <w:iCs/>
        </w:rPr>
        <w:t xml:space="preserve">que se </w:t>
      </w:r>
      <w:r w:rsidR="007538C5">
        <w:rPr>
          <w:rFonts w:ascii="Palatino Linotype" w:hAnsi="Palatino Linotype"/>
          <w:i/>
          <w:iCs/>
        </w:rPr>
        <w:t>encuentran</w:t>
      </w:r>
      <w:r w:rsidR="007538C5" w:rsidRPr="007538C5">
        <w:rPr>
          <w:rFonts w:ascii="Palatino Linotype" w:hAnsi="Palatino Linotype"/>
          <w:i/>
          <w:iCs/>
        </w:rPr>
        <w:t xml:space="preserve"> en trámite y que se relacionen con actos de corrupción, delitos de lesa humanidad o posibles violaciones graves a derechos humanos</w:t>
      </w:r>
      <w:r w:rsidR="007538C5">
        <w:rPr>
          <w:rFonts w:ascii="Palatino Linotype" w:hAnsi="Palatino Linotype"/>
          <w:i/>
          <w:iCs/>
        </w:rPr>
        <w:t>,</w:t>
      </w:r>
      <w:r w:rsidR="0060430C">
        <w:rPr>
          <w:rFonts w:ascii="Palatino Linotype" w:hAnsi="Palatino Linotype"/>
          <w:i/>
          <w:iCs/>
        </w:rPr>
        <w:t xml:space="preserve"> formados</w:t>
      </w:r>
      <w:r w:rsidR="003C2B1D" w:rsidRPr="007538C5">
        <w:rPr>
          <w:rFonts w:ascii="Palatino Linotype" w:hAnsi="Palatino Linotype"/>
          <w:i/>
          <w:iCs/>
        </w:rPr>
        <w:t xml:space="preserve"> con motivo de procedimiento</w:t>
      </w:r>
      <w:r w:rsidR="007538C5">
        <w:rPr>
          <w:rFonts w:ascii="Palatino Linotype" w:hAnsi="Palatino Linotype"/>
          <w:i/>
          <w:iCs/>
        </w:rPr>
        <w:t>s</w:t>
      </w:r>
      <w:r w:rsidR="007538C5" w:rsidRPr="007538C5">
        <w:rPr>
          <w:rFonts w:ascii="Palatino Linotype" w:hAnsi="Palatino Linotype"/>
          <w:i/>
          <w:iCs/>
        </w:rPr>
        <w:t xml:space="preserve"> de</w:t>
      </w:r>
      <w:r w:rsidR="003C2B1D" w:rsidRPr="007538C5">
        <w:rPr>
          <w:rFonts w:ascii="Palatino Linotype" w:hAnsi="Palatino Linotype"/>
          <w:i/>
          <w:iCs/>
        </w:rPr>
        <w:t xml:space="preserve"> responsabilidad administrativa </w:t>
      </w:r>
      <w:r w:rsidR="007538C5" w:rsidRPr="007538C5">
        <w:rPr>
          <w:rFonts w:ascii="Palatino Linotype" w:hAnsi="Palatino Linotype"/>
          <w:i/>
          <w:iCs/>
        </w:rPr>
        <w:t xml:space="preserve">instaurados </w:t>
      </w:r>
      <w:r w:rsidR="005E6AE8" w:rsidRPr="005E6AE8">
        <w:rPr>
          <w:rFonts w:ascii="Palatino Linotype" w:hAnsi="Palatino Linotype"/>
          <w:i/>
          <w:iCs/>
        </w:rPr>
        <w:t>en contra de los Titulares del Órgano de Control Interno del año 2018 al 20 de febrero de 2023</w:t>
      </w:r>
      <w:r w:rsidRPr="002D7098">
        <w:rPr>
          <w:rFonts w:ascii="Palatino Linotype" w:hAnsi="Palatino Linotype"/>
          <w:i/>
          <w:iCs/>
          <w:color w:val="000000"/>
        </w:rPr>
        <w:t>.</w:t>
      </w:r>
      <w:r w:rsidRPr="002D7098">
        <w:rPr>
          <w:rFonts w:ascii="Palatino Linotype" w:hAnsi="Palatino Linotype"/>
          <w:color w:val="000000"/>
        </w:rPr>
        <w:t xml:space="preserve"> </w:t>
      </w:r>
    </w:p>
    <w:p w14:paraId="2147369A" w14:textId="77777777" w:rsidR="002D7098" w:rsidRPr="002D7098" w:rsidRDefault="002D7098" w:rsidP="002D7098">
      <w:pPr>
        <w:spacing w:line="360" w:lineRule="auto"/>
        <w:ind w:left="720"/>
        <w:jc w:val="both"/>
        <w:rPr>
          <w:rFonts w:ascii="Palatino Linotype" w:hAnsi="Palatino Linotype"/>
          <w:color w:val="000000"/>
          <w:sz w:val="18"/>
        </w:rPr>
      </w:pPr>
    </w:p>
    <w:p w14:paraId="44066D24" w14:textId="77777777" w:rsidR="002D7098" w:rsidRPr="002D7098" w:rsidRDefault="002D7098" w:rsidP="002D7098">
      <w:pPr>
        <w:spacing w:line="276" w:lineRule="auto"/>
        <w:ind w:left="720"/>
        <w:jc w:val="both"/>
        <w:rPr>
          <w:rFonts w:ascii="Palatino Linotype" w:eastAsia="Calibri" w:hAnsi="Palatino Linotype" w:cs="Arial"/>
          <w:i/>
          <w:sz w:val="22"/>
          <w:szCs w:val="23"/>
          <w:lang w:val="es-ES_tradnl" w:eastAsia="en-US"/>
        </w:rPr>
      </w:pPr>
      <w:r w:rsidRPr="002D7098">
        <w:rPr>
          <w:rFonts w:ascii="Palatino Linotype" w:eastAsiaTheme="minorHAnsi" w:hAnsi="Palatino Linotype" w:cs="Arial"/>
          <w:bCs/>
          <w:i/>
          <w:sz w:val="22"/>
          <w:szCs w:val="23"/>
          <w:shd w:val="clear" w:color="auto" w:fill="FFFFFF"/>
          <w:lang w:val="es-MX" w:eastAsia="en-US"/>
        </w:rPr>
        <w:t xml:space="preserve">Para la versión pública, el Sujeto Obligado deberá emitir el Acuerdo del Comité de Transparencia en términos del artículo 49 fracción VIII y </w:t>
      </w:r>
      <w:r w:rsidRPr="002D7098">
        <w:rPr>
          <w:rFonts w:ascii="Palatino Linotype" w:eastAsia="Calibri" w:hAnsi="Palatino Linotype" w:cs="Arial"/>
          <w:i/>
          <w:sz w:val="22"/>
          <w:szCs w:val="23"/>
          <w:lang w:val="es-ES_tradnl" w:eastAsia="en-US"/>
        </w:rPr>
        <w:t xml:space="preserve">132 fracción II de la Ley de Transparencia y Acceso a la Información Pública del Estado de México y Municipios vigente, </w:t>
      </w:r>
      <w:r w:rsidRPr="002D7098">
        <w:rPr>
          <w:rFonts w:ascii="Palatino Linotype" w:eastAsia="Calibri" w:hAnsi="Palatino Linotype" w:cs="Arial"/>
          <w:i/>
          <w:sz w:val="22"/>
          <w:szCs w:val="23"/>
          <w:lang w:val="es-ES_tradnl" w:eastAsia="en-US"/>
        </w:rPr>
        <w:lastRenderedPageBreak/>
        <w:t>en el que funde y motive las razones sobre los datos que se supriman o eliminen dentro del soporte documental respectivo objeto de las versiones públicas que se formulen y se ponga a disposición de la recurrente.</w:t>
      </w:r>
    </w:p>
    <w:p w14:paraId="4595C496" w14:textId="77777777" w:rsidR="002D7098" w:rsidRPr="002D7098" w:rsidRDefault="002D7098" w:rsidP="002D7098">
      <w:pPr>
        <w:spacing w:line="276" w:lineRule="auto"/>
        <w:ind w:left="720"/>
        <w:jc w:val="both"/>
        <w:rPr>
          <w:rFonts w:ascii="Palatino Linotype" w:eastAsia="Calibri" w:hAnsi="Palatino Linotype" w:cs="Arial"/>
          <w:i/>
          <w:sz w:val="22"/>
          <w:szCs w:val="23"/>
          <w:lang w:val="es-ES_tradnl" w:eastAsia="en-US"/>
        </w:rPr>
      </w:pPr>
    </w:p>
    <w:p w14:paraId="2541DB99" w14:textId="3CEBE5C6" w:rsidR="002D7098" w:rsidRPr="002D7098" w:rsidRDefault="008A60B2" w:rsidP="002D7098">
      <w:pPr>
        <w:spacing w:line="276" w:lineRule="auto"/>
        <w:ind w:left="720"/>
        <w:jc w:val="both"/>
        <w:rPr>
          <w:rFonts w:ascii="Palatino Linotype" w:eastAsia="Calibri" w:hAnsi="Palatino Linotype" w:cs="Arial"/>
          <w:i/>
          <w:sz w:val="22"/>
          <w:szCs w:val="23"/>
          <w:lang w:val="es-ES_tradnl" w:eastAsia="en-US"/>
        </w:rPr>
      </w:pPr>
      <w:r w:rsidRPr="008A60B2">
        <w:rPr>
          <w:rFonts w:ascii="Palatino Linotype" w:eastAsia="Calibri" w:hAnsi="Palatino Linotype" w:cs="Arial"/>
          <w:i/>
          <w:sz w:val="22"/>
          <w:szCs w:val="23"/>
          <w:lang w:val="es-ES_tradnl" w:eastAsia="en-US"/>
        </w:rPr>
        <w:t>Para el caso de que El Sujeto Obligado no cuente con la información que se ordena su entrega en el presente Resolutivo, bastará con que lo haga del conocimiento de la Recurrente al momento de dar cumplimiento a la presente resolución</w:t>
      </w:r>
    </w:p>
    <w:p w14:paraId="26881EC8" w14:textId="77777777" w:rsidR="008A60B2" w:rsidRDefault="008A60B2" w:rsidP="002D7098">
      <w:pPr>
        <w:spacing w:before="240" w:after="240" w:line="360" w:lineRule="auto"/>
        <w:ind w:right="49"/>
        <w:jc w:val="both"/>
        <w:rPr>
          <w:rFonts w:ascii="Palatino Linotype" w:eastAsiaTheme="minorHAnsi" w:hAnsi="Palatino Linotype" w:cs="Arial"/>
          <w:b/>
          <w:bCs/>
          <w:shd w:val="clear" w:color="auto" w:fill="FFFFFF"/>
          <w:lang w:val="es-MX" w:eastAsia="en-US"/>
        </w:rPr>
      </w:pPr>
    </w:p>
    <w:bookmarkEnd w:id="6"/>
    <w:bookmarkEnd w:id="8"/>
    <w:p w14:paraId="3A6FEE5F" w14:textId="77777777" w:rsidR="00BC5FA6" w:rsidRPr="00BC5FA6" w:rsidRDefault="00BC5FA6" w:rsidP="00BC5FA6">
      <w:pPr>
        <w:spacing w:line="360" w:lineRule="auto"/>
        <w:jc w:val="both"/>
        <w:rPr>
          <w:rFonts w:ascii="Palatino Linotype" w:eastAsiaTheme="minorHAnsi" w:hAnsi="Palatino Linotype" w:cstheme="minorBidi"/>
          <w:lang w:val="es-MX" w:eastAsia="en-US"/>
        </w:rPr>
      </w:pPr>
      <w:r w:rsidRPr="00BC5FA6">
        <w:rPr>
          <w:rFonts w:ascii="Palatino Linotype" w:eastAsiaTheme="minorHAnsi" w:hAnsi="Palatino Linotype" w:cs="Arial"/>
          <w:b/>
          <w:lang w:val="es-ES_tradnl" w:eastAsia="en-US"/>
        </w:rPr>
        <w:t xml:space="preserve">TERCERO. </w:t>
      </w:r>
      <w:r w:rsidRPr="00BC5FA6">
        <w:rPr>
          <w:rFonts w:ascii="Palatino Linotype" w:eastAsiaTheme="minorHAnsi" w:hAnsi="Palatino Linotype" w:cstheme="minorBidi"/>
          <w:b/>
          <w:lang w:val="es-MX" w:eastAsia="en-US"/>
        </w:rPr>
        <w:t>NOTIFÍQUESE</w:t>
      </w:r>
      <w:r w:rsidRPr="00BC5FA6">
        <w:rPr>
          <w:rFonts w:ascii="Palatino Linotype" w:eastAsiaTheme="minorHAnsi" w:hAnsi="Palatino Linotype" w:cstheme="minorBidi"/>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189244" w14:textId="77777777" w:rsidR="00BC5FA6" w:rsidRPr="00BC5FA6" w:rsidRDefault="00BC5FA6" w:rsidP="00BC5FA6">
      <w:pPr>
        <w:spacing w:line="360" w:lineRule="auto"/>
        <w:jc w:val="both"/>
        <w:rPr>
          <w:rFonts w:ascii="Palatino Linotype" w:eastAsiaTheme="minorHAnsi" w:hAnsi="Palatino Linotype" w:cstheme="minorBidi"/>
          <w:lang w:val="es-MX" w:eastAsia="en-US"/>
        </w:rPr>
      </w:pPr>
    </w:p>
    <w:p w14:paraId="10B04027" w14:textId="77777777" w:rsidR="00BC5FA6" w:rsidRPr="00430A46" w:rsidRDefault="00BC5FA6" w:rsidP="00BC5FA6">
      <w:pPr>
        <w:spacing w:line="360" w:lineRule="auto"/>
        <w:jc w:val="both"/>
        <w:rPr>
          <w:rFonts w:ascii="Palatino Linotype" w:eastAsiaTheme="minorHAnsi" w:hAnsi="Palatino Linotype" w:cs="Arial"/>
          <w:bCs/>
          <w:szCs w:val="28"/>
          <w:lang w:val="es-MX" w:eastAsia="en-US"/>
        </w:rPr>
      </w:pPr>
      <w:r w:rsidRPr="00BC5FA6">
        <w:rPr>
          <w:rFonts w:ascii="Palatino Linotype" w:eastAsiaTheme="minorHAnsi" w:hAnsi="Palatino Linotype" w:cs="Arial"/>
          <w:b/>
          <w:bCs/>
          <w:lang w:val="es-MX" w:eastAsia="en-US"/>
        </w:rPr>
        <w:t>CUARTO.</w:t>
      </w:r>
      <w:r w:rsidRPr="00BC5FA6">
        <w:rPr>
          <w:rFonts w:ascii="Palatino Linotype" w:eastAsiaTheme="minorHAnsi" w:hAnsi="Palatino Linotype" w:cs="Arial"/>
          <w:bCs/>
          <w:lang w:val="es-MX" w:eastAsia="en-US"/>
        </w:rPr>
        <w:t xml:space="preserve"> De conformidad</w:t>
      </w:r>
      <w:r w:rsidRPr="00430A46">
        <w:rPr>
          <w:rFonts w:ascii="Palatino Linotype" w:eastAsiaTheme="minorHAnsi" w:hAnsi="Palatino Linotype" w:cs="Arial"/>
          <w:bCs/>
          <w:szCs w:val="28"/>
          <w:lang w:val="es-MX" w:eastAsia="en-US"/>
        </w:rPr>
        <w:t xml:space="preserve"> con el artículo 198, de la Ley de Transparencia y Acceso a la Información Pública del Estado de México y Municipios, de considerarlo procedente, el </w:t>
      </w:r>
      <w:r w:rsidRPr="00430A46">
        <w:rPr>
          <w:rFonts w:ascii="Palatino Linotype" w:eastAsiaTheme="minorHAnsi" w:hAnsi="Palatino Linotype" w:cs="Arial"/>
          <w:b/>
          <w:bCs/>
          <w:szCs w:val="28"/>
          <w:lang w:val="es-MX" w:eastAsia="en-US"/>
        </w:rPr>
        <w:t>Sujeto Obligado</w:t>
      </w:r>
      <w:r w:rsidRPr="00430A46">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5499DEF9" w14:textId="77777777" w:rsidR="00BC5FA6" w:rsidRPr="00430A46" w:rsidRDefault="00BC5FA6" w:rsidP="00BC5FA6">
      <w:pPr>
        <w:spacing w:line="360" w:lineRule="auto"/>
        <w:jc w:val="both"/>
        <w:rPr>
          <w:rFonts w:ascii="Palatino Linotype" w:eastAsiaTheme="minorHAnsi" w:hAnsi="Palatino Linotype" w:cs="Arial"/>
          <w:bCs/>
          <w:szCs w:val="28"/>
          <w:lang w:val="es-MX" w:eastAsia="en-US"/>
        </w:rPr>
      </w:pPr>
    </w:p>
    <w:p w14:paraId="2E0BE940" w14:textId="68739FAF" w:rsidR="00BC5FA6" w:rsidRPr="00430A46" w:rsidRDefault="00BC5FA6" w:rsidP="00BC5FA6">
      <w:pPr>
        <w:autoSpaceDE w:val="0"/>
        <w:autoSpaceDN w:val="0"/>
        <w:adjustRightInd w:val="0"/>
        <w:spacing w:line="360" w:lineRule="auto"/>
        <w:ind w:right="49"/>
        <w:jc w:val="both"/>
        <w:rPr>
          <w:rFonts w:ascii="Palatino Linotype" w:eastAsiaTheme="minorHAnsi" w:hAnsi="Palatino Linotype" w:cs="Arial"/>
          <w:lang w:val="es-MX" w:eastAsia="en-US"/>
        </w:rPr>
      </w:pPr>
      <w:r w:rsidRPr="00BC5FA6">
        <w:rPr>
          <w:rFonts w:ascii="Palatino Linotype" w:eastAsiaTheme="minorHAnsi" w:hAnsi="Palatino Linotype" w:cs="Arial"/>
          <w:b/>
          <w:lang w:val="es-MX" w:eastAsia="en-US"/>
        </w:rPr>
        <w:lastRenderedPageBreak/>
        <w:t>QUINTO. NOTIFÍQUESE</w:t>
      </w:r>
      <w:r w:rsidRPr="00BC5FA6">
        <w:rPr>
          <w:rFonts w:ascii="Palatino Linotype" w:eastAsiaTheme="minorHAnsi" w:hAnsi="Palatino Linotype" w:cs="Arial"/>
          <w:lang w:val="es-MX" w:eastAsia="en-US"/>
        </w:rPr>
        <w:t xml:space="preserve"> al </w:t>
      </w:r>
      <w:r w:rsidRPr="00BC5FA6">
        <w:rPr>
          <w:rFonts w:ascii="Palatino Linotype" w:eastAsiaTheme="minorHAnsi" w:hAnsi="Palatino Linotype" w:cs="Arial"/>
          <w:b/>
          <w:lang w:val="es-MX" w:eastAsia="en-US"/>
        </w:rPr>
        <w:t>Recurrente</w:t>
      </w:r>
      <w:r w:rsidRPr="00BC5FA6">
        <w:rPr>
          <w:rFonts w:ascii="Palatino Linotype" w:eastAsiaTheme="minorHAnsi" w:hAnsi="Palatino Linotype" w:cs="Arial"/>
          <w:lang w:val="es-MX" w:eastAsia="en-US"/>
        </w:rPr>
        <w:t xml:space="preserve"> la presente resolución a través del Sistema de Acceso a la Información Mexiquense </w:t>
      </w:r>
      <w:r w:rsidRPr="00BC5FA6">
        <w:rPr>
          <w:rFonts w:ascii="Palatino Linotype" w:eastAsiaTheme="minorHAnsi" w:hAnsi="Palatino Linotype" w:cs="Arial"/>
          <w:b/>
          <w:lang w:val="es-MX" w:eastAsia="en-US"/>
        </w:rPr>
        <w:t>(SAIMEX),</w:t>
      </w:r>
      <w:r w:rsidRPr="00BC5FA6">
        <w:rPr>
          <w:rFonts w:ascii="Palatino Linotype" w:eastAsiaTheme="minorHAnsi" w:hAnsi="Palatino Linotype" w:cs="Arial"/>
          <w:lang w:val="es-MX" w:eastAsia="en-US"/>
        </w:rPr>
        <w:t xml:space="preserve"> </w:t>
      </w:r>
      <w:r w:rsidRPr="0029023C">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19FFFA38" w14:textId="77777777" w:rsidR="00BC5FA6" w:rsidRPr="00430A46" w:rsidRDefault="00BC5FA6" w:rsidP="00BC5FA6">
      <w:pPr>
        <w:autoSpaceDE w:val="0"/>
        <w:autoSpaceDN w:val="0"/>
        <w:adjustRightInd w:val="0"/>
        <w:spacing w:line="360" w:lineRule="auto"/>
        <w:ind w:right="49"/>
        <w:jc w:val="both"/>
        <w:rPr>
          <w:rFonts w:ascii="Palatino Linotype" w:eastAsiaTheme="minorHAnsi" w:hAnsi="Palatino Linotype" w:cs="Arial"/>
          <w:lang w:val="es-MX" w:eastAsia="en-US"/>
        </w:rPr>
      </w:pPr>
    </w:p>
    <w:p w14:paraId="0C2EF224" w14:textId="48BDDBBE" w:rsidR="00BC5FA6" w:rsidRPr="00430A46" w:rsidRDefault="00BC5FA6" w:rsidP="00BC5FA6">
      <w:pPr>
        <w:spacing w:line="360" w:lineRule="auto"/>
        <w:jc w:val="both"/>
        <w:rPr>
          <w:rFonts w:ascii="Palatino Linotype" w:eastAsiaTheme="minorHAnsi" w:hAnsi="Palatino Linotype" w:cs="Arial"/>
          <w:sz w:val="20"/>
          <w:lang w:val="es-MX" w:eastAsia="en-US"/>
        </w:rPr>
      </w:pPr>
      <w:r w:rsidRPr="00430A46">
        <w:rPr>
          <w:rFonts w:ascii="Palatino Linotype" w:eastAsiaTheme="minorHAnsi" w:hAnsi="Palatino Linotype" w:cs="Arial"/>
          <w:lang w:val="es-MX" w:eastAsia="en-US"/>
        </w:rPr>
        <w:t>ASÍ LO RESUELVE, POR UNANIMIDAD DE VOTOS, EL PLENO DEL</w:t>
      </w:r>
      <w:r w:rsidRPr="00430A4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30A46">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Pr>
          <w:rFonts w:ascii="Palatino Linotype" w:eastAsiaTheme="minorHAnsi" w:hAnsi="Palatino Linotype" w:cs="Arial"/>
          <w:lang w:val="es-MX" w:eastAsia="en-US"/>
        </w:rPr>
        <w:t>CUADRAGÉSIMA TERCERA</w:t>
      </w:r>
      <w:r w:rsidRPr="00430A46">
        <w:rPr>
          <w:rFonts w:ascii="Palatino Linotype" w:eastAsiaTheme="minorHAnsi" w:hAnsi="Palatino Linotype" w:cs="Arial"/>
          <w:lang w:val="es-MX" w:eastAsia="en-US"/>
        </w:rPr>
        <w:t xml:space="preserve"> SESIÓN ORDINARIA CELEBRADA EL </w:t>
      </w:r>
      <w:r>
        <w:rPr>
          <w:rFonts w:ascii="Palatino Linotype" w:hAnsi="Palatino Linotype" w:cs="Arial"/>
          <w:color w:val="000000"/>
          <w:lang w:val="es-MX" w:eastAsia="es-MX"/>
        </w:rPr>
        <w:t>VEINTINUEVE DE NOVIEMBRE</w:t>
      </w:r>
      <w:r w:rsidRPr="00430A46">
        <w:rPr>
          <w:rFonts w:ascii="Palatino Linotype" w:hAnsi="Palatino Linotype" w:cs="Arial"/>
          <w:color w:val="000000"/>
          <w:lang w:val="es-MX" w:eastAsia="es-MX"/>
        </w:rPr>
        <w:t xml:space="preserve"> DE</w:t>
      </w:r>
      <w:r w:rsidRPr="00430A46">
        <w:rPr>
          <w:rFonts w:ascii="Palatino Linotype" w:eastAsiaTheme="minorHAnsi" w:hAnsi="Palatino Linotype" w:cs="Arial"/>
          <w:lang w:val="es-MX" w:eastAsia="en-US"/>
        </w:rPr>
        <w:t xml:space="preserve"> DOS MIL VEINTITRÉS, ANTE EL SECRETARIO TÉCNICO</w:t>
      </w:r>
      <w:r w:rsidR="00B56B74">
        <w:rPr>
          <w:rFonts w:ascii="Palatino Linotype" w:eastAsiaTheme="minorHAnsi" w:hAnsi="Palatino Linotype" w:cs="Arial"/>
          <w:lang w:val="es-MX" w:eastAsia="en-US"/>
        </w:rPr>
        <w:t xml:space="preserve"> DEL PLENO</w:t>
      </w:r>
      <w:r w:rsidRPr="00430A46">
        <w:rPr>
          <w:rFonts w:ascii="Palatino Linotype" w:eastAsiaTheme="minorHAnsi" w:hAnsi="Palatino Linotype" w:cs="Arial"/>
          <w:lang w:val="es-MX" w:eastAsia="en-US"/>
        </w:rPr>
        <w:t>, ALEXIS TAPIA RAMÍREZ.--------</w:t>
      </w:r>
      <w:r>
        <w:rPr>
          <w:rFonts w:ascii="Palatino Linotype" w:eastAsiaTheme="minorHAnsi" w:hAnsi="Palatino Linotype" w:cs="Arial"/>
          <w:lang w:val="es-MX" w:eastAsia="en-US"/>
        </w:rPr>
        <w:t>----------------------------------------------------------------------------------------------------------------------------------------------------------------------------------------------------------------------------------------------------------------------------------</w:t>
      </w:r>
      <w:r w:rsidRPr="00430A46">
        <w:rPr>
          <w:rFonts w:ascii="Palatino Linotype" w:eastAsiaTheme="minorHAnsi" w:hAnsi="Palatino Linotype" w:cs="Arial"/>
          <w:lang w:val="es-MX" w:eastAsia="en-US"/>
        </w:rPr>
        <w:t>------------------------------------------------------------------------------------------------------------------</w:t>
      </w:r>
      <w:r>
        <w:rPr>
          <w:rFonts w:ascii="Palatino Linotype" w:eastAsiaTheme="minorHAnsi" w:hAnsi="Palatino Linotype" w:cs="Arial"/>
          <w:lang w:val="es-MX" w:eastAsia="en-US"/>
        </w:rPr>
        <w:t>--------------------------------------------------------------------------------</w:t>
      </w:r>
    </w:p>
    <w:p w14:paraId="1762B449" w14:textId="1F9CB1E3" w:rsidR="00315E01" w:rsidRPr="00BC5FA6" w:rsidRDefault="00BC5FA6" w:rsidP="00315E01">
      <w:pPr>
        <w:spacing w:line="360" w:lineRule="auto"/>
        <w:jc w:val="both"/>
        <w:rPr>
          <w:rFonts w:ascii="Palatino Linotype" w:eastAsiaTheme="minorHAnsi" w:hAnsi="Palatino Linotype" w:cs="Arial"/>
          <w:sz w:val="18"/>
          <w:lang w:val="es-MX" w:eastAsia="en-US"/>
        </w:rPr>
      </w:pPr>
      <w:r w:rsidRPr="00430A46">
        <w:rPr>
          <w:rFonts w:ascii="Palatino Linotype" w:eastAsiaTheme="minorHAnsi" w:hAnsi="Palatino Linotype" w:cs="Arial"/>
          <w:sz w:val="18"/>
          <w:lang w:val="es-MX" w:eastAsia="en-US"/>
        </w:rPr>
        <w:t>JMV/CCR/</w:t>
      </w:r>
      <w:r>
        <w:rPr>
          <w:rFonts w:ascii="Palatino Linotype" w:eastAsiaTheme="minorHAnsi" w:hAnsi="Palatino Linotype" w:cs="Arial"/>
          <w:sz w:val="18"/>
          <w:lang w:val="es-MX" w:eastAsia="en-US"/>
        </w:rPr>
        <w:t>EJDG</w:t>
      </w:r>
    </w:p>
    <w:p w14:paraId="7EA6190D" w14:textId="77777777" w:rsidR="00315E01" w:rsidRPr="003D21EB" w:rsidRDefault="00315E01" w:rsidP="00315E01">
      <w:pPr>
        <w:spacing w:line="360" w:lineRule="auto"/>
        <w:jc w:val="both"/>
        <w:rPr>
          <w:rFonts w:ascii="Palatino Linotype" w:hAnsi="Palatino Linotype"/>
          <w:sz w:val="18"/>
        </w:rPr>
      </w:pPr>
    </w:p>
    <w:p w14:paraId="75DFD40B" w14:textId="77777777" w:rsidR="000D38E9" w:rsidRPr="00755A9B" w:rsidRDefault="000D38E9" w:rsidP="00FE459F">
      <w:pPr>
        <w:spacing w:line="276" w:lineRule="auto"/>
        <w:rPr>
          <w:sz w:val="20"/>
        </w:rPr>
      </w:pPr>
    </w:p>
    <w:sectPr w:rsidR="000D38E9" w:rsidRPr="00755A9B"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3AF87" w14:textId="77777777" w:rsidR="007E6F84" w:rsidRDefault="007E6F84" w:rsidP="00D34057">
      <w:r>
        <w:separator/>
      </w:r>
    </w:p>
  </w:endnote>
  <w:endnote w:type="continuationSeparator" w:id="0">
    <w:p w14:paraId="1E0624C0" w14:textId="77777777" w:rsidR="007E6F84" w:rsidRDefault="007E6F84"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9339BD" w:rsidRPr="000B69FA" w:rsidRDefault="009339BD"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7B0C">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7B0C">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9339BD" w:rsidRPr="008171C2" w:rsidRDefault="009339BD"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DA7B0C">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DA7B0C">
      <w:rPr>
        <w:rFonts w:ascii="Palatino Linotype" w:hAnsi="Palatino Linotype"/>
        <w:b/>
        <w:bCs/>
        <w:noProof/>
        <w:sz w:val="20"/>
      </w:rPr>
      <w:t>51</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C9AB5" w14:textId="77777777" w:rsidR="007E6F84" w:rsidRDefault="007E6F84" w:rsidP="00D34057">
      <w:r>
        <w:separator/>
      </w:r>
    </w:p>
  </w:footnote>
  <w:footnote w:type="continuationSeparator" w:id="0">
    <w:p w14:paraId="6235E756" w14:textId="77777777" w:rsidR="007E6F84" w:rsidRDefault="007E6F84" w:rsidP="00D34057">
      <w:r>
        <w:continuationSeparator/>
      </w:r>
    </w:p>
  </w:footnote>
  <w:footnote w:id="1">
    <w:p w14:paraId="4A7DCFA5" w14:textId="77777777" w:rsidR="009339BD" w:rsidRPr="00EE06B0" w:rsidRDefault="009339BD"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339BD" w:rsidRPr="00EE06B0" w:rsidRDefault="009339BD"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03927094" w:rsidR="009339BD" w:rsidRDefault="009339BD" w:rsidP="00E63D62">
    <w:pPr>
      <w:pStyle w:val="Encabezado"/>
      <w:tabs>
        <w:tab w:val="clear" w:pos="4419"/>
        <w:tab w:val="clear" w:pos="8838"/>
        <w:tab w:val="left" w:pos="6380"/>
      </w:tabs>
    </w:pPr>
    <w:r>
      <w:rPr>
        <w:noProof/>
        <w:lang w:val="es-MX" w:eastAsia="es-MX"/>
      </w:rPr>
      <w:drawing>
        <wp:anchor distT="0" distB="0" distL="114300" distR="114300" simplePos="0" relativeHeight="251661312" behindDoc="1" locked="0" layoutInCell="1" allowOverlap="1" wp14:anchorId="75661367" wp14:editId="58258C4F">
          <wp:simplePos x="0" y="0"/>
          <wp:positionH relativeFrom="page">
            <wp:align>right</wp:align>
          </wp:positionH>
          <wp:positionV relativeFrom="paragraph">
            <wp:posOffset>-464659</wp:posOffset>
          </wp:positionV>
          <wp:extent cx="7635600" cy="9943200"/>
          <wp:effectExtent l="0" t="0" r="381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339BD" w14:paraId="3EBBCCA0" w14:textId="77777777" w:rsidTr="00E31501">
      <w:trPr>
        <w:trHeight w:val="227"/>
      </w:trPr>
      <w:tc>
        <w:tcPr>
          <w:tcW w:w="5529" w:type="dxa"/>
          <w:hideMark/>
        </w:tcPr>
        <w:p w14:paraId="5F4AF24B" w14:textId="135FE8E4" w:rsidR="009339BD" w:rsidRDefault="009339BD"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5ED2847F" w:rsidR="009339BD" w:rsidRDefault="008949FA" w:rsidP="00564DB2">
          <w:pPr>
            <w:spacing w:after="120"/>
            <w:ind w:left="-486" w:right="214" w:firstLine="1585"/>
            <w:jc w:val="right"/>
            <w:rPr>
              <w:rFonts w:ascii="Palatino Linotype" w:hAnsi="Palatino Linotype" w:cs="Arial"/>
              <w:szCs w:val="20"/>
            </w:rPr>
          </w:pPr>
          <w:r w:rsidRPr="008949FA">
            <w:rPr>
              <w:rFonts w:ascii="Palatino Linotype" w:hAnsi="Palatino Linotype" w:cs="Arial"/>
              <w:bCs/>
              <w:lang w:eastAsia="es-MX"/>
            </w:rPr>
            <w:t>01915/INFOEM/IP/RR/2023</w:t>
          </w:r>
        </w:p>
      </w:tc>
    </w:tr>
    <w:tr w:rsidR="009339BD" w14:paraId="05B82912" w14:textId="77777777" w:rsidTr="00E31501">
      <w:trPr>
        <w:trHeight w:val="242"/>
      </w:trPr>
      <w:tc>
        <w:tcPr>
          <w:tcW w:w="5529" w:type="dxa"/>
          <w:hideMark/>
        </w:tcPr>
        <w:p w14:paraId="45A5E639" w14:textId="32FD4E12" w:rsidR="009339BD" w:rsidRDefault="009339BD"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16B422A7" w:rsidR="009339BD" w:rsidRDefault="008949FA" w:rsidP="00E31501">
          <w:pPr>
            <w:ind w:left="-72" w:right="214" w:firstLine="284"/>
            <w:jc w:val="right"/>
            <w:rPr>
              <w:rFonts w:ascii="Palatino Linotype" w:hAnsi="Palatino Linotype" w:cs="Arial"/>
              <w:szCs w:val="20"/>
            </w:rPr>
          </w:pPr>
          <w:r w:rsidRPr="008949FA">
            <w:rPr>
              <w:rFonts w:ascii="Palatino Linotype" w:hAnsi="Palatino Linotype" w:cs="Arial"/>
              <w:szCs w:val="20"/>
            </w:rPr>
            <w:t>Ayuntamiento de Atizapán de Zaragoza</w:t>
          </w:r>
        </w:p>
      </w:tc>
    </w:tr>
    <w:tr w:rsidR="009339BD" w14:paraId="4AC99349" w14:textId="77777777" w:rsidTr="00E31501">
      <w:trPr>
        <w:trHeight w:val="342"/>
      </w:trPr>
      <w:tc>
        <w:tcPr>
          <w:tcW w:w="5529" w:type="dxa"/>
          <w:hideMark/>
        </w:tcPr>
        <w:p w14:paraId="050C3A62" w14:textId="6E3B079A" w:rsidR="009339BD" w:rsidRDefault="009339BD"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1B7DDA2E" w:rsidR="009339BD" w:rsidRDefault="009339BD" w:rsidP="00564DB2">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22445AA" w14:textId="77777777" w:rsidR="009339BD" w:rsidRDefault="009339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339BD" w14:paraId="393A0417" w14:textId="77777777" w:rsidTr="00564DB2">
      <w:trPr>
        <w:trHeight w:val="227"/>
      </w:trPr>
      <w:tc>
        <w:tcPr>
          <w:tcW w:w="5529" w:type="dxa"/>
          <w:hideMark/>
        </w:tcPr>
        <w:p w14:paraId="1D809BCF" w14:textId="1C96103D" w:rsidR="009339BD" w:rsidRDefault="009339BD" w:rsidP="00D14FBD">
          <w:pPr>
            <w:spacing w:after="120" w:line="257" w:lineRule="auto"/>
            <w:ind w:right="352"/>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44305CA" w:rsidR="009339BD" w:rsidRPr="00B4142F" w:rsidRDefault="008949FA" w:rsidP="006A6499">
          <w:pPr>
            <w:spacing w:after="120" w:line="257" w:lineRule="auto"/>
            <w:ind w:left="-486" w:right="214" w:firstLine="1408"/>
            <w:jc w:val="right"/>
            <w:rPr>
              <w:rFonts w:ascii="Palatino Linotype" w:hAnsi="Palatino Linotype" w:cs="Arial"/>
              <w:szCs w:val="20"/>
            </w:rPr>
          </w:pPr>
          <w:r w:rsidRPr="008949FA">
            <w:rPr>
              <w:rFonts w:ascii="Palatino Linotype" w:hAnsi="Palatino Linotype" w:cs="Arial"/>
              <w:bCs/>
              <w:lang w:eastAsia="es-MX"/>
            </w:rPr>
            <w:t>01915/INFOEM/IP/RR/2023</w:t>
          </w:r>
        </w:p>
      </w:tc>
    </w:tr>
    <w:tr w:rsidR="009339BD" w14:paraId="3CBA8370" w14:textId="77777777" w:rsidTr="00564DB2">
      <w:trPr>
        <w:trHeight w:val="196"/>
      </w:trPr>
      <w:tc>
        <w:tcPr>
          <w:tcW w:w="5529" w:type="dxa"/>
          <w:hideMark/>
        </w:tcPr>
        <w:p w14:paraId="01BBAC1E" w14:textId="77777777" w:rsidR="009339BD" w:rsidRDefault="009339BD" w:rsidP="00D14FBD">
          <w:pPr>
            <w:spacing w:after="120" w:line="257" w:lineRule="auto"/>
            <w:ind w:right="352"/>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2171C85B" w:rsidR="009339BD" w:rsidRPr="00F06FED" w:rsidRDefault="00DA7B0C" w:rsidP="006A6499">
          <w:pPr>
            <w:spacing w:after="120" w:line="257"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9339BD" w14:paraId="3016720F" w14:textId="77777777" w:rsidTr="00564DB2">
      <w:trPr>
        <w:trHeight w:val="242"/>
      </w:trPr>
      <w:tc>
        <w:tcPr>
          <w:tcW w:w="5529" w:type="dxa"/>
          <w:hideMark/>
        </w:tcPr>
        <w:p w14:paraId="5A512D3D" w14:textId="03E13640" w:rsidR="009339BD" w:rsidRDefault="009339BD" w:rsidP="00D14FBD">
          <w:pPr>
            <w:spacing w:after="120" w:line="257" w:lineRule="auto"/>
            <w:ind w:right="352"/>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662FEC94" w:rsidR="009339BD" w:rsidRDefault="008949FA" w:rsidP="00D14FBD">
          <w:pPr>
            <w:spacing w:after="120" w:line="257" w:lineRule="auto"/>
            <w:ind w:left="-219" w:right="214" w:firstLine="291"/>
            <w:jc w:val="right"/>
            <w:rPr>
              <w:rFonts w:ascii="Palatino Linotype" w:hAnsi="Palatino Linotype" w:cs="Arial"/>
              <w:szCs w:val="20"/>
            </w:rPr>
          </w:pPr>
          <w:r w:rsidRPr="008949FA">
            <w:rPr>
              <w:rFonts w:ascii="Palatino Linotype" w:hAnsi="Palatino Linotype" w:cs="Arial"/>
              <w:szCs w:val="20"/>
            </w:rPr>
            <w:t>Ayuntamiento de Atizapán de Zaragoza</w:t>
          </w:r>
        </w:p>
      </w:tc>
    </w:tr>
    <w:tr w:rsidR="009339BD" w14:paraId="1DA38D4E" w14:textId="77777777" w:rsidTr="00564DB2">
      <w:trPr>
        <w:trHeight w:val="342"/>
      </w:trPr>
      <w:tc>
        <w:tcPr>
          <w:tcW w:w="5529" w:type="dxa"/>
          <w:hideMark/>
        </w:tcPr>
        <w:p w14:paraId="68227E44" w14:textId="6B74F957" w:rsidR="009339BD" w:rsidRDefault="009339BD" w:rsidP="00D14FBD">
          <w:pPr>
            <w:tabs>
              <w:tab w:val="left" w:pos="4892"/>
            </w:tabs>
            <w:spacing w:after="120" w:line="257" w:lineRule="auto"/>
            <w:ind w:right="352"/>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BD01423" w:rsidR="009339BD" w:rsidRDefault="009339BD" w:rsidP="006A6499">
          <w:pPr>
            <w:spacing w:after="120" w:line="257"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6709E76" w14:textId="018E755F" w:rsidR="009339BD" w:rsidRPr="00FF74F5" w:rsidRDefault="009339BD">
    <w:pPr>
      <w:pStyle w:val="Encabezado"/>
      <w:rPr>
        <w:sz w:val="2"/>
      </w:rPr>
    </w:pPr>
    <w:r>
      <w:rPr>
        <w:noProof/>
        <w:lang w:val="es-MX" w:eastAsia="es-MX"/>
      </w:rPr>
      <w:drawing>
        <wp:anchor distT="0" distB="0" distL="114300" distR="114300" simplePos="0" relativeHeight="251659264" behindDoc="1" locked="0" layoutInCell="1" allowOverlap="1" wp14:anchorId="64921234" wp14:editId="62A4209F">
          <wp:simplePos x="0" y="0"/>
          <wp:positionH relativeFrom="page">
            <wp:align>left</wp:align>
          </wp:positionH>
          <wp:positionV relativeFrom="paragraph">
            <wp:posOffset>-1479977</wp:posOffset>
          </wp:positionV>
          <wp:extent cx="7635600" cy="9943200"/>
          <wp:effectExtent l="0" t="0" r="381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5EC4F01"/>
    <w:multiLevelType w:val="hybridMultilevel"/>
    <w:tmpl w:val="25E63FF8"/>
    <w:lvl w:ilvl="0" w:tplc="580A000F">
      <w:start w:val="1"/>
      <w:numFmt w:val="decimal"/>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2">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DB4F19"/>
    <w:multiLevelType w:val="hybridMultilevel"/>
    <w:tmpl w:val="7DD24D3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C5947"/>
    <w:multiLevelType w:val="multilevel"/>
    <w:tmpl w:val="E9A867CE"/>
    <w:lvl w:ilvl="0">
      <w:start w:val="1"/>
      <w:numFmt w:val="upperRoman"/>
      <w:lvlText w:val="%1."/>
      <w:lvlJc w:val="left"/>
      <w:pPr>
        <w:ind w:left="1422" w:hanging="855"/>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9">
    <w:nsid w:val="2D572703"/>
    <w:multiLevelType w:val="hybridMultilevel"/>
    <w:tmpl w:val="98289E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1E16A5"/>
    <w:multiLevelType w:val="hybridMultilevel"/>
    <w:tmpl w:val="460EEB06"/>
    <w:lvl w:ilvl="0" w:tplc="080A0001">
      <w:start w:val="1"/>
      <w:numFmt w:val="bullet"/>
      <w:lvlText w:val=""/>
      <w:lvlJc w:val="left"/>
      <w:pPr>
        <w:ind w:left="720" w:hanging="360"/>
      </w:pPr>
      <w:rPr>
        <w:rFonts w:ascii="Symbol" w:hAnsi="Symbol" w:hint="default"/>
      </w:rPr>
    </w:lvl>
    <w:lvl w:ilvl="1" w:tplc="B57C0E80">
      <w:start w:val="1"/>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BC4F2B"/>
    <w:multiLevelType w:val="hybridMultilevel"/>
    <w:tmpl w:val="DD7C889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nsid w:val="567A3DBA"/>
    <w:multiLevelType w:val="hybridMultilevel"/>
    <w:tmpl w:val="93CA5A9A"/>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2">
    <w:nsid w:val="5DA420EC"/>
    <w:multiLevelType w:val="hybridMultilevel"/>
    <w:tmpl w:val="26B43BC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nsid w:val="67B72EE0"/>
    <w:multiLevelType w:val="hybridMultilevel"/>
    <w:tmpl w:val="03BEC7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5"/>
  </w:num>
  <w:num w:numId="3">
    <w:abstractNumId w:val="18"/>
  </w:num>
  <w:num w:numId="4">
    <w:abstractNumId w:val="17"/>
  </w:num>
  <w:num w:numId="5">
    <w:abstractNumId w:val="29"/>
  </w:num>
  <w:num w:numId="6">
    <w:abstractNumId w:val="21"/>
  </w:num>
  <w:num w:numId="7">
    <w:abstractNumId w:val="14"/>
  </w:num>
  <w:num w:numId="8">
    <w:abstractNumId w:val="24"/>
  </w:num>
  <w:num w:numId="9">
    <w:abstractNumId w:val="13"/>
  </w:num>
  <w:num w:numId="10">
    <w:abstractNumId w:val="12"/>
  </w:num>
  <w:num w:numId="11">
    <w:abstractNumId w:val="0"/>
  </w:num>
  <w:num w:numId="12">
    <w:abstractNumId w:val="11"/>
  </w:num>
  <w:num w:numId="13">
    <w:abstractNumId w:val="6"/>
  </w:num>
  <w:num w:numId="14">
    <w:abstractNumId w:val="10"/>
  </w:num>
  <w:num w:numId="15">
    <w:abstractNumId w:val="28"/>
  </w:num>
  <w:num w:numId="16">
    <w:abstractNumId w:val="22"/>
  </w:num>
  <w:num w:numId="17">
    <w:abstractNumId w:val="9"/>
  </w:num>
  <w:num w:numId="18">
    <w:abstractNumId w:val="4"/>
  </w:num>
  <w:num w:numId="19">
    <w:abstractNumId w:val="16"/>
  </w:num>
  <w:num w:numId="20">
    <w:abstractNumId w:val="23"/>
  </w:num>
  <w:num w:numId="21">
    <w:abstractNumId w:val="19"/>
  </w:num>
  <w:num w:numId="22">
    <w:abstractNumId w:val="8"/>
  </w:num>
  <w:num w:numId="23">
    <w:abstractNumId w:val="20"/>
  </w:num>
  <w:num w:numId="24">
    <w:abstractNumId w:val="3"/>
  </w:num>
  <w:num w:numId="25">
    <w:abstractNumId w:val="26"/>
  </w:num>
  <w:num w:numId="26">
    <w:abstractNumId w:val="27"/>
  </w:num>
  <w:num w:numId="27">
    <w:abstractNumId w:val="15"/>
  </w:num>
  <w:num w:numId="28">
    <w:abstractNumId w:val="2"/>
  </w:num>
  <w:num w:numId="29">
    <w:abstractNumId w:val="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44E8"/>
    <w:rsid w:val="00016BB6"/>
    <w:rsid w:val="00017B86"/>
    <w:rsid w:val="00041A17"/>
    <w:rsid w:val="00050780"/>
    <w:rsid w:val="00055AB9"/>
    <w:rsid w:val="00056EEB"/>
    <w:rsid w:val="00057F1F"/>
    <w:rsid w:val="000640C9"/>
    <w:rsid w:val="00066CFD"/>
    <w:rsid w:val="000677F2"/>
    <w:rsid w:val="00073779"/>
    <w:rsid w:val="00081CCE"/>
    <w:rsid w:val="00082F09"/>
    <w:rsid w:val="00095A88"/>
    <w:rsid w:val="000A6C3D"/>
    <w:rsid w:val="000B0C51"/>
    <w:rsid w:val="000B1582"/>
    <w:rsid w:val="000C2C26"/>
    <w:rsid w:val="000C35CC"/>
    <w:rsid w:val="000C7DA1"/>
    <w:rsid w:val="000D006F"/>
    <w:rsid w:val="000D38E9"/>
    <w:rsid w:val="000D4CB2"/>
    <w:rsid w:val="000D6B0C"/>
    <w:rsid w:val="000F162F"/>
    <w:rsid w:val="000F30B3"/>
    <w:rsid w:val="000F5CBE"/>
    <w:rsid w:val="000F6CA6"/>
    <w:rsid w:val="00117E65"/>
    <w:rsid w:val="001212E7"/>
    <w:rsid w:val="00123ECE"/>
    <w:rsid w:val="0012518E"/>
    <w:rsid w:val="00135F23"/>
    <w:rsid w:val="00140DDF"/>
    <w:rsid w:val="00143843"/>
    <w:rsid w:val="001447C1"/>
    <w:rsid w:val="00152971"/>
    <w:rsid w:val="00152A6B"/>
    <w:rsid w:val="001545AD"/>
    <w:rsid w:val="00155F3D"/>
    <w:rsid w:val="001615BA"/>
    <w:rsid w:val="00165D3D"/>
    <w:rsid w:val="00174621"/>
    <w:rsid w:val="001B0981"/>
    <w:rsid w:val="001C2774"/>
    <w:rsid w:val="001D144F"/>
    <w:rsid w:val="001D40B1"/>
    <w:rsid w:val="001D6B18"/>
    <w:rsid w:val="001E344C"/>
    <w:rsid w:val="001E7A89"/>
    <w:rsid w:val="001F7D91"/>
    <w:rsid w:val="00220EE7"/>
    <w:rsid w:val="00221793"/>
    <w:rsid w:val="002379F2"/>
    <w:rsid w:val="002468A3"/>
    <w:rsid w:val="00263EFE"/>
    <w:rsid w:val="00266747"/>
    <w:rsid w:val="00272D2A"/>
    <w:rsid w:val="00277412"/>
    <w:rsid w:val="002813F3"/>
    <w:rsid w:val="0028416A"/>
    <w:rsid w:val="00293D51"/>
    <w:rsid w:val="00296D91"/>
    <w:rsid w:val="002A4EE4"/>
    <w:rsid w:val="002A7856"/>
    <w:rsid w:val="002B1BB7"/>
    <w:rsid w:val="002B2B95"/>
    <w:rsid w:val="002B3588"/>
    <w:rsid w:val="002C3329"/>
    <w:rsid w:val="002C4E54"/>
    <w:rsid w:val="002D2D32"/>
    <w:rsid w:val="002D446D"/>
    <w:rsid w:val="002D66D5"/>
    <w:rsid w:val="002D7098"/>
    <w:rsid w:val="002E1CA9"/>
    <w:rsid w:val="002F1E52"/>
    <w:rsid w:val="002F33A9"/>
    <w:rsid w:val="002F5CA8"/>
    <w:rsid w:val="002F62E0"/>
    <w:rsid w:val="002F7BA4"/>
    <w:rsid w:val="00306441"/>
    <w:rsid w:val="003117C7"/>
    <w:rsid w:val="00313D5B"/>
    <w:rsid w:val="003148B9"/>
    <w:rsid w:val="00315E01"/>
    <w:rsid w:val="00322DC7"/>
    <w:rsid w:val="00331262"/>
    <w:rsid w:val="00340D58"/>
    <w:rsid w:val="00343999"/>
    <w:rsid w:val="00362E23"/>
    <w:rsid w:val="003708E1"/>
    <w:rsid w:val="00371E86"/>
    <w:rsid w:val="003756A5"/>
    <w:rsid w:val="00377CD6"/>
    <w:rsid w:val="00385684"/>
    <w:rsid w:val="00386844"/>
    <w:rsid w:val="003A1A28"/>
    <w:rsid w:val="003A47D8"/>
    <w:rsid w:val="003A5AE4"/>
    <w:rsid w:val="003A6491"/>
    <w:rsid w:val="003B3DD4"/>
    <w:rsid w:val="003C0538"/>
    <w:rsid w:val="003C2B1D"/>
    <w:rsid w:val="003C49D6"/>
    <w:rsid w:val="003C4E5D"/>
    <w:rsid w:val="003D002D"/>
    <w:rsid w:val="003D0754"/>
    <w:rsid w:val="003F11D0"/>
    <w:rsid w:val="003F3CC8"/>
    <w:rsid w:val="003F66C2"/>
    <w:rsid w:val="00402E42"/>
    <w:rsid w:val="00405D74"/>
    <w:rsid w:val="00412142"/>
    <w:rsid w:val="0041558F"/>
    <w:rsid w:val="00416CE7"/>
    <w:rsid w:val="004204BB"/>
    <w:rsid w:val="0042060D"/>
    <w:rsid w:val="00420D92"/>
    <w:rsid w:val="004302BF"/>
    <w:rsid w:val="004308D7"/>
    <w:rsid w:val="00431378"/>
    <w:rsid w:val="00431689"/>
    <w:rsid w:val="0044308F"/>
    <w:rsid w:val="0044703B"/>
    <w:rsid w:val="004558D1"/>
    <w:rsid w:val="00457A19"/>
    <w:rsid w:val="00473A6A"/>
    <w:rsid w:val="00477598"/>
    <w:rsid w:val="00480B9F"/>
    <w:rsid w:val="00480FEA"/>
    <w:rsid w:val="004838E7"/>
    <w:rsid w:val="0048679A"/>
    <w:rsid w:val="00490BFE"/>
    <w:rsid w:val="004941B6"/>
    <w:rsid w:val="00496444"/>
    <w:rsid w:val="004A6EF7"/>
    <w:rsid w:val="004B2123"/>
    <w:rsid w:val="004B2C5F"/>
    <w:rsid w:val="004B3A7C"/>
    <w:rsid w:val="004B6B78"/>
    <w:rsid w:val="004C191E"/>
    <w:rsid w:val="004D498F"/>
    <w:rsid w:val="004D55BA"/>
    <w:rsid w:val="004D6277"/>
    <w:rsid w:val="004E02F4"/>
    <w:rsid w:val="004E7801"/>
    <w:rsid w:val="004F3954"/>
    <w:rsid w:val="004F600F"/>
    <w:rsid w:val="004F643D"/>
    <w:rsid w:val="0050427F"/>
    <w:rsid w:val="005148EE"/>
    <w:rsid w:val="005219ED"/>
    <w:rsid w:val="00525C26"/>
    <w:rsid w:val="0053007F"/>
    <w:rsid w:val="0053374B"/>
    <w:rsid w:val="00535A1E"/>
    <w:rsid w:val="00535AF3"/>
    <w:rsid w:val="00540376"/>
    <w:rsid w:val="00544ADD"/>
    <w:rsid w:val="005501EF"/>
    <w:rsid w:val="00563A4D"/>
    <w:rsid w:val="00564DB2"/>
    <w:rsid w:val="00571B7E"/>
    <w:rsid w:val="005733EB"/>
    <w:rsid w:val="00573B4F"/>
    <w:rsid w:val="005804D0"/>
    <w:rsid w:val="00594F75"/>
    <w:rsid w:val="00594FEE"/>
    <w:rsid w:val="005967F1"/>
    <w:rsid w:val="005A5A62"/>
    <w:rsid w:val="005B4FE2"/>
    <w:rsid w:val="005B5976"/>
    <w:rsid w:val="005B7C1F"/>
    <w:rsid w:val="005D6129"/>
    <w:rsid w:val="005E50F1"/>
    <w:rsid w:val="005E6AE8"/>
    <w:rsid w:val="005F17DC"/>
    <w:rsid w:val="005F3218"/>
    <w:rsid w:val="005F4874"/>
    <w:rsid w:val="00601482"/>
    <w:rsid w:val="0060430C"/>
    <w:rsid w:val="006054E7"/>
    <w:rsid w:val="00622C8D"/>
    <w:rsid w:val="00627C77"/>
    <w:rsid w:val="00640746"/>
    <w:rsid w:val="00646183"/>
    <w:rsid w:val="00646635"/>
    <w:rsid w:val="00654C45"/>
    <w:rsid w:val="00656B46"/>
    <w:rsid w:val="00657723"/>
    <w:rsid w:val="0066233C"/>
    <w:rsid w:val="006630DD"/>
    <w:rsid w:val="00666716"/>
    <w:rsid w:val="00666B5B"/>
    <w:rsid w:val="0067790D"/>
    <w:rsid w:val="006802F0"/>
    <w:rsid w:val="00692906"/>
    <w:rsid w:val="00697C1F"/>
    <w:rsid w:val="006A2320"/>
    <w:rsid w:val="006A6499"/>
    <w:rsid w:val="006A66EE"/>
    <w:rsid w:val="006A6797"/>
    <w:rsid w:val="006B047A"/>
    <w:rsid w:val="006D5FEA"/>
    <w:rsid w:val="006E4031"/>
    <w:rsid w:val="007017C7"/>
    <w:rsid w:val="0070231E"/>
    <w:rsid w:val="00722494"/>
    <w:rsid w:val="00722BF3"/>
    <w:rsid w:val="00725027"/>
    <w:rsid w:val="007250E5"/>
    <w:rsid w:val="0073583C"/>
    <w:rsid w:val="007475B4"/>
    <w:rsid w:val="007476C5"/>
    <w:rsid w:val="00751C25"/>
    <w:rsid w:val="007538C5"/>
    <w:rsid w:val="00755085"/>
    <w:rsid w:val="00755A9B"/>
    <w:rsid w:val="0076744D"/>
    <w:rsid w:val="0076759C"/>
    <w:rsid w:val="00767880"/>
    <w:rsid w:val="00770AC2"/>
    <w:rsid w:val="0078004C"/>
    <w:rsid w:val="00783FD2"/>
    <w:rsid w:val="00784AA9"/>
    <w:rsid w:val="007949E4"/>
    <w:rsid w:val="007A1F2E"/>
    <w:rsid w:val="007B1512"/>
    <w:rsid w:val="007B4746"/>
    <w:rsid w:val="007B51C6"/>
    <w:rsid w:val="007B63C5"/>
    <w:rsid w:val="007B6430"/>
    <w:rsid w:val="007C07B0"/>
    <w:rsid w:val="007C0955"/>
    <w:rsid w:val="007C4C2E"/>
    <w:rsid w:val="007D2B4B"/>
    <w:rsid w:val="007D7483"/>
    <w:rsid w:val="007E1970"/>
    <w:rsid w:val="007E6808"/>
    <w:rsid w:val="007E6F84"/>
    <w:rsid w:val="007E7228"/>
    <w:rsid w:val="007F2A5E"/>
    <w:rsid w:val="008018C3"/>
    <w:rsid w:val="00805DE1"/>
    <w:rsid w:val="00806692"/>
    <w:rsid w:val="0080743D"/>
    <w:rsid w:val="00812043"/>
    <w:rsid w:val="00813421"/>
    <w:rsid w:val="0081409D"/>
    <w:rsid w:val="00816560"/>
    <w:rsid w:val="008171C2"/>
    <w:rsid w:val="00820DE3"/>
    <w:rsid w:val="008247E9"/>
    <w:rsid w:val="008254B2"/>
    <w:rsid w:val="00827428"/>
    <w:rsid w:val="00833AEC"/>
    <w:rsid w:val="00833B47"/>
    <w:rsid w:val="00841CCD"/>
    <w:rsid w:val="00847043"/>
    <w:rsid w:val="0087697C"/>
    <w:rsid w:val="00881E67"/>
    <w:rsid w:val="008852D8"/>
    <w:rsid w:val="0088792E"/>
    <w:rsid w:val="00893A70"/>
    <w:rsid w:val="008949FA"/>
    <w:rsid w:val="00895C8A"/>
    <w:rsid w:val="008A38A0"/>
    <w:rsid w:val="008A60B2"/>
    <w:rsid w:val="008B6F37"/>
    <w:rsid w:val="008D7CE1"/>
    <w:rsid w:val="008E5AAE"/>
    <w:rsid w:val="008E5D5B"/>
    <w:rsid w:val="008E65AF"/>
    <w:rsid w:val="008E67E1"/>
    <w:rsid w:val="00902C13"/>
    <w:rsid w:val="009037C5"/>
    <w:rsid w:val="00904FFE"/>
    <w:rsid w:val="009126FE"/>
    <w:rsid w:val="00912A21"/>
    <w:rsid w:val="00915176"/>
    <w:rsid w:val="00916EEF"/>
    <w:rsid w:val="00917CAA"/>
    <w:rsid w:val="00925243"/>
    <w:rsid w:val="00926051"/>
    <w:rsid w:val="00926497"/>
    <w:rsid w:val="00926D42"/>
    <w:rsid w:val="009339BD"/>
    <w:rsid w:val="00943E92"/>
    <w:rsid w:val="009440E4"/>
    <w:rsid w:val="00950135"/>
    <w:rsid w:val="00960FE0"/>
    <w:rsid w:val="009700F9"/>
    <w:rsid w:val="00972636"/>
    <w:rsid w:val="0098118E"/>
    <w:rsid w:val="00996492"/>
    <w:rsid w:val="009A3EDE"/>
    <w:rsid w:val="009B521E"/>
    <w:rsid w:val="009C2A92"/>
    <w:rsid w:val="009C3C39"/>
    <w:rsid w:val="009C68F6"/>
    <w:rsid w:val="009D62BD"/>
    <w:rsid w:val="009D7D7B"/>
    <w:rsid w:val="009E6C93"/>
    <w:rsid w:val="009E71C1"/>
    <w:rsid w:val="009F375A"/>
    <w:rsid w:val="009F42F3"/>
    <w:rsid w:val="009F46A9"/>
    <w:rsid w:val="009F47DC"/>
    <w:rsid w:val="009F74E7"/>
    <w:rsid w:val="00A1684F"/>
    <w:rsid w:val="00A23FAD"/>
    <w:rsid w:val="00A301FB"/>
    <w:rsid w:val="00A35B6F"/>
    <w:rsid w:val="00A37185"/>
    <w:rsid w:val="00A41464"/>
    <w:rsid w:val="00A47E40"/>
    <w:rsid w:val="00A47F58"/>
    <w:rsid w:val="00A56F06"/>
    <w:rsid w:val="00A573AC"/>
    <w:rsid w:val="00A7407A"/>
    <w:rsid w:val="00A746AA"/>
    <w:rsid w:val="00A75A8A"/>
    <w:rsid w:val="00A76C35"/>
    <w:rsid w:val="00A80DF7"/>
    <w:rsid w:val="00A8418B"/>
    <w:rsid w:val="00A864B6"/>
    <w:rsid w:val="00A918DA"/>
    <w:rsid w:val="00AA0796"/>
    <w:rsid w:val="00AA2D91"/>
    <w:rsid w:val="00AA4F99"/>
    <w:rsid w:val="00AB2FF0"/>
    <w:rsid w:val="00AC2D88"/>
    <w:rsid w:val="00AC3F77"/>
    <w:rsid w:val="00AD7C60"/>
    <w:rsid w:val="00AE5B25"/>
    <w:rsid w:val="00AF1B80"/>
    <w:rsid w:val="00AF2A9C"/>
    <w:rsid w:val="00B0067C"/>
    <w:rsid w:val="00B1062C"/>
    <w:rsid w:val="00B12105"/>
    <w:rsid w:val="00B21190"/>
    <w:rsid w:val="00B235E2"/>
    <w:rsid w:val="00B30770"/>
    <w:rsid w:val="00B32668"/>
    <w:rsid w:val="00B326AC"/>
    <w:rsid w:val="00B348DB"/>
    <w:rsid w:val="00B35972"/>
    <w:rsid w:val="00B4288A"/>
    <w:rsid w:val="00B42E2D"/>
    <w:rsid w:val="00B506F8"/>
    <w:rsid w:val="00B53702"/>
    <w:rsid w:val="00B56B74"/>
    <w:rsid w:val="00B61E37"/>
    <w:rsid w:val="00B625E6"/>
    <w:rsid w:val="00B66344"/>
    <w:rsid w:val="00B67362"/>
    <w:rsid w:val="00B71C23"/>
    <w:rsid w:val="00B72016"/>
    <w:rsid w:val="00B72AD8"/>
    <w:rsid w:val="00B75B02"/>
    <w:rsid w:val="00B82F6B"/>
    <w:rsid w:val="00BA06F7"/>
    <w:rsid w:val="00BA55C8"/>
    <w:rsid w:val="00BB1104"/>
    <w:rsid w:val="00BB2275"/>
    <w:rsid w:val="00BB4154"/>
    <w:rsid w:val="00BB6F51"/>
    <w:rsid w:val="00BB796F"/>
    <w:rsid w:val="00BC080B"/>
    <w:rsid w:val="00BC220C"/>
    <w:rsid w:val="00BC3C78"/>
    <w:rsid w:val="00BC5FA6"/>
    <w:rsid w:val="00BC653C"/>
    <w:rsid w:val="00BC73E3"/>
    <w:rsid w:val="00BD28E3"/>
    <w:rsid w:val="00BD6588"/>
    <w:rsid w:val="00BF390A"/>
    <w:rsid w:val="00C05A6A"/>
    <w:rsid w:val="00C07D77"/>
    <w:rsid w:val="00C138BC"/>
    <w:rsid w:val="00C2413A"/>
    <w:rsid w:val="00C30822"/>
    <w:rsid w:val="00C31842"/>
    <w:rsid w:val="00C3360E"/>
    <w:rsid w:val="00C34327"/>
    <w:rsid w:val="00C42C80"/>
    <w:rsid w:val="00C44875"/>
    <w:rsid w:val="00C457F7"/>
    <w:rsid w:val="00C469E4"/>
    <w:rsid w:val="00C55909"/>
    <w:rsid w:val="00C57CB5"/>
    <w:rsid w:val="00C61705"/>
    <w:rsid w:val="00C6304A"/>
    <w:rsid w:val="00C679B4"/>
    <w:rsid w:val="00C703AA"/>
    <w:rsid w:val="00C81700"/>
    <w:rsid w:val="00C858DD"/>
    <w:rsid w:val="00C90B9B"/>
    <w:rsid w:val="00C90E54"/>
    <w:rsid w:val="00C91203"/>
    <w:rsid w:val="00C92FAC"/>
    <w:rsid w:val="00CA5CBB"/>
    <w:rsid w:val="00CB3546"/>
    <w:rsid w:val="00CB7DC4"/>
    <w:rsid w:val="00CC2A49"/>
    <w:rsid w:val="00CC3A88"/>
    <w:rsid w:val="00CC416B"/>
    <w:rsid w:val="00CC4FA2"/>
    <w:rsid w:val="00CC6F3C"/>
    <w:rsid w:val="00CD0423"/>
    <w:rsid w:val="00CD51C8"/>
    <w:rsid w:val="00CE7764"/>
    <w:rsid w:val="00CE789A"/>
    <w:rsid w:val="00CF6DCB"/>
    <w:rsid w:val="00CF70A0"/>
    <w:rsid w:val="00D03BC9"/>
    <w:rsid w:val="00D05E0F"/>
    <w:rsid w:val="00D106BD"/>
    <w:rsid w:val="00D11DBA"/>
    <w:rsid w:val="00D14FBD"/>
    <w:rsid w:val="00D20C1D"/>
    <w:rsid w:val="00D24746"/>
    <w:rsid w:val="00D27E5B"/>
    <w:rsid w:val="00D34057"/>
    <w:rsid w:val="00D36682"/>
    <w:rsid w:val="00D43D3C"/>
    <w:rsid w:val="00D46C63"/>
    <w:rsid w:val="00D47C18"/>
    <w:rsid w:val="00D5047A"/>
    <w:rsid w:val="00D53DDC"/>
    <w:rsid w:val="00D623CE"/>
    <w:rsid w:val="00D677B9"/>
    <w:rsid w:val="00D67A0D"/>
    <w:rsid w:val="00D703FA"/>
    <w:rsid w:val="00D768CA"/>
    <w:rsid w:val="00D800F2"/>
    <w:rsid w:val="00D801B6"/>
    <w:rsid w:val="00D81C1B"/>
    <w:rsid w:val="00D85DA9"/>
    <w:rsid w:val="00D906A7"/>
    <w:rsid w:val="00D93767"/>
    <w:rsid w:val="00D95458"/>
    <w:rsid w:val="00DA323F"/>
    <w:rsid w:val="00DA43AD"/>
    <w:rsid w:val="00DA7B0C"/>
    <w:rsid w:val="00DB5F6A"/>
    <w:rsid w:val="00DD13E2"/>
    <w:rsid w:val="00DD62ED"/>
    <w:rsid w:val="00DE2F9E"/>
    <w:rsid w:val="00E02FE0"/>
    <w:rsid w:val="00E054FD"/>
    <w:rsid w:val="00E076EC"/>
    <w:rsid w:val="00E07B68"/>
    <w:rsid w:val="00E131A8"/>
    <w:rsid w:val="00E137B7"/>
    <w:rsid w:val="00E1740E"/>
    <w:rsid w:val="00E17750"/>
    <w:rsid w:val="00E21FD0"/>
    <w:rsid w:val="00E2616D"/>
    <w:rsid w:val="00E31501"/>
    <w:rsid w:val="00E3262B"/>
    <w:rsid w:val="00E3263B"/>
    <w:rsid w:val="00E3734C"/>
    <w:rsid w:val="00E43ABA"/>
    <w:rsid w:val="00E45777"/>
    <w:rsid w:val="00E53C06"/>
    <w:rsid w:val="00E63D62"/>
    <w:rsid w:val="00E73E41"/>
    <w:rsid w:val="00E746BE"/>
    <w:rsid w:val="00E82F11"/>
    <w:rsid w:val="00E85148"/>
    <w:rsid w:val="00E91EE4"/>
    <w:rsid w:val="00EA3EE4"/>
    <w:rsid w:val="00EA53C7"/>
    <w:rsid w:val="00EA6B10"/>
    <w:rsid w:val="00EB5A3A"/>
    <w:rsid w:val="00EC16A5"/>
    <w:rsid w:val="00EC61B4"/>
    <w:rsid w:val="00ED2219"/>
    <w:rsid w:val="00ED224E"/>
    <w:rsid w:val="00ED33BB"/>
    <w:rsid w:val="00ED6C96"/>
    <w:rsid w:val="00EE3692"/>
    <w:rsid w:val="00EE435C"/>
    <w:rsid w:val="00F01A91"/>
    <w:rsid w:val="00F039CA"/>
    <w:rsid w:val="00F054A0"/>
    <w:rsid w:val="00F071D8"/>
    <w:rsid w:val="00F11AD3"/>
    <w:rsid w:val="00F16EF8"/>
    <w:rsid w:val="00F24EFA"/>
    <w:rsid w:val="00F310C8"/>
    <w:rsid w:val="00F324FF"/>
    <w:rsid w:val="00F34FCF"/>
    <w:rsid w:val="00F3632E"/>
    <w:rsid w:val="00F410D1"/>
    <w:rsid w:val="00F457C8"/>
    <w:rsid w:val="00F46230"/>
    <w:rsid w:val="00F50059"/>
    <w:rsid w:val="00F571C1"/>
    <w:rsid w:val="00F60A4C"/>
    <w:rsid w:val="00F66B1E"/>
    <w:rsid w:val="00F72317"/>
    <w:rsid w:val="00F8192C"/>
    <w:rsid w:val="00F83493"/>
    <w:rsid w:val="00F96E94"/>
    <w:rsid w:val="00FB3270"/>
    <w:rsid w:val="00FC2907"/>
    <w:rsid w:val="00FC3BBC"/>
    <w:rsid w:val="00FD1200"/>
    <w:rsid w:val="00FD6448"/>
    <w:rsid w:val="00FE23C7"/>
    <w:rsid w:val="00FE434F"/>
    <w:rsid w:val="00FE459F"/>
    <w:rsid w:val="00FF14FE"/>
    <w:rsid w:val="00FF3A5F"/>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7B7"/>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eastAsia="es-MX"/>
    </w:rPr>
  </w:style>
  <w:style w:type="paragraph" w:styleId="Textodeglobo">
    <w:name w:val="Balloon Text"/>
    <w:basedOn w:val="Normal"/>
    <w:link w:val="TextodegloboCar"/>
    <w:uiPriority w:val="99"/>
    <w:semiHidden/>
    <w:unhideWhenUsed/>
    <w:rsid w:val="00362E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character" w:customStyle="1" w:styleId="Mencinsinresolver1">
    <w:name w:val="Mención sin resolver1"/>
    <w:basedOn w:val="Fuentedeprrafopredeter"/>
    <w:uiPriority w:val="99"/>
    <w:semiHidden/>
    <w:unhideWhenUsed/>
    <w:rsid w:val="004E02F4"/>
    <w:rPr>
      <w:color w:val="605E5C"/>
      <w:shd w:val="clear" w:color="auto" w:fill="E1DFDD"/>
    </w:rPr>
  </w:style>
  <w:style w:type="character" w:styleId="Hipervnculovisitado">
    <w:name w:val="FollowedHyperlink"/>
    <w:basedOn w:val="Fuentedeprrafopredeter"/>
    <w:uiPriority w:val="99"/>
    <w:semiHidden/>
    <w:unhideWhenUsed/>
    <w:rsid w:val="00C2413A"/>
    <w:rPr>
      <w:color w:val="954F72" w:themeColor="followedHyperlink"/>
      <w:u w:val="single"/>
    </w:rPr>
  </w:style>
  <w:style w:type="table" w:customStyle="1" w:styleId="Tablaconcuadrcula2">
    <w:name w:val="Tabla con cuadrícula2"/>
    <w:basedOn w:val="Tablanormal"/>
    <w:next w:val="Tablaconcuadrcula"/>
    <w:uiPriority w:val="39"/>
    <w:rsid w:val="00AF2A9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2586703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88940686">
      <w:bodyDiv w:val="1"/>
      <w:marLeft w:val="0"/>
      <w:marRight w:val="0"/>
      <w:marTop w:val="0"/>
      <w:marBottom w:val="0"/>
      <w:divBdr>
        <w:top w:val="none" w:sz="0" w:space="0" w:color="auto"/>
        <w:left w:val="none" w:sz="0" w:space="0" w:color="auto"/>
        <w:bottom w:val="none" w:sz="0" w:space="0" w:color="auto"/>
        <w:right w:val="none" w:sz="0" w:space="0" w:color="auto"/>
      </w:divBdr>
    </w:div>
    <w:div w:id="1069113161">
      <w:bodyDiv w:val="1"/>
      <w:marLeft w:val="0"/>
      <w:marRight w:val="0"/>
      <w:marTop w:val="0"/>
      <w:marBottom w:val="0"/>
      <w:divBdr>
        <w:top w:val="none" w:sz="0" w:space="0" w:color="auto"/>
        <w:left w:val="none" w:sz="0" w:space="0" w:color="auto"/>
        <w:bottom w:val="none" w:sz="0" w:space="0" w:color="auto"/>
        <w:right w:val="none" w:sz="0" w:space="0" w:color="auto"/>
      </w:divBdr>
    </w:div>
    <w:div w:id="1777402797">
      <w:bodyDiv w:val="1"/>
      <w:marLeft w:val="0"/>
      <w:marRight w:val="0"/>
      <w:marTop w:val="0"/>
      <w:marBottom w:val="0"/>
      <w:divBdr>
        <w:top w:val="none" w:sz="0" w:space="0" w:color="auto"/>
        <w:left w:val="none" w:sz="0" w:space="0" w:color="auto"/>
        <w:bottom w:val="none" w:sz="0" w:space="0" w:color="auto"/>
        <w:right w:val="none" w:sz="0" w:space="0" w:color="auto"/>
      </w:divBdr>
    </w:div>
    <w:div w:id="1794909615">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43814682">
      <w:bodyDiv w:val="1"/>
      <w:marLeft w:val="0"/>
      <w:marRight w:val="0"/>
      <w:marTop w:val="0"/>
      <w:marBottom w:val="0"/>
      <w:divBdr>
        <w:top w:val="none" w:sz="0" w:space="0" w:color="auto"/>
        <w:left w:val="none" w:sz="0" w:space="0" w:color="auto"/>
        <w:bottom w:val="none" w:sz="0" w:space="0" w:color="auto"/>
        <w:right w:val="none" w:sz="0" w:space="0" w:color="auto"/>
      </w:divBdr>
    </w:div>
    <w:div w:id="2001810152">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7F5F-5313-4F9E-9AF6-917453F2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51</Pages>
  <Words>12969</Words>
  <Characters>71331</Characters>
  <Application>Microsoft Office Word</Application>
  <DocSecurity>0</DocSecurity>
  <Lines>594</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14</cp:revision>
  <cp:lastPrinted>2018-04-05T14:31:00Z</cp:lastPrinted>
  <dcterms:created xsi:type="dcterms:W3CDTF">2023-11-17T00:40:00Z</dcterms:created>
  <dcterms:modified xsi:type="dcterms:W3CDTF">2023-12-07T20:45:00Z</dcterms:modified>
</cp:coreProperties>
</file>