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63E9D5" w14:textId="552D62F8" w:rsidR="009B5029" w:rsidRDefault="009B5029" w:rsidP="009B5029">
      <w:pPr>
        <w:spacing w:before="240" w:line="360" w:lineRule="auto"/>
        <w:jc w:val="both"/>
        <w:rPr>
          <w:rFonts w:ascii="Palatino Linotype" w:eastAsia="Times New Roman" w:hAnsi="Palatino Linotype" w:cs="Arial"/>
          <w:color w:val="000000"/>
          <w:sz w:val="24"/>
          <w:szCs w:val="24"/>
          <w:lang w:eastAsia="es-MX"/>
        </w:rPr>
      </w:pPr>
      <w:r w:rsidRPr="00A469C4">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w:t>
      </w:r>
      <w:r w:rsidRPr="00513251">
        <w:rPr>
          <w:rFonts w:ascii="Palatino Linotype" w:eastAsia="Times New Roman" w:hAnsi="Palatino Linotype" w:cs="Arial"/>
          <w:color w:val="000000"/>
          <w:sz w:val="24"/>
          <w:szCs w:val="24"/>
          <w:lang w:eastAsia="es-MX"/>
        </w:rPr>
        <w:t xml:space="preserve">, a </w:t>
      </w:r>
      <w:r w:rsidR="003524C8">
        <w:rPr>
          <w:rFonts w:ascii="Palatino Linotype" w:eastAsia="Times New Roman" w:hAnsi="Palatino Linotype" w:cs="Arial"/>
          <w:color w:val="000000"/>
          <w:sz w:val="24"/>
          <w:szCs w:val="24"/>
          <w:lang w:eastAsia="es-MX"/>
        </w:rPr>
        <w:t>veinticinco</w:t>
      </w:r>
      <w:r w:rsidR="00482E2A">
        <w:rPr>
          <w:rFonts w:ascii="Palatino Linotype" w:eastAsia="Times New Roman" w:hAnsi="Palatino Linotype" w:cs="Arial"/>
          <w:color w:val="000000"/>
          <w:sz w:val="24"/>
          <w:szCs w:val="24"/>
          <w:lang w:eastAsia="es-MX"/>
        </w:rPr>
        <w:t xml:space="preserve"> de octubre de dos mil veintitrés. </w:t>
      </w:r>
      <w:r w:rsidR="00496A62">
        <w:rPr>
          <w:rFonts w:ascii="Palatino Linotype" w:eastAsia="Times New Roman" w:hAnsi="Palatino Linotype" w:cs="Arial"/>
          <w:color w:val="000000"/>
          <w:sz w:val="24"/>
          <w:szCs w:val="24"/>
          <w:lang w:eastAsia="es-MX"/>
        </w:rPr>
        <w:t xml:space="preserve"> </w:t>
      </w:r>
      <w:r w:rsidR="00881D76">
        <w:rPr>
          <w:rFonts w:ascii="Palatino Linotype" w:eastAsia="Times New Roman" w:hAnsi="Palatino Linotype" w:cs="Arial"/>
          <w:color w:val="000000"/>
          <w:sz w:val="24"/>
          <w:szCs w:val="24"/>
          <w:lang w:eastAsia="es-MX"/>
        </w:rPr>
        <w:t xml:space="preserve"> </w:t>
      </w:r>
      <w:r w:rsidR="00FC2D20">
        <w:rPr>
          <w:rFonts w:ascii="Palatino Linotype" w:eastAsia="Times New Roman" w:hAnsi="Palatino Linotype" w:cs="Arial"/>
          <w:color w:val="000000"/>
          <w:sz w:val="24"/>
          <w:szCs w:val="24"/>
          <w:lang w:eastAsia="es-MX"/>
        </w:rPr>
        <w:t xml:space="preserve"> </w:t>
      </w:r>
      <w:r w:rsidR="00317C14">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               </w:t>
      </w:r>
    </w:p>
    <w:p w14:paraId="05245E7E" w14:textId="03B09A60" w:rsidR="00482E2A" w:rsidRPr="00482E2A" w:rsidRDefault="009B5029" w:rsidP="009B5029">
      <w:pPr>
        <w:tabs>
          <w:tab w:val="left" w:pos="1701"/>
        </w:tabs>
        <w:spacing w:before="240" w:line="360" w:lineRule="auto"/>
        <w:jc w:val="both"/>
        <w:rPr>
          <w:rFonts w:ascii="Palatino Linotype" w:hAnsi="Palatino Linotype" w:cs="Arial"/>
          <w:sz w:val="24"/>
        </w:rPr>
      </w:pPr>
      <w:r w:rsidRPr="00D336C5">
        <w:rPr>
          <w:rFonts w:ascii="Palatino Linotype" w:hAnsi="Palatino Linotype" w:cs="Arial"/>
          <w:b/>
          <w:sz w:val="24"/>
        </w:rPr>
        <w:t>VISTO</w:t>
      </w:r>
      <w:r w:rsidRPr="00D336C5">
        <w:rPr>
          <w:rFonts w:ascii="Palatino Linotype" w:hAnsi="Palatino Linotype" w:cs="Arial"/>
          <w:sz w:val="24"/>
        </w:rPr>
        <w:t xml:space="preserve"> el expediente electrónico formado con motivo del recurso de revisión número </w:t>
      </w:r>
      <w:r w:rsidR="00682CDA">
        <w:rPr>
          <w:rFonts w:ascii="Palatino Linotype" w:hAnsi="Palatino Linotype" w:cs="Arial"/>
          <w:b/>
          <w:bCs/>
          <w:sz w:val="24"/>
        </w:rPr>
        <w:t>0</w:t>
      </w:r>
      <w:r w:rsidR="00482E2A">
        <w:rPr>
          <w:rFonts w:ascii="Palatino Linotype" w:hAnsi="Palatino Linotype" w:cs="Arial"/>
          <w:b/>
          <w:bCs/>
          <w:sz w:val="24"/>
        </w:rPr>
        <w:t>4910</w:t>
      </w:r>
      <w:r>
        <w:rPr>
          <w:rFonts w:ascii="Palatino Linotype" w:hAnsi="Palatino Linotype" w:cs="Arial"/>
          <w:b/>
          <w:sz w:val="24"/>
        </w:rPr>
        <w:t xml:space="preserve">/INFOEM/IP/RR/2023, </w:t>
      </w:r>
      <w:r>
        <w:rPr>
          <w:rFonts w:ascii="Palatino Linotype" w:hAnsi="Palatino Linotype" w:cs="Arial"/>
          <w:sz w:val="24"/>
        </w:rPr>
        <w:t xml:space="preserve">interpuesto por </w:t>
      </w:r>
      <w:r w:rsidR="00482E2A">
        <w:rPr>
          <w:rFonts w:ascii="Palatino Linotype" w:hAnsi="Palatino Linotype" w:cs="Arial"/>
          <w:sz w:val="24"/>
        </w:rPr>
        <w:t xml:space="preserve">la </w:t>
      </w:r>
      <w:r w:rsidR="00482E2A">
        <w:rPr>
          <w:rFonts w:ascii="Palatino Linotype" w:hAnsi="Palatino Linotype" w:cs="Arial"/>
          <w:b/>
          <w:bCs/>
          <w:sz w:val="24"/>
        </w:rPr>
        <w:t xml:space="preserve">C. </w:t>
      </w:r>
      <w:r w:rsidR="002D733B">
        <w:rPr>
          <w:rFonts w:ascii="Palatino Linotype" w:hAnsi="Palatino Linotype" w:cs="Arial"/>
          <w:b/>
          <w:bCs/>
          <w:sz w:val="24"/>
        </w:rPr>
        <w:t>XXXX</w:t>
      </w:r>
      <w:r w:rsidR="00482E2A">
        <w:rPr>
          <w:rFonts w:ascii="Palatino Linotype" w:hAnsi="Palatino Linotype" w:cs="Arial"/>
          <w:b/>
          <w:bCs/>
          <w:sz w:val="24"/>
        </w:rPr>
        <w:t xml:space="preserve">, </w:t>
      </w:r>
      <w:r w:rsidR="00482E2A">
        <w:rPr>
          <w:rFonts w:ascii="Palatino Linotype" w:hAnsi="Palatino Linotype" w:cs="Arial"/>
          <w:sz w:val="24"/>
        </w:rPr>
        <w:t xml:space="preserve">en lo sucesivo </w:t>
      </w:r>
      <w:r w:rsidR="00482E2A">
        <w:rPr>
          <w:rFonts w:ascii="Palatino Linotype" w:hAnsi="Palatino Linotype" w:cs="Arial"/>
          <w:b/>
          <w:bCs/>
          <w:sz w:val="24"/>
        </w:rPr>
        <w:t xml:space="preserve">La Recurrente, </w:t>
      </w:r>
      <w:r w:rsidR="00482E2A">
        <w:rPr>
          <w:rFonts w:ascii="Palatino Linotype" w:hAnsi="Palatino Linotype" w:cs="Arial"/>
          <w:sz w:val="24"/>
        </w:rPr>
        <w:t xml:space="preserve">en contra de la respuesta del </w:t>
      </w:r>
      <w:r w:rsidR="00482E2A">
        <w:rPr>
          <w:rFonts w:ascii="Palatino Linotype" w:hAnsi="Palatino Linotype" w:cs="Arial"/>
          <w:b/>
          <w:bCs/>
          <w:sz w:val="24"/>
        </w:rPr>
        <w:t xml:space="preserve">Ayuntamiento de Coacalco de Berriozábal, </w:t>
      </w:r>
      <w:r w:rsidR="00482E2A">
        <w:rPr>
          <w:rFonts w:ascii="Palatino Linotype" w:hAnsi="Palatino Linotype" w:cs="Arial"/>
          <w:sz w:val="24"/>
        </w:rPr>
        <w:t xml:space="preserve">en lo sucesivo </w:t>
      </w:r>
      <w:r w:rsidR="00482E2A">
        <w:rPr>
          <w:rFonts w:ascii="Palatino Linotype" w:hAnsi="Palatino Linotype" w:cs="Arial"/>
          <w:b/>
          <w:bCs/>
          <w:sz w:val="24"/>
        </w:rPr>
        <w:t xml:space="preserve">El Sujeto Obligado, </w:t>
      </w:r>
      <w:r w:rsidR="00482E2A">
        <w:rPr>
          <w:rFonts w:ascii="Palatino Linotype" w:hAnsi="Palatino Linotype" w:cs="Arial"/>
          <w:sz w:val="24"/>
        </w:rPr>
        <w:t xml:space="preserve">se procede a dictar la presente resolución. </w:t>
      </w:r>
    </w:p>
    <w:p w14:paraId="2C95816C" w14:textId="77777777" w:rsidR="00482E2A" w:rsidRDefault="00482E2A" w:rsidP="009B5029">
      <w:pPr>
        <w:tabs>
          <w:tab w:val="left" w:pos="1701"/>
        </w:tabs>
        <w:spacing w:before="240" w:line="360" w:lineRule="auto"/>
        <w:jc w:val="both"/>
        <w:rPr>
          <w:rFonts w:ascii="Palatino Linotype" w:hAnsi="Palatino Linotype" w:cs="Arial"/>
          <w:sz w:val="24"/>
        </w:rPr>
      </w:pPr>
    </w:p>
    <w:p w14:paraId="4BC4461B" w14:textId="4BE6C5A3" w:rsidR="009B5029" w:rsidRPr="00B9640A" w:rsidRDefault="009B5029" w:rsidP="009B5029">
      <w:pPr>
        <w:pStyle w:val="infoemcitas"/>
        <w:jc w:val="center"/>
        <w:rPr>
          <w:b/>
          <w:bCs/>
          <w:i w:val="0"/>
          <w:iCs/>
          <w:sz w:val="28"/>
          <w:szCs w:val="28"/>
        </w:rPr>
      </w:pPr>
      <w:r w:rsidRPr="00B9640A">
        <w:rPr>
          <w:b/>
          <w:bCs/>
          <w:i w:val="0"/>
          <w:iCs/>
          <w:sz w:val="28"/>
          <w:szCs w:val="28"/>
        </w:rPr>
        <w:t>A N T E C E D E N T E S   D E L   A S U N T O</w:t>
      </w:r>
    </w:p>
    <w:p w14:paraId="43C252D3" w14:textId="77777777" w:rsidR="009B5029" w:rsidRPr="00523CF0" w:rsidRDefault="009B5029" w:rsidP="009B5029">
      <w:pPr>
        <w:spacing w:before="240" w:after="240" w:line="360" w:lineRule="auto"/>
        <w:jc w:val="both"/>
        <w:rPr>
          <w:rFonts w:ascii="Palatino Linotype" w:hAnsi="Palatino Linotype"/>
        </w:rPr>
      </w:pPr>
      <w:r w:rsidRPr="00523CF0">
        <w:rPr>
          <w:rFonts w:ascii="Palatino Linotype" w:hAnsi="Palatino Linotype" w:cs="Arial"/>
          <w:b/>
          <w:sz w:val="28"/>
        </w:rPr>
        <w:t>PRIMERO.</w:t>
      </w:r>
      <w:r w:rsidRPr="00523CF0">
        <w:rPr>
          <w:rFonts w:ascii="Palatino Linotype" w:hAnsi="Palatino Linotype" w:cs="Arial"/>
        </w:rPr>
        <w:t xml:space="preserve"> </w:t>
      </w:r>
      <w:r w:rsidRPr="00523CF0">
        <w:rPr>
          <w:rFonts w:ascii="Palatino Linotype" w:hAnsi="Palatino Linotype"/>
          <w:b/>
          <w:sz w:val="28"/>
          <w:szCs w:val="28"/>
        </w:rPr>
        <w:t>De la Solicitud de Información.</w:t>
      </w:r>
      <w:bookmarkStart w:id="0" w:name="_GoBack"/>
      <w:bookmarkEnd w:id="0"/>
    </w:p>
    <w:p w14:paraId="6AC21244" w14:textId="1A909F23" w:rsidR="00482E2A" w:rsidRDefault="009B5029" w:rsidP="009B5029">
      <w:pPr>
        <w:spacing w:before="240" w:line="360" w:lineRule="auto"/>
        <w:jc w:val="both"/>
        <w:rPr>
          <w:rFonts w:ascii="Palatino Linotype" w:hAnsi="Palatino Linotype" w:cs="Arial"/>
          <w:sz w:val="24"/>
        </w:rPr>
      </w:pPr>
      <w:r>
        <w:rPr>
          <w:rFonts w:ascii="Palatino Linotype" w:hAnsi="Palatino Linotype" w:cs="Arial"/>
          <w:sz w:val="24"/>
        </w:rPr>
        <w:t>Con fecha</w:t>
      </w:r>
      <w:r w:rsidR="00FC2D20">
        <w:rPr>
          <w:rFonts w:ascii="Palatino Linotype" w:hAnsi="Palatino Linotype" w:cs="Arial"/>
          <w:sz w:val="24"/>
        </w:rPr>
        <w:t xml:space="preserve"> </w:t>
      </w:r>
      <w:r w:rsidR="00482E2A">
        <w:rPr>
          <w:rFonts w:ascii="Palatino Linotype" w:hAnsi="Palatino Linotype" w:cs="Arial"/>
          <w:b/>
          <w:bCs/>
          <w:sz w:val="24"/>
        </w:rPr>
        <w:t xml:space="preserve">siete de agosto de dos mil veintitrés, La Recurrente, </w:t>
      </w:r>
      <w:r w:rsidR="00482E2A">
        <w:rPr>
          <w:rFonts w:ascii="Palatino Linotype" w:hAnsi="Palatino Linotype" w:cs="Arial"/>
          <w:sz w:val="24"/>
        </w:rPr>
        <w:t>presentó a través del Sistema de Acceso a la Información Mexiquense (</w:t>
      </w:r>
      <w:r w:rsidR="00482E2A">
        <w:rPr>
          <w:rFonts w:ascii="Palatino Linotype" w:hAnsi="Palatino Linotype" w:cs="Arial"/>
          <w:b/>
          <w:sz w:val="24"/>
        </w:rPr>
        <w:t>SAIMEX)</w:t>
      </w:r>
      <w:r w:rsidR="00482E2A">
        <w:rPr>
          <w:rFonts w:ascii="Palatino Linotype" w:hAnsi="Palatino Linotype" w:cs="Arial"/>
          <w:sz w:val="24"/>
        </w:rPr>
        <w:t xml:space="preserve"> ante </w:t>
      </w:r>
      <w:r w:rsidR="00482E2A">
        <w:rPr>
          <w:rFonts w:ascii="Palatino Linotype" w:hAnsi="Palatino Linotype" w:cs="Arial"/>
          <w:b/>
          <w:sz w:val="24"/>
        </w:rPr>
        <w:t>El Sujeto Obligado</w:t>
      </w:r>
      <w:r w:rsidR="00482E2A">
        <w:rPr>
          <w:rFonts w:ascii="Palatino Linotype" w:hAnsi="Palatino Linotype" w:cs="Arial"/>
          <w:sz w:val="24"/>
        </w:rPr>
        <w:t xml:space="preserve">, solicitud de acceso a la información pública, registrada bajo el número de expediente </w:t>
      </w:r>
      <w:r w:rsidR="00482E2A">
        <w:rPr>
          <w:rFonts w:ascii="Palatino Linotype" w:hAnsi="Palatino Linotype" w:cs="Arial"/>
          <w:b/>
          <w:bCs/>
          <w:sz w:val="24"/>
        </w:rPr>
        <w:t xml:space="preserve">00249/COACALCO/IP/2023, </w:t>
      </w:r>
      <w:r w:rsidR="00482E2A">
        <w:rPr>
          <w:rFonts w:ascii="Palatino Linotype" w:hAnsi="Palatino Linotype" w:cs="Arial"/>
          <w:sz w:val="24"/>
        </w:rPr>
        <w:t xml:space="preserve">mediante la cual solicitó información en el tenor siguiente: </w:t>
      </w:r>
    </w:p>
    <w:p w14:paraId="5EDEEEAA" w14:textId="1F68B247" w:rsidR="00482E2A" w:rsidRDefault="00482E2A" w:rsidP="00482E2A">
      <w:pPr>
        <w:pStyle w:val="Citas"/>
        <w:rPr>
          <w:b/>
          <w:bCs/>
        </w:rPr>
      </w:pPr>
      <w:r>
        <w:t xml:space="preserve">“Se solicita el puesto, nombramiento, funciones y atribuciones de Paris </w:t>
      </w:r>
      <w:proofErr w:type="spellStart"/>
      <w:r>
        <w:t>Vidals</w:t>
      </w:r>
      <w:proofErr w:type="spellEnd"/>
      <w:r>
        <w:t xml:space="preserve"> Navarrete, en el formato solicitado y legible sin testar, toda vez que se presume como trabajador e integrante del comité de transparencia, derivado de que aparece su nombre, mas no su firma en el acta con folio: ACT/TRANSCOA/ORD/16/2023 de fecha 2 de agosto. En caso de que la información solicitada ya </w:t>
      </w:r>
      <w:proofErr w:type="spellStart"/>
      <w:r>
        <w:t>este</w:t>
      </w:r>
      <w:proofErr w:type="spellEnd"/>
      <w:r>
        <w:t xml:space="preserve"> disponible en un </w:t>
      </w:r>
      <w:r>
        <w:lastRenderedPageBreak/>
        <w:t xml:space="preserve">medio electrónico en internet, favor de no entorpecer el derecho al acceso a la información con su absurda técnica de dilatar el proceso con prorrogas y excediendo los términos que marca la ley” </w:t>
      </w:r>
      <w:r>
        <w:rPr>
          <w:b/>
          <w:bCs/>
        </w:rPr>
        <w:t>(Sic)</w:t>
      </w:r>
    </w:p>
    <w:p w14:paraId="0E1EFC97" w14:textId="77777777" w:rsidR="00E05416" w:rsidRDefault="00E05416" w:rsidP="00E05416">
      <w:pPr>
        <w:pStyle w:val="Citas"/>
        <w:ind w:left="0"/>
        <w:rPr>
          <w:b/>
          <w:bCs/>
          <w:sz w:val="24"/>
        </w:rPr>
      </w:pPr>
    </w:p>
    <w:p w14:paraId="4ECBEA8D" w14:textId="20B16708" w:rsidR="00E05416" w:rsidRDefault="00E05416" w:rsidP="00E05416">
      <w:pPr>
        <w:pStyle w:val="Citas"/>
        <w:ind w:left="0"/>
        <w:rPr>
          <w:i w:val="0"/>
          <w:iCs/>
          <w:sz w:val="24"/>
        </w:rPr>
      </w:pPr>
      <w:r>
        <w:rPr>
          <w:i w:val="0"/>
          <w:iCs/>
          <w:sz w:val="24"/>
        </w:rPr>
        <w:t>Adjuntando el siguiente documento electrónico:</w:t>
      </w:r>
    </w:p>
    <w:p w14:paraId="01BCD36F" w14:textId="09ECB22B" w:rsidR="00E05416" w:rsidRPr="00E05416" w:rsidRDefault="00E05416" w:rsidP="002D733B">
      <w:pPr>
        <w:pStyle w:val="Citas"/>
        <w:numPr>
          <w:ilvl w:val="0"/>
          <w:numId w:val="7"/>
        </w:numPr>
        <w:rPr>
          <w:b/>
          <w:bCs/>
          <w:i w:val="0"/>
          <w:iCs/>
          <w:sz w:val="24"/>
        </w:rPr>
      </w:pPr>
      <w:r>
        <w:rPr>
          <w:b/>
          <w:bCs/>
          <w:i w:val="0"/>
          <w:iCs/>
          <w:sz w:val="24"/>
        </w:rPr>
        <w:t xml:space="preserve">“De%CC%81cimo sexta ord.pdf”: </w:t>
      </w:r>
      <w:r w:rsidR="0094262E">
        <w:rPr>
          <w:i w:val="0"/>
          <w:iCs/>
          <w:sz w:val="24"/>
        </w:rPr>
        <w:t xml:space="preserve">Acta de la décimo sexta sesión ordinaria del comité de transparencia, acceso a la información pública y protección de datos personales, consistente en </w:t>
      </w:r>
      <w:r w:rsidR="0094262E">
        <w:rPr>
          <w:b/>
          <w:bCs/>
          <w:i w:val="0"/>
          <w:iCs/>
          <w:sz w:val="24"/>
        </w:rPr>
        <w:t xml:space="preserve">22 -veintidós- </w:t>
      </w:r>
      <w:r w:rsidR="0094262E">
        <w:rPr>
          <w:i w:val="0"/>
          <w:iCs/>
          <w:sz w:val="24"/>
        </w:rPr>
        <w:t xml:space="preserve">fojas, resultan de nuestro interés las siguientes imágenes ilustrativas: </w:t>
      </w:r>
    </w:p>
    <w:p w14:paraId="30F4C0F9" w14:textId="7B4AA886" w:rsidR="00E05416" w:rsidRDefault="0094262E" w:rsidP="00482E2A">
      <w:pPr>
        <w:pStyle w:val="Citas"/>
        <w:rPr>
          <w:b/>
          <w:bCs/>
          <w:sz w:val="24"/>
        </w:rPr>
      </w:pPr>
      <w:r>
        <w:rPr>
          <w:b/>
          <w:bCs/>
          <w:noProof/>
          <w:sz w:val="24"/>
          <w:lang w:eastAsia="es-MX"/>
        </w:rPr>
        <w:drawing>
          <wp:anchor distT="0" distB="0" distL="114300" distR="114300" simplePos="0" relativeHeight="251877363" behindDoc="0" locked="0" layoutInCell="1" allowOverlap="1" wp14:anchorId="6A2B1DF8" wp14:editId="7A301B01">
            <wp:simplePos x="0" y="0"/>
            <wp:positionH relativeFrom="page">
              <wp:align>center</wp:align>
            </wp:positionH>
            <wp:positionV relativeFrom="paragraph">
              <wp:posOffset>504825</wp:posOffset>
            </wp:positionV>
            <wp:extent cx="5753100" cy="3289300"/>
            <wp:effectExtent l="19050" t="19050" r="19050" b="25400"/>
            <wp:wrapThrough wrapText="bothSides">
              <wp:wrapPolygon edited="0">
                <wp:start x="-72" y="-125"/>
                <wp:lineTo x="-72" y="21642"/>
                <wp:lineTo x="21600" y="21642"/>
                <wp:lineTo x="21600" y="-125"/>
                <wp:lineTo x="-72" y="-125"/>
              </wp:wrapPolygon>
            </wp:wrapThrough>
            <wp:docPr id="813463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32893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1270922" w14:textId="1C05034C" w:rsidR="0094262E" w:rsidRDefault="0094262E" w:rsidP="00482E2A">
      <w:pPr>
        <w:pStyle w:val="Citas"/>
        <w:rPr>
          <w:b/>
          <w:bCs/>
          <w:sz w:val="24"/>
        </w:rPr>
      </w:pPr>
      <w:r>
        <w:rPr>
          <w:b/>
          <w:bCs/>
          <w:noProof/>
          <w:sz w:val="24"/>
          <w:lang w:eastAsia="es-MX"/>
        </w:rPr>
        <w:lastRenderedPageBreak/>
        <w:drawing>
          <wp:anchor distT="0" distB="0" distL="114300" distR="114300" simplePos="0" relativeHeight="251878387" behindDoc="0" locked="0" layoutInCell="1" allowOverlap="1" wp14:anchorId="5CC1C040" wp14:editId="5704F663">
            <wp:simplePos x="0" y="0"/>
            <wp:positionH relativeFrom="page">
              <wp:align>center</wp:align>
            </wp:positionH>
            <wp:positionV relativeFrom="paragraph">
              <wp:posOffset>19050</wp:posOffset>
            </wp:positionV>
            <wp:extent cx="5758815" cy="3263900"/>
            <wp:effectExtent l="19050" t="19050" r="13335" b="12700"/>
            <wp:wrapThrough wrapText="bothSides">
              <wp:wrapPolygon edited="0">
                <wp:start x="-71" y="-126"/>
                <wp:lineTo x="-71" y="21558"/>
                <wp:lineTo x="21579" y="21558"/>
                <wp:lineTo x="21579" y="-126"/>
                <wp:lineTo x="-71" y="-126"/>
              </wp:wrapPolygon>
            </wp:wrapThrough>
            <wp:docPr id="10707997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8815" cy="32639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FDD1B9D" w14:textId="77777777" w:rsidR="009B5029" w:rsidRDefault="009B5029" w:rsidP="009B5029">
      <w:pPr>
        <w:spacing w:before="240" w:line="360" w:lineRule="auto"/>
        <w:jc w:val="both"/>
        <w:rPr>
          <w:rFonts w:ascii="Palatino Linotype" w:eastAsia="Times New Roman" w:hAnsi="Palatino Linotype" w:cs="Times New Roman"/>
          <w:sz w:val="24"/>
          <w:szCs w:val="24"/>
          <w:lang w:val="es-ES_tradnl" w:eastAsia="es-ES"/>
        </w:rPr>
      </w:pPr>
      <w:r w:rsidRPr="00124209">
        <w:rPr>
          <w:rFonts w:ascii="Palatino Linotype" w:eastAsia="Times New Roman" w:hAnsi="Palatino Linotype" w:cs="Times New Roman"/>
          <w:b/>
          <w:sz w:val="24"/>
          <w:szCs w:val="24"/>
          <w:lang w:val="es-ES_tradnl" w:eastAsia="es-ES"/>
        </w:rPr>
        <w:t>Modalidad de entrega:</w:t>
      </w:r>
      <w:r w:rsidRPr="00124209">
        <w:rPr>
          <w:rFonts w:ascii="Palatino Linotype" w:eastAsia="Times New Roman" w:hAnsi="Palatino Linotype" w:cs="Times New Roman"/>
          <w:sz w:val="24"/>
          <w:szCs w:val="24"/>
          <w:lang w:val="es-ES_tradnl" w:eastAsia="es-ES"/>
        </w:rPr>
        <w:t xml:space="preserve"> A través del SAIMEX</w:t>
      </w:r>
      <w:r>
        <w:rPr>
          <w:rFonts w:ascii="Palatino Linotype" w:eastAsia="Times New Roman" w:hAnsi="Palatino Linotype" w:cs="Times New Roman"/>
          <w:sz w:val="24"/>
          <w:szCs w:val="24"/>
          <w:lang w:val="es-ES_tradnl" w:eastAsia="es-ES"/>
        </w:rPr>
        <w:t>.</w:t>
      </w:r>
    </w:p>
    <w:p w14:paraId="30B9D075" w14:textId="77777777" w:rsidR="00482E2A" w:rsidRDefault="00482E2A" w:rsidP="00804620">
      <w:pPr>
        <w:spacing w:before="240" w:line="360" w:lineRule="auto"/>
        <w:ind w:right="850"/>
        <w:jc w:val="both"/>
        <w:rPr>
          <w:rFonts w:ascii="Palatino Linotype" w:hAnsi="Palatino Linotype" w:cs="Arial"/>
          <w:b/>
          <w:sz w:val="28"/>
          <w:lang w:val="es-ES_tradnl"/>
        </w:rPr>
      </w:pPr>
    </w:p>
    <w:p w14:paraId="32234D96" w14:textId="7DAFFF3C" w:rsidR="009B5029" w:rsidRDefault="00482E2A" w:rsidP="009B5029">
      <w:pPr>
        <w:spacing w:before="240" w:line="360" w:lineRule="auto"/>
        <w:jc w:val="both"/>
        <w:rPr>
          <w:rFonts w:ascii="Palatino Linotype" w:hAnsi="Palatino Linotype" w:cs="Arial"/>
          <w:b/>
          <w:sz w:val="28"/>
        </w:rPr>
      </w:pPr>
      <w:r>
        <w:rPr>
          <w:rFonts w:ascii="Palatino Linotype" w:hAnsi="Palatino Linotype" w:cs="Arial"/>
          <w:b/>
          <w:sz w:val="28"/>
        </w:rPr>
        <w:t>SEGUNDO</w:t>
      </w:r>
      <w:r w:rsidR="009B5029">
        <w:rPr>
          <w:rFonts w:ascii="Palatino Linotype" w:hAnsi="Palatino Linotype" w:cs="Arial"/>
          <w:b/>
          <w:sz w:val="28"/>
        </w:rPr>
        <w:t xml:space="preserve">. </w:t>
      </w:r>
      <w:r w:rsidR="009B5029" w:rsidRPr="00165D6E">
        <w:rPr>
          <w:rFonts w:ascii="Palatino Linotype" w:hAnsi="Palatino Linotype" w:cs="Arial"/>
          <w:b/>
          <w:sz w:val="28"/>
          <w:szCs w:val="20"/>
        </w:rPr>
        <w:t xml:space="preserve">De la respuesta </w:t>
      </w:r>
      <w:r w:rsidR="009B5029">
        <w:rPr>
          <w:rFonts w:ascii="Palatino Linotype" w:hAnsi="Palatino Linotype" w:cs="Arial"/>
          <w:b/>
          <w:sz w:val="28"/>
          <w:szCs w:val="20"/>
        </w:rPr>
        <w:t>del Sujeto Obligado</w:t>
      </w:r>
      <w:r w:rsidR="009B5029" w:rsidRPr="00165D6E">
        <w:rPr>
          <w:rFonts w:ascii="Palatino Linotype" w:hAnsi="Palatino Linotype" w:cs="Arial"/>
          <w:b/>
          <w:sz w:val="28"/>
          <w:szCs w:val="20"/>
        </w:rPr>
        <w:t>.</w:t>
      </w:r>
    </w:p>
    <w:p w14:paraId="124AB01E" w14:textId="28965CF4" w:rsidR="00482E2A" w:rsidRPr="00482E2A" w:rsidRDefault="009B5029" w:rsidP="009B502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 xml:space="preserve">se aprecia que el </w:t>
      </w:r>
      <w:r w:rsidR="00482E2A">
        <w:rPr>
          <w:rFonts w:ascii="Palatino Linotype" w:hAnsi="Palatino Linotype" w:cs="Arial"/>
          <w:b/>
          <w:bCs/>
          <w:sz w:val="24"/>
          <w:szCs w:val="24"/>
        </w:rPr>
        <w:t xml:space="preserve">veintitrés de agosto de dos mil veintitrés, El Sujeto Obligado </w:t>
      </w:r>
      <w:r w:rsidR="00482E2A">
        <w:rPr>
          <w:rFonts w:ascii="Palatino Linotype" w:hAnsi="Palatino Linotype" w:cs="Arial"/>
          <w:sz w:val="24"/>
          <w:szCs w:val="24"/>
        </w:rPr>
        <w:t xml:space="preserve">dio respuesta a la solicitud de información en los siguientes términos: </w:t>
      </w:r>
    </w:p>
    <w:p w14:paraId="4DB0F62D" w14:textId="07331E5B" w:rsidR="00482E2A" w:rsidRDefault="00482E2A" w:rsidP="00482E2A">
      <w:pPr>
        <w:pStyle w:val="Citas"/>
      </w:pPr>
      <w:r>
        <w:t xml:space="preserve">“En respuesta a la solicitud recibida, nos permitimos hacer de su conocimiento que con fundamento en el artículo 53, Fracciones: II, V y VI de la Ley de Transparencia </w:t>
      </w:r>
      <w:r>
        <w:lastRenderedPageBreak/>
        <w:t>y Acceso a la Información Pública del Estado de México y Municipios, le contestamos que:</w:t>
      </w:r>
    </w:p>
    <w:p w14:paraId="40F75B3A" w14:textId="2EBC002F" w:rsidR="00482E2A" w:rsidRPr="00482E2A" w:rsidRDefault="00482E2A" w:rsidP="00482E2A">
      <w:pPr>
        <w:pStyle w:val="Citas"/>
        <w:rPr>
          <w:b/>
          <w:bCs/>
          <w:sz w:val="24"/>
          <w:szCs w:val="24"/>
        </w:rPr>
      </w:pPr>
      <w:r>
        <w:t xml:space="preserve">Con fundamento en el artículo 53 Fracción II y 163 de la Ley de Transparencia y Acceso a la Información Pública del Estado de México y Municipios, se da respuesta a la presente solicitud con el oficio que emite la dirección de administración del cual se anexa copia, así como la respuesta integradora por parte de la Unidad de Transparencia cumpliendo en tiempo y forma con lo solicitado” </w:t>
      </w:r>
      <w:r>
        <w:rPr>
          <w:b/>
          <w:bCs/>
        </w:rPr>
        <w:t>(Sic)</w:t>
      </w:r>
    </w:p>
    <w:p w14:paraId="5F26417C" w14:textId="31535661" w:rsidR="00482E2A" w:rsidRPr="00482E2A" w:rsidRDefault="00881D76" w:rsidP="009B502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Adicionalmente,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adjuntó </w:t>
      </w:r>
      <w:r w:rsidR="00482E2A">
        <w:rPr>
          <w:rFonts w:ascii="Palatino Linotype" w:hAnsi="Palatino Linotype" w:cs="Arial"/>
          <w:sz w:val="24"/>
          <w:szCs w:val="24"/>
        </w:rPr>
        <w:t xml:space="preserve">los documentos electrónicos </w:t>
      </w:r>
      <w:r w:rsidR="00482E2A">
        <w:rPr>
          <w:rFonts w:ascii="Palatino Linotype" w:hAnsi="Palatino Linotype" w:cs="Arial"/>
          <w:b/>
          <w:bCs/>
          <w:sz w:val="24"/>
          <w:szCs w:val="24"/>
        </w:rPr>
        <w:t xml:space="preserve">“Respuesta al </w:t>
      </w:r>
      <w:proofErr w:type="spellStart"/>
      <w:r w:rsidR="00482E2A">
        <w:rPr>
          <w:rFonts w:ascii="Palatino Linotype" w:hAnsi="Palatino Linotype" w:cs="Arial"/>
          <w:b/>
          <w:bCs/>
          <w:sz w:val="24"/>
          <w:szCs w:val="24"/>
        </w:rPr>
        <w:t>solic</w:t>
      </w:r>
      <w:proofErr w:type="spellEnd"/>
      <w:r w:rsidR="00482E2A">
        <w:rPr>
          <w:rFonts w:ascii="Palatino Linotype" w:hAnsi="Palatino Linotype" w:cs="Arial"/>
          <w:b/>
          <w:bCs/>
          <w:sz w:val="24"/>
          <w:szCs w:val="24"/>
        </w:rPr>
        <w:t xml:space="preserve"> 249.pdf” </w:t>
      </w:r>
      <w:r w:rsidR="00482E2A">
        <w:rPr>
          <w:rFonts w:ascii="Palatino Linotype" w:hAnsi="Palatino Linotype" w:cs="Arial"/>
          <w:sz w:val="24"/>
          <w:szCs w:val="24"/>
        </w:rPr>
        <w:t xml:space="preserve">y </w:t>
      </w:r>
      <w:r w:rsidR="00482E2A">
        <w:rPr>
          <w:rFonts w:ascii="Palatino Linotype" w:hAnsi="Palatino Linotype" w:cs="Arial"/>
          <w:b/>
          <w:bCs/>
          <w:sz w:val="24"/>
          <w:szCs w:val="24"/>
        </w:rPr>
        <w:t>“</w:t>
      </w:r>
      <w:proofErr w:type="spellStart"/>
      <w:r w:rsidR="00482E2A">
        <w:rPr>
          <w:rFonts w:ascii="Palatino Linotype" w:hAnsi="Palatino Linotype" w:cs="Arial"/>
          <w:b/>
          <w:bCs/>
          <w:sz w:val="24"/>
          <w:szCs w:val="24"/>
        </w:rPr>
        <w:t>Admon</w:t>
      </w:r>
      <w:proofErr w:type="spellEnd"/>
      <w:r w:rsidR="00482E2A">
        <w:rPr>
          <w:rFonts w:ascii="Palatino Linotype" w:hAnsi="Palatino Linotype" w:cs="Arial"/>
          <w:b/>
          <w:bCs/>
          <w:sz w:val="24"/>
          <w:szCs w:val="24"/>
        </w:rPr>
        <w:t xml:space="preserve"> 249.pdf</w:t>
      </w:r>
      <w:r w:rsidR="00501CBE">
        <w:rPr>
          <w:rFonts w:ascii="Palatino Linotype" w:hAnsi="Palatino Linotype" w:cs="Arial"/>
          <w:b/>
          <w:bCs/>
          <w:sz w:val="24"/>
          <w:szCs w:val="24"/>
        </w:rPr>
        <w:t xml:space="preserve">”, </w:t>
      </w:r>
      <w:r w:rsidR="00501CBE" w:rsidRPr="00501CBE">
        <w:rPr>
          <w:rFonts w:ascii="Palatino Linotype" w:hAnsi="Palatino Linotype" w:cs="Arial"/>
          <w:sz w:val="24"/>
          <w:szCs w:val="24"/>
        </w:rPr>
        <w:t>cuyo</w:t>
      </w:r>
      <w:r w:rsidR="00482E2A">
        <w:rPr>
          <w:rFonts w:ascii="Palatino Linotype" w:hAnsi="Palatino Linotype" w:cs="Arial"/>
          <w:sz w:val="24"/>
          <w:szCs w:val="24"/>
        </w:rPr>
        <w:t xml:space="preserve"> contenido será materia de estudio en el considerando respectivo. </w:t>
      </w:r>
    </w:p>
    <w:p w14:paraId="75979CB7" w14:textId="77777777" w:rsidR="0094262E" w:rsidRDefault="0094262E" w:rsidP="009B5029">
      <w:pPr>
        <w:spacing w:before="240" w:line="360" w:lineRule="auto"/>
        <w:rPr>
          <w:rFonts w:ascii="Palatino Linotype" w:hAnsi="Palatino Linotype" w:cs="Arial"/>
          <w:b/>
          <w:sz w:val="28"/>
        </w:rPr>
      </w:pPr>
    </w:p>
    <w:p w14:paraId="2C824AC7" w14:textId="075C28D8" w:rsidR="009B5029" w:rsidRDefault="00482E2A" w:rsidP="009B5029">
      <w:pPr>
        <w:spacing w:before="240" w:line="360" w:lineRule="auto"/>
        <w:rPr>
          <w:rFonts w:ascii="Palatino Linotype" w:hAnsi="Palatino Linotype" w:cs="Arial"/>
          <w:b/>
          <w:sz w:val="28"/>
        </w:rPr>
      </w:pPr>
      <w:r>
        <w:rPr>
          <w:rFonts w:ascii="Palatino Linotype" w:hAnsi="Palatino Linotype" w:cs="Arial"/>
          <w:b/>
          <w:sz w:val="28"/>
        </w:rPr>
        <w:t>TERCERO</w:t>
      </w:r>
      <w:r w:rsidR="009B5029">
        <w:rPr>
          <w:rFonts w:ascii="Palatino Linotype" w:hAnsi="Palatino Linotype" w:cs="Arial"/>
          <w:b/>
          <w:sz w:val="28"/>
        </w:rPr>
        <w:t xml:space="preserve">. </w:t>
      </w:r>
      <w:r w:rsidR="009B5029">
        <w:rPr>
          <w:rFonts w:ascii="Palatino Linotype" w:hAnsi="Palatino Linotype"/>
          <w:b/>
          <w:sz w:val="28"/>
        </w:rPr>
        <w:t>Del recurso de revisión.</w:t>
      </w:r>
    </w:p>
    <w:p w14:paraId="530DE6B1" w14:textId="1539F02F" w:rsidR="00482E2A" w:rsidRPr="00482E2A" w:rsidRDefault="009B5029" w:rsidP="009B5029">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respuesta por </w:t>
      </w:r>
      <w:r>
        <w:rPr>
          <w:rFonts w:ascii="Palatino Linotype" w:hAnsi="Palatino Linotype" w:cs="Arial"/>
          <w:b/>
          <w:sz w:val="24"/>
          <w:szCs w:val="24"/>
        </w:rPr>
        <w:t xml:space="preserve">El Sujeto Obligado, </w:t>
      </w:r>
      <w:r w:rsidR="001D5AC2">
        <w:rPr>
          <w:rFonts w:ascii="Palatino Linotype" w:hAnsi="Palatino Linotype" w:cs="Arial"/>
          <w:b/>
          <w:sz w:val="24"/>
          <w:szCs w:val="24"/>
        </w:rPr>
        <w:t>La</w:t>
      </w:r>
      <w:r>
        <w:rPr>
          <w:rFonts w:ascii="Palatino Linotype" w:hAnsi="Palatino Linotype" w:cs="Arial"/>
          <w:b/>
          <w:sz w:val="24"/>
          <w:szCs w:val="24"/>
        </w:rPr>
        <w:t xml:space="preserve"> Recurrente </w:t>
      </w:r>
      <w:r>
        <w:rPr>
          <w:rFonts w:ascii="Palatino Linotype" w:hAnsi="Palatino Linotype" w:cs="Arial"/>
          <w:sz w:val="24"/>
          <w:szCs w:val="24"/>
        </w:rPr>
        <w:t>interpuso recurso de revisión, en fecha</w:t>
      </w:r>
      <w:r w:rsidR="00DF6F34">
        <w:rPr>
          <w:rFonts w:ascii="Palatino Linotype" w:hAnsi="Palatino Linotype" w:cs="Arial"/>
          <w:sz w:val="24"/>
          <w:szCs w:val="24"/>
        </w:rPr>
        <w:t xml:space="preserve"> </w:t>
      </w:r>
      <w:r w:rsidR="00482E2A">
        <w:rPr>
          <w:rFonts w:ascii="Palatino Linotype" w:hAnsi="Palatino Linotype" w:cs="Arial"/>
          <w:b/>
          <w:bCs/>
          <w:sz w:val="24"/>
          <w:szCs w:val="24"/>
        </w:rPr>
        <w:t xml:space="preserve">veintiocho de agosto de dos mil veintitrés, </w:t>
      </w:r>
      <w:r w:rsidR="00482E2A">
        <w:rPr>
          <w:rFonts w:ascii="Palatino Linotype" w:hAnsi="Palatino Linotype" w:cs="Arial"/>
          <w:sz w:val="24"/>
          <w:szCs w:val="24"/>
        </w:rPr>
        <w:t xml:space="preserve">el cual fue registrado en el sistema electrónico con el expediente </w:t>
      </w:r>
      <w:r w:rsidR="00482E2A">
        <w:rPr>
          <w:rFonts w:ascii="Palatino Linotype" w:hAnsi="Palatino Linotype" w:cs="Arial"/>
          <w:b/>
          <w:bCs/>
          <w:sz w:val="24"/>
          <w:szCs w:val="24"/>
        </w:rPr>
        <w:t xml:space="preserve">04910/INFOEM/IP/RR/2023, </w:t>
      </w:r>
      <w:r w:rsidR="00482E2A">
        <w:rPr>
          <w:rFonts w:ascii="Palatino Linotype" w:hAnsi="Palatino Linotype" w:cs="Arial"/>
          <w:sz w:val="24"/>
          <w:szCs w:val="24"/>
        </w:rPr>
        <w:t xml:space="preserve">en el cual arguye las siguientes manifestaciones: </w:t>
      </w:r>
    </w:p>
    <w:p w14:paraId="26145687" w14:textId="77777777" w:rsidR="009B5029" w:rsidRDefault="009B5029" w:rsidP="009B5029">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643D150B" w14:textId="56E56AFB" w:rsidR="00317C14" w:rsidRPr="00CE3EB5" w:rsidRDefault="00FC2D20" w:rsidP="00CE3EB5">
      <w:pPr>
        <w:pStyle w:val="Citas"/>
        <w:rPr>
          <w:b/>
          <w:bCs/>
          <w:sz w:val="24"/>
        </w:rPr>
      </w:pPr>
      <w:r w:rsidRPr="00482E2A">
        <w:t>“</w:t>
      </w:r>
      <w:r w:rsidR="00482E2A" w:rsidRPr="00482E2A">
        <w:t>La respuesta del Sujeto Obligado</w:t>
      </w:r>
      <w:r w:rsidR="00CE3EB5" w:rsidRPr="00482E2A">
        <w:t>”</w:t>
      </w:r>
      <w:r w:rsidR="00CE3EB5">
        <w:t xml:space="preserve"> </w:t>
      </w:r>
      <w:r w:rsidR="00CE3EB5">
        <w:rPr>
          <w:b/>
          <w:bCs/>
        </w:rPr>
        <w:t>(Sic)</w:t>
      </w:r>
    </w:p>
    <w:p w14:paraId="70C90EFB" w14:textId="77777777" w:rsidR="009B5029" w:rsidRDefault="009B5029" w:rsidP="009B5029">
      <w:pPr>
        <w:spacing w:before="240" w:line="360" w:lineRule="auto"/>
        <w:jc w:val="both"/>
        <w:rPr>
          <w:rFonts w:ascii="Palatino Linotype" w:hAnsi="Palatino Linotype" w:cs="Arial"/>
          <w:b/>
          <w:sz w:val="24"/>
        </w:rPr>
      </w:pPr>
      <w:r>
        <w:rPr>
          <w:rFonts w:ascii="Palatino Linotype" w:hAnsi="Palatino Linotype" w:cs="Arial"/>
          <w:b/>
          <w:sz w:val="24"/>
        </w:rPr>
        <w:t>Razones o motivos de la inconformidad:</w:t>
      </w:r>
    </w:p>
    <w:p w14:paraId="6CBFC893" w14:textId="3F5E80EC" w:rsidR="009B5029" w:rsidRPr="00CE3EB5" w:rsidRDefault="00CE3EB5" w:rsidP="00CE3EB5">
      <w:pPr>
        <w:pStyle w:val="Citas"/>
        <w:rPr>
          <w:b/>
          <w:bCs/>
        </w:rPr>
      </w:pPr>
      <w:r w:rsidRPr="00482E2A">
        <w:lastRenderedPageBreak/>
        <w:t>“</w:t>
      </w:r>
      <w:r w:rsidR="00482E2A" w:rsidRPr="00482E2A">
        <w:t>De la revisión a la respuesta entregada por el sujeto obligado. Dicha respuesta está incompleta, ya que solo me enviaron el nombramiento del servidor público. Quedando pendientes sus funciones y atribuciones</w:t>
      </w:r>
      <w:r w:rsidRPr="006715AF">
        <w:t>”</w:t>
      </w:r>
      <w:r>
        <w:t xml:space="preserve"> </w:t>
      </w:r>
      <w:r>
        <w:rPr>
          <w:b/>
          <w:bCs/>
        </w:rPr>
        <w:t>(Sic)</w:t>
      </w:r>
    </w:p>
    <w:p w14:paraId="4A4C7430" w14:textId="77777777" w:rsidR="00CE3EB5" w:rsidRPr="00CE3EB5" w:rsidRDefault="00CE3EB5" w:rsidP="00CE3EB5">
      <w:pPr>
        <w:pStyle w:val="Citas"/>
      </w:pPr>
    </w:p>
    <w:p w14:paraId="147EA26C" w14:textId="45868D2C" w:rsidR="009B5029" w:rsidRDefault="00482E2A" w:rsidP="009B5029">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9B5029" w:rsidRPr="008551ED">
        <w:rPr>
          <w:rFonts w:ascii="Palatino Linotype" w:hAnsi="Palatino Linotype" w:cs="Arial"/>
          <w:b/>
          <w:sz w:val="24"/>
          <w:szCs w:val="24"/>
        </w:rPr>
        <w:t xml:space="preserve">. </w:t>
      </w:r>
      <w:r w:rsidR="009B5029" w:rsidRPr="0087163A">
        <w:rPr>
          <w:rFonts w:ascii="Palatino Linotype" w:hAnsi="Palatino Linotype" w:cs="Arial"/>
          <w:b/>
          <w:sz w:val="28"/>
          <w:szCs w:val="28"/>
        </w:rPr>
        <w:t>Del turno del recurso de revisión.</w:t>
      </w:r>
    </w:p>
    <w:p w14:paraId="5929B5D1" w14:textId="358D989A" w:rsidR="009B5029" w:rsidRDefault="009B5029" w:rsidP="009B502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al Comisionado presidente </w:t>
      </w:r>
      <w:r>
        <w:rPr>
          <w:rFonts w:ascii="Palatino Linotype" w:hAnsi="Palatino Linotype" w:cs="Arial"/>
          <w:b/>
          <w:sz w:val="24"/>
          <w:szCs w:val="24"/>
        </w:rPr>
        <w:t xml:space="preserve">José Martínez Vilchis, </w:t>
      </w:r>
      <w:r>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Municipios, del cual recayó acuerdo de admisión en fecha </w:t>
      </w:r>
      <w:r w:rsidR="00482E2A">
        <w:rPr>
          <w:rFonts w:ascii="Palatino Linotype" w:hAnsi="Palatino Linotype" w:cs="Arial"/>
          <w:b/>
          <w:bCs/>
          <w:sz w:val="24"/>
          <w:szCs w:val="24"/>
        </w:rPr>
        <w:t xml:space="preserve">veintinueve de agosto del presente, </w:t>
      </w:r>
      <w:r>
        <w:rPr>
          <w:rFonts w:ascii="Palatino Linotype" w:hAnsi="Palatino Linotype" w:cs="Arial"/>
          <w:sz w:val="24"/>
          <w:szCs w:val="24"/>
        </w:rPr>
        <w:t>determinándose en él, un plazo de siete días para que las partes manifestaran lo que a su derecho corresponda en términos del numeral ya citado.</w:t>
      </w:r>
    </w:p>
    <w:p w14:paraId="1C3F63EA" w14:textId="77777777" w:rsidR="0094262E" w:rsidRDefault="0094262E" w:rsidP="009B5029">
      <w:pPr>
        <w:spacing w:before="240" w:line="360" w:lineRule="auto"/>
        <w:jc w:val="both"/>
        <w:rPr>
          <w:rFonts w:ascii="Palatino Linotype" w:hAnsi="Palatino Linotype" w:cs="Arial"/>
          <w:sz w:val="24"/>
          <w:szCs w:val="24"/>
        </w:rPr>
      </w:pPr>
    </w:p>
    <w:p w14:paraId="606807D4" w14:textId="3A83D94D" w:rsidR="009B5029" w:rsidRDefault="00482E2A" w:rsidP="009B5029">
      <w:pPr>
        <w:pStyle w:val="Prrafodelista"/>
        <w:spacing w:line="360" w:lineRule="auto"/>
        <w:ind w:left="0"/>
        <w:jc w:val="both"/>
        <w:rPr>
          <w:rFonts w:ascii="Palatino Linotype" w:hAnsi="Palatino Linotype" w:cs="Arial"/>
          <w:b/>
        </w:rPr>
      </w:pPr>
      <w:r>
        <w:rPr>
          <w:rFonts w:ascii="Palatino Linotype" w:hAnsi="Palatino Linotype" w:cs="Arial"/>
          <w:b/>
          <w:sz w:val="28"/>
        </w:rPr>
        <w:t>QUINTO</w:t>
      </w:r>
      <w:r w:rsidR="009B5029" w:rsidRPr="00AC0CCC">
        <w:rPr>
          <w:rFonts w:ascii="Palatino Linotype" w:hAnsi="Palatino Linotype" w:cs="Arial"/>
          <w:b/>
          <w:sz w:val="28"/>
          <w:szCs w:val="28"/>
        </w:rPr>
        <w:t xml:space="preserve">. </w:t>
      </w:r>
      <w:r w:rsidR="009B5029" w:rsidRPr="0087163A">
        <w:rPr>
          <w:rFonts w:ascii="Palatino Linotype" w:hAnsi="Palatino Linotype" w:cs="Arial"/>
          <w:b/>
          <w:sz w:val="28"/>
          <w:szCs w:val="28"/>
        </w:rPr>
        <w:t>De la etapa de instrucción.</w:t>
      </w:r>
    </w:p>
    <w:p w14:paraId="47534454" w14:textId="6B4735E9" w:rsidR="00804620" w:rsidRPr="00482E2A" w:rsidRDefault="009B5029" w:rsidP="009B5029">
      <w:pPr>
        <w:spacing w:after="0" w:line="360" w:lineRule="auto"/>
        <w:jc w:val="both"/>
        <w:rPr>
          <w:rFonts w:ascii="Palatino Linotype" w:hAnsi="Palatino Linotype" w:cs="Arial"/>
          <w:b/>
          <w:sz w:val="24"/>
          <w:szCs w:val="24"/>
        </w:rPr>
      </w:pPr>
      <w:r>
        <w:rPr>
          <w:rFonts w:ascii="Palatino Linotype" w:hAnsi="Palatino Linotype" w:cs="Arial"/>
          <w:sz w:val="24"/>
          <w:szCs w:val="24"/>
        </w:rPr>
        <w:t xml:space="preserve">Así, en la etapa de instrucción, de las constancias que obran en los expedientes electrónicos de los recursos de revisión se advierte que </w:t>
      </w:r>
      <w:r>
        <w:rPr>
          <w:rFonts w:ascii="Palatino Linotype" w:hAnsi="Palatino Linotype" w:cs="Arial"/>
          <w:b/>
          <w:bCs/>
          <w:sz w:val="24"/>
          <w:szCs w:val="24"/>
        </w:rPr>
        <w:t>El Sujeto Obligado</w:t>
      </w:r>
      <w:r w:rsidR="00FC2D20">
        <w:rPr>
          <w:rFonts w:ascii="Palatino Linotype" w:hAnsi="Palatino Linotype" w:cs="Arial"/>
          <w:b/>
          <w:bCs/>
          <w:sz w:val="24"/>
          <w:szCs w:val="24"/>
        </w:rPr>
        <w:t xml:space="preserve"> </w:t>
      </w:r>
      <w:r w:rsidR="00482E2A">
        <w:rPr>
          <w:rFonts w:ascii="Palatino Linotype" w:hAnsi="Palatino Linotype" w:cs="Arial"/>
          <w:bCs/>
          <w:sz w:val="24"/>
          <w:szCs w:val="24"/>
        </w:rPr>
        <w:t xml:space="preserve">rindió su informe justificado en fecha </w:t>
      </w:r>
      <w:r w:rsidR="00482E2A">
        <w:rPr>
          <w:rFonts w:ascii="Palatino Linotype" w:hAnsi="Palatino Linotype" w:cs="Arial"/>
          <w:b/>
          <w:sz w:val="24"/>
          <w:szCs w:val="24"/>
        </w:rPr>
        <w:t xml:space="preserve">seis de septiembre, </w:t>
      </w:r>
      <w:r w:rsidR="00482E2A">
        <w:rPr>
          <w:rFonts w:ascii="Palatino Linotype" w:hAnsi="Palatino Linotype" w:cs="Arial"/>
          <w:bCs/>
          <w:sz w:val="24"/>
          <w:szCs w:val="24"/>
        </w:rPr>
        <w:t xml:space="preserve">mismo que fue puesto a la vista el </w:t>
      </w:r>
      <w:r w:rsidR="00482E2A">
        <w:rPr>
          <w:rFonts w:ascii="Palatino Linotype" w:hAnsi="Palatino Linotype" w:cs="Arial"/>
          <w:b/>
          <w:sz w:val="24"/>
          <w:szCs w:val="24"/>
        </w:rPr>
        <w:t xml:space="preserve">siete de septiembre, ambos de dos mil veintitrés. </w:t>
      </w:r>
    </w:p>
    <w:p w14:paraId="4332B689" w14:textId="77777777" w:rsidR="00881D76" w:rsidRDefault="00881D76" w:rsidP="009B5029">
      <w:pPr>
        <w:spacing w:after="0" w:line="360" w:lineRule="auto"/>
        <w:jc w:val="both"/>
        <w:rPr>
          <w:rFonts w:ascii="Palatino Linotype" w:hAnsi="Palatino Linotype" w:cs="Arial"/>
          <w:bCs/>
          <w:sz w:val="24"/>
          <w:szCs w:val="24"/>
        </w:rPr>
      </w:pPr>
    </w:p>
    <w:p w14:paraId="468F8640" w14:textId="6E0E936F" w:rsidR="00DF6F34" w:rsidRDefault="00FC2D20" w:rsidP="00321484">
      <w:pPr>
        <w:spacing w:after="0" w:line="360" w:lineRule="auto"/>
        <w:jc w:val="both"/>
        <w:rPr>
          <w:rFonts w:ascii="Palatino Linotype" w:hAnsi="Palatino Linotype" w:cs="Arial"/>
          <w:sz w:val="24"/>
          <w:szCs w:val="24"/>
        </w:rPr>
      </w:pPr>
      <w:r>
        <w:rPr>
          <w:rFonts w:ascii="Palatino Linotype" w:hAnsi="Palatino Linotype" w:cs="Arial"/>
          <w:bCs/>
          <w:sz w:val="24"/>
          <w:szCs w:val="24"/>
        </w:rPr>
        <w:t xml:space="preserve">Por lo cual se decretó </w:t>
      </w:r>
      <w:r w:rsidR="00321484">
        <w:rPr>
          <w:rFonts w:ascii="Palatino Linotype" w:hAnsi="Palatino Linotype" w:cs="Arial"/>
          <w:bCs/>
          <w:sz w:val="24"/>
          <w:szCs w:val="24"/>
        </w:rPr>
        <w:t xml:space="preserve">el cierre de </w:t>
      </w:r>
      <w:r>
        <w:rPr>
          <w:rFonts w:ascii="Palatino Linotype" w:hAnsi="Palatino Linotype" w:cs="Arial"/>
          <w:bCs/>
          <w:sz w:val="24"/>
          <w:szCs w:val="24"/>
        </w:rPr>
        <w:t xml:space="preserve">instrucción con fecha </w:t>
      </w:r>
      <w:r w:rsidR="00482E2A">
        <w:rPr>
          <w:rFonts w:ascii="Palatino Linotype" w:hAnsi="Palatino Linotype" w:cs="Arial"/>
          <w:b/>
          <w:bCs/>
          <w:sz w:val="24"/>
          <w:szCs w:val="24"/>
        </w:rPr>
        <w:t>veinte</w:t>
      </w:r>
      <w:r w:rsidR="00232742">
        <w:rPr>
          <w:rFonts w:ascii="Palatino Linotype" w:hAnsi="Palatino Linotype" w:cs="Arial"/>
          <w:b/>
          <w:bCs/>
          <w:sz w:val="24"/>
          <w:szCs w:val="24"/>
        </w:rPr>
        <w:t xml:space="preserve"> de septiembre</w:t>
      </w:r>
      <w:r w:rsidR="00321484">
        <w:rPr>
          <w:rFonts w:ascii="Palatino Linotype" w:hAnsi="Palatino Linotype" w:cs="Arial"/>
          <w:b/>
          <w:bCs/>
          <w:sz w:val="24"/>
          <w:szCs w:val="24"/>
        </w:rPr>
        <w:t xml:space="preserve"> del presente, </w:t>
      </w:r>
      <w:r w:rsidR="00DF6F34">
        <w:rPr>
          <w:rFonts w:ascii="Palatino Linotype" w:hAnsi="Palatino Linotype" w:cs="Arial"/>
          <w:sz w:val="24"/>
          <w:szCs w:val="24"/>
        </w:rPr>
        <w:t xml:space="preserve">en términos del artículo 185 Fracción VI de la Ley de Transparencia y Acceso </w:t>
      </w:r>
      <w:r w:rsidR="00DF6F34">
        <w:rPr>
          <w:rFonts w:ascii="Palatino Linotype" w:hAnsi="Palatino Linotype" w:cs="Arial"/>
          <w:sz w:val="24"/>
          <w:szCs w:val="24"/>
        </w:rPr>
        <w:lastRenderedPageBreak/>
        <w:t xml:space="preserve">a la Información Pública del Estado de México y Municipios, iniciando el término legal para dictar resolución definitiva del asunto. </w:t>
      </w:r>
    </w:p>
    <w:p w14:paraId="3BFCC64F" w14:textId="5EB07149" w:rsidR="00E05416" w:rsidRDefault="00E05416" w:rsidP="00E05416">
      <w:pPr>
        <w:spacing w:before="240" w:line="360" w:lineRule="auto"/>
        <w:jc w:val="both"/>
        <w:rPr>
          <w:rFonts w:ascii="Palatino Linotype" w:hAnsi="Palatino Linotype" w:cs="Arial"/>
          <w:sz w:val="24"/>
          <w:szCs w:val="24"/>
        </w:rPr>
      </w:pPr>
      <w:r w:rsidRPr="0036654D">
        <w:rPr>
          <w:rFonts w:ascii="Palatino Linotype" w:hAnsi="Palatino Linotype" w:cs="Arial"/>
          <w:sz w:val="24"/>
          <w:szCs w:val="24"/>
        </w:rPr>
        <w:t xml:space="preserve">Así, </w:t>
      </w:r>
      <w:r w:rsidRPr="00423945">
        <w:rPr>
          <w:rFonts w:ascii="Palatino Linotype" w:hAnsi="Palatino Linotype" w:cs="Arial"/>
          <w:sz w:val="24"/>
          <w:szCs w:val="24"/>
        </w:rPr>
        <w:t xml:space="preserve">en fecha </w:t>
      </w:r>
      <w:r w:rsidR="00C66523">
        <w:rPr>
          <w:rFonts w:ascii="Palatino Linotype" w:hAnsi="Palatino Linotype" w:cs="Arial"/>
          <w:b/>
          <w:bCs/>
          <w:sz w:val="24"/>
          <w:szCs w:val="24"/>
        </w:rPr>
        <w:t>once</w:t>
      </w:r>
      <w:r w:rsidR="00423945" w:rsidRPr="00423945">
        <w:rPr>
          <w:rFonts w:ascii="Palatino Linotype" w:hAnsi="Palatino Linotype" w:cs="Arial"/>
          <w:b/>
          <w:bCs/>
          <w:sz w:val="24"/>
          <w:szCs w:val="24"/>
        </w:rPr>
        <w:t xml:space="preserve"> </w:t>
      </w:r>
      <w:r w:rsidRPr="00423945">
        <w:rPr>
          <w:rFonts w:ascii="Palatino Linotype" w:hAnsi="Palatino Linotype" w:cs="Arial"/>
          <w:b/>
          <w:bCs/>
          <w:sz w:val="24"/>
          <w:szCs w:val="24"/>
        </w:rPr>
        <w:t xml:space="preserve">de octubre de dos mil </w:t>
      </w:r>
      <w:r w:rsidR="00BC44FC">
        <w:rPr>
          <w:rFonts w:ascii="Palatino Linotype" w:hAnsi="Palatino Linotype" w:cs="Arial"/>
          <w:b/>
          <w:bCs/>
          <w:sz w:val="24"/>
          <w:szCs w:val="24"/>
        </w:rPr>
        <w:t>veintitrés</w:t>
      </w:r>
      <w:r w:rsidRPr="00423945">
        <w:rPr>
          <w:rFonts w:ascii="Palatino Linotype" w:hAnsi="Palatino Linotype" w:cs="Arial"/>
          <w:b/>
          <w:bCs/>
          <w:sz w:val="24"/>
          <w:szCs w:val="24"/>
        </w:rPr>
        <w:t xml:space="preserve">, </w:t>
      </w:r>
      <w:r w:rsidRPr="00423945">
        <w:rPr>
          <w:rFonts w:ascii="Palatino Linotype" w:hAnsi="Palatino Linotype" w:cs="Arial"/>
          <w:sz w:val="24"/>
          <w:szCs w:val="24"/>
        </w:rPr>
        <w:t xml:space="preserve">en el expediente electrónico del recurso de revisión </w:t>
      </w:r>
      <w:r w:rsidRPr="00423945">
        <w:rPr>
          <w:rFonts w:ascii="Palatino Linotype" w:hAnsi="Palatino Linotype" w:cs="Arial"/>
          <w:sz w:val="24"/>
        </w:rPr>
        <w:t>se amplió plazo para dictar resolución, en</w:t>
      </w:r>
      <w:r>
        <w:rPr>
          <w:rFonts w:ascii="Palatino Linotype" w:hAnsi="Palatino Linotype" w:cs="Arial"/>
          <w:sz w:val="24"/>
        </w:rPr>
        <w:t xml:space="preserve"> términos del </w:t>
      </w:r>
      <w:r w:rsidRPr="0053191B">
        <w:rPr>
          <w:rFonts w:ascii="Palatino Linotype" w:hAnsi="Palatino Linotype" w:cs="Arial"/>
          <w:sz w:val="24"/>
          <w:szCs w:val="24"/>
        </w:rPr>
        <w:t>artículo 181 de la Ley de Transparencia y Acceso a la Información del Estado de México y Municipios.</w:t>
      </w:r>
      <w:r>
        <w:rPr>
          <w:rFonts w:ascii="Palatino Linotype" w:hAnsi="Palatino Linotype" w:cs="Arial"/>
          <w:sz w:val="24"/>
          <w:szCs w:val="24"/>
        </w:rPr>
        <w:t xml:space="preserve"> </w:t>
      </w:r>
    </w:p>
    <w:p w14:paraId="6B508B48" w14:textId="77777777" w:rsidR="00E05416" w:rsidRPr="001F3B43" w:rsidRDefault="00E05416" w:rsidP="00E05416">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Este organismo garante no pasa por alto justificar, </w:t>
      </w:r>
      <w:r w:rsidRPr="001F3B43">
        <w:rPr>
          <w:rFonts w:ascii="Palatino Linotype" w:hAnsi="Palatino Linotype" w:cstheme="majorHAnsi"/>
          <w:bCs/>
          <w:sz w:val="24"/>
          <w:szCs w:val="24"/>
        </w:rPr>
        <w:t xml:space="preserve">que el plazo para emitir resolución en el presente asunto </w:t>
      </w:r>
      <w:r w:rsidRPr="001F3B43">
        <w:rPr>
          <w:rFonts w:ascii="Palatino Linotype" w:hAnsi="Palatino Linotype" w:cstheme="majorHAnsi"/>
          <w:sz w:val="24"/>
          <w:szCs w:val="24"/>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0BFC270B" w14:textId="77777777" w:rsidR="00E05416" w:rsidRPr="001F3B43" w:rsidRDefault="00E05416" w:rsidP="00E05416">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Por ello, es menester precisar </w:t>
      </w:r>
      <w:proofErr w:type="gramStart"/>
      <w:r w:rsidRPr="001F3B43">
        <w:rPr>
          <w:rFonts w:ascii="Palatino Linotype" w:hAnsi="Palatino Linotype" w:cstheme="majorHAnsi"/>
          <w:sz w:val="24"/>
          <w:szCs w:val="24"/>
        </w:rPr>
        <w:t>que</w:t>
      </w:r>
      <w:proofErr w:type="gramEnd"/>
      <w:r w:rsidRPr="001F3B43">
        <w:rPr>
          <w:rFonts w:ascii="Palatino Linotype" w:hAnsi="Palatino Linotype" w:cstheme="majorHAnsi"/>
          <w:sz w:val="24"/>
          <w:szCs w:val="24"/>
        </w:rPr>
        <w:t xml:space="preserve"> si bien se ha excedido el plazo para resolver el presente medio de impugnación, de conformidad con la ley de la materia, </w:t>
      </w:r>
      <w:r w:rsidRPr="001F3B43">
        <w:rPr>
          <w:rFonts w:ascii="Palatino Linotype" w:hAnsi="Palatino Linotype" w:cstheme="majorHAnsi"/>
          <w:bCs/>
          <w:sz w:val="24"/>
          <w:szCs w:val="24"/>
        </w:rPr>
        <w:t>el plazo para emitir resolución</w:t>
      </w:r>
      <w:r w:rsidRPr="001F3B43">
        <w:rPr>
          <w:rFonts w:ascii="Palatino Linotype" w:hAnsi="Palatino Linotype" w:cstheme="majorHAnsi"/>
          <w:sz w:val="24"/>
          <w:szCs w:val="24"/>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63729B66" w14:textId="77777777" w:rsidR="00E05416" w:rsidRPr="001F3B43" w:rsidRDefault="00E05416" w:rsidP="00E05416">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Así, en términos de lo que establecen los artículos 8.1 y 25 de la Convención Americana sobre Derechos Humanos, los recursos deben ser sencillos y resolverse en </w:t>
      </w:r>
      <w:r w:rsidRPr="001F3B43">
        <w:rPr>
          <w:rFonts w:ascii="Palatino Linotype" w:hAnsi="Palatino Linotype" w:cstheme="majorHAnsi"/>
          <w:sz w:val="24"/>
          <w:szCs w:val="24"/>
        </w:rPr>
        <w:lastRenderedPageBreak/>
        <w:t>el menor tiempo posible, tomando en consideración la dilación total del procedimiento; esto es, en un plazo razonable.</w:t>
      </w:r>
    </w:p>
    <w:p w14:paraId="3EC0800E" w14:textId="77777777" w:rsidR="00E05416" w:rsidRPr="001F3B43" w:rsidRDefault="00E05416" w:rsidP="00E05416">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9FD776B" w14:textId="77777777" w:rsidR="00E05416" w:rsidRPr="001F3B43" w:rsidRDefault="00E05416" w:rsidP="00E05416">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Por ello, excepcionalmente, si un asunto es resuelto con posterioridad a los plazos señalados por la norma debe analizarse la razonabilidad del tiempo necesario para su resolución, atentos a los siguientes criterios:  </w:t>
      </w:r>
    </w:p>
    <w:p w14:paraId="0BDB3803" w14:textId="77777777" w:rsidR="00E05416" w:rsidRPr="001F3B43" w:rsidRDefault="00E05416" w:rsidP="00E05416">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w:t>
      </w:r>
      <w:r>
        <w:rPr>
          <w:rFonts w:ascii="Palatino Linotype" w:hAnsi="Palatino Linotype" w:cstheme="majorHAnsi"/>
          <w:sz w:val="24"/>
          <w:szCs w:val="24"/>
        </w:rPr>
        <w:t xml:space="preserve"> </w:t>
      </w:r>
      <w:r w:rsidRPr="001F3B43">
        <w:rPr>
          <w:rFonts w:ascii="Palatino Linotype" w:hAnsi="Palatino Linotype" w:cstheme="majorHAnsi"/>
          <w:sz w:val="24"/>
          <w:szCs w:val="24"/>
        </w:rPr>
        <w:t>Complejidad del asunto: La complejidad de la prueba, la pluralidad de sujetos procesales, el tiempo transcurrido, las características y contexto del recurso.</w:t>
      </w:r>
    </w:p>
    <w:p w14:paraId="7400938B" w14:textId="77777777" w:rsidR="00E05416" w:rsidRPr="001F3B43" w:rsidRDefault="00E05416" w:rsidP="00E05416">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b)     Actividad Procesal del interesado: Acciones u omisiones del interesado.</w:t>
      </w:r>
    </w:p>
    <w:p w14:paraId="55292E23" w14:textId="77777777" w:rsidR="00E05416" w:rsidRPr="001F3B43" w:rsidRDefault="00E05416" w:rsidP="00E05416">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c) </w:t>
      </w:r>
      <w:r>
        <w:rPr>
          <w:rFonts w:ascii="Palatino Linotype" w:hAnsi="Palatino Linotype" w:cstheme="majorHAnsi"/>
          <w:sz w:val="24"/>
          <w:szCs w:val="24"/>
        </w:rPr>
        <w:t xml:space="preserve"> </w:t>
      </w:r>
      <w:r w:rsidRPr="001F3B43">
        <w:rPr>
          <w:rFonts w:ascii="Palatino Linotype" w:hAnsi="Palatino Linotype" w:cstheme="majorHAnsi"/>
          <w:sz w:val="24"/>
          <w:szCs w:val="24"/>
        </w:rPr>
        <w:t>Conducta de la Autoridad: Las Acciones u omisiones realizadas en el procedimiento. Así como si la autoridad actuó con la debida diligencia.</w:t>
      </w:r>
    </w:p>
    <w:p w14:paraId="27DBCB42" w14:textId="77777777" w:rsidR="00E05416" w:rsidRPr="001F3B43" w:rsidRDefault="00E05416" w:rsidP="00E05416">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d)</w:t>
      </w:r>
      <w:r>
        <w:rPr>
          <w:rFonts w:ascii="Palatino Linotype" w:hAnsi="Palatino Linotype" w:cstheme="majorHAnsi"/>
          <w:sz w:val="24"/>
          <w:szCs w:val="24"/>
        </w:rPr>
        <w:t xml:space="preserve">   </w:t>
      </w:r>
      <w:r w:rsidRPr="001F3B43">
        <w:rPr>
          <w:rFonts w:ascii="Palatino Linotype" w:hAnsi="Palatino Linotype" w:cstheme="majorHAnsi"/>
          <w:sz w:val="24"/>
          <w:szCs w:val="24"/>
        </w:rPr>
        <w:t>La afectación generada en la situación jurídica de la persona involucrada en el proceso: Violación a sus derechos humanos.</w:t>
      </w:r>
    </w:p>
    <w:p w14:paraId="361174F3" w14:textId="77777777" w:rsidR="00E05416" w:rsidRPr="001F3B43" w:rsidRDefault="00E05416" w:rsidP="00E05416">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6C05D2D" w14:textId="77777777" w:rsidR="00E05416" w:rsidRPr="001F3B43" w:rsidRDefault="00E05416" w:rsidP="00E05416">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lastRenderedPageBreak/>
        <w:t xml:space="preserve"> 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2CC36B74" w14:textId="77777777" w:rsidR="00E05416" w:rsidRPr="001F3B43" w:rsidRDefault="00E05416" w:rsidP="00E05416">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FFE0E64" w14:textId="77777777" w:rsidR="00E05416" w:rsidRPr="001F3B43" w:rsidRDefault="00E05416" w:rsidP="00E05416">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Al respecto, también son de considerar los criterios sostenidos por el Cuarto Tribunal Colegiado en Materia Administrativa del Primer Circuito, cuyos rubros y datos de identificación son los siguientes:</w:t>
      </w:r>
    </w:p>
    <w:p w14:paraId="307AF695" w14:textId="77777777" w:rsidR="00E05416" w:rsidRPr="001F3B43" w:rsidRDefault="00E05416" w:rsidP="00E05416">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lastRenderedPageBreak/>
        <w:t xml:space="preserve">  “PLAZO RAZONABLE PARA RESOLVER. DIMENSIÓN Y EFECTOS DE ESTE CONCEPTO CUANDO SE ADUCE EXCESIVA CARGA DE TRABAJO.” consultable en el Seminario Judicial de la Federación y su gaceta, con el registro digital 2002351.</w:t>
      </w:r>
    </w:p>
    <w:p w14:paraId="78528D50" w14:textId="77777777" w:rsidR="00E05416" w:rsidRPr="001F3B43" w:rsidRDefault="00E05416" w:rsidP="00E05416">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“PLAZO RAZONABLE PARA RESOLVER. CONCEPTO Y ELEMENTOS QUE LO INTEGRAN A LA LUZ DEL DERECHO INTERNACIONAL DE LOS DERECHOS HUMANOS.”, visible en el Seminario Judicial de la Federación y su gaceta, con el registro digital 2002350.</w:t>
      </w:r>
    </w:p>
    <w:p w14:paraId="12043871" w14:textId="77777777" w:rsidR="00E05416" w:rsidRPr="00B01D73" w:rsidRDefault="00E05416" w:rsidP="00E05416">
      <w:pPr>
        <w:spacing w:line="360" w:lineRule="auto"/>
        <w:jc w:val="both"/>
        <w:rPr>
          <w:rFonts w:ascii="Palatino Linotype" w:hAnsi="Palatino Linotype"/>
          <w:sz w:val="24"/>
          <w:szCs w:val="24"/>
        </w:rPr>
      </w:pPr>
      <w:r w:rsidRPr="001F3B43">
        <w:rPr>
          <w:rFonts w:ascii="Palatino Linotype" w:hAnsi="Palatino Linotype" w:cstheme="majorHAnsi"/>
          <w:bCs/>
          <w:sz w:val="24"/>
          <w:szCs w:val="24"/>
        </w:rPr>
        <w:t>Por ello, este organismo garante comprometido con la tutela de los derechos humanos confiados, señala que este exceso del plazo legal para resolver el presente asunto, resulta de carácter excepcional.</w:t>
      </w:r>
    </w:p>
    <w:p w14:paraId="5192E6B0" w14:textId="77777777" w:rsidR="00E05416" w:rsidRDefault="00E05416" w:rsidP="00321484">
      <w:pPr>
        <w:spacing w:after="0" w:line="360" w:lineRule="auto"/>
        <w:jc w:val="both"/>
        <w:rPr>
          <w:rFonts w:ascii="Palatino Linotype" w:hAnsi="Palatino Linotype" w:cs="Arial"/>
          <w:sz w:val="24"/>
          <w:szCs w:val="24"/>
        </w:rPr>
      </w:pPr>
    </w:p>
    <w:p w14:paraId="1EBA35FA" w14:textId="563EFF0D" w:rsidR="006168E4" w:rsidRPr="005D0901" w:rsidRDefault="006168E4" w:rsidP="00844569">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68B57F26" w14:textId="77777777" w:rsidR="006168E4" w:rsidRDefault="006168E4" w:rsidP="00844569">
      <w:pPr>
        <w:spacing w:before="240" w:line="360" w:lineRule="auto"/>
        <w:jc w:val="both"/>
        <w:rPr>
          <w:rFonts w:ascii="Palatino Linotype" w:hAnsi="Palatino Linotype" w:cs="Arial"/>
          <w:sz w:val="24"/>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54DCD928" w14:textId="77777777" w:rsidR="00E652A0" w:rsidRPr="00146FFD" w:rsidRDefault="00E652A0" w:rsidP="00E652A0">
      <w:pPr>
        <w:pStyle w:val="Prrafodelista"/>
        <w:autoSpaceDE w:val="0"/>
        <w:autoSpaceDN w:val="0"/>
        <w:adjustRightInd w:val="0"/>
        <w:spacing w:before="240" w:after="160" w:line="360" w:lineRule="auto"/>
        <w:ind w:left="0"/>
        <w:jc w:val="both"/>
        <w:rPr>
          <w:rFonts w:ascii="Palatino Linotype" w:hAnsi="Palatino Linotype" w:cs="Arial"/>
          <w:bCs/>
        </w:rPr>
      </w:pPr>
      <w:r w:rsidRPr="00146FFD">
        <w:rPr>
          <w:rFonts w:ascii="Palatino Linotype" w:hAnsi="Palatino Linotype" w:cs="Arial"/>
          <w:bCs/>
        </w:rPr>
        <w:t xml:space="preserve">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w:t>
      </w:r>
      <w:r w:rsidRPr="00146FFD">
        <w:rPr>
          <w:rFonts w:ascii="Palatino Linotype" w:hAnsi="Palatino Linotype" w:cs="Arial"/>
          <w:bCs/>
        </w:rPr>
        <w:lastRenderedPageBreak/>
        <w:t>y Municipios; y 7, 9 fracciones I y XXIV, y 11 del Reglamento Interior del Instituto de Transparencia, Acceso a la Información Pública y Protección de Datos Personales del Estado de México y Municipios.</w:t>
      </w:r>
    </w:p>
    <w:p w14:paraId="23C91450" w14:textId="77777777" w:rsidR="00E05416" w:rsidRDefault="00E05416" w:rsidP="00844569">
      <w:pPr>
        <w:pStyle w:val="Prrafodelista"/>
        <w:autoSpaceDE w:val="0"/>
        <w:autoSpaceDN w:val="0"/>
        <w:adjustRightInd w:val="0"/>
        <w:spacing w:before="240" w:after="160" w:line="360" w:lineRule="auto"/>
        <w:ind w:left="0"/>
        <w:jc w:val="both"/>
        <w:rPr>
          <w:rFonts w:ascii="Palatino Linotype" w:hAnsi="Palatino Linotype" w:cs="Arial"/>
          <w:b/>
          <w:sz w:val="28"/>
        </w:rPr>
      </w:pPr>
    </w:p>
    <w:p w14:paraId="072EB9D2" w14:textId="589D40BA"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269B6C88"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6ACEE5CF" w14:textId="77777777" w:rsidR="0094262E" w:rsidRDefault="0094262E"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08583A97" w14:textId="237F26C7" w:rsidR="001C447D" w:rsidRDefault="00501CBE" w:rsidP="001C447D">
      <w:pPr>
        <w:tabs>
          <w:tab w:val="left" w:pos="709"/>
        </w:tabs>
        <w:spacing w:before="240" w:line="360" w:lineRule="auto"/>
        <w:ind w:right="51"/>
        <w:jc w:val="both"/>
        <w:rPr>
          <w:rFonts w:ascii="Palatino Linotype" w:hAnsi="Palatino Linotype"/>
          <w:b/>
          <w:sz w:val="28"/>
          <w:szCs w:val="28"/>
        </w:rPr>
      </w:pPr>
      <w:r>
        <w:rPr>
          <w:rFonts w:ascii="Palatino Linotype" w:hAnsi="Palatino Linotype"/>
          <w:b/>
          <w:sz w:val="28"/>
          <w:szCs w:val="28"/>
        </w:rPr>
        <w:t>TERCERO</w:t>
      </w:r>
      <w:r w:rsidR="001C447D" w:rsidRPr="007D15EF">
        <w:rPr>
          <w:rFonts w:ascii="Palatino Linotype" w:hAnsi="Palatino Linotype"/>
          <w:b/>
          <w:sz w:val="28"/>
          <w:szCs w:val="28"/>
        </w:rPr>
        <w:t xml:space="preserve">. </w:t>
      </w:r>
      <w:r w:rsidR="001C447D" w:rsidRPr="009510B5">
        <w:rPr>
          <w:rFonts w:ascii="Palatino Linotype" w:hAnsi="Palatino Linotype" w:cs="Arial"/>
          <w:b/>
          <w:sz w:val="28"/>
          <w:szCs w:val="28"/>
        </w:rPr>
        <w:t>Del estudio de las causas de improcedencia y sobreseimiento</w:t>
      </w:r>
    </w:p>
    <w:p w14:paraId="3BCC638F" w14:textId="77777777" w:rsidR="001C447D" w:rsidRDefault="001C447D" w:rsidP="001C447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Es menester resaltar que en el procedimiento de acceso a la información pública y de los medios de impugnación de la materia, se advierten diversos supuestos de </w:t>
      </w:r>
      <w:proofErr w:type="spellStart"/>
      <w:r>
        <w:rPr>
          <w:rFonts w:ascii="Palatino Linotype" w:hAnsi="Palatino Linotype" w:cs="Arial"/>
        </w:rPr>
        <w:t>procedibilidad</w:t>
      </w:r>
      <w:proofErr w:type="spellEnd"/>
      <w:r>
        <w:rPr>
          <w:rFonts w:ascii="Palatino Linotype" w:hAnsi="Palatino Linotype" w:cs="Arial"/>
        </w:rPr>
        <w:t xml:space="preserve"> que deben estudiarse con la finalidad de dar cumplimiento a los principios de legalidad y objetividad inmersos en el artículo 9 de </w:t>
      </w:r>
      <w:r w:rsidRPr="00025A37">
        <w:rPr>
          <w:rFonts w:ascii="Palatino Linotype" w:hAnsi="Palatino Linotype" w:cs="Arial"/>
        </w:rPr>
        <w:t xml:space="preserve">Ley de Transparencia </w:t>
      </w:r>
      <w:r w:rsidRPr="00025A37">
        <w:rPr>
          <w:rFonts w:ascii="Palatino Linotype" w:hAnsi="Palatino Linotype" w:cs="Arial"/>
        </w:rPr>
        <w:lastRenderedPageBreak/>
        <w:t>y Acceso a la Información Pública del Estado de México y Municipios</w:t>
      </w:r>
      <w:r>
        <w:rPr>
          <w:rFonts w:ascii="Palatino Linotype" w:hAnsi="Palatino Linotype" w:cs="Arial"/>
        </w:rPr>
        <w:t>, en correlación con la seguridad jurídica que debe generar lo actuado ante este Organismo garante.</w:t>
      </w:r>
    </w:p>
    <w:p w14:paraId="2B144156" w14:textId="77777777" w:rsidR="001C447D" w:rsidRDefault="001C447D" w:rsidP="001C447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Siendo una facultad legal entrar al estudio de las causas de improcedencia que hagan valer las partes o que se adviertan de oficio por este </w:t>
      </w:r>
      <w:proofErr w:type="spellStart"/>
      <w:r>
        <w:rPr>
          <w:rFonts w:ascii="Palatino Linotype" w:hAnsi="Palatino Linotype" w:cs="Arial"/>
        </w:rPr>
        <w:t>Resolutor</w:t>
      </w:r>
      <w:proofErr w:type="spellEnd"/>
      <w:r>
        <w:rPr>
          <w:rFonts w:ascii="Palatino Linotype" w:hAnsi="Palatino Linotype" w:cs="Arial"/>
        </w:rPr>
        <w:t xml:space="preserve">; presupuestos procesales de inicio o trámite de un proceso que dotan de seguridad jurídica la resolución emitida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w:t>
      </w:r>
      <w:r w:rsidRPr="00FC0BF5">
        <w:rPr>
          <w:rFonts w:ascii="Palatino Linotype" w:hAnsi="Palatino Linotype" w:cs="Arial"/>
        </w:rPr>
        <w:t>Estudio de causales de</w:t>
      </w:r>
      <w:r>
        <w:rPr>
          <w:rFonts w:ascii="Palatino Linotype" w:hAnsi="Palatino Linotype" w:cs="Arial"/>
        </w:rPr>
        <w:t xml:space="preserve"> improcedencia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431B58A8" w14:textId="77777777" w:rsidR="001C447D" w:rsidRDefault="001C447D" w:rsidP="001C447D">
      <w:pPr>
        <w:autoSpaceDE w:val="0"/>
        <w:autoSpaceDN w:val="0"/>
        <w:adjustRightInd w:val="0"/>
        <w:spacing w:line="360" w:lineRule="auto"/>
        <w:jc w:val="both"/>
        <w:rPr>
          <w:rFonts w:ascii="Palatino Linotype" w:hAnsi="Palatino Linotype" w:cs="Arial"/>
          <w:sz w:val="24"/>
          <w:szCs w:val="24"/>
        </w:rPr>
      </w:pPr>
      <w:r w:rsidRPr="00552846">
        <w:rPr>
          <w:rFonts w:ascii="Palatino Linotype" w:hAnsi="Palatino Linotype" w:cs="Arial"/>
          <w:sz w:val="24"/>
          <w:szCs w:val="24"/>
        </w:rPr>
        <w:t>En primer término es necesario hacer alusión a la solicitud de información ya q</w:t>
      </w:r>
      <w:r>
        <w:rPr>
          <w:rFonts w:ascii="Palatino Linotype" w:hAnsi="Palatino Linotype" w:cs="Arial"/>
          <w:sz w:val="24"/>
          <w:szCs w:val="24"/>
        </w:rPr>
        <w:t>ue de ella deriva por un lado e</w:t>
      </w:r>
      <w:r w:rsidRPr="00552846">
        <w:rPr>
          <w:rFonts w:ascii="Palatino Linotype" w:hAnsi="Palatino Linotype" w:cs="Arial"/>
          <w:sz w:val="24"/>
          <w:szCs w:val="24"/>
        </w:rPr>
        <w:t xml:space="preserve">l procedimiento de acceso a la información ante </w:t>
      </w:r>
      <w:r w:rsidRPr="00FE69D7">
        <w:rPr>
          <w:rFonts w:ascii="Palatino Linotype" w:hAnsi="Palatino Linotype" w:cs="Arial"/>
          <w:b/>
          <w:sz w:val="24"/>
          <w:szCs w:val="24"/>
        </w:rPr>
        <w:t>El Sujeto Obligado</w:t>
      </w:r>
      <w:r w:rsidRPr="00552846">
        <w:rPr>
          <w:rFonts w:ascii="Palatino Linotype" w:hAnsi="Palatino Linotype" w:cs="Arial"/>
          <w:sz w:val="24"/>
          <w:szCs w:val="24"/>
        </w:rPr>
        <w:t>, y por otro lado la materia sobre la que versara el recurso de</w:t>
      </w:r>
      <w:r>
        <w:rPr>
          <w:rFonts w:ascii="Palatino Linotype" w:hAnsi="Palatino Linotype" w:cs="Arial"/>
          <w:sz w:val="24"/>
          <w:szCs w:val="24"/>
        </w:rPr>
        <w:t xml:space="preserve"> </w:t>
      </w:r>
      <w:r w:rsidRPr="00552846">
        <w:rPr>
          <w:rFonts w:ascii="Palatino Linotype" w:hAnsi="Palatino Linotype" w:cs="Arial"/>
          <w:sz w:val="24"/>
          <w:szCs w:val="24"/>
        </w:rPr>
        <w:t xml:space="preserve">revisión ante </w:t>
      </w:r>
      <w:r w:rsidRPr="00552846">
        <w:rPr>
          <w:rFonts w:ascii="Palatino Linotype" w:hAnsi="Palatino Linotype" w:cs="Arial"/>
          <w:sz w:val="24"/>
          <w:szCs w:val="24"/>
        </w:rPr>
        <w:lastRenderedPageBreak/>
        <w:t>este Órgano Garante; se resalta la innegable necesidad de</w:t>
      </w:r>
      <w:r>
        <w:rPr>
          <w:rFonts w:ascii="Palatino Linotype" w:hAnsi="Palatino Linotype" w:cs="Arial"/>
          <w:sz w:val="24"/>
          <w:szCs w:val="24"/>
        </w:rPr>
        <w:t xml:space="preserve"> </w:t>
      </w:r>
      <w:r w:rsidRPr="00552846">
        <w:rPr>
          <w:rFonts w:ascii="Palatino Linotype" w:hAnsi="Palatino Linotype" w:cs="Arial"/>
          <w:sz w:val="24"/>
          <w:szCs w:val="24"/>
        </w:rPr>
        <w:t>interpretar el texto de las solicitud, porque no se podría entender el derecho de</w:t>
      </w:r>
      <w:r>
        <w:rPr>
          <w:rFonts w:ascii="Palatino Linotype" w:hAnsi="Palatino Linotype" w:cs="Arial"/>
          <w:sz w:val="24"/>
          <w:szCs w:val="24"/>
        </w:rPr>
        <w:t xml:space="preserve"> </w:t>
      </w:r>
      <w:r w:rsidRPr="00552846">
        <w:rPr>
          <w:rFonts w:ascii="Palatino Linotype" w:hAnsi="Palatino Linotype" w:cs="Arial"/>
          <w:sz w:val="24"/>
          <w:szCs w:val="24"/>
        </w:rPr>
        <w:t>acceso a la información sin la existencia de solicitudes de información a la luz de</w:t>
      </w:r>
      <w:r>
        <w:rPr>
          <w:rFonts w:ascii="Palatino Linotype" w:hAnsi="Palatino Linotype" w:cs="Arial"/>
          <w:sz w:val="24"/>
          <w:szCs w:val="24"/>
        </w:rPr>
        <w:t xml:space="preserve"> </w:t>
      </w:r>
      <w:r w:rsidRPr="00552846">
        <w:rPr>
          <w:rFonts w:ascii="Palatino Linotype" w:hAnsi="Palatino Linotype" w:cs="Arial"/>
          <w:sz w:val="24"/>
          <w:szCs w:val="24"/>
        </w:rPr>
        <w:t>su interpretación ya que ésta es la fuente de la materia objeto de la transparencia</w:t>
      </w:r>
      <w:r>
        <w:rPr>
          <w:rFonts w:ascii="Palatino Linotype" w:hAnsi="Palatino Linotype" w:cs="Arial"/>
          <w:sz w:val="24"/>
          <w:szCs w:val="24"/>
        </w:rPr>
        <w:t xml:space="preserve"> </w:t>
      </w:r>
      <w:r w:rsidRPr="00552846">
        <w:rPr>
          <w:rFonts w:ascii="Palatino Linotype" w:hAnsi="Palatino Linotype" w:cs="Arial"/>
          <w:sz w:val="24"/>
          <w:szCs w:val="24"/>
        </w:rPr>
        <w:t>específica en cada recurso de revisión; es decir, no podemos establecer una</w:t>
      </w:r>
      <w:r>
        <w:rPr>
          <w:rFonts w:ascii="Palatino Linotype" w:hAnsi="Palatino Linotype" w:cs="Arial"/>
          <w:sz w:val="24"/>
          <w:szCs w:val="24"/>
        </w:rPr>
        <w:t xml:space="preserve"> </w:t>
      </w:r>
      <w:r w:rsidRPr="00552846">
        <w:rPr>
          <w:rFonts w:ascii="Palatino Linotype" w:hAnsi="Palatino Linotype" w:cs="Arial"/>
          <w:sz w:val="24"/>
          <w:szCs w:val="24"/>
        </w:rPr>
        <w:t>materia o un tema como objeto de derecho de acceso a la información, si de la</w:t>
      </w:r>
      <w:r>
        <w:rPr>
          <w:rFonts w:ascii="Palatino Linotype" w:hAnsi="Palatino Linotype" w:cs="Arial"/>
          <w:sz w:val="24"/>
          <w:szCs w:val="24"/>
        </w:rPr>
        <w:t xml:space="preserve"> </w:t>
      </w:r>
      <w:r w:rsidRPr="00552846">
        <w:rPr>
          <w:rFonts w:ascii="Palatino Linotype" w:hAnsi="Palatino Linotype" w:cs="Arial"/>
          <w:sz w:val="24"/>
          <w:szCs w:val="24"/>
        </w:rPr>
        <w:t>solicitud no se entiende o no se precisan temas o materias objetivas; por ello es</w:t>
      </w:r>
      <w:r>
        <w:rPr>
          <w:rFonts w:ascii="Palatino Linotype" w:hAnsi="Palatino Linotype" w:cs="Arial"/>
          <w:sz w:val="24"/>
          <w:szCs w:val="24"/>
        </w:rPr>
        <w:t xml:space="preserve"> </w:t>
      </w:r>
      <w:r w:rsidRPr="00552846">
        <w:rPr>
          <w:rFonts w:ascii="Palatino Linotype" w:hAnsi="Palatino Linotype" w:cs="Arial"/>
          <w:sz w:val="24"/>
          <w:szCs w:val="24"/>
        </w:rPr>
        <w:t>de notoria importancia el trabajo de interpretación que se le dé a las solicitudes de</w:t>
      </w:r>
      <w:r>
        <w:rPr>
          <w:rFonts w:ascii="Palatino Linotype" w:hAnsi="Palatino Linotype" w:cs="Arial"/>
          <w:sz w:val="24"/>
          <w:szCs w:val="24"/>
        </w:rPr>
        <w:t xml:space="preserve"> </w:t>
      </w:r>
      <w:r w:rsidRPr="00552846">
        <w:rPr>
          <w:rFonts w:ascii="Palatino Linotype" w:hAnsi="Palatino Linotype" w:cs="Arial"/>
          <w:sz w:val="24"/>
          <w:szCs w:val="24"/>
        </w:rPr>
        <w:t>información, ya que el sujeto obligado puede considerar una circunstancia en</w:t>
      </w:r>
      <w:r>
        <w:rPr>
          <w:rFonts w:ascii="Palatino Linotype" w:hAnsi="Palatino Linotype" w:cs="Arial"/>
          <w:sz w:val="24"/>
          <w:szCs w:val="24"/>
        </w:rPr>
        <w:t xml:space="preserve"> </w:t>
      </w:r>
      <w:r w:rsidRPr="00552846">
        <w:rPr>
          <w:rFonts w:ascii="Palatino Linotype" w:hAnsi="Palatino Linotype" w:cs="Arial"/>
          <w:sz w:val="24"/>
          <w:szCs w:val="24"/>
        </w:rPr>
        <w:t>particular diversa a la que el particular objetivamente requiere.</w:t>
      </w:r>
    </w:p>
    <w:p w14:paraId="0B250BC3" w14:textId="183F1594" w:rsidR="001C447D" w:rsidRDefault="001C447D" w:rsidP="001C447D">
      <w:pPr>
        <w:autoSpaceDE w:val="0"/>
        <w:autoSpaceDN w:val="0"/>
        <w:adjustRightInd w:val="0"/>
        <w:spacing w:line="360" w:lineRule="auto"/>
        <w:jc w:val="both"/>
        <w:rPr>
          <w:rFonts w:ascii="Palatino Linotype" w:hAnsi="Palatino Linotype" w:cs="Arial"/>
          <w:sz w:val="24"/>
          <w:szCs w:val="24"/>
        </w:rPr>
      </w:pPr>
      <w:r w:rsidRPr="004B3753">
        <w:rPr>
          <w:rFonts w:ascii="Palatino Linotype" w:hAnsi="Palatino Linotype" w:cs="Arial"/>
          <w:sz w:val="24"/>
          <w:szCs w:val="24"/>
        </w:rPr>
        <w:t xml:space="preserve">Ya que el planteamiento del problema es de toral importancia, a efecto de determinar la intención o voluntad </w:t>
      </w:r>
      <w:r>
        <w:rPr>
          <w:rFonts w:ascii="Palatino Linotype" w:hAnsi="Palatino Linotype" w:cs="Arial"/>
          <w:sz w:val="24"/>
          <w:szCs w:val="24"/>
        </w:rPr>
        <w:t>de</w:t>
      </w:r>
      <w:r w:rsidR="001D5AC2">
        <w:rPr>
          <w:rFonts w:ascii="Palatino Linotype" w:hAnsi="Palatino Linotype" w:cs="Arial"/>
          <w:sz w:val="24"/>
          <w:szCs w:val="24"/>
        </w:rPr>
        <w:t xml:space="preserve"> </w:t>
      </w:r>
      <w:r w:rsidR="001D5AC2">
        <w:rPr>
          <w:rFonts w:ascii="Palatino Linotype" w:hAnsi="Palatino Linotype" w:cs="Arial"/>
          <w:b/>
          <w:bCs/>
          <w:sz w:val="24"/>
          <w:szCs w:val="24"/>
        </w:rPr>
        <w:t>La</w:t>
      </w:r>
      <w:r>
        <w:rPr>
          <w:rFonts w:ascii="Palatino Linotype" w:hAnsi="Palatino Linotype" w:cs="Arial"/>
          <w:b/>
          <w:sz w:val="24"/>
          <w:szCs w:val="24"/>
        </w:rPr>
        <w:t xml:space="preserve"> </w:t>
      </w:r>
      <w:r w:rsidRPr="004B3753">
        <w:rPr>
          <w:rFonts w:ascii="Palatino Linotype" w:hAnsi="Palatino Linotype" w:cs="Arial"/>
          <w:b/>
          <w:sz w:val="24"/>
          <w:szCs w:val="24"/>
        </w:rPr>
        <w:t>Recurrente</w:t>
      </w:r>
      <w:r w:rsidRPr="004B3753">
        <w:rPr>
          <w:rFonts w:ascii="Palatino Linotype" w:hAnsi="Palatino Linotype" w:cs="Arial"/>
          <w:sz w:val="24"/>
          <w:szCs w:val="24"/>
        </w:rPr>
        <w:t xml:space="preserve"> a la</w:t>
      </w:r>
      <w:r>
        <w:rPr>
          <w:rFonts w:ascii="Palatino Linotype" w:hAnsi="Palatino Linotype" w:cs="Arial"/>
          <w:sz w:val="24"/>
          <w:szCs w:val="24"/>
        </w:rPr>
        <w:t xml:space="preserve"> luz de la interpretación de la solicitud</w:t>
      </w:r>
      <w:r w:rsidRPr="004B3753">
        <w:rPr>
          <w:rFonts w:ascii="Palatino Linotype" w:hAnsi="Palatino Linotype" w:cs="Arial"/>
          <w:sz w:val="24"/>
          <w:szCs w:val="24"/>
        </w:rPr>
        <w:t xml:space="preserve"> de información, y que puede genera</w:t>
      </w:r>
      <w:r>
        <w:rPr>
          <w:rFonts w:ascii="Palatino Linotype" w:hAnsi="Palatino Linotype" w:cs="Arial"/>
          <w:sz w:val="24"/>
          <w:szCs w:val="24"/>
        </w:rPr>
        <w:t xml:space="preserve">r de forma objetiva y material </w:t>
      </w:r>
      <w:r w:rsidRPr="009A18AC">
        <w:rPr>
          <w:rFonts w:ascii="Palatino Linotype" w:hAnsi="Palatino Linotype" w:cs="Arial"/>
          <w:b/>
          <w:sz w:val="24"/>
          <w:szCs w:val="24"/>
        </w:rPr>
        <w:t>El Sujeto Obligado</w:t>
      </w:r>
      <w:r w:rsidRPr="004B3753">
        <w:rPr>
          <w:rFonts w:ascii="Palatino Linotype" w:hAnsi="Palatino Linotype" w:cs="Arial"/>
          <w:sz w:val="24"/>
          <w:szCs w:val="24"/>
        </w:rPr>
        <w:t xml:space="preserve"> que se relacione con esa intención, respecto del presente asunto se realiza a continuación.</w:t>
      </w:r>
    </w:p>
    <w:p w14:paraId="2B094083" w14:textId="1D714D6F" w:rsidR="007773E6" w:rsidRDefault="008028E9" w:rsidP="00E04DB7">
      <w:pPr>
        <w:autoSpaceDE w:val="0"/>
        <w:autoSpaceDN w:val="0"/>
        <w:adjustRightInd w:val="0"/>
        <w:spacing w:before="240" w:line="360" w:lineRule="auto"/>
        <w:jc w:val="both"/>
        <w:rPr>
          <w:rFonts w:ascii="Palatino Linotype" w:hAnsi="Palatino Linotype" w:cs="Arial"/>
          <w:sz w:val="24"/>
          <w:szCs w:val="24"/>
        </w:rPr>
      </w:pPr>
      <w:r w:rsidRPr="008028E9">
        <w:rPr>
          <w:rFonts w:ascii="Palatino Linotype" w:hAnsi="Palatino Linotype" w:cs="Arial"/>
          <w:sz w:val="24"/>
          <w:szCs w:val="24"/>
        </w:rPr>
        <w:t>En una aproximación inicial</w:t>
      </w:r>
      <w:r>
        <w:rPr>
          <w:rFonts w:ascii="Palatino Linotype" w:hAnsi="Palatino Linotype" w:cs="Arial"/>
          <w:sz w:val="24"/>
          <w:szCs w:val="24"/>
        </w:rPr>
        <w:t xml:space="preserve">, con relación </w:t>
      </w:r>
      <w:r w:rsidR="007773E6">
        <w:rPr>
          <w:rFonts w:ascii="Palatino Linotype" w:hAnsi="Palatino Linotype" w:cs="Arial"/>
          <w:sz w:val="24"/>
          <w:szCs w:val="24"/>
        </w:rPr>
        <w:t xml:space="preserve">a la solicitud de información </w:t>
      </w:r>
      <w:r w:rsidR="00501CBE">
        <w:rPr>
          <w:rFonts w:ascii="Palatino Linotype" w:hAnsi="Palatino Linotype" w:cs="Arial"/>
          <w:b/>
          <w:bCs/>
          <w:sz w:val="24"/>
          <w:szCs w:val="24"/>
        </w:rPr>
        <w:t>00249/COACALCO/IP/2023</w:t>
      </w:r>
      <w:r w:rsidR="007773E6">
        <w:rPr>
          <w:rFonts w:ascii="Palatino Linotype" w:hAnsi="Palatino Linotype" w:cs="Arial"/>
          <w:b/>
          <w:bCs/>
          <w:sz w:val="24"/>
          <w:szCs w:val="24"/>
        </w:rPr>
        <w:t xml:space="preserve"> </w:t>
      </w:r>
      <w:r w:rsidR="007773E6">
        <w:rPr>
          <w:rFonts w:ascii="Palatino Linotype" w:hAnsi="Palatino Linotype" w:cs="Arial"/>
          <w:sz w:val="24"/>
          <w:szCs w:val="24"/>
        </w:rPr>
        <w:t>se desprenden las siguientes consideraciones:</w:t>
      </w:r>
    </w:p>
    <w:p w14:paraId="5EB61A55" w14:textId="77777777" w:rsidR="00133A1D" w:rsidRPr="00C24EA8" w:rsidRDefault="00133A1D" w:rsidP="002D733B">
      <w:pPr>
        <w:pStyle w:val="Prrafodelista"/>
        <w:numPr>
          <w:ilvl w:val="0"/>
          <w:numId w:val="6"/>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Que el derecho de acceso a la información pública estriba en la prerrogativa de carácter constitucional que reconoce la potestad de los ciudadanos para solicitar soportes documentales generados, poseídos o administrados por los </w:t>
      </w:r>
      <w:r>
        <w:rPr>
          <w:rFonts w:ascii="Palatino Linotype" w:hAnsi="Palatino Linotype" w:cs="Arial"/>
          <w:b/>
          <w:bCs/>
        </w:rPr>
        <w:t xml:space="preserve">Sujetos Obligados. </w:t>
      </w:r>
    </w:p>
    <w:p w14:paraId="3AD14F06" w14:textId="7EB6AA5E" w:rsidR="00C24EA8" w:rsidRPr="00C24EA8" w:rsidRDefault="00133A1D" w:rsidP="002D733B">
      <w:pPr>
        <w:pStyle w:val="Prrafodelista"/>
        <w:numPr>
          <w:ilvl w:val="0"/>
          <w:numId w:val="3"/>
        </w:numPr>
        <w:autoSpaceDE w:val="0"/>
        <w:autoSpaceDN w:val="0"/>
        <w:adjustRightInd w:val="0"/>
        <w:spacing w:before="240" w:after="240" w:line="360" w:lineRule="auto"/>
        <w:contextualSpacing/>
        <w:jc w:val="both"/>
        <w:rPr>
          <w:rFonts w:ascii="Palatino Linotype" w:hAnsi="Palatino Linotype"/>
        </w:rPr>
      </w:pPr>
      <w:r w:rsidRPr="00EA7963">
        <w:rPr>
          <w:rFonts w:ascii="Palatino Linotype" w:hAnsi="Palatino Linotype" w:cs="Arial"/>
        </w:rPr>
        <w:t xml:space="preserve">Que </w:t>
      </w:r>
      <w:r w:rsidR="00D1517B" w:rsidRPr="00EA7963">
        <w:rPr>
          <w:rFonts w:ascii="Palatino Linotype" w:hAnsi="Palatino Linotype" w:cs="Arial"/>
        </w:rPr>
        <w:t xml:space="preserve">con relación a </w:t>
      </w:r>
      <w:r w:rsidR="00D1517B" w:rsidRPr="00EA7963">
        <w:rPr>
          <w:rFonts w:ascii="Palatino Linotype" w:hAnsi="Palatino Linotype" w:cs="Arial"/>
          <w:i/>
          <w:iCs/>
        </w:rPr>
        <w:t>“</w:t>
      </w:r>
      <w:r w:rsidR="0094262E" w:rsidRPr="00EA7963">
        <w:rPr>
          <w:rFonts w:ascii="Palatino Linotype" w:hAnsi="Palatino Linotype"/>
          <w:i/>
          <w:iCs/>
          <w:color w:val="000000"/>
        </w:rPr>
        <w:t xml:space="preserve">derivado de que aparece su nombre, mas no su firma en el acta con folio: ACT/TRANSCOA/ORD/16/2023 de fecha 2 de agosto. En caso de que la </w:t>
      </w:r>
      <w:r w:rsidR="0094262E" w:rsidRPr="00EA7963">
        <w:rPr>
          <w:rFonts w:ascii="Palatino Linotype" w:hAnsi="Palatino Linotype"/>
          <w:i/>
          <w:iCs/>
          <w:color w:val="000000"/>
        </w:rPr>
        <w:lastRenderedPageBreak/>
        <w:t xml:space="preserve">información solicitada ya </w:t>
      </w:r>
      <w:proofErr w:type="spellStart"/>
      <w:r w:rsidR="0094262E" w:rsidRPr="00EA7963">
        <w:rPr>
          <w:rFonts w:ascii="Palatino Linotype" w:hAnsi="Palatino Linotype"/>
          <w:i/>
          <w:iCs/>
          <w:color w:val="000000"/>
        </w:rPr>
        <w:t>este</w:t>
      </w:r>
      <w:proofErr w:type="spellEnd"/>
      <w:r w:rsidR="0094262E" w:rsidRPr="00EA7963">
        <w:rPr>
          <w:rFonts w:ascii="Palatino Linotype" w:hAnsi="Palatino Linotype"/>
          <w:i/>
          <w:iCs/>
          <w:color w:val="000000"/>
        </w:rPr>
        <w:t xml:space="preserve"> disponible en un medio electrónico en internet, favor de no entorpecer el derecho al acceso a la información con su absurda técnica de dilatar el proceso con prorrogas y excediendo los términos que marca la ley”</w:t>
      </w:r>
      <w:r w:rsidR="00EA7963" w:rsidRPr="00EA7963">
        <w:rPr>
          <w:rFonts w:ascii="Palatino Linotype" w:hAnsi="Palatino Linotype"/>
          <w:color w:val="000000"/>
        </w:rPr>
        <w:t xml:space="preserve"> </w:t>
      </w:r>
      <w:r w:rsidR="00C24EA8" w:rsidRPr="00EA7963">
        <w:rPr>
          <w:rFonts w:ascii="Palatino Linotype" w:hAnsi="Palatino Linotype"/>
          <w:color w:val="000000"/>
        </w:rPr>
        <w:t xml:space="preserve">se destaca que el </w:t>
      </w:r>
      <w:r w:rsidR="00C24EA8" w:rsidRPr="00EA7963">
        <w:rPr>
          <w:rFonts w:ascii="Palatino Linotype" w:hAnsi="Palatino Linotype"/>
          <w:lang w:eastAsia="es-MX"/>
        </w:rPr>
        <w:t>derecho a la información constituye una prerrogativa a acceder a documentación en poder de los Sujetos Obligados, no así a realizar cuestionamientos, o manifestaciones subjetivas</w:t>
      </w:r>
    </w:p>
    <w:p w14:paraId="1CACE13A" w14:textId="77777777" w:rsidR="00C24EA8" w:rsidRPr="00C24EA8" w:rsidRDefault="00C24EA8" w:rsidP="00C24EA8">
      <w:pPr>
        <w:pStyle w:val="Prrafodelista"/>
        <w:autoSpaceDE w:val="0"/>
        <w:autoSpaceDN w:val="0"/>
        <w:adjustRightInd w:val="0"/>
        <w:spacing w:before="240" w:after="240" w:line="360" w:lineRule="auto"/>
        <w:ind w:left="720"/>
        <w:contextualSpacing/>
        <w:jc w:val="both"/>
        <w:rPr>
          <w:rFonts w:ascii="Palatino Linotype" w:hAnsi="Palatino Linotype"/>
        </w:rPr>
      </w:pPr>
    </w:p>
    <w:p w14:paraId="251E1C10" w14:textId="7D68424D" w:rsidR="00C24EA8" w:rsidRDefault="00EA7963" w:rsidP="002D733B">
      <w:pPr>
        <w:pStyle w:val="Prrafodelista"/>
        <w:numPr>
          <w:ilvl w:val="0"/>
          <w:numId w:val="3"/>
        </w:numPr>
        <w:autoSpaceDE w:val="0"/>
        <w:autoSpaceDN w:val="0"/>
        <w:adjustRightInd w:val="0"/>
        <w:spacing w:before="240" w:after="240" w:line="360" w:lineRule="auto"/>
        <w:contextualSpacing/>
        <w:jc w:val="both"/>
        <w:rPr>
          <w:rFonts w:ascii="Palatino Linotype" w:hAnsi="Palatino Linotype"/>
        </w:rPr>
      </w:pPr>
      <w:r>
        <w:rPr>
          <w:rFonts w:ascii="Palatino Linotype" w:hAnsi="Palatino Linotype"/>
        </w:rPr>
        <w:t xml:space="preserve">Que fueron formulados </w:t>
      </w:r>
      <w:r>
        <w:rPr>
          <w:rFonts w:ascii="Palatino Linotype" w:hAnsi="Palatino Linotype"/>
          <w:b/>
          <w:bCs/>
        </w:rPr>
        <w:t xml:space="preserve">3 -tres- </w:t>
      </w:r>
      <w:r>
        <w:rPr>
          <w:rFonts w:ascii="Palatino Linotype" w:hAnsi="Palatino Linotype"/>
        </w:rPr>
        <w:t xml:space="preserve">requerimientos respecto de los cuales no fue delimitada temporalidad, debiendo de ser fijada a la fecha en que se ejerció el derecho de acceso a la información pública, es decir, al siete de agosto de dos mil veintitrés. </w:t>
      </w:r>
    </w:p>
    <w:p w14:paraId="3AADDF26" w14:textId="77777777" w:rsidR="00EA7963" w:rsidRPr="00EA7963" w:rsidRDefault="00EA7963" w:rsidP="00EA7963">
      <w:pPr>
        <w:pStyle w:val="Prrafodelista"/>
        <w:rPr>
          <w:rFonts w:ascii="Palatino Linotype" w:hAnsi="Palatino Linotype"/>
        </w:rPr>
      </w:pPr>
    </w:p>
    <w:p w14:paraId="600CCFB5" w14:textId="77777777" w:rsidR="00EA7963" w:rsidRPr="003D5CFF" w:rsidRDefault="00EA7963" w:rsidP="002D733B">
      <w:pPr>
        <w:pStyle w:val="Prrafodelista"/>
        <w:numPr>
          <w:ilvl w:val="0"/>
          <w:numId w:val="3"/>
        </w:numPr>
        <w:autoSpaceDE w:val="0"/>
        <w:autoSpaceDN w:val="0"/>
        <w:adjustRightInd w:val="0"/>
        <w:spacing w:before="240" w:line="360" w:lineRule="auto"/>
        <w:jc w:val="both"/>
        <w:rPr>
          <w:rFonts w:ascii="Palatino Linotype" w:hAnsi="Palatino Linotype"/>
        </w:rPr>
      </w:pPr>
      <w:r>
        <w:rPr>
          <w:rFonts w:ascii="Palatino Linotype" w:hAnsi="Palatino Linotype"/>
        </w:rPr>
        <w:t xml:space="preserve">Que en referencia al primer y tercer requerimientos se destaca que cuando los particulares no identifican de forma precisa el documento requerido bastará con que </w:t>
      </w:r>
      <w:r w:rsidRPr="003D5CFF">
        <w:rPr>
          <w:rFonts w:ascii="Palatino Linotype" w:hAnsi="Palatino Linotype"/>
        </w:rPr>
        <w:t xml:space="preserve">se remita cualquiera que refleje la información requerida. Al respecto cobra relevancia el criterio emitido por el Órgano Garante Nacional con número </w:t>
      </w:r>
      <w:r w:rsidRPr="003D5CFF">
        <w:rPr>
          <w:rFonts w:ascii="Palatino Linotype" w:hAnsi="Palatino Linotype"/>
          <w:b/>
          <w:bCs/>
        </w:rPr>
        <w:t xml:space="preserve">16/17 </w:t>
      </w:r>
      <w:r w:rsidRPr="003D5CFF">
        <w:rPr>
          <w:rFonts w:ascii="Palatino Linotype" w:hAnsi="Palatino Linotype"/>
        </w:rPr>
        <w:t>cuyo rubro y texto disponen a la literalidad lo siguiente:</w:t>
      </w:r>
    </w:p>
    <w:p w14:paraId="668931B0" w14:textId="77777777" w:rsidR="00EA7963" w:rsidRPr="00AB5B4A" w:rsidRDefault="00EA7963" w:rsidP="00EA7963">
      <w:pPr>
        <w:pStyle w:val="Citas"/>
        <w:jc w:val="center"/>
        <w:rPr>
          <w:b/>
          <w:bCs/>
          <w:sz w:val="24"/>
          <w:szCs w:val="24"/>
        </w:rPr>
      </w:pPr>
      <w:r w:rsidRPr="00AB5B4A">
        <w:rPr>
          <w:b/>
          <w:bCs/>
          <w:sz w:val="24"/>
          <w:szCs w:val="24"/>
        </w:rPr>
        <w:t>“EXPRESIÓN DOCUMENTAL.</w:t>
      </w:r>
    </w:p>
    <w:p w14:paraId="38440C19" w14:textId="77777777" w:rsidR="00EA7963" w:rsidRPr="00AB5B4A" w:rsidRDefault="00EA7963" w:rsidP="00EA7963">
      <w:pPr>
        <w:pStyle w:val="Citas"/>
        <w:rPr>
          <w:szCs w:val="24"/>
        </w:rPr>
      </w:pPr>
      <w:r w:rsidRPr="00AB5B4A">
        <w:rPr>
          <w:bCs/>
          <w:szCs w:val="24"/>
        </w:rPr>
        <w:t>Cuando</w:t>
      </w:r>
      <w:r w:rsidRPr="00AB5B4A">
        <w:rPr>
          <w:lang w:val="es-ES"/>
        </w:rPr>
        <w:t xml:space="preserve"> los particulares presenten solicitudes de acceso a la información sin identificar de forma precisa la documentación que pudiera contener la información de su interés, </w:t>
      </w:r>
      <w:r w:rsidRPr="00AB5B4A">
        <w:rPr>
          <w:szCs w:val="24"/>
        </w:rPr>
        <w:t>o bien, la solicitud constituya una consulta,</w:t>
      </w:r>
      <w:r w:rsidRPr="00AB5B4A">
        <w:rPr>
          <w:lang w:val="es-ES"/>
        </w:rPr>
        <w:t xml:space="preserve"> pero la respuesta pudiera obrar en algún </w:t>
      </w:r>
      <w:proofErr w:type="spellStart"/>
      <w:r w:rsidRPr="00AB5B4A">
        <w:rPr>
          <w:lang w:val="es-ES"/>
        </w:rPr>
        <w:t>docum</w:t>
      </w:r>
      <w:proofErr w:type="spellEnd"/>
      <w:r>
        <w:rPr>
          <w:lang w:val="es-ES"/>
        </w:rPr>
        <w:tab/>
      </w:r>
      <w:proofErr w:type="spellStart"/>
      <w:r w:rsidRPr="00AB5B4A">
        <w:rPr>
          <w:lang w:val="es-ES"/>
        </w:rPr>
        <w:t>ento</w:t>
      </w:r>
      <w:proofErr w:type="spellEnd"/>
      <w:r w:rsidRPr="00AB5B4A">
        <w:rPr>
          <w:lang w:val="es-ES"/>
        </w:rPr>
        <w:t xml:space="preserve"> en poder de los sujetos obligados, éstos deben dar a dichas solicitudes una interpretación que les otorgue una expresión documental. </w:t>
      </w:r>
    </w:p>
    <w:p w14:paraId="2590E8C9" w14:textId="77777777" w:rsidR="00EA7963" w:rsidRPr="00AB5B4A" w:rsidRDefault="00EA7963" w:rsidP="00EA7963">
      <w:pPr>
        <w:pStyle w:val="Citas"/>
        <w:rPr>
          <w:b/>
        </w:rPr>
      </w:pPr>
      <w:r w:rsidRPr="00AB5B4A">
        <w:rPr>
          <w:b/>
        </w:rPr>
        <w:lastRenderedPageBreak/>
        <w:t>Precedentes:</w:t>
      </w:r>
    </w:p>
    <w:p w14:paraId="433F285B" w14:textId="77777777" w:rsidR="00EA7963" w:rsidRPr="00AB5B4A" w:rsidRDefault="00EA7963" w:rsidP="002D733B">
      <w:pPr>
        <w:pStyle w:val="Citas"/>
        <w:numPr>
          <w:ilvl w:val="0"/>
          <w:numId w:val="4"/>
        </w:numPr>
        <w:rPr>
          <w:color w:val="000000"/>
        </w:rPr>
      </w:pPr>
      <w:r w:rsidRPr="00AB5B4A">
        <w:t xml:space="preserve">Acceso a la información pública. RRA 0774/16. Sesión del 31 de agosto de 2016. Votación por unanimidad. </w:t>
      </w:r>
      <w:r w:rsidRPr="00AB5B4A">
        <w:rPr>
          <w:rFonts w:eastAsia="Arial"/>
        </w:rPr>
        <w:t>Sin votos disidentes o particulares.</w:t>
      </w:r>
      <w:r w:rsidRPr="00AB5B4A">
        <w:t xml:space="preserve"> Secretaría de Salud. Comisionada Ponente María Patricia </w:t>
      </w:r>
      <w:proofErr w:type="spellStart"/>
      <w:r w:rsidRPr="00AB5B4A">
        <w:t>Kurczyn</w:t>
      </w:r>
      <w:proofErr w:type="spellEnd"/>
      <w:r w:rsidRPr="00AB5B4A">
        <w:t xml:space="preserve"> Villalobos.</w:t>
      </w:r>
    </w:p>
    <w:p w14:paraId="68FC13E2" w14:textId="77777777" w:rsidR="00EA7963" w:rsidRPr="00AB5B4A" w:rsidRDefault="00EA7963" w:rsidP="002D733B">
      <w:pPr>
        <w:pStyle w:val="Citas"/>
        <w:numPr>
          <w:ilvl w:val="0"/>
          <w:numId w:val="4"/>
        </w:numPr>
        <w:rPr>
          <w:color w:val="000000"/>
        </w:rPr>
      </w:pPr>
      <w:r w:rsidRPr="00AB5B4A">
        <w:t xml:space="preserve">Acceso a la información pública. RRA 0143/17. Sesión del 22 de febrero de 2017. Votación por unanimidad. </w:t>
      </w:r>
      <w:r w:rsidRPr="00AB5B4A">
        <w:rPr>
          <w:rFonts w:eastAsia="Arial"/>
        </w:rPr>
        <w:t>Sin votos disidentes o particulares.</w:t>
      </w:r>
      <w:r w:rsidRPr="00AB5B4A">
        <w:t xml:space="preserve"> Universidad Autónoma Agraria Antonio Narro. Comisionado Ponente Oscar Mauricio Guerra Ford. </w:t>
      </w:r>
    </w:p>
    <w:p w14:paraId="2993A35D" w14:textId="77777777" w:rsidR="00EA7963" w:rsidRPr="00AB5B4A" w:rsidRDefault="00EA7963" w:rsidP="002D733B">
      <w:pPr>
        <w:pStyle w:val="Citas"/>
        <w:numPr>
          <w:ilvl w:val="0"/>
          <w:numId w:val="4"/>
        </w:numPr>
        <w:rPr>
          <w:color w:val="000000"/>
        </w:rPr>
      </w:pPr>
      <w:r w:rsidRPr="00AB5B4A">
        <w:t xml:space="preserve">Acceso a la información pública. RRA 0540/17. Sesión del 08 de marzo del 2017. Votación por unanimidad. </w:t>
      </w:r>
      <w:r w:rsidRPr="00AB5B4A">
        <w:rPr>
          <w:rFonts w:eastAsia="Arial"/>
        </w:rPr>
        <w:t>Sin votos disidentes o particulares.</w:t>
      </w:r>
      <w:r w:rsidRPr="00AB5B4A">
        <w:t xml:space="preserve"> Secretaría de Economía. Comisionado Ponente Francisco Javier Acuña Llamas. </w:t>
      </w:r>
      <w:proofErr w:type="gramStart"/>
      <w:r w:rsidRPr="00AB5B4A">
        <w:t xml:space="preserve">“ </w:t>
      </w:r>
      <w:r w:rsidRPr="00AB5B4A">
        <w:rPr>
          <w:b/>
          <w:bCs/>
        </w:rPr>
        <w:t>(</w:t>
      </w:r>
      <w:proofErr w:type="gramEnd"/>
      <w:r w:rsidRPr="00AB5B4A">
        <w:rPr>
          <w:b/>
          <w:bCs/>
        </w:rPr>
        <w:t>Sic)</w:t>
      </w:r>
    </w:p>
    <w:p w14:paraId="1FEEED98" w14:textId="77777777" w:rsidR="00EA7963" w:rsidRDefault="00EA7963" w:rsidP="00EA7963">
      <w:pPr>
        <w:autoSpaceDE w:val="0"/>
        <w:autoSpaceDN w:val="0"/>
        <w:adjustRightInd w:val="0"/>
        <w:spacing w:line="360" w:lineRule="auto"/>
        <w:jc w:val="both"/>
        <w:rPr>
          <w:rFonts w:ascii="Palatino Linotype" w:hAnsi="Palatino Linotype" w:cs="Arial"/>
        </w:rPr>
      </w:pPr>
    </w:p>
    <w:p w14:paraId="2C1DACA6" w14:textId="77777777" w:rsidR="00EA7963" w:rsidRPr="0051062B" w:rsidRDefault="00EA7963" w:rsidP="00EA7963">
      <w:pPr>
        <w:spacing w:before="240" w:line="360" w:lineRule="auto"/>
        <w:jc w:val="both"/>
        <w:rPr>
          <w:rFonts w:ascii="Palatino Linotype" w:hAnsi="Palatino Linotype"/>
          <w:sz w:val="24"/>
          <w:szCs w:val="24"/>
        </w:rPr>
      </w:pPr>
      <w:r w:rsidRPr="00A44FBE">
        <w:rPr>
          <w:rFonts w:ascii="Palatino Linotype" w:hAnsi="Palatino Linotype"/>
          <w:sz w:val="24"/>
          <w:szCs w:val="24"/>
        </w:rPr>
        <w:t xml:space="preserve">Dichas precisiones, con fundamento </w:t>
      </w:r>
      <w:r w:rsidRPr="0051062B">
        <w:rPr>
          <w:rFonts w:ascii="Palatino Linotype" w:hAnsi="Palatino Linotype"/>
          <w:sz w:val="24"/>
          <w:szCs w:val="24"/>
        </w:rPr>
        <w:t xml:space="preserve">en los artículos 13 y 181 cuarto párrafo de la Ley en materia, los cuales a la letra rezan: </w:t>
      </w:r>
    </w:p>
    <w:p w14:paraId="09751A46" w14:textId="77777777" w:rsidR="00EA7963" w:rsidRPr="0051062B" w:rsidRDefault="00EA7963" w:rsidP="00EA7963">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6C7DAB38" w14:textId="77777777" w:rsidR="00EA7963" w:rsidRPr="0051062B" w:rsidRDefault="00EA7963" w:rsidP="00EA7963">
      <w:pPr>
        <w:pStyle w:val="Citas"/>
        <w:rPr>
          <w:b/>
        </w:rPr>
      </w:pPr>
      <w:r w:rsidRPr="0051062B">
        <w:rPr>
          <w:b/>
        </w:rPr>
        <w:t xml:space="preserve">Artículo 181. … </w:t>
      </w:r>
    </w:p>
    <w:p w14:paraId="2C1E8199" w14:textId="77777777" w:rsidR="00EA7963" w:rsidRDefault="00EA7963" w:rsidP="00EA7963">
      <w:pPr>
        <w:pStyle w:val="Citas"/>
        <w:rPr>
          <w:b/>
        </w:rPr>
      </w:pPr>
      <w:r w:rsidRPr="0051062B">
        <w:t xml:space="preserve">Durante el procedimiento deberá aplicarse la suplencia de la queja a favor del recurrente, sin cambiar los hechos expuestos, asegurándose de que las partes puedan </w:t>
      </w:r>
      <w:r w:rsidRPr="0051062B">
        <w:lastRenderedPageBreak/>
        <w:t xml:space="preserve">presentar, de manera oral o escrita, los argumentos que funden y motiven sus pretensiones.” </w:t>
      </w:r>
      <w:r w:rsidRPr="0051062B">
        <w:rPr>
          <w:b/>
        </w:rPr>
        <w:t>[Sic]</w:t>
      </w:r>
    </w:p>
    <w:p w14:paraId="3DEFFC46" w14:textId="295EA6F8" w:rsidR="00EA7963" w:rsidRDefault="00EA7963" w:rsidP="00EA7963">
      <w:pPr>
        <w:autoSpaceDE w:val="0"/>
        <w:autoSpaceDN w:val="0"/>
        <w:adjustRightInd w:val="0"/>
        <w:spacing w:before="240" w:after="240" w:line="360" w:lineRule="auto"/>
        <w:contextualSpacing/>
        <w:jc w:val="both"/>
        <w:rPr>
          <w:rFonts w:ascii="Palatino Linotype" w:hAnsi="Palatino Linotype"/>
        </w:rPr>
      </w:pPr>
    </w:p>
    <w:p w14:paraId="69BC517D" w14:textId="0DC04F42" w:rsidR="00EA7963" w:rsidRDefault="00EA7963" w:rsidP="00EA7963">
      <w:pPr>
        <w:spacing w:before="240" w:line="360" w:lineRule="auto"/>
        <w:jc w:val="both"/>
        <w:rPr>
          <w:rFonts w:ascii="Palatino Linotype" w:hAnsi="Palatino Linotype"/>
          <w:sz w:val="24"/>
          <w:szCs w:val="24"/>
        </w:rPr>
      </w:pPr>
      <w:r>
        <w:rPr>
          <w:rFonts w:ascii="Palatino Linotype" w:hAnsi="Palatino Linotype"/>
          <w:sz w:val="24"/>
          <w:szCs w:val="24"/>
        </w:rPr>
        <w:t xml:space="preserve">Bajo estas líneas argumentativas, al retomar y delimitar los requerimientos formulados por </w:t>
      </w:r>
      <w:r w:rsidR="001D5AC2">
        <w:rPr>
          <w:rFonts w:ascii="Palatino Linotype" w:hAnsi="Palatino Linotype"/>
          <w:sz w:val="24"/>
          <w:szCs w:val="24"/>
        </w:rPr>
        <w:t>la</w:t>
      </w:r>
      <w:r>
        <w:rPr>
          <w:rFonts w:ascii="Palatino Linotype" w:hAnsi="Palatino Linotype"/>
          <w:sz w:val="24"/>
          <w:szCs w:val="24"/>
        </w:rPr>
        <w:t xml:space="preserve"> ahora </w:t>
      </w:r>
      <w:r w:rsidRPr="00074A76">
        <w:rPr>
          <w:rFonts w:ascii="Palatino Linotype" w:hAnsi="Palatino Linotype"/>
          <w:b/>
          <w:bCs/>
          <w:sz w:val="24"/>
          <w:szCs w:val="24"/>
        </w:rPr>
        <w:t xml:space="preserve">Recurrente, </w:t>
      </w:r>
      <w:r w:rsidRPr="00074A76">
        <w:rPr>
          <w:rFonts w:ascii="Palatino Linotype" w:hAnsi="Palatino Linotype"/>
          <w:sz w:val="24"/>
          <w:szCs w:val="24"/>
        </w:rPr>
        <w:t xml:space="preserve">de manera objetiva se precisa que versa en conocer la siguiente información: </w:t>
      </w:r>
    </w:p>
    <w:p w14:paraId="6AB65C39" w14:textId="2ED1735E" w:rsidR="00EA7963" w:rsidRDefault="00EA7963" w:rsidP="002D733B">
      <w:pPr>
        <w:pStyle w:val="Prrafodelista"/>
        <w:numPr>
          <w:ilvl w:val="0"/>
          <w:numId w:val="11"/>
        </w:numPr>
        <w:autoSpaceDE w:val="0"/>
        <w:autoSpaceDN w:val="0"/>
        <w:adjustRightInd w:val="0"/>
        <w:spacing w:before="240" w:after="240" w:line="360" w:lineRule="auto"/>
        <w:contextualSpacing/>
        <w:jc w:val="both"/>
        <w:rPr>
          <w:rFonts w:ascii="Palatino Linotype" w:hAnsi="Palatino Linotype"/>
        </w:rPr>
      </w:pPr>
      <w:r>
        <w:rPr>
          <w:rFonts w:ascii="Palatino Linotype" w:hAnsi="Palatino Linotype"/>
        </w:rPr>
        <w:t xml:space="preserve">El o los documentos donde conste el puesto de la servidora pública referida en la solicitud de información </w:t>
      </w:r>
      <w:r>
        <w:rPr>
          <w:rFonts w:ascii="Palatino Linotype" w:hAnsi="Palatino Linotype"/>
          <w:b/>
          <w:bCs/>
        </w:rPr>
        <w:t xml:space="preserve">00249/COACALCO/IP/2023, </w:t>
      </w:r>
      <w:r>
        <w:rPr>
          <w:rFonts w:ascii="Palatino Linotype" w:hAnsi="Palatino Linotype"/>
        </w:rPr>
        <w:t xml:space="preserve">al siete de agosto de dos mil veintitrés. </w:t>
      </w:r>
    </w:p>
    <w:p w14:paraId="30F2B8D7" w14:textId="6A482A2B" w:rsidR="00EA7963" w:rsidRDefault="00EA7963" w:rsidP="002D733B">
      <w:pPr>
        <w:pStyle w:val="Prrafodelista"/>
        <w:numPr>
          <w:ilvl w:val="0"/>
          <w:numId w:val="11"/>
        </w:numPr>
        <w:autoSpaceDE w:val="0"/>
        <w:autoSpaceDN w:val="0"/>
        <w:adjustRightInd w:val="0"/>
        <w:spacing w:before="240" w:after="240" w:line="360" w:lineRule="auto"/>
        <w:contextualSpacing/>
        <w:jc w:val="both"/>
        <w:rPr>
          <w:rFonts w:ascii="Palatino Linotype" w:hAnsi="Palatino Linotype"/>
        </w:rPr>
      </w:pPr>
      <w:r>
        <w:rPr>
          <w:rFonts w:ascii="Palatino Linotype" w:hAnsi="Palatino Linotype"/>
        </w:rPr>
        <w:t xml:space="preserve">Nombramiento de la servidora pública referida en la solicitud de información </w:t>
      </w:r>
      <w:r>
        <w:rPr>
          <w:rFonts w:ascii="Palatino Linotype" w:hAnsi="Palatino Linotype"/>
          <w:b/>
          <w:bCs/>
        </w:rPr>
        <w:t xml:space="preserve">00249/COACALCO/IP/2023, </w:t>
      </w:r>
      <w:r>
        <w:rPr>
          <w:rFonts w:ascii="Palatino Linotype" w:hAnsi="Palatino Linotype"/>
        </w:rPr>
        <w:t xml:space="preserve">al siete de agosto de dos mil veintitrés. </w:t>
      </w:r>
    </w:p>
    <w:p w14:paraId="099B9426" w14:textId="2C3C62D5" w:rsidR="00501CBE" w:rsidRPr="00501CBE" w:rsidRDefault="00EA7963" w:rsidP="002D733B">
      <w:pPr>
        <w:pStyle w:val="Prrafodelista"/>
        <w:numPr>
          <w:ilvl w:val="0"/>
          <w:numId w:val="11"/>
        </w:numPr>
        <w:autoSpaceDE w:val="0"/>
        <w:autoSpaceDN w:val="0"/>
        <w:adjustRightInd w:val="0"/>
        <w:spacing w:before="240" w:after="240" w:line="360" w:lineRule="auto"/>
        <w:contextualSpacing/>
        <w:jc w:val="both"/>
        <w:rPr>
          <w:rFonts w:ascii="Palatino Linotype" w:hAnsi="Palatino Linotype"/>
        </w:rPr>
      </w:pPr>
      <w:r w:rsidRPr="00501CBE">
        <w:rPr>
          <w:rFonts w:ascii="Palatino Linotype" w:hAnsi="Palatino Linotype"/>
        </w:rPr>
        <w:t xml:space="preserve">El o los documentos donde consten las funciones y atribuciones desempeñadas por la servidora pública referida en la solicitud de información </w:t>
      </w:r>
      <w:r w:rsidR="00501CBE" w:rsidRPr="00501CBE">
        <w:rPr>
          <w:rFonts w:ascii="Palatino Linotype" w:hAnsi="Palatino Linotype"/>
          <w:b/>
          <w:bCs/>
        </w:rPr>
        <w:t xml:space="preserve">00249/COACALCO/IP/2023, </w:t>
      </w:r>
      <w:r w:rsidR="00501CBE" w:rsidRPr="00501CBE">
        <w:rPr>
          <w:rFonts w:ascii="Palatino Linotype" w:hAnsi="Palatino Linotype"/>
        </w:rPr>
        <w:t xml:space="preserve">al siete de agosto de dos mil veintitrés. </w:t>
      </w:r>
    </w:p>
    <w:p w14:paraId="79CE85A7" w14:textId="77777777" w:rsidR="00EA7963" w:rsidRDefault="00EA7963" w:rsidP="00EA7963">
      <w:pPr>
        <w:pStyle w:val="Prrafodelista"/>
        <w:autoSpaceDE w:val="0"/>
        <w:autoSpaceDN w:val="0"/>
        <w:adjustRightInd w:val="0"/>
        <w:spacing w:before="240" w:after="240" w:line="360" w:lineRule="auto"/>
        <w:ind w:left="720"/>
        <w:contextualSpacing/>
        <w:jc w:val="both"/>
        <w:rPr>
          <w:rFonts w:ascii="Palatino Linotype" w:hAnsi="Palatino Linotype"/>
        </w:rPr>
      </w:pPr>
    </w:p>
    <w:p w14:paraId="079F5378" w14:textId="6C7FBC5A" w:rsidR="00E04DB7" w:rsidRDefault="00E04DB7" w:rsidP="00E04DB7">
      <w:pPr>
        <w:spacing w:after="0" w:line="360" w:lineRule="auto"/>
        <w:jc w:val="both"/>
        <w:rPr>
          <w:rFonts w:ascii="Palatino Linotype" w:hAnsi="Palatino Linotype" w:cs="Arial"/>
          <w:noProof/>
          <w:color w:val="000000"/>
          <w:sz w:val="24"/>
          <w:lang w:eastAsia="es-MX"/>
        </w:rPr>
      </w:pPr>
      <w:r>
        <w:rPr>
          <w:rFonts w:ascii="Palatino Linotype" w:hAnsi="Palatino Linotype" w:cs="Arial"/>
          <w:sz w:val="24"/>
          <w:szCs w:val="24"/>
        </w:rPr>
        <w:t xml:space="preserve">Bajo este contexto, a efecto de identificar las unidades administrativas competentes se traen a colación los </w:t>
      </w:r>
      <w:r>
        <w:rPr>
          <w:rFonts w:ascii="Palatino Linotype" w:hAnsi="Palatino Linotype" w:cs="Arial"/>
          <w:noProof/>
          <w:color w:val="000000"/>
          <w:sz w:val="24"/>
          <w:lang w:eastAsia="es-MX"/>
        </w:rPr>
        <w:t>artículos 24, fracción XII, y 92, fracción II de la Ley de Transparencia local, porciones normativas cuyo contenido literal es el siguiente:</w:t>
      </w:r>
      <w:r w:rsidR="00321484">
        <w:rPr>
          <w:rFonts w:ascii="Palatino Linotype" w:hAnsi="Palatino Linotype" w:cs="Arial"/>
          <w:noProof/>
          <w:color w:val="000000"/>
          <w:sz w:val="24"/>
          <w:lang w:eastAsia="es-MX"/>
        </w:rPr>
        <w:t xml:space="preserve"> </w:t>
      </w:r>
    </w:p>
    <w:p w14:paraId="0651E25D" w14:textId="77777777" w:rsidR="00E04DB7" w:rsidRPr="009535E0" w:rsidRDefault="00E04DB7" w:rsidP="00E04DB7">
      <w:pPr>
        <w:tabs>
          <w:tab w:val="left" w:pos="709"/>
        </w:tabs>
        <w:spacing w:before="240" w:line="360" w:lineRule="auto"/>
        <w:ind w:left="851" w:right="851"/>
        <w:jc w:val="both"/>
        <w:rPr>
          <w:rFonts w:ascii="Palatino Linotype" w:hAnsi="Palatino Linotype"/>
          <w:i/>
        </w:rPr>
      </w:pPr>
      <w:r>
        <w:rPr>
          <w:rFonts w:ascii="Palatino Linotype" w:hAnsi="Palatino Linotype"/>
          <w:i/>
        </w:rPr>
        <w:t>“</w:t>
      </w:r>
      <w:r w:rsidRPr="009535E0">
        <w:rPr>
          <w:rFonts w:ascii="Palatino Linotype" w:hAnsi="Palatino Linotype"/>
          <w:i/>
        </w:rPr>
        <w:t>Artículo 24. Para el cumplimiento de los objetivos de esta Ley, los sujetos obligados deberán cumplir con las siguientes obligaciones, según corresponda, de acuerdo a su naturaleza:</w:t>
      </w:r>
    </w:p>
    <w:p w14:paraId="0E65AD01" w14:textId="77777777" w:rsidR="00E04DB7" w:rsidRPr="009535E0" w:rsidRDefault="00E04DB7" w:rsidP="00E04DB7">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lastRenderedPageBreak/>
        <w:t>XII. Publicar y mantener actualizada la información relativa a las obligaciones generales de transparencia previstas en la presente Ley o determinadas así por el Instituto, y en general aquella que sea de interés público;</w:t>
      </w:r>
    </w:p>
    <w:p w14:paraId="4ABDDB34" w14:textId="77777777" w:rsidR="00E04DB7" w:rsidRPr="009535E0" w:rsidRDefault="00E04DB7" w:rsidP="00E04DB7">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08F49E8" w14:textId="77777777" w:rsidR="00E04DB7" w:rsidRDefault="00E04DB7" w:rsidP="00E04DB7">
      <w:pPr>
        <w:pStyle w:val="INFOEM0"/>
      </w:pPr>
      <w: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44133853" w14:textId="77777777" w:rsidR="00E04DB7" w:rsidRPr="00A94BBE" w:rsidRDefault="00E04DB7" w:rsidP="00E04DB7">
      <w:pPr>
        <w:pStyle w:val="INFOEM0"/>
        <w:rPr>
          <w:b/>
        </w:rPr>
      </w:pPr>
      <w:r>
        <w:t xml:space="preserve"> (…)” </w:t>
      </w:r>
      <w:r>
        <w:rPr>
          <w:b/>
        </w:rPr>
        <w:t xml:space="preserve">[Sic] </w:t>
      </w:r>
    </w:p>
    <w:p w14:paraId="05992215" w14:textId="77777777" w:rsidR="00522780" w:rsidRDefault="00522780" w:rsidP="00E04DB7">
      <w:pPr>
        <w:pStyle w:val="Sinespaciado"/>
        <w:spacing w:line="360" w:lineRule="auto"/>
        <w:jc w:val="both"/>
        <w:rPr>
          <w:rFonts w:ascii="Palatino Linotype" w:hAnsi="Palatino Linotype"/>
        </w:rPr>
      </w:pPr>
    </w:p>
    <w:p w14:paraId="4C096975" w14:textId="09B662EC" w:rsidR="00AB3CCD" w:rsidRDefault="00501CBE" w:rsidP="00E04DB7">
      <w:pPr>
        <w:pStyle w:val="Sinespaciado"/>
        <w:spacing w:line="360" w:lineRule="auto"/>
        <w:jc w:val="both"/>
        <w:rPr>
          <w:rFonts w:ascii="Palatino Linotype" w:hAnsi="Palatino Linotype"/>
        </w:rPr>
      </w:pPr>
      <w:r>
        <w:rPr>
          <w:rFonts w:ascii="Palatino Linotype" w:hAnsi="Palatino Linotype"/>
          <w:noProof/>
          <w:lang w:eastAsia="es-MX"/>
        </w:rPr>
        <mc:AlternateContent>
          <mc:Choice Requires="wps">
            <w:drawing>
              <wp:anchor distT="0" distB="0" distL="114300" distR="114300" simplePos="0" relativeHeight="251885555" behindDoc="0" locked="0" layoutInCell="1" allowOverlap="1" wp14:anchorId="34FDA345" wp14:editId="4676AE22">
                <wp:simplePos x="0" y="0"/>
                <wp:positionH relativeFrom="column">
                  <wp:posOffset>-140335</wp:posOffset>
                </wp:positionH>
                <wp:positionV relativeFrom="paragraph">
                  <wp:posOffset>883285</wp:posOffset>
                </wp:positionV>
                <wp:extent cx="6445250" cy="2120900"/>
                <wp:effectExtent l="0" t="0" r="31750" b="31750"/>
                <wp:wrapNone/>
                <wp:docPr id="616538550" name="Straight Connector 17"/>
                <wp:cNvGraphicFramePr/>
                <a:graphic xmlns:a="http://schemas.openxmlformats.org/drawingml/2006/main">
                  <a:graphicData uri="http://schemas.microsoft.com/office/word/2010/wordprocessingShape">
                    <wps:wsp>
                      <wps:cNvCnPr/>
                      <wps:spPr>
                        <a:xfrm>
                          <a:off x="0" y="0"/>
                          <a:ext cx="6445250" cy="2120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DACC4D5" id="Straight Connector 17" o:spid="_x0000_s1026" style="position:absolute;z-index:251885555;visibility:visible;mso-wrap-style:square;mso-wrap-distance-left:9pt;mso-wrap-distance-top:0;mso-wrap-distance-right:9pt;mso-wrap-distance-bottom:0;mso-position-horizontal:absolute;mso-position-horizontal-relative:text;mso-position-vertical:absolute;mso-position-vertical-relative:text" from="-11.05pt,69.55pt" to="496.45pt,2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" strokecolor="#5b9bd5 [3204]" strokeweight=".5pt">
                <v:stroke joinstyle="miter"/>
              </v:line>
            </w:pict>
          </mc:Fallback>
        </mc:AlternateContent>
      </w:r>
      <w:r w:rsidR="00AB3CCD">
        <w:rPr>
          <w:rFonts w:ascii="Palatino Linotype" w:hAnsi="Palatino Linotype"/>
        </w:rPr>
        <w:t xml:space="preserve">Resulta oportuno traer a colación las siguientes imágenes ilustrativas, correspondientes al organigrama del </w:t>
      </w:r>
      <w:r w:rsidR="00AB3CCD">
        <w:rPr>
          <w:rFonts w:ascii="Palatino Linotype" w:hAnsi="Palatino Linotype"/>
          <w:b/>
          <w:bCs/>
        </w:rPr>
        <w:t>Sujeto Obligado</w:t>
      </w:r>
      <w:r w:rsidR="00A35411">
        <w:rPr>
          <w:rFonts w:ascii="Palatino Linotype" w:hAnsi="Palatino Linotype"/>
          <w:b/>
          <w:bCs/>
        </w:rPr>
        <w:t xml:space="preserve">: </w:t>
      </w:r>
    </w:p>
    <w:p w14:paraId="20C6D204" w14:textId="5530B7CC" w:rsidR="00E04DB7" w:rsidRDefault="00EA7963" w:rsidP="00E04DB7">
      <w:pPr>
        <w:pStyle w:val="Sinespaciado"/>
        <w:spacing w:line="360" w:lineRule="auto"/>
        <w:jc w:val="both"/>
        <w:rPr>
          <w:rFonts w:ascii="Palatino Linotype" w:hAnsi="Palatino Linotype"/>
          <w:b/>
          <w:bCs/>
        </w:rPr>
      </w:pPr>
      <w:r>
        <w:rPr>
          <w:rFonts w:ascii="Palatino Linotype" w:hAnsi="Palatino Linotype" w:cs="Arial"/>
          <w:noProof/>
          <w:lang w:eastAsia="es-MX"/>
        </w:rPr>
        <w:lastRenderedPageBreak/>
        <w:drawing>
          <wp:anchor distT="0" distB="0" distL="114300" distR="114300" simplePos="0" relativeHeight="251879411" behindDoc="0" locked="0" layoutInCell="1" allowOverlap="1" wp14:anchorId="3B9CC89F" wp14:editId="6AE8F9D5">
            <wp:simplePos x="0" y="0"/>
            <wp:positionH relativeFrom="page">
              <wp:align>center</wp:align>
            </wp:positionH>
            <wp:positionV relativeFrom="paragraph">
              <wp:posOffset>3552825</wp:posOffset>
            </wp:positionV>
            <wp:extent cx="1454150" cy="1457508"/>
            <wp:effectExtent l="0" t="0" r="0" b="9525"/>
            <wp:wrapThrough wrapText="bothSides">
              <wp:wrapPolygon edited="0">
                <wp:start x="0" y="0"/>
                <wp:lineTo x="0" y="21459"/>
                <wp:lineTo x="21223" y="21459"/>
                <wp:lineTo x="21223" y="0"/>
                <wp:lineTo x="0" y="0"/>
              </wp:wrapPolygon>
            </wp:wrapThrough>
            <wp:docPr id="13792570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54150" cy="145750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b/>
          <w:bCs/>
          <w:noProof/>
          <w:lang w:eastAsia="es-MX"/>
        </w:rPr>
        <w:drawing>
          <wp:anchor distT="0" distB="0" distL="114300" distR="114300" simplePos="0" relativeHeight="251870194" behindDoc="0" locked="0" layoutInCell="1" allowOverlap="1" wp14:anchorId="0EF76177" wp14:editId="238CD14C">
            <wp:simplePos x="0" y="0"/>
            <wp:positionH relativeFrom="page">
              <wp:align>center</wp:align>
            </wp:positionH>
            <wp:positionV relativeFrom="paragraph">
              <wp:posOffset>19050</wp:posOffset>
            </wp:positionV>
            <wp:extent cx="5759450" cy="3270250"/>
            <wp:effectExtent l="19050" t="19050" r="12700" b="25400"/>
            <wp:wrapThrough wrapText="bothSides">
              <wp:wrapPolygon edited="0">
                <wp:start x="-71" y="-126"/>
                <wp:lineTo x="-71" y="21642"/>
                <wp:lineTo x="21576" y="21642"/>
                <wp:lineTo x="21576" y="-126"/>
                <wp:lineTo x="-71" y="-126"/>
              </wp:wrapPolygon>
            </wp:wrapThrough>
            <wp:docPr id="19499875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32702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A02064D" w14:textId="7BE00837" w:rsidR="0043218D" w:rsidRDefault="0043218D" w:rsidP="008028E9">
      <w:pPr>
        <w:autoSpaceDE w:val="0"/>
        <w:autoSpaceDN w:val="0"/>
        <w:adjustRightInd w:val="0"/>
        <w:spacing w:before="240" w:line="360" w:lineRule="auto"/>
        <w:jc w:val="both"/>
        <w:rPr>
          <w:rFonts w:ascii="Palatino Linotype" w:hAnsi="Palatino Linotype" w:cs="Arial"/>
          <w:b/>
          <w:bCs/>
          <w:noProof/>
        </w:rPr>
      </w:pPr>
    </w:p>
    <w:p w14:paraId="068ED340" w14:textId="2577B42B" w:rsidR="000E0868" w:rsidRDefault="000E0868" w:rsidP="001810AA">
      <w:pPr>
        <w:autoSpaceDE w:val="0"/>
        <w:autoSpaceDN w:val="0"/>
        <w:adjustRightInd w:val="0"/>
        <w:spacing w:before="240" w:line="360" w:lineRule="auto"/>
        <w:jc w:val="both"/>
        <w:rPr>
          <w:rFonts w:ascii="Palatino Linotype" w:hAnsi="Palatino Linotype" w:cs="Arial"/>
          <w:noProof/>
          <w:sz w:val="24"/>
          <w:szCs w:val="24"/>
        </w:rPr>
      </w:pPr>
    </w:p>
    <w:p w14:paraId="5243D656" w14:textId="77777777" w:rsidR="00C6795D" w:rsidRDefault="00C6795D" w:rsidP="001810AA">
      <w:pPr>
        <w:autoSpaceDE w:val="0"/>
        <w:autoSpaceDN w:val="0"/>
        <w:adjustRightInd w:val="0"/>
        <w:spacing w:before="240" w:line="360" w:lineRule="auto"/>
        <w:jc w:val="both"/>
        <w:rPr>
          <w:rFonts w:ascii="Palatino Linotype" w:hAnsi="Palatino Linotype" w:cs="Arial"/>
          <w:noProof/>
          <w:sz w:val="24"/>
          <w:szCs w:val="24"/>
        </w:rPr>
      </w:pPr>
    </w:p>
    <w:p w14:paraId="4FC1AEBC" w14:textId="77777777" w:rsidR="00C6795D" w:rsidRDefault="00C6795D" w:rsidP="001810AA">
      <w:pPr>
        <w:autoSpaceDE w:val="0"/>
        <w:autoSpaceDN w:val="0"/>
        <w:adjustRightInd w:val="0"/>
        <w:spacing w:before="240" w:line="360" w:lineRule="auto"/>
        <w:jc w:val="both"/>
        <w:rPr>
          <w:rFonts w:ascii="Palatino Linotype" w:hAnsi="Palatino Linotype" w:cs="Arial"/>
          <w:noProof/>
          <w:sz w:val="24"/>
          <w:szCs w:val="24"/>
        </w:rPr>
      </w:pPr>
    </w:p>
    <w:p w14:paraId="2B1190B8" w14:textId="2DF99F57" w:rsidR="00FA4DD0" w:rsidRDefault="000E0868" w:rsidP="000E086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 lo expuesto con anterioridad, se desprende que </w:t>
      </w:r>
      <w:r>
        <w:rPr>
          <w:rFonts w:ascii="Palatino Linotype" w:hAnsi="Palatino Linotype" w:cs="Arial"/>
          <w:b/>
          <w:bCs/>
        </w:rPr>
        <w:t xml:space="preserve">El Sujeto Obligado </w:t>
      </w:r>
      <w:r>
        <w:rPr>
          <w:rFonts w:ascii="Palatino Linotype" w:hAnsi="Palatino Linotype" w:cs="Arial"/>
        </w:rPr>
        <w:t xml:space="preserve">se auxilia de diversas Direcciones, Subdirecciones, Departamentos y Unidades Administrativas para cumplir con sus fines y objetivos, resultando de nuestro más amplio interés la </w:t>
      </w:r>
      <w:r w:rsidR="00FA4DD0">
        <w:rPr>
          <w:rFonts w:ascii="Palatino Linotype" w:hAnsi="Palatino Linotype" w:cs="Arial"/>
        </w:rPr>
        <w:t xml:space="preserve">Dirección de </w:t>
      </w:r>
      <w:r w:rsidR="00EA7963">
        <w:rPr>
          <w:rFonts w:ascii="Palatino Linotype" w:hAnsi="Palatino Linotype" w:cs="Arial"/>
        </w:rPr>
        <w:t xml:space="preserve">Administración. </w:t>
      </w:r>
      <w:r w:rsidR="00FA4DD0">
        <w:rPr>
          <w:rFonts w:ascii="Palatino Linotype" w:hAnsi="Palatino Linotype" w:cs="Arial"/>
        </w:rPr>
        <w:t xml:space="preserve"> </w:t>
      </w:r>
    </w:p>
    <w:p w14:paraId="11CD9F2C" w14:textId="0BFE6244" w:rsidR="001F2EA0" w:rsidRDefault="001F2EA0" w:rsidP="001F2EA0">
      <w:pPr>
        <w:spacing w:before="240" w:after="240" w:line="360" w:lineRule="auto"/>
        <w:jc w:val="both"/>
        <w:rPr>
          <w:rFonts w:ascii="Palatino Linotype" w:hAnsi="Palatino Linotype" w:cs="Arial"/>
          <w:sz w:val="24"/>
          <w:szCs w:val="24"/>
        </w:rPr>
      </w:pPr>
      <w:r w:rsidRPr="00F64E3D">
        <w:rPr>
          <w:rFonts w:ascii="Palatino Linotype" w:hAnsi="Palatino Linotype" w:cs="Arial"/>
          <w:sz w:val="24"/>
          <w:szCs w:val="24"/>
        </w:rPr>
        <w:lastRenderedPageBreak/>
        <w:t xml:space="preserve">En este sentido, </w:t>
      </w:r>
      <w:r>
        <w:rPr>
          <w:rFonts w:ascii="Palatino Linotype" w:hAnsi="Palatino Linotype" w:cs="Arial"/>
          <w:sz w:val="24"/>
          <w:szCs w:val="24"/>
        </w:rPr>
        <w:t xml:space="preserve">a efecto de ilustrar la esfera competencial de la unidad administrativa en cita, resulta oportuno traer a colación el numeral 58 del Bando Municipal del </w:t>
      </w:r>
      <w:r>
        <w:rPr>
          <w:rFonts w:ascii="Palatino Linotype" w:hAnsi="Palatino Linotype" w:cs="Arial"/>
          <w:b/>
          <w:bCs/>
          <w:sz w:val="24"/>
          <w:szCs w:val="24"/>
        </w:rPr>
        <w:t xml:space="preserve">Sujeto Obligado, </w:t>
      </w:r>
      <w:r>
        <w:rPr>
          <w:rFonts w:ascii="Palatino Linotype" w:hAnsi="Palatino Linotype" w:cs="Arial"/>
          <w:sz w:val="24"/>
          <w:szCs w:val="24"/>
        </w:rPr>
        <w:t>así como el numeral 52</w:t>
      </w:r>
      <w:r w:rsidR="00E27526">
        <w:rPr>
          <w:rFonts w:ascii="Palatino Linotype" w:hAnsi="Palatino Linotype" w:cs="Arial"/>
          <w:sz w:val="24"/>
          <w:szCs w:val="24"/>
        </w:rPr>
        <w:t xml:space="preserve"> </w:t>
      </w:r>
      <w:r>
        <w:rPr>
          <w:rFonts w:ascii="Palatino Linotype" w:hAnsi="Palatino Linotype" w:cs="Arial"/>
          <w:sz w:val="24"/>
          <w:szCs w:val="24"/>
        </w:rPr>
        <w:t>del Reglamento Interno de la Administración Pública del H. Ayuntamiento de Coacalco de Berriozábal, porciones normativas que disponen a la literalidad lo siguiente:</w:t>
      </w:r>
    </w:p>
    <w:p w14:paraId="18601B0D" w14:textId="77777777" w:rsidR="001F2EA0" w:rsidRPr="006A1AC0" w:rsidRDefault="001F2EA0" w:rsidP="001F2EA0">
      <w:pPr>
        <w:pStyle w:val="Citas"/>
        <w:jc w:val="center"/>
        <w:rPr>
          <w:b/>
          <w:bCs/>
        </w:rPr>
      </w:pPr>
      <w:r w:rsidRPr="006A1AC0">
        <w:rPr>
          <w:b/>
          <w:bCs/>
        </w:rPr>
        <w:t>BANDO MUNICIPAL DE COACALCO DE BERRIOZÁBAL</w:t>
      </w:r>
    </w:p>
    <w:p w14:paraId="39FA80D0" w14:textId="77777777" w:rsidR="001F2EA0" w:rsidRDefault="001F2EA0" w:rsidP="001F2EA0">
      <w:pPr>
        <w:pStyle w:val="Citas"/>
      </w:pPr>
      <w:r>
        <w:t xml:space="preserve">“Artículo 58. Corresponde a la Dirección de Administración planear, establecer y difundir entre las Dependencias de la Administración Pública Municipal, las políticas y procedimientos necesarios para el control eficiente de los recursos materiales, tecnológicos, de servicios generales y capital humano que se proporcionan a las Dependencias y Unidades Administrativas en todas sus modalidades; seleccionará, contratará y asignará al personal que las áreas requieran, facilitará los programas y cursos correspondientes para la certificación, profesionalización y capacitación de los servidores públicos para el debido cumplimiento de sus funciones y atribuciones, y satisfacer las sociedades  generales que constituyen el objeto de los servicios y funciones públicas; todas aquellas que contienen superior jerárquico, las leyes y demás disposiciones jurídicas aplicables” </w:t>
      </w:r>
      <w:r>
        <w:rPr>
          <w:b/>
          <w:bCs/>
        </w:rPr>
        <w:t>(Sic)</w:t>
      </w:r>
      <w:r>
        <w:t xml:space="preserve"> </w:t>
      </w:r>
    </w:p>
    <w:p w14:paraId="5A2C8327" w14:textId="77777777" w:rsidR="001F2EA0" w:rsidRDefault="001F2EA0" w:rsidP="001F2EA0">
      <w:pPr>
        <w:spacing w:before="240" w:after="240" w:line="360" w:lineRule="auto"/>
        <w:jc w:val="both"/>
        <w:rPr>
          <w:rFonts w:ascii="Palatino Linotype" w:hAnsi="Palatino Linotype" w:cs="Arial"/>
          <w:sz w:val="24"/>
          <w:szCs w:val="24"/>
        </w:rPr>
      </w:pPr>
    </w:p>
    <w:p w14:paraId="78B055F7" w14:textId="77777777" w:rsidR="001F2EA0" w:rsidRPr="006A1AC0" w:rsidRDefault="001F2EA0" w:rsidP="001F2EA0">
      <w:pPr>
        <w:pStyle w:val="Citas"/>
        <w:jc w:val="center"/>
        <w:rPr>
          <w:b/>
          <w:bCs/>
        </w:rPr>
      </w:pPr>
      <w:r w:rsidRPr="006A1AC0">
        <w:rPr>
          <w:b/>
          <w:bCs/>
        </w:rPr>
        <w:t>REGLAMENTO INTERNO DE LA ADMINISTRACIÓN PÚBLICA DEL H. AYUNTAMIENTO DE COACALCO DE BERRIOZÁBAL</w:t>
      </w:r>
    </w:p>
    <w:p w14:paraId="1FDEED07" w14:textId="77777777" w:rsidR="001F2EA0" w:rsidRDefault="001F2EA0" w:rsidP="001F2EA0">
      <w:pPr>
        <w:pStyle w:val="Citas"/>
      </w:pPr>
      <w:r>
        <w:t>“Artículo 52. La Dirección de Administración tendrá las atribuciones siguientes:</w:t>
      </w:r>
    </w:p>
    <w:p w14:paraId="4637E89B" w14:textId="77777777" w:rsidR="001F2EA0" w:rsidRDefault="001F2EA0" w:rsidP="001F2EA0">
      <w:pPr>
        <w:pStyle w:val="Citas"/>
      </w:pPr>
      <w:r>
        <w:t>(…)</w:t>
      </w:r>
    </w:p>
    <w:p w14:paraId="6AA63411" w14:textId="1ADE950D" w:rsidR="001F2EA0" w:rsidRDefault="001F2EA0" w:rsidP="001F2EA0">
      <w:pPr>
        <w:pStyle w:val="Citas"/>
      </w:pPr>
      <w:r>
        <w:lastRenderedPageBreak/>
        <w:t xml:space="preserve">III. Reclutar, seleccionar, contratar y asignar al personal que requieran para sus funciones, las diversas áreas de la Administración Pública Municipal. </w:t>
      </w:r>
    </w:p>
    <w:p w14:paraId="350AF2F9" w14:textId="0189D62B" w:rsidR="001F2EA0" w:rsidRDefault="001F2EA0" w:rsidP="001F2EA0">
      <w:pPr>
        <w:pStyle w:val="Citas"/>
      </w:pPr>
      <w:r>
        <w:t>(…)</w:t>
      </w:r>
    </w:p>
    <w:p w14:paraId="695E3767" w14:textId="5E23025D" w:rsidR="001F2EA0" w:rsidRPr="001F2EA0" w:rsidRDefault="001F2EA0" w:rsidP="001F2EA0">
      <w:pPr>
        <w:pStyle w:val="Citas"/>
        <w:rPr>
          <w:b/>
          <w:bCs/>
          <w:u w:val="single"/>
        </w:rPr>
      </w:pPr>
      <w:r w:rsidRPr="001F2EA0">
        <w:rPr>
          <w:b/>
          <w:bCs/>
          <w:u w:val="single"/>
        </w:rPr>
        <w:t xml:space="preserve">V. Elaborar y registrar los nombramientos de los servidores públicos municipales, excepto de Directores que se acreditan por mandato del Presidente Municipal. </w:t>
      </w:r>
    </w:p>
    <w:p w14:paraId="2FDCE994" w14:textId="3E5FC4AA" w:rsidR="001F2EA0" w:rsidRDefault="001F2EA0" w:rsidP="001F2EA0">
      <w:pPr>
        <w:pStyle w:val="Citas"/>
      </w:pPr>
      <w:r>
        <w:t>(…)</w:t>
      </w:r>
    </w:p>
    <w:p w14:paraId="0EF6A4E6" w14:textId="3676BD63" w:rsidR="001F2EA0" w:rsidRPr="001F2EA0" w:rsidRDefault="001F2EA0" w:rsidP="001F2EA0">
      <w:pPr>
        <w:pStyle w:val="Citas"/>
        <w:rPr>
          <w:b/>
          <w:bCs/>
          <w:u w:val="single"/>
        </w:rPr>
      </w:pPr>
      <w:r w:rsidRPr="001F2EA0">
        <w:rPr>
          <w:b/>
          <w:bCs/>
          <w:u w:val="single"/>
        </w:rPr>
        <w:t xml:space="preserve">X. Crear y mantener actualizados los perfiles laborales de las categorías, así como establecer los criterios de selección y contratación para quienes aspiren a ingresar a la Administración Pública Municipal. </w:t>
      </w:r>
    </w:p>
    <w:p w14:paraId="7F3FB0C8" w14:textId="1339B620" w:rsidR="001F2EA0" w:rsidRDefault="001F2EA0" w:rsidP="001F2EA0">
      <w:pPr>
        <w:pStyle w:val="Citas"/>
      </w:pPr>
      <w:r>
        <w:t>(…)</w:t>
      </w:r>
    </w:p>
    <w:p w14:paraId="69E34B96" w14:textId="77777777" w:rsidR="001F2EA0" w:rsidRPr="006A1AC0" w:rsidRDefault="001F2EA0" w:rsidP="001F2EA0">
      <w:pPr>
        <w:pStyle w:val="Citas"/>
        <w:rPr>
          <w:b/>
          <w:bCs/>
          <w:u w:val="single"/>
        </w:rPr>
      </w:pPr>
      <w:r w:rsidRPr="006A1AC0">
        <w:rPr>
          <w:b/>
          <w:bCs/>
          <w:u w:val="single"/>
        </w:rPr>
        <w:t xml:space="preserve">XII. Integrar y resguardar el archivo laboral del personal de la Administración Pública Municipal. </w:t>
      </w:r>
    </w:p>
    <w:p w14:paraId="4FD7AC0F" w14:textId="77777777" w:rsidR="001F2EA0" w:rsidRDefault="001F2EA0" w:rsidP="001F2EA0">
      <w:pPr>
        <w:pStyle w:val="Citas"/>
      </w:pPr>
      <w:r>
        <w:t>XIII. Tramitar y registrar todos los nombramientos de personal de la Administración Pública Municipal</w:t>
      </w:r>
    </w:p>
    <w:p w14:paraId="1FF08AE0" w14:textId="77777777" w:rsidR="001F2EA0" w:rsidRPr="006A1AC0" w:rsidRDefault="001F2EA0" w:rsidP="001F2EA0">
      <w:pPr>
        <w:pStyle w:val="Citas"/>
        <w:rPr>
          <w:b/>
          <w:bCs/>
        </w:rPr>
      </w:pPr>
      <w:r>
        <w:t xml:space="preserve">(…)” </w:t>
      </w:r>
      <w:r>
        <w:rPr>
          <w:b/>
          <w:bCs/>
        </w:rPr>
        <w:t>(Sic)</w:t>
      </w:r>
    </w:p>
    <w:p w14:paraId="236D43A0" w14:textId="77777777" w:rsidR="00EA7963" w:rsidRDefault="00EA7963" w:rsidP="000E0868">
      <w:pPr>
        <w:pStyle w:val="Prrafodelista"/>
        <w:autoSpaceDE w:val="0"/>
        <w:autoSpaceDN w:val="0"/>
        <w:adjustRightInd w:val="0"/>
        <w:spacing w:before="240" w:after="160" w:line="360" w:lineRule="auto"/>
        <w:ind w:left="0"/>
        <w:jc w:val="both"/>
        <w:rPr>
          <w:rFonts w:ascii="Palatino Linotype" w:hAnsi="Palatino Linotype" w:cs="Arial"/>
        </w:rPr>
      </w:pPr>
    </w:p>
    <w:p w14:paraId="3965FE7C" w14:textId="77777777" w:rsidR="00E27526" w:rsidRDefault="00E27526" w:rsidP="00E27526">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De ahí que deba arribarse a la premisa de que la Dirección de Administración se encarga de regular diversas aristas de los servidores públicos, tales como:</w:t>
      </w:r>
    </w:p>
    <w:p w14:paraId="18E09FFC" w14:textId="77777777" w:rsidR="00E27526" w:rsidRDefault="00E27526" w:rsidP="002D733B">
      <w:pPr>
        <w:pStyle w:val="Prrafodelista"/>
        <w:numPr>
          <w:ilvl w:val="0"/>
          <w:numId w:val="8"/>
        </w:numPr>
        <w:spacing w:before="240" w:after="240" w:line="360" w:lineRule="auto"/>
        <w:jc w:val="both"/>
        <w:rPr>
          <w:rFonts w:ascii="Palatino Linotype" w:hAnsi="Palatino Linotype" w:cs="Arial"/>
        </w:rPr>
      </w:pPr>
      <w:r>
        <w:rPr>
          <w:rFonts w:ascii="Palatino Linotype" w:hAnsi="Palatino Linotype" w:cs="Arial"/>
        </w:rPr>
        <w:lastRenderedPageBreak/>
        <w:t>Alta</w:t>
      </w:r>
    </w:p>
    <w:p w14:paraId="7C663E37" w14:textId="77777777" w:rsidR="00E27526" w:rsidRDefault="00E27526" w:rsidP="002D733B">
      <w:pPr>
        <w:pStyle w:val="Prrafodelista"/>
        <w:numPr>
          <w:ilvl w:val="0"/>
          <w:numId w:val="8"/>
        </w:numPr>
        <w:spacing w:before="240" w:after="240" w:line="360" w:lineRule="auto"/>
        <w:jc w:val="both"/>
        <w:rPr>
          <w:rFonts w:ascii="Palatino Linotype" w:hAnsi="Palatino Linotype" w:cs="Arial"/>
        </w:rPr>
      </w:pPr>
      <w:r>
        <w:rPr>
          <w:rFonts w:ascii="Palatino Linotype" w:hAnsi="Palatino Linotype" w:cs="Arial"/>
        </w:rPr>
        <w:t>Baja</w:t>
      </w:r>
    </w:p>
    <w:p w14:paraId="752A58E3" w14:textId="77777777" w:rsidR="00E27526" w:rsidRPr="00F61706" w:rsidRDefault="00E27526" w:rsidP="002D733B">
      <w:pPr>
        <w:pStyle w:val="Prrafodelista"/>
        <w:numPr>
          <w:ilvl w:val="0"/>
          <w:numId w:val="8"/>
        </w:numPr>
        <w:spacing w:before="240" w:after="240" w:line="360" w:lineRule="auto"/>
        <w:jc w:val="both"/>
        <w:rPr>
          <w:rFonts w:ascii="Palatino Linotype" w:hAnsi="Palatino Linotype" w:cs="Arial"/>
          <w:b/>
          <w:bCs/>
          <w:u w:val="single"/>
        </w:rPr>
      </w:pPr>
      <w:r w:rsidRPr="00F61706">
        <w:rPr>
          <w:rFonts w:ascii="Palatino Linotype" w:hAnsi="Palatino Linotype" w:cs="Arial"/>
          <w:b/>
          <w:bCs/>
          <w:u w:val="single"/>
        </w:rPr>
        <w:t xml:space="preserve">Integración y actualización de expedientes laborales. </w:t>
      </w:r>
    </w:p>
    <w:p w14:paraId="74A0E7E9" w14:textId="77777777" w:rsidR="00E27526" w:rsidRDefault="00E27526" w:rsidP="002D733B">
      <w:pPr>
        <w:pStyle w:val="Prrafodelista"/>
        <w:numPr>
          <w:ilvl w:val="0"/>
          <w:numId w:val="8"/>
        </w:numPr>
        <w:spacing w:before="240" w:after="240" w:line="360" w:lineRule="auto"/>
        <w:jc w:val="both"/>
        <w:rPr>
          <w:rFonts w:ascii="Palatino Linotype" w:hAnsi="Palatino Linotype" w:cs="Arial"/>
        </w:rPr>
      </w:pPr>
      <w:r w:rsidRPr="00F61706">
        <w:rPr>
          <w:rFonts w:ascii="Palatino Linotype" w:hAnsi="Palatino Linotype" w:cs="Arial"/>
        </w:rPr>
        <w:t xml:space="preserve">Formalización de relaciones laborales. </w:t>
      </w:r>
    </w:p>
    <w:p w14:paraId="639694FE" w14:textId="713E02AC" w:rsidR="00E27526" w:rsidRPr="00501CBE" w:rsidRDefault="00E27526" w:rsidP="002D733B">
      <w:pPr>
        <w:pStyle w:val="Prrafodelista"/>
        <w:numPr>
          <w:ilvl w:val="0"/>
          <w:numId w:val="8"/>
        </w:numPr>
        <w:spacing w:before="240" w:after="240" w:line="360" w:lineRule="auto"/>
        <w:jc w:val="both"/>
        <w:rPr>
          <w:rFonts w:ascii="Palatino Linotype" w:hAnsi="Palatino Linotype" w:cs="Arial"/>
          <w:b/>
          <w:bCs/>
          <w:u w:val="single"/>
        </w:rPr>
      </w:pPr>
      <w:r w:rsidRPr="00501CBE">
        <w:rPr>
          <w:rFonts w:ascii="Palatino Linotype" w:hAnsi="Palatino Linotype" w:cs="Arial"/>
          <w:b/>
          <w:bCs/>
          <w:u w:val="single"/>
        </w:rPr>
        <w:t xml:space="preserve">Elaboración y registro de nombramientos, con excepción de aquellos emitidos por el presidente municipal en turno. </w:t>
      </w:r>
    </w:p>
    <w:p w14:paraId="5BEDD8B1" w14:textId="77777777" w:rsidR="00E27526" w:rsidRPr="00F61706" w:rsidRDefault="00E27526" w:rsidP="002D733B">
      <w:pPr>
        <w:pStyle w:val="Prrafodelista"/>
        <w:numPr>
          <w:ilvl w:val="0"/>
          <w:numId w:val="8"/>
        </w:numPr>
        <w:spacing w:before="240" w:after="240" w:line="360" w:lineRule="auto"/>
        <w:jc w:val="both"/>
        <w:rPr>
          <w:rFonts w:ascii="Palatino Linotype" w:hAnsi="Palatino Linotype" w:cs="Arial"/>
        </w:rPr>
      </w:pPr>
      <w:r>
        <w:rPr>
          <w:rFonts w:ascii="Palatino Linotype" w:hAnsi="Palatino Linotype" w:cs="Arial"/>
        </w:rPr>
        <w:t>Otros</w:t>
      </w:r>
    </w:p>
    <w:p w14:paraId="12F89252" w14:textId="77777777" w:rsidR="001F2EA0" w:rsidRDefault="001F2EA0" w:rsidP="000E0868">
      <w:pPr>
        <w:pStyle w:val="Prrafodelista"/>
        <w:autoSpaceDE w:val="0"/>
        <w:autoSpaceDN w:val="0"/>
        <w:adjustRightInd w:val="0"/>
        <w:spacing w:before="240" w:after="160" w:line="360" w:lineRule="auto"/>
        <w:ind w:left="0"/>
        <w:jc w:val="both"/>
        <w:rPr>
          <w:rFonts w:ascii="Palatino Linotype" w:hAnsi="Palatino Linotype" w:cs="Arial"/>
        </w:rPr>
      </w:pPr>
    </w:p>
    <w:p w14:paraId="411B5B07" w14:textId="77777777" w:rsidR="00EA7963" w:rsidRDefault="00EA7963" w:rsidP="00EA7963">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Una vez sentado lo anterior</w:t>
      </w:r>
      <w:r w:rsidRPr="0087668F">
        <w:rPr>
          <w:rFonts w:ascii="Palatino Linotype" w:hAnsi="Palatino Linotype" w:cs="Arial"/>
          <w:sz w:val="24"/>
          <w:szCs w:val="24"/>
        </w:rPr>
        <w:t xml:space="preserve">, se entiende por relación de trabajo, </w:t>
      </w:r>
      <w:r>
        <w:rPr>
          <w:rFonts w:ascii="Palatino Linotype" w:hAnsi="Palatino Linotype" w:cs="Arial"/>
          <w:sz w:val="24"/>
          <w:szCs w:val="24"/>
        </w:rPr>
        <w:t xml:space="preserve">cualquiera que sea el acto que le dé origen, la prestación de un trabajo personal subordinado a una persona, mediante el pago de un salario. </w:t>
      </w:r>
    </w:p>
    <w:p w14:paraId="517FE067" w14:textId="77777777" w:rsidR="00EA7963" w:rsidRDefault="00EA7963" w:rsidP="00EA7963">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Bajo este contexto, atendiendo a la información requerida resulta oportuno traer a colación los numerales 5, </w:t>
      </w:r>
      <w:r w:rsidRPr="001D13FF">
        <w:rPr>
          <w:rFonts w:ascii="Palatino Linotype" w:hAnsi="Palatino Linotype" w:cs="Arial"/>
          <w:sz w:val="24"/>
          <w:szCs w:val="24"/>
        </w:rPr>
        <w:t>48 y 49 de la</w:t>
      </w:r>
      <w:r>
        <w:rPr>
          <w:rFonts w:ascii="Palatino Linotype" w:hAnsi="Palatino Linotype" w:cs="Arial"/>
          <w:sz w:val="24"/>
          <w:szCs w:val="24"/>
        </w:rPr>
        <w:t xml:space="preserve"> Ley del Trabajo de los Servidores Públicos del Estado de México y Municipios, porciones normativas que disponen a la literalidad lo siguiente:</w:t>
      </w:r>
    </w:p>
    <w:p w14:paraId="31D0A67C" w14:textId="77777777" w:rsidR="00EA7963" w:rsidRPr="004E1060" w:rsidRDefault="00EA7963" w:rsidP="00EA7963">
      <w:pPr>
        <w:pStyle w:val="Citas"/>
      </w:pPr>
      <w:r w:rsidRPr="004E1060">
        <w:t>“</w:t>
      </w:r>
      <w:r w:rsidRPr="004E1060">
        <w:rPr>
          <w:b/>
        </w:rPr>
        <w:t>ARTÍCULO 5.-</w:t>
      </w:r>
      <w:r w:rsidRPr="004E1060">
        <w:t xml:space="preserve"> </w:t>
      </w:r>
      <w:r w:rsidRPr="0061768D">
        <w:rPr>
          <w:b/>
          <w:bCs/>
          <w:u w:val="single"/>
        </w:rPr>
        <w:t>La relación de trabajo entre las instituciones públicas y sus servidores públicos se entiende establecida mediante nombramiento, formato único de movimiento de personal, contrato o por cualquier otro acto</w:t>
      </w:r>
      <w:r w:rsidRPr="004E1060">
        <w:t xml:space="preserve"> </w:t>
      </w:r>
      <w:r w:rsidRPr="004E1060">
        <w:lastRenderedPageBreak/>
        <w:t>que tenga como consecuencia la prestación personal subordinada del servicio y la percepción de un sueldo.</w:t>
      </w:r>
    </w:p>
    <w:p w14:paraId="2C8FBF6F" w14:textId="77777777" w:rsidR="00EA7963" w:rsidRPr="004E1060" w:rsidRDefault="00EA7963" w:rsidP="00EA7963">
      <w:pPr>
        <w:pStyle w:val="Citas"/>
      </w:pPr>
      <w:r w:rsidRPr="004E1060">
        <w:t>Para los efectos de esta ley, las instituciones públicas estarán representadas por sus titulares.</w:t>
      </w:r>
    </w:p>
    <w:p w14:paraId="21AFDDBE" w14:textId="77777777" w:rsidR="00EA7963" w:rsidRPr="004E1060" w:rsidRDefault="00EA7963" w:rsidP="00EA7963">
      <w:pPr>
        <w:pStyle w:val="Citas"/>
      </w:pPr>
      <w:r w:rsidRPr="004E1060">
        <w:rPr>
          <w:b/>
        </w:rPr>
        <w:t>ARTÍCULO 48.</w:t>
      </w:r>
      <w:r w:rsidRPr="004E1060">
        <w:t xml:space="preserve"> Para iniciar la prestación de los servicios se requiere:</w:t>
      </w:r>
    </w:p>
    <w:p w14:paraId="72DA8262" w14:textId="77777777" w:rsidR="00EA7963" w:rsidRPr="0087668F" w:rsidRDefault="00EA7963" w:rsidP="00EA7963">
      <w:pPr>
        <w:pStyle w:val="Citas"/>
        <w:rPr>
          <w:b/>
          <w:bCs/>
          <w:u w:val="single"/>
        </w:rPr>
      </w:pPr>
      <w:r w:rsidRPr="0087668F">
        <w:rPr>
          <w:b/>
          <w:bCs/>
          <w:u w:val="single"/>
        </w:rPr>
        <w:t>I. Tener conferido el nombramiento, contrato respectivo o formato único de Movimientos de Personal;</w:t>
      </w:r>
    </w:p>
    <w:p w14:paraId="43C8EAEE" w14:textId="77777777" w:rsidR="00EA7963" w:rsidRPr="004E1060" w:rsidRDefault="00EA7963" w:rsidP="00EA7963">
      <w:pPr>
        <w:pStyle w:val="Citas"/>
      </w:pPr>
      <w:r w:rsidRPr="004E1060">
        <w:t>II. Rendir la protesta de ley en caso de nombramiento; y</w:t>
      </w:r>
    </w:p>
    <w:p w14:paraId="0DE973B9" w14:textId="77777777" w:rsidR="00EA7963" w:rsidRDefault="00EA7963" w:rsidP="00EA7963">
      <w:pPr>
        <w:pStyle w:val="Citas"/>
      </w:pPr>
      <w:r w:rsidRPr="004E1060">
        <w:t>III. Tomar posesión del cargo</w:t>
      </w:r>
      <w:r>
        <w:t xml:space="preserve">. </w:t>
      </w:r>
    </w:p>
    <w:p w14:paraId="500929B7" w14:textId="77777777" w:rsidR="00EA7963" w:rsidRPr="001D13FF" w:rsidRDefault="00EA7963" w:rsidP="00EA7963">
      <w:pPr>
        <w:pStyle w:val="Citas"/>
      </w:pPr>
      <w:r w:rsidRPr="001D13FF">
        <w:t>ARTÍCULO 49.- Los nombramientos, contratos o formato único de Movimientos de Personal de los servidores públicos deberá contener:</w:t>
      </w:r>
    </w:p>
    <w:p w14:paraId="0A924373" w14:textId="77777777" w:rsidR="00EA7963" w:rsidRPr="001D13FF" w:rsidRDefault="00EA7963" w:rsidP="00EA7963">
      <w:pPr>
        <w:pStyle w:val="Citas"/>
      </w:pPr>
      <w:r w:rsidRPr="001D13FF">
        <w:t xml:space="preserve">I. Nombre completo del servidor público; </w:t>
      </w:r>
    </w:p>
    <w:p w14:paraId="283250D2" w14:textId="77777777" w:rsidR="00EA7963" w:rsidRPr="001D13FF" w:rsidRDefault="00EA7963" w:rsidP="00EA7963">
      <w:pPr>
        <w:pStyle w:val="Citas"/>
      </w:pPr>
      <w:r w:rsidRPr="001D13FF">
        <w:t xml:space="preserve">II. Cargo para el que es designado, fecha de inicio de sus servicios y lugar de adscripción; </w:t>
      </w:r>
    </w:p>
    <w:p w14:paraId="2D534B0D" w14:textId="77777777" w:rsidR="00EA7963" w:rsidRPr="001D13FF" w:rsidRDefault="00EA7963" w:rsidP="00EA7963">
      <w:pPr>
        <w:pStyle w:val="Citas"/>
      </w:pPr>
      <w:r w:rsidRPr="001D13FF">
        <w:t xml:space="preserve">III. Carácter del nombramiento, ya sea de servidores públicos generales o de confianza, así como la temporalidad del mismo; </w:t>
      </w:r>
    </w:p>
    <w:p w14:paraId="6F73057D" w14:textId="77777777" w:rsidR="00EA7963" w:rsidRPr="001D13FF" w:rsidRDefault="00EA7963" w:rsidP="00EA7963">
      <w:pPr>
        <w:pStyle w:val="Citas"/>
      </w:pPr>
      <w:r w:rsidRPr="001D13FF">
        <w:t xml:space="preserve">IV. Remuneración correspondiente al puesto; </w:t>
      </w:r>
    </w:p>
    <w:p w14:paraId="2AA68F76" w14:textId="77777777" w:rsidR="00EA7963" w:rsidRPr="001D13FF" w:rsidRDefault="00EA7963" w:rsidP="00EA7963">
      <w:pPr>
        <w:pStyle w:val="Citas"/>
      </w:pPr>
      <w:r w:rsidRPr="001D13FF">
        <w:t xml:space="preserve">V. Jornada de trabajo; </w:t>
      </w:r>
    </w:p>
    <w:p w14:paraId="52DA6FDE" w14:textId="77777777" w:rsidR="00EA7963" w:rsidRPr="001D13FF" w:rsidRDefault="00EA7963" w:rsidP="00EA7963">
      <w:pPr>
        <w:pStyle w:val="Citas"/>
      </w:pPr>
      <w:r w:rsidRPr="001D13FF">
        <w:t xml:space="preserve">VI. Derogada; </w:t>
      </w:r>
    </w:p>
    <w:p w14:paraId="210274DD" w14:textId="77777777" w:rsidR="00EA7963" w:rsidRPr="003435C9" w:rsidRDefault="00EA7963" w:rsidP="00EA7963">
      <w:pPr>
        <w:pStyle w:val="Citas"/>
        <w:rPr>
          <w:b/>
          <w:bCs/>
        </w:rPr>
      </w:pPr>
      <w:r w:rsidRPr="001D13FF">
        <w:lastRenderedPageBreak/>
        <w:t xml:space="preserve">VII. Firma del servidor público autorizado para emitir el nombramiento, contrato o formato único de Movimientos de </w:t>
      </w:r>
      <w:proofErr w:type="spellStart"/>
      <w:r w:rsidRPr="001D13FF">
        <w:t>PersonaI</w:t>
      </w:r>
      <w:proofErr w:type="spellEnd"/>
      <w:r w:rsidRPr="001D13FF">
        <w:t xml:space="preserve">, así como el fundamento legal de esa atribución.” </w:t>
      </w:r>
      <w:r w:rsidRPr="001D13FF">
        <w:rPr>
          <w:b/>
          <w:bCs/>
        </w:rPr>
        <w:t>(Sic)</w:t>
      </w:r>
    </w:p>
    <w:p w14:paraId="7649F442" w14:textId="77777777" w:rsidR="00EA7963" w:rsidRDefault="00EA7963" w:rsidP="00EA7963">
      <w:pPr>
        <w:pStyle w:val="Citas"/>
      </w:pPr>
    </w:p>
    <w:p w14:paraId="30EB86C1" w14:textId="47543FAE" w:rsidR="00EA7963" w:rsidRPr="0007788E" w:rsidRDefault="00EA7963" w:rsidP="00E27526">
      <w:pPr>
        <w:pStyle w:val="Citas"/>
        <w:ind w:left="0" w:right="-18"/>
        <w:rPr>
          <w:i w:val="0"/>
          <w:iCs/>
          <w:sz w:val="24"/>
          <w:szCs w:val="24"/>
        </w:rPr>
      </w:pPr>
      <w:r w:rsidRPr="0007788E">
        <w:rPr>
          <w:i w:val="0"/>
          <w:iCs/>
          <w:sz w:val="24"/>
          <w:szCs w:val="24"/>
        </w:rPr>
        <w:t xml:space="preserve">En efecto, </w:t>
      </w:r>
      <w:r>
        <w:rPr>
          <w:i w:val="0"/>
          <w:iCs/>
          <w:sz w:val="24"/>
          <w:szCs w:val="24"/>
        </w:rPr>
        <w:t>la normatividad en cita consagra las distintas modalidades en que se formaliza la relación laboral con los servidores públicos. Asimismo, las modalidades para formalizar las relaciones laborales deberán de contener</w:t>
      </w:r>
      <w:r w:rsidR="00E27526">
        <w:rPr>
          <w:i w:val="0"/>
          <w:iCs/>
          <w:sz w:val="24"/>
          <w:szCs w:val="24"/>
        </w:rPr>
        <w:t xml:space="preserve"> un complejo entramado de elementos mínimos. </w:t>
      </w:r>
    </w:p>
    <w:p w14:paraId="72113CC1" w14:textId="555B2840" w:rsidR="00E27526" w:rsidRDefault="00E27526" w:rsidP="00E27526">
      <w:pPr>
        <w:spacing w:before="240" w:line="360" w:lineRule="auto"/>
        <w:jc w:val="both"/>
        <w:rPr>
          <w:rFonts w:ascii="Palatino Linotype" w:hAnsi="Palatino Linotype"/>
          <w:bCs/>
          <w:sz w:val="24"/>
          <w:szCs w:val="24"/>
        </w:rPr>
      </w:pPr>
      <w:r w:rsidRPr="00322E78">
        <w:rPr>
          <w:rFonts w:ascii="Palatino Linotype" w:hAnsi="Palatino Linotype" w:cs="Arial"/>
          <w:sz w:val="24"/>
          <w:szCs w:val="24"/>
        </w:rPr>
        <w:t xml:space="preserve">Por otra parte, es óbice mencionar que la información requerida estriba parcialmente en las obligaciones de transparencia común, lo anterior con fundamento </w:t>
      </w:r>
      <w:r w:rsidRPr="00322E78">
        <w:rPr>
          <w:rFonts w:ascii="Palatino Linotype" w:hAnsi="Palatino Linotype"/>
          <w:bCs/>
          <w:sz w:val="24"/>
          <w:szCs w:val="24"/>
        </w:rPr>
        <w:t xml:space="preserve">en </w:t>
      </w:r>
      <w:r>
        <w:rPr>
          <w:rFonts w:ascii="Palatino Linotype" w:hAnsi="Palatino Linotype"/>
          <w:bCs/>
          <w:sz w:val="24"/>
          <w:szCs w:val="24"/>
        </w:rPr>
        <w:t>los artículos</w:t>
      </w:r>
      <w:r w:rsidRPr="00322E78">
        <w:rPr>
          <w:rFonts w:ascii="Palatino Linotype" w:hAnsi="Palatino Linotype"/>
          <w:bCs/>
          <w:sz w:val="24"/>
          <w:szCs w:val="24"/>
        </w:rPr>
        <w:t xml:space="preserve"> 24, fracción XII, 92, </w:t>
      </w:r>
      <w:r>
        <w:rPr>
          <w:rFonts w:ascii="Palatino Linotype" w:hAnsi="Palatino Linotype"/>
          <w:bCs/>
          <w:sz w:val="24"/>
          <w:szCs w:val="24"/>
        </w:rPr>
        <w:t>fracción XII de la Ley de Transparencia y Acceso a la Información Pública del Estado de México y Municipios, porciones normativas que disponen a la literalidad lo siguiente:</w:t>
      </w:r>
    </w:p>
    <w:p w14:paraId="0038947B" w14:textId="77777777" w:rsidR="00E27526" w:rsidRDefault="00E27526" w:rsidP="00E27526">
      <w:pPr>
        <w:spacing w:before="240" w:line="360" w:lineRule="auto"/>
        <w:ind w:left="851" w:right="851"/>
        <w:jc w:val="both"/>
        <w:rPr>
          <w:rFonts w:ascii="Palatino Linotype" w:hAnsi="Palatino Linotype"/>
          <w:i/>
        </w:rPr>
      </w:pPr>
      <w:r w:rsidRPr="00E66BD3">
        <w:rPr>
          <w:rFonts w:ascii="Palatino Linotype" w:hAnsi="Palatino Linotype"/>
          <w:i/>
        </w:rPr>
        <w:t>“Artículo 24. Para el cumplimiento de los objetivos de esta Ley, los sujetos obligados deberán cumplir con las siguientes obligaciones, según corresponda, de acuerdo a su naturaleza:</w:t>
      </w:r>
    </w:p>
    <w:p w14:paraId="15A4DAD9" w14:textId="77777777" w:rsidR="00E27526" w:rsidRPr="00E66BD3" w:rsidRDefault="00E27526" w:rsidP="00E27526">
      <w:pPr>
        <w:spacing w:before="240" w:line="360" w:lineRule="auto"/>
        <w:ind w:left="851" w:right="851"/>
        <w:jc w:val="both"/>
        <w:rPr>
          <w:rFonts w:ascii="Palatino Linotype" w:hAnsi="Palatino Linotype"/>
          <w:i/>
        </w:rPr>
      </w:pPr>
      <w:r>
        <w:rPr>
          <w:rFonts w:ascii="Palatino Linotype" w:hAnsi="Palatino Linotype"/>
          <w:i/>
        </w:rPr>
        <w:t>(…)</w:t>
      </w:r>
    </w:p>
    <w:p w14:paraId="706C7818" w14:textId="77777777" w:rsidR="00E27526" w:rsidRDefault="00E27526" w:rsidP="00E27526">
      <w:pPr>
        <w:spacing w:before="240" w:line="360" w:lineRule="auto"/>
        <w:ind w:left="851" w:right="851"/>
        <w:jc w:val="both"/>
        <w:rPr>
          <w:rFonts w:ascii="Palatino Linotype" w:hAnsi="Palatino Linotype"/>
          <w:bCs/>
          <w:i/>
        </w:rPr>
      </w:pPr>
      <w:r w:rsidRPr="000C0AAF">
        <w:rPr>
          <w:rFonts w:ascii="Palatino Linotype" w:hAnsi="Palatino Linotype"/>
          <w:bCs/>
          <w:i/>
        </w:rPr>
        <w:t>XII. Publicar y mantener actualizada la información relativa a las obligaciones generales de transparencia previstas en la presente Ley o determinadas así por el Instituto, y en general aquella que sea de interés público;</w:t>
      </w:r>
    </w:p>
    <w:p w14:paraId="0C4820F2" w14:textId="77777777" w:rsidR="00E27526" w:rsidRDefault="00E27526" w:rsidP="00E27526">
      <w:pPr>
        <w:spacing w:before="240" w:line="360" w:lineRule="auto"/>
        <w:ind w:left="851" w:right="851"/>
        <w:jc w:val="both"/>
        <w:rPr>
          <w:rFonts w:ascii="Palatino Linotype" w:hAnsi="Palatino Linotype"/>
          <w:bCs/>
          <w:i/>
        </w:rPr>
      </w:pPr>
      <w:r>
        <w:rPr>
          <w:rFonts w:ascii="Palatino Linotype" w:hAnsi="Palatino Linotype"/>
          <w:bCs/>
          <w:i/>
        </w:rPr>
        <w:t>(…)</w:t>
      </w:r>
    </w:p>
    <w:p w14:paraId="4624A314" w14:textId="77777777" w:rsidR="00E27526" w:rsidRDefault="00E27526" w:rsidP="00E27526">
      <w:pPr>
        <w:spacing w:before="240" w:line="360" w:lineRule="auto"/>
        <w:ind w:left="851" w:right="851"/>
        <w:jc w:val="both"/>
        <w:rPr>
          <w:rFonts w:ascii="Palatino Linotype" w:hAnsi="Palatino Linotype"/>
          <w:bCs/>
          <w:sz w:val="24"/>
          <w:szCs w:val="24"/>
        </w:rPr>
      </w:pPr>
      <w:r w:rsidRPr="00E66BD3">
        <w:rPr>
          <w:rFonts w:ascii="Palatino Linotype" w:hAnsi="Palatino Linotype"/>
          <w:i/>
        </w:rPr>
        <w:lastRenderedPageBreak/>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69114D4" w14:textId="77777777" w:rsidR="00E27526" w:rsidRDefault="00E27526" w:rsidP="00E27526">
      <w:pPr>
        <w:pStyle w:val="Citas"/>
      </w:pPr>
      <w:r>
        <w:t>(…)</w:t>
      </w:r>
    </w:p>
    <w:p w14:paraId="2BE7BECE" w14:textId="5A68C920" w:rsidR="00E27526" w:rsidRDefault="00E27526" w:rsidP="00E27526">
      <w:pPr>
        <w:pStyle w:val="Citas"/>
      </w:pPr>
      <w:r>
        <w:t>XII. El perfil de los puestos de los servidores públicos a su servicio en los casos que aplique;</w:t>
      </w:r>
    </w:p>
    <w:p w14:paraId="7A7F0CAB" w14:textId="02BCFC74" w:rsidR="00E27526" w:rsidRPr="00E27526" w:rsidRDefault="00E27526" w:rsidP="00E27526">
      <w:pPr>
        <w:pStyle w:val="Citas"/>
        <w:rPr>
          <w:b/>
          <w:bCs/>
        </w:rPr>
      </w:pPr>
      <w:r>
        <w:t xml:space="preserve">(…)” </w:t>
      </w:r>
      <w:r>
        <w:rPr>
          <w:b/>
          <w:bCs/>
        </w:rPr>
        <w:t>(Sic)</w:t>
      </w:r>
    </w:p>
    <w:p w14:paraId="2336EE13" w14:textId="77777777" w:rsidR="00E27526" w:rsidRDefault="00E27526" w:rsidP="001810AA">
      <w:pPr>
        <w:autoSpaceDE w:val="0"/>
        <w:autoSpaceDN w:val="0"/>
        <w:adjustRightInd w:val="0"/>
        <w:spacing w:before="240" w:line="360" w:lineRule="auto"/>
        <w:jc w:val="both"/>
        <w:rPr>
          <w:rFonts w:ascii="Palatino Linotype" w:eastAsia="MS Mincho" w:hAnsi="Palatino Linotype" w:cs="Tahoma"/>
          <w:sz w:val="24"/>
          <w:szCs w:val="24"/>
        </w:rPr>
      </w:pPr>
    </w:p>
    <w:p w14:paraId="76A913D5" w14:textId="4AE17F1C" w:rsidR="00031BB2" w:rsidRDefault="00E27526" w:rsidP="001810AA">
      <w:pPr>
        <w:autoSpaceDE w:val="0"/>
        <w:autoSpaceDN w:val="0"/>
        <w:adjustRightInd w:val="0"/>
        <w:spacing w:before="240" w:line="360" w:lineRule="auto"/>
        <w:jc w:val="both"/>
        <w:rPr>
          <w:rFonts w:ascii="Palatino Linotype" w:hAnsi="Palatino Linotype"/>
          <w:sz w:val="24"/>
          <w:szCs w:val="24"/>
        </w:rPr>
      </w:pPr>
      <w:r w:rsidRPr="00D9557E">
        <w:rPr>
          <w:rFonts w:ascii="Palatino Linotype" w:eastAsia="MS Mincho" w:hAnsi="Palatino Linotype" w:cs="Tahoma"/>
          <w:sz w:val="24"/>
          <w:szCs w:val="24"/>
        </w:rPr>
        <w:t xml:space="preserve">Así la Ley de Transparencia y Acceso a la Información Pública del Estado de México y Municipios </w:t>
      </w:r>
      <w:r w:rsidRPr="00D9557E">
        <w:rPr>
          <w:rFonts w:ascii="Palatino Linotype" w:eastAsia="Arial Unicode MS" w:hAnsi="Palatino Linotype" w:cs="Arial"/>
          <w:sz w:val="24"/>
          <w:szCs w:val="24"/>
        </w:rPr>
        <w:t xml:space="preserve">en el artículo 92 </w:t>
      </w:r>
      <w:r>
        <w:rPr>
          <w:rFonts w:ascii="Palatino Linotype" w:eastAsia="Arial Unicode MS" w:hAnsi="Palatino Linotype" w:cs="Arial"/>
          <w:sz w:val="24"/>
          <w:szCs w:val="24"/>
        </w:rPr>
        <w:t xml:space="preserve">fracción </w:t>
      </w:r>
      <w:r>
        <w:rPr>
          <w:rFonts w:ascii="Palatino Linotype" w:hAnsi="Palatino Linotype"/>
          <w:bCs/>
          <w:sz w:val="24"/>
          <w:szCs w:val="24"/>
        </w:rPr>
        <w:t xml:space="preserve">XII de la Ley de Transparencia y Acceso a la Información Pública del Estado de México y Municipios </w:t>
      </w:r>
      <w:r w:rsidRPr="00D9557E">
        <w:rPr>
          <w:rFonts w:ascii="Palatino Linotype" w:eastAsia="Arial Unicode MS" w:hAnsi="Palatino Linotype"/>
          <w:sz w:val="24"/>
          <w:szCs w:val="24"/>
        </w:rPr>
        <w:t>señala que la información requerida respecto de</w:t>
      </w:r>
      <w:r>
        <w:rPr>
          <w:rFonts w:ascii="Palatino Linotype" w:eastAsia="Arial Unicode MS" w:hAnsi="Palatino Linotype"/>
          <w:sz w:val="24"/>
          <w:szCs w:val="24"/>
        </w:rPr>
        <w:t xml:space="preserve"> perfil de puestos de servidores </w:t>
      </w:r>
      <w:r w:rsidR="00DA33A3">
        <w:rPr>
          <w:rFonts w:ascii="Palatino Linotype" w:eastAsia="Arial Unicode MS" w:hAnsi="Palatino Linotype"/>
          <w:sz w:val="24"/>
          <w:szCs w:val="24"/>
        </w:rPr>
        <w:t>públicos (funciones y atribuciones)</w:t>
      </w:r>
      <w:r>
        <w:rPr>
          <w:rFonts w:ascii="Palatino Linotype" w:eastAsia="Arial Unicode MS" w:hAnsi="Palatino Linotype"/>
          <w:sz w:val="24"/>
          <w:szCs w:val="24"/>
        </w:rPr>
        <w:t xml:space="preserve"> se trata de una obligación de transparencia común. Robustece lo anterior las siguientes imágenes ilustrativas correspondientes a la tabla de aplicabilidad:</w:t>
      </w:r>
    </w:p>
    <w:p w14:paraId="23067621" w14:textId="1AB21F31" w:rsidR="00E27526" w:rsidRDefault="001D5AC2" w:rsidP="001810AA">
      <w:pPr>
        <w:autoSpaceDE w:val="0"/>
        <w:autoSpaceDN w:val="0"/>
        <w:adjustRightInd w:val="0"/>
        <w:spacing w:before="240" w:line="360" w:lineRule="auto"/>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886579" behindDoc="0" locked="0" layoutInCell="1" allowOverlap="1" wp14:anchorId="3E636069" wp14:editId="5C515EF5">
                <wp:simplePos x="0" y="0"/>
                <wp:positionH relativeFrom="column">
                  <wp:posOffset>-51435</wp:posOffset>
                </wp:positionH>
                <wp:positionV relativeFrom="paragraph">
                  <wp:posOffset>93980</wp:posOffset>
                </wp:positionV>
                <wp:extent cx="5969000" cy="1860550"/>
                <wp:effectExtent l="0" t="0" r="31750" b="25400"/>
                <wp:wrapNone/>
                <wp:docPr id="1961023223" name="Straight Connector 18"/>
                <wp:cNvGraphicFramePr/>
                <a:graphic xmlns:a="http://schemas.openxmlformats.org/drawingml/2006/main">
                  <a:graphicData uri="http://schemas.microsoft.com/office/word/2010/wordprocessingShape">
                    <wps:wsp>
                      <wps:cNvCnPr/>
                      <wps:spPr>
                        <a:xfrm>
                          <a:off x="0" y="0"/>
                          <a:ext cx="5969000" cy="1860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DED372B" id="Straight Connector 18" o:spid="_x0000_s1026" style="position:absolute;z-index:251886579;visibility:visible;mso-wrap-style:square;mso-wrap-distance-left:9pt;mso-wrap-distance-top:0;mso-wrap-distance-right:9pt;mso-wrap-distance-bottom:0;mso-position-horizontal:absolute;mso-position-horizontal-relative:text;mso-position-vertical:absolute;mso-position-vertical-relative:text" from="-4.05pt,7.4pt" to="465.95pt,1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" strokecolor="#5b9bd5 [3204]" strokeweight=".5pt">
                <v:stroke joinstyle="miter"/>
              </v:line>
            </w:pict>
          </mc:Fallback>
        </mc:AlternateContent>
      </w:r>
    </w:p>
    <w:p w14:paraId="49DF134F" w14:textId="47BC05E0" w:rsidR="00DA33A3" w:rsidRDefault="008D57CF" w:rsidP="00E04DB7">
      <w:pPr>
        <w:spacing w:before="240" w:line="360" w:lineRule="auto"/>
        <w:jc w:val="both"/>
        <w:rPr>
          <w:rFonts w:ascii="Palatino Linotype" w:hAnsi="Palatino Linotype"/>
          <w:sz w:val="24"/>
          <w:szCs w:val="24"/>
        </w:rPr>
      </w:pPr>
      <w:r>
        <w:rPr>
          <w:rFonts w:ascii="Palatino Linotype" w:hAnsi="Palatino Linotype"/>
          <w:noProof/>
          <w:sz w:val="24"/>
          <w:szCs w:val="24"/>
          <w:lang w:eastAsia="es-MX"/>
        </w:rPr>
        <w:lastRenderedPageBreak/>
        <w:drawing>
          <wp:anchor distT="0" distB="0" distL="114300" distR="114300" simplePos="0" relativeHeight="251882483" behindDoc="0" locked="0" layoutInCell="1" allowOverlap="1" wp14:anchorId="1DFE6563" wp14:editId="133A4E80">
            <wp:simplePos x="0" y="0"/>
            <wp:positionH relativeFrom="page">
              <wp:align>center</wp:align>
            </wp:positionH>
            <wp:positionV relativeFrom="paragraph">
              <wp:posOffset>3749675</wp:posOffset>
            </wp:positionV>
            <wp:extent cx="5753100" cy="3282950"/>
            <wp:effectExtent l="19050" t="19050" r="19050" b="12700"/>
            <wp:wrapThrough wrapText="bothSides">
              <wp:wrapPolygon edited="0">
                <wp:start x="-72" y="-125"/>
                <wp:lineTo x="-72" y="21558"/>
                <wp:lineTo x="21600" y="21558"/>
                <wp:lineTo x="21600" y="-125"/>
                <wp:lineTo x="-72" y="-125"/>
              </wp:wrapPolygon>
            </wp:wrapThrough>
            <wp:docPr id="14071753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32829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noProof/>
          <w:sz w:val="24"/>
          <w:szCs w:val="24"/>
          <w:lang w:eastAsia="es-MX"/>
        </w:rPr>
        <w:drawing>
          <wp:anchor distT="0" distB="0" distL="114300" distR="114300" simplePos="0" relativeHeight="251881459" behindDoc="0" locked="0" layoutInCell="1" allowOverlap="1" wp14:anchorId="78290820" wp14:editId="7CDDE2A8">
            <wp:simplePos x="0" y="0"/>
            <wp:positionH relativeFrom="page">
              <wp:align>center</wp:align>
            </wp:positionH>
            <wp:positionV relativeFrom="paragraph">
              <wp:posOffset>22225</wp:posOffset>
            </wp:positionV>
            <wp:extent cx="5746750" cy="3295650"/>
            <wp:effectExtent l="19050" t="19050" r="25400" b="19050"/>
            <wp:wrapThrough wrapText="bothSides">
              <wp:wrapPolygon edited="0">
                <wp:start x="-72" y="-125"/>
                <wp:lineTo x="-72" y="21600"/>
                <wp:lineTo x="21624" y="21600"/>
                <wp:lineTo x="21624" y="-125"/>
                <wp:lineTo x="-72" y="-125"/>
              </wp:wrapPolygon>
            </wp:wrapThrough>
            <wp:docPr id="3127694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6750" cy="32956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A87C950" w14:textId="3100C1B2" w:rsidR="008D57CF" w:rsidRDefault="008D57CF" w:rsidP="00E04DB7">
      <w:pPr>
        <w:spacing w:before="240" w:line="360" w:lineRule="auto"/>
        <w:jc w:val="both"/>
        <w:rPr>
          <w:rFonts w:ascii="Palatino Linotype" w:hAnsi="Palatino Linotype"/>
          <w:sz w:val="24"/>
          <w:szCs w:val="24"/>
        </w:rPr>
      </w:pPr>
      <w:r>
        <w:rPr>
          <w:rFonts w:ascii="Palatino Linotype" w:hAnsi="Palatino Linotype"/>
          <w:noProof/>
          <w:sz w:val="24"/>
          <w:szCs w:val="24"/>
          <w:lang w:eastAsia="es-MX"/>
        </w:rPr>
        <w:lastRenderedPageBreak/>
        <w:drawing>
          <wp:anchor distT="0" distB="0" distL="114300" distR="114300" simplePos="0" relativeHeight="251883507" behindDoc="0" locked="0" layoutInCell="1" allowOverlap="1" wp14:anchorId="1BB629FE" wp14:editId="1CC89C4D">
            <wp:simplePos x="0" y="0"/>
            <wp:positionH relativeFrom="page">
              <wp:align>center</wp:align>
            </wp:positionH>
            <wp:positionV relativeFrom="paragraph">
              <wp:posOffset>19050</wp:posOffset>
            </wp:positionV>
            <wp:extent cx="5759450" cy="3276600"/>
            <wp:effectExtent l="19050" t="19050" r="12700" b="19050"/>
            <wp:wrapThrough wrapText="bothSides">
              <wp:wrapPolygon edited="0">
                <wp:start x="-71" y="-126"/>
                <wp:lineTo x="-71" y="21600"/>
                <wp:lineTo x="21576" y="21600"/>
                <wp:lineTo x="21576" y="-126"/>
                <wp:lineTo x="-71" y="-126"/>
              </wp:wrapPolygon>
            </wp:wrapThrough>
            <wp:docPr id="118919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32766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2CBD9BB" w14:textId="77777777" w:rsidR="008D57CF" w:rsidRDefault="008D57CF" w:rsidP="008D57CF">
      <w:pPr>
        <w:spacing w:line="360" w:lineRule="auto"/>
        <w:jc w:val="both"/>
        <w:rPr>
          <w:rFonts w:ascii="Palatino Linotype" w:hAnsi="Palatino Linotype" w:cs="Arial"/>
          <w:sz w:val="24"/>
          <w:szCs w:val="24"/>
        </w:rPr>
      </w:pPr>
      <w:r>
        <w:rPr>
          <w:rFonts w:ascii="Palatino Linotype" w:hAnsi="Palatino Linotype" w:cs="Arial"/>
          <w:sz w:val="24"/>
          <w:szCs w:val="24"/>
        </w:rPr>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016CA125" w14:textId="77777777" w:rsidR="008D57CF" w:rsidRDefault="008D57CF" w:rsidP="008D57CF">
      <w:pPr>
        <w:pStyle w:val="Citas"/>
      </w:pPr>
      <w:r>
        <w:t xml:space="preserve">“Artículo 18. Los sujetos obligados deberán documentar todo acto que derive del ejercicio de sus facultades, competencias o funciones, considerando desde su origen la eventual publicidad y reutilización de la información que generen. </w:t>
      </w:r>
    </w:p>
    <w:p w14:paraId="3F6EC37C" w14:textId="77777777" w:rsidR="008D57CF" w:rsidRDefault="008D57CF" w:rsidP="008D57CF">
      <w:pPr>
        <w:pStyle w:val="Citas"/>
      </w:pPr>
      <w:r>
        <w:t xml:space="preserve">Artículo 19. Se presume que la información debe existir si se refiere a las facultades, competencias y funciones que los ordenamientos jurídicos aplicables otorgan a los sujetos obligados. </w:t>
      </w:r>
    </w:p>
    <w:p w14:paraId="174E4AFC" w14:textId="77777777" w:rsidR="008D57CF" w:rsidRDefault="008D57CF" w:rsidP="008D57CF">
      <w:pPr>
        <w:pStyle w:val="Citas"/>
      </w:pPr>
      <w:r>
        <w:lastRenderedPageBreak/>
        <w:t xml:space="preserve">En los casos en que ciertas facultades, competencias o funciones no se hayan ejercido, se debe motivar la respuesta en función de las causas que motiven tal circunstancia. </w:t>
      </w:r>
    </w:p>
    <w:p w14:paraId="319F69CF" w14:textId="77777777" w:rsidR="008D57CF" w:rsidRPr="00407C65" w:rsidRDefault="008D57CF" w:rsidP="008D57CF">
      <w:pPr>
        <w:pStyle w:val="Citas"/>
        <w:rPr>
          <w:b/>
          <w:bCs/>
          <w:sz w:val="24"/>
          <w:szCs w:val="24"/>
        </w:rPr>
      </w:pPr>
      <w: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Pr>
          <w:b/>
          <w:bCs/>
        </w:rPr>
        <w:t>(Sic)</w:t>
      </w:r>
    </w:p>
    <w:p w14:paraId="2AA26521" w14:textId="0951C3A8" w:rsidR="008D57CF" w:rsidRDefault="008D57CF" w:rsidP="00E04DB7">
      <w:pPr>
        <w:spacing w:before="240" w:line="360" w:lineRule="auto"/>
        <w:jc w:val="both"/>
        <w:rPr>
          <w:rFonts w:ascii="Palatino Linotype" w:hAnsi="Palatino Linotype"/>
          <w:sz w:val="24"/>
          <w:szCs w:val="24"/>
        </w:rPr>
      </w:pPr>
    </w:p>
    <w:p w14:paraId="77C3E6EA" w14:textId="4E0BA912" w:rsidR="008D57CF" w:rsidRDefault="00E04DB7" w:rsidP="00E04DB7">
      <w:pPr>
        <w:spacing w:before="240" w:line="360" w:lineRule="auto"/>
        <w:jc w:val="both"/>
        <w:rPr>
          <w:rFonts w:ascii="Palatino Linotype" w:hAnsi="Palatino Linotype"/>
          <w:sz w:val="24"/>
          <w:szCs w:val="24"/>
        </w:rPr>
      </w:pPr>
      <w:r w:rsidRPr="00A56A13">
        <w:rPr>
          <w:rFonts w:ascii="Palatino Linotype" w:hAnsi="Palatino Linotype"/>
          <w:sz w:val="24"/>
          <w:szCs w:val="24"/>
        </w:rPr>
        <w:t xml:space="preserve">Una vez sentado lo anterior, como se mencionó en el </w:t>
      </w:r>
      <w:r>
        <w:rPr>
          <w:rFonts w:ascii="Palatino Linotype" w:hAnsi="Palatino Linotype"/>
          <w:sz w:val="24"/>
          <w:szCs w:val="24"/>
        </w:rPr>
        <w:t xml:space="preserve">antecedente </w:t>
      </w:r>
      <w:r w:rsidR="008D57CF">
        <w:rPr>
          <w:rFonts w:ascii="Palatino Linotype" w:hAnsi="Palatino Linotype"/>
          <w:sz w:val="24"/>
          <w:szCs w:val="24"/>
        </w:rPr>
        <w:t>segundo</w:t>
      </w:r>
      <w:r>
        <w:rPr>
          <w:rFonts w:ascii="Palatino Linotype" w:hAnsi="Palatino Linotype"/>
          <w:sz w:val="24"/>
          <w:szCs w:val="24"/>
        </w:rPr>
        <w:t xml:space="preserve">, </w:t>
      </w:r>
      <w:r>
        <w:rPr>
          <w:rFonts w:ascii="Palatino Linotype" w:hAnsi="Palatino Linotype"/>
          <w:b/>
          <w:bCs/>
          <w:sz w:val="24"/>
          <w:szCs w:val="24"/>
        </w:rPr>
        <w:t xml:space="preserve">El Sujeto Obligado </w:t>
      </w:r>
      <w:r>
        <w:rPr>
          <w:rFonts w:ascii="Palatino Linotype" w:hAnsi="Palatino Linotype"/>
          <w:sz w:val="24"/>
          <w:szCs w:val="24"/>
        </w:rPr>
        <w:t>en fecha</w:t>
      </w:r>
      <w:r w:rsidR="008D57CF">
        <w:rPr>
          <w:rFonts w:ascii="Palatino Linotype" w:hAnsi="Palatino Linotype"/>
          <w:sz w:val="24"/>
          <w:szCs w:val="24"/>
        </w:rPr>
        <w:t xml:space="preserve"> veintitrés de agosto de dos mil veintitrés, rindió su respuesta a la solicitud de información formulada por el particular, adjuntando para tal efecto lo siguiente:</w:t>
      </w:r>
    </w:p>
    <w:p w14:paraId="29335739" w14:textId="0BD54F98" w:rsidR="008D57CF" w:rsidRPr="008D57CF" w:rsidRDefault="008D57CF" w:rsidP="002D733B">
      <w:pPr>
        <w:pStyle w:val="Prrafodelista"/>
        <w:numPr>
          <w:ilvl w:val="0"/>
          <w:numId w:val="9"/>
        </w:numPr>
        <w:spacing w:before="240" w:line="360" w:lineRule="auto"/>
        <w:jc w:val="both"/>
        <w:rPr>
          <w:rFonts w:ascii="Palatino Linotype" w:hAnsi="Palatino Linotype"/>
          <w:b/>
          <w:bCs/>
        </w:rPr>
      </w:pPr>
      <w:r w:rsidRPr="008D57CF">
        <w:rPr>
          <w:rFonts w:ascii="Palatino Linotype" w:hAnsi="Palatino Linotype"/>
          <w:b/>
          <w:bCs/>
        </w:rPr>
        <w:t xml:space="preserve">“Respuesta al </w:t>
      </w:r>
      <w:proofErr w:type="spellStart"/>
      <w:r w:rsidRPr="008D57CF">
        <w:rPr>
          <w:rFonts w:ascii="Palatino Linotype" w:hAnsi="Palatino Linotype"/>
          <w:b/>
          <w:bCs/>
        </w:rPr>
        <w:t>solic</w:t>
      </w:r>
      <w:proofErr w:type="spellEnd"/>
      <w:r w:rsidRPr="008D57CF">
        <w:rPr>
          <w:rFonts w:ascii="Palatino Linotype" w:hAnsi="Palatino Linotype"/>
          <w:b/>
          <w:bCs/>
        </w:rPr>
        <w:t xml:space="preserve"> 249.pdf”: </w:t>
      </w:r>
      <w:r w:rsidRPr="008D57CF">
        <w:rPr>
          <w:rFonts w:ascii="Palatino Linotype" w:hAnsi="Palatino Linotype"/>
        </w:rPr>
        <w:t xml:space="preserve">Oficio número </w:t>
      </w:r>
      <w:r w:rsidRPr="008D57CF">
        <w:rPr>
          <w:rFonts w:ascii="Palatino Linotype" w:hAnsi="Palatino Linotype"/>
          <w:b/>
          <w:bCs/>
        </w:rPr>
        <w:t xml:space="preserve">PM/UT/CAMG/0826/2023 </w:t>
      </w:r>
      <w:r w:rsidRPr="008D57CF">
        <w:rPr>
          <w:rFonts w:ascii="Palatino Linotype" w:hAnsi="Palatino Linotype"/>
        </w:rPr>
        <w:t>signado por el titular de la unidad de transparencia y dirigido al solicitante, de fecha veintitrés de agosto de dos mil veintitrés, en lo medular refiere adjuntar respuesta emitida por el servidor público habilitado.</w:t>
      </w:r>
      <w:r w:rsidRPr="008D57CF">
        <w:rPr>
          <w:rFonts w:ascii="Palatino Linotype" w:hAnsi="Palatino Linotype"/>
          <w:b/>
          <w:bCs/>
        </w:rPr>
        <w:t xml:space="preserve"> </w:t>
      </w:r>
    </w:p>
    <w:p w14:paraId="4CC55E9F" w14:textId="2CFF0920" w:rsidR="008D57CF" w:rsidRPr="008D57CF" w:rsidRDefault="008D57CF" w:rsidP="002D733B">
      <w:pPr>
        <w:pStyle w:val="Prrafodelista"/>
        <w:numPr>
          <w:ilvl w:val="0"/>
          <w:numId w:val="9"/>
        </w:numPr>
        <w:spacing w:before="240" w:line="360" w:lineRule="auto"/>
        <w:jc w:val="both"/>
        <w:rPr>
          <w:rFonts w:ascii="Palatino Linotype" w:hAnsi="Palatino Linotype"/>
          <w:b/>
          <w:bCs/>
        </w:rPr>
      </w:pPr>
      <w:r>
        <w:rPr>
          <w:rFonts w:ascii="Palatino Linotype" w:hAnsi="Palatino Linotype"/>
          <w:b/>
          <w:bCs/>
        </w:rPr>
        <w:t>“</w:t>
      </w:r>
      <w:proofErr w:type="spellStart"/>
      <w:r>
        <w:rPr>
          <w:rFonts w:ascii="Palatino Linotype" w:hAnsi="Palatino Linotype"/>
          <w:b/>
          <w:bCs/>
        </w:rPr>
        <w:t>Admon</w:t>
      </w:r>
      <w:proofErr w:type="spellEnd"/>
      <w:r>
        <w:rPr>
          <w:rFonts w:ascii="Palatino Linotype" w:hAnsi="Palatino Linotype"/>
          <w:b/>
          <w:bCs/>
        </w:rPr>
        <w:t xml:space="preserve"> 249.pdf”: </w:t>
      </w:r>
      <w:r>
        <w:rPr>
          <w:rFonts w:ascii="Palatino Linotype" w:hAnsi="Palatino Linotype"/>
        </w:rPr>
        <w:t>Compila lo siguiente:</w:t>
      </w:r>
    </w:p>
    <w:p w14:paraId="5FD257FA" w14:textId="33646BE1" w:rsidR="008D57CF" w:rsidRDefault="008D57CF" w:rsidP="002D733B">
      <w:pPr>
        <w:pStyle w:val="Prrafodelista"/>
        <w:numPr>
          <w:ilvl w:val="0"/>
          <w:numId w:val="10"/>
        </w:numPr>
        <w:spacing w:before="240" w:line="360" w:lineRule="auto"/>
        <w:jc w:val="both"/>
        <w:rPr>
          <w:rFonts w:ascii="Palatino Linotype" w:hAnsi="Palatino Linotype"/>
          <w:b/>
          <w:bCs/>
        </w:rPr>
      </w:pPr>
      <w:r>
        <w:rPr>
          <w:rFonts w:ascii="Palatino Linotype" w:hAnsi="Palatino Linotype"/>
        </w:rPr>
        <w:t xml:space="preserve">Oficio número </w:t>
      </w:r>
      <w:r>
        <w:rPr>
          <w:rFonts w:ascii="Palatino Linotype" w:hAnsi="Palatino Linotype"/>
          <w:b/>
          <w:bCs/>
        </w:rPr>
        <w:t xml:space="preserve">DA/1605/2023 </w:t>
      </w:r>
      <w:r>
        <w:rPr>
          <w:rFonts w:ascii="Palatino Linotype" w:hAnsi="Palatino Linotype"/>
        </w:rPr>
        <w:t xml:space="preserve">signado por la directora de administración y dirigido al titular de la unidad de transparencia, de fecha veintidós de agosto de dos mil veintitrés, </w:t>
      </w:r>
      <w:r w:rsidR="008D65E5">
        <w:rPr>
          <w:rFonts w:ascii="Palatino Linotype" w:hAnsi="Palatino Linotype"/>
        </w:rPr>
        <w:t xml:space="preserve">refiere adjuntar nombramiento de la servidora pública referida en la solicitud de información </w:t>
      </w:r>
      <w:r w:rsidR="008D65E5">
        <w:rPr>
          <w:rFonts w:ascii="Palatino Linotype" w:hAnsi="Palatino Linotype"/>
          <w:b/>
          <w:bCs/>
        </w:rPr>
        <w:t>00249/COACALCO/IP/2023.</w:t>
      </w:r>
    </w:p>
    <w:p w14:paraId="3445A824" w14:textId="234A23CF" w:rsidR="008D65E5" w:rsidRPr="008D57CF" w:rsidRDefault="008D65E5" w:rsidP="002D733B">
      <w:pPr>
        <w:pStyle w:val="Prrafodelista"/>
        <w:numPr>
          <w:ilvl w:val="0"/>
          <w:numId w:val="10"/>
        </w:numPr>
        <w:spacing w:before="240" w:line="360" w:lineRule="auto"/>
        <w:jc w:val="both"/>
        <w:rPr>
          <w:rFonts w:ascii="Palatino Linotype" w:hAnsi="Palatino Linotype"/>
          <w:b/>
          <w:bCs/>
        </w:rPr>
      </w:pPr>
      <w:r>
        <w:rPr>
          <w:rFonts w:ascii="Palatino Linotype" w:hAnsi="Palatino Linotype"/>
        </w:rPr>
        <w:lastRenderedPageBreak/>
        <w:t xml:space="preserve">Nombramiento signado por la directora de administración y expedido a favor de la C. París </w:t>
      </w:r>
      <w:proofErr w:type="spellStart"/>
      <w:r>
        <w:rPr>
          <w:rFonts w:ascii="Palatino Linotype" w:hAnsi="Palatino Linotype"/>
        </w:rPr>
        <w:t>Vidals</w:t>
      </w:r>
      <w:proofErr w:type="spellEnd"/>
      <w:r>
        <w:rPr>
          <w:rFonts w:ascii="Palatino Linotype" w:hAnsi="Palatino Linotype"/>
        </w:rPr>
        <w:t xml:space="preserve"> Navarrete, para efectos de ejercer el cargo de enlace administrativo de presidencia, con efectos a partir del dos de enero de dos mil veintidós. </w:t>
      </w:r>
    </w:p>
    <w:p w14:paraId="5E8F9051" w14:textId="77777777" w:rsidR="008D57CF" w:rsidRDefault="008D57CF" w:rsidP="00E04DB7">
      <w:pPr>
        <w:spacing w:before="240" w:line="360" w:lineRule="auto"/>
        <w:jc w:val="both"/>
        <w:rPr>
          <w:rFonts w:ascii="Palatino Linotype" w:hAnsi="Palatino Linotype"/>
          <w:sz w:val="24"/>
          <w:szCs w:val="24"/>
        </w:rPr>
      </w:pPr>
    </w:p>
    <w:p w14:paraId="71FA15EA" w14:textId="37A5EEB0" w:rsidR="008D65E5" w:rsidRDefault="00B77272" w:rsidP="00E663AF">
      <w:pPr>
        <w:spacing w:before="240" w:line="360" w:lineRule="auto"/>
        <w:jc w:val="both"/>
        <w:rPr>
          <w:rFonts w:ascii="Palatino Linotype" w:hAnsi="Palatino Linotype"/>
          <w:sz w:val="24"/>
          <w:szCs w:val="24"/>
        </w:rPr>
      </w:pPr>
      <w:r>
        <w:rPr>
          <w:rFonts w:ascii="Palatino Linotype" w:hAnsi="Palatino Linotype"/>
          <w:sz w:val="24"/>
          <w:szCs w:val="24"/>
        </w:rPr>
        <w:t xml:space="preserve">Inconforme con la respuesta del </w:t>
      </w:r>
      <w:r>
        <w:rPr>
          <w:rFonts w:ascii="Palatino Linotype" w:hAnsi="Palatino Linotype"/>
          <w:b/>
          <w:bCs/>
          <w:sz w:val="24"/>
          <w:szCs w:val="24"/>
        </w:rPr>
        <w:t xml:space="preserve">Sujeto Obligado, </w:t>
      </w:r>
      <w:r w:rsidR="001D5AC2">
        <w:rPr>
          <w:rFonts w:ascii="Palatino Linotype" w:hAnsi="Palatino Linotype"/>
          <w:b/>
          <w:bCs/>
          <w:sz w:val="24"/>
          <w:szCs w:val="24"/>
        </w:rPr>
        <w:t>La</w:t>
      </w:r>
      <w:r>
        <w:rPr>
          <w:rFonts w:ascii="Palatino Linotype" w:hAnsi="Palatino Linotype"/>
          <w:b/>
          <w:bCs/>
          <w:sz w:val="24"/>
          <w:szCs w:val="24"/>
        </w:rPr>
        <w:t xml:space="preserve"> Recurrente </w:t>
      </w:r>
      <w:r>
        <w:rPr>
          <w:rFonts w:ascii="Palatino Linotype" w:hAnsi="Palatino Linotype"/>
          <w:sz w:val="24"/>
          <w:szCs w:val="24"/>
        </w:rPr>
        <w:t xml:space="preserve">interpuso recurso de revisión en fecha </w:t>
      </w:r>
      <w:r w:rsidR="008D65E5">
        <w:rPr>
          <w:rFonts w:ascii="Palatino Linotype" w:hAnsi="Palatino Linotype"/>
          <w:b/>
          <w:bCs/>
          <w:sz w:val="24"/>
          <w:szCs w:val="24"/>
        </w:rPr>
        <w:t xml:space="preserve">veintiocho de agosto, </w:t>
      </w:r>
      <w:r w:rsidR="008D65E5">
        <w:rPr>
          <w:rFonts w:ascii="Palatino Linotype" w:hAnsi="Palatino Linotype"/>
          <w:sz w:val="24"/>
          <w:szCs w:val="24"/>
        </w:rPr>
        <w:t xml:space="preserve">admitiéndose el </w:t>
      </w:r>
      <w:r w:rsidR="008D65E5">
        <w:rPr>
          <w:rFonts w:ascii="Palatino Linotype" w:hAnsi="Palatino Linotype"/>
          <w:b/>
          <w:bCs/>
          <w:sz w:val="24"/>
          <w:szCs w:val="24"/>
        </w:rPr>
        <w:t xml:space="preserve">veintinueve de agosto, </w:t>
      </w:r>
      <w:r w:rsidR="008D65E5">
        <w:rPr>
          <w:rFonts w:ascii="Palatino Linotype" w:hAnsi="Palatino Linotype"/>
          <w:sz w:val="24"/>
          <w:szCs w:val="24"/>
        </w:rPr>
        <w:t>ambos de dos mil veintitrés. Señalando como razones o motivos de inconformidad:</w:t>
      </w:r>
    </w:p>
    <w:p w14:paraId="16FDDB50" w14:textId="5CDA5518" w:rsidR="008D65E5" w:rsidRPr="008D65E5" w:rsidRDefault="008D65E5" w:rsidP="008D65E5">
      <w:pPr>
        <w:pStyle w:val="Citas"/>
        <w:rPr>
          <w:b/>
          <w:bCs/>
          <w:sz w:val="24"/>
          <w:szCs w:val="24"/>
        </w:rPr>
      </w:pPr>
      <w:r>
        <w:t xml:space="preserve">“De la revisión a la respuesta entregada por el sujeto obligado. Dicha respuesta está incompleta, ya que solo me enviaron el nombramiento del servidor público. </w:t>
      </w:r>
      <w:r w:rsidRPr="008D65E5">
        <w:rPr>
          <w:b/>
          <w:bCs/>
          <w:u w:val="single"/>
        </w:rPr>
        <w:t>Quedando pendientes sus funciones y atribuciones”</w:t>
      </w:r>
      <w:r>
        <w:t xml:space="preserve"> </w:t>
      </w:r>
      <w:r>
        <w:rPr>
          <w:b/>
          <w:bCs/>
        </w:rPr>
        <w:t>(Sic)</w:t>
      </w:r>
    </w:p>
    <w:p w14:paraId="652F32EB" w14:textId="77777777" w:rsidR="008D65E5" w:rsidRDefault="008D65E5" w:rsidP="00E663AF">
      <w:pPr>
        <w:spacing w:before="240" w:line="360" w:lineRule="auto"/>
        <w:jc w:val="both"/>
        <w:rPr>
          <w:rFonts w:ascii="Palatino Linotype" w:hAnsi="Palatino Linotype"/>
          <w:sz w:val="24"/>
          <w:szCs w:val="24"/>
        </w:rPr>
      </w:pPr>
    </w:p>
    <w:p w14:paraId="3839DF12" w14:textId="24AF3D85" w:rsidR="008D65E5" w:rsidRDefault="008D65E5" w:rsidP="00E663AF">
      <w:pPr>
        <w:spacing w:before="240" w:line="360" w:lineRule="auto"/>
        <w:jc w:val="both"/>
        <w:rPr>
          <w:rFonts w:ascii="Palatino Linotype" w:hAnsi="Palatino Linotype"/>
          <w:b/>
          <w:bCs/>
          <w:sz w:val="24"/>
          <w:szCs w:val="24"/>
        </w:rPr>
      </w:pPr>
      <w:r>
        <w:rPr>
          <w:rFonts w:ascii="Palatino Linotype" w:hAnsi="Palatino Linotype"/>
          <w:sz w:val="24"/>
          <w:szCs w:val="24"/>
        </w:rPr>
        <w:t xml:space="preserve">Bajo estas líneas argumentativas, de una interpretación literal y gramatical a los motivos de inconformidad aducidos por el particular se advierte que consiente los requerimientos </w:t>
      </w:r>
      <w:r>
        <w:rPr>
          <w:rFonts w:ascii="Palatino Linotype" w:hAnsi="Palatino Linotype"/>
          <w:b/>
          <w:bCs/>
          <w:sz w:val="24"/>
          <w:szCs w:val="24"/>
        </w:rPr>
        <w:t>1 -uno- y 2 -dos-.</w:t>
      </w:r>
    </w:p>
    <w:p w14:paraId="3E5EDF40" w14:textId="2E915765" w:rsidR="008D65E5" w:rsidRPr="00604859" w:rsidRDefault="008D65E5" w:rsidP="008D65E5">
      <w:pPr>
        <w:tabs>
          <w:tab w:val="left" w:pos="709"/>
        </w:tabs>
        <w:spacing w:before="240" w:line="360" w:lineRule="auto"/>
        <w:ind w:right="51"/>
        <w:jc w:val="both"/>
        <w:rPr>
          <w:rFonts w:ascii="Palatino Linotype" w:hAnsi="Palatino Linotype" w:cs="Arial"/>
          <w:sz w:val="24"/>
          <w:szCs w:val="24"/>
        </w:rPr>
      </w:pPr>
      <w:r>
        <w:rPr>
          <w:rFonts w:ascii="Palatino Linotype" w:hAnsi="Palatino Linotype"/>
          <w:sz w:val="24"/>
          <w:szCs w:val="24"/>
        </w:rPr>
        <w:t xml:space="preserve">Luego entonces, la parte de la solicitud sobre la que no se expresó inconformidad </w:t>
      </w:r>
      <w:r>
        <w:rPr>
          <w:rFonts w:ascii="Palatino Linotype" w:hAnsi="Palatino Linotype"/>
          <w:sz w:val="24"/>
          <w:szCs w:val="24"/>
          <w:lang w:eastAsia="es-MX"/>
        </w:rPr>
        <w:t>debe declararse consentida</w:t>
      </w:r>
      <w:r w:rsidRPr="00604859">
        <w:rPr>
          <w:rFonts w:ascii="Palatino Linotype" w:hAnsi="Palatino Linotype"/>
          <w:sz w:val="24"/>
          <w:szCs w:val="24"/>
          <w:lang w:eastAsia="es-MX"/>
        </w:rPr>
        <w:t xml:space="preserve"> por </w:t>
      </w:r>
      <w:r w:rsidR="001D5AC2">
        <w:rPr>
          <w:rFonts w:ascii="Palatino Linotype" w:hAnsi="Palatino Linotype"/>
          <w:sz w:val="24"/>
          <w:szCs w:val="24"/>
          <w:lang w:eastAsia="es-MX"/>
        </w:rPr>
        <w:t>la</w:t>
      </w:r>
      <w:r w:rsidRPr="00604859">
        <w:rPr>
          <w:rFonts w:ascii="Palatino Linotype" w:hAnsi="Palatino Linotype"/>
          <w:sz w:val="24"/>
          <w:szCs w:val="24"/>
          <w:lang w:eastAsia="es-MX"/>
        </w:rPr>
        <w:t xml:space="preserve"> hoy </w:t>
      </w:r>
      <w:r w:rsidRPr="00604859">
        <w:rPr>
          <w:rFonts w:ascii="Palatino Linotype" w:hAnsi="Palatino Linotype"/>
          <w:b/>
          <w:sz w:val="24"/>
          <w:szCs w:val="24"/>
          <w:lang w:eastAsia="es-MX"/>
        </w:rPr>
        <w:t xml:space="preserve">Recurrente, </w:t>
      </w:r>
      <w:r w:rsidRPr="00604859">
        <w:rPr>
          <w:rFonts w:ascii="Palatino Linotype" w:hAnsi="Palatino Linotype"/>
          <w:sz w:val="24"/>
          <w:szCs w:val="24"/>
          <w:lang w:eastAsia="es-MX"/>
        </w:rPr>
        <w:t xml:space="preserve">ya que </w:t>
      </w:r>
      <w:r w:rsidRPr="00604859">
        <w:rPr>
          <w:rFonts w:ascii="Palatino Linotype" w:hAnsi="Palatino Linotype" w:cs="Arial"/>
          <w:sz w:val="24"/>
          <w:szCs w:val="24"/>
          <w:lang w:eastAsia="es-MX"/>
        </w:rPr>
        <w:t xml:space="preserve">no pueden producirse efectos jurídicos tendentes a revocar, confirmar o modificar la parte de la respuesta con relación a la parte de la solicitud que no fue motivo de disenso ya que se infiere un consentimiento </w:t>
      </w:r>
      <w:r>
        <w:rPr>
          <w:rFonts w:ascii="Palatino Linotype" w:hAnsi="Palatino Linotype" w:cs="Arial"/>
          <w:sz w:val="24"/>
          <w:szCs w:val="24"/>
          <w:lang w:eastAsia="es-MX"/>
        </w:rPr>
        <w:t>de</w:t>
      </w:r>
      <w:r w:rsidR="001D5AC2">
        <w:rPr>
          <w:rFonts w:ascii="Palatino Linotype" w:hAnsi="Palatino Linotype" w:cs="Arial"/>
          <w:sz w:val="24"/>
          <w:szCs w:val="24"/>
          <w:lang w:eastAsia="es-MX"/>
        </w:rPr>
        <w:t xml:space="preserve"> </w:t>
      </w:r>
      <w:r w:rsidR="001D5AC2">
        <w:rPr>
          <w:rFonts w:ascii="Palatino Linotype" w:hAnsi="Palatino Linotype" w:cs="Arial"/>
          <w:b/>
          <w:bCs/>
          <w:sz w:val="24"/>
          <w:szCs w:val="24"/>
          <w:lang w:eastAsia="es-MX"/>
        </w:rPr>
        <w:t>La</w:t>
      </w:r>
      <w:r w:rsidRPr="00604859">
        <w:rPr>
          <w:rFonts w:ascii="Palatino Linotype" w:hAnsi="Palatino Linotype" w:cs="Arial"/>
          <w:sz w:val="24"/>
          <w:szCs w:val="24"/>
          <w:lang w:eastAsia="es-MX"/>
        </w:rPr>
        <w:t xml:space="preserve"> </w:t>
      </w:r>
      <w:r w:rsidRPr="00604859">
        <w:rPr>
          <w:rFonts w:ascii="Palatino Linotype" w:hAnsi="Palatino Linotype" w:cs="Arial"/>
          <w:b/>
          <w:sz w:val="24"/>
          <w:szCs w:val="24"/>
          <w:lang w:eastAsia="es-MX"/>
        </w:rPr>
        <w:t>Recurrente</w:t>
      </w:r>
      <w:r w:rsidRPr="00604859">
        <w:rPr>
          <w:rFonts w:ascii="Palatino Linotype" w:hAnsi="Palatino Linotype" w:cs="Arial"/>
          <w:sz w:val="24"/>
          <w:szCs w:val="24"/>
          <w:lang w:eastAsia="es-MX"/>
        </w:rPr>
        <w:t xml:space="preserve"> ante la falta de impugnación eficaz. </w:t>
      </w:r>
      <w:r w:rsidRPr="00604859">
        <w:rPr>
          <w:rFonts w:ascii="Palatino Linotype" w:hAnsi="Palatino Linotype" w:cs="Arial"/>
          <w:sz w:val="24"/>
          <w:szCs w:val="24"/>
        </w:rPr>
        <w:t xml:space="preserve">Sirve de sustento a lo anterior, por analogía, la tesis jurisprudencial, que a la letra dice: </w:t>
      </w:r>
    </w:p>
    <w:p w14:paraId="58A771D7" w14:textId="77777777" w:rsidR="008D65E5" w:rsidRPr="001300D8" w:rsidRDefault="008D65E5" w:rsidP="008D65E5">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lastRenderedPageBreak/>
        <w:t>“Época: Novena</w:t>
      </w:r>
    </w:p>
    <w:p w14:paraId="2AC72BE9" w14:textId="77777777" w:rsidR="008D65E5" w:rsidRPr="001300D8" w:rsidRDefault="008D65E5" w:rsidP="008D65E5">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Registro: 176608</w:t>
      </w:r>
    </w:p>
    <w:p w14:paraId="35EC4537" w14:textId="77777777" w:rsidR="008D65E5" w:rsidRPr="001300D8" w:rsidRDefault="008D65E5" w:rsidP="008D65E5">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Tipo de tesis: Jurisprudencia</w:t>
      </w:r>
    </w:p>
    <w:p w14:paraId="442811F7" w14:textId="77777777" w:rsidR="008D65E5" w:rsidRPr="001300D8" w:rsidRDefault="008D65E5" w:rsidP="008D65E5">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Fuente: Semanario Judicial de la Federación y su Gaceta</w:t>
      </w:r>
    </w:p>
    <w:p w14:paraId="50461968" w14:textId="77777777" w:rsidR="008D65E5" w:rsidRPr="001300D8" w:rsidRDefault="008D65E5" w:rsidP="008D65E5">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Diciembre de 2005, Tomo XXII</w:t>
      </w:r>
    </w:p>
    <w:p w14:paraId="2C497B1B" w14:textId="77777777" w:rsidR="008D65E5" w:rsidRPr="001300D8" w:rsidRDefault="008D65E5" w:rsidP="008D65E5">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Materia (s): Común</w:t>
      </w:r>
    </w:p>
    <w:p w14:paraId="1A0489DC" w14:textId="77777777" w:rsidR="008D65E5" w:rsidRPr="001300D8" w:rsidRDefault="008D65E5" w:rsidP="008D65E5">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Tesis: VI. 3o.C. J/60</w:t>
      </w:r>
    </w:p>
    <w:p w14:paraId="3B29889A" w14:textId="77777777" w:rsidR="008D65E5" w:rsidRPr="001300D8" w:rsidRDefault="008D65E5" w:rsidP="008D65E5">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Página: 2365</w:t>
      </w:r>
    </w:p>
    <w:p w14:paraId="436A40F4" w14:textId="77777777" w:rsidR="008D65E5" w:rsidRPr="001300D8" w:rsidRDefault="008D65E5" w:rsidP="008D65E5">
      <w:pPr>
        <w:spacing w:before="240" w:line="360" w:lineRule="auto"/>
        <w:ind w:left="851" w:right="851"/>
        <w:jc w:val="both"/>
        <w:rPr>
          <w:rFonts w:ascii="Palatino Linotype" w:hAnsi="Palatino Linotype" w:cs="Arial"/>
          <w:i/>
          <w:lang w:eastAsia="es-MX"/>
        </w:rPr>
      </w:pPr>
      <w:r w:rsidRPr="001300D8">
        <w:rPr>
          <w:rFonts w:ascii="Palatino Linotype" w:hAnsi="Palatino Linotype" w:cs="Arial"/>
          <w:i/>
          <w:lang w:eastAsia="es-MX"/>
        </w:rPr>
        <w:t xml:space="preserve"> </w:t>
      </w:r>
      <w:r w:rsidRPr="001300D8">
        <w:rPr>
          <w:rFonts w:ascii="Palatino Linotype" w:hAnsi="Palatino Linotype" w:cs="Arial"/>
          <w:b/>
          <w:i/>
          <w:lang w:eastAsia="es-MX"/>
        </w:rPr>
        <w:t>ACTOS CONSENTIDOS. SON LOS QUE NO SE IMPUGNAN MEDIANTE EL RECURSO IDÓNEO</w:t>
      </w:r>
      <w:r w:rsidRPr="001300D8">
        <w:rPr>
          <w:rFonts w:ascii="Palatino Linotype" w:hAnsi="Palatino Linotype" w:cs="Arial"/>
          <w:i/>
          <w:lang w:eastAsia="es-MX"/>
        </w:rPr>
        <w:t xml:space="preserve">. </w:t>
      </w:r>
    </w:p>
    <w:p w14:paraId="5E4AB5A4" w14:textId="77777777" w:rsidR="008D65E5" w:rsidRPr="001300D8" w:rsidRDefault="008D65E5" w:rsidP="008D65E5">
      <w:pPr>
        <w:spacing w:before="240" w:line="360" w:lineRule="auto"/>
        <w:ind w:left="851" w:right="851"/>
        <w:jc w:val="both"/>
        <w:rPr>
          <w:rFonts w:ascii="Palatino Linotype" w:hAnsi="Palatino Linotype" w:cs="Arial"/>
          <w:i/>
          <w:lang w:eastAsia="es-MX"/>
        </w:rPr>
      </w:pPr>
      <w:r w:rsidRPr="001300D8">
        <w:rPr>
          <w:rFonts w:ascii="Palatino Linotype" w:hAnsi="Palatino Linotype" w:cs="Arial"/>
          <w:i/>
          <w:lang w:eastAsia="es-MX"/>
        </w:rPr>
        <w:t xml:space="preserve">Debe reputarse como consentido el acto que no se impugnó por el medio establecido por la ley, </w:t>
      </w:r>
      <w:proofErr w:type="gramStart"/>
      <w:r w:rsidRPr="001300D8">
        <w:rPr>
          <w:rFonts w:ascii="Palatino Linotype" w:hAnsi="Palatino Linotype" w:cs="Arial"/>
          <w:i/>
          <w:lang w:eastAsia="es-MX"/>
        </w:rPr>
        <w:t>ya que</w:t>
      </w:r>
      <w:proofErr w:type="gramEnd"/>
      <w:r w:rsidRPr="001300D8">
        <w:rPr>
          <w:rFonts w:ascii="Palatino Linotype" w:hAnsi="Palatino Linotype" w:cs="Arial"/>
          <w:i/>
          <w:lang w:eastAsia="es-MX"/>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73274F15" w14:textId="77777777" w:rsidR="008D65E5" w:rsidRPr="001300D8" w:rsidRDefault="008D65E5" w:rsidP="008D65E5">
      <w:pPr>
        <w:spacing w:before="240" w:line="360" w:lineRule="auto"/>
        <w:ind w:left="851" w:right="851"/>
        <w:jc w:val="both"/>
        <w:rPr>
          <w:rFonts w:ascii="Palatino Linotype" w:eastAsia="Times New Roman" w:hAnsi="Palatino Linotype" w:cs="Calibri"/>
          <w:i/>
          <w:color w:val="000000"/>
          <w:lang w:eastAsia="es-MX"/>
        </w:rPr>
      </w:pPr>
      <w:r w:rsidRPr="001300D8">
        <w:rPr>
          <w:rFonts w:ascii="Palatino Linotype" w:eastAsia="Times New Roman" w:hAnsi="Palatino Linotype" w:cs="Calibri"/>
          <w:i/>
          <w:color w:val="000000"/>
          <w:lang w:eastAsia="es-MX"/>
        </w:rPr>
        <w:t>TERCER TRIBUNAL COLEGIADO EN MATERIA CIVIL DEL SEXTO CIRCUITO.</w:t>
      </w:r>
    </w:p>
    <w:p w14:paraId="4611D828" w14:textId="77777777" w:rsidR="008D65E5" w:rsidRPr="001300D8" w:rsidRDefault="008D65E5" w:rsidP="008D65E5">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Amparo en revisión 2/90. Germán Miguel Núñez Rivera. 13 de noviembre de 1990. Unanimidad de votos. Ponente: Juan Manuel Brito Velázquez. Secretaria: Luz del Carmen Herrera Calderón.</w:t>
      </w:r>
    </w:p>
    <w:p w14:paraId="359E565E" w14:textId="77777777" w:rsidR="008D65E5" w:rsidRPr="001300D8" w:rsidRDefault="008D65E5" w:rsidP="008D65E5">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lastRenderedPageBreak/>
        <w:t xml:space="preserve">Amparo en revisión 393/90. Amparo </w:t>
      </w:r>
      <w:proofErr w:type="spellStart"/>
      <w:r w:rsidRPr="001300D8">
        <w:rPr>
          <w:rFonts w:ascii="Palatino Linotype" w:eastAsia="Times New Roman" w:hAnsi="Palatino Linotype" w:cs="Calibri"/>
          <w:i/>
          <w:color w:val="444444"/>
          <w:lang w:eastAsia="es-MX"/>
        </w:rPr>
        <w:t>Naylor</w:t>
      </w:r>
      <w:proofErr w:type="spellEnd"/>
      <w:r w:rsidRPr="001300D8">
        <w:rPr>
          <w:rFonts w:ascii="Palatino Linotype" w:eastAsia="Times New Roman" w:hAnsi="Palatino Linotype" w:cs="Calibri"/>
          <w:i/>
          <w:color w:val="444444"/>
          <w:lang w:eastAsia="es-MX"/>
        </w:rPr>
        <w:t xml:space="preserve"> Hernández y otros. 6 de diciembre de 1990. Unanimidad de votos. Ponente: Juan Manuel Brito Velázquez. Secretaria: María Dolores Olarte Ruvalcaba.</w:t>
      </w:r>
    </w:p>
    <w:p w14:paraId="166413D7" w14:textId="77777777" w:rsidR="008D65E5" w:rsidRPr="001300D8" w:rsidRDefault="008D65E5" w:rsidP="008D65E5">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Amparo directo 352/2000. Omar González Morales. 1o. de septiembre de 2000. Unanimidad de votos. Ponente: Teresa Munguía Sánchez. Secretaria: Julieta Esther Fernández Gaona.</w:t>
      </w:r>
    </w:p>
    <w:p w14:paraId="1859E1B8" w14:textId="77777777" w:rsidR="008D65E5" w:rsidRPr="001300D8" w:rsidRDefault="008D65E5" w:rsidP="008D65E5">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 xml:space="preserve">Amparo directo 366/2005. Virginia </w:t>
      </w:r>
      <w:proofErr w:type="spellStart"/>
      <w:r w:rsidRPr="001300D8">
        <w:rPr>
          <w:rFonts w:ascii="Palatino Linotype" w:eastAsia="Times New Roman" w:hAnsi="Palatino Linotype" w:cs="Calibri"/>
          <w:i/>
          <w:color w:val="444444"/>
          <w:lang w:eastAsia="es-MX"/>
        </w:rPr>
        <w:t>Quixihuitl</w:t>
      </w:r>
      <w:proofErr w:type="spellEnd"/>
      <w:r w:rsidRPr="001300D8">
        <w:rPr>
          <w:rFonts w:ascii="Palatino Linotype" w:eastAsia="Times New Roman" w:hAnsi="Palatino Linotype" w:cs="Calibri"/>
          <w:i/>
          <w:color w:val="444444"/>
          <w:lang w:eastAsia="es-MX"/>
        </w:rPr>
        <w:t xml:space="preserve"> Burgos y otra. 14 de octubre de 2005. Unanimidad de votos. Ponente: Norma </w:t>
      </w:r>
      <w:proofErr w:type="spellStart"/>
      <w:r w:rsidRPr="001300D8">
        <w:rPr>
          <w:rFonts w:ascii="Palatino Linotype" w:eastAsia="Times New Roman" w:hAnsi="Palatino Linotype" w:cs="Calibri"/>
          <w:i/>
          <w:color w:val="444444"/>
          <w:lang w:eastAsia="es-MX"/>
        </w:rPr>
        <w:t>Fiallega</w:t>
      </w:r>
      <w:proofErr w:type="spellEnd"/>
      <w:r w:rsidRPr="001300D8">
        <w:rPr>
          <w:rFonts w:ascii="Palatino Linotype" w:eastAsia="Times New Roman" w:hAnsi="Palatino Linotype" w:cs="Calibri"/>
          <w:i/>
          <w:color w:val="444444"/>
          <w:lang w:eastAsia="es-MX"/>
        </w:rPr>
        <w:t xml:space="preserve"> Sánchez. Secretario: Horacio Óscar Rosete Mentado.</w:t>
      </w:r>
    </w:p>
    <w:p w14:paraId="4B3515AD" w14:textId="77777777" w:rsidR="008D65E5" w:rsidRDefault="008D65E5" w:rsidP="008D65E5">
      <w:pPr>
        <w:spacing w:before="240" w:line="360" w:lineRule="auto"/>
        <w:ind w:left="851" w:right="851"/>
        <w:jc w:val="both"/>
        <w:rPr>
          <w:rFonts w:ascii="Palatino Linotype" w:eastAsia="Times New Roman" w:hAnsi="Palatino Linotype" w:cs="Calibri"/>
          <w:b/>
          <w:i/>
          <w:color w:val="444444"/>
          <w:lang w:eastAsia="es-MX"/>
        </w:rPr>
      </w:pPr>
      <w:r w:rsidRPr="001300D8">
        <w:rPr>
          <w:rFonts w:ascii="Palatino Linotype" w:eastAsia="Times New Roman" w:hAnsi="Palatino Linotype" w:cs="Calibri"/>
          <w:i/>
          <w:color w:val="444444"/>
          <w:lang w:eastAsia="es-MX"/>
        </w:rPr>
        <w:t xml:space="preserve">Amparo en revisión 353/2005. Francisco Torres Coronel y otro. 4 de noviembre de 2005. Unanimidad de votos. Ponente: Filiberto Méndez Gutiérrez. Secretaria: Carla </w:t>
      </w:r>
      <w:proofErr w:type="spellStart"/>
      <w:r w:rsidRPr="001300D8">
        <w:rPr>
          <w:rFonts w:ascii="Palatino Linotype" w:eastAsia="Times New Roman" w:hAnsi="Palatino Linotype" w:cs="Calibri"/>
          <w:i/>
          <w:color w:val="444444"/>
          <w:lang w:eastAsia="es-MX"/>
        </w:rPr>
        <w:t>Isselín</w:t>
      </w:r>
      <w:proofErr w:type="spellEnd"/>
      <w:r w:rsidRPr="001300D8">
        <w:rPr>
          <w:rFonts w:ascii="Palatino Linotype" w:eastAsia="Times New Roman" w:hAnsi="Palatino Linotype" w:cs="Calibri"/>
          <w:i/>
          <w:color w:val="444444"/>
          <w:lang w:eastAsia="es-MX"/>
        </w:rPr>
        <w:t xml:space="preserve"> Talavera.” </w:t>
      </w:r>
      <w:r w:rsidRPr="001300D8">
        <w:rPr>
          <w:rFonts w:ascii="Palatino Linotype" w:eastAsia="Times New Roman" w:hAnsi="Palatino Linotype" w:cs="Calibri"/>
          <w:b/>
          <w:i/>
          <w:color w:val="444444"/>
          <w:lang w:eastAsia="es-MX"/>
        </w:rPr>
        <w:t>[Sic]</w:t>
      </w:r>
    </w:p>
    <w:p w14:paraId="4E8D72C7" w14:textId="77777777" w:rsidR="008D65E5" w:rsidRDefault="008D65E5" w:rsidP="008D65E5">
      <w:pPr>
        <w:spacing w:after="0" w:line="360" w:lineRule="auto"/>
        <w:jc w:val="both"/>
        <w:rPr>
          <w:rFonts w:ascii="Palatino Linotype" w:hAnsi="Palatino Linotype" w:cs="Arial"/>
          <w:noProof/>
          <w:color w:val="000000"/>
          <w:sz w:val="24"/>
          <w:lang w:eastAsia="es-MX"/>
        </w:rPr>
      </w:pPr>
    </w:p>
    <w:p w14:paraId="23790979" w14:textId="77777777" w:rsidR="008D65E5" w:rsidRDefault="008D65E5" w:rsidP="008D65E5">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t xml:space="preserve">De forma complementaria, robustece lo anterior el criterio </w:t>
      </w:r>
      <w:r>
        <w:rPr>
          <w:rFonts w:ascii="Palatino Linotype" w:hAnsi="Palatino Linotype" w:cs="Arial"/>
          <w:b/>
          <w:bCs/>
          <w:noProof/>
          <w:color w:val="000000"/>
          <w:sz w:val="24"/>
          <w:lang w:eastAsia="es-MX"/>
        </w:rPr>
        <w:t xml:space="preserve">01/20 </w:t>
      </w:r>
      <w:r>
        <w:rPr>
          <w:rFonts w:ascii="Palatino Linotype" w:hAnsi="Palatino Linotype" w:cs="Arial"/>
          <w:noProof/>
          <w:color w:val="000000"/>
          <w:sz w:val="24"/>
          <w:lang w:eastAsia="es-MX"/>
        </w:rPr>
        <w:t xml:space="preserve">emitido por el Instituto Nacional de Transparencia, Acceso a la Información y Protección de Datos Personales, cuyo rubro y texto señalan a la literalidad lo siguiente: </w:t>
      </w:r>
    </w:p>
    <w:p w14:paraId="756D1DE0" w14:textId="77777777" w:rsidR="008D65E5" w:rsidRDefault="008D65E5" w:rsidP="008D65E5">
      <w:pPr>
        <w:pStyle w:val="Citas"/>
        <w:rPr>
          <w:b/>
        </w:rPr>
      </w:pPr>
      <w:r>
        <w:rPr>
          <w:b/>
        </w:rPr>
        <w:t>“</w:t>
      </w:r>
      <w:r w:rsidRPr="00D83913">
        <w:rPr>
          <w:b/>
        </w:rPr>
        <w:t>ACTOS CONSENTIDOS</w:t>
      </w:r>
      <w:r>
        <w:rPr>
          <w:b/>
        </w:rPr>
        <w:t xml:space="preserve"> TÁCITAMENTE</w:t>
      </w:r>
      <w:r w:rsidRPr="00D83913">
        <w:rPr>
          <w:b/>
        </w:rPr>
        <w:t xml:space="preserve">. </w:t>
      </w:r>
      <w:r w:rsidRPr="004A37A7">
        <w:rPr>
          <w:b/>
        </w:rPr>
        <w:t>IMPROCEDENCIA</w:t>
      </w:r>
      <w:r w:rsidRPr="00D83913">
        <w:rPr>
          <w:b/>
        </w:rPr>
        <w:t xml:space="preserve"> DE SU ANÁLISIS. </w:t>
      </w:r>
    </w:p>
    <w:p w14:paraId="7620200B" w14:textId="77777777" w:rsidR="008D65E5" w:rsidRPr="0071419E" w:rsidRDefault="008D65E5" w:rsidP="008D65E5">
      <w:pPr>
        <w:pStyle w:val="Citas"/>
        <w:rPr>
          <w:strike/>
        </w:rPr>
      </w:pPr>
      <w:r>
        <w:t xml:space="preserve">Si en su recurso de revisión, la persona recurrente </w:t>
      </w:r>
      <w:r w:rsidRPr="00D83913">
        <w:t xml:space="preserve">no expresó inconformidad alguna con ciertas partes de la respuesta otorgada, </w:t>
      </w:r>
      <w:r w:rsidRPr="0071419E">
        <w:t xml:space="preserve">se entienden tácitamente consentidas, por ende, no deben formar parte del estudio de fondo de la resolución que emite el Instituto. </w:t>
      </w:r>
    </w:p>
    <w:p w14:paraId="497A47FF" w14:textId="77777777" w:rsidR="008D65E5" w:rsidRPr="00D83913" w:rsidRDefault="008D65E5" w:rsidP="008D65E5">
      <w:pPr>
        <w:pStyle w:val="Citas"/>
        <w:rPr>
          <w:b/>
          <w:bCs/>
        </w:rPr>
      </w:pPr>
      <w:r w:rsidRPr="00D83913">
        <w:rPr>
          <w:b/>
          <w:bCs/>
        </w:rPr>
        <w:lastRenderedPageBreak/>
        <w:t>Resoluciones</w:t>
      </w:r>
      <w:r>
        <w:rPr>
          <w:b/>
          <w:bCs/>
        </w:rPr>
        <w:t>:</w:t>
      </w:r>
    </w:p>
    <w:p w14:paraId="7328E12B" w14:textId="77777777" w:rsidR="008D65E5" w:rsidRPr="00D83913" w:rsidRDefault="008D65E5" w:rsidP="008D65E5">
      <w:pPr>
        <w:pStyle w:val="Citas"/>
      </w:pPr>
      <w:r w:rsidRPr="00D83913">
        <w:rPr>
          <w:b/>
        </w:rPr>
        <w:t xml:space="preserve">RRA 4548/18. </w:t>
      </w:r>
      <w:r w:rsidRPr="00D83913">
        <w:t>Instituto de Seguridad y Servicios Sociales de los Trabajadores del Estado. 12 de septiembre de 2018. Por unanimidad. Comisionado Ponente Oscar Mauricio Guerra Ford.</w:t>
      </w:r>
    </w:p>
    <w:p w14:paraId="02531F2B" w14:textId="77777777" w:rsidR="008D65E5" w:rsidRPr="009754D6" w:rsidRDefault="002D733B" w:rsidP="008D65E5">
      <w:pPr>
        <w:pStyle w:val="Citas"/>
        <w:rPr>
          <w:sz w:val="20"/>
        </w:rPr>
      </w:pPr>
      <w:hyperlink r:id="rId15" w:history="1">
        <w:r w:rsidR="008D65E5" w:rsidRPr="009754D6">
          <w:rPr>
            <w:rStyle w:val="Hipervnculo"/>
          </w:rPr>
          <w:t>http://consultas.ifai.org.mx/descargar.php?r=./pdf/resoluciones/2018/&amp;a=RRA%204548.pdf</w:t>
        </w:r>
      </w:hyperlink>
    </w:p>
    <w:p w14:paraId="49DF6181" w14:textId="77777777" w:rsidR="008D65E5" w:rsidRPr="009754D6" w:rsidRDefault="008D65E5" w:rsidP="008D65E5">
      <w:pPr>
        <w:pStyle w:val="Citas"/>
        <w:rPr>
          <w:b/>
        </w:rPr>
      </w:pPr>
      <w:r w:rsidRPr="009754D6">
        <w:rPr>
          <w:b/>
        </w:rPr>
        <w:t xml:space="preserve">RRA 5097/18. </w:t>
      </w:r>
      <w:r w:rsidRPr="009754D6">
        <w:t>Secretaría de Hacienda y Crédito Público. 05 de septiembre de 2018. Por unanimidad. Comisionado Ponente Joel Salas Suárez.</w:t>
      </w:r>
    </w:p>
    <w:p w14:paraId="19AC6424" w14:textId="77777777" w:rsidR="008D65E5" w:rsidRPr="009754D6" w:rsidRDefault="002D733B" w:rsidP="008D65E5">
      <w:pPr>
        <w:pStyle w:val="Citas"/>
        <w:rPr>
          <w:sz w:val="20"/>
        </w:rPr>
      </w:pPr>
      <w:hyperlink r:id="rId16" w:history="1">
        <w:r w:rsidR="008D65E5" w:rsidRPr="009754D6">
          <w:rPr>
            <w:rStyle w:val="Hipervnculo"/>
          </w:rPr>
          <w:t>http://consultas.ifai.org.mx/descargar.php?r=./pdf/resoluciones/2018/&amp;a=RRA%205097.pdf</w:t>
        </w:r>
      </w:hyperlink>
    </w:p>
    <w:p w14:paraId="058A6E22" w14:textId="77777777" w:rsidR="008D65E5" w:rsidRPr="009754D6" w:rsidRDefault="008D65E5" w:rsidP="008D65E5">
      <w:pPr>
        <w:pStyle w:val="Citas"/>
        <w:rPr>
          <w:b/>
        </w:rPr>
      </w:pPr>
      <w:r w:rsidRPr="009754D6">
        <w:rPr>
          <w:b/>
        </w:rPr>
        <w:t xml:space="preserve">RRA 14270/19. </w:t>
      </w:r>
      <w:r w:rsidRPr="009754D6">
        <w:t>Registro Agrario Nacional. 22 de enero de 2020. Por unanimidad. Comisionado Ponente Francisco Javier Acuña Llamas.</w:t>
      </w:r>
    </w:p>
    <w:p w14:paraId="2AAFB28B" w14:textId="77777777" w:rsidR="008D65E5" w:rsidRPr="009754D6" w:rsidRDefault="002D733B" w:rsidP="008D65E5">
      <w:pPr>
        <w:pStyle w:val="Citas"/>
        <w:rPr>
          <w:rStyle w:val="Hipervnculo"/>
          <w:b/>
          <w:bCs/>
          <w:color w:val="auto"/>
          <w:sz w:val="24"/>
          <w:szCs w:val="24"/>
          <w:u w:val="none"/>
          <w:lang w:val="en-US"/>
        </w:rPr>
      </w:pPr>
      <w:hyperlink r:id="rId17" w:history="1">
        <w:r w:rsidR="008D65E5" w:rsidRPr="009754D6">
          <w:rPr>
            <w:rStyle w:val="Hipervnculo"/>
            <w:lang w:val="en-US"/>
          </w:rPr>
          <w:t>http://consultas.ifai.org.mx/descargar.php?r=./pdf/resoluciones/2019/&amp;a=RRA%2014270.pdf</w:t>
        </w:r>
      </w:hyperlink>
      <w:r w:rsidR="008D65E5" w:rsidRPr="009754D6">
        <w:rPr>
          <w:rStyle w:val="Hipervnculo"/>
          <w:sz w:val="20"/>
          <w:lang w:val="en-US"/>
        </w:rPr>
        <w:t xml:space="preserve">” </w:t>
      </w:r>
      <w:r w:rsidR="008D65E5" w:rsidRPr="009754D6">
        <w:rPr>
          <w:rStyle w:val="Hipervnculo"/>
          <w:i w:val="0"/>
          <w:iCs/>
          <w:sz w:val="24"/>
          <w:szCs w:val="24"/>
          <w:u w:val="none"/>
          <w:lang w:val="en-US"/>
        </w:rPr>
        <w:t xml:space="preserve"> </w:t>
      </w:r>
      <w:r w:rsidR="008D65E5" w:rsidRPr="009754D6">
        <w:rPr>
          <w:rStyle w:val="Hipervnculo"/>
          <w:b/>
          <w:bCs/>
          <w:color w:val="auto"/>
          <w:sz w:val="24"/>
          <w:szCs w:val="24"/>
          <w:u w:val="none"/>
          <w:lang w:val="en-US"/>
        </w:rPr>
        <w:t xml:space="preserve">[Sic] </w:t>
      </w:r>
    </w:p>
    <w:p w14:paraId="31614E12" w14:textId="77777777" w:rsidR="008D65E5" w:rsidRPr="00EA1049" w:rsidRDefault="008D65E5" w:rsidP="008D65E5">
      <w:pPr>
        <w:spacing w:before="240" w:line="360" w:lineRule="auto"/>
        <w:jc w:val="both"/>
        <w:rPr>
          <w:rFonts w:ascii="Palatino Linotype" w:hAnsi="Palatino Linotype"/>
          <w:b/>
          <w:bCs/>
          <w:lang w:val="en-US"/>
        </w:rPr>
      </w:pPr>
    </w:p>
    <w:p w14:paraId="7CFCDEA1" w14:textId="6FF8E781" w:rsidR="008D65E5" w:rsidRDefault="008D65E5" w:rsidP="008D65E5">
      <w:pPr>
        <w:pStyle w:val="infoemcitas"/>
        <w:tabs>
          <w:tab w:val="left" w:pos="7655"/>
        </w:tabs>
        <w:ind w:left="0" w:right="0"/>
        <w:rPr>
          <w:rFonts w:cs="Arial"/>
          <w:i w:val="0"/>
          <w:noProof/>
          <w:color w:val="000000"/>
          <w:sz w:val="24"/>
          <w:lang w:eastAsia="es-MX"/>
        </w:rPr>
      </w:pPr>
      <w:r>
        <w:rPr>
          <w:i w:val="0"/>
          <w:sz w:val="24"/>
          <w:szCs w:val="24"/>
        </w:rPr>
        <w:t xml:space="preserve">Así las cosas, hasta aquí lo expuesto, resulta inconcuso que </w:t>
      </w:r>
      <w:r>
        <w:rPr>
          <w:b/>
          <w:i w:val="0"/>
          <w:sz w:val="24"/>
          <w:szCs w:val="24"/>
        </w:rPr>
        <w:t>El Sujeto Obligado</w:t>
      </w:r>
      <w:r w:rsidRPr="00535EDD">
        <w:rPr>
          <w:b/>
          <w:i w:val="0"/>
          <w:sz w:val="24"/>
          <w:szCs w:val="24"/>
        </w:rPr>
        <w:t xml:space="preserve"> </w:t>
      </w:r>
      <w:r w:rsidRPr="00535EDD">
        <w:rPr>
          <w:rFonts w:cs="Arial"/>
          <w:i w:val="0"/>
          <w:noProof/>
          <w:color w:val="000000"/>
          <w:sz w:val="24"/>
          <w:lang w:eastAsia="es-MX"/>
        </w:rPr>
        <w:t xml:space="preserve">no satisfizo el derecho de acceso a la información pública ejercido por </w:t>
      </w:r>
      <w:r w:rsidR="001D5AC2">
        <w:rPr>
          <w:rFonts w:cs="Arial"/>
          <w:b/>
          <w:i w:val="0"/>
          <w:noProof/>
          <w:color w:val="000000"/>
          <w:sz w:val="24"/>
          <w:lang w:eastAsia="es-MX"/>
        </w:rPr>
        <w:t xml:space="preserve">La </w:t>
      </w:r>
      <w:r w:rsidRPr="00535EDD">
        <w:rPr>
          <w:rFonts w:cs="Arial"/>
          <w:b/>
          <w:i w:val="0"/>
          <w:noProof/>
          <w:color w:val="000000"/>
          <w:sz w:val="24"/>
          <w:lang w:eastAsia="es-MX"/>
        </w:rPr>
        <w:t xml:space="preserve">Recurrente, </w:t>
      </w:r>
      <w:r w:rsidRPr="00535EDD">
        <w:rPr>
          <w:rFonts w:cs="Arial"/>
          <w:i w:val="0"/>
          <w:noProof/>
          <w:color w:val="000000"/>
          <w:sz w:val="24"/>
          <w:lang w:eastAsia="es-MX"/>
        </w:rPr>
        <w:t>al tenerse por actualizada</w:t>
      </w:r>
      <w:r>
        <w:rPr>
          <w:rFonts w:cs="Arial"/>
          <w:i w:val="0"/>
          <w:noProof/>
          <w:color w:val="000000"/>
          <w:sz w:val="24"/>
          <w:lang w:eastAsia="es-MX"/>
        </w:rPr>
        <w:t xml:space="preserve"> la hipotesis prevista en el artículo 179, fracciones I y V de la Ley de Transparencia y Acceso a la Información Pública del Estado de México y Municipios, cuyo contenido literal es el siguiente:</w:t>
      </w:r>
    </w:p>
    <w:p w14:paraId="0BF5BB61" w14:textId="77777777" w:rsidR="008D65E5" w:rsidRDefault="008D65E5" w:rsidP="008D65E5">
      <w:pPr>
        <w:pStyle w:val="Citas"/>
      </w:pPr>
      <w:r>
        <w:lastRenderedPageBreak/>
        <w:t>“Artículo 179. El recurso de revisión es un medio de protección que la Ley otorga a los particulares, para hacer valer su derecho de acceso a la información pública, y procederá en contra de las siguientes causas:</w:t>
      </w:r>
    </w:p>
    <w:p w14:paraId="6D223980" w14:textId="77777777" w:rsidR="008D65E5" w:rsidRDefault="008D65E5" w:rsidP="008D65E5">
      <w:pPr>
        <w:pStyle w:val="Citas"/>
      </w:pPr>
      <w:r>
        <w:t>I. La negativa a la información solicitada;</w:t>
      </w:r>
    </w:p>
    <w:p w14:paraId="5504C55B" w14:textId="77777777" w:rsidR="008D65E5" w:rsidRDefault="008D65E5" w:rsidP="008D65E5">
      <w:pPr>
        <w:pStyle w:val="Citas"/>
        <w:rPr>
          <w:noProof/>
          <w:color w:val="000000"/>
          <w:sz w:val="24"/>
          <w:lang w:eastAsia="es-MX"/>
        </w:rPr>
      </w:pPr>
      <w:r>
        <w:rPr>
          <w:noProof/>
          <w:color w:val="000000"/>
          <w:sz w:val="24"/>
          <w:lang w:eastAsia="es-MX"/>
        </w:rPr>
        <w:t>(…)</w:t>
      </w:r>
    </w:p>
    <w:p w14:paraId="33141697" w14:textId="77777777" w:rsidR="008D65E5" w:rsidRDefault="008D65E5" w:rsidP="008D65E5">
      <w:pPr>
        <w:pStyle w:val="Citas"/>
        <w:rPr>
          <w:noProof/>
          <w:color w:val="000000"/>
          <w:sz w:val="24"/>
          <w:lang w:eastAsia="es-MX"/>
        </w:rPr>
      </w:pPr>
      <w:r>
        <w:t>V. La entrega de información incompleta;</w:t>
      </w:r>
    </w:p>
    <w:p w14:paraId="24B3733A" w14:textId="77777777" w:rsidR="008D65E5" w:rsidRPr="005A12AE" w:rsidRDefault="008D65E5" w:rsidP="008D65E5">
      <w:pPr>
        <w:pStyle w:val="Citas"/>
        <w:rPr>
          <w:b/>
          <w:bCs/>
          <w:noProof/>
          <w:color w:val="000000"/>
          <w:sz w:val="24"/>
          <w:lang w:eastAsia="es-MX"/>
        </w:rPr>
      </w:pPr>
      <w:r>
        <w:rPr>
          <w:noProof/>
          <w:color w:val="000000"/>
          <w:sz w:val="24"/>
          <w:lang w:eastAsia="es-MX"/>
        </w:rPr>
        <w:t xml:space="preserve">” </w:t>
      </w:r>
      <w:r>
        <w:rPr>
          <w:b/>
          <w:bCs/>
          <w:noProof/>
          <w:color w:val="000000"/>
          <w:sz w:val="24"/>
          <w:lang w:eastAsia="es-MX"/>
        </w:rPr>
        <w:t>[Sic]</w:t>
      </w:r>
    </w:p>
    <w:p w14:paraId="03068BD2" w14:textId="77777777" w:rsidR="008D65E5" w:rsidRDefault="008D65E5" w:rsidP="00E663AF">
      <w:pPr>
        <w:spacing w:before="240" w:line="360" w:lineRule="auto"/>
        <w:jc w:val="both"/>
        <w:rPr>
          <w:rFonts w:ascii="Palatino Linotype" w:hAnsi="Palatino Linotype"/>
          <w:sz w:val="24"/>
          <w:szCs w:val="24"/>
        </w:rPr>
      </w:pPr>
    </w:p>
    <w:p w14:paraId="6EF8CF2A" w14:textId="1693530E" w:rsidR="008D65E5" w:rsidRDefault="008D65E5" w:rsidP="008D65E5">
      <w:pPr>
        <w:spacing w:after="0" w:line="360" w:lineRule="auto"/>
        <w:jc w:val="both"/>
        <w:rPr>
          <w:rFonts w:ascii="Palatino Linotype" w:hAnsi="Palatino Linotype"/>
          <w:sz w:val="24"/>
          <w:szCs w:val="24"/>
        </w:rPr>
      </w:pPr>
      <w:r w:rsidRPr="0061744C">
        <w:rPr>
          <w:rFonts w:ascii="Palatino Linotype" w:hAnsi="Palatino Linotype"/>
          <w:sz w:val="24"/>
          <w:szCs w:val="24"/>
        </w:rPr>
        <w:t xml:space="preserve">Por otra parte, como fue referido en el antecedente </w:t>
      </w:r>
      <w:r>
        <w:rPr>
          <w:rFonts w:ascii="Palatino Linotype" w:hAnsi="Palatino Linotype"/>
          <w:sz w:val="24"/>
          <w:szCs w:val="24"/>
        </w:rPr>
        <w:t>quinto</w:t>
      </w:r>
      <w:r w:rsidRPr="0061744C">
        <w:rPr>
          <w:rFonts w:ascii="Palatino Linotype" w:hAnsi="Palatino Linotype"/>
          <w:sz w:val="24"/>
          <w:szCs w:val="24"/>
        </w:rPr>
        <w:t>,</w:t>
      </w:r>
      <w:r>
        <w:rPr>
          <w:rFonts w:ascii="Palatino Linotype" w:hAnsi="Palatino Linotype"/>
          <w:sz w:val="24"/>
          <w:szCs w:val="24"/>
        </w:rPr>
        <w:t xml:space="preserve"> </w:t>
      </w:r>
      <w:r>
        <w:rPr>
          <w:rFonts w:ascii="Palatino Linotype" w:hAnsi="Palatino Linotype"/>
          <w:b/>
          <w:bCs/>
          <w:sz w:val="24"/>
          <w:szCs w:val="24"/>
        </w:rPr>
        <w:t xml:space="preserve">El Sujeto Obligado </w:t>
      </w:r>
      <w:r>
        <w:rPr>
          <w:rFonts w:ascii="Palatino Linotype" w:hAnsi="Palatino Linotype"/>
          <w:sz w:val="24"/>
          <w:szCs w:val="24"/>
        </w:rPr>
        <w:t>rindió su informe justificado, adjuntando para tal efecto lo siguiente:</w:t>
      </w:r>
    </w:p>
    <w:p w14:paraId="0D36678E" w14:textId="19A38E09" w:rsidR="008D65E5" w:rsidRPr="008D65E5" w:rsidRDefault="008D65E5" w:rsidP="002D733B">
      <w:pPr>
        <w:pStyle w:val="Prrafodelista"/>
        <w:numPr>
          <w:ilvl w:val="0"/>
          <w:numId w:val="12"/>
        </w:numPr>
        <w:spacing w:line="360" w:lineRule="auto"/>
        <w:jc w:val="both"/>
        <w:rPr>
          <w:rFonts w:ascii="Palatino Linotype" w:hAnsi="Palatino Linotype"/>
          <w:b/>
          <w:bCs/>
        </w:rPr>
      </w:pPr>
      <w:r>
        <w:rPr>
          <w:rFonts w:ascii="Palatino Linotype" w:hAnsi="Palatino Linotype"/>
          <w:b/>
          <w:bCs/>
        </w:rPr>
        <w:t>“</w:t>
      </w:r>
      <w:proofErr w:type="spellStart"/>
      <w:r>
        <w:rPr>
          <w:rFonts w:ascii="Palatino Linotype" w:hAnsi="Palatino Linotype"/>
          <w:b/>
          <w:bCs/>
        </w:rPr>
        <w:t>Admon</w:t>
      </w:r>
      <w:proofErr w:type="spellEnd"/>
      <w:r>
        <w:rPr>
          <w:rFonts w:ascii="Palatino Linotype" w:hAnsi="Palatino Linotype"/>
          <w:b/>
          <w:bCs/>
        </w:rPr>
        <w:t xml:space="preserve"> 249 (2).</w:t>
      </w:r>
      <w:proofErr w:type="spellStart"/>
      <w:r>
        <w:rPr>
          <w:rFonts w:ascii="Palatino Linotype" w:hAnsi="Palatino Linotype"/>
          <w:b/>
          <w:bCs/>
        </w:rPr>
        <w:t>pdf</w:t>
      </w:r>
      <w:proofErr w:type="spellEnd"/>
      <w:r>
        <w:rPr>
          <w:rFonts w:ascii="Palatino Linotype" w:hAnsi="Palatino Linotype"/>
          <w:b/>
          <w:bCs/>
        </w:rPr>
        <w:t xml:space="preserve">”: </w:t>
      </w:r>
      <w:r>
        <w:rPr>
          <w:rFonts w:ascii="Palatino Linotype" w:hAnsi="Palatino Linotype"/>
        </w:rPr>
        <w:t xml:space="preserve">Oficio número </w:t>
      </w:r>
      <w:r>
        <w:rPr>
          <w:rFonts w:ascii="Palatino Linotype" w:hAnsi="Palatino Linotype"/>
          <w:b/>
          <w:bCs/>
        </w:rPr>
        <w:t xml:space="preserve">DA/1728/2023 </w:t>
      </w:r>
      <w:r>
        <w:rPr>
          <w:rFonts w:ascii="Palatino Linotype" w:hAnsi="Palatino Linotype"/>
        </w:rPr>
        <w:t>signado por la directora de administración y dirigido al titular de la unidad de transparencia, de fecha treinta y uno de agosto de dos mil veintitrés, resulta de nuestro interés el siguiente extracto:</w:t>
      </w:r>
    </w:p>
    <w:p w14:paraId="57F32F11" w14:textId="320B5748" w:rsidR="008D65E5" w:rsidRDefault="008D65E5" w:rsidP="008D65E5">
      <w:pPr>
        <w:pStyle w:val="Prrafodelista"/>
        <w:spacing w:line="360" w:lineRule="auto"/>
        <w:ind w:left="720"/>
        <w:jc w:val="both"/>
        <w:rPr>
          <w:rFonts w:ascii="Palatino Linotype" w:hAnsi="Palatino Linotype"/>
          <w:b/>
          <w:bCs/>
          <w:i/>
          <w:iCs/>
        </w:rPr>
      </w:pPr>
      <w:r>
        <w:rPr>
          <w:rFonts w:ascii="Palatino Linotype" w:hAnsi="Palatino Linotype"/>
          <w:i/>
          <w:iCs/>
        </w:rPr>
        <w:t xml:space="preserve">“En este sentido hago del conocimiento de la o el solicitante que esta Dirección a mi cargo envío de manera electrónica anexo al oficio de respuesta el Reglamento Interno de la Administración Pública Municipal de este Ayuntamiento en donde podrá consultar en el Título primero, </w:t>
      </w:r>
      <w:r w:rsidRPr="00E652A0">
        <w:rPr>
          <w:rFonts w:ascii="Palatino Linotype" w:hAnsi="Palatino Linotype"/>
          <w:b/>
          <w:bCs/>
          <w:i/>
          <w:iCs/>
          <w:u w:val="single"/>
        </w:rPr>
        <w:t>artículo 12 las funciones y atribuciones de Servidor Público.</w:t>
      </w:r>
      <w:r>
        <w:rPr>
          <w:rFonts w:ascii="Palatino Linotype" w:hAnsi="Palatino Linotype"/>
          <w:i/>
          <w:iCs/>
        </w:rPr>
        <w:t xml:space="preserve"> Por lo anterior esta Dirección a mi cargo ratifica la respuesta enviada en oficio DA/1605/2023” </w:t>
      </w:r>
      <w:r>
        <w:rPr>
          <w:rFonts w:ascii="Palatino Linotype" w:hAnsi="Palatino Linotype"/>
          <w:b/>
          <w:bCs/>
          <w:i/>
          <w:iCs/>
        </w:rPr>
        <w:t>(Sic)</w:t>
      </w:r>
    </w:p>
    <w:p w14:paraId="043AFB0F" w14:textId="77777777" w:rsidR="008D65E5" w:rsidRPr="008D65E5" w:rsidRDefault="008D65E5" w:rsidP="008D65E5">
      <w:pPr>
        <w:pStyle w:val="Prrafodelista"/>
        <w:spacing w:line="360" w:lineRule="auto"/>
        <w:ind w:left="720"/>
        <w:jc w:val="both"/>
        <w:rPr>
          <w:rFonts w:ascii="Palatino Linotype" w:hAnsi="Palatino Linotype"/>
          <w:b/>
          <w:bCs/>
          <w:i/>
          <w:iCs/>
        </w:rPr>
      </w:pPr>
    </w:p>
    <w:p w14:paraId="5819AEFF" w14:textId="5F2A705F" w:rsidR="008D65E5" w:rsidRDefault="008D65E5" w:rsidP="002D733B">
      <w:pPr>
        <w:pStyle w:val="Prrafodelista"/>
        <w:numPr>
          <w:ilvl w:val="0"/>
          <w:numId w:val="12"/>
        </w:numPr>
        <w:spacing w:line="360" w:lineRule="auto"/>
        <w:jc w:val="both"/>
        <w:rPr>
          <w:rFonts w:ascii="Palatino Linotype" w:hAnsi="Palatino Linotype"/>
          <w:b/>
          <w:bCs/>
        </w:rPr>
      </w:pPr>
      <w:r>
        <w:rPr>
          <w:rFonts w:ascii="Palatino Linotype" w:hAnsi="Palatino Linotype"/>
          <w:b/>
          <w:bCs/>
        </w:rPr>
        <w:lastRenderedPageBreak/>
        <w:t xml:space="preserve">“249.pdf”: </w:t>
      </w:r>
      <w:r w:rsidR="001C447D">
        <w:rPr>
          <w:rFonts w:ascii="Palatino Linotype" w:hAnsi="Palatino Linotype"/>
        </w:rPr>
        <w:t xml:space="preserve">Informe justificado signado por el titular de la unidad de transparencia y dirigido al comisionado ponente, en términos generales refiere ofrecer prueba </w:t>
      </w:r>
      <w:proofErr w:type="spellStart"/>
      <w:r w:rsidR="001C447D">
        <w:rPr>
          <w:rFonts w:ascii="Palatino Linotype" w:hAnsi="Palatino Linotype"/>
        </w:rPr>
        <w:t>presuncional</w:t>
      </w:r>
      <w:proofErr w:type="spellEnd"/>
      <w:r w:rsidR="001C447D">
        <w:rPr>
          <w:rFonts w:ascii="Palatino Linotype" w:hAnsi="Palatino Linotype"/>
        </w:rPr>
        <w:t xml:space="preserve">, así como prueba documental mediante el </w:t>
      </w:r>
      <w:proofErr w:type="gramStart"/>
      <w:r w:rsidR="001C447D">
        <w:rPr>
          <w:rFonts w:ascii="Palatino Linotype" w:hAnsi="Palatino Linotype"/>
        </w:rPr>
        <w:t xml:space="preserve">oficio  </w:t>
      </w:r>
      <w:r w:rsidR="001C447D">
        <w:rPr>
          <w:rFonts w:ascii="Palatino Linotype" w:hAnsi="Palatino Linotype"/>
          <w:b/>
          <w:bCs/>
        </w:rPr>
        <w:t>DA</w:t>
      </w:r>
      <w:proofErr w:type="gramEnd"/>
      <w:r w:rsidR="001C447D">
        <w:rPr>
          <w:rFonts w:ascii="Palatino Linotype" w:hAnsi="Palatino Linotype"/>
          <w:b/>
          <w:bCs/>
        </w:rPr>
        <w:t xml:space="preserve">/1728/2023 </w:t>
      </w:r>
      <w:r w:rsidR="001C447D">
        <w:rPr>
          <w:rFonts w:ascii="Palatino Linotype" w:hAnsi="Palatino Linotype"/>
        </w:rPr>
        <w:t xml:space="preserve">descrito con anterioridad. </w:t>
      </w:r>
    </w:p>
    <w:p w14:paraId="0B7E15EC" w14:textId="77777777" w:rsidR="008D65E5" w:rsidRDefault="008D65E5" w:rsidP="008D65E5">
      <w:pPr>
        <w:spacing w:after="0" w:line="360" w:lineRule="auto"/>
        <w:jc w:val="both"/>
        <w:rPr>
          <w:rFonts w:ascii="Palatino Linotype" w:hAnsi="Palatino Linotype"/>
          <w:sz w:val="24"/>
          <w:szCs w:val="24"/>
        </w:rPr>
      </w:pPr>
    </w:p>
    <w:p w14:paraId="2D0CDE4A" w14:textId="308E17E9" w:rsidR="008D65E5" w:rsidRDefault="001C447D" w:rsidP="00E663AF">
      <w:pPr>
        <w:spacing w:before="240" w:line="360" w:lineRule="auto"/>
        <w:jc w:val="both"/>
        <w:rPr>
          <w:rFonts w:ascii="Palatino Linotype" w:hAnsi="Palatino Linotype"/>
          <w:sz w:val="24"/>
          <w:szCs w:val="24"/>
        </w:rPr>
      </w:pPr>
      <w:r>
        <w:rPr>
          <w:rFonts w:ascii="Palatino Linotype" w:hAnsi="Palatino Linotype"/>
          <w:sz w:val="24"/>
          <w:szCs w:val="24"/>
        </w:rPr>
        <w:t xml:space="preserve">Por otra parte, en el apartado relativo a “Comentarios” de los “Archivos enviados por la Unidad de Transparencia”, ambos inmersos en el apartado de manifestaciones del expediente electrónico, </w:t>
      </w:r>
      <w:r>
        <w:rPr>
          <w:rFonts w:ascii="Palatino Linotype" w:hAnsi="Palatino Linotype"/>
          <w:b/>
          <w:bCs/>
          <w:sz w:val="24"/>
          <w:szCs w:val="24"/>
        </w:rPr>
        <w:t xml:space="preserve">El Sujeto Obligado </w:t>
      </w:r>
      <w:r>
        <w:rPr>
          <w:rFonts w:ascii="Palatino Linotype" w:hAnsi="Palatino Linotype"/>
          <w:sz w:val="24"/>
          <w:szCs w:val="24"/>
        </w:rPr>
        <w:t>proporcionó la siguiente liga electrónica:</w:t>
      </w:r>
    </w:p>
    <w:p w14:paraId="410E75E0" w14:textId="51CF2DEF" w:rsidR="001C447D" w:rsidRPr="001C447D" w:rsidRDefault="001C447D" w:rsidP="001C447D">
      <w:pPr>
        <w:pStyle w:val="Citas"/>
        <w:rPr>
          <w:sz w:val="24"/>
          <w:szCs w:val="24"/>
          <w:lang w:val="en-US"/>
        </w:rPr>
      </w:pPr>
      <w:r w:rsidRPr="001C447D">
        <w:rPr>
          <w:lang w:val="en-US"/>
        </w:rPr>
        <w:t>“</w:t>
      </w:r>
      <w:hyperlink r:id="rId18" w:history="1">
        <w:r w:rsidRPr="001C447D">
          <w:rPr>
            <w:rStyle w:val="Hipervnculo"/>
            <w:lang w:val="en-US"/>
          </w:rPr>
          <w:t>https://drive.google.com/file/d/1iN0S473uiOulEjCIJvQhiQzg3B66D0vA/view?usp=sharing</w:t>
        </w:r>
      </w:hyperlink>
      <w:r w:rsidRPr="001C447D">
        <w:rPr>
          <w:lang w:val="en-US"/>
        </w:rPr>
        <w:t xml:space="preserve"> “ </w:t>
      </w:r>
      <w:r w:rsidRPr="001C447D">
        <w:rPr>
          <w:b/>
          <w:bCs/>
          <w:lang w:val="en-US"/>
        </w:rPr>
        <w:t>(Sic)</w:t>
      </w:r>
    </w:p>
    <w:p w14:paraId="6B0D45F6" w14:textId="77777777" w:rsidR="001C447D" w:rsidRDefault="001C447D" w:rsidP="00E663AF">
      <w:pPr>
        <w:spacing w:before="240" w:line="360" w:lineRule="auto"/>
        <w:jc w:val="both"/>
        <w:rPr>
          <w:rFonts w:ascii="Palatino Linotype" w:hAnsi="Palatino Linotype"/>
          <w:sz w:val="24"/>
          <w:szCs w:val="24"/>
          <w:lang w:val="en-US"/>
        </w:rPr>
      </w:pPr>
    </w:p>
    <w:p w14:paraId="7BEA14C6" w14:textId="2EFD71A6" w:rsidR="001C447D" w:rsidRDefault="001C447D" w:rsidP="00E663AF">
      <w:pPr>
        <w:spacing w:before="240" w:line="360" w:lineRule="auto"/>
        <w:jc w:val="both"/>
        <w:rPr>
          <w:rFonts w:ascii="Palatino Linotype" w:hAnsi="Palatino Linotype"/>
          <w:sz w:val="24"/>
          <w:szCs w:val="24"/>
        </w:rPr>
      </w:pPr>
      <w:r w:rsidRPr="001C447D">
        <w:rPr>
          <w:rFonts w:ascii="Palatino Linotype" w:hAnsi="Palatino Linotype"/>
          <w:sz w:val="24"/>
          <w:szCs w:val="24"/>
        </w:rPr>
        <w:t>Dominio electrónico que remite a</w:t>
      </w:r>
      <w:r>
        <w:rPr>
          <w:rFonts w:ascii="Palatino Linotype" w:hAnsi="Palatino Linotype"/>
          <w:sz w:val="24"/>
          <w:szCs w:val="24"/>
        </w:rPr>
        <w:t xml:space="preserve">l Reglamento Interno de la Administración Pública Municipal de Coacalco de Berriozábal, resultan de nuestro interés las siguientes imágenes ilustrativas:  </w:t>
      </w:r>
    </w:p>
    <w:p w14:paraId="14881225" w14:textId="05985CF9" w:rsidR="001C447D" w:rsidRPr="001C447D" w:rsidRDefault="001C447D" w:rsidP="00E663AF">
      <w:pPr>
        <w:spacing w:before="240" w:line="360" w:lineRule="auto"/>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884531" behindDoc="0" locked="0" layoutInCell="1" allowOverlap="1" wp14:anchorId="413381C4" wp14:editId="1446F383">
                <wp:simplePos x="0" y="0"/>
                <wp:positionH relativeFrom="column">
                  <wp:posOffset>18415</wp:posOffset>
                </wp:positionH>
                <wp:positionV relativeFrom="paragraph">
                  <wp:posOffset>137160</wp:posOffset>
                </wp:positionV>
                <wp:extent cx="5873750" cy="2324100"/>
                <wp:effectExtent l="0" t="0" r="31750" b="19050"/>
                <wp:wrapNone/>
                <wp:docPr id="316855374" name="Straight Connector 13"/>
                <wp:cNvGraphicFramePr/>
                <a:graphic xmlns:a="http://schemas.openxmlformats.org/drawingml/2006/main">
                  <a:graphicData uri="http://schemas.microsoft.com/office/word/2010/wordprocessingShape">
                    <wps:wsp>
                      <wps:cNvCnPr/>
                      <wps:spPr>
                        <a:xfrm>
                          <a:off x="0" y="0"/>
                          <a:ext cx="5873750" cy="2324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A80CE31" id="Straight Connector 13" o:spid="_x0000_s1026" style="position:absolute;z-index:251884531;visibility:visible;mso-wrap-style:square;mso-wrap-distance-left:9pt;mso-wrap-distance-top:0;mso-wrap-distance-right:9pt;mso-wrap-distance-bottom:0;mso-position-horizontal:absolute;mso-position-horizontal-relative:text;mso-position-vertical:absolute;mso-position-vertical-relative:text" from="1.45pt,10.8pt" to="463.95pt,1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" strokecolor="#5b9bd5 [3204]" strokeweight=".5pt">
                <v:stroke joinstyle="miter"/>
              </v:line>
            </w:pict>
          </mc:Fallback>
        </mc:AlternateContent>
      </w:r>
    </w:p>
    <w:p w14:paraId="332B99AC" w14:textId="77777777" w:rsidR="001C447D" w:rsidRPr="001C447D" w:rsidRDefault="001C447D" w:rsidP="00E663AF">
      <w:pPr>
        <w:spacing w:before="240" w:line="360" w:lineRule="auto"/>
        <w:jc w:val="both"/>
        <w:rPr>
          <w:rFonts w:ascii="Palatino Linotype" w:hAnsi="Palatino Linotype"/>
          <w:sz w:val="24"/>
          <w:szCs w:val="24"/>
        </w:rPr>
      </w:pPr>
    </w:p>
    <w:p w14:paraId="36C9D191" w14:textId="77777777" w:rsidR="001C447D" w:rsidRDefault="001C447D" w:rsidP="00E663AF">
      <w:pPr>
        <w:spacing w:before="240" w:line="360" w:lineRule="auto"/>
        <w:jc w:val="both"/>
        <w:rPr>
          <w:rFonts w:ascii="Palatino Linotype" w:hAnsi="Palatino Linotype"/>
          <w:sz w:val="24"/>
          <w:szCs w:val="24"/>
        </w:rPr>
      </w:pPr>
    </w:p>
    <w:p w14:paraId="5F9D3855" w14:textId="77777777" w:rsidR="001C447D" w:rsidRDefault="001C447D" w:rsidP="00E663AF">
      <w:pPr>
        <w:spacing w:before="240" w:line="360" w:lineRule="auto"/>
        <w:jc w:val="both"/>
        <w:rPr>
          <w:rFonts w:ascii="Palatino Linotype" w:hAnsi="Palatino Linotype"/>
          <w:sz w:val="24"/>
          <w:szCs w:val="24"/>
        </w:rPr>
      </w:pPr>
    </w:p>
    <w:p w14:paraId="3085EC38" w14:textId="77777777" w:rsidR="001C447D" w:rsidRDefault="001C447D" w:rsidP="00E663AF">
      <w:pPr>
        <w:spacing w:before="240" w:line="360" w:lineRule="auto"/>
        <w:jc w:val="both"/>
        <w:rPr>
          <w:rFonts w:ascii="Palatino Linotype" w:hAnsi="Palatino Linotype"/>
          <w:sz w:val="24"/>
          <w:szCs w:val="24"/>
        </w:rPr>
      </w:pPr>
    </w:p>
    <w:p w14:paraId="22AFCDC9" w14:textId="3F812B80" w:rsidR="001C447D" w:rsidRDefault="001C447D" w:rsidP="00E663AF">
      <w:pPr>
        <w:spacing w:before="240" w:line="360" w:lineRule="auto"/>
        <w:jc w:val="both"/>
        <w:rPr>
          <w:rFonts w:ascii="Palatino Linotype" w:hAnsi="Palatino Linotype"/>
          <w:sz w:val="24"/>
          <w:szCs w:val="24"/>
        </w:rPr>
      </w:pPr>
      <w:r>
        <w:rPr>
          <w:rFonts w:ascii="Palatino Linotype" w:hAnsi="Palatino Linotype"/>
          <w:noProof/>
          <w:sz w:val="24"/>
          <w:szCs w:val="24"/>
          <w:lang w:eastAsia="es-MX"/>
        </w:rPr>
        <w:lastRenderedPageBreak/>
        <w:drawing>
          <wp:inline distT="0" distB="0" distL="0" distR="0" wp14:anchorId="47C03367" wp14:editId="47B825AF">
            <wp:extent cx="5759450" cy="7473950"/>
            <wp:effectExtent l="19050" t="19050" r="12700" b="12700"/>
            <wp:docPr id="136913217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7473950"/>
                    </a:xfrm>
                    <a:prstGeom prst="rect">
                      <a:avLst/>
                    </a:prstGeom>
                    <a:noFill/>
                    <a:ln>
                      <a:solidFill>
                        <a:schemeClr val="tx1"/>
                      </a:solidFill>
                    </a:ln>
                  </pic:spPr>
                </pic:pic>
              </a:graphicData>
            </a:graphic>
          </wp:inline>
        </w:drawing>
      </w:r>
    </w:p>
    <w:p w14:paraId="52A7A5DA" w14:textId="499238EC" w:rsidR="001C447D" w:rsidRDefault="001C447D" w:rsidP="00E663AF">
      <w:pPr>
        <w:spacing w:before="240" w:line="360" w:lineRule="auto"/>
        <w:jc w:val="both"/>
        <w:rPr>
          <w:rFonts w:ascii="Palatino Linotype" w:hAnsi="Palatino Linotype"/>
          <w:sz w:val="24"/>
          <w:szCs w:val="24"/>
        </w:rPr>
      </w:pPr>
      <w:r>
        <w:rPr>
          <w:rFonts w:ascii="Palatino Linotype" w:hAnsi="Palatino Linotype"/>
          <w:noProof/>
          <w:sz w:val="24"/>
          <w:szCs w:val="24"/>
          <w:lang w:eastAsia="es-MX"/>
        </w:rPr>
        <w:lastRenderedPageBreak/>
        <w:drawing>
          <wp:inline distT="0" distB="0" distL="0" distR="0" wp14:anchorId="6A6291CA" wp14:editId="20D061A9">
            <wp:extent cx="5759450" cy="7448550"/>
            <wp:effectExtent l="19050" t="19050" r="12700" b="19050"/>
            <wp:docPr id="195137525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7448550"/>
                    </a:xfrm>
                    <a:prstGeom prst="rect">
                      <a:avLst/>
                    </a:prstGeom>
                    <a:noFill/>
                    <a:ln>
                      <a:solidFill>
                        <a:schemeClr val="tx1"/>
                      </a:solidFill>
                    </a:ln>
                  </pic:spPr>
                </pic:pic>
              </a:graphicData>
            </a:graphic>
          </wp:inline>
        </w:drawing>
      </w:r>
    </w:p>
    <w:p w14:paraId="06895599" w14:textId="2391A893" w:rsidR="001C447D" w:rsidRDefault="001C447D" w:rsidP="00E663AF">
      <w:pPr>
        <w:spacing w:before="240" w:line="360" w:lineRule="auto"/>
        <w:jc w:val="both"/>
        <w:rPr>
          <w:rFonts w:ascii="Palatino Linotype" w:hAnsi="Palatino Linotype"/>
          <w:sz w:val="24"/>
          <w:szCs w:val="24"/>
        </w:rPr>
      </w:pPr>
      <w:r>
        <w:rPr>
          <w:rFonts w:ascii="Palatino Linotype" w:hAnsi="Palatino Linotype"/>
          <w:noProof/>
          <w:sz w:val="24"/>
          <w:szCs w:val="24"/>
          <w:lang w:eastAsia="es-MX"/>
        </w:rPr>
        <w:lastRenderedPageBreak/>
        <w:drawing>
          <wp:inline distT="0" distB="0" distL="0" distR="0" wp14:anchorId="6DE5F84A" wp14:editId="17FBC999">
            <wp:extent cx="5759450" cy="7397750"/>
            <wp:effectExtent l="19050" t="19050" r="12700" b="12700"/>
            <wp:docPr id="85604087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7397750"/>
                    </a:xfrm>
                    <a:prstGeom prst="rect">
                      <a:avLst/>
                    </a:prstGeom>
                    <a:noFill/>
                    <a:ln>
                      <a:solidFill>
                        <a:schemeClr val="tx1"/>
                      </a:solidFill>
                    </a:ln>
                  </pic:spPr>
                </pic:pic>
              </a:graphicData>
            </a:graphic>
          </wp:inline>
        </w:drawing>
      </w:r>
    </w:p>
    <w:p w14:paraId="1E6E0D5D" w14:textId="25AB0F8A" w:rsidR="0080489F" w:rsidRDefault="0080489F" w:rsidP="0080489F">
      <w:pPr>
        <w:spacing w:before="240" w:line="360" w:lineRule="auto"/>
        <w:jc w:val="both"/>
        <w:rPr>
          <w:rFonts w:ascii="Palatino Linotype" w:hAnsi="Palatino Linotype"/>
          <w:sz w:val="24"/>
          <w:szCs w:val="24"/>
        </w:rPr>
      </w:pPr>
      <w:r>
        <w:rPr>
          <w:rFonts w:ascii="Palatino Linotype" w:hAnsi="Palatino Linotype"/>
          <w:sz w:val="24"/>
          <w:szCs w:val="24"/>
        </w:rPr>
        <w:lastRenderedPageBreak/>
        <w:t xml:space="preserve">De ahí que deba arribarse a la premisa de </w:t>
      </w:r>
      <w:r w:rsidR="001D5AC2">
        <w:rPr>
          <w:rFonts w:ascii="Palatino Linotype" w:hAnsi="Palatino Linotype"/>
          <w:sz w:val="24"/>
          <w:szCs w:val="24"/>
        </w:rPr>
        <w:t>que,</w:t>
      </w:r>
      <w:r>
        <w:rPr>
          <w:rFonts w:ascii="Palatino Linotype" w:hAnsi="Palatino Linotype"/>
          <w:sz w:val="24"/>
          <w:szCs w:val="24"/>
        </w:rPr>
        <w:t xml:space="preserve"> mediante informe justificado, </w:t>
      </w:r>
      <w:r>
        <w:rPr>
          <w:rFonts w:ascii="Palatino Linotype" w:hAnsi="Palatino Linotype"/>
          <w:b/>
          <w:bCs/>
          <w:sz w:val="24"/>
          <w:szCs w:val="24"/>
        </w:rPr>
        <w:t xml:space="preserve">El Sujeto Obligado </w:t>
      </w:r>
      <w:r>
        <w:rPr>
          <w:rFonts w:ascii="Palatino Linotype" w:hAnsi="Palatino Linotype"/>
          <w:sz w:val="24"/>
          <w:szCs w:val="24"/>
        </w:rPr>
        <w:t xml:space="preserve">a través del servidor público habilitado competente realizó una nueva búsqueda exhaustiva y razonable, remitiendo el Reglamento Interno de la Administración Pública Municipal de Coacalco de Berriozábal, precisando que el numeral 12 de dicho ordenamiento jurídico da cuenta respecto de las funciones y atribuciones reservadas a los enlaces administrativos. </w:t>
      </w:r>
    </w:p>
    <w:p w14:paraId="4D2605F2" w14:textId="77777777" w:rsidR="0080489F" w:rsidRPr="00D12F4B" w:rsidRDefault="0080489F" w:rsidP="0080489F">
      <w:pPr>
        <w:spacing w:before="100" w:beforeAutospacing="1" w:after="100" w:afterAutospacing="1" w:line="360" w:lineRule="auto"/>
        <w:jc w:val="both"/>
        <w:rPr>
          <w:rFonts w:ascii="Palatino Linotype" w:hAnsi="Palatino Linotype"/>
          <w:sz w:val="24"/>
          <w:szCs w:val="24"/>
        </w:rPr>
      </w:pPr>
      <w:r>
        <w:rPr>
          <w:rFonts w:ascii="Palatino Linotype" w:hAnsi="Palatino Linotype"/>
          <w:sz w:val="24"/>
          <w:szCs w:val="24"/>
        </w:rPr>
        <w:t>N</w:t>
      </w:r>
      <w:r w:rsidRPr="00D12F4B">
        <w:rPr>
          <w:rFonts w:ascii="Palatino Linotype" w:hAnsi="Palatino Linotype"/>
          <w:sz w:val="24"/>
          <w:szCs w:val="24"/>
        </w:rPr>
        <w:t xml:space="preserve">o se omite comentar que, al haber existido un pronunciamiento por parte del </w:t>
      </w:r>
      <w:r>
        <w:rPr>
          <w:rFonts w:ascii="Palatino Linotype" w:hAnsi="Palatino Linotype"/>
          <w:b/>
          <w:sz w:val="24"/>
          <w:szCs w:val="24"/>
        </w:rPr>
        <w:t>Sujeto Obligado</w:t>
      </w:r>
      <w:r w:rsidRPr="00D12F4B">
        <w:rPr>
          <w:rFonts w:ascii="Palatino Linotype" w:hAnsi="Palatino Linotype"/>
          <w:sz w:val="24"/>
          <w:szCs w:val="24"/>
        </w:rPr>
        <w:t xml:space="preserve">, a fin de </w:t>
      </w:r>
      <w:r>
        <w:rPr>
          <w:rFonts w:ascii="Palatino Linotype" w:hAnsi="Palatino Linotype"/>
          <w:sz w:val="24"/>
          <w:szCs w:val="24"/>
        </w:rPr>
        <w:t xml:space="preserve">colmar la solicitud planteada, </w:t>
      </w:r>
      <w:r w:rsidRPr="00D12F4B">
        <w:rPr>
          <w:rFonts w:ascii="Palatino Linotype" w:hAnsi="Palatino Linotype"/>
          <w:sz w:val="24"/>
          <w:szCs w:val="24"/>
        </w:rPr>
        <w:t>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14:paraId="46BEF678" w14:textId="77777777" w:rsidR="0080489F" w:rsidRPr="00D12F4B" w:rsidRDefault="0080489F" w:rsidP="0080489F">
      <w:pPr>
        <w:spacing w:before="100" w:beforeAutospacing="1" w:after="100" w:afterAutospacing="1" w:line="360" w:lineRule="auto"/>
        <w:jc w:val="both"/>
        <w:rPr>
          <w:rFonts w:ascii="Palatino Linotype" w:hAnsi="Palatino Linotype" w:cs="Arial"/>
          <w:sz w:val="24"/>
          <w:szCs w:val="24"/>
        </w:rPr>
      </w:pPr>
      <w:r w:rsidRPr="00D12F4B">
        <w:rPr>
          <w:rFonts w:ascii="Palatino Linotype" w:hAnsi="Palatino Linotype" w:cs="Arial"/>
          <w:sz w:val="24"/>
          <w:szCs w:val="24"/>
        </w:rPr>
        <w:t xml:space="preserve">Sirve de sustento a lo anterior, el criterio </w:t>
      </w:r>
      <w:r w:rsidRPr="00081988">
        <w:rPr>
          <w:rFonts w:ascii="Palatino Linotype" w:hAnsi="Palatino Linotype" w:cs="Arial"/>
          <w:b/>
          <w:bCs/>
          <w:sz w:val="24"/>
          <w:szCs w:val="24"/>
        </w:rPr>
        <w:t>31/10</w:t>
      </w:r>
      <w:r w:rsidRPr="00D12F4B">
        <w:rPr>
          <w:rFonts w:ascii="Palatino Linotype" w:hAnsi="Palatino Linotype" w:cs="Arial"/>
          <w:sz w:val="24"/>
          <w:szCs w:val="24"/>
        </w:rPr>
        <w:t xml:space="preserve"> emitido por el entonces Instituto Federal de Acceso a la Información y Protección de Datos, ahora Instituto Nacional de Transparencia, Acceso a la Información y Protección de Datos Personales (INAI), el cual refiere: </w:t>
      </w:r>
    </w:p>
    <w:p w14:paraId="27024677" w14:textId="77777777" w:rsidR="0080489F" w:rsidRPr="003A41AE" w:rsidRDefault="0080489F" w:rsidP="0080489F">
      <w:pPr>
        <w:pStyle w:val="Citas"/>
        <w:rPr>
          <w:b/>
        </w:rPr>
      </w:pPr>
      <w:r w:rsidRPr="003A41AE">
        <w:rPr>
          <w:b/>
        </w:rPr>
        <w:t xml:space="preserve">“EL INSTITUTO FEDERAL DE ACCESO A LA INFORMACIÓN Y PROTECCIÓN DE DATOS NO CUENTA CON FACULTADES PARA PRONUNCIARSE RESPECTO DE LA VERACIDAD DE LOS DOCUMENTOS PROPORCIONADOS POR LOS SUJETOS OBLIGADOS. </w:t>
      </w:r>
    </w:p>
    <w:p w14:paraId="1D561A26" w14:textId="77777777" w:rsidR="0080489F" w:rsidRDefault="0080489F" w:rsidP="0080489F">
      <w:pPr>
        <w:pStyle w:val="Citas"/>
      </w:pPr>
      <w:r w:rsidRPr="00D02076">
        <w:t xml:space="preserve">El Instituto Federal de Acceso a la Información y Protección de Datos es un órgano de la Administración Pública Federal con autonomía operativa, presupuestaria y de decisión, encargado de promover y difundir el ejercicio del derecho de acceso a la </w:t>
      </w:r>
      <w:r w:rsidRPr="00D02076">
        <w:lastRenderedPageBreak/>
        <w:t xml:space="preserve">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w:t>
      </w:r>
    </w:p>
    <w:p w14:paraId="0B35F242" w14:textId="77777777" w:rsidR="0080489F" w:rsidRDefault="0080489F" w:rsidP="0080489F">
      <w:pPr>
        <w:pStyle w:val="Citas"/>
      </w:pPr>
      <w:r w:rsidRPr="00D02076">
        <w:t xml:space="preserve">Expedientes: </w:t>
      </w:r>
    </w:p>
    <w:p w14:paraId="2F9B8846" w14:textId="77777777" w:rsidR="0080489F" w:rsidRDefault="0080489F" w:rsidP="002D733B">
      <w:pPr>
        <w:pStyle w:val="Citas"/>
        <w:numPr>
          <w:ilvl w:val="0"/>
          <w:numId w:val="5"/>
        </w:numPr>
      </w:pPr>
      <w:r w:rsidRPr="00D02076">
        <w:t xml:space="preserve">2440/07 Comisión Federal de Electricidad - Alonso Lujambio Irazábal </w:t>
      </w:r>
    </w:p>
    <w:p w14:paraId="7CC7A50A" w14:textId="77777777" w:rsidR="0080489F" w:rsidRDefault="0080489F" w:rsidP="002D733B">
      <w:pPr>
        <w:pStyle w:val="Citas"/>
        <w:numPr>
          <w:ilvl w:val="0"/>
          <w:numId w:val="5"/>
        </w:numPr>
      </w:pPr>
      <w:r w:rsidRPr="00D02076">
        <w:t xml:space="preserve">0113/09 Instituto de Seguridad y Servicios Sociales de los Trabajadores del Estado – Alonso Lujambio Irazábal </w:t>
      </w:r>
    </w:p>
    <w:p w14:paraId="12137901" w14:textId="77777777" w:rsidR="0080489F" w:rsidRDefault="0080489F" w:rsidP="002D733B">
      <w:pPr>
        <w:pStyle w:val="Citas"/>
        <w:numPr>
          <w:ilvl w:val="0"/>
          <w:numId w:val="5"/>
        </w:numPr>
      </w:pPr>
      <w:r w:rsidRPr="00D02076">
        <w:t xml:space="preserve">1624/09 Instituto Nacional para la Educación de los Adultos - María </w:t>
      </w:r>
      <w:proofErr w:type="spellStart"/>
      <w:r w:rsidRPr="00D02076">
        <w:t>Marván</w:t>
      </w:r>
      <w:proofErr w:type="spellEnd"/>
      <w:r w:rsidRPr="00D02076">
        <w:t xml:space="preserve"> Laborde </w:t>
      </w:r>
    </w:p>
    <w:p w14:paraId="1015E552" w14:textId="77777777" w:rsidR="0080489F" w:rsidRDefault="0080489F" w:rsidP="002D733B">
      <w:pPr>
        <w:pStyle w:val="Citas"/>
        <w:numPr>
          <w:ilvl w:val="0"/>
          <w:numId w:val="5"/>
        </w:numPr>
      </w:pPr>
      <w:r w:rsidRPr="00D02076">
        <w:t xml:space="preserve">2395/09 Secretaría de Economía - María </w:t>
      </w:r>
      <w:proofErr w:type="spellStart"/>
      <w:r w:rsidRPr="00D02076">
        <w:t>Marván</w:t>
      </w:r>
      <w:proofErr w:type="spellEnd"/>
      <w:r w:rsidRPr="00D02076">
        <w:t xml:space="preserve"> Laborde </w:t>
      </w:r>
    </w:p>
    <w:p w14:paraId="330B38FB" w14:textId="77777777" w:rsidR="0080489F" w:rsidRPr="00D02076" w:rsidRDefault="0080489F" w:rsidP="002D733B">
      <w:pPr>
        <w:pStyle w:val="Citas"/>
        <w:numPr>
          <w:ilvl w:val="0"/>
          <w:numId w:val="5"/>
        </w:numPr>
      </w:pPr>
      <w:r w:rsidRPr="00D02076">
        <w:t xml:space="preserve">0837/10 Administración Portuaria Integral de Veracruz, S.A. de C.V. – María </w:t>
      </w:r>
      <w:proofErr w:type="spellStart"/>
      <w:r w:rsidRPr="00D02076">
        <w:t>Marván</w:t>
      </w:r>
      <w:proofErr w:type="spellEnd"/>
      <w:r w:rsidRPr="00D02076">
        <w:t xml:space="preserve"> Laborde</w:t>
      </w:r>
      <w:r>
        <w:t>”</w:t>
      </w:r>
      <w:r w:rsidRPr="00D02076">
        <w:t xml:space="preserve"> </w:t>
      </w:r>
      <w:r>
        <w:rPr>
          <w:b/>
        </w:rPr>
        <w:t>[Sic]</w:t>
      </w:r>
    </w:p>
    <w:p w14:paraId="3EFA27E2" w14:textId="5095C5E1" w:rsidR="0080489F" w:rsidRDefault="0080489F" w:rsidP="0080489F">
      <w:pPr>
        <w:spacing w:before="240" w:line="360" w:lineRule="auto"/>
        <w:jc w:val="both"/>
        <w:rPr>
          <w:rFonts w:ascii="Palatino Linotype" w:hAnsi="Palatino Linotype"/>
          <w:sz w:val="24"/>
          <w:szCs w:val="24"/>
        </w:rPr>
      </w:pPr>
    </w:p>
    <w:p w14:paraId="184F553E" w14:textId="77777777" w:rsidR="0080489F" w:rsidRDefault="0080489F" w:rsidP="0080489F">
      <w:pPr>
        <w:spacing w:before="240" w:line="360" w:lineRule="auto"/>
        <w:jc w:val="both"/>
        <w:rPr>
          <w:rFonts w:ascii="Palatino Linotype" w:hAnsi="Palatino Linotype" w:cs="Arial"/>
          <w:sz w:val="24"/>
          <w:szCs w:val="24"/>
        </w:rPr>
      </w:pPr>
      <w:r>
        <w:rPr>
          <w:rFonts w:ascii="Palatino Linotype" w:hAnsi="Palatino Linotype"/>
          <w:sz w:val="24"/>
          <w:szCs w:val="24"/>
        </w:rPr>
        <w:t xml:space="preserve">Luego entonces, se arriba a la conclusión de que el informe justificado rendido por </w:t>
      </w:r>
      <w:r>
        <w:rPr>
          <w:rFonts w:ascii="Palatino Linotype" w:hAnsi="Palatino Linotype"/>
          <w:b/>
          <w:bCs/>
          <w:sz w:val="24"/>
          <w:szCs w:val="24"/>
        </w:rPr>
        <w:t xml:space="preserve">El Sujeto Obligado </w:t>
      </w:r>
      <w:r>
        <w:rPr>
          <w:rFonts w:ascii="Palatino Linotype" w:hAnsi="Palatino Linotype"/>
          <w:sz w:val="24"/>
          <w:szCs w:val="24"/>
        </w:rPr>
        <w:t xml:space="preserve">es susceptible de colmar el derecho de acceso a la información pública. </w:t>
      </w:r>
      <w:r>
        <w:rPr>
          <w:rFonts w:ascii="Palatino Linotype" w:hAnsi="Palatino Linotype" w:cs="Arial"/>
          <w:sz w:val="24"/>
          <w:szCs w:val="24"/>
        </w:rPr>
        <w:t xml:space="preserve">En este sentido, por lo que hace a las causas de sobreseimiento contenidas en </w:t>
      </w:r>
      <w:r>
        <w:rPr>
          <w:rFonts w:ascii="Palatino Linotype" w:hAnsi="Palatino Linotype" w:cs="Arial"/>
          <w:sz w:val="24"/>
          <w:szCs w:val="24"/>
        </w:rPr>
        <w:lastRenderedPageBreak/>
        <w:t>el artículo 192 de la Ley de Transparencia y Acceso a la Información Pública del Estado de México y Municipios, es oportuno señalar que estos requisitos privilegian la existencia de elementos de fondo, tales como el desistimiento o fallecimiento del</w:t>
      </w:r>
      <w:r>
        <w:rPr>
          <w:rFonts w:ascii="Palatino Linotype" w:hAnsi="Palatino Linotype" w:cs="Arial"/>
          <w:b/>
          <w:sz w:val="24"/>
          <w:szCs w:val="24"/>
        </w:rPr>
        <w:t xml:space="preserve"> Recurrente </w:t>
      </w:r>
      <w:r>
        <w:rPr>
          <w:rFonts w:ascii="Palatino Linotype" w:hAnsi="Palatino Linotype" w:cs="Arial"/>
          <w:sz w:val="24"/>
          <w:szCs w:val="24"/>
        </w:rPr>
        <w:t xml:space="preserve">o que el </w:t>
      </w:r>
      <w:r>
        <w:rPr>
          <w:rFonts w:ascii="Palatino Linotype" w:hAnsi="Palatino Linotype" w:cs="Arial"/>
          <w:b/>
          <w:sz w:val="24"/>
          <w:szCs w:val="24"/>
        </w:rPr>
        <w:t xml:space="preserve">Sujeto Obligado </w:t>
      </w:r>
      <w:r>
        <w:rPr>
          <w:rFonts w:ascii="Palatino Linotype" w:hAnsi="Palatino Linotype" w:cs="Arial"/>
          <w:b/>
          <w:sz w:val="24"/>
          <w:szCs w:val="24"/>
          <w:u w:val="single"/>
        </w:rPr>
        <w:t xml:space="preserve">modifique el acto; </w:t>
      </w:r>
      <w:r>
        <w:rPr>
          <w:rFonts w:ascii="Palatino Linotype" w:hAnsi="Palatino Linotype" w:cs="Arial"/>
          <w:sz w:val="24"/>
          <w:szCs w:val="24"/>
        </w:rPr>
        <w:t xml:space="preserve">de ahí que la actualización de alguno de éstos trae como consecuencia que el medio de impugnación se concluya sin que se analice el objeto de estudio planteado, es decir se sobresea. </w:t>
      </w:r>
    </w:p>
    <w:p w14:paraId="3685E3CC" w14:textId="77777777" w:rsidR="0080489F" w:rsidRDefault="0080489F" w:rsidP="0080489F">
      <w:pPr>
        <w:spacing w:line="360" w:lineRule="auto"/>
        <w:jc w:val="both"/>
        <w:rPr>
          <w:rFonts w:ascii="Palatino Linotype" w:hAnsi="Palatino Linotype" w:cs="Arial"/>
          <w:sz w:val="24"/>
          <w:szCs w:val="24"/>
        </w:rPr>
      </w:pPr>
      <w:r>
        <w:rPr>
          <w:rFonts w:ascii="Palatino Linotype" w:hAnsi="Palatino Linotype" w:cs="Arial"/>
          <w:sz w:val="24"/>
          <w:szCs w:val="24"/>
        </w:rPr>
        <w:t>Por otra parte, la doctrina del sobreseimiento provoca que un procedimiento se suspenda o se resuelva en definitiva sin que se entre al estudio de los agravios o motivos de inconformidad. Este mismo criterio es compartido por el más alto tribunal del país en múltiples jurisprudencias, por lo que a continuación se agrega una de ellas que sirve como orientador en esta resolución:</w:t>
      </w:r>
    </w:p>
    <w:p w14:paraId="4980CC65" w14:textId="77777777" w:rsidR="0080489F" w:rsidRDefault="0080489F" w:rsidP="0080489F">
      <w:pPr>
        <w:spacing w:line="360" w:lineRule="auto"/>
        <w:ind w:left="851" w:right="851"/>
        <w:jc w:val="both"/>
        <w:rPr>
          <w:rFonts w:ascii="Palatino Linotype" w:hAnsi="Palatino Linotype" w:cs="Arial"/>
          <w:b/>
          <w:i/>
        </w:rPr>
      </w:pPr>
      <w:r>
        <w:rPr>
          <w:rFonts w:ascii="Palatino Linotype" w:hAnsi="Palatino Linotype" w:cs="Arial"/>
          <w:b/>
          <w:i/>
        </w:rPr>
        <w:t>“SOBRESEIMIENTO EN EL JUICIO DE AMPARO DIRECTO. IMPIDE EL ESTUDIO DE LAS VIOLACIONES PROCESALES PLANTEADAS EN LOS CONCEPTOS DE VIOLACIÓN.</w:t>
      </w:r>
    </w:p>
    <w:p w14:paraId="6D2E1CE0" w14:textId="77777777" w:rsidR="0080489F" w:rsidRDefault="0080489F" w:rsidP="0080489F">
      <w:pPr>
        <w:spacing w:line="360" w:lineRule="auto"/>
        <w:ind w:left="851" w:right="851"/>
        <w:jc w:val="both"/>
        <w:rPr>
          <w:rFonts w:ascii="Palatino Linotype" w:hAnsi="Palatino Linotype"/>
          <w:i/>
          <w:color w:val="000000"/>
        </w:rPr>
      </w:pPr>
      <w:r>
        <w:rPr>
          <w:rFonts w:ascii="Palatino Linotype" w:hAnsi="Palatino Linotype" w:cs="Arial"/>
          <w:b/>
          <w:i/>
          <w:u w:val="single"/>
        </w:rPr>
        <w:t>El sobreseimiento</w:t>
      </w:r>
      <w:r>
        <w:rPr>
          <w:rFonts w:ascii="Palatino Linotype" w:hAnsi="Palatino Linotype" w:cs="Arial"/>
          <w:b/>
          <w:i/>
        </w:rPr>
        <w:t xml:space="preserve"> </w:t>
      </w:r>
      <w:r>
        <w:rPr>
          <w:rFonts w:ascii="Palatino Linotype" w:hAnsi="Palatino Linotype" w:cs="Arial"/>
          <w:i/>
        </w:rPr>
        <w:t xml:space="preserve">en el juicio de amparo directo </w:t>
      </w:r>
      <w:r>
        <w:rPr>
          <w:rFonts w:ascii="Palatino Linotype" w:hAnsi="Palatino Linotype" w:cs="Arial"/>
          <w:b/>
          <w:i/>
          <w:u w:val="single"/>
        </w:rPr>
        <w:t>provoca la terminación de la controversia planteada</w:t>
      </w:r>
      <w:r>
        <w:rPr>
          <w:rFonts w:ascii="Palatino Linotype" w:hAnsi="Palatino Linotype" w:cs="Arial"/>
          <w:b/>
          <w:i/>
        </w:rPr>
        <w:t xml:space="preserve"> </w:t>
      </w:r>
      <w:r>
        <w:rPr>
          <w:rFonts w:ascii="Palatino Linotype" w:hAnsi="Palatino Linotype" w:cs="Arial"/>
          <w:i/>
        </w:rPr>
        <w:t>por el quejoso en la demanda de amparo</w:t>
      </w:r>
      <w:r>
        <w:rPr>
          <w:rFonts w:ascii="Calibri" w:hAnsi="Calibri"/>
          <w:color w:val="000000"/>
          <w:sz w:val="26"/>
          <w:szCs w:val="26"/>
        </w:rPr>
        <w:t xml:space="preserve"> </w:t>
      </w:r>
      <w:r>
        <w:rPr>
          <w:rFonts w:ascii="Palatino Linotype" w:hAnsi="Palatino Linotype"/>
          <w:i/>
          <w:color w:val="000000"/>
        </w:rPr>
        <w:t xml:space="preserve">provoca la terminación de la controversia planteada por el quejoso en la demanda de </w:t>
      </w:r>
      <w:r>
        <w:rPr>
          <w:rFonts w:ascii="Palatino Linotype" w:hAnsi="Palatino Linotype"/>
          <w:b/>
          <w:i/>
          <w:color w:val="000000"/>
        </w:rPr>
        <w:t>amparo</w:t>
      </w:r>
      <w:r>
        <w:rPr>
          <w:rFonts w:ascii="Palatino Linotype" w:hAnsi="Palatino Linotype"/>
          <w:i/>
          <w:color w:val="000000"/>
        </w:rPr>
        <w:t>, sin hacer un pronunciamiento de fondo sobre la legalidad o ilegalidad de la sentencia reclamada. Por consiguiente, si al sobreseerse en el</w:t>
      </w:r>
      <w:r>
        <w:rPr>
          <w:rFonts w:ascii="Palatino Linotype" w:hAnsi="Palatino Linotype"/>
          <w:b/>
          <w:i/>
          <w:color w:val="000000"/>
        </w:rPr>
        <w:t xml:space="preserve"> juicio </w:t>
      </w:r>
      <w:r>
        <w:rPr>
          <w:rFonts w:ascii="Palatino Linotype" w:hAnsi="Palatino Linotype"/>
          <w:i/>
          <w:color w:val="000000"/>
        </w:rPr>
        <w:t xml:space="preserve">de </w:t>
      </w:r>
      <w:r>
        <w:rPr>
          <w:rFonts w:ascii="Palatino Linotype" w:hAnsi="Palatino Linotype"/>
          <w:b/>
          <w:i/>
          <w:color w:val="000000"/>
        </w:rPr>
        <w:t>amparo</w:t>
      </w:r>
      <w:r>
        <w:rPr>
          <w:rFonts w:ascii="Palatino Linotype" w:hAnsi="Palatino Linotype"/>
          <w:i/>
          <w:color w:val="000000"/>
        </w:rPr>
        <w:t xml:space="preserve"> no se pueden estudiar los planteamientos que se hacen valer en contra del fallo reclamado, tampoco se deben analizar las</w:t>
      </w:r>
      <w:r>
        <w:rPr>
          <w:rFonts w:ascii="Palatino Linotype" w:hAnsi="Palatino Linotype"/>
          <w:b/>
          <w:i/>
          <w:color w:val="000000"/>
        </w:rPr>
        <w:t xml:space="preserve"> violaciones procesales</w:t>
      </w:r>
      <w:r>
        <w:rPr>
          <w:rFonts w:ascii="Palatino Linotype" w:hAnsi="Palatino Linotype"/>
          <w:i/>
          <w:color w:val="000000"/>
        </w:rPr>
        <w:t xml:space="preserve"> propuestas en los </w:t>
      </w:r>
      <w:r>
        <w:rPr>
          <w:rFonts w:ascii="Palatino Linotype" w:hAnsi="Palatino Linotype"/>
          <w:b/>
          <w:i/>
          <w:color w:val="000000"/>
        </w:rPr>
        <w:t xml:space="preserve">conceptos </w:t>
      </w:r>
      <w:r>
        <w:rPr>
          <w:rFonts w:ascii="Palatino Linotype" w:hAnsi="Palatino Linotype"/>
          <w:i/>
          <w:color w:val="000000"/>
        </w:rPr>
        <w:t xml:space="preserve">de </w:t>
      </w:r>
      <w:r>
        <w:rPr>
          <w:rFonts w:ascii="Palatino Linotype" w:hAnsi="Palatino Linotype"/>
          <w:b/>
          <w:i/>
          <w:color w:val="000000"/>
        </w:rPr>
        <w:t>violación</w:t>
      </w:r>
      <w:r>
        <w:rPr>
          <w:rFonts w:ascii="Palatino Linotype" w:hAnsi="Palatino Linotype"/>
          <w:i/>
          <w:color w:val="000000"/>
        </w:rPr>
        <w:t xml:space="preserve">, dado que, la principal consecuencia del </w:t>
      </w:r>
      <w:r>
        <w:rPr>
          <w:rFonts w:ascii="Palatino Linotype" w:hAnsi="Palatino Linotype"/>
          <w:b/>
          <w:i/>
          <w:color w:val="000000"/>
        </w:rPr>
        <w:t>sobreseimiento</w:t>
      </w:r>
      <w:r>
        <w:rPr>
          <w:rFonts w:ascii="Palatino Linotype" w:hAnsi="Palatino Linotype"/>
          <w:i/>
          <w:color w:val="000000"/>
        </w:rPr>
        <w:t xml:space="preserve"> es poner fin al </w:t>
      </w:r>
      <w:r>
        <w:rPr>
          <w:rFonts w:ascii="Palatino Linotype" w:hAnsi="Palatino Linotype"/>
          <w:b/>
          <w:i/>
          <w:color w:val="000000"/>
        </w:rPr>
        <w:t xml:space="preserve">juicio </w:t>
      </w:r>
      <w:r>
        <w:rPr>
          <w:rFonts w:ascii="Palatino Linotype" w:hAnsi="Palatino Linotype"/>
          <w:i/>
          <w:color w:val="000000"/>
        </w:rPr>
        <w:t xml:space="preserve">de </w:t>
      </w:r>
      <w:r>
        <w:rPr>
          <w:rFonts w:ascii="Palatino Linotype" w:hAnsi="Palatino Linotype"/>
          <w:b/>
          <w:i/>
          <w:color w:val="000000"/>
        </w:rPr>
        <w:t xml:space="preserve">amparo </w:t>
      </w:r>
      <w:r>
        <w:rPr>
          <w:rFonts w:ascii="Palatino Linotype" w:hAnsi="Palatino Linotype"/>
          <w:i/>
          <w:color w:val="000000"/>
        </w:rPr>
        <w:t>sin resolver la controversia en sus méritos.  </w:t>
      </w:r>
    </w:p>
    <w:p w14:paraId="1D16A394" w14:textId="77777777" w:rsidR="0080489F" w:rsidRDefault="0080489F" w:rsidP="0080489F">
      <w:pPr>
        <w:spacing w:line="360" w:lineRule="auto"/>
        <w:ind w:left="851" w:right="851"/>
        <w:jc w:val="both"/>
        <w:rPr>
          <w:rFonts w:ascii="Palatino Linotype" w:hAnsi="Palatino Linotype" w:cs="Arial"/>
          <w:b/>
          <w:i/>
        </w:rPr>
      </w:pPr>
      <w:r>
        <w:rPr>
          <w:rFonts w:ascii="Palatino Linotype" w:hAnsi="Palatino Linotype" w:cs="Arial"/>
          <w:b/>
          <w:i/>
        </w:rPr>
        <w:lastRenderedPageBreak/>
        <w:t>SÉPTIMO TRIBUNAL COLEGIADO EN MATERIA CIVIL DEL PRIMER CIRCUITO.</w:t>
      </w:r>
    </w:p>
    <w:p w14:paraId="088E3551" w14:textId="77777777" w:rsidR="0080489F" w:rsidRDefault="0080489F" w:rsidP="0080489F">
      <w:pPr>
        <w:spacing w:line="360" w:lineRule="auto"/>
        <w:ind w:left="851" w:right="851"/>
        <w:jc w:val="both"/>
        <w:rPr>
          <w:rFonts w:ascii="Palatino Linotype" w:hAnsi="Palatino Linotype" w:cs="Arial"/>
          <w:i/>
        </w:rPr>
      </w:pPr>
      <w:r>
        <w:rPr>
          <w:rFonts w:ascii="Palatino Linotype" w:hAnsi="Palatino Linotype" w:cs="Arial"/>
          <w:i/>
        </w:rPr>
        <w:t xml:space="preserve">Amparo directo 699/2008. Mariana Leticia González </w:t>
      </w:r>
      <w:proofErr w:type="spellStart"/>
      <w:r>
        <w:rPr>
          <w:rFonts w:ascii="Palatino Linotype" w:hAnsi="Palatino Linotype" w:cs="Arial"/>
          <w:i/>
        </w:rPr>
        <w:t>Steele</w:t>
      </w:r>
      <w:proofErr w:type="spellEnd"/>
      <w:r>
        <w:rPr>
          <w:rFonts w:ascii="Palatino Linotype" w:hAnsi="Palatino Linotype" w:cs="Arial"/>
          <w:i/>
        </w:rPr>
        <w:t>. 13 de noviembre de 2008. Unanimidad de votos. Ponente: Sara Judith Montalvo Trejo. Secretario: Arnulfo Mateos García.”</w:t>
      </w:r>
      <w:r>
        <w:rPr>
          <w:rFonts w:ascii="Palatino Linotype" w:eastAsia="Times New Roman" w:hAnsi="Palatino Linotype" w:cs="Times New Roman"/>
          <w:b/>
          <w:i/>
          <w:lang w:val="es-ES_tradnl" w:eastAsia="es-ES"/>
        </w:rPr>
        <w:t xml:space="preserve"> [Sic]</w:t>
      </w:r>
    </w:p>
    <w:p w14:paraId="52A02204" w14:textId="77777777" w:rsidR="0080489F" w:rsidRDefault="0080489F" w:rsidP="0080489F">
      <w:pPr>
        <w:ind w:right="141"/>
        <w:jc w:val="both"/>
        <w:rPr>
          <w:rFonts w:ascii="Palatino Linotype" w:hAnsi="Palatino Linotype" w:cs="Arial"/>
        </w:rPr>
      </w:pPr>
    </w:p>
    <w:p w14:paraId="6445D921" w14:textId="77777777" w:rsidR="0080489F" w:rsidRDefault="0080489F" w:rsidP="0080489F">
      <w:pPr>
        <w:spacing w:line="360" w:lineRule="auto"/>
        <w:jc w:val="both"/>
        <w:rPr>
          <w:rFonts w:ascii="Palatino Linotype" w:hAnsi="Palatino Linotype" w:cs="Arial"/>
          <w:sz w:val="24"/>
          <w:szCs w:val="24"/>
        </w:rPr>
      </w:pPr>
      <w:r>
        <w:rPr>
          <w:rFonts w:ascii="Palatino Linotype" w:hAnsi="Palatino Linotype" w:cs="Arial"/>
          <w:sz w:val="24"/>
          <w:szCs w:val="24"/>
        </w:rPr>
        <w:t xml:space="preserve">De este modo, se puede deducir que, en las resoluciones dictadas por el Pleno de este Instituto, en las que se decreta el sobreseimiento de un recurso de revisión por la actualización de alguno de los supuestos jurídicos contemplados en el </w:t>
      </w:r>
      <w:r>
        <w:rPr>
          <w:rFonts w:ascii="Palatino Linotype" w:hAnsi="Palatino Linotype" w:cs="Arial"/>
          <w:b/>
          <w:sz w:val="24"/>
          <w:szCs w:val="24"/>
        </w:rPr>
        <w:t xml:space="preserve">artículo 192 </w:t>
      </w:r>
      <w:r>
        <w:rPr>
          <w:rFonts w:ascii="Palatino Linotype" w:hAnsi="Palatino Linotype" w:cs="Arial"/>
          <w:sz w:val="24"/>
          <w:szCs w:val="24"/>
        </w:rPr>
        <w:t xml:space="preserve">de la </w:t>
      </w:r>
      <w:r>
        <w:rPr>
          <w:rFonts w:ascii="Palatino Linotype" w:hAnsi="Palatino Linotype" w:cs="Arial"/>
          <w:b/>
          <w:sz w:val="24"/>
          <w:szCs w:val="24"/>
        </w:rPr>
        <w:t xml:space="preserve">Ley de Transparencia y Acceso a la Información Pública del Estado de México y Municipios, </w:t>
      </w:r>
      <w:r>
        <w:rPr>
          <w:rFonts w:ascii="Palatino Linotype" w:hAnsi="Palatino Linotype" w:cs="Arial"/>
          <w:sz w:val="24"/>
          <w:szCs w:val="24"/>
        </w:rPr>
        <w:t xml:space="preserve">nos encontramos ante un sobreseimiento definitivo toda vez que pone fin al procedimiento sin entrar al estudio de fondo del mismo. </w:t>
      </w:r>
    </w:p>
    <w:p w14:paraId="66A7B37B" w14:textId="77777777" w:rsidR="0080489F" w:rsidRDefault="0080489F" w:rsidP="0080489F">
      <w:pPr>
        <w:spacing w:line="360" w:lineRule="auto"/>
        <w:jc w:val="both"/>
        <w:rPr>
          <w:rFonts w:ascii="Palatino Linotype" w:hAnsi="Palatino Linotype" w:cs="Arial"/>
          <w:b/>
          <w:sz w:val="24"/>
          <w:szCs w:val="24"/>
        </w:rPr>
      </w:pPr>
      <w:r>
        <w:rPr>
          <w:rFonts w:ascii="Palatino Linotype" w:hAnsi="Palatino Linotype" w:cs="Arial"/>
          <w:sz w:val="24"/>
          <w:szCs w:val="24"/>
        </w:rPr>
        <w:t xml:space="preserve">Para los efectos de esta resolución, resulta oportuno precisar los alcances jurídicos de la </w:t>
      </w:r>
      <w:r>
        <w:rPr>
          <w:rFonts w:ascii="Palatino Linotype" w:hAnsi="Palatino Linotype" w:cs="Arial"/>
          <w:b/>
          <w:sz w:val="24"/>
          <w:szCs w:val="24"/>
        </w:rPr>
        <w:t xml:space="preserve">fracción III </w:t>
      </w:r>
      <w:r>
        <w:rPr>
          <w:rFonts w:ascii="Palatino Linotype" w:hAnsi="Palatino Linotype" w:cs="Arial"/>
          <w:sz w:val="24"/>
          <w:szCs w:val="24"/>
        </w:rPr>
        <w:t xml:space="preserve">de la disposición legal transcrita. Así, procede el sobreseimiento del recurso de revisión cuando el </w:t>
      </w:r>
      <w:r>
        <w:rPr>
          <w:rFonts w:ascii="Palatino Linotype" w:hAnsi="Palatino Linotype" w:cs="Arial"/>
          <w:b/>
          <w:sz w:val="24"/>
          <w:szCs w:val="24"/>
        </w:rPr>
        <w:t xml:space="preserve">Sujeto Obligado: </w:t>
      </w:r>
    </w:p>
    <w:p w14:paraId="4A9D767C" w14:textId="77777777" w:rsidR="0080489F" w:rsidRDefault="0080489F" w:rsidP="002D733B">
      <w:pPr>
        <w:pStyle w:val="Prrafodelista"/>
        <w:numPr>
          <w:ilvl w:val="0"/>
          <w:numId w:val="13"/>
        </w:numPr>
        <w:spacing w:line="360" w:lineRule="auto"/>
        <w:ind w:right="851"/>
        <w:jc w:val="both"/>
        <w:rPr>
          <w:rFonts w:ascii="Palatino Linotype" w:hAnsi="Palatino Linotype" w:cs="Arial"/>
          <w:b/>
        </w:rPr>
      </w:pPr>
      <w:r>
        <w:rPr>
          <w:rFonts w:ascii="Palatino Linotype" w:hAnsi="Palatino Linotype" w:cs="Arial"/>
          <w:b/>
        </w:rPr>
        <w:t xml:space="preserve">Modifique el acto impugnado: </w:t>
      </w:r>
      <w:r>
        <w:rPr>
          <w:rFonts w:ascii="Palatino Linotype" w:hAnsi="Palatino Linotype" w:cs="Arial"/>
        </w:rPr>
        <w:t xml:space="preserve">Se actualiza cuando el </w:t>
      </w:r>
      <w:r>
        <w:rPr>
          <w:rFonts w:ascii="Palatino Linotype" w:hAnsi="Palatino Linotype" w:cs="Arial"/>
          <w:b/>
        </w:rPr>
        <w:t xml:space="preserve">Sujeto Obligado </w:t>
      </w:r>
      <w:r>
        <w:rPr>
          <w:rFonts w:ascii="Palatino Linotype" w:hAnsi="Palatino Linotype" w:cs="Arial"/>
        </w:rPr>
        <w:t xml:space="preserve">después de haber otorgado una respuesta y hasta antes de dictada la resolución del recurso de revisión, emite una diversa en la que subsane las deficiencias que hubiere tenido. </w:t>
      </w:r>
    </w:p>
    <w:p w14:paraId="15D7561B" w14:textId="77777777" w:rsidR="0080489F" w:rsidRDefault="0080489F" w:rsidP="0080489F">
      <w:pPr>
        <w:pStyle w:val="Prrafodelista"/>
        <w:spacing w:line="360" w:lineRule="auto"/>
        <w:ind w:left="720" w:right="851"/>
        <w:jc w:val="both"/>
        <w:rPr>
          <w:rFonts w:ascii="Palatino Linotype" w:hAnsi="Palatino Linotype" w:cs="Arial"/>
          <w:b/>
        </w:rPr>
      </w:pPr>
    </w:p>
    <w:p w14:paraId="010F023C" w14:textId="77777777" w:rsidR="0080489F" w:rsidRDefault="0080489F" w:rsidP="0080489F">
      <w:pPr>
        <w:spacing w:line="360" w:lineRule="auto"/>
        <w:jc w:val="both"/>
        <w:rPr>
          <w:rFonts w:ascii="Palatino Linotype" w:hAnsi="Palatino Linotype" w:cs="Arial"/>
          <w:sz w:val="24"/>
          <w:szCs w:val="24"/>
          <w:u w:val="single"/>
        </w:rPr>
      </w:pPr>
      <w:r>
        <w:rPr>
          <w:rFonts w:ascii="Palatino Linotype" w:hAnsi="Palatino Linotype" w:cs="Arial"/>
          <w:sz w:val="24"/>
          <w:szCs w:val="24"/>
        </w:rPr>
        <w:t xml:space="preserve">Las consecuencias jurídicas de esta modificación es que el recurso de revisión interpuesto quede sin efectos o sin materia y se procure la debida tutela del Derecho de Acceso a la Información Pública. Un acto impugnado queda sin efectos, cuando aun </w:t>
      </w:r>
      <w:r>
        <w:rPr>
          <w:rFonts w:ascii="Palatino Linotype" w:hAnsi="Palatino Linotype" w:cs="Arial"/>
          <w:sz w:val="24"/>
          <w:szCs w:val="24"/>
        </w:rPr>
        <w:lastRenderedPageBreak/>
        <w:t xml:space="preserve">existiendo jurídicamente, no genera consecuencia legal alguna; queda sin materia, </w:t>
      </w:r>
      <w:r>
        <w:rPr>
          <w:rFonts w:ascii="Palatino Linotype" w:hAnsi="Palatino Linotype" w:cs="Arial"/>
          <w:b/>
          <w:sz w:val="24"/>
          <w:szCs w:val="24"/>
          <w:u w:val="single"/>
        </w:rPr>
        <w:t xml:space="preserve">cuando ha sido satisfecha la pretensión del particular, </w:t>
      </w:r>
      <w:r>
        <w:rPr>
          <w:rFonts w:ascii="Palatino Linotype" w:hAnsi="Palatino Linotype" w:cs="Arial"/>
          <w:sz w:val="24"/>
          <w:szCs w:val="24"/>
        </w:rPr>
        <w:t>ya sea porque se hizo la entrega de la información solicitada o porque se completó la misma.</w:t>
      </w:r>
      <w:r>
        <w:rPr>
          <w:rFonts w:ascii="Palatino Linotype" w:hAnsi="Palatino Linotype" w:cs="Arial"/>
          <w:sz w:val="24"/>
          <w:szCs w:val="24"/>
          <w:u w:val="single"/>
        </w:rPr>
        <w:t xml:space="preserve"> </w:t>
      </w:r>
    </w:p>
    <w:p w14:paraId="37D562A8" w14:textId="77777777" w:rsidR="0080489F" w:rsidRDefault="0080489F" w:rsidP="0080489F">
      <w:pPr>
        <w:spacing w:line="360" w:lineRule="auto"/>
        <w:jc w:val="both"/>
        <w:rPr>
          <w:rFonts w:ascii="Palatino Linotype" w:hAnsi="Palatino Linotype" w:cs="Arial"/>
          <w:sz w:val="24"/>
          <w:szCs w:val="24"/>
        </w:rPr>
      </w:pPr>
      <w:r>
        <w:rPr>
          <w:rFonts w:ascii="Palatino Linotype" w:hAnsi="Palatino Linotype" w:cs="Arial"/>
          <w:sz w:val="24"/>
          <w:szCs w:val="24"/>
        </w:rPr>
        <w:t xml:space="preserve">En este tenor, se advierte que </w:t>
      </w:r>
      <w:r>
        <w:rPr>
          <w:rFonts w:ascii="Palatino Linotype" w:hAnsi="Palatino Linotype" w:cs="Arial"/>
          <w:b/>
          <w:sz w:val="24"/>
          <w:szCs w:val="24"/>
        </w:rPr>
        <w:t>El</w:t>
      </w:r>
      <w:r>
        <w:rPr>
          <w:rFonts w:ascii="Palatino Linotype" w:hAnsi="Palatino Linotype" w:cs="Arial"/>
          <w:sz w:val="24"/>
          <w:szCs w:val="24"/>
        </w:rPr>
        <w:t xml:space="preserve"> </w:t>
      </w:r>
      <w:r>
        <w:rPr>
          <w:rFonts w:ascii="Palatino Linotype" w:hAnsi="Palatino Linotype" w:cs="Arial"/>
          <w:b/>
          <w:sz w:val="24"/>
          <w:szCs w:val="24"/>
        </w:rPr>
        <w:t xml:space="preserve">Sujeto Obligado </w:t>
      </w:r>
      <w:r>
        <w:rPr>
          <w:rFonts w:ascii="Palatino Linotype" w:hAnsi="Palatino Linotype" w:cs="Arial"/>
          <w:sz w:val="24"/>
          <w:szCs w:val="24"/>
        </w:rPr>
        <w:t xml:space="preserve">con la información enviada a este Órgano Garante, </w:t>
      </w:r>
      <w:r>
        <w:rPr>
          <w:rFonts w:ascii="Palatino Linotype" w:hAnsi="Palatino Linotype" w:cs="Arial"/>
          <w:b/>
          <w:sz w:val="24"/>
          <w:szCs w:val="24"/>
        </w:rPr>
        <w:t xml:space="preserve">modifica </w:t>
      </w:r>
      <w:r>
        <w:rPr>
          <w:rFonts w:ascii="Palatino Linotype" w:hAnsi="Palatino Linotype" w:cs="Arial"/>
          <w:sz w:val="24"/>
          <w:szCs w:val="24"/>
        </w:rPr>
        <w:t xml:space="preserve">el acto que le dio origen al recurso de revisión, </w:t>
      </w:r>
      <w:r>
        <w:rPr>
          <w:rFonts w:ascii="Palatino Linotype" w:hAnsi="Palatino Linotype" w:cs="Arial"/>
          <w:b/>
          <w:sz w:val="24"/>
          <w:szCs w:val="24"/>
        </w:rPr>
        <w:t xml:space="preserve">por lo que trae como consecuencia que el mismo quede sin materia, </w:t>
      </w:r>
      <w:r>
        <w:rPr>
          <w:rFonts w:ascii="Palatino Linotype" w:hAnsi="Palatino Linotype" w:cs="Arial"/>
          <w:sz w:val="24"/>
          <w:szCs w:val="24"/>
        </w:rPr>
        <w:t xml:space="preserve">actualizándose de este modo, la hipótesis jurídica contenida en la fracción III del artículo 192. </w:t>
      </w:r>
    </w:p>
    <w:p w14:paraId="10369CFA" w14:textId="77777777" w:rsidR="0080489F" w:rsidRDefault="0080489F" w:rsidP="0080489F">
      <w:pPr>
        <w:spacing w:line="360" w:lineRule="auto"/>
        <w:jc w:val="both"/>
        <w:rPr>
          <w:rFonts w:ascii="Palatino Linotype" w:hAnsi="Palatino Linotype" w:cs="Arial"/>
          <w:sz w:val="24"/>
          <w:szCs w:val="24"/>
        </w:rPr>
      </w:pPr>
      <w:r>
        <w:rPr>
          <w:rFonts w:ascii="Palatino Linotype" w:hAnsi="Palatino Linotype" w:cs="Arial"/>
          <w:sz w:val="24"/>
          <w:szCs w:val="24"/>
        </w:rPr>
        <w:t xml:space="preserve">De este modo, cuando </w:t>
      </w:r>
      <w:r>
        <w:rPr>
          <w:rFonts w:ascii="Palatino Linotype" w:hAnsi="Palatino Linotype" w:cs="Arial"/>
          <w:b/>
          <w:sz w:val="24"/>
          <w:szCs w:val="24"/>
        </w:rPr>
        <w:t>El</w:t>
      </w:r>
      <w:r>
        <w:rPr>
          <w:rFonts w:ascii="Palatino Linotype" w:hAnsi="Palatino Linotype" w:cs="Arial"/>
          <w:sz w:val="24"/>
          <w:szCs w:val="24"/>
        </w:rPr>
        <w:t xml:space="preserve"> </w:t>
      </w:r>
      <w:r>
        <w:rPr>
          <w:rFonts w:ascii="Palatino Linotype" w:hAnsi="Palatino Linotype" w:cs="Arial"/>
          <w:b/>
          <w:sz w:val="24"/>
          <w:szCs w:val="24"/>
        </w:rPr>
        <w:t>Sujeto Obligado</w:t>
      </w:r>
      <w:r>
        <w:rPr>
          <w:rFonts w:ascii="Palatino Linotype" w:hAnsi="Palatino Linotype" w:cs="Arial"/>
          <w:sz w:val="24"/>
          <w:szCs w:val="24"/>
        </w:rPr>
        <w:t xml:space="preserve">, antes de que se dicte resolución definitiva, entrega la información solicitada o completa la respuesta que en un momento fue incompleta o no correspondió con lo solicitado; el recurso de revisión que al efecto se haya interpuesto queda sin materia lo que imposibilita el estudio de fondo de la </w:t>
      </w:r>
      <w:proofErr w:type="spellStart"/>
      <w:r>
        <w:rPr>
          <w:rFonts w:ascii="Palatino Linotype" w:hAnsi="Palatino Linotype" w:cs="Arial"/>
          <w:b/>
          <w:i/>
          <w:sz w:val="24"/>
          <w:szCs w:val="24"/>
        </w:rPr>
        <w:t>litis</w:t>
      </w:r>
      <w:proofErr w:type="spellEnd"/>
      <w:r>
        <w:rPr>
          <w:rFonts w:ascii="Palatino Linotype" w:hAnsi="Palatino Linotype" w:cs="Arial"/>
          <w:b/>
          <w:i/>
          <w:sz w:val="24"/>
          <w:szCs w:val="24"/>
        </w:rPr>
        <w:t xml:space="preserve"> </w:t>
      </w:r>
      <w:r>
        <w:rPr>
          <w:rFonts w:ascii="Palatino Linotype" w:hAnsi="Palatino Linotype" w:cs="Arial"/>
          <w:sz w:val="24"/>
          <w:szCs w:val="24"/>
        </w:rPr>
        <w:t xml:space="preserve">planteada, debido a que la afectación en su esfera de derechos fue restituida por la propia autoridad que emitió el acto de impugnación. </w:t>
      </w:r>
    </w:p>
    <w:p w14:paraId="1A30EEE0" w14:textId="77777777" w:rsidR="0080489F" w:rsidRDefault="0080489F" w:rsidP="0080489F">
      <w:pPr>
        <w:tabs>
          <w:tab w:val="left" w:pos="7797"/>
        </w:tabs>
        <w:spacing w:line="360" w:lineRule="auto"/>
        <w:jc w:val="both"/>
        <w:rPr>
          <w:rFonts w:ascii="Palatino Linotype" w:hAnsi="Palatino Linotype" w:cs="Arial"/>
          <w:sz w:val="24"/>
          <w:szCs w:val="24"/>
        </w:rPr>
      </w:pPr>
      <w:r>
        <w:rPr>
          <w:rFonts w:ascii="Palatino Linotype" w:hAnsi="Palatino Linotype" w:cs="Arial"/>
          <w:sz w:val="24"/>
          <w:szCs w:val="24"/>
        </w:rPr>
        <w:t xml:space="preserve">Por lo tanto, para que se actualice el sobreseimiento de un recurso de revisión, </w:t>
      </w:r>
      <w:r>
        <w:rPr>
          <w:rFonts w:ascii="Palatino Linotype" w:hAnsi="Palatino Linotype" w:cs="Arial"/>
          <w:b/>
          <w:sz w:val="24"/>
          <w:szCs w:val="24"/>
        </w:rPr>
        <w:t>El</w:t>
      </w:r>
      <w:r>
        <w:rPr>
          <w:rFonts w:ascii="Palatino Linotype" w:hAnsi="Palatino Linotype" w:cs="Arial"/>
          <w:sz w:val="24"/>
          <w:szCs w:val="24"/>
        </w:rPr>
        <w:t xml:space="preserve"> </w:t>
      </w:r>
      <w:r>
        <w:rPr>
          <w:rFonts w:ascii="Palatino Linotype" w:hAnsi="Palatino Linotype" w:cs="Arial"/>
          <w:b/>
          <w:sz w:val="24"/>
          <w:szCs w:val="24"/>
        </w:rPr>
        <w:t xml:space="preserve">Sujeto Obligado </w:t>
      </w:r>
      <w:r>
        <w:rPr>
          <w:rFonts w:ascii="Palatino Linotype" w:hAnsi="Palatino Linotype" w:cs="Arial"/>
          <w:sz w:val="24"/>
          <w:szCs w:val="24"/>
        </w:rPr>
        <w:t xml:space="preserve">puede entregar o completar la información al momento de rendir su </w:t>
      </w:r>
      <w:r>
        <w:rPr>
          <w:rFonts w:ascii="Palatino Linotype" w:hAnsi="Palatino Linotype" w:cs="Arial"/>
          <w:b/>
          <w:sz w:val="24"/>
          <w:szCs w:val="24"/>
          <w:u w:val="single"/>
        </w:rPr>
        <w:t>informe de justificación dentro de los siete días</w:t>
      </w:r>
      <w:r>
        <w:rPr>
          <w:rFonts w:ascii="Palatino Linotype" w:hAnsi="Palatino Linotype" w:cs="Arial"/>
          <w:b/>
          <w:sz w:val="24"/>
          <w:szCs w:val="24"/>
        </w:rPr>
        <w:t xml:space="preserve"> </w:t>
      </w:r>
      <w:r>
        <w:rPr>
          <w:rFonts w:ascii="Palatino Linotype" w:hAnsi="Palatino Linotype" w:cs="Arial"/>
          <w:sz w:val="24"/>
          <w:szCs w:val="24"/>
        </w:rPr>
        <w:t>previstos para manifestar lo que a su derecho convenga.</w:t>
      </w:r>
    </w:p>
    <w:p w14:paraId="6248C8DC" w14:textId="58D3A533" w:rsidR="0080489F" w:rsidRDefault="0080489F" w:rsidP="0080489F">
      <w:pPr>
        <w:tabs>
          <w:tab w:val="left" w:pos="8080"/>
        </w:tabs>
        <w:spacing w:line="360" w:lineRule="auto"/>
        <w:jc w:val="both"/>
        <w:rPr>
          <w:rFonts w:ascii="Palatino Linotype" w:hAnsi="Palatino Linotype" w:cs="Arial"/>
          <w:sz w:val="24"/>
          <w:szCs w:val="24"/>
        </w:rPr>
      </w:pPr>
      <w:r>
        <w:rPr>
          <w:rFonts w:ascii="Palatino Linotype" w:hAnsi="Palatino Linotype" w:cs="Arial"/>
          <w:sz w:val="24"/>
          <w:szCs w:val="24"/>
        </w:rPr>
        <w:t xml:space="preserve">En mérito de lo expuesto en líneas anteriores, resultan fundados los motivos de inconformidad que arguye </w:t>
      </w:r>
      <w:r w:rsidR="001D5AC2">
        <w:rPr>
          <w:rFonts w:ascii="Palatino Linotype" w:hAnsi="Palatino Linotype" w:cs="Arial"/>
          <w:b/>
          <w:sz w:val="24"/>
          <w:szCs w:val="24"/>
        </w:rPr>
        <w:t>La</w:t>
      </w:r>
      <w:r>
        <w:rPr>
          <w:rFonts w:ascii="Palatino Linotype" w:hAnsi="Palatino Linotype" w:cs="Arial"/>
          <w:b/>
          <w:sz w:val="24"/>
          <w:szCs w:val="24"/>
        </w:rPr>
        <w:t xml:space="preserve"> Recurrente </w:t>
      </w:r>
      <w:r>
        <w:rPr>
          <w:rFonts w:ascii="Palatino Linotype" w:hAnsi="Palatino Linotype" w:cs="Arial"/>
          <w:sz w:val="24"/>
          <w:szCs w:val="24"/>
        </w:rPr>
        <w:t xml:space="preserve">en su medio de impugnación que fue materia de estudio, por ello </w:t>
      </w:r>
      <w:r>
        <w:rPr>
          <w:rFonts w:ascii="Palatino Linotype" w:hAnsi="Palatino Linotype" w:cs="Arial"/>
          <w:b/>
          <w:sz w:val="24"/>
          <w:szCs w:val="24"/>
        </w:rPr>
        <w:t xml:space="preserve">con fundamento en el artículo 186 fracción I, en concordancia con el 192 fracción III de la Ley de Transparencia y Acceso a la </w:t>
      </w:r>
      <w:r>
        <w:rPr>
          <w:rFonts w:ascii="Palatino Linotype" w:hAnsi="Palatino Linotype" w:cs="Arial"/>
          <w:b/>
          <w:sz w:val="24"/>
          <w:szCs w:val="24"/>
        </w:rPr>
        <w:lastRenderedPageBreak/>
        <w:t xml:space="preserve">Información Pública del Estado de México y Municipios, </w:t>
      </w:r>
      <w:r>
        <w:rPr>
          <w:rFonts w:ascii="Palatino Linotype" w:hAnsi="Palatino Linotype" w:cs="Arial"/>
          <w:sz w:val="24"/>
          <w:szCs w:val="24"/>
        </w:rPr>
        <w:t xml:space="preserve">se </w:t>
      </w:r>
      <w:r>
        <w:rPr>
          <w:rFonts w:ascii="Palatino Linotype" w:hAnsi="Palatino Linotype" w:cs="Arial"/>
          <w:b/>
          <w:sz w:val="24"/>
          <w:szCs w:val="24"/>
        </w:rPr>
        <w:t xml:space="preserve">SOBRESEE </w:t>
      </w:r>
      <w:r>
        <w:rPr>
          <w:rFonts w:ascii="Palatino Linotype" w:hAnsi="Palatino Linotype" w:cs="Arial"/>
          <w:sz w:val="24"/>
          <w:szCs w:val="24"/>
        </w:rPr>
        <w:t xml:space="preserve">el recurso de revisión </w:t>
      </w:r>
      <w:r w:rsidRPr="0080489F">
        <w:rPr>
          <w:rFonts w:ascii="Palatino Linotype" w:hAnsi="Palatino Linotype" w:cs="Arial"/>
          <w:b/>
          <w:bCs/>
          <w:sz w:val="24"/>
          <w:szCs w:val="24"/>
        </w:rPr>
        <w:t>0</w:t>
      </w:r>
      <w:r>
        <w:rPr>
          <w:rFonts w:ascii="Palatino Linotype" w:hAnsi="Palatino Linotype" w:cs="Arial"/>
          <w:b/>
          <w:sz w:val="24"/>
          <w:szCs w:val="24"/>
        </w:rPr>
        <w:t>4910/INFOEM/IP/RR/2023</w:t>
      </w:r>
      <w:r>
        <w:rPr>
          <w:rFonts w:ascii="Palatino Linotype" w:hAnsi="Palatino Linotype" w:cs="Arial"/>
          <w:b/>
          <w:sz w:val="24"/>
          <w:szCs w:val="24"/>
          <w:lang w:val="es-ES_tradnl"/>
        </w:rPr>
        <w:t xml:space="preserve">, </w:t>
      </w:r>
      <w:r>
        <w:rPr>
          <w:rFonts w:ascii="Palatino Linotype" w:hAnsi="Palatino Linotype" w:cs="Arial"/>
          <w:sz w:val="24"/>
          <w:szCs w:val="24"/>
          <w:lang w:val="es-ES_tradnl"/>
        </w:rPr>
        <w:t xml:space="preserve">que ha sido materia del presente fallo. </w:t>
      </w:r>
    </w:p>
    <w:p w14:paraId="1D4E96B0" w14:textId="77777777" w:rsidR="0080489F" w:rsidRDefault="0080489F" w:rsidP="0080489F">
      <w:pPr>
        <w:tabs>
          <w:tab w:val="left" w:pos="8080"/>
        </w:tabs>
        <w:spacing w:line="360" w:lineRule="auto"/>
        <w:jc w:val="both"/>
        <w:rPr>
          <w:rFonts w:ascii="Palatino Linotype" w:hAnsi="Palatino Linotype" w:cs="Arial"/>
          <w:bCs/>
          <w:sz w:val="24"/>
          <w:szCs w:val="24"/>
        </w:rPr>
      </w:pPr>
      <w:r>
        <w:rPr>
          <w:rFonts w:ascii="Palatino Linotype" w:hAnsi="Palatino Linotype" w:cs="Arial"/>
          <w:bCs/>
          <w:sz w:val="24"/>
          <w:szCs w:val="24"/>
        </w:rPr>
        <w:t>Por lo antes expuesto y fundado es de resolverse y,</w:t>
      </w:r>
    </w:p>
    <w:p w14:paraId="6AF78D97" w14:textId="77777777" w:rsidR="0080489F" w:rsidRDefault="0080489F" w:rsidP="0080489F">
      <w:pPr>
        <w:spacing w:after="0" w:line="360" w:lineRule="auto"/>
        <w:jc w:val="center"/>
        <w:rPr>
          <w:rFonts w:ascii="Palatino Linotype" w:eastAsia="Times New Roman" w:hAnsi="Palatino Linotype" w:cs="Times New Roman"/>
          <w:b/>
          <w:bCs/>
          <w:spacing w:val="60"/>
          <w:sz w:val="28"/>
          <w:szCs w:val="24"/>
          <w:lang w:val="es-ES_tradnl" w:eastAsia="es-ES"/>
        </w:rPr>
      </w:pPr>
    </w:p>
    <w:p w14:paraId="35FFC7C7" w14:textId="77777777" w:rsidR="0080489F" w:rsidRDefault="0080489F" w:rsidP="0080489F">
      <w:pPr>
        <w:spacing w:after="0" w:line="360" w:lineRule="auto"/>
        <w:jc w:val="center"/>
        <w:rPr>
          <w:rFonts w:ascii="Palatino Linotype" w:eastAsia="Times New Roman" w:hAnsi="Palatino Linotype" w:cs="Times New Roman"/>
          <w:b/>
          <w:bCs/>
          <w:spacing w:val="60"/>
          <w:sz w:val="28"/>
          <w:szCs w:val="24"/>
          <w:lang w:val="es-ES_tradnl" w:eastAsia="es-ES"/>
        </w:rPr>
      </w:pPr>
    </w:p>
    <w:p w14:paraId="309FE2C1" w14:textId="77777777" w:rsidR="0080489F" w:rsidRPr="00895C52" w:rsidRDefault="0080489F" w:rsidP="0080489F">
      <w:pPr>
        <w:spacing w:after="0" w:line="360" w:lineRule="auto"/>
        <w:jc w:val="center"/>
        <w:rPr>
          <w:rFonts w:ascii="Palatino Linotype" w:eastAsia="Times New Roman" w:hAnsi="Palatino Linotype" w:cs="Times New Roman"/>
          <w:b/>
          <w:bCs/>
          <w:spacing w:val="60"/>
          <w:sz w:val="28"/>
          <w:szCs w:val="24"/>
          <w:lang w:val="es-ES_tradnl" w:eastAsia="es-ES"/>
        </w:rPr>
      </w:pPr>
      <w:r w:rsidRPr="00895C52">
        <w:rPr>
          <w:rFonts w:ascii="Palatino Linotype" w:eastAsia="Times New Roman" w:hAnsi="Palatino Linotype" w:cs="Times New Roman"/>
          <w:b/>
          <w:bCs/>
          <w:spacing w:val="60"/>
          <w:sz w:val="28"/>
          <w:szCs w:val="24"/>
          <w:lang w:val="es-ES_tradnl" w:eastAsia="es-ES"/>
        </w:rPr>
        <w:t>SE    RESUELVE</w:t>
      </w:r>
    </w:p>
    <w:p w14:paraId="00CAC834" w14:textId="77777777" w:rsidR="0080489F" w:rsidRPr="00895C52" w:rsidRDefault="0080489F" w:rsidP="0080489F">
      <w:pPr>
        <w:spacing w:after="0" w:line="360" w:lineRule="auto"/>
        <w:jc w:val="center"/>
        <w:rPr>
          <w:rFonts w:ascii="Palatino Linotype" w:eastAsia="Times New Roman" w:hAnsi="Palatino Linotype" w:cs="Times New Roman"/>
          <w:bCs/>
          <w:spacing w:val="60"/>
          <w:sz w:val="24"/>
          <w:szCs w:val="24"/>
          <w:lang w:val="es-ES_tradnl" w:eastAsia="es-ES"/>
        </w:rPr>
      </w:pPr>
    </w:p>
    <w:p w14:paraId="7E6F2E4E" w14:textId="026153D2" w:rsidR="0080489F" w:rsidRDefault="0080489F" w:rsidP="0080489F">
      <w:pPr>
        <w:tabs>
          <w:tab w:val="left" w:pos="8647"/>
        </w:tabs>
        <w:spacing w:after="0" w:line="360" w:lineRule="auto"/>
        <w:ind w:right="51"/>
        <w:jc w:val="both"/>
        <w:rPr>
          <w:rFonts w:ascii="Palatino Linotype" w:eastAsiaTheme="minorEastAsia" w:hAnsi="Palatino Linotype" w:cs="Arial"/>
          <w:sz w:val="24"/>
          <w:szCs w:val="24"/>
          <w:lang w:val="es-ES_tradnl" w:eastAsia="es-ES"/>
        </w:rPr>
      </w:pPr>
      <w:r w:rsidRPr="00895C52">
        <w:rPr>
          <w:rFonts w:ascii="Palatino Linotype" w:eastAsiaTheme="minorEastAsia" w:hAnsi="Palatino Linotype" w:cs="Arial"/>
          <w:b/>
          <w:sz w:val="28"/>
          <w:szCs w:val="24"/>
          <w:lang w:val="es-ES_tradnl" w:eastAsia="es-ES"/>
        </w:rPr>
        <w:t>PRIMERO.</w:t>
      </w:r>
      <w:r w:rsidRPr="00895C52">
        <w:rPr>
          <w:rFonts w:ascii="Palatino Linotype" w:eastAsiaTheme="minorEastAsia" w:hAnsi="Palatino Linotype" w:cs="Arial"/>
          <w:sz w:val="24"/>
          <w:szCs w:val="24"/>
          <w:lang w:val="es-ES_tradnl" w:eastAsia="es-ES"/>
        </w:rPr>
        <w:t xml:space="preserve"> </w:t>
      </w:r>
      <w:r w:rsidRPr="00C40C29">
        <w:rPr>
          <w:rFonts w:ascii="Palatino Linotype" w:eastAsiaTheme="minorEastAsia" w:hAnsi="Palatino Linotype" w:cs="Arial"/>
          <w:sz w:val="24"/>
          <w:szCs w:val="24"/>
          <w:lang w:val="es-ES_tradnl" w:eastAsia="es-ES"/>
        </w:rPr>
        <w:t xml:space="preserve">Se </w:t>
      </w:r>
      <w:r w:rsidRPr="00C40C29">
        <w:rPr>
          <w:rFonts w:ascii="Palatino Linotype" w:eastAsiaTheme="minorEastAsia" w:hAnsi="Palatino Linotype" w:cs="Arial"/>
          <w:b/>
          <w:sz w:val="24"/>
          <w:szCs w:val="24"/>
          <w:lang w:val="es-ES_tradnl" w:eastAsia="es-ES"/>
        </w:rPr>
        <w:t>SOBRESEE</w:t>
      </w:r>
      <w:r w:rsidRPr="00C40C29">
        <w:rPr>
          <w:rFonts w:ascii="Palatino Linotype" w:eastAsiaTheme="minorEastAsia" w:hAnsi="Palatino Linotype" w:cs="Arial"/>
          <w:sz w:val="24"/>
          <w:szCs w:val="24"/>
          <w:lang w:val="es-ES_tradnl" w:eastAsia="es-ES"/>
        </w:rPr>
        <w:t xml:space="preserve"> el recurso de revisión número </w:t>
      </w:r>
      <w:r>
        <w:rPr>
          <w:rFonts w:ascii="Palatino Linotype" w:hAnsi="Palatino Linotype" w:cs="Arial"/>
          <w:b/>
          <w:sz w:val="24"/>
          <w:szCs w:val="24"/>
        </w:rPr>
        <w:t>04910/INFOEM/IP/RR/2023</w:t>
      </w:r>
      <w:r w:rsidRPr="00C40C29">
        <w:rPr>
          <w:rFonts w:ascii="Palatino Linotype" w:eastAsiaTheme="minorEastAsia" w:hAnsi="Palatino Linotype" w:cs="Arial"/>
          <w:sz w:val="24"/>
          <w:szCs w:val="24"/>
          <w:lang w:val="es-ES_tradnl" w:eastAsia="es-ES"/>
        </w:rPr>
        <w:t>, por</w:t>
      </w:r>
      <w:r>
        <w:rPr>
          <w:rFonts w:ascii="Palatino Linotype" w:eastAsiaTheme="minorEastAsia" w:hAnsi="Palatino Linotype" w:cs="Arial"/>
          <w:sz w:val="24"/>
          <w:szCs w:val="24"/>
          <w:lang w:val="es-ES_tradnl" w:eastAsia="es-ES"/>
        </w:rPr>
        <w:t xml:space="preserve">que </w:t>
      </w:r>
      <w:r w:rsidRPr="00DB139B">
        <w:rPr>
          <w:rFonts w:ascii="Palatino Linotype" w:eastAsiaTheme="minorEastAsia" w:hAnsi="Palatino Linotype" w:cs="Arial"/>
          <w:b/>
          <w:bCs/>
          <w:sz w:val="24"/>
          <w:szCs w:val="24"/>
          <w:lang w:val="es-ES_tradnl" w:eastAsia="es-ES"/>
        </w:rPr>
        <w:t>EL SUJETO OBLIGADO</w:t>
      </w:r>
      <w:r>
        <w:rPr>
          <w:rFonts w:ascii="Palatino Linotype" w:eastAsiaTheme="minorEastAsia" w:hAnsi="Palatino Linotype" w:cs="Arial"/>
          <w:sz w:val="24"/>
          <w:szCs w:val="24"/>
          <w:lang w:val="es-ES_tradnl" w:eastAsia="es-ES"/>
        </w:rPr>
        <w:t xml:space="preserve"> al modificar su respuesta, el recurso de revisión quedó </w:t>
      </w:r>
      <w:r w:rsidRPr="00C40C29">
        <w:rPr>
          <w:rFonts w:ascii="Palatino Linotype" w:eastAsiaTheme="minorEastAsia" w:hAnsi="Palatino Linotype" w:cs="Arial"/>
          <w:sz w:val="24"/>
          <w:szCs w:val="24"/>
          <w:lang w:val="es-ES_tradnl" w:eastAsia="es-ES"/>
        </w:rPr>
        <w:t>sin materia</w:t>
      </w:r>
      <w:r>
        <w:rPr>
          <w:rFonts w:ascii="Palatino Linotype" w:eastAsiaTheme="minorEastAsia" w:hAnsi="Palatino Linotype" w:cs="Arial"/>
          <w:sz w:val="24"/>
          <w:szCs w:val="24"/>
          <w:lang w:val="es-ES_tradnl" w:eastAsia="es-ES"/>
        </w:rPr>
        <w:t xml:space="preserve">, en términos del </w:t>
      </w:r>
      <w:r w:rsidRPr="00C40C29">
        <w:rPr>
          <w:rFonts w:ascii="Palatino Linotype" w:eastAsiaTheme="minorEastAsia" w:hAnsi="Palatino Linotype" w:cs="Arial"/>
          <w:sz w:val="24"/>
          <w:szCs w:val="24"/>
          <w:lang w:val="es-ES_tradnl" w:eastAsia="es-ES"/>
        </w:rPr>
        <w:t xml:space="preserve">artículo 192 fracción III de la Ley de Transparencia y Acceso a la Información Pública del Estado de México y Municipios, en términos del Considerando </w:t>
      </w:r>
      <w:r>
        <w:rPr>
          <w:rFonts w:ascii="Palatino Linotype" w:eastAsiaTheme="minorEastAsia" w:hAnsi="Palatino Linotype" w:cs="Arial"/>
          <w:b/>
          <w:sz w:val="24"/>
          <w:szCs w:val="24"/>
          <w:lang w:val="es-ES_tradnl" w:eastAsia="es-ES"/>
        </w:rPr>
        <w:t>TERCERO</w:t>
      </w:r>
      <w:r w:rsidRPr="00C40C29">
        <w:rPr>
          <w:rFonts w:ascii="Palatino Linotype" w:eastAsiaTheme="minorEastAsia" w:hAnsi="Palatino Linotype" w:cs="Arial"/>
          <w:sz w:val="24"/>
          <w:szCs w:val="24"/>
          <w:lang w:val="es-ES_tradnl" w:eastAsia="es-ES"/>
        </w:rPr>
        <w:t xml:space="preserve"> de la presente resolución.</w:t>
      </w:r>
    </w:p>
    <w:p w14:paraId="0A50681E" w14:textId="77777777" w:rsidR="0080489F" w:rsidRPr="00895C52" w:rsidRDefault="0080489F" w:rsidP="0080489F">
      <w:pPr>
        <w:tabs>
          <w:tab w:val="left" w:pos="8647"/>
        </w:tabs>
        <w:spacing w:after="0" w:line="360" w:lineRule="auto"/>
        <w:ind w:right="51"/>
        <w:jc w:val="both"/>
        <w:rPr>
          <w:rFonts w:ascii="Palatino Linotype" w:eastAsiaTheme="minorEastAsia" w:hAnsi="Palatino Linotype" w:cs="Arial"/>
          <w:sz w:val="24"/>
          <w:szCs w:val="24"/>
          <w:lang w:eastAsia="es-ES"/>
        </w:rPr>
      </w:pPr>
    </w:p>
    <w:p w14:paraId="49B6F6A1" w14:textId="77777777" w:rsidR="0080489F" w:rsidRDefault="0080489F" w:rsidP="0080489F">
      <w:pPr>
        <w:tabs>
          <w:tab w:val="left" w:pos="8647"/>
        </w:tabs>
        <w:spacing w:after="0" w:line="360" w:lineRule="auto"/>
        <w:ind w:right="51"/>
        <w:jc w:val="both"/>
        <w:rPr>
          <w:rFonts w:ascii="Palatino Linotype" w:eastAsiaTheme="minorEastAsia" w:hAnsi="Palatino Linotype" w:cs="Arial"/>
          <w:sz w:val="24"/>
          <w:szCs w:val="24"/>
          <w:lang w:val="es-ES_tradnl" w:eastAsia="es-ES"/>
        </w:rPr>
      </w:pPr>
      <w:r w:rsidRPr="00895C52">
        <w:rPr>
          <w:rFonts w:ascii="Palatino Linotype" w:eastAsiaTheme="minorEastAsia" w:hAnsi="Palatino Linotype" w:cs="Arial"/>
          <w:b/>
          <w:sz w:val="28"/>
          <w:szCs w:val="24"/>
          <w:lang w:val="es-ES_tradnl" w:eastAsia="es-ES"/>
        </w:rPr>
        <w:t>SEGUNDO</w:t>
      </w:r>
      <w:r w:rsidRPr="00895C52">
        <w:rPr>
          <w:rFonts w:ascii="Palatino Linotype" w:eastAsiaTheme="minorEastAsia" w:hAnsi="Palatino Linotype" w:cs="Arial"/>
          <w:b/>
          <w:sz w:val="24"/>
          <w:szCs w:val="24"/>
          <w:lang w:val="es-ES_tradnl" w:eastAsia="es-ES"/>
        </w:rPr>
        <w:t>.</w:t>
      </w:r>
      <w:r w:rsidRPr="00895C52">
        <w:rPr>
          <w:rFonts w:ascii="Palatino Linotype" w:eastAsiaTheme="minorEastAsia" w:hAnsi="Palatino Linotype" w:cs="Arial"/>
          <w:sz w:val="24"/>
          <w:szCs w:val="24"/>
          <w:lang w:val="es-ES_tradnl" w:eastAsia="es-ES"/>
        </w:rPr>
        <w:t xml:space="preserve"> </w:t>
      </w:r>
      <w:r w:rsidRPr="00895C52">
        <w:rPr>
          <w:rFonts w:ascii="Palatino Linotype" w:eastAsiaTheme="minorEastAsia" w:hAnsi="Palatino Linotype" w:cs="Arial"/>
          <w:b/>
          <w:sz w:val="24"/>
          <w:szCs w:val="24"/>
          <w:lang w:val="es-ES_tradnl" w:eastAsia="es-ES"/>
        </w:rPr>
        <w:t>NOTIFÍQUESE</w:t>
      </w:r>
      <w:r w:rsidRPr="00895C52">
        <w:rPr>
          <w:rFonts w:ascii="Palatino Linotype" w:eastAsiaTheme="minorEastAsia" w:hAnsi="Palatino Linotype" w:cs="Arial"/>
          <w:sz w:val="24"/>
          <w:szCs w:val="24"/>
          <w:lang w:val="es-ES_tradnl" w:eastAsia="es-ES"/>
        </w:rPr>
        <w:t xml:space="preserve"> vía </w:t>
      </w:r>
      <w:r w:rsidRPr="00895C52">
        <w:rPr>
          <w:rFonts w:ascii="Palatino Linotype" w:eastAsia="Times New Roman" w:hAnsi="Palatino Linotype" w:cs="Times New Roman"/>
          <w:sz w:val="24"/>
          <w:szCs w:val="24"/>
          <w:lang w:val="es-ES" w:eastAsia="es-ES"/>
        </w:rPr>
        <w:t>Sistema de Acceso a la Información Mexiquense</w:t>
      </w:r>
      <w:r w:rsidRPr="00DB139B">
        <w:rPr>
          <w:rFonts w:ascii="Palatino Linotype" w:eastAsiaTheme="minorEastAsia" w:hAnsi="Palatino Linotype" w:cs="Arial"/>
          <w:b/>
          <w:bCs/>
          <w:sz w:val="24"/>
          <w:szCs w:val="24"/>
          <w:lang w:val="es-ES_tradnl" w:eastAsia="es-ES"/>
        </w:rPr>
        <w:t xml:space="preserve"> </w:t>
      </w:r>
      <w:r>
        <w:rPr>
          <w:rFonts w:ascii="Palatino Linotype" w:eastAsiaTheme="minorEastAsia" w:hAnsi="Palatino Linotype" w:cs="Arial"/>
          <w:b/>
          <w:bCs/>
          <w:sz w:val="24"/>
          <w:szCs w:val="24"/>
          <w:lang w:val="es-ES_tradnl" w:eastAsia="es-ES"/>
        </w:rPr>
        <w:t>(</w:t>
      </w:r>
      <w:r w:rsidRPr="00DB139B">
        <w:rPr>
          <w:rFonts w:ascii="Palatino Linotype" w:eastAsiaTheme="minorEastAsia" w:hAnsi="Palatino Linotype" w:cs="Arial"/>
          <w:b/>
          <w:bCs/>
          <w:sz w:val="24"/>
          <w:szCs w:val="24"/>
          <w:lang w:val="es-ES_tradnl" w:eastAsia="es-ES"/>
        </w:rPr>
        <w:t>SAIMEX</w:t>
      </w:r>
      <w:r>
        <w:rPr>
          <w:rFonts w:ascii="Palatino Linotype" w:eastAsiaTheme="minorEastAsia" w:hAnsi="Palatino Linotype" w:cs="Arial"/>
          <w:b/>
          <w:bCs/>
          <w:sz w:val="24"/>
          <w:szCs w:val="24"/>
          <w:lang w:val="es-ES_tradnl" w:eastAsia="es-ES"/>
        </w:rPr>
        <w:t>)</w:t>
      </w:r>
      <w:r w:rsidRPr="00895C52">
        <w:rPr>
          <w:rFonts w:ascii="Palatino Linotype" w:eastAsiaTheme="minorEastAsia" w:hAnsi="Palatino Linotype" w:cs="Arial"/>
          <w:sz w:val="24"/>
          <w:szCs w:val="24"/>
          <w:lang w:val="es-ES_tradnl" w:eastAsia="es-ES"/>
        </w:rPr>
        <w:t xml:space="preserve"> la presente resolución al Titular de la Unidad de Transparencia del </w:t>
      </w:r>
      <w:r w:rsidRPr="00895C52">
        <w:rPr>
          <w:rFonts w:ascii="Palatino Linotype" w:eastAsiaTheme="minorEastAsia" w:hAnsi="Palatino Linotype" w:cs="Arial"/>
          <w:b/>
          <w:sz w:val="24"/>
          <w:szCs w:val="24"/>
          <w:lang w:val="es-ES_tradnl" w:eastAsia="es-ES"/>
        </w:rPr>
        <w:t>Sujeto Obligado</w:t>
      </w:r>
      <w:r w:rsidRPr="00895C52">
        <w:rPr>
          <w:rFonts w:ascii="Palatino Linotype" w:eastAsiaTheme="minorEastAsia" w:hAnsi="Palatino Linotype" w:cs="Arial"/>
          <w:sz w:val="24"/>
          <w:szCs w:val="24"/>
          <w:lang w:val="es-ES_tradnl" w:eastAsia="es-ES"/>
        </w:rPr>
        <w:t>.</w:t>
      </w:r>
    </w:p>
    <w:p w14:paraId="0B204D04" w14:textId="77777777" w:rsidR="0080489F" w:rsidRPr="00895C52" w:rsidRDefault="0080489F" w:rsidP="0080489F">
      <w:pPr>
        <w:tabs>
          <w:tab w:val="left" w:pos="8647"/>
        </w:tabs>
        <w:spacing w:after="0" w:line="360" w:lineRule="auto"/>
        <w:ind w:right="51"/>
        <w:jc w:val="both"/>
        <w:rPr>
          <w:rFonts w:ascii="Palatino Linotype" w:eastAsiaTheme="minorEastAsia" w:hAnsi="Palatino Linotype" w:cs="Arial"/>
          <w:sz w:val="24"/>
          <w:szCs w:val="24"/>
          <w:lang w:val="es-ES_tradnl" w:eastAsia="es-ES"/>
        </w:rPr>
      </w:pPr>
    </w:p>
    <w:p w14:paraId="713753B7" w14:textId="43017816" w:rsidR="0080489F" w:rsidRPr="00895C52" w:rsidRDefault="0080489F" w:rsidP="0080489F">
      <w:pPr>
        <w:spacing w:after="0" w:line="360" w:lineRule="auto"/>
        <w:jc w:val="both"/>
        <w:rPr>
          <w:rFonts w:ascii="Palatino Linotype" w:eastAsia="Times New Roman" w:hAnsi="Palatino Linotype" w:cs="Arial"/>
          <w:sz w:val="24"/>
          <w:szCs w:val="24"/>
          <w:lang w:val="es-ES" w:eastAsia="es-ES"/>
        </w:rPr>
      </w:pPr>
      <w:r w:rsidRPr="00895C52">
        <w:rPr>
          <w:rFonts w:ascii="Palatino Linotype" w:eastAsia="Times New Roman" w:hAnsi="Palatino Linotype" w:cs="Arial"/>
          <w:b/>
          <w:sz w:val="28"/>
          <w:szCs w:val="24"/>
          <w:lang w:val="es-ES" w:eastAsia="es-ES"/>
        </w:rPr>
        <w:t>TERCERO</w:t>
      </w:r>
      <w:r w:rsidRPr="00895C52">
        <w:rPr>
          <w:rFonts w:ascii="Palatino Linotype" w:eastAsia="Times New Roman" w:hAnsi="Palatino Linotype" w:cs="Arial"/>
          <w:b/>
          <w:sz w:val="24"/>
          <w:szCs w:val="24"/>
          <w:lang w:val="es-ES" w:eastAsia="es-ES"/>
        </w:rPr>
        <w:t>.</w:t>
      </w:r>
      <w:r w:rsidRPr="00895C52">
        <w:rPr>
          <w:rFonts w:ascii="Palatino Linotype" w:eastAsia="Times New Roman" w:hAnsi="Palatino Linotype" w:cs="Arial"/>
          <w:sz w:val="24"/>
          <w:szCs w:val="24"/>
          <w:lang w:val="es-ES" w:eastAsia="es-ES"/>
        </w:rPr>
        <w:t xml:space="preserve"> </w:t>
      </w:r>
      <w:r w:rsidRPr="00895C52">
        <w:rPr>
          <w:rFonts w:ascii="Palatino Linotype" w:eastAsia="Times New Roman" w:hAnsi="Palatino Linotype" w:cs="Arial"/>
          <w:b/>
          <w:sz w:val="24"/>
          <w:szCs w:val="24"/>
          <w:lang w:val="es-ES" w:eastAsia="es-ES"/>
        </w:rPr>
        <w:t>NOTIFÍQUESE</w:t>
      </w:r>
      <w:r w:rsidRPr="00895C52">
        <w:rPr>
          <w:rFonts w:ascii="Palatino Linotype" w:eastAsia="Times New Roman" w:hAnsi="Palatino Linotype" w:cs="Arial"/>
          <w:sz w:val="24"/>
          <w:szCs w:val="24"/>
          <w:lang w:val="es-ES" w:eastAsia="es-ES"/>
        </w:rPr>
        <w:t xml:space="preserve"> a través del</w:t>
      </w:r>
      <w:r w:rsidRPr="00895C52">
        <w:rPr>
          <w:rFonts w:ascii="Palatino Linotype" w:eastAsia="Times New Roman" w:hAnsi="Palatino Linotype" w:cs="Times New Roman"/>
          <w:sz w:val="24"/>
          <w:szCs w:val="24"/>
          <w:lang w:val="es-ES" w:eastAsia="es-ES"/>
        </w:rPr>
        <w:t xml:space="preserve"> Sistema de Acceso a la Información Mexiquense </w:t>
      </w:r>
      <w:r w:rsidRPr="00DB139B">
        <w:rPr>
          <w:rFonts w:ascii="Palatino Linotype" w:eastAsia="Times New Roman" w:hAnsi="Palatino Linotype" w:cs="Times New Roman"/>
          <w:b/>
          <w:bCs/>
          <w:sz w:val="24"/>
          <w:szCs w:val="24"/>
          <w:lang w:val="es-ES" w:eastAsia="es-ES"/>
        </w:rPr>
        <w:t>(SAIMEX)</w:t>
      </w:r>
      <w:r w:rsidRPr="00DB139B">
        <w:rPr>
          <w:rFonts w:ascii="Palatino Linotype" w:eastAsia="Times New Roman" w:hAnsi="Palatino Linotype" w:cs="Arial"/>
          <w:b/>
          <w:bCs/>
          <w:sz w:val="24"/>
          <w:szCs w:val="24"/>
          <w:lang w:val="es-ES" w:eastAsia="es-ES"/>
        </w:rPr>
        <w:t>,</w:t>
      </w:r>
      <w:r w:rsidRPr="00895C52">
        <w:rPr>
          <w:rFonts w:ascii="Palatino Linotype" w:eastAsia="Times New Roman" w:hAnsi="Palatino Linotype" w:cs="Arial"/>
          <w:sz w:val="24"/>
          <w:szCs w:val="24"/>
          <w:lang w:val="es-ES" w:eastAsia="es-ES"/>
        </w:rPr>
        <w:t xml:space="preserve"> a</w:t>
      </w:r>
      <w:r w:rsidR="001D5AC2">
        <w:rPr>
          <w:rFonts w:ascii="Palatino Linotype" w:eastAsia="Times New Roman" w:hAnsi="Palatino Linotype" w:cs="Arial"/>
          <w:sz w:val="24"/>
          <w:szCs w:val="24"/>
          <w:lang w:val="es-ES" w:eastAsia="es-ES"/>
        </w:rPr>
        <w:t xml:space="preserve"> </w:t>
      </w:r>
      <w:r w:rsidR="001D5AC2">
        <w:rPr>
          <w:rFonts w:ascii="Palatino Linotype" w:eastAsia="Times New Roman" w:hAnsi="Palatino Linotype" w:cs="Arial"/>
          <w:b/>
          <w:bCs/>
          <w:sz w:val="24"/>
          <w:szCs w:val="24"/>
          <w:lang w:val="es-ES" w:eastAsia="es-ES"/>
        </w:rPr>
        <w:t>LA</w:t>
      </w:r>
      <w:r w:rsidRPr="00895C52">
        <w:rPr>
          <w:rFonts w:ascii="Palatino Linotype" w:eastAsia="Times New Roman" w:hAnsi="Palatino Linotype" w:cs="Arial"/>
          <w:sz w:val="24"/>
          <w:szCs w:val="24"/>
          <w:lang w:val="es-ES" w:eastAsia="es-ES"/>
        </w:rPr>
        <w:t xml:space="preserve"> </w:t>
      </w:r>
      <w:r w:rsidRPr="00895C52">
        <w:rPr>
          <w:rFonts w:ascii="Palatino Linotype" w:eastAsia="Times New Roman" w:hAnsi="Palatino Linotype" w:cs="Arial"/>
          <w:b/>
          <w:sz w:val="24"/>
          <w:szCs w:val="24"/>
          <w:lang w:val="es-ES" w:eastAsia="es-ES"/>
        </w:rPr>
        <w:t xml:space="preserve">RECURRENTE </w:t>
      </w:r>
      <w:r w:rsidRPr="00895C52">
        <w:rPr>
          <w:rFonts w:ascii="Palatino Linotype" w:eastAsia="Times New Roman" w:hAnsi="Palatino Linotype" w:cs="Arial"/>
          <w:sz w:val="24"/>
          <w:szCs w:val="24"/>
          <w:lang w:val="es-ES" w:eastAsia="es-ES"/>
        </w:rPr>
        <w:t xml:space="preserve">la presente resolución y hágase del conocimiento que en caso de que considere que la presente resolución le causa algún perjuicio, podrá promover el Juicio de Amparo en los términos de las leyes aplicables, </w:t>
      </w:r>
      <w:r w:rsidRPr="00895C52">
        <w:rPr>
          <w:rFonts w:ascii="Palatino Linotype" w:eastAsia="Times New Roman" w:hAnsi="Palatino Linotype" w:cs="Arial"/>
          <w:sz w:val="24"/>
          <w:szCs w:val="24"/>
          <w:lang w:val="es-ES" w:eastAsia="es-ES"/>
        </w:rPr>
        <w:lastRenderedPageBreak/>
        <w:t>de acuerdo con lo estipulado por el artículo 196 de la Ley de Transparencia y Acceso a la Información Pública del Estado de México y Municipios.</w:t>
      </w:r>
    </w:p>
    <w:p w14:paraId="72937556" w14:textId="77777777" w:rsidR="0080489F" w:rsidRPr="00C94BC0" w:rsidRDefault="0080489F" w:rsidP="0080489F">
      <w:pPr>
        <w:spacing w:before="240" w:line="360" w:lineRule="auto"/>
        <w:jc w:val="both"/>
        <w:rPr>
          <w:rFonts w:ascii="Palatino Linotype" w:hAnsi="Palatino Linotype"/>
          <w:sz w:val="24"/>
          <w:szCs w:val="24"/>
          <w:lang w:val="es-ES"/>
        </w:rPr>
      </w:pPr>
    </w:p>
    <w:p w14:paraId="1E0946C6" w14:textId="3D867951" w:rsidR="0080489F" w:rsidRPr="0014609A" w:rsidRDefault="0080489F" w:rsidP="0080489F">
      <w:pPr>
        <w:pStyle w:val="Prrafodelista"/>
        <w:autoSpaceDE w:val="0"/>
        <w:autoSpaceDN w:val="0"/>
        <w:adjustRightInd w:val="0"/>
        <w:spacing w:before="240" w:after="160" w:line="360" w:lineRule="auto"/>
        <w:ind w:left="0"/>
        <w:jc w:val="both"/>
        <w:rPr>
          <w:rFonts w:ascii="Palatino Linotype" w:hAnsi="Palatino Linotype" w:cs="Arial"/>
        </w:rPr>
      </w:pPr>
      <w:r w:rsidRPr="0014609A">
        <w:rPr>
          <w:rFonts w:ascii="Palatino Linotype" w:hAnsi="Palatino Linotype" w:cs="Arial"/>
        </w:rPr>
        <w:t>ASÍ LO ACORDÓ, POR UNANIMIDAD DE VOTOS, EL PLENO DEL</w:t>
      </w:r>
      <w:r w:rsidRPr="0014609A">
        <w:rPr>
          <w:rFonts w:ascii="Palatino Linotype" w:eastAsia="Arial Unicode MS" w:hAnsi="Palatino Linotype" w:cs="Arial"/>
        </w:rPr>
        <w:t xml:space="preserve"> INSTITUTO DE TRANSPARENCIA, ACCESO A LA INFORMACIÓN PÚBLICA Y PROTECCIÓN DE DATOS PERSONALES DEL ESTADO DE MÉXICO Y MUNICIPIOS</w:t>
      </w:r>
      <w:r w:rsidRPr="0014609A">
        <w:rPr>
          <w:rFonts w:ascii="Palatino Linotype" w:hAnsi="Palatino Linotype" w:cs="Arial"/>
        </w:rPr>
        <w:t xml:space="preserve">, CONFORMADO POR LOS COMISIONADOS JOSÉ MARTÍNEZ VILCHIS, MARÍA DEL ROSARIO MEJÍA AYALA, SHARON CRISTINA MORALES MARTÍNEZ, LUIS GUSTAVO PARRA NORIEGA Y GUADALUPE RAMÍREZ PEÑA; EN LA </w:t>
      </w:r>
      <w:r>
        <w:rPr>
          <w:rFonts w:ascii="Palatino Linotype" w:hAnsi="Palatino Linotype" w:cs="Arial"/>
        </w:rPr>
        <w:t xml:space="preserve">TRIGÉSIMA OCTAVA </w:t>
      </w:r>
      <w:r w:rsidRPr="0014609A">
        <w:rPr>
          <w:rFonts w:ascii="Palatino Linotype" w:hAnsi="Palatino Linotype" w:cs="Arial"/>
        </w:rPr>
        <w:t>SESIÓN ORDINARIA CELEBRADA</w:t>
      </w:r>
      <w:r>
        <w:rPr>
          <w:rFonts w:ascii="Palatino Linotype" w:hAnsi="Palatino Linotype" w:cs="Arial"/>
        </w:rPr>
        <w:t xml:space="preserve"> EL </w:t>
      </w:r>
      <w:r w:rsidR="003524C8">
        <w:rPr>
          <w:rFonts w:ascii="Palatino Linotype" w:hAnsi="Palatino Linotype" w:cs="Arial"/>
        </w:rPr>
        <w:t>VEINTICINCO</w:t>
      </w:r>
      <w:r>
        <w:rPr>
          <w:rFonts w:ascii="Palatino Linotype" w:hAnsi="Palatino Linotype" w:cs="Arial"/>
        </w:rPr>
        <w:t xml:space="preserve"> DE OCTUBRE DE DOS MIL VEINTITRÉS, </w:t>
      </w:r>
      <w:r w:rsidRPr="0014609A">
        <w:rPr>
          <w:rFonts w:ascii="Palatino Linotype" w:hAnsi="Palatino Linotype" w:cs="Arial"/>
        </w:rPr>
        <w:t xml:space="preserve">ANTE EL   SECRETARIO TÉCNICO DEL PLENO, ALEXIS TAPIA RAMÍREZ. </w:t>
      </w:r>
    </w:p>
    <w:p w14:paraId="64ECEE5F" w14:textId="77777777" w:rsidR="0080489F" w:rsidRDefault="0080489F" w:rsidP="0080489F">
      <w:pPr>
        <w:pStyle w:val="Prrafodelista"/>
        <w:autoSpaceDE w:val="0"/>
        <w:autoSpaceDN w:val="0"/>
        <w:adjustRightInd w:val="0"/>
        <w:spacing w:before="240" w:after="160" w:line="360" w:lineRule="auto"/>
        <w:ind w:left="0"/>
        <w:jc w:val="both"/>
        <w:rPr>
          <w:rFonts w:ascii="Palatino Linotype" w:hAnsi="Palatino Linotype"/>
          <w:bCs/>
          <w:sz w:val="20"/>
          <w:szCs w:val="20"/>
        </w:rPr>
      </w:pPr>
      <w:r w:rsidRPr="00C514C0">
        <w:rPr>
          <w:rFonts w:ascii="Palatino Linotype" w:hAnsi="Palatino Linotype"/>
          <w:bCs/>
          <w:sz w:val="20"/>
          <w:szCs w:val="20"/>
        </w:rPr>
        <w:t>CCR/JCMA</w:t>
      </w:r>
    </w:p>
    <w:p w14:paraId="5BBAD00A" w14:textId="7B3ABB00" w:rsidR="0080489F" w:rsidRDefault="00E652A0" w:rsidP="0080489F">
      <w:pPr>
        <w:pStyle w:val="Prrafodelista"/>
        <w:autoSpaceDE w:val="0"/>
        <w:autoSpaceDN w:val="0"/>
        <w:adjustRightInd w:val="0"/>
        <w:spacing w:before="240" w:after="160" w:line="360" w:lineRule="auto"/>
        <w:ind w:left="0"/>
        <w:jc w:val="both"/>
        <w:rPr>
          <w:rFonts w:ascii="Palatino Linotype" w:hAnsi="Palatino Linotype"/>
          <w:bCs/>
          <w:sz w:val="20"/>
          <w:szCs w:val="20"/>
        </w:rPr>
      </w:pPr>
      <w:r>
        <w:rPr>
          <w:rFonts w:ascii="Palatino Linotype" w:hAnsi="Palatino Linotype"/>
          <w:bCs/>
          <w:noProof/>
          <w:sz w:val="20"/>
          <w:szCs w:val="20"/>
          <w:lang w:val="es-MX" w:eastAsia="es-MX"/>
        </w:rPr>
        <mc:AlternateContent>
          <mc:Choice Requires="wps">
            <w:drawing>
              <wp:anchor distT="0" distB="0" distL="114300" distR="114300" simplePos="0" relativeHeight="251887603" behindDoc="0" locked="0" layoutInCell="1" allowOverlap="1" wp14:anchorId="1724DA86" wp14:editId="20236241">
                <wp:simplePos x="0" y="0"/>
                <wp:positionH relativeFrom="column">
                  <wp:posOffset>90297</wp:posOffset>
                </wp:positionH>
                <wp:positionV relativeFrom="paragraph">
                  <wp:posOffset>205129</wp:posOffset>
                </wp:positionV>
                <wp:extent cx="5866790" cy="2699309"/>
                <wp:effectExtent l="0" t="0" r="19685" b="25400"/>
                <wp:wrapNone/>
                <wp:docPr id="1059910283" name="Straight Connector 1"/>
                <wp:cNvGraphicFramePr/>
                <a:graphic xmlns:a="http://schemas.openxmlformats.org/drawingml/2006/main">
                  <a:graphicData uri="http://schemas.microsoft.com/office/word/2010/wordprocessingShape">
                    <wps:wsp>
                      <wps:cNvCnPr/>
                      <wps:spPr>
                        <a:xfrm>
                          <a:off x="0" y="0"/>
                          <a:ext cx="5866790" cy="269930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D9A3B4F" id="Straight Connector 1" o:spid="_x0000_s1026" style="position:absolute;z-index:251887603;visibility:visible;mso-wrap-style:square;mso-wrap-distance-left:9pt;mso-wrap-distance-top:0;mso-wrap-distance-right:9pt;mso-wrap-distance-bottom:0;mso-position-horizontal:absolute;mso-position-horizontal-relative:text;mso-position-vertical:absolute;mso-position-vertical-relative:text" from="7.1pt,16.15pt" to="469.05pt,2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" strokecolor="#5b9bd5 [3204]" strokeweight=".5pt">
                <v:stroke joinstyle="miter"/>
              </v:line>
            </w:pict>
          </mc:Fallback>
        </mc:AlternateContent>
      </w:r>
    </w:p>
    <w:p w14:paraId="360447E0" w14:textId="77777777" w:rsidR="0080489F" w:rsidRDefault="0080489F" w:rsidP="0080489F">
      <w:pPr>
        <w:pStyle w:val="Prrafodelista"/>
        <w:autoSpaceDE w:val="0"/>
        <w:autoSpaceDN w:val="0"/>
        <w:adjustRightInd w:val="0"/>
        <w:spacing w:before="240" w:after="160" w:line="360" w:lineRule="auto"/>
        <w:ind w:left="0"/>
        <w:jc w:val="both"/>
        <w:rPr>
          <w:rFonts w:ascii="Palatino Linotype" w:hAnsi="Palatino Linotype"/>
          <w:bCs/>
          <w:sz w:val="20"/>
          <w:szCs w:val="20"/>
        </w:rPr>
      </w:pPr>
    </w:p>
    <w:p w14:paraId="66AC6F68" w14:textId="77777777" w:rsidR="0080489F" w:rsidRDefault="0080489F" w:rsidP="0080489F">
      <w:pPr>
        <w:pStyle w:val="Prrafodelista"/>
        <w:autoSpaceDE w:val="0"/>
        <w:autoSpaceDN w:val="0"/>
        <w:adjustRightInd w:val="0"/>
        <w:spacing w:before="240" w:after="160" w:line="360" w:lineRule="auto"/>
        <w:ind w:left="0"/>
        <w:jc w:val="both"/>
        <w:rPr>
          <w:rFonts w:ascii="Palatino Linotype" w:hAnsi="Palatino Linotype"/>
          <w:bCs/>
          <w:sz w:val="20"/>
          <w:szCs w:val="20"/>
        </w:rPr>
      </w:pPr>
    </w:p>
    <w:p w14:paraId="696E7DC0" w14:textId="77777777" w:rsidR="0080489F" w:rsidRDefault="0080489F" w:rsidP="0080489F">
      <w:pPr>
        <w:pStyle w:val="Prrafodelista"/>
        <w:autoSpaceDE w:val="0"/>
        <w:autoSpaceDN w:val="0"/>
        <w:adjustRightInd w:val="0"/>
        <w:spacing w:before="240" w:after="160" w:line="360" w:lineRule="auto"/>
        <w:ind w:left="0"/>
        <w:jc w:val="both"/>
        <w:rPr>
          <w:rFonts w:ascii="Palatino Linotype" w:hAnsi="Palatino Linotype"/>
          <w:bCs/>
          <w:sz w:val="20"/>
          <w:szCs w:val="20"/>
        </w:rPr>
      </w:pPr>
    </w:p>
    <w:p w14:paraId="474C61BA" w14:textId="77777777" w:rsidR="0080489F" w:rsidRDefault="0080489F" w:rsidP="0080489F">
      <w:pPr>
        <w:pStyle w:val="Prrafodelista"/>
        <w:autoSpaceDE w:val="0"/>
        <w:autoSpaceDN w:val="0"/>
        <w:adjustRightInd w:val="0"/>
        <w:spacing w:before="240" w:after="160" w:line="360" w:lineRule="auto"/>
        <w:ind w:left="0"/>
        <w:jc w:val="both"/>
        <w:rPr>
          <w:rFonts w:ascii="Palatino Linotype" w:hAnsi="Palatino Linotype"/>
          <w:bCs/>
          <w:sz w:val="20"/>
          <w:szCs w:val="20"/>
        </w:rPr>
      </w:pPr>
    </w:p>
    <w:p w14:paraId="43C1B6FF" w14:textId="77777777" w:rsidR="0080489F" w:rsidRDefault="0080489F" w:rsidP="0080489F">
      <w:pPr>
        <w:pStyle w:val="Prrafodelista"/>
        <w:autoSpaceDE w:val="0"/>
        <w:autoSpaceDN w:val="0"/>
        <w:adjustRightInd w:val="0"/>
        <w:spacing w:before="240" w:after="160" w:line="360" w:lineRule="auto"/>
        <w:ind w:left="0"/>
        <w:jc w:val="both"/>
        <w:rPr>
          <w:rFonts w:ascii="Palatino Linotype" w:hAnsi="Palatino Linotype"/>
          <w:bCs/>
          <w:sz w:val="20"/>
          <w:szCs w:val="20"/>
        </w:rPr>
      </w:pPr>
    </w:p>
    <w:p w14:paraId="0FBE844D" w14:textId="77777777" w:rsidR="0080489F" w:rsidRDefault="0080489F" w:rsidP="0080489F">
      <w:pPr>
        <w:pStyle w:val="Prrafodelista"/>
        <w:autoSpaceDE w:val="0"/>
        <w:autoSpaceDN w:val="0"/>
        <w:adjustRightInd w:val="0"/>
        <w:spacing w:before="240" w:after="160" w:line="360" w:lineRule="auto"/>
        <w:ind w:left="0"/>
        <w:jc w:val="both"/>
        <w:rPr>
          <w:rFonts w:ascii="Palatino Linotype" w:hAnsi="Palatino Linotype"/>
          <w:bCs/>
          <w:sz w:val="20"/>
          <w:szCs w:val="20"/>
        </w:rPr>
      </w:pPr>
    </w:p>
    <w:p w14:paraId="0B2F2406" w14:textId="77777777" w:rsidR="0080489F" w:rsidRDefault="0080489F" w:rsidP="0080489F">
      <w:pPr>
        <w:pStyle w:val="Prrafodelista"/>
        <w:autoSpaceDE w:val="0"/>
        <w:autoSpaceDN w:val="0"/>
        <w:adjustRightInd w:val="0"/>
        <w:spacing w:before="240" w:after="160" w:line="360" w:lineRule="auto"/>
        <w:ind w:left="0"/>
        <w:jc w:val="both"/>
        <w:rPr>
          <w:rFonts w:ascii="Palatino Linotype" w:hAnsi="Palatino Linotype"/>
          <w:bCs/>
          <w:sz w:val="20"/>
          <w:szCs w:val="20"/>
        </w:rPr>
      </w:pPr>
    </w:p>
    <w:p w14:paraId="6507DBD7" w14:textId="77777777" w:rsidR="0080489F" w:rsidRDefault="0080489F" w:rsidP="0080489F">
      <w:pPr>
        <w:pStyle w:val="Prrafodelista"/>
        <w:autoSpaceDE w:val="0"/>
        <w:autoSpaceDN w:val="0"/>
        <w:adjustRightInd w:val="0"/>
        <w:spacing w:before="240" w:after="160" w:line="360" w:lineRule="auto"/>
        <w:ind w:left="0"/>
        <w:jc w:val="both"/>
        <w:rPr>
          <w:rFonts w:ascii="Palatino Linotype" w:hAnsi="Palatino Linotype"/>
          <w:bCs/>
          <w:sz w:val="20"/>
          <w:szCs w:val="20"/>
        </w:rPr>
      </w:pPr>
    </w:p>
    <w:p w14:paraId="3262D965" w14:textId="77777777" w:rsidR="0080489F" w:rsidRDefault="0080489F" w:rsidP="0080489F">
      <w:pPr>
        <w:pStyle w:val="Prrafodelista"/>
        <w:autoSpaceDE w:val="0"/>
        <w:autoSpaceDN w:val="0"/>
        <w:adjustRightInd w:val="0"/>
        <w:spacing w:before="240" w:after="160" w:line="360" w:lineRule="auto"/>
        <w:ind w:left="0"/>
        <w:jc w:val="both"/>
        <w:rPr>
          <w:rFonts w:ascii="Palatino Linotype" w:hAnsi="Palatino Linotype"/>
          <w:bCs/>
          <w:sz w:val="20"/>
          <w:szCs w:val="20"/>
        </w:rPr>
      </w:pPr>
    </w:p>
    <w:p w14:paraId="0A0CBC89" w14:textId="77777777" w:rsidR="0080489F" w:rsidRDefault="0080489F" w:rsidP="0080489F">
      <w:pPr>
        <w:pStyle w:val="Prrafodelista"/>
        <w:autoSpaceDE w:val="0"/>
        <w:autoSpaceDN w:val="0"/>
        <w:adjustRightInd w:val="0"/>
        <w:spacing w:before="240" w:after="160" w:line="360" w:lineRule="auto"/>
        <w:ind w:left="0"/>
        <w:jc w:val="both"/>
        <w:rPr>
          <w:rFonts w:ascii="Palatino Linotype" w:hAnsi="Palatino Linotype"/>
          <w:bCs/>
          <w:sz w:val="20"/>
          <w:szCs w:val="20"/>
        </w:rPr>
      </w:pPr>
    </w:p>
    <w:p w14:paraId="7188A6A5" w14:textId="77777777" w:rsidR="0080489F" w:rsidRPr="00C514C0" w:rsidRDefault="0080489F" w:rsidP="0080489F">
      <w:pPr>
        <w:pStyle w:val="Prrafodelista"/>
        <w:autoSpaceDE w:val="0"/>
        <w:autoSpaceDN w:val="0"/>
        <w:adjustRightInd w:val="0"/>
        <w:spacing w:before="240" w:after="160" w:line="360" w:lineRule="auto"/>
        <w:ind w:left="0"/>
        <w:jc w:val="both"/>
        <w:rPr>
          <w:rFonts w:ascii="Palatino Linotype" w:hAnsi="Palatino Linotype"/>
          <w:bCs/>
          <w:sz w:val="20"/>
          <w:szCs w:val="20"/>
        </w:rPr>
      </w:pPr>
    </w:p>
    <w:sectPr w:rsidR="0080489F" w:rsidRPr="00C514C0" w:rsidSect="00FB4AAD">
      <w:headerReference w:type="default" r:id="rId22"/>
      <w:footerReference w:type="default" r:id="rId23"/>
      <w:headerReference w:type="first" r:id="rId24"/>
      <w:footerReference w:type="first" r:id="rId2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620A33" w14:textId="77777777" w:rsidR="00161DB3" w:rsidRDefault="00161DB3" w:rsidP="006168E4">
      <w:pPr>
        <w:spacing w:after="0" w:line="240" w:lineRule="auto"/>
      </w:pPr>
      <w:r>
        <w:separator/>
      </w:r>
    </w:p>
  </w:endnote>
  <w:endnote w:type="continuationSeparator" w:id="0">
    <w:p w14:paraId="2700CC47" w14:textId="77777777" w:rsidR="00161DB3" w:rsidRDefault="00161DB3"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2DC73D" w14:textId="568FA3F2" w:rsidR="00FC2D20" w:rsidRPr="000B69FA" w:rsidRDefault="00FC2D2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D733B">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D733B">
      <w:rPr>
        <w:rFonts w:ascii="Palatino Linotype" w:hAnsi="Palatino Linotype"/>
        <w:bCs/>
        <w:noProof/>
        <w:sz w:val="20"/>
      </w:rPr>
      <w:t>43</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4BE9FD" w14:textId="77065410" w:rsidR="00FC2D20" w:rsidRPr="000B69FA" w:rsidRDefault="00FC2D2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D733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D733B">
      <w:rPr>
        <w:rFonts w:ascii="Palatino Linotype" w:hAnsi="Palatino Linotype"/>
        <w:bCs/>
        <w:noProof/>
        <w:sz w:val="20"/>
      </w:rPr>
      <w:t>43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DB52D3" w14:textId="77777777" w:rsidR="00161DB3" w:rsidRDefault="00161DB3" w:rsidP="006168E4">
      <w:pPr>
        <w:spacing w:after="0" w:line="240" w:lineRule="auto"/>
      </w:pPr>
      <w:r>
        <w:separator/>
      </w:r>
    </w:p>
  </w:footnote>
  <w:footnote w:type="continuationSeparator" w:id="0">
    <w:p w14:paraId="1EF21A32" w14:textId="77777777" w:rsidR="00161DB3" w:rsidRDefault="00161DB3" w:rsidP="006168E4">
      <w:pPr>
        <w:spacing w:after="0" w:line="240" w:lineRule="auto"/>
      </w:pPr>
      <w:r>
        <w:continuationSeparator/>
      </w:r>
    </w:p>
  </w:footnote>
  <w:footnote w:id="1">
    <w:p w14:paraId="2740EC71" w14:textId="77777777" w:rsidR="001C447D" w:rsidRPr="00911081" w:rsidRDefault="001C447D" w:rsidP="001C447D">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00BB7229" w14:textId="77777777" w:rsidR="001C447D" w:rsidRPr="00911081" w:rsidRDefault="001C447D" w:rsidP="001C447D">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11081">
        <w:rPr>
          <w:rFonts w:ascii="Palatino Linotype" w:hAnsi="Palatino Linotype"/>
          <w:i/>
          <w:sz w:val="16"/>
          <w:szCs w:val="16"/>
        </w:rPr>
        <w:t>concesoria</w:t>
      </w:r>
      <w:proofErr w:type="spellEnd"/>
      <w:r w:rsidRPr="00911081">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97EBE3" w14:textId="4F3246F0" w:rsidR="00FC2D20" w:rsidRDefault="00FC2D20">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A1959BB" wp14:editId="3DD994AA">
          <wp:simplePos x="0" y="0"/>
          <wp:positionH relativeFrom="page">
            <wp:align>right</wp:align>
          </wp:positionH>
          <wp:positionV relativeFrom="page">
            <wp:posOffset>15240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FC2D20" w14:paraId="17981A04" w14:textId="77777777" w:rsidTr="00417FC0">
      <w:trPr>
        <w:trHeight w:val="227"/>
      </w:trPr>
      <w:tc>
        <w:tcPr>
          <w:tcW w:w="5529" w:type="dxa"/>
          <w:hideMark/>
        </w:tcPr>
        <w:p w14:paraId="0E414BC5" w14:textId="75B4D793" w:rsidR="00FC2D20" w:rsidRDefault="00FC2D2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661C10BE" w:rsidR="00FC2D20" w:rsidRPr="00B4142F" w:rsidRDefault="00482E2A"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04910</w:t>
          </w:r>
          <w:r w:rsidR="00FC2D20">
            <w:rPr>
              <w:rFonts w:ascii="Palatino Linotype" w:hAnsi="Palatino Linotype" w:cs="Arial"/>
              <w:bCs/>
              <w:sz w:val="24"/>
              <w:lang w:eastAsia="es-MX"/>
            </w:rPr>
            <w:t>/INFOEM/IP/RR/2023</w:t>
          </w:r>
        </w:p>
      </w:tc>
    </w:tr>
    <w:tr w:rsidR="00FC2D20" w14:paraId="637042F0" w14:textId="77777777" w:rsidTr="00417FC0">
      <w:trPr>
        <w:trHeight w:val="242"/>
      </w:trPr>
      <w:tc>
        <w:tcPr>
          <w:tcW w:w="5529" w:type="dxa"/>
          <w:hideMark/>
        </w:tcPr>
        <w:p w14:paraId="412AD568" w14:textId="582E7AD7" w:rsidR="00FC2D20" w:rsidRDefault="00FC2D2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69A5BDA6" w:rsidR="00FC2D20" w:rsidRPr="00F06FED" w:rsidRDefault="00496A62" w:rsidP="001B1CE0">
          <w:pPr>
            <w:spacing w:after="120" w:line="256" w:lineRule="auto"/>
            <w:ind w:left="639" w:right="214"/>
            <w:jc w:val="both"/>
            <w:rPr>
              <w:rFonts w:ascii="Palatino Linotype" w:hAnsi="Palatino Linotype" w:cs="Arial"/>
            </w:rPr>
          </w:pPr>
          <w:r>
            <w:rPr>
              <w:rFonts w:ascii="Palatino Linotype" w:hAnsi="Palatino Linotype" w:cs="Arial"/>
            </w:rPr>
            <w:t xml:space="preserve">Ayuntamiento de </w:t>
          </w:r>
          <w:r w:rsidR="00482E2A">
            <w:rPr>
              <w:rFonts w:ascii="Palatino Linotype" w:hAnsi="Palatino Linotype" w:cs="Arial"/>
            </w:rPr>
            <w:t>Coacalco de Berriozábal</w:t>
          </w:r>
          <w:r w:rsidR="00FC2D20">
            <w:rPr>
              <w:rFonts w:ascii="Palatino Linotype" w:hAnsi="Palatino Linotype" w:cs="Arial"/>
            </w:rPr>
            <w:t xml:space="preserve">  </w:t>
          </w:r>
        </w:p>
      </w:tc>
    </w:tr>
    <w:tr w:rsidR="00FC2D20" w14:paraId="21BFE746" w14:textId="77777777" w:rsidTr="00417FC0">
      <w:trPr>
        <w:trHeight w:val="342"/>
      </w:trPr>
      <w:tc>
        <w:tcPr>
          <w:tcW w:w="5529" w:type="dxa"/>
          <w:hideMark/>
        </w:tcPr>
        <w:p w14:paraId="64C4E314" w14:textId="1C66F8DB" w:rsidR="00FC2D20" w:rsidRDefault="00FC2D20"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05604885" w:rsidR="00FC2D20" w:rsidRDefault="00FC2D20"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FC2D20" w:rsidRDefault="00FC2D20">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FC2D20" w14:paraId="385FD437" w14:textId="77777777" w:rsidTr="00417FC0">
      <w:trPr>
        <w:trHeight w:val="227"/>
      </w:trPr>
      <w:tc>
        <w:tcPr>
          <w:tcW w:w="5529" w:type="dxa"/>
          <w:hideMark/>
        </w:tcPr>
        <w:p w14:paraId="272860E8" w14:textId="23375EDF" w:rsidR="00FC2D20" w:rsidRDefault="00FC2D2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07FE6F7C" w:rsidR="00FC2D20" w:rsidRPr="00B4142F" w:rsidRDefault="00FC2D20"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482E2A">
            <w:rPr>
              <w:rFonts w:ascii="Palatino Linotype" w:hAnsi="Palatino Linotype" w:cs="Arial"/>
              <w:bCs/>
              <w:sz w:val="24"/>
              <w:lang w:eastAsia="es-MX"/>
            </w:rPr>
            <w:t>4910</w:t>
          </w:r>
          <w:r>
            <w:rPr>
              <w:rFonts w:ascii="Palatino Linotype" w:hAnsi="Palatino Linotype" w:cs="Arial"/>
              <w:bCs/>
              <w:sz w:val="24"/>
              <w:lang w:eastAsia="es-MX"/>
            </w:rPr>
            <w:t xml:space="preserve">/INFOEM/IP/RR/2023 </w:t>
          </w:r>
        </w:p>
      </w:tc>
    </w:tr>
    <w:tr w:rsidR="00FC2D20" w14:paraId="33FC5097" w14:textId="77777777" w:rsidTr="00417FC0">
      <w:trPr>
        <w:trHeight w:val="196"/>
      </w:trPr>
      <w:tc>
        <w:tcPr>
          <w:tcW w:w="5529" w:type="dxa"/>
          <w:hideMark/>
        </w:tcPr>
        <w:p w14:paraId="4F5D01E5" w14:textId="77777777" w:rsidR="00FC2D20" w:rsidRDefault="00FC2D2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404DF699" w:rsidR="00FC2D20" w:rsidRPr="00E93E68" w:rsidRDefault="00FC2D20" w:rsidP="002D733B">
          <w:pPr>
            <w:spacing w:after="120" w:line="256" w:lineRule="auto"/>
            <w:ind w:right="214"/>
            <w:jc w:val="both"/>
            <w:rPr>
              <w:rFonts w:ascii="Palatino Linotype" w:hAnsi="Palatino Linotype" w:cs="Arial"/>
            </w:rPr>
          </w:pPr>
          <w:r>
            <w:rPr>
              <w:rFonts w:ascii="Palatino Linotype" w:hAnsi="Palatino Linotype" w:cs="Arial"/>
            </w:rPr>
            <w:t xml:space="preserve">            </w:t>
          </w:r>
          <w:r w:rsidR="002D733B">
            <w:rPr>
              <w:rFonts w:ascii="Palatino Linotype" w:hAnsi="Palatino Linotype" w:cs="Arial"/>
            </w:rPr>
            <w:t>XXXXX</w:t>
          </w:r>
        </w:p>
      </w:tc>
    </w:tr>
    <w:tr w:rsidR="00FC2D20" w14:paraId="178280DE" w14:textId="77777777" w:rsidTr="00417FC0">
      <w:trPr>
        <w:trHeight w:val="242"/>
      </w:trPr>
      <w:tc>
        <w:tcPr>
          <w:tcW w:w="5529" w:type="dxa"/>
          <w:hideMark/>
        </w:tcPr>
        <w:p w14:paraId="71AC708B" w14:textId="77777777" w:rsidR="00FC2D20" w:rsidRDefault="00FC2D2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73680A17" w:rsidR="00FC2D20" w:rsidRDefault="00496A62" w:rsidP="001B1CE0">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r w:rsidR="00482E2A">
            <w:rPr>
              <w:rFonts w:ascii="Palatino Linotype" w:hAnsi="Palatino Linotype" w:cs="Arial"/>
              <w:szCs w:val="20"/>
            </w:rPr>
            <w:t>Coacalco de Berriozábal</w:t>
          </w:r>
        </w:p>
      </w:tc>
    </w:tr>
    <w:tr w:rsidR="00FC2D20" w14:paraId="0518978B" w14:textId="77777777" w:rsidTr="00417FC0">
      <w:trPr>
        <w:trHeight w:val="342"/>
      </w:trPr>
      <w:tc>
        <w:tcPr>
          <w:tcW w:w="5529" w:type="dxa"/>
          <w:hideMark/>
        </w:tcPr>
        <w:p w14:paraId="04968A43" w14:textId="5F7729A7" w:rsidR="00FC2D20" w:rsidRDefault="00FC2D20"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735B2831" w:rsidR="00FC2D20" w:rsidRDefault="00FC2D20"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1B7A654C" w14:textId="1E3F61F0" w:rsidR="00FC2D20" w:rsidRDefault="00FC2D20">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9BE2F97" wp14:editId="009CEE43">
          <wp:simplePos x="0" y="0"/>
          <wp:positionH relativeFrom="page">
            <wp:align>left</wp:align>
          </wp:positionH>
          <wp:positionV relativeFrom="page">
            <wp:posOffset>25400</wp:posOffset>
          </wp:positionV>
          <wp:extent cx="7705725" cy="10048875"/>
          <wp:effectExtent l="0" t="0" r="9525" b="9525"/>
          <wp:wrapNone/>
          <wp:docPr id="10" name="Imagen 10"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C103A"/>
    <w:multiLevelType w:val="hybridMultilevel"/>
    <w:tmpl w:val="F252FDF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14A6449"/>
    <w:multiLevelType w:val="hybridMultilevel"/>
    <w:tmpl w:val="78549880"/>
    <w:lvl w:ilvl="0" w:tplc="46D48F28">
      <w:start w:val="1"/>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15DF491E"/>
    <w:multiLevelType w:val="hybridMultilevel"/>
    <w:tmpl w:val="E5AC7C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89F19E9"/>
    <w:multiLevelType w:val="hybridMultilevel"/>
    <w:tmpl w:val="8558F05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3CC8147C"/>
    <w:multiLevelType w:val="hybridMultilevel"/>
    <w:tmpl w:val="0F020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FE1D69"/>
    <w:multiLevelType w:val="hybridMultilevel"/>
    <w:tmpl w:val="0C5211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BB621C7"/>
    <w:multiLevelType w:val="hybridMultilevel"/>
    <w:tmpl w:val="E62A88BA"/>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6A410C6F"/>
    <w:multiLevelType w:val="hybridMultilevel"/>
    <w:tmpl w:val="618A40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2"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2"/>
  </w:num>
  <w:num w:numId="4">
    <w:abstractNumId w:val="3"/>
  </w:num>
  <w:num w:numId="5">
    <w:abstractNumId w:val="11"/>
  </w:num>
  <w:num w:numId="6">
    <w:abstractNumId w:val="8"/>
  </w:num>
  <w:num w:numId="7">
    <w:abstractNumId w:val="2"/>
  </w:num>
  <w:num w:numId="8">
    <w:abstractNumId w:val="7"/>
  </w:num>
  <w:num w:numId="9">
    <w:abstractNumId w:val="0"/>
  </w:num>
  <w:num w:numId="10">
    <w:abstractNumId w:val="1"/>
  </w:num>
  <w:num w:numId="11">
    <w:abstractNumId w:val="10"/>
  </w:num>
  <w:num w:numId="12">
    <w:abstractNumId w:val="5"/>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99E"/>
    <w:rsid w:val="000026CF"/>
    <w:rsid w:val="00002FA5"/>
    <w:rsid w:val="0000484E"/>
    <w:rsid w:val="00004BE2"/>
    <w:rsid w:val="000054D0"/>
    <w:rsid w:val="000056BB"/>
    <w:rsid w:val="00005B85"/>
    <w:rsid w:val="000064FD"/>
    <w:rsid w:val="00010643"/>
    <w:rsid w:val="000115F8"/>
    <w:rsid w:val="0001366A"/>
    <w:rsid w:val="00013C75"/>
    <w:rsid w:val="000143F3"/>
    <w:rsid w:val="00015141"/>
    <w:rsid w:val="000158D2"/>
    <w:rsid w:val="00016E36"/>
    <w:rsid w:val="000171B7"/>
    <w:rsid w:val="00020C6B"/>
    <w:rsid w:val="00020E74"/>
    <w:rsid w:val="000240C8"/>
    <w:rsid w:val="00024AFB"/>
    <w:rsid w:val="0002560B"/>
    <w:rsid w:val="000306A7"/>
    <w:rsid w:val="000308B6"/>
    <w:rsid w:val="000316DC"/>
    <w:rsid w:val="00031B3B"/>
    <w:rsid w:val="00031BB2"/>
    <w:rsid w:val="00032762"/>
    <w:rsid w:val="00032896"/>
    <w:rsid w:val="000329BE"/>
    <w:rsid w:val="00033125"/>
    <w:rsid w:val="00037EBF"/>
    <w:rsid w:val="0004186E"/>
    <w:rsid w:val="000420E2"/>
    <w:rsid w:val="00044D01"/>
    <w:rsid w:val="000451BE"/>
    <w:rsid w:val="00045379"/>
    <w:rsid w:val="00045CB8"/>
    <w:rsid w:val="0005080D"/>
    <w:rsid w:val="000508FA"/>
    <w:rsid w:val="0005171D"/>
    <w:rsid w:val="000518AC"/>
    <w:rsid w:val="00053936"/>
    <w:rsid w:val="00055224"/>
    <w:rsid w:val="00055C1D"/>
    <w:rsid w:val="000569A5"/>
    <w:rsid w:val="00056D2A"/>
    <w:rsid w:val="00057E37"/>
    <w:rsid w:val="000612BD"/>
    <w:rsid w:val="00061821"/>
    <w:rsid w:val="000623F9"/>
    <w:rsid w:val="00063035"/>
    <w:rsid w:val="00063A10"/>
    <w:rsid w:val="00064EA6"/>
    <w:rsid w:val="000662F8"/>
    <w:rsid w:val="00066E86"/>
    <w:rsid w:val="00070E99"/>
    <w:rsid w:val="000720CA"/>
    <w:rsid w:val="0007225C"/>
    <w:rsid w:val="00073E78"/>
    <w:rsid w:val="00073FC2"/>
    <w:rsid w:val="000740DB"/>
    <w:rsid w:val="00076AE0"/>
    <w:rsid w:val="0007756F"/>
    <w:rsid w:val="0008151E"/>
    <w:rsid w:val="000821BF"/>
    <w:rsid w:val="00083A47"/>
    <w:rsid w:val="0008548C"/>
    <w:rsid w:val="00085A69"/>
    <w:rsid w:val="00085EA6"/>
    <w:rsid w:val="00086AF1"/>
    <w:rsid w:val="00086BE9"/>
    <w:rsid w:val="00090174"/>
    <w:rsid w:val="00091552"/>
    <w:rsid w:val="00091C3A"/>
    <w:rsid w:val="00092C14"/>
    <w:rsid w:val="000944B9"/>
    <w:rsid w:val="00095CD4"/>
    <w:rsid w:val="00096C6C"/>
    <w:rsid w:val="0009704F"/>
    <w:rsid w:val="000A08F1"/>
    <w:rsid w:val="000A18F1"/>
    <w:rsid w:val="000A2E75"/>
    <w:rsid w:val="000A3486"/>
    <w:rsid w:val="000A3612"/>
    <w:rsid w:val="000A369F"/>
    <w:rsid w:val="000A4601"/>
    <w:rsid w:val="000A46EB"/>
    <w:rsid w:val="000A5195"/>
    <w:rsid w:val="000A535D"/>
    <w:rsid w:val="000A5980"/>
    <w:rsid w:val="000A6588"/>
    <w:rsid w:val="000A78E0"/>
    <w:rsid w:val="000A79DA"/>
    <w:rsid w:val="000B03E0"/>
    <w:rsid w:val="000B1C4F"/>
    <w:rsid w:val="000B43A0"/>
    <w:rsid w:val="000B4B51"/>
    <w:rsid w:val="000B5864"/>
    <w:rsid w:val="000B6250"/>
    <w:rsid w:val="000B6D61"/>
    <w:rsid w:val="000B7158"/>
    <w:rsid w:val="000C0B33"/>
    <w:rsid w:val="000C2602"/>
    <w:rsid w:val="000C2A35"/>
    <w:rsid w:val="000C48B5"/>
    <w:rsid w:val="000C5B8B"/>
    <w:rsid w:val="000C68B9"/>
    <w:rsid w:val="000C7ED3"/>
    <w:rsid w:val="000D0F48"/>
    <w:rsid w:val="000D1A4E"/>
    <w:rsid w:val="000D1B50"/>
    <w:rsid w:val="000D1B55"/>
    <w:rsid w:val="000D20C9"/>
    <w:rsid w:val="000D3C75"/>
    <w:rsid w:val="000D3D44"/>
    <w:rsid w:val="000D438E"/>
    <w:rsid w:val="000D4532"/>
    <w:rsid w:val="000D4A3A"/>
    <w:rsid w:val="000D5800"/>
    <w:rsid w:val="000D5C27"/>
    <w:rsid w:val="000D7523"/>
    <w:rsid w:val="000E0868"/>
    <w:rsid w:val="000E0C4D"/>
    <w:rsid w:val="000E183A"/>
    <w:rsid w:val="000E30C2"/>
    <w:rsid w:val="000E3AEA"/>
    <w:rsid w:val="000E45A0"/>
    <w:rsid w:val="000E58E4"/>
    <w:rsid w:val="000E5B76"/>
    <w:rsid w:val="000E6545"/>
    <w:rsid w:val="000E686B"/>
    <w:rsid w:val="000E7FC9"/>
    <w:rsid w:val="000F1C48"/>
    <w:rsid w:val="000F2A5E"/>
    <w:rsid w:val="000F3F8D"/>
    <w:rsid w:val="000F6D5B"/>
    <w:rsid w:val="000F7389"/>
    <w:rsid w:val="00100C19"/>
    <w:rsid w:val="00100F8E"/>
    <w:rsid w:val="0010154B"/>
    <w:rsid w:val="00104A18"/>
    <w:rsid w:val="00104B9D"/>
    <w:rsid w:val="00105B75"/>
    <w:rsid w:val="00105F91"/>
    <w:rsid w:val="00106372"/>
    <w:rsid w:val="001108D8"/>
    <w:rsid w:val="00111DCD"/>
    <w:rsid w:val="00112C29"/>
    <w:rsid w:val="00114965"/>
    <w:rsid w:val="00114CF9"/>
    <w:rsid w:val="00116FA7"/>
    <w:rsid w:val="00120642"/>
    <w:rsid w:val="001228AB"/>
    <w:rsid w:val="001233A3"/>
    <w:rsid w:val="001235C3"/>
    <w:rsid w:val="00124807"/>
    <w:rsid w:val="00124855"/>
    <w:rsid w:val="001254F5"/>
    <w:rsid w:val="00125561"/>
    <w:rsid w:val="001272C6"/>
    <w:rsid w:val="001311AB"/>
    <w:rsid w:val="00133A1D"/>
    <w:rsid w:val="001341CF"/>
    <w:rsid w:val="0013496D"/>
    <w:rsid w:val="001351F2"/>
    <w:rsid w:val="00135837"/>
    <w:rsid w:val="00135E00"/>
    <w:rsid w:val="00136FAD"/>
    <w:rsid w:val="0013704D"/>
    <w:rsid w:val="00137D60"/>
    <w:rsid w:val="00137F01"/>
    <w:rsid w:val="00140557"/>
    <w:rsid w:val="001408A0"/>
    <w:rsid w:val="00142F1F"/>
    <w:rsid w:val="0014385C"/>
    <w:rsid w:val="001439C9"/>
    <w:rsid w:val="00144BC1"/>
    <w:rsid w:val="001464A3"/>
    <w:rsid w:val="00146F0A"/>
    <w:rsid w:val="00151373"/>
    <w:rsid w:val="0015205D"/>
    <w:rsid w:val="001522E7"/>
    <w:rsid w:val="00152AB2"/>
    <w:rsid w:val="00152C2B"/>
    <w:rsid w:val="001534CF"/>
    <w:rsid w:val="001555A8"/>
    <w:rsid w:val="00157251"/>
    <w:rsid w:val="00157736"/>
    <w:rsid w:val="001602D7"/>
    <w:rsid w:val="001603EC"/>
    <w:rsid w:val="001605FD"/>
    <w:rsid w:val="00161DB3"/>
    <w:rsid w:val="00161FBE"/>
    <w:rsid w:val="0016297B"/>
    <w:rsid w:val="00166EAF"/>
    <w:rsid w:val="0016745C"/>
    <w:rsid w:val="0017022E"/>
    <w:rsid w:val="00170562"/>
    <w:rsid w:val="00170FD1"/>
    <w:rsid w:val="001710C0"/>
    <w:rsid w:val="001733A0"/>
    <w:rsid w:val="001749B1"/>
    <w:rsid w:val="00175897"/>
    <w:rsid w:val="00176AF4"/>
    <w:rsid w:val="00180B9F"/>
    <w:rsid w:val="001810AA"/>
    <w:rsid w:val="001810FF"/>
    <w:rsid w:val="00181CC5"/>
    <w:rsid w:val="001829BE"/>
    <w:rsid w:val="001831C5"/>
    <w:rsid w:val="00184E8E"/>
    <w:rsid w:val="001854E1"/>
    <w:rsid w:val="0018577F"/>
    <w:rsid w:val="00185D2C"/>
    <w:rsid w:val="0018644A"/>
    <w:rsid w:val="00192661"/>
    <w:rsid w:val="00193784"/>
    <w:rsid w:val="00194B41"/>
    <w:rsid w:val="001957A3"/>
    <w:rsid w:val="00196DCE"/>
    <w:rsid w:val="001A02EC"/>
    <w:rsid w:val="001A169E"/>
    <w:rsid w:val="001A1756"/>
    <w:rsid w:val="001A1FDD"/>
    <w:rsid w:val="001A30F5"/>
    <w:rsid w:val="001A4643"/>
    <w:rsid w:val="001A5140"/>
    <w:rsid w:val="001A5630"/>
    <w:rsid w:val="001A565B"/>
    <w:rsid w:val="001A577E"/>
    <w:rsid w:val="001A659C"/>
    <w:rsid w:val="001A7216"/>
    <w:rsid w:val="001A7C9B"/>
    <w:rsid w:val="001B05B9"/>
    <w:rsid w:val="001B1180"/>
    <w:rsid w:val="001B18A5"/>
    <w:rsid w:val="001B1CE0"/>
    <w:rsid w:val="001B3222"/>
    <w:rsid w:val="001B37B1"/>
    <w:rsid w:val="001B6410"/>
    <w:rsid w:val="001B7B88"/>
    <w:rsid w:val="001B7FA2"/>
    <w:rsid w:val="001C166A"/>
    <w:rsid w:val="001C1CAF"/>
    <w:rsid w:val="001C2ECC"/>
    <w:rsid w:val="001C3EE0"/>
    <w:rsid w:val="001C447D"/>
    <w:rsid w:val="001C50EE"/>
    <w:rsid w:val="001C588A"/>
    <w:rsid w:val="001C5B6E"/>
    <w:rsid w:val="001C64DF"/>
    <w:rsid w:val="001C7319"/>
    <w:rsid w:val="001C7D87"/>
    <w:rsid w:val="001D23B4"/>
    <w:rsid w:val="001D2949"/>
    <w:rsid w:val="001D3E11"/>
    <w:rsid w:val="001D3E87"/>
    <w:rsid w:val="001D491D"/>
    <w:rsid w:val="001D49A2"/>
    <w:rsid w:val="001D5AC2"/>
    <w:rsid w:val="001D627A"/>
    <w:rsid w:val="001D6B60"/>
    <w:rsid w:val="001E07F4"/>
    <w:rsid w:val="001E0C3F"/>
    <w:rsid w:val="001E5063"/>
    <w:rsid w:val="001E58D8"/>
    <w:rsid w:val="001E5CBD"/>
    <w:rsid w:val="001E78AA"/>
    <w:rsid w:val="001F2101"/>
    <w:rsid w:val="001F274C"/>
    <w:rsid w:val="001F280C"/>
    <w:rsid w:val="001F2EA0"/>
    <w:rsid w:val="001F3969"/>
    <w:rsid w:val="001F5753"/>
    <w:rsid w:val="001F61DA"/>
    <w:rsid w:val="001F6766"/>
    <w:rsid w:val="001F72D9"/>
    <w:rsid w:val="001F7B3B"/>
    <w:rsid w:val="001F7C68"/>
    <w:rsid w:val="002033E7"/>
    <w:rsid w:val="0020352C"/>
    <w:rsid w:val="00205ACD"/>
    <w:rsid w:val="002075A5"/>
    <w:rsid w:val="00207EF0"/>
    <w:rsid w:val="002105B4"/>
    <w:rsid w:val="00212A9D"/>
    <w:rsid w:val="00212FB6"/>
    <w:rsid w:val="002138D5"/>
    <w:rsid w:val="0021501E"/>
    <w:rsid w:val="00215192"/>
    <w:rsid w:val="00216628"/>
    <w:rsid w:val="002205C0"/>
    <w:rsid w:val="00220EA5"/>
    <w:rsid w:val="002214A5"/>
    <w:rsid w:val="00221889"/>
    <w:rsid w:val="002227C6"/>
    <w:rsid w:val="00223CAE"/>
    <w:rsid w:val="002248AC"/>
    <w:rsid w:val="00225FB3"/>
    <w:rsid w:val="00226AF5"/>
    <w:rsid w:val="002305CB"/>
    <w:rsid w:val="00230EC1"/>
    <w:rsid w:val="00230F7C"/>
    <w:rsid w:val="002315A1"/>
    <w:rsid w:val="002317D3"/>
    <w:rsid w:val="00232742"/>
    <w:rsid w:val="0023373D"/>
    <w:rsid w:val="00233904"/>
    <w:rsid w:val="0023423C"/>
    <w:rsid w:val="002363F6"/>
    <w:rsid w:val="00241038"/>
    <w:rsid w:val="002417A0"/>
    <w:rsid w:val="002420E3"/>
    <w:rsid w:val="002432D3"/>
    <w:rsid w:val="002448CB"/>
    <w:rsid w:val="00245C21"/>
    <w:rsid w:val="0024633A"/>
    <w:rsid w:val="0024703B"/>
    <w:rsid w:val="00247A13"/>
    <w:rsid w:val="00251B84"/>
    <w:rsid w:val="00252232"/>
    <w:rsid w:val="002525C7"/>
    <w:rsid w:val="002526E7"/>
    <w:rsid w:val="00252DBE"/>
    <w:rsid w:val="00254BA9"/>
    <w:rsid w:val="00254FD8"/>
    <w:rsid w:val="002554C3"/>
    <w:rsid w:val="002563D7"/>
    <w:rsid w:val="0025690D"/>
    <w:rsid w:val="002577FE"/>
    <w:rsid w:val="0026055B"/>
    <w:rsid w:val="00261125"/>
    <w:rsid w:val="00261542"/>
    <w:rsid w:val="00261FD6"/>
    <w:rsid w:val="0026446D"/>
    <w:rsid w:val="002659E9"/>
    <w:rsid w:val="0026603B"/>
    <w:rsid w:val="00267074"/>
    <w:rsid w:val="00267244"/>
    <w:rsid w:val="002674D1"/>
    <w:rsid w:val="00270FD4"/>
    <w:rsid w:val="002717B7"/>
    <w:rsid w:val="00271BA6"/>
    <w:rsid w:val="0027212E"/>
    <w:rsid w:val="00273D0E"/>
    <w:rsid w:val="00274159"/>
    <w:rsid w:val="00274BE8"/>
    <w:rsid w:val="002765A6"/>
    <w:rsid w:val="002765ED"/>
    <w:rsid w:val="00276C7D"/>
    <w:rsid w:val="00281346"/>
    <w:rsid w:val="0028588E"/>
    <w:rsid w:val="00286325"/>
    <w:rsid w:val="00286784"/>
    <w:rsid w:val="00287C02"/>
    <w:rsid w:val="002905AA"/>
    <w:rsid w:val="00290BC9"/>
    <w:rsid w:val="00290E6E"/>
    <w:rsid w:val="0029431D"/>
    <w:rsid w:val="00295749"/>
    <w:rsid w:val="0029598B"/>
    <w:rsid w:val="00296F0B"/>
    <w:rsid w:val="00297614"/>
    <w:rsid w:val="002A1502"/>
    <w:rsid w:val="002A2034"/>
    <w:rsid w:val="002A24F4"/>
    <w:rsid w:val="002A38BF"/>
    <w:rsid w:val="002A4319"/>
    <w:rsid w:val="002A5409"/>
    <w:rsid w:val="002A56AE"/>
    <w:rsid w:val="002A597E"/>
    <w:rsid w:val="002B0DF5"/>
    <w:rsid w:val="002B113A"/>
    <w:rsid w:val="002B19E0"/>
    <w:rsid w:val="002B1A1F"/>
    <w:rsid w:val="002B466A"/>
    <w:rsid w:val="002B5DBD"/>
    <w:rsid w:val="002B710C"/>
    <w:rsid w:val="002B7AC8"/>
    <w:rsid w:val="002C07C4"/>
    <w:rsid w:val="002C1B76"/>
    <w:rsid w:val="002C254D"/>
    <w:rsid w:val="002C2C20"/>
    <w:rsid w:val="002C4FD2"/>
    <w:rsid w:val="002C64CF"/>
    <w:rsid w:val="002C64E9"/>
    <w:rsid w:val="002C705E"/>
    <w:rsid w:val="002C72D2"/>
    <w:rsid w:val="002D08E3"/>
    <w:rsid w:val="002D2391"/>
    <w:rsid w:val="002D26D3"/>
    <w:rsid w:val="002D30CB"/>
    <w:rsid w:val="002D310D"/>
    <w:rsid w:val="002D338B"/>
    <w:rsid w:val="002D44B4"/>
    <w:rsid w:val="002D6995"/>
    <w:rsid w:val="002D6CD7"/>
    <w:rsid w:val="002D7003"/>
    <w:rsid w:val="002D733B"/>
    <w:rsid w:val="002E002A"/>
    <w:rsid w:val="002E140D"/>
    <w:rsid w:val="002E2D7B"/>
    <w:rsid w:val="002E3B1F"/>
    <w:rsid w:val="002E54CE"/>
    <w:rsid w:val="002E588D"/>
    <w:rsid w:val="002E5E6A"/>
    <w:rsid w:val="002E6E6D"/>
    <w:rsid w:val="002F0742"/>
    <w:rsid w:val="002F098B"/>
    <w:rsid w:val="002F14AA"/>
    <w:rsid w:val="002F2198"/>
    <w:rsid w:val="002F37BE"/>
    <w:rsid w:val="002F3F85"/>
    <w:rsid w:val="002F4577"/>
    <w:rsid w:val="002F4E06"/>
    <w:rsid w:val="002F6424"/>
    <w:rsid w:val="00300966"/>
    <w:rsid w:val="00300D0B"/>
    <w:rsid w:val="003019EA"/>
    <w:rsid w:val="00303522"/>
    <w:rsid w:val="00304D88"/>
    <w:rsid w:val="003056A2"/>
    <w:rsid w:val="00306096"/>
    <w:rsid w:val="00306FB6"/>
    <w:rsid w:val="003107AB"/>
    <w:rsid w:val="003111C0"/>
    <w:rsid w:val="003116EE"/>
    <w:rsid w:val="003154F2"/>
    <w:rsid w:val="0031645D"/>
    <w:rsid w:val="00317A04"/>
    <w:rsid w:val="00317A10"/>
    <w:rsid w:val="00317C14"/>
    <w:rsid w:val="003200EB"/>
    <w:rsid w:val="00320A67"/>
    <w:rsid w:val="00320D7B"/>
    <w:rsid w:val="00321484"/>
    <w:rsid w:val="00321565"/>
    <w:rsid w:val="0032187D"/>
    <w:rsid w:val="00322C93"/>
    <w:rsid w:val="00323CD2"/>
    <w:rsid w:val="003248E6"/>
    <w:rsid w:val="00325855"/>
    <w:rsid w:val="003272FB"/>
    <w:rsid w:val="00327718"/>
    <w:rsid w:val="003317CD"/>
    <w:rsid w:val="00331CDD"/>
    <w:rsid w:val="00332498"/>
    <w:rsid w:val="0034179E"/>
    <w:rsid w:val="00341AC3"/>
    <w:rsid w:val="003421F9"/>
    <w:rsid w:val="0034299B"/>
    <w:rsid w:val="003430A8"/>
    <w:rsid w:val="00344259"/>
    <w:rsid w:val="003443B2"/>
    <w:rsid w:val="00344580"/>
    <w:rsid w:val="0034558E"/>
    <w:rsid w:val="003471E6"/>
    <w:rsid w:val="0035126E"/>
    <w:rsid w:val="00351CFB"/>
    <w:rsid w:val="003524C8"/>
    <w:rsid w:val="003551AD"/>
    <w:rsid w:val="00355A06"/>
    <w:rsid w:val="003618D7"/>
    <w:rsid w:val="00361B9C"/>
    <w:rsid w:val="003622D5"/>
    <w:rsid w:val="003640B1"/>
    <w:rsid w:val="00365C45"/>
    <w:rsid w:val="00370146"/>
    <w:rsid w:val="00373E56"/>
    <w:rsid w:val="00373F33"/>
    <w:rsid w:val="00374444"/>
    <w:rsid w:val="003746F5"/>
    <w:rsid w:val="00374E41"/>
    <w:rsid w:val="00376114"/>
    <w:rsid w:val="00376B5B"/>
    <w:rsid w:val="00376CEC"/>
    <w:rsid w:val="00376E2A"/>
    <w:rsid w:val="003806DC"/>
    <w:rsid w:val="00380758"/>
    <w:rsid w:val="00381742"/>
    <w:rsid w:val="003827B4"/>
    <w:rsid w:val="00383C82"/>
    <w:rsid w:val="00386BBB"/>
    <w:rsid w:val="00386D84"/>
    <w:rsid w:val="00387363"/>
    <w:rsid w:val="00391324"/>
    <w:rsid w:val="003916D6"/>
    <w:rsid w:val="0039245A"/>
    <w:rsid w:val="0039324E"/>
    <w:rsid w:val="00393376"/>
    <w:rsid w:val="00394A1E"/>
    <w:rsid w:val="0039528F"/>
    <w:rsid w:val="003956E5"/>
    <w:rsid w:val="00395C38"/>
    <w:rsid w:val="00396B93"/>
    <w:rsid w:val="0039787C"/>
    <w:rsid w:val="003A0AA0"/>
    <w:rsid w:val="003A1311"/>
    <w:rsid w:val="003A1543"/>
    <w:rsid w:val="003A3818"/>
    <w:rsid w:val="003A45A6"/>
    <w:rsid w:val="003A4881"/>
    <w:rsid w:val="003A50E9"/>
    <w:rsid w:val="003A60CC"/>
    <w:rsid w:val="003A61F9"/>
    <w:rsid w:val="003A73D3"/>
    <w:rsid w:val="003B1A03"/>
    <w:rsid w:val="003B1C4E"/>
    <w:rsid w:val="003B1E14"/>
    <w:rsid w:val="003B1E88"/>
    <w:rsid w:val="003B3C41"/>
    <w:rsid w:val="003B4B5F"/>
    <w:rsid w:val="003B5455"/>
    <w:rsid w:val="003B58C0"/>
    <w:rsid w:val="003B5FFE"/>
    <w:rsid w:val="003B63C0"/>
    <w:rsid w:val="003C2632"/>
    <w:rsid w:val="003C2A7C"/>
    <w:rsid w:val="003C2A8E"/>
    <w:rsid w:val="003C7873"/>
    <w:rsid w:val="003C78F7"/>
    <w:rsid w:val="003C7C12"/>
    <w:rsid w:val="003D153C"/>
    <w:rsid w:val="003D65C9"/>
    <w:rsid w:val="003D70D4"/>
    <w:rsid w:val="003E0BC5"/>
    <w:rsid w:val="003E16E1"/>
    <w:rsid w:val="003E2624"/>
    <w:rsid w:val="003E34C9"/>
    <w:rsid w:val="003E4B54"/>
    <w:rsid w:val="003E53AC"/>
    <w:rsid w:val="003E55DB"/>
    <w:rsid w:val="003E7555"/>
    <w:rsid w:val="003E7FD3"/>
    <w:rsid w:val="003F0EB3"/>
    <w:rsid w:val="003F332C"/>
    <w:rsid w:val="003F3E41"/>
    <w:rsid w:val="003F6008"/>
    <w:rsid w:val="003F659A"/>
    <w:rsid w:val="00400A2B"/>
    <w:rsid w:val="00400E16"/>
    <w:rsid w:val="004012CF"/>
    <w:rsid w:val="004012E1"/>
    <w:rsid w:val="004028F5"/>
    <w:rsid w:val="00402FF3"/>
    <w:rsid w:val="00403116"/>
    <w:rsid w:val="00404445"/>
    <w:rsid w:val="00404627"/>
    <w:rsid w:val="00404750"/>
    <w:rsid w:val="004051F5"/>
    <w:rsid w:val="0040546E"/>
    <w:rsid w:val="00405D9B"/>
    <w:rsid w:val="00405EAB"/>
    <w:rsid w:val="004069EB"/>
    <w:rsid w:val="00407273"/>
    <w:rsid w:val="0041002B"/>
    <w:rsid w:val="00410684"/>
    <w:rsid w:val="004111DA"/>
    <w:rsid w:val="00413013"/>
    <w:rsid w:val="00413327"/>
    <w:rsid w:val="00413F1C"/>
    <w:rsid w:val="00415A67"/>
    <w:rsid w:val="00415B83"/>
    <w:rsid w:val="00416917"/>
    <w:rsid w:val="00417FC0"/>
    <w:rsid w:val="004202A3"/>
    <w:rsid w:val="00420DE9"/>
    <w:rsid w:val="00421858"/>
    <w:rsid w:val="004221C9"/>
    <w:rsid w:val="00423213"/>
    <w:rsid w:val="00423945"/>
    <w:rsid w:val="0042416D"/>
    <w:rsid w:val="004277C4"/>
    <w:rsid w:val="00431178"/>
    <w:rsid w:val="004319BF"/>
    <w:rsid w:val="0043218D"/>
    <w:rsid w:val="00433507"/>
    <w:rsid w:val="004335F1"/>
    <w:rsid w:val="00434F13"/>
    <w:rsid w:val="00434FFC"/>
    <w:rsid w:val="00435A16"/>
    <w:rsid w:val="0043695E"/>
    <w:rsid w:val="00436AC7"/>
    <w:rsid w:val="00437A0E"/>
    <w:rsid w:val="00442231"/>
    <w:rsid w:val="00443B76"/>
    <w:rsid w:val="00444B4C"/>
    <w:rsid w:val="004460C0"/>
    <w:rsid w:val="00447ABE"/>
    <w:rsid w:val="00447DF5"/>
    <w:rsid w:val="004502F1"/>
    <w:rsid w:val="004516EB"/>
    <w:rsid w:val="00451E27"/>
    <w:rsid w:val="004529B6"/>
    <w:rsid w:val="00453DBD"/>
    <w:rsid w:val="00454CE6"/>
    <w:rsid w:val="00456FFF"/>
    <w:rsid w:val="00457A9F"/>
    <w:rsid w:val="00460632"/>
    <w:rsid w:val="0046133D"/>
    <w:rsid w:val="00462881"/>
    <w:rsid w:val="00462B0D"/>
    <w:rsid w:val="004642A1"/>
    <w:rsid w:val="0046475C"/>
    <w:rsid w:val="004653BB"/>
    <w:rsid w:val="004702BF"/>
    <w:rsid w:val="00470F88"/>
    <w:rsid w:val="00472649"/>
    <w:rsid w:val="00474273"/>
    <w:rsid w:val="00475574"/>
    <w:rsid w:val="00475F48"/>
    <w:rsid w:val="00477430"/>
    <w:rsid w:val="00477CC2"/>
    <w:rsid w:val="0048180A"/>
    <w:rsid w:val="00481C7A"/>
    <w:rsid w:val="004821D4"/>
    <w:rsid w:val="00482E2A"/>
    <w:rsid w:val="004836B3"/>
    <w:rsid w:val="0048464D"/>
    <w:rsid w:val="00484F88"/>
    <w:rsid w:val="00485906"/>
    <w:rsid w:val="004867DB"/>
    <w:rsid w:val="00487713"/>
    <w:rsid w:val="0049063B"/>
    <w:rsid w:val="004906C8"/>
    <w:rsid w:val="00491A1C"/>
    <w:rsid w:val="00491BAB"/>
    <w:rsid w:val="00493252"/>
    <w:rsid w:val="00493A00"/>
    <w:rsid w:val="0049459B"/>
    <w:rsid w:val="00495252"/>
    <w:rsid w:val="0049534C"/>
    <w:rsid w:val="004964B5"/>
    <w:rsid w:val="0049675F"/>
    <w:rsid w:val="004967E2"/>
    <w:rsid w:val="00496A62"/>
    <w:rsid w:val="00496CDA"/>
    <w:rsid w:val="0049718E"/>
    <w:rsid w:val="0049785D"/>
    <w:rsid w:val="004A290F"/>
    <w:rsid w:val="004A5FFD"/>
    <w:rsid w:val="004A7195"/>
    <w:rsid w:val="004A7CE2"/>
    <w:rsid w:val="004B12AF"/>
    <w:rsid w:val="004B13CF"/>
    <w:rsid w:val="004B376D"/>
    <w:rsid w:val="004B51FA"/>
    <w:rsid w:val="004B53C1"/>
    <w:rsid w:val="004B5DEC"/>
    <w:rsid w:val="004B7F32"/>
    <w:rsid w:val="004C0FAC"/>
    <w:rsid w:val="004C1207"/>
    <w:rsid w:val="004C17CE"/>
    <w:rsid w:val="004C18A7"/>
    <w:rsid w:val="004C19F6"/>
    <w:rsid w:val="004C1DF1"/>
    <w:rsid w:val="004C2ED8"/>
    <w:rsid w:val="004C3D8C"/>
    <w:rsid w:val="004C4E77"/>
    <w:rsid w:val="004C537E"/>
    <w:rsid w:val="004C5A2D"/>
    <w:rsid w:val="004C61C2"/>
    <w:rsid w:val="004C79B9"/>
    <w:rsid w:val="004D021D"/>
    <w:rsid w:val="004D08EB"/>
    <w:rsid w:val="004D1FB9"/>
    <w:rsid w:val="004D2D13"/>
    <w:rsid w:val="004D6029"/>
    <w:rsid w:val="004D647B"/>
    <w:rsid w:val="004E0679"/>
    <w:rsid w:val="004E0B32"/>
    <w:rsid w:val="004E1E0C"/>
    <w:rsid w:val="004E2371"/>
    <w:rsid w:val="004E4936"/>
    <w:rsid w:val="004E59D7"/>
    <w:rsid w:val="004E5A14"/>
    <w:rsid w:val="004E5B15"/>
    <w:rsid w:val="004E6BE9"/>
    <w:rsid w:val="004E77E1"/>
    <w:rsid w:val="004E78B8"/>
    <w:rsid w:val="004E79A4"/>
    <w:rsid w:val="004F1C51"/>
    <w:rsid w:val="004F26CF"/>
    <w:rsid w:val="004F3071"/>
    <w:rsid w:val="004F402B"/>
    <w:rsid w:val="004F41DA"/>
    <w:rsid w:val="004F4792"/>
    <w:rsid w:val="004F4DF1"/>
    <w:rsid w:val="004F6476"/>
    <w:rsid w:val="004F698D"/>
    <w:rsid w:val="004F76FC"/>
    <w:rsid w:val="00500601"/>
    <w:rsid w:val="00500BA6"/>
    <w:rsid w:val="0050182F"/>
    <w:rsid w:val="00501CBE"/>
    <w:rsid w:val="00502F50"/>
    <w:rsid w:val="00503655"/>
    <w:rsid w:val="0050375C"/>
    <w:rsid w:val="00503CA0"/>
    <w:rsid w:val="00504408"/>
    <w:rsid w:val="00505759"/>
    <w:rsid w:val="0050578D"/>
    <w:rsid w:val="00510BCE"/>
    <w:rsid w:val="0051107C"/>
    <w:rsid w:val="005115C9"/>
    <w:rsid w:val="0051235E"/>
    <w:rsid w:val="005124EC"/>
    <w:rsid w:val="0051313D"/>
    <w:rsid w:val="00513CB3"/>
    <w:rsid w:val="00513DE2"/>
    <w:rsid w:val="00514187"/>
    <w:rsid w:val="00515090"/>
    <w:rsid w:val="00517889"/>
    <w:rsid w:val="005178ED"/>
    <w:rsid w:val="00521E57"/>
    <w:rsid w:val="00521F80"/>
    <w:rsid w:val="00522780"/>
    <w:rsid w:val="00523DDF"/>
    <w:rsid w:val="0052511F"/>
    <w:rsid w:val="0052701A"/>
    <w:rsid w:val="0052735A"/>
    <w:rsid w:val="00527EBC"/>
    <w:rsid w:val="005305EA"/>
    <w:rsid w:val="00530E3E"/>
    <w:rsid w:val="005311BB"/>
    <w:rsid w:val="005314E4"/>
    <w:rsid w:val="00533DF5"/>
    <w:rsid w:val="005366C6"/>
    <w:rsid w:val="005371E7"/>
    <w:rsid w:val="005402C2"/>
    <w:rsid w:val="00540538"/>
    <w:rsid w:val="00540775"/>
    <w:rsid w:val="00540C92"/>
    <w:rsid w:val="00541143"/>
    <w:rsid w:val="00542BC6"/>
    <w:rsid w:val="0054390A"/>
    <w:rsid w:val="005478DE"/>
    <w:rsid w:val="0055176C"/>
    <w:rsid w:val="005520FE"/>
    <w:rsid w:val="0055211D"/>
    <w:rsid w:val="005527D6"/>
    <w:rsid w:val="00552FA7"/>
    <w:rsid w:val="00553E92"/>
    <w:rsid w:val="00554927"/>
    <w:rsid w:val="005559F5"/>
    <w:rsid w:val="00556513"/>
    <w:rsid w:val="00560D4A"/>
    <w:rsid w:val="00560D8E"/>
    <w:rsid w:val="00562653"/>
    <w:rsid w:val="0056468F"/>
    <w:rsid w:val="0056558A"/>
    <w:rsid w:val="00565F99"/>
    <w:rsid w:val="00566105"/>
    <w:rsid w:val="00566E4B"/>
    <w:rsid w:val="00567001"/>
    <w:rsid w:val="00567F9A"/>
    <w:rsid w:val="005705E2"/>
    <w:rsid w:val="005714B9"/>
    <w:rsid w:val="00571A7B"/>
    <w:rsid w:val="00572C64"/>
    <w:rsid w:val="005733EB"/>
    <w:rsid w:val="00573D34"/>
    <w:rsid w:val="005754D2"/>
    <w:rsid w:val="00576C2F"/>
    <w:rsid w:val="00576E97"/>
    <w:rsid w:val="005771DE"/>
    <w:rsid w:val="00577C71"/>
    <w:rsid w:val="00580802"/>
    <w:rsid w:val="00581064"/>
    <w:rsid w:val="00581A22"/>
    <w:rsid w:val="005833A8"/>
    <w:rsid w:val="00583431"/>
    <w:rsid w:val="00583D85"/>
    <w:rsid w:val="0058483E"/>
    <w:rsid w:val="00585740"/>
    <w:rsid w:val="0058661B"/>
    <w:rsid w:val="00586CD3"/>
    <w:rsid w:val="00593E91"/>
    <w:rsid w:val="00595600"/>
    <w:rsid w:val="0059597D"/>
    <w:rsid w:val="00596DC4"/>
    <w:rsid w:val="00597589"/>
    <w:rsid w:val="005A0B49"/>
    <w:rsid w:val="005A13CC"/>
    <w:rsid w:val="005A2394"/>
    <w:rsid w:val="005A52D9"/>
    <w:rsid w:val="005A5A6E"/>
    <w:rsid w:val="005A694B"/>
    <w:rsid w:val="005A6D57"/>
    <w:rsid w:val="005B0424"/>
    <w:rsid w:val="005B0575"/>
    <w:rsid w:val="005B37EF"/>
    <w:rsid w:val="005B451E"/>
    <w:rsid w:val="005B5B70"/>
    <w:rsid w:val="005B5F05"/>
    <w:rsid w:val="005B60F5"/>
    <w:rsid w:val="005B6D44"/>
    <w:rsid w:val="005B77A6"/>
    <w:rsid w:val="005B79E7"/>
    <w:rsid w:val="005C2999"/>
    <w:rsid w:val="005C3E35"/>
    <w:rsid w:val="005C40CB"/>
    <w:rsid w:val="005C6982"/>
    <w:rsid w:val="005D08BD"/>
    <w:rsid w:val="005D0901"/>
    <w:rsid w:val="005D14EB"/>
    <w:rsid w:val="005D16DD"/>
    <w:rsid w:val="005D197C"/>
    <w:rsid w:val="005D1E9D"/>
    <w:rsid w:val="005D1EDA"/>
    <w:rsid w:val="005D2B59"/>
    <w:rsid w:val="005D2B99"/>
    <w:rsid w:val="005D2CEF"/>
    <w:rsid w:val="005D362F"/>
    <w:rsid w:val="005D370F"/>
    <w:rsid w:val="005D4869"/>
    <w:rsid w:val="005D5217"/>
    <w:rsid w:val="005D5E8C"/>
    <w:rsid w:val="005D68F0"/>
    <w:rsid w:val="005D73DA"/>
    <w:rsid w:val="005E2950"/>
    <w:rsid w:val="005E482F"/>
    <w:rsid w:val="005E4D7C"/>
    <w:rsid w:val="005E4EB4"/>
    <w:rsid w:val="005E4ED7"/>
    <w:rsid w:val="005E7A49"/>
    <w:rsid w:val="005F048E"/>
    <w:rsid w:val="005F1408"/>
    <w:rsid w:val="005F18FF"/>
    <w:rsid w:val="005F1E0B"/>
    <w:rsid w:val="005F2248"/>
    <w:rsid w:val="005F4648"/>
    <w:rsid w:val="005F4E5A"/>
    <w:rsid w:val="005F57F0"/>
    <w:rsid w:val="005F661E"/>
    <w:rsid w:val="005F7424"/>
    <w:rsid w:val="005F7D10"/>
    <w:rsid w:val="00600FB9"/>
    <w:rsid w:val="00602223"/>
    <w:rsid w:val="0060242C"/>
    <w:rsid w:val="00603C36"/>
    <w:rsid w:val="00603FB8"/>
    <w:rsid w:val="00606FDA"/>
    <w:rsid w:val="00607414"/>
    <w:rsid w:val="0061042F"/>
    <w:rsid w:val="00612CE5"/>
    <w:rsid w:val="0061459B"/>
    <w:rsid w:val="00615562"/>
    <w:rsid w:val="006164D4"/>
    <w:rsid w:val="006168E4"/>
    <w:rsid w:val="00616943"/>
    <w:rsid w:val="0061744C"/>
    <w:rsid w:val="006214B9"/>
    <w:rsid w:val="00621940"/>
    <w:rsid w:val="00624380"/>
    <w:rsid w:val="006246D1"/>
    <w:rsid w:val="00625866"/>
    <w:rsid w:val="00625F2D"/>
    <w:rsid w:val="0062656C"/>
    <w:rsid w:val="0063265C"/>
    <w:rsid w:val="00633079"/>
    <w:rsid w:val="0063387F"/>
    <w:rsid w:val="0063429D"/>
    <w:rsid w:val="00634E08"/>
    <w:rsid w:val="00635020"/>
    <w:rsid w:val="006355D4"/>
    <w:rsid w:val="00635846"/>
    <w:rsid w:val="0063607E"/>
    <w:rsid w:val="006365E7"/>
    <w:rsid w:val="00637512"/>
    <w:rsid w:val="006402F4"/>
    <w:rsid w:val="0064055F"/>
    <w:rsid w:val="006408ED"/>
    <w:rsid w:val="00640EE4"/>
    <w:rsid w:val="0064168D"/>
    <w:rsid w:val="00643161"/>
    <w:rsid w:val="0064576A"/>
    <w:rsid w:val="00645D17"/>
    <w:rsid w:val="00645FB2"/>
    <w:rsid w:val="006466F5"/>
    <w:rsid w:val="006467E4"/>
    <w:rsid w:val="006468D6"/>
    <w:rsid w:val="00646A16"/>
    <w:rsid w:val="00650800"/>
    <w:rsid w:val="006529A5"/>
    <w:rsid w:val="00655372"/>
    <w:rsid w:val="00655735"/>
    <w:rsid w:val="00660203"/>
    <w:rsid w:val="00661404"/>
    <w:rsid w:val="00661753"/>
    <w:rsid w:val="006620CA"/>
    <w:rsid w:val="006646AC"/>
    <w:rsid w:val="00664D5B"/>
    <w:rsid w:val="0066569D"/>
    <w:rsid w:val="00666627"/>
    <w:rsid w:val="0066689A"/>
    <w:rsid w:val="0066744F"/>
    <w:rsid w:val="006715AF"/>
    <w:rsid w:val="00671D7C"/>
    <w:rsid w:val="00675E45"/>
    <w:rsid w:val="00676572"/>
    <w:rsid w:val="00681802"/>
    <w:rsid w:val="00682225"/>
    <w:rsid w:val="006822F4"/>
    <w:rsid w:val="00682B6F"/>
    <w:rsid w:val="00682CDA"/>
    <w:rsid w:val="00683417"/>
    <w:rsid w:val="00684130"/>
    <w:rsid w:val="00684893"/>
    <w:rsid w:val="006848B7"/>
    <w:rsid w:val="00684CBE"/>
    <w:rsid w:val="00685049"/>
    <w:rsid w:val="00686FC2"/>
    <w:rsid w:val="00687018"/>
    <w:rsid w:val="006918CC"/>
    <w:rsid w:val="00691DB1"/>
    <w:rsid w:val="006925C1"/>
    <w:rsid w:val="00692DA2"/>
    <w:rsid w:val="00696B2F"/>
    <w:rsid w:val="00697281"/>
    <w:rsid w:val="006A25FA"/>
    <w:rsid w:val="006A2C7F"/>
    <w:rsid w:val="006A3E53"/>
    <w:rsid w:val="006A4322"/>
    <w:rsid w:val="006A522A"/>
    <w:rsid w:val="006A5961"/>
    <w:rsid w:val="006A6FF3"/>
    <w:rsid w:val="006B03E9"/>
    <w:rsid w:val="006B1615"/>
    <w:rsid w:val="006B1953"/>
    <w:rsid w:val="006B1BF1"/>
    <w:rsid w:val="006B1C95"/>
    <w:rsid w:val="006B26E3"/>
    <w:rsid w:val="006B2A6C"/>
    <w:rsid w:val="006B32E4"/>
    <w:rsid w:val="006B3302"/>
    <w:rsid w:val="006B37EA"/>
    <w:rsid w:val="006B3A2B"/>
    <w:rsid w:val="006B3B00"/>
    <w:rsid w:val="006B3C6D"/>
    <w:rsid w:val="006B4CB8"/>
    <w:rsid w:val="006B503F"/>
    <w:rsid w:val="006B53AB"/>
    <w:rsid w:val="006B63ED"/>
    <w:rsid w:val="006B7444"/>
    <w:rsid w:val="006C24D8"/>
    <w:rsid w:val="006C2888"/>
    <w:rsid w:val="006C3175"/>
    <w:rsid w:val="006C32EE"/>
    <w:rsid w:val="006C5083"/>
    <w:rsid w:val="006C6A05"/>
    <w:rsid w:val="006C7DA5"/>
    <w:rsid w:val="006D23FC"/>
    <w:rsid w:val="006D3253"/>
    <w:rsid w:val="006D3CD7"/>
    <w:rsid w:val="006D3F82"/>
    <w:rsid w:val="006D5719"/>
    <w:rsid w:val="006D79B4"/>
    <w:rsid w:val="006E0068"/>
    <w:rsid w:val="006E01D1"/>
    <w:rsid w:val="006E3711"/>
    <w:rsid w:val="006E4055"/>
    <w:rsid w:val="006E469B"/>
    <w:rsid w:val="006E785D"/>
    <w:rsid w:val="006F1B61"/>
    <w:rsid w:val="006F1BFE"/>
    <w:rsid w:val="006F2478"/>
    <w:rsid w:val="006F25F4"/>
    <w:rsid w:val="006F53A9"/>
    <w:rsid w:val="006F5A35"/>
    <w:rsid w:val="006F610D"/>
    <w:rsid w:val="006F6E0E"/>
    <w:rsid w:val="00701033"/>
    <w:rsid w:val="007024E8"/>
    <w:rsid w:val="0070368E"/>
    <w:rsid w:val="0070371E"/>
    <w:rsid w:val="00703BAE"/>
    <w:rsid w:val="00704AB7"/>
    <w:rsid w:val="00705E9F"/>
    <w:rsid w:val="00705F8F"/>
    <w:rsid w:val="007064F6"/>
    <w:rsid w:val="007078A3"/>
    <w:rsid w:val="00711536"/>
    <w:rsid w:val="00712203"/>
    <w:rsid w:val="007129C0"/>
    <w:rsid w:val="007142B5"/>
    <w:rsid w:val="00714663"/>
    <w:rsid w:val="00714C96"/>
    <w:rsid w:val="00716BFE"/>
    <w:rsid w:val="0072048E"/>
    <w:rsid w:val="007234D1"/>
    <w:rsid w:val="00724441"/>
    <w:rsid w:val="00725B1D"/>
    <w:rsid w:val="0072666C"/>
    <w:rsid w:val="00731428"/>
    <w:rsid w:val="0073157A"/>
    <w:rsid w:val="00731690"/>
    <w:rsid w:val="007338D5"/>
    <w:rsid w:val="00735209"/>
    <w:rsid w:val="00740F93"/>
    <w:rsid w:val="0074395D"/>
    <w:rsid w:val="007444E2"/>
    <w:rsid w:val="00744D68"/>
    <w:rsid w:val="00744E29"/>
    <w:rsid w:val="00744EEF"/>
    <w:rsid w:val="007517D1"/>
    <w:rsid w:val="0075229E"/>
    <w:rsid w:val="007524CA"/>
    <w:rsid w:val="00753476"/>
    <w:rsid w:val="00754B44"/>
    <w:rsid w:val="00754CAE"/>
    <w:rsid w:val="00756CE9"/>
    <w:rsid w:val="00757992"/>
    <w:rsid w:val="00757E87"/>
    <w:rsid w:val="00761B5E"/>
    <w:rsid w:val="007622D6"/>
    <w:rsid w:val="00763998"/>
    <w:rsid w:val="00763FEE"/>
    <w:rsid w:val="0076467C"/>
    <w:rsid w:val="007658D5"/>
    <w:rsid w:val="00767724"/>
    <w:rsid w:val="00772BA8"/>
    <w:rsid w:val="007736D6"/>
    <w:rsid w:val="00774266"/>
    <w:rsid w:val="00775E28"/>
    <w:rsid w:val="00776FEB"/>
    <w:rsid w:val="007773E6"/>
    <w:rsid w:val="0078028A"/>
    <w:rsid w:val="00780302"/>
    <w:rsid w:val="007806CB"/>
    <w:rsid w:val="007816FD"/>
    <w:rsid w:val="00781C64"/>
    <w:rsid w:val="007829AF"/>
    <w:rsid w:val="007848FB"/>
    <w:rsid w:val="007851D5"/>
    <w:rsid w:val="00785698"/>
    <w:rsid w:val="0078693A"/>
    <w:rsid w:val="00790164"/>
    <w:rsid w:val="00793170"/>
    <w:rsid w:val="007933A7"/>
    <w:rsid w:val="00793670"/>
    <w:rsid w:val="00794153"/>
    <w:rsid w:val="0079486A"/>
    <w:rsid w:val="00794930"/>
    <w:rsid w:val="00794D7E"/>
    <w:rsid w:val="00794D93"/>
    <w:rsid w:val="00794E74"/>
    <w:rsid w:val="00794F80"/>
    <w:rsid w:val="0079620D"/>
    <w:rsid w:val="0079666D"/>
    <w:rsid w:val="00796CA6"/>
    <w:rsid w:val="00796FB7"/>
    <w:rsid w:val="00797118"/>
    <w:rsid w:val="00797B4F"/>
    <w:rsid w:val="007A006A"/>
    <w:rsid w:val="007A139A"/>
    <w:rsid w:val="007A1C9E"/>
    <w:rsid w:val="007A21C7"/>
    <w:rsid w:val="007A312D"/>
    <w:rsid w:val="007A3B58"/>
    <w:rsid w:val="007A3BB5"/>
    <w:rsid w:val="007A4967"/>
    <w:rsid w:val="007A7354"/>
    <w:rsid w:val="007B2C77"/>
    <w:rsid w:val="007B34C6"/>
    <w:rsid w:val="007B7A6F"/>
    <w:rsid w:val="007C2C6B"/>
    <w:rsid w:val="007C368A"/>
    <w:rsid w:val="007C57D3"/>
    <w:rsid w:val="007C7FF1"/>
    <w:rsid w:val="007D15EF"/>
    <w:rsid w:val="007D1A27"/>
    <w:rsid w:val="007D1B24"/>
    <w:rsid w:val="007D1F15"/>
    <w:rsid w:val="007D25B1"/>
    <w:rsid w:val="007D2878"/>
    <w:rsid w:val="007D300A"/>
    <w:rsid w:val="007D661B"/>
    <w:rsid w:val="007E00E1"/>
    <w:rsid w:val="007E0BC1"/>
    <w:rsid w:val="007E26F8"/>
    <w:rsid w:val="007E3A35"/>
    <w:rsid w:val="007E5726"/>
    <w:rsid w:val="007E5D23"/>
    <w:rsid w:val="007E6297"/>
    <w:rsid w:val="007E65B5"/>
    <w:rsid w:val="007E65DB"/>
    <w:rsid w:val="007E7BAB"/>
    <w:rsid w:val="007E7DCE"/>
    <w:rsid w:val="007F1347"/>
    <w:rsid w:val="007F20AC"/>
    <w:rsid w:val="007F43BD"/>
    <w:rsid w:val="007F52EC"/>
    <w:rsid w:val="007F53D4"/>
    <w:rsid w:val="00800927"/>
    <w:rsid w:val="00800F46"/>
    <w:rsid w:val="008016F1"/>
    <w:rsid w:val="008028E9"/>
    <w:rsid w:val="00802C56"/>
    <w:rsid w:val="00803A88"/>
    <w:rsid w:val="00803E61"/>
    <w:rsid w:val="00803F62"/>
    <w:rsid w:val="00803F88"/>
    <w:rsid w:val="008041B5"/>
    <w:rsid w:val="00804620"/>
    <w:rsid w:val="0080489F"/>
    <w:rsid w:val="00804BD9"/>
    <w:rsid w:val="00805270"/>
    <w:rsid w:val="00810845"/>
    <w:rsid w:val="008111EB"/>
    <w:rsid w:val="00811205"/>
    <w:rsid w:val="008112E3"/>
    <w:rsid w:val="00811D16"/>
    <w:rsid w:val="00812C48"/>
    <w:rsid w:val="008146F9"/>
    <w:rsid w:val="00814D55"/>
    <w:rsid w:val="00815093"/>
    <w:rsid w:val="00816506"/>
    <w:rsid w:val="008170EF"/>
    <w:rsid w:val="00817BFB"/>
    <w:rsid w:val="008230AE"/>
    <w:rsid w:val="00823267"/>
    <w:rsid w:val="0082382A"/>
    <w:rsid w:val="00824DCD"/>
    <w:rsid w:val="00824DDB"/>
    <w:rsid w:val="008257A6"/>
    <w:rsid w:val="00831346"/>
    <w:rsid w:val="00831D3F"/>
    <w:rsid w:val="00832986"/>
    <w:rsid w:val="00833C97"/>
    <w:rsid w:val="00833DB5"/>
    <w:rsid w:val="00833FA4"/>
    <w:rsid w:val="00834BBB"/>
    <w:rsid w:val="00834E50"/>
    <w:rsid w:val="00835692"/>
    <w:rsid w:val="00835A92"/>
    <w:rsid w:val="008419A8"/>
    <w:rsid w:val="008436AD"/>
    <w:rsid w:val="00844569"/>
    <w:rsid w:val="0084474D"/>
    <w:rsid w:val="0084612B"/>
    <w:rsid w:val="00846539"/>
    <w:rsid w:val="008468AD"/>
    <w:rsid w:val="0084766D"/>
    <w:rsid w:val="00847D23"/>
    <w:rsid w:val="0085030F"/>
    <w:rsid w:val="00851545"/>
    <w:rsid w:val="00855544"/>
    <w:rsid w:val="00856D15"/>
    <w:rsid w:val="0086020D"/>
    <w:rsid w:val="00860E59"/>
    <w:rsid w:val="00861DEF"/>
    <w:rsid w:val="00863327"/>
    <w:rsid w:val="00864988"/>
    <w:rsid w:val="00864E9D"/>
    <w:rsid w:val="008662C4"/>
    <w:rsid w:val="00867B2F"/>
    <w:rsid w:val="00870550"/>
    <w:rsid w:val="00870F44"/>
    <w:rsid w:val="00874015"/>
    <w:rsid w:val="00874916"/>
    <w:rsid w:val="00876A75"/>
    <w:rsid w:val="0087786C"/>
    <w:rsid w:val="00877BF0"/>
    <w:rsid w:val="00881D76"/>
    <w:rsid w:val="00883587"/>
    <w:rsid w:val="00884054"/>
    <w:rsid w:val="008849DE"/>
    <w:rsid w:val="00886712"/>
    <w:rsid w:val="008868B6"/>
    <w:rsid w:val="00890452"/>
    <w:rsid w:val="00891715"/>
    <w:rsid w:val="00893C5F"/>
    <w:rsid w:val="00895089"/>
    <w:rsid w:val="008951ED"/>
    <w:rsid w:val="0089661D"/>
    <w:rsid w:val="00896BBC"/>
    <w:rsid w:val="00896BBD"/>
    <w:rsid w:val="008A1129"/>
    <w:rsid w:val="008A157E"/>
    <w:rsid w:val="008A1FF2"/>
    <w:rsid w:val="008A22FB"/>
    <w:rsid w:val="008A2709"/>
    <w:rsid w:val="008A322D"/>
    <w:rsid w:val="008A344B"/>
    <w:rsid w:val="008A3486"/>
    <w:rsid w:val="008A3935"/>
    <w:rsid w:val="008A50C9"/>
    <w:rsid w:val="008A59F1"/>
    <w:rsid w:val="008A75BE"/>
    <w:rsid w:val="008B00D5"/>
    <w:rsid w:val="008B14D0"/>
    <w:rsid w:val="008B1720"/>
    <w:rsid w:val="008B4658"/>
    <w:rsid w:val="008B4E07"/>
    <w:rsid w:val="008B74DC"/>
    <w:rsid w:val="008C0050"/>
    <w:rsid w:val="008C0799"/>
    <w:rsid w:val="008C0DDD"/>
    <w:rsid w:val="008C2BCF"/>
    <w:rsid w:val="008C2C84"/>
    <w:rsid w:val="008C32A8"/>
    <w:rsid w:val="008C54F9"/>
    <w:rsid w:val="008C55A3"/>
    <w:rsid w:val="008C783C"/>
    <w:rsid w:val="008D06E0"/>
    <w:rsid w:val="008D1DFF"/>
    <w:rsid w:val="008D2334"/>
    <w:rsid w:val="008D24AA"/>
    <w:rsid w:val="008D57CF"/>
    <w:rsid w:val="008D6165"/>
    <w:rsid w:val="008D65E5"/>
    <w:rsid w:val="008E0AFD"/>
    <w:rsid w:val="008E15BF"/>
    <w:rsid w:val="008E19C1"/>
    <w:rsid w:val="008E6308"/>
    <w:rsid w:val="008E6375"/>
    <w:rsid w:val="008F16D2"/>
    <w:rsid w:val="008F1EF4"/>
    <w:rsid w:val="008F3674"/>
    <w:rsid w:val="008F42F4"/>
    <w:rsid w:val="008F4C65"/>
    <w:rsid w:val="008F66C9"/>
    <w:rsid w:val="0090060E"/>
    <w:rsid w:val="00901E77"/>
    <w:rsid w:val="009020E0"/>
    <w:rsid w:val="0090233A"/>
    <w:rsid w:val="00903410"/>
    <w:rsid w:val="0090429A"/>
    <w:rsid w:val="00905422"/>
    <w:rsid w:val="00905BEF"/>
    <w:rsid w:val="00906C7A"/>
    <w:rsid w:val="00910B4E"/>
    <w:rsid w:val="0091211D"/>
    <w:rsid w:val="00912CC7"/>
    <w:rsid w:val="009130C0"/>
    <w:rsid w:val="00913133"/>
    <w:rsid w:val="00913283"/>
    <w:rsid w:val="00915791"/>
    <w:rsid w:val="00916B04"/>
    <w:rsid w:val="00917869"/>
    <w:rsid w:val="009178EF"/>
    <w:rsid w:val="009179B9"/>
    <w:rsid w:val="00917BDD"/>
    <w:rsid w:val="0092113F"/>
    <w:rsid w:val="00921DB9"/>
    <w:rsid w:val="00921FC1"/>
    <w:rsid w:val="00922358"/>
    <w:rsid w:val="00923DBE"/>
    <w:rsid w:val="0092403D"/>
    <w:rsid w:val="00930ACB"/>
    <w:rsid w:val="00930D7A"/>
    <w:rsid w:val="00932888"/>
    <w:rsid w:val="009331C2"/>
    <w:rsid w:val="00936DCF"/>
    <w:rsid w:val="009402DB"/>
    <w:rsid w:val="0094145F"/>
    <w:rsid w:val="0094160B"/>
    <w:rsid w:val="0094262E"/>
    <w:rsid w:val="00943910"/>
    <w:rsid w:val="00943F2E"/>
    <w:rsid w:val="00944355"/>
    <w:rsid w:val="00944898"/>
    <w:rsid w:val="009449B8"/>
    <w:rsid w:val="00944DC9"/>
    <w:rsid w:val="00946C4B"/>
    <w:rsid w:val="0094795E"/>
    <w:rsid w:val="00951312"/>
    <w:rsid w:val="00951D52"/>
    <w:rsid w:val="00952187"/>
    <w:rsid w:val="00952A32"/>
    <w:rsid w:val="00954916"/>
    <w:rsid w:val="0095704B"/>
    <w:rsid w:val="00960A6D"/>
    <w:rsid w:val="00960A7F"/>
    <w:rsid w:val="009611E0"/>
    <w:rsid w:val="00963CEB"/>
    <w:rsid w:val="0096447C"/>
    <w:rsid w:val="0096451F"/>
    <w:rsid w:val="00964749"/>
    <w:rsid w:val="00964B89"/>
    <w:rsid w:val="00965FEE"/>
    <w:rsid w:val="0096643B"/>
    <w:rsid w:val="009675B8"/>
    <w:rsid w:val="009706B5"/>
    <w:rsid w:val="00970926"/>
    <w:rsid w:val="00970CE3"/>
    <w:rsid w:val="009718BF"/>
    <w:rsid w:val="009721A5"/>
    <w:rsid w:val="00972BDF"/>
    <w:rsid w:val="0097390F"/>
    <w:rsid w:val="009772A0"/>
    <w:rsid w:val="0098182D"/>
    <w:rsid w:val="009845ED"/>
    <w:rsid w:val="00985C4C"/>
    <w:rsid w:val="0098704B"/>
    <w:rsid w:val="0099059B"/>
    <w:rsid w:val="00991E43"/>
    <w:rsid w:val="00993821"/>
    <w:rsid w:val="00994280"/>
    <w:rsid w:val="0099517B"/>
    <w:rsid w:val="009970B5"/>
    <w:rsid w:val="009A0D0A"/>
    <w:rsid w:val="009A0FAE"/>
    <w:rsid w:val="009A1D94"/>
    <w:rsid w:val="009A200B"/>
    <w:rsid w:val="009A2418"/>
    <w:rsid w:val="009A3184"/>
    <w:rsid w:val="009A3F82"/>
    <w:rsid w:val="009A41A8"/>
    <w:rsid w:val="009A5659"/>
    <w:rsid w:val="009A64BD"/>
    <w:rsid w:val="009A686F"/>
    <w:rsid w:val="009A6ACC"/>
    <w:rsid w:val="009B1636"/>
    <w:rsid w:val="009B33A8"/>
    <w:rsid w:val="009B3487"/>
    <w:rsid w:val="009B3978"/>
    <w:rsid w:val="009B4510"/>
    <w:rsid w:val="009B5029"/>
    <w:rsid w:val="009B5F5A"/>
    <w:rsid w:val="009B7C61"/>
    <w:rsid w:val="009C0DC9"/>
    <w:rsid w:val="009C1104"/>
    <w:rsid w:val="009C3793"/>
    <w:rsid w:val="009C451F"/>
    <w:rsid w:val="009C5E96"/>
    <w:rsid w:val="009C726D"/>
    <w:rsid w:val="009D317E"/>
    <w:rsid w:val="009D3186"/>
    <w:rsid w:val="009D3697"/>
    <w:rsid w:val="009D5F9E"/>
    <w:rsid w:val="009E07D9"/>
    <w:rsid w:val="009E0C04"/>
    <w:rsid w:val="009E1411"/>
    <w:rsid w:val="009E1BB5"/>
    <w:rsid w:val="009E52F2"/>
    <w:rsid w:val="009E5717"/>
    <w:rsid w:val="009E589B"/>
    <w:rsid w:val="009E6FC4"/>
    <w:rsid w:val="009F01C0"/>
    <w:rsid w:val="009F1278"/>
    <w:rsid w:val="009F2C44"/>
    <w:rsid w:val="009F3C1F"/>
    <w:rsid w:val="009F4D30"/>
    <w:rsid w:val="009F5D6D"/>
    <w:rsid w:val="009F5DB2"/>
    <w:rsid w:val="009F614E"/>
    <w:rsid w:val="009F6713"/>
    <w:rsid w:val="009F6FB0"/>
    <w:rsid w:val="009F762B"/>
    <w:rsid w:val="009F7941"/>
    <w:rsid w:val="00A0172D"/>
    <w:rsid w:val="00A02047"/>
    <w:rsid w:val="00A02F38"/>
    <w:rsid w:val="00A036BE"/>
    <w:rsid w:val="00A03C4B"/>
    <w:rsid w:val="00A03DF1"/>
    <w:rsid w:val="00A04C52"/>
    <w:rsid w:val="00A06819"/>
    <w:rsid w:val="00A075FB"/>
    <w:rsid w:val="00A07627"/>
    <w:rsid w:val="00A10583"/>
    <w:rsid w:val="00A11AE6"/>
    <w:rsid w:val="00A12205"/>
    <w:rsid w:val="00A131EA"/>
    <w:rsid w:val="00A20062"/>
    <w:rsid w:val="00A21876"/>
    <w:rsid w:val="00A22E00"/>
    <w:rsid w:val="00A24194"/>
    <w:rsid w:val="00A27C95"/>
    <w:rsid w:val="00A30B55"/>
    <w:rsid w:val="00A30C44"/>
    <w:rsid w:val="00A328AE"/>
    <w:rsid w:val="00A33460"/>
    <w:rsid w:val="00A35411"/>
    <w:rsid w:val="00A355A6"/>
    <w:rsid w:val="00A36D0F"/>
    <w:rsid w:val="00A36F3E"/>
    <w:rsid w:val="00A378E4"/>
    <w:rsid w:val="00A40DDC"/>
    <w:rsid w:val="00A4131E"/>
    <w:rsid w:val="00A41694"/>
    <w:rsid w:val="00A41C88"/>
    <w:rsid w:val="00A41C93"/>
    <w:rsid w:val="00A42233"/>
    <w:rsid w:val="00A42784"/>
    <w:rsid w:val="00A43501"/>
    <w:rsid w:val="00A44343"/>
    <w:rsid w:val="00A453DC"/>
    <w:rsid w:val="00A45E71"/>
    <w:rsid w:val="00A46BDA"/>
    <w:rsid w:val="00A477E9"/>
    <w:rsid w:val="00A503DF"/>
    <w:rsid w:val="00A535E3"/>
    <w:rsid w:val="00A540E1"/>
    <w:rsid w:val="00A560C7"/>
    <w:rsid w:val="00A570A7"/>
    <w:rsid w:val="00A572E9"/>
    <w:rsid w:val="00A57B77"/>
    <w:rsid w:val="00A625E2"/>
    <w:rsid w:val="00A62AA3"/>
    <w:rsid w:val="00A62B55"/>
    <w:rsid w:val="00A647F7"/>
    <w:rsid w:val="00A64C80"/>
    <w:rsid w:val="00A65143"/>
    <w:rsid w:val="00A67EF9"/>
    <w:rsid w:val="00A70411"/>
    <w:rsid w:val="00A72465"/>
    <w:rsid w:val="00A7406D"/>
    <w:rsid w:val="00A7778A"/>
    <w:rsid w:val="00A802CB"/>
    <w:rsid w:val="00A8088D"/>
    <w:rsid w:val="00A80C92"/>
    <w:rsid w:val="00A81BCB"/>
    <w:rsid w:val="00A81C87"/>
    <w:rsid w:val="00A82461"/>
    <w:rsid w:val="00A82A4F"/>
    <w:rsid w:val="00A82D8A"/>
    <w:rsid w:val="00A82D96"/>
    <w:rsid w:val="00A840FB"/>
    <w:rsid w:val="00A84571"/>
    <w:rsid w:val="00A84CDC"/>
    <w:rsid w:val="00A851D8"/>
    <w:rsid w:val="00A857DA"/>
    <w:rsid w:val="00A85E37"/>
    <w:rsid w:val="00A860FD"/>
    <w:rsid w:val="00A86416"/>
    <w:rsid w:val="00A90202"/>
    <w:rsid w:val="00A908EE"/>
    <w:rsid w:val="00A9099E"/>
    <w:rsid w:val="00A91DA7"/>
    <w:rsid w:val="00A91F04"/>
    <w:rsid w:val="00A9277F"/>
    <w:rsid w:val="00A931BF"/>
    <w:rsid w:val="00A95083"/>
    <w:rsid w:val="00A953BA"/>
    <w:rsid w:val="00A95557"/>
    <w:rsid w:val="00A95A9B"/>
    <w:rsid w:val="00A96232"/>
    <w:rsid w:val="00A96E60"/>
    <w:rsid w:val="00A97130"/>
    <w:rsid w:val="00A97D27"/>
    <w:rsid w:val="00AA1687"/>
    <w:rsid w:val="00AA1F1C"/>
    <w:rsid w:val="00AA23F8"/>
    <w:rsid w:val="00AA285C"/>
    <w:rsid w:val="00AA327E"/>
    <w:rsid w:val="00AA4542"/>
    <w:rsid w:val="00AA5D62"/>
    <w:rsid w:val="00AB14BD"/>
    <w:rsid w:val="00AB1D6A"/>
    <w:rsid w:val="00AB252B"/>
    <w:rsid w:val="00AB3710"/>
    <w:rsid w:val="00AB3CCD"/>
    <w:rsid w:val="00AB4B0F"/>
    <w:rsid w:val="00AB4FA1"/>
    <w:rsid w:val="00AB50BC"/>
    <w:rsid w:val="00AB5BB5"/>
    <w:rsid w:val="00AB6BF9"/>
    <w:rsid w:val="00AB6C3B"/>
    <w:rsid w:val="00AC0516"/>
    <w:rsid w:val="00AC0D96"/>
    <w:rsid w:val="00AC1266"/>
    <w:rsid w:val="00AC48E0"/>
    <w:rsid w:val="00AC7C82"/>
    <w:rsid w:val="00AD0F6C"/>
    <w:rsid w:val="00AD1553"/>
    <w:rsid w:val="00AD1580"/>
    <w:rsid w:val="00AD25F0"/>
    <w:rsid w:val="00AD2EBD"/>
    <w:rsid w:val="00AD3A1D"/>
    <w:rsid w:val="00AD4144"/>
    <w:rsid w:val="00AD41B6"/>
    <w:rsid w:val="00AD461A"/>
    <w:rsid w:val="00AD529C"/>
    <w:rsid w:val="00AD57A9"/>
    <w:rsid w:val="00AD5C07"/>
    <w:rsid w:val="00AD6EAA"/>
    <w:rsid w:val="00AD78F8"/>
    <w:rsid w:val="00AE008F"/>
    <w:rsid w:val="00AE04E8"/>
    <w:rsid w:val="00AE0D01"/>
    <w:rsid w:val="00AE2056"/>
    <w:rsid w:val="00AE3724"/>
    <w:rsid w:val="00AE3AAC"/>
    <w:rsid w:val="00AF0F9F"/>
    <w:rsid w:val="00AF16C8"/>
    <w:rsid w:val="00AF2A22"/>
    <w:rsid w:val="00AF5638"/>
    <w:rsid w:val="00AF6F51"/>
    <w:rsid w:val="00AF74DA"/>
    <w:rsid w:val="00B006A9"/>
    <w:rsid w:val="00B00C72"/>
    <w:rsid w:val="00B01443"/>
    <w:rsid w:val="00B0272E"/>
    <w:rsid w:val="00B047AD"/>
    <w:rsid w:val="00B04CF0"/>
    <w:rsid w:val="00B06912"/>
    <w:rsid w:val="00B070A2"/>
    <w:rsid w:val="00B1020A"/>
    <w:rsid w:val="00B10E49"/>
    <w:rsid w:val="00B116EE"/>
    <w:rsid w:val="00B11E08"/>
    <w:rsid w:val="00B13A39"/>
    <w:rsid w:val="00B145FA"/>
    <w:rsid w:val="00B14814"/>
    <w:rsid w:val="00B160F4"/>
    <w:rsid w:val="00B163D5"/>
    <w:rsid w:val="00B2037B"/>
    <w:rsid w:val="00B20F15"/>
    <w:rsid w:val="00B23274"/>
    <w:rsid w:val="00B246DA"/>
    <w:rsid w:val="00B25262"/>
    <w:rsid w:val="00B272A6"/>
    <w:rsid w:val="00B30856"/>
    <w:rsid w:val="00B31395"/>
    <w:rsid w:val="00B32CD3"/>
    <w:rsid w:val="00B3475C"/>
    <w:rsid w:val="00B34866"/>
    <w:rsid w:val="00B34CA9"/>
    <w:rsid w:val="00B35797"/>
    <w:rsid w:val="00B35A93"/>
    <w:rsid w:val="00B3672D"/>
    <w:rsid w:val="00B40656"/>
    <w:rsid w:val="00B40F8A"/>
    <w:rsid w:val="00B425E9"/>
    <w:rsid w:val="00B426D4"/>
    <w:rsid w:val="00B4300B"/>
    <w:rsid w:val="00B4669F"/>
    <w:rsid w:val="00B4710D"/>
    <w:rsid w:val="00B4745C"/>
    <w:rsid w:val="00B47BB2"/>
    <w:rsid w:val="00B5000A"/>
    <w:rsid w:val="00B50AAA"/>
    <w:rsid w:val="00B51461"/>
    <w:rsid w:val="00B51940"/>
    <w:rsid w:val="00B52EAB"/>
    <w:rsid w:val="00B530EE"/>
    <w:rsid w:val="00B537E8"/>
    <w:rsid w:val="00B544D9"/>
    <w:rsid w:val="00B5693B"/>
    <w:rsid w:val="00B56B5D"/>
    <w:rsid w:val="00B576A9"/>
    <w:rsid w:val="00B57E3B"/>
    <w:rsid w:val="00B61DC9"/>
    <w:rsid w:val="00B658D4"/>
    <w:rsid w:val="00B667E5"/>
    <w:rsid w:val="00B66C9E"/>
    <w:rsid w:val="00B705ED"/>
    <w:rsid w:val="00B70E50"/>
    <w:rsid w:val="00B73C99"/>
    <w:rsid w:val="00B75A2C"/>
    <w:rsid w:val="00B75E7F"/>
    <w:rsid w:val="00B77272"/>
    <w:rsid w:val="00B77811"/>
    <w:rsid w:val="00B80129"/>
    <w:rsid w:val="00B80734"/>
    <w:rsid w:val="00B813AC"/>
    <w:rsid w:val="00B8376C"/>
    <w:rsid w:val="00B84260"/>
    <w:rsid w:val="00B8655B"/>
    <w:rsid w:val="00B86A15"/>
    <w:rsid w:val="00B8738D"/>
    <w:rsid w:val="00B90248"/>
    <w:rsid w:val="00B90F23"/>
    <w:rsid w:val="00B91B89"/>
    <w:rsid w:val="00B91F0B"/>
    <w:rsid w:val="00B9223B"/>
    <w:rsid w:val="00B9263F"/>
    <w:rsid w:val="00B92D47"/>
    <w:rsid w:val="00B961A5"/>
    <w:rsid w:val="00BA1133"/>
    <w:rsid w:val="00BA18D5"/>
    <w:rsid w:val="00BA32E9"/>
    <w:rsid w:val="00BA39A0"/>
    <w:rsid w:val="00BA46EE"/>
    <w:rsid w:val="00BA49CC"/>
    <w:rsid w:val="00BA4D1F"/>
    <w:rsid w:val="00BA7AD1"/>
    <w:rsid w:val="00BA7E0C"/>
    <w:rsid w:val="00BB0B9D"/>
    <w:rsid w:val="00BB1CC2"/>
    <w:rsid w:val="00BB2250"/>
    <w:rsid w:val="00BB38DC"/>
    <w:rsid w:val="00BB4107"/>
    <w:rsid w:val="00BB4F63"/>
    <w:rsid w:val="00BB5BB7"/>
    <w:rsid w:val="00BB744D"/>
    <w:rsid w:val="00BB7708"/>
    <w:rsid w:val="00BC0FDD"/>
    <w:rsid w:val="00BC114F"/>
    <w:rsid w:val="00BC22E0"/>
    <w:rsid w:val="00BC3AAD"/>
    <w:rsid w:val="00BC44FC"/>
    <w:rsid w:val="00BC4AA7"/>
    <w:rsid w:val="00BC5852"/>
    <w:rsid w:val="00BD0B09"/>
    <w:rsid w:val="00BD1B09"/>
    <w:rsid w:val="00BD274A"/>
    <w:rsid w:val="00BD369A"/>
    <w:rsid w:val="00BD5425"/>
    <w:rsid w:val="00BD5EAE"/>
    <w:rsid w:val="00BD618E"/>
    <w:rsid w:val="00BD6F2F"/>
    <w:rsid w:val="00BD705F"/>
    <w:rsid w:val="00BD7854"/>
    <w:rsid w:val="00BE0EBA"/>
    <w:rsid w:val="00BE17E0"/>
    <w:rsid w:val="00BE27E5"/>
    <w:rsid w:val="00BE28ED"/>
    <w:rsid w:val="00BE3AFC"/>
    <w:rsid w:val="00BE54B8"/>
    <w:rsid w:val="00BE55D6"/>
    <w:rsid w:val="00BE734B"/>
    <w:rsid w:val="00BF2ABC"/>
    <w:rsid w:val="00BF2EA1"/>
    <w:rsid w:val="00BF3B35"/>
    <w:rsid w:val="00BF4805"/>
    <w:rsid w:val="00BF4CC6"/>
    <w:rsid w:val="00BF5321"/>
    <w:rsid w:val="00BF543F"/>
    <w:rsid w:val="00BF5918"/>
    <w:rsid w:val="00BF6902"/>
    <w:rsid w:val="00BF7421"/>
    <w:rsid w:val="00C01E2A"/>
    <w:rsid w:val="00C024E0"/>
    <w:rsid w:val="00C03536"/>
    <w:rsid w:val="00C03793"/>
    <w:rsid w:val="00C06E2B"/>
    <w:rsid w:val="00C07650"/>
    <w:rsid w:val="00C104DD"/>
    <w:rsid w:val="00C1331F"/>
    <w:rsid w:val="00C15275"/>
    <w:rsid w:val="00C15E31"/>
    <w:rsid w:val="00C16479"/>
    <w:rsid w:val="00C2058D"/>
    <w:rsid w:val="00C233EF"/>
    <w:rsid w:val="00C24EA8"/>
    <w:rsid w:val="00C25084"/>
    <w:rsid w:val="00C250CB"/>
    <w:rsid w:val="00C261C7"/>
    <w:rsid w:val="00C26216"/>
    <w:rsid w:val="00C2768B"/>
    <w:rsid w:val="00C27ABF"/>
    <w:rsid w:val="00C31122"/>
    <w:rsid w:val="00C316A8"/>
    <w:rsid w:val="00C322F2"/>
    <w:rsid w:val="00C337F9"/>
    <w:rsid w:val="00C34705"/>
    <w:rsid w:val="00C36DCE"/>
    <w:rsid w:val="00C3746F"/>
    <w:rsid w:val="00C3768A"/>
    <w:rsid w:val="00C37D9D"/>
    <w:rsid w:val="00C4139D"/>
    <w:rsid w:val="00C42AC0"/>
    <w:rsid w:val="00C42E26"/>
    <w:rsid w:val="00C44901"/>
    <w:rsid w:val="00C449BF"/>
    <w:rsid w:val="00C45DE7"/>
    <w:rsid w:val="00C5024A"/>
    <w:rsid w:val="00C5122B"/>
    <w:rsid w:val="00C538D4"/>
    <w:rsid w:val="00C53A8B"/>
    <w:rsid w:val="00C545E7"/>
    <w:rsid w:val="00C552C9"/>
    <w:rsid w:val="00C562FD"/>
    <w:rsid w:val="00C56C17"/>
    <w:rsid w:val="00C574A4"/>
    <w:rsid w:val="00C57BF6"/>
    <w:rsid w:val="00C60396"/>
    <w:rsid w:val="00C615BE"/>
    <w:rsid w:val="00C61AE7"/>
    <w:rsid w:val="00C659E1"/>
    <w:rsid w:val="00C66523"/>
    <w:rsid w:val="00C667D8"/>
    <w:rsid w:val="00C66D59"/>
    <w:rsid w:val="00C6795D"/>
    <w:rsid w:val="00C67F11"/>
    <w:rsid w:val="00C7039A"/>
    <w:rsid w:val="00C718A8"/>
    <w:rsid w:val="00C71CD1"/>
    <w:rsid w:val="00C73143"/>
    <w:rsid w:val="00C73C45"/>
    <w:rsid w:val="00C7536A"/>
    <w:rsid w:val="00C76C40"/>
    <w:rsid w:val="00C77685"/>
    <w:rsid w:val="00C77815"/>
    <w:rsid w:val="00C80ED6"/>
    <w:rsid w:val="00C82277"/>
    <w:rsid w:val="00C82D1D"/>
    <w:rsid w:val="00C83209"/>
    <w:rsid w:val="00C83E62"/>
    <w:rsid w:val="00C85259"/>
    <w:rsid w:val="00C85378"/>
    <w:rsid w:val="00C86808"/>
    <w:rsid w:val="00C87238"/>
    <w:rsid w:val="00C9240B"/>
    <w:rsid w:val="00C9297C"/>
    <w:rsid w:val="00C92FE0"/>
    <w:rsid w:val="00C9361E"/>
    <w:rsid w:val="00C961E8"/>
    <w:rsid w:val="00C967A3"/>
    <w:rsid w:val="00C96AB8"/>
    <w:rsid w:val="00CA00C0"/>
    <w:rsid w:val="00CA190D"/>
    <w:rsid w:val="00CA1C79"/>
    <w:rsid w:val="00CA30DB"/>
    <w:rsid w:val="00CA3159"/>
    <w:rsid w:val="00CA491B"/>
    <w:rsid w:val="00CA6D58"/>
    <w:rsid w:val="00CA6FDA"/>
    <w:rsid w:val="00CA7073"/>
    <w:rsid w:val="00CA764C"/>
    <w:rsid w:val="00CA7E48"/>
    <w:rsid w:val="00CB3B6F"/>
    <w:rsid w:val="00CB3D57"/>
    <w:rsid w:val="00CB427A"/>
    <w:rsid w:val="00CB4843"/>
    <w:rsid w:val="00CB72F4"/>
    <w:rsid w:val="00CC0C5F"/>
    <w:rsid w:val="00CC156B"/>
    <w:rsid w:val="00CC1C06"/>
    <w:rsid w:val="00CC24B0"/>
    <w:rsid w:val="00CC2788"/>
    <w:rsid w:val="00CC29A7"/>
    <w:rsid w:val="00CC2F3D"/>
    <w:rsid w:val="00CC5FF3"/>
    <w:rsid w:val="00CC7586"/>
    <w:rsid w:val="00CD3D8E"/>
    <w:rsid w:val="00CD4C2B"/>
    <w:rsid w:val="00CD559A"/>
    <w:rsid w:val="00CD6714"/>
    <w:rsid w:val="00CD7015"/>
    <w:rsid w:val="00CD7024"/>
    <w:rsid w:val="00CD7178"/>
    <w:rsid w:val="00CE00F0"/>
    <w:rsid w:val="00CE13CE"/>
    <w:rsid w:val="00CE16FE"/>
    <w:rsid w:val="00CE2ADF"/>
    <w:rsid w:val="00CE33FC"/>
    <w:rsid w:val="00CE3EB5"/>
    <w:rsid w:val="00CE410A"/>
    <w:rsid w:val="00CE4B84"/>
    <w:rsid w:val="00CE68C7"/>
    <w:rsid w:val="00CE74B0"/>
    <w:rsid w:val="00CE74DF"/>
    <w:rsid w:val="00CF00DE"/>
    <w:rsid w:val="00CF0213"/>
    <w:rsid w:val="00CF052D"/>
    <w:rsid w:val="00CF0623"/>
    <w:rsid w:val="00CF181D"/>
    <w:rsid w:val="00CF1D7D"/>
    <w:rsid w:val="00CF3998"/>
    <w:rsid w:val="00CF4273"/>
    <w:rsid w:val="00CF45D3"/>
    <w:rsid w:val="00CF4D04"/>
    <w:rsid w:val="00CF4E1C"/>
    <w:rsid w:val="00CF52BD"/>
    <w:rsid w:val="00CF6B6C"/>
    <w:rsid w:val="00CF7B6B"/>
    <w:rsid w:val="00D0069F"/>
    <w:rsid w:val="00D00804"/>
    <w:rsid w:val="00D01094"/>
    <w:rsid w:val="00D01EA5"/>
    <w:rsid w:val="00D02978"/>
    <w:rsid w:val="00D031F5"/>
    <w:rsid w:val="00D03A57"/>
    <w:rsid w:val="00D03F5E"/>
    <w:rsid w:val="00D042BB"/>
    <w:rsid w:val="00D06195"/>
    <w:rsid w:val="00D06321"/>
    <w:rsid w:val="00D0642F"/>
    <w:rsid w:val="00D06CA0"/>
    <w:rsid w:val="00D06DB7"/>
    <w:rsid w:val="00D07E06"/>
    <w:rsid w:val="00D108E6"/>
    <w:rsid w:val="00D11ED7"/>
    <w:rsid w:val="00D123AA"/>
    <w:rsid w:val="00D12F56"/>
    <w:rsid w:val="00D1312A"/>
    <w:rsid w:val="00D13159"/>
    <w:rsid w:val="00D13814"/>
    <w:rsid w:val="00D1412C"/>
    <w:rsid w:val="00D14390"/>
    <w:rsid w:val="00D14BA9"/>
    <w:rsid w:val="00D1517B"/>
    <w:rsid w:val="00D17789"/>
    <w:rsid w:val="00D21565"/>
    <w:rsid w:val="00D228B8"/>
    <w:rsid w:val="00D2737E"/>
    <w:rsid w:val="00D274A9"/>
    <w:rsid w:val="00D27F98"/>
    <w:rsid w:val="00D30750"/>
    <w:rsid w:val="00D32644"/>
    <w:rsid w:val="00D32E70"/>
    <w:rsid w:val="00D3357A"/>
    <w:rsid w:val="00D33619"/>
    <w:rsid w:val="00D3586F"/>
    <w:rsid w:val="00D40C02"/>
    <w:rsid w:val="00D427A6"/>
    <w:rsid w:val="00D42AFE"/>
    <w:rsid w:val="00D45390"/>
    <w:rsid w:val="00D46323"/>
    <w:rsid w:val="00D47571"/>
    <w:rsid w:val="00D475A2"/>
    <w:rsid w:val="00D5015D"/>
    <w:rsid w:val="00D52355"/>
    <w:rsid w:val="00D52AC7"/>
    <w:rsid w:val="00D53360"/>
    <w:rsid w:val="00D54825"/>
    <w:rsid w:val="00D54CA9"/>
    <w:rsid w:val="00D5571D"/>
    <w:rsid w:val="00D55EA9"/>
    <w:rsid w:val="00D563D9"/>
    <w:rsid w:val="00D6188C"/>
    <w:rsid w:val="00D61959"/>
    <w:rsid w:val="00D62168"/>
    <w:rsid w:val="00D6340F"/>
    <w:rsid w:val="00D63705"/>
    <w:rsid w:val="00D64BDF"/>
    <w:rsid w:val="00D6781D"/>
    <w:rsid w:val="00D67D98"/>
    <w:rsid w:val="00D72D16"/>
    <w:rsid w:val="00D7412C"/>
    <w:rsid w:val="00D74B01"/>
    <w:rsid w:val="00D74E8F"/>
    <w:rsid w:val="00D75521"/>
    <w:rsid w:val="00D75839"/>
    <w:rsid w:val="00D75E6E"/>
    <w:rsid w:val="00D76314"/>
    <w:rsid w:val="00D77E6B"/>
    <w:rsid w:val="00D8032A"/>
    <w:rsid w:val="00D8195B"/>
    <w:rsid w:val="00D83503"/>
    <w:rsid w:val="00D84724"/>
    <w:rsid w:val="00D8554E"/>
    <w:rsid w:val="00D8619F"/>
    <w:rsid w:val="00D86764"/>
    <w:rsid w:val="00D91271"/>
    <w:rsid w:val="00D91F4E"/>
    <w:rsid w:val="00D93AF6"/>
    <w:rsid w:val="00D93F28"/>
    <w:rsid w:val="00D955A3"/>
    <w:rsid w:val="00D95998"/>
    <w:rsid w:val="00D95C7F"/>
    <w:rsid w:val="00D969C9"/>
    <w:rsid w:val="00DA0DAE"/>
    <w:rsid w:val="00DA1A98"/>
    <w:rsid w:val="00DA2E2B"/>
    <w:rsid w:val="00DA33A3"/>
    <w:rsid w:val="00DA3DE4"/>
    <w:rsid w:val="00DA69DE"/>
    <w:rsid w:val="00DB1083"/>
    <w:rsid w:val="00DB1F2D"/>
    <w:rsid w:val="00DB322C"/>
    <w:rsid w:val="00DB5C0A"/>
    <w:rsid w:val="00DB6DAF"/>
    <w:rsid w:val="00DB7500"/>
    <w:rsid w:val="00DC0AF1"/>
    <w:rsid w:val="00DC1B90"/>
    <w:rsid w:val="00DC20B8"/>
    <w:rsid w:val="00DC2393"/>
    <w:rsid w:val="00DC2414"/>
    <w:rsid w:val="00DC588B"/>
    <w:rsid w:val="00DC64BF"/>
    <w:rsid w:val="00DC7AD2"/>
    <w:rsid w:val="00DD13E2"/>
    <w:rsid w:val="00DD2FA4"/>
    <w:rsid w:val="00DD3539"/>
    <w:rsid w:val="00DD6CBE"/>
    <w:rsid w:val="00DD74C3"/>
    <w:rsid w:val="00DD7977"/>
    <w:rsid w:val="00DE0119"/>
    <w:rsid w:val="00DE07ED"/>
    <w:rsid w:val="00DE34FF"/>
    <w:rsid w:val="00DE3CE4"/>
    <w:rsid w:val="00DF003C"/>
    <w:rsid w:val="00DF00D4"/>
    <w:rsid w:val="00DF1724"/>
    <w:rsid w:val="00DF270F"/>
    <w:rsid w:val="00DF34F5"/>
    <w:rsid w:val="00DF3BEE"/>
    <w:rsid w:val="00DF3F6B"/>
    <w:rsid w:val="00DF4501"/>
    <w:rsid w:val="00DF6F34"/>
    <w:rsid w:val="00DF7233"/>
    <w:rsid w:val="00DF7781"/>
    <w:rsid w:val="00DF78AE"/>
    <w:rsid w:val="00E033F2"/>
    <w:rsid w:val="00E0462A"/>
    <w:rsid w:val="00E04A8B"/>
    <w:rsid w:val="00E04DB7"/>
    <w:rsid w:val="00E04F5E"/>
    <w:rsid w:val="00E05416"/>
    <w:rsid w:val="00E06616"/>
    <w:rsid w:val="00E07CC2"/>
    <w:rsid w:val="00E10D00"/>
    <w:rsid w:val="00E11E2E"/>
    <w:rsid w:val="00E1234E"/>
    <w:rsid w:val="00E125A7"/>
    <w:rsid w:val="00E125CA"/>
    <w:rsid w:val="00E129EF"/>
    <w:rsid w:val="00E134EE"/>
    <w:rsid w:val="00E14B17"/>
    <w:rsid w:val="00E14EAE"/>
    <w:rsid w:val="00E16394"/>
    <w:rsid w:val="00E20027"/>
    <w:rsid w:val="00E2053B"/>
    <w:rsid w:val="00E22571"/>
    <w:rsid w:val="00E23473"/>
    <w:rsid w:val="00E238A2"/>
    <w:rsid w:val="00E25156"/>
    <w:rsid w:val="00E25242"/>
    <w:rsid w:val="00E25AAC"/>
    <w:rsid w:val="00E2730D"/>
    <w:rsid w:val="00E27526"/>
    <w:rsid w:val="00E279B9"/>
    <w:rsid w:val="00E301D0"/>
    <w:rsid w:val="00E30CA9"/>
    <w:rsid w:val="00E31B09"/>
    <w:rsid w:val="00E31D0F"/>
    <w:rsid w:val="00E33AAA"/>
    <w:rsid w:val="00E33CB8"/>
    <w:rsid w:val="00E33F0E"/>
    <w:rsid w:val="00E35ABC"/>
    <w:rsid w:val="00E3619E"/>
    <w:rsid w:val="00E368E3"/>
    <w:rsid w:val="00E36C8F"/>
    <w:rsid w:val="00E371EC"/>
    <w:rsid w:val="00E379D8"/>
    <w:rsid w:val="00E37EB7"/>
    <w:rsid w:val="00E40095"/>
    <w:rsid w:val="00E404C5"/>
    <w:rsid w:val="00E40A10"/>
    <w:rsid w:val="00E41CCA"/>
    <w:rsid w:val="00E41E3F"/>
    <w:rsid w:val="00E4238A"/>
    <w:rsid w:val="00E42DA5"/>
    <w:rsid w:val="00E45BCC"/>
    <w:rsid w:val="00E4736B"/>
    <w:rsid w:val="00E47558"/>
    <w:rsid w:val="00E51EF9"/>
    <w:rsid w:val="00E52087"/>
    <w:rsid w:val="00E52965"/>
    <w:rsid w:val="00E53400"/>
    <w:rsid w:val="00E538D1"/>
    <w:rsid w:val="00E54816"/>
    <w:rsid w:val="00E5512E"/>
    <w:rsid w:val="00E55E60"/>
    <w:rsid w:val="00E56594"/>
    <w:rsid w:val="00E5750F"/>
    <w:rsid w:val="00E578DF"/>
    <w:rsid w:val="00E57D18"/>
    <w:rsid w:val="00E605C2"/>
    <w:rsid w:val="00E60761"/>
    <w:rsid w:val="00E6129C"/>
    <w:rsid w:val="00E62B95"/>
    <w:rsid w:val="00E644A0"/>
    <w:rsid w:val="00E652A0"/>
    <w:rsid w:val="00E662D7"/>
    <w:rsid w:val="00E663AF"/>
    <w:rsid w:val="00E667D2"/>
    <w:rsid w:val="00E67395"/>
    <w:rsid w:val="00E67549"/>
    <w:rsid w:val="00E67670"/>
    <w:rsid w:val="00E71CF3"/>
    <w:rsid w:val="00E71FCE"/>
    <w:rsid w:val="00E7206B"/>
    <w:rsid w:val="00E7226F"/>
    <w:rsid w:val="00E72707"/>
    <w:rsid w:val="00E72AE3"/>
    <w:rsid w:val="00E7349C"/>
    <w:rsid w:val="00E73B51"/>
    <w:rsid w:val="00E75790"/>
    <w:rsid w:val="00E80180"/>
    <w:rsid w:val="00E8129E"/>
    <w:rsid w:val="00E814CD"/>
    <w:rsid w:val="00E81A2B"/>
    <w:rsid w:val="00E81C84"/>
    <w:rsid w:val="00E81DE2"/>
    <w:rsid w:val="00E81E42"/>
    <w:rsid w:val="00E82187"/>
    <w:rsid w:val="00E83023"/>
    <w:rsid w:val="00E848DB"/>
    <w:rsid w:val="00E86140"/>
    <w:rsid w:val="00E86936"/>
    <w:rsid w:val="00E86D59"/>
    <w:rsid w:val="00E87407"/>
    <w:rsid w:val="00E91243"/>
    <w:rsid w:val="00E9258F"/>
    <w:rsid w:val="00E93E68"/>
    <w:rsid w:val="00E944BC"/>
    <w:rsid w:val="00E958D7"/>
    <w:rsid w:val="00E96F5D"/>
    <w:rsid w:val="00E97312"/>
    <w:rsid w:val="00E97676"/>
    <w:rsid w:val="00EA1049"/>
    <w:rsid w:val="00EA1CE1"/>
    <w:rsid w:val="00EA1F89"/>
    <w:rsid w:val="00EA44B5"/>
    <w:rsid w:val="00EA5439"/>
    <w:rsid w:val="00EA72C0"/>
    <w:rsid w:val="00EA7963"/>
    <w:rsid w:val="00EA7A5C"/>
    <w:rsid w:val="00EB008E"/>
    <w:rsid w:val="00EB08A0"/>
    <w:rsid w:val="00EB117B"/>
    <w:rsid w:val="00EB2E85"/>
    <w:rsid w:val="00EB4095"/>
    <w:rsid w:val="00EB40D6"/>
    <w:rsid w:val="00EB49F7"/>
    <w:rsid w:val="00EB5F75"/>
    <w:rsid w:val="00EB685E"/>
    <w:rsid w:val="00EB7852"/>
    <w:rsid w:val="00EB79CD"/>
    <w:rsid w:val="00EC060D"/>
    <w:rsid w:val="00EC2174"/>
    <w:rsid w:val="00EC2525"/>
    <w:rsid w:val="00EC3E9E"/>
    <w:rsid w:val="00EC49A4"/>
    <w:rsid w:val="00ED4BC1"/>
    <w:rsid w:val="00ED50C1"/>
    <w:rsid w:val="00ED56D8"/>
    <w:rsid w:val="00ED5DF8"/>
    <w:rsid w:val="00ED6A44"/>
    <w:rsid w:val="00EE066D"/>
    <w:rsid w:val="00EE0713"/>
    <w:rsid w:val="00EE07A6"/>
    <w:rsid w:val="00EE0F2E"/>
    <w:rsid w:val="00EE2A41"/>
    <w:rsid w:val="00EE3337"/>
    <w:rsid w:val="00EE4C6B"/>
    <w:rsid w:val="00EE4E10"/>
    <w:rsid w:val="00EE520C"/>
    <w:rsid w:val="00EE525B"/>
    <w:rsid w:val="00EE633C"/>
    <w:rsid w:val="00EE7CB5"/>
    <w:rsid w:val="00EF09FB"/>
    <w:rsid w:val="00EF0CFD"/>
    <w:rsid w:val="00EF0DE2"/>
    <w:rsid w:val="00EF28A1"/>
    <w:rsid w:val="00EF4DFA"/>
    <w:rsid w:val="00EF4E6C"/>
    <w:rsid w:val="00EF5D1D"/>
    <w:rsid w:val="00EF5F08"/>
    <w:rsid w:val="00EF6A92"/>
    <w:rsid w:val="00F00ACE"/>
    <w:rsid w:val="00F02923"/>
    <w:rsid w:val="00F0304F"/>
    <w:rsid w:val="00F0351B"/>
    <w:rsid w:val="00F04089"/>
    <w:rsid w:val="00F05B66"/>
    <w:rsid w:val="00F06275"/>
    <w:rsid w:val="00F06472"/>
    <w:rsid w:val="00F068E1"/>
    <w:rsid w:val="00F06D25"/>
    <w:rsid w:val="00F07362"/>
    <w:rsid w:val="00F1169F"/>
    <w:rsid w:val="00F123EC"/>
    <w:rsid w:val="00F124F0"/>
    <w:rsid w:val="00F15FB1"/>
    <w:rsid w:val="00F16331"/>
    <w:rsid w:val="00F20356"/>
    <w:rsid w:val="00F20D04"/>
    <w:rsid w:val="00F22566"/>
    <w:rsid w:val="00F22963"/>
    <w:rsid w:val="00F2436E"/>
    <w:rsid w:val="00F25862"/>
    <w:rsid w:val="00F310D2"/>
    <w:rsid w:val="00F31705"/>
    <w:rsid w:val="00F31A1A"/>
    <w:rsid w:val="00F347AF"/>
    <w:rsid w:val="00F35C78"/>
    <w:rsid w:val="00F35EB1"/>
    <w:rsid w:val="00F36FD9"/>
    <w:rsid w:val="00F37770"/>
    <w:rsid w:val="00F378B2"/>
    <w:rsid w:val="00F403EA"/>
    <w:rsid w:val="00F40B51"/>
    <w:rsid w:val="00F40E4D"/>
    <w:rsid w:val="00F40FD8"/>
    <w:rsid w:val="00F417E1"/>
    <w:rsid w:val="00F42499"/>
    <w:rsid w:val="00F42753"/>
    <w:rsid w:val="00F42B2A"/>
    <w:rsid w:val="00F46CE7"/>
    <w:rsid w:val="00F510DB"/>
    <w:rsid w:val="00F5260F"/>
    <w:rsid w:val="00F546CD"/>
    <w:rsid w:val="00F5595C"/>
    <w:rsid w:val="00F5694B"/>
    <w:rsid w:val="00F604E0"/>
    <w:rsid w:val="00F6442C"/>
    <w:rsid w:val="00F64A83"/>
    <w:rsid w:val="00F64E3D"/>
    <w:rsid w:val="00F6501E"/>
    <w:rsid w:val="00F66D27"/>
    <w:rsid w:val="00F70615"/>
    <w:rsid w:val="00F716FA"/>
    <w:rsid w:val="00F71969"/>
    <w:rsid w:val="00F72722"/>
    <w:rsid w:val="00F727B0"/>
    <w:rsid w:val="00F72E08"/>
    <w:rsid w:val="00F7575C"/>
    <w:rsid w:val="00F7598B"/>
    <w:rsid w:val="00F761B1"/>
    <w:rsid w:val="00F76CC5"/>
    <w:rsid w:val="00F803A3"/>
    <w:rsid w:val="00F81BD5"/>
    <w:rsid w:val="00F82098"/>
    <w:rsid w:val="00F83C01"/>
    <w:rsid w:val="00F85EFE"/>
    <w:rsid w:val="00F87ADD"/>
    <w:rsid w:val="00F87D1E"/>
    <w:rsid w:val="00F907A0"/>
    <w:rsid w:val="00F914FD"/>
    <w:rsid w:val="00F9164E"/>
    <w:rsid w:val="00F93D86"/>
    <w:rsid w:val="00F952BF"/>
    <w:rsid w:val="00F95515"/>
    <w:rsid w:val="00F974AA"/>
    <w:rsid w:val="00FA103A"/>
    <w:rsid w:val="00FA2545"/>
    <w:rsid w:val="00FA2729"/>
    <w:rsid w:val="00FA4C7E"/>
    <w:rsid w:val="00FA4DD0"/>
    <w:rsid w:val="00FA7CFC"/>
    <w:rsid w:val="00FB03BA"/>
    <w:rsid w:val="00FB097C"/>
    <w:rsid w:val="00FB21C2"/>
    <w:rsid w:val="00FB39ED"/>
    <w:rsid w:val="00FB3DE5"/>
    <w:rsid w:val="00FB4AAD"/>
    <w:rsid w:val="00FB4E3D"/>
    <w:rsid w:val="00FB55F3"/>
    <w:rsid w:val="00FB5A22"/>
    <w:rsid w:val="00FB5F2A"/>
    <w:rsid w:val="00FB62A3"/>
    <w:rsid w:val="00FB6639"/>
    <w:rsid w:val="00FB7353"/>
    <w:rsid w:val="00FC1407"/>
    <w:rsid w:val="00FC22E1"/>
    <w:rsid w:val="00FC2C8C"/>
    <w:rsid w:val="00FC2D20"/>
    <w:rsid w:val="00FC4F9B"/>
    <w:rsid w:val="00FC5068"/>
    <w:rsid w:val="00FC59F0"/>
    <w:rsid w:val="00FC5F82"/>
    <w:rsid w:val="00FC683A"/>
    <w:rsid w:val="00FD01CA"/>
    <w:rsid w:val="00FD21A8"/>
    <w:rsid w:val="00FD4599"/>
    <w:rsid w:val="00FD4784"/>
    <w:rsid w:val="00FD4FE7"/>
    <w:rsid w:val="00FD65FE"/>
    <w:rsid w:val="00FD6B22"/>
    <w:rsid w:val="00FD725C"/>
    <w:rsid w:val="00FE0FAF"/>
    <w:rsid w:val="00FE35B1"/>
    <w:rsid w:val="00FE3C36"/>
    <w:rsid w:val="00FE427F"/>
    <w:rsid w:val="00FE45DB"/>
    <w:rsid w:val="00FE5740"/>
    <w:rsid w:val="00FE5966"/>
    <w:rsid w:val="00FE72EA"/>
    <w:rsid w:val="00FF0402"/>
    <w:rsid w:val="00FF2475"/>
    <w:rsid w:val="00FF3477"/>
    <w:rsid w:val="00FF4548"/>
    <w:rsid w:val="00FF4772"/>
    <w:rsid w:val="00FF6121"/>
    <w:rsid w:val="00FF6A70"/>
    <w:rsid w:val="00FF6DDE"/>
    <w:rsid w:val="00FF6E24"/>
    <w:rsid w:val="00FF70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65F6C781"/>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basedOn w:val="Normal"/>
    <w:link w:val="Ttulo1Car"/>
    <w:uiPriority w:val="9"/>
    <w:qFormat/>
    <w:rsid w:val="00431178"/>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Ttulo2">
    <w:name w:val="heading 2"/>
    <w:basedOn w:val="Normal"/>
    <w:next w:val="Normal"/>
    <w:link w:val="Ttulo2Car"/>
    <w:uiPriority w:val="9"/>
    <w:unhideWhenUsed/>
    <w:qFormat/>
    <w:rsid w:val="008B74DC"/>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unhideWhenUsed/>
    <w:qFormat/>
    <w:rsid w:val="008B74DC"/>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nhideWhenUsed/>
    <w:qFormat/>
    <w:rsid w:val="008B74DC"/>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Ttulo5">
    <w:name w:val="heading 5"/>
    <w:basedOn w:val="Normal"/>
    <w:next w:val="Normal"/>
    <w:link w:val="Ttulo5Car"/>
    <w:unhideWhenUsed/>
    <w:qFormat/>
    <w:rsid w:val="008B74DC"/>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8B74DC"/>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8B74DC"/>
    <w:pPr>
      <w:tabs>
        <w:tab w:val="num" w:pos="5040"/>
      </w:tabs>
      <w:spacing w:before="240" w:after="60" w:line="240" w:lineRule="auto"/>
      <w:ind w:left="5040" w:hanging="720"/>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8B74DC"/>
    <w:pPr>
      <w:tabs>
        <w:tab w:val="num" w:pos="5760"/>
      </w:tabs>
      <w:spacing w:before="240" w:after="60" w:line="240" w:lineRule="auto"/>
      <w:ind w:left="5760" w:hanging="720"/>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8B74DC"/>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j">
    <w:name w:val="j"/>
    <w:basedOn w:val="Normal"/>
    <w:rsid w:val="00400A2B"/>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customStyle="1" w:styleId="infoem">
    <w:name w:val="infoem"/>
    <w:basedOn w:val="Normal"/>
    <w:qFormat/>
    <w:rsid w:val="003746F5"/>
    <w:pPr>
      <w:spacing w:before="240" w:line="360" w:lineRule="auto"/>
      <w:ind w:left="851" w:right="851"/>
      <w:jc w:val="both"/>
    </w:pPr>
    <w:rPr>
      <w:rFonts w:ascii="Palatino Linotype" w:eastAsia="Times New Roman" w:hAnsi="Palatino Linotype" w:cs="Times New Roman"/>
      <w:i/>
      <w:szCs w:val="24"/>
      <w:lang w:val="es-ES_tradnl" w:eastAsia="es-ES"/>
    </w:rPr>
  </w:style>
  <w:style w:type="character" w:customStyle="1" w:styleId="Ttulo1Car">
    <w:name w:val="Título 1 Car"/>
    <w:basedOn w:val="Fuentedeprrafopredeter"/>
    <w:link w:val="Ttulo1"/>
    <w:uiPriority w:val="9"/>
    <w:rsid w:val="00431178"/>
    <w:rPr>
      <w:rFonts w:ascii="Times New Roman" w:eastAsia="Times New Roman" w:hAnsi="Times New Roman" w:cs="Times New Roman"/>
      <w:b/>
      <w:bCs/>
      <w:kern w:val="36"/>
      <w:sz w:val="48"/>
      <w:szCs w:val="48"/>
      <w:lang w:val="en-US"/>
    </w:rPr>
  </w:style>
  <w:style w:type="paragraph" w:customStyle="1" w:styleId="Citas">
    <w:name w:val="Citas"/>
    <w:basedOn w:val="Normal"/>
    <w:qFormat/>
    <w:rsid w:val="00DB322C"/>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603C36"/>
    <w:rPr>
      <w:color w:val="605E5C"/>
      <w:shd w:val="clear" w:color="auto" w:fill="E1DFDD"/>
    </w:rPr>
  </w:style>
  <w:style w:type="character" w:customStyle="1" w:styleId="markedcontent">
    <w:name w:val="markedcontent"/>
    <w:basedOn w:val="Fuentedeprrafopredeter"/>
    <w:rsid w:val="00B90F23"/>
  </w:style>
  <w:style w:type="paragraph" w:customStyle="1" w:styleId="INFOEM0">
    <w:name w:val="INFOEM"/>
    <w:basedOn w:val="Normal"/>
    <w:qFormat/>
    <w:rsid w:val="00EB4095"/>
    <w:pPr>
      <w:spacing w:before="240" w:line="360" w:lineRule="auto"/>
      <w:ind w:left="851" w:right="851"/>
      <w:jc w:val="both"/>
    </w:pPr>
    <w:rPr>
      <w:rFonts w:ascii="Palatino Linotype" w:hAnsi="Palatino Linotype"/>
      <w:i/>
      <w:szCs w:val="14"/>
    </w:rPr>
  </w:style>
  <w:style w:type="character" w:customStyle="1" w:styleId="Ttulo2Car">
    <w:name w:val="Título 2 Car"/>
    <w:basedOn w:val="Fuentedeprrafopredeter"/>
    <w:link w:val="Ttulo2"/>
    <w:uiPriority w:val="9"/>
    <w:rsid w:val="008B74D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8B74D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rsid w:val="008B74DC"/>
    <w:rPr>
      <w:rFonts w:eastAsiaTheme="minorEastAsia"/>
      <w:b/>
      <w:bCs/>
      <w:sz w:val="28"/>
      <w:szCs w:val="28"/>
      <w:lang w:val="en-US"/>
    </w:rPr>
  </w:style>
  <w:style w:type="character" w:customStyle="1" w:styleId="Ttulo5Car">
    <w:name w:val="Título 5 Car"/>
    <w:basedOn w:val="Fuentedeprrafopredeter"/>
    <w:link w:val="Ttulo5"/>
    <w:rsid w:val="008B74DC"/>
    <w:rPr>
      <w:rFonts w:eastAsiaTheme="minorEastAsia"/>
      <w:b/>
      <w:bCs/>
      <w:i/>
      <w:iCs/>
      <w:sz w:val="26"/>
      <w:szCs w:val="26"/>
      <w:lang w:val="en-US"/>
    </w:rPr>
  </w:style>
  <w:style w:type="character" w:customStyle="1" w:styleId="Ttulo6Car">
    <w:name w:val="Título 6 Car"/>
    <w:basedOn w:val="Fuentedeprrafopredeter"/>
    <w:link w:val="Ttulo6"/>
    <w:rsid w:val="008B74D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8B74DC"/>
    <w:rPr>
      <w:rFonts w:eastAsiaTheme="minorEastAsia"/>
      <w:sz w:val="24"/>
      <w:szCs w:val="24"/>
      <w:lang w:val="en-US"/>
    </w:rPr>
  </w:style>
  <w:style w:type="character" w:customStyle="1" w:styleId="Ttulo8Car">
    <w:name w:val="Título 8 Car"/>
    <w:basedOn w:val="Fuentedeprrafopredeter"/>
    <w:link w:val="Ttulo8"/>
    <w:uiPriority w:val="9"/>
    <w:semiHidden/>
    <w:rsid w:val="008B74DC"/>
    <w:rPr>
      <w:rFonts w:eastAsiaTheme="minorEastAsia"/>
      <w:i/>
      <w:iCs/>
      <w:sz w:val="24"/>
      <w:szCs w:val="24"/>
      <w:lang w:val="en-US"/>
    </w:rPr>
  </w:style>
  <w:style w:type="character" w:customStyle="1" w:styleId="Ttulo9Car">
    <w:name w:val="Título 9 Car"/>
    <w:basedOn w:val="Fuentedeprrafopredeter"/>
    <w:link w:val="Ttulo9"/>
    <w:uiPriority w:val="9"/>
    <w:semiHidden/>
    <w:rsid w:val="008B74DC"/>
    <w:rPr>
      <w:rFonts w:asciiTheme="majorHAnsi" w:eastAsiaTheme="majorEastAsia" w:hAnsiTheme="majorHAnsi" w:cstheme="majorBidi"/>
      <w:lang w:val="en-US"/>
    </w:rPr>
  </w:style>
  <w:style w:type="paragraph" w:customStyle="1" w:styleId="infoemcitas">
    <w:name w:val="infoem citas"/>
    <w:basedOn w:val="Normal"/>
    <w:qFormat/>
    <w:rsid w:val="008B74DC"/>
    <w:pPr>
      <w:spacing w:before="240" w:line="360" w:lineRule="auto"/>
      <w:ind w:left="851" w:right="851"/>
      <w:jc w:val="both"/>
    </w:pPr>
    <w:rPr>
      <w:rFonts w:ascii="Palatino Linotype" w:hAnsi="Palatino Linotype"/>
      <w:i/>
    </w:rPr>
  </w:style>
  <w:style w:type="character" w:customStyle="1" w:styleId="Mencinsinresolver2">
    <w:name w:val="Mención sin resolver2"/>
    <w:basedOn w:val="Fuentedeprrafopredeter"/>
    <w:uiPriority w:val="99"/>
    <w:semiHidden/>
    <w:unhideWhenUsed/>
    <w:rsid w:val="008B74DC"/>
    <w:rPr>
      <w:color w:val="605E5C"/>
      <w:shd w:val="clear" w:color="auto" w:fill="E1DFDD"/>
    </w:rPr>
  </w:style>
  <w:style w:type="paragraph" w:styleId="Textoindependiente">
    <w:name w:val="Body Text"/>
    <w:basedOn w:val="Normal"/>
    <w:link w:val="TextoindependienteCar"/>
    <w:uiPriority w:val="99"/>
    <w:qFormat/>
    <w:rsid w:val="008B74DC"/>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99"/>
    <w:rsid w:val="008B74DC"/>
    <w:rPr>
      <w:rFonts w:ascii="Arial" w:eastAsia="Arial" w:hAnsi="Arial" w:cs="Arial"/>
      <w:sz w:val="24"/>
      <w:szCs w:val="24"/>
      <w:lang w:val="es-ES" w:eastAsia="es-ES" w:bidi="es-ES"/>
    </w:rPr>
  </w:style>
  <w:style w:type="paragraph" w:styleId="NormalWeb">
    <w:name w:val="Normal (Web)"/>
    <w:basedOn w:val="Normal"/>
    <w:uiPriority w:val="99"/>
    <w:rsid w:val="008B74D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8B74DC"/>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8B74DC"/>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link w:val="Listavistosa-nfasis1Car"/>
    <w:uiPriority w:val="34"/>
    <w:qFormat/>
    <w:rsid w:val="008B74DC"/>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8B74DC"/>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B74DC"/>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8B74DC"/>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8B74DC"/>
    <w:rPr>
      <w:rFonts w:ascii="Courier New" w:eastAsia="Times New Roman" w:hAnsi="Courier New" w:cs="Times New Roman"/>
      <w:sz w:val="20"/>
      <w:szCs w:val="20"/>
      <w:lang w:eastAsia="es-ES"/>
    </w:rPr>
  </w:style>
  <w:style w:type="paragraph" w:customStyle="1" w:styleId="Standard">
    <w:name w:val="Standard"/>
    <w:rsid w:val="008B74DC"/>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B74DC"/>
    <w:rPr>
      <w:rFonts w:ascii="Arial" w:hAnsi="Arial" w:cs="Arial" w:hint="default"/>
      <w:b/>
      <w:bCs/>
      <w:sz w:val="18"/>
      <w:szCs w:val="18"/>
    </w:rPr>
  </w:style>
  <w:style w:type="paragraph" w:customStyle="1" w:styleId="Pa2">
    <w:name w:val="Pa2"/>
    <w:basedOn w:val="Normal"/>
    <w:next w:val="Normal"/>
    <w:uiPriority w:val="99"/>
    <w:rsid w:val="008B74DC"/>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8B74DC"/>
  </w:style>
  <w:style w:type="character" w:customStyle="1" w:styleId="b">
    <w:name w:val="b"/>
    <w:basedOn w:val="Fuentedeprrafopredeter"/>
    <w:rsid w:val="008B74DC"/>
  </w:style>
  <w:style w:type="character" w:customStyle="1" w:styleId="k">
    <w:name w:val="k"/>
    <w:basedOn w:val="Fuentedeprrafopredeter"/>
    <w:rsid w:val="008B74DC"/>
  </w:style>
  <w:style w:type="character" w:customStyle="1" w:styleId="h">
    <w:name w:val="h"/>
    <w:basedOn w:val="Fuentedeprrafopredeter"/>
    <w:rsid w:val="008B74DC"/>
  </w:style>
  <w:style w:type="character" w:styleId="CitaHTML">
    <w:name w:val="HTML Cite"/>
    <w:uiPriority w:val="99"/>
    <w:semiHidden/>
    <w:unhideWhenUsed/>
    <w:rsid w:val="008B74DC"/>
    <w:rPr>
      <w:i/>
      <w:iCs/>
    </w:rPr>
  </w:style>
  <w:style w:type="paragraph" w:customStyle="1" w:styleId="RSCGnotaalpie">
    <w:name w:val="RSCG nota al pie"/>
    <w:basedOn w:val="Normal"/>
    <w:uiPriority w:val="99"/>
    <w:qFormat/>
    <w:rsid w:val="008B74DC"/>
    <w:pPr>
      <w:spacing w:after="120" w:line="240" w:lineRule="auto"/>
      <w:jc w:val="both"/>
    </w:pPr>
    <w:rPr>
      <w:rFonts w:ascii="palatino" w:eastAsia="Times New Roman" w:hAnsi="palatino"/>
    </w:rPr>
  </w:style>
  <w:style w:type="character" w:customStyle="1" w:styleId="lbl-encabezado-blanco2">
    <w:name w:val="lbl-encabezado-blanco2"/>
    <w:rsid w:val="008B74DC"/>
    <w:rPr>
      <w:color w:val="FFFFFF"/>
    </w:rPr>
  </w:style>
  <w:style w:type="character" w:customStyle="1" w:styleId="TextoCar">
    <w:name w:val="Texto Car"/>
    <w:link w:val="Texto"/>
    <w:locked/>
    <w:rsid w:val="008B74DC"/>
    <w:rPr>
      <w:rFonts w:ascii="Arial" w:eastAsia="Times New Roman" w:hAnsi="Arial" w:cs="Arial"/>
      <w:sz w:val="18"/>
      <w:szCs w:val="18"/>
      <w:lang w:eastAsia="es-ES"/>
    </w:rPr>
  </w:style>
  <w:style w:type="paragraph" w:customStyle="1" w:styleId="ANOTACION">
    <w:name w:val="ANOTACION"/>
    <w:basedOn w:val="Normal"/>
    <w:link w:val="ANOTACIONCar"/>
    <w:rsid w:val="008B74DC"/>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ANOTACIONCar">
    <w:name w:val="ANOTACION Car"/>
    <w:link w:val="ANOTACION"/>
    <w:locked/>
    <w:rsid w:val="008B74DC"/>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8B74DC"/>
    <w:rPr>
      <w:i/>
      <w:iCs/>
    </w:rPr>
  </w:style>
  <w:style w:type="paragraph" w:styleId="Bibliografa">
    <w:name w:val="Bibliography"/>
    <w:basedOn w:val="Normal"/>
    <w:next w:val="Normal"/>
    <w:uiPriority w:val="37"/>
    <w:semiHidden/>
    <w:unhideWhenUsed/>
    <w:rsid w:val="008B74DC"/>
    <w:pPr>
      <w:spacing w:after="0" w:line="240" w:lineRule="auto"/>
    </w:pPr>
    <w:rPr>
      <w:rFonts w:ascii="Times New Roman" w:eastAsia="Times New Roman" w:hAnsi="Times New Roman" w:cs="Times New Roman"/>
      <w:sz w:val="24"/>
      <w:szCs w:val="24"/>
      <w:lang w:eastAsia="es-ES"/>
    </w:rPr>
  </w:style>
  <w:style w:type="paragraph" w:customStyle="1" w:styleId="ROMANOS">
    <w:name w:val="ROMANOS"/>
    <w:basedOn w:val="Normal"/>
    <w:link w:val="ROMANOSCar"/>
    <w:rsid w:val="008B74DC"/>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8B74DC"/>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B74DC"/>
  </w:style>
  <w:style w:type="character" w:customStyle="1" w:styleId="Ninguno">
    <w:name w:val="Ninguno"/>
    <w:rsid w:val="008B74DC"/>
    <w:rPr>
      <w:lang w:val="es-ES_tradnl"/>
    </w:rPr>
  </w:style>
  <w:style w:type="paragraph" w:customStyle="1" w:styleId="Cuerpo">
    <w:name w:val="Cuerpo"/>
    <w:rsid w:val="008B74DC"/>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B74DC"/>
    <w:pPr>
      <w:numPr>
        <w:numId w:val="1"/>
      </w:numPr>
    </w:pPr>
  </w:style>
  <w:style w:type="numbering" w:customStyle="1" w:styleId="Estiloimportado1">
    <w:name w:val="Estilo importado 1"/>
    <w:qFormat/>
    <w:rsid w:val="008B74DC"/>
    <w:pPr>
      <w:numPr>
        <w:numId w:val="2"/>
      </w:numPr>
    </w:pPr>
  </w:style>
  <w:style w:type="character" w:customStyle="1" w:styleId="normaltextrun">
    <w:name w:val="normaltextrun"/>
    <w:basedOn w:val="Fuentedeprrafopredeter"/>
    <w:rsid w:val="008B74DC"/>
  </w:style>
  <w:style w:type="paragraph" w:customStyle="1" w:styleId="INCISO">
    <w:name w:val="INCISO"/>
    <w:basedOn w:val="Normal"/>
    <w:rsid w:val="008B74DC"/>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8B74DC"/>
  </w:style>
  <w:style w:type="paragraph" w:customStyle="1" w:styleId="m5212863947045306324gmail-msonormal">
    <w:name w:val="m_5212863947045306324gmail-msonormal"/>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8B74DC"/>
  </w:style>
  <w:style w:type="paragraph" w:styleId="Lista">
    <w:name w:val="List"/>
    <w:basedOn w:val="Normal"/>
    <w:uiPriority w:val="99"/>
    <w:unhideWhenUsed/>
    <w:rsid w:val="008B74DC"/>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8B74DC"/>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8B74DC"/>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8B74DC"/>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8B74DC"/>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8B74D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B74DC"/>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8B74DC"/>
  </w:style>
  <w:style w:type="character" w:customStyle="1" w:styleId="titulorubrolgt">
    <w:name w:val="titulorubrolgt"/>
    <w:basedOn w:val="Fuentedeprrafopredeter"/>
    <w:rsid w:val="008B74DC"/>
  </w:style>
  <w:style w:type="paragraph" w:customStyle="1" w:styleId="Text">
    <w:name w:val="Text"/>
    <w:basedOn w:val="Normal"/>
    <w:link w:val="TextChar"/>
    <w:rsid w:val="008B74DC"/>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8B74DC"/>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8B74DC"/>
    <w:pPr>
      <w:spacing w:after="0" w:line="360" w:lineRule="auto"/>
      <w:ind w:left="709" w:right="709"/>
      <w:jc w:val="both"/>
    </w:pPr>
    <w:rPr>
      <w:rFonts w:ascii="Arial" w:eastAsia="Times New Roman" w:hAnsi="Arial" w:cs="Arial"/>
      <w:b/>
      <w:bCs/>
      <w:i/>
      <w:iCs/>
      <w:sz w:val="30"/>
      <w:szCs w:val="30"/>
      <w:lang w:eastAsia="es-MX"/>
    </w:rPr>
  </w:style>
  <w:style w:type="paragraph" w:customStyle="1" w:styleId="FAFunotente1">
    <w:name w:val="FA Fu?notente1"/>
    <w:basedOn w:val="Normal"/>
    <w:next w:val="Textonotapie"/>
    <w:uiPriority w:val="99"/>
    <w:rsid w:val="008B74DC"/>
    <w:pPr>
      <w:spacing w:after="0" w:line="240" w:lineRule="auto"/>
    </w:pPr>
    <w:rPr>
      <w:rFonts w:eastAsia="Cambria"/>
      <w:sz w:val="20"/>
      <w:szCs w:val="20"/>
    </w:rPr>
  </w:style>
  <w:style w:type="paragraph" w:customStyle="1" w:styleId="paragraph">
    <w:name w:val="paragraph"/>
    <w:basedOn w:val="Normal"/>
    <w:rsid w:val="008B74DC"/>
    <w:pPr>
      <w:spacing w:before="100" w:beforeAutospacing="1" w:after="100" w:afterAutospacing="1" w:line="264" w:lineRule="auto"/>
    </w:pPr>
    <w:rPr>
      <w:rFonts w:eastAsiaTheme="minorEastAsia"/>
      <w:sz w:val="20"/>
      <w:szCs w:val="20"/>
      <w:lang w:eastAsia="es-MX"/>
    </w:rPr>
  </w:style>
  <w:style w:type="table" w:customStyle="1" w:styleId="Tablaconcuadrcula1">
    <w:name w:val="Tabla con cuadrícula1"/>
    <w:basedOn w:val="Tablanormal"/>
    <w:next w:val="Tablaconcuadrcula"/>
    <w:uiPriority w:val="59"/>
    <w:rsid w:val="008B74D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
    <w:name w:val="temp"/>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8B74DC"/>
  </w:style>
  <w:style w:type="paragraph" w:customStyle="1" w:styleId="ng-star-inserted">
    <w:name w:val="ng-star-inserted"/>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3">
    <w:name w:val="Mención sin resolver3"/>
    <w:basedOn w:val="Fuentedeprrafopredeter"/>
    <w:uiPriority w:val="99"/>
    <w:semiHidden/>
    <w:unhideWhenUsed/>
    <w:rsid w:val="008B74DC"/>
    <w:rPr>
      <w:color w:val="605E5C"/>
      <w:shd w:val="clear" w:color="auto" w:fill="E1DFDD"/>
    </w:rPr>
  </w:style>
  <w:style w:type="paragraph" w:styleId="Saludo">
    <w:name w:val="Salutation"/>
    <w:basedOn w:val="Normal"/>
    <w:next w:val="Normal"/>
    <w:link w:val="SaludoCar"/>
    <w:uiPriority w:val="99"/>
    <w:unhideWhenUsed/>
    <w:rsid w:val="008B74DC"/>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uiPriority w:val="99"/>
    <w:rsid w:val="008B74DC"/>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8B74DC"/>
  </w:style>
  <w:style w:type="character" w:customStyle="1" w:styleId="Mencinsinresolver4">
    <w:name w:val="Mención sin resolver4"/>
    <w:basedOn w:val="Fuentedeprrafopredeter"/>
    <w:uiPriority w:val="99"/>
    <w:semiHidden/>
    <w:unhideWhenUsed/>
    <w:rsid w:val="008B74DC"/>
    <w:rPr>
      <w:color w:val="605E5C"/>
      <w:shd w:val="clear" w:color="auto" w:fill="E1DFDD"/>
    </w:rPr>
  </w:style>
  <w:style w:type="paragraph" w:styleId="Revisin">
    <w:name w:val="Revision"/>
    <w:hidden/>
    <w:uiPriority w:val="99"/>
    <w:semiHidden/>
    <w:rsid w:val="008B74DC"/>
    <w:pPr>
      <w:spacing w:after="0" w:line="240" w:lineRule="auto"/>
    </w:pPr>
    <w:rPr>
      <w:rFonts w:ascii="Times New Roman" w:eastAsia="Times New Roman" w:hAnsi="Times New Roman" w:cs="Times New Roman"/>
      <w:sz w:val="24"/>
      <w:szCs w:val="24"/>
      <w:lang w:eastAsia="es-ES"/>
    </w:rPr>
  </w:style>
  <w:style w:type="table" w:customStyle="1" w:styleId="Tablaconcuadrcula3">
    <w:name w:val="Tabla con cuadrícula3"/>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Ttulo">
    <w:name w:val="Title"/>
    <w:basedOn w:val="Normal"/>
    <w:next w:val="Normal"/>
    <w:link w:val="TtuloCar"/>
    <w:rsid w:val="008B74DC"/>
    <w:pPr>
      <w:keepNext/>
      <w:keepLines/>
      <w:spacing w:before="480" w:after="120" w:line="240" w:lineRule="auto"/>
    </w:pPr>
    <w:rPr>
      <w:rFonts w:ascii="Times New Roman" w:eastAsia="Times New Roman" w:hAnsi="Times New Roman" w:cs="Times New Roman"/>
      <w:b/>
      <w:sz w:val="72"/>
      <w:szCs w:val="72"/>
      <w:lang w:val="es-ES" w:eastAsia="es-MX"/>
    </w:rPr>
  </w:style>
  <w:style w:type="character" w:customStyle="1" w:styleId="TtuloCar">
    <w:name w:val="Título Car"/>
    <w:basedOn w:val="Fuentedeprrafopredeter"/>
    <w:link w:val="Ttulo"/>
    <w:rsid w:val="008B74DC"/>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8B74DC"/>
    <w:pPr>
      <w:keepNext/>
      <w:keepLines/>
      <w:spacing w:before="360" w:after="80" w:line="240" w:lineRule="auto"/>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rsid w:val="008B74DC"/>
    <w:rPr>
      <w:rFonts w:ascii="Georgia" w:eastAsia="Georgia" w:hAnsi="Georgia" w:cs="Georgia"/>
      <w:i/>
      <w:color w:val="666666"/>
      <w:sz w:val="48"/>
      <w:szCs w:val="48"/>
      <w:lang w:val="es-ES" w:eastAsia="es-MX"/>
    </w:rPr>
  </w:style>
  <w:style w:type="table" w:customStyle="1" w:styleId="8">
    <w:name w:val="8"/>
    <w:basedOn w:val="TableNormal1"/>
    <w:rsid w:val="008B74DC"/>
    <w:tblPr>
      <w:tblStyleRowBandSize w:val="1"/>
      <w:tblStyleColBandSize w:val="1"/>
      <w:tblCellMar>
        <w:left w:w="115" w:type="dxa"/>
        <w:right w:w="115" w:type="dxa"/>
      </w:tblCellMar>
    </w:tblPr>
  </w:style>
  <w:style w:type="table" w:customStyle="1" w:styleId="7">
    <w:name w:val="7"/>
    <w:basedOn w:val="TableNormal1"/>
    <w:rsid w:val="008B74DC"/>
    <w:tblPr>
      <w:tblStyleRowBandSize w:val="1"/>
      <w:tblStyleColBandSize w:val="1"/>
      <w:tblCellMar>
        <w:left w:w="115" w:type="dxa"/>
        <w:right w:w="115" w:type="dxa"/>
      </w:tblCellMar>
    </w:tblPr>
  </w:style>
  <w:style w:type="table" w:customStyle="1" w:styleId="6">
    <w:name w:val="6"/>
    <w:basedOn w:val="TableNormal1"/>
    <w:rsid w:val="008B74DC"/>
    <w:tblPr>
      <w:tblStyleRowBandSize w:val="1"/>
      <w:tblStyleColBandSize w:val="1"/>
      <w:tblCellMar>
        <w:left w:w="115" w:type="dxa"/>
        <w:right w:w="115" w:type="dxa"/>
      </w:tblCellMar>
    </w:tblPr>
  </w:style>
  <w:style w:type="table" w:customStyle="1" w:styleId="5">
    <w:name w:val="5"/>
    <w:basedOn w:val="TableNormal1"/>
    <w:rsid w:val="008B74DC"/>
    <w:tblPr>
      <w:tblStyleRowBandSize w:val="1"/>
      <w:tblStyleColBandSize w:val="1"/>
      <w:tblCellMar>
        <w:left w:w="115" w:type="dxa"/>
        <w:right w:w="115" w:type="dxa"/>
      </w:tblCellMar>
    </w:tblPr>
  </w:style>
  <w:style w:type="table" w:customStyle="1" w:styleId="4">
    <w:name w:val="4"/>
    <w:basedOn w:val="TableNormal1"/>
    <w:rsid w:val="008B74DC"/>
    <w:tblPr>
      <w:tblStyleRowBandSize w:val="1"/>
      <w:tblStyleColBandSize w:val="1"/>
      <w:tblCellMar>
        <w:left w:w="115" w:type="dxa"/>
        <w:right w:w="115" w:type="dxa"/>
      </w:tblCellMar>
    </w:tblPr>
  </w:style>
  <w:style w:type="table" w:customStyle="1" w:styleId="3">
    <w:name w:val="3"/>
    <w:basedOn w:val="TableNormal1"/>
    <w:rsid w:val="008B74DC"/>
    <w:tblPr>
      <w:tblStyleRowBandSize w:val="1"/>
      <w:tblStyleColBandSize w:val="1"/>
      <w:tblCellMar>
        <w:left w:w="115" w:type="dxa"/>
        <w:right w:w="115" w:type="dxa"/>
      </w:tblCellMar>
    </w:tblPr>
  </w:style>
  <w:style w:type="table" w:customStyle="1" w:styleId="2">
    <w:name w:val="2"/>
    <w:basedOn w:val="TableNormal1"/>
    <w:rsid w:val="008B74DC"/>
    <w:tblPr>
      <w:tblStyleRowBandSize w:val="1"/>
      <w:tblStyleColBandSize w:val="1"/>
      <w:tblCellMar>
        <w:left w:w="115" w:type="dxa"/>
        <w:right w:w="115" w:type="dxa"/>
      </w:tblCellMar>
    </w:tblPr>
  </w:style>
  <w:style w:type="table" w:customStyle="1" w:styleId="1">
    <w:name w:val="1"/>
    <w:basedOn w:val="TableNormal1"/>
    <w:rsid w:val="008B74DC"/>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8B74DC"/>
    <w:rPr>
      <w:rFonts w:ascii="Times New Roman" w:eastAsia="Times New Roman" w:hAnsi="Times New Roman" w:cs="Times New Roman"/>
      <w:sz w:val="20"/>
      <w:szCs w:val="20"/>
      <w:lang w:eastAsia="es-MX"/>
    </w:rPr>
  </w:style>
  <w:style w:type="character" w:customStyle="1" w:styleId="eop">
    <w:name w:val="eop"/>
    <w:basedOn w:val="Fuentedeprrafopredeter"/>
    <w:rsid w:val="008B74DC"/>
  </w:style>
  <w:style w:type="character" w:customStyle="1" w:styleId="m2871584667633129156gmail-apple-converted-space">
    <w:name w:val="m_2871584667633129156gmail-apple-converted-space"/>
    <w:basedOn w:val="Fuentedeprrafopredeter"/>
    <w:rsid w:val="008B74DC"/>
  </w:style>
  <w:style w:type="character" w:customStyle="1" w:styleId="m2871584667633129156gmail-msofootnotereference">
    <w:name w:val="m_2871584667633129156gmail-msofootnotereference"/>
    <w:basedOn w:val="Fuentedeprrafopredeter"/>
    <w:rsid w:val="008B74DC"/>
  </w:style>
  <w:style w:type="paragraph" w:customStyle="1" w:styleId="m2871584667633129156gmail-msofootnotetext">
    <w:name w:val="m_287158466763312915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
    <w:name w:val="u"/>
    <w:basedOn w:val="Fuentedeprrafopredeter"/>
    <w:rsid w:val="008B74DC"/>
  </w:style>
  <w:style w:type="paragraph" w:customStyle="1" w:styleId="rtejustify">
    <w:name w:val="rtejustify"/>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1">
    <w:name w:val="j1"/>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180717751901043621gmail-msofootnotereference">
    <w:name w:val="m_-7180717751901043621gmail-msofootnotereference"/>
    <w:basedOn w:val="Fuentedeprrafopredeter"/>
    <w:rsid w:val="008B74DC"/>
  </w:style>
  <w:style w:type="character" w:customStyle="1" w:styleId="m-3579365149168697376gmail-msofootnotereference">
    <w:name w:val="m_-3579365149168697376gmail-msofootnotereference"/>
    <w:basedOn w:val="Fuentedeprrafopredeter"/>
    <w:rsid w:val="008B74DC"/>
  </w:style>
  <w:style w:type="paragraph" w:customStyle="1" w:styleId="m-3579365149168697376gmail-msofootnotetext">
    <w:name w:val="m_-357936514916869737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ms">
    <w:name w:val="ams"/>
    <w:basedOn w:val="Fuentedeprrafopredeter"/>
    <w:rsid w:val="008B74DC"/>
  </w:style>
  <w:style w:type="table" w:customStyle="1" w:styleId="Tablaconcuadrcula4">
    <w:name w:val="Tabla con cuadrícula4"/>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1"/>
    <w:rsid w:val="008B74DC"/>
    <w:tblPr>
      <w:tblStyleRowBandSize w:val="1"/>
      <w:tblStyleColBandSize w:val="1"/>
      <w:tblCellMar>
        <w:left w:w="115" w:type="dxa"/>
        <w:right w:w="115" w:type="dxa"/>
      </w:tblCellMar>
    </w:tblPr>
  </w:style>
  <w:style w:type="table" w:customStyle="1" w:styleId="71">
    <w:name w:val="71"/>
    <w:basedOn w:val="TableNormal1"/>
    <w:rsid w:val="008B74DC"/>
    <w:tblPr>
      <w:tblStyleRowBandSize w:val="1"/>
      <w:tblStyleColBandSize w:val="1"/>
      <w:tblCellMar>
        <w:left w:w="115" w:type="dxa"/>
        <w:right w:w="115" w:type="dxa"/>
      </w:tblCellMar>
    </w:tblPr>
  </w:style>
  <w:style w:type="table" w:customStyle="1" w:styleId="61">
    <w:name w:val="61"/>
    <w:basedOn w:val="TableNormal1"/>
    <w:rsid w:val="008B74DC"/>
    <w:tblPr>
      <w:tblStyleRowBandSize w:val="1"/>
      <w:tblStyleColBandSize w:val="1"/>
      <w:tblCellMar>
        <w:left w:w="115" w:type="dxa"/>
        <w:right w:w="115" w:type="dxa"/>
      </w:tblCellMar>
    </w:tblPr>
  </w:style>
  <w:style w:type="table" w:customStyle="1" w:styleId="51">
    <w:name w:val="51"/>
    <w:basedOn w:val="TableNormal1"/>
    <w:rsid w:val="008B74DC"/>
    <w:tblPr>
      <w:tblStyleRowBandSize w:val="1"/>
      <w:tblStyleColBandSize w:val="1"/>
      <w:tblCellMar>
        <w:left w:w="115" w:type="dxa"/>
        <w:right w:w="115" w:type="dxa"/>
      </w:tblCellMar>
    </w:tblPr>
  </w:style>
  <w:style w:type="table" w:customStyle="1" w:styleId="41">
    <w:name w:val="41"/>
    <w:basedOn w:val="TableNormal1"/>
    <w:rsid w:val="008B74DC"/>
    <w:tblPr>
      <w:tblStyleRowBandSize w:val="1"/>
      <w:tblStyleColBandSize w:val="1"/>
      <w:tblCellMar>
        <w:left w:w="115" w:type="dxa"/>
        <w:right w:w="115" w:type="dxa"/>
      </w:tblCellMar>
    </w:tblPr>
  </w:style>
  <w:style w:type="table" w:customStyle="1" w:styleId="31">
    <w:name w:val="31"/>
    <w:basedOn w:val="TableNormal1"/>
    <w:rsid w:val="008B74DC"/>
    <w:tblPr>
      <w:tblStyleRowBandSize w:val="1"/>
      <w:tblStyleColBandSize w:val="1"/>
      <w:tblCellMar>
        <w:left w:w="115" w:type="dxa"/>
        <w:right w:w="115" w:type="dxa"/>
      </w:tblCellMar>
    </w:tblPr>
  </w:style>
  <w:style w:type="table" w:customStyle="1" w:styleId="21">
    <w:name w:val="21"/>
    <w:basedOn w:val="TableNormal1"/>
    <w:rsid w:val="008B74DC"/>
    <w:tblPr>
      <w:tblStyleRowBandSize w:val="1"/>
      <w:tblStyleColBandSize w:val="1"/>
      <w:tblCellMar>
        <w:left w:w="115" w:type="dxa"/>
        <w:right w:w="115" w:type="dxa"/>
      </w:tblCellMar>
    </w:tblPr>
  </w:style>
  <w:style w:type="table" w:customStyle="1" w:styleId="11">
    <w:name w:val="11"/>
    <w:basedOn w:val="TableNormal1"/>
    <w:rsid w:val="008B74DC"/>
    <w:tblPr>
      <w:tblStyleRowBandSize w:val="1"/>
      <w:tblStyleColBandSize w:val="1"/>
      <w:tblCellMar>
        <w:left w:w="115" w:type="dxa"/>
        <w:right w:w="115" w:type="dxa"/>
      </w:tblCellMar>
    </w:tblPr>
  </w:style>
  <w:style w:type="character" w:customStyle="1" w:styleId="UnresolvedMention2">
    <w:name w:val="Unresolved Mention2"/>
    <w:basedOn w:val="Fuentedeprrafopredeter"/>
    <w:uiPriority w:val="99"/>
    <w:semiHidden/>
    <w:unhideWhenUsed/>
    <w:rsid w:val="000C2A35"/>
    <w:rPr>
      <w:color w:val="605E5C"/>
      <w:shd w:val="clear" w:color="auto" w:fill="E1DFDD"/>
    </w:rPr>
  </w:style>
  <w:style w:type="paragraph" w:customStyle="1" w:styleId="CitasINFOEM">
    <w:name w:val="Citas INFOEM"/>
    <w:basedOn w:val="Normal"/>
    <w:qFormat/>
    <w:rsid w:val="0013496D"/>
    <w:pPr>
      <w:spacing w:before="240" w:line="360" w:lineRule="auto"/>
      <w:ind w:left="851" w:right="851"/>
      <w:jc w:val="both"/>
    </w:pPr>
    <w:rPr>
      <w:rFonts w:ascii="Palatino Linotype" w:eastAsia="Times New Roman" w:hAnsi="Palatino Linotype" w:cs="Times New Roman"/>
      <w:i/>
      <w:szCs w:val="24"/>
    </w:rPr>
  </w:style>
  <w:style w:type="character" w:customStyle="1" w:styleId="UnresolvedMention20">
    <w:name w:val="Unresolved Mention2"/>
    <w:basedOn w:val="Fuentedeprrafopredeter"/>
    <w:uiPriority w:val="99"/>
    <w:semiHidden/>
    <w:unhideWhenUsed/>
    <w:rsid w:val="00415B83"/>
    <w:rPr>
      <w:color w:val="605E5C"/>
      <w:shd w:val="clear" w:color="auto" w:fill="E1DFDD"/>
    </w:rPr>
  </w:style>
  <w:style w:type="character" w:customStyle="1" w:styleId="UnresolvedMention">
    <w:name w:val="Unresolved Mention"/>
    <w:basedOn w:val="Fuentedeprrafopredeter"/>
    <w:uiPriority w:val="99"/>
    <w:semiHidden/>
    <w:unhideWhenUsed/>
    <w:rsid w:val="000C68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558012">
      <w:bodyDiv w:val="1"/>
      <w:marLeft w:val="0"/>
      <w:marRight w:val="0"/>
      <w:marTop w:val="0"/>
      <w:marBottom w:val="0"/>
      <w:divBdr>
        <w:top w:val="none" w:sz="0" w:space="0" w:color="auto"/>
        <w:left w:val="none" w:sz="0" w:space="0" w:color="auto"/>
        <w:bottom w:val="none" w:sz="0" w:space="0" w:color="auto"/>
        <w:right w:val="none" w:sz="0" w:space="0" w:color="auto"/>
      </w:divBdr>
    </w:div>
    <w:div w:id="123354785">
      <w:bodyDiv w:val="1"/>
      <w:marLeft w:val="0"/>
      <w:marRight w:val="0"/>
      <w:marTop w:val="0"/>
      <w:marBottom w:val="0"/>
      <w:divBdr>
        <w:top w:val="none" w:sz="0" w:space="0" w:color="auto"/>
        <w:left w:val="none" w:sz="0" w:space="0" w:color="auto"/>
        <w:bottom w:val="none" w:sz="0" w:space="0" w:color="auto"/>
        <w:right w:val="none" w:sz="0" w:space="0" w:color="auto"/>
      </w:divBdr>
    </w:div>
    <w:div w:id="142550083">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64592342">
      <w:bodyDiv w:val="1"/>
      <w:marLeft w:val="0"/>
      <w:marRight w:val="0"/>
      <w:marTop w:val="0"/>
      <w:marBottom w:val="0"/>
      <w:divBdr>
        <w:top w:val="none" w:sz="0" w:space="0" w:color="auto"/>
        <w:left w:val="none" w:sz="0" w:space="0" w:color="auto"/>
        <w:bottom w:val="none" w:sz="0" w:space="0" w:color="auto"/>
        <w:right w:val="none" w:sz="0" w:space="0" w:color="auto"/>
      </w:divBdr>
    </w:div>
    <w:div w:id="169954013">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19157203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4203473">
      <w:bodyDiv w:val="1"/>
      <w:marLeft w:val="0"/>
      <w:marRight w:val="0"/>
      <w:marTop w:val="0"/>
      <w:marBottom w:val="0"/>
      <w:divBdr>
        <w:top w:val="none" w:sz="0" w:space="0" w:color="auto"/>
        <w:left w:val="none" w:sz="0" w:space="0" w:color="auto"/>
        <w:bottom w:val="none" w:sz="0" w:space="0" w:color="auto"/>
        <w:right w:val="none" w:sz="0" w:space="0" w:color="auto"/>
      </w:divBdr>
    </w:div>
    <w:div w:id="243533988">
      <w:bodyDiv w:val="1"/>
      <w:marLeft w:val="0"/>
      <w:marRight w:val="0"/>
      <w:marTop w:val="0"/>
      <w:marBottom w:val="0"/>
      <w:divBdr>
        <w:top w:val="none" w:sz="0" w:space="0" w:color="auto"/>
        <w:left w:val="none" w:sz="0" w:space="0" w:color="auto"/>
        <w:bottom w:val="none" w:sz="0" w:space="0" w:color="auto"/>
        <w:right w:val="none" w:sz="0" w:space="0" w:color="auto"/>
      </w:divBdr>
    </w:div>
    <w:div w:id="303313302">
      <w:bodyDiv w:val="1"/>
      <w:marLeft w:val="0"/>
      <w:marRight w:val="0"/>
      <w:marTop w:val="0"/>
      <w:marBottom w:val="0"/>
      <w:divBdr>
        <w:top w:val="none" w:sz="0" w:space="0" w:color="auto"/>
        <w:left w:val="none" w:sz="0" w:space="0" w:color="auto"/>
        <w:bottom w:val="none" w:sz="0" w:space="0" w:color="auto"/>
        <w:right w:val="none" w:sz="0" w:space="0" w:color="auto"/>
      </w:divBdr>
    </w:div>
    <w:div w:id="333649457">
      <w:bodyDiv w:val="1"/>
      <w:marLeft w:val="0"/>
      <w:marRight w:val="0"/>
      <w:marTop w:val="0"/>
      <w:marBottom w:val="0"/>
      <w:divBdr>
        <w:top w:val="none" w:sz="0" w:space="0" w:color="auto"/>
        <w:left w:val="none" w:sz="0" w:space="0" w:color="auto"/>
        <w:bottom w:val="none" w:sz="0" w:space="0" w:color="auto"/>
        <w:right w:val="none" w:sz="0" w:space="0" w:color="auto"/>
      </w:divBdr>
    </w:div>
    <w:div w:id="366562061">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390885621">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1602000">
      <w:bodyDiv w:val="1"/>
      <w:marLeft w:val="0"/>
      <w:marRight w:val="0"/>
      <w:marTop w:val="0"/>
      <w:marBottom w:val="0"/>
      <w:divBdr>
        <w:top w:val="none" w:sz="0" w:space="0" w:color="auto"/>
        <w:left w:val="none" w:sz="0" w:space="0" w:color="auto"/>
        <w:bottom w:val="none" w:sz="0" w:space="0" w:color="auto"/>
        <w:right w:val="none" w:sz="0" w:space="0" w:color="auto"/>
      </w:divBdr>
    </w:div>
    <w:div w:id="512694367">
      <w:bodyDiv w:val="1"/>
      <w:marLeft w:val="0"/>
      <w:marRight w:val="0"/>
      <w:marTop w:val="0"/>
      <w:marBottom w:val="0"/>
      <w:divBdr>
        <w:top w:val="none" w:sz="0" w:space="0" w:color="auto"/>
        <w:left w:val="none" w:sz="0" w:space="0" w:color="auto"/>
        <w:bottom w:val="none" w:sz="0" w:space="0" w:color="auto"/>
        <w:right w:val="none" w:sz="0" w:space="0" w:color="auto"/>
      </w:divBdr>
    </w:div>
    <w:div w:id="556286872">
      <w:bodyDiv w:val="1"/>
      <w:marLeft w:val="0"/>
      <w:marRight w:val="0"/>
      <w:marTop w:val="0"/>
      <w:marBottom w:val="0"/>
      <w:divBdr>
        <w:top w:val="none" w:sz="0" w:space="0" w:color="auto"/>
        <w:left w:val="none" w:sz="0" w:space="0" w:color="auto"/>
        <w:bottom w:val="none" w:sz="0" w:space="0" w:color="auto"/>
        <w:right w:val="none" w:sz="0" w:space="0" w:color="auto"/>
      </w:divBdr>
    </w:div>
    <w:div w:id="608662218">
      <w:bodyDiv w:val="1"/>
      <w:marLeft w:val="0"/>
      <w:marRight w:val="0"/>
      <w:marTop w:val="0"/>
      <w:marBottom w:val="0"/>
      <w:divBdr>
        <w:top w:val="none" w:sz="0" w:space="0" w:color="auto"/>
        <w:left w:val="none" w:sz="0" w:space="0" w:color="auto"/>
        <w:bottom w:val="none" w:sz="0" w:space="0" w:color="auto"/>
        <w:right w:val="none" w:sz="0" w:space="0" w:color="auto"/>
      </w:divBdr>
    </w:div>
    <w:div w:id="615720535">
      <w:bodyDiv w:val="1"/>
      <w:marLeft w:val="0"/>
      <w:marRight w:val="0"/>
      <w:marTop w:val="0"/>
      <w:marBottom w:val="0"/>
      <w:divBdr>
        <w:top w:val="none" w:sz="0" w:space="0" w:color="auto"/>
        <w:left w:val="none" w:sz="0" w:space="0" w:color="auto"/>
        <w:bottom w:val="none" w:sz="0" w:space="0" w:color="auto"/>
        <w:right w:val="none" w:sz="0" w:space="0" w:color="auto"/>
      </w:divBdr>
    </w:div>
    <w:div w:id="650401057">
      <w:bodyDiv w:val="1"/>
      <w:marLeft w:val="0"/>
      <w:marRight w:val="0"/>
      <w:marTop w:val="0"/>
      <w:marBottom w:val="0"/>
      <w:divBdr>
        <w:top w:val="none" w:sz="0" w:space="0" w:color="auto"/>
        <w:left w:val="none" w:sz="0" w:space="0" w:color="auto"/>
        <w:bottom w:val="none" w:sz="0" w:space="0" w:color="auto"/>
        <w:right w:val="none" w:sz="0" w:space="0" w:color="auto"/>
      </w:divBdr>
    </w:div>
    <w:div w:id="662469509">
      <w:bodyDiv w:val="1"/>
      <w:marLeft w:val="0"/>
      <w:marRight w:val="0"/>
      <w:marTop w:val="0"/>
      <w:marBottom w:val="0"/>
      <w:divBdr>
        <w:top w:val="none" w:sz="0" w:space="0" w:color="auto"/>
        <w:left w:val="none" w:sz="0" w:space="0" w:color="auto"/>
        <w:bottom w:val="none" w:sz="0" w:space="0" w:color="auto"/>
        <w:right w:val="none" w:sz="0" w:space="0" w:color="auto"/>
      </w:divBdr>
    </w:div>
    <w:div w:id="665015729">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28528513">
      <w:bodyDiv w:val="1"/>
      <w:marLeft w:val="0"/>
      <w:marRight w:val="0"/>
      <w:marTop w:val="0"/>
      <w:marBottom w:val="0"/>
      <w:divBdr>
        <w:top w:val="none" w:sz="0" w:space="0" w:color="auto"/>
        <w:left w:val="none" w:sz="0" w:space="0" w:color="auto"/>
        <w:bottom w:val="none" w:sz="0" w:space="0" w:color="auto"/>
        <w:right w:val="none" w:sz="0" w:space="0" w:color="auto"/>
      </w:divBdr>
    </w:div>
    <w:div w:id="73787112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0628602">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33172521">
      <w:bodyDiv w:val="1"/>
      <w:marLeft w:val="0"/>
      <w:marRight w:val="0"/>
      <w:marTop w:val="0"/>
      <w:marBottom w:val="0"/>
      <w:divBdr>
        <w:top w:val="none" w:sz="0" w:space="0" w:color="auto"/>
        <w:left w:val="none" w:sz="0" w:space="0" w:color="auto"/>
        <w:bottom w:val="none" w:sz="0" w:space="0" w:color="auto"/>
        <w:right w:val="none" w:sz="0" w:space="0" w:color="auto"/>
      </w:divBdr>
    </w:div>
    <w:div w:id="957177452">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985819841">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80522536">
      <w:bodyDiv w:val="1"/>
      <w:marLeft w:val="0"/>
      <w:marRight w:val="0"/>
      <w:marTop w:val="0"/>
      <w:marBottom w:val="0"/>
      <w:divBdr>
        <w:top w:val="none" w:sz="0" w:space="0" w:color="auto"/>
        <w:left w:val="none" w:sz="0" w:space="0" w:color="auto"/>
        <w:bottom w:val="none" w:sz="0" w:space="0" w:color="auto"/>
        <w:right w:val="none" w:sz="0" w:space="0" w:color="auto"/>
      </w:divBdr>
    </w:div>
    <w:div w:id="1082339886">
      <w:bodyDiv w:val="1"/>
      <w:marLeft w:val="0"/>
      <w:marRight w:val="0"/>
      <w:marTop w:val="0"/>
      <w:marBottom w:val="0"/>
      <w:divBdr>
        <w:top w:val="none" w:sz="0" w:space="0" w:color="auto"/>
        <w:left w:val="none" w:sz="0" w:space="0" w:color="auto"/>
        <w:bottom w:val="none" w:sz="0" w:space="0" w:color="auto"/>
        <w:right w:val="none" w:sz="0" w:space="0" w:color="auto"/>
      </w:divBdr>
    </w:div>
    <w:div w:id="1090394881">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23689508">
      <w:bodyDiv w:val="1"/>
      <w:marLeft w:val="0"/>
      <w:marRight w:val="0"/>
      <w:marTop w:val="0"/>
      <w:marBottom w:val="0"/>
      <w:divBdr>
        <w:top w:val="none" w:sz="0" w:space="0" w:color="auto"/>
        <w:left w:val="none" w:sz="0" w:space="0" w:color="auto"/>
        <w:bottom w:val="none" w:sz="0" w:space="0" w:color="auto"/>
        <w:right w:val="none" w:sz="0" w:space="0" w:color="auto"/>
      </w:divBdr>
    </w:div>
    <w:div w:id="1162310037">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27106005">
      <w:bodyDiv w:val="1"/>
      <w:marLeft w:val="0"/>
      <w:marRight w:val="0"/>
      <w:marTop w:val="0"/>
      <w:marBottom w:val="0"/>
      <w:divBdr>
        <w:top w:val="none" w:sz="0" w:space="0" w:color="auto"/>
        <w:left w:val="none" w:sz="0" w:space="0" w:color="auto"/>
        <w:bottom w:val="none" w:sz="0" w:space="0" w:color="auto"/>
        <w:right w:val="none" w:sz="0" w:space="0" w:color="auto"/>
      </w:divBdr>
    </w:div>
    <w:div w:id="1243294260">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47109434">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290934773">
      <w:bodyDiv w:val="1"/>
      <w:marLeft w:val="0"/>
      <w:marRight w:val="0"/>
      <w:marTop w:val="0"/>
      <w:marBottom w:val="0"/>
      <w:divBdr>
        <w:top w:val="none" w:sz="0" w:space="0" w:color="auto"/>
        <w:left w:val="none" w:sz="0" w:space="0" w:color="auto"/>
        <w:bottom w:val="none" w:sz="0" w:space="0" w:color="auto"/>
        <w:right w:val="none" w:sz="0" w:space="0" w:color="auto"/>
      </w:divBdr>
    </w:div>
    <w:div w:id="1291013230">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73505659">
      <w:bodyDiv w:val="1"/>
      <w:marLeft w:val="0"/>
      <w:marRight w:val="0"/>
      <w:marTop w:val="0"/>
      <w:marBottom w:val="0"/>
      <w:divBdr>
        <w:top w:val="none" w:sz="0" w:space="0" w:color="auto"/>
        <w:left w:val="none" w:sz="0" w:space="0" w:color="auto"/>
        <w:bottom w:val="none" w:sz="0" w:space="0" w:color="auto"/>
        <w:right w:val="none" w:sz="0" w:space="0" w:color="auto"/>
      </w:divBdr>
    </w:div>
    <w:div w:id="1403797239">
      <w:bodyDiv w:val="1"/>
      <w:marLeft w:val="0"/>
      <w:marRight w:val="0"/>
      <w:marTop w:val="0"/>
      <w:marBottom w:val="0"/>
      <w:divBdr>
        <w:top w:val="none" w:sz="0" w:space="0" w:color="auto"/>
        <w:left w:val="none" w:sz="0" w:space="0" w:color="auto"/>
        <w:bottom w:val="none" w:sz="0" w:space="0" w:color="auto"/>
        <w:right w:val="none" w:sz="0" w:space="0" w:color="auto"/>
      </w:divBdr>
    </w:div>
    <w:div w:id="1413891600">
      <w:bodyDiv w:val="1"/>
      <w:marLeft w:val="0"/>
      <w:marRight w:val="0"/>
      <w:marTop w:val="0"/>
      <w:marBottom w:val="0"/>
      <w:divBdr>
        <w:top w:val="none" w:sz="0" w:space="0" w:color="auto"/>
        <w:left w:val="none" w:sz="0" w:space="0" w:color="auto"/>
        <w:bottom w:val="none" w:sz="0" w:space="0" w:color="auto"/>
        <w:right w:val="none" w:sz="0" w:space="0" w:color="auto"/>
      </w:divBdr>
    </w:div>
    <w:div w:id="1422991136">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437213376">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7085997">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04340908">
      <w:bodyDiv w:val="1"/>
      <w:marLeft w:val="0"/>
      <w:marRight w:val="0"/>
      <w:marTop w:val="0"/>
      <w:marBottom w:val="0"/>
      <w:divBdr>
        <w:top w:val="none" w:sz="0" w:space="0" w:color="auto"/>
        <w:left w:val="none" w:sz="0" w:space="0" w:color="auto"/>
        <w:bottom w:val="none" w:sz="0" w:space="0" w:color="auto"/>
        <w:right w:val="none" w:sz="0" w:space="0" w:color="auto"/>
      </w:divBdr>
    </w:div>
    <w:div w:id="1611427026">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15931042">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72243764">
      <w:bodyDiv w:val="1"/>
      <w:marLeft w:val="0"/>
      <w:marRight w:val="0"/>
      <w:marTop w:val="0"/>
      <w:marBottom w:val="0"/>
      <w:divBdr>
        <w:top w:val="none" w:sz="0" w:space="0" w:color="auto"/>
        <w:left w:val="none" w:sz="0" w:space="0" w:color="auto"/>
        <w:bottom w:val="none" w:sz="0" w:space="0" w:color="auto"/>
        <w:right w:val="none" w:sz="0" w:space="0" w:color="auto"/>
      </w:divBdr>
    </w:div>
    <w:div w:id="1843080803">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38901352">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75407662">
      <w:bodyDiv w:val="1"/>
      <w:marLeft w:val="0"/>
      <w:marRight w:val="0"/>
      <w:marTop w:val="0"/>
      <w:marBottom w:val="0"/>
      <w:divBdr>
        <w:top w:val="none" w:sz="0" w:space="0" w:color="auto"/>
        <w:left w:val="none" w:sz="0" w:space="0" w:color="auto"/>
        <w:bottom w:val="none" w:sz="0" w:space="0" w:color="auto"/>
        <w:right w:val="none" w:sz="0" w:space="0" w:color="auto"/>
      </w:divBdr>
    </w:div>
    <w:div w:id="2016809471">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drive.google.com/file/d/1iN0S473uiOulEjCIJvQhiQzg3B66D0vA/view?usp=sharin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consultas.ifai.org.mx/descargar.php?r=./pdf/resoluciones/2019/&amp;a=RRA%2014270.pdf"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consultas.ifai.org.mx/descargar.php?r=./pdf/resoluciones/2018/&amp;a=RRA%205097.pdf"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consultas.ifai.org.mx/descargar.php?r=./pdf/resoluciones/2018/&amp;a=RRA%204548.pdf" TargetMode="Externa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8B1094-204F-4D03-A8AB-1EEC4ED23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43</Pages>
  <Words>6943</Words>
  <Characters>38188</Characters>
  <Application>Microsoft Office Word</Application>
  <DocSecurity>0</DocSecurity>
  <Lines>318</Lines>
  <Paragraphs>90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45041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 INFOEM</cp:lastModifiedBy>
  <cp:revision>14</cp:revision>
  <cp:lastPrinted>2018-12-04T20:35:00Z</cp:lastPrinted>
  <dcterms:created xsi:type="dcterms:W3CDTF">2023-10-05T16:43:00Z</dcterms:created>
  <dcterms:modified xsi:type="dcterms:W3CDTF">2023-11-06T18:16:00Z</dcterms:modified>
</cp:coreProperties>
</file>