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433" w:rsidRPr="007F109C" w:rsidRDefault="00CE5433" w:rsidP="00CE5433">
      <w:pPr>
        <w:shd w:val="clear" w:color="auto" w:fill="FFFFFF"/>
        <w:spacing w:after="0" w:line="360" w:lineRule="auto"/>
        <w:jc w:val="both"/>
        <w:rPr>
          <w:rFonts w:ascii="Palatino Linotype" w:eastAsia="Times New Roman" w:hAnsi="Palatino Linotype" w:cs="Arial"/>
          <w:color w:val="000000"/>
          <w:sz w:val="24"/>
          <w:szCs w:val="24"/>
          <w:lang w:eastAsia="es-MX"/>
        </w:rPr>
      </w:pPr>
      <w:r w:rsidRPr="007F109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170BB">
        <w:rPr>
          <w:rFonts w:ascii="Palatino Linotype" w:eastAsia="Times New Roman" w:hAnsi="Palatino Linotype" w:cs="Arial"/>
          <w:color w:val="000000"/>
          <w:sz w:val="24"/>
          <w:szCs w:val="24"/>
          <w:lang w:eastAsia="es-MX"/>
        </w:rPr>
        <w:t xml:space="preserve">uno de febrero </w:t>
      </w:r>
      <w:r w:rsidRPr="007F109C">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7F109C">
        <w:rPr>
          <w:rFonts w:ascii="Palatino Linotype" w:eastAsia="Times New Roman" w:hAnsi="Palatino Linotype" w:cs="Arial"/>
          <w:color w:val="000000"/>
          <w:sz w:val="24"/>
          <w:szCs w:val="24"/>
          <w:lang w:eastAsia="es-MX"/>
        </w:rPr>
        <w:t>.</w:t>
      </w:r>
    </w:p>
    <w:p w:rsidR="00CE5433" w:rsidRPr="007F109C" w:rsidRDefault="00CE5433" w:rsidP="00CE5433">
      <w:pPr>
        <w:shd w:val="clear" w:color="auto" w:fill="FFFFFF"/>
        <w:spacing w:after="0" w:line="360" w:lineRule="auto"/>
        <w:jc w:val="both"/>
        <w:rPr>
          <w:rFonts w:ascii="Palatino Linotype" w:eastAsia="Times New Roman" w:hAnsi="Palatino Linotype" w:cs="Arial"/>
          <w:color w:val="000000"/>
          <w:sz w:val="24"/>
          <w:szCs w:val="24"/>
          <w:lang w:eastAsia="es-MX"/>
        </w:rPr>
      </w:pPr>
    </w:p>
    <w:p w:rsidR="00CE5433" w:rsidRPr="007F109C" w:rsidRDefault="00CE5433" w:rsidP="00CE5433">
      <w:pPr>
        <w:tabs>
          <w:tab w:val="left" w:pos="1701"/>
        </w:tabs>
        <w:spacing w:after="0" w:line="360" w:lineRule="auto"/>
        <w:jc w:val="both"/>
        <w:rPr>
          <w:rFonts w:ascii="Palatino Linotype" w:hAnsi="Palatino Linotype" w:cs="Arial"/>
          <w:b/>
          <w:sz w:val="24"/>
          <w:szCs w:val="24"/>
        </w:rPr>
      </w:pPr>
      <w:r w:rsidRPr="007F109C">
        <w:rPr>
          <w:rFonts w:ascii="Palatino Linotype" w:hAnsi="Palatino Linotype" w:cs="Arial"/>
          <w:b/>
          <w:sz w:val="24"/>
          <w:szCs w:val="24"/>
        </w:rPr>
        <w:t>VISTO</w:t>
      </w:r>
      <w:r w:rsidRPr="007F109C">
        <w:rPr>
          <w:rFonts w:ascii="Palatino Linotype" w:hAnsi="Palatino Linotype" w:cs="Arial"/>
          <w:sz w:val="24"/>
          <w:szCs w:val="24"/>
        </w:rPr>
        <w:t xml:space="preserve"> el expediente electrónico formado con motivo del recurso de revisión con número </w:t>
      </w:r>
      <w:r w:rsidRPr="007F109C">
        <w:rPr>
          <w:rFonts w:ascii="Palatino Linotype" w:hAnsi="Palatino Linotype" w:cs="Arial"/>
          <w:b/>
          <w:bCs/>
          <w:sz w:val="24"/>
          <w:szCs w:val="24"/>
          <w:lang w:eastAsia="es-MX"/>
        </w:rPr>
        <w:t>01</w:t>
      </w:r>
      <w:r>
        <w:rPr>
          <w:rFonts w:ascii="Palatino Linotype" w:hAnsi="Palatino Linotype" w:cs="Arial"/>
          <w:b/>
          <w:bCs/>
          <w:sz w:val="24"/>
          <w:szCs w:val="24"/>
          <w:lang w:eastAsia="es-MX"/>
        </w:rPr>
        <w:t>466</w:t>
      </w:r>
      <w:r w:rsidRPr="007F109C">
        <w:rPr>
          <w:rFonts w:ascii="Palatino Linotype" w:hAnsi="Palatino Linotype" w:cs="Arial"/>
          <w:b/>
          <w:bCs/>
          <w:sz w:val="24"/>
          <w:szCs w:val="24"/>
          <w:lang w:eastAsia="es-MX"/>
        </w:rPr>
        <w:t>0/INFOEM/IP/RR/2022</w:t>
      </w:r>
      <w:r w:rsidRPr="007F109C">
        <w:rPr>
          <w:rFonts w:ascii="Palatino Linotype" w:hAnsi="Palatino Linotype" w:cs="Arial"/>
          <w:sz w:val="24"/>
          <w:szCs w:val="24"/>
        </w:rPr>
        <w:t xml:space="preserve">, promovido </w:t>
      </w:r>
      <w:r w:rsidRPr="007F109C">
        <w:rPr>
          <w:rFonts w:ascii="Palatino Linotype" w:hAnsi="Palatino Linotype"/>
          <w:sz w:val="24"/>
          <w:szCs w:val="24"/>
        </w:rPr>
        <w:t xml:space="preserve">por un particular que tanto al momento de ingresar la solicitud de información como de interponer el recurso de revisión, no señalo nombre o seudónimo con el cual desee ser identificado, quien en lo sucesivo se le denominara como </w:t>
      </w:r>
      <w:r w:rsidRPr="007F109C">
        <w:rPr>
          <w:rFonts w:ascii="Palatino Linotype" w:hAnsi="Palatino Linotype"/>
          <w:b/>
          <w:sz w:val="24"/>
          <w:szCs w:val="24"/>
        </w:rPr>
        <w:t>el Recurrente</w:t>
      </w:r>
      <w:r w:rsidRPr="007F109C">
        <w:rPr>
          <w:rFonts w:ascii="Palatino Linotype" w:hAnsi="Palatino Linotype" w:cs="Arial"/>
          <w:sz w:val="24"/>
          <w:szCs w:val="24"/>
        </w:rPr>
        <w:t>, en contra de la respuesta de</w:t>
      </w:r>
      <w:r>
        <w:rPr>
          <w:rFonts w:ascii="Palatino Linotype" w:hAnsi="Palatino Linotype" w:cs="Arial"/>
          <w:sz w:val="24"/>
          <w:szCs w:val="24"/>
        </w:rPr>
        <w:t xml:space="preserve"> </w:t>
      </w:r>
      <w:r w:rsidRPr="007F109C">
        <w:rPr>
          <w:rFonts w:ascii="Palatino Linotype" w:hAnsi="Palatino Linotype" w:cs="Arial"/>
          <w:sz w:val="24"/>
          <w:szCs w:val="24"/>
        </w:rPr>
        <w:t>l</w:t>
      </w:r>
      <w:r>
        <w:rPr>
          <w:rFonts w:ascii="Palatino Linotype" w:hAnsi="Palatino Linotype" w:cs="Arial"/>
          <w:sz w:val="24"/>
          <w:szCs w:val="24"/>
        </w:rPr>
        <w:t>a</w:t>
      </w:r>
      <w:r w:rsidRPr="007F109C">
        <w:rPr>
          <w:rFonts w:ascii="Palatino Linotype" w:hAnsi="Palatino Linotype" w:cs="Arial"/>
          <w:sz w:val="24"/>
          <w:szCs w:val="24"/>
        </w:rPr>
        <w:t xml:space="preserve"> </w:t>
      </w:r>
      <w:r w:rsidRPr="00CE5433">
        <w:rPr>
          <w:rFonts w:ascii="Palatino Linotype" w:hAnsi="Palatino Linotype" w:cs="Arial"/>
          <w:b/>
          <w:bCs/>
          <w:sz w:val="24"/>
          <w:szCs w:val="24"/>
        </w:rPr>
        <w:t>Universidad Politécnica de Tecámac</w:t>
      </w:r>
      <w:r w:rsidRPr="007F109C">
        <w:rPr>
          <w:rFonts w:ascii="Palatino Linotype" w:hAnsi="Palatino Linotype" w:cs="Arial"/>
          <w:b/>
          <w:sz w:val="24"/>
          <w:szCs w:val="24"/>
        </w:rPr>
        <w:t xml:space="preserve">, </w:t>
      </w:r>
      <w:r w:rsidRPr="007F109C">
        <w:rPr>
          <w:rFonts w:ascii="Palatino Linotype" w:hAnsi="Palatino Linotype" w:cs="Arial"/>
          <w:sz w:val="24"/>
          <w:szCs w:val="24"/>
        </w:rPr>
        <w:t>en lo subsecuente</w:t>
      </w:r>
      <w:r w:rsidRPr="007F109C">
        <w:rPr>
          <w:rFonts w:ascii="Palatino Linotype" w:hAnsi="Palatino Linotype" w:cs="Arial"/>
          <w:b/>
          <w:sz w:val="24"/>
          <w:szCs w:val="24"/>
        </w:rPr>
        <w:t xml:space="preserve"> el Sujeto Obligado, </w:t>
      </w:r>
      <w:r w:rsidRPr="007F109C">
        <w:rPr>
          <w:rFonts w:ascii="Palatino Linotype" w:hAnsi="Palatino Linotype" w:cs="Arial"/>
          <w:sz w:val="24"/>
          <w:szCs w:val="24"/>
        </w:rPr>
        <w:t xml:space="preserve">se </w:t>
      </w:r>
      <w:bookmarkStart w:id="0" w:name="_GoBack"/>
      <w:bookmarkEnd w:id="0"/>
      <w:r w:rsidRPr="007F109C">
        <w:rPr>
          <w:rFonts w:ascii="Palatino Linotype" w:hAnsi="Palatino Linotype" w:cs="Arial"/>
          <w:sz w:val="24"/>
          <w:szCs w:val="24"/>
        </w:rPr>
        <w:t>procede a dictar la presente resolución.</w:t>
      </w:r>
    </w:p>
    <w:p w:rsidR="00CE5433" w:rsidRPr="007F109C" w:rsidRDefault="00CE5433" w:rsidP="00CE5433">
      <w:pPr>
        <w:tabs>
          <w:tab w:val="left" w:pos="6960"/>
        </w:tabs>
        <w:spacing w:after="0" w:line="360" w:lineRule="auto"/>
        <w:jc w:val="both"/>
        <w:rPr>
          <w:rFonts w:ascii="Palatino Linotype" w:hAnsi="Palatino Linotype" w:cs="Arial"/>
          <w:sz w:val="24"/>
          <w:szCs w:val="24"/>
        </w:rPr>
      </w:pPr>
    </w:p>
    <w:p w:rsidR="00CE5433" w:rsidRPr="007F109C" w:rsidRDefault="00CE5433" w:rsidP="00CE5433">
      <w:pPr>
        <w:spacing w:after="0" w:line="360" w:lineRule="auto"/>
        <w:jc w:val="center"/>
        <w:rPr>
          <w:rFonts w:ascii="Palatino Linotype" w:hAnsi="Palatino Linotype" w:cs="Arial"/>
          <w:b/>
          <w:sz w:val="28"/>
          <w:szCs w:val="24"/>
        </w:rPr>
      </w:pPr>
      <w:r w:rsidRPr="007F109C">
        <w:rPr>
          <w:rFonts w:ascii="Palatino Linotype" w:hAnsi="Palatino Linotype" w:cs="Arial"/>
          <w:b/>
          <w:sz w:val="28"/>
          <w:szCs w:val="24"/>
        </w:rPr>
        <w:t>A N T E C E D E N T E S</w:t>
      </w:r>
    </w:p>
    <w:p w:rsidR="00CE5433" w:rsidRPr="007F109C" w:rsidRDefault="00CE5433" w:rsidP="00CE5433">
      <w:pPr>
        <w:spacing w:after="0" w:line="360" w:lineRule="auto"/>
        <w:rPr>
          <w:rFonts w:ascii="Palatino Linotype" w:hAnsi="Palatino Linotype" w:cs="Arial"/>
          <w:b/>
          <w:sz w:val="24"/>
          <w:szCs w:val="24"/>
        </w:rPr>
      </w:pP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b/>
          <w:sz w:val="28"/>
          <w:szCs w:val="28"/>
        </w:rPr>
        <w:t xml:space="preserve">PRIMERO. </w:t>
      </w:r>
      <w:r w:rsidRPr="007F109C">
        <w:rPr>
          <w:rFonts w:ascii="Palatino Linotype" w:hAnsi="Palatino Linotype" w:cs="Arial"/>
          <w:sz w:val="24"/>
          <w:szCs w:val="24"/>
        </w:rPr>
        <w:t xml:space="preserve">Con fecha </w:t>
      </w:r>
      <w:r>
        <w:rPr>
          <w:rFonts w:ascii="Palatino Linotype" w:hAnsi="Palatino Linotype" w:cs="Arial"/>
          <w:sz w:val="24"/>
          <w:szCs w:val="24"/>
        </w:rPr>
        <w:t>23</w:t>
      </w:r>
      <w:r w:rsidRPr="007F109C">
        <w:rPr>
          <w:rFonts w:ascii="Palatino Linotype" w:hAnsi="Palatino Linotype" w:cs="Arial"/>
          <w:sz w:val="24"/>
          <w:szCs w:val="24"/>
        </w:rPr>
        <w:t xml:space="preserve"> (</w:t>
      </w:r>
      <w:r>
        <w:rPr>
          <w:rFonts w:ascii="Palatino Linotype" w:hAnsi="Palatino Linotype" w:cs="Arial"/>
          <w:sz w:val="24"/>
          <w:szCs w:val="24"/>
        </w:rPr>
        <w:t>veintitrés</w:t>
      </w:r>
      <w:r w:rsidRPr="007F109C">
        <w:rPr>
          <w:rFonts w:ascii="Palatino Linotype" w:hAnsi="Palatino Linotype" w:cs="Arial"/>
          <w:sz w:val="24"/>
          <w:szCs w:val="24"/>
        </w:rPr>
        <w:t xml:space="preserve">) de </w:t>
      </w:r>
      <w:r>
        <w:rPr>
          <w:rFonts w:ascii="Palatino Linotype" w:hAnsi="Palatino Linotype" w:cs="Arial"/>
          <w:sz w:val="24"/>
          <w:szCs w:val="24"/>
        </w:rPr>
        <w:t>agosto</w:t>
      </w:r>
      <w:r w:rsidRPr="007F109C">
        <w:rPr>
          <w:rFonts w:ascii="Palatino Linotype" w:hAnsi="Palatino Linotype" w:cs="Arial"/>
          <w:sz w:val="24"/>
          <w:szCs w:val="24"/>
        </w:rPr>
        <w:t xml:space="preserve"> de 2022 (dos mil veintidós), el</w:t>
      </w:r>
      <w:r w:rsidRPr="007F109C">
        <w:rPr>
          <w:rFonts w:ascii="Palatino Linotype" w:hAnsi="Palatino Linotype" w:cs="Arial"/>
          <w:b/>
          <w:sz w:val="24"/>
          <w:szCs w:val="24"/>
        </w:rPr>
        <w:t xml:space="preserve"> Recurrente</w:t>
      </w:r>
      <w:r w:rsidRPr="007F109C">
        <w:rPr>
          <w:rFonts w:ascii="Palatino Linotype" w:hAnsi="Palatino Linotype" w:cs="Arial"/>
          <w:sz w:val="24"/>
          <w:szCs w:val="24"/>
        </w:rPr>
        <w:t xml:space="preserve"> presentó a través del Sistema de Acceso a la Información Mexiquense, en lo posterior el </w:t>
      </w:r>
      <w:r w:rsidRPr="007F109C">
        <w:rPr>
          <w:rFonts w:ascii="Palatino Linotype" w:hAnsi="Palatino Linotype" w:cs="Arial"/>
          <w:b/>
          <w:sz w:val="24"/>
          <w:szCs w:val="24"/>
        </w:rPr>
        <w:t>SAIMEX</w:t>
      </w:r>
      <w:r w:rsidRPr="007F109C">
        <w:rPr>
          <w:rFonts w:ascii="Palatino Linotype" w:hAnsi="Palatino Linotype" w:cs="Arial"/>
          <w:sz w:val="24"/>
          <w:szCs w:val="24"/>
        </w:rPr>
        <w:t xml:space="preserve">, ante </w:t>
      </w:r>
      <w:r w:rsidRPr="007F109C">
        <w:rPr>
          <w:rFonts w:ascii="Palatino Linotype" w:hAnsi="Palatino Linotype" w:cs="Arial"/>
          <w:b/>
          <w:sz w:val="24"/>
          <w:szCs w:val="24"/>
        </w:rPr>
        <w:t>el Sujeto Obligado</w:t>
      </w:r>
      <w:r w:rsidRPr="007F109C">
        <w:rPr>
          <w:rFonts w:ascii="Palatino Linotype" w:hAnsi="Palatino Linotype" w:cs="Arial"/>
          <w:sz w:val="24"/>
          <w:szCs w:val="24"/>
        </w:rPr>
        <w:t xml:space="preserve">, solicitud de acceso a la información pública, registrada bajo el número </w:t>
      </w:r>
      <w:r w:rsidRPr="00CE5433">
        <w:rPr>
          <w:rFonts w:ascii="Palatino Linotype" w:hAnsi="Palatino Linotype" w:cs="Arial"/>
          <w:b/>
          <w:sz w:val="24"/>
          <w:szCs w:val="24"/>
        </w:rPr>
        <w:t>00004/UPT/IP/2022</w:t>
      </w:r>
      <w:r w:rsidRPr="007F109C">
        <w:rPr>
          <w:rFonts w:ascii="Palatino Linotype" w:hAnsi="Palatino Linotype" w:cs="Arial"/>
          <w:sz w:val="24"/>
          <w:szCs w:val="24"/>
          <w:lang w:eastAsia="es-MX"/>
        </w:rPr>
        <w:t>,</w:t>
      </w:r>
      <w:r w:rsidRPr="007F109C">
        <w:rPr>
          <w:rFonts w:ascii="Palatino Linotype" w:hAnsi="Palatino Linotype" w:cs="Arial"/>
          <w:b/>
          <w:sz w:val="24"/>
          <w:szCs w:val="24"/>
          <w:lang w:eastAsia="es-MX"/>
        </w:rPr>
        <w:t xml:space="preserve"> </w:t>
      </w:r>
      <w:r w:rsidRPr="007F109C">
        <w:rPr>
          <w:rFonts w:ascii="Palatino Linotype" w:hAnsi="Palatino Linotype" w:cs="Arial"/>
          <w:sz w:val="24"/>
          <w:szCs w:val="24"/>
        </w:rPr>
        <w:t>mediante la cual solicitó lo siguiente:</w:t>
      </w:r>
    </w:p>
    <w:p w:rsidR="00CE5433" w:rsidRPr="007F109C" w:rsidRDefault="00CE5433" w:rsidP="00CE5433">
      <w:pPr>
        <w:spacing w:after="0" w:line="360" w:lineRule="auto"/>
        <w:jc w:val="both"/>
        <w:rPr>
          <w:rFonts w:ascii="Palatino Linotype" w:hAnsi="Palatino Linotype" w:cs="Arial"/>
          <w:sz w:val="24"/>
          <w:szCs w:val="24"/>
        </w:rPr>
      </w:pPr>
    </w:p>
    <w:p w:rsidR="00CE5433" w:rsidRPr="007F109C" w:rsidRDefault="00CE5433" w:rsidP="00CE543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F109C">
        <w:rPr>
          <w:rFonts w:ascii="Palatino Linotype" w:eastAsia="Times New Roman" w:hAnsi="Palatino Linotype" w:cs="Times New Roman"/>
          <w:i/>
          <w:szCs w:val="24"/>
          <w:lang w:val="es-ES_tradnl" w:eastAsia="es-ES"/>
        </w:rPr>
        <w:t>"</w:t>
      </w:r>
      <w:r w:rsidRPr="00CE5433">
        <w:rPr>
          <w:rFonts w:ascii="Palatino Linotype" w:eastAsia="Times New Roman" w:hAnsi="Palatino Linotype" w:cs="Times New Roman"/>
          <w:i/>
          <w:szCs w:val="24"/>
          <w:lang w:eastAsia="es-ES"/>
        </w:rPr>
        <w:t>SOLICITO LISTADO DE INFORMACIÓN EN RELACION AL PERSONAL DE CONFIANZA Y CONTRATACION EVENTUAL EN RELACION A: NOMBRE COMPLETO, FUNCIÓN Y/O PUESTO, HORARIO DE LABORES, SUELDO NETO, BRUTO, COMPENSACIONES Y OTROS ESTIMULOS O DEDUCCIONES, TITULO, CEDULA O COMPROBANTE DE ESTUDIOS QUE AVALE EL PERFIL DE LAS Y LOS 166 PERSONAS SEÑALADAS EN EL ARCHIVO ADJUNTO.</w:t>
      </w:r>
      <w:r w:rsidRPr="007F109C">
        <w:rPr>
          <w:rFonts w:ascii="Palatino Linotype" w:eastAsia="Times New Roman" w:hAnsi="Palatino Linotype" w:cs="Times New Roman"/>
          <w:i/>
          <w:szCs w:val="24"/>
          <w:lang w:val="es-ES_tradnl" w:eastAsia="es-ES"/>
        </w:rPr>
        <w:t>"</w:t>
      </w:r>
    </w:p>
    <w:p w:rsidR="00CE5433" w:rsidRPr="007F109C" w:rsidRDefault="00CE5433" w:rsidP="00CE5433">
      <w:pPr>
        <w:tabs>
          <w:tab w:val="left" w:pos="5647"/>
        </w:tabs>
        <w:spacing w:after="0" w:line="360" w:lineRule="auto"/>
        <w:ind w:right="850"/>
        <w:jc w:val="both"/>
        <w:rPr>
          <w:rFonts w:ascii="Palatino Linotype" w:hAnsi="Palatino Linotype"/>
          <w:color w:val="000000"/>
          <w:sz w:val="24"/>
          <w:szCs w:val="24"/>
        </w:rPr>
      </w:pPr>
      <w:r w:rsidRPr="007F109C">
        <w:rPr>
          <w:rFonts w:ascii="Palatino Linotype" w:eastAsia="Times New Roman" w:hAnsi="Palatino Linotype" w:cs="Times New Roman"/>
          <w:sz w:val="24"/>
          <w:szCs w:val="24"/>
          <w:lang w:val="es-ES_tradnl" w:eastAsia="es-ES"/>
        </w:rPr>
        <w:lastRenderedPageBreak/>
        <w:t xml:space="preserve">Modalidad de entrega: </w:t>
      </w:r>
      <w:r w:rsidRPr="007F109C">
        <w:rPr>
          <w:rFonts w:ascii="Palatino Linotype" w:hAnsi="Palatino Linotype"/>
          <w:b/>
          <w:i/>
          <w:color w:val="000000"/>
          <w:sz w:val="24"/>
          <w:szCs w:val="24"/>
        </w:rPr>
        <w:t>A través del SAIMEX</w:t>
      </w:r>
    </w:p>
    <w:p w:rsidR="00CE5433" w:rsidRPr="007F109C" w:rsidRDefault="00CE5433" w:rsidP="00CE5433">
      <w:pPr>
        <w:tabs>
          <w:tab w:val="left" w:pos="5647"/>
        </w:tabs>
        <w:spacing w:after="0" w:line="360" w:lineRule="auto"/>
        <w:ind w:right="850"/>
        <w:jc w:val="both"/>
        <w:rPr>
          <w:rFonts w:ascii="Palatino Linotype" w:hAnsi="Palatino Linotype"/>
          <w:color w:val="000000"/>
          <w:sz w:val="24"/>
          <w:szCs w:val="24"/>
        </w:rPr>
      </w:pPr>
    </w:p>
    <w:p w:rsidR="00CE5433" w:rsidRPr="007F109C" w:rsidRDefault="00CE5433" w:rsidP="00CE5433">
      <w:pPr>
        <w:spacing w:after="0" w:line="360" w:lineRule="auto"/>
        <w:jc w:val="both"/>
        <w:rPr>
          <w:rFonts w:ascii="Palatino Linotype" w:eastAsia="Times New Roman" w:hAnsi="Palatino Linotype" w:cs="Times New Roman"/>
          <w:sz w:val="24"/>
          <w:szCs w:val="24"/>
          <w:lang w:val="es-ES" w:eastAsia="es-ES"/>
        </w:rPr>
      </w:pPr>
      <w:r w:rsidRPr="007F109C">
        <w:rPr>
          <w:rFonts w:ascii="Palatino Linotype" w:hAnsi="Palatino Linotype" w:cs="Arial"/>
          <w:b/>
          <w:sz w:val="28"/>
          <w:szCs w:val="24"/>
        </w:rPr>
        <w:t>SEGUNDO</w:t>
      </w:r>
      <w:r w:rsidRPr="007F109C">
        <w:rPr>
          <w:rFonts w:ascii="Palatino Linotype" w:hAnsi="Palatino Linotype" w:cs="Arial"/>
          <w:b/>
          <w:sz w:val="24"/>
          <w:szCs w:val="24"/>
        </w:rPr>
        <w:t xml:space="preserve">. </w:t>
      </w:r>
      <w:r w:rsidRPr="007F109C">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7F109C">
        <w:rPr>
          <w:rFonts w:ascii="Palatino Linotype" w:eastAsia="Times New Roman" w:hAnsi="Palatino Linotype" w:cs="Times New Roman"/>
          <w:sz w:val="24"/>
          <w:szCs w:val="24"/>
          <w:lang w:val="es-ES" w:eastAsia="es-ES"/>
        </w:rPr>
        <w:t>aperturado</w:t>
      </w:r>
      <w:proofErr w:type="spellEnd"/>
      <w:r w:rsidRPr="007F109C">
        <w:rPr>
          <w:rFonts w:ascii="Palatino Linotype" w:eastAsia="Times New Roman" w:hAnsi="Palatino Linotype" w:cs="Times New Roman"/>
          <w:sz w:val="24"/>
          <w:szCs w:val="24"/>
          <w:lang w:val="es-ES" w:eastAsia="es-ES"/>
        </w:rPr>
        <w:t xml:space="preserve"> con motivo del ingreso de la solicitud de información, se advierte que el</w:t>
      </w:r>
      <w:r w:rsidRPr="007F109C">
        <w:rPr>
          <w:rFonts w:ascii="Palatino Linotype" w:eastAsia="Times New Roman" w:hAnsi="Palatino Linotype" w:cs="Times New Roman"/>
          <w:b/>
          <w:sz w:val="24"/>
          <w:szCs w:val="24"/>
          <w:lang w:val="es-ES" w:eastAsia="es-ES"/>
        </w:rPr>
        <w:t xml:space="preserve"> Sujeto Obligado </w:t>
      </w:r>
      <w:r w:rsidRPr="007F109C">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12</w:t>
      </w:r>
      <w:r w:rsidRPr="007F109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doce</w:t>
      </w:r>
      <w:r w:rsidRPr="007F109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septiembre</w:t>
      </w:r>
      <w:r w:rsidRPr="007F109C">
        <w:rPr>
          <w:rFonts w:ascii="Palatino Linotype" w:eastAsia="Times New Roman" w:hAnsi="Palatino Linotype" w:cs="Times New Roman"/>
          <w:sz w:val="24"/>
          <w:szCs w:val="24"/>
          <w:lang w:val="es-ES" w:eastAsia="es-ES"/>
        </w:rPr>
        <w:t xml:space="preserve"> de 2022 (dos mil veintidós), en los términos siguientes:</w:t>
      </w:r>
    </w:p>
    <w:p w:rsidR="00CE5433" w:rsidRPr="007F109C" w:rsidRDefault="00CE5433" w:rsidP="00CE5433">
      <w:pPr>
        <w:spacing w:after="0" w:line="360" w:lineRule="auto"/>
        <w:jc w:val="both"/>
        <w:rPr>
          <w:rFonts w:ascii="Palatino Linotype" w:hAnsi="Palatino Linotype" w:cs="Arial"/>
          <w:sz w:val="24"/>
          <w:szCs w:val="28"/>
        </w:rPr>
      </w:pPr>
    </w:p>
    <w:p w:rsidR="00CE5433" w:rsidRPr="007F109C" w:rsidRDefault="00CE5433" w:rsidP="00CE543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F109C">
        <w:rPr>
          <w:rFonts w:ascii="Palatino Linotype" w:eastAsia="Times New Roman" w:hAnsi="Palatino Linotype" w:cs="Times New Roman"/>
          <w:i/>
          <w:szCs w:val="24"/>
          <w:lang w:val="es-ES_tradnl" w:eastAsia="es-ES"/>
        </w:rPr>
        <w:t>"</w:t>
      </w:r>
      <w:r w:rsidRPr="00CE5433">
        <w:rPr>
          <w:rFonts w:ascii="Palatino Linotype" w:eastAsia="Times New Roman" w:hAnsi="Palatino Linotype" w:cs="Times New Roman"/>
          <w:i/>
          <w:szCs w:val="24"/>
          <w:lang w:val="es-ES_tradnl" w:eastAsia="es-ES"/>
        </w:rPr>
        <w:t>Se adjunta respuesta.</w:t>
      </w:r>
      <w:r w:rsidRPr="007F109C">
        <w:rPr>
          <w:rFonts w:ascii="Palatino Linotype" w:eastAsia="Times New Roman" w:hAnsi="Palatino Linotype" w:cs="Times New Roman"/>
          <w:i/>
          <w:szCs w:val="24"/>
          <w:lang w:val="es-ES_tradnl" w:eastAsia="es-ES"/>
        </w:rPr>
        <w:t>"</w:t>
      </w:r>
    </w:p>
    <w:p w:rsidR="00CE5433" w:rsidRPr="007F109C" w:rsidRDefault="00CE5433" w:rsidP="00CE5433">
      <w:pPr>
        <w:spacing w:after="0" w:line="360" w:lineRule="auto"/>
        <w:jc w:val="both"/>
        <w:rPr>
          <w:rFonts w:ascii="Palatino Linotype" w:hAnsi="Palatino Linotype" w:cs="Arial"/>
          <w:sz w:val="24"/>
          <w:szCs w:val="24"/>
        </w:rPr>
      </w:pP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Se hace constar que el </w:t>
      </w:r>
      <w:r w:rsidRPr="007F109C">
        <w:rPr>
          <w:rFonts w:ascii="Palatino Linotype" w:hAnsi="Palatino Linotype" w:cs="Arial"/>
          <w:b/>
          <w:sz w:val="24"/>
          <w:szCs w:val="24"/>
        </w:rPr>
        <w:t>Sujeto Obligado</w:t>
      </w:r>
      <w:r w:rsidRPr="007F109C">
        <w:rPr>
          <w:rFonts w:ascii="Palatino Linotype" w:hAnsi="Palatino Linotype" w:cs="Arial"/>
          <w:sz w:val="24"/>
          <w:szCs w:val="24"/>
        </w:rPr>
        <w:t xml:space="preserve"> adjunto </w:t>
      </w:r>
      <w:r>
        <w:rPr>
          <w:rFonts w:ascii="Palatino Linotype" w:hAnsi="Palatino Linotype" w:cs="Arial"/>
          <w:sz w:val="24"/>
          <w:szCs w:val="24"/>
        </w:rPr>
        <w:t>el documento</w:t>
      </w:r>
      <w:r w:rsidRPr="007F109C">
        <w:rPr>
          <w:rFonts w:ascii="Palatino Linotype" w:hAnsi="Palatino Linotype" w:cs="Arial"/>
          <w:sz w:val="24"/>
          <w:szCs w:val="24"/>
        </w:rPr>
        <w:t xml:space="preserve"> electrónico denominado “</w:t>
      </w:r>
      <w:r w:rsidRPr="00CE5433">
        <w:rPr>
          <w:rFonts w:ascii="Palatino Linotype" w:hAnsi="Palatino Linotype" w:cs="Arial"/>
          <w:b/>
          <w:i/>
          <w:sz w:val="24"/>
          <w:szCs w:val="24"/>
        </w:rPr>
        <w:t>00004UPTIP2022.pdf</w:t>
      </w:r>
      <w:r w:rsidRPr="007F109C">
        <w:rPr>
          <w:rFonts w:ascii="Palatino Linotype" w:hAnsi="Palatino Linotype" w:cs="Arial"/>
          <w:sz w:val="24"/>
          <w:szCs w:val="24"/>
        </w:rPr>
        <w:t xml:space="preserve">”, </w:t>
      </w:r>
      <w:r>
        <w:rPr>
          <w:rFonts w:ascii="Palatino Linotype" w:hAnsi="Palatino Linotype" w:cs="Arial"/>
          <w:sz w:val="24"/>
          <w:szCs w:val="24"/>
        </w:rPr>
        <w:t>que</w:t>
      </w:r>
      <w:r w:rsidRPr="007F109C">
        <w:rPr>
          <w:rFonts w:ascii="Palatino Linotype" w:hAnsi="Palatino Linotype" w:cs="Arial"/>
          <w:sz w:val="24"/>
          <w:szCs w:val="24"/>
        </w:rPr>
        <w:t xml:space="preserve"> al ser del conocimiento de las partes, se omite su inserción en este apartado, en obvio de repeticiones innecesarias.</w:t>
      </w:r>
    </w:p>
    <w:p w:rsidR="00CE5433" w:rsidRPr="007F109C" w:rsidRDefault="00CE5433" w:rsidP="00CE5433">
      <w:pPr>
        <w:spacing w:after="0" w:line="360" w:lineRule="auto"/>
        <w:jc w:val="both"/>
        <w:rPr>
          <w:rFonts w:ascii="Palatino Linotype" w:hAnsi="Palatino Linotype" w:cs="Arial"/>
          <w:sz w:val="24"/>
          <w:szCs w:val="24"/>
        </w:rPr>
      </w:pPr>
    </w:p>
    <w:p w:rsidR="00CE5433" w:rsidRPr="007F109C" w:rsidRDefault="00CE5433" w:rsidP="00CE5433">
      <w:pPr>
        <w:spacing w:after="0" w:line="360" w:lineRule="auto"/>
        <w:jc w:val="both"/>
        <w:rPr>
          <w:rFonts w:ascii="Palatino Linotype" w:eastAsia="Times New Roman" w:hAnsi="Palatino Linotype" w:cs="Arial"/>
          <w:sz w:val="24"/>
          <w:szCs w:val="24"/>
          <w:lang w:val="es-ES" w:eastAsia="es-ES"/>
        </w:rPr>
      </w:pPr>
      <w:r w:rsidRPr="007F109C">
        <w:rPr>
          <w:rFonts w:ascii="Palatino Linotype" w:hAnsi="Palatino Linotype" w:cs="Arial"/>
          <w:b/>
          <w:sz w:val="28"/>
          <w:szCs w:val="28"/>
        </w:rPr>
        <w:t>TERCERO</w:t>
      </w:r>
      <w:r w:rsidRPr="007F109C">
        <w:rPr>
          <w:rFonts w:ascii="Palatino Linotype" w:hAnsi="Palatino Linotype" w:cs="Arial"/>
          <w:sz w:val="24"/>
          <w:szCs w:val="24"/>
        </w:rPr>
        <w:t xml:space="preserve">. </w:t>
      </w:r>
      <w:r w:rsidRPr="007F109C">
        <w:rPr>
          <w:rFonts w:ascii="Palatino Linotype" w:eastAsia="Times New Roman" w:hAnsi="Palatino Linotype" w:cs="Arial"/>
          <w:sz w:val="24"/>
          <w:szCs w:val="24"/>
          <w:lang w:val="es-ES" w:eastAsia="es-ES"/>
        </w:rPr>
        <w:t xml:space="preserve">Inconforme con la respuesta proporcionada, en fecha </w:t>
      </w:r>
      <w:r>
        <w:rPr>
          <w:rFonts w:ascii="Palatino Linotype" w:eastAsia="Times New Roman" w:hAnsi="Palatino Linotype" w:cs="Arial"/>
          <w:sz w:val="24"/>
          <w:szCs w:val="24"/>
          <w:lang w:val="es-ES" w:eastAsia="es-ES"/>
        </w:rPr>
        <w:t>12</w:t>
      </w:r>
      <w:r w:rsidRPr="007F109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doce</w:t>
      </w:r>
      <w:r w:rsidRPr="007F109C">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7F109C">
        <w:rPr>
          <w:rFonts w:ascii="Palatino Linotype" w:eastAsia="Times New Roman" w:hAnsi="Palatino Linotype" w:cs="Arial"/>
          <w:sz w:val="24"/>
          <w:szCs w:val="24"/>
          <w:lang w:val="es-ES" w:eastAsia="es-ES"/>
        </w:rPr>
        <w:t xml:space="preserve"> de 2022 (dos mil veintidós), el</w:t>
      </w:r>
      <w:r w:rsidRPr="007F109C">
        <w:rPr>
          <w:rFonts w:ascii="Palatino Linotype" w:eastAsia="Times New Roman" w:hAnsi="Palatino Linotype" w:cs="Arial"/>
          <w:b/>
          <w:color w:val="000000"/>
          <w:sz w:val="24"/>
          <w:szCs w:val="24"/>
          <w:lang w:val="es-ES" w:eastAsia="es-ES"/>
        </w:rPr>
        <w:t xml:space="preserve"> Recurrente</w:t>
      </w:r>
      <w:r w:rsidRPr="007F109C">
        <w:rPr>
          <w:rFonts w:ascii="Palatino Linotype" w:eastAsia="Times New Roman" w:hAnsi="Palatino Linotype" w:cs="Arial"/>
          <w:color w:val="000000"/>
          <w:sz w:val="24"/>
          <w:szCs w:val="24"/>
          <w:lang w:val="es-ES" w:eastAsia="es-ES"/>
        </w:rPr>
        <w:t xml:space="preserve"> </w:t>
      </w:r>
      <w:r w:rsidRPr="007F109C">
        <w:rPr>
          <w:rFonts w:ascii="Palatino Linotype" w:eastAsia="Times New Roman" w:hAnsi="Palatino Linotype" w:cs="Arial"/>
          <w:sz w:val="24"/>
          <w:szCs w:val="24"/>
          <w:lang w:val="es-ES" w:eastAsia="es-ES"/>
        </w:rPr>
        <w:t>interpuso el recurso de revisión, quedando registrado en el</w:t>
      </w:r>
      <w:r w:rsidRPr="007F109C">
        <w:rPr>
          <w:rFonts w:ascii="Palatino Linotype" w:eastAsia="Arial Unicode MS" w:hAnsi="Palatino Linotype" w:cs="Arial"/>
          <w:b/>
          <w:sz w:val="24"/>
          <w:szCs w:val="24"/>
          <w:lang w:val="es-ES" w:eastAsia="es-ES"/>
        </w:rPr>
        <w:t xml:space="preserve"> SAIMEX</w:t>
      </w:r>
      <w:r w:rsidRPr="007F109C">
        <w:rPr>
          <w:rFonts w:ascii="Palatino Linotype" w:eastAsia="Arial Unicode MS" w:hAnsi="Palatino Linotype" w:cs="Arial"/>
          <w:sz w:val="24"/>
          <w:szCs w:val="24"/>
          <w:lang w:val="es-ES" w:eastAsia="es-ES"/>
        </w:rPr>
        <w:t xml:space="preserve"> con el número de recurso </w:t>
      </w:r>
      <w:r w:rsidRPr="007F109C">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4660</w:t>
      </w:r>
      <w:r w:rsidRPr="007F109C">
        <w:rPr>
          <w:rFonts w:ascii="Palatino Linotype" w:eastAsia="Times New Roman" w:hAnsi="Palatino Linotype" w:cs="Times New Roman"/>
          <w:b/>
          <w:sz w:val="24"/>
          <w:szCs w:val="24"/>
          <w:lang w:val="es-ES" w:eastAsia="es-ES"/>
        </w:rPr>
        <w:t xml:space="preserve">/INFOEM/IP/RR/2022, </w:t>
      </w:r>
      <w:r w:rsidRPr="007F109C">
        <w:rPr>
          <w:rFonts w:ascii="Palatino Linotype" w:eastAsia="Times New Roman" w:hAnsi="Palatino Linotype" w:cs="Arial"/>
          <w:sz w:val="24"/>
          <w:szCs w:val="24"/>
          <w:lang w:val="es-ES" w:eastAsia="es-ES"/>
        </w:rPr>
        <w:t>en el que expresó como acto impugnado y razones o motivos de inconformidad los mismos, por lo que en obvio de repeticiones innecesarias, se insertan una sola ocasión a continuación:</w:t>
      </w:r>
    </w:p>
    <w:p w:rsidR="00CE5433" w:rsidRPr="007F109C" w:rsidRDefault="00CE5433" w:rsidP="00CE5433">
      <w:pPr>
        <w:spacing w:after="0" w:line="360" w:lineRule="auto"/>
        <w:ind w:right="51"/>
        <w:jc w:val="both"/>
        <w:rPr>
          <w:rFonts w:ascii="Palatino Linotype" w:eastAsia="Times New Roman" w:hAnsi="Palatino Linotype" w:cs="Arial"/>
          <w:sz w:val="24"/>
          <w:szCs w:val="24"/>
          <w:lang w:val="es-ES" w:eastAsia="es-ES"/>
        </w:rPr>
      </w:pPr>
    </w:p>
    <w:p w:rsidR="00CE5433" w:rsidRPr="007F109C" w:rsidRDefault="00CE5433" w:rsidP="00CE5433">
      <w:pPr>
        <w:spacing w:after="0" w:line="276" w:lineRule="auto"/>
        <w:ind w:right="616"/>
        <w:jc w:val="both"/>
        <w:rPr>
          <w:rFonts w:ascii="Palatino Linotype" w:eastAsia="Times New Roman" w:hAnsi="Palatino Linotype" w:cs="Times New Roman"/>
          <w:sz w:val="24"/>
          <w:szCs w:val="24"/>
          <w:lang w:val="es-ES" w:eastAsia="es-ES"/>
        </w:rPr>
      </w:pPr>
      <w:r w:rsidRPr="007F109C">
        <w:rPr>
          <w:rFonts w:ascii="Palatino Linotype" w:eastAsia="Times New Roman" w:hAnsi="Palatino Linotype" w:cs="Times New Roman"/>
          <w:b/>
          <w:sz w:val="24"/>
          <w:szCs w:val="24"/>
          <w:lang w:val="es-ES" w:eastAsia="es-ES"/>
        </w:rPr>
        <w:t>Acto Impugnado</w:t>
      </w:r>
      <w:r>
        <w:rPr>
          <w:rFonts w:ascii="Palatino Linotype" w:eastAsia="Times New Roman" w:hAnsi="Palatino Linotype" w:cs="Times New Roman"/>
          <w:b/>
          <w:sz w:val="24"/>
          <w:szCs w:val="24"/>
          <w:lang w:val="es-ES" w:eastAsia="es-ES"/>
        </w:rPr>
        <w:t xml:space="preserve"> y</w:t>
      </w:r>
      <w:r w:rsidRPr="007F109C">
        <w:rPr>
          <w:rFonts w:ascii="Palatino Linotype" w:eastAsia="Times New Roman" w:hAnsi="Palatino Linotype" w:cs="Times New Roman"/>
          <w:b/>
          <w:sz w:val="24"/>
          <w:szCs w:val="24"/>
          <w:lang w:val="es-ES" w:eastAsia="es-ES"/>
        </w:rPr>
        <w:t xml:space="preserve"> Razones o motivos de inconformidad:</w:t>
      </w:r>
    </w:p>
    <w:p w:rsidR="00CE5433" w:rsidRPr="007F109C" w:rsidRDefault="00CE5433" w:rsidP="00C170BB">
      <w:pPr>
        <w:spacing w:after="0" w:line="360" w:lineRule="auto"/>
        <w:ind w:right="616"/>
        <w:jc w:val="both"/>
        <w:rPr>
          <w:rFonts w:ascii="Palatino Linotype" w:eastAsia="Times New Roman" w:hAnsi="Palatino Linotype" w:cs="Times New Roman"/>
          <w:sz w:val="24"/>
          <w:szCs w:val="24"/>
          <w:lang w:val="es-ES" w:eastAsia="es-ES"/>
        </w:rPr>
      </w:pPr>
    </w:p>
    <w:p w:rsidR="00CE5433" w:rsidRPr="007F109C" w:rsidRDefault="00CE5433" w:rsidP="00CE5433">
      <w:pPr>
        <w:spacing w:after="0" w:line="240" w:lineRule="auto"/>
        <w:ind w:left="567" w:right="616"/>
        <w:jc w:val="both"/>
        <w:rPr>
          <w:rFonts w:ascii="Palatino Linotype" w:eastAsia="Times New Roman" w:hAnsi="Palatino Linotype" w:cs="Times New Roman"/>
          <w:i/>
          <w:sz w:val="24"/>
          <w:szCs w:val="24"/>
          <w:lang w:val="es-ES" w:eastAsia="es-ES"/>
        </w:rPr>
      </w:pPr>
      <w:r w:rsidRPr="007F109C">
        <w:rPr>
          <w:rFonts w:ascii="Palatino Linotype" w:eastAsia="Times New Roman" w:hAnsi="Palatino Linotype" w:cs="Times New Roman"/>
          <w:i/>
          <w:sz w:val="24"/>
          <w:szCs w:val="24"/>
          <w:lang w:val="es-ES" w:eastAsia="es-ES"/>
        </w:rPr>
        <w:t>“</w:t>
      </w:r>
      <w:r w:rsidRPr="00CE5433">
        <w:rPr>
          <w:rFonts w:ascii="Palatino Linotype" w:eastAsia="Times New Roman" w:hAnsi="Palatino Linotype" w:cs="Times New Roman"/>
          <w:i/>
          <w:sz w:val="24"/>
          <w:szCs w:val="24"/>
          <w:lang w:eastAsia="es-ES"/>
        </w:rPr>
        <w:t>LA FALTA DE ENTREGA DE INFORMACION EN VERSION PUBLICA O BIEN EL ACEURDO RESPECTIVO DE SU CLASIFICACIÓN</w:t>
      </w:r>
      <w:r w:rsidRPr="007F109C">
        <w:rPr>
          <w:rFonts w:ascii="Palatino Linotype" w:eastAsia="Times New Roman" w:hAnsi="Palatino Linotype" w:cs="Times New Roman"/>
          <w:i/>
          <w:sz w:val="24"/>
          <w:szCs w:val="24"/>
          <w:lang w:val="es-ES" w:eastAsia="es-ES"/>
        </w:rPr>
        <w:t>” (sic)</w:t>
      </w:r>
    </w:p>
    <w:p w:rsidR="00CE5433" w:rsidRDefault="00CE5433" w:rsidP="00CE5433">
      <w:pPr>
        <w:spacing w:after="0" w:line="360" w:lineRule="auto"/>
        <w:jc w:val="both"/>
        <w:rPr>
          <w:rFonts w:ascii="Palatino Linotype" w:eastAsia="Times New Roman" w:hAnsi="Palatino Linotype" w:cs="Arial"/>
          <w:sz w:val="24"/>
          <w:lang w:eastAsia="es-ES"/>
        </w:rPr>
      </w:pPr>
    </w:p>
    <w:p w:rsidR="00CE5433" w:rsidRPr="007F109C" w:rsidRDefault="00CE5433" w:rsidP="00CE5433">
      <w:pPr>
        <w:spacing w:after="0" w:line="360" w:lineRule="auto"/>
        <w:jc w:val="both"/>
        <w:rPr>
          <w:rFonts w:ascii="Palatino Linotype" w:eastAsia="Times New Roman" w:hAnsi="Palatino Linotype" w:cs="Arial"/>
          <w:sz w:val="24"/>
          <w:szCs w:val="24"/>
          <w:lang w:val="es-ES_tradnl" w:eastAsia="es-ES"/>
        </w:rPr>
      </w:pPr>
      <w:r w:rsidRPr="007F109C">
        <w:rPr>
          <w:rFonts w:ascii="Palatino Linotype" w:eastAsia="Times New Roman" w:hAnsi="Palatino Linotype" w:cs="Arial"/>
          <w:b/>
          <w:sz w:val="28"/>
          <w:lang w:eastAsia="es-ES"/>
        </w:rPr>
        <w:lastRenderedPageBreak/>
        <w:t xml:space="preserve">CUARTO. </w:t>
      </w:r>
      <w:r w:rsidRPr="007F109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12</w:t>
      </w:r>
      <w:r w:rsidRPr="007F109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doce</w:t>
      </w:r>
      <w:r w:rsidRPr="007F109C">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7F109C">
        <w:rPr>
          <w:rFonts w:ascii="Palatino Linotype" w:eastAsia="Times New Roman" w:hAnsi="Palatino Linotype" w:cs="Arial"/>
          <w:sz w:val="24"/>
          <w:szCs w:val="24"/>
          <w:lang w:val="es-ES" w:eastAsia="es-ES"/>
        </w:rPr>
        <w:t xml:space="preserve"> de 2022 (dos mil veintidós), el </w:t>
      </w:r>
      <w:r w:rsidRPr="007F109C">
        <w:rPr>
          <w:rFonts w:ascii="Palatino Linotype" w:eastAsia="Times New Roman" w:hAnsi="Palatino Linotype" w:cs="Arial"/>
          <w:sz w:val="24"/>
          <w:szCs w:val="24"/>
          <w:lang w:val="es-ES_tradnl" w:eastAsia="es-ES"/>
        </w:rPr>
        <w:t>recurso de que</w:t>
      </w:r>
      <w:r w:rsidRPr="007F109C">
        <w:rPr>
          <w:rFonts w:ascii="Palatino Linotype" w:eastAsia="Times New Roman" w:hAnsi="Palatino Linotype" w:cs="Arial"/>
          <w:sz w:val="24"/>
          <w:szCs w:val="24"/>
          <w:lang w:val="es-ES" w:eastAsia="es-ES"/>
        </w:rPr>
        <w:t xml:space="preserve"> se trata</w:t>
      </w:r>
      <w:r w:rsidRPr="007F109C">
        <w:rPr>
          <w:rFonts w:ascii="Palatino Linotype" w:eastAsia="Times New Roman" w:hAnsi="Palatino Linotype" w:cs="Arial"/>
          <w:sz w:val="24"/>
          <w:szCs w:val="24"/>
          <w:lang w:val="es-ES_tradnl" w:eastAsia="es-ES"/>
        </w:rPr>
        <w:t xml:space="preserve"> se envió electrónicamente al Instituto de </w:t>
      </w:r>
      <w:r w:rsidRPr="007F109C">
        <w:rPr>
          <w:rFonts w:ascii="Palatino Linotype" w:eastAsia="Arial Unicode MS" w:hAnsi="Palatino Linotype" w:cs="Arial"/>
          <w:sz w:val="24"/>
          <w:szCs w:val="24"/>
          <w:lang w:val="es-ES" w:eastAsia="es-ES"/>
        </w:rPr>
        <w:t>Transparencia</w:t>
      </w:r>
      <w:r w:rsidRPr="007F109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F109C">
        <w:rPr>
          <w:rFonts w:ascii="Palatino Linotype" w:eastAsia="Times New Roman" w:hAnsi="Palatino Linotype" w:cs="Times New Roman"/>
          <w:sz w:val="24"/>
          <w:szCs w:val="24"/>
          <w:lang w:val="es-ES" w:eastAsia="es-ES"/>
        </w:rPr>
        <w:t>Ley de Transparencia y Acceso a la Información Pública del Estado de México y Municipios</w:t>
      </w:r>
      <w:r w:rsidRPr="007F109C">
        <w:rPr>
          <w:rFonts w:ascii="Palatino Linotype" w:eastAsia="Times New Roman" w:hAnsi="Palatino Linotype" w:cs="Arial"/>
          <w:sz w:val="24"/>
          <w:szCs w:val="24"/>
          <w:lang w:val="es-ES_tradnl" w:eastAsia="es-ES"/>
        </w:rPr>
        <w:t>, y se turnó a través del</w:t>
      </w:r>
      <w:r w:rsidRPr="007F109C">
        <w:rPr>
          <w:rFonts w:ascii="Palatino Linotype" w:eastAsia="Arial Unicode MS" w:hAnsi="Palatino Linotype" w:cs="Arial"/>
          <w:sz w:val="24"/>
          <w:szCs w:val="24"/>
          <w:lang w:val="es-ES_tradnl" w:eastAsia="es-ES"/>
        </w:rPr>
        <w:t xml:space="preserve"> </w:t>
      </w:r>
      <w:r w:rsidRPr="007F109C">
        <w:rPr>
          <w:rFonts w:ascii="Palatino Linotype" w:eastAsia="Arial Unicode MS" w:hAnsi="Palatino Linotype" w:cs="Arial"/>
          <w:b/>
          <w:sz w:val="24"/>
          <w:szCs w:val="24"/>
          <w:lang w:val="es-ES_tradnl" w:eastAsia="es-ES"/>
        </w:rPr>
        <w:t>SAIMEX</w:t>
      </w:r>
      <w:r w:rsidRPr="007F109C">
        <w:rPr>
          <w:rFonts w:ascii="Palatino Linotype" w:eastAsia="Times New Roman" w:hAnsi="Palatino Linotype" w:cs="Times New Roman"/>
          <w:sz w:val="24"/>
          <w:szCs w:val="24"/>
          <w:lang w:val="es-ES" w:eastAsia="es-ES"/>
        </w:rPr>
        <w:t xml:space="preserve"> al </w:t>
      </w:r>
      <w:r w:rsidRPr="007F109C">
        <w:rPr>
          <w:rFonts w:ascii="Palatino Linotype" w:eastAsia="Times New Roman" w:hAnsi="Palatino Linotype" w:cs="Arial"/>
          <w:sz w:val="24"/>
          <w:szCs w:val="24"/>
          <w:lang w:val="es-ES_tradnl" w:eastAsia="es-ES"/>
        </w:rPr>
        <w:t xml:space="preserve">Comisionado Presidente </w:t>
      </w:r>
      <w:r w:rsidRPr="007F109C">
        <w:rPr>
          <w:rFonts w:ascii="Palatino Linotype" w:eastAsia="Times New Roman" w:hAnsi="Palatino Linotype" w:cs="Arial"/>
          <w:b/>
          <w:sz w:val="24"/>
          <w:szCs w:val="24"/>
          <w:lang w:val="es-ES_tradnl" w:eastAsia="es-ES"/>
        </w:rPr>
        <w:t xml:space="preserve">JOSÉ MARTÍNEZ VILCHIS, </w:t>
      </w:r>
      <w:r w:rsidRPr="007F109C">
        <w:rPr>
          <w:rFonts w:ascii="Palatino Linotype" w:eastAsia="Times New Roman" w:hAnsi="Palatino Linotype" w:cs="Arial"/>
          <w:sz w:val="24"/>
          <w:szCs w:val="24"/>
          <w:lang w:val="es-ES_tradnl" w:eastAsia="es-ES"/>
        </w:rPr>
        <w:t xml:space="preserve">a efecto de que decretara su admisión o </w:t>
      </w:r>
      <w:proofErr w:type="spellStart"/>
      <w:r w:rsidRPr="007F109C">
        <w:rPr>
          <w:rFonts w:ascii="Palatino Linotype" w:eastAsia="Times New Roman" w:hAnsi="Palatino Linotype" w:cs="Arial"/>
          <w:sz w:val="24"/>
          <w:szCs w:val="24"/>
          <w:lang w:val="es-ES_tradnl" w:eastAsia="es-ES"/>
        </w:rPr>
        <w:t>desechamiento</w:t>
      </w:r>
      <w:proofErr w:type="spellEnd"/>
      <w:r w:rsidRPr="007F109C">
        <w:rPr>
          <w:rFonts w:ascii="Palatino Linotype" w:eastAsia="Times New Roman" w:hAnsi="Palatino Linotype" w:cs="Arial"/>
          <w:sz w:val="24"/>
          <w:szCs w:val="24"/>
          <w:lang w:val="es-ES_tradnl" w:eastAsia="es-ES"/>
        </w:rPr>
        <w:t>.</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_tradnl"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b/>
          <w:sz w:val="28"/>
          <w:szCs w:val="28"/>
          <w:lang w:val="es-ES_tradnl" w:eastAsia="es-ES"/>
        </w:rPr>
        <w:t xml:space="preserve">QUINTO. </w:t>
      </w:r>
      <w:r w:rsidRPr="007F109C">
        <w:rPr>
          <w:rFonts w:ascii="Palatino Linotype" w:eastAsia="Times New Roman" w:hAnsi="Palatino Linotype" w:cs="Arial"/>
          <w:sz w:val="24"/>
          <w:szCs w:val="24"/>
          <w:lang w:val="es-ES_tradnl" w:eastAsia="es-ES"/>
        </w:rPr>
        <w:t>E</w:t>
      </w:r>
      <w:r w:rsidRPr="007F109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15</w:t>
      </w:r>
      <w:r w:rsidRPr="007F109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quince</w:t>
      </w:r>
      <w:r w:rsidRPr="007F109C">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7F109C">
        <w:rPr>
          <w:rFonts w:ascii="Palatino Linotype" w:eastAsia="Times New Roman" w:hAnsi="Palatino Linotype" w:cs="Arial"/>
          <w:sz w:val="24"/>
          <w:szCs w:val="24"/>
          <w:lang w:val="es-ES" w:eastAsia="es-ES"/>
        </w:rPr>
        <w:t xml:space="preserve"> de 2022 (dos mil veintidós), atento a lo dispuesto en el </w:t>
      </w:r>
      <w:r w:rsidRPr="007F109C">
        <w:rPr>
          <w:rFonts w:ascii="Palatino Linotype" w:eastAsia="Times New Roman" w:hAnsi="Palatino Linotype" w:cs="Arial"/>
          <w:sz w:val="24"/>
          <w:szCs w:val="24"/>
          <w:lang w:val="es-ES_tradnl" w:eastAsia="es-ES"/>
        </w:rPr>
        <w:t>artículo</w:t>
      </w:r>
      <w:r w:rsidRPr="007F109C">
        <w:rPr>
          <w:rFonts w:ascii="Palatino Linotype" w:eastAsia="Times New Roman" w:hAnsi="Palatino Linotype" w:cs="Arial"/>
          <w:sz w:val="24"/>
          <w:szCs w:val="24"/>
          <w:lang w:val="es-ES" w:eastAsia="es-ES"/>
        </w:rPr>
        <w:t xml:space="preserve"> 185 fracciones I, II y IV </w:t>
      </w:r>
      <w:r w:rsidRPr="007F109C">
        <w:rPr>
          <w:rFonts w:ascii="Palatino Linotype" w:eastAsia="Times New Roman" w:hAnsi="Palatino Linotype" w:cs="Arial"/>
          <w:sz w:val="24"/>
          <w:szCs w:val="24"/>
          <w:lang w:val="es-ES_tradnl" w:eastAsia="es-ES"/>
        </w:rPr>
        <w:t xml:space="preserve">de la </w:t>
      </w:r>
      <w:r w:rsidRPr="007F109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F109C">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b/>
          <w:sz w:val="28"/>
          <w:szCs w:val="28"/>
        </w:rPr>
        <w:t xml:space="preserve">SEXTO. </w:t>
      </w:r>
      <w:r w:rsidRPr="007F109C">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w:t>
      </w:r>
      <w:r w:rsidRPr="007F109C">
        <w:rPr>
          <w:rFonts w:ascii="Palatino Linotype" w:hAnsi="Palatino Linotype" w:cs="Arial"/>
          <w:sz w:val="24"/>
          <w:szCs w:val="24"/>
        </w:rPr>
        <w:t xml:space="preserve"> el </w:t>
      </w:r>
      <w:r w:rsidRPr="007F109C">
        <w:rPr>
          <w:rFonts w:ascii="Palatino Linotype" w:hAnsi="Palatino Linotype" w:cs="Arial"/>
          <w:b/>
          <w:sz w:val="24"/>
          <w:szCs w:val="24"/>
        </w:rPr>
        <w:t>Sujeto Obligado</w:t>
      </w:r>
      <w:r w:rsidRPr="007F109C">
        <w:rPr>
          <w:rFonts w:ascii="Palatino Linotype" w:hAnsi="Palatino Linotype" w:cs="Arial"/>
          <w:sz w:val="24"/>
          <w:szCs w:val="24"/>
        </w:rPr>
        <w:t xml:space="preserve"> </w:t>
      </w:r>
      <w:r>
        <w:rPr>
          <w:rFonts w:ascii="Palatino Linotype" w:hAnsi="Palatino Linotype" w:cs="Arial"/>
          <w:sz w:val="24"/>
          <w:szCs w:val="24"/>
        </w:rPr>
        <w:t xml:space="preserve">como el </w:t>
      </w:r>
      <w:r w:rsidRPr="007F109C">
        <w:rPr>
          <w:rFonts w:ascii="Palatino Linotype" w:hAnsi="Palatino Linotype" w:cs="Arial"/>
          <w:b/>
          <w:sz w:val="24"/>
          <w:szCs w:val="24"/>
        </w:rPr>
        <w:t>Recurrente</w:t>
      </w:r>
      <w:r>
        <w:rPr>
          <w:rFonts w:ascii="Palatino Linotype" w:hAnsi="Palatino Linotype" w:cs="Arial"/>
          <w:b/>
          <w:sz w:val="24"/>
          <w:szCs w:val="24"/>
        </w:rPr>
        <w:t xml:space="preserve">, </w:t>
      </w:r>
      <w:r>
        <w:rPr>
          <w:rFonts w:ascii="Palatino Linotype" w:hAnsi="Palatino Linotype" w:cs="Arial"/>
          <w:sz w:val="24"/>
          <w:szCs w:val="24"/>
        </w:rPr>
        <w:t>fueron omisos en rendir s</w:t>
      </w:r>
      <w:r w:rsidRPr="007F109C">
        <w:rPr>
          <w:rFonts w:ascii="Palatino Linotype" w:hAnsi="Palatino Linotype" w:cs="Arial"/>
          <w:sz w:val="24"/>
          <w:szCs w:val="24"/>
        </w:rPr>
        <w:t>u informe justi</w:t>
      </w:r>
      <w:r>
        <w:rPr>
          <w:rFonts w:ascii="Palatino Linotype" w:hAnsi="Palatino Linotype" w:cs="Arial"/>
          <w:sz w:val="24"/>
          <w:szCs w:val="24"/>
        </w:rPr>
        <w:t xml:space="preserve">ficado y las manifestaciones que a sus intereses conviniera, respectivamente. </w:t>
      </w:r>
      <w:r w:rsidRPr="007F109C">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2</w:t>
      </w:r>
      <w:r w:rsidR="00A666C9">
        <w:rPr>
          <w:rFonts w:ascii="Palatino Linotype" w:hAnsi="Palatino Linotype" w:cs="Arial"/>
          <w:sz w:val="24"/>
          <w:szCs w:val="24"/>
        </w:rPr>
        <w:t>8</w:t>
      </w:r>
      <w:r w:rsidRPr="007F109C">
        <w:rPr>
          <w:rFonts w:ascii="Palatino Linotype" w:hAnsi="Palatino Linotype" w:cs="Arial"/>
          <w:sz w:val="24"/>
          <w:szCs w:val="24"/>
        </w:rPr>
        <w:t xml:space="preserve"> (veinti</w:t>
      </w:r>
      <w:r w:rsidR="00A666C9">
        <w:rPr>
          <w:rFonts w:ascii="Palatino Linotype" w:hAnsi="Palatino Linotype" w:cs="Arial"/>
          <w:sz w:val="24"/>
          <w:szCs w:val="24"/>
        </w:rPr>
        <w:t>ocho</w:t>
      </w:r>
      <w:r w:rsidRPr="007F109C">
        <w:rPr>
          <w:rFonts w:ascii="Palatino Linotype" w:hAnsi="Palatino Linotype" w:cs="Arial"/>
          <w:sz w:val="24"/>
          <w:szCs w:val="24"/>
        </w:rPr>
        <w:t xml:space="preserve">) de </w:t>
      </w:r>
      <w:r>
        <w:rPr>
          <w:rFonts w:ascii="Palatino Linotype" w:hAnsi="Palatino Linotype" w:cs="Arial"/>
          <w:sz w:val="24"/>
          <w:szCs w:val="24"/>
        </w:rPr>
        <w:t>septiembre</w:t>
      </w:r>
      <w:r w:rsidRPr="007F109C">
        <w:rPr>
          <w:rFonts w:ascii="Palatino Linotype" w:hAnsi="Palatino Linotype" w:cs="Arial"/>
          <w:sz w:val="24"/>
          <w:szCs w:val="24"/>
        </w:rPr>
        <w:t xml:space="preserve"> de 2022 (dos mil veintidós), en términos del artículo 185 fracción VI de la Ley de Transparencia y Acceso </w:t>
      </w:r>
      <w:r w:rsidRPr="007F109C">
        <w:rPr>
          <w:rFonts w:ascii="Palatino Linotype" w:hAnsi="Palatino Linotype" w:cs="Arial"/>
          <w:sz w:val="24"/>
          <w:szCs w:val="24"/>
        </w:rPr>
        <w:lastRenderedPageBreak/>
        <w:t>a la Información Pública del Estado de México y Municipios, ordenándose turnar los expedientes a la resolución que en derecho proceda.</w:t>
      </w:r>
    </w:p>
    <w:p w:rsidR="00CE5433" w:rsidRPr="007F109C" w:rsidRDefault="00CE5433" w:rsidP="00CE5433">
      <w:pPr>
        <w:spacing w:after="0" w:line="360" w:lineRule="auto"/>
        <w:jc w:val="both"/>
        <w:rPr>
          <w:rFonts w:ascii="Palatino Linotype" w:hAnsi="Palatino Linotype" w:cs="Arial"/>
          <w:sz w:val="24"/>
          <w:szCs w:val="24"/>
        </w:rPr>
      </w:pP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b/>
          <w:sz w:val="28"/>
          <w:szCs w:val="28"/>
        </w:rPr>
        <w:t xml:space="preserve">SÉPTIMO. </w:t>
      </w:r>
      <w:r w:rsidRPr="007F109C">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2</w:t>
      </w:r>
      <w:r w:rsidR="00A666C9">
        <w:rPr>
          <w:rFonts w:ascii="Palatino Linotype" w:hAnsi="Palatino Linotype" w:cs="Arial"/>
          <w:sz w:val="24"/>
          <w:szCs w:val="24"/>
        </w:rPr>
        <w:t>8</w:t>
      </w:r>
      <w:r w:rsidRPr="007F109C">
        <w:rPr>
          <w:rFonts w:ascii="Palatino Linotype" w:hAnsi="Palatino Linotype" w:cs="Arial"/>
          <w:sz w:val="24"/>
          <w:szCs w:val="24"/>
        </w:rPr>
        <w:t xml:space="preserve"> (veinti</w:t>
      </w:r>
      <w:r w:rsidR="00A666C9">
        <w:rPr>
          <w:rFonts w:ascii="Palatino Linotype" w:hAnsi="Palatino Linotype" w:cs="Arial"/>
          <w:sz w:val="24"/>
          <w:szCs w:val="24"/>
        </w:rPr>
        <w:t>ocho</w:t>
      </w:r>
      <w:r w:rsidRPr="007F109C">
        <w:rPr>
          <w:rFonts w:ascii="Palatino Linotype" w:hAnsi="Palatino Linotype" w:cs="Arial"/>
          <w:sz w:val="24"/>
          <w:szCs w:val="24"/>
        </w:rPr>
        <w:t xml:space="preserve">) de </w:t>
      </w:r>
      <w:r>
        <w:rPr>
          <w:rFonts w:ascii="Palatino Linotype" w:hAnsi="Palatino Linotype" w:cs="Arial"/>
          <w:sz w:val="24"/>
          <w:szCs w:val="24"/>
        </w:rPr>
        <w:t>octubre</w:t>
      </w:r>
      <w:r w:rsidRPr="007F109C">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E5433" w:rsidRPr="007F109C" w:rsidRDefault="00CE5433" w:rsidP="00CE5433">
      <w:pPr>
        <w:spacing w:after="0" w:line="360" w:lineRule="auto"/>
        <w:jc w:val="both"/>
        <w:rPr>
          <w:rFonts w:ascii="Palatino Linotype" w:hAnsi="Palatino Linotype" w:cs="Arial"/>
          <w:sz w:val="24"/>
          <w:szCs w:val="24"/>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 xml:space="preserve"> </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E5433"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 xml:space="preserve"> </w:t>
      </w:r>
    </w:p>
    <w:p w:rsidR="00CE5433" w:rsidRPr="007F109C" w:rsidRDefault="00CE5433" w:rsidP="00CE5433">
      <w:pPr>
        <w:spacing w:after="0" w:line="360" w:lineRule="auto"/>
        <w:ind w:left="993" w:right="49" w:hanging="426"/>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b/>
          <w:sz w:val="24"/>
          <w:szCs w:val="24"/>
          <w:lang w:val="es-ES" w:eastAsia="es-ES"/>
        </w:rPr>
        <w:t xml:space="preserve">a) </w:t>
      </w:r>
      <w:r w:rsidRPr="007F109C">
        <w:rPr>
          <w:rFonts w:ascii="Palatino Linotype" w:eastAsia="Times New Roman" w:hAnsi="Palatino Linotype" w:cs="Arial"/>
          <w:b/>
          <w:sz w:val="24"/>
          <w:szCs w:val="24"/>
          <w:lang w:val="es-ES" w:eastAsia="es-ES"/>
        </w:rPr>
        <w:tab/>
        <w:t>Complejidad del asunto:</w:t>
      </w:r>
      <w:r w:rsidRPr="007F109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CE5433" w:rsidRPr="007F109C" w:rsidRDefault="00CE5433" w:rsidP="00CE5433">
      <w:pPr>
        <w:spacing w:after="0" w:line="360" w:lineRule="auto"/>
        <w:ind w:left="993" w:right="49" w:hanging="426"/>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b/>
          <w:sz w:val="24"/>
          <w:szCs w:val="24"/>
          <w:lang w:val="es-ES" w:eastAsia="es-ES"/>
        </w:rPr>
        <w:t xml:space="preserve">b) </w:t>
      </w:r>
      <w:r w:rsidRPr="007F109C">
        <w:rPr>
          <w:rFonts w:ascii="Palatino Linotype" w:eastAsia="Times New Roman" w:hAnsi="Palatino Linotype" w:cs="Arial"/>
          <w:b/>
          <w:sz w:val="24"/>
          <w:szCs w:val="24"/>
          <w:lang w:val="es-ES" w:eastAsia="es-ES"/>
        </w:rPr>
        <w:tab/>
        <w:t>Actividad Procesal del interesado:</w:t>
      </w:r>
      <w:r w:rsidRPr="007F109C">
        <w:rPr>
          <w:rFonts w:ascii="Palatino Linotype" w:eastAsia="Times New Roman" w:hAnsi="Palatino Linotype" w:cs="Arial"/>
          <w:sz w:val="24"/>
          <w:szCs w:val="24"/>
          <w:lang w:val="es-ES" w:eastAsia="es-ES"/>
        </w:rPr>
        <w:t xml:space="preserve"> Acciones u omisiones del interesado.</w:t>
      </w:r>
    </w:p>
    <w:p w:rsidR="00CE5433" w:rsidRPr="007F109C" w:rsidRDefault="00CE5433" w:rsidP="00CE5433">
      <w:pPr>
        <w:spacing w:after="0" w:line="360" w:lineRule="auto"/>
        <w:ind w:left="993" w:right="49" w:hanging="426"/>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b/>
          <w:sz w:val="24"/>
          <w:szCs w:val="24"/>
          <w:lang w:val="es-ES" w:eastAsia="es-ES"/>
        </w:rPr>
        <w:t xml:space="preserve">c) </w:t>
      </w:r>
      <w:r w:rsidRPr="007F109C">
        <w:rPr>
          <w:rFonts w:ascii="Palatino Linotype" w:eastAsia="Times New Roman" w:hAnsi="Palatino Linotype" w:cs="Arial"/>
          <w:b/>
          <w:sz w:val="24"/>
          <w:szCs w:val="24"/>
          <w:lang w:val="es-ES" w:eastAsia="es-ES"/>
        </w:rPr>
        <w:tab/>
        <w:t>Conducta de la Autoridad:</w:t>
      </w:r>
      <w:r w:rsidRPr="007F109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CE5433" w:rsidRPr="007F109C" w:rsidRDefault="00CE5433" w:rsidP="00CE5433">
      <w:pPr>
        <w:spacing w:after="0" w:line="360" w:lineRule="auto"/>
        <w:ind w:left="993" w:right="49" w:hanging="426"/>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b/>
          <w:sz w:val="24"/>
          <w:szCs w:val="24"/>
          <w:lang w:val="es-ES" w:eastAsia="es-ES"/>
        </w:rPr>
        <w:t xml:space="preserve">d) </w:t>
      </w:r>
      <w:r w:rsidRPr="007F109C">
        <w:rPr>
          <w:rFonts w:ascii="Palatino Linotype" w:eastAsia="Times New Roman" w:hAnsi="Palatino Linotype" w:cs="Arial"/>
          <w:b/>
          <w:sz w:val="24"/>
          <w:szCs w:val="24"/>
          <w:lang w:val="es-ES" w:eastAsia="es-ES"/>
        </w:rPr>
        <w:tab/>
        <w:t>La afectación generada en la situación jurídica de la persona involucrada en el proceso:</w:t>
      </w:r>
      <w:r w:rsidRPr="007F109C">
        <w:rPr>
          <w:rFonts w:ascii="Palatino Linotype" w:eastAsia="Times New Roman" w:hAnsi="Palatino Linotype" w:cs="Arial"/>
          <w:sz w:val="24"/>
          <w:szCs w:val="24"/>
          <w:lang w:val="es-ES" w:eastAsia="es-ES"/>
        </w:rPr>
        <w:t xml:space="preserve"> Violación a sus derechos humanos.</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w:t>
      </w:r>
      <w:r w:rsidRPr="007F109C">
        <w:rPr>
          <w:rFonts w:ascii="Palatino Linotype" w:eastAsia="Times New Roman" w:hAnsi="Palatino Linotype" w:cs="Arial"/>
          <w:sz w:val="24"/>
          <w:szCs w:val="24"/>
          <w:lang w:val="es-ES"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Argumento que encuentra sustento en la jurisprudencia P</w:t>
      </w:r>
      <w:proofErr w:type="gramStart"/>
      <w:r w:rsidRPr="007F109C">
        <w:rPr>
          <w:rFonts w:ascii="Palatino Linotype" w:eastAsia="Times New Roman" w:hAnsi="Palatino Linotype" w:cs="Arial"/>
          <w:sz w:val="24"/>
          <w:szCs w:val="24"/>
          <w:lang w:val="es-ES" w:eastAsia="es-ES"/>
        </w:rPr>
        <w:t>./</w:t>
      </w:r>
      <w:proofErr w:type="gramEnd"/>
      <w:r w:rsidRPr="007F109C">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 xml:space="preserve"> </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p>
    <w:p w:rsidR="00CE5433" w:rsidRPr="007F109C" w:rsidRDefault="00CE5433" w:rsidP="00CE5433">
      <w:pPr>
        <w:spacing w:after="0" w:line="360" w:lineRule="auto"/>
        <w:ind w:right="49"/>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CE5433" w:rsidRPr="007F109C" w:rsidRDefault="00CE5433" w:rsidP="00CE5433">
      <w:pPr>
        <w:spacing w:after="0" w:line="360" w:lineRule="auto"/>
        <w:jc w:val="both"/>
        <w:rPr>
          <w:rFonts w:ascii="Palatino Linotype" w:hAnsi="Palatino Linotype" w:cs="Arial"/>
          <w:sz w:val="24"/>
          <w:szCs w:val="24"/>
        </w:rPr>
      </w:pPr>
    </w:p>
    <w:p w:rsidR="00CE5433" w:rsidRPr="007F109C" w:rsidRDefault="00CE5433" w:rsidP="00CE5433">
      <w:pPr>
        <w:spacing w:after="0" w:line="360" w:lineRule="auto"/>
        <w:jc w:val="center"/>
        <w:rPr>
          <w:rFonts w:ascii="Palatino Linotype" w:hAnsi="Palatino Linotype" w:cs="Arial"/>
          <w:sz w:val="24"/>
          <w:szCs w:val="24"/>
        </w:rPr>
      </w:pPr>
      <w:r w:rsidRPr="007F109C">
        <w:rPr>
          <w:rFonts w:ascii="Palatino Linotype" w:hAnsi="Palatino Linotype" w:cs="Arial"/>
          <w:b/>
          <w:sz w:val="28"/>
          <w:szCs w:val="24"/>
        </w:rPr>
        <w:t xml:space="preserve">C O N S I D E R A N D O </w:t>
      </w:r>
    </w:p>
    <w:p w:rsidR="00CE5433" w:rsidRPr="007F109C" w:rsidRDefault="00CE5433" w:rsidP="00CE5433">
      <w:pPr>
        <w:spacing w:after="0" w:line="360" w:lineRule="auto"/>
        <w:jc w:val="center"/>
        <w:rPr>
          <w:rFonts w:ascii="Palatino Linotype" w:hAnsi="Palatino Linotype" w:cs="Arial"/>
          <w:sz w:val="24"/>
          <w:szCs w:val="24"/>
        </w:rPr>
      </w:pPr>
    </w:p>
    <w:p w:rsidR="00CE5433" w:rsidRPr="007F109C" w:rsidRDefault="00CE5433" w:rsidP="00CE5433">
      <w:pPr>
        <w:spacing w:after="0" w:line="360" w:lineRule="auto"/>
        <w:jc w:val="both"/>
        <w:rPr>
          <w:rFonts w:ascii="Palatino Linotype" w:hAnsi="Palatino Linotype" w:cs="Arial"/>
          <w:sz w:val="28"/>
          <w:szCs w:val="28"/>
        </w:rPr>
      </w:pPr>
      <w:r w:rsidRPr="007F109C">
        <w:rPr>
          <w:rFonts w:ascii="Palatino Linotype" w:hAnsi="Palatino Linotype" w:cs="Arial"/>
          <w:b/>
          <w:sz w:val="28"/>
          <w:szCs w:val="28"/>
        </w:rPr>
        <w:t xml:space="preserve">PRIMERO. </w:t>
      </w:r>
      <w:r w:rsidRPr="007F109C">
        <w:rPr>
          <w:rFonts w:ascii="Palatino Linotype" w:hAnsi="Palatino Linotype" w:cs="Arial"/>
          <w:b/>
          <w:sz w:val="26"/>
          <w:szCs w:val="26"/>
        </w:rPr>
        <w:t>De la competencia</w:t>
      </w:r>
      <w:r w:rsidRPr="007F109C">
        <w:rPr>
          <w:rFonts w:ascii="Palatino Linotype" w:hAnsi="Palatino Linotype" w:cs="Arial"/>
          <w:sz w:val="26"/>
          <w:szCs w:val="26"/>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7F109C">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E5433" w:rsidRPr="007F109C" w:rsidRDefault="00CE5433" w:rsidP="00CE5433">
      <w:pPr>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bCs/>
          <w:sz w:val="24"/>
          <w:szCs w:val="24"/>
        </w:rPr>
      </w:pPr>
      <w:r w:rsidRPr="007F109C">
        <w:rPr>
          <w:rFonts w:ascii="Palatino Linotype" w:hAnsi="Palatino Linotype" w:cs="Arial"/>
          <w:b/>
          <w:sz w:val="28"/>
          <w:szCs w:val="28"/>
        </w:rPr>
        <w:t>SEGUNDO. Del alcance del recurso de revisión.</w:t>
      </w:r>
      <w:r w:rsidRPr="007F109C">
        <w:rPr>
          <w:rFonts w:ascii="Palatino Linotype" w:hAnsi="Palatino Linotype" w:cs="Arial"/>
          <w:bCs/>
          <w:sz w:val="28"/>
          <w:szCs w:val="28"/>
        </w:rPr>
        <w:t xml:space="preserve"> </w:t>
      </w:r>
    </w:p>
    <w:p w:rsidR="00CE5433" w:rsidRPr="007F109C" w:rsidRDefault="00CE5433" w:rsidP="00CE5433">
      <w:pPr>
        <w:autoSpaceDE w:val="0"/>
        <w:autoSpaceDN w:val="0"/>
        <w:adjustRightInd w:val="0"/>
        <w:spacing w:after="0" w:line="360" w:lineRule="auto"/>
        <w:jc w:val="both"/>
        <w:rPr>
          <w:rFonts w:ascii="Palatino Linotype" w:hAnsi="Palatino Linotype" w:cs="Arial"/>
          <w:bCs/>
          <w:sz w:val="24"/>
          <w:szCs w:val="24"/>
        </w:rPr>
      </w:pPr>
      <w:r w:rsidRPr="007F109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E5433" w:rsidRPr="007F109C" w:rsidRDefault="00CE5433" w:rsidP="00CE5433">
      <w:pPr>
        <w:autoSpaceDE w:val="0"/>
        <w:autoSpaceDN w:val="0"/>
        <w:adjustRightInd w:val="0"/>
        <w:spacing w:after="0" w:line="360" w:lineRule="auto"/>
        <w:jc w:val="both"/>
        <w:rPr>
          <w:rFonts w:ascii="Palatino Linotype" w:hAnsi="Palatino Linotype" w:cs="Arial"/>
          <w:bCs/>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lastRenderedPageBreak/>
        <w:t xml:space="preserve">Así mismo, esta Ponencia considera importante abordar el análisis de los requisitos de </w:t>
      </w:r>
      <w:proofErr w:type="spellStart"/>
      <w:r w:rsidRPr="007F109C">
        <w:rPr>
          <w:rFonts w:ascii="Palatino Linotype" w:hAnsi="Palatino Linotype" w:cs="Arial"/>
          <w:sz w:val="24"/>
          <w:szCs w:val="24"/>
        </w:rPr>
        <w:t>procedibilidad</w:t>
      </w:r>
      <w:proofErr w:type="spellEnd"/>
      <w:r w:rsidRPr="007F109C">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r w:rsidRPr="007F109C">
        <w:rPr>
          <w:rFonts w:ascii="Palatino Linotype" w:hAnsi="Palatino Linotype" w:cs="Arial"/>
          <w:b/>
          <w:i/>
          <w:szCs w:val="24"/>
        </w:rPr>
        <w:t>Artículo 180</w:t>
      </w:r>
      <w:r w:rsidRPr="007F109C">
        <w:rPr>
          <w:rFonts w:ascii="Palatino Linotype" w:hAnsi="Palatino Linotype" w:cs="Arial"/>
          <w:i/>
          <w:szCs w:val="24"/>
        </w:rPr>
        <w:t xml:space="preserve">. El recurso de revisión contendrá: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w:t>
      </w:r>
      <w:r w:rsidRPr="007F109C">
        <w:rPr>
          <w:rFonts w:ascii="Palatino Linotype" w:hAnsi="Palatino Linotype" w:cs="Arial"/>
          <w:i/>
          <w:szCs w:val="24"/>
        </w:rPr>
        <w:t xml:space="preserve">. El Sujeto Obligado ante la cual se presentó la solicitud;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II</w:t>
      </w:r>
      <w:r w:rsidRPr="007F109C">
        <w:rPr>
          <w:rFonts w:ascii="Palatino Linotype" w:hAnsi="Palatino Linotype" w:cs="Arial"/>
          <w:i/>
          <w:szCs w:val="24"/>
        </w:rPr>
        <w:t xml:space="preserve">. </w:t>
      </w:r>
      <w:r w:rsidRPr="007F109C">
        <w:rPr>
          <w:rFonts w:ascii="Palatino Linotype" w:hAnsi="Palatino Linotype" w:cs="Arial"/>
          <w:i/>
          <w:szCs w:val="24"/>
          <w:u w:val="single"/>
        </w:rPr>
        <w:t>El nombre del solicitante</w:t>
      </w:r>
      <w:r w:rsidRPr="007F109C">
        <w:rPr>
          <w:rFonts w:ascii="Palatino Linotype" w:hAnsi="Palatino Linotype" w:cs="Arial"/>
          <w:i/>
          <w:szCs w:val="24"/>
        </w:rPr>
        <w:t xml:space="preserve"> que recurre o de su representante y, en su caso, del tercero interesado, así como la dirección o medio que señale para recibir notificaciones;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III</w:t>
      </w:r>
      <w:r w:rsidRPr="007F109C">
        <w:rPr>
          <w:rFonts w:ascii="Palatino Linotype" w:hAnsi="Palatino Linotype" w:cs="Arial"/>
          <w:i/>
          <w:szCs w:val="24"/>
        </w:rPr>
        <w:t xml:space="preserve">. El número de folio de respuesta de la solicitud de acceso;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IV</w:t>
      </w:r>
      <w:r w:rsidRPr="007F109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V</w:t>
      </w:r>
      <w:r w:rsidRPr="007F109C">
        <w:rPr>
          <w:rFonts w:ascii="Palatino Linotype" w:hAnsi="Palatino Linotype" w:cs="Arial"/>
          <w:i/>
          <w:szCs w:val="24"/>
        </w:rPr>
        <w:t xml:space="preserve">. El acto que se recurre;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VI</w:t>
      </w:r>
      <w:r w:rsidRPr="007F109C">
        <w:rPr>
          <w:rFonts w:ascii="Palatino Linotype" w:hAnsi="Palatino Linotype" w:cs="Arial"/>
          <w:i/>
          <w:szCs w:val="24"/>
        </w:rPr>
        <w:t xml:space="preserve">. Las razones o motivos de inconformidad;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VII</w:t>
      </w:r>
      <w:r w:rsidRPr="007F109C">
        <w:rPr>
          <w:rFonts w:ascii="Palatino Linotype" w:hAnsi="Palatino Linotype" w:cs="Arial"/>
          <w:i/>
          <w:szCs w:val="24"/>
        </w:rPr>
        <w:t xml:space="preserve">. La copia de la respuesta que se impugna y, en su caso, de la notificación correspondiente, en el caso de respuesta de la solicitud; y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VIII</w:t>
      </w:r>
      <w:r w:rsidRPr="007F109C">
        <w:rPr>
          <w:rFonts w:ascii="Palatino Linotype" w:hAnsi="Palatino Linotype" w:cs="Arial"/>
          <w:i/>
          <w:szCs w:val="24"/>
        </w:rPr>
        <w:t xml:space="preserve">. Firma del Recurrente, en su caso, cuando se presente por escrito, requisito sin el cual se dará trámite al recurso.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 xml:space="preserve">Adicionalmente, se podrán anexar las pruebas y demás elementos que considere procedentes someter a juicio del Instituto.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 xml:space="preserve">En ningún caso será necesario que el particular ratifique el recurso de revisión interpuesto.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szCs w:val="24"/>
        </w:rPr>
      </w:pPr>
      <w:r w:rsidRPr="007F109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szCs w:val="24"/>
        </w:rPr>
      </w:pPr>
    </w:p>
    <w:p w:rsidR="00CE5433" w:rsidRPr="007F109C" w:rsidRDefault="00CE5433" w:rsidP="00CE5433">
      <w:pPr>
        <w:autoSpaceDE w:val="0"/>
        <w:autoSpaceDN w:val="0"/>
        <w:adjustRightInd w:val="0"/>
        <w:spacing w:after="0" w:line="240" w:lineRule="auto"/>
        <w:ind w:left="567" w:right="567"/>
        <w:jc w:val="right"/>
        <w:rPr>
          <w:rFonts w:ascii="Palatino Linotype" w:hAnsi="Palatino Linotype" w:cs="Arial"/>
          <w:szCs w:val="24"/>
        </w:rPr>
      </w:pPr>
      <w:r w:rsidRPr="007F109C">
        <w:rPr>
          <w:rFonts w:ascii="Palatino Linotype" w:hAnsi="Palatino Linotype" w:cs="Arial"/>
          <w:szCs w:val="24"/>
        </w:rPr>
        <w:t>(Énfasis añadido)</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w:t>
      </w:r>
      <w:r w:rsidRPr="007F109C">
        <w:rPr>
          <w:rFonts w:ascii="Palatino Linotype" w:hAnsi="Palatino Linotype" w:cs="Arial"/>
          <w:sz w:val="24"/>
          <w:szCs w:val="24"/>
        </w:rPr>
        <w:lastRenderedPageBreak/>
        <w:t>sentido, no se colmarían los requisitos establecidos en el citado artículo 180 de la Ley de Transparencia.</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F109C">
        <w:rPr>
          <w:rFonts w:ascii="Palatino Linotype" w:hAnsi="Palatino Linotype" w:cs="Arial"/>
          <w:i/>
          <w:sz w:val="24"/>
          <w:szCs w:val="24"/>
        </w:rPr>
        <w:t>sine qua non</w:t>
      </w:r>
      <w:r w:rsidRPr="007F109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240" w:lineRule="auto"/>
        <w:jc w:val="center"/>
        <w:rPr>
          <w:rFonts w:ascii="Palatino Linotype" w:hAnsi="Palatino Linotype" w:cs="Arial"/>
          <w:b/>
          <w:i/>
        </w:rPr>
      </w:pPr>
      <w:r w:rsidRPr="007F109C">
        <w:rPr>
          <w:rFonts w:ascii="Palatino Linotype" w:hAnsi="Palatino Linotype" w:cs="Arial"/>
          <w:b/>
          <w:i/>
        </w:rPr>
        <w:t>Constitución Política de los Estados Unidos Mexicanos</w:t>
      </w:r>
    </w:p>
    <w:p w:rsidR="00CE5433" w:rsidRPr="007F109C" w:rsidRDefault="00CE5433" w:rsidP="00CE5433">
      <w:pPr>
        <w:autoSpaceDE w:val="0"/>
        <w:autoSpaceDN w:val="0"/>
        <w:adjustRightInd w:val="0"/>
        <w:spacing w:after="0" w:line="240" w:lineRule="auto"/>
        <w:jc w:val="both"/>
        <w:rPr>
          <w:rFonts w:ascii="Palatino Linotype" w:hAnsi="Palatino Linotype" w:cs="Arial"/>
        </w:rPr>
      </w:pP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rPr>
      </w:pPr>
      <w:r w:rsidRPr="007F109C">
        <w:rPr>
          <w:rFonts w:ascii="Palatino Linotype" w:hAnsi="Palatino Linotype" w:cs="Arial"/>
          <w:i/>
        </w:rPr>
        <w:t>“</w:t>
      </w:r>
      <w:r w:rsidRPr="007F109C">
        <w:rPr>
          <w:rFonts w:ascii="Palatino Linotype" w:hAnsi="Palatino Linotype" w:cs="Arial"/>
          <w:b/>
          <w:i/>
        </w:rPr>
        <w:t>Artículo 6o</w:t>
      </w:r>
      <w:r w:rsidRPr="007F109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Para efectos de lo dispuesto en el presente artículo se observará lo siguiente:</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A</w:t>
      </w:r>
      <w:r w:rsidRPr="007F109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w:t>
      </w:r>
      <w:r w:rsidRPr="007F109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III.</w:t>
      </w:r>
      <w:r w:rsidRPr="007F109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V</w:t>
      </w:r>
      <w:r w:rsidRPr="007F109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VI.</w:t>
      </w:r>
      <w:r w:rsidRPr="007F109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La ley establecerá aquella información que se considere reservada o confidencial.</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p>
    <w:p w:rsidR="00CE5433" w:rsidRPr="007F109C" w:rsidRDefault="00CE5433" w:rsidP="00CE5433">
      <w:pPr>
        <w:autoSpaceDE w:val="0"/>
        <w:autoSpaceDN w:val="0"/>
        <w:adjustRightInd w:val="0"/>
        <w:spacing w:after="0" w:line="240" w:lineRule="auto"/>
        <w:ind w:left="567" w:right="567"/>
        <w:jc w:val="center"/>
        <w:rPr>
          <w:rFonts w:ascii="Palatino Linotype" w:hAnsi="Palatino Linotype" w:cs="Arial"/>
          <w:b/>
          <w:i/>
          <w:szCs w:val="24"/>
        </w:rPr>
      </w:pPr>
      <w:r w:rsidRPr="007F109C">
        <w:rPr>
          <w:rFonts w:ascii="Palatino Linotype" w:hAnsi="Palatino Linotype" w:cs="Arial"/>
          <w:b/>
          <w:i/>
          <w:szCs w:val="24"/>
        </w:rPr>
        <w:t>Constitución Política del Estado Libre y Soberano de México</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r w:rsidRPr="007F109C">
        <w:rPr>
          <w:rFonts w:ascii="Palatino Linotype" w:hAnsi="Palatino Linotype" w:cs="Arial"/>
          <w:b/>
          <w:i/>
          <w:szCs w:val="24"/>
        </w:rPr>
        <w:t>Artículo 5</w:t>
      </w:r>
      <w:r w:rsidRPr="007F109C">
        <w:rPr>
          <w:rFonts w:ascii="Palatino Linotype" w:hAnsi="Palatino Linotype" w:cs="Arial"/>
          <w:i/>
          <w:szCs w:val="24"/>
        </w:rPr>
        <w:t xml:space="preserve">. … </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7F109C">
        <w:rPr>
          <w:rFonts w:ascii="Palatino Linotype" w:hAnsi="Palatino Linotype" w:cs="Arial"/>
          <w:i/>
          <w:szCs w:val="24"/>
        </w:rPr>
        <w:lastRenderedPageBreak/>
        <w:t>transparentarán sus acciones, en términos de las disposiciones aplicables, la información será oportuna, clara, veraz y de fácil acceso.</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Este derecho se regirá por los principios y bases siguientes:</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w:t>
      </w:r>
      <w:r w:rsidRPr="007F109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b/>
          <w:i/>
          <w:szCs w:val="24"/>
        </w:rPr>
        <w:t>III</w:t>
      </w:r>
      <w:r w:rsidRPr="007F109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E5433" w:rsidRPr="007F109C" w:rsidRDefault="00CE5433" w:rsidP="00CE5433">
      <w:pPr>
        <w:autoSpaceDE w:val="0"/>
        <w:autoSpaceDN w:val="0"/>
        <w:adjustRightInd w:val="0"/>
        <w:spacing w:after="0" w:line="240" w:lineRule="auto"/>
        <w:ind w:left="567" w:right="567"/>
        <w:jc w:val="right"/>
        <w:rPr>
          <w:rFonts w:ascii="Palatino Linotype" w:hAnsi="Palatino Linotype" w:cs="Arial"/>
          <w:szCs w:val="24"/>
        </w:rPr>
      </w:pPr>
      <w:r w:rsidRPr="007F109C">
        <w:rPr>
          <w:rFonts w:ascii="Palatino Linotype" w:hAnsi="Palatino Linotype" w:cs="Arial"/>
          <w:szCs w:val="24"/>
        </w:rPr>
        <w:t>(Énfasis añadido)</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Por otra parte, del contenido del artículo 1 de la Constitución Política de los Estados Unidos Mexicanos, se destaca lo siguiente:</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r w:rsidRPr="007F109C">
        <w:rPr>
          <w:rFonts w:ascii="Palatino Linotype" w:hAnsi="Palatino Linotype" w:cs="Arial"/>
          <w:b/>
          <w:i/>
          <w:szCs w:val="24"/>
        </w:rPr>
        <w:t>Artículo 1o.</w:t>
      </w:r>
      <w:r w:rsidRPr="007F109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Robustece lo anterior, el </w:t>
      </w:r>
      <w:r w:rsidRPr="00BE0748">
        <w:rPr>
          <w:rFonts w:ascii="Palatino Linotype" w:hAnsi="Palatino Linotype" w:cs="Arial"/>
          <w:b/>
          <w:sz w:val="24"/>
          <w:szCs w:val="24"/>
        </w:rPr>
        <w:t>Criterio 6/2014</w:t>
      </w:r>
      <w:r w:rsidRPr="007F109C">
        <w:rPr>
          <w:rFonts w:ascii="Palatino Linotype" w:hAnsi="Palatino Linotype" w:cs="Arial"/>
          <w:sz w:val="24"/>
          <w:szCs w:val="24"/>
        </w:rPr>
        <w:t xml:space="preserve"> del entonces Instituto Federal de Acceso a la Información y Protección de Datos (IFAI) hoy Instituto Nacional de Transparencia, Acceso a la Información y Protección de Datos Personales (INAI), el cual se reproduce para una mayor referencia:</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Cs w:val="24"/>
        </w:rPr>
      </w:pPr>
      <w:r w:rsidRPr="007F109C">
        <w:rPr>
          <w:rFonts w:ascii="Palatino Linotype" w:hAnsi="Palatino Linotype" w:cs="Arial"/>
          <w:i/>
          <w:szCs w:val="24"/>
        </w:rPr>
        <w:t>“</w:t>
      </w:r>
      <w:r w:rsidRPr="007F109C">
        <w:rPr>
          <w:rFonts w:ascii="Palatino Linotype" w:hAnsi="Palatino Linotype" w:cs="Arial"/>
          <w:b/>
          <w:i/>
          <w:szCs w:val="24"/>
        </w:rPr>
        <w:t>Acceso a información gubernamental. No debe condicionarse a que el solicitante acredite su personalidad, demuestre interés alguno o justifique su utilización.</w:t>
      </w:r>
      <w:r w:rsidRPr="007F109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 w:val="20"/>
          <w:szCs w:val="24"/>
        </w:rPr>
      </w:pPr>
      <w:r w:rsidRPr="007F109C">
        <w:rPr>
          <w:rFonts w:ascii="Palatino Linotype" w:hAnsi="Palatino Linotype" w:cs="Arial"/>
          <w:i/>
          <w:sz w:val="20"/>
          <w:szCs w:val="24"/>
        </w:rPr>
        <w:t>Resoluciones</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 w:val="20"/>
          <w:szCs w:val="24"/>
        </w:rPr>
      </w:pPr>
      <w:r w:rsidRPr="007F109C">
        <w:rPr>
          <w:rFonts w:ascii="Palatino Linotype" w:hAnsi="Palatino Linotype" w:cs="Arial"/>
          <w:i/>
          <w:sz w:val="20"/>
          <w:szCs w:val="24"/>
        </w:rPr>
        <w:t>• RDA 5275/13. Interpuesto en contra de la Secretaría de la Defensa Nacional. Comisionado Ponente Ángel Trinidad Zaldívar.</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 w:val="20"/>
          <w:szCs w:val="24"/>
        </w:rPr>
      </w:pPr>
      <w:r w:rsidRPr="007F109C">
        <w:rPr>
          <w:rFonts w:ascii="Palatino Linotype" w:hAnsi="Palatino Linotype" w:cs="Arial"/>
          <w:i/>
          <w:sz w:val="20"/>
          <w:szCs w:val="24"/>
        </w:rPr>
        <w:t xml:space="preserve">• RDA 2937/13. Interpuesto en contra de LICONSA, S.A. de C.V. Comisionado. Ponente Gerardo </w:t>
      </w:r>
      <w:proofErr w:type="spellStart"/>
      <w:r w:rsidRPr="007F109C">
        <w:rPr>
          <w:rFonts w:ascii="Palatino Linotype" w:hAnsi="Palatino Linotype" w:cs="Arial"/>
          <w:i/>
          <w:sz w:val="20"/>
          <w:szCs w:val="24"/>
        </w:rPr>
        <w:t>Laveaga</w:t>
      </w:r>
      <w:proofErr w:type="spellEnd"/>
      <w:r w:rsidRPr="007F109C">
        <w:rPr>
          <w:rFonts w:ascii="Palatino Linotype" w:hAnsi="Palatino Linotype" w:cs="Arial"/>
          <w:i/>
          <w:sz w:val="20"/>
          <w:szCs w:val="24"/>
        </w:rPr>
        <w:t xml:space="preserve"> Rendón.</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 w:val="20"/>
          <w:szCs w:val="24"/>
        </w:rPr>
      </w:pPr>
      <w:r w:rsidRPr="007F109C">
        <w:rPr>
          <w:rFonts w:ascii="Palatino Linotype" w:hAnsi="Palatino Linotype" w:cs="Arial"/>
          <w:i/>
          <w:sz w:val="20"/>
          <w:szCs w:val="24"/>
        </w:rPr>
        <w:t xml:space="preserve">• RDA 3609/12. Interpuesto en contra de la Secretaría de Educación Pública. Comisionada Ponente Sigrid </w:t>
      </w:r>
      <w:proofErr w:type="spellStart"/>
      <w:r w:rsidRPr="007F109C">
        <w:rPr>
          <w:rFonts w:ascii="Palatino Linotype" w:hAnsi="Palatino Linotype" w:cs="Arial"/>
          <w:i/>
          <w:sz w:val="20"/>
          <w:szCs w:val="24"/>
        </w:rPr>
        <w:t>Arzt</w:t>
      </w:r>
      <w:proofErr w:type="spellEnd"/>
      <w:r w:rsidRPr="007F109C">
        <w:rPr>
          <w:rFonts w:ascii="Palatino Linotype" w:hAnsi="Palatino Linotype" w:cs="Arial"/>
          <w:i/>
          <w:sz w:val="20"/>
          <w:szCs w:val="24"/>
        </w:rPr>
        <w:t xml:space="preserve"> Colunga.</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 w:val="20"/>
          <w:szCs w:val="24"/>
        </w:rPr>
      </w:pPr>
      <w:r w:rsidRPr="007F109C">
        <w:rPr>
          <w:rFonts w:ascii="Palatino Linotype" w:hAnsi="Palatino Linotype" w:cs="Arial"/>
          <w:i/>
          <w:sz w:val="20"/>
          <w:szCs w:val="24"/>
        </w:rPr>
        <w:lastRenderedPageBreak/>
        <w:t>• RDA 3361/12. Interpuesto en contra del Servicio de Administración Tributaria. Comisionada Ponente María Elena Pérez-Jaén Zermeño.</w:t>
      </w:r>
    </w:p>
    <w:p w:rsidR="00CE5433" w:rsidRPr="007F109C" w:rsidRDefault="00CE5433" w:rsidP="00CE5433">
      <w:pPr>
        <w:autoSpaceDE w:val="0"/>
        <w:autoSpaceDN w:val="0"/>
        <w:adjustRightInd w:val="0"/>
        <w:spacing w:after="0" w:line="240" w:lineRule="auto"/>
        <w:ind w:left="567" w:right="567"/>
        <w:jc w:val="both"/>
        <w:rPr>
          <w:rFonts w:ascii="Palatino Linotype" w:hAnsi="Palatino Linotype" w:cs="Arial"/>
          <w:i/>
          <w:sz w:val="20"/>
          <w:szCs w:val="24"/>
        </w:rPr>
      </w:pPr>
      <w:r w:rsidRPr="007F109C">
        <w:rPr>
          <w:rFonts w:ascii="Palatino Linotype" w:hAnsi="Palatino Linotype" w:cs="Arial"/>
          <w:i/>
          <w:sz w:val="20"/>
          <w:szCs w:val="24"/>
        </w:rPr>
        <w:t xml:space="preserve">• RDA 0563/12. Interpuesto en contra de la Secretaría de la Función Pública. Comisionada Ponente Jacqueline </w:t>
      </w:r>
      <w:proofErr w:type="spellStart"/>
      <w:r w:rsidRPr="007F109C">
        <w:rPr>
          <w:rFonts w:ascii="Palatino Linotype" w:hAnsi="Palatino Linotype" w:cs="Arial"/>
          <w:i/>
          <w:sz w:val="20"/>
          <w:szCs w:val="24"/>
        </w:rPr>
        <w:t>Peschard</w:t>
      </w:r>
      <w:proofErr w:type="spellEnd"/>
      <w:r w:rsidRPr="007F109C">
        <w:rPr>
          <w:rFonts w:ascii="Palatino Linotype" w:hAnsi="Palatino Linotype" w:cs="Arial"/>
          <w:i/>
          <w:sz w:val="20"/>
          <w:szCs w:val="24"/>
        </w:rPr>
        <w:t xml:space="preserve"> Mariscal.”</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En ese orden de ideas, se estima que el requerimiento relativo al nombre como presupuesto de </w:t>
      </w:r>
      <w:proofErr w:type="spellStart"/>
      <w:r w:rsidRPr="007F109C">
        <w:rPr>
          <w:rFonts w:ascii="Palatino Linotype" w:hAnsi="Palatino Linotype" w:cs="Arial"/>
          <w:sz w:val="24"/>
          <w:szCs w:val="24"/>
        </w:rPr>
        <w:t>procedibilidad</w:t>
      </w:r>
      <w:proofErr w:type="spellEnd"/>
      <w:r w:rsidRPr="007F109C">
        <w:rPr>
          <w:rFonts w:ascii="Palatino Linotype" w:hAnsi="Palatino Linotype" w:cs="Arial"/>
          <w:sz w:val="24"/>
          <w:szCs w:val="24"/>
        </w:rPr>
        <w:t xml:space="preserve"> podría limitar el ejercicio del derecho de acceso a la información pública, debido a que el hecho de solicitar la identificación del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En consecuencia, dado lo expuesto y fundado con anterioridad, se estima que el requisito relativo al nombre del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no constituye un presupuesto indispensable de </w:t>
      </w:r>
      <w:proofErr w:type="spellStart"/>
      <w:r w:rsidRPr="007F109C">
        <w:rPr>
          <w:rFonts w:ascii="Palatino Linotype" w:hAnsi="Palatino Linotype" w:cs="Arial"/>
          <w:sz w:val="24"/>
          <w:szCs w:val="24"/>
        </w:rPr>
        <w:t>procedibilidad</w:t>
      </w:r>
      <w:proofErr w:type="spellEnd"/>
      <w:r w:rsidRPr="007F109C">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7F109C">
        <w:rPr>
          <w:rFonts w:ascii="Palatino Linotype" w:hAnsi="Palatino Linotype" w:cs="Arial"/>
          <w:sz w:val="24"/>
          <w:szCs w:val="24"/>
        </w:rPr>
        <w:lastRenderedPageBreak/>
        <w:t xml:space="preserve">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7F109C">
        <w:rPr>
          <w:rFonts w:ascii="Palatino Linotype" w:hAnsi="Palatino Linotype" w:cs="Arial"/>
          <w:b/>
          <w:sz w:val="24"/>
          <w:szCs w:val="24"/>
        </w:rPr>
        <w:t>Recurrente</w:t>
      </w:r>
      <w:r w:rsidRPr="007F109C">
        <w:rPr>
          <w:rFonts w:ascii="Palatino Linotype" w:hAnsi="Palatino Linotype" w:cs="Arial"/>
          <w:sz w:val="24"/>
          <w:szCs w:val="24"/>
        </w:rPr>
        <w:t>, es la misma persona que realizó la solicitud de acceso a la información pública que ahora se impugna.</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b/>
          <w:sz w:val="28"/>
          <w:szCs w:val="28"/>
        </w:rPr>
      </w:pPr>
      <w:r w:rsidRPr="007F109C">
        <w:rPr>
          <w:rFonts w:ascii="Palatino Linotype" w:hAnsi="Palatino Linotype" w:cs="Arial"/>
          <w:b/>
          <w:sz w:val="28"/>
          <w:szCs w:val="28"/>
        </w:rPr>
        <w:t xml:space="preserve">TERCERO. Del estudio de las causas de improcedencia. </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 xml:space="preserve">El estudio de las causas de improcedencia que se hagan valer por las partes o que se advierta de oficio por este </w:t>
      </w:r>
      <w:proofErr w:type="spellStart"/>
      <w:r w:rsidRPr="007F109C">
        <w:rPr>
          <w:rFonts w:ascii="Palatino Linotype" w:hAnsi="Palatino Linotype" w:cs="Arial"/>
          <w:sz w:val="24"/>
          <w:szCs w:val="24"/>
        </w:rPr>
        <w:t>Resolutor</w:t>
      </w:r>
      <w:proofErr w:type="spellEnd"/>
      <w:r w:rsidRPr="007F109C">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spacing w:after="0" w:line="240" w:lineRule="auto"/>
        <w:ind w:left="567" w:right="567"/>
        <w:jc w:val="both"/>
        <w:rPr>
          <w:rFonts w:ascii="Palatino Linotype" w:hAnsi="Palatino Linotype" w:cs="Arial"/>
        </w:rPr>
      </w:pPr>
      <w:r w:rsidRPr="007F109C">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7F109C">
        <w:rPr>
          <w:rFonts w:ascii="Palatino Linotype" w:hAnsi="Palatino Linotype"/>
          <w:i/>
        </w:rPr>
        <w:t xml:space="preserve">Del examen de compatibilidad de los artículos </w:t>
      </w:r>
      <w:hyperlink r:id="rId7" w:history="1">
        <w:r w:rsidRPr="007F109C">
          <w:rPr>
            <w:rFonts w:ascii="Palatino Linotype" w:eastAsia="Calibri" w:hAnsi="Palatino Linotype"/>
            <w:i/>
            <w:color w:val="0563C1" w:themeColor="hyperlink"/>
            <w:u w:val="single"/>
          </w:rPr>
          <w:t>73 y 74 de la Ley de Amparo</w:t>
        </w:r>
      </w:hyperlink>
      <w:r w:rsidRPr="007F109C">
        <w:rPr>
          <w:rFonts w:ascii="Palatino Linotype" w:eastAsia="Calibri" w:hAnsi="Palatino Linotype"/>
          <w:i/>
          <w:color w:val="0563C1" w:themeColor="hyperlink"/>
          <w:u w:val="single"/>
        </w:rPr>
        <w:t xml:space="preserve"> </w:t>
      </w:r>
      <w:r w:rsidRPr="007F109C">
        <w:rPr>
          <w:rFonts w:ascii="Palatino Linotype" w:hAnsi="Palatino Linotype"/>
          <w:i/>
        </w:rPr>
        <w:t xml:space="preserve">con el artículo </w:t>
      </w:r>
      <w:hyperlink r:id="rId8" w:history="1">
        <w:r w:rsidRPr="007F109C">
          <w:rPr>
            <w:rFonts w:ascii="Palatino Linotype" w:eastAsia="Calibri" w:hAnsi="Palatino Linotype"/>
            <w:i/>
            <w:color w:val="0563C1" w:themeColor="hyperlink"/>
            <w:u w:val="single"/>
          </w:rPr>
          <w:t>25.1 de la Convención Americana sobre Derechos Humanos</w:t>
        </w:r>
      </w:hyperlink>
      <w:r w:rsidRPr="007F109C">
        <w:rPr>
          <w:rFonts w:ascii="Palatino Linotype" w:hAnsi="Palatino Linotype"/>
          <w:i/>
        </w:rPr>
        <w:t xml:space="preserve"> </w:t>
      </w:r>
      <w:r w:rsidRPr="007F109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F109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F109C">
        <w:rPr>
          <w:rFonts w:ascii="Palatino Linotype" w:hAnsi="Palatino Linotype"/>
          <w:i/>
        </w:rPr>
        <w:t>concesoria</w:t>
      </w:r>
      <w:proofErr w:type="spellEnd"/>
      <w:r w:rsidRPr="007F109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E5433" w:rsidRPr="007F109C"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Por lo que una vez que se analizó el expediente en estudio se cae en la cuenta de que no se actualiza ninguna de las casuales a continuación transcritas:</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i/>
          <w:lang w:val="es-ES" w:eastAsia="es-ES"/>
        </w:rPr>
        <w:t>“</w:t>
      </w:r>
      <w:r w:rsidRPr="007F109C">
        <w:rPr>
          <w:rFonts w:ascii="Palatino Linotype" w:eastAsia="Times New Roman" w:hAnsi="Palatino Linotype" w:cs="Arial"/>
          <w:b/>
          <w:i/>
          <w:lang w:val="es-ES" w:eastAsia="es-ES"/>
        </w:rPr>
        <w:t>Artículo 191</w:t>
      </w:r>
      <w:r w:rsidRPr="007F109C">
        <w:rPr>
          <w:rFonts w:ascii="Palatino Linotype" w:eastAsia="Times New Roman" w:hAnsi="Palatino Linotype" w:cs="Arial"/>
          <w:i/>
          <w:lang w:val="es-ES" w:eastAsia="es-ES"/>
        </w:rPr>
        <w:t xml:space="preserve">. El recurso será desechado por improcedente cuando:  </w:t>
      </w: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b/>
          <w:i/>
          <w:lang w:val="es-ES" w:eastAsia="es-ES"/>
        </w:rPr>
        <w:t>I</w:t>
      </w:r>
      <w:r w:rsidRPr="007F109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b/>
          <w:i/>
          <w:lang w:val="es-ES" w:eastAsia="es-ES"/>
        </w:rPr>
        <w:t>II</w:t>
      </w:r>
      <w:r w:rsidRPr="007F109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b/>
          <w:i/>
          <w:lang w:val="es-ES" w:eastAsia="es-ES"/>
        </w:rPr>
        <w:t>III</w:t>
      </w:r>
      <w:r w:rsidRPr="007F109C">
        <w:rPr>
          <w:rFonts w:ascii="Palatino Linotype" w:eastAsia="Times New Roman" w:hAnsi="Palatino Linotype" w:cs="Arial"/>
          <w:i/>
          <w:lang w:val="es-ES" w:eastAsia="es-ES"/>
        </w:rPr>
        <w:t xml:space="preserve">. No actualice alguno de los supuestos previstos en la presente Ley;  </w:t>
      </w: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b/>
          <w:i/>
          <w:lang w:val="es-ES" w:eastAsia="es-ES"/>
        </w:rPr>
        <w:t>IV</w:t>
      </w:r>
      <w:r w:rsidRPr="007F109C">
        <w:rPr>
          <w:rFonts w:ascii="Palatino Linotype" w:eastAsia="Times New Roman" w:hAnsi="Palatino Linotype" w:cs="Arial"/>
          <w:i/>
          <w:lang w:val="es-ES" w:eastAsia="es-ES"/>
        </w:rPr>
        <w:t xml:space="preserve">. No se haya desahogado la prevención en los términos establecidos en la presente Ley;  </w:t>
      </w: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b/>
          <w:i/>
          <w:lang w:val="es-ES" w:eastAsia="es-ES"/>
        </w:rPr>
        <w:t>V</w:t>
      </w:r>
      <w:r w:rsidRPr="007F109C">
        <w:rPr>
          <w:rFonts w:ascii="Palatino Linotype" w:eastAsia="Times New Roman" w:hAnsi="Palatino Linotype" w:cs="Arial"/>
          <w:i/>
          <w:lang w:val="es-ES" w:eastAsia="es-ES"/>
        </w:rPr>
        <w:t xml:space="preserve">. Se impugne la veracidad de la información proporcionada;  </w:t>
      </w: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b/>
          <w:i/>
          <w:lang w:val="es-ES" w:eastAsia="es-ES"/>
        </w:rPr>
        <w:t>VI</w:t>
      </w:r>
      <w:r w:rsidRPr="007F109C">
        <w:rPr>
          <w:rFonts w:ascii="Palatino Linotype" w:eastAsia="Times New Roman" w:hAnsi="Palatino Linotype" w:cs="Arial"/>
          <w:i/>
          <w:lang w:val="es-ES" w:eastAsia="es-ES"/>
        </w:rPr>
        <w:t xml:space="preserve">. Se trate de una consulta, o trámite en específico; y  </w:t>
      </w:r>
    </w:p>
    <w:p w:rsidR="00CE5433" w:rsidRPr="007F109C" w:rsidRDefault="00CE5433" w:rsidP="00CE54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109C">
        <w:rPr>
          <w:rFonts w:ascii="Palatino Linotype" w:eastAsia="Times New Roman" w:hAnsi="Palatino Linotype" w:cs="Arial"/>
          <w:b/>
          <w:i/>
          <w:lang w:val="es-ES" w:eastAsia="es-ES"/>
        </w:rPr>
        <w:t>VII</w:t>
      </w:r>
      <w:r w:rsidRPr="007F109C">
        <w:rPr>
          <w:rFonts w:ascii="Palatino Linotype" w:eastAsia="Times New Roman" w:hAnsi="Palatino Linotype" w:cs="Arial"/>
          <w:i/>
          <w:lang w:val="es-ES" w:eastAsia="es-ES"/>
        </w:rPr>
        <w:t>. El recurrente amplíe su solicitud en el recurso de revisión, únicamente respecto de los nuevos contenidos.”</w:t>
      </w: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46274D">
        <w:rPr>
          <w:rFonts w:ascii="Palatino Linotype" w:hAnsi="Palatino Linotype" w:cs="Arial"/>
          <w:sz w:val="24"/>
          <w:szCs w:val="24"/>
        </w:rPr>
        <w:t xml:space="preserve">el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E5433" w:rsidRPr="007F109C"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E5433" w:rsidRPr="007F109C" w:rsidRDefault="00CE5433" w:rsidP="00CE543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F109C">
        <w:rPr>
          <w:rFonts w:ascii="Palatino Linotype" w:eastAsia="Times New Roman" w:hAnsi="Palatino Linotype" w:cs="Arial"/>
          <w:b/>
          <w:sz w:val="28"/>
          <w:szCs w:val="28"/>
          <w:lang w:val="es-ES" w:eastAsia="es-ES"/>
        </w:rPr>
        <w:t xml:space="preserve">CUARTO. </w:t>
      </w:r>
      <w:r w:rsidRPr="007F109C">
        <w:rPr>
          <w:rFonts w:ascii="Palatino Linotype" w:eastAsia="Times New Roman" w:hAnsi="Palatino Linotype" w:cs="Arial"/>
          <w:b/>
          <w:sz w:val="26"/>
          <w:szCs w:val="26"/>
          <w:lang w:val="es-ES" w:eastAsia="es-ES"/>
        </w:rPr>
        <w:t>Estudio y resolución del recurso de revisión.</w:t>
      </w:r>
    </w:p>
    <w:p w:rsidR="00CE5433" w:rsidRPr="007F109C"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E5433" w:rsidRPr="007F109C"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E5433" w:rsidRPr="007F109C"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sz w:val="24"/>
          <w:szCs w:val="24"/>
          <w:lang w:val="es-ES" w:eastAsia="es-ES"/>
        </w:rPr>
        <w:t xml:space="preserve">Atentos a la redacción de la solicitud, se puede apreciar que el </w:t>
      </w:r>
      <w:r w:rsidRPr="007F109C">
        <w:rPr>
          <w:rFonts w:ascii="Palatino Linotype" w:eastAsia="Times New Roman" w:hAnsi="Palatino Linotype" w:cs="Arial"/>
          <w:b/>
          <w:sz w:val="24"/>
          <w:szCs w:val="24"/>
          <w:lang w:val="es-ES" w:eastAsia="es-ES"/>
        </w:rPr>
        <w:t>Recurrente</w:t>
      </w:r>
      <w:r w:rsidRPr="007F109C">
        <w:rPr>
          <w:rFonts w:ascii="Palatino Linotype" w:eastAsia="Times New Roman" w:hAnsi="Palatino Linotype" w:cs="Arial"/>
          <w:sz w:val="24"/>
          <w:szCs w:val="24"/>
          <w:lang w:val="es-ES" w:eastAsia="es-ES"/>
        </w:rPr>
        <w:t xml:space="preserve"> peticiona </w:t>
      </w:r>
      <w:r>
        <w:rPr>
          <w:rFonts w:ascii="Palatino Linotype" w:eastAsia="Times New Roman" w:hAnsi="Palatino Linotype" w:cs="Arial"/>
          <w:sz w:val="24"/>
          <w:szCs w:val="24"/>
          <w:lang w:val="es-ES" w:eastAsia="es-ES"/>
        </w:rPr>
        <w:t>objetivamente, lo siguiente</w:t>
      </w:r>
      <w:r w:rsidRPr="007F109C">
        <w:rPr>
          <w:rFonts w:ascii="Palatino Linotype" w:eastAsia="Times New Roman" w:hAnsi="Palatino Linotype" w:cs="Arial"/>
          <w:sz w:val="24"/>
          <w:szCs w:val="24"/>
          <w:lang w:val="es-ES" w:eastAsia="es-ES"/>
        </w:rPr>
        <w:t>:</w:t>
      </w:r>
    </w:p>
    <w:p w:rsidR="00CE5433"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040BE" w:rsidRDefault="00CE5433" w:rsidP="00F040BE">
      <w:pPr>
        <w:pStyle w:val="Prrafodelista"/>
        <w:numPr>
          <w:ilvl w:val="0"/>
          <w:numId w:val="2"/>
        </w:numPr>
        <w:spacing w:line="360" w:lineRule="auto"/>
        <w:jc w:val="both"/>
        <w:rPr>
          <w:rFonts w:ascii="Palatino Linotype" w:eastAsia="Calibri" w:hAnsi="Palatino Linotype"/>
        </w:rPr>
      </w:pPr>
      <w:r>
        <w:rPr>
          <w:rFonts w:ascii="Palatino Linotype" w:eastAsia="Calibri" w:hAnsi="Palatino Linotype"/>
        </w:rPr>
        <w:t xml:space="preserve">Listado de </w:t>
      </w:r>
      <w:r w:rsidR="00F040BE">
        <w:rPr>
          <w:rFonts w:ascii="Palatino Linotype" w:eastAsia="Calibri" w:hAnsi="Palatino Linotype"/>
        </w:rPr>
        <w:t xml:space="preserve">información </w:t>
      </w:r>
      <w:r w:rsidR="00F040BE" w:rsidRPr="00F040BE">
        <w:rPr>
          <w:rFonts w:ascii="Palatino Linotype" w:eastAsia="Calibri" w:hAnsi="Palatino Linotype"/>
        </w:rPr>
        <w:t xml:space="preserve">en relación al personal de confianza y contratación eventual en relación a: </w:t>
      </w:r>
    </w:p>
    <w:p w:rsidR="00F040BE" w:rsidRDefault="00F040BE" w:rsidP="00F040BE">
      <w:pPr>
        <w:pStyle w:val="Prrafodelista"/>
        <w:numPr>
          <w:ilvl w:val="1"/>
          <w:numId w:val="2"/>
        </w:numPr>
        <w:spacing w:line="360" w:lineRule="auto"/>
        <w:jc w:val="both"/>
        <w:rPr>
          <w:rFonts w:ascii="Palatino Linotype" w:eastAsia="Calibri" w:hAnsi="Palatino Linotype"/>
        </w:rPr>
      </w:pPr>
      <w:r w:rsidRPr="00F040BE">
        <w:rPr>
          <w:rFonts w:ascii="Palatino Linotype" w:eastAsia="Calibri" w:hAnsi="Palatino Linotype"/>
        </w:rPr>
        <w:t xml:space="preserve">nombre completo, </w:t>
      </w:r>
    </w:p>
    <w:p w:rsidR="00F040BE" w:rsidRDefault="00F040BE" w:rsidP="00F040BE">
      <w:pPr>
        <w:pStyle w:val="Prrafodelista"/>
        <w:numPr>
          <w:ilvl w:val="1"/>
          <w:numId w:val="2"/>
        </w:numPr>
        <w:spacing w:line="360" w:lineRule="auto"/>
        <w:jc w:val="both"/>
        <w:rPr>
          <w:rFonts w:ascii="Palatino Linotype" w:eastAsia="Calibri" w:hAnsi="Palatino Linotype"/>
        </w:rPr>
      </w:pPr>
      <w:r w:rsidRPr="00F040BE">
        <w:rPr>
          <w:rFonts w:ascii="Palatino Linotype" w:eastAsia="Calibri" w:hAnsi="Palatino Linotype"/>
        </w:rPr>
        <w:t xml:space="preserve">función y/o puesto, </w:t>
      </w:r>
    </w:p>
    <w:p w:rsidR="00F040BE" w:rsidRDefault="00F040BE" w:rsidP="00F040BE">
      <w:pPr>
        <w:pStyle w:val="Prrafodelista"/>
        <w:numPr>
          <w:ilvl w:val="1"/>
          <w:numId w:val="2"/>
        </w:numPr>
        <w:spacing w:line="360" w:lineRule="auto"/>
        <w:jc w:val="both"/>
        <w:rPr>
          <w:rFonts w:ascii="Palatino Linotype" w:eastAsia="Calibri" w:hAnsi="Palatino Linotype"/>
        </w:rPr>
      </w:pPr>
      <w:r w:rsidRPr="00F040BE">
        <w:rPr>
          <w:rFonts w:ascii="Palatino Linotype" w:eastAsia="Calibri" w:hAnsi="Palatino Linotype"/>
        </w:rPr>
        <w:t xml:space="preserve">horario de labores, </w:t>
      </w:r>
    </w:p>
    <w:p w:rsidR="00F040BE" w:rsidRDefault="00F040BE" w:rsidP="00F040BE">
      <w:pPr>
        <w:pStyle w:val="Prrafodelista"/>
        <w:numPr>
          <w:ilvl w:val="1"/>
          <w:numId w:val="2"/>
        </w:numPr>
        <w:spacing w:line="360" w:lineRule="auto"/>
        <w:jc w:val="both"/>
        <w:rPr>
          <w:rFonts w:ascii="Palatino Linotype" w:eastAsia="Calibri" w:hAnsi="Palatino Linotype"/>
        </w:rPr>
      </w:pPr>
      <w:r w:rsidRPr="00F040BE">
        <w:rPr>
          <w:rFonts w:ascii="Palatino Linotype" w:eastAsia="Calibri" w:hAnsi="Palatino Linotype"/>
        </w:rPr>
        <w:t xml:space="preserve">sueldo neto, bruto, compensaciones y otros estímulos o deducciones, </w:t>
      </w:r>
    </w:p>
    <w:p w:rsidR="00CE5433" w:rsidRPr="0046274D" w:rsidRDefault="00F040BE" w:rsidP="00F040BE">
      <w:pPr>
        <w:pStyle w:val="Prrafodelista"/>
        <w:numPr>
          <w:ilvl w:val="1"/>
          <w:numId w:val="2"/>
        </w:numPr>
        <w:spacing w:line="360" w:lineRule="auto"/>
        <w:jc w:val="both"/>
        <w:rPr>
          <w:rFonts w:ascii="Palatino Linotype" w:eastAsia="Calibri" w:hAnsi="Palatino Linotype"/>
        </w:rPr>
      </w:pPr>
      <w:proofErr w:type="spellStart"/>
      <w:r w:rsidRPr="00F040BE">
        <w:rPr>
          <w:rFonts w:ascii="Palatino Linotype" w:eastAsia="Calibri" w:hAnsi="Palatino Linotype"/>
        </w:rPr>
        <w:lastRenderedPageBreak/>
        <w:t>titulo</w:t>
      </w:r>
      <w:proofErr w:type="spellEnd"/>
      <w:r w:rsidRPr="00F040BE">
        <w:rPr>
          <w:rFonts w:ascii="Palatino Linotype" w:eastAsia="Calibri" w:hAnsi="Palatino Linotype"/>
        </w:rPr>
        <w:t>, cedula o comprobante de estudios que avale el perfil de las y los 166 personas señaladas en el archivo adjunto.</w:t>
      </w:r>
    </w:p>
    <w:p w:rsidR="00CE5433" w:rsidRDefault="00CE5433" w:rsidP="00CE5433">
      <w:pPr>
        <w:spacing w:after="0" w:line="360" w:lineRule="auto"/>
        <w:jc w:val="both"/>
        <w:rPr>
          <w:rFonts w:ascii="Palatino Linotype" w:eastAsia="Calibri" w:hAnsi="Palatino Linotype"/>
          <w:sz w:val="24"/>
          <w:lang w:val="es-ES"/>
        </w:rPr>
      </w:pPr>
    </w:p>
    <w:p w:rsidR="00F040BE" w:rsidRDefault="00F040BE" w:rsidP="00CE5433">
      <w:pPr>
        <w:spacing w:after="0" w:line="360" w:lineRule="auto"/>
        <w:jc w:val="both"/>
        <w:rPr>
          <w:rFonts w:ascii="Palatino Linotype" w:eastAsia="Calibri" w:hAnsi="Palatino Linotype"/>
          <w:sz w:val="24"/>
          <w:lang w:val="es-ES"/>
        </w:rPr>
      </w:pPr>
      <w:r>
        <w:rPr>
          <w:rFonts w:ascii="Palatino Linotype" w:eastAsia="Calibri" w:hAnsi="Palatino Linotype"/>
          <w:sz w:val="24"/>
          <w:lang w:val="es-ES"/>
        </w:rPr>
        <w:t xml:space="preserve">Cabe recordar que el </w:t>
      </w:r>
      <w:r w:rsidRPr="00F040BE">
        <w:rPr>
          <w:rFonts w:ascii="Palatino Linotype" w:eastAsia="Calibri" w:hAnsi="Palatino Linotype"/>
          <w:b/>
          <w:sz w:val="24"/>
          <w:lang w:val="es-ES"/>
        </w:rPr>
        <w:t>Recurrente</w:t>
      </w:r>
      <w:r w:rsidR="003F0FCF">
        <w:rPr>
          <w:rFonts w:ascii="Palatino Linotype" w:eastAsia="Calibri" w:hAnsi="Palatino Linotype"/>
          <w:sz w:val="24"/>
          <w:lang w:val="es-ES"/>
        </w:rPr>
        <w:t xml:space="preserve"> al momento de ingr</w:t>
      </w:r>
      <w:r>
        <w:rPr>
          <w:rFonts w:ascii="Palatino Linotype" w:eastAsia="Calibri" w:hAnsi="Palatino Linotype"/>
          <w:sz w:val="24"/>
          <w:lang w:val="es-ES"/>
        </w:rPr>
        <w:t>esar la solicitud de información, adjunto el documento electrónico “</w:t>
      </w:r>
      <w:r w:rsidRPr="00F040BE">
        <w:rPr>
          <w:rFonts w:ascii="Palatino Linotype" w:eastAsia="Calibri" w:hAnsi="Palatino Linotype"/>
          <w:b/>
          <w:i/>
          <w:sz w:val="24"/>
          <w:lang w:val="es-ES"/>
        </w:rPr>
        <w:t>00003UPTIP2022.pdf</w:t>
      </w:r>
      <w:r>
        <w:rPr>
          <w:rFonts w:ascii="Palatino Linotype" w:eastAsia="Calibri" w:hAnsi="Palatino Linotype"/>
          <w:sz w:val="24"/>
          <w:lang w:val="es-ES"/>
        </w:rPr>
        <w:t xml:space="preserve">”, consistente en el oficio número 210C2901000002L/051/2022 del 22 (veintidós) de agosto de 2022 (dos mil veintidós), mediante el cual el Titular de la Unidad de Transparencia del Sujeto Obligado, notifica la respuesta emitida a la solicitud de información </w:t>
      </w:r>
      <w:r w:rsidRPr="003F0F97">
        <w:rPr>
          <w:rFonts w:ascii="Palatino Linotype" w:eastAsia="Calibri" w:hAnsi="Palatino Linotype"/>
          <w:b/>
          <w:sz w:val="24"/>
          <w:lang w:val="es-ES"/>
        </w:rPr>
        <w:t>00003/UPT/IP/2022</w:t>
      </w:r>
      <w:r>
        <w:rPr>
          <w:rFonts w:ascii="Palatino Linotype" w:eastAsia="Calibri" w:hAnsi="Palatino Linotype"/>
          <w:sz w:val="24"/>
          <w:lang w:val="es-ES"/>
        </w:rPr>
        <w:t xml:space="preserve">, en que anexa el listado de personal de confianza y contratación eventual correspondiente al mes de abril del presente año. Listado del que se desprenden 166 (ciento sesenta y seis) registros, </w:t>
      </w:r>
      <w:r w:rsidR="00DC2FEC">
        <w:rPr>
          <w:rFonts w:ascii="Palatino Linotype" w:eastAsia="Calibri" w:hAnsi="Palatino Linotype"/>
          <w:sz w:val="24"/>
          <w:lang w:val="es-ES"/>
        </w:rPr>
        <w:t>en que se señalan el sueldo base, sueldo bruto y el sueldo neto.</w:t>
      </w:r>
    </w:p>
    <w:p w:rsidR="00F040BE" w:rsidRDefault="00F040BE" w:rsidP="00CE5433">
      <w:pPr>
        <w:spacing w:after="0" w:line="360" w:lineRule="auto"/>
        <w:jc w:val="both"/>
        <w:rPr>
          <w:rFonts w:ascii="Palatino Linotype" w:eastAsia="Calibri" w:hAnsi="Palatino Linotype"/>
          <w:sz w:val="24"/>
          <w:lang w:val="es-ES"/>
        </w:rPr>
      </w:pPr>
    </w:p>
    <w:p w:rsidR="003F0FCF" w:rsidRPr="003F0FCF" w:rsidRDefault="003F0FCF" w:rsidP="003F0FCF">
      <w:pPr>
        <w:spacing w:after="0" w:line="360" w:lineRule="auto"/>
        <w:jc w:val="both"/>
        <w:rPr>
          <w:rFonts w:ascii="Palatino Linotype" w:eastAsia="Calibri" w:hAnsi="Palatino Linotype" w:cs="Arial"/>
          <w:color w:val="000000"/>
          <w:sz w:val="24"/>
          <w:lang w:eastAsia="es-MX"/>
        </w:rPr>
      </w:pPr>
      <w:r>
        <w:rPr>
          <w:rFonts w:ascii="Palatino Linotype" w:eastAsia="Calibri" w:hAnsi="Palatino Linotype"/>
          <w:sz w:val="24"/>
          <w:lang w:val="es-ES"/>
        </w:rPr>
        <w:t xml:space="preserve">En primer lugar, podemos observar que el </w:t>
      </w:r>
      <w:r w:rsidRPr="003F0FCF">
        <w:rPr>
          <w:rFonts w:ascii="Palatino Linotype" w:eastAsia="Calibri" w:hAnsi="Palatino Linotype"/>
          <w:b/>
          <w:sz w:val="24"/>
          <w:lang w:val="es-ES"/>
        </w:rPr>
        <w:t>Recurrente</w:t>
      </w:r>
      <w:r>
        <w:rPr>
          <w:rFonts w:ascii="Palatino Linotype" w:eastAsia="Calibri" w:hAnsi="Palatino Linotype"/>
          <w:sz w:val="24"/>
          <w:lang w:val="es-ES"/>
        </w:rPr>
        <w:t xml:space="preserve"> peticiona la entrega de un documento específico que contenga desagregada la información en diversos rubros. En ese orden de ideas, resulta necesario hacerle del conocimiento que </w:t>
      </w:r>
      <w:r w:rsidRPr="003F0FCF">
        <w:rPr>
          <w:rFonts w:ascii="Palatino Linotype" w:eastAsia="Calibri" w:hAnsi="Palatino Linotype" w:cs="Arial"/>
          <w:color w:val="000000"/>
          <w:sz w:val="24"/>
          <w:lang w:eastAsia="es-MX"/>
        </w:rPr>
        <w:t>el derecho de acceso a la información pública se satisface en aquellos casos en que se entregue el soporte documental en que conste la información pública, toda vez que, los Sujetos Obligados</w:t>
      </w:r>
      <w:r w:rsidRPr="003F0FCF">
        <w:rPr>
          <w:rFonts w:ascii="Palatino Linotype" w:eastAsia="Calibri" w:hAnsi="Palatino Linotype" w:cs="Arial"/>
          <w:b/>
          <w:color w:val="000000"/>
          <w:sz w:val="24"/>
          <w:lang w:eastAsia="es-MX"/>
        </w:rPr>
        <w:t xml:space="preserve"> no tienen el deber de generar, poseer o administrar la información pública con el grado de detalle solicitado</w:t>
      </w:r>
      <w:r w:rsidRPr="003F0FCF">
        <w:rPr>
          <w:rFonts w:ascii="Palatino Linotype" w:eastAsia="Calibri" w:hAnsi="Palatino Linotype" w:cs="Arial"/>
          <w:color w:val="000000"/>
          <w:sz w:val="24"/>
          <w:lang w:eastAsia="es-MX"/>
        </w:rPr>
        <w:t xml:space="preserve">; esto es, que no tienen el deber de generar un documento </w:t>
      </w:r>
      <w:r w:rsidRPr="003F0FCF">
        <w:rPr>
          <w:rFonts w:ascii="Palatino Linotype" w:eastAsia="Calibri" w:hAnsi="Palatino Linotype" w:cs="Arial"/>
          <w:i/>
          <w:color w:val="000000"/>
          <w:sz w:val="24"/>
          <w:lang w:eastAsia="es-MX"/>
        </w:rPr>
        <w:t>ad hoc</w:t>
      </w:r>
      <w:r w:rsidRPr="003F0FCF">
        <w:rPr>
          <w:rFonts w:ascii="Palatino Linotype" w:eastAsia="Calibri" w:hAnsi="Palatino Linotype" w:cs="Arial"/>
          <w:color w:val="000000"/>
          <w:sz w:val="24"/>
          <w:lang w:eastAsia="es-MX"/>
        </w:rPr>
        <w:t>, para satisfacer el derecho de acceso a la información pública.</w:t>
      </w:r>
    </w:p>
    <w:p w:rsidR="003F0FCF" w:rsidRPr="003F0FCF" w:rsidRDefault="003F0FCF" w:rsidP="003F0FCF">
      <w:pPr>
        <w:spacing w:after="0" w:line="360" w:lineRule="auto"/>
        <w:jc w:val="both"/>
        <w:rPr>
          <w:rFonts w:ascii="Palatino Linotype" w:eastAsia="Calibri" w:hAnsi="Palatino Linotype" w:cs="Arial"/>
          <w:color w:val="000000"/>
          <w:sz w:val="24"/>
          <w:lang w:eastAsia="es-MX"/>
        </w:rPr>
      </w:pPr>
    </w:p>
    <w:p w:rsidR="003F0FCF" w:rsidRPr="003F0FCF" w:rsidRDefault="003F0FCF" w:rsidP="003F0FCF">
      <w:pPr>
        <w:spacing w:after="0" w:line="360" w:lineRule="auto"/>
        <w:jc w:val="both"/>
        <w:rPr>
          <w:rFonts w:ascii="Palatino Linotype" w:eastAsia="Calibri" w:hAnsi="Palatino Linotype" w:cs="Calibri"/>
          <w:b/>
          <w:bCs/>
          <w:color w:val="000000"/>
          <w:sz w:val="24"/>
          <w:lang w:eastAsia="es-MX"/>
        </w:rPr>
      </w:pPr>
      <w:r w:rsidRPr="003F0FCF">
        <w:rPr>
          <w:rFonts w:ascii="Palatino Linotype" w:eastAsia="Calibri" w:hAnsi="Palatino Linotype" w:cs="Arial"/>
          <w:color w:val="000000"/>
          <w:sz w:val="24"/>
          <w:lang w:eastAsia="es-MX"/>
        </w:rPr>
        <w:t xml:space="preserve">Como apoyo a lo anterior, es aplicable el Criterio 03-17, emitido por </w:t>
      </w:r>
      <w:r w:rsidRPr="003F0FCF">
        <w:rPr>
          <w:rFonts w:ascii="Palatino Linotype" w:eastAsia="Arial Unicode MS" w:hAnsi="Palatino Linotype" w:cs="Arial"/>
          <w:color w:val="000000"/>
          <w:sz w:val="24"/>
          <w:lang w:eastAsia="es-MX"/>
        </w:rPr>
        <w:t>el Instituto Nacional de Transparencia, Acceso a la Información y Protección de Datos Personales,</w:t>
      </w:r>
      <w:r w:rsidRPr="003F0FCF">
        <w:rPr>
          <w:rFonts w:ascii="Palatino Linotype" w:eastAsia="Calibri" w:hAnsi="Palatino Linotype" w:cs="Calibri"/>
          <w:bCs/>
          <w:color w:val="000000"/>
          <w:sz w:val="24"/>
          <w:lang w:eastAsia="es-MX"/>
        </w:rPr>
        <w:t xml:space="preserve"> que dice:</w:t>
      </w:r>
      <w:r w:rsidRPr="003F0FCF">
        <w:rPr>
          <w:rFonts w:ascii="Palatino Linotype" w:eastAsia="Calibri" w:hAnsi="Palatino Linotype" w:cs="Calibri"/>
          <w:b/>
          <w:bCs/>
          <w:color w:val="000000"/>
          <w:sz w:val="24"/>
          <w:lang w:eastAsia="es-MX"/>
        </w:rPr>
        <w:t xml:space="preserve"> </w:t>
      </w:r>
    </w:p>
    <w:p w:rsidR="003F0FCF" w:rsidRPr="003F0FCF" w:rsidRDefault="003F0FCF" w:rsidP="003F0FCF">
      <w:pPr>
        <w:spacing w:after="0"/>
        <w:ind w:left="851" w:right="850"/>
        <w:jc w:val="both"/>
        <w:rPr>
          <w:rFonts w:ascii="Palatino Linotype" w:eastAsia="Calibri" w:hAnsi="Palatino Linotype" w:cs="Arial"/>
          <w:color w:val="000000"/>
          <w:sz w:val="2"/>
          <w:lang w:eastAsia="es-MX"/>
        </w:rPr>
      </w:pPr>
    </w:p>
    <w:p w:rsidR="003F0FCF" w:rsidRPr="003F0FCF" w:rsidRDefault="003F0FCF" w:rsidP="003F0FCF">
      <w:pPr>
        <w:spacing w:after="0" w:line="240" w:lineRule="auto"/>
        <w:ind w:left="567" w:right="567"/>
        <w:jc w:val="both"/>
        <w:rPr>
          <w:rFonts w:ascii="Palatino Linotype" w:eastAsia="Calibri" w:hAnsi="Palatino Linotype" w:cs="Arial"/>
          <w:i/>
          <w:color w:val="000000"/>
          <w:lang w:eastAsia="es-MX"/>
        </w:rPr>
      </w:pPr>
      <w:r w:rsidRPr="003F0FCF">
        <w:rPr>
          <w:rFonts w:ascii="Palatino Linotype" w:eastAsia="Calibri" w:hAnsi="Palatino Linotype" w:cs="Arial"/>
          <w:b/>
          <w:i/>
          <w:color w:val="000000"/>
          <w:lang w:eastAsia="es-MX"/>
        </w:rPr>
        <w:lastRenderedPageBreak/>
        <w:t>“No existe obligación de elaborar documentos ad hoc para atender las solicitudes de acceso a la información.</w:t>
      </w:r>
      <w:r w:rsidRPr="003F0FCF">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F0FCF" w:rsidRPr="003F0FCF" w:rsidRDefault="003F0FCF" w:rsidP="003F0FCF">
      <w:pPr>
        <w:spacing w:after="0" w:line="240" w:lineRule="auto"/>
        <w:ind w:left="567" w:right="567"/>
        <w:jc w:val="both"/>
        <w:rPr>
          <w:rFonts w:ascii="Palatino Linotype" w:eastAsia="Calibri" w:hAnsi="Palatino Linotype" w:cs="Arial"/>
          <w:i/>
          <w:color w:val="000000"/>
          <w:sz w:val="2"/>
          <w:lang w:eastAsia="es-MX"/>
        </w:rPr>
      </w:pPr>
    </w:p>
    <w:p w:rsidR="003F0FCF" w:rsidRPr="003F0FCF" w:rsidRDefault="003F0FCF" w:rsidP="003F0FCF">
      <w:pPr>
        <w:spacing w:after="0" w:line="360" w:lineRule="auto"/>
        <w:jc w:val="both"/>
        <w:rPr>
          <w:rFonts w:ascii="Palatino Linotype" w:eastAsia="Calibri" w:hAnsi="Palatino Linotype" w:cs="Arial"/>
          <w:color w:val="000000" w:themeColor="text1"/>
          <w:sz w:val="24"/>
          <w:lang w:eastAsia="es-MX"/>
        </w:rPr>
      </w:pPr>
    </w:p>
    <w:p w:rsidR="003F0FCF" w:rsidRPr="003F0FCF" w:rsidRDefault="003F0FCF" w:rsidP="003F0FCF">
      <w:pPr>
        <w:spacing w:after="0" w:line="360" w:lineRule="auto"/>
        <w:jc w:val="both"/>
        <w:rPr>
          <w:rFonts w:ascii="Palatino Linotype" w:eastAsia="Calibri" w:hAnsi="Palatino Linotype" w:cs="Arial"/>
          <w:color w:val="000000" w:themeColor="text1"/>
          <w:sz w:val="24"/>
          <w:lang w:eastAsia="es-MX"/>
        </w:rPr>
      </w:pPr>
      <w:r w:rsidRPr="003F0FCF">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3F0FCF">
        <w:rPr>
          <w:rFonts w:ascii="Palatino Linotype" w:eastAsia="Calibri" w:hAnsi="Palatino Linotype" w:cs="Arial"/>
          <w:sz w:val="24"/>
          <w:lang w:eastAsia="es-MX"/>
        </w:rPr>
        <w:t>generen</w:t>
      </w:r>
      <w:r w:rsidRPr="003F0FCF">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F0FCF" w:rsidRPr="003F0FCF" w:rsidRDefault="003F0FCF" w:rsidP="003F0FCF">
      <w:pPr>
        <w:spacing w:after="0" w:line="360" w:lineRule="auto"/>
        <w:jc w:val="both"/>
        <w:rPr>
          <w:rFonts w:ascii="Palatino Linotype" w:eastAsia="Calibri" w:hAnsi="Palatino Linotype" w:cs="Arial"/>
          <w:color w:val="000000" w:themeColor="text1"/>
          <w:sz w:val="24"/>
          <w:lang w:eastAsia="es-MX"/>
        </w:rPr>
      </w:pPr>
    </w:p>
    <w:p w:rsidR="003F0FCF" w:rsidRPr="003F0FCF" w:rsidRDefault="003F0FCF" w:rsidP="003F0FCF">
      <w:pPr>
        <w:spacing w:after="0" w:line="360" w:lineRule="auto"/>
        <w:jc w:val="both"/>
        <w:rPr>
          <w:rFonts w:ascii="Palatino Linotype" w:eastAsia="Calibri" w:hAnsi="Palatino Linotype" w:cs="Arial"/>
          <w:color w:val="000000" w:themeColor="text1"/>
          <w:sz w:val="24"/>
          <w:lang w:eastAsia="es-MX"/>
        </w:rPr>
      </w:pPr>
      <w:r w:rsidRPr="003F0FCF">
        <w:rPr>
          <w:rFonts w:ascii="Palatino Linotype" w:eastAsia="Calibri" w:hAnsi="Palatino Linotype" w:cs="Arial"/>
          <w:color w:val="000000" w:themeColor="text1"/>
          <w:sz w:val="24"/>
          <w:lang w:eastAsia="es-MX"/>
        </w:rPr>
        <w:t xml:space="preserve">En esta misma tesitura, es de subrayar que el derecho de acceso a la información pública, consiste en que la información solicitada conste en un soporte documental en cualquiera de sus formas, a saber: </w:t>
      </w:r>
      <w:r w:rsidRPr="003F0FCF">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F0FCF">
        <w:rPr>
          <w:rFonts w:ascii="Palatino Linotype" w:eastAsia="Calibri" w:hAnsi="Palatino Linotype" w:cs="Arial"/>
          <w:color w:val="000000" w:themeColor="text1"/>
          <w:sz w:val="24"/>
          <w:lang w:eastAsia="es-MX"/>
        </w:rPr>
        <w:t xml:space="preserve">; los que, </w:t>
      </w:r>
      <w:r w:rsidRPr="003F0FCF">
        <w:rPr>
          <w:rFonts w:ascii="Palatino Linotype" w:eastAsia="Calibri" w:hAnsi="Palatino Linotype" w:cs="Arial"/>
          <w:sz w:val="24"/>
          <w:lang w:eastAsia="es-MX"/>
        </w:rPr>
        <w:t>podrán estar en cualquier medio, sea escrito, impreso, sonoro, visual, electrónico, informático u holográfico</w:t>
      </w:r>
      <w:r w:rsidRPr="003F0FCF">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3F0FCF" w:rsidRPr="003F0FCF" w:rsidRDefault="003F0FCF" w:rsidP="003F0FCF">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3F0FCF" w:rsidRPr="003F0FCF" w:rsidRDefault="003F0FCF" w:rsidP="003F0FCF">
      <w:pPr>
        <w:spacing w:after="0" w:line="240" w:lineRule="auto"/>
        <w:ind w:left="567" w:right="567"/>
        <w:jc w:val="both"/>
        <w:rPr>
          <w:rFonts w:ascii="Palatino Linotype" w:eastAsia="Calibri" w:hAnsi="Palatino Linotype" w:cs="Arial"/>
          <w:i/>
          <w:color w:val="000000"/>
          <w:lang w:eastAsia="es-MX"/>
        </w:rPr>
      </w:pPr>
      <w:r w:rsidRPr="003F0FCF">
        <w:rPr>
          <w:rFonts w:ascii="Palatino Linotype" w:eastAsia="Calibri" w:hAnsi="Palatino Linotype" w:cs="Arial"/>
          <w:b/>
          <w:i/>
          <w:color w:val="000000"/>
          <w:lang w:eastAsia="es-MX"/>
        </w:rPr>
        <w:t xml:space="preserve">Artículo 3. </w:t>
      </w:r>
      <w:r w:rsidRPr="003F0FCF">
        <w:rPr>
          <w:rFonts w:ascii="Palatino Linotype" w:eastAsia="Calibri" w:hAnsi="Palatino Linotype" w:cs="Arial"/>
          <w:i/>
          <w:color w:val="000000"/>
          <w:lang w:eastAsia="es-MX"/>
        </w:rPr>
        <w:t>Para los efectos de la presente Ley se entenderá por:</w:t>
      </w:r>
    </w:p>
    <w:p w:rsidR="003F0FCF" w:rsidRPr="003F0FCF" w:rsidRDefault="003F0FCF" w:rsidP="003F0FCF">
      <w:pPr>
        <w:spacing w:after="0" w:line="240" w:lineRule="auto"/>
        <w:ind w:left="567" w:right="567"/>
        <w:jc w:val="both"/>
        <w:rPr>
          <w:rFonts w:ascii="Palatino Linotype" w:eastAsia="Calibri" w:hAnsi="Palatino Linotype" w:cs="Arial"/>
          <w:i/>
          <w:color w:val="000000"/>
          <w:lang w:eastAsia="es-MX"/>
        </w:rPr>
      </w:pPr>
      <w:r w:rsidRPr="003F0FCF">
        <w:rPr>
          <w:rFonts w:ascii="Palatino Linotype" w:eastAsia="Calibri" w:hAnsi="Palatino Linotype" w:cs="Arial"/>
          <w:i/>
          <w:color w:val="000000"/>
          <w:lang w:eastAsia="es-MX"/>
        </w:rPr>
        <w:t>(…)</w:t>
      </w:r>
    </w:p>
    <w:p w:rsidR="003F0FCF" w:rsidRPr="003F0FCF" w:rsidRDefault="003F0FCF" w:rsidP="003F0FCF">
      <w:pPr>
        <w:spacing w:after="0" w:line="240" w:lineRule="auto"/>
        <w:ind w:left="567" w:right="567"/>
        <w:jc w:val="both"/>
        <w:rPr>
          <w:rFonts w:ascii="Palatino Linotype" w:eastAsia="Calibri" w:hAnsi="Palatino Linotype" w:cs="Arial"/>
          <w:i/>
          <w:color w:val="000000"/>
          <w:lang w:eastAsia="es-MX"/>
        </w:rPr>
      </w:pPr>
      <w:r w:rsidRPr="003F0FCF">
        <w:rPr>
          <w:rFonts w:ascii="Palatino Linotype" w:eastAsia="Calibri" w:hAnsi="Palatino Linotype" w:cs="Arial"/>
          <w:b/>
          <w:i/>
          <w:color w:val="000000"/>
          <w:lang w:eastAsia="es-MX"/>
        </w:rPr>
        <w:lastRenderedPageBreak/>
        <w:t>XI. Documento:</w:t>
      </w:r>
      <w:r w:rsidRPr="003F0FCF">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F0FCF" w:rsidRPr="003F0FCF" w:rsidRDefault="003F0FCF" w:rsidP="003F0FCF">
      <w:pPr>
        <w:spacing w:after="0" w:line="240" w:lineRule="auto"/>
        <w:ind w:left="567" w:right="567"/>
        <w:jc w:val="both"/>
        <w:rPr>
          <w:rFonts w:ascii="Palatino Linotype" w:eastAsia="Calibri" w:hAnsi="Palatino Linotype" w:cs="Arial"/>
          <w:i/>
          <w:color w:val="000000"/>
          <w:lang w:eastAsia="es-MX"/>
        </w:rPr>
      </w:pPr>
      <w:r w:rsidRPr="003F0FCF">
        <w:rPr>
          <w:rFonts w:ascii="Palatino Linotype" w:eastAsia="Calibri" w:hAnsi="Palatino Linotype" w:cs="Arial"/>
          <w:i/>
          <w:color w:val="000000"/>
          <w:lang w:eastAsia="es-MX"/>
        </w:rPr>
        <w:t>(…)</w:t>
      </w:r>
    </w:p>
    <w:p w:rsidR="003F0FCF" w:rsidRDefault="003F0FCF" w:rsidP="00CE5433">
      <w:pPr>
        <w:spacing w:after="0" w:line="360" w:lineRule="auto"/>
        <w:jc w:val="both"/>
        <w:rPr>
          <w:rFonts w:ascii="Palatino Linotype" w:eastAsia="Calibri" w:hAnsi="Palatino Linotype"/>
          <w:sz w:val="24"/>
          <w:lang w:val="es-ES"/>
        </w:rPr>
      </w:pPr>
    </w:p>
    <w:p w:rsidR="00CE5433" w:rsidRDefault="000E2F8F" w:rsidP="00E61EBE">
      <w:pPr>
        <w:spacing w:after="0" w:line="360" w:lineRule="auto"/>
        <w:jc w:val="both"/>
        <w:rPr>
          <w:rFonts w:ascii="Palatino Linotype" w:eastAsia="Calibri" w:hAnsi="Palatino Linotype"/>
          <w:sz w:val="24"/>
          <w:lang w:val="es-ES"/>
        </w:rPr>
      </w:pPr>
      <w:r>
        <w:rPr>
          <w:rFonts w:ascii="Palatino Linotype" w:eastAsia="Calibri" w:hAnsi="Palatino Linotype"/>
          <w:sz w:val="24"/>
          <w:lang w:val="es-ES"/>
        </w:rPr>
        <w:t>Acotado lo anterior, e</w:t>
      </w:r>
      <w:r w:rsidR="00CE5433" w:rsidRPr="007F109C">
        <w:rPr>
          <w:rFonts w:ascii="Palatino Linotype" w:eastAsia="Calibri" w:hAnsi="Palatino Linotype"/>
          <w:sz w:val="24"/>
        </w:rPr>
        <w:t xml:space="preserve">l </w:t>
      </w:r>
      <w:r w:rsidR="00CE5433" w:rsidRPr="007F109C">
        <w:rPr>
          <w:rFonts w:ascii="Palatino Linotype" w:eastAsia="Calibri" w:hAnsi="Palatino Linotype"/>
          <w:b/>
          <w:sz w:val="24"/>
        </w:rPr>
        <w:t>Sujeto Obligado</w:t>
      </w:r>
      <w:r w:rsidR="00CE5433" w:rsidRPr="007F109C">
        <w:rPr>
          <w:rFonts w:ascii="Palatino Linotype" w:eastAsia="Calibri" w:hAnsi="Palatino Linotype"/>
          <w:sz w:val="24"/>
        </w:rPr>
        <w:t xml:space="preserve"> emitió respuesta por medio del documento electrónico </w:t>
      </w:r>
      <w:r w:rsidR="00CE5433" w:rsidRPr="007F109C">
        <w:rPr>
          <w:rFonts w:ascii="Palatino Linotype" w:hAnsi="Palatino Linotype" w:cs="Arial"/>
          <w:sz w:val="24"/>
          <w:szCs w:val="24"/>
        </w:rPr>
        <w:t>“</w:t>
      </w:r>
      <w:r w:rsidR="00E61EBE" w:rsidRPr="00E61EBE">
        <w:rPr>
          <w:rFonts w:ascii="Palatino Linotype" w:hAnsi="Palatino Linotype" w:cs="Arial"/>
          <w:b/>
          <w:i/>
          <w:sz w:val="24"/>
          <w:szCs w:val="24"/>
        </w:rPr>
        <w:t>00003UPTIP2022.pdf</w:t>
      </w:r>
      <w:r w:rsidR="00CE5433" w:rsidRPr="007F109C">
        <w:rPr>
          <w:rFonts w:ascii="Palatino Linotype" w:hAnsi="Palatino Linotype" w:cs="Arial"/>
          <w:sz w:val="24"/>
          <w:szCs w:val="24"/>
        </w:rPr>
        <w:t xml:space="preserve">”, </w:t>
      </w:r>
      <w:r w:rsidR="00E61EBE">
        <w:rPr>
          <w:rFonts w:ascii="Palatino Linotype" w:eastAsia="Calibri" w:hAnsi="Palatino Linotype"/>
          <w:sz w:val="24"/>
          <w:lang w:val="es-ES"/>
        </w:rPr>
        <w:t>consistente en el oficio número 210C2901000S/034/2022 del 09 (nueve) de septiembre de 2022 (dos mil veintidós), mediante el cual el Titular de la Unidad de Transparencia del Sujeto Obligado, objetivamente, manifiesta lo siguiente:</w:t>
      </w:r>
    </w:p>
    <w:p w:rsidR="00E61EBE" w:rsidRDefault="00E61EBE" w:rsidP="00E61EBE">
      <w:pPr>
        <w:spacing w:after="0" w:line="360" w:lineRule="auto"/>
        <w:jc w:val="both"/>
        <w:rPr>
          <w:rFonts w:ascii="Palatino Linotype" w:eastAsia="Calibri" w:hAnsi="Palatino Linotype"/>
          <w:sz w:val="24"/>
          <w:lang w:val="es-ES"/>
        </w:rPr>
      </w:pPr>
    </w:p>
    <w:p w:rsidR="00E61EBE" w:rsidRDefault="00E61EBE" w:rsidP="00E61EBE">
      <w:pPr>
        <w:spacing w:after="0" w:line="240" w:lineRule="auto"/>
        <w:ind w:left="567" w:right="567"/>
        <w:jc w:val="both"/>
        <w:rPr>
          <w:rFonts w:ascii="Palatino Linotype" w:eastAsia="Calibri" w:hAnsi="Palatino Linotype"/>
          <w:lang w:val="es-ES"/>
        </w:rPr>
      </w:pPr>
      <w:r>
        <w:rPr>
          <w:rFonts w:ascii="Palatino Linotype" w:eastAsia="Calibri" w:hAnsi="Palatino Linotype"/>
          <w:i/>
          <w:lang w:val="es-ES"/>
        </w:rPr>
        <w:t xml:space="preserve">“Se le hace saber al interesado que su solicitud de información, </w:t>
      </w:r>
      <w:r w:rsidR="00270DBC">
        <w:rPr>
          <w:rFonts w:ascii="Palatino Linotype" w:eastAsia="Calibri" w:hAnsi="Palatino Linotype"/>
          <w:i/>
          <w:lang w:val="es-ES"/>
        </w:rPr>
        <w:t>está</w:t>
      </w:r>
      <w:r>
        <w:rPr>
          <w:rFonts w:ascii="Palatino Linotype" w:eastAsia="Calibri" w:hAnsi="Palatino Linotype"/>
          <w:i/>
          <w:lang w:val="es-ES"/>
        </w:rPr>
        <w:t xml:space="preserve"> basada en el </w:t>
      </w:r>
      <w:r w:rsidRPr="00C170BB">
        <w:rPr>
          <w:rFonts w:ascii="Palatino Linotype" w:eastAsia="Calibri" w:hAnsi="Palatino Linotype"/>
          <w:i/>
          <w:u w:val="single"/>
          <w:lang w:val="es-ES"/>
        </w:rPr>
        <w:t xml:space="preserve">otorgar datos personales que son irrenunciables, intransferibles e indelegables, por lo que la Universidad politécnica de Tecámac, no proporciona o hace pública este tipo de información ya que es obligación del Organismo </w:t>
      </w:r>
      <w:r w:rsidR="00270DBC" w:rsidRPr="00C170BB">
        <w:rPr>
          <w:rFonts w:ascii="Palatino Linotype" w:eastAsia="Calibri" w:hAnsi="Palatino Linotype"/>
          <w:i/>
          <w:u w:val="single"/>
          <w:lang w:val="es-ES"/>
        </w:rPr>
        <w:t>Descentralizado</w:t>
      </w:r>
      <w:r w:rsidRPr="00C170BB">
        <w:rPr>
          <w:rFonts w:ascii="Palatino Linotype" w:eastAsia="Calibri" w:hAnsi="Palatino Linotype"/>
          <w:i/>
          <w:u w:val="single"/>
          <w:lang w:val="es-ES"/>
        </w:rPr>
        <w:t xml:space="preserve"> proteger y resguardar la información clasificada como reservada o confidencial</w:t>
      </w:r>
      <w:r w:rsidR="00270DBC">
        <w:rPr>
          <w:rFonts w:ascii="Palatino Linotype" w:eastAsia="Calibri" w:hAnsi="Palatino Linotype"/>
          <w:i/>
          <w:lang w:val="es-ES"/>
        </w:rPr>
        <w:t xml:space="preserve"> y asegurar la protección de datos personales que se tienen en los archivos de la institución, </w:t>
      </w:r>
      <w:r w:rsidR="00270DBC" w:rsidRPr="00C170BB">
        <w:rPr>
          <w:rFonts w:ascii="Palatino Linotype" w:eastAsia="Calibri" w:hAnsi="Palatino Linotype"/>
          <w:b/>
          <w:i/>
          <w:u w:val="single"/>
          <w:lang w:val="es-ES"/>
        </w:rPr>
        <w:t>razón por la que no es posible acordar favorable su solicitud</w:t>
      </w:r>
      <w:r w:rsidR="00270DBC">
        <w:rPr>
          <w:rFonts w:ascii="Palatino Linotype" w:eastAsia="Calibri" w:hAnsi="Palatino Linotype"/>
          <w:i/>
          <w:lang w:val="es-ES"/>
        </w:rPr>
        <w:t>…”</w:t>
      </w:r>
    </w:p>
    <w:p w:rsidR="00270DBC" w:rsidRPr="00270DBC" w:rsidRDefault="00270DBC" w:rsidP="00270DBC">
      <w:pPr>
        <w:spacing w:after="0" w:line="240" w:lineRule="auto"/>
        <w:ind w:left="567" w:right="567"/>
        <w:jc w:val="right"/>
        <w:rPr>
          <w:rFonts w:ascii="Palatino Linotype" w:hAnsi="Palatino Linotype" w:cs="Arial"/>
        </w:rPr>
      </w:pPr>
      <w:r>
        <w:rPr>
          <w:rFonts w:ascii="Palatino Linotype" w:eastAsia="Calibri" w:hAnsi="Palatino Linotype"/>
          <w:lang w:val="es-ES"/>
        </w:rPr>
        <w:t>(Énfasis añadido)</w:t>
      </w:r>
    </w:p>
    <w:p w:rsidR="00CE5433" w:rsidRPr="007F109C" w:rsidRDefault="00CE5433" w:rsidP="00CE5433">
      <w:pPr>
        <w:spacing w:after="0" w:line="360" w:lineRule="auto"/>
        <w:jc w:val="both"/>
        <w:rPr>
          <w:rFonts w:ascii="Palatino Linotype" w:eastAsia="Calibri" w:hAnsi="Palatino Linotype"/>
          <w:sz w:val="24"/>
          <w:lang w:val="es-ES_tradnl"/>
        </w:rPr>
      </w:pPr>
    </w:p>
    <w:p w:rsidR="00CE5433" w:rsidRPr="007F109C" w:rsidRDefault="00CE5433" w:rsidP="00CE5433">
      <w:pPr>
        <w:spacing w:after="0" w:line="360" w:lineRule="auto"/>
        <w:jc w:val="both"/>
        <w:rPr>
          <w:rFonts w:ascii="Palatino Linotype" w:eastAsia="Calibri" w:hAnsi="Palatino Linotype"/>
          <w:sz w:val="24"/>
          <w:lang w:val="es-ES_tradnl"/>
        </w:rPr>
      </w:pPr>
      <w:r w:rsidRPr="007F109C">
        <w:rPr>
          <w:rFonts w:ascii="Palatino Linotype" w:eastAsia="Calibri" w:hAnsi="Palatino Linotype"/>
          <w:sz w:val="24"/>
          <w:lang w:val="es-ES_tradnl"/>
        </w:rPr>
        <w:t xml:space="preserve">Inconforme con la respuesta, el </w:t>
      </w:r>
      <w:r w:rsidRPr="007F109C">
        <w:rPr>
          <w:rFonts w:ascii="Palatino Linotype" w:eastAsia="Calibri" w:hAnsi="Palatino Linotype"/>
          <w:b/>
          <w:sz w:val="24"/>
          <w:lang w:val="es-ES_tradnl"/>
        </w:rPr>
        <w:t>Recurrente</w:t>
      </w:r>
      <w:r w:rsidRPr="007F109C">
        <w:rPr>
          <w:rFonts w:ascii="Palatino Linotype" w:eastAsia="Calibri" w:hAnsi="Palatino Linotype"/>
          <w:sz w:val="24"/>
          <w:lang w:val="es-ES_tradnl"/>
        </w:rPr>
        <w:t xml:space="preserve"> interpuso el recurso de revisión, haciendo valer como acto impugnado </w:t>
      </w:r>
      <w:r w:rsidR="00270DBC">
        <w:rPr>
          <w:rFonts w:ascii="Palatino Linotype" w:eastAsia="Calibri" w:hAnsi="Palatino Linotype"/>
          <w:sz w:val="24"/>
          <w:lang w:val="es-ES_tradnl"/>
        </w:rPr>
        <w:t xml:space="preserve">y </w:t>
      </w:r>
      <w:r w:rsidRPr="007F109C">
        <w:rPr>
          <w:rFonts w:ascii="Palatino Linotype" w:eastAsia="Calibri" w:hAnsi="Palatino Linotype"/>
          <w:sz w:val="24"/>
          <w:lang w:val="es-ES_tradnl"/>
        </w:rPr>
        <w:t xml:space="preserve">razones o motivos de inconformidad </w:t>
      </w:r>
      <w:r w:rsidRPr="007F109C">
        <w:rPr>
          <w:rFonts w:ascii="Palatino Linotype" w:eastAsia="Calibri" w:hAnsi="Palatino Linotype"/>
          <w:i/>
          <w:sz w:val="24"/>
          <w:lang w:val="es-ES_tradnl"/>
        </w:rPr>
        <w:t>“</w:t>
      </w:r>
      <w:r w:rsidR="00270DBC" w:rsidRPr="00270DBC">
        <w:rPr>
          <w:rFonts w:ascii="Palatino Linotype" w:eastAsia="Calibri" w:hAnsi="Palatino Linotype"/>
          <w:i/>
          <w:sz w:val="24"/>
        </w:rPr>
        <w:t>LA FALTA DE ENTREGA DE INFORMACION EN VERSION PUBLICA O BIEN EL ACEURDO RESPECTIVO DE SU CLASIFICACIÓN</w:t>
      </w:r>
      <w:r w:rsidRPr="007F109C">
        <w:rPr>
          <w:rFonts w:ascii="Palatino Linotype" w:eastAsia="Calibri" w:hAnsi="Palatino Linotype"/>
          <w:i/>
          <w:sz w:val="24"/>
          <w:lang w:val="es-ES_tradnl"/>
        </w:rPr>
        <w:t>”</w:t>
      </w:r>
      <w:r w:rsidRPr="007F109C">
        <w:rPr>
          <w:rFonts w:ascii="Palatino Linotype" w:eastAsia="Calibri" w:hAnsi="Palatino Linotype"/>
          <w:sz w:val="24"/>
          <w:lang w:val="es-ES_tradnl"/>
        </w:rPr>
        <w:t xml:space="preserve">, consideraciones que se encuentran fundadas al encuadrar en la hipótesis normativa consagrada en la fracciones </w:t>
      </w:r>
      <w:r w:rsidR="00270DBC">
        <w:rPr>
          <w:rFonts w:ascii="Palatino Linotype" w:eastAsia="Calibri" w:hAnsi="Palatino Linotype"/>
          <w:sz w:val="24"/>
          <w:lang w:val="es-ES_tradnl"/>
        </w:rPr>
        <w:t>II</w:t>
      </w:r>
      <w:r w:rsidRPr="007F109C">
        <w:rPr>
          <w:rFonts w:ascii="Palatino Linotype" w:eastAsia="Calibri" w:hAnsi="Palatino Linotype"/>
          <w:sz w:val="24"/>
          <w:lang w:val="es-ES_tradnl"/>
        </w:rPr>
        <w:t xml:space="preserve"> del artículo 179 </w:t>
      </w:r>
      <w:r w:rsidRPr="007F109C">
        <w:rPr>
          <w:rFonts w:ascii="Palatino Linotype" w:eastAsia="Calibri" w:hAnsi="Palatino Linotype"/>
          <w:sz w:val="24"/>
          <w:lang w:val="es-ES_tradnl"/>
        </w:rPr>
        <w:lastRenderedPageBreak/>
        <w:t>de la Ley de Transparencia Local</w:t>
      </w:r>
      <w:r w:rsidRPr="007F109C">
        <w:rPr>
          <w:rStyle w:val="Refdenotaalpie"/>
          <w:rFonts w:ascii="Palatino Linotype" w:eastAsia="Calibri" w:hAnsi="Palatino Linotype"/>
          <w:sz w:val="24"/>
          <w:lang w:val="es-ES_tradnl"/>
        </w:rPr>
        <w:footnoteReference w:id="1"/>
      </w:r>
      <w:r w:rsidRPr="007F109C">
        <w:rPr>
          <w:rFonts w:ascii="Palatino Linotype" w:eastAsia="Calibri" w:hAnsi="Palatino Linotype"/>
          <w:sz w:val="24"/>
          <w:lang w:val="es-ES_tradnl"/>
        </w:rPr>
        <w:t xml:space="preserve">, relativa a la </w:t>
      </w:r>
      <w:r w:rsidR="00270DBC">
        <w:rPr>
          <w:rFonts w:ascii="Palatino Linotype" w:eastAsia="Calibri" w:hAnsi="Palatino Linotype"/>
          <w:sz w:val="24"/>
          <w:lang w:val="es-ES_tradnl"/>
        </w:rPr>
        <w:t>negativa de entrega de información por la clasificación</w:t>
      </w:r>
      <w:r w:rsidRPr="007F109C">
        <w:rPr>
          <w:rFonts w:ascii="Palatino Linotype" w:eastAsia="Calibri" w:hAnsi="Palatino Linotype"/>
          <w:sz w:val="24"/>
          <w:lang w:val="es-ES_tradnl"/>
        </w:rPr>
        <w:t>.</w:t>
      </w:r>
    </w:p>
    <w:p w:rsidR="00CE5433" w:rsidRPr="007F109C" w:rsidRDefault="00CE5433" w:rsidP="00CE5433">
      <w:pPr>
        <w:spacing w:after="0" w:line="360" w:lineRule="auto"/>
        <w:jc w:val="both"/>
        <w:rPr>
          <w:rFonts w:ascii="Palatino Linotype" w:eastAsia="Calibri" w:hAnsi="Palatino Linotype"/>
          <w:sz w:val="24"/>
          <w:lang w:val="es-ES_tradnl"/>
        </w:rPr>
      </w:pPr>
    </w:p>
    <w:p w:rsidR="00CE5433" w:rsidRDefault="00CE5433" w:rsidP="00CE5433">
      <w:pPr>
        <w:spacing w:after="0" w:line="360" w:lineRule="auto"/>
        <w:jc w:val="both"/>
        <w:rPr>
          <w:rFonts w:ascii="Palatino Linotype" w:eastAsia="Calibri" w:hAnsi="Palatino Linotype" w:cs="Times New Roman"/>
          <w:sz w:val="24"/>
          <w:szCs w:val="24"/>
          <w:lang w:val="es-ES" w:eastAsia="es-ES"/>
        </w:rPr>
      </w:pPr>
      <w:r w:rsidRPr="007F109C">
        <w:rPr>
          <w:rFonts w:ascii="Palatino Linotype" w:eastAsia="Calibri" w:hAnsi="Palatino Linotype" w:cs="Times New Roman"/>
          <w:sz w:val="24"/>
          <w:szCs w:val="24"/>
          <w:lang w:val="es-ES" w:eastAsia="es-ES"/>
        </w:rPr>
        <w:t xml:space="preserve">Hechas las precisiones anteriores, del análisis </w:t>
      </w:r>
      <w:r w:rsidR="00270DBC">
        <w:rPr>
          <w:rFonts w:ascii="Palatino Linotype" w:eastAsia="Calibri" w:hAnsi="Palatino Linotype" w:cs="Times New Roman"/>
          <w:sz w:val="24"/>
          <w:szCs w:val="24"/>
          <w:lang w:val="es-ES" w:eastAsia="es-ES"/>
        </w:rPr>
        <w:t>de las manifestaciones contenidas en el oficio de respuesta</w:t>
      </w:r>
      <w:r w:rsidRPr="007F109C">
        <w:rPr>
          <w:rFonts w:ascii="Palatino Linotype" w:eastAsia="Calibri" w:hAnsi="Palatino Linotype" w:cs="Times New Roman"/>
          <w:sz w:val="24"/>
          <w:szCs w:val="24"/>
          <w:lang w:val="es-ES" w:eastAsia="es-ES"/>
        </w:rPr>
        <w:t xml:space="preserve">, se acredita que el </w:t>
      </w:r>
      <w:r w:rsidRPr="007F109C">
        <w:rPr>
          <w:rFonts w:ascii="Palatino Linotype" w:eastAsia="Calibri" w:hAnsi="Palatino Linotype" w:cs="Times New Roman"/>
          <w:b/>
          <w:sz w:val="24"/>
          <w:szCs w:val="24"/>
          <w:lang w:val="es-ES" w:eastAsia="es-ES"/>
        </w:rPr>
        <w:t>Sujeto Obligado</w:t>
      </w:r>
      <w:r w:rsidRPr="007F109C">
        <w:rPr>
          <w:rFonts w:ascii="Palatino Linotype" w:eastAsia="Calibri" w:hAnsi="Palatino Linotype" w:cs="Times New Roman"/>
          <w:sz w:val="24"/>
          <w:szCs w:val="24"/>
          <w:lang w:val="es-ES" w:eastAsia="es-ES"/>
        </w:rPr>
        <w:t xml:space="preserve"> reconoce contar con atribuciones que lo constriñen tener en sus archivos la información, </w:t>
      </w:r>
      <w:r>
        <w:rPr>
          <w:rFonts w:ascii="Palatino Linotype" w:eastAsia="Calibri" w:hAnsi="Palatino Linotype" w:cs="Times New Roman"/>
          <w:sz w:val="24"/>
          <w:szCs w:val="24"/>
          <w:lang w:val="es-ES" w:eastAsia="es-ES"/>
        </w:rPr>
        <w:t xml:space="preserve">ello es así, al </w:t>
      </w:r>
      <w:r w:rsidR="00270DBC">
        <w:rPr>
          <w:rFonts w:ascii="Palatino Linotype" w:eastAsia="Calibri" w:hAnsi="Palatino Linotype" w:cs="Times New Roman"/>
          <w:sz w:val="24"/>
          <w:szCs w:val="24"/>
          <w:lang w:val="es-ES" w:eastAsia="es-ES"/>
        </w:rPr>
        <w:t xml:space="preserve">referir que la información contiene datos personales los cuales no pueden ser </w:t>
      </w:r>
      <w:r w:rsidR="00BE66AC">
        <w:rPr>
          <w:rFonts w:ascii="Palatino Linotype" w:eastAsia="Calibri" w:hAnsi="Palatino Linotype" w:cs="Times New Roman"/>
          <w:sz w:val="24"/>
          <w:szCs w:val="24"/>
          <w:lang w:val="es-ES" w:eastAsia="es-ES"/>
        </w:rPr>
        <w:t>públicos.</w:t>
      </w:r>
    </w:p>
    <w:p w:rsidR="00D634FC" w:rsidRDefault="00D634FC" w:rsidP="00CE5433">
      <w:pPr>
        <w:spacing w:after="0" w:line="360" w:lineRule="auto"/>
        <w:jc w:val="both"/>
        <w:rPr>
          <w:rFonts w:ascii="Palatino Linotype" w:eastAsia="Calibri" w:hAnsi="Palatino Linotype" w:cs="Times New Roman"/>
          <w:sz w:val="24"/>
          <w:szCs w:val="24"/>
          <w:lang w:val="es-ES" w:eastAsia="es-ES"/>
        </w:rPr>
      </w:pPr>
    </w:p>
    <w:p w:rsidR="00CE5433" w:rsidRPr="007F109C" w:rsidRDefault="00CE5433" w:rsidP="00CE5433">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 w:eastAsia="es-ES"/>
        </w:rPr>
        <w:t>En ese orden de ideas, debemos</w:t>
      </w:r>
      <w:r w:rsidR="00BE66AC">
        <w:rPr>
          <w:rFonts w:ascii="Palatino Linotype" w:eastAsia="Calibri" w:hAnsi="Palatino Linotype" w:cs="Times New Roman"/>
          <w:sz w:val="24"/>
          <w:szCs w:val="24"/>
          <w:lang w:val="es-ES" w:eastAsia="es-ES"/>
        </w:rPr>
        <w:t xml:space="preserve"> de señalarle y </w:t>
      </w:r>
      <w:r>
        <w:rPr>
          <w:rFonts w:ascii="Palatino Linotype" w:eastAsia="Calibri" w:hAnsi="Palatino Linotype" w:cs="Times New Roman"/>
          <w:sz w:val="24"/>
          <w:szCs w:val="24"/>
          <w:lang w:val="es-ES" w:eastAsia="es-ES"/>
        </w:rPr>
        <w:t>recordar</w:t>
      </w:r>
      <w:r w:rsidR="00BE66AC">
        <w:rPr>
          <w:rFonts w:ascii="Palatino Linotype" w:eastAsia="Calibri" w:hAnsi="Palatino Linotype" w:cs="Times New Roman"/>
          <w:sz w:val="24"/>
          <w:szCs w:val="24"/>
          <w:lang w:val="es-ES" w:eastAsia="es-ES"/>
        </w:rPr>
        <w:t xml:space="preserve">le al </w:t>
      </w:r>
      <w:r w:rsidR="00BE66AC" w:rsidRPr="00BE66AC">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que</w:t>
      </w:r>
      <w:r w:rsidR="00BE66AC">
        <w:rPr>
          <w:rFonts w:ascii="Palatino Linotype" w:eastAsia="Calibri" w:hAnsi="Palatino Linotype" w:cs="Times New Roman"/>
          <w:sz w:val="24"/>
          <w:szCs w:val="24"/>
          <w:lang w:val="es-ES" w:eastAsia="es-ES"/>
        </w:rPr>
        <w:t>,</w:t>
      </w:r>
      <w:r>
        <w:rPr>
          <w:rFonts w:ascii="Palatino Linotype" w:eastAsia="Calibri" w:hAnsi="Palatino Linotype" w:cs="Times New Roman"/>
          <w:sz w:val="24"/>
          <w:szCs w:val="24"/>
          <w:lang w:val="es-ES" w:eastAsia="es-ES"/>
        </w:rPr>
        <w:t xml:space="preserve"> e</w:t>
      </w:r>
      <w:r w:rsidRPr="00E7569E">
        <w:rPr>
          <w:rFonts w:ascii="Palatino Linotype" w:hAnsi="Palatino Linotype" w:cs="Arial"/>
          <w:sz w:val="24"/>
          <w:szCs w:val="24"/>
        </w:rPr>
        <w:t>l derecho de acceso a la información</w:t>
      </w:r>
      <w:r w:rsidRPr="007F109C">
        <w:rPr>
          <w:rFonts w:ascii="Palatino Linotype" w:hAnsi="Palatino Linotype" w:cs="Arial"/>
          <w:sz w:val="24"/>
          <w:szCs w:val="24"/>
        </w:rPr>
        <w:t xml:space="preserve"> pública tiene como limitante el respeto a la intimidad y a la vida privada de las personas, por lo que la entrega de la información que pudiera entregarse en su caso, deberá ser en </w:t>
      </w:r>
      <w:r w:rsidRPr="00BE66AC">
        <w:rPr>
          <w:rFonts w:ascii="Palatino Linotype" w:hAnsi="Palatino Linotype" w:cs="Arial"/>
          <w:b/>
          <w:sz w:val="24"/>
          <w:szCs w:val="24"/>
        </w:rPr>
        <w:t>versión pública</w:t>
      </w:r>
      <w:r w:rsidRPr="007F109C">
        <w:rPr>
          <w:rFonts w:ascii="Palatino Linotype" w:hAnsi="Palatino Linotype" w:cs="Arial"/>
          <w:sz w:val="24"/>
          <w:szCs w:val="24"/>
        </w:rPr>
        <w:t xml:space="preserve">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r w:rsidRPr="007F109C">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7F109C">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r w:rsidRPr="007F109C">
        <w:rPr>
          <w:rFonts w:ascii="Palatino Linotype" w:hAnsi="Palatino Linotype" w:cs="Arial"/>
          <w:sz w:val="24"/>
          <w:szCs w:val="24"/>
        </w:rPr>
        <w:t xml:space="preserve">De este modo, en armonía entre los principios constitucionales de máxima publicidad y de protección de datos personales, la Ley </w:t>
      </w:r>
      <w:r w:rsidRPr="00D07637">
        <w:rPr>
          <w:rFonts w:ascii="Palatino Linotype" w:hAnsi="Palatino Linotype" w:cs="Arial"/>
          <w:b/>
          <w:sz w:val="24"/>
          <w:szCs w:val="24"/>
        </w:rPr>
        <w:t>permite la elaboración de versiones públicas</w:t>
      </w:r>
      <w:r w:rsidRPr="007F109C">
        <w:rPr>
          <w:rFonts w:ascii="Palatino Linotype" w:hAnsi="Palatino Linotype" w:cs="Arial"/>
          <w:sz w:val="24"/>
          <w:szCs w:val="24"/>
        </w:rPr>
        <w:t xml:space="preserve"> en las que se suprima aquella información relacionada con la vida privada de los particulares y de los servidores públicos.</w:t>
      </w: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r w:rsidRPr="007F109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p>
    <w:p w:rsidR="00CE5433" w:rsidRPr="007F109C" w:rsidRDefault="00CE5433" w:rsidP="00D07637">
      <w:pPr>
        <w:tabs>
          <w:tab w:val="left" w:pos="8505"/>
        </w:tabs>
        <w:spacing w:after="0" w:line="240" w:lineRule="auto"/>
        <w:ind w:left="567" w:right="567"/>
        <w:jc w:val="both"/>
        <w:rPr>
          <w:rFonts w:ascii="Palatino Linotype" w:hAnsi="Palatino Linotype" w:cs="Arial"/>
          <w:bCs/>
          <w:i/>
        </w:rPr>
      </w:pPr>
      <w:r w:rsidRPr="007F109C">
        <w:rPr>
          <w:rFonts w:ascii="Palatino Linotype" w:hAnsi="Palatino Linotype" w:cs="Arial"/>
          <w:bCs/>
          <w:i/>
        </w:rPr>
        <w:t>“</w:t>
      </w:r>
      <w:r w:rsidRPr="007F109C">
        <w:rPr>
          <w:rFonts w:ascii="Palatino Linotype" w:hAnsi="Palatino Linotype" w:cs="Arial"/>
          <w:b/>
          <w:bCs/>
          <w:i/>
        </w:rPr>
        <w:t>Cuarto</w:t>
      </w:r>
      <w:r w:rsidRPr="007F109C">
        <w:rPr>
          <w:rFonts w:ascii="Palatino Linotype" w:hAnsi="Palatino Linotype" w:cs="Arial"/>
          <w:bCs/>
          <w:i/>
        </w:rPr>
        <w:t xml:space="preserve">. </w:t>
      </w:r>
      <w:r w:rsidRPr="007F109C">
        <w:rPr>
          <w:rFonts w:ascii="Palatino Linotype" w:hAnsi="Palatino Linotype" w:cs="Arial"/>
          <w:b/>
          <w:bCs/>
          <w:i/>
          <w:u w:val="single"/>
        </w:rPr>
        <w:t>Para clasificar la información como reservada o confidencial,</w:t>
      </w:r>
      <w:r w:rsidRPr="007F109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Cs/>
          <w:i/>
        </w:rPr>
        <w:t>Los sujetos obligados deberán aplicar, de manera estricta, las excepciones al derecho de acceso a la información y sólo podrán invocarlas cuando acrediten su procedencia.</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Cs/>
          <w:i/>
        </w:rPr>
        <w:t>…</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
          <w:bCs/>
          <w:i/>
        </w:rPr>
        <w:t>Quinto</w:t>
      </w:r>
      <w:r w:rsidRPr="007F109C">
        <w:rPr>
          <w:rFonts w:ascii="Palatino Linotype" w:hAnsi="Palatino Linotype" w:cs="Arial"/>
          <w:bCs/>
          <w:i/>
        </w:rPr>
        <w:t xml:space="preserve">. </w:t>
      </w:r>
      <w:r w:rsidRPr="007F109C">
        <w:rPr>
          <w:rFonts w:ascii="Palatino Linotype" w:hAnsi="Palatino Linotype" w:cs="Arial"/>
          <w:b/>
          <w:bCs/>
          <w:i/>
        </w:rPr>
        <w:t xml:space="preserve">La carga de la prueba para justificar toda negativa de acceso a la información, </w:t>
      </w:r>
      <w:r w:rsidRPr="007F109C">
        <w:rPr>
          <w:rFonts w:ascii="Palatino Linotype" w:hAnsi="Palatino Linotype" w:cs="Arial"/>
          <w:bCs/>
          <w:i/>
        </w:rPr>
        <w:t>por actualizarse cualquiera de los supuestos de clasificación previstos en la Ley General, la Ley Federal y leyes estatales, corresponderá</w:t>
      </w:r>
      <w:r w:rsidRPr="007F109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F109C">
        <w:rPr>
          <w:rFonts w:ascii="Palatino Linotype" w:hAnsi="Palatino Linotype" w:cs="Arial"/>
          <w:bCs/>
          <w:i/>
        </w:rPr>
        <w:t>, observando lo dispuesto en la Ley General y las demás disposiciones aplicables en la materia.</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
          <w:bCs/>
          <w:i/>
        </w:rPr>
        <w:lastRenderedPageBreak/>
        <w:t>Octavo</w:t>
      </w:r>
      <w:r w:rsidRPr="007F109C">
        <w:rPr>
          <w:rFonts w:ascii="Palatino Linotype" w:hAnsi="Palatino Linotype" w:cs="Arial"/>
          <w:bCs/>
          <w:i/>
        </w:rPr>
        <w:t xml:space="preserve">. </w:t>
      </w:r>
      <w:r w:rsidRPr="007F109C">
        <w:rPr>
          <w:rFonts w:ascii="Palatino Linotype" w:hAnsi="Palatino Linotype" w:cs="Arial"/>
          <w:bCs/>
          <w:i/>
          <w:u w:val="single"/>
        </w:rPr>
        <w:t>Para fundar la clasificación de la información se debe señalar el artículo, fracción, inciso, párrafo o numeral de la ley o tratado internacional</w:t>
      </w:r>
      <w:r w:rsidRPr="007F109C">
        <w:rPr>
          <w:rFonts w:ascii="Palatino Linotype" w:hAnsi="Palatino Linotype" w:cs="Arial"/>
          <w:bCs/>
          <w:i/>
        </w:rPr>
        <w:t xml:space="preserve"> suscrito por el Estado mexicano que expresamente le otorga el carácter de reservada o confidencial.</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Cs/>
          <w:i/>
        </w:rPr>
        <w:t>…</w:t>
      </w:r>
    </w:p>
    <w:p w:rsidR="00CE5433" w:rsidRPr="007F109C" w:rsidRDefault="00CE5433" w:rsidP="00D07637">
      <w:pPr>
        <w:tabs>
          <w:tab w:val="left" w:pos="8647"/>
        </w:tabs>
        <w:spacing w:after="0" w:line="240" w:lineRule="auto"/>
        <w:ind w:left="567" w:right="567"/>
        <w:jc w:val="both"/>
        <w:rPr>
          <w:rFonts w:ascii="Palatino Linotype" w:hAnsi="Palatino Linotype" w:cs="Arial"/>
          <w:b/>
          <w:bCs/>
          <w:i/>
        </w:rPr>
      </w:pPr>
      <w:r w:rsidRPr="007F109C">
        <w:rPr>
          <w:rFonts w:ascii="Palatino Linotype" w:hAnsi="Palatino Linotype" w:cs="Arial"/>
          <w:b/>
          <w:bCs/>
          <w:i/>
        </w:rPr>
        <w:t>DE LA INFORMACIÓN CONFIDENCIAL</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
          <w:bCs/>
          <w:i/>
        </w:rPr>
        <w:t xml:space="preserve">Trigésimo octavo. </w:t>
      </w:r>
      <w:r w:rsidRPr="007F109C">
        <w:rPr>
          <w:rFonts w:ascii="Palatino Linotype" w:hAnsi="Palatino Linotype" w:cs="Arial"/>
          <w:bCs/>
          <w:i/>
        </w:rPr>
        <w:t>Se considera información confidencial:</w:t>
      </w:r>
    </w:p>
    <w:p w:rsidR="00CE5433" w:rsidRPr="007F109C" w:rsidRDefault="00CE5433" w:rsidP="00D07637">
      <w:pPr>
        <w:tabs>
          <w:tab w:val="left" w:pos="8647"/>
        </w:tabs>
        <w:spacing w:after="0" w:line="240" w:lineRule="auto"/>
        <w:ind w:left="567" w:right="567"/>
        <w:jc w:val="both"/>
        <w:rPr>
          <w:rFonts w:ascii="Palatino Linotype" w:hAnsi="Palatino Linotype" w:cs="Arial"/>
          <w:b/>
          <w:bCs/>
          <w:i/>
        </w:rPr>
      </w:pPr>
      <w:r w:rsidRPr="007F109C">
        <w:rPr>
          <w:rFonts w:ascii="Palatino Linotype" w:hAnsi="Palatino Linotype" w:cs="Arial"/>
          <w:bCs/>
          <w:i/>
        </w:rPr>
        <w:t xml:space="preserve">I. </w:t>
      </w:r>
      <w:r w:rsidRPr="007F109C">
        <w:rPr>
          <w:rFonts w:ascii="Palatino Linotype" w:hAnsi="Palatino Linotype" w:cs="Arial"/>
          <w:b/>
          <w:bCs/>
          <w:i/>
          <w:u w:val="single"/>
        </w:rPr>
        <w:t>Los datos personales en los términos de la norma aplicable</w:t>
      </w:r>
      <w:r w:rsidRPr="007F109C">
        <w:rPr>
          <w:rFonts w:ascii="Palatino Linotype" w:hAnsi="Palatino Linotype" w:cs="Arial"/>
          <w:b/>
          <w:bCs/>
          <w:i/>
        </w:rPr>
        <w:t>;</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proofErr w:type="gramStart"/>
      <w:r w:rsidRPr="007F109C">
        <w:rPr>
          <w:rFonts w:ascii="Palatino Linotype" w:hAnsi="Palatino Linotype" w:cs="Arial"/>
          <w:bCs/>
          <w:i/>
        </w:rPr>
        <w:t>III …</w:t>
      </w:r>
      <w:proofErr w:type="gramEnd"/>
    </w:p>
    <w:p w:rsidR="00CE5433" w:rsidRPr="007F109C" w:rsidRDefault="00CE5433" w:rsidP="00D07637">
      <w:pPr>
        <w:tabs>
          <w:tab w:val="left" w:pos="8647"/>
        </w:tabs>
        <w:spacing w:after="0" w:line="240" w:lineRule="auto"/>
        <w:ind w:left="567" w:right="567"/>
        <w:jc w:val="both"/>
        <w:rPr>
          <w:rFonts w:ascii="Palatino Linotype" w:hAnsi="Palatino Linotype" w:cs="Arial"/>
          <w:bCs/>
          <w:i/>
        </w:rPr>
      </w:pPr>
      <w:r w:rsidRPr="007F109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CE5433" w:rsidRPr="007F109C" w:rsidRDefault="00CE5433" w:rsidP="00D07637">
      <w:pPr>
        <w:tabs>
          <w:tab w:val="left" w:pos="8647"/>
        </w:tabs>
        <w:spacing w:after="0" w:line="240" w:lineRule="auto"/>
        <w:ind w:left="567" w:right="567"/>
        <w:jc w:val="right"/>
        <w:rPr>
          <w:rFonts w:ascii="Palatino Linotype" w:hAnsi="Palatino Linotype" w:cs="Arial"/>
          <w:bCs/>
        </w:rPr>
      </w:pPr>
      <w:r w:rsidRPr="007F109C">
        <w:rPr>
          <w:rFonts w:ascii="Palatino Linotype" w:hAnsi="Palatino Linotype" w:cs="Arial"/>
          <w:bCs/>
        </w:rPr>
        <w:t>(Énfasis añadido)</w:t>
      </w: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p>
    <w:p w:rsidR="002A24BB" w:rsidRDefault="00CE5433" w:rsidP="00CE5433">
      <w:pPr>
        <w:tabs>
          <w:tab w:val="left" w:pos="8647"/>
        </w:tabs>
        <w:spacing w:after="0" w:line="360" w:lineRule="auto"/>
        <w:ind w:right="51"/>
        <w:jc w:val="both"/>
        <w:rPr>
          <w:rFonts w:ascii="Palatino Linotype" w:hAnsi="Palatino Linotype" w:cs="Arial"/>
          <w:sz w:val="24"/>
          <w:szCs w:val="24"/>
        </w:rPr>
      </w:pPr>
      <w:r w:rsidRPr="007F109C">
        <w:rPr>
          <w:rFonts w:ascii="Palatino Linotype" w:hAnsi="Palatino Linotype" w:cs="Arial"/>
          <w:sz w:val="24"/>
          <w:szCs w:val="24"/>
        </w:rPr>
        <w:t xml:space="preserve">Así, como ha quedado apuntado, </w:t>
      </w:r>
      <w:r w:rsidRPr="002A24BB">
        <w:rPr>
          <w:rFonts w:ascii="Palatino Linotype" w:hAnsi="Palatino Linotype" w:cs="Arial"/>
          <w:b/>
          <w:sz w:val="24"/>
          <w:szCs w:val="24"/>
        </w:rPr>
        <w:t xml:space="preserve">el derecho de acceso a la información pública puede ser restringido cuando se trate de información clasificada como </w:t>
      </w:r>
      <w:r w:rsidR="002A24BB" w:rsidRPr="002A24BB">
        <w:rPr>
          <w:rFonts w:ascii="Palatino Linotype" w:hAnsi="Palatino Linotype" w:cs="Arial"/>
          <w:b/>
          <w:sz w:val="24"/>
          <w:szCs w:val="24"/>
        </w:rPr>
        <w:t xml:space="preserve">confidencial o </w:t>
      </w:r>
      <w:r w:rsidRPr="002A24BB">
        <w:rPr>
          <w:rFonts w:ascii="Palatino Linotype" w:hAnsi="Palatino Linotype" w:cs="Arial"/>
          <w:b/>
          <w:sz w:val="24"/>
          <w:szCs w:val="24"/>
        </w:rPr>
        <w:t>reservada</w:t>
      </w:r>
      <w:r w:rsidRPr="007F109C">
        <w:rPr>
          <w:rFonts w:ascii="Palatino Linotype" w:hAnsi="Palatino Linotype" w:cs="Arial"/>
          <w:sz w:val="24"/>
          <w:szCs w:val="24"/>
        </w:rPr>
        <w:t xml:space="preserve">, delimitando una serie de hipótesis de hecho en las cuales descansa la posibilidad de reserva de información. Por lo tanto, la entrega de documentos, </w:t>
      </w:r>
      <w:r w:rsidR="002A24BB">
        <w:rPr>
          <w:rFonts w:ascii="Palatino Linotype" w:hAnsi="Palatino Linotype" w:cs="Arial"/>
          <w:sz w:val="24"/>
          <w:szCs w:val="24"/>
        </w:rPr>
        <w:t>puede ser, a través de s</w:t>
      </w:r>
      <w:r w:rsidRPr="007F109C">
        <w:rPr>
          <w:rFonts w:ascii="Palatino Linotype" w:hAnsi="Palatino Linotype" w:cs="Arial"/>
          <w:sz w:val="24"/>
          <w:szCs w:val="24"/>
        </w:rPr>
        <w:t xml:space="preserve">u versión pública, </w:t>
      </w:r>
      <w:r w:rsidR="002A24BB">
        <w:rPr>
          <w:rFonts w:ascii="Palatino Linotype" w:hAnsi="Palatino Linotype" w:cs="Arial"/>
          <w:sz w:val="24"/>
          <w:szCs w:val="24"/>
        </w:rPr>
        <w:t xml:space="preserve">la cual </w:t>
      </w:r>
      <w:r w:rsidRPr="007F109C">
        <w:rPr>
          <w:rFonts w:ascii="Palatino Linotype" w:hAnsi="Palatino Linotype" w:cs="Arial"/>
          <w:sz w:val="24"/>
          <w:szCs w:val="24"/>
        </w:rPr>
        <w:t>debe acompañarse necesariamente del Acuerdo del Comité de Transparencia que la sustente, en el que se expongan los fundamentos y razonamientos que llevaron al Sujeto Obligado a testar, suprimir o eliminar datos de dicho soporte documental</w:t>
      </w:r>
      <w:r w:rsidR="002A24BB">
        <w:rPr>
          <w:rFonts w:ascii="Palatino Linotype" w:hAnsi="Palatino Linotype" w:cs="Arial"/>
          <w:sz w:val="24"/>
          <w:szCs w:val="24"/>
        </w:rPr>
        <w:t>.</w:t>
      </w:r>
    </w:p>
    <w:p w:rsidR="002A24BB" w:rsidRDefault="002A24BB" w:rsidP="00CE5433">
      <w:pPr>
        <w:tabs>
          <w:tab w:val="left" w:pos="8647"/>
        </w:tabs>
        <w:spacing w:after="0" w:line="360" w:lineRule="auto"/>
        <w:ind w:right="51"/>
        <w:jc w:val="both"/>
        <w:rPr>
          <w:rFonts w:ascii="Palatino Linotype" w:hAnsi="Palatino Linotype" w:cs="Arial"/>
          <w:sz w:val="24"/>
          <w:szCs w:val="24"/>
        </w:rPr>
      </w:pPr>
    </w:p>
    <w:p w:rsidR="00CE5433" w:rsidRPr="007F109C" w:rsidRDefault="002A24BB" w:rsidP="00CE5433">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De</w:t>
      </w:r>
      <w:r w:rsidR="00CE5433" w:rsidRPr="007F109C">
        <w:rPr>
          <w:rFonts w:ascii="Palatino Linotype" w:hAnsi="Palatino Linotype" w:cs="Arial"/>
          <w:sz w:val="24"/>
          <w:szCs w:val="24"/>
        </w:rPr>
        <w:t xml:space="preserve"> hacerlo</w:t>
      </w:r>
      <w:r>
        <w:rPr>
          <w:rFonts w:ascii="Palatino Linotype" w:hAnsi="Palatino Linotype" w:cs="Arial"/>
          <w:sz w:val="24"/>
          <w:szCs w:val="24"/>
        </w:rPr>
        <w:t>,</w:t>
      </w:r>
      <w:r w:rsidR="00CE5433" w:rsidRPr="007F109C">
        <w:rPr>
          <w:rFonts w:ascii="Palatino Linotype" w:hAnsi="Palatino Linotype" w:cs="Arial"/>
          <w:sz w:val="24"/>
          <w:szCs w:val="24"/>
        </w:rPr>
        <w:t xml:space="preserve"> implica que lo entregado no es legal ni formalmente una versión pública, sino más bien una documentación ilegible, incompleta o tachada; pues no señalar las razones por las que no se aprecian determinados datos, ya sea porque se testan o </w:t>
      </w:r>
      <w:r w:rsidR="00CE5433" w:rsidRPr="007F109C">
        <w:rPr>
          <w:rFonts w:ascii="Palatino Linotype" w:hAnsi="Palatino Linotype" w:cs="Arial"/>
          <w:sz w:val="24"/>
          <w:szCs w:val="24"/>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E5433" w:rsidRPr="007F109C" w:rsidRDefault="00CE5433" w:rsidP="00CE5433">
      <w:pPr>
        <w:tabs>
          <w:tab w:val="left" w:pos="8647"/>
        </w:tabs>
        <w:spacing w:after="0" w:line="360" w:lineRule="auto"/>
        <w:ind w:right="51"/>
        <w:jc w:val="both"/>
        <w:rPr>
          <w:rFonts w:ascii="Palatino Linotype" w:hAnsi="Palatino Linotype" w:cs="Arial"/>
          <w:sz w:val="24"/>
          <w:szCs w:val="24"/>
        </w:rPr>
      </w:pPr>
    </w:p>
    <w:p w:rsidR="00CE5433" w:rsidRDefault="00CE5433" w:rsidP="00CE543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7F109C">
        <w:rPr>
          <w:rFonts w:ascii="Palatino Linotype" w:eastAsia="Times New Roman" w:hAnsi="Palatino Linotype" w:cs="Arial"/>
          <w:sz w:val="24"/>
          <w:szCs w:val="24"/>
          <w:lang w:val="es-ES" w:eastAsia="es-ES"/>
        </w:rPr>
        <w:t xml:space="preserve">Entonces, el </w:t>
      </w:r>
      <w:r w:rsidRPr="007F109C">
        <w:rPr>
          <w:rFonts w:ascii="Palatino Linotype" w:eastAsia="Times New Roman" w:hAnsi="Palatino Linotype" w:cs="Arial"/>
          <w:b/>
          <w:sz w:val="24"/>
          <w:szCs w:val="24"/>
          <w:lang w:val="es-ES" w:eastAsia="es-ES"/>
        </w:rPr>
        <w:t>Sujeto Obligado</w:t>
      </w:r>
      <w:r w:rsidRPr="007F109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debe </w:t>
      </w:r>
      <w:r w:rsidRPr="007F109C">
        <w:rPr>
          <w:rFonts w:ascii="Palatino Linotype" w:eastAsia="Times New Roman" w:hAnsi="Palatino Linotype" w:cs="Arial"/>
          <w:sz w:val="24"/>
          <w:szCs w:val="24"/>
          <w:lang w:val="es-ES" w:eastAsia="es-ES"/>
        </w:rPr>
        <w:t xml:space="preserve">seguir el procedimiento legal establecido para su clasificación, es decir, </w:t>
      </w:r>
      <w:r w:rsidRPr="00E7569E">
        <w:rPr>
          <w:rFonts w:ascii="Palatino Linotype" w:eastAsia="Times New Roman" w:hAnsi="Palatino Linotype" w:cs="Arial"/>
          <w:b/>
          <w:sz w:val="24"/>
          <w:szCs w:val="24"/>
          <w:lang w:val="es-ES" w:eastAsia="es-ES"/>
        </w:rPr>
        <w:t>es necesario que el Comité de Transparencia emita un Acuerdo de Clasificación</w:t>
      </w:r>
      <w:r w:rsidRPr="007F109C">
        <w:rPr>
          <w:rFonts w:ascii="Palatino Linotype" w:eastAsia="Times New Roman" w:hAnsi="Palatino Linotype" w:cs="Arial"/>
          <w:sz w:val="24"/>
          <w:szCs w:val="24"/>
          <w:lang w:val="es-ES" w:eastAsia="es-ES"/>
        </w:rPr>
        <w:t xml:space="preserve"> que cumpla con las formalidades previstas en los artículos 137, 143 y 149 de la Ley de Transparencia y Acceso a la Información Pública del Estado de México </w:t>
      </w:r>
      <w:r w:rsidRPr="002A24BB">
        <w:rPr>
          <w:rFonts w:ascii="Palatino Linotype" w:eastAsia="Times New Roman" w:hAnsi="Palatino Linotype" w:cs="Arial"/>
          <w:sz w:val="24"/>
          <w:szCs w:val="24"/>
          <w:lang w:val="es-ES" w:eastAsia="es-ES"/>
        </w:rPr>
        <w:t>y Municipios</w:t>
      </w:r>
      <w:r w:rsidR="002A24BB" w:rsidRPr="002A24BB">
        <w:rPr>
          <w:rFonts w:ascii="Palatino Linotype" w:eastAsia="Times New Roman" w:hAnsi="Palatino Linotype" w:cs="Arial"/>
          <w:iCs/>
          <w:sz w:val="24"/>
          <w:szCs w:val="24"/>
          <w:lang w:val="es-ES" w:eastAsia="es-ES"/>
        </w:rPr>
        <w:t xml:space="preserve">, los cuales </w:t>
      </w:r>
      <w:r w:rsidR="002A24BB">
        <w:rPr>
          <w:rFonts w:ascii="Palatino Linotype" w:eastAsia="Times New Roman" w:hAnsi="Palatino Linotype" w:cs="Arial"/>
          <w:iCs/>
          <w:sz w:val="24"/>
          <w:szCs w:val="24"/>
          <w:lang w:val="es-ES" w:eastAsia="es-ES"/>
        </w:rPr>
        <w:t>consagran lo siguiente:</w:t>
      </w:r>
    </w:p>
    <w:p w:rsidR="002A24BB" w:rsidRDefault="002A24BB" w:rsidP="00CE543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r>
        <w:rPr>
          <w:rFonts w:ascii="Palatino Linotype" w:eastAsia="Times New Roman" w:hAnsi="Palatino Linotype" w:cs="Arial"/>
          <w:i/>
          <w:iCs/>
          <w:szCs w:val="24"/>
          <w:lang w:val="es-ES" w:eastAsia="es-ES"/>
        </w:rPr>
        <w:t>“</w:t>
      </w:r>
      <w:r w:rsidRPr="002A24BB">
        <w:rPr>
          <w:rFonts w:ascii="Palatino Linotype" w:eastAsia="Times New Roman" w:hAnsi="Palatino Linotype" w:cs="Arial"/>
          <w:b/>
          <w:i/>
          <w:iCs/>
          <w:szCs w:val="24"/>
          <w:lang w:eastAsia="es-ES"/>
        </w:rPr>
        <w:t>Artículo 137.</w:t>
      </w:r>
      <w:r w:rsidRPr="002A24BB">
        <w:rPr>
          <w:rFonts w:ascii="Palatino Linotype" w:eastAsia="Times New Roman" w:hAnsi="Palatino Linotype" w:cs="Arial"/>
          <w:i/>
          <w:iCs/>
          <w:szCs w:val="24"/>
          <w:lang w:eastAsia="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r w:rsidRPr="002A24BB">
        <w:rPr>
          <w:rFonts w:ascii="Palatino Linotype" w:eastAsia="Times New Roman" w:hAnsi="Palatino Linotype" w:cs="Arial"/>
          <w:b/>
          <w:i/>
          <w:iCs/>
          <w:szCs w:val="24"/>
          <w:lang w:eastAsia="es-ES"/>
        </w:rPr>
        <w:t>Artículo 143.</w:t>
      </w:r>
      <w:r w:rsidRPr="002A24BB">
        <w:rPr>
          <w:rFonts w:ascii="Palatino Linotype" w:eastAsia="Times New Roman" w:hAnsi="Palatino Linotype" w:cs="Arial"/>
          <w:i/>
          <w:iCs/>
          <w:szCs w:val="24"/>
          <w:lang w:eastAsia="es-ES"/>
        </w:rPr>
        <w:t xml:space="preserve"> Para los efectos de esta Ley se considera información confidencial, la clasificada como tal, de manera permanente, por su naturaleza, cuando: </w:t>
      </w: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r w:rsidRPr="002A24BB">
        <w:rPr>
          <w:rFonts w:ascii="Palatino Linotype" w:eastAsia="Times New Roman" w:hAnsi="Palatino Linotype" w:cs="Arial"/>
          <w:i/>
          <w:iCs/>
          <w:szCs w:val="24"/>
          <w:lang w:eastAsia="es-ES"/>
        </w:rPr>
        <w:t xml:space="preserve">I. Se refiera a la información privada y los datos personales concernientes a una persona física o </w:t>
      </w:r>
      <w:proofErr w:type="gramStart"/>
      <w:r w:rsidRPr="002A24BB">
        <w:rPr>
          <w:rFonts w:ascii="Palatino Linotype" w:eastAsia="Times New Roman" w:hAnsi="Palatino Linotype" w:cs="Arial"/>
          <w:i/>
          <w:iCs/>
          <w:szCs w:val="24"/>
          <w:lang w:eastAsia="es-ES"/>
        </w:rPr>
        <w:t>jurídico</w:t>
      </w:r>
      <w:proofErr w:type="gramEnd"/>
      <w:r w:rsidRPr="002A24BB">
        <w:rPr>
          <w:rFonts w:ascii="Palatino Linotype" w:eastAsia="Times New Roman" w:hAnsi="Palatino Linotype" w:cs="Arial"/>
          <w:i/>
          <w:iCs/>
          <w:szCs w:val="24"/>
          <w:lang w:eastAsia="es-ES"/>
        </w:rPr>
        <w:t xml:space="preserve"> colectiva identificada o identificable; </w:t>
      </w: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r w:rsidRPr="002A24BB">
        <w:rPr>
          <w:rFonts w:ascii="Palatino Linotype" w:eastAsia="Times New Roman" w:hAnsi="Palatino Linotype" w:cs="Arial"/>
          <w:i/>
          <w:iCs/>
          <w:szCs w:val="24"/>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r w:rsidRPr="002A24BB">
        <w:rPr>
          <w:rFonts w:ascii="Palatino Linotype" w:eastAsia="Times New Roman" w:hAnsi="Palatino Linotype" w:cs="Arial"/>
          <w:i/>
          <w:iCs/>
          <w:szCs w:val="24"/>
          <w:lang w:eastAsia="es-ES"/>
        </w:rPr>
        <w:t xml:space="preserve">III. La que presenten los particulares a los sujetos obligados, de conformidad con lo dispuesto por las leyes o los tratados internacionales. </w:t>
      </w: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r w:rsidRPr="002A24BB">
        <w:rPr>
          <w:rFonts w:ascii="Palatino Linotype" w:eastAsia="Times New Roman" w:hAnsi="Palatino Linotype" w:cs="Arial"/>
          <w:i/>
          <w:iCs/>
          <w:szCs w:val="24"/>
          <w:lang w:eastAsia="es-ES"/>
        </w:rPr>
        <w:t xml:space="preserve">La información confidencial no estará sujeta a temporalidad alguna y sólo podrán tener acceso a ella los titulares de la misma, sus representantes y los servidores públicos facultados para ello. </w:t>
      </w: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r w:rsidRPr="002A24BB">
        <w:rPr>
          <w:rFonts w:ascii="Palatino Linotype" w:eastAsia="Times New Roman" w:hAnsi="Palatino Linotype" w:cs="Arial"/>
          <w:i/>
          <w:iCs/>
          <w:szCs w:val="24"/>
          <w:lang w:eastAsia="es-ES"/>
        </w:rPr>
        <w:t>No se considerará confidencial la información que se encuentre en los registros públicos o en fuentes de acceso público, ni tampoco la que sea considerada por la presente ley como información pública.</w:t>
      </w:r>
    </w:p>
    <w:p w:rsid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eastAsia="es-ES"/>
        </w:rPr>
      </w:pPr>
    </w:p>
    <w:p w:rsidR="002A24BB" w:rsidRPr="002A24BB" w:rsidRDefault="002A24BB" w:rsidP="002A24BB">
      <w:pPr>
        <w:autoSpaceDE w:val="0"/>
        <w:autoSpaceDN w:val="0"/>
        <w:adjustRightInd w:val="0"/>
        <w:spacing w:after="0" w:line="240" w:lineRule="auto"/>
        <w:ind w:left="567" w:right="567"/>
        <w:contextualSpacing/>
        <w:jc w:val="both"/>
        <w:rPr>
          <w:rFonts w:ascii="Palatino Linotype" w:eastAsia="Times New Roman" w:hAnsi="Palatino Linotype" w:cs="Arial"/>
          <w:i/>
          <w:iCs/>
          <w:szCs w:val="24"/>
          <w:lang w:val="es-ES" w:eastAsia="es-ES"/>
        </w:rPr>
      </w:pPr>
      <w:r w:rsidRPr="002A24BB">
        <w:rPr>
          <w:rFonts w:ascii="Palatino Linotype" w:eastAsia="Times New Roman" w:hAnsi="Palatino Linotype" w:cs="Arial"/>
          <w:b/>
          <w:i/>
          <w:iCs/>
          <w:szCs w:val="24"/>
          <w:lang w:eastAsia="es-ES"/>
        </w:rPr>
        <w:lastRenderedPageBreak/>
        <w:t>Artículo 149.</w:t>
      </w:r>
      <w:r w:rsidRPr="002A24BB">
        <w:rPr>
          <w:rFonts w:ascii="Palatino Linotype" w:eastAsia="Times New Roman" w:hAnsi="Palatino Linotype" w:cs="Arial"/>
          <w:i/>
          <w:iCs/>
          <w:szCs w:val="24"/>
          <w:lang w:eastAsia="es-ES"/>
        </w:rPr>
        <w:t xml:space="preserve"> El acuerdo que clasifique la información como confidencial deberá contener un razonamiento lógico en el que demuestre que la información se encuentra en alguna o algunas de las hipótesis previstas en la presente Ley.</w:t>
      </w:r>
      <w:r>
        <w:rPr>
          <w:rFonts w:ascii="Palatino Linotype" w:eastAsia="Times New Roman" w:hAnsi="Palatino Linotype" w:cs="Arial"/>
          <w:i/>
          <w:iCs/>
          <w:szCs w:val="24"/>
          <w:lang w:eastAsia="es-ES"/>
        </w:rPr>
        <w:t>”</w:t>
      </w:r>
    </w:p>
    <w:p w:rsidR="00CE5433" w:rsidRDefault="00CE5433" w:rsidP="00CE5433">
      <w:pPr>
        <w:autoSpaceDE w:val="0"/>
        <w:autoSpaceDN w:val="0"/>
        <w:adjustRightInd w:val="0"/>
        <w:spacing w:after="0" w:line="360" w:lineRule="auto"/>
        <w:contextualSpacing/>
        <w:jc w:val="both"/>
        <w:rPr>
          <w:rFonts w:ascii="Palatino Linotype" w:hAnsi="Palatino Linotype" w:cs="Arial"/>
          <w:sz w:val="24"/>
          <w:lang w:val="es-ES"/>
        </w:rPr>
      </w:pPr>
    </w:p>
    <w:p w:rsidR="000E2F8F" w:rsidRPr="000E2F8F" w:rsidRDefault="000E2F8F" w:rsidP="000E2F8F">
      <w:pPr>
        <w:spacing w:after="0" w:line="360" w:lineRule="auto"/>
        <w:ind w:right="49"/>
        <w:jc w:val="both"/>
        <w:rPr>
          <w:rFonts w:ascii="Palatino Linotype" w:eastAsia="Calibri" w:hAnsi="Palatino Linotype" w:cs="Calibri"/>
          <w:sz w:val="24"/>
          <w:szCs w:val="24"/>
          <w:lang w:eastAsia="es-MX"/>
        </w:rPr>
      </w:pPr>
      <w:r>
        <w:rPr>
          <w:rFonts w:ascii="Palatino Linotype" w:hAnsi="Palatino Linotype" w:cs="Arial"/>
          <w:sz w:val="24"/>
          <w:lang w:val="es-ES"/>
        </w:rPr>
        <w:t xml:space="preserve">Precisado lo anterior, si bien es cierto se obvia el estudio de la fuente obligacional del Sujeto Obligado, atendiendo a la calidad de información, el o los documentos que pudieran satisfacer los requerimientos serían podrían ser los señalados en los artículos 5, 48 y 49 </w:t>
      </w:r>
      <w:r w:rsidRPr="000E2F8F">
        <w:rPr>
          <w:rFonts w:ascii="Palatino Linotype" w:eastAsia="Calibri" w:hAnsi="Palatino Linotype" w:cs="Calibri"/>
          <w:sz w:val="24"/>
          <w:szCs w:val="24"/>
          <w:lang w:eastAsia="es-MX"/>
        </w:rPr>
        <w:t>de la Ley del Trabajo de los Servidores Públicos del Estado y Municipios, que disponen lo siguiente:</w:t>
      </w:r>
    </w:p>
    <w:p w:rsidR="000E2F8F" w:rsidRPr="000E2F8F" w:rsidRDefault="000E2F8F" w:rsidP="000E2F8F">
      <w:pPr>
        <w:spacing w:after="0" w:line="360" w:lineRule="auto"/>
        <w:ind w:right="49"/>
        <w:jc w:val="both"/>
        <w:rPr>
          <w:rFonts w:ascii="Palatino Linotype" w:eastAsia="Calibri" w:hAnsi="Palatino Linotype" w:cs="Calibri"/>
          <w:sz w:val="24"/>
          <w:szCs w:val="24"/>
          <w:lang w:eastAsia="es-MX"/>
        </w:rPr>
      </w:pP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w:t>
      </w:r>
      <w:r w:rsidRPr="000E2F8F">
        <w:rPr>
          <w:rFonts w:ascii="Palatino Linotype" w:eastAsia="Calibri" w:hAnsi="Palatino Linotype" w:cs="Calibri"/>
          <w:b/>
          <w:i/>
          <w:szCs w:val="24"/>
          <w:lang w:eastAsia="es-MX"/>
        </w:rPr>
        <w:t>ARTÍCULO 5.-</w:t>
      </w:r>
      <w:r w:rsidRPr="000E2F8F">
        <w:rPr>
          <w:rFonts w:ascii="Palatino Linotype" w:eastAsia="Calibri" w:hAnsi="Palatino Linotype" w:cs="Calibri"/>
          <w:i/>
          <w:szCs w:val="24"/>
          <w:lang w:eastAsia="es-MX"/>
        </w:rPr>
        <w:t xml:space="preserve"> </w:t>
      </w:r>
      <w:r w:rsidRPr="000E2F8F">
        <w:rPr>
          <w:rFonts w:ascii="Palatino Linotype" w:eastAsia="Calibri" w:hAnsi="Palatino Linotype" w:cs="Calibri"/>
          <w:i/>
          <w:szCs w:val="24"/>
          <w:u w:val="single"/>
          <w:lang w:eastAsia="es-MX"/>
        </w:rPr>
        <w:t xml:space="preserve">La relación de trabajo </w:t>
      </w:r>
      <w:r w:rsidRPr="000E2F8F">
        <w:rPr>
          <w:rFonts w:ascii="Palatino Linotype" w:eastAsia="Calibri" w:hAnsi="Palatino Linotype" w:cs="Calibri"/>
          <w:i/>
          <w:szCs w:val="24"/>
          <w:lang w:eastAsia="es-MX"/>
        </w:rPr>
        <w:t xml:space="preserve">entre las instituciones públicas y sus servidores públicos </w:t>
      </w:r>
      <w:r w:rsidRPr="000E2F8F">
        <w:rPr>
          <w:rFonts w:ascii="Palatino Linotype" w:eastAsia="Calibri" w:hAnsi="Palatino Linotype" w:cs="Calibri"/>
          <w:i/>
          <w:szCs w:val="24"/>
          <w:u w:val="single"/>
          <w:lang w:eastAsia="es-MX"/>
        </w:rPr>
        <w:t>se entiende establecida mediante nombramiento, formato único de movimiento de personal, contrato o por cualquier otro acto</w:t>
      </w:r>
      <w:r w:rsidRPr="000E2F8F">
        <w:rPr>
          <w:rFonts w:ascii="Palatino Linotype" w:eastAsia="Calibri" w:hAnsi="Palatino Linotype" w:cs="Calibri"/>
          <w:i/>
          <w:szCs w:val="24"/>
          <w:lang w:eastAsia="es-MX"/>
        </w:rPr>
        <w:t xml:space="preserve"> que tenga como consecuencia la prestación personal subordinada del servicio y la percepción de un sueldo.</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Para los efectos de esta ley, las instituciones públicas estarán representadas por sus titulares.</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b/>
          <w:i/>
          <w:szCs w:val="24"/>
          <w:lang w:eastAsia="es-MX"/>
        </w:rPr>
        <w:t>ARTÍCULO 48.</w:t>
      </w:r>
      <w:r w:rsidRPr="000E2F8F">
        <w:rPr>
          <w:rFonts w:ascii="Palatino Linotype" w:eastAsia="Calibri" w:hAnsi="Palatino Linotype" w:cs="Calibri"/>
          <w:i/>
          <w:szCs w:val="24"/>
          <w:lang w:eastAsia="es-MX"/>
        </w:rPr>
        <w:t xml:space="preserve"> Para iniciar la prestación de los servicios se requiere:</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I. Tener conferido el nombramiento, contrato respectivo o formato único de Movimientos de Personal;</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II. Rendir la protesta de ley en caso de nombramiento; y</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III. Tomar posesión del cargo</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b/>
          <w:i/>
          <w:szCs w:val="24"/>
          <w:lang w:eastAsia="es-MX"/>
        </w:rPr>
        <w:t>ARTÍCULO 49.-</w:t>
      </w:r>
      <w:r w:rsidRPr="000E2F8F">
        <w:rPr>
          <w:rFonts w:ascii="Palatino Linotype" w:eastAsia="Calibri" w:hAnsi="Palatino Linotype" w:cs="Calibri"/>
          <w:i/>
          <w:szCs w:val="24"/>
          <w:lang w:eastAsia="es-MX"/>
        </w:rPr>
        <w:t xml:space="preserve"> Los nombramientos, contratos o formato único de Movimientos de Personal de los servidores públicos deberán contener:</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I. Nombre completo del servidor público;</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II. Cargo para el que es designado, fecha de inicio de sus servicios y lugar de adscripción;</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III. Carácter del nombramiento, ya sea de servidores públicos generales o de confianza, así como la temporalidad del mismo;</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IV. Remuneración correspondiente al puesto;</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V. Jornada de trabajo;</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VI. Derogada;</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r w:rsidRPr="000E2F8F">
        <w:rPr>
          <w:rFonts w:ascii="Palatino Linotype" w:eastAsia="Calibri" w:hAnsi="Palatino Linotype" w:cs="Calibri"/>
          <w:i/>
          <w:szCs w:val="24"/>
          <w:lang w:eastAsia="es-MX"/>
        </w:rPr>
        <w:t>VII. Firma del servidor público autorizado para emitir el nombramiento, contrato o formato único de Movimientos de Personal, así como el fundamento legal de esa atribución.</w:t>
      </w:r>
    </w:p>
    <w:p w:rsidR="000E2F8F" w:rsidRPr="000E2F8F" w:rsidRDefault="000E2F8F" w:rsidP="000E2F8F">
      <w:pPr>
        <w:spacing w:after="0" w:line="240" w:lineRule="auto"/>
        <w:ind w:left="567" w:right="616"/>
        <w:jc w:val="both"/>
        <w:rPr>
          <w:rFonts w:ascii="Palatino Linotype" w:eastAsia="Calibri" w:hAnsi="Palatino Linotype" w:cs="Calibri"/>
          <w:i/>
          <w:szCs w:val="24"/>
          <w:lang w:eastAsia="es-MX"/>
        </w:rPr>
      </w:pPr>
    </w:p>
    <w:p w:rsidR="000E2F8F" w:rsidRPr="000E2F8F" w:rsidRDefault="000E2F8F" w:rsidP="000E2F8F">
      <w:pPr>
        <w:spacing w:after="0" w:line="240" w:lineRule="auto"/>
        <w:ind w:left="567" w:right="616"/>
        <w:jc w:val="right"/>
        <w:rPr>
          <w:rFonts w:ascii="Palatino Linotype" w:eastAsia="Calibri" w:hAnsi="Palatino Linotype" w:cs="Calibri"/>
          <w:szCs w:val="24"/>
          <w:lang w:eastAsia="es-MX"/>
        </w:rPr>
      </w:pPr>
      <w:r w:rsidRPr="000E2F8F">
        <w:rPr>
          <w:rFonts w:ascii="Palatino Linotype" w:eastAsia="Calibri" w:hAnsi="Palatino Linotype" w:cs="Calibri"/>
          <w:szCs w:val="24"/>
          <w:lang w:eastAsia="es-MX"/>
        </w:rPr>
        <w:t>(Énfasis añadido)</w:t>
      </w:r>
    </w:p>
    <w:p w:rsidR="000E2F8F" w:rsidRDefault="000E2F8F" w:rsidP="000E2F8F">
      <w:pPr>
        <w:spacing w:after="0" w:line="360" w:lineRule="auto"/>
        <w:ind w:right="49"/>
        <w:jc w:val="both"/>
        <w:rPr>
          <w:rFonts w:ascii="Palatino Linotype" w:eastAsia="Calibri" w:hAnsi="Palatino Linotype" w:cs="Calibri"/>
          <w:sz w:val="24"/>
          <w:szCs w:val="24"/>
          <w:lang w:eastAsia="es-MX"/>
        </w:rPr>
      </w:pPr>
      <w:r w:rsidRPr="000E2F8F">
        <w:rPr>
          <w:rFonts w:ascii="Palatino Linotype" w:eastAsia="Calibri" w:hAnsi="Palatino Linotype" w:cs="Calibri"/>
          <w:sz w:val="24"/>
          <w:szCs w:val="24"/>
          <w:lang w:eastAsia="es-MX"/>
        </w:rPr>
        <w:lastRenderedPageBreak/>
        <w:t xml:space="preserve">Artículos los cuales consagran las distintas modalidades en que se establece la relación laboral con los servidores públicos, así como los requisitos que deben contener. Con base en lo anterior, se advierte que el </w:t>
      </w:r>
      <w:r w:rsidRPr="000E2F8F">
        <w:rPr>
          <w:rFonts w:ascii="Palatino Linotype" w:eastAsia="Calibri" w:hAnsi="Palatino Linotype" w:cs="Calibri"/>
          <w:b/>
          <w:sz w:val="24"/>
          <w:szCs w:val="24"/>
          <w:lang w:eastAsia="es-MX"/>
        </w:rPr>
        <w:t>Sujeto Obligado</w:t>
      </w:r>
      <w:r w:rsidRPr="000E2F8F">
        <w:rPr>
          <w:rFonts w:ascii="Palatino Linotype" w:eastAsia="Calibri" w:hAnsi="Palatino Linotype" w:cs="Calibri"/>
          <w:sz w:val="24"/>
          <w:szCs w:val="24"/>
          <w:lang w:eastAsia="es-MX"/>
        </w:rPr>
        <w:t xml:space="preserve"> al establecer las relaciones laborales, debe haberlo realizado por medio de nombramiento, contrato o formato único de movimiento de personal, por lo que se ordena su entrega, debiendo clasificar los datos de carácter confidencial.</w:t>
      </w:r>
    </w:p>
    <w:p w:rsidR="00D634FC" w:rsidRDefault="00D634FC" w:rsidP="000E2F8F">
      <w:pPr>
        <w:spacing w:after="0" w:line="360" w:lineRule="auto"/>
        <w:ind w:right="49"/>
        <w:jc w:val="both"/>
        <w:rPr>
          <w:rFonts w:ascii="Palatino Linotype" w:eastAsia="Calibri" w:hAnsi="Palatino Linotype" w:cs="Calibri"/>
          <w:sz w:val="24"/>
          <w:szCs w:val="24"/>
          <w:lang w:eastAsia="es-MX"/>
        </w:rPr>
      </w:pPr>
    </w:p>
    <w:p w:rsidR="00D634FC" w:rsidRPr="00D634FC" w:rsidRDefault="00D634FC" w:rsidP="00D634FC">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Calibri"/>
          <w:sz w:val="24"/>
          <w:szCs w:val="24"/>
          <w:lang w:eastAsia="es-MX"/>
        </w:rPr>
        <w:t xml:space="preserve">Así mismo, respecto del título, cédula o comprobante de estudios, dichos documentos pudieran </w:t>
      </w:r>
      <w:r w:rsidRPr="00D634FC">
        <w:rPr>
          <w:rFonts w:ascii="Palatino Linotype" w:eastAsia="Calibri" w:hAnsi="Palatino Linotype" w:cs="Times New Roman"/>
          <w:sz w:val="24"/>
          <w:szCs w:val="24"/>
          <w:lang w:val="es-ES" w:eastAsia="es-ES"/>
        </w:rPr>
        <w:t xml:space="preserve">encontrarse inmersos en el expediente laboral, es conveniente hacer referencia a lo </w:t>
      </w:r>
      <w:r w:rsidRPr="00D634FC">
        <w:rPr>
          <w:rFonts w:ascii="Palatino Linotype" w:eastAsia="Calibri" w:hAnsi="Palatino Linotype" w:cs="Times New Roman"/>
          <w:sz w:val="24"/>
          <w:szCs w:val="24"/>
          <w:lang w:val="es-ES_tradnl" w:eastAsia="es-ES"/>
        </w:rPr>
        <w:t>establecido por la Ley del Trabajo de los Servidores Públicos del Estado y Municipios en su artículo 47 con relación al 98 fracción XVII, en los que se estable lo siguiente:</w:t>
      </w:r>
    </w:p>
    <w:p w:rsidR="00D634FC" w:rsidRPr="00D634FC" w:rsidRDefault="00D634FC" w:rsidP="00D634FC">
      <w:pPr>
        <w:spacing w:after="0" w:line="360" w:lineRule="auto"/>
        <w:jc w:val="both"/>
        <w:rPr>
          <w:rFonts w:ascii="Palatino Linotype" w:eastAsia="Calibri" w:hAnsi="Palatino Linotype" w:cs="Times New Roman"/>
          <w:sz w:val="24"/>
          <w:szCs w:val="24"/>
          <w:lang w:val="es-ES_tradnl" w:eastAsia="es-ES"/>
        </w:rPr>
      </w:pP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b/>
          <w:i/>
          <w:szCs w:val="24"/>
          <w:lang w:val="es-ES" w:eastAsia="es-ES"/>
        </w:rPr>
        <w:t xml:space="preserve">ARTÍCULO 47. </w:t>
      </w:r>
      <w:r w:rsidRPr="00D634FC">
        <w:rPr>
          <w:rFonts w:ascii="Palatino Linotype" w:eastAsia="Calibri" w:hAnsi="Palatino Linotype" w:cs="Times New Roman"/>
          <w:i/>
          <w:szCs w:val="24"/>
          <w:lang w:val="es-ES" w:eastAsia="es-ES"/>
        </w:rPr>
        <w:t>Para ingresar al servicio público se requiere:</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I. Presentar una solicitud utilizando la forma oficial que se autorice por la institución pública o dependencia correspondiente;</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II. Ser de nacionalidad mexicana, con la excepción prevista en el artículo 17 de la presente ley;</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III. Estar en pleno ejercicio de sus derechos civiles y políticos, en su caso;</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IV. Acreditar, cuando proceda, el cumplimiento de la Ley del Servicio Militar Nacional;</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V. Derogada.</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VI. No haber sido separado anteriormente del servicio por las causas previstas en el artículo 93 de la presente ley;</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VIII. Cumplir con los requisitos que se establezcan para los diferentes puestos;</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IX. Acreditar por medio de los exámenes correspondientes los conocimientos y aptitudes necesarios para el desempeño del puesto; y</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X. No estar inhabilitado para el ejercicio del servicio público.</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XI. Presentar certificado expedido por la Unidad del Registro de Deudores Alimentarios Morosos en el que conste, si se encuentra inscrito o no en el mismo.</w:t>
      </w:r>
    </w:p>
    <w:p w:rsidR="00D634FC" w:rsidRPr="00D634FC" w:rsidRDefault="00D634FC" w:rsidP="00D634FC">
      <w:pPr>
        <w:spacing w:after="0" w:line="240" w:lineRule="auto"/>
        <w:ind w:left="567" w:right="567"/>
        <w:jc w:val="both"/>
        <w:rPr>
          <w:rFonts w:ascii="Palatino Linotype" w:eastAsia="Calibri" w:hAnsi="Palatino Linotype" w:cs="Times New Roman"/>
          <w:bCs/>
          <w:i/>
          <w:szCs w:val="24"/>
          <w:lang w:val="es-ES" w:eastAsia="es-ES"/>
        </w:rPr>
      </w:pPr>
      <w:r w:rsidRPr="00D634FC">
        <w:rPr>
          <w:rFonts w:ascii="Palatino Linotype" w:eastAsia="Calibri" w:hAnsi="Palatino Linotype" w:cs="Times New Roman"/>
          <w:i/>
          <w:szCs w:val="24"/>
          <w:lang w:val="es-ES" w:eastAsia="es-ES"/>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D634FC" w:rsidRPr="00D634FC" w:rsidRDefault="00D634FC" w:rsidP="00D634FC">
      <w:pPr>
        <w:spacing w:after="0" w:line="240" w:lineRule="auto"/>
        <w:ind w:left="567" w:right="567"/>
        <w:jc w:val="both"/>
        <w:rPr>
          <w:rFonts w:ascii="Palatino Linotype" w:eastAsia="Calibri" w:hAnsi="Palatino Linotype" w:cs="Times New Roman"/>
          <w:bCs/>
          <w:i/>
          <w:szCs w:val="24"/>
          <w:lang w:val="es-ES" w:eastAsia="es-ES"/>
        </w:rPr>
      </w:pP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b/>
          <w:i/>
          <w:szCs w:val="24"/>
          <w:lang w:val="es-ES" w:eastAsia="es-ES"/>
        </w:rPr>
        <w:t>ARTÍCULO 98</w:t>
      </w:r>
      <w:r w:rsidRPr="00D634FC">
        <w:rPr>
          <w:rFonts w:ascii="Palatino Linotype" w:eastAsia="Calibri" w:hAnsi="Palatino Linotype" w:cs="Times New Roman"/>
          <w:i/>
          <w:szCs w:val="24"/>
          <w:lang w:val="es-ES" w:eastAsia="es-ES"/>
        </w:rPr>
        <w:t>. Son obligaciones de las instituciones públicas:</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val="es-ES" w:eastAsia="es-ES"/>
        </w:rPr>
      </w:pPr>
      <w:r w:rsidRPr="00D634FC">
        <w:rPr>
          <w:rFonts w:ascii="Palatino Linotype" w:eastAsia="Calibri" w:hAnsi="Palatino Linotype" w:cs="Times New Roman"/>
          <w:i/>
          <w:szCs w:val="24"/>
          <w:lang w:val="es-ES" w:eastAsia="es-ES"/>
        </w:rPr>
        <w:t>(…)</w:t>
      </w:r>
    </w:p>
    <w:p w:rsidR="00D634FC" w:rsidRPr="00D634FC" w:rsidRDefault="00D634FC" w:rsidP="00D634FC">
      <w:pPr>
        <w:spacing w:after="0" w:line="240" w:lineRule="auto"/>
        <w:ind w:left="567" w:right="567"/>
        <w:jc w:val="both"/>
        <w:rPr>
          <w:rFonts w:ascii="Palatino Linotype" w:eastAsia="Calibri" w:hAnsi="Palatino Linotype" w:cs="Times New Roman"/>
          <w:i/>
          <w:szCs w:val="24"/>
          <w:lang w:eastAsia="es-ES"/>
        </w:rPr>
      </w:pPr>
      <w:r w:rsidRPr="00D634FC">
        <w:rPr>
          <w:rFonts w:ascii="Palatino Linotype" w:eastAsia="Calibri" w:hAnsi="Palatino Linotype" w:cs="Times New Roman"/>
          <w:b/>
          <w:i/>
          <w:szCs w:val="24"/>
          <w:lang w:eastAsia="es-ES"/>
        </w:rPr>
        <w:t>XVII.</w:t>
      </w:r>
      <w:r w:rsidRPr="00D634FC">
        <w:rPr>
          <w:rFonts w:ascii="Palatino Linotype" w:eastAsia="Calibri" w:hAnsi="Palatino Linotype" w:cs="Times New Roman"/>
          <w:i/>
          <w:szCs w:val="24"/>
          <w:lang w:eastAsia="es-ES"/>
        </w:rPr>
        <w:t xml:space="preserve"> Integrar los expedientes de los servidores públicos y proporcionar las constancias que éstos soliciten para el trámite de los asuntos de su interés en los términos que señalen los ordenamientos respectivos.</w:t>
      </w:r>
    </w:p>
    <w:p w:rsidR="00D634FC" w:rsidRPr="00D634FC" w:rsidRDefault="00D634FC" w:rsidP="00D634FC">
      <w:pPr>
        <w:spacing w:after="0" w:line="240" w:lineRule="auto"/>
        <w:ind w:left="567" w:right="567"/>
        <w:jc w:val="both"/>
        <w:rPr>
          <w:rFonts w:ascii="Palatino Linotype" w:eastAsia="Calibri" w:hAnsi="Palatino Linotype" w:cs="Times New Roman"/>
          <w:szCs w:val="24"/>
          <w:lang w:eastAsia="es-ES"/>
        </w:rPr>
      </w:pPr>
      <w:r w:rsidRPr="00D634FC">
        <w:rPr>
          <w:rFonts w:ascii="Palatino Linotype" w:eastAsia="Calibri" w:hAnsi="Palatino Linotype" w:cs="Times New Roman"/>
          <w:i/>
          <w:szCs w:val="24"/>
          <w:lang w:eastAsia="es-ES"/>
        </w:rPr>
        <w:t>(…)</w:t>
      </w:r>
    </w:p>
    <w:p w:rsidR="00D634FC" w:rsidRPr="00D634FC" w:rsidRDefault="00D634FC" w:rsidP="00D634FC">
      <w:pPr>
        <w:spacing w:after="0" w:line="240" w:lineRule="auto"/>
        <w:ind w:left="567" w:right="567"/>
        <w:jc w:val="right"/>
        <w:rPr>
          <w:rFonts w:ascii="Palatino Linotype" w:eastAsia="Calibri" w:hAnsi="Palatino Linotype" w:cs="Times New Roman"/>
          <w:szCs w:val="24"/>
          <w:lang w:eastAsia="es-ES"/>
        </w:rPr>
      </w:pPr>
      <w:r w:rsidRPr="00D634FC">
        <w:rPr>
          <w:rFonts w:ascii="Palatino Linotype" w:eastAsia="Calibri" w:hAnsi="Palatino Linotype" w:cs="Times New Roman"/>
          <w:szCs w:val="24"/>
          <w:lang w:eastAsia="es-ES"/>
        </w:rPr>
        <w:t>(Énfasis añadido)</w:t>
      </w:r>
    </w:p>
    <w:p w:rsidR="00D634FC" w:rsidRPr="00D634FC" w:rsidRDefault="00D634FC" w:rsidP="00D634FC">
      <w:pPr>
        <w:spacing w:after="0" w:line="360" w:lineRule="auto"/>
        <w:jc w:val="both"/>
        <w:rPr>
          <w:rFonts w:ascii="Palatino Linotype" w:eastAsia="Calibri" w:hAnsi="Palatino Linotype" w:cs="Times New Roman"/>
          <w:sz w:val="24"/>
          <w:szCs w:val="24"/>
          <w:lang w:val="es-ES_tradnl" w:eastAsia="es-ES"/>
        </w:rPr>
      </w:pPr>
    </w:p>
    <w:p w:rsidR="00D634FC" w:rsidRPr="00D634FC" w:rsidRDefault="00D634FC" w:rsidP="00D634FC">
      <w:pPr>
        <w:spacing w:after="0" w:line="360" w:lineRule="auto"/>
        <w:jc w:val="both"/>
        <w:rPr>
          <w:rFonts w:ascii="Palatino Linotype" w:eastAsia="Calibri" w:hAnsi="Palatino Linotype" w:cs="Times New Roman"/>
          <w:sz w:val="24"/>
          <w:szCs w:val="24"/>
          <w:lang w:val="es-ES_tradnl" w:eastAsia="es-ES"/>
        </w:rPr>
      </w:pPr>
      <w:r w:rsidRPr="00D634FC">
        <w:rPr>
          <w:rFonts w:ascii="Palatino Linotype" w:eastAsia="Calibri" w:hAnsi="Palatino Linotype" w:cs="Times New Roman"/>
          <w:sz w:val="24"/>
          <w:szCs w:val="24"/>
          <w:lang w:val="es-ES_tradnl" w:eastAsia="es-ES"/>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r>
        <w:rPr>
          <w:rFonts w:ascii="Palatino Linotype" w:eastAsia="Calibri" w:hAnsi="Palatino Linotype" w:cs="Times New Roman"/>
          <w:sz w:val="24"/>
          <w:szCs w:val="24"/>
          <w:lang w:val="es-ES_tradnl" w:eastAsia="es-ES"/>
        </w:rPr>
        <w:t xml:space="preserve"> Destacando en el caso particular los establecidos en la fracción IX, relativos a la acreditación de los conocimientos y aptitudes para el desempeño del puesto, por lo que de conformidad con el perfil de puestos del Sujeto Obligado, se deben establecer los requisitos educativos que deben contar para ocuparlos, resultando dable su entrega en versión pública.</w:t>
      </w:r>
    </w:p>
    <w:p w:rsidR="00D634FC" w:rsidRPr="00D634FC" w:rsidRDefault="00D634FC" w:rsidP="000E2F8F">
      <w:pPr>
        <w:spacing w:after="0" w:line="360" w:lineRule="auto"/>
        <w:ind w:right="49"/>
        <w:jc w:val="both"/>
        <w:rPr>
          <w:rFonts w:ascii="Palatino Linotype" w:eastAsia="Calibri" w:hAnsi="Palatino Linotype" w:cs="Calibri"/>
          <w:sz w:val="24"/>
          <w:szCs w:val="24"/>
          <w:lang w:val="es-ES_tradnl" w:eastAsia="es-MX"/>
        </w:rPr>
      </w:pPr>
    </w:p>
    <w:p w:rsidR="000E2F8F" w:rsidRPr="00176FBC" w:rsidRDefault="000E2F8F" w:rsidP="000E2F8F">
      <w:pPr>
        <w:numPr>
          <w:ilvl w:val="0"/>
          <w:numId w:val="4"/>
        </w:numPr>
        <w:spacing w:after="0" w:line="360" w:lineRule="auto"/>
        <w:jc w:val="both"/>
        <w:rPr>
          <w:rFonts w:ascii="Palatino Linotype" w:eastAsia="Times New Roman" w:hAnsi="Palatino Linotype" w:cs="Arial"/>
          <w:b/>
          <w:i/>
          <w:sz w:val="28"/>
          <w:szCs w:val="24"/>
          <w:lang w:val="es-ES" w:eastAsia="es-ES"/>
        </w:rPr>
      </w:pPr>
      <w:r w:rsidRPr="00176FBC">
        <w:rPr>
          <w:rFonts w:ascii="Palatino Linotype" w:eastAsia="Times New Roman" w:hAnsi="Palatino Linotype" w:cs="Arial"/>
          <w:b/>
          <w:i/>
          <w:sz w:val="28"/>
          <w:szCs w:val="24"/>
          <w:lang w:val="es-ES" w:eastAsia="es-ES"/>
        </w:rPr>
        <w:t>De la Versión Pública.</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 xml:space="preserve">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w:t>
      </w:r>
      <w:r w:rsidRPr="000E2F8F">
        <w:rPr>
          <w:rFonts w:ascii="Palatino Linotype" w:eastAsia="MS Mincho" w:hAnsi="Palatino Linotype" w:cs="Arial"/>
          <w:sz w:val="24"/>
          <w:szCs w:val="24"/>
          <w:lang w:val="es-ES"/>
        </w:rPr>
        <w:lastRenderedPageBreak/>
        <w:t>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0E2F8F">
        <w:rPr>
          <w:rFonts w:ascii="Palatino Linotype" w:eastAsia="MS Mincho" w:hAnsi="Palatino Linotype" w:cs="Arial"/>
          <w:sz w:val="24"/>
          <w:szCs w:val="24"/>
          <w:lang w:val="es-ES"/>
        </w:rPr>
        <w:cr/>
      </w: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E2F8F">
        <w:rPr>
          <w:rFonts w:ascii="Palatino Linotype" w:eastAsia="MS Mincho" w:hAnsi="Palatino Linotype" w:cs="Arial"/>
          <w:sz w:val="24"/>
          <w:szCs w:val="24"/>
          <w:lang w:val="es-ES"/>
        </w:rPr>
        <w:t>homoclave</w:t>
      </w:r>
      <w:proofErr w:type="spellEnd"/>
      <w:r w:rsidRPr="000E2F8F">
        <w:rPr>
          <w:rFonts w:ascii="Palatino Linotype" w:eastAsia="MS Mincho" w:hAnsi="Palatino Linotype" w:cs="Arial"/>
          <w:sz w:val="24"/>
          <w:szCs w:val="24"/>
          <w:lang w:val="es-ES"/>
        </w:rPr>
        <w:t>; la cual para su obtención es necesario acreditar personalidad, fecha de nacimiento entre otros con documentos oficiales.</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DD1025" w:rsidRPr="000E2F8F" w:rsidRDefault="00DD1025"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w:t>
      </w:r>
      <w:r w:rsidRPr="000E2F8F">
        <w:rPr>
          <w:rFonts w:ascii="Palatino Linotype" w:eastAsia="MS Mincho" w:hAnsi="Palatino Linotype" w:cs="Arial"/>
          <w:b/>
          <w:i/>
          <w:szCs w:val="24"/>
          <w:lang w:val="es-ES"/>
        </w:rPr>
        <w:t>Registro Federal de Contribuyentes (RFC) de personas físicas</w:t>
      </w:r>
      <w:r w:rsidRPr="000E2F8F">
        <w:rPr>
          <w:rFonts w:ascii="Palatino Linotype" w:eastAsia="MS Mincho" w:hAnsi="Palatino Linotype" w:cs="Arial"/>
          <w:i/>
          <w:szCs w:val="24"/>
          <w:lang w:val="es-ES"/>
        </w:rPr>
        <w:t xml:space="preserve">. El RFC es una clave de carácter fiscal, </w:t>
      </w:r>
      <w:proofErr w:type="gramStart"/>
      <w:r w:rsidRPr="000E2F8F">
        <w:rPr>
          <w:rFonts w:ascii="Palatino Linotype" w:eastAsia="MS Mincho" w:hAnsi="Palatino Linotype" w:cs="Arial"/>
          <w:i/>
          <w:szCs w:val="24"/>
          <w:lang w:val="es-ES"/>
        </w:rPr>
        <w:t>única</w:t>
      </w:r>
      <w:proofErr w:type="gramEnd"/>
      <w:r w:rsidRPr="000E2F8F">
        <w:rPr>
          <w:rFonts w:ascii="Palatino Linotype" w:eastAsia="MS Mincho" w:hAnsi="Palatino Linotype" w:cs="Arial"/>
          <w:i/>
          <w:szCs w:val="24"/>
          <w:lang w:val="es-ES"/>
        </w:rPr>
        <w:t xml:space="preserve"> e irrepetible, que permite identificar al titular, su edad y fecha de nacimiento, por lo que es un dato personal de carácter confidencial.</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Resoluciones:</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 w:val="20"/>
          <w:szCs w:val="24"/>
          <w:lang w:val="es-ES"/>
        </w:rPr>
        <w:t>• RRA 0189/17. Morena. 08 de febrero de 2017. Por unanimidad.</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 w:val="20"/>
          <w:szCs w:val="24"/>
          <w:lang w:val="es-ES"/>
        </w:rPr>
        <w:t>Comisionado Ponente Joel Salas Suárez.</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 w:val="20"/>
          <w:szCs w:val="24"/>
          <w:lang w:val="es-ES"/>
        </w:rPr>
        <w:t>• RRA 0677/17. Universidad Nacional Autónoma de México. 08 de marzo de</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 w:val="20"/>
          <w:szCs w:val="24"/>
          <w:lang w:val="es-ES"/>
        </w:rPr>
        <w:t xml:space="preserve">2017. Por unanimidad. Comisionado Ponente </w:t>
      </w:r>
      <w:proofErr w:type="spellStart"/>
      <w:r w:rsidRPr="000E2F8F">
        <w:rPr>
          <w:rFonts w:ascii="Palatino Linotype" w:eastAsia="MS Mincho" w:hAnsi="Palatino Linotype" w:cs="Arial"/>
          <w:i/>
          <w:sz w:val="20"/>
          <w:szCs w:val="24"/>
          <w:lang w:val="es-ES"/>
        </w:rPr>
        <w:t>Rosendoevgueni</w:t>
      </w:r>
      <w:proofErr w:type="spellEnd"/>
      <w:r w:rsidRPr="000E2F8F">
        <w:rPr>
          <w:rFonts w:ascii="Palatino Linotype" w:eastAsia="MS Mincho" w:hAnsi="Palatino Linotype" w:cs="Arial"/>
          <w:i/>
          <w:sz w:val="20"/>
          <w:szCs w:val="24"/>
          <w:lang w:val="es-ES"/>
        </w:rPr>
        <w:t xml:space="preserve"> Monterrey </w:t>
      </w:r>
      <w:proofErr w:type="spellStart"/>
      <w:r w:rsidRPr="000E2F8F">
        <w:rPr>
          <w:rFonts w:ascii="Palatino Linotype" w:eastAsia="MS Mincho" w:hAnsi="Palatino Linotype" w:cs="Arial"/>
          <w:i/>
          <w:sz w:val="20"/>
          <w:szCs w:val="24"/>
          <w:lang w:val="es-ES"/>
        </w:rPr>
        <w:t>Chepov</w:t>
      </w:r>
      <w:proofErr w:type="spellEnd"/>
      <w:r w:rsidRPr="000E2F8F">
        <w:rPr>
          <w:rFonts w:ascii="Palatino Linotype" w:eastAsia="MS Mincho" w:hAnsi="Palatino Linotype" w:cs="Arial"/>
          <w:i/>
          <w:sz w:val="20"/>
          <w:szCs w:val="24"/>
          <w:lang w:val="es-ES"/>
        </w:rPr>
        <w:t>.</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lastRenderedPageBreak/>
        <w:t xml:space="preserve">De lo anterior, se desprende que el Registro Federal de Contribuyentes se vincula al nombre de su titular, permitiendo identificar la edad de la persona, fecha de nacimiento, así como su </w:t>
      </w:r>
      <w:proofErr w:type="spellStart"/>
      <w:r w:rsidRPr="000E2F8F">
        <w:rPr>
          <w:rFonts w:ascii="Palatino Linotype" w:eastAsia="MS Mincho" w:hAnsi="Palatino Linotype" w:cs="Arial"/>
          <w:sz w:val="24"/>
          <w:szCs w:val="24"/>
          <w:lang w:val="es-ES"/>
        </w:rPr>
        <w:t>homoclave</w:t>
      </w:r>
      <w:proofErr w:type="spellEnd"/>
      <w:r w:rsidRPr="000E2F8F">
        <w:rPr>
          <w:rFonts w:ascii="Palatino Linotype" w:eastAsia="MS Mincho" w:hAnsi="Palatino Linotype" w:cs="Arial"/>
          <w:sz w:val="24"/>
          <w:szCs w:val="24"/>
          <w:lang w:val="es-ES"/>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Lo anterior, tiene sustento en los artículos 86 y 91, de la Ley General de Población, la cual señala lo siguiente:</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w:t>
      </w:r>
      <w:r w:rsidRPr="000E2F8F">
        <w:rPr>
          <w:rFonts w:ascii="Palatino Linotype" w:eastAsia="MS Mincho" w:hAnsi="Palatino Linotype" w:cs="Arial"/>
          <w:b/>
          <w:i/>
          <w:szCs w:val="24"/>
          <w:lang w:val="es-ES"/>
        </w:rPr>
        <w:t>Artículo 86.</w:t>
      </w:r>
      <w:r w:rsidRPr="000E2F8F">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b/>
          <w:i/>
          <w:szCs w:val="24"/>
          <w:lang w:val="es-ES"/>
        </w:rPr>
        <w:t>Artículo 91.</w:t>
      </w:r>
      <w:r w:rsidRPr="000E2F8F">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 xml:space="preserve">Ahora bien, por cuanto a la Clave Única de Registro de Población </w:t>
      </w:r>
      <w:r w:rsidRPr="000E2F8F">
        <w:rPr>
          <w:rFonts w:ascii="Palatino Linotype" w:eastAsia="MS Mincho" w:hAnsi="Palatino Linotype" w:cs="Arial"/>
          <w:b/>
          <w:sz w:val="24"/>
          <w:szCs w:val="24"/>
          <w:lang w:val="es-ES"/>
        </w:rPr>
        <w:t>CURP</w:t>
      </w:r>
      <w:r w:rsidRPr="000E2F8F">
        <w:rPr>
          <w:rFonts w:ascii="Palatino Linotype" w:eastAsia="MS Mincho" w:hAnsi="Palatino Linotype" w:cs="Arial"/>
          <w:sz w:val="24"/>
          <w:szCs w:val="24"/>
          <w:lang w:val="es-ES"/>
        </w:rPr>
        <w:t xml:space="preserve">, está integrada por 18 elementos representados por letras y números, que se generan a partir de los datos contenidos en un documento probatorio de identidad (acta de nacimiento, </w:t>
      </w:r>
      <w:r w:rsidRPr="000E2F8F">
        <w:rPr>
          <w:rFonts w:ascii="Palatino Linotype" w:eastAsia="MS Mincho" w:hAnsi="Palatino Linotype" w:cs="Arial"/>
          <w:sz w:val="24"/>
          <w:szCs w:val="24"/>
          <w:lang w:val="es-ES"/>
        </w:rPr>
        <w:lastRenderedPageBreak/>
        <w:t xml:space="preserve">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0E2F8F">
        <w:rPr>
          <w:rFonts w:ascii="Palatino Linotype" w:eastAsia="MS Mincho" w:hAnsi="Palatino Linotype" w:cs="Arial"/>
          <w:sz w:val="24"/>
          <w:szCs w:val="24"/>
          <w:lang w:val="es-ES"/>
        </w:rPr>
        <w:t>homoclave</w:t>
      </w:r>
      <w:proofErr w:type="spellEnd"/>
      <w:r w:rsidRPr="000E2F8F">
        <w:rPr>
          <w:rFonts w:ascii="Palatino Linotype" w:eastAsia="MS Mincho" w:hAnsi="Palatino Linotype" w:cs="Arial"/>
          <w:sz w:val="24"/>
          <w:szCs w:val="24"/>
          <w:lang w:val="es-ES"/>
        </w:rPr>
        <w:t xml:space="preserve"> o digito verificador, compuesto de dos elementos, con el que se evitan duplicaciones en la Clave, identifican el cambio de siglo y garantizan la correcta integración.</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Al respecto, el INAI a través del Criterio 18/17, señala literalmente lo siguiente:</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w:t>
      </w:r>
      <w:r w:rsidRPr="000E2F8F">
        <w:rPr>
          <w:rFonts w:ascii="Palatino Linotype" w:eastAsia="MS Mincho" w:hAnsi="Palatino Linotype" w:cs="Arial"/>
          <w:b/>
          <w:i/>
          <w:szCs w:val="24"/>
          <w:lang w:val="es-ES"/>
        </w:rPr>
        <w:t>Clave Única de Registro de Población (CURP).</w:t>
      </w:r>
      <w:r w:rsidRPr="000E2F8F">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Resoluciones:</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Cs w:val="24"/>
          <w:lang w:val="es-ES"/>
        </w:rPr>
        <w:t xml:space="preserve">• </w:t>
      </w:r>
      <w:r w:rsidRPr="000E2F8F">
        <w:rPr>
          <w:rFonts w:ascii="Palatino Linotype" w:eastAsia="MS Mincho" w:hAnsi="Palatino Linotype" w:cs="Arial"/>
          <w:i/>
          <w:sz w:val="20"/>
          <w:szCs w:val="24"/>
          <w:lang w:val="es-ES"/>
        </w:rPr>
        <w:t xml:space="preserve">RRA 3995/16. Secretaría de la Defensa Nacional. 1 de febrero de 2017. Por unanimidad. Comisionado Ponente </w:t>
      </w:r>
      <w:proofErr w:type="spellStart"/>
      <w:r w:rsidRPr="000E2F8F">
        <w:rPr>
          <w:rFonts w:ascii="Palatino Linotype" w:eastAsia="MS Mincho" w:hAnsi="Palatino Linotype" w:cs="Arial"/>
          <w:i/>
          <w:sz w:val="20"/>
          <w:szCs w:val="24"/>
          <w:lang w:val="es-ES"/>
        </w:rPr>
        <w:t>Rosendoevgueni</w:t>
      </w:r>
      <w:proofErr w:type="spellEnd"/>
      <w:r w:rsidRPr="000E2F8F">
        <w:rPr>
          <w:rFonts w:ascii="Palatino Linotype" w:eastAsia="MS Mincho" w:hAnsi="Palatino Linotype" w:cs="Arial"/>
          <w:i/>
          <w:sz w:val="20"/>
          <w:szCs w:val="24"/>
          <w:lang w:val="es-ES"/>
        </w:rPr>
        <w:t xml:space="preserve"> Monterrey </w:t>
      </w:r>
      <w:proofErr w:type="spellStart"/>
      <w:r w:rsidRPr="000E2F8F">
        <w:rPr>
          <w:rFonts w:ascii="Palatino Linotype" w:eastAsia="MS Mincho" w:hAnsi="Palatino Linotype" w:cs="Arial"/>
          <w:i/>
          <w:sz w:val="20"/>
          <w:szCs w:val="24"/>
          <w:lang w:val="es-ES"/>
        </w:rPr>
        <w:t>Chepov</w:t>
      </w:r>
      <w:proofErr w:type="spellEnd"/>
      <w:r w:rsidRPr="000E2F8F">
        <w:rPr>
          <w:rFonts w:ascii="Palatino Linotype" w:eastAsia="MS Mincho" w:hAnsi="Palatino Linotype" w:cs="Arial"/>
          <w:i/>
          <w:sz w:val="20"/>
          <w:szCs w:val="24"/>
          <w:lang w:val="es-ES"/>
        </w:rPr>
        <w:t>.</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 w:val="20"/>
          <w:szCs w:val="24"/>
          <w:lang w:val="es-ES"/>
        </w:rPr>
        <w:t>• RRA 0937/17. Senado de la República. 15 de marzo de 2017. Por unanimidad. Comisionada Ponente Ximena Puente de la Mora.</w:t>
      </w:r>
    </w:p>
    <w:p w:rsidR="000E2F8F" w:rsidRPr="000E2F8F" w:rsidRDefault="000E2F8F" w:rsidP="000E2F8F">
      <w:pPr>
        <w:spacing w:after="0" w:line="240" w:lineRule="auto"/>
        <w:ind w:left="567" w:right="567"/>
        <w:jc w:val="both"/>
        <w:rPr>
          <w:rFonts w:ascii="Palatino Linotype" w:eastAsia="MS Mincho" w:hAnsi="Palatino Linotype" w:cs="Arial"/>
          <w:i/>
          <w:sz w:val="20"/>
          <w:szCs w:val="24"/>
          <w:lang w:val="es-ES"/>
        </w:rPr>
      </w:pPr>
      <w:r w:rsidRPr="000E2F8F">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 xml:space="preserve">De lo anterior, se desprende que la Clave Única de Registro de Población </w:t>
      </w:r>
      <w:r w:rsidRPr="000E2F8F">
        <w:rPr>
          <w:rFonts w:ascii="Palatino Linotype" w:eastAsia="MS Mincho" w:hAnsi="Palatino Linotype" w:cs="Arial"/>
          <w:b/>
          <w:sz w:val="24"/>
          <w:szCs w:val="24"/>
          <w:lang w:val="es-ES"/>
        </w:rPr>
        <w:t>CURP</w:t>
      </w:r>
      <w:r w:rsidRPr="000E2F8F">
        <w:rPr>
          <w:rFonts w:ascii="Palatino Linotype" w:eastAsia="MS Mincho" w:hAnsi="Palatino Linotype" w:cs="Arial"/>
          <w:sz w:val="24"/>
          <w:szCs w:val="24"/>
          <w:lang w:val="es-ES"/>
        </w:rPr>
        <w:t xml:space="preserve">, se encuentra vinculado al nombre de la persona, permitiendo identificar la edad, fecha de nacimiento, sexo, lugar de nacimiento, así como su </w:t>
      </w:r>
      <w:proofErr w:type="spellStart"/>
      <w:r w:rsidRPr="000E2F8F">
        <w:rPr>
          <w:rFonts w:ascii="Palatino Linotype" w:eastAsia="MS Mincho" w:hAnsi="Palatino Linotype" w:cs="Arial"/>
          <w:sz w:val="24"/>
          <w:szCs w:val="24"/>
          <w:lang w:val="es-ES"/>
        </w:rPr>
        <w:t>homoclave</w:t>
      </w:r>
      <w:proofErr w:type="spellEnd"/>
      <w:r w:rsidRPr="000E2F8F">
        <w:rPr>
          <w:rFonts w:ascii="Palatino Linotype" w:eastAsia="MS Mincho" w:hAnsi="Palatino Linotype" w:cs="Arial"/>
          <w:sz w:val="24"/>
          <w:szCs w:val="24"/>
          <w:lang w:val="es-ES"/>
        </w:rPr>
        <w:t xml:space="preser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w:t>
      </w:r>
      <w:r w:rsidRPr="000E2F8F">
        <w:rPr>
          <w:rFonts w:ascii="Palatino Linotype" w:eastAsia="MS Mincho" w:hAnsi="Palatino Linotype" w:cs="Arial"/>
          <w:sz w:val="24"/>
          <w:szCs w:val="24"/>
          <w:lang w:val="es-ES"/>
        </w:rPr>
        <w:lastRenderedPageBreak/>
        <w:t>de México y Municipios y 4 fracción VII de la Ley de Protección de Datos Personales del Estado de México.</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 xml:space="preserve">Por cuanto hace a la </w:t>
      </w:r>
      <w:r w:rsidRPr="000E2F8F">
        <w:rPr>
          <w:rFonts w:ascii="Palatino Linotype" w:eastAsia="MS Mincho" w:hAnsi="Palatino Linotype" w:cs="Arial"/>
          <w:b/>
          <w:sz w:val="24"/>
          <w:szCs w:val="24"/>
          <w:lang w:val="es-ES"/>
        </w:rPr>
        <w:t>Clave de cualquier tipo de seguridad social</w:t>
      </w:r>
      <w:r w:rsidRPr="000E2F8F">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b/>
          <w:i/>
          <w:szCs w:val="24"/>
          <w:lang w:val="es-ES"/>
        </w:rPr>
        <w:t xml:space="preserve">Artículo 3. </w:t>
      </w:r>
      <w:r w:rsidRPr="000E2F8F">
        <w:rPr>
          <w:rFonts w:ascii="Palatino Linotype" w:eastAsia="MS Mincho" w:hAnsi="Palatino Linotype" w:cs="Arial"/>
          <w:i/>
          <w:szCs w:val="24"/>
          <w:lang w:val="es-ES"/>
        </w:rPr>
        <w:t>Para los efectos de la presente Ley se entenderá por:</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lastRenderedPageBreak/>
        <w:t>XX. Información clasificada: Aquella considerada por la presente Ley como reservada o confidencial;</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b/>
          <w:i/>
          <w:szCs w:val="24"/>
          <w:lang w:val="es-ES"/>
        </w:rPr>
        <w:t>Artículo 91.</w:t>
      </w:r>
      <w:r w:rsidRPr="000E2F8F">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b/>
          <w:i/>
          <w:szCs w:val="24"/>
          <w:lang w:val="es-ES"/>
        </w:rPr>
        <w:t>Artículo 132.</w:t>
      </w:r>
      <w:r w:rsidRPr="000E2F8F">
        <w:rPr>
          <w:rFonts w:ascii="Palatino Linotype" w:eastAsia="MS Mincho" w:hAnsi="Palatino Linotype" w:cs="Arial"/>
          <w:i/>
          <w:szCs w:val="24"/>
          <w:lang w:val="es-ES"/>
        </w:rPr>
        <w:t xml:space="preserve"> La clasificación de la información se llevará a cabo en el momento en que:</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I. Se reciba una solicitud de acceso a la información;</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II. Se determine mediante resolución de autoridad competente; o</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III. Se generen versiones públicas para dar cumplimiento a las obligaciones de transparencia previstas en esta Ley.</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b/>
          <w:i/>
          <w:szCs w:val="24"/>
          <w:lang w:val="es-ES"/>
        </w:rPr>
        <w:t>Artículo 143.</w:t>
      </w:r>
      <w:r w:rsidRPr="000E2F8F">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 xml:space="preserve">I. Se refiera a la información privada y los datos personales concernientes a una persona física o </w:t>
      </w:r>
      <w:proofErr w:type="gramStart"/>
      <w:r w:rsidRPr="000E2F8F">
        <w:rPr>
          <w:rFonts w:ascii="Palatino Linotype" w:eastAsia="MS Mincho" w:hAnsi="Palatino Linotype" w:cs="Arial"/>
          <w:i/>
          <w:szCs w:val="24"/>
          <w:lang w:val="es-ES"/>
        </w:rPr>
        <w:t>jurídico</w:t>
      </w:r>
      <w:proofErr w:type="gramEnd"/>
      <w:r w:rsidRPr="000E2F8F">
        <w:rPr>
          <w:rFonts w:ascii="Palatino Linotype" w:eastAsia="MS Mincho" w:hAnsi="Palatino Linotype" w:cs="Arial"/>
          <w:i/>
          <w:szCs w:val="24"/>
          <w:lang w:val="es-ES"/>
        </w:rPr>
        <w:t xml:space="preserve"> colectiva identificada o identificable;</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III. La que presenten los particulares a los sujetos obligados, de conformidad con lo dispuesto por las leyes o los tratados internacionales.</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0E2F8F" w:rsidRPr="000E2F8F" w:rsidRDefault="000E2F8F" w:rsidP="000E2F8F">
      <w:pPr>
        <w:spacing w:after="0" w:line="240" w:lineRule="auto"/>
        <w:ind w:left="567" w:right="567"/>
        <w:jc w:val="both"/>
        <w:rPr>
          <w:rFonts w:ascii="Palatino Linotype" w:eastAsia="MS Mincho" w:hAnsi="Palatino Linotype" w:cs="Arial"/>
          <w:i/>
          <w:szCs w:val="24"/>
          <w:lang w:val="es-ES"/>
        </w:rPr>
      </w:pPr>
      <w:r w:rsidRPr="000E2F8F">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w:t>
      </w:r>
      <w:r w:rsidRPr="000E2F8F">
        <w:rPr>
          <w:rFonts w:ascii="Palatino Linotype" w:eastAsia="MS Mincho" w:hAnsi="Palatino Linotype" w:cs="Arial"/>
          <w:sz w:val="24"/>
          <w:szCs w:val="24"/>
          <w:lang w:val="es-ES"/>
        </w:rPr>
        <w:lastRenderedPageBreak/>
        <w:t>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E2F8F" w:rsidRPr="000E2F8F" w:rsidRDefault="000E2F8F" w:rsidP="000E2F8F">
      <w:pPr>
        <w:spacing w:after="0" w:line="360" w:lineRule="auto"/>
        <w:jc w:val="both"/>
        <w:rPr>
          <w:rFonts w:ascii="Palatino Linotype" w:eastAsia="MS Mincho" w:hAnsi="Palatino Linotype" w:cs="Arial"/>
          <w:sz w:val="24"/>
          <w:szCs w:val="24"/>
          <w:lang w:val="es-ES"/>
        </w:rPr>
      </w:pPr>
    </w:p>
    <w:p w:rsidR="000E2F8F" w:rsidRPr="000E2F8F" w:rsidRDefault="000E2F8F" w:rsidP="000E2F8F">
      <w:pPr>
        <w:spacing w:after="0" w:line="360" w:lineRule="auto"/>
        <w:jc w:val="both"/>
        <w:rPr>
          <w:rFonts w:ascii="Palatino Linotype" w:eastAsia="MS Mincho" w:hAnsi="Palatino Linotype" w:cs="Arial"/>
          <w:sz w:val="24"/>
          <w:szCs w:val="24"/>
          <w:lang w:val="es-ES"/>
        </w:rPr>
      </w:pPr>
      <w:r w:rsidRPr="000E2F8F">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E2F8F" w:rsidRPr="000E2F8F" w:rsidRDefault="000E2F8F" w:rsidP="00CE5433">
      <w:pPr>
        <w:autoSpaceDE w:val="0"/>
        <w:autoSpaceDN w:val="0"/>
        <w:adjustRightInd w:val="0"/>
        <w:spacing w:after="0" w:line="360" w:lineRule="auto"/>
        <w:contextualSpacing/>
        <w:jc w:val="both"/>
        <w:rPr>
          <w:rFonts w:ascii="Palatino Linotype" w:hAnsi="Palatino Linotype" w:cs="Arial"/>
          <w:sz w:val="24"/>
          <w:lang w:val="es-ES"/>
        </w:rPr>
      </w:pPr>
    </w:p>
    <w:p w:rsidR="00CE5433" w:rsidRPr="007F109C" w:rsidRDefault="00CE5433" w:rsidP="00CE5433">
      <w:pPr>
        <w:spacing w:after="0" w:line="360" w:lineRule="auto"/>
        <w:jc w:val="both"/>
        <w:rPr>
          <w:rFonts w:ascii="Palatino Linotype" w:hAnsi="Palatino Linotype"/>
          <w:sz w:val="24"/>
          <w:szCs w:val="24"/>
        </w:rPr>
      </w:pPr>
      <w:r w:rsidRPr="007F109C">
        <w:rPr>
          <w:rFonts w:ascii="Palatino Linotype" w:hAnsi="Palatino Linotype"/>
          <w:sz w:val="24"/>
          <w:szCs w:val="24"/>
        </w:rPr>
        <w:t xml:space="preserve">En mérito de lo expuesto en líneas anteriores, al resultar fundados los motivos de inconformidad vertidos por la </w:t>
      </w:r>
      <w:r w:rsidRPr="007F109C">
        <w:rPr>
          <w:rFonts w:ascii="Palatino Linotype" w:hAnsi="Palatino Linotype"/>
          <w:b/>
          <w:sz w:val="24"/>
          <w:szCs w:val="24"/>
        </w:rPr>
        <w:t>Recurrente</w:t>
      </w:r>
      <w:r w:rsidRPr="007F109C">
        <w:rPr>
          <w:rFonts w:ascii="Palatino Linotype" w:hAnsi="Palatino Linotype"/>
          <w:sz w:val="24"/>
          <w:szCs w:val="24"/>
        </w:rPr>
        <w:t xml:space="preserve">, con fundamento en la </w:t>
      </w:r>
      <w:r>
        <w:rPr>
          <w:rFonts w:ascii="Palatino Linotype" w:hAnsi="Palatino Linotype"/>
          <w:sz w:val="24"/>
          <w:szCs w:val="24"/>
        </w:rPr>
        <w:t>primera</w:t>
      </w:r>
      <w:r w:rsidRPr="007F109C">
        <w:rPr>
          <w:rFonts w:ascii="Palatino Linotype" w:hAnsi="Palatino Linotype"/>
          <w:sz w:val="24"/>
          <w:szCs w:val="24"/>
        </w:rPr>
        <w:t xml:space="preserve"> hipótesis del artículo 186 fracción III de la Ley de Transparencia y Acceso a la Información Pública del Estado de México y Municipios, se</w:t>
      </w:r>
      <w:r w:rsidRPr="007F109C">
        <w:rPr>
          <w:rFonts w:ascii="Palatino Linotype" w:hAnsi="Palatino Linotype"/>
          <w:b/>
          <w:sz w:val="24"/>
          <w:szCs w:val="24"/>
        </w:rPr>
        <w:t xml:space="preserve">, </w:t>
      </w:r>
      <w:r>
        <w:rPr>
          <w:rFonts w:ascii="Palatino Linotype" w:hAnsi="Palatino Linotype"/>
          <w:b/>
          <w:sz w:val="24"/>
          <w:szCs w:val="24"/>
        </w:rPr>
        <w:t>REVOCA</w:t>
      </w:r>
      <w:r w:rsidRPr="007F109C">
        <w:rPr>
          <w:rFonts w:ascii="Palatino Linotype" w:hAnsi="Palatino Linotype"/>
          <w:b/>
          <w:sz w:val="24"/>
          <w:szCs w:val="24"/>
        </w:rPr>
        <w:t xml:space="preserve"> </w:t>
      </w:r>
      <w:r w:rsidRPr="007F109C">
        <w:rPr>
          <w:rFonts w:ascii="Palatino Linotype" w:hAnsi="Palatino Linotype"/>
          <w:sz w:val="24"/>
          <w:szCs w:val="24"/>
        </w:rPr>
        <w:t xml:space="preserve">la respuesta emitida a la solicitud de información </w:t>
      </w:r>
      <w:r w:rsidRPr="00CE5433">
        <w:rPr>
          <w:rFonts w:ascii="Palatino Linotype" w:hAnsi="Palatino Linotype" w:cs="Arial"/>
          <w:b/>
          <w:sz w:val="24"/>
          <w:szCs w:val="24"/>
        </w:rPr>
        <w:t>00004/UPT/IP/2022</w:t>
      </w:r>
      <w:r w:rsidRPr="007F109C">
        <w:rPr>
          <w:rFonts w:ascii="Palatino Linotype" w:hAnsi="Palatino Linotype" w:cs="Arial"/>
          <w:sz w:val="24"/>
          <w:szCs w:val="24"/>
        </w:rPr>
        <w:t xml:space="preserve">, </w:t>
      </w:r>
      <w:r w:rsidRPr="007F109C">
        <w:rPr>
          <w:rFonts w:ascii="Palatino Linotype" w:hAnsi="Palatino Linotype"/>
          <w:sz w:val="24"/>
          <w:szCs w:val="24"/>
        </w:rPr>
        <w:t>que ha sido materia del presente fallo.</w:t>
      </w:r>
    </w:p>
    <w:p w:rsidR="00CE5433" w:rsidRPr="007F109C" w:rsidRDefault="00CE5433" w:rsidP="00CE5433">
      <w:pPr>
        <w:spacing w:after="0" w:line="360" w:lineRule="auto"/>
        <w:jc w:val="both"/>
        <w:rPr>
          <w:rFonts w:ascii="Palatino Linotype" w:hAnsi="Palatino Linotype"/>
          <w:sz w:val="24"/>
          <w:szCs w:val="24"/>
        </w:rPr>
      </w:pPr>
    </w:p>
    <w:p w:rsidR="00CE5433" w:rsidRPr="007F109C"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cs="Arial"/>
          <w:sz w:val="24"/>
          <w:szCs w:val="24"/>
        </w:rPr>
        <w:t>Por lo antes expuesto y fundado es de resolverse y,</w:t>
      </w:r>
    </w:p>
    <w:p w:rsidR="00CE5433" w:rsidRPr="007F109C" w:rsidRDefault="00CE5433" w:rsidP="00CE5433">
      <w:pPr>
        <w:spacing w:after="0" w:line="360" w:lineRule="auto"/>
        <w:ind w:left="426"/>
        <w:jc w:val="center"/>
        <w:rPr>
          <w:rFonts w:ascii="Palatino Linotype" w:eastAsia="Times New Roman" w:hAnsi="Palatino Linotype" w:cs="Times New Roman"/>
          <w:b/>
          <w:color w:val="000000"/>
          <w:sz w:val="28"/>
          <w:szCs w:val="24"/>
          <w:lang w:val="es-ES" w:eastAsia="es-ES"/>
        </w:rPr>
      </w:pPr>
      <w:r w:rsidRPr="007F109C">
        <w:rPr>
          <w:rFonts w:ascii="Palatino Linotype" w:eastAsia="Times New Roman" w:hAnsi="Palatino Linotype" w:cs="Times New Roman"/>
          <w:b/>
          <w:color w:val="000000"/>
          <w:sz w:val="28"/>
          <w:szCs w:val="24"/>
          <w:lang w:val="es-ES" w:eastAsia="es-ES"/>
        </w:rPr>
        <w:lastRenderedPageBreak/>
        <w:t>SE    RESUELVE</w:t>
      </w:r>
    </w:p>
    <w:p w:rsidR="00CE5433" w:rsidRPr="007F109C" w:rsidRDefault="00CE5433" w:rsidP="00CE5433">
      <w:pPr>
        <w:spacing w:after="0" w:line="360" w:lineRule="auto"/>
        <w:ind w:left="426"/>
        <w:jc w:val="center"/>
        <w:rPr>
          <w:rFonts w:ascii="Palatino Linotype" w:eastAsia="Times New Roman" w:hAnsi="Palatino Linotype" w:cs="Times New Roman"/>
          <w:b/>
          <w:color w:val="000000"/>
          <w:sz w:val="24"/>
          <w:szCs w:val="24"/>
          <w:lang w:val="es-ES" w:eastAsia="es-ES"/>
        </w:rPr>
      </w:pPr>
    </w:p>
    <w:p w:rsidR="00CE5433" w:rsidRPr="007F109C" w:rsidRDefault="00CE5433" w:rsidP="00CE5433">
      <w:pPr>
        <w:spacing w:after="0" w:line="360" w:lineRule="auto"/>
        <w:jc w:val="both"/>
        <w:rPr>
          <w:rFonts w:ascii="Palatino Linotype" w:eastAsia="Times New Roman" w:hAnsi="Palatino Linotype" w:cs="Arial"/>
          <w:sz w:val="24"/>
          <w:szCs w:val="24"/>
          <w:lang w:eastAsia="es-ES"/>
        </w:rPr>
      </w:pPr>
      <w:r w:rsidRPr="007F109C">
        <w:rPr>
          <w:rFonts w:ascii="Palatino Linotype" w:eastAsia="Times New Roman" w:hAnsi="Palatino Linotype" w:cs="Arial"/>
          <w:b/>
          <w:sz w:val="28"/>
          <w:szCs w:val="24"/>
          <w:lang w:eastAsia="es-ES"/>
        </w:rPr>
        <w:t>PRIMERO</w:t>
      </w:r>
      <w:r w:rsidRPr="007F109C">
        <w:rPr>
          <w:rFonts w:ascii="Palatino Linotype" w:eastAsia="Times New Roman" w:hAnsi="Palatino Linotype" w:cs="Arial"/>
          <w:b/>
          <w:sz w:val="24"/>
          <w:szCs w:val="24"/>
          <w:lang w:eastAsia="es-ES"/>
        </w:rPr>
        <w:t xml:space="preserve">. </w:t>
      </w:r>
      <w:r w:rsidRPr="007F109C">
        <w:rPr>
          <w:rFonts w:ascii="Palatino Linotype" w:eastAsia="Times New Roman" w:hAnsi="Palatino Linotype" w:cs="Arial"/>
          <w:sz w:val="24"/>
          <w:szCs w:val="24"/>
          <w:lang w:eastAsia="es-ES"/>
        </w:rPr>
        <w:t>Se</w:t>
      </w:r>
      <w:r w:rsidRPr="007F109C">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REVOCA</w:t>
      </w:r>
      <w:r w:rsidRPr="007F109C">
        <w:rPr>
          <w:rFonts w:ascii="Palatino Linotype" w:eastAsia="Times New Roman" w:hAnsi="Palatino Linotype" w:cs="Arial"/>
          <w:b/>
          <w:sz w:val="24"/>
          <w:szCs w:val="24"/>
          <w:lang w:eastAsia="es-ES"/>
        </w:rPr>
        <w:t xml:space="preserve"> </w:t>
      </w:r>
      <w:r w:rsidRPr="007F109C">
        <w:rPr>
          <w:rFonts w:ascii="Palatino Linotype" w:eastAsia="Times New Roman" w:hAnsi="Palatino Linotype" w:cs="Arial"/>
          <w:sz w:val="24"/>
          <w:szCs w:val="24"/>
          <w:lang w:eastAsia="es-ES"/>
        </w:rPr>
        <w:t xml:space="preserve">la respuesta del </w:t>
      </w:r>
      <w:r w:rsidRPr="007F109C">
        <w:rPr>
          <w:rFonts w:ascii="Palatino Linotype" w:eastAsia="Times New Roman" w:hAnsi="Palatino Linotype" w:cs="Arial"/>
          <w:b/>
          <w:sz w:val="24"/>
          <w:szCs w:val="24"/>
          <w:lang w:eastAsia="es-ES"/>
        </w:rPr>
        <w:t>Sujeto Obligado</w:t>
      </w:r>
      <w:r w:rsidRPr="007F109C">
        <w:rPr>
          <w:rFonts w:ascii="Palatino Linotype" w:eastAsia="Times New Roman" w:hAnsi="Palatino Linotype" w:cs="Arial"/>
          <w:sz w:val="24"/>
          <w:szCs w:val="24"/>
          <w:lang w:eastAsia="es-ES"/>
        </w:rPr>
        <w:t xml:space="preserve"> a la solicitud de acceso a la información pública </w:t>
      </w:r>
      <w:r w:rsidRPr="00CE5433">
        <w:rPr>
          <w:rFonts w:ascii="Palatino Linotype" w:hAnsi="Palatino Linotype" w:cs="Arial"/>
          <w:b/>
          <w:sz w:val="24"/>
          <w:szCs w:val="24"/>
        </w:rPr>
        <w:t>00004/UPT/IP/2022</w:t>
      </w:r>
      <w:r w:rsidRPr="007F109C">
        <w:rPr>
          <w:rFonts w:ascii="Palatino Linotype" w:hAnsi="Palatino Linotype" w:cs="Arial"/>
          <w:sz w:val="24"/>
          <w:szCs w:val="24"/>
        </w:rPr>
        <w:t xml:space="preserve">, </w:t>
      </w:r>
      <w:r w:rsidRPr="007F109C">
        <w:rPr>
          <w:rFonts w:ascii="Palatino Linotype" w:eastAsia="Times New Roman" w:hAnsi="Palatino Linotype" w:cs="Arial"/>
          <w:sz w:val="24"/>
          <w:szCs w:val="24"/>
          <w:lang w:eastAsia="es-ES"/>
        </w:rPr>
        <w:t xml:space="preserve">por resultar </w:t>
      </w:r>
      <w:r w:rsidRPr="007F109C">
        <w:rPr>
          <w:rFonts w:ascii="Palatino Linotype" w:eastAsia="Times New Roman" w:hAnsi="Palatino Linotype" w:cs="Arial"/>
          <w:b/>
          <w:sz w:val="24"/>
          <w:szCs w:val="24"/>
          <w:lang w:eastAsia="es-ES"/>
        </w:rPr>
        <w:t xml:space="preserve">fundados </w:t>
      </w:r>
      <w:r w:rsidRPr="007F109C">
        <w:rPr>
          <w:rFonts w:ascii="Palatino Linotype" w:eastAsia="Times New Roman" w:hAnsi="Palatino Linotype" w:cs="Arial"/>
          <w:sz w:val="24"/>
          <w:szCs w:val="24"/>
          <w:lang w:eastAsia="es-ES"/>
        </w:rPr>
        <w:t xml:space="preserve">los motivos de inconformidad vertidos por el </w:t>
      </w:r>
      <w:r w:rsidRPr="007F109C">
        <w:rPr>
          <w:rFonts w:ascii="Palatino Linotype" w:eastAsia="Times New Roman" w:hAnsi="Palatino Linotype" w:cs="Arial"/>
          <w:b/>
          <w:sz w:val="24"/>
          <w:szCs w:val="24"/>
          <w:lang w:eastAsia="es-ES"/>
        </w:rPr>
        <w:t>Recurrente</w:t>
      </w:r>
      <w:r w:rsidRPr="007F109C">
        <w:rPr>
          <w:rFonts w:ascii="Palatino Linotype" w:eastAsia="Times New Roman" w:hAnsi="Palatino Linotype" w:cs="Arial"/>
          <w:sz w:val="24"/>
          <w:szCs w:val="24"/>
          <w:lang w:eastAsia="es-ES"/>
        </w:rPr>
        <w:t>, en términos del considerandos</w:t>
      </w:r>
      <w:r w:rsidRPr="007F109C">
        <w:rPr>
          <w:rFonts w:ascii="Palatino Linotype" w:eastAsia="Times New Roman" w:hAnsi="Palatino Linotype" w:cs="Arial"/>
          <w:b/>
          <w:sz w:val="24"/>
          <w:szCs w:val="24"/>
          <w:lang w:eastAsia="es-ES"/>
        </w:rPr>
        <w:t xml:space="preserve"> CUARTO </w:t>
      </w:r>
      <w:r w:rsidRPr="007F109C">
        <w:rPr>
          <w:rFonts w:ascii="Palatino Linotype" w:eastAsia="Times New Roman" w:hAnsi="Palatino Linotype" w:cs="Arial"/>
          <w:sz w:val="24"/>
          <w:szCs w:val="24"/>
          <w:lang w:eastAsia="es-ES"/>
        </w:rPr>
        <w:t>de la presente Resolución.</w:t>
      </w:r>
    </w:p>
    <w:p w:rsidR="00CE5433" w:rsidRPr="007F109C" w:rsidRDefault="00CE5433" w:rsidP="00CE5433">
      <w:pPr>
        <w:spacing w:after="0" w:line="360" w:lineRule="auto"/>
        <w:ind w:right="-595"/>
        <w:jc w:val="both"/>
        <w:rPr>
          <w:rFonts w:ascii="Palatino Linotype" w:eastAsia="Times New Roman" w:hAnsi="Palatino Linotype" w:cs="Arial"/>
          <w:b/>
          <w:sz w:val="24"/>
          <w:szCs w:val="24"/>
          <w:lang w:eastAsia="es-ES"/>
        </w:rPr>
      </w:pPr>
    </w:p>
    <w:p w:rsidR="00D634FC" w:rsidRPr="00D634FC" w:rsidRDefault="00CE5433" w:rsidP="00D634FC">
      <w:pPr>
        <w:spacing w:after="0" w:line="360" w:lineRule="auto"/>
        <w:jc w:val="both"/>
        <w:rPr>
          <w:rFonts w:ascii="Palatino Linotype" w:eastAsia="Calibri" w:hAnsi="Palatino Linotype"/>
          <w:sz w:val="24"/>
          <w:szCs w:val="24"/>
        </w:rPr>
      </w:pPr>
      <w:r w:rsidRPr="007F109C">
        <w:rPr>
          <w:rFonts w:ascii="Palatino Linotype" w:eastAsia="Times New Roman" w:hAnsi="Palatino Linotype" w:cs="Arial"/>
          <w:b/>
          <w:sz w:val="28"/>
          <w:szCs w:val="24"/>
          <w:lang w:eastAsia="es-ES"/>
        </w:rPr>
        <w:t>SEGUNDO</w:t>
      </w:r>
      <w:r w:rsidRPr="007F109C">
        <w:rPr>
          <w:rFonts w:ascii="Palatino Linotype" w:eastAsia="Times New Roman" w:hAnsi="Palatino Linotype" w:cs="Arial"/>
          <w:b/>
          <w:sz w:val="24"/>
          <w:szCs w:val="24"/>
          <w:lang w:eastAsia="es-ES"/>
        </w:rPr>
        <w:t>.</w:t>
      </w:r>
      <w:r w:rsidRPr="007F109C">
        <w:rPr>
          <w:rFonts w:ascii="Palatino Linotype" w:eastAsia="Times New Roman" w:hAnsi="Palatino Linotype" w:cs="Tahoma"/>
          <w:sz w:val="24"/>
          <w:szCs w:val="24"/>
          <w:lang w:eastAsia="es-ES"/>
        </w:rPr>
        <w:t xml:space="preserve"> Se </w:t>
      </w:r>
      <w:r w:rsidRPr="007F109C">
        <w:rPr>
          <w:rFonts w:ascii="Palatino Linotype" w:eastAsia="Times New Roman" w:hAnsi="Palatino Linotype" w:cs="Tahoma"/>
          <w:b/>
          <w:sz w:val="24"/>
          <w:szCs w:val="24"/>
          <w:lang w:eastAsia="es-ES"/>
        </w:rPr>
        <w:t>ORDENA</w:t>
      </w:r>
      <w:r w:rsidRPr="007F109C">
        <w:rPr>
          <w:rFonts w:ascii="Palatino Linotype" w:eastAsia="Times New Roman" w:hAnsi="Palatino Linotype" w:cs="Tahoma"/>
          <w:sz w:val="24"/>
          <w:szCs w:val="24"/>
          <w:lang w:eastAsia="es-ES"/>
        </w:rPr>
        <w:t xml:space="preserve"> al </w:t>
      </w:r>
      <w:r w:rsidRPr="007F109C">
        <w:rPr>
          <w:rFonts w:ascii="Palatino Linotype" w:eastAsia="Times New Roman" w:hAnsi="Palatino Linotype" w:cs="Tahoma"/>
          <w:b/>
          <w:sz w:val="24"/>
          <w:szCs w:val="24"/>
          <w:lang w:eastAsia="es-ES"/>
        </w:rPr>
        <w:t>Sujeto Obligado</w:t>
      </w:r>
      <w:r w:rsidRPr="007F109C">
        <w:rPr>
          <w:rFonts w:ascii="Palatino Linotype" w:eastAsia="Times New Roman" w:hAnsi="Palatino Linotype" w:cs="Tahoma"/>
          <w:sz w:val="24"/>
          <w:szCs w:val="24"/>
          <w:lang w:eastAsia="es-ES"/>
        </w:rPr>
        <w:t xml:space="preserve"> haga entrega al </w:t>
      </w:r>
      <w:r w:rsidRPr="007F109C">
        <w:rPr>
          <w:rFonts w:ascii="Palatino Linotype" w:eastAsia="Times New Roman" w:hAnsi="Palatino Linotype" w:cs="Tahoma"/>
          <w:b/>
          <w:sz w:val="24"/>
          <w:szCs w:val="24"/>
          <w:lang w:eastAsia="es-ES"/>
        </w:rPr>
        <w:t>Recurrente</w:t>
      </w:r>
      <w:r w:rsidRPr="007F109C">
        <w:rPr>
          <w:rFonts w:ascii="Palatino Linotype" w:eastAsia="Times New Roman" w:hAnsi="Palatino Linotype" w:cs="Tahoma"/>
          <w:sz w:val="24"/>
          <w:szCs w:val="24"/>
          <w:lang w:eastAsia="es-ES"/>
        </w:rPr>
        <w:t>, a través del Sistema de Acceso a la Información Mexiquense (</w:t>
      </w:r>
      <w:r w:rsidRPr="007F109C">
        <w:rPr>
          <w:rFonts w:ascii="Palatino Linotype" w:eastAsia="Times New Roman" w:hAnsi="Palatino Linotype" w:cs="Tahoma"/>
          <w:b/>
          <w:sz w:val="24"/>
          <w:szCs w:val="24"/>
          <w:lang w:eastAsia="es-ES"/>
        </w:rPr>
        <w:t>SAIMEX</w:t>
      </w:r>
      <w:r w:rsidRPr="007F109C">
        <w:rPr>
          <w:rFonts w:ascii="Palatino Linotype" w:eastAsia="Times New Roman" w:hAnsi="Palatino Linotype" w:cs="Tahoma"/>
          <w:sz w:val="24"/>
          <w:szCs w:val="24"/>
          <w:lang w:eastAsia="es-ES"/>
        </w:rPr>
        <w:t>),</w:t>
      </w:r>
      <w:r w:rsidR="000E2F8F">
        <w:rPr>
          <w:rFonts w:ascii="Palatino Linotype" w:eastAsia="Times New Roman" w:hAnsi="Palatino Linotype" w:cs="Tahoma"/>
          <w:sz w:val="24"/>
          <w:szCs w:val="24"/>
          <w:lang w:eastAsia="es-ES"/>
        </w:rPr>
        <w:t xml:space="preserve"> en versión pública, el </w:t>
      </w:r>
      <w:r w:rsidR="000E2F8F" w:rsidRPr="00D634FC">
        <w:rPr>
          <w:rFonts w:ascii="Palatino Linotype" w:eastAsia="Times New Roman" w:hAnsi="Palatino Linotype" w:cs="Tahoma"/>
          <w:sz w:val="24"/>
          <w:szCs w:val="24"/>
          <w:lang w:eastAsia="es-ES"/>
        </w:rPr>
        <w:t xml:space="preserve">soporte documental en que obre al mayor grado de desagregación, </w:t>
      </w:r>
      <w:r w:rsidR="00D634FC">
        <w:rPr>
          <w:rFonts w:ascii="Palatino Linotype" w:eastAsia="Times New Roman" w:hAnsi="Palatino Linotype" w:cs="Tahoma"/>
          <w:sz w:val="24"/>
          <w:szCs w:val="24"/>
          <w:lang w:eastAsia="es-ES"/>
        </w:rPr>
        <w:t>d</w:t>
      </w:r>
      <w:r w:rsidR="00D634FC" w:rsidRPr="00D634FC">
        <w:rPr>
          <w:rFonts w:ascii="Palatino Linotype" w:eastAsia="Calibri" w:hAnsi="Palatino Linotype"/>
          <w:sz w:val="24"/>
          <w:szCs w:val="24"/>
        </w:rPr>
        <w:t xml:space="preserve">e los </w:t>
      </w:r>
      <w:r w:rsidR="00D634FC" w:rsidRPr="00D634FC">
        <w:rPr>
          <w:rFonts w:ascii="Palatino Linotype" w:eastAsia="Calibri" w:hAnsi="Palatino Linotype"/>
          <w:sz w:val="24"/>
          <w:szCs w:val="24"/>
          <w:lang w:val="es-ES"/>
        </w:rPr>
        <w:t>166 (ciento sesenta y seis) registros</w:t>
      </w:r>
      <w:r w:rsidR="00D634FC" w:rsidRPr="00D634FC">
        <w:rPr>
          <w:rFonts w:ascii="Palatino Linotype" w:eastAsia="Calibri" w:hAnsi="Palatino Linotype"/>
          <w:sz w:val="24"/>
          <w:szCs w:val="24"/>
        </w:rPr>
        <w:t xml:space="preserve"> de</w:t>
      </w:r>
      <w:r w:rsidR="00DD1025">
        <w:rPr>
          <w:rFonts w:ascii="Palatino Linotype" w:eastAsia="Calibri" w:hAnsi="Palatino Linotype"/>
          <w:sz w:val="24"/>
          <w:szCs w:val="24"/>
        </w:rPr>
        <w:t>l</w:t>
      </w:r>
      <w:r w:rsidR="00D634FC" w:rsidRPr="00D634FC">
        <w:rPr>
          <w:rFonts w:ascii="Palatino Linotype" w:eastAsia="Calibri" w:hAnsi="Palatino Linotype"/>
          <w:sz w:val="24"/>
          <w:szCs w:val="24"/>
        </w:rPr>
        <w:t xml:space="preserve"> personal de confianza y contratación que tenía en abr</w:t>
      </w:r>
      <w:r w:rsidR="00DD1025">
        <w:rPr>
          <w:rFonts w:ascii="Palatino Linotype" w:eastAsia="Calibri" w:hAnsi="Palatino Linotype"/>
          <w:sz w:val="24"/>
          <w:szCs w:val="24"/>
        </w:rPr>
        <w:t>il de 2022 (dos mil veintidós),</w:t>
      </w:r>
      <w:r w:rsidR="00D634FC">
        <w:rPr>
          <w:rFonts w:ascii="Palatino Linotype" w:eastAsia="Calibri" w:hAnsi="Palatino Linotype"/>
          <w:sz w:val="24"/>
          <w:szCs w:val="24"/>
        </w:rPr>
        <w:t xml:space="preserve"> lo siguiente:</w:t>
      </w:r>
    </w:p>
    <w:p w:rsidR="00D634FC" w:rsidRDefault="00D634FC" w:rsidP="00D634FC">
      <w:pPr>
        <w:spacing w:after="0" w:line="360" w:lineRule="auto"/>
        <w:jc w:val="both"/>
        <w:rPr>
          <w:rFonts w:ascii="Palatino Linotype" w:eastAsia="Calibri" w:hAnsi="Palatino Linotype"/>
        </w:rPr>
      </w:pPr>
    </w:p>
    <w:p w:rsidR="00D634FC" w:rsidRPr="00D634FC" w:rsidRDefault="000E2F8F" w:rsidP="00D634FC">
      <w:pPr>
        <w:pStyle w:val="Prrafodelista"/>
        <w:numPr>
          <w:ilvl w:val="0"/>
          <w:numId w:val="7"/>
        </w:numPr>
        <w:spacing w:line="360" w:lineRule="auto"/>
        <w:jc w:val="both"/>
        <w:rPr>
          <w:rFonts w:ascii="Palatino Linotype" w:eastAsia="Calibri" w:hAnsi="Palatino Linotype"/>
        </w:rPr>
      </w:pPr>
      <w:r w:rsidRPr="00D634FC">
        <w:rPr>
          <w:rFonts w:ascii="Palatino Linotype" w:eastAsia="Calibri" w:hAnsi="Palatino Linotype"/>
        </w:rPr>
        <w:t xml:space="preserve">nombre completo, </w:t>
      </w:r>
    </w:p>
    <w:p w:rsidR="00D634FC" w:rsidRPr="00D634FC" w:rsidRDefault="000E2F8F" w:rsidP="00D634FC">
      <w:pPr>
        <w:pStyle w:val="Prrafodelista"/>
        <w:numPr>
          <w:ilvl w:val="0"/>
          <w:numId w:val="7"/>
        </w:numPr>
        <w:spacing w:line="360" w:lineRule="auto"/>
        <w:jc w:val="both"/>
        <w:rPr>
          <w:rFonts w:ascii="Palatino Linotype" w:eastAsia="Calibri" w:hAnsi="Palatino Linotype"/>
        </w:rPr>
      </w:pPr>
      <w:r w:rsidRPr="00D634FC">
        <w:rPr>
          <w:rFonts w:ascii="Palatino Linotype" w:eastAsia="Calibri" w:hAnsi="Palatino Linotype"/>
        </w:rPr>
        <w:t xml:space="preserve">función y/o puesto, </w:t>
      </w:r>
    </w:p>
    <w:p w:rsidR="00D634FC" w:rsidRPr="00D634FC" w:rsidRDefault="000E2F8F" w:rsidP="00D634FC">
      <w:pPr>
        <w:pStyle w:val="Prrafodelista"/>
        <w:numPr>
          <w:ilvl w:val="0"/>
          <w:numId w:val="7"/>
        </w:numPr>
        <w:spacing w:line="360" w:lineRule="auto"/>
        <w:jc w:val="both"/>
        <w:rPr>
          <w:rFonts w:ascii="Palatino Linotype" w:eastAsia="Calibri" w:hAnsi="Palatino Linotype"/>
        </w:rPr>
      </w:pPr>
      <w:r w:rsidRPr="00D634FC">
        <w:rPr>
          <w:rFonts w:ascii="Palatino Linotype" w:eastAsia="Calibri" w:hAnsi="Palatino Linotype"/>
        </w:rPr>
        <w:t xml:space="preserve">horario de labores, </w:t>
      </w:r>
    </w:p>
    <w:p w:rsidR="00D634FC" w:rsidRPr="00D634FC" w:rsidRDefault="000E2F8F" w:rsidP="00D634FC">
      <w:pPr>
        <w:pStyle w:val="Prrafodelista"/>
        <w:numPr>
          <w:ilvl w:val="0"/>
          <w:numId w:val="7"/>
        </w:numPr>
        <w:spacing w:line="360" w:lineRule="auto"/>
        <w:jc w:val="both"/>
        <w:rPr>
          <w:rFonts w:ascii="Palatino Linotype" w:eastAsia="Calibri" w:hAnsi="Palatino Linotype"/>
        </w:rPr>
      </w:pPr>
      <w:r w:rsidRPr="00D634FC">
        <w:rPr>
          <w:rFonts w:ascii="Palatino Linotype" w:eastAsia="Calibri" w:hAnsi="Palatino Linotype"/>
        </w:rPr>
        <w:t xml:space="preserve">sueldo neto, bruto, compensaciones y otros estímulos o deducciones, </w:t>
      </w:r>
      <w:r w:rsidR="00D634FC">
        <w:rPr>
          <w:rFonts w:ascii="Palatino Linotype" w:eastAsia="Calibri" w:hAnsi="Palatino Linotype"/>
        </w:rPr>
        <w:t>y</w:t>
      </w:r>
    </w:p>
    <w:p w:rsidR="000E2F8F" w:rsidRPr="00D634FC" w:rsidRDefault="000E2F8F" w:rsidP="00D634FC">
      <w:pPr>
        <w:pStyle w:val="Prrafodelista"/>
        <w:numPr>
          <w:ilvl w:val="0"/>
          <w:numId w:val="7"/>
        </w:numPr>
        <w:spacing w:line="360" w:lineRule="auto"/>
        <w:jc w:val="both"/>
        <w:rPr>
          <w:rFonts w:ascii="Palatino Linotype" w:eastAsia="Calibri" w:hAnsi="Palatino Linotype"/>
        </w:rPr>
      </w:pPr>
      <w:r w:rsidRPr="00D634FC">
        <w:rPr>
          <w:rFonts w:ascii="Palatino Linotype" w:eastAsia="Calibri" w:hAnsi="Palatino Linotype"/>
        </w:rPr>
        <w:t xml:space="preserve">título, cedula o comprobante </w:t>
      </w:r>
      <w:r w:rsidR="00DC2FEC">
        <w:rPr>
          <w:rFonts w:ascii="Palatino Linotype" w:eastAsia="Calibri" w:hAnsi="Palatino Linotype"/>
        </w:rPr>
        <w:t>de estudios que avale el perfil de puesto.</w:t>
      </w:r>
    </w:p>
    <w:p w:rsidR="00CE5433" w:rsidRDefault="00CE5433" w:rsidP="00CE5433">
      <w:pPr>
        <w:spacing w:after="0" w:line="360" w:lineRule="auto"/>
        <w:jc w:val="both"/>
        <w:rPr>
          <w:rFonts w:ascii="Palatino Linotype" w:eastAsia="Times New Roman" w:hAnsi="Palatino Linotype" w:cs="Tahoma"/>
          <w:sz w:val="24"/>
          <w:szCs w:val="24"/>
          <w:lang w:val="es-ES" w:eastAsia="es-ES"/>
        </w:rPr>
      </w:pPr>
    </w:p>
    <w:p w:rsidR="00D634FC" w:rsidRPr="00D634FC" w:rsidRDefault="00D634FC" w:rsidP="00D634FC">
      <w:pPr>
        <w:spacing w:after="0" w:line="360" w:lineRule="auto"/>
        <w:jc w:val="both"/>
        <w:rPr>
          <w:rFonts w:ascii="Palatino Linotype" w:eastAsia="Times New Roman" w:hAnsi="Palatino Linotype" w:cs="Tahoma"/>
          <w:sz w:val="24"/>
          <w:szCs w:val="24"/>
          <w:lang w:eastAsia="es-ES"/>
        </w:rPr>
      </w:pPr>
      <w:r w:rsidRPr="00D634FC">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D634FC" w:rsidRPr="00D634FC" w:rsidRDefault="00D634FC" w:rsidP="00CE5433">
      <w:pPr>
        <w:spacing w:after="0" w:line="360" w:lineRule="auto"/>
        <w:jc w:val="both"/>
        <w:rPr>
          <w:rFonts w:ascii="Palatino Linotype" w:eastAsia="Times New Roman" w:hAnsi="Palatino Linotype" w:cs="Tahoma"/>
          <w:sz w:val="24"/>
          <w:szCs w:val="24"/>
          <w:lang w:eastAsia="es-ES"/>
        </w:rPr>
      </w:pPr>
    </w:p>
    <w:p w:rsidR="00CE5433" w:rsidRPr="007F109C" w:rsidRDefault="00CE5433" w:rsidP="00CE5433">
      <w:pPr>
        <w:spacing w:after="0" w:line="360" w:lineRule="auto"/>
        <w:jc w:val="both"/>
        <w:rPr>
          <w:rFonts w:ascii="Palatino Linotype" w:eastAsia="Times New Roman" w:hAnsi="Palatino Linotype" w:cs="Tahoma"/>
          <w:sz w:val="24"/>
          <w:szCs w:val="24"/>
          <w:lang w:eastAsia="es-ES"/>
        </w:rPr>
      </w:pPr>
      <w:r w:rsidRPr="007F109C">
        <w:rPr>
          <w:rFonts w:ascii="Palatino Linotype" w:eastAsia="Times New Roman" w:hAnsi="Palatino Linotype" w:cs="Arial"/>
          <w:b/>
          <w:sz w:val="28"/>
          <w:szCs w:val="24"/>
          <w:lang w:eastAsia="es-ES"/>
        </w:rPr>
        <w:lastRenderedPageBreak/>
        <w:t>TERCERO</w:t>
      </w:r>
      <w:r w:rsidRPr="007F109C">
        <w:rPr>
          <w:rFonts w:ascii="Palatino Linotype" w:eastAsia="Times New Roman" w:hAnsi="Palatino Linotype" w:cs="Arial"/>
          <w:b/>
          <w:sz w:val="24"/>
          <w:szCs w:val="24"/>
          <w:lang w:eastAsia="es-ES"/>
        </w:rPr>
        <w:t>.</w:t>
      </w:r>
      <w:r w:rsidRPr="007F109C">
        <w:rPr>
          <w:rFonts w:ascii="Palatino Linotype" w:eastAsia="Times New Roman" w:hAnsi="Palatino Linotype" w:cs="Arial"/>
          <w:sz w:val="24"/>
          <w:szCs w:val="24"/>
          <w:lang w:eastAsia="es-ES"/>
        </w:rPr>
        <w:t xml:space="preserve"> </w:t>
      </w:r>
      <w:r w:rsidRPr="007F109C">
        <w:rPr>
          <w:rFonts w:ascii="Palatino Linotype" w:eastAsia="Times New Roman" w:hAnsi="Palatino Linotype" w:cs="Tahoma"/>
          <w:b/>
          <w:sz w:val="24"/>
          <w:szCs w:val="24"/>
          <w:lang w:eastAsia="es-ES"/>
        </w:rPr>
        <w:t xml:space="preserve">NOTIFÍQUESE </w:t>
      </w:r>
      <w:r w:rsidRPr="007F109C">
        <w:rPr>
          <w:rFonts w:ascii="Palatino Linotype" w:eastAsia="Times New Roman" w:hAnsi="Palatino Linotype" w:cs="Tahoma"/>
          <w:sz w:val="24"/>
          <w:szCs w:val="24"/>
          <w:lang w:eastAsia="es-ES"/>
        </w:rPr>
        <w:t xml:space="preserve">la presente Resolución al Titular de la Unidad de Transparencia del </w:t>
      </w:r>
      <w:r w:rsidRPr="007F109C">
        <w:rPr>
          <w:rFonts w:ascii="Palatino Linotype" w:eastAsia="Times New Roman" w:hAnsi="Palatino Linotype" w:cs="Tahoma"/>
          <w:b/>
          <w:sz w:val="24"/>
          <w:szCs w:val="24"/>
          <w:lang w:eastAsia="es-ES"/>
        </w:rPr>
        <w:t>Sujeto Obligado</w:t>
      </w:r>
      <w:r w:rsidRPr="007F109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CE5433" w:rsidRPr="007F109C" w:rsidRDefault="00CE5433" w:rsidP="00CE5433">
      <w:pPr>
        <w:spacing w:after="0" w:line="360" w:lineRule="auto"/>
        <w:jc w:val="both"/>
        <w:rPr>
          <w:rFonts w:ascii="Palatino Linotype" w:eastAsia="Times New Roman" w:hAnsi="Palatino Linotype" w:cs="Tahoma"/>
          <w:sz w:val="24"/>
          <w:szCs w:val="24"/>
          <w:lang w:eastAsia="es-ES"/>
        </w:rPr>
      </w:pPr>
    </w:p>
    <w:p w:rsidR="00CE5433" w:rsidRPr="007F109C"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109C">
        <w:rPr>
          <w:rFonts w:ascii="Palatino Linotype" w:eastAsia="Times New Roman" w:hAnsi="Palatino Linotype" w:cs="Arial"/>
          <w:b/>
          <w:sz w:val="28"/>
          <w:szCs w:val="28"/>
          <w:lang w:val="es-ES" w:eastAsia="es-ES"/>
        </w:rPr>
        <w:t>CUARTO.</w:t>
      </w:r>
      <w:r w:rsidRPr="007F109C">
        <w:rPr>
          <w:rFonts w:ascii="Palatino Linotype" w:eastAsia="Times New Roman" w:hAnsi="Palatino Linotype" w:cs="Arial"/>
          <w:b/>
          <w:sz w:val="24"/>
          <w:szCs w:val="24"/>
          <w:lang w:val="es-ES" w:eastAsia="es-ES"/>
        </w:rPr>
        <w:t xml:space="preserve"> </w:t>
      </w:r>
      <w:r w:rsidRPr="007F109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F109C">
        <w:rPr>
          <w:rFonts w:ascii="Palatino Linotype" w:eastAsia="Times New Roman" w:hAnsi="Palatino Linotype" w:cs="Arial"/>
          <w:b/>
          <w:sz w:val="24"/>
          <w:szCs w:val="24"/>
          <w:lang w:val="es-ES" w:eastAsia="es-ES"/>
        </w:rPr>
        <w:t>Sujeto Obligado</w:t>
      </w:r>
      <w:r w:rsidRPr="007F109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CE5433" w:rsidRPr="007F109C" w:rsidRDefault="00CE5433" w:rsidP="00CE54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E5433" w:rsidRDefault="00CE5433" w:rsidP="00CE5433">
      <w:pPr>
        <w:autoSpaceDE w:val="0"/>
        <w:autoSpaceDN w:val="0"/>
        <w:adjustRightInd w:val="0"/>
        <w:spacing w:after="0" w:line="360" w:lineRule="auto"/>
        <w:jc w:val="both"/>
        <w:rPr>
          <w:rFonts w:ascii="Palatino Linotype" w:hAnsi="Palatino Linotype" w:cs="Arial"/>
          <w:sz w:val="24"/>
          <w:szCs w:val="24"/>
        </w:rPr>
      </w:pPr>
      <w:r w:rsidRPr="007F109C">
        <w:rPr>
          <w:rFonts w:ascii="Palatino Linotype" w:hAnsi="Palatino Linotype"/>
          <w:b/>
          <w:sz w:val="28"/>
          <w:szCs w:val="28"/>
        </w:rPr>
        <w:t>QUINTO</w:t>
      </w:r>
      <w:r w:rsidRPr="007F109C">
        <w:rPr>
          <w:rFonts w:ascii="Palatino Linotype" w:hAnsi="Palatino Linotype"/>
          <w:b/>
          <w:sz w:val="24"/>
          <w:szCs w:val="24"/>
        </w:rPr>
        <w:t xml:space="preserve">. </w:t>
      </w:r>
      <w:r w:rsidRPr="007F109C">
        <w:rPr>
          <w:rFonts w:ascii="Palatino Linotype" w:hAnsi="Palatino Linotype" w:cs="Arial"/>
          <w:b/>
          <w:sz w:val="24"/>
          <w:szCs w:val="24"/>
        </w:rPr>
        <w:t>NOTIFÍQUESE</w:t>
      </w:r>
      <w:r w:rsidRPr="007F109C">
        <w:rPr>
          <w:rFonts w:ascii="Palatino Linotype" w:hAnsi="Palatino Linotype" w:cs="Arial"/>
          <w:sz w:val="24"/>
          <w:szCs w:val="24"/>
        </w:rPr>
        <w:t xml:space="preserve"> a través del Sistema de Acceso a la Información Mexiquense (SAIMEX), al </w:t>
      </w:r>
      <w:r w:rsidRPr="007F109C">
        <w:rPr>
          <w:rFonts w:ascii="Palatino Linotype" w:hAnsi="Palatino Linotype" w:cs="Arial"/>
          <w:b/>
          <w:sz w:val="24"/>
          <w:szCs w:val="24"/>
        </w:rPr>
        <w:t>Recurrente</w:t>
      </w:r>
      <w:r w:rsidRPr="007F109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5433" w:rsidRDefault="00CE5433" w:rsidP="00CE5433">
      <w:pPr>
        <w:autoSpaceDE w:val="0"/>
        <w:autoSpaceDN w:val="0"/>
        <w:adjustRightInd w:val="0"/>
        <w:spacing w:after="0" w:line="360" w:lineRule="auto"/>
        <w:jc w:val="both"/>
        <w:rPr>
          <w:rFonts w:ascii="Palatino Linotype" w:hAnsi="Palatino Linotype" w:cs="Arial"/>
          <w:sz w:val="24"/>
          <w:szCs w:val="24"/>
        </w:rPr>
      </w:pPr>
    </w:p>
    <w:p w:rsidR="00DC2FEC" w:rsidRDefault="00DC2FEC" w:rsidP="00CE5433">
      <w:pPr>
        <w:autoSpaceDE w:val="0"/>
        <w:autoSpaceDN w:val="0"/>
        <w:adjustRightInd w:val="0"/>
        <w:spacing w:after="0" w:line="360" w:lineRule="auto"/>
        <w:jc w:val="both"/>
        <w:rPr>
          <w:rFonts w:ascii="Palatino Linotype" w:hAnsi="Palatino Linotype" w:cs="Arial"/>
          <w:sz w:val="24"/>
          <w:szCs w:val="24"/>
        </w:rPr>
      </w:pPr>
    </w:p>
    <w:p w:rsidR="00DC2FEC" w:rsidRDefault="00DC2FEC" w:rsidP="00CE5433">
      <w:pPr>
        <w:autoSpaceDE w:val="0"/>
        <w:autoSpaceDN w:val="0"/>
        <w:adjustRightInd w:val="0"/>
        <w:spacing w:after="0" w:line="360" w:lineRule="auto"/>
        <w:jc w:val="both"/>
        <w:rPr>
          <w:rFonts w:ascii="Palatino Linotype" w:hAnsi="Palatino Linotype" w:cs="Arial"/>
          <w:sz w:val="24"/>
          <w:szCs w:val="24"/>
        </w:rPr>
      </w:pPr>
    </w:p>
    <w:p w:rsidR="00DC2FEC" w:rsidRDefault="00DC2FEC" w:rsidP="00CE5433">
      <w:pPr>
        <w:autoSpaceDE w:val="0"/>
        <w:autoSpaceDN w:val="0"/>
        <w:adjustRightInd w:val="0"/>
        <w:spacing w:after="0" w:line="360" w:lineRule="auto"/>
        <w:jc w:val="both"/>
        <w:rPr>
          <w:rFonts w:ascii="Palatino Linotype" w:hAnsi="Palatino Linotype" w:cs="Arial"/>
          <w:sz w:val="24"/>
          <w:szCs w:val="24"/>
        </w:rPr>
      </w:pPr>
    </w:p>
    <w:p w:rsidR="00DC2FEC" w:rsidRDefault="00DC2FEC" w:rsidP="00CE5433">
      <w:pPr>
        <w:autoSpaceDE w:val="0"/>
        <w:autoSpaceDN w:val="0"/>
        <w:adjustRightInd w:val="0"/>
        <w:spacing w:after="0" w:line="360" w:lineRule="auto"/>
        <w:jc w:val="both"/>
        <w:rPr>
          <w:rFonts w:ascii="Palatino Linotype" w:hAnsi="Palatino Linotype" w:cs="Arial"/>
          <w:sz w:val="24"/>
          <w:szCs w:val="24"/>
        </w:rPr>
      </w:pPr>
    </w:p>
    <w:p w:rsidR="00DC2FEC" w:rsidRPr="007F109C" w:rsidRDefault="00DC2FEC" w:rsidP="00CE5433">
      <w:pPr>
        <w:autoSpaceDE w:val="0"/>
        <w:autoSpaceDN w:val="0"/>
        <w:adjustRightInd w:val="0"/>
        <w:spacing w:after="0" w:line="360" w:lineRule="auto"/>
        <w:jc w:val="both"/>
        <w:rPr>
          <w:rFonts w:ascii="Palatino Linotype" w:hAnsi="Palatino Linotype" w:cs="Arial"/>
          <w:sz w:val="24"/>
          <w:szCs w:val="24"/>
        </w:rPr>
      </w:pP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lastRenderedPageBreak/>
        <w:t>ASÍ LO RESUELVE, POR UNANIMIDAD DE VOTOS EL PLENO DEL</w:t>
      </w:r>
      <w:r w:rsidRPr="007F109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F109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DD1025">
        <w:rPr>
          <w:rFonts w:ascii="Palatino Linotype" w:hAnsi="Palatino Linotype" w:cs="Arial"/>
          <w:sz w:val="24"/>
          <w:szCs w:val="24"/>
        </w:rPr>
        <w:t>CUARTA</w:t>
      </w:r>
      <w:r w:rsidRPr="007F109C">
        <w:rPr>
          <w:rFonts w:ascii="Palatino Linotype" w:hAnsi="Palatino Linotype" w:cs="Arial"/>
          <w:sz w:val="24"/>
          <w:szCs w:val="24"/>
        </w:rPr>
        <w:t xml:space="preserve"> SESIÓN ORDINARIA CELEBRADA EL </w:t>
      </w:r>
      <w:r w:rsidR="00DD1025">
        <w:rPr>
          <w:rFonts w:ascii="Palatino Linotype" w:hAnsi="Palatino Linotype" w:cs="Arial"/>
          <w:sz w:val="24"/>
          <w:szCs w:val="24"/>
        </w:rPr>
        <w:t xml:space="preserve">UNO DE FEBRERO </w:t>
      </w:r>
      <w:r w:rsidRPr="007F109C">
        <w:rPr>
          <w:rFonts w:ascii="Palatino Linotype" w:hAnsi="Palatino Linotype" w:cs="Arial"/>
          <w:sz w:val="24"/>
          <w:szCs w:val="24"/>
        </w:rPr>
        <w:t>DE DOS MIL VEINTI</w:t>
      </w:r>
      <w:r>
        <w:rPr>
          <w:rFonts w:ascii="Palatino Linotype" w:hAnsi="Palatino Linotype" w:cs="Arial"/>
          <w:sz w:val="24"/>
          <w:szCs w:val="24"/>
        </w:rPr>
        <w:t>TRÉS</w:t>
      </w:r>
      <w:r w:rsidRPr="007F109C">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7F109C">
        <w:rPr>
          <w:rFonts w:ascii="Palatino Linotype" w:hAnsi="Palatino Linotype" w:cs="Arial"/>
          <w:sz w:val="24"/>
          <w:szCs w:val="24"/>
        </w:rPr>
        <w:t>------------------</w:t>
      </w:r>
      <w:r w:rsidR="00DD1025">
        <w:rPr>
          <w:rFonts w:ascii="Palatino Linotype" w:hAnsi="Palatino Linotype" w:cs="Arial"/>
          <w:sz w:val="24"/>
          <w:szCs w:val="24"/>
        </w:rPr>
        <w:t>-------------</w:t>
      </w: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7F109C"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Default="00CE5433" w:rsidP="00CE5433">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DD1025" w:rsidRPr="007F109C" w:rsidRDefault="00DD1025" w:rsidP="00DD1025">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DD1025" w:rsidRPr="007F109C" w:rsidRDefault="00DD1025" w:rsidP="00DD1025">
      <w:pPr>
        <w:spacing w:after="0" w:line="360" w:lineRule="auto"/>
        <w:jc w:val="both"/>
        <w:rPr>
          <w:rFonts w:ascii="Palatino Linotype" w:hAnsi="Palatino Linotype" w:cs="Arial"/>
          <w:sz w:val="24"/>
          <w:szCs w:val="24"/>
        </w:rPr>
      </w:pPr>
      <w:r w:rsidRPr="007F109C">
        <w:rPr>
          <w:rFonts w:ascii="Palatino Linotype" w:hAnsi="Palatino Linotype" w:cs="Arial"/>
          <w:sz w:val="24"/>
          <w:szCs w:val="24"/>
        </w:rPr>
        <w:t>-----------------------------------------------------------------------------------------------------------------</w:t>
      </w:r>
    </w:p>
    <w:p w:rsidR="00CE5433" w:rsidRPr="005323D1" w:rsidRDefault="00CE5433" w:rsidP="00CE5433">
      <w:pPr>
        <w:spacing w:after="0" w:line="360" w:lineRule="auto"/>
        <w:jc w:val="both"/>
        <w:rPr>
          <w:rFonts w:ascii="Palatino Linotype" w:hAnsi="Palatino Linotype" w:cs="Arial"/>
          <w:sz w:val="20"/>
        </w:rPr>
      </w:pPr>
      <w:r w:rsidRPr="007F109C">
        <w:rPr>
          <w:rFonts w:ascii="Palatino Linotype" w:hAnsi="Palatino Linotype" w:cs="Arial"/>
          <w:sz w:val="20"/>
        </w:rPr>
        <w:t>CCR/</w:t>
      </w:r>
    </w:p>
    <w:p w:rsidR="00CE5433" w:rsidRDefault="00CE5433" w:rsidP="00CE5433">
      <w:pPr>
        <w:spacing w:after="0" w:line="360" w:lineRule="auto"/>
        <w:jc w:val="both"/>
        <w:rPr>
          <w:rFonts w:ascii="Palatino Linotype" w:hAnsi="Palatino Linotype" w:cs="Arial"/>
          <w:sz w:val="24"/>
          <w:szCs w:val="24"/>
        </w:rPr>
      </w:pPr>
    </w:p>
    <w:p w:rsidR="00CE5433" w:rsidRDefault="00CE5433" w:rsidP="00CE5433">
      <w:pPr>
        <w:spacing w:after="0" w:line="360" w:lineRule="auto"/>
        <w:jc w:val="both"/>
        <w:rPr>
          <w:rFonts w:ascii="Palatino Linotype" w:hAnsi="Palatino Linotype" w:cs="Arial"/>
          <w:sz w:val="24"/>
          <w:szCs w:val="24"/>
        </w:rPr>
      </w:pPr>
    </w:p>
    <w:p w:rsidR="00CE5433" w:rsidRDefault="00CE5433" w:rsidP="00CE5433">
      <w:pPr>
        <w:spacing w:after="0" w:line="360" w:lineRule="auto"/>
        <w:jc w:val="both"/>
        <w:rPr>
          <w:rFonts w:ascii="Palatino Linotype" w:hAnsi="Palatino Linotype" w:cs="Arial"/>
          <w:sz w:val="24"/>
          <w:szCs w:val="24"/>
        </w:rPr>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Pr>
        <w:spacing w:after="0"/>
      </w:pPr>
    </w:p>
    <w:p w:rsidR="00CE5433" w:rsidRDefault="00CE5433" w:rsidP="00CE5433"/>
    <w:p w:rsidR="00CE5433" w:rsidRDefault="00CE5433" w:rsidP="00CE5433"/>
    <w:p w:rsidR="00CE5433" w:rsidRDefault="00CE5433" w:rsidP="00CE5433"/>
    <w:p w:rsidR="00CE5433" w:rsidRDefault="00CE5433" w:rsidP="00CE5433"/>
    <w:p w:rsidR="00CE5433" w:rsidRDefault="00CE5433" w:rsidP="00CE5433"/>
    <w:p w:rsidR="00CE5433" w:rsidRDefault="00CE5433" w:rsidP="00CE5433"/>
    <w:p w:rsidR="00CE5433" w:rsidRDefault="00CE5433" w:rsidP="00CE5433"/>
    <w:p w:rsidR="000E2F8F" w:rsidRDefault="000E2F8F"/>
    <w:sectPr w:rsidR="000E2F8F" w:rsidSect="000E2F8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BA2" w:rsidRDefault="003E1BA2" w:rsidP="00CE5433">
      <w:pPr>
        <w:spacing w:after="0" w:line="240" w:lineRule="auto"/>
      </w:pPr>
      <w:r>
        <w:separator/>
      </w:r>
    </w:p>
  </w:endnote>
  <w:endnote w:type="continuationSeparator" w:id="0">
    <w:p w:rsidR="003E1BA2" w:rsidRDefault="003E1BA2" w:rsidP="00CE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E2F8F" w:rsidRPr="002D6DD8" w:rsidRDefault="000E2F8F" w:rsidP="000E2F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56EC">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56EC">
              <w:rPr>
                <w:rFonts w:ascii="Palatino Linotype" w:hAnsi="Palatino Linotype"/>
                <w:bCs/>
                <w:noProof/>
                <w:sz w:val="20"/>
              </w:rPr>
              <w:t>37</w:t>
            </w:r>
            <w:r>
              <w:rPr>
                <w:rFonts w:ascii="Palatino Linotype" w:hAnsi="Palatino Linotype"/>
                <w:bCs/>
                <w:noProof/>
                <w:sz w:val="20"/>
              </w:rPr>
              <w:fldChar w:fldCharType="end"/>
            </w:r>
          </w:p>
        </w:sdtContent>
      </w:sdt>
    </w:sdtContent>
  </w:sdt>
  <w:p w:rsidR="000E2F8F" w:rsidRDefault="000E2F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F8F" w:rsidRPr="000B69FA" w:rsidRDefault="000E2F8F" w:rsidP="000E2F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56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56EC">
      <w:rPr>
        <w:rFonts w:ascii="Palatino Linotype" w:hAnsi="Palatino Linotype"/>
        <w:bCs/>
        <w:noProof/>
        <w:sz w:val="20"/>
      </w:rPr>
      <w:t>37</w:t>
    </w:r>
    <w:r>
      <w:rPr>
        <w:rFonts w:ascii="Palatino Linotype" w:hAnsi="Palatino Linotype"/>
        <w:bCs/>
        <w:noProof/>
        <w:sz w:val="20"/>
      </w:rPr>
      <w:fldChar w:fldCharType="end"/>
    </w:r>
  </w:p>
  <w:p w:rsidR="000E2F8F" w:rsidRDefault="000E2F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BA2" w:rsidRDefault="003E1BA2" w:rsidP="00CE5433">
      <w:pPr>
        <w:spacing w:after="0" w:line="240" w:lineRule="auto"/>
      </w:pPr>
      <w:r>
        <w:separator/>
      </w:r>
    </w:p>
  </w:footnote>
  <w:footnote w:type="continuationSeparator" w:id="0">
    <w:p w:rsidR="003E1BA2" w:rsidRDefault="003E1BA2" w:rsidP="00CE5433">
      <w:pPr>
        <w:spacing w:after="0" w:line="240" w:lineRule="auto"/>
      </w:pPr>
      <w:r>
        <w:continuationSeparator/>
      </w:r>
    </w:p>
  </w:footnote>
  <w:footnote w:id="1">
    <w:p w:rsidR="000E2F8F" w:rsidRPr="00A62FD8" w:rsidRDefault="000E2F8F" w:rsidP="00CE5433">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0E2F8F" w:rsidRDefault="000E2F8F" w:rsidP="00CE5433">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0E2F8F" w:rsidRDefault="000E2F8F" w:rsidP="00CE5433">
      <w:pPr>
        <w:pStyle w:val="Textonotapie"/>
        <w:jc w:val="both"/>
        <w:rPr>
          <w:rFonts w:ascii="Palatino Linotype" w:hAnsi="Palatino Linotype"/>
          <w:i/>
        </w:rPr>
      </w:pPr>
      <w:r w:rsidRPr="00270DBC">
        <w:rPr>
          <w:rFonts w:ascii="Palatino Linotype" w:hAnsi="Palatino Linotype"/>
          <w:b/>
          <w:i/>
          <w:lang w:val="es-MX"/>
        </w:rPr>
        <w:t>II</w:t>
      </w:r>
      <w:r w:rsidRPr="00270DBC">
        <w:rPr>
          <w:rFonts w:ascii="Palatino Linotype" w:hAnsi="Palatino Linotype"/>
          <w:i/>
          <w:lang w:val="es-MX"/>
        </w:rPr>
        <w:t>. La clasificación de la información;</w:t>
      </w:r>
    </w:p>
    <w:p w:rsidR="000E2F8F" w:rsidRPr="00EE7AE1" w:rsidRDefault="000E2F8F" w:rsidP="00CE5433">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4820"/>
      <w:gridCol w:w="5245"/>
    </w:tblGrid>
    <w:tr w:rsidR="000E2F8F" w:rsidTr="000E2F8F">
      <w:trPr>
        <w:trHeight w:val="227"/>
      </w:trPr>
      <w:tc>
        <w:tcPr>
          <w:tcW w:w="4820" w:type="dxa"/>
          <w:hideMark/>
        </w:tcPr>
        <w:p w:rsidR="000E2F8F" w:rsidRPr="00641471" w:rsidRDefault="000E2F8F" w:rsidP="000E2F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5" w:type="dxa"/>
          <w:hideMark/>
        </w:tcPr>
        <w:p w:rsidR="000E2F8F" w:rsidRPr="00641471" w:rsidRDefault="000E2F8F" w:rsidP="000E2F8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14660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0E2F8F" w:rsidTr="000E2F8F">
      <w:trPr>
        <w:trHeight w:val="242"/>
      </w:trPr>
      <w:tc>
        <w:tcPr>
          <w:tcW w:w="4820" w:type="dxa"/>
          <w:hideMark/>
        </w:tcPr>
        <w:p w:rsidR="000E2F8F" w:rsidRPr="00641471" w:rsidRDefault="000E2F8F" w:rsidP="000E2F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rsidR="000E2F8F" w:rsidRPr="00641471" w:rsidRDefault="000E2F8F" w:rsidP="000E2F8F">
          <w:pPr>
            <w:spacing w:after="120" w:line="256" w:lineRule="auto"/>
            <w:ind w:left="-486" w:right="214" w:firstLine="284"/>
            <w:jc w:val="right"/>
            <w:rPr>
              <w:rFonts w:ascii="Palatino Linotype" w:hAnsi="Palatino Linotype" w:cs="Arial"/>
              <w:b/>
              <w:szCs w:val="20"/>
            </w:rPr>
          </w:pPr>
          <w:r w:rsidRPr="00CE5433">
            <w:rPr>
              <w:rFonts w:ascii="Palatino Linotype" w:hAnsi="Palatino Linotype" w:cs="Arial"/>
              <w:b/>
              <w:szCs w:val="20"/>
            </w:rPr>
            <w:t>Universidad Politécnica de Tecámac</w:t>
          </w:r>
        </w:p>
      </w:tc>
    </w:tr>
    <w:tr w:rsidR="000E2F8F" w:rsidTr="000E2F8F">
      <w:trPr>
        <w:trHeight w:val="342"/>
      </w:trPr>
      <w:tc>
        <w:tcPr>
          <w:tcW w:w="4820" w:type="dxa"/>
          <w:hideMark/>
        </w:tcPr>
        <w:p w:rsidR="000E2F8F" w:rsidRPr="00641471" w:rsidRDefault="000E2F8F" w:rsidP="000E2F8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245" w:type="dxa"/>
          <w:hideMark/>
        </w:tcPr>
        <w:p w:rsidR="000E2F8F" w:rsidRPr="00641471" w:rsidRDefault="000E2F8F" w:rsidP="000E2F8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E2F8F" w:rsidRPr="00AE046A" w:rsidRDefault="000E2F8F" w:rsidP="000E2F8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2AFA3CB" wp14:editId="472B5493">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0E2F8F" w:rsidTr="000E2F8F">
      <w:trPr>
        <w:trHeight w:val="227"/>
      </w:trPr>
      <w:tc>
        <w:tcPr>
          <w:tcW w:w="4820" w:type="dxa"/>
          <w:hideMark/>
        </w:tcPr>
        <w:p w:rsidR="000E2F8F" w:rsidRPr="00641471" w:rsidRDefault="000E2F8F" w:rsidP="000E2F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0E2F8F" w:rsidRPr="00641471" w:rsidRDefault="000E2F8F" w:rsidP="000E2F8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14660/INFOEM/IP/RR/2022</w:t>
          </w:r>
        </w:p>
      </w:tc>
    </w:tr>
    <w:tr w:rsidR="000E2F8F" w:rsidTr="000E2F8F">
      <w:trPr>
        <w:trHeight w:val="242"/>
      </w:trPr>
      <w:tc>
        <w:tcPr>
          <w:tcW w:w="4820" w:type="dxa"/>
          <w:hideMark/>
        </w:tcPr>
        <w:p w:rsidR="000E2F8F" w:rsidRPr="00641471" w:rsidRDefault="000E2F8F" w:rsidP="000E2F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0E2F8F" w:rsidRPr="00641471" w:rsidRDefault="000E2F8F" w:rsidP="000E2F8F">
          <w:pPr>
            <w:spacing w:after="120" w:line="256" w:lineRule="auto"/>
            <w:ind w:left="-486" w:right="214" w:firstLine="284"/>
            <w:jc w:val="right"/>
            <w:rPr>
              <w:rFonts w:ascii="Palatino Linotype" w:hAnsi="Palatino Linotype" w:cs="Arial"/>
              <w:b/>
              <w:szCs w:val="20"/>
            </w:rPr>
          </w:pPr>
          <w:r w:rsidRPr="00CE5433">
            <w:rPr>
              <w:rFonts w:ascii="Palatino Linotype" w:hAnsi="Palatino Linotype" w:cs="Arial"/>
              <w:b/>
              <w:szCs w:val="20"/>
            </w:rPr>
            <w:t>Universidad Politécnica de Tecámac</w:t>
          </w:r>
        </w:p>
      </w:tc>
    </w:tr>
    <w:tr w:rsidR="000E2F8F" w:rsidTr="000E2F8F">
      <w:trPr>
        <w:trHeight w:val="342"/>
      </w:trPr>
      <w:tc>
        <w:tcPr>
          <w:tcW w:w="4820" w:type="dxa"/>
        </w:tcPr>
        <w:p w:rsidR="000E2F8F" w:rsidRPr="00641471" w:rsidRDefault="000E2F8F" w:rsidP="000E2F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0E2F8F" w:rsidRPr="00641471" w:rsidRDefault="001556EC" w:rsidP="000E2F8F">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0E2F8F" w:rsidTr="000E2F8F">
      <w:trPr>
        <w:trHeight w:val="342"/>
      </w:trPr>
      <w:tc>
        <w:tcPr>
          <w:tcW w:w="4820" w:type="dxa"/>
        </w:tcPr>
        <w:p w:rsidR="000E2F8F" w:rsidRPr="00641471" w:rsidRDefault="000E2F8F" w:rsidP="000E2F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0E2F8F" w:rsidRPr="00641471" w:rsidRDefault="000E2F8F" w:rsidP="000E2F8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E2F8F" w:rsidRPr="00C222C0" w:rsidRDefault="000E2F8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4585D39" wp14:editId="2CFD3B09">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7F1"/>
    <w:multiLevelType w:val="hybridMultilevel"/>
    <w:tmpl w:val="925A0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B26041"/>
    <w:multiLevelType w:val="hybridMultilevel"/>
    <w:tmpl w:val="EA9E37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4D3E83"/>
    <w:multiLevelType w:val="multilevel"/>
    <w:tmpl w:val="789440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25177E0"/>
    <w:multiLevelType w:val="multilevel"/>
    <w:tmpl w:val="789440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2C1003"/>
    <w:multiLevelType w:val="multilevel"/>
    <w:tmpl w:val="789440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75C2170"/>
    <w:multiLevelType w:val="multilevel"/>
    <w:tmpl w:val="789440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33"/>
    <w:rsid w:val="000E2F8F"/>
    <w:rsid w:val="001556EC"/>
    <w:rsid w:val="00176FBC"/>
    <w:rsid w:val="00270DBC"/>
    <w:rsid w:val="002A24BB"/>
    <w:rsid w:val="00334773"/>
    <w:rsid w:val="003E1BA2"/>
    <w:rsid w:val="003F0F97"/>
    <w:rsid w:val="003F0FCF"/>
    <w:rsid w:val="00443EB8"/>
    <w:rsid w:val="00724DA9"/>
    <w:rsid w:val="007E2BAA"/>
    <w:rsid w:val="00830B55"/>
    <w:rsid w:val="00994381"/>
    <w:rsid w:val="009D3512"/>
    <w:rsid w:val="00A666C9"/>
    <w:rsid w:val="00BE66AC"/>
    <w:rsid w:val="00C170BB"/>
    <w:rsid w:val="00C467F2"/>
    <w:rsid w:val="00CC3A7B"/>
    <w:rsid w:val="00CE5433"/>
    <w:rsid w:val="00D07637"/>
    <w:rsid w:val="00D21C04"/>
    <w:rsid w:val="00D634FC"/>
    <w:rsid w:val="00DC2FEC"/>
    <w:rsid w:val="00DD1025"/>
    <w:rsid w:val="00E61EBE"/>
    <w:rsid w:val="00E87C3A"/>
    <w:rsid w:val="00F040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C237543-361D-4D63-9F06-BDD550BB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4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4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543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54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543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543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543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543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543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E543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9201">
      <w:bodyDiv w:val="1"/>
      <w:marLeft w:val="0"/>
      <w:marRight w:val="0"/>
      <w:marTop w:val="0"/>
      <w:marBottom w:val="0"/>
      <w:divBdr>
        <w:top w:val="none" w:sz="0" w:space="0" w:color="auto"/>
        <w:left w:val="none" w:sz="0" w:space="0" w:color="auto"/>
        <w:bottom w:val="none" w:sz="0" w:space="0" w:color="auto"/>
        <w:right w:val="none" w:sz="0" w:space="0" w:color="auto"/>
      </w:divBdr>
    </w:div>
    <w:div w:id="7893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37</Pages>
  <Words>10126</Words>
  <Characters>55699</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10</cp:revision>
  <dcterms:created xsi:type="dcterms:W3CDTF">2022-12-26T18:22:00Z</dcterms:created>
  <dcterms:modified xsi:type="dcterms:W3CDTF">2023-03-07T19:49:00Z</dcterms:modified>
</cp:coreProperties>
</file>