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tyjcwt"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diecinueve de abril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12614/INFOEM/IP/RR/2022</w:t>
      </w:r>
      <w:r w:rsidDel="00000000" w:rsidR="00000000" w:rsidRPr="00000000">
        <w:rPr>
          <w:rFonts w:ascii="Palatino Linotype" w:cs="Palatino Linotype" w:eastAsia="Palatino Linotype" w:hAnsi="Palatino Linotype"/>
          <w:rtl w:val="0"/>
        </w:rPr>
        <w:t xml:space="preserve">, interpuesto por XXXXXX XXXXX XXXXXX quien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será identificado en su calidad de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de la </w:t>
      </w:r>
      <w:r w:rsidDel="00000000" w:rsidR="00000000" w:rsidRPr="00000000">
        <w:rPr>
          <w:rFonts w:ascii="Palatino Linotype" w:cs="Palatino Linotype" w:eastAsia="Palatino Linotype" w:hAnsi="Palatino Linotype"/>
          <w:b w:val="1"/>
          <w:rtl w:val="0"/>
        </w:rPr>
        <w:t xml:space="preserve">Secretaría de Desarrollo Urbano y Obra,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8"/>
          <w:szCs w:val="28"/>
        </w:rPr>
      </w:pPr>
      <w:bookmarkStart w:colFirst="0" w:colLast="0" w:name="_heading=h.3znysh7" w:id="2"/>
      <w:bookmarkEnd w:id="2"/>
      <w:r w:rsidDel="00000000" w:rsidR="00000000" w:rsidRPr="00000000">
        <w:rPr>
          <w:rFonts w:ascii="Palatino Linotype" w:cs="Palatino Linotype" w:eastAsia="Palatino Linotype" w:hAnsi="Palatino Linotype"/>
          <w:b w:val="1"/>
          <w:rtl w:val="0"/>
        </w:rPr>
        <w:t xml:space="preserve">I. A N T E C E D E N T E S</w:t>
      </w:r>
      <w:r w:rsidDel="00000000" w:rsidR="00000000" w:rsidRPr="00000000">
        <w:rPr>
          <w:rtl w:val="0"/>
        </w:rPr>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seis de junio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la solicitud de acceso a la información pública registrada con el número </w:t>
      </w:r>
      <w:r w:rsidDel="00000000" w:rsidR="00000000" w:rsidRPr="00000000">
        <w:rPr>
          <w:rFonts w:ascii="Palatino Linotype" w:cs="Palatino Linotype" w:eastAsia="Palatino Linotype" w:hAnsi="Palatino Linotype"/>
          <w:b w:val="1"/>
          <w:rtl w:val="0"/>
        </w:rPr>
        <w:t xml:space="preserve">00244/SEDUO/IP/2022,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616" w:firstLine="0"/>
        <w:jc w:val="both"/>
        <w:rPr>
          <w:rFonts w:ascii="Palatino Linotype" w:cs="Palatino Linotype" w:eastAsia="Palatino Linotype" w:hAnsi="Palatino Linotype"/>
          <w:i w:val="1"/>
          <w:sz w:val="22"/>
          <w:szCs w:val="22"/>
        </w:rPr>
      </w:pPr>
      <w:bookmarkStart w:colFirst="0" w:colLast="0" w:name="_heading=h.gjdgxs" w:id="3"/>
      <w:bookmarkEnd w:id="3"/>
      <w:r w:rsidDel="00000000" w:rsidR="00000000" w:rsidRPr="00000000">
        <w:rPr>
          <w:rFonts w:ascii="Palatino Linotype" w:cs="Palatino Linotype" w:eastAsia="Palatino Linotype" w:hAnsi="Palatino Linotype"/>
          <w:i w:val="1"/>
          <w:sz w:val="22"/>
          <w:szCs w:val="22"/>
          <w:rtl w:val="0"/>
        </w:rPr>
        <w:t xml:space="preserve">“Con fundamento en el articulo 8 constitucional, vengo a solicitar respetuosamente la siguiente información: Cuales son los últimos permisos</w:t>
      </w:r>
      <w:r w:rsidDel="00000000" w:rsidR="00000000" w:rsidRPr="00000000">
        <w:rPr>
          <w:rFonts w:ascii="Palatino Linotype" w:cs="Palatino Linotype" w:eastAsia="Palatino Linotype" w:hAnsi="Palatino Linotype"/>
          <w:b w:val="1"/>
          <w:i w:val="1"/>
          <w:sz w:val="22"/>
          <w:szCs w:val="22"/>
          <w:u w:val="single"/>
          <w:rtl w:val="0"/>
        </w:rPr>
        <w:t xml:space="preserve">, cambio de uso de suelo, dictámenes y/o cualquier otro tramite que usted haya recibido a petición de los propietarios del inmueble del inmueble ubicado en Avenida Hacienda de la Teja numero 1 San Mateo Tecoloapan, Atizapàn de Zaragoza, Estado de Mèxico</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veinticuatro de junio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respondió a la solicitud de información en los términos siguientes:</w:t>
      </w:r>
    </w:p>
    <w:p w:rsidR="00000000" w:rsidDel="00000000" w:rsidP="00000000" w:rsidRDefault="00000000" w:rsidRPr="00000000" w14:paraId="00000008">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Sobre el particular, sírvase encontrar en archivo adjunto copia del oficio número SEDUO-CI-0850/2022, de fecha 20 de junio de 2022, mediante el cual se detalla lo referente a su solicitud.” </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0A">
      <w:pPr>
        <w:spacing w:after="240" w:before="240" w:line="360" w:lineRule="auto"/>
        <w:ind w:right="61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Manifestación a la que adjuntó los archivos electrónicos denominados: </w:t>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spacing w:before="240" w:line="360" w:lineRule="auto"/>
        <w:ind w:left="783" w:right="616" w:hanging="36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R. DGCIE sol. 244-22.pdf: </w:t>
      </w:r>
      <w:r w:rsidDel="00000000" w:rsidR="00000000" w:rsidRPr="00000000">
        <w:rPr>
          <w:rFonts w:ascii="Palatino Linotype" w:cs="Palatino Linotype" w:eastAsia="Palatino Linotype" w:hAnsi="Palatino Linotype"/>
          <w:color w:val="000000"/>
          <w:rtl w:val="0"/>
        </w:rPr>
        <w:t xml:space="preserve">   documental en la que se incluye el oficio número 224B03010-001210/2022 suscrito por el Director General de la Comisión de impacto Estatal, en este oficio, el servidor público en cita, refiere como respuesta a la petición del particular que se realizó una búsqueda exhaustiva y razonada en los archivos de la Comisión de Impacto Estatal, sin que se localizara alguna Evaluación de Impacto Estatal emitida o solicitud de trámite de Evaluación de Impacto Estatal relacionada con el domicilio referido. Que de acuerdo al contenido del diverso 5 del Reglamento de la Ley de la Comisión de Impacto Estatal, esa Autoridad no emite permisos, cambios de usos de suelo o Dictámenes. Sin embargo, se realizó una búsqueda exhaustiva en los archivos de esa Comisión sin encontrarse dato, solicitud o documento relacionado con el inmueble que se menciona. </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b w:val="1"/>
          <w:i w:val="1"/>
          <w:color w:val="000000"/>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line="360" w:lineRule="auto"/>
        <w:ind w:left="783" w:right="616" w:hanging="36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R. DGPU sol. 244-22.pdf: en</w:t>
      </w:r>
      <w:r w:rsidDel="00000000" w:rsidR="00000000" w:rsidRPr="00000000">
        <w:rPr>
          <w:rFonts w:ascii="Palatino Linotype" w:cs="Palatino Linotype" w:eastAsia="Palatino Linotype" w:hAnsi="Palatino Linotype"/>
          <w:color w:val="000000"/>
          <w:rtl w:val="0"/>
        </w:rPr>
        <w:t xml:space="preserve"> este archivo se adjuntó el oficio 20120000400001S/OF/305/2022 de fecha 14 de junio del 2022 suscrito por el Director General de Planeación Urbana, a través del cual señala al particular que después de realizar una búsqueda en el Sistema Estatal de Información del Desarrollo Urbano (SEIDU) sistema integral de esa Dirección  General de Planeación Urbana, no se localizó información alguna relacionada con el inmueble referido en la solicitud del particular.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b w:val="1"/>
          <w:i w:val="1"/>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igual manera, refiere que de conformidad con el diverso  155 del Reglamento del Libro  Quinto del Código Administrativo del Estado de México, el Sistema Estatal de Información del Desarrollo Urbano es el encargado de la sistematización, clasificación, actualización y procesamiento de la información generada en materia de desarrollo urbano en la entidad, resalta que este sistema únicamente resguarda la información en materia de desarrollo urbano que las autoridades estatales y municipales remiten.</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Que no se cuenta con la disposición coercitiva de obligar a las entidades públicas a remitir la información que, en materia de desarrollo urbano generan.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b w:val="1"/>
          <w:i w:val="1"/>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R. DGOCU sol. 244-22.pdf: </w:t>
      </w:r>
      <w:r w:rsidDel="00000000" w:rsidR="00000000" w:rsidRPr="00000000">
        <w:rPr>
          <w:rFonts w:ascii="Palatino Linotype" w:cs="Palatino Linotype" w:eastAsia="Palatino Linotype" w:hAnsi="Palatino Linotype"/>
          <w:color w:val="000000"/>
          <w:rtl w:val="0"/>
        </w:rPr>
        <w:t xml:space="preserve">en este archivo se adjunta el oficio 224001500000L/0003320/2022 de fecha 23 de junio de 2022 suscrito por la Directora General de Operación y Control Urbano, en éste se señala que de acuerdo con lo previsto en el artículo 24, fracción XXIV de la Ley de Transparencia local  en el cual se señala que los sujetos obligados deberán de “orientar y asesorar al solicitante para corregir cualquier deficiencia sustancial de las solicitudes…” se suple la deficiencia de lo peticionado por el interesado, siendo la dirección correcta: Av. Hacienda de la Teja No. 1, Manzana  XXV, Col. Rancho San Isidro, San Mateo Tecoloapan, Municipio de Atizapán de Zaragoza, Estado de México en la cual se autorizó el Conjunto Urbano denominado “Residencial Club Hípico la Hacienda”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Que dentro de las atribuciones de la Dirección General de Operación  y Control Urbano y sus unidades administrativas, no se encuentra la de resguardar la información que se ha tramitado, atribución que le corresponde a la Unidad del Sistema Estatal de Información del Desarrollo Urbano, dependiente  de la Dirección General de Planeación Urbana.</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40" w:line="360" w:lineRule="auto"/>
        <w:ind w:left="783"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UT 244-2022.pdf: </w:t>
      </w:r>
      <w:r w:rsidDel="00000000" w:rsidR="00000000" w:rsidRPr="00000000">
        <w:rPr>
          <w:rFonts w:ascii="Palatino Linotype" w:cs="Palatino Linotype" w:eastAsia="Palatino Linotype" w:hAnsi="Palatino Linotype"/>
          <w:color w:val="000000"/>
          <w:rtl w:val="0"/>
        </w:rPr>
        <w:t xml:space="preserve">En esta documental el SUJETO OBLIGADO  adjunta el oficio SEDUO-CI-0850/2022 de fecha 24 de junio de 2022, esta documental es suscrita por el Titular de la Unidad de Transparencia dando respuesta al particular respecto de su solicitud de información. </w:t>
      </w:r>
    </w:p>
    <w:p w:rsidR="00000000" w:rsidDel="00000000" w:rsidP="00000000" w:rsidRDefault="00000000" w:rsidRPr="00000000" w14:paraId="00000018">
      <w:pPr>
        <w:spacing w:after="240" w:before="24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9">
      <w:pPr>
        <w:spacing w:after="240" w:before="240" w:line="360" w:lineRule="auto"/>
        <w:ind w:right="49"/>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once de julio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inconforme con la respuesta, interpuso el recurso de revisión en el que expresó lo siguiente:</w:t>
      </w:r>
      <w:r w:rsidDel="00000000" w:rsidR="00000000" w:rsidRPr="00000000">
        <w:rPr>
          <w:rtl w:val="0"/>
        </w:rPr>
      </w:r>
    </w:p>
    <w:p w:rsidR="00000000" w:rsidDel="00000000" w:rsidP="00000000" w:rsidRDefault="00000000" w:rsidRPr="00000000" w14:paraId="0000001A">
      <w:pPr>
        <w:spacing w:after="240" w:before="240" w:line="360" w:lineRule="auto"/>
        <w:ind w:right="49"/>
        <w:jc w:val="both"/>
        <w:rPr>
          <w:rFonts w:ascii="Palatino Linotype" w:cs="Palatino Linotype" w:eastAsia="Palatino Linotype" w:hAnsi="Palatino Linotype"/>
          <w:i w:val="1"/>
          <w:sz w:val="2"/>
          <w:szCs w:val="2"/>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tl w:val="0"/>
        </w:rPr>
      </w:r>
    </w:p>
    <w:p w:rsidR="00000000" w:rsidDel="00000000" w:rsidP="00000000" w:rsidRDefault="00000000" w:rsidRPr="00000000" w14:paraId="0000001B">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fecha 24 de junio del presente año la LICENCIADA NANDLLELY KAREN TORRES TORRES TITULAR DE LA UNIDAD DE TRANSPARENCIA, al proporcionarme la respuesta a mi petición, refiere lo siguiente: Sobre el particular. hago de su conocimiento que mediante oficios números 22400105000000L/003320/2022, 21200004000001$/0F./305/2022 y 224803010-001210/2022, la Directora General de Operación y Control Urbano. la Directora General de Planeación Urbana y la Directora General de la Comisión de Impacto Estatal, respectivamente. se detalla lo referente a su solicitud. Por lo anteriormente referido. se detalla lo concerniente a su petición"SIC" Sin embargo</w:t>
      </w:r>
      <w:r w:rsidDel="00000000" w:rsidR="00000000" w:rsidRPr="00000000">
        <w:rPr>
          <w:rFonts w:ascii="Palatino Linotype" w:cs="Palatino Linotype" w:eastAsia="Palatino Linotype" w:hAnsi="Palatino Linotype"/>
          <w:b w:val="1"/>
          <w:i w:val="1"/>
          <w:sz w:val="22"/>
          <w:szCs w:val="22"/>
          <w:u w:val="single"/>
          <w:rtl w:val="0"/>
        </w:rPr>
        <w:t xml:space="preserve">, no aborda el contenido de los citados números de oficios, donde según su dicho, se detalla lo concerniente a mi solicitud. Por lo que solicito me sea informado el contenido de dichos oficios conforme a la ley</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1C">
      <w:pPr>
        <w:spacing w:after="240" w:before="240" w:line="360" w:lineRule="auto"/>
        <w:ind w:right="61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rtl w:val="0"/>
        </w:rPr>
        <w:t xml:space="preserve">Razones o motivos de inconformidad</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1D">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titular de la unidad de transparencia, en su respuesta Menciona diversos números de oficios donde se detalla lo concerniente a mi solicitud, sin embargo no aborda el contenido de dichos oficios para responder cada punto de mi solicitud como es debido, dando cumplimiento a mi peticion y respetando mi derecho consagrado en el articulo 8 de la C:P:E:U:M. Por lo anterior </w:t>
      </w:r>
      <w:r w:rsidDel="00000000" w:rsidR="00000000" w:rsidRPr="00000000">
        <w:rPr>
          <w:rFonts w:ascii="Palatino Linotype" w:cs="Palatino Linotype" w:eastAsia="Palatino Linotype" w:hAnsi="Palatino Linotype"/>
          <w:b w:val="1"/>
          <w:i w:val="1"/>
          <w:sz w:val="22"/>
          <w:szCs w:val="22"/>
          <w:u w:val="single"/>
          <w:rtl w:val="0"/>
        </w:rPr>
        <w:t xml:space="preserve">solicito respetuosamente, desglose el contenido de los oficios con base en lo señalado por la ley</w:t>
      </w:r>
      <w:r w:rsidDel="00000000" w:rsidR="00000000" w:rsidRPr="00000000">
        <w:rPr>
          <w:rFonts w:ascii="Palatino Linotype" w:cs="Palatino Linotype" w:eastAsia="Palatino Linotype" w:hAnsi="Palatino Linotype"/>
          <w:i w:val="1"/>
          <w:sz w:val="22"/>
          <w:szCs w:val="22"/>
          <w:rtl w:val="0"/>
        </w:rPr>
        <w:t xml:space="preserve"> y me proporcione oportunamente la informacion requerida. "(Sic)</w:t>
      </w:r>
    </w:p>
    <w:p w:rsidR="00000000" w:rsidDel="00000000" w:rsidP="00000000" w:rsidRDefault="00000000" w:rsidRPr="00000000" w14:paraId="0000001E">
      <w:pPr>
        <w:spacing w:after="240" w:before="240" w:line="360" w:lineRule="auto"/>
        <w:ind w:right="61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Manifestación a la que adjuntó los archivos electrónicos denominados: </w:t>
      </w:r>
    </w:p>
    <w:p w:rsidR="00000000" w:rsidDel="00000000" w:rsidP="00000000" w:rsidRDefault="00000000" w:rsidRPr="00000000" w14:paraId="0000001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UT 244-2022.pdf: </w:t>
      </w:r>
      <w:r w:rsidDel="00000000" w:rsidR="00000000" w:rsidRPr="00000000">
        <w:rPr>
          <w:rFonts w:ascii="Palatino Linotype" w:cs="Palatino Linotype" w:eastAsia="Palatino Linotype" w:hAnsi="Palatino Linotype"/>
          <w:rtl w:val="0"/>
        </w:rPr>
        <w:t xml:space="preserve">En esta documental el SUJETO OBLIGADO  adjunta el oficio SEDUO-CI-0850/2022 de fecha 24 de junio de 2022, esta documental es suscrita por el Titular de la Unidad de Transparencia dando respuesta al particular respecto de su solicitud de información.</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sz w:val="28"/>
          <w:szCs w:val="28"/>
          <w:rtl w:val="0"/>
        </w:rPr>
        <w:t xml:space="preserve"> El</w:t>
      </w:r>
      <w:r w:rsidDel="00000000" w:rsidR="00000000" w:rsidRPr="00000000">
        <w:rPr>
          <w:rFonts w:ascii="Palatino Linotype" w:cs="Palatino Linotype" w:eastAsia="Palatino Linotype" w:hAnsi="Palatino Linotype"/>
          <w:b w:val="1"/>
          <w:rtl w:val="0"/>
        </w:rPr>
        <w:t xml:space="preserve"> primero de agosto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r w:rsidDel="00000000" w:rsidR="00000000" w:rsidRPr="00000000">
        <w:rPr>
          <w:rtl w:val="0"/>
        </w:rPr>
      </w:r>
    </w:p>
    <w:p w:rsidR="00000000" w:rsidDel="00000000" w:rsidP="00000000" w:rsidRDefault="00000000" w:rsidRPr="00000000" w14:paraId="00000023">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El ocho</w:t>
      </w:r>
      <w:r w:rsidDel="00000000" w:rsidR="00000000" w:rsidRPr="00000000">
        <w:rPr>
          <w:rFonts w:ascii="Palatino Linotype" w:cs="Palatino Linotype" w:eastAsia="Palatino Linotype" w:hAnsi="Palatino Linotype"/>
          <w:b w:val="1"/>
          <w:rtl w:val="0"/>
        </w:rPr>
        <w:t xml:space="preserve"> de agosto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en informe justificado los archivos electrónicos identificados como:</w:t>
      </w:r>
    </w:p>
    <w:p w:rsidR="00000000" w:rsidDel="00000000" w:rsidP="00000000" w:rsidRDefault="00000000" w:rsidRPr="00000000" w14:paraId="00000024">
      <w:pPr>
        <w:ind w:lef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br w:type="textWrapping"/>
      </w:r>
      <w:r w:rsidDel="00000000" w:rsidR="00000000" w:rsidRPr="00000000">
        <w:rPr>
          <w:rFonts w:ascii="Palatino Linotype" w:cs="Palatino Linotype" w:eastAsia="Palatino Linotype" w:hAnsi="Palatino Linotype"/>
          <w:i w:val="1"/>
          <w:rtl w:val="0"/>
        </w:rPr>
        <w:t xml:space="preserve">Anexo I</w:t>
      </w:r>
    </w:p>
    <w:p w:rsidR="00000000" w:rsidDel="00000000" w:rsidP="00000000" w:rsidRDefault="00000000" w:rsidRPr="00000000" w14:paraId="00000025">
      <w:pPr>
        <w:widowControl w:val="0"/>
        <w:spacing w:after="240" w:before="240" w:line="36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ab/>
        <w:t xml:space="preserve">T. DGOCU 244-22.pdf:</w:t>
      </w:r>
      <w:r w:rsidDel="00000000" w:rsidR="00000000" w:rsidRPr="00000000">
        <w:rPr>
          <w:rFonts w:ascii="Palatino Linotype" w:cs="Palatino Linotype" w:eastAsia="Palatino Linotype" w:hAnsi="Palatino Linotype"/>
          <w:rtl w:val="0"/>
        </w:rPr>
        <w:t xml:space="preserve"> En esta documental se anexa el oficio SEDUO-CI-0698/2022 de fecha 06 de junio de 2022 suscrito por la Unidad de Transparencia, en esta documental la Unidad de Transparencia requirió a la Dirección General de Operación y Control Urbano  la información materia de la solicitud que se analiza. </w:t>
      </w:r>
    </w:p>
    <w:p w:rsidR="00000000" w:rsidDel="00000000" w:rsidP="00000000" w:rsidRDefault="00000000" w:rsidRPr="00000000" w14:paraId="00000026">
      <w:pPr>
        <w:widowControl w:val="0"/>
        <w:spacing w:after="240" w:before="240" w:line="36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Anexo II</w:t>
      </w:r>
      <w:r w:rsidDel="00000000" w:rsidR="00000000" w:rsidRPr="00000000">
        <w:rPr>
          <w:rtl w:val="0"/>
        </w:rPr>
      </w:r>
    </w:p>
    <w:p w:rsidR="00000000" w:rsidDel="00000000" w:rsidP="00000000" w:rsidRDefault="00000000" w:rsidRPr="00000000" w14:paraId="00000027">
      <w:pPr>
        <w:widowControl w:val="0"/>
        <w:spacing w:after="240" w:before="24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T. DGPU 244-22.pdf:</w:t>
      </w:r>
      <w:r w:rsidDel="00000000" w:rsidR="00000000" w:rsidRPr="00000000">
        <w:rPr>
          <w:rFonts w:ascii="Palatino Linotype" w:cs="Palatino Linotype" w:eastAsia="Palatino Linotype" w:hAnsi="Palatino Linotype"/>
          <w:rtl w:val="0"/>
        </w:rPr>
        <w:t xml:space="preserve"> En esta documental se incluye el oficio SEDUO-CI-0699/2022 de fecha 06 de junio de 2022,  suscrito por la Unidad de Transparencia en esta documental la Unidad de Transparencia requirió a la Dirección General de Planeación Urbana la información materia de la solicitud que se analiza;</w:t>
      </w:r>
    </w:p>
    <w:p w:rsidR="00000000" w:rsidDel="00000000" w:rsidP="00000000" w:rsidRDefault="00000000" w:rsidRPr="00000000" w14:paraId="00000028">
      <w:pPr>
        <w:widowControl w:val="0"/>
        <w:spacing w:after="240" w:before="24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Anexo III</w:t>
      </w:r>
      <w:r w:rsidDel="00000000" w:rsidR="00000000" w:rsidRPr="00000000">
        <w:rPr>
          <w:rtl w:val="0"/>
        </w:rPr>
      </w:r>
    </w:p>
    <w:p w:rsidR="00000000" w:rsidDel="00000000" w:rsidP="00000000" w:rsidRDefault="00000000" w:rsidRPr="00000000" w14:paraId="00000029">
      <w:pPr>
        <w:widowControl w:val="0"/>
        <w:spacing w:after="240" w:before="24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T. CIEEM 244-22.pdf: </w:t>
      </w:r>
      <w:r w:rsidDel="00000000" w:rsidR="00000000" w:rsidRPr="00000000">
        <w:rPr>
          <w:rFonts w:ascii="Palatino Linotype" w:cs="Palatino Linotype" w:eastAsia="Palatino Linotype" w:hAnsi="Palatino Linotype"/>
          <w:rtl w:val="0"/>
        </w:rPr>
        <w:t xml:space="preserve">En esta documental se incluye el oficio SEDUO-CI-0700/2022 de fecha 06 de junio de 2022,  suscrito por la Unidad de Transparencia en esta documental la Unidad de Transparencia requirió a la Dirección General de la Comisión de Impacto Estatal  la información materia de la solicitud que se analiza;</w:t>
      </w:r>
    </w:p>
    <w:p w:rsidR="00000000" w:rsidDel="00000000" w:rsidP="00000000" w:rsidRDefault="00000000" w:rsidRPr="00000000" w14:paraId="0000002A">
      <w:pPr>
        <w:widowControl w:val="0"/>
        <w:spacing w:after="240" w:before="24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Anexo IV</w:t>
      </w:r>
      <w:r w:rsidDel="00000000" w:rsidR="00000000" w:rsidRPr="00000000">
        <w:rPr>
          <w:rtl w:val="0"/>
        </w:rPr>
      </w:r>
    </w:p>
    <w:p w:rsidR="00000000" w:rsidDel="00000000" w:rsidP="00000000" w:rsidRDefault="00000000" w:rsidRPr="00000000" w14:paraId="0000002B">
      <w:pPr>
        <w:widowControl w:val="0"/>
        <w:spacing w:after="240" w:before="240" w:line="360" w:lineRule="auto"/>
        <w:ind w:left="720" w:firstLine="0"/>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i w:val="1"/>
          <w:rtl w:val="0"/>
        </w:rPr>
        <w:t xml:space="preserve">RESP UT 244 -2022 DGOCU.pdf: </w:t>
      </w:r>
      <w:r w:rsidDel="00000000" w:rsidR="00000000" w:rsidRPr="00000000">
        <w:rPr>
          <w:rFonts w:ascii="Palatino Linotype" w:cs="Palatino Linotype" w:eastAsia="Palatino Linotype" w:hAnsi="Palatino Linotype"/>
          <w:rtl w:val="0"/>
        </w:rPr>
        <w:t xml:space="preserve">en este archivo se adjunta el oficio 224001500000L/0003320/2022 de fecha 23 de junio de 2022 suscrito por la Directora General de Operación y Control Urbano, en este se señala que de acuerdo con lo previsto en el artículo 24, fracción XXIV de la Ley de Transparencia local  en el cual se señala que los sujetos obligados deberán de “orientar y asesorar al solicitante para corregir cualquier deficiencia sustancial de las solicitudes…” se suple la deficiencia de lo peticionado por el interesado, siendo la dirección correcta: Av. Hacienda de la Teja No. 1, Manzana  XXV, Col. Rancho San Isidro, San Mateo Tecoloapan, Municipio de Atizapán de Zaragoza, Estado de México en la cual se autorizó el Conjunto Urbano denominado “Residencial Club Hípico la Hacienda” .</w:t>
      </w:r>
      <w:r w:rsidDel="00000000" w:rsidR="00000000" w:rsidRPr="00000000">
        <w:rPr>
          <w:rtl w:val="0"/>
        </w:rPr>
      </w:r>
    </w:p>
    <w:p w:rsidR="00000000" w:rsidDel="00000000" w:rsidP="00000000" w:rsidRDefault="00000000" w:rsidRPr="00000000" w14:paraId="0000002C">
      <w:pPr>
        <w:widowControl w:val="0"/>
        <w:spacing w:after="240" w:before="240" w:line="360" w:lineRule="auto"/>
        <w:ind w:left="720" w:firstLine="0"/>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Que dentro de las atribuciones de la Dirección General de Operación  y Control Urbano y sus unidades administrativas</w:t>
      </w:r>
      <w:r w:rsidDel="00000000" w:rsidR="00000000" w:rsidRPr="00000000">
        <w:rPr>
          <w:rFonts w:ascii="Palatino Linotype" w:cs="Palatino Linotype" w:eastAsia="Palatino Linotype" w:hAnsi="Palatino Linotype"/>
          <w:b w:val="1"/>
          <w:u w:val="single"/>
          <w:rtl w:val="0"/>
        </w:rPr>
        <w:t xml:space="preserve">, no se encuentra la de resguardar la información que se ha tramitado, atribución que le corresponde a la Unidad del Sistema Estatal de Información del Desarrollo Urbano, dependiente  de la Dirección General de Planeación Urbana.</w:t>
      </w:r>
      <w:r w:rsidDel="00000000" w:rsidR="00000000" w:rsidRPr="00000000">
        <w:rPr>
          <w:rtl w:val="0"/>
        </w:rPr>
      </w:r>
    </w:p>
    <w:p w:rsidR="00000000" w:rsidDel="00000000" w:rsidP="00000000" w:rsidRDefault="00000000" w:rsidRPr="00000000" w14:paraId="0000002D">
      <w:pPr>
        <w:widowControl w:val="0"/>
        <w:spacing w:after="240" w:before="240" w:line="360" w:lineRule="auto"/>
        <w:ind w:left="70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color w:val="333333"/>
          <w:rtl w:val="0"/>
        </w:rPr>
        <w:t xml:space="preserve">Anexo V</w:t>
      </w:r>
      <w:r w:rsidDel="00000000" w:rsidR="00000000" w:rsidRPr="00000000">
        <w:rPr>
          <w:rtl w:val="0"/>
        </w:rPr>
      </w:r>
    </w:p>
    <w:p w:rsidR="00000000" w:rsidDel="00000000" w:rsidP="00000000" w:rsidRDefault="00000000" w:rsidRPr="00000000" w14:paraId="0000002E">
      <w:pPr>
        <w:widowControl w:val="0"/>
        <w:spacing w:after="240" w:before="240" w:line="360" w:lineRule="auto"/>
        <w:ind w:left="720" w:firstLine="0"/>
        <w:jc w:val="both"/>
        <w:rPr>
          <w:rFonts w:ascii="Palatino Linotype" w:cs="Palatino Linotype" w:eastAsia="Palatino Linotype" w:hAnsi="Palatino Linotype"/>
          <w:b w:val="1"/>
          <w:i w:val="1"/>
          <w:color w:val="ff0000"/>
        </w:rPr>
      </w:pPr>
      <w:r w:rsidDel="00000000" w:rsidR="00000000" w:rsidRPr="00000000">
        <w:rPr>
          <w:rFonts w:ascii="Palatino Linotype" w:cs="Palatino Linotype" w:eastAsia="Palatino Linotype" w:hAnsi="Palatino Linotype"/>
          <w:b w:val="1"/>
          <w:i w:val="1"/>
          <w:rtl w:val="0"/>
        </w:rPr>
        <w:t xml:space="preserve">RESP UT 244-2022 DGPU.pdf: en</w:t>
      </w:r>
      <w:r w:rsidDel="00000000" w:rsidR="00000000" w:rsidRPr="00000000">
        <w:rPr>
          <w:rFonts w:ascii="Palatino Linotype" w:cs="Palatino Linotype" w:eastAsia="Palatino Linotype" w:hAnsi="Palatino Linotype"/>
          <w:rtl w:val="0"/>
        </w:rPr>
        <w:t xml:space="preserve"> este archivo se adjuntó el oficio 2012000040000S/OF/305/2022 de fecha 14 de junio del 2022 suscrito por el Director General de Planeación Urbana, por medio de este oficio se le señala al particular que después de realizar una búsqueda en el Sistema Estatal de Información del Desarrollo Urbano (SEIDU) sistema integral de esa Dirección  General de Planeación Urbana, no se localizó información alguna relacionada con el inmueble referido en la solicitud del particular. </w:t>
      </w:r>
      <w:r w:rsidDel="00000000" w:rsidR="00000000" w:rsidRPr="00000000">
        <w:rPr>
          <w:rtl w:val="0"/>
        </w:rPr>
      </w:r>
    </w:p>
    <w:p w:rsidR="00000000" w:rsidDel="00000000" w:rsidP="00000000" w:rsidRDefault="00000000" w:rsidRPr="00000000" w14:paraId="0000002F">
      <w:pPr>
        <w:widowControl w:val="0"/>
        <w:spacing w:after="240" w:before="240" w:line="360" w:lineRule="auto"/>
        <w:ind w:left="720" w:firstLine="0"/>
        <w:jc w:val="both"/>
        <w:rPr>
          <w:rFonts w:ascii="Palatino Linotype" w:cs="Palatino Linotype" w:eastAsia="Palatino Linotype" w:hAnsi="Palatino Linotype"/>
          <w:b w:val="1"/>
          <w:i w:val="1"/>
          <w:color w:val="ff0000"/>
        </w:rPr>
      </w:pPr>
      <w:r w:rsidDel="00000000" w:rsidR="00000000" w:rsidRPr="00000000">
        <w:rPr>
          <w:rFonts w:ascii="Palatino Linotype" w:cs="Palatino Linotype" w:eastAsia="Palatino Linotype" w:hAnsi="Palatino Linotype"/>
          <w:rtl w:val="0"/>
        </w:rPr>
        <w:t xml:space="preserve">De igual manera, refiere que de conformidad con el diverso  155 del Reglamento del Libro  Quinto del Código Administrativo del Estado de México, el Sistema Estatal de Información del Desarrollo Urbano es el encargado de la sistematización, clasificación, actualización y procesamiento de la información generada en materia de desarrollo urbano en la entidad, resalta que este sistema únicamente resguarda la información en materia de desarrollo urbano que las autoridades estatales y municipales remiten.</w:t>
      </w:r>
      <w:r w:rsidDel="00000000" w:rsidR="00000000" w:rsidRPr="00000000">
        <w:rPr>
          <w:rtl w:val="0"/>
        </w:rPr>
      </w:r>
    </w:p>
    <w:p w:rsidR="00000000" w:rsidDel="00000000" w:rsidP="00000000" w:rsidRDefault="00000000" w:rsidRPr="00000000" w14:paraId="00000030">
      <w:pPr>
        <w:widowControl w:val="0"/>
        <w:spacing w:after="240" w:before="24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no se cuenta con la disposición coercitiva de obligar a las entidades públicas a remitir la información que, en materia de desarrollo urbano generan. </w:t>
      </w:r>
    </w:p>
    <w:p w:rsidR="00000000" w:rsidDel="00000000" w:rsidP="00000000" w:rsidRDefault="00000000" w:rsidRPr="00000000" w14:paraId="00000031">
      <w:pPr>
        <w:widowControl w:val="0"/>
        <w:spacing w:after="240" w:before="240" w:line="360" w:lineRule="auto"/>
        <w:ind w:left="720" w:firstLine="0"/>
        <w:jc w:val="both"/>
        <w:rPr>
          <w:rFonts w:ascii="Palatino Linotype" w:cs="Palatino Linotype" w:eastAsia="Palatino Linotype" w:hAnsi="Palatino Linotype"/>
          <w:b w:val="1"/>
          <w:i w:val="1"/>
          <w:color w:val="ff0000"/>
        </w:rPr>
      </w:pPr>
      <w:r w:rsidDel="00000000" w:rsidR="00000000" w:rsidRPr="00000000">
        <w:rPr>
          <w:rFonts w:ascii="Palatino Linotype" w:cs="Palatino Linotype" w:eastAsia="Palatino Linotype" w:hAnsi="Palatino Linotype"/>
          <w:b w:val="1"/>
          <w:i w:val="1"/>
          <w:rtl w:val="0"/>
        </w:rPr>
        <w:t xml:space="preserve">Anexo VI</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40" w:before="240" w:line="360" w:lineRule="auto"/>
        <w:ind w:left="783"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RESP UT 244-2022 DGCIE.pdf: </w:t>
      </w:r>
      <w:r w:rsidDel="00000000" w:rsidR="00000000" w:rsidRPr="00000000">
        <w:rPr>
          <w:rFonts w:ascii="Palatino Linotype" w:cs="Palatino Linotype" w:eastAsia="Palatino Linotype" w:hAnsi="Palatino Linotype"/>
          <w:color w:val="000000"/>
          <w:rtl w:val="0"/>
        </w:rPr>
        <w:t xml:space="preserve">documental en la que se incluye el oficio número 224B03010-001210/2022 suscrito por el Director General de la Comisión de impacto Estatal, a través del cual el servidor público en cita refiere como respuesta la petición del particular que, de acuerdo al contenido del diverso 5 del Reglamento de la Ley de la Comisión de Impacto Estatal, esa Autoridad no emite permisos, cambios de usos de suelo o Dictámenes. Sin embargo, se realizó una búsqueda exhaustiva en los archivos de esa Comisión sin encontrarse dato, solicitud o documento relacionado con el inmueble que se menciona.</w:t>
      </w:r>
    </w:p>
    <w:p w:rsidR="00000000" w:rsidDel="00000000" w:rsidP="00000000" w:rsidRDefault="00000000" w:rsidRPr="00000000" w14:paraId="00000033">
      <w:pPr>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ind w:left="72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rtl w:val="0"/>
        </w:rPr>
        <w:br w:type="textWrapping"/>
      </w:r>
      <w:r w:rsidDel="00000000" w:rsidR="00000000" w:rsidRPr="00000000">
        <w:rPr>
          <w:rFonts w:ascii="Palatino Linotype" w:cs="Palatino Linotype" w:eastAsia="Palatino Linotype" w:hAnsi="Palatino Linotype"/>
          <w:b w:val="1"/>
          <w:i w:val="1"/>
          <w:rtl w:val="0"/>
        </w:rPr>
        <w:t xml:space="preserve">Anexo VII</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240" w:line="360" w:lineRule="auto"/>
        <w:ind w:left="783"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UT 244-2022.pdf: </w:t>
      </w:r>
      <w:r w:rsidDel="00000000" w:rsidR="00000000" w:rsidRPr="00000000">
        <w:rPr>
          <w:rFonts w:ascii="Palatino Linotype" w:cs="Palatino Linotype" w:eastAsia="Palatino Linotype" w:hAnsi="Palatino Linotype"/>
          <w:color w:val="000000"/>
          <w:rtl w:val="0"/>
        </w:rPr>
        <w:t xml:space="preserve"> En esta documental se incluye el oficio SEDUO-CI-0850/2022 de fecha 24 de junio de 2022, suscrito por el Titular de la Unidad de Transparencia a través del cual da respuesta al particular respecto de su solicitud de información;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Anexo VIII</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T. RR 12614 sol 244-22 DGOCU.pdf: </w:t>
      </w:r>
      <w:r w:rsidDel="00000000" w:rsidR="00000000" w:rsidRPr="00000000">
        <w:rPr>
          <w:rFonts w:ascii="Palatino Linotype" w:cs="Palatino Linotype" w:eastAsia="Palatino Linotype" w:hAnsi="Palatino Linotype"/>
          <w:color w:val="000000"/>
          <w:rtl w:val="0"/>
        </w:rPr>
        <w:t xml:space="preserve">En esta documental se incluye  SEDUO-CI-0911/2022 de fecha 12 d julio de 2022, suscrito por la Unidad de Transparencia por vía del cual solicita a la Dirección General de Operación y Control Urbano las manifestaciones que considere a efectos de atender el Recurso de Revisión con motivo de la respuesta a la solicitud de información 00244/SEDUO/IP/2022;</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left="783"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left="709" w:right="616" w:firstLine="0"/>
        <w:rPr>
          <w:rFonts w:ascii="Palatino Linotype" w:cs="Palatino Linotype" w:eastAsia="Palatino Linotype" w:hAnsi="Palatino Linotype"/>
          <w:b w:val="1"/>
          <w:i w:val="1"/>
          <w:color w:val="333333"/>
        </w:rPr>
      </w:pPr>
      <w:r w:rsidDel="00000000" w:rsidR="00000000" w:rsidRPr="00000000">
        <w:rPr>
          <w:rFonts w:ascii="Palatino Linotype" w:cs="Palatino Linotype" w:eastAsia="Palatino Linotype" w:hAnsi="Palatino Linotype"/>
          <w:b w:val="1"/>
          <w:i w:val="1"/>
          <w:color w:val="333333"/>
          <w:rtl w:val="0"/>
        </w:rPr>
        <w:t xml:space="preserve">Anexo IX</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T. RR 12614 sol 244-22 DGPU.pdf:</w:t>
      </w:r>
      <w:r w:rsidDel="00000000" w:rsidR="00000000" w:rsidRPr="00000000">
        <w:rPr>
          <w:rFonts w:ascii="Palatino Linotype" w:cs="Palatino Linotype" w:eastAsia="Palatino Linotype" w:hAnsi="Palatino Linotype"/>
          <w:color w:val="000000"/>
          <w:rtl w:val="0"/>
        </w:rPr>
        <w:t xml:space="preserve"> En esta documental se incluye  SEDUO-CI-0912/2022 de fecha 12 d julio de 2022, suscrito por la Unidad de Transparencia por vía del cual solicita a la Dirección General de planeación Urbana las manifestaciones que considere a efectos de atender el Recurso de Revisión con motivo de la respuesta a la solicitud de información 00244/SEDUO/IP/2022;</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Anexo X</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T. RR 12614 sol 244-22 DGCIE.pdf:</w:t>
      </w:r>
      <w:r w:rsidDel="00000000" w:rsidR="00000000" w:rsidRPr="00000000">
        <w:rPr>
          <w:rFonts w:ascii="Palatino Linotype" w:cs="Palatino Linotype" w:eastAsia="Palatino Linotype" w:hAnsi="Palatino Linotype"/>
          <w:color w:val="000000"/>
          <w:rtl w:val="0"/>
        </w:rPr>
        <w:t xml:space="preserve"> En esta documental se incluye  SEDUO-CI-0913/2022 de fecha 12 de julio de 2022, suscrito por la Unidad de Transparencia por vía del cual solicita a la Dirección General de la Comisión de Impacto Ambiental  Operación las manifestaciones que considere a efectos de atender el Recurso de Revisión con motivo de la respuesta a la solicitud de información 00244/SEDUO/IP/2022;</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Anexo XI</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RESP RR UT 244-2022 DGOCU.pdf: </w:t>
      </w:r>
      <w:r w:rsidDel="00000000" w:rsidR="00000000" w:rsidRPr="00000000">
        <w:rPr>
          <w:rFonts w:ascii="Palatino Linotype" w:cs="Palatino Linotype" w:eastAsia="Palatino Linotype" w:hAnsi="Palatino Linotype"/>
          <w:color w:val="000000"/>
          <w:rtl w:val="0"/>
        </w:rPr>
        <w:t xml:space="preserve">En esta documental se incluye  el oficio 22400105000000L/3826/2022 de fecha 13 d julio de 2022, por medio de esta documental la Dirección General de Operación y Control Urbano señala que la respuesta proporcionada por ese SUJETO OBLIGADO  es clara, precisa y congruente con las cuestiones planteadas en dicha solicitud por lo que ratifica el contenido del oficio 22400105000000L/003320/2022;</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Anexo XII</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RESP RR UT 244-2022 DGPU.pdf: </w:t>
      </w:r>
      <w:r w:rsidDel="00000000" w:rsidR="00000000" w:rsidRPr="00000000">
        <w:rPr>
          <w:rFonts w:ascii="Palatino Linotype" w:cs="Palatino Linotype" w:eastAsia="Palatino Linotype" w:hAnsi="Palatino Linotype"/>
          <w:color w:val="000000"/>
          <w:rtl w:val="0"/>
        </w:rPr>
        <w:t xml:space="preserve">En esta documental se incluye  el oficio  21200004000001S/OF./362/2022 con fecha de origen el 25 de julio de 2022, suscrito por la Dirección General de Planeación Urbana por medio del  cual hace patentes sus manifestaciones en el sentido de que reitera su respuesta otorgada mediante su similar número 2120000400000/OF./305/2022.</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Robustece que la búsqueda de la información tanto en los archivos de esa Dirección General  como en los registros del Sistema Estatal de Información del Desarrollo Urbano (SEIDU) dependiente de esa Dirección, se efectuó considerando lo requerido  en cada uno de los puntos detallados en la solicitud de información, de tal forma, dicha búsqueda  se llevó a cabo con los datos del domicilio del inmueble proporcionado en la solicitud que nos ocupa. Por lo tanto, reitera que no se cuenta con información alguna referente al inmueble de interés del solicitante;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ind w:left="709" w:right="616" w:firstLine="0"/>
        <w:rPr>
          <w:rFonts w:ascii="Palatino Linotype" w:cs="Palatino Linotype" w:eastAsia="Palatino Linotype" w:hAnsi="Palatino Linotype"/>
          <w:b w:val="1"/>
          <w:i w:val="1"/>
          <w:color w:val="333333"/>
        </w:rPr>
      </w:pPr>
      <w:r w:rsidDel="00000000" w:rsidR="00000000" w:rsidRPr="00000000">
        <w:rPr>
          <w:rFonts w:ascii="Palatino Linotype" w:cs="Palatino Linotype" w:eastAsia="Palatino Linotype" w:hAnsi="Palatino Linotype"/>
          <w:b w:val="1"/>
          <w:i w:val="1"/>
          <w:color w:val="333333"/>
          <w:rtl w:val="0"/>
        </w:rPr>
        <w:t xml:space="preserve">Anexo XIII</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RESP RR UT 244-2022 DGCIE.pdf: </w:t>
      </w:r>
      <w:r w:rsidDel="00000000" w:rsidR="00000000" w:rsidRPr="00000000">
        <w:rPr>
          <w:rFonts w:ascii="Palatino Linotype" w:cs="Palatino Linotype" w:eastAsia="Palatino Linotype" w:hAnsi="Palatino Linotype"/>
          <w:color w:val="000000"/>
          <w:rtl w:val="0"/>
        </w:rPr>
        <w:t xml:space="preserve"> En esta documental se incluye  el oficio  224B03010-001390/2022 por medio del cual la Dirección General de la Comisión de Impacto Ambiental rinde sus manifestaciones al recurso de revisión, reiterando su respuesta; y,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left="709"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line="360" w:lineRule="auto"/>
        <w:ind w:left="709"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ab/>
      </w:r>
      <w:r w:rsidDel="00000000" w:rsidR="00000000" w:rsidRPr="00000000">
        <w:rPr>
          <w:rFonts w:ascii="Palatino Linotype" w:cs="Palatino Linotype" w:eastAsia="Palatino Linotype" w:hAnsi="Palatino Linotype"/>
          <w:b w:val="1"/>
          <w:i w:val="1"/>
          <w:color w:val="000000"/>
          <w:rtl w:val="0"/>
        </w:rPr>
        <w:t xml:space="preserve">Informe justificado 12614-2022.pdf: </w:t>
      </w:r>
      <w:r w:rsidDel="00000000" w:rsidR="00000000" w:rsidRPr="00000000">
        <w:rPr>
          <w:rFonts w:ascii="Palatino Linotype" w:cs="Palatino Linotype" w:eastAsia="Palatino Linotype" w:hAnsi="Palatino Linotype"/>
          <w:color w:val="000000"/>
          <w:rtl w:val="0"/>
        </w:rPr>
        <w:t xml:space="preserve">Documental en la que se incluye e oficio SEDUO-CI-0980/2022 por medio del cual el SUJETO OBLIGADO ratifica su respuesta que en su origen proporcionó al particular. </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veintisiete de febrero de dos mil veintidós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04F">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Ampliación del plazo para emitir resolución. </w:t>
      </w:r>
      <w:r w:rsidDel="00000000" w:rsidR="00000000" w:rsidRPr="00000000">
        <w:rPr>
          <w:rFonts w:ascii="Palatino Linotype" w:cs="Palatino Linotype" w:eastAsia="Palatino Linotype" w:hAnsi="Palatino Linotype"/>
          <w:rtl w:val="0"/>
        </w:rPr>
        <w:t xml:space="preserve">El quince de marzo</w:t>
      </w:r>
      <w:r w:rsidDel="00000000" w:rsidR="00000000" w:rsidRPr="00000000">
        <w:rPr>
          <w:rFonts w:ascii="Palatino Linotype" w:cs="Palatino Linotype" w:eastAsia="Palatino Linotype" w:hAnsi="Palatino Linotype"/>
          <w:b w:val="1"/>
          <w:rtl w:val="0"/>
        </w:rPr>
        <w:t xml:space="preserve"> de la presente anualidad</w:t>
      </w:r>
      <w:r w:rsidDel="00000000" w:rsidR="00000000" w:rsidRPr="00000000">
        <w:rPr>
          <w:rFonts w:ascii="Palatino Linotype" w:cs="Palatino Linotype" w:eastAsia="Palatino Linotype" w:hAnsi="Palatino Linotype"/>
          <w:rtl w:val="0"/>
        </w:rPr>
        <w:t xml:space="preserve">, este Instituto con fundamento en el artículo 181, párrafo tercero, de la Ley de Transparencia y Acceso a la Información Pública del Estado de México y Municipios, determinó ampliar el plazo para emitir la presente resolución. </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ha incrementado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strike w:val="1"/>
          <w:color w:val="ff0000"/>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55">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56">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57">
      <w:pPr>
        <w:numPr>
          <w:ilvl w:val="0"/>
          <w:numId w:val="3"/>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58">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60">
      <w:pPr>
        <w:widowControl w:val="0"/>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61">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bookmarkStart w:colFirst="0" w:colLast="0" w:name="_heading=h.1fob9te" w:id="4"/>
      <w:bookmarkEnd w:id="4"/>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64">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respondió a la solicitud de información el </w:t>
      </w:r>
      <w:r w:rsidDel="00000000" w:rsidR="00000000" w:rsidRPr="00000000">
        <w:rPr>
          <w:rFonts w:ascii="Palatino Linotype" w:cs="Palatino Linotype" w:eastAsia="Palatino Linotype" w:hAnsi="Palatino Linotype"/>
          <w:b w:val="1"/>
          <w:rtl w:val="0"/>
        </w:rPr>
        <w:t xml:space="preserve">veinticuatro de junio de dos mil veintidós, </w:t>
      </w:r>
      <w:r w:rsidDel="00000000" w:rsidR="00000000" w:rsidRPr="00000000">
        <w:rPr>
          <w:rFonts w:ascii="Palatino Linotype" w:cs="Palatino Linotype" w:eastAsia="Palatino Linotype" w:hAnsi="Palatino Linotype"/>
          <w:rtl w:val="0"/>
        </w:rPr>
        <w:t xml:space="preserve">mientras que el recurso de revisión se interpuso el día </w:t>
      </w:r>
      <w:r w:rsidDel="00000000" w:rsidR="00000000" w:rsidRPr="00000000">
        <w:rPr>
          <w:rFonts w:ascii="Palatino Linotype" w:cs="Palatino Linotype" w:eastAsia="Palatino Linotype" w:hAnsi="Palatino Linotype"/>
          <w:b w:val="1"/>
          <w:rtl w:val="0"/>
        </w:rPr>
        <w:t xml:space="preserve">once de julio de dos mil veintidós</w:t>
      </w:r>
      <w:r w:rsidDel="00000000" w:rsidR="00000000" w:rsidRPr="00000000">
        <w:rPr>
          <w:rFonts w:ascii="Palatino Linotype" w:cs="Palatino Linotype" w:eastAsia="Palatino Linotype" w:hAnsi="Palatino Linotype"/>
          <w:rtl w:val="0"/>
        </w:rPr>
        <w:t xml:space="preserve">, esto es, al décimo primer día hábil posterior en que tuvo conocimiento de la respuesta impugnada.</w:t>
      </w:r>
      <w:r w:rsidDel="00000000" w:rsidR="00000000" w:rsidRPr="00000000">
        <w:rPr>
          <w:rtl w:val="0"/>
        </w:rPr>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 del ordenamiento legal citado, que a la letra dice: </w:t>
      </w:r>
    </w:p>
    <w:p w:rsidR="00000000" w:rsidDel="00000000" w:rsidP="00000000" w:rsidRDefault="00000000" w:rsidRPr="00000000" w14:paraId="00000067">
      <w:pPr>
        <w:tabs>
          <w:tab w:val="left" w:leader="none" w:pos="7088"/>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8">
      <w:pPr>
        <w:tabs>
          <w:tab w:val="left" w:leader="none" w:pos="7088"/>
        </w:tabs>
        <w:spacing w:after="120" w:before="120"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69">
      <w:pPr>
        <w:tabs>
          <w:tab w:val="left" w:leader="none" w:pos="7088"/>
        </w:tabs>
        <w:spacing w:after="120" w:before="120" w:lineRule="auto"/>
        <w:ind w:left="993"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entrega de información incompleta;</w:t>
        <w:br w:type="textWrapping"/>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6C">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6D">
      <w:pPr>
        <w:tabs>
          <w:tab w:val="left" w:leader="none" w:pos="709"/>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6E">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6F">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7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7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7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6">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7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7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7B">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7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7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81">
      <w:pPr>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2">
      <w:pPr>
        <w:tabs>
          <w:tab w:val="left" w:leader="none"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83">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primer lugar</w:t>
      </w:r>
      <w:r w:rsidDel="00000000" w:rsidR="00000000" w:rsidRPr="00000000">
        <w:rPr>
          <w:rFonts w:ascii="Palatino Linotype" w:cs="Palatino Linotype" w:eastAsia="Palatino Linotype" w:hAnsi="Palatino Linotype"/>
          <w:rtl w:val="0"/>
        </w:rPr>
        <w:t xml:space="preserve">, 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w:t>
      </w:r>
      <w:r w:rsidDel="00000000" w:rsidR="00000000" w:rsidRPr="00000000">
        <w:rPr>
          <w:rFonts w:ascii="Palatino Linotype" w:cs="Palatino Linotype" w:eastAsia="Palatino Linotype" w:hAnsi="Palatino Linotype"/>
          <w:color w:val="000000"/>
          <w:rtl w:val="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Del="00000000" w:rsidR="00000000" w:rsidRPr="00000000">
        <w:rPr>
          <w:rFonts w:ascii="Palatino Linotype" w:cs="Palatino Linotype" w:eastAsia="Palatino Linotype" w:hAnsi="Palatino Linotype"/>
          <w:rtl w:val="0"/>
        </w:rPr>
        <w:t xml:space="preserve">transcribe</w:t>
      </w:r>
      <w:r w:rsidDel="00000000" w:rsidR="00000000" w:rsidRPr="00000000">
        <w:rPr>
          <w:rFonts w:ascii="Palatino Linotype" w:cs="Palatino Linotype" w:eastAsia="Palatino Linotype" w:hAnsi="Palatino Linotype"/>
          <w:color w:val="000000"/>
          <w:rtl w:val="0"/>
        </w:rPr>
        <w:t xml:space="preserve"> para un mejor entendimiento:</w:t>
      </w:r>
      <w:r w:rsidDel="00000000" w:rsidR="00000000" w:rsidRPr="00000000">
        <w:rPr>
          <w:rtl w:val="0"/>
        </w:rPr>
      </w:r>
    </w:p>
    <w:p w:rsidR="00000000" w:rsidDel="00000000" w:rsidP="00000000" w:rsidRDefault="00000000" w:rsidRPr="00000000" w14:paraId="00000084">
      <w:pPr>
        <w:spacing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8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87">
      <w:pPr>
        <w:ind w:left="851" w:right="7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8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8B">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8D">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conviene mencionar que la Ley de Transparencia vigente en el Estado de México refiere: </w:t>
      </w:r>
    </w:p>
    <w:p w:rsidR="00000000" w:rsidDel="00000000" w:rsidP="00000000" w:rsidRDefault="00000000" w:rsidRPr="00000000" w14:paraId="0000009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93">
      <w:pPr>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5">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97">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9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9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9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9F">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A1">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2">
      <w:pPr>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w:t>
      </w:r>
      <w:r w:rsidDel="00000000" w:rsidR="00000000" w:rsidRPr="00000000">
        <w:rPr>
          <w:rFonts w:ascii="Palatino Linotype" w:cs="Palatino Linotype" w:eastAsia="Palatino Linotype" w:hAnsi="Palatino Linotype"/>
          <w:b w:val="1"/>
          <w:i w:val="1"/>
          <w:color w:val="000000"/>
          <w:sz w:val="22"/>
          <w:szCs w:val="22"/>
          <w:u w:val="single"/>
          <w:rtl w:val="0"/>
        </w:rPr>
        <w:t xml:space="preserve">registro que documente el ejercicio de las facultades, funciones y competencias de los sujetos obligados</w:t>
      </w:r>
      <w:r w:rsidDel="00000000" w:rsidR="00000000" w:rsidRPr="00000000">
        <w:rPr>
          <w:rFonts w:ascii="Palatino Linotype" w:cs="Palatino Linotype" w:eastAsia="Palatino Linotype" w:hAnsi="Palatino Linotype"/>
          <w:i w:val="1"/>
          <w:color w:val="000000"/>
          <w:sz w:val="22"/>
          <w:szCs w:val="22"/>
          <w:rtl w:val="0"/>
        </w:rPr>
        <w:t xml:space="preserve">, sus servidores públicos e integrantes, sin importar su fuente o fecha de elaboración. Los documentos podrán estar en cualquier medio, sea escrito, impreso, sonoro, visual, </w:t>
      </w:r>
      <w:r w:rsidDel="00000000" w:rsidR="00000000" w:rsidRPr="00000000">
        <w:rPr>
          <w:rFonts w:ascii="Palatino Linotype" w:cs="Palatino Linotype" w:eastAsia="Palatino Linotype" w:hAnsi="Palatino Linotype"/>
          <w:b w:val="1"/>
          <w:i w:val="1"/>
          <w:color w:val="000000"/>
          <w:sz w:val="22"/>
          <w:szCs w:val="22"/>
          <w:u w:val="single"/>
          <w:rtl w:val="0"/>
        </w:rPr>
        <w:t xml:space="preserve">electrónico, informático</w:t>
      </w:r>
      <w:r w:rsidDel="00000000" w:rsidR="00000000" w:rsidRPr="00000000">
        <w:rPr>
          <w:rFonts w:ascii="Palatino Linotype" w:cs="Palatino Linotype" w:eastAsia="Palatino Linotype" w:hAnsi="Palatino Linotype"/>
          <w:i w:val="1"/>
          <w:color w:val="000000"/>
          <w:sz w:val="22"/>
          <w:szCs w:val="22"/>
          <w:rtl w:val="0"/>
        </w:rPr>
        <w:t xml:space="preserve"> u holográfico…” (Sic)</w:t>
      </w:r>
    </w:p>
    <w:p w:rsidR="00000000" w:rsidDel="00000000" w:rsidP="00000000" w:rsidRDefault="00000000" w:rsidRPr="00000000" w14:paraId="000000A3">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A5">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A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A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A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A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A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A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las obligaciones de transparencia señaladas en los artículos 92 y 100 de la Ley de la Materia.</w:t>
      </w:r>
    </w:p>
    <w:p w:rsidR="00000000" w:rsidDel="00000000" w:rsidP="00000000" w:rsidRDefault="00000000" w:rsidRPr="00000000" w14:paraId="000000AD">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apuntado lo anterior, este Órgano Garante procede al análisis de las razones o motivos de inconformidad, razón por la cual es de recordar que el particular solicitó del SUJETO OBLIGADO le fueran entregados los últimos permisos, cambio de uso de suelo, dictámenes y/o cualquier otro tramite en favor del inmueble ubicado en Avenida Hacienda de la Teja número 1,  San Mateo Tecoloapan, Atizapán de Zaragoza, Estado de México. </w:t>
      </w:r>
    </w:p>
    <w:p w:rsidR="00000000" w:rsidDel="00000000" w:rsidP="00000000" w:rsidRDefault="00000000" w:rsidRPr="00000000" w14:paraId="000000AE">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tal situación, el SUJETO OBLIGADO por vía de su respuesta refiere  el </w:t>
      </w:r>
      <w:r w:rsidDel="00000000" w:rsidR="00000000" w:rsidRPr="00000000">
        <w:rPr>
          <w:rFonts w:ascii="Palatino Linotype" w:cs="Palatino Linotype" w:eastAsia="Palatino Linotype" w:hAnsi="Palatino Linotype"/>
          <w:b w:val="1"/>
          <w:rtl w:val="0"/>
        </w:rPr>
        <w:t xml:space="preserve">Director General de la Comisión de impacto Estatal</w:t>
      </w:r>
      <w:r w:rsidDel="00000000" w:rsidR="00000000" w:rsidRPr="00000000">
        <w:rPr>
          <w:rFonts w:ascii="Palatino Linotype" w:cs="Palatino Linotype" w:eastAsia="Palatino Linotype" w:hAnsi="Palatino Linotype"/>
          <w:rtl w:val="0"/>
        </w:rPr>
        <w:t xml:space="preserve">, que de acuerdo al contenido del diverso 5 del Reglamento de la Ley de la Comisión de Impacto Estatal, esa Autoridad no emite permisos, cambios de usos de suelo o Dictámenes. Además, se realizó una búsqueda exhaustiva en los archivos de esa Comisión sin encontrarse dato, solicitud o documento relacionado con el inmueble que se menciona. </w:t>
      </w:r>
    </w:p>
    <w:p w:rsidR="00000000" w:rsidDel="00000000" w:rsidP="00000000" w:rsidRDefault="00000000" w:rsidRPr="00000000" w14:paraId="000000AF">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Director General de Planeación Urbana</w:t>
      </w:r>
      <w:r w:rsidDel="00000000" w:rsidR="00000000" w:rsidRPr="00000000">
        <w:rPr>
          <w:rFonts w:ascii="Palatino Linotype" w:cs="Palatino Linotype" w:eastAsia="Palatino Linotype" w:hAnsi="Palatino Linotype"/>
          <w:rtl w:val="0"/>
        </w:rPr>
        <w:t xml:space="preserve">, señala al particular que después de realizar una búsqueda en el Sistema Estatal de Información del Desarrollo Urbano (SEIDU) sistema integral de esa Dirección  General de Planeación Urbana, no se localizó información alguna relacionada con el inmueble referido en la solicitud del particular. </w:t>
      </w:r>
    </w:p>
    <w:p w:rsidR="00000000" w:rsidDel="00000000" w:rsidP="00000000" w:rsidRDefault="00000000" w:rsidRPr="00000000" w14:paraId="000000B0">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la Directora General de Operación y Control Urbano, señala que de acuerdo con lo previsto en el artículo 24, fracción XXIV de la Ley de Transparencia local  en el cual se señala que los sujetos obligados deberán de “orientar y asesorar al solicitante para corregir cualquier deficiencia sustancial de las solicitudes</w:t>
      </w:r>
      <w:r w:rsidDel="00000000" w:rsidR="00000000" w:rsidRPr="00000000">
        <w:rPr>
          <w:rFonts w:ascii="Palatino Linotype" w:cs="Palatino Linotype" w:eastAsia="Palatino Linotype" w:hAnsi="Palatino Linotype"/>
          <w:i w:val="1"/>
          <w:rtl w:val="0"/>
        </w:rPr>
        <w:t xml:space="preserve">…” se suple la deficiencia de lo peticionado por el interesado, siendo la dirección correcta: Av. Hacienda de la Teja No. 1, Manzana  XXV, Col. Rancho San Isidro, San Mateo Tecoloapan, Municipio de Atizapán de Zaragoza, Estado de México en la cual se autorizó el Conjunto Urbano denominado “Residencial Club Hípico la Hacienda</w:t>
      </w:r>
      <w:r w:rsidDel="00000000" w:rsidR="00000000" w:rsidRPr="00000000">
        <w:rPr>
          <w:rFonts w:ascii="Palatino Linotype" w:cs="Palatino Linotype" w:eastAsia="Palatino Linotype" w:hAnsi="Palatino Linotype"/>
          <w:rtl w:val="0"/>
        </w:rPr>
        <w:t xml:space="preserve">” . En este sentido, la Dirección General de Operación  y Control Urbano y sus unidades administrativas, no se encuentra la de resguardar la información que se ha tramitado, atribución que le corresponde a la Unidad del Sistema Estatal de Información del Desarrollo Urbano, dependiente  de la Dirección General de Planeación Urbana.</w:t>
      </w:r>
    </w:p>
    <w:p w:rsidR="00000000" w:rsidDel="00000000" w:rsidP="00000000" w:rsidRDefault="00000000" w:rsidRPr="00000000" w14:paraId="000000B1">
      <w:pPr>
        <w:spacing w:after="36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Inconforme con dicha respuesta, en la fecha señalada en el antecedente tercero de la presente resolución el particular interpone recurso de revisión, señalando como motivos de agravio:  “</w:t>
      </w:r>
      <w:r w:rsidDel="00000000" w:rsidR="00000000" w:rsidRPr="00000000">
        <w:rPr>
          <w:rFonts w:ascii="Palatino Linotype" w:cs="Palatino Linotype" w:eastAsia="Palatino Linotype" w:hAnsi="Palatino Linotype"/>
          <w:i w:val="1"/>
          <w:sz w:val="22"/>
          <w:szCs w:val="22"/>
          <w:rtl w:val="0"/>
        </w:rPr>
        <w:t xml:space="preserve">La titular de la unidad de transparencia, en su respuesta Menciona diversos números de oficios donde se detalla lo concerniente a mi solicitud, sin embargo no aborda el contenido de dichos oficios para responder cada punto de mi solicitud como es debido, dando cumplimiento a mi peticion y respetando mi derecho consagrado en el articulo 8 de la C:P:E:U:M. </w:t>
      </w:r>
      <w:r w:rsidDel="00000000" w:rsidR="00000000" w:rsidRPr="00000000">
        <w:rPr>
          <w:rFonts w:ascii="Palatino Linotype" w:cs="Palatino Linotype" w:eastAsia="Palatino Linotype" w:hAnsi="Palatino Linotype"/>
          <w:b w:val="1"/>
          <w:i w:val="1"/>
          <w:sz w:val="22"/>
          <w:szCs w:val="22"/>
          <w:rtl w:val="0"/>
        </w:rPr>
        <w:t xml:space="preserve">Por lo anterior solicito respetuosamente, desglose el contenido de los oficios con base en lo señalado por la ley y me proporcione oportunamente la información requerida</w:t>
      </w: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B2">
      <w:pPr>
        <w:spacing w:after="36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Finamente, el SUJETO OBLIGADO atendiendo el derecho a  manifestarse  remite su informe justificado en el que en términos generales ratifica la  respuesta que en su origen proporcionó al particular. </w:t>
      </w:r>
    </w:p>
    <w:p w:rsidR="00000000" w:rsidDel="00000000" w:rsidP="00000000" w:rsidRDefault="00000000" w:rsidRPr="00000000" w14:paraId="000000B3">
      <w:pPr>
        <w:spacing w:after="36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Agotado lo anterior, respecto a la parte de los motivos de inconformidad en los que el particular señala “…</w:t>
      </w:r>
      <w:r w:rsidDel="00000000" w:rsidR="00000000" w:rsidRPr="00000000">
        <w:rPr>
          <w:rFonts w:ascii="Palatino Linotype" w:cs="Palatino Linotype" w:eastAsia="Palatino Linotype" w:hAnsi="Palatino Linotype"/>
          <w:i w:val="1"/>
          <w:sz w:val="22"/>
          <w:szCs w:val="22"/>
          <w:rtl w:val="0"/>
        </w:rPr>
        <w:t xml:space="preserve">respuesta Menciona diversos números de oficios donde se detalla lo concerniente a mi solicitud, sin embargo no aborda el contenido de dichos oficios... Por lo anterior solicito respetuosamente, desglose el contenido de los oficios…</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B4">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como ya se hiciera mención,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primeramente dio una contestación, mediante tres oficios que previamente han sido descritos. Al respecto debe señalarse que dicha contestación, obra en los autos que integran el expediente formado con motivos de la solicitud de información y del recurso de revisión a que se dio origen.</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respecto, debe exponerse que el derecho de acceso a la información pública, es un derecho que versa sobre acceso a documentos, en los que conste u obre la información, por lo que los sujetos obligados deben entregarla en el estado en que se encuentra sin la necesidad de procesarla o entregarla conforme a los intereses de los particulares.</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Este Órgano Garante en distintas oportunidades ha señalado que responder a solicitudes de información, a través de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w:t>
      </w:r>
      <w:r w:rsidDel="00000000" w:rsidR="00000000" w:rsidRPr="00000000">
        <w:rPr>
          <w:rFonts w:ascii="Palatino Linotype" w:cs="Palatino Linotype" w:eastAsia="Palatino Linotype" w:hAnsi="Palatino Linotype"/>
          <w:b w:val="1"/>
          <w:color w:val="000000"/>
          <w:rtl w:val="0"/>
        </w:rPr>
        <w:t xml:space="preserve">resumir diversos documentos para simplificar su contenido, efectuar cálculos o realizar una investigación para generar un nuevo documento</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color w:val="000000"/>
          <w:vertAlign w:val="superscript"/>
        </w:rPr>
        <w:footnoteReference w:customMarkFollows="0" w:id="2"/>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Sistemáticamente hemos señalado, y así lo entienden tanto otros Órganos Garantes</w:t>
      </w:r>
      <w:r w:rsidDel="00000000" w:rsidR="00000000" w:rsidRPr="00000000">
        <w:rPr>
          <w:rFonts w:ascii="Palatino Linotype" w:cs="Palatino Linotype" w:eastAsia="Palatino Linotype" w:hAnsi="Palatino Linotype"/>
          <w:color w:val="000000"/>
          <w:vertAlign w:val="superscript"/>
        </w:rPr>
        <w:footnoteReference w:customMarkFollows="0" w:id="3"/>
      </w:r>
      <w:r w:rsidDel="00000000" w:rsidR="00000000" w:rsidRPr="00000000">
        <w:rPr>
          <w:rFonts w:ascii="Palatino Linotype" w:cs="Palatino Linotype" w:eastAsia="Palatino Linotype" w:hAnsi="Palatino Linotype"/>
          <w:color w:val="000000"/>
          <w:rtl w:val="0"/>
        </w:rPr>
        <w:t xml:space="preserve">Como Órganos Internacionales Especializados,</w:t>
      </w:r>
      <w:r w:rsidDel="00000000" w:rsidR="00000000" w:rsidRPr="00000000">
        <w:rPr>
          <w:rFonts w:ascii="Palatino Linotype" w:cs="Palatino Linotype" w:eastAsia="Palatino Linotype" w:hAnsi="Palatino Linotype"/>
          <w:color w:val="000000"/>
          <w:vertAlign w:val="superscript"/>
        </w:rPr>
        <w:footnoteReference w:customMarkFollows="0" w:id="4"/>
      </w:r>
      <w:r w:rsidDel="00000000" w:rsidR="00000000" w:rsidRPr="00000000">
        <w:rPr>
          <w:rFonts w:ascii="Palatino Linotype" w:cs="Palatino Linotype" w:eastAsia="Palatino Linotype" w:hAnsi="Palatino Linotype"/>
          <w:color w:val="000000"/>
          <w:rtl w:val="0"/>
        </w:rPr>
        <w:t xml:space="preserve"> que el derecho de acceso a la información pública consiste en el acceso a documentos generados por la autoridad con antelación a que fuera presentada la solicitud de acceso a la información pública.</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color w:val="000000"/>
          <w:rtl w:val="0"/>
        </w:rPr>
        <w:t xml:space="preserve">Es decir, el Derecho de Acceso a la Información Pública se satisface en aquellos casos en que </w:t>
      </w:r>
      <w:r w:rsidDel="00000000" w:rsidR="00000000" w:rsidRPr="00000000">
        <w:rPr>
          <w:rFonts w:ascii="Palatino Linotype" w:cs="Palatino Linotype" w:eastAsia="Palatino Linotype" w:hAnsi="Palatino Linotype"/>
          <w:b w:val="1"/>
          <w:color w:val="000000"/>
          <w:u w:val="single"/>
          <w:rtl w:val="0"/>
        </w:rPr>
        <w:t xml:space="preserve">se entregue el soporte documental en que conste la información pública</w:t>
      </w:r>
      <w:r w:rsidDel="00000000" w:rsidR="00000000" w:rsidRPr="00000000">
        <w:rPr>
          <w:rFonts w:ascii="Palatino Linotype" w:cs="Palatino Linotype" w:eastAsia="Palatino Linotype" w:hAnsi="Palatino Linotype"/>
          <w:color w:val="000000"/>
          <w:rtl w:val="0"/>
        </w:rPr>
        <w:t xml:space="preserve">, toda vez que no se tiene el deber de generar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para satisfacer la solicitud.</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color w:val="000000"/>
          <w:rtl w:val="0"/>
        </w:rPr>
        <w:t xml:space="preserve">Como apoyo a lo anterior, es aplicable por analogía el Criterio 09-10, emitido por el Pleno del entonces Instituto Federal de Acceso a la Información y Protección de Datos, que a la letra dice:</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BF">
      <w:pPr>
        <w:ind w:left="851" w:right="902" w:firstLine="0"/>
        <w:jc w:val="both"/>
        <w:rPr>
          <w:rFonts w:ascii="Palatino Linotype" w:cs="Palatino Linotype" w:eastAsia="Palatino Linotype" w:hAnsi="Palatino Linotype"/>
          <w:i w:val="1"/>
          <w:color w:val="212121"/>
        </w:rPr>
      </w:pPr>
      <w:r w:rsidDel="00000000" w:rsidR="00000000" w:rsidRPr="00000000">
        <w:rPr>
          <w:rFonts w:ascii="Palatino Linotype" w:cs="Palatino Linotype" w:eastAsia="Palatino Linotype" w:hAnsi="Palatino Linotype"/>
          <w:b w:val="1"/>
          <w:i w:val="1"/>
          <w:color w:val="21212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color w:val="21212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C0">
      <w:pPr>
        <w:ind w:left="851" w:right="90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Resoluciones: </w:t>
      </w:r>
    </w:p>
    <w:p w:rsidR="00000000" w:rsidDel="00000000" w:rsidP="00000000" w:rsidRDefault="00000000" w:rsidRPr="00000000" w14:paraId="000000C1">
      <w:pPr>
        <w:ind w:left="851" w:right="902"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C2">
      <w:pPr>
        <w:ind w:left="851" w:right="902" w:firstLine="0"/>
        <w:jc w:val="both"/>
        <w:rPr>
          <w:rFonts w:ascii="Palatino Linotype" w:cs="Palatino Linotype" w:eastAsia="Palatino Linotype" w:hAnsi="Palatino Linotype"/>
          <w:i w:val="1"/>
          <w:color w:val="000000"/>
        </w:rPr>
      </w:pPr>
      <w:r w:rsidDel="00000000" w:rsidR="00000000" w:rsidRPr="00000000">
        <w:rPr>
          <w:rFonts w:ascii="Noto Sans Symbols" w:cs="Noto Sans Symbols" w:eastAsia="Noto Sans Symbols" w:hAnsi="Noto Sans Symbols"/>
          <w:i w:val="1"/>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C3">
      <w:pPr>
        <w:ind w:left="851" w:right="902" w:firstLine="0"/>
        <w:jc w:val="both"/>
        <w:rPr>
          <w:rFonts w:ascii="Palatino Linotype" w:cs="Palatino Linotype" w:eastAsia="Palatino Linotype" w:hAnsi="Palatino Linotype"/>
          <w:i w:val="1"/>
          <w:color w:val="000000"/>
        </w:rPr>
      </w:pPr>
      <w:r w:rsidDel="00000000" w:rsidR="00000000" w:rsidRPr="00000000">
        <w:rPr>
          <w:rFonts w:ascii="Noto Sans Symbols" w:cs="Noto Sans Symbols" w:eastAsia="Noto Sans Symbols" w:hAnsi="Noto Sans Symbols"/>
          <w:i w:val="1"/>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C4">
      <w:pPr>
        <w:ind w:left="851" w:right="902" w:firstLine="0"/>
        <w:jc w:val="both"/>
        <w:rPr>
          <w:rFonts w:ascii="Palatino Linotype" w:cs="Palatino Linotype" w:eastAsia="Palatino Linotype" w:hAnsi="Palatino Linotype"/>
          <w:i w:val="1"/>
          <w:color w:val="000000"/>
        </w:rPr>
      </w:pPr>
      <w:r w:rsidDel="00000000" w:rsidR="00000000" w:rsidRPr="00000000">
        <w:rPr>
          <w:rFonts w:ascii="Noto Sans Symbols" w:cs="Noto Sans Symbols" w:eastAsia="Noto Sans Symbols" w:hAnsi="Noto Sans Symbols"/>
          <w:i w:val="1"/>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 RRA 1889/16. Secretaría de Hacienda y Crédito Público. 05 de octubre de 2016. Por unanimidad. Comisionada Ponente. Ximena Puente de la Mora.”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6">
      <w:pPr>
        <w:spacing w:after="36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razón de lo anterior, en el presente caso no resulta procedente el motivo de inconformidad formulado por el particular en el que solicita le sean desglosado por parte del SUJETO OBLIGADO los oficios que fueron entregados como respuesta por este en consideración  a que, como fue señalado ya fueron puestos a su consideración máxime que dentro de las atribuciones  en materia de transparencia  no se contempla lo relativo a </w:t>
      </w:r>
      <w:r w:rsidDel="00000000" w:rsidR="00000000" w:rsidRPr="00000000">
        <w:rPr>
          <w:rFonts w:ascii="Palatino Linotype" w:cs="Palatino Linotype" w:eastAsia="Palatino Linotype" w:hAnsi="Palatino Linotype"/>
          <w:b w:val="1"/>
          <w:rtl w:val="0"/>
        </w:rPr>
        <w:t xml:space="preserve">resumir diversos documentos para simplificar su contenido, efectuar cálculos o realizar una investigación para generar un nuevo documento.</w:t>
      </w:r>
      <w:r w:rsidDel="00000000" w:rsidR="00000000" w:rsidRPr="00000000">
        <w:rPr>
          <w:rtl w:val="0"/>
        </w:rPr>
      </w:r>
    </w:p>
    <w:p w:rsidR="00000000" w:rsidDel="00000000" w:rsidP="00000000" w:rsidRDefault="00000000" w:rsidRPr="00000000" w14:paraId="000000C7">
      <w:pPr>
        <w:spacing w:after="36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Agotado lo anterior,  considerando la segunda parte de los motivos de disenso señalados por el particular en el que señala: “…</w:t>
      </w:r>
      <w:r w:rsidDel="00000000" w:rsidR="00000000" w:rsidRPr="00000000">
        <w:rPr>
          <w:rFonts w:ascii="Palatino Linotype" w:cs="Palatino Linotype" w:eastAsia="Palatino Linotype" w:hAnsi="Palatino Linotype"/>
          <w:i w:val="1"/>
          <w:sz w:val="22"/>
          <w:szCs w:val="22"/>
          <w:rtl w:val="0"/>
        </w:rPr>
        <w:t xml:space="preserve">me proporcione oportunamente la información requerida</w:t>
      </w:r>
      <w:r w:rsidDel="00000000" w:rsidR="00000000" w:rsidRPr="00000000">
        <w:rPr>
          <w:rFonts w:ascii="Palatino Linotype" w:cs="Palatino Linotype" w:eastAsia="Palatino Linotype" w:hAnsi="Palatino Linotype"/>
          <w:color w:val="000000"/>
          <w:rtl w:val="0"/>
        </w:rPr>
        <w:t xml:space="preserve">”.  A efectos de  enterar en materia,  es de importancia comenzar con lo que señala la Ley Orgánica de la Administración Pública del Estado de México, en su artículo 19, de donde destaca  que para el estudio, planeación y despacho de los asuntos, en los diversos ramos de la Administración Pública del Estado, auxiliarán al Titular del Ejecutivo, diversas dependencias, entre las que destaca la </w:t>
      </w:r>
      <w:r w:rsidDel="00000000" w:rsidR="00000000" w:rsidRPr="00000000">
        <w:rPr>
          <w:rFonts w:ascii="Palatino Linotype" w:cs="Palatino Linotype" w:eastAsia="Palatino Linotype" w:hAnsi="Palatino Linotype"/>
          <w:b w:val="1"/>
          <w:color w:val="000000"/>
          <w:rtl w:val="0"/>
        </w:rPr>
        <w:t xml:space="preserve">Secretaría de Desarrollo Urbano y Obra</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426"/>
        </w:tabs>
        <w:spacing w:before="240" w:line="360" w:lineRule="auto"/>
        <w:ind w:right="5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la Secretaría de Desarrollo Urbano y Obra es la dependencia encargada del ordenamiento territorial de los asentamientos humanos, de regular el desarrollo urbano de los centros de población y la vivienda, y de coordinar y evaluar, en el ámbito del territorio estatal, las acciones y programas orientados al </w:t>
      </w:r>
      <w:r w:rsidDel="00000000" w:rsidR="00000000" w:rsidRPr="00000000">
        <w:rPr>
          <w:rFonts w:ascii="Palatino Linotype" w:cs="Palatino Linotype" w:eastAsia="Palatino Linotype" w:hAnsi="Palatino Linotype"/>
          <w:b w:val="1"/>
          <w:color w:val="000000"/>
          <w:rtl w:val="0"/>
        </w:rPr>
        <w:t xml:space="preserve">desarrollo armónico y sustentable de las zonas metropolitanas</w:t>
      </w:r>
      <w:r w:rsidDel="00000000" w:rsidR="00000000" w:rsidRPr="00000000">
        <w:rPr>
          <w:rFonts w:ascii="Palatino Linotype" w:cs="Palatino Linotype" w:eastAsia="Palatino Linotype" w:hAnsi="Palatino Linotype"/>
          <w:color w:val="000000"/>
          <w:rtl w:val="0"/>
        </w:rPr>
        <w:t xml:space="preserve">, así como de ejecutar obras públicas a su cargo, y de promover y ejecutar las acciones para el desarrollo de infraestructura en la Entidad; por lo que corresponderá, entre otros, el despacho de los siguientes asuntos</w:t>
      </w:r>
      <w:r w:rsidDel="00000000" w:rsidR="00000000" w:rsidRPr="00000000">
        <w:rPr>
          <w:rFonts w:ascii="Palatino Linotype" w:cs="Palatino Linotype" w:eastAsia="Palatino Linotype" w:hAnsi="Palatino Linotype"/>
          <w:color w:val="000000"/>
          <w:vertAlign w:val="superscript"/>
        </w:rPr>
        <w:footnoteReference w:customMarkFollows="0" w:id="5"/>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426"/>
        </w:tabs>
        <w:spacing w:line="360" w:lineRule="auto"/>
        <w:ind w:right="51"/>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A">
      <w:pPr>
        <w:numPr>
          <w:ilvl w:val="1"/>
          <w:numId w:val="5"/>
        </w:numPr>
        <w:pBdr>
          <w:top w:space="0" w:sz="0" w:val="nil"/>
          <w:left w:space="0" w:sz="0" w:val="nil"/>
          <w:bottom w:space="0" w:sz="0" w:val="nil"/>
          <w:right w:space="0" w:sz="0" w:val="nil"/>
          <w:between w:space="0" w:sz="0" w:val="nil"/>
        </w:pBdr>
        <w:tabs>
          <w:tab w:val="left" w:leader="none" w:pos="426"/>
        </w:tabs>
        <w:spacing w:line="360" w:lineRule="auto"/>
        <w:ind w:left="993"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Formular y conducir las políticas estatales de </w:t>
      </w:r>
      <w:r w:rsidDel="00000000" w:rsidR="00000000" w:rsidRPr="00000000">
        <w:rPr>
          <w:rFonts w:ascii="Palatino Linotype" w:cs="Palatino Linotype" w:eastAsia="Palatino Linotype" w:hAnsi="Palatino Linotype"/>
          <w:b w:val="1"/>
          <w:color w:val="000000"/>
          <w:rtl w:val="0"/>
        </w:rPr>
        <w:t xml:space="preserve">asentamientos humanos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ordenamiento territorial</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desarrollo urbano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vivienda</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obras públicas</w:t>
      </w:r>
      <w:r w:rsidDel="00000000" w:rsidR="00000000" w:rsidRPr="00000000">
        <w:rPr>
          <w:rFonts w:ascii="Palatino Linotype" w:cs="Palatino Linotype" w:eastAsia="Palatino Linotype" w:hAnsi="Palatino Linotype"/>
          <w:color w:val="000000"/>
          <w:rtl w:val="0"/>
        </w:rPr>
        <w:t xml:space="preserve"> e </w:t>
      </w:r>
      <w:r w:rsidDel="00000000" w:rsidR="00000000" w:rsidRPr="00000000">
        <w:rPr>
          <w:rFonts w:ascii="Palatino Linotype" w:cs="Palatino Linotype" w:eastAsia="Palatino Linotype" w:hAnsi="Palatino Linotype"/>
          <w:b w:val="1"/>
          <w:color w:val="000000"/>
          <w:rtl w:val="0"/>
        </w:rPr>
        <w:t xml:space="preserve">infraestructura</w:t>
      </w:r>
      <w:r w:rsidDel="00000000" w:rsidR="00000000" w:rsidRPr="00000000">
        <w:rPr>
          <w:rFonts w:ascii="Palatino Linotype" w:cs="Palatino Linotype" w:eastAsia="Palatino Linotype" w:hAnsi="Palatino Linotype"/>
          <w:color w:val="000000"/>
          <w:rtl w:val="0"/>
        </w:rPr>
        <w:t xml:space="preserve"> para el desarrollo;</w:t>
      </w:r>
    </w:p>
    <w:p w:rsidR="00000000" w:rsidDel="00000000" w:rsidP="00000000" w:rsidRDefault="00000000" w:rsidRPr="00000000" w14:paraId="000000CB">
      <w:pPr>
        <w:numPr>
          <w:ilvl w:val="1"/>
          <w:numId w:val="5"/>
        </w:numPr>
        <w:pBdr>
          <w:top w:space="0" w:sz="0" w:val="nil"/>
          <w:left w:space="0" w:sz="0" w:val="nil"/>
          <w:bottom w:space="0" w:sz="0" w:val="nil"/>
          <w:right w:space="0" w:sz="0" w:val="nil"/>
          <w:between w:space="0" w:sz="0" w:val="nil"/>
        </w:pBdr>
        <w:tabs>
          <w:tab w:val="left" w:leader="none" w:pos="426"/>
        </w:tabs>
        <w:spacing w:line="360" w:lineRule="auto"/>
        <w:ind w:left="993"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Promover la implantación de </w:t>
      </w:r>
      <w:r w:rsidDel="00000000" w:rsidR="00000000" w:rsidRPr="00000000">
        <w:rPr>
          <w:rFonts w:ascii="Palatino Linotype" w:cs="Palatino Linotype" w:eastAsia="Palatino Linotype" w:hAnsi="Palatino Linotype"/>
          <w:b w:val="1"/>
          <w:color w:val="000000"/>
          <w:rtl w:val="0"/>
        </w:rPr>
        <w:t xml:space="preserve">planes municipales</w:t>
      </w:r>
      <w:r w:rsidDel="00000000" w:rsidR="00000000" w:rsidRPr="00000000">
        <w:rPr>
          <w:rFonts w:ascii="Palatino Linotype" w:cs="Palatino Linotype" w:eastAsia="Palatino Linotype" w:hAnsi="Palatino Linotype"/>
          <w:color w:val="000000"/>
          <w:rtl w:val="0"/>
        </w:rPr>
        <w:t xml:space="preserve"> de desarrollo urbano;</w:t>
      </w:r>
    </w:p>
    <w:p w:rsidR="00000000" w:rsidDel="00000000" w:rsidP="00000000" w:rsidRDefault="00000000" w:rsidRPr="00000000" w14:paraId="000000CC">
      <w:pPr>
        <w:numPr>
          <w:ilvl w:val="1"/>
          <w:numId w:val="5"/>
        </w:numPr>
        <w:pBdr>
          <w:top w:space="0" w:sz="0" w:val="nil"/>
          <w:left w:space="0" w:sz="0" w:val="nil"/>
          <w:bottom w:space="0" w:sz="0" w:val="nil"/>
          <w:right w:space="0" w:sz="0" w:val="nil"/>
          <w:between w:space="0" w:sz="0" w:val="nil"/>
        </w:pBdr>
        <w:tabs>
          <w:tab w:val="left" w:leader="none" w:pos="426"/>
        </w:tabs>
        <w:spacing w:line="360" w:lineRule="auto"/>
        <w:ind w:left="993"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Promover y vigilar el </w:t>
      </w:r>
      <w:r w:rsidDel="00000000" w:rsidR="00000000" w:rsidRPr="00000000">
        <w:rPr>
          <w:rFonts w:ascii="Palatino Linotype" w:cs="Palatino Linotype" w:eastAsia="Palatino Linotype" w:hAnsi="Palatino Linotype"/>
          <w:b w:val="1"/>
          <w:color w:val="000000"/>
          <w:rtl w:val="0"/>
        </w:rPr>
        <w:t xml:space="preserve">desarrollo urbano</w:t>
      </w:r>
      <w:r w:rsidDel="00000000" w:rsidR="00000000" w:rsidRPr="00000000">
        <w:rPr>
          <w:rFonts w:ascii="Palatino Linotype" w:cs="Palatino Linotype" w:eastAsia="Palatino Linotype" w:hAnsi="Palatino Linotype"/>
          <w:color w:val="000000"/>
          <w:rtl w:val="0"/>
        </w:rPr>
        <w:t xml:space="preserve"> de las comunidades y de los centros de población del Estado;</w:t>
      </w:r>
    </w:p>
    <w:p w:rsidR="00000000" w:rsidDel="00000000" w:rsidP="00000000" w:rsidRDefault="00000000" w:rsidRPr="00000000" w14:paraId="000000CD">
      <w:pPr>
        <w:numPr>
          <w:ilvl w:val="1"/>
          <w:numId w:val="5"/>
        </w:numPr>
        <w:pBdr>
          <w:top w:space="0" w:sz="0" w:val="nil"/>
          <w:left w:space="0" w:sz="0" w:val="nil"/>
          <w:bottom w:space="0" w:sz="0" w:val="nil"/>
          <w:right w:space="0" w:sz="0" w:val="nil"/>
          <w:between w:space="0" w:sz="0" w:val="nil"/>
        </w:pBdr>
        <w:tabs>
          <w:tab w:val="left" w:leader="none" w:pos="426"/>
        </w:tabs>
        <w:spacing w:line="360" w:lineRule="auto"/>
        <w:ind w:left="993"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Proponer</w:t>
      </w:r>
      <w:r w:rsidDel="00000000" w:rsidR="00000000" w:rsidRPr="00000000">
        <w:rPr>
          <w:rFonts w:ascii="Palatino Linotype" w:cs="Palatino Linotype" w:eastAsia="Palatino Linotype" w:hAnsi="Palatino Linotype"/>
          <w:color w:val="000000"/>
          <w:rtl w:val="0"/>
        </w:rPr>
        <w:t xml:space="preserve"> al Ejecutivo del Estado la celebración de convenios en materia de desarrollo urbano, vivienda, obra pública e infraestructura y participar en su ejecución;</w:t>
      </w:r>
    </w:p>
    <w:p w:rsidR="00000000" w:rsidDel="00000000" w:rsidP="00000000" w:rsidRDefault="00000000" w:rsidRPr="00000000" w14:paraId="000000CE">
      <w:pPr>
        <w:numPr>
          <w:ilvl w:val="1"/>
          <w:numId w:val="5"/>
        </w:numPr>
        <w:pBdr>
          <w:top w:space="0" w:sz="0" w:val="nil"/>
          <w:left w:space="0" w:sz="0" w:val="nil"/>
          <w:bottom w:space="0" w:sz="0" w:val="nil"/>
          <w:right w:space="0" w:sz="0" w:val="nil"/>
          <w:between w:space="0" w:sz="0" w:val="nil"/>
        </w:pBdr>
        <w:tabs>
          <w:tab w:val="left" w:leader="none" w:pos="426"/>
        </w:tabs>
        <w:spacing w:line="360" w:lineRule="auto"/>
        <w:ind w:left="993"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Promover</w:t>
      </w:r>
      <w:r w:rsidDel="00000000" w:rsidR="00000000" w:rsidRPr="00000000">
        <w:rPr>
          <w:rFonts w:ascii="Palatino Linotype" w:cs="Palatino Linotype" w:eastAsia="Palatino Linotype" w:hAnsi="Palatino Linotype"/>
          <w:color w:val="000000"/>
          <w:rtl w:val="0"/>
        </w:rPr>
        <w:t xml:space="preserve"> el financiamiento y la construcción, instalación, conservación, mantenimiento o mejoramiento de obras de urbanización, infraestructura y equipamiento urbano;</w:t>
      </w:r>
    </w:p>
    <w:p w:rsidR="00000000" w:rsidDel="00000000" w:rsidP="00000000" w:rsidRDefault="00000000" w:rsidRPr="00000000" w14:paraId="000000CF">
      <w:pPr>
        <w:numPr>
          <w:ilvl w:val="1"/>
          <w:numId w:val="5"/>
        </w:numPr>
        <w:pBdr>
          <w:top w:space="0" w:sz="0" w:val="nil"/>
          <w:left w:space="0" w:sz="0" w:val="nil"/>
          <w:bottom w:space="0" w:sz="0" w:val="nil"/>
          <w:right w:space="0" w:sz="0" w:val="nil"/>
          <w:between w:space="0" w:sz="0" w:val="nil"/>
        </w:pBdr>
        <w:tabs>
          <w:tab w:val="left" w:leader="none" w:pos="426"/>
        </w:tabs>
        <w:spacing w:line="360" w:lineRule="auto"/>
        <w:ind w:left="993"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Establecer</w:t>
      </w:r>
      <w:r w:rsidDel="00000000" w:rsidR="00000000" w:rsidRPr="00000000">
        <w:rPr>
          <w:rFonts w:ascii="Palatino Linotype" w:cs="Palatino Linotype" w:eastAsia="Palatino Linotype" w:hAnsi="Palatino Linotype"/>
          <w:color w:val="000000"/>
          <w:rtl w:val="0"/>
        </w:rPr>
        <w:t xml:space="preserve"> los lineamientos para la regulación de la tenencia de la tierra en el Estado;</w:t>
      </w:r>
    </w:p>
    <w:p w:rsidR="00000000" w:rsidDel="00000000" w:rsidP="00000000" w:rsidRDefault="00000000" w:rsidRPr="00000000" w14:paraId="000000D0">
      <w:pPr>
        <w:numPr>
          <w:ilvl w:val="1"/>
          <w:numId w:val="5"/>
        </w:numPr>
        <w:pBdr>
          <w:top w:space="0" w:sz="0" w:val="nil"/>
          <w:left w:space="0" w:sz="0" w:val="nil"/>
          <w:bottom w:space="0" w:sz="0" w:val="nil"/>
          <w:right w:space="0" w:sz="0" w:val="nil"/>
          <w:between w:space="0" w:sz="0" w:val="nil"/>
        </w:pBdr>
        <w:tabs>
          <w:tab w:val="left" w:leader="none" w:pos="426"/>
        </w:tabs>
        <w:spacing w:line="360" w:lineRule="auto"/>
        <w:ind w:left="993"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Promover, apoyar y ejecutar programas de </w:t>
      </w:r>
      <w:r w:rsidDel="00000000" w:rsidR="00000000" w:rsidRPr="00000000">
        <w:rPr>
          <w:rFonts w:ascii="Palatino Linotype" w:cs="Palatino Linotype" w:eastAsia="Palatino Linotype" w:hAnsi="Palatino Linotype"/>
          <w:b w:val="1"/>
          <w:color w:val="000000"/>
          <w:rtl w:val="0"/>
        </w:rPr>
        <w:t xml:space="preserve">regularización</w:t>
      </w:r>
      <w:r w:rsidDel="00000000" w:rsidR="00000000" w:rsidRPr="00000000">
        <w:rPr>
          <w:rFonts w:ascii="Palatino Linotype" w:cs="Palatino Linotype" w:eastAsia="Palatino Linotype" w:hAnsi="Palatino Linotype"/>
          <w:color w:val="000000"/>
          <w:rtl w:val="0"/>
        </w:rPr>
        <w:t xml:space="preserve"> de la tenencia de la tierra, con la participación que corresponda a los municipios;</w:t>
      </w:r>
    </w:p>
    <w:p w:rsidR="00000000" w:rsidDel="00000000" w:rsidP="00000000" w:rsidRDefault="00000000" w:rsidRPr="00000000" w14:paraId="000000D1">
      <w:pPr>
        <w:numPr>
          <w:ilvl w:val="1"/>
          <w:numId w:val="5"/>
        </w:numPr>
        <w:pBdr>
          <w:top w:space="0" w:sz="0" w:val="nil"/>
          <w:left w:space="0" w:sz="0" w:val="nil"/>
          <w:bottom w:space="0" w:sz="0" w:val="nil"/>
          <w:right w:space="0" w:sz="0" w:val="nil"/>
          <w:between w:space="0" w:sz="0" w:val="nil"/>
        </w:pBdr>
        <w:tabs>
          <w:tab w:val="left" w:leader="none" w:pos="426"/>
        </w:tabs>
        <w:spacing w:line="360" w:lineRule="auto"/>
        <w:ind w:left="993" w:right="51"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Emitir autorizaciones para conjuntos urbanos, condominios, subdivisiones, fusiones, relotificaciones de predios y demás establecidas en los ordenamientos jurídicos aplicables, así como para el uso y disponibilidad del Agua por Zona o Región para que los municipios otorguen licencias de construcción de vivienda o industria;</w:t>
      </w:r>
    </w:p>
    <w:p w:rsidR="00000000" w:rsidDel="00000000" w:rsidP="00000000" w:rsidRDefault="00000000" w:rsidRPr="00000000" w14:paraId="000000D2">
      <w:pPr>
        <w:numPr>
          <w:ilvl w:val="1"/>
          <w:numId w:val="5"/>
        </w:numPr>
        <w:pBdr>
          <w:top w:space="0" w:sz="0" w:val="nil"/>
          <w:left w:space="0" w:sz="0" w:val="nil"/>
          <w:bottom w:space="0" w:sz="0" w:val="nil"/>
          <w:right w:space="0" w:sz="0" w:val="nil"/>
          <w:between w:space="0" w:sz="0" w:val="nil"/>
        </w:pBdr>
        <w:tabs>
          <w:tab w:val="left" w:leader="none" w:pos="426"/>
        </w:tabs>
        <w:spacing w:line="360" w:lineRule="auto"/>
        <w:ind w:left="993"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Establecer y vigilar el cumplimiento de los programas de </w:t>
      </w:r>
      <w:r w:rsidDel="00000000" w:rsidR="00000000" w:rsidRPr="00000000">
        <w:rPr>
          <w:rFonts w:ascii="Palatino Linotype" w:cs="Palatino Linotype" w:eastAsia="Palatino Linotype" w:hAnsi="Palatino Linotype"/>
          <w:b w:val="1"/>
          <w:color w:val="000000"/>
          <w:rtl w:val="0"/>
        </w:rPr>
        <w:t xml:space="preserve">adquisición</w:t>
      </w:r>
      <w:r w:rsidDel="00000000" w:rsidR="00000000" w:rsidRPr="00000000">
        <w:rPr>
          <w:rFonts w:ascii="Palatino Linotype" w:cs="Palatino Linotype" w:eastAsia="Palatino Linotype" w:hAnsi="Palatino Linotype"/>
          <w:color w:val="000000"/>
          <w:rtl w:val="0"/>
        </w:rPr>
        <w:t xml:space="preserve"> de reservas territoriales del Estado, con la participación que corresponda a otras autoridades;</w:t>
      </w:r>
    </w:p>
    <w:p w:rsidR="00000000" w:rsidDel="00000000" w:rsidP="00000000" w:rsidRDefault="00000000" w:rsidRPr="00000000" w14:paraId="000000D3">
      <w:pPr>
        <w:numPr>
          <w:ilvl w:val="1"/>
          <w:numId w:val="5"/>
        </w:numPr>
        <w:pBdr>
          <w:top w:space="0" w:sz="0" w:val="nil"/>
          <w:left w:space="0" w:sz="0" w:val="nil"/>
          <w:bottom w:space="0" w:sz="0" w:val="nil"/>
          <w:right w:space="0" w:sz="0" w:val="nil"/>
          <w:between w:space="0" w:sz="0" w:val="nil"/>
        </w:pBdr>
        <w:tabs>
          <w:tab w:val="left" w:leader="none" w:pos="426"/>
        </w:tabs>
        <w:spacing w:line="360" w:lineRule="auto"/>
        <w:ind w:left="993"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Expedir la evaluación técnica de impacto en materia urbana de conformidad a los ordenamientos jurídicos aplicables y emitir, a través de la Comisión del Agua del Estado de México, la evaluación técnica de impacto en materia de distribución de agua, así como la de agua, drenaje, alcantarillado y tratamiento de aguas residuales;</w:t>
      </w:r>
    </w:p>
    <w:p w:rsidR="00000000" w:rsidDel="00000000" w:rsidP="00000000" w:rsidRDefault="00000000" w:rsidRPr="00000000" w14:paraId="000000D4">
      <w:pPr>
        <w:numPr>
          <w:ilvl w:val="1"/>
          <w:numId w:val="5"/>
        </w:numPr>
        <w:pBdr>
          <w:top w:space="0" w:sz="0" w:val="nil"/>
          <w:left w:space="0" w:sz="0" w:val="nil"/>
          <w:bottom w:space="0" w:sz="0" w:val="nil"/>
          <w:right w:space="0" w:sz="0" w:val="nil"/>
          <w:between w:space="0" w:sz="0" w:val="nil"/>
        </w:pBdr>
        <w:tabs>
          <w:tab w:val="left" w:leader="none" w:pos="426"/>
        </w:tabs>
        <w:spacing w:after="240" w:line="360" w:lineRule="auto"/>
        <w:ind w:left="993"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Construir, mantener o modificar, en su caso, la obra pública que corresponda al desarrollo y equipamiento urbano y </w:t>
      </w:r>
      <w:r w:rsidDel="00000000" w:rsidR="00000000" w:rsidRPr="00000000">
        <w:rPr>
          <w:rFonts w:ascii="Palatino Linotype" w:cs="Palatino Linotype" w:eastAsia="Palatino Linotype" w:hAnsi="Palatino Linotype"/>
          <w:b w:val="1"/>
          <w:color w:val="000000"/>
          <w:rtl w:val="0"/>
        </w:rPr>
        <w:t xml:space="preserve">que no competa a otras autoridades</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Previo al análisis de la respuesta, es necesario traer a contexto, lo dispuesto por el artículo 162 de la Ley de Transparencia y Acceso a la Información Pública del Estado de México y Municipios, que es del texto literal siguiente: </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162</w:t>
      </w:r>
      <w:r w:rsidDel="00000000" w:rsidR="00000000" w:rsidRPr="00000000">
        <w:rPr>
          <w:rFonts w:ascii="Palatino Linotype" w:cs="Palatino Linotype" w:eastAsia="Palatino Linotype" w:hAnsi="Palatino Linotype"/>
          <w:i w:val="1"/>
          <w:color w:val="000000"/>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Ordenamiento jurídico que constriñe a los Titulares de las Unidades de Transparencia para que una vez que reciben las solicitudes se turnen a las áreas que de acuerdo a sus facultades competencias y funciones cuenten o deban tener la información solicitada. </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así que, en el asunto que nos ocupa resolver, el Titular de la Unidad de Transparencia realizó los requerimientos correspondientes a los Servidores Públicos Habilitados de:</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C">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Director General de la Comisión de impacto Estatal;</w:t>
      </w:r>
    </w:p>
    <w:p w:rsidR="00000000" w:rsidDel="00000000" w:rsidP="00000000" w:rsidRDefault="00000000" w:rsidRPr="00000000" w14:paraId="000000DD">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 Director General de Planeación Urbana, y, </w:t>
      </w:r>
    </w:p>
    <w:p w:rsidR="00000000" w:rsidDel="00000000" w:rsidP="00000000" w:rsidRDefault="00000000" w:rsidRPr="00000000" w14:paraId="000000DE">
      <w:pPr>
        <w:numPr>
          <w:ilvl w:val="0"/>
          <w:numId w:val="1"/>
        </w:numPr>
        <w:pBdr>
          <w:top w:space="0" w:sz="0" w:val="nil"/>
          <w:left w:space="0" w:sz="0" w:val="nil"/>
          <w:bottom w:space="0" w:sz="0" w:val="nil"/>
          <w:right w:space="0" w:sz="0" w:val="nil"/>
          <w:between w:space="0" w:sz="0" w:val="nil"/>
        </w:pBdr>
        <w:spacing w:after="36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 Directora General de Operación y Control Urbano.</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sentido, es conveniente señalar en primer término que, el artículo 4 del Reglamento Interior de la Secretaría de Desarrollo Urbano y Obra  establece: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4. Al frente de la Secretaría estará una persona titular quien, para el desahogo de los asuntos de su competencia, se auxiliará de las Unidades Administrativas siguientes:</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Subsecretaría de Desarrollo Urbano, Agua y Obra Pública; </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II. Dirección General de Planeación Urbana; </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Dirección General de Proyectos y Coordinación Metropolitana;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IV. Dirección General de Operación y Control Urbano; </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Dirección General de Proyectos, Concursos y Contratos; </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Dirección General de Construcción de Obra Pública;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Coordinación Administrativa, y </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rtl w:val="0"/>
        </w:rPr>
        <w:t xml:space="preserve">VIII. Coordinación Jurídica y de Igualdad de Género.”(Sic)</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sentido, la </w:t>
      </w:r>
      <w:r w:rsidDel="00000000" w:rsidR="00000000" w:rsidRPr="00000000">
        <w:rPr>
          <w:rFonts w:ascii="Palatino Linotype" w:cs="Palatino Linotype" w:eastAsia="Palatino Linotype" w:hAnsi="Palatino Linotype"/>
          <w:b w:val="1"/>
          <w:rtl w:val="0"/>
        </w:rPr>
        <w:t xml:space="preserve">Dirección  General de Planeación Urbana </w:t>
      </w:r>
      <w:r w:rsidDel="00000000" w:rsidR="00000000" w:rsidRPr="00000000">
        <w:rPr>
          <w:rFonts w:ascii="Palatino Linotype" w:cs="Palatino Linotype" w:eastAsia="Palatino Linotype" w:hAnsi="Palatino Linotype"/>
          <w:rtl w:val="0"/>
        </w:rPr>
        <w:t xml:space="preserve">señala al particular que después de realizar una búsqueda en el Sistema Estatal de Información del Desarrollo Urbano (SEIDU), no se localizó información alguna relacionada con el inmueble referido en la solicitud del particular, al respecto el</w:t>
      </w:r>
      <w:r w:rsidDel="00000000" w:rsidR="00000000" w:rsidRPr="00000000">
        <w:rPr>
          <w:rFonts w:ascii="Palatino Linotype" w:cs="Palatino Linotype" w:eastAsia="Palatino Linotype" w:hAnsi="Palatino Linotype"/>
          <w:color w:val="000000"/>
          <w:rtl w:val="0"/>
        </w:rPr>
        <w:t xml:space="preserve"> artículo 11 del Reglamento Interior de la Secretaría de Desarrollo Urbano y Obra  establece:</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“Artículo 11. Corresponde a la Dirección General de Planeación Urbana, las atribuciones siguientes: </w:t>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Emitir el dictamen de congruencia de los planes de desarrollo urbano de competencia municipal con las políticas y estrategias del Plan Estatal de Desarrollo Urbano y, en su caso, del Plan Regional de Desarrollo Urbano, así como de los parciales que deriven de éstos, informando a la persona titular de la Secretaría; </w:t>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F2">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Administrar, establecer y operar el Sistema Estatal de Información del Desarrollo Urbano, así como desarrollar sistemas cartográficos y de información que faciliten las actividades de la Secretaría; </w:t>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Administrar, establecer y operar el Sistema Estatal de Planes de Desarrollo Urbano;</w:t>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XII. Evaluar lo relativo a los asentamientos humanos en el Estado de México, con el propósito de establecer la situación, problemática y perspectiva del desarrollo urbano estatal, así como emitir opiniones y dictámenes técnicos en materia de planeación y desarrollo urbano; </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Promover y vigilar el desarrollo urbano de la entidad conforme al ámbito de su competencia y las disposiciones jurídicas aplicables; </w:t>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7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Vigilar el cumplimiento de las normas técnicas en materia de desarrollo urbano, y </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360" w:lineRule="auto"/>
        <w:ind w:right="61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normatividad en cita, destaca que  corresponde a la </w:t>
      </w:r>
      <w:r w:rsidDel="00000000" w:rsidR="00000000" w:rsidRPr="00000000">
        <w:rPr>
          <w:rFonts w:ascii="Palatino Linotype" w:cs="Palatino Linotype" w:eastAsia="Palatino Linotype" w:hAnsi="Palatino Linotype"/>
          <w:sz w:val="22"/>
          <w:szCs w:val="22"/>
          <w:u w:val="single"/>
          <w:rtl w:val="0"/>
        </w:rPr>
        <w:t xml:space="preserve">Dirección General de Operación y Control Urbano</w:t>
      </w:r>
      <w:r w:rsidDel="00000000" w:rsidR="00000000" w:rsidRPr="00000000">
        <w:rPr>
          <w:rFonts w:ascii="Palatino Linotype" w:cs="Palatino Linotype" w:eastAsia="Palatino Linotype" w:hAnsi="Palatino Linotype"/>
          <w:sz w:val="22"/>
          <w:szCs w:val="22"/>
          <w:rtl w:val="0"/>
        </w:rPr>
        <w:t xml:space="preserve">, las atribuciones siguientes:</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360"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 Corresponde a la </w:t>
      </w:r>
      <w:r w:rsidDel="00000000" w:rsidR="00000000" w:rsidRPr="00000000">
        <w:rPr>
          <w:rFonts w:ascii="Palatino Linotype" w:cs="Palatino Linotype" w:eastAsia="Palatino Linotype" w:hAnsi="Palatino Linotype"/>
          <w:b w:val="1"/>
          <w:i w:val="1"/>
          <w:sz w:val="22"/>
          <w:szCs w:val="22"/>
          <w:u w:val="single"/>
          <w:rtl w:val="0"/>
        </w:rPr>
        <w:t xml:space="preserve">Dirección General de Operación y Control Urbano</w:t>
      </w:r>
      <w:r w:rsidDel="00000000" w:rsidR="00000000" w:rsidRPr="00000000">
        <w:rPr>
          <w:rFonts w:ascii="Palatino Linotype" w:cs="Palatino Linotype" w:eastAsia="Palatino Linotype" w:hAnsi="Palatino Linotype"/>
          <w:i w:val="1"/>
          <w:sz w:val="22"/>
          <w:szCs w:val="22"/>
          <w:rtl w:val="0"/>
        </w:rPr>
        <w:t xml:space="preserve">, las atribuciones siguientes: </w:t>
      </w:r>
    </w:p>
    <w:p w:rsidR="00000000" w:rsidDel="00000000" w:rsidP="00000000" w:rsidRDefault="00000000" w:rsidRPr="00000000" w14:paraId="000000FF">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Autorizar conjuntos urbanos y condominios habitacionales, industriales o agroindustriales, de abasto, comercio y servicios, científicos, tecnológicos, y mixtos, así como su modificación, subrogación de la persona titular, cambio de modalidad, revocación, extinción por renuncia de su titular, subrogación de derechos y obligaciones, causahabiencia, o cualquier otro que sea necesario expedir en términos de las disposiciones jurídicas aplicables; </w:t>
      </w:r>
    </w:p>
    <w:p w:rsidR="00000000" w:rsidDel="00000000" w:rsidP="00000000" w:rsidRDefault="00000000" w:rsidRPr="00000000" w14:paraId="00000100">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Aprobar los proyectos de lotificación de conjuntos urbanos y condominios; </w:t>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Autorizar fusiones, subdivisiones y relotificaciones de predios, así como su modificación, subrogación del titular, revocación, extinción por renuncia de su titular, subrogación de derechos y obligaciones, causahabiencia, o cualquier otro que sea necesario expedir en términos de las disposiciones jurídicas aplicables; </w:t>
      </w:r>
    </w:p>
    <w:p w:rsidR="00000000" w:rsidDel="00000000" w:rsidP="00000000" w:rsidRDefault="00000000" w:rsidRPr="00000000" w14:paraId="00000105">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Emitir las evaluaciones técnicas de impacto en materia urbana y dar seguimiento al cumplimiento de las condicionantes establecidas en las mismas; </w:t>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VII. </w:t>
      </w:r>
      <w:r w:rsidDel="00000000" w:rsidR="00000000" w:rsidRPr="00000000">
        <w:rPr>
          <w:rFonts w:ascii="Palatino Linotype" w:cs="Palatino Linotype" w:eastAsia="Palatino Linotype" w:hAnsi="Palatino Linotype"/>
          <w:b w:val="1"/>
          <w:i w:val="1"/>
          <w:sz w:val="22"/>
          <w:szCs w:val="22"/>
          <w:u w:val="single"/>
          <w:rtl w:val="0"/>
        </w:rPr>
        <w:t xml:space="preserve">Emitir cédulas informativas de zonificación, licencias de uso del suelo, de cambio de uso del suelo, de densidad, del coeficiente de ocupación del suelo, del coeficiente de utilización del suelo y altura de edificaciones, en predios o inmuebles que se ubiquen en territorio de municipios a los que aún no se les haya transferido formalmente dichas funciones; </w:t>
      </w:r>
    </w:p>
    <w:p w:rsidR="00000000" w:rsidDel="00000000" w:rsidP="00000000" w:rsidRDefault="00000000" w:rsidRPr="00000000" w14:paraId="0000010A">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Vigilar, en su ámbito de competencia, el cumplimiento de las disposiciones jurídicas que regulan el ordenamiento territorial de los asentamientos humanos y el desarrollo urbano de los centros de población; </w:t>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Verificar el cumplimiento de las obligaciones que establecen los acuerdos de autorización de conjuntos urbanos, condominios, fusiones, subdivisiones, así como las señaladas en las demás autorizaciones que se otorguen durante la ejecución de los desarrollos autorizados y, en su caso, imponer las medidas de seguridad y/o las sanciones que prevén las disposiciones jurídicas en la materia;</w:t>
      </w:r>
    </w:p>
    <w:p w:rsidR="00000000" w:rsidDel="00000000" w:rsidP="00000000" w:rsidRDefault="00000000" w:rsidRPr="00000000" w14:paraId="0000010E">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F">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Verificar que las acciones de uso de suelo y edificación de vivienda cumplan con las disposiciones jurídicas aplicables en materia de ordenamiento territorial de los asentamientos humanos y del desarrollo urbano de los centros de población; “</w:t>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112">
      <w:pPr>
        <w:pBdr>
          <w:top w:space="0" w:sz="0" w:val="nil"/>
          <w:left w:space="0" w:sz="0" w:val="nil"/>
          <w:bottom w:space="0" w:sz="0" w:val="nil"/>
          <w:right w:space="0" w:sz="0" w:val="nil"/>
          <w:between w:space="0" w:sz="0" w:val="nil"/>
        </w:pBdr>
        <w:ind w:left="720"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ind w:right="616"/>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360" w:lineRule="auto"/>
        <w:ind w:right="61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Por otro lado, la  </w:t>
      </w:r>
      <w:r w:rsidDel="00000000" w:rsidR="00000000" w:rsidRPr="00000000">
        <w:rPr>
          <w:rFonts w:ascii="Palatino Linotype" w:cs="Palatino Linotype" w:eastAsia="Palatino Linotype" w:hAnsi="Palatino Linotype"/>
          <w:b w:val="1"/>
          <w:rtl w:val="0"/>
        </w:rPr>
        <w:t xml:space="preserve">Dirección  General de la Comisión de impacto Estatal</w:t>
      </w:r>
      <w:r w:rsidDel="00000000" w:rsidR="00000000" w:rsidRPr="00000000">
        <w:rPr>
          <w:rFonts w:ascii="Palatino Linotype" w:cs="Palatino Linotype" w:eastAsia="Palatino Linotype" w:hAnsi="Palatino Linotype"/>
          <w:sz w:val="22"/>
          <w:szCs w:val="22"/>
          <w:rtl w:val="0"/>
        </w:rPr>
        <w:t xml:space="preserve">  señala que ésta  </w:t>
      </w:r>
      <w:r w:rsidDel="00000000" w:rsidR="00000000" w:rsidRPr="00000000">
        <w:rPr>
          <w:rFonts w:ascii="Palatino Linotype" w:cs="Palatino Linotype" w:eastAsia="Palatino Linotype" w:hAnsi="Palatino Linotype"/>
          <w:rtl w:val="0"/>
        </w:rPr>
        <w:t xml:space="preserve">no emite permisos, cambios de usos de suelo o Dictámenes. Además, refiere que se realizó una búsqueda exhaustiva en los archivos de esa Comisión sin encontrarse dato, solicitud o documento relacionado con el inmueble que se menciona, al respecto para </w:t>
      </w:r>
      <w:r w:rsidDel="00000000" w:rsidR="00000000" w:rsidRPr="00000000">
        <w:rPr>
          <w:rFonts w:ascii="Palatino Linotype" w:cs="Palatino Linotype" w:eastAsia="Palatino Linotype" w:hAnsi="Palatino Linotype"/>
          <w:b w:val="1"/>
          <w:rtl w:val="0"/>
        </w:rPr>
        <w:t xml:space="preserve">determinar la validez de la respuesta</w:t>
      </w:r>
      <w:r w:rsidDel="00000000" w:rsidR="00000000" w:rsidRPr="00000000">
        <w:rPr>
          <w:rFonts w:ascii="Palatino Linotype" w:cs="Palatino Linotype" w:eastAsia="Palatino Linotype" w:hAnsi="Palatino Linotype"/>
          <w:b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es pertinente referir que, la Ley de la Comisión de Impacto Estatal, tiene como objeto crear la Comisión de Impacto Estatal, como un órgano desconcentrado de la Secretaría de Desarrollo Urbano y Obra, con autonomía técnica y operativa, como a continuación se observa:</w:t>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leader="none" w:pos="426"/>
        </w:tabs>
        <w:spacing w:line="360" w:lineRule="auto"/>
        <w:ind w:right="51"/>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left" w:leader="none" w:pos="426"/>
        </w:tabs>
        <w:ind w:left="720" w:right="828"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w:t>
      </w:r>
      <w:r w:rsidDel="00000000" w:rsidR="00000000" w:rsidRPr="00000000">
        <w:rPr>
          <w:rFonts w:ascii="Palatino Linotype" w:cs="Palatino Linotype" w:eastAsia="Palatino Linotype" w:hAnsi="Palatino Linotype"/>
          <w:i w:val="1"/>
          <w:color w:val="000000"/>
          <w:sz w:val="22"/>
          <w:szCs w:val="22"/>
          <w:rtl w:val="0"/>
        </w:rPr>
        <w:t xml:space="preserve"> La presente Ley de orden público e interés general y tiene por objeto crear la Comisión de Impacto Estatal, como un órgano desconcentrado de la Secretaría de Desarrollo Urbano y Obra, con autonomía técnica y operativa en el ejercicio de sus atribuciones, responsable de la emisión de la Evaluación de Impacto Estatal.”</w:t>
      </w:r>
      <w:r w:rsidDel="00000000" w:rsidR="00000000" w:rsidRPr="00000000">
        <w:rPr>
          <w:rFonts w:ascii="Palatino Linotype" w:cs="Palatino Linotype" w:eastAsia="Palatino Linotype" w:hAnsi="Palatino Linotype"/>
          <w:color w:val="000000"/>
          <w:sz w:val="22"/>
          <w:szCs w:val="22"/>
          <w:rtl w:val="0"/>
        </w:rPr>
        <w:t xml:space="preserve"> (Sic)</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dicho dispositivo legal establece que la Administración y representación de la Comisión de Impacto Estatal, estará a cargo de una persona titular de la Dirección General: </w:t>
      </w:r>
    </w:p>
    <w:p w:rsidR="00000000" w:rsidDel="00000000" w:rsidP="00000000" w:rsidRDefault="00000000" w:rsidRPr="00000000" w14:paraId="00000119">
      <w:pPr>
        <w:spacing w:after="240" w:before="240" w:lineRule="auto"/>
        <w:ind w:left="720" w:right="82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La administración y representación de la Comisión estará a cargo de una persona titular de la Dirección General, que será la máxima autoridad responsable del cumplimiento de las disposiciones jurídicas de la Comisión, quien será nombrado y removido por la o el titular de la Secretaría.” </w:t>
      </w:r>
    </w:p>
    <w:p w:rsidR="00000000" w:rsidDel="00000000" w:rsidP="00000000" w:rsidRDefault="00000000" w:rsidRPr="00000000" w14:paraId="0000011A">
      <w:pPr>
        <w:pBdr>
          <w:top w:space="0" w:sz="0" w:val="nil"/>
          <w:left w:space="0" w:sz="0" w:val="nil"/>
          <w:bottom w:space="0" w:sz="0" w:val="nil"/>
          <w:right w:space="0" w:sz="0" w:val="nil"/>
          <w:between w:space="0" w:sz="0" w:val="nil"/>
        </w:pBdr>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o la Titular de la Dirección General de la Comisión de Impacto Estatal, tiene las siguientes atribuciones</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76" w:lineRule="auto"/>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8. Son atribuciones de la persona Titular de la Dirección General:</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76" w:lineRule="auto"/>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76" w:lineRule="auto"/>
        <w:ind w:left="720" w:right="61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II. Planear, ordenar, coordinar, supervisar y evaluar las acciones necesarias para que la Comisión cumpla con su objeto;</w:t>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76" w:lineRule="auto"/>
        <w:ind w:left="720" w:right="61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III. Evaluar que la integración del expediente respectivo cuente con la documentación que se requiera para la tramitación y emisión de la Evaluación de Impacto Estatal;</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76" w:lineRule="auto"/>
        <w:ind w:left="720" w:right="61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IV. Evaluar que la documentación presentada con la solicitud cumpla con los requisitos jurídicos necesarios para la tramitación de la Evaluación de Impacto Estatal, que para tal efecto se establezcan en las disposiciones jurídicas aplicables, a través de la unidad administrativa de la Comisión correspondiente;</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76" w:lineRule="auto"/>
        <w:ind w:left="720"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Emitir y revocar la Evaluación de Impacto Estatal y demás determinaciones, en el ámbito de su competencia;</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76" w:lineRule="auto"/>
        <w:ind w:left="720" w:right="61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2"/>
          <w:szCs w:val="22"/>
          <w:rtl w:val="0"/>
        </w:rPr>
        <w:t xml:space="preserve">VIII. Vigilar el registro de las solicitudes de Evaluación de Impacto Estatal y demás trámites que realice la Comisión, el estado que guardan, así como de las Evaluaciones de Impacto Estatal emitidas y de las condiciones respectivas, en su caso;</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360" w:lineRule="auto"/>
        <w:ind w:right="61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360" w:lineRule="auto"/>
        <w:ind w:right="61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normativos citados, se colige que tanto  la Dirección General de Planeación Urbana, la Dirección General de la Comisión de Impacto Estatal; así como, la  Dirección  General de la Comisión de impacto Estatal,  son las áreas que por sus facultades, competencias y funciones que el propio Reglamento Interior  y la Ley de la Comisión de Impacto Estatal les confiere, son las responsables de: por un lado  administrar, establecer y operar el Sistema Estatal de Información del Desarrollo Urbano,  así como   promover y vigilar el desarrollo urbano de la entidad conforme al ámbito de su competencia y las disposiciones jurídicas aplicables; por su parte, a la comisión le es inherente   evaluar que la integración del expediente respectivo cuente con la documentación que se requiera para la tramitación y emisión de la Evaluación de Impacto Estatal. </w:t>
      </w:r>
      <w:r w:rsidDel="00000000" w:rsidR="00000000" w:rsidRPr="00000000">
        <w:rPr>
          <w:rFonts w:ascii="Palatino Linotype" w:cs="Palatino Linotype" w:eastAsia="Palatino Linotype" w:hAnsi="Palatino Linotype"/>
          <w:vertAlign w:val="superscript"/>
        </w:rPr>
        <w:footnoteReference w:customMarkFollows="0" w:id="6"/>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importante referir que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a través de la presentación del informe justificado ratificó la respuesta inicial y remitió los documentos que acreditan que en cumplimiento a lo dispuesto en el artículo 162 de la Ley de Transparencia y Acceso a la Información Pública del Estado de México y Municipios la Titular de la Unidad de Transparencia realizó los requerimientos correspondientes a las áreas que de acuerdo a sus facultades, competencias y funciones, podrían haber generado la información.</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en atención a la solicitud de información, motivo del recurso de revisión que ahora se analiza, la </w:t>
      </w:r>
      <w:r w:rsidDel="00000000" w:rsidR="00000000" w:rsidRPr="00000000">
        <w:rPr>
          <w:rFonts w:ascii="Palatino Linotype" w:cs="Palatino Linotype" w:eastAsia="Palatino Linotype" w:hAnsi="Palatino Linotype"/>
          <w:b w:val="1"/>
          <w:rtl w:val="0"/>
        </w:rPr>
        <w:t xml:space="preserve">Dirección  General de Planeación Urbana   y la Dirección  General de la Comisión de impacto Estatal son</w:t>
      </w:r>
      <w:r w:rsidDel="00000000" w:rsidR="00000000" w:rsidRPr="00000000">
        <w:rPr>
          <w:rFonts w:ascii="Palatino Linotype" w:cs="Palatino Linotype" w:eastAsia="Palatino Linotype" w:hAnsi="Palatino Linotype"/>
          <w:rtl w:val="0"/>
        </w:rPr>
        <w:t xml:space="preserve"> áreas que tienen competencia para conocer del requerimiento planteado por el recurrente </w:t>
      </w:r>
      <w:r w:rsidDel="00000000" w:rsidR="00000000" w:rsidRPr="00000000">
        <w:rPr>
          <w:rFonts w:ascii="Palatino Linotype" w:cs="Palatino Linotype" w:eastAsia="Palatino Linotype" w:hAnsi="Palatino Linotype"/>
          <w:b w:val="1"/>
          <w:rtl w:val="0"/>
        </w:rPr>
        <w:t xml:space="preserve">respondieron que realizaron una búsqueda de la información solicitada en relación con la dirección del bien inmueble referido en la solicitud de información, sin que fuera localizada documental que guarde relación con lo peticionado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estas dos áreas señalan que de conformidad con lo establecido en el artículo 12 de la Ley de Transparencia y Acceso a la Información Pública del Estado de México y Municipios, anteriormente invocado sólo proporcionará la información que obra en sus archivos, lo que a</w:t>
      </w:r>
      <w:r w:rsidDel="00000000" w:rsidR="00000000" w:rsidRPr="00000000">
        <w:rPr>
          <w:rFonts w:ascii="Palatino Linotype" w:cs="Palatino Linotype" w:eastAsia="Palatino Linotype" w:hAnsi="Palatino Linotype"/>
          <w:i w:val="1"/>
          <w:rtl w:val="0"/>
        </w:rPr>
        <w:t xml:space="preserve"> contrario sensu</w:t>
      </w:r>
      <w:r w:rsidDel="00000000" w:rsidR="00000000" w:rsidRPr="00000000">
        <w:rPr>
          <w:rFonts w:ascii="Palatino Linotype" w:cs="Palatino Linotype" w:eastAsia="Palatino Linotype" w:hAnsi="Palatino Linotype"/>
          <w:rtl w:val="0"/>
        </w:rPr>
        <w:t xml:space="preserve"> significa que no se está obligado a proporcionar lo que no obre en sus archivos. </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así que, en atención a la solicitud de información, motivo del recurso de revisión que ahora se analiza,  las áreas competentes del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respondieron que no se ha generado información relacionada con lo solicitado. </w:t>
      </w:r>
    </w:p>
    <w:p w:rsidR="00000000" w:rsidDel="00000000" w:rsidP="00000000" w:rsidRDefault="00000000" w:rsidRPr="00000000" w14:paraId="000001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sin menoscabo de lo anterior destaca para esta Autoridad el contenido del oficio 224001500000L/0003320/2022 de fecha 23 de junio de 2022 suscrito por la Directora General de Operación y Control Urbano,  en virtud de que en este señala que de acuerdo con lo previsto en el artículo 24, fracción XXIV de la Ley de Transparencia local, se suple la deficiencia de lo peticionado por el interesado, señalando que la dirección correcta del inmueble referido por el particular es el ubicado en: </w:t>
      </w:r>
      <w:r w:rsidDel="00000000" w:rsidR="00000000" w:rsidRPr="00000000">
        <w:rPr>
          <w:rFonts w:ascii="Palatino Linotype" w:cs="Palatino Linotype" w:eastAsia="Palatino Linotype" w:hAnsi="Palatino Linotype"/>
          <w:i w:val="1"/>
          <w:rtl w:val="0"/>
        </w:rPr>
        <w:t xml:space="preserve">Av. Hacienda de la Teja No. 1, Manzana  XXV, Col. Rancho San Isidro, San Mateo Tecoloapan, Municipio de Atizapán de Zaragoza, Estado de México en la cual se autorizó el Conjunto Urbano denominado “Residencial Club Hípico la Hacienda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considerando que el ahora recurrente como ciudadano no tenía los elementos necesarios a efectos de conocer con precisión la dirección exacta sobre la cual requería información y derivado de la corrección hecha por la propia Directora General de Operación Urbana, en la óptica de esta Autoridad se configura una duda razonable respecto de la dirección correcta del bien inmueble sobre del que el particular requiere la información, en tan virtud en observancia a la protección más amplia del derecho humano de acceso a la información pública contenido en los artículos 6 y 16 párrafo segundo de la Constitución Política de los Estados Unidos Mexicanos, aunado a que todas las autoridades en el ámbito de sus competencia tiene la obligación de promover, respetar, proteger y garantizar los derechos humanos, de conformidad con los principios de universalidad, interdependencia, indivisibilidad y progresividad, en relación al principio de máxima publicidad previsto en los artículos 8, segundo párrafo y 9, fracción VII de la Ley de Transparencia y Acceso a la Información Pública del Estado de México y Municipios, esta Autoridad señala que la información requerida es la generada sobre el inmueble que se asienta sobre  la Manzana  XXV, colonia……de la misma dirección; es decir, la dirección proporcionada por la Directora General de Operación Urbana. </w:t>
      </w:r>
    </w:p>
    <w:p w:rsidR="00000000" w:rsidDel="00000000" w:rsidP="00000000" w:rsidRDefault="00000000" w:rsidRPr="00000000" w14:paraId="00000131">
      <w:pPr>
        <w:spacing w:after="24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con sustento en los artículos 13 y 181 tercer párrafo de la Ley de Transparencia y Acceso a la Información Pública del Estado de México y Municipios, los cuales a la letra refieren:</w:t>
      </w:r>
    </w:p>
    <w:p w:rsidR="00000000" w:rsidDel="00000000" w:rsidP="00000000" w:rsidRDefault="00000000" w:rsidRPr="00000000" w14:paraId="00000132">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 El Instituto, en el ámbito de sus atribuciones, deberá suplir cualquier deficiencia para garantizar el ejercicio del derecho de acceso a la información.”</w:t>
      </w:r>
    </w:p>
    <w:p w:rsidR="00000000" w:rsidDel="00000000" w:rsidP="00000000" w:rsidRDefault="00000000" w:rsidRPr="00000000" w14:paraId="00000133">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181. (…)</w:t>
      </w:r>
    </w:p>
    <w:p w:rsidR="00000000" w:rsidDel="00000000" w:rsidP="00000000" w:rsidRDefault="00000000" w:rsidRPr="00000000" w14:paraId="00000134">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Durante el procedimiento deberá aplicarse la suplencia de la queja a favor del recurrente, sin cambiar los hechos expuestos, asegurándose de que las partes puedan presentar, de manera oral o escrita, los argumentos que funden y motiven sus pretensiones.”</w:t>
      </w:r>
    </w:p>
    <w:p w:rsidR="00000000" w:rsidDel="00000000" w:rsidP="00000000" w:rsidRDefault="00000000" w:rsidRPr="00000000" w14:paraId="00000135">
      <w:pPr>
        <w:spacing w:after="240" w:before="240"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numerales transcritos, se desprende que es deber de este Instituto suplir cualquier deficiencia para garantizar el derecho de acceso a la información pública a favor del recurrente, sin que se cambien los hechos que fuera expuestos por éste; lo cual, encuentra sustento en la jurisprudencia emitida por la Suprema Corte de Justicia de la Nación que a continuación se inserta: </w:t>
      </w:r>
    </w:p>
    <w:p w:rsidR="00000000" w:rsidDel="00000000" w:rsidP="00000000" w:rsidRDefault="00000000" w:rsidRPr="00000000" w14:paraId="00000136">
      <w:pPr>
        <w:ind w:left="851"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Época: Novena Época </w:t>
      </w:r>
    </w:p>
    <w:p w:rsidR="00000000" w:rsidDel="00000000" w:rsidP="00000000" w:rsidRDefault="00000000" w:rsidRPr="00000000" w14:paraId="00000137">
      <w:pPr>
        <w:ind w:left="851"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Registro: 178599 </w:t>
      </w:r>
    </w:p>
    <w:p w:rsidR="00000000" w:rsidDel="00000000" w:rsidP="00000000" w:rsidRDefault="00000000" w:rsidRPr="00000000" w14:paraId="00000138">
      <w:pPr>
        <w:ind w:left="851"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Instancia: Primera Sala </w:t>
      </w:r>
    </w:p>
    <w:p w:rsidR="00000000" w:rsidDel="00000000" w:rsidP="00000000" w:rsidRDefault="00000000" w:rsidRPr="00000000" w14:paraId="00000139">
      <w:pPr>
        <w:ind w:left="851"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Tipo de Tesis: Jurisprudencia </w:t>
      </w:r>
    </w:p>
    <w:p w:rsidR="00000000" w:rsidDel="00000000" w:rsidP="00000000" w:rsidRDefault="00000000" w:rsidRPr="00000000" w14:paraId="0000013A">
      <w:pPr>
        <w:ind w:left="851"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Fuente: Semanario Judicial de la Federación y su Gaceta </w:t>
      </w:r>
    </w:p>
    <w:p w:rsidR="00000000" w:rsidDel="00000000" w:rsidP="00000000" w:rsidRDefault="00000000" w:rsidRPr="00000000" w14:paraId="0000013B">
      <w:pPr>
        <w:ind w:left="851"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Tomo XXI, Abril de 2005 </w:t>
      </w:r>
    </w:p>
    <w:p w:rsidR="00000000" w:rsidDel="00000000" w:rsidP="00000000" w:rsidRDefault="00000000" w:rsidRPr="00000000" w14:paraId="0000013C">
      <w:pPr>
        <w:ind w:left="851"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Materia(s): Común </w:t>
      </w:r>
    </w:p>
    <w:p w:rsidR="00000000" w:rsidDel="00000000" w:rsidP="00000000" w:rsidRDefault="00000000" w:rsidRPr="00000000" w14:paraId="0000013D">
      <w:pPr>
        <w:ind w:left="851"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Tesis: 1a./J. 35/2005 </w:t>
      </w:r>
    </w:p>
    <w:p w:rsidR="00000000" w:rsidDel="00000000" w:rsidP="00000000" w:rsidRDefault="00000000" w:rsidRPr="00000000" w14:paraId="0000013E">
      <w:pPr>
        <w:ind w:left="851" w:right="900"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Página: 686 </w:t>
      </w:r>
    </w:p>
    <w:p w:rsidR="00000000" w:rsidDel="00000000" w:rsidP="00000000" w:rsidRDefault="00000000" w:rsidRPr="00000000" w14:paraId="0000013F">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SUPLENCIA DE LA QUEJA DEFICIENTE. DEBE HACERSE A PARTIR DE LOS CONCEPTOS DE VIOLACIÓN O, EN SU CASO, DE LOS AGRAVIOS EXPRESADOS, POR LO TANTO NO ES ILIMITADA.</w:t>
      </w:r>
    </w:p>
    <w:p w:rsidR="00000000" w:rsidDel="00000000" w:rsidP="00000000" w:rsidRDefault="00000000" w:rsidRPr="00000000" w14:paraId="00000140">
      <w:pPr>
        <w:spacing w:after="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artículo 76 bis de la Ley de Amparo señala que la suplencia de la queja deficiente se entiende referida a los conceptos de violación y, en su caso, a los agravios, es decir, a la materia misma del juicio de garantías, por lo que debe considerarse que dicho precepto limita el ámbito de aplicación de tal figura a las cuestiones relacionadas con el fondo del asunto, de ahí que dicha suplencia no sea aplicable a la procedencia del juicio de amparo. En ese tenor, a excepción de la materia penal, el órgano de control constitucional no puede libremente realizar el examen del precepto legal reclamado o de la resolución recurrida, sino que debe hacerlo a partir de lo expresado en los conceptos de violación o, en su caso, en los agravios, de manera que sin la existencia de un mínimo razonamiento expresado en la demanda, esto es, sin la elemental causa de pedir, el juzgador no se encuentra en aptitud de resolver si el acto reclamado es o no violatorio de garantías, porque la suplencia de la queja deficiente es una institución procesal que si bien fue establecida con la finalidad de hacer prevalecer las garantías que otorga la Constitución Federal, no deja de estar sujeta a los requisitos previstos al efecto, tanto en la Ley Fundamental como en la Ley de Amparo.</w:t>
      </w:r>
    </w:p>
    <w:p w:rsidR="00000000" w:rsidDel="00000000" w:rsidP="00000000" w:rsidRDefault="00000000" w:rsidRPr="00000000" w14:paraId="00000141">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todo lo dicho, esta Autoridad encuentra elementos necesarios y suficientes a efectos de modificar la respuesta que fue entregada por el SUJETO OBLIGADO en específico por la </w:t>
      </w:r>
      <w:r w:rsidDel="00000000" w:rsidR="00000000" w:rsidRPr="00000000">
        <w:rPr>
          <w:rFonts w:ascii="Palatino Linotype" w:cs="Palatino Linotype" w:eastAsia="Palatino Linotype" w:hAnsi="Palatino Linotype"/>
          <w:b w:val="1"/>
          <w:rtl w:val="0"/>
        </w:rPr>
        <w:t xml:space="preserve">Dirección General de la Comisión de impacto Estatal y por la  Dirección General de Planeación Urbana, a efectos de que estas área se pronuncien por la información solicitada sobre la Dirección del inmueble corregida por la Dirección  General de Operación y Control Urbano del Secretaría de Desarrollo Urbano y Obra; esto es,  ordenar la entrega de la información solicitada por el particular respecto de inmueble ubicado en </w:t>
      </w:r>
      <w:r w:rsidDel="00000000" w:rsidR="00000000" w:rsidRPr="00000000">
        <w:rPr>
          <w:rFonts w:ascii="Palatino Linotype" w:cs="Palatino Linotype" w:eastAsia="Palatino Linotype" w:hAnsi="Palatino Linotype"/>
          <w:rtl w:val="0"/>
        </w:rPr>
        <w:t xml:space="preserve">Av. Hacienda de la Teja No. 1, Manzana  XXV, Col. Rancho San Isidro, San Mateo Tecoloapan, Municipio de Atizapán de Zaragoza, Estado de México en versión pública en los términos señalados en el apartado correspondiente  de esta resolución. </w:t>
      </w:r>
    </w:p>
    <w:p w:rsidR="00000000" w:rsidDel="00000000" w:rsidP="00000000" w:rsidRDefault="00000000" w:rsidRPr="00000000" w14:paraId="00000142">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no escapa de la óptica de esta Autoridad que unos de los requerimientos señalados por el particular en la solicitud de información se hace consisten en que desea información relacionada con el o los cambios de suelo en favor del bien inmueble al que se hace referencia, considerando que le corresponde  a la Dirección General de operación y Control urbano, entre otras atribuciones la de emitir cedulas informativas de zonificación, licencias de uso de suelo, de </w:t>
      </w:r>
      <w:r w:rsidDel="00000000" w:rsidR="00000000" w:rsidRPr="00000000">
        <w:rPr>
          <w:rFonts w:ascii="Palatino Linotype" w:cs="Palatino Linotype" w:eastAsia="Palatino Linotype" w:hAnsi="Palatino Linotype"/>
          <w:b w:val="1"/>
          <w:rtl w:val="0"/>
        </w:rPr>
        <w:t xml:space="preserve">cambios de uso de suelo</w:t>
      </w:r>
      <w:r w:rsidDel="00000000" w:rsidR="00000000" w:rsidRPr="00000000">
        <w:rPr>
          <w:rFonts w:ascii="Palatino Linotype" w:cs="Palatino Linotype" w:eastAsia="Palatino Linotype" w:hAnsi="Palatino Linotype"/>
          <w:rtl w:val="0"/>
        </w:rPr>
        <w:t xml:space="preserve"> y de densidad del coeficiente de ocupación del suelo y altura de edificaciones, en predios o </w:t>
      </w:r>
      <w:r w:rsidDel="00000000" w:rsidR="00000000" w:rsidRPr="00000000">
        <w:rPr>
          <w:rFonts w:ascii="Palatino Linotype" w:cs="Palatino Linotype" w:eastAsia="Palatino Linotype" w:hAnsi="Palatino Linotype"/>
          <w:b w:val="1"/>
          <w:u w:val="single"/>
          <w:rtl w:val="0"/>
        </w:rPr>
        <w:t xml:space="preserve">inmuebles que se ubiquen en territorio de municipios a los que aún no se les haya transferido formalmente dichas funciones.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43">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de la diligencia realizada por este instituto al sitio de internet  </w:t>
      </w:r>
      <w:hyperlink r:id="rId8">
        <w:r w:rsidDel="00000000" w:rsidR="00000000" w:rsidRPr="00000000">
          <w:rPr>
            <w:rFonts w:ascii="Palatino Linotype" w:cs="Palatino Linotype" w:eastAsia="Palatino Linotype" w:hAnsi="Palatino Linotype"/>
            <w:color w:val="0000ff"/>
            <w:u w:val="single"/>
            <w:rtl w:val="0"/>
          </w:rPr>
          <w:t xml:space="preserve">https://retys.edomex.gob.mx/pdf/1175</w:t>
        </w:r>
      </w:hyperlink>
      <w:r w:rsidDel="00000000" w:rsidR="00000000" w:rsidRPr="00000000">
        <w:rPr>
          <w:rFonts w:ascii="Palatino Linotype" w:cs="Palatino Linotype" w:eastAsia="Palatino Linotype" w:hAnsi="Palatino Linotype"/>
          <w:rtl w:val="0"/>
        </w:rPr>
        <w:t xml:space="preserve">  se advierte  Autorización para la transferencia de funciones en materia urbana al ayuntamiento de Atizapán de Zaragoza, dentro de  los cuales se encuentra la Autorización para el cambio de uso de suelo, tal y como se observa en la imagen siguiente: </w:t>
      </w:r>
    </w:p>
    <w:p w:rsidR="00000000" w:rsidDel="00000000" w:rsidP="00000000" w:rsidRDefault="00000000" w:rsidRPr="00000000" w14:paraId="00000144">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00285" cy="4545610"/>
            <wp:effectExtent b="0" l="0" r="0" t="0"/>
            <wp:docPr id="44" name="image3.png"/>
            <a:graphic>
              <a:graphicData uri="http://schemas.openxmlformats.org/drawingml/2006/picture">
                <pic:pic>
                  <pic:nvPicPr>
                    <pic:cNvPr id="0" name="image3.png"/>
                    <pic:cNvPicPr preferRelativeResize="0"/>
                  </pic:nvPicPr>
                  <pic:blipFill>
                    <a:blip r:embed="rId9"/>
                    <a:srcRect b="14861" l="0" r="0" t="3086"/>
                    <a:stretch>
                      <a:fillRect/>
                    </a:stretch>
                  </pic:blipFill>
                  <pic:spPr>
                    <a:xfrm>
                      <a:off x="0" y="0"/>
                      <a:ext cx="5500285" cy="45456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1460500</wp:posOffset>
                </wp:positionV>
                <wp:extent cx="1235434" cy="305132"/>
                <wp:effectExtent b="0" l="0" r="0" t="0"/>
                <wp:wrapNone/>
                <wp:docPr id="40" name=""/>
                <a:graphic>
                  <a:graphicData uri="http://schemas.microsoft.com/office/word/2010/wordprocessingShape">
                    <wps:wsp>
                      <wps:cNvSpPr/>
                      <wps:cNvPr id="3" name="Shape 3"/>
                      <wps:spPr>
                        <a:xfrm>
                          <a:off x="4785433" y="3684584"/>
                          <a:ext cx="1121134" cy="190832"/>
                        </a:xfrm>
                        <a:prstGeom prst="rect">
                          <a:avLst/>
                        </a:prstGeom>
                        <a:noFill/>
                        <a:ln cap="flat" cmpd="sng" w="571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1460500</wp:posOffset>
                </wp:positionV>
                <wp:extent cx="1235434" cy="305132"/>
                <wp:effectExtent b="0" l="0" r="0" t="0"/>
                <wp:wrapNone/>
                <wp:docPr id="40"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235434" cy="3051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4076700</wp:posOffset>
                </wp:positionV>
                <wp:extent cx="1545535" cy="344888"/>
                <wp:effectExtent b="0" l="0" r="0" t="0"/>
                <wp:wrapNone/>
                <wp:docPr id="39" name=""/>
                <a:graphic>
                  <a:graphicData uri="http://schemas.microsoft.com/office/word/2010/wordprocessingShape">
                    <wps:wsp>
                      <wps:cNvSpPr/>
                      <wps:cNvPr id="2" name="Shape 2"/>
                      <wps:spPr>
                        <a:xfrm>
                          <a:off x="4630383" y="3664706"/>
                          <a:ext cx="1431235" cy="230588"/>
                        </a:xfrm>
                        <a:prstGeom prst="rect">
                          <a:avLst/>
                        </a:prstGeom>
                        <a:noFill/>
                        <a:ln cap="flat" cmpd="sng" w="571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4076700</wp:posOffset>
                </wp:positionV>
                <wp:extent cx="1545535" cy="344888"/>
                <wp:effectExtent b="0" l="0" r="0" t="0"/>
                <wp:wrapNone/>
                <wp:docPr id="39"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545535" cy="344888"/>
                        </a:xfrm>
                        <a:prstGeom prst="rect"/>
                        <a:ln/>
                      </pic:spPr>
                    </pic:pic>
                  </a:graphicData>
                </a:graphic>
              </wp:anchor>
            </w:drawing>
          </mc:Fallback>
        </mc:AlternateContent>
      </w:r>
    </w:p>
    <w:p w:rsidR="00000000" w:rsidDel="00000000" w:rsidP="00000000" w:rsidRDefault="00000000" w:rsidRPr="00000000" w14:paraId="00000145">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Abona lo anterior, el contenido el Registro Municipal de Trámites y Servicios del ayunatmiento de Atizapán de  Zaragoza en cuyo contenido se advierte que dentro de los trámites y servicios que éste ofrece se incluye el correspondiente al cambio de uso de suelo, tal y como se observa en la imagen siguiente: </w:t>
      </w:r>
    </w:p>
    <w:p w:rsidR="00000000" w:rsidDel="00000000" w:rsidP="00000000" w:rsidRDefault="00000000" w:rsidRPr="00000000" w14:paraId="00000146">
      <w:pPr>
        <w:spacing w:after="36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7">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5780" cy="4619625"/>
            <wp:effectExtent b="0" l="0" r="0" t="0"/>
            <wp:docPr id="4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605780" cy="46196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1371600</wp:posOffset>
                </wp:positionV>
                <wp:extent cx="1545535" cy="344888"/>
                <wp:effectExtent b="0" l="0" r="0" t="0"/>
                <wp:wrapNone/>
                <wp:docPr id="41" name=""/>
                <a:graphic>
                  <a:graphicData uri="http://schemas.microsoft.com/office/word/2010/wordprocessingShape">
                    <wps:wsp>
                      <wps:cNvSpPr/>
                      <wps:cNvPr id="4" name="Shape 4"/>
                      <wps:spPr>
                        <a:xfrm>
                          <a:off x="4630383" y="3664706"/>
                          <a:ext cx="1431235" cy="230588"/>
                        </a:xfrm>
                        <a:prstGeom prst="rect">
                          <a:avLst/>
                        </a:prstGeom>
                        <a:noFill/>
                        <a:ln cap="flat" cmpd="sng" w="571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1371600</wp:posOffset>
                </wp:positionV>
                <wp:extent cx="1545535" cy="344888"/>
                <wp:effectExtent b="0" l="0" r="0" t="0"/>
                <wp:wrapNone/>
                <wp:docPr id="41"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1545535" cy="344888"/>
                        </a:xfrm>
                        <a:prstGeom prst="rect"/>
                        <a:ln/>
                      </pic:spPr>
                    </pic:pic>
                  </a:graphicData>
                </a:graphic>
              </wp:anchor>
            </w:drawing>
          </mc:Fallback>
        </mc:AlternateContent>
      </w:r>
    </w:p>
    <w:p w:rsidR="00000000" w:rsidDel="00000000" w:rsidP="00000000" w:rsidRDefault="00000000" w:rsidRPr="00000000" w14:paraId="00000148">
      <w:pPr>
        <w:spacing w:after="36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9">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lo anterior, se acredita la incompetencia de la </w:t>
      </w:r>
      <w:r w:rsidDel="00000000" w:rsidR="00000000" w:rsidRPr="00000000">
        <w:rPr>
          <w:rFonts w:ascii="Palatino Linotype" w:cs="Palatino Linotype" w:eastAsia="Palatino Linotype" w:hAnsi="Palatino Linotype"/>
          <w:b w:val="1"/>
          <w:rtl w:val="0"/>
        </w:rPr>
        <w:t xml:space="preserve">Secretaría de Desarrollo Urbano y Obra</w:t>
      </w:r>
      <w:r w:rsidDel="00000000" w:rsidR="00000000" w:rsidRPr="00000000">
        <w:rPr>
          <w:rFonts w:ascii="Palatino Linotype" w:cs="Palatino Linotype" w:eastAsia="Palatino Linotype" w:hAnsi="Palatino Linotype"/>
          <w:rtl w:val="0"/>
        </w:rPr>
        <w:t xml:space="preserve">  por lo que corresponde a conocer de documentales que den cuenta de los cambios de uso de suelo en favor del bien inmueble de la solicitud de información, atendiendo que no existe facultad, función o atribución que lo obligue a tener en sus archivos dichas documentales </w:t>
      </w:r>
    </w:p>
    <w:p w:rsidR="00000000" w:rsidDel="00000000" w:rsidP="00000000" w:rsidRDefault="00000000" w:rsidRPr="00000000" w14:paraId="0000014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Cabe recordar que el </w:t>
      </w:r>
      <w:r w:rsidDel="00000000" w:rsidR="00000000" w:rsidRPr="00000000">
        <w:rPr>
          <w:rFonts w:ascii="Palatino Linotype" w:cs="Palatino Linotype" w:eastAsia="Palatino Linotype" w:hAnsi="Palatino Linotype"/>
          <w:color w:val="000000"/>
          <w:rtl w:val="0"/>
        </w:rPr>
        <w:t xml:space="preserve">la Ley de Transparencia local, establece en su artículo 167 que los </w:t>
      </w:r>
      <w:r w:rsidDel="00000000" w:rsidR="00000000" w:rsidRPr="00000000">
        <w:rPr>
          <w:rFonts w:ascii="Palatino Linotype" w:cs="Palatino Linotype" w:eastAsia="Palatino Linotype" w:hAnsi="Palatino Linotype"/>
          <w:b w:val="1"/>
          <w:color w:val="000000"/>
          <w:rtl w:val="0"/>
        </w:rPr>
        <w:t xml:space="preserve">sujetos obligados</w:t>
      </w:r>
      <w:r w:rsidDel="00000000" w:rsidR="00000000" w:rsidRPr="00000000">
        <w:rPr>
          <w:rFonts w:ascii="Palatino Linotype" w:cs="Palatino Linotype" w:eastAsia="Palatino Linotype" w:hAnsi="Palatino Linotype"/>
          <w:color w:val="000000"/>
          <w:rtl w:val="0"/>
        </w:rPr>
        <w:t xml:space="preserve"> deberán comunicar la notoria incompetencia dentro del término de tres días hábiles posteriores a la recepción de la solicitud de información y en su caso orientar al sujeto obligado competente, como se aprecia a continuación:</w:t>
      </w:r>
    </w:p>
    <w:p w:rsidR="00000000" w:rsidDel="00000000" w:rsidP="00000000" w:rsidRDefault="00000000" w:rsidRPr="00000000" w14:paraId="0000014B">
      <w:pPr>
        <w:spacing w:line="360" w:lineRule="auto"/>
        <w:ind w:right="616"/>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4C">
      <w:pPr>
        <w:ind w:left="567" w:right="567" w:firstLine="0"/>
        <w:jc w:val="both"/>
        <w:rPr>
          <w:rFonts w:ascii="Palatino Linotype" w:cs="Palatino Linotype" w:eastAsia="Palatino Linotype" w:hAnsi="Palatino Linotype"/>
          <w:i w:val="1"/>
          <w:color w:val="000000"/>
          <w:u w:val="single"/>
        </w:rPr>
      </w:pP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b w:val="1"/>
          <w:i w:val="1"/>
          <w:color w:val="000000"/>
          <w:rtl w:val="0"/>
        </w:rPr>
        <w:t xml:space="preserve">Artículo 167</w:t>
      </w:r>
      <w:r w:rsidDel="00000000" w:rsidR="00000000" w:rsidRPr="00000000">
        <w:rPr>
          <w:rFonts w:ascii="Palatino Linotype" w:cs="Palatino Linotype" w:eastAsia="Palatino Linotype" w:hAnsi="Palatino Linotype"/>
          <w:i w:val="1"/>
          <w:color w:val="000000"/>
          <w:rtl w:val="0"/>
        </w:rPr>
        <w:t xml:space="preserve">. Cuando las unidades de transparencia determinen la </w:t>
      </w:r>
      <w:r w:rsidDel="00000000" w:rsidR="00000000" w:rsidRPr="00000000">
        <w:rPr>
          <w:rFonts w:ascii="Palatino Linotype" w:cs="Palatino Linotype" w:eastAsia="Palatino Linotype" w:hAnsi="Palatino Linotype"/>
          <w:i w:val="1"/>
          <w:color w:val="000000"/>
          <w:u w:val="single"/>
          <w:rtl w:val="0"/>
        </w:rPr>
        <w:t xml:space="preserve">notoria incompetencia</w:t>
      </w:r>
      <w:r w:rsidDel="00000000" w:rsidR="00000000" w:rsidRPr="00000000">
        <w:rPr>
          <w:rFonts w:ascii="Palatino Linotype" w:cs="Palatino Linotype" w:eastAsia="Palatino Linotype" w:hAnsi="Palatino Linotype"/>
          <w:i w:val="1"/>
          <w:color w:val="000000"/>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i w:val="1"/>
          <w:color w:val="000000"/>
          <w:u w:val="single"/>
          <w:rtl w:val="0"/>
        </w:rPr>
        <w:t xml:space="preserve">deberán comunicarlo al solicitante, dentro de los tres días hábiles posteriores a la recepción de la solicitud y, en su caso orientar al solicitante, el o los sujetos obligados competentes.</w:t>
      </w:r>
    </w:p>
    <w:p w:rsidR="00000000" w:rsidDel="00000000" w:rsidP="00000000" w:rsidRDefault="00000000" w:rsidRPr="00000000" w14:paraId="0000014D">
      <w:pPr>
        <w:ind w:left="567" w:right="567"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14E">
      <w:pPr>
        <w:ind w:left="567" w:right="567" w:firstLine="0"/>
        <w:jc w:val="both"/>
        <w:rPr>
          <w:rFonts w:ascii="Palatino Linotype" w:cs="Palatino Linotype" w:eastAsia="Palatino Linotype" w:hAnsi="Palatino Linotype"/>
          <w:b w:val="1"/>
          <w:i w:val="1"/>
          <w:color w:val="000000"/>
          <w:u w:val="single"/>
        </w:rPr>
      </w:pPr>
      <w:r w:rsidDel="00000000" w:rsidR="00000000" w:rsidRPr="00000000">
        <w:rPr>
          <w:rFonts w:ascii="Palatino Linotype" w:cs="Palatino Linotype" w:eastAsia="Palatino Linotype" w:hAnsi="Palatino Linotype"/>
          <w:i w:val="1"/>
          <w:color w:val="000000"/>
          <w:rtl w:val="0"/>
        </w:rPr>
        <w:t xml:space="preserve">Si los sujetos obligados son competentes para atender parcialmente la solicitud de acceso a la información, deberá dar respuesta respecto de dicha parte. </w:t>
      </w:r>
      <w:r w:rsidDel="00000000" w:rsidR="00000000" w:rsidRPr="00000000">
        <w:rPr>
          <w:rFonts w:ascii="Palatino Linotype" w:cs="Palatino Linotype" w:eastAsia="Palatino Linotype" w:hAnsi="Palatino Linotype"/>
          <w:b w:val="1"/>
          <w:i w:val="1"/>
          <w:color w:val="000000"/>
          <w:u w:val="single"/>
          <w:rtl w:val="0"/>
        </w:rPr>
        <w:t xml:space="preserve">Respecto de la información sobre la cual es incompetente se procederá conforme lo señala el párrafo anterior.</w:t>
      </w:r>
    </w:p>
    <w:p w:rsidR="00000000" w:rsidDel="00000000" w:rsidP="00000000" w:rsidRDefault="00000000" w:rsidRPr="00000000" w14:paraId="0000014F">
      <w:pPr>
        <w:ind w:left="567" w:right="567"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150">
      <w:pPr>
        <w:ind w:left="567" w:right="567"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Si transcurrido el plazo señalado en el primer párrafo de este artículo, el sujeto obligado no declina la competencia en los términos establecidos, podrá canalizar la solicitud ante el sujeto obligado competente.”</w:t>
      </w:r>
    </w:p>
    <w:p w:rsidR="00000000" w:rsidDel="00000000" w:rsidP="00000000" w:rsidRDefault="00000000" w:rsidRPr="00000000" w14:paraId="00000151">
      <w:pPr>
        <w:ind w:left="567" w:right="567"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52">
      <w:pPr>
        <w:ind w:left="567" w:right="567" w:firstLine="0"/>
        <w:jc w:val="right"/>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(Énfasis añadido)</w:t>
      </w:r>
    </w:p>
    <w:p w:rsidR="00000000" w:rsidDel="00000000" w:rsidP="00000000" w:rsidRDefault="00000000" w:rsidRPr="00000000" w14:paraId="00000153">
      <w:pPr>
        <w:spacing w:line="360" w:lineRule="auto"/>
        <w:ind w:right="616"/>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54">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55">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Ordenamiento </w:t>
      </w:r>
      <w:r w:rsidDel="00000000" w:rsidR="00000000" w:rsidRPr="00000000">
        <w:rPr>
          <w:rFonts w:ascii="Palatino Linotype" w:cs="Palatino Linotype" w:eastAsia="Palatino Linotype" w:hAnsi="Palatino Linotype"/>
          <w:rtl w:val="0"/>
        </w:rPr>
        <w:t xml:space="preserve">normativo, que no fue observado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vertAlign w:val="superscript"/>
        </w:rPr>
        <w:footnoteReference w:customMarkFollows="0" w:id="7"/>
      </w:r>
      <w:r w:rsidDel="00000000" w:rsidR="00000000" w:rsidRPr="00000000">
        <w:rPr>
          <w:rFonts w:ascii="Palatino Linotype" w:cs="Palatino Linotype" w:eastAsia="Palatino Linotype" w:hAnsi="Palatino Linotype"/>
          <w:rtl w:val="0"/>
        </w:rPr>
        <w:t xml:space="preserve"> sobre la declinación de competencia, debe estar a lo dispuesto por el artículo 49 fracciones I y II de la Ley de Transparencia y Acceso a la Información Pública del Estado de México y Municipios que dispone lo siguiente:</w:t>
      </w:r>
      <w:r w:rsidDel="00000000" w:rsidR="00000000" w:rsidRPr="00000000">
        <w:rPr>
          <w:rtl w:val="0"/>
        </w:rPr>
      </w:r>
    </w:p>
    <w:p w:rsidR="00000000" w:rsidDel="00000000" w:rsidP="00000000" w:rsidRDefault="00000000" w:rsidRPr="00000000" w14:paraId="00000156">
      <w:pPr>
        <w:ind w:left="360" w:hanging="360"/>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157">
      <w:pPr>
        <w:ind w:left="851" w:right="615" w:hanging="36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Los Comités de Transparencia tendrán las siguientes atribuciones:</w:t>
      </w:r>
    </w:p>
    <w:p w:rsidR="00000000" w:rsidDel="00000000" w:rsidP="00000000" w:rsidRDefault="00000000" w:rsidRPr="00000000" w14:paraId="00000158">
      <w:pPr>
        <w:ind w:left="851" w:right="615"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Instituir, coordinar y supervisar en términos de las disposiciones aplicables, las acciones, medidas y procedimientos que coadyuven a asegurar una mayor eficacia en la gestión y atención de las solicitudes en materia de acceso a la información;</w:t>
      </w:r>
    </w:p>
    <w:p w:rsidR="00000000" w:rsidDel="00000000" w:rsidP="00000000" w:rsidRDefault="00000000" w:rsidRPr="00000000" w14:paraId="00000159">
      <w:pPr>
        <w:ind w:left="851" w:right="615" w:hanging="36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Confirmar, modificar o revocar</w:t>
      </w:r>
      <w:r w:rsidDel="00000000" w:rsidR="00000000" w:rsidRPr="00000000">
        <w:rPr>
          <w:rFonts w:ascii="Palatino Linotype" w:cs="Palatino Linotype" w:eastAsia="Palatino Linotype" w:hAnsi="Palatino Linotype"/>
          <w:i w:val="1"/>
          <w:rtl w:val="0"/>
        </w:rPr>
        <w:t xml:space="preserve"> las determinaciones que en materia de ampliación del plazo de respuesta, clasificación de la información y declaración de inexistencia </w:t>
      </w:r>
      <w:r w:rsidDel="00000000" w:rsidR="00000000" w:rsidRPr="00000000">
        <w:rPr>
          <w:rFonts w:ascii="Palatino Linotype" w:cs="Palatino Linotype" w:eastAsia="Palatino Linotype" w:hAnsi="Palatino Linotype"/>
          <w:b w:val="1"/>
          <w:i w:val="1"/>
          <w:rtl w:val="0"/>
        </w:rPr>
        <w:t xml:space="preserve">o de incompetencia realicen los titulares de las áreas de los sujetos obligados;</w:t>
      </w:r>
    </w:p>
    <w:p w:rsidR="00000000" w:rsidDel="00000000" w:rsidP="00000000" w:rsidRDefault="00000000" w:rsidRPr="00000000" w14:paraId="0000015A">
      <w:pPr>
        <w:spacing w:line="360" w:lineRule="auto"/>
        <w:ind w:left="851" w:right="615" w:hanging="36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left" w:leader="none" w:pos="0"/>
        </w:tabs>
        <w:spacing w:line="360" w:lineRule="auto"/>
        <w:ind w:right="49"/>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left" w:leader="none" w:pos="0"/>
        </w:tabs>
        <w:spacing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efecto, si bien el</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Sujeto Obligado</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no tiene competencia para administrar, generar o poseer los documentos que den cuenta del o los cambios de uso de suelo en favor del bien inmueble de referencia, en virtud de que las atribuciones las ostenta un sujeto obligado distinto, dicha incompetencia debe ser confirmada, modificada o revocada por el Comité de Transparencia en términos del precepto legal referido.</w:t>
      </w:r>
    </w:p>
    <w:p w:rsidR="00000000" w:rsidDel="00000000" w:rsidP="00000000" w:rsidRDefault="00000000" w:rsidRPr="00000000" w14:paraId="0000015D">
      <w:pPr>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leader="none" w:pos="0"/>
        </w:tabs>
        <w:spacing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Sujeto Obligado, además, que si en actos futuros se demuestra lo contrario, podría ser utilizado como medio probatorio. </w:t>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left" w:leader="none" w:pos="0"/>
        </w:tabs>
        <w:spacing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6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Versión Pública. </w:t>
      </w:r>
      <w:r w:rsidDel="00000000" w:rsidR="00000000" w:rsidRPr="00000000">
        <w:rPr>
          <w:rFonts w:ascii="Palatino Linotype" w:cs="Palatino Linotype" w:eastAsia="Palatino Linotype" w:hAnsi="Palatino Linotype"/>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menoscabar el derecho a la protección de los datos personales de terceros.</w:t>
      </w:r>
    </w:p>
    <w:p w:rsidR="00000000" w:rsidDel="00000000" w:rsidP="00000000" w:rsidRDefault="00000000" w:rsidRPr="00000000" w14:paraId="0000016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spacing w:after="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63">
      <w:pPr>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164">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165">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66">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67">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68">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9">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6A">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B">
      <w:pPr>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6C">
      <w:pPr>
        <w:ind w:left="993" w:right="104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6D">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6E">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6F">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70">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(Sic)</w:t>
      </w:r>
    </w:p>
    <w:p w:rsidR="00000000" w:rsidDel="00000000" w:rsidP="00000000" w:rsidRDefault="00000000" w:rsidRPr="00000000" w14:paraId="00000171">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2">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73">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75">
      <w:pPr>
        <w:spacing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77">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79">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A">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B">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7C">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7D">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w:t>
      </w:r>
    </w:p>
    <w:p w:rsidR="00000000" w:rsidDel="00000000" w:rsidP="00000000" w:rsidRDefault="00000000" w:rsidRPr="00000000" w14:paraId="0000017E">
      <w:pPr>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80">
      <w:pPr>
        <w:spacing w:after="240" w:lineRule="auto"/>
        <w:ind w:right="104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8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83">
      <w:pPr>
        <w:numPr>
          <w:ilvl w:val="0"/>
          <w:numId w:val="2"/>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 E S U E L V E:</w:t>
      </w:r>
    </w:p>
    <w:p w:rsidR="00000000" w:rsidDel="00000000" w:rsidP="00000000" w:rsidRDefault="00000000" w:rsidRPr="00000000" w14:paraId="0000018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  parcialmente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los motivos de inconformidad planteados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12614/INFOEM/IP/RR/2022 </w:t>
      </w:r>
      <w:r w:rsidDel="00000000" w:rsidR="00000000" w:rsidRPr="00000000">
        <w:rPr>
          <w:rFonts w:ascii="Palatino Linotype" w:cs="Palatino Linotype" w:eastAsia="Palatino Linotype" w:hAnsi="Palatino Linotype"/>
          <w:rtl w:val="0"/>
        </w:rPr>
        <w:t xml:space="preserve">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la presente resolución, se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la respuesta emitida por la </w:t>
      </w:r>
      <w:r w:rsidDel="00000000" w:rsidR="00000000" w:rsidRPr="00000000">
        <w:rPr>
          <w:rFonts w:ascii="Palatino Linotype" w:cs="Palatino Linotype" w:eastAsia="Palatino Linotype" w:hAnsi="Palatino Linotype"/>
          <w:b w:val="1"/>
          <w:rtl w:val="0"/>
        </w:rPr>
        <w:t xml:space="preserve">Secretaría de Desarrollo Urbano y Obra.</w:t>
      </w:r>
      <w:r w:rsidDel="00000000" w:rsidR="00000000" w:rsidRPr="00000000">
        <w:rPr>
          <w:rtl w:val="0"/>
        </w:rPr>
      </w:r>
    </w:p>
    <w:p w:rsidR="00000000" w:rsidDel="00000000" w:rsidP="00000000" w:rsidRDefault="00000000" w:rsidRPr="00000000" w14:paraId="0000018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haga entrega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de ser procedente en versión pública, respecto del bien inmueble ubicado en Av. Hacienda de la Teja No. 1, Manzana  XXV, Col. Rancho San Isidro, San Mateo Tecoloapan, Municipio de Atizapán de Zaragoza, Estado de México,   lo siguiente:</w:t>
      </w:r>
    </w:p>
    <w:p w:rsidR="00000000" w:rsidDel="00000000" w:rsidP="00000000" w:rsidRDefault="00000000" w:rsidRPr="00000000" w14:paraId="00000186">
      <w:pPr>
        <w:numPr>
          <w:ilvl w:val="0"/>
          <w:numId w:val="6"/>
        </w:numPr>
        <w:pBdr>
          <w:top w:space="0" w:sz="0" w:val="nil"/>
          <w:left w:space="0" w:sz="0" w:val="nil"/>
          <w:bottom w:space="0" w:sz="0" w:val="nil"/>
          <w:right w:space="0" w:sz="0" w:val="nil"/>
          <w:between w:space="0" w:sz="0" w:val="nil"/>
        </w:pBdr>
        <w:tabs>
          <w:tab w:val="left" w:leader="none" w:pos="7655"/>
        </w:tabs>
        <w:spacing w:before="240" w:lineRule="auto"/>
        <w:ind w:left="1440" w:right="49" w:hanging="720"/>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b w:val="1"/>
          <w:i w:val="1"/>
          <w:color w:val="000000"/>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Los permisos, dictámenes y/o cualquier otro tramite a favor del inmueble referido; y, </w:t>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left" w:leader="none" w:pos="7655"/>
        </w:tabs>
        <w:ind w:left="1440" w:right="49" w:firstLine="0"/>
        <w:jc w:val="both"/>
        <w:rPr>
          <w:rFonts w:ascii="Palatino Linotype" w:cs="Palatino Linotype" w:eastAsia="Palatino Linotype" w:hAnsi="Palatino Linotype"/>
          <w:i w:val="1"/>
          <w:color w:val="000000"/>
          <w:sz w:val="20"/>
          <w:szCs w:val="20"/>
        </w:rPr>
      </w:pPr>
      <w:r w:rsidDel="00000000" w:rsidR="00000000" w:rsidRPr="00000000">
        <w:rPr>
          <w:rtl w:val="0"/>
        </w:rPr>
      </w:r>
    </w:p>
    <w:p w:rsidR="00000000" w:rsidDel="00000000" w:rsidP="00000000" w:rsidRDefault="00000000" w:rsidRPr="00000000" w14:paraId="00000188">
      <w:pPr>
        <w:numPr>
          <w:ilvl w:val="0"/>
          <w:numId w:val="6"/>
        </w:numPr>
        <w:pBdr>
          <w:top w:space="0" w:sz="0" w:val="nil"/>
          <w:left w:space="0" w:sz="0" w:val="nil"/>
          <w:bottom w:space="0" w:sz="0" w:val="nil"/>
          <w:right w:space="0" w:sz="0" w:val="nil"/>
          <w:between w:space="0" w:sz="0" w:val="nil"/>
        </w:pBdr>
        <w:tabs>
          <w:tab w:val="left" w:leader="none" w:pos="7655"/>
        </w:tabs>
        <w:spacing w:after="240" w:lineRule="auto"/>
        <w:ind w:left="1440" w:right="49" w:hanging="720"/>
        <w:jc w:val="both"/>
        <w:rPr>
          <w:rFonts w:ascii="Palatino Linotype" w:cs="Palatino Linotype" w:eastAsia="Palatino Linotype" w:hAnsi="Palatino Linotype"/>
          <w:i w:val="1"/>
          <w:color w:val="000000"/>
          <w:sz w:val="18"/>
          <w:szCs w:val="18"/>
        </w:rPr>
      </w:pPr>
      <w:r w:rsidDel="00000000" w:rsidR="00000000" w:rsidRPr="00000000">
        <w:rPr>
          <w:rFonts w:ascii="Palatino Linotype" w:cs="Palatino Linotype" w:eastAsia="Palatino Linotype" w:hAnsi="Palatino Linotype"/>
          <w:i w:val="1"/>
          <w:color w:val="000000"/>
          <w:sz w:val="22"/>
          <w:szCs w:val="22"/>
          <w:rtl w:val="0"/>
        </w:rPr>
        <w:t xml:space="preserve">El Acuerdo que emita el Comité de Transparencia en el que confirme la declaración de incompetencia respecto de los cambios de uso de suelo en favor del bien inmueble de referencia. </w:t>
      </w:r>
      <w:r w:rsidDel="00000000" w:rsidR="00000000" w:rsidRPr="00000000">
        <w:rPr>
          <w:rtl w:val="0"/>
        </w:rPr>
      </w:r>
    </w:p>
    <w:p w:rsidR="00000000" w:rsidDel="00000000" w:rsidP="00000000" w:rsidRDefault="00000000" w:rsidRPr="00000000" w14:paraId="00000189">
      <w:pPr>
        <w:tabs>
          <w:tab w:val="left" w:leader="none" w:pos="7655"/>
        </w:tabs>
        <w:spacing w:after="240" w:before="240" w:lineRule="auto"/>
        <w:ind w:left="720" w:right="49" w:firstLine="0"/>
        <w:jc w:val="both"/>
        <w:rPr>
          <w:rFonts w:ascii="Palatino Linotype" w:cs="Palatino Linotype" w:eastAsia="Palatino Linotype" w:hAnsi="Palatino Linotype"/>
          <w:i w:val="1"/>
          <w:color w:val="ff0000"/>
          <w:sz w:val="22"/>
          <w:szCs w:val="22"/>
        </w:rPr>
      </w:pPr>
      <w:r w:rsidDel="00000000" w:rsidR="00000000" w:rsidRPr="00000000">
        <w:rPr>
          <w:rFonts w:ascii="Palatino Linotype" w:cs="Palatino Linotype" w:eastAsia="Palatino Linotype" w:hAnsi="Palatino Linotype"/>
          <w:i w:val="1"/>
          <w:sz w:val="22"/>
          <w:szCs w:val="22"/>
          <w:rtl w:val="0"/>
        </w:rPr>
        <w:t xml:space="preserve">De ser necesaria la versión pública de los documentos ordenandos en el punto I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ind w:left="1080" w:right="51" w:firstLine="0"/>
        <w:jc w:val="both"/>
        <w:rPr>
          <w:rFonts w:ascii="Palatino Linotype" w:cs="Palatino Linotype" w:eastAsia="Palatino Linotype" w:hAnsi="Palatino Linotype"/>
          <w:i w:val="1"/>
          <w:color w:val="ff0000"/>
          <w:sz w:val="22"/>
          <w:szCs w:val="22"/>
        </w:rPr>
      </w:pPr>
      <w:r w:rsidDel="00000000" w:rsidR="00000000" w:rsidRPr="00000000">
        <w:rPr>
          <w:rtl w:val="0"/>
        </w:rPr>
      </w:r>
    </w:p>
    <w:p w:rsidR="00000000" w:rsidDel="00000000" w:rsidP="00000000" w:rsidRDefault="00000000" w:rsidRPr="00000000" w14:paraId="000001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rtl w:val="0"/>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8C">
      <w:pPr>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8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8E">
      <w:pPr>
        <w:spacing w:after="240" w:before="240" w:line="360" w:lineRule="auto"/>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b w:val="1"/>
          <w:color w:val="000000"/>
          <w:sz w:val="22"/>
          <w:szCs w:val="22"/>
          <w:rtl w:val="0"/>
        </w:rPr>
        <w:t xml:space="preserve">NOTIFÍQUESE</w:t>
      </w:r>
      <w:r w:rsidDel="00000000" w:rsidR="00000000" w:rsidRPr="00000000">
        <w:rPr>
          <w:rFonts w:ascii="Palatino Linotype" w:cs="Palatino Linotype" w:eastAsia="Palatino Linotype" w:hAnsi="Palatino Linotype"/>
          <w:color w:val="000000"/>
          <w:sz w:val="22"/>
          <w:szCs w:val="22"/>
          <w:rtl w:val="0"/>
        </w:rPr>
        <w:t xml:space="preserve"> a la parte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Del="00000000" w:rsidR="00000000" w:rsidRPr="00000000">
        <w:rPr>
          <w:rtl w:val="0"/>
        </w:rPr>
      </w:r>
    </w:p>
    <w:p w:rsidR="00000000" w:rsidDel="00000000" w:rsidP="00000000" w:rsidRDefault="00000000" w:rsidRPr="00000000" w14:paraId="0000018F">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DÉCIMA CUARTA SESIÓN ORDINARIA</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CELEBRADA EL DIECINUEVE DE ABRIL DE DOS MIL VEINTITRÉS, ANTE EL SECRETARIO TÉCNICO DEL PLENO, ALEXIS TAPIA RAMÍREZ.</w:t>
      </w:r>
      <w:r w:rsidDel="00000000" w:rsidR="00000000" w:rsidRPr="00000000">
        <w:rPr>
          <w:rtl w:val="0"/>
        </w:rPr>
      </w:r>
    </w:p>
    <w:p w:rsidR="00000000" w:rsidDel="00000000" w:rsidP="00000000" w:rsidRDefault="00000000" w:rsidRPr="00000000" w14:paraId="00000190">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1">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2">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3">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4">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5">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6">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7">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8">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9">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A">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B">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C">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D">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E">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9F">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A0">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A1">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A2">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A3">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A4">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A5">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A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1A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8"/>
          <w:szCs w:val="18"/>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8"/>
          <w:szCs w:val="18"/>
          <w:rtl w:val="0"/>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01653/INFOEM/IP/RR/2016 aprobada por Unanimidad de votos en la vigésima quinta sesión ordinaria celebrada el día cuatro (4) de julio de 2016.</w:t>
      </w:r>
    </w:p>
  </w:footnote>
  <w:footnote w:id="3">
    <w:p w:rsidR="00000000" w:rsidDel="00000000" w:rsidP="00000000" w:rsidRDefault="00000000" w:rsidRPr="00000000" w14:paraId="000001A8">
      <w:pPr>
        <w:jc w:val="both"/>
        <w:rPr>
          <w:rFonts w:ascii="Palatino Linotype" w:cs="Palatino Linotype" w:eastAsia="Palatino Linotype" w:hAnsi="Palatino Linotype"/>
          <w:sz w:val="18"/>
          <w:szCs w:val="18"/>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8"/>
          <w:szCs w:val="18"/>
          <w:rtl w:val="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rsidR="00000000" w:rsidDel="00000000" w:rsidP="00000000" w:rsidRDefault="00000000" w:rsidRPr="00000000" w14:paraId="000001A9">
      <w:pPr>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4">
    <w:p w:rsidR="00000000" w:rsidDel="00000000" w:rsidP="00000000" w:rsidRDefault="00000000" w:rsidRPr="00000000" w14:paraId="000001AA">
      <w:pPr>
        <w:pBdr>
          <w:top w:space="0" w:sz="0" w:val="nil"/>
          <w:left w:space="0" w:sz="0" w:val="nil"/>
          <w:bottom w:space="0" w:sz="0" w:val="nil"/>
          <w:right w:space="0" w:sz="0" w:val="nil"/>
          <w:between w:space="0" w:sz="0" w:val="nil"/>
        </w:pBdr>
        <w:jc w:val="both"/>
        <w:rPr>
          <w:rFonts w:ascii="Calibri" w:cs="Calibri" w:eastAsia="Calibri" w:hAnsi="Calibri"/>
          <w:i w:val="1"/>
          <w:color w:val="000000"/>
          <w:sz w:val="20"/>
          <w:szCs w:val="20"/>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8"/>
          <w:szCs w:val="18"/>
          <w:rtl w:val="0"/>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Del="00000000" w:rsidR="00000000" w:rsidRPr="00000000">
        <w:rPr>
          <w:rFonts w:ascii="Palatino Linotype" w:cs="Palatino Linotype" w:eastAsia="Palatino Linotype" w:hAnsi="Palatino Linotype"/>
          <w:i w:val="1"/>
          <w:color w:val="000000"/>
          <w:sz w:val="18"/>
          <w:szCs w:val="18"/>
          <w:rtl w:val="0"/>
        </w:rPr>
        <w:t xml:space="preserve">El derecho de acceso a la información en el marco jurídico interamericano.</w:t>
      </w:r>
      <w:r w:rsidDel="00000000" w:rsidR="00000000" w:rsidRPr="00000000">
        <w:rPr>
          <w:rFonts w:ascii="Palatino Linotype" w:cs="Palatino Linotype" w:eastAsia="Palatino Linotype" w:hAnsi="Palatino Linotype"/>
          <w:color w:val="000000"/>
          <w:sz w:val="18"/>
          <w:szCs w:val="18"/>
          <w:rtl w:val="0"/>
        </w:rPr>
        <w:t xml:space="preserve"> 2ª edición, Comisión Interamericana de Derechos Humanos, 2012. Párr. 21.</w:t>
      </w:r>
      <w:r w:rsidDel="00000000" w:rsidR="00000000" w:rsidRPr="00000000">
        <w:rPr>
          <w:rtl w:val="0"/>
        </w:rPr>
      </w:r>
    </w:p>
  </w:footnote>
  <w:footnote w:id="5">
    <w:p w:rsidR="00000000" w:rsidDel="00000000" w:rsidP="00000000" w:rsidRDefault="00000000" w:rsidRPr="00000000" w14:paraId="000001AB">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Artículo 31, Ley Orgánica de la Administración Pública del Estado de México.</w:t>
      </w:r>
    </w:p>
  </w:footnote>
  <w:footnote w:id="6">
    <w:p w:rsidR="00000000" w:rsidDel="00000000" w:rsidP="00000000" w:rsidRDefault="00000000" w:rsidRPr="00000000" w14:paraId="000001AC">
      <w:pPr>
        <w:pBdr>
          <w:top w:space="0" w:sz="0" w:val="nil"/>
          <w:left w:space="0" w:sz="0" w:val="nil"/>
          <w:bottom w:space="0" w:sz="0" w:val="nil"/>
          <w:right w:space="0" w:sz="0" w:val="nil"/>
          <w:between w:space="0" w:sz="0" w:val="nil"/>
        </w:pBdr>
        <w:jc w:val="both"/>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La Evaluación de Impacto Estatal es el documento de carácter permanente emitido por la Comisión de Impacto Estatal (COIME), sustentado en una o más evaluaciones técnicas de impacto en materias de desarrollo urbano, protección civil, medio ambiente, comunicaciones, movilidad, agua, drenaje, alcantarillado y tratamiento de aguas residuales, previo análisis normativo multidisciplinario, según corresponda.</w:t>
      </w:r>
    </w:p>
  </w:footnote>
  <w:footnote w:id="7">
    <w:p w:rsidR="00000000" w:rsidDel="00000000" w:rsidP="00000000" w:rsidRDefault="00000000" w:rsidRPr="00000000" w14:paraId="000001AD">
      <w:pPr>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Ley de Transparencia y Acceso a la Información Pública del Estado de México y Municipios, artículo 9, fracción </w:t>
      </w:r>
      <w:r w:rsidDel="00000000" w:rsidR="00000000" w:rsidRPr="00000000">
        <w:rPr>
          <w:b w:val="1"/>
          <w:sz w:val="20"/>
          <w:szCs w:val="20"/>
          <w:rtl w:val="0"/>
        </w:rPr>
        <w:t xml:space="preserve">I. Certeza:</w:t>
      </w:r>
      <w:r w:rsidDel="00000000" w:rsidR="00000000" w:rsidRPr="00000000">
        <w:rPr>
          <w:sz w:val="20"/>
          <w:szCs w:val="20"/>
          <w:rtl w:val="0"/>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-699133</wp:posOffset>
          </wp:positionH>
          <wp:positionV relativeFrom="paragraph">
            <wp:posOffset>-644523</wp:posOffset>
          </wp:positionV>
          <wp:extent cx="7809865" cy="10165715"/>
          <wp:effectExtent b="0" l="0" r="0" t="0"/>
          <wp:wrapNone/>
          <wp:docPr id="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6095.0" w:type="dxa"/>
      <w:jc w:val="left"/>
      <w:tblInd w:w="2762.0" w:type="dxa"/>
      <w:tblLayout w:type="fixed"/>
      <w:tblLook w:val="0400"/>
    </w:tblPr>
    <w:tblGrid>
      <w:gridCol w:w="2551"/>
      <w:gridCol w:w="3544"/>
      <w:tblGridChange w:id="0">
        <w:tblGrid>
          <w:gridCol w:w="2551"/>
          <w:gridCol w:w="3544"/>
        </w:tblGrid>
      </w:tblGridChange>
    </w:tblGrid>
    <w:tr>
      <w:trPr>
        <w:cantSplit w:val="0"/>
        <w:tblHeader w:val="0"/>
      </w:trPr>
      <w:tc>
        <w:tcPr>
          <w:shd w:fill="auto" w:val="clear"/>
          <w:vAlign w:val="center"/>
        </w:tcPr>
        <w:p w:rsidR="00000000" w:rsidDel="00000000" w:rsidP="00000000" w:rsidRDefault="00000000" w:rsidRPr="00000000" w14:paraId="000001AF">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B0">
          <w:pPr>
            <w:tabs>
              <w:tab w:val="left" w:leader="none" w:pos="3153"/>
            </w:tabs>
            <w:ind w:left="-45"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12614/INFOEM/IP/RR/2022</w:t>
          </w:r>
        </w:p>
      </w:tc>
    </w:tr>
    <w:tr>
      <w:trPr>
        <w:cantSplit w:val="0"/>
        <w:trHeight w:val="130" w:hRule="atLeast"/>
        <w:tblHeader w:val="0"/>
      </w:trPr>
      <w:tc>
        <w:tcPr>
          <w:shd w:fill="auto" w:val="clear"/>
          <w:vAlign w:val="center"/>
        </w:tcPr>
        <w:p w:rsidR="00000000" w:rsidDel="00000000" w:rsidP="00000000" w:rsidRDefault="00000000" w:rsidRPr="00000000" w14:paraId="000001B1">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shd w:fill="auto" w:val="clear"/>
          <w:vAlign w:val="center"/>
        </w:tcPr>
        <w:p w:rsidR="00000000" w:rsidDel="00000000" w:rsidP="00000000" w:rsidRDefault="00000000" w:rsidRPr="00000000" w14:paraId="000001B2">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XXXXXX XXXXX XXXXXX</w:t>
          </w:r>
        </w:p>
      </w:tc>
    </w:tr>
    <w:tr>
      <w:trPr>
        <w:cantSplit w:val="0"/>
        <w:trHeight w:val="228" w:hRule="atLeast"/>
        <w:tblHeader w:val="0"/>
      </w:trPr>
      <w:tc>
        <w:tcPr>
          <w:shd w:fill="auto" w:val="clear"/>
          <w:vAlign w:val="center"/>
        </w:tcPr>
        <w:p w:rsidR="00000000" w:rsidDel="00000000" w:rsidP="00000000" w:rsidRDefault="00000000" w:rsidRPr="00000000" w14:paraId="000001B3">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B4">
          <w:pPr>
            <w:ind w:left="-45" w:right="176"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B5">
          <w:pPr>
            <w:ind w:left="-45" w:right="17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Secretaría de Desarrollo Urbano y Obra</w:t>
          </w:r>
        </w:p>
      </w:tc>
    </w:tr>
    <w:tr>
      <w:trPr>
        <w:cantSplit w:val="0"/>
        <w:tblHeader w:val="0"/>
      </w:trPr>
      <w:tc>
        <w:tcPr>
          <w:shd w:fill="auto" w:val="clear"/>
          <w:vAlign w:val="center"/>
        </w:tcPr>
        <w:p w:rsidR="00000000" w:rsidDel="00000000" w:rsidP="00000000" w:rsidRDefault="00000000" w:rsidRPr="00000000" w14:paraId="000001B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1B7">
          <w:pPr>
            <w:ind w:left="-45" w:right="-53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-405763</wp:posOffset>
          </wp:positionV>
          <wp:extent cx="7809865" cy="10165715"/>
          <wp:effectExtent b="0" l="0" r="0" t="0"/>
          <wp:wrapNone/>
          <wp:docPr id="4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BA">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1BB">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12614/INFOEM/IP/RR/2022</w:t>
          </w:r>
        </w:p>
      </w:tc>
    </w:tr>
    <w:tr>
      <w:trPr>
        <w:cantSplit w:val="0"/>
        <w:trHeight w:val="228" w:hRule="atLeast"/>
        <w:tblHeader w:val="0"/>
      </w:trPr>
      <w:tc>
        <w:tcPr>
          <w:shd w:fill="auto" w:val="clear"/>
          <w:vAlign w:val="center"/>
        </w:tcPr>
        <w:p w:rsidR="00000000" w:rsidDel="00000000" w:rsidP="00000000" w:rsidRDefault="00000000" w:rsidRPr="00000000" w14:paraId="000001BC">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1BD">
          <w:pPr>
            <w:ind w:right="176"/>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Secretaría de Desarrollo Urbano y Obra</w:t>
          </w:r>
        </w:p>
      </w:tc>
    </w:tr>
    <w:tr>
      <w:trPr>
        <w:cantSplit w:val="0"/>
        <w:trHeight w:val="311" w:hRule="atLeast"/>
        <w:tblHeader w:val="0"/>
      </w:trPr>
      <w:tc>
        <w:tcPr>
          <w:shd w:fill="auto" w:val="clear"/>
          <w:vAlign w:val="center"/>
        </w:tcPr>
        <w:p w:rsidR="00000000" w:rsidDel="00000000" w:rsidP="00000000" w:rsidRDefault="00000000" w:rsidRPr="00000000" w14:paraId="000001BE">
          <w:pPr>
            <w:ind w:right="-1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1BF">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C0">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
    <w:lvl w:ilvl="0">
      <w:start w:val="1"/>
      <w:numFmt w:val="bullet"/>
      <w:lvlText w:val="●"/>
      <w:lvlJc w:val="left"/>
      <w:pPr>
        <w:ind w:left="783" w:hanging="360"/>
      </w:pPr>
      <w:rPr>
        <w:rFonts w:ascii="Noto Sans Symbols" w:cs="Noto Sans Symbols" w:eastAsia="Noto Sans Symbols" w:hAnsi="Noto Sans Symbols"/>
      </w:rPr>
    </w:lvl>
    <w:lvl w:ilvl="1">
      <w:start w:val="1"/>
      <w:numFmt w:val="bullet"/>
      <w:lvlText w:val="o"/>
      <w:lvlJc w:val="left"/>
      <w:pPr>
        <w:ind w:left="1503" w:hanging="360"/>
      </w:pPr>
      <w:rPr>
        <w:rFonts w:ascii="Courier New" w:cs="Courier New" w:eastAsia="Courier New" w:hAnsi="Courier New"/>
      </w:rPr>
    </w:lvl>
    <w:lvl w:ilvl="2">
      <w:start w:val="1"/>
      <w:numFmt w:val="bullet"/>
      <w:lvlText w:val="▪"/>
      <w:lvlJc w:val="left"/>
      <w:pPr>
        <w:ind w:left="2223" w:hanging="360"/>
      </w:pPr>
      <w:rPr>
        <w:rFonts w:ascii="Noto Sans Symbols" w:cs="Noto Sans Symbols" w:eastAsia="Noto Sans Symbols" w:hAnsi="Noto Sans Symbols"/>
      </w:rPr>
    </w:lvl>
    <w:lvl w:ilvl="3">
      <w:start w:val="1"/>
      <w:numFmt w:val="bullet"/>
      <w:lvlText w:val="●"/>
      <w:lvlJc w:val="left"/>
      <w:pPr>
        <w:ind w:left="2943" w:hanging="360"/>
      </w:pPr>
      <w:rPr>
        <w:rFonts w:ascii="Noto Sans Symbols" w:cs="Noto Sans Symbols" w:eastAsia="Noto Sans Symbols" w:hAnsi="Noto Sans Symbols"/>
      </w:rPr>
    </w:lvl>
    <w:lvl w:ilvl="4">
      <w:start w:val="1"/>
      <w:numFmt w:val="bullet"/>
      <w:lvlText w:val="o"/>
      <w:lvlJc w:val="left"/>
      <w:pPr>
        <w:ind w:left="3663" w:hanging="360"/>
      </w:pPr>
      <w:rPr>
        <w:rFonts w:ascii="Courier New" w:cs="Courier New" w:eastAsia="Courier New" w:hAnsi="Courier New"/>
      </w:rPr>
    </w:lvl>
    <w:lvl w:ilvl="5">
      <w:start w:val="1"/>
      <w:numFmt w:val="bullet"/>
      <w:lvlText w:val="▪"/>
      <w:lvlJc w:val="left"/>
      <w:pPr>
        <w:ind w:left="4383" w:hanging="360"/>
      </w:pPr>
      <w:rPr>
        <w:rFonts w:ascii="Noto Sans Symbols" w:cs="Noto Sans Symbols" w:eastAsia="Noto Sans Symbols" w:hAnsi="Noto Sans Symbols"/>
      </w:rPr>
    </w:lvl>
    <w:lvl w:ilvl="6">
      <w:start w:val="1"/>
      <w:numFmt w:val="bullet"/>
      <w:lvlText w:val="●"/>
      <w:lvlJc w:val="left"/>
      <w:pPr>
        <w:ind w:left="5103" w:hanging="360"/>
      </w:pPr>
      <w:rPr>
        <w:rFonts w:ascii="Noto Sans Symbols" w:cs="Noto Sans Symbols" w:eastAsia="Noto Sans Symbols" w:hAnsi="Noto Sans Symbols"/>
      </w:rPr>
    </w:lvl>
    <w:lvl w:ilvl="7">
      <w:start w:val="1"/>
      <w:numFmt w:val="bullet"/>
      <w:lvlText w:val="o"/>
      <w:lvlJc w:val="left"/>
      <w:pPr>
        <w:ind w:left="5823" w:hanging="360"/>
      </w:pPr>
      <w:rPr>
        <w:rFonts w:ascii="Courier New" w:cs="Courier New" w:eastAsia="Courier New" w:hAnsi="Courier New"/>
      </w:rPr>
    </w:lvl>
    <w:lvl w:ilvl="8">
      <w:start w:val="1"/>
      <w:numFmt w:val="bullet"/>
      <w:lvlText w:val="▪"/>
      <w:lvlJc w:val="left"/>
      <w:pPr>
        <w:ind w:left="6543" w:hanging="360"/>
      </w:pPr>
      <w:rPr>
        <w:rFonts w:ascii="Noto Sans Symbols" w:cs="Noto Sans Symbols" w:eastAsia="Noto Sans Symbols" w:hAnsi="Noto Sans Symbols"/>
      </w:rPr>
    </w:lvl>
  </w:abstractNum>
  <w:abstractNum w:abstractNumId="5">
    <w:lvl w:ilvl="0">
      <w:start w:val="1"/>
      <w:numFmt w:val="decimal"/>
      <w:lvlText w:val="%1."/>
      <w:lvlJc w:val="left"/>
      <w:pPr>
        <w:ind w:left="6598" w:hanging="360"/>
      </w:pPr>
      <w:rPr>
        <w:rFonts w:ascii="Palatino Linotype" w:cs="Palatino Linotype" w:eastAsia="Palatino Linotype" w:hAnsi="Palatino Linotype"/>
        <w:b w:val="1"/>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1440" w:hanging="720"/>
      </w:pPr>
      <w:rPr>
        <w:b w:val="1"/>
        <w:color w:val="00000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3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Revisin">
    <w:name w:val="Revision"/>
    <w:hidden w:val="1"/>
    <w:uiPriority w:val="99"/>
    <w:semiHidden w:val="1"/>
    <w:rsid w:val="00564B24"/>
  </w:style>
  <w:style w:type="table" w:styleId="Tablanormal11" w:customStyle="1">
    <w:name w:val="Tabla normal 11"/>
    <w:basedOn w:val="Tablanormal"/>
    <w:next w:val="Tablanormal1"/>
    <w:uiPriority w:val="41"/>
    <w:rsid w:val="007A5E15"/>
    <w:rPr>
      <w:rFonts w:eastAsia="Calibri"/>
      <w:sz w:val="22"/>
      <w:szCs w:val="22"/>
      <w:lang w:eastAsia="en-US" w:val="es-MX"/>
    </w:rPr>
    <w:tblPr>
      <w:tblStyleRowBandSize w:val="1"/>
      <w:tblStyleColBandSize w:val="1"/>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anormal1">
    <w:name w:val="Plain Table 1"/>
    <w:basedOn w:val="Tablanormal"/>
    <w:uiPriority w:val="41"/>
    <w:rsid w:val="007A5E15"/>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TextonotapieCar1" w:customStyle="1">
    <w:name w:val="Texto nota pie Car1"/>
    <w:uiPriority w:val="99"/>
    <w:rsid w:val="006233E2"/>
    <w:rPr>
      <w:rFonts w:ascii="Times New Roman" w:cs="Times New Roman" w:eastAsia="Times New Roman" w:hAnsi="Times New Roman"/>
      <w:sz w:val="20"/>
      <w:szCs w:val="20"/>
      <w:lang w:eastAsia="es-ES" w:val="es-ES"/>
    </w:rPr>
  </w:style>
  <w:style w:type="paragraph" w:styleId="Subttulo">
    <w:name w:val="Subtitle"/>
    <w:basedOn w:val="Normal"/>
    <w:next w:val="Normal"/>
    <w:link w:val="SubttuloCar"/>
    <w:pPr>
      <w:spacing w:after="160"/>
    </w:pPr>
    <w:rPr>
      <w:rFonts w:ascii="Cambria" w:cs="Cambria" w:eastAsia="Cambria" w:hAnsi="Cambria"/>
      <w:color w:val="5a5a5a"/>
      <w:sz w:val="22"/>
      <w:szCs w:val="22"/>
    </w:rPr>
  </w:style>
  <w:style w:type="character" w:styleId="SubttuloCar" w:customStyle="1">
    <w:name w:val="Subtítulo Car"/>
    <w:basedOn w:val="Fuentedeprrafopredeter"/>
    <w:link w:val="Subttulo"/>
    <w:uiPriority w:val="11"/>
    <w:rsid w:val="00D91005"/>
    <w:rPr>
      <w:color w:val="5a5a5a" w:themeColor="text1" w:themeTint="0000A5"/>
      <w:spacing w:val="15"/>
      <w:sz w:val="22"/>
      <w:szCs w:val="22"/>
      <w:lang w:val="es-ES"/>
    </w:rPr>
  </w:style>
  <w:style w:type="table" w:styleId="12" w:customStyle="1">
    <w:name w:val="12"/>
    <w:basedOn w:val="TableNormal10"/>
    <w:rPr>
      <w:sz w:val="22"/>
      <w:szCs w:val="22"/>
    </w:rPr>
    <w:tblPr>
      <w:tblStyleRowBandSize w:val="1"/>
      <w:tblStyleColBandSize w:val="1"/>
      <w:tblCellMar>
        <w:top w:w="0.0" w:type="dxa"/>
        <w:left w:w="108.0" w:type="dxa"/>
        <w:bottom w:w="0.0" w:type="dxa"/>
        <w:right w:w="108.0" w:type="dxa"/>
      </w:tblCellMar>
    </w:tblPr>
  </w:style>
  <w:style w:type="table" w:styleId="11" w:customStyle="1">
    <w:name w:val="11"/>
    <w:basedOn w:val="TableNormal10"/>
    <w:rPr>
      <w:sz w:val="22"/>
      <w:szCs w:val="22"/>
    </w:rPr>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0" w:customStyle="1">
    <w:name w:val="10"/>
    <w:basedOn w:val="TableNormal10"/>
    <w:tblPr>
      <w:tblStyleRowBandSize w:val="1"/>
      <w:tblStyleColBandSize w:val="1"/>
      <w:tblCellMar>
        <w:top w:w="0.0" w:type="dxa"/>
        <w:left w:w="115.0" w:type="dxa"/>
        <w:bottom w:w="0.0" w:type="dxa"/>
        <w:right w:w="115.0" w:type="dxa"/>
      </w:tblCellMar>
    </w:tblPr>
  </w:style>
  <w:style w:type="table" w:styleId="9" w:customStyle="1">
    <w:name w:val="9"/>
    <w:basedOn w:val="TableNormal10"/>
    <w:tblPr>
      <w:tblStyleRowBandSize w:val="1"/>
      <w:tblStyleColBandSize w:val="1"/>
      <w:tblCellMar>
        <w:top w:w="0.0" w:type="dxa"/>
        <w:left w:w="115.0" w:type="dxa"/>
        <w:bottom w:w="0.0" w:type="dxa"/>
        <w:right w:w="115.0" w:type="dxa"/>
      </w:tblCellMar>
    </w:tblPr>
  </w:style>
  <w:style w:type="table" w:styleId="8" w:customStyle="1">
    <w:name w:val="8"/>
    <w:basedOn w:val="TableNormal10"/>
    <w:rPr>
      <w:sz w:val="22"/>
      <w:szCs w:val="22"/>
    </w:rPr>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7" w:customStyle="1">
    <w:name w:val="7"/>
    <w:basedOn w:val="TableNormal10"/>
    <w:rPr>
      <w:sz w:val="22"/>
      <w:szCs w:val="22"/>
    </w:rPr>
    <w:tblPr>
      <w:tblStyleRowBandSize w:val="1"/>
      <w:tblStyleColBandSize w:val="1"/>
      <w:tblCellMar>
        <w:top w:w="0.0" w:type="dxa"/>
        <w:left w:w="115.0" w:type="dxa"/>
        <w:bottom w:w="0.0" w:type="dxa"/>
        <w:right w:w="115.0" w:type="dxa"/>
      </w:tblCellMar>
    </w:tblPr>
  </w:style>
  <w:style w:type="table" w:styleId="6" w:customStyle="1">
    <w:name w:val="6"/>
    <w:basedOn w:val="TableNormal10"/>
    <w:rPr>
      <w:sz w:val="22"/>
      <w:szCs w:val="22"/>
    </w:rPr>
    <w:tblPr>
      <w:tblStyleRowBandSize w:val="1"/>
      <w:tblStyleColBandSize w:val="1"/>
      <w:tblCellMar>
        <w:top w:w="0.0" w:type="dxa"/>
        <w:left w:w="115.0" w:type="dxa"/>
        <w:bottom w:w="0.0" w:type="dxa"/>
        <w:right w:w="115.0" w:type="dxa"/>
      </w:tblCellMar>
    </w:tblPr>
  </w:style>
  <w:style w:type="table" w:styleId="5" w:customStyle="1">
    <w:name w:val="5"/>
    <w:basedOn w:val="TableNormal20"/>
    <w:rPr>
      <w:sz w:val="22"/>
      <w:szCs w:val="22"/>
    </w:rPr>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20"/>
    <w:rPr>
      <w:sz w:val="22"/>
      <w:szCs w:val="22"/>
    </w:rPr>
    <w:tblPr>
      <w:tblStyleRowBandSize w:val="1"/>
      <w:tblStyleColBandSize w:val="1"/>
      <w:tblCellMar>
        <w:top w:w="0.0" w:type="dxa"/>
        <w:left w:w="115.0" w:type="dxa"/>
        <w:bottom w:w="0.0" w:type="dxa"/>
        <w:right w:w="115.0" w:type="dxa"/>
      </w:tblCellMar>
    </w:tblPr>
  </w:style>
  <w:style w:type="table" w:styleId="3" w:customStyle="1">
    <w:name w:val="3"/>
    <w:basedOn w:val="TableNormal20"/>
    <w:rPr>
      <w:sz w:val="22"/>
      <w:szCs w:val="22"/>
    </w:rPr>
    <w:tblPr>
      <w:tblStyleRowBandSize w:val="1"/>
      <w:tblStyleColBandSize w:val="1"/>
      <w:tblCellMar>
        <w:top w:w="0.0" w:type="dxa"/>
        <w:left w:w="115.0" w:type="dxa"/>
        <w:bottom w:w="0.0" w:type="dxa"/>
        <w:right w:w="115.0" w:type="dxa"/>
      </w:tblCellMar>
    </w:tblPr>
  </w:style>
  <w:style w:type="table" w:styleId="2" w:customStyle="1">
    <w:name w:val="2"/>
    <w:basedOn w:val="TableNormal3"/>
    <w:rPr>
      <w:sz w:val="22"/>
      <w:szCs w:val="22"/>
    </w:rPr>
    <w:tblPr>
      <w:tblStyleRowBandSize w:val="1"/>
      <w:tblStyleColBandSize w:val="1"/>
      <w:tblCellMar>
        <w:top w:w="0.0" w:type="dxa"/>
        <w:left w:w="115.0" w:type="dxa"/>
        <w:bottom w:w="0.0" w:type="dxa"/>
        <w:right w:w="115.0" w:type="dxa"/>
      </w:tblCellMar>
    </w:tblPr>
  </w:style>
  <w:style w:type="table" w:styleId="1" w:customStyle="1">
    <w:name w:val="1"/>
    <w:basedOn w:val="TableNormal3"/>
    <w:rPr>
      <w:sz w:val="22"/>
      <w:szCs w:val="22"/>
    </w:rPr>
    <w:tblPr>
      <w:tblStyleRowBandSize w:val="1"/>
      <w:tblStyleColBandSize w:val="1"/>
      <w:tblCellMar>
        <w:top w:w="0.0" w:type="dxa"/>
        <w:left w:w="115.0" w:type="dxa"/>
        <w:bottom w:w="0.0" w:type="dxa"/>
        <w:right w:w="115.0" w:type="dxa"/>
      </w:tblCellMar>
    </w:tblPr>
  </w:style>
  <w:style w:type="table" w:styleId="Tablaconcuadrcula1" w:customStyle="1">
    <w:name w:val="Tabla con cuadrícula1"/>
    <w:basedOn w:val="Tablanormal"/>
    <w:next w:val="Tablaconcuadrcula"/>
    <w:uiPriority w:val="59"/>
    <w:rsid w:val="001F195A"/>
    <w:rPr>
      <w:rFonts w:ascii="Calibri" w:eastAsia="Calibri" w:hAnsi="Calibri"/>
      <w:sz w:val="22"/>
      <w:szCs w:val="22"/>
      <w:lang w:eastAsia="en-US" w:val="es-MX"/>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a" w:customStyle="1">
    <w:basedOn w:val="TableNormal2"/>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a0" w:customStyle="1">
    <w:basedOn w:val="TableNormal2"/>
    <w:tblPr>
      <w:tblStyleRowBandSize w:val="1"/>
      <w:tblStyleColBandSize w:val="1"/>
      <w:tblCellMar>
        <w:top w:w="0.0" w:type="dxa"/>
        <w:left w:w="70.0" w:type="dxa"/>
        <w:bottom w:w="0.0" w:type="dxa"/>
        <w:right w:w="70.0" w:type="dxa"/>
      </w:tblCellMar>
    </w:tblPr>
  </w:style>
  <w:style w:type="table" w:styleId="a2" w:customStyle="1">
    <w:basedOn w:val="TableNormal2"/>
    <w:rPr>
      <w:sz w:val="22"/>
      <w:szCs w:val="22"/>
    </w:rPr>
    <w:tblPr>
      <w:tblStyleRowBandSize w:val="1"/>
      <w:tblStyleColBandSize w:val="1"/>
      <w:tblCellMar>
        <w:top w:w="0.0" w:type="dxa"/>
        <w:left w:w="115.0" w:type="dxa"/>
        <w:bottom w:w="0.0" w:type="dxa"/>
        <w:right w:w="115.0" w:type="dxa"/>
      </w:tblCellMar>
    </w:tblPr>
  </w:style>
  <w:style w:type="table" w:styleId="a3" w:customStyle="1">
    <w:basedOn w:val="TableNormal2"/>
    <w:rPr>
      <w:sz w:val="22"/>
      <w:szCs w:val="22"/>
    </w:rPr>
    <w:tblPr>
      <w:tblStyleRowBandSize w:val="1"/>
      <w:tblStyleColBandSize w:val="1"/>
      <w:tblCellMar>
        <w:top w:w="0.0" w:type="dxa"/>
        <w:left w:w="115.0" w:type="dxa"/>
        <w:bottom w:w="0.0" w:type="dxa"/>
        <w:right w:w="115.0" w:type="dxa"/>
      </w:tblCellMar>
    </w:tblPr>
  </w:style>
  <w:style w:type="table" w:styleId="a4" w:customStyle="1">
    <w:basedOn w:val="TableNormal1"/>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a5" w:customStyle="1">
    <w:basedOn w:val="TableNormal1"/>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paragraph" w:styleId="Listaconvietas2">
    <w:name w:val="List Bullet 2"/>
    <w:basedOn w:val="Normal"/>
    <w:uiPriority w:val="99"/>
    <w:unhideWhenUsed w:val="1"/>
    <w:rsid w:val="00282C5F"/>
    <w:pPr>
      <w:numPr>
        <w:numId w:val="4"/>
      </w:numPr>
      <w:contextualSpacing w:val="1"/>
    </w:pPr>
  </w:style>
  <w:style w:type="paragraph" w:styleId="INFOEM" w:customStyle="1">
    <w:name w:val="INFOEM"/>
    <w:basedOn w:val="Normal"/>
    <w:qFormat w:val="1"/>
    <w:rsid w:val="00B3155A"/>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table" w:styleId="a6" w:customStyle="1">
    <w:basedOn w:val="TableNormal0"/>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a7" w:customStyle="1">
    <w:basedOn w:val="TableNormal0"/>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160" w:lineRule="auto"/>
    </w:pPr>
    <w:rPr>
      <w:rFonts w:ascii="Cambria" w:cs="Cambria" w:eastAsia="Cambria" w:hAnsi="Cambria"/>
      <w:color w:val="5a5a5a"/>
      <w:sz w:val="22"/>
      <w:szCs w:val="22"/>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retys.edomex.gob.mx/pdf/117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rNq77XQH/TpAcI6/riYdpy/S/Q==">AMUW2mU+k/ZYG4ZXO8UfGQuMoJxYbAqjm/1jio3VyqpM90EL4LfkYB8TJdi1Syz5KbFkRw5H0QD1XndkC3TTwalCg2yjpvtFCVPLAAsjYvj/fyx5Un0m+gcwT8ViH3SvaYKBLrSyYLmXzIp6WpRVVg6vDa9TJ+KCoO/HvtPP/p4HsA/7op2ZS5A=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2023-05-03T17:33:00Z</dcterms:created>
  <dc:creator>iMac</dc:creator>
</cp:coreProperties>
</file>