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2DE" w:rsidRPr="005F3BD6" w:rsidRDefault="003642DE" w:rsidP="005F3BD6">
      <w:pPr>
        <w:spacing w:line="360" w:lineRule="auto"/>
        <w:jc w:val="both"/>
        <w:rPr>
          <w:rFonts w:ascii="Palatino Linotype" w:eastAsia="Palatino Linotype" w:hAnsi="Palatino Linotype" w:cs="Palatino Linotype"/>
        </w:rPr>
      </w:pPr>
      <w:bookmarkStart w:id="0" w:name="_heading=h.gjdgxs" w:colFirst="0" w:colLast="0"/>
      <w:bookmarkEnd w:id="0"/>
      <w:r w:rsidRPr="005F3BD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B50E6" w:rsidRPr="005F3BD6">
        <w:rPr>
          <w:rFonts w:ascii="Palatino Linotype" w:eastAsia="Palatino Linotype" w:hAnsi="Palatino Linotype" w:cs="Palatino Linotype"/>
        </w:rPr>
        <w:t>veinticinco de octubre</w:t>
      </w:r>
      <w:r w:rsidRPr="005F3BD6">
        <w:rPr>
          <w:rFonts w:ascii="Palatino Linotype" w:eastAsia="Palatino Linotype" w:hAnsi="Palatino Linotype" w:cs="Palatino Linotype"/>
        </w:rPr>
        <w:t xml:space="preserve"> del dos mil veintitrés.</w:t>
      </w:r>
    </w:p>
    <w:p w:rsidR="003642DE" w:rsidRPr="005F3BD6" w:rsidRDefault="003642DE" w:rsidP="005F3BD6">
      <w:pPr>
        <w:spacing w:line="360" w:lineRule="auto"/>
        <w:jc w:val="both"/>
        <w:rPr>
          <w:rFonts w:ascii="Palatino Linotype" w:eastAsia="Palatino Linotype" w:hAnsi="Palatino Linotype" w:cs="Palatino Linotype"/>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VISTO </w:t>
      </w:r>
      <w:r w:rsidRPr="005F3BD6">
        <w:rPr>
          <w:rFonts w:ascii="Palatino Linotype" w:eastAsia="Palatino Linotype" w:hAnsi="Palatino Linotype" w:cs="Palatino Linotype"/>
        </w:rPr>
        <w:t xml:space="preserve">el expediente relativo al recurso de revisión </w:t>
      </w:r>
      <w:r w:rsidR="000A6798" w:rsidRPr="005F3BD6">
        <w:rPr>
          <w:rFonts w:ascii="Palatino Linotype" w:eastAsia="Palatino Linotype" w:hAnsi="Palatino Linotype" w:cs="Palatino Linotype"/>
          <w:b/>
        </w:rPr>
        <w:t>06704</w:t>
      </w:r>
      <w:r w:rsidRPr="005F3BD6">
        <w:rPr>
          <w:rFonts w:ascii="Palatino Linotype" w:eastAsia="Palatino Linotype" w:hAnsi="Palatino Linotype" w:cs="Palatino Linotype"/>
          <w:b/>
        </w:rPr>
        <w:t>/INFOEM/IP/RR/2023</w:t>
      </w:r>
      <w:r w:rsidRPr="005F3BD6">
        <w:rPr>
          <w:rFonts w:ascii="Palatino Linotype" w:eastAsia="Palatino Linotype" w:hAnsi="Palatino Linotype" w:cs="Palatino Linotype"/>
        </w:rPr>
        <w:t>, interpuesto por una persona que</w:t>
      </w:r>
      <w:r w:rsidR="00982F53" w:rsidRPr="005F3BD6">
        <w:rPr>
          <w:rFonts w:ascii="Palatino Linotype" w:eastAsia="Palatino Linotype" w:hAnsi="Palatino Linotype" w:cs="Palatino Linotype"/>
        </w:rPr>
        <w:t xml:space="preserve"> señaló como seudónimo el de</w:t>
      </w:r>
      <w:r w:rsidR="00B942B4">
        <w:rPr>
          <w:rFonts w:ascii="Palatino Linotype" w:eastAsia="Palatino Linotype" w:hAnsi="Palatino Linotype" w:cs="Palatino Linotype"/>
          <w:b/>
        </w:rPr>
        <w:t xml:space="preserve"> XXXXXXX</w:t>
      </w:r>
      <w:bookmarkStart w:id="1" w:name="_GoBack"/>
      <w:bookmarkEnd w:id="1"/>
      <w:r w:rsidR="00E90B56" w:rsidRPr="005F3BD6">
        <w:rPr>
          <w:rFonts w:ascii="Palatino Linotype" w:eastAsia="Palatino Linotype" w:hAnsi="Palatino Linotype" w:cs="Palatino Linotype"/>
          <w:b/>
        </w:rPr>
        <w:t>,</w:t>
      </w:r>
      <w:r w:rsidR="00E90B56" w:rsidRPr="005F3BD6">
        <w:rPr>
          <w:rFonts w:ascii="Palatino Linotype" w:eastAsia="Palatino Linotype" w:hAnsi="Palatino Linotype" w:cs="Palatino Linotype"/>
        </w:rPr>
        <w:t xml:space="preserve"> a quien en</w:t>
      </w:r>
      <w:r w:rsidRPr="005F3BD6">
        <w:rPr>
          <w:rFonts w:ascii="Palatino Linotype" w:eastAsia="Palatino Linotype" w:hAnsi="Palatino Linotype" w:cs="Palatino Linotype"/>
        </w:rPr>
        <w:t xml:space="preserve"> lo sucesivo se le denominará como </w:t>
      </w:r>
      <w:r w:rsidRPr="005F3BD6">
        <w:rPr>
          <w:rFonts w:ascii="Palatino Linotype" w:eastAsia="Palatino Linotype" w:hAnsi="Palatino Linotype" w:cs="Palatino Linotype"/>
          <w:b/>
        </w:rPr>
        <w:t xml:space="preserve">LA PARTE RECURRENTE, </w:t>
      </w:r>
      <w:r w:rsidRPr="005F3BD6">
        <w:rPr>
          <w:rFonts w:ascii="Palatino Linotype" w:eastAsia="Palatino Linotype" w:hAnsi="Palatino Linotype" w:cs="Palatino Linotype"/>
        </w:rPr>
        <w:t>en contra de la falta de respuesta a la solicitud de acceso a la información con número de folio</w:t>
      </w:r>
      <w:r w:rsidR="00B773C0" w:rsidRPr="005F3BD6">
        <w:rPr>
          <w:rFonts w:ascii="Verdana" w:eastAsia="Verdana" w:hAnsi="Verdana" w:cs="Verdana"/>
          <w:b/>
        </w:rPr>
        <w:t xml:space="preserve"> </w:t>
      </w:r>
      <w:r w:rsidR="006937D6" w:rsidRPr="005F3BD6">
        <w:rPr>
          <w:rFonts w:ascii="Palatino Linotype" w:eastAsia="Palatino Linotype" w:hAnsi="Palatino Linotype" w:cs="Palatino Linotype"/>
          <w:b/>
        </w:rPr>
        <w:t>00061</w:t>
      </w:r>
      <w:r w:rsidRPr="005F3BD6">
        <w:rPr>
          <w:rFonts w:ascii="Palatino Linotype" w:eastAsia="Palatino Linotype" w:hAnsi="Palatino Linotype" w:cs="Palatino Linotype"/>
          <w:b/>
        </w:rPr>
        <w:t>/</w:t>
      </w:r>
      <w:r w:rsidR="000B50E6" w:rsidRPr="005F3BD6">
        <w:rPr>
          <w:rFonts w:ascii="Palatino Linotype" w:eastAsia="Palatino Linotype" w:hAnsi="Palatino Linotype" w:cs="Palatino Linotype"/>
          <w:b/>
        </w:rPr>
        <w:t>APAXCO</w:t>
      </w:r>
      <w:r w:rsidRPr="005F3BD6">
        <w:rPr>
          <w:rFonts w:ascii="Palatino Linotype" w:eastAsia="Palatino Linotype" w:hAnsi="Palatino Linotype" w:cs="Palatino Linotype"/>
          <w:b/>
        </w:rPr>
        <w:t>/IP/2023,</w:t>
      </w:r>
      <w:r w:rsidRPr="005F3BD6">
        <w:rPr>
          <w:rFonts w:ascii="Palatino Linotype" w:eastAsia="Palatino Linotype" w:hAnsi="Palatino Linotype" w:cs="Palatino Linotype"/>
        </w:rPr>
        <w:t xml:space="preserve"> por parte del</w:t>
      </w:r>
      <w:r w:rsidR="007A60EC" w:rsidRPr="005F3BD6">
        <w:rPr>
          <w:rFonts w:ascii="Palatino Linotype" w:eastAsia="Palatino Linotype" w:hAnsi="Palatino Linotype" w:cs="Palatino Linotype"/>
          <w:b/>
        </w:rPr>
        <w:t xml:space="preserve"> </w:t>
      </w:r>
      <w:r w:rsidR="000B50E6" w:rsidRPr="005F3BD6">
        <w:rPr>
          <w:rFonts w:ascii="Palatino Linotype" w:eastAsia="Palatino Linotype" w:hAnsi="Palatino Linotype" w:cs="Palatino Linotype"/>
          <w:b/>
        </w:rPr>
        <w:t xml:space="preserve">Ayuntamiento de </w:t>
      </w:r>
      <w:proofErr w:type="spellStart"/>
      <w:r w:rsidR="000B50E6" w:rsidRPr="005F3BD6">
        <w:rPr>
          <w:rFonts w:ascii="Palatino Linotype" w:eastAsia="Palatino Linotype" w:hAnsi="Palatino Linotype" w:cs="Palatino Linotype"/>
          <w:b/>
        </w:rPr>
        <w:t>Apaxco</w:t>
      </w:r>
      <w:proofErr w:type="spellEnd"/>
      <w:r w:rsidRPr="005F3BD6">
        <w:rPr>
          <w:rFonts w:ascii="Palatino Linotype" w:eastAsia="Palatino Linotype" w:hAnsi="Palatino Linotype" w:cs="Palatino Linotype"/>
          <w:b/>
        </w:rPr>
        <w:t>,</w:t>
      </w:r>
      <w:r w:rsidRPr="005F3BD6">
        <w:rPr>
          <w:rFonts w:ascii="Palatino Linotype" w:eastAsia="Palatino Linotype" w:hAnsi="Palatino Linotype" w:cs="Palatino Linotype"/>
        </w:rPr>
        <w:t xml:space="preserve"> en lo sucesivo </w:t>
      </w:r>
      <w:r w:rsidRPr="005F3BD6">
        <w:rPr>
          <w:rFonts w:ascii="Palatino Linotype" w:eastAsia="Palatino Linotype" w:hAnsi="Palatino Linotype" w:cs="Palatino Linotype"/>
          <w:b/>
        </w:rPr>
        <w:t xml:space="preserve">EL SUJETO OBLIGADO; </w:t>
      </w:r>
      <w:r w:rsidRPr="005F3BD6">
        <w:rPr>
          <w:rFonts w:ascii="Palatino Linotype" w:eastAsia="Palatino Linotype" w:hAnsi="Palatino Linotype" w:cs="Palatino Linotype"/>
        </w:rPr>
        <w:t>se procede a dictar la presente resolución, con base en los siguientes:</w:t>
      </w:r>
    </w:p>
    <w:p w:rsidR="003642DE" w:rsidRPr="005F3BD6" w:rsidRDefault="003642DE" w:rsidP="005F3BD6">
      <w:pPr>
        <w:spacing w:line="360" w:lineRule="auto"/>
        <w:jc w:val="both"/>
        <w:rPr>
          <w:rFonts w:ascii="Palatino Linotype" w:eastAsia="Palatino Linotype" w:hAnsi="Palatino Linotype" w:cs="Palatino Linotype"/>
        </w:rPr>
      </w:pPr>
    </w:p>
    <w:p w:rsidR="003642DE" w:rsidRPr="005F3BD6" w:rsidRDefault="003642DE" w:rsidP="005F3BD6">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5F3BD6">
        <w:rPr>
          <w:rFonts w:ascii="Palatino Linotype" w:eastAsia="Palatino Linotype" w:hAnsi="Palatino Linotype" w:cs="Palatino Linotype"/>
          <w:b/>
        </w:rPr>
        <w:t>A N T E C E D E N T E S:</w:t>
      </w:r>
    </w:p>
    <w:p w:rsidR="003642DE" w:rsidRPr="005F3BD6" w:rsidRDefault="003642DE" w:rsidP="005F3BD6">
      <w:pPr>
        <w:pBdr>
          <w:top w:val="nil"/>
          <w:left w:val="nil"/>
          <w:bottom w:val="nil"/>
          <w:right w:val="nil"/>
          <w:between w:val="nil"/>
        </w:pBdr>
        <w:spacing w:line="360" w:lineRule="auto"/>
        <w:ind w:left="1077"/>
        <w:rPr>
          <w:rFonts w:ascii="Palatino Linotype" w:eastAsia="Palatino Linotype" w:hAnsi="Palatino Linotype" w:cs="Palatino Linotype"/>
          <w:b/>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1. Solicitud de acceso a la información. </w:t>
      </w:r>
      <w:r w:rsidR="00E90B56" w:rsidRPr="005F3BD6">
        <w:rPr>
          <w:rFonts w:ascii="Palatino Linotype" w:eastAsia="Palatino Linotype" w:hAnsi="Palatino Linotype" w:cs="Palatino Linotype"/>
        </w:rPr>
        <w:t>El pasado</w:t>
      </w:r>
      <w:r w:rsidRPr="005F3BD6">
        <w:rPr>
          <w:rFonts w:ascii="Palatino Linotype" w:eastAsia="Palatino Linotype" w:hAnsi="Palatino Linotype" w:cs="Palatino Linotype"/>
        </w:rPr>
        <w:t xml:space="preserve"> </w:t>
      </w:r>
      <w:r w:rsidR="000B50E6" w:rsidRPr="005F3BD6">
        <w:rPr>
          <w:rFonts w:ascii="Palatino Linotype" w:eastAsia="Palatino Linotype" w:hAnsi="Palatino Linotype" w:cs="Palatino Linotype"/>
          <w:b/>
        </w:rPr>
        <w:t>primero de agosto</w:t>
      </w:r>
      <w:r w:rsidRPr="005F3BD6">
        <w:rPr>
          <w:rFonts w:ascii="Palatino Linotype" w:eastAsia="Palatino Linotype" w:hAnsi="Palatino Linotype" w:cs="Palatino Linotype"/>
          <w:b/>
        </w:rPr>
        <w:t xml:space="preserve"> del dos mil veintitrés, LA PARTE RECURRENTE </w:t>
      </w:r>
      <w:r w:rsidRPr="005F3BD6">
        <w:rPr>
          <w:rFonts w:ascii="Palatino Linotype" w:eastAsia="Palatino Linotype" w:hAnsi="Palatino Linotype" w:cs="Palatino Linotype"/>
        </w:rPr>
        <w:t xml:space="preserve">formuló la solicitud de acceso a información pública </w:t>
      </w:r>
      <w:r w:rsidR="000A6798" w:rsidRPr="005F3BD6">
        <w:rPr>
          <w:rFonts w:ascii="Palatino Linotype" w:eastAsia="Palatino Linotype" w:hAnsi="Palatino Linotype" w:cs="Palatino Linotype"/>
          <w:b/>
        </w:rPr>
        <w:t>00061</w:t>
      </w:r>
      <w:r w:rsidR="000B50E6" w:rsidRPr="005F3BD6">
        <w:rPr>
          <w:rFonts w:ascii="Palatino Linotype" w:eastAsia="Palatino Linotype" w:hAnsi="Palatino Linotype" w:cs="Palatino Linotype"/>
          <w:b/>
        </w:rPr>
        <w:t>/APA</w:t>
      </w:r>
      <w:r w:rsidRPr="005F3BD6">
        <w:rPr>
          <w:rFonts w:ascii="Palatino Linotype" w:eastAsia="Palatino Linotype" w:hAnsi="Palatino Linotype" w:cs="Palatino Linotype"/>
          <w:b/>
        </w:rPr>
        <w:t>X</w:t>
      </w:r>
      <w:r w:rsidR="000B50E6" w:rsidRPr="005F3BD6">
        <w:rPr>
          <w:rFonts w:ascii="Palatino Linotype" w:eastAsia="Palatino Linotype" w:hAnsi="Palatino Linotype" w:cs="Palatino Linotype"/>
          <w:b/>
        </w:rPr>
        <w:t>CO</w:t>
      </w:r>
      <w:r w:rsidRPr="005F3BD6">
        <w:rPr>
          <w:rFonts w:ascii="Palatino Linotype" w:eastAsia="Palatino Linotype" w:hAnsi="Palatino Linotype" w:cs="Palatino Linotype"/>
          <w:b/>
        </w:rPr>
        <w:t xml:space="preserve">/IP/2023 </w:t>
      </w:r>
      <w:r w:rsidRPr="005F3BD6">
        <w:rPr>
          <w:rFonts w:ascii="Palatino Linotype" w:eastAsia="Palatino Linotype" w:hAnsi="Palatino Linotype" w:cs="Palatino Linotype"/>
        </w:rPr>
        <w:t xml:space="preserve">al </w:t>
      </w:r>
      <w:r w:rsidRPr="005F3BD6">
        <w:rPr>
          <w:rFonts w:ascii="Palatino Linotype" w:eastAsia="Palatino Linotype" w:hAnsi="Palatino Linotype" w:cs="Palatino Linotype"/>
          <w:b/>
        </w:rPr>
        <w:t>SUJETO OBLIGADO</w:t>
      </w:r>
      <w:r w:rsidRPr="005F3BD6">
        <w:rPr>
          <w:rFonts w:ascii="Palatino Linotype" w:eastAsia="Palatino Linotype" w:hAnsi="Palatino Linotype" w:cs="Palatino Linotype"/>
        </w:rPr>
        <w:t xml:space="preserve"> a través del Sistema de Acceso a la Información Mexiquense, en adelante </w:t>
      </w:r>
      <w:r w:rsidR="007A60EC" w:rsidRPr="005F3BD6">
        <w:rPr>
          <w:rFonts w:ascii="Palatino Linotype" w:eastAsia="Palatino Linotype" w:hAnsi="Palatino Linotype" w:cs="Palatino Linotype"/>
          <w:b/>
        </w:rPr>
        <w:t>SAIMEX</w:t>
      </w:r>
      <w:r w:rsidRPr="005F3BD6">
        <w:rPr>
          <w:rFonts w:ascii="Palatino Linotype" w:eastAsia="Palatino Linotype" w:hAnsi="Palatino Linotype" w:cs="Palatino Linotype"/>
        </w:rPr>
        <w:t>, requiriéndole lo siguiente:</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3642DE" w:rsidRPr="005F3BD6" w:rsidRDefault="003642DE"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r w:rsidR="006937D6" w:rsidRPr="005F3BD6">
        <w:rPr>
          <w:rFonts w:ascii="Palatino Linotype" w:hAnsi="Palatino Linotype"/>
          <w:color w:val="auto"/>
          <w:sz w:val="22"/>
          <w:szCs w:val="22"/>
        </w:rPr>
        <w:t>¿Cuál es el análisis detallado de la implementación de las tecnologías de la información y la comunicación (TIC) en las escuelas del municipio y cómo se está midiendo su efectividad en el aprendizaje de los estudiantes?</w:t>
      </w:r>
      <w:r w:rsidRPr="005F3BD6">
        <w:rPr>
          <w:rFonts w:ascii="Palatino Linotype" w:eastAsia="Palatino Linotype" w:hAnsi="Palatino Linotype"/>
          <w:color w:val="auto"/>
          <w:sz w:val="22"/>
          <w:szCs w:val="22"/>
        </w:rPr>
        <w:t>” (Sic)</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Modalidad elegida para la entrega de la información: </w:t>
      </w:r>
      <w:r w:rsidRPr="005F3BD6">
        <w:rPr>
          <w:rFonts w:ascii="Palatino Linotype" w:eastAsia="Palatino Linotype" w:hAnsi="Palatino Linotype" w:cs="Palatino Linotype"/>
        </w:rPr>
        <w:t>a través del SAIMEX.</w:t>
      </w:r>
    </w:p>
    <w:p w:rsidR="003642DE" w:rsidRPr="005F3BD6" w:rsidRDefault="003642DE" w:rsidP="005F3BD6">
      <w:pPr>
        <w:spacing w:line="360" w:lineRule="auto"/>
        <w:jc w:val="both"/>
        <w:rPr>
          <w:rFonts w:ascii="Palatino Linotype" w:eastAsia="Palatino Linotype" w:hAnsi="Palatino Linotype" w:cs="Palatino Linotype"/>
        </w:rPr>
      </w:pPr>
    </w:p>
    <w:p w:rsidR="003642DE" w:rsidRPr="005F3BD6" w:rsidRDefault="003642DE" w:rsidP="005F3BD6">
      <w:pPr>
        <w:spacing w:line="360" w:lineRule="auto"/>
        <w:jc w:val="both"/>
        <w:rPr>
          <w:rFonts w:ascii="Palatino Linotype" w:eastAsia="Palatino Linotype" w:hAnsi="Palatino Linotype" w:cs="Palatino Linotype"/>
          <w:b/>
        </w:rPr>
      </w:pPr>
      <w:r w:rsidRPr="005F3BD6">
        <w:rPr>
          <w:rFonts w:ascii="Palatino Linotype" w:eastAsia="Palatino Linotype" w:hAnsi="Palatino Linotype" w:cs="Palatino Linotype"/>
          <w:b/>
        </w:rPr>
        <w:lastRenderedPageBreak/>
        <w:t xml:space="preserve">2. Respuesta. </w:t>
      </w:r>
      <w:r w:rsidRPr="005F3BD6">
        <w:rPr>
          <w:rFonts w:ascii="Palatino Linotype" w:eastAsia="Palatino Linotype" w:hAnsi="Palatino Linotype" w:cs="Palatino Linotype"/>
        </w:rPr>
        <w:t xml:space="preserve">De las constancias que obran en </w:t>
      </w:r>
      <w:r w:rsidRPr="005F3BD6">
        <w:rPr>
          <w:rFonts w:ascii="Palatino Linotype" w:eastAsia="Palatino Linotype" w:hAnsi="Palatino Linotype" w:cs="Palatino Linotype"/>
          <w:b/>
        </w:rPr>
        <w:t>SAIMEX</w:t>
      </w:r>
      <w:r w:rsidRPr="005F3BD6">
        <w:rPr>
          <w:rFonts w:ascii="Palatino Linotype" w:eastAsia="Palatino Linotype" w:hAnsi="Palatino Linotype" w:cs="Palatino Linotype"/>
        </w:rPr>
        <w:t xml:space="preserve">, se observa que </w:t>
      </w:r>
      <w:r w:rsidRPr="005F3BD6">
        <w:rPr>
          <w:rFonts w:ascii="Palatino Linotype" w:eastAsia="Palatino Linotype" w:hAnsi="Palatino Linotype" w:cs="Palatino Linotype"/>
          <w:b/>
        </w:rPr>
        <w:t xml:space="preserve">EL SUJETO OBLIGADO </w:t>
      </w:r>
      <w:r w:rsidRPr="005F3BD6">
        <w:rPr>
          <w:rFonts w:ascii="Palatino Linotype" w:eastAsia="Palatino Linotype" w:hAnsi="Palatino Linotype" w:cs="Palatino Linotype"/>
        </w:rPr>
        <w:t xml:space="preserve">no emitió respuesta a la solicitud de información formulada por </w:t>
      </w:r>
      <w:r w:rsidRPr="005F3BD6">
        <w:rPr>
          <w:rFonts w:ascii="Palatino Linotype" w:eastAsia="Palatino Linotype" w:hAnsi="Palatino Linotype" w:cs="Palatino Linotype"/>
          <w:b/>
        </w:rPr>
        <w:t>LA PARTE  RECURRENTE.</w:t>
      </w:r>
    </w:p>
    <w:p w:rsidR="003642DE" w:rsidRPr="005F3BD6" w:rsidRDefault="003642DE" w:rsidP="005F3BD6">
      <w:pPr>
        <w:spacing w:line="360" w:lineRule="auto"/>
        <w:jc w:val="both"/>
        <w:rPr>
          <w:rFonts w:ascii="Palatino Linotype" w:eastAsia="Palatino Linotype" w:hAnsi="Palatino Linotype" w:cs="Palatino Linotype"/>
          <w:b/>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3. Interposición del recurso de revisión. </w:t>
      </w:r>
      <w:r w:rsidRPr="005F3BD6">
        <w:rPr>
          <w:rFonts w:ascii="Palatino Linotype" w:eastAsia="Palatino Linotype" w:hAnsi="Palatino Linotype" w:cs="Palatino Linotype"/>
        </w:rPr>
        <w:t xml:space="preserve">Inconforme la parte solicitante con la falta de respuesta del </w:t>
      </w:r>
      <w:r w:rsidRPr="005F3BD6">
        <w:rPr>
          <w:rFonts w:ascii="Palatino Linotype" w:eastAsia="Palatino Linotype" w:hAnsi="Palatino Linotype" w:cs="Palatino Linotype"/>
          <w:b/>
        </w:rPr>
        <w:t>SUJETO OBLIGADO</w:t>
      </w:r>
      <w:r w:rsidRPr="005F3BD6">
        <w:rPr>
          <w:rFonts w:ascii="Palatino Linotype" w:eastAsia="Palatino Linotype" w:hAnsi="Palatino Linotype" w:cs="Palatino Linotype"/>
        </w:rPr>
        <w:t>, interpuso recurso de revis</w:t>
      </w:r>
      <w:r w:rsidR="00E90B56" w:rsidRPr="005F3BD6">
        <w:rPr>
          <w:rFonts w:ascii="Palatino Linotype" w:eastAsia="Palatino Linotype" w:hAnsi="Palatino Linotype" w:cs="Palatino Linotype"/>
        </w:rPr>
        <w:t>ión a través del SAIMEX el</w:t>
      </w:r>
      <w:r w:rsidRPr="005F3BD6">
        <w:rPr>
          <w:rFonts w:ascii="Palatino Linotype" w:eastAsia="Palatino Linotype" w:hAnsi="Palatino Linotype" w:cs="Palatino Linotype"/>
        </w:rPr>
        <w:t xml:space="preserve"> </w:t>
      </w:r>
      <w:r w:rsidR="000B50E6" w:rsidRPr="005F3BD6">
        <w:rPr>
          <w:rFonts w:ascii="Palatino Linotype" w:eastAsia="Palatino Linotype" w:hAnsi="Palatino Linotype" w:cs="Palatino Linotype"/>
          <w:b/>
        </w:rPr>
        <w:t xml:space="preserve">tres de octubre </w:t>
      </w:r>
      <w:r w:rsidRPr="005F3BD6">
        <w:rPr>
          <w:rFonts w:ascii="Palatino Linotype" w:eastAsia="Palatino Linotype" w:hAnsi="Palatino Linotype" w:cs="Palatino Linotype"/>
          <w:b/>
        </w:rPr>
        <w:t>del año dos mil veintitrés,</w:t>
      </w:r>
      <w:r w:rsidRPr="005F3BD6">
        <w:rPr>
          <w:rFonts w:ascii="Palatino Linotype" w:eastAsia="Palatino Linotype" w:hAnsi="Palatino Linotype" w:cs="Palatino Linotype"/>
        </w:rPr>
        <w:t xml:space="preserve"> expresando lo siguiente:</w:t>
      </w:r>
    </w:p>
    <w:p w:rsidR="003642DE" w:rsidRPr="005F3BD6" w:rsidRDefault="003642DE" w:rsidP="005F3BD6">
      <w:pPr>
        <w:spacing w:line="360" w:lineRule="auto"/>
        <w:jc w:val="both"/>
        <w:rPr>
          <w:rFonts w:ascii="Palatino Linotype" w:eastAsia="Palatino Linotype" w:hAnsi="Palatino Linotype" w:cs="Palatino Linotype"/>
        </w:rPr>
      </w:pPr>
    </w:p>
    <w:p w:rsidR="003642DE" w:rsidRPr="005F3BD6" w:rsidRDefault="003642DE" w:rsidP="005F3BD6">
      <w:pPr>
        <w:spacing w:line="360" w:lineRule="auto"/>
        <w:rPr>
          <w:rFonts w:ascii="Palatino Linotype" w:eastAsia="Palatino Linotype" w:hAnsi="Palatino Linotype" w:cs="Palatino Linotype"/>
          <w:b/>
        </w:rPr>
      </w:pPr>
      <w:r w:rsidRPr="005F3BD6">
        <w:rPr>
          <w:rFonts w:ascii="Palatino Linotype" w:eastAsia="Palatino Linotype" w:hAnsi="Palatino Linotype" w:cs="Palatino Linotype"/>
          <w:b/>
        </w:rPr>
        <w:t>a) Acto impugnado.</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3642DE" w:rsidRPr="005F3BD6" w:rsidRDefault="003642DE"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r w:rsidR="006937D6" w:rsidRPr="005F3BD6">
        <w:rPr>
          <w:rFonts w:ascii="Palatino Linotype" w:eastAsia="Palatino Linotype" w:hAnsi="Palatino Linotype"/>
          <w:color w:val="auto"/>
          <w:sz w:val="22"/>
          <w:szCs w:val="22"/>
        </w:rPr>
        <w:t xml:space="preserve">El acto impugnado es la falta de respuesta por parte del Sujeto obligado del municipio de </w:t>
      </w:r>
      <w:proofErr w:type="spellStart"/>
      <w:r w:rsidR="006937D6" w:rsidRPr="005F3BD6">
        <w:rPr>
          <w:rFonts w:ascii="Palatino Linotype" w:eastAsia="Palatino Linotype" w:hAnsi="Palatino Linotype"/>
          <w:color w:val="auto"/>
          <w:sz w:val="22"/>
          <w:szCs w:val="22"/>
        </w:rPr>
        <w:t>Apaxco</w:t>
      </w:r>
      <w:proofErr w:type="spellEnd"/>
      <w:r w:rsidR="006937D6" w:rsidRPr="005F3BD6">
        <w:rPr>
          <w:rFonts w:ascii="Palatino Linotype" w:eastAsia="Palatino Linotype" w:hAnsi="Palatino Linotype"/>
          <w:color w:val="auto"/>
          <w:sz w:val="22"/>
          <w:szCs w:val="22"/>
        </w:rPr>
        <w:t xml:space="preserve"> de </w:t>
      </w:r>
      <w:proofErr w:type="spellStart"/>
      <w:r w:rsidR="006937D6" w:rsidRPr="005F3BD6">
        <w:rPr>
          <w:rFonts w:ascii="Palatino Linotype" w:eastAsia="Palatino Linotype" w:hAnsi="Palatino Linotype"/>
          <w:color w:val="auto"/>
          <w:sz w:val="22"/>
          <w:szCs w:val="22"/>
        </w:rPr>
        <w:t>ocampo</w:t>
      </w:r>
      <w:proofErr w:type="spellEnd"/>
      <w:r w:rsidR="006937D6" w:rsidRPr="005F3BD6">
        <w:rPr>
          <w:rFonts w:ascii="Palatino Linotype" w:eastAsia="Palatino Linotype" w:hAnsi="Palatino Linotype"/>
          <w:color w:val="auto"/>
          <w:sz w:val="22"/>
          <w:szCs w:val="22"/>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5F3BD6">
        <w:rPr>
          <w:rFonts w:ascii="Palatino Linotype" w:eastAsia="Palatino Linotype" w:hAnsi="Palatino Linotype"/>
          <w:color w:val="auto"/>
          <w:sz w:val="22"/>
          <w:szCs w:val="22"/>
        </w:rPr>
        <w:t>” (Sic)</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3642DE" w:rsidRPr="005F3BD6" w:rsidRDefault="003642DE" w:rsidP="005F3BD6">
      <w:pPr>
        <w:spacing w:line="360" w:lineRule="auto"/>
        <w:jc w:val="both"/>
        <w:rPr>
          <w:rFonts w:ascii="Palatino Linotype" w:eastAsia="Palatino Linotype" w:hAnsi="Palatino Linotype" w:cs="Palatino Linotype"/>
          <w:b/>
        </w:rPr>
      </w:pPr>
      <w:r w:rsidRPr="005F3BD6">
        <w:rPr>
          <w:rFonts w:ascii="Palatino Linotype" w:eastAsia="Palatino Linotype" w:hAnsi="Palatino Linotype" w:cs="Palatino Linotype"/>
          <w:b/>
        </w:rPr>
        <w:t>b) Motivos de inconformidad.</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3642DE" w:rsidRPr="005F3BD6" w:rsidRDefault="003642DE"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r w:rsidR="006937D6" w:rsidRPr="005F3BD6">
        <w:rPr>
          <w:rFonts w:ascii="Palatino Linotype" w:eastAsia="Palatino Linotype" w:hAnsi="Palatino Linotype"/>
          <w:color w:val="auto"/>
          <w:sz w:val="22"/>
          <w:szCs w:val="22"/>
        </w:rPr>
        <w:t xml:space="preserve">Las razones y motivos de mi inconformidad radican en la falta de respuesta por parte del Sujeto obligado del municipio de </w:t>
      </w:r>
      <w:proofErr w:type="spellStart"/>
      <w:r w:rsidR="006937D6" w:rsidRPr="005F3BD6">
        <w:rPr>
          <w:rFonts w:ascii="Palatino Linotype" w:eastAsia="Palatino Linotype" w:hAnsi="Palatino Linotype"/>
          <w:color w:val="auto"/>
          <w:sz w:val="22"/>
          <w:szCs w:val="22"/>
        </w:rPr>
        <w:t>Apaxco</w:t>
      </w:r>
      <w:proofErr w:type="spellEnd"/>
      <w:r w:rsidR="006937D6" w:rsidRPr="005F3BD6">
        <w:rPr>
          <w:rFonts w:ascii="Palatino Linotype" w:eastAsia="Palatino Linotype" w:hAnsi="Palatino Linotype"/>
          <w:color w:val="auto"/>
          <w:sz w:val="22"/>
          <w:szCs w:val="22"/>
        </w:rPr>
        <w:t xml:space="preserve"> de </w:t>
      </w:r>
      <w:proofErr w:type="spellStart"/>
      <w:r w:rsidR="006937D6" w:rsidRPr="005F3BD6">
        <w:rPr>
          <w:rFonts w:ascii="Palatino Linotype" w:eastAsia="Palatino Linotype" w:hAnsi="Palatino Linotype"/>
          <w:color w:val="auto"/>
          <w:sz w:val="22"/>
          <w:szCs w:val="22"/>
        </w:rPr>
        <w:t>ocampo</w:t>
      </w:r>
      <w:proofErr w:type="spellEnd"/>
      <w:r w:rsidR="006937D6" w:rsidRPr="005F3BD6">
        <w:rPr>
          <w:rFonts w:ascii="Palatino Linotype" w:eastAsia="Palatino Linotype" w:hAnsi="Palatino Linotype"/>
          <w:color w:val="auto"/>
          <w:sz w:val="22"/>
          <w:szCs w:val="22"/>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006937D6" w:rsidRPr="005F3BD6">
        <w:rPr>
          <w:rFonts w:ascii="Palatino Linotype" w:eastAsia="Palatino Linotype" w:hAnsi="Palatino Linotype"/>
          <w:color w:val="auto"/>
          <w:sz w:val="22"/>
          <w:szCs w:val="22"/>
        </w:rPr>
        <w:t>Apaxco</w:t>
      </w:r>
      <w:proofErr w:type="spellEnd"/>
      <w:r w:rsidR="006937D6" w:rsidRPr="005F3BD6">
        <w:rPr>
          <w:rFonts w:ascii="Palatino Linotype" w:eastAsia="Palatino Linotype" w:hAnsi="Palatino Linotype"/>
          <w:color w:val="auto"/>
          <w:sz w:val="22"/>
          <w:szCs w:val="22"/>
        </w:rPr>
        <w:t xml:space="preserve"> de Ocampo que atienda de manera inmediata mi </w:t>
      </w:r>
      <w:r w:rsidR="006937D6" w:rsidRPr="005F3BD6">
        <w:rPr>
          <w:rFonts w:ascii="Palatino Linotype" w:eastAsia="Palatino Linotype" w:hAnsi="Palatino Linotype"/>
          <w:color w:val="auto"/>
          <w:sz w:val="22"/>
          <w:szCs w:val="22"/>
        </w:rPr>
        <w:lastRenderedPageBreak/>
        <w:t>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5F3BD6">
        <w:rPr>
          <w:rFonts w:ascii="Palatino Linotype" w:eastAsia="Palatino Linotype" w:hAnsi="Palatino Linotype"/>
          <w:color w:val="auto"/>
          <w:sz w:val="22"/>
          <w:szCs w:val="22"/>
        </w:rPr>
        <w:t>” (Sic)</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4. Turno. </w:t>
      </w:r>
      <w:r w:rsidRPr="005F3BD6">
        <w:rPr>
          <w:rFonts w:ascii="Palatino Linotype" w:eastAsia="Palatino Linotype" w:hAnsi="Palatino Linotype" w:cs="Palatino Linotype"/>
        </w:rPr>
        <w:t xml:space="preserve">De conformidad con el artículo 185 Fracción I de la Ley Transparencia y Acceso a la Información Pública, el recurso de revisión fue </w:t>
      </w:r>
      <w:proofErr w:type="gramStart"/>
      <w:r w:rsidR="007A60EC" w:rsidRPr="005F3BD6">
        <w:rPr>
          <w:rFonts w:ascii="Palatino Linotype" w:eastAsia="Palatino Linotype" w:hAnsi="Palatino Linotype" w:cs="Palatino Linotype"/>
        </w:rPr>
        <w:t>turnado</w:t>
      </w:r>
      <w:proofErr w:type="gramEnd"/>
      <w:r w:rsidRPr="005F3BD6">
        <w:rPr>
          <w:rFonts w:ascii="Palatino Linotype" w:eastAsia="Palatino Linotype" w:hAnsi="Palatino Linotype" w:cs="Palatino Linotype"/>
        </w:rPr>
        <w:t xml:space="preserve"> a la </w:t>
      </w:r>
      <w:r w:rsidRPr="005F3BD6">
        <w:rPr>
          <w:rFonts w:ascii="Palatino Linotype" w:eastAsia="Palatino Linotype" w:hAnsi="Palatino Linotype" w:cs="Palatino Linotype"/>
          <w:b/>
        </w:rPr>
        <w:t>Comisionada Ponente Guadalupe Ramírez Peña,</w:t>
      </w:r>
      <w:r w:rsidRPr="005F3BD6">
        <w:rPr>
          <w:rFonts w:ascii="Palatino Linotype" w:eastAsia="Palatino Linotype" w:hAnsi="Palatino Linotype" w:cs="Palatino Linotype"/>
        </w:rPr>
        <w:t xml:space="preserve"> a efecto de presentar al Pleno el proyecto de resolución correspondiente.</w:t>
      </w:r>
    </w:p>
    <w:p w:rsidR="003642DE" w:rsidRPr="005F3BD6" w:rsidRDefault="003642DE" w:rsidP="005F3BD6">
      <w:pPr>
        <w:spacing w:line="360" w:lineRule="auto"/>
        <w:jc w:val="both"/>
        <w:rPr>
          <w:rFonts w:ascii="Palatino Linotype" w:eastAsia="Palatino Linotype" w:hAnsi="Palatino Linotype" w:cs="Palatino Linotype"/>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5. Admisión. </w:t>
      </w:r>
      <w:r w:rsidR="00E90B56" w:rsidRPr="005F3BD6">
        <w:rPr>
          <w:rFonts w:ascii="Palatino Linotype" w:eastAsia="Palatino Linotype" w:hAnsi="Palatino Linotype" w:cs="Palatino Linotype"/>
        </w:rPr>
        <w:t>El día</w:t>
      </w:r>
      <w:r w:rsidRPr="005F3BD6">
        <w:rPr>
          <w:rFonts w:ascii="Palatino Linotype" w:eastAsia="Palatino Linotype" w:hAnsi="Palatino Linotype" w:cs="Palatino Linotype"/>
        </w:rPr>
        <w:t xml:space="preserve"> </w:t>
      </w:r>
      <w:r w:rsidR="000B50E6" w:rsidRPr="005F3BD6">
        <w:rPr>
          <w:rFonts w:ascii="Palatino Linotype" w:eastAsia="Palatino Linotype" w:hAnsi="Palatino Linotype" w:cs="Palatino Linotype"/>
          <w:b/>
        </w:rPr>
        <w:t xml:space="preserve">seis de octubre </w:t>
      </w:r>
      <w:r w:rsidRPr="005F3BD6">
        <w:rPr>
          <w:rFonts w:ascii="Palatino Linotype" w:eastAsia="Palatino Linotype" w:hAnsi="Palatino Linotype" w:cs="Palatino Linotype"/>
          <w:b/>
        </w:rPr>
        <w:t>del año dos mil veintitrés,</w:t>
      </w:r>
      <w:r w:rsidRPr="005F3BD6">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rsidR="003642DE" w:rsidRPr="005F3BD6" w:rsidRDefault="003642DE" w:rsidP="005F3BD6">
      <w:pPr>
        <w:spacing w:line="360" w:lineRule="auto"/>
        <w:jc w:val="both"/>
        <w:rPr>
          <w:rFonts w:ascii="Palatino Linotype" w:eastAsia="Palatino Linotype" w:hAnsi="Palatino Linotype" w:cs="Palatino Linotype"/>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6. Manifestaciones. </w:t>
      </w:r>
      <w:r w:rsidRPr="005F3BD6">
        <w:rPr>
          <w:rFonts w:ascii="Palatino Linotype" w:eastAsia="Palatino Linotype" w:hAnsi="Palatino Linotype" w:cs="Palatino Linotype"/>
        </w:rPr>
        <w:t xml:space="preserve">De las constancias que obran en el expediente electrónico del SAIMEX se desprende que </w:t>
      </w:r>
      <w:r w:rsidRPr="005F3BD6">
        <w:rPr>
          <w:rFonts w:ascii="Palatino Linotype" w:eastAsia="Palatino Linotype" w:hAnsi="Palatino Linotype" w:cs="Palatino Linotype"/>
          <w:b/>
        </w:rPr>
        <w:t>EL SUJETO OBLIGADO</w:t>
      </w:r>
      <w:r w:rsidRPr="005F3BD6">
        <w:rPr>
          <w:rFonts w:ascii="Palatino Linotype" w:eastAsia="Palatino Linotype" w:hAnsi="Palatino Linotype" w:cs="Palatino Linotype"/>
        </w:rPr>
        <w:t xml:space="preserve"> no rindió su </w:t>
      </w:r>
      <w:r w:rsidR="00F431B7" w:rsidRPr="005F3BD6">
        <w:rPr>
          <w:rFonts w:ascii="Palatino Linotype" w:eastAsia="Palatino Linotype" w:hAnsi="Palatino Linotype" w:cs="Palatino Linotype"/>
        </w:rPr>
        <w:t xml:space="preserve">Informe Justificado, </w:t>
      </w:r>
      <w:r w:rsidRPr="005F3BD6">
        <w:rPr>
          <w:rFonts w:ascii="Palatino Linotype" w:eastAsia="Palatino Linotype" w:hAnsi="Palatino Linotype" w:cs="Palatino Linotype"/>
        </w:rPr>
        <w:t xml:space="preserve">del mismo modo </w:t>
      </w:r>
      <w:r w:rsidRPr="005F3BD6">
        <w:rPr>
          <w:rFonts w:ascii="Palatino Linotype" w:eastAsia="Palatino Linotype" w:hAnsi="Palatino Linotype" w:cs="Palatino Linotype"/>
          <w:b/>
        </w:rPr>
        <w:t>LA PARTE RECURRENTE</w:t>
      </w:r>
      <w:r w:rsidRPr="005F3BD6">
        <w:rPr>
          <w:rFonts w:ascii="Palatino Linotype" w:eastAsia="Palatino Linotype" w:hAnsi="Palatino Linotype" w:cs="Palatino Linotype"/>
        </w:rPr>
        <w:t xml:space="preserve"> omitió realizar manifestaciones, como se observa a continuación:</w:t>
      </w:r>
    </w:p>
    <w:p w:rsidR="006937D6" w:rsidRPr="005F3BD6" w:rsidRDefault="006937D6" w:rsidP="005F3BD6">
      <w:pPr>
        <w:spacing w:line="360" w:lineRule="auto"/>
        <w:jc w:val="both"/>
        <w:rPr>
          <w:noProof/>
        </w:rPr>
      </w:pPr>
    </w:p>
    <w:p w:rsidR="000B50E6" w:rsidRPr="005F3BD6" w:rsidRDefault="006937D6" w:rsidP="005F3BD6">
      <w:pPr>
        <w:spacing w:line="360" w:lineRule="auto"/>
        <w:jc w:val="center"/>
        <w:rPr>
          <w:noProof/>
        </w:rPr>
      </w:pPr>
      <w:r w:rsidRPr="005F3BD6">
        <w:rPr>
          <w:noProof/>
        </w:rPr>
        <w:drawing>
          <wp:inline distT="0" distB="0" distL="0" distR="0" wp14:anchorId="23652B13" wp14:editId="54B545D2">
            <wp:extent cx="4248150" cy="1000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35" t="43754" r="14970" b="24562"/>
                    <a:stretch/>
                  </pic:blipFill>
                  <pic:spPr bwMode="auto">
                    <a:xfrm>
                      <a:off x="0" y="0"/>
                      <a:ext cx="4248150" cy="1000125"/>
                    </a:xfrm>
                    <a:prstGeom prst="rect">
                      <a:avLst/>
                    </a:prstGeom>
                    <a:ln>
                      <a:noFill/>
                    </a:ln>
                    <a:extLst>
                      <a:ext uri="{53640926-AAD7-44D8-BBD7-CCE9431645EC}">
                        <a14:shadowObscured xmlns:a14="http://schemas.microsoft.com/office/drawing/2010/main"/>
                      </a:ext>
                    </a:extLst>
                  </pic:spPr>
                </pic:pic>
              </a:graphicData>
            </a:graphic>
          </wp:inline>
        </w:drawing>
      </w:r>
    </w:p>
    <w:p w:rsidR="003642DE" w:rsidRPr="005F3BD6" w:rsidRDefault="003642DE" w:rsidP="005F3BD6">
      <w:pPr>
        <w:spacing w:line="360" w:lineRule="auto"/>
        <w:jc w:val="center"/>
        <w:rPr>
          <w:rFonts w:ascii="Palatino Linotype" w:eastAsia="Palatino Linotype" w:hAnsi="Palatino Linotype" w:cs="Palatino Linotype"/>
        </w:rPr>
      </w:pPr>
    </w:p>
    <w:p w:rsidR="000B50E6" w:rsidRPr="005F3BD6" w:rsidRDefault="000B50E6" w:rsidP="005F3BD6">
      <w:pPr>
        <w:spacing w:line="360" w:lineRule="auto"/>
        <w:jc w:val="center"/>
        <w:rPr>
          <w:rFonts w:ascii="Palatino Linotype" w:eastAsia="Palatino Linotype" w:hAnsi="Palatino Linotype" w:cs="Palatino Linotype"/>
        </w:rPr>
      </w:pPr>
    </w:p>
    <w:p w:rsidR="003642DE"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7. Cierre de Instrucción. </w:t>
      </w:r>
      <w:r w:rsidR="00E90B56" w:rsidRPr="005F3BD6">
        <w:rPr>
          <w:rFonts w:ascii="Palatino Linotype" w:eastAsia="Palatino Linotype" w:hAnsi="Palatino Linotype" w:cs="Palatino Linotype"/>
        </w:rPr>
        <w:t>Con</w:t>
      </w:r>
      <w:r w:rsidRPr="005F3BD6">
        <w:rPr>
          <w:rFonts w:ascii="Palatino Linotype" w:eastAsia="Palatino Linotype" w:hAnsi="Palatino Linotype" w:cs="Palatino Linotype"/>
        </w:rPr>
        <w:t xml:space="preserve"> fecha </w:t>
      </w:r>
      <w:r w:rsidR="000B50E6" w:rsidRPr="005F3BD6">
        <w:rPr>
          <w:rFonts w:ascii="Palatino Linotype" w:eastAsia="Palatino Linotype" w:hAnsi="Palatino Linotype" w:cs="Palatino Linotype"/>
          <w:b/>
        </w:rPr>
        <w:t xml:space="preserve">dieciocho de octubre </w:t>
      </w:r>
      <w:r w:rsidRPr="005F3BD6">
        <w:rPr>
          <w:rFonts w:ascii="Palatino Linotype" w:eastAsia="Palatino Linotype" w:hAnsi="Palatino Linotype" w:cs="Palatino Linotype"/>
          <w:b/>
        </w:rPr>
        <w:t>del año dos mil veintitrés,</w:t>
      </w:r>
      <w:r w:rsidRPr="005F3BD6">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rsidR="003642DE" w:rsidRPr="005F3BD6" w:rsidRDefault="003642DE" w:rsidP="005F3BD6">
      <w:pPr>
        <w:widowControl w:val="0"/>
        <w:spacing w:line="360" w:lineRule="auto"/>
        <w:rPr>
          <w:rFonts w:ascii="Palatino Linotype" w:eastAsia="Palatino Linotype" w:hAnsi="Palatino Linotype" w:cs="Palatino Linotype"/>
          <w:b/>
        </w:rPr>
      </w:pPr>
    </w:p>
    <w:p w:rsidR="009842D1" w:rsidRPr="005F3BD6" w:rsidRDefault="007A60EC" w:rsidP="005F3BD6">
      <w:pPr>
        <w:widowControl w:val="0"/>
        <w:spacing w:line="360" w:lineRule="auto"/>
        <w:jc w:val="center"/>
        <w:rPr>
          <w:rFonts w:ascii="Palatino Linotype" w:eastAsia="Palatino Linotype" w:hAnsi="Palatino Linotype" w:cs="Palatino Linotype"/>
          <w:b/>
        </w:rPr>
      </w:pPr>
      <w:r w:rsidRPr="005F3BD6">
        <w:rPr>
          <w:rFonts w:ascii="Palatino Linotype" w:eastAsia="Palatino Linotype" w:hAnsi="Palatino Linotype" w:cs="Palatino Linotype"/>
          <w:b/>
        </w:rPr>
        <w:t>II. C O N S I D E R A N D O</w:t>
      </w:r>
      <w:r w:rsidR="003642DE" w:rsidRPr="005F3BD6">
        <w:rPr>
          <w:rFonts w:ascii="Palatino Linotype" w:eastAsia="Palatino Linotype" w:hAnsi="Palatino Linotype" w:cs="Palatino Linotype"/>
          <w:b/>
        </w:rPr>
        <w:t>:</w:t>
      </w:r>
    </w:p>
    <w:p w:rsidR="009842D1" w:rsidRPr="005F3BD6" w:rsidRDefault="009842D1" w:rsidP="005F3BD6">
      <w:pPr>
        <w:widowControl w:val="0"/>
        <w:spacing w:line="360" w:lineRule="auto"/>
        <w:jc w:val="center"/>
        <w:rPr>
          <w:rFonts w:ascii="Palatino Linotype" w:eastAsia="Palatino Linotype" w:hAnsi="Palatino Linotype" w:cs="Palatino Linotype"/>
          <w:b/>
        </w:rPr>
      </w:pPr>
    </w:p>
    <w:p w:rsidR="009842D1" w:rsidRPr="005F3BD6" w:rsidRDefault="003642DE" w:rsidP="005F3BD6">
      <w:pPr>
        <w:spacing w:line="360" w:lineRule="auto"/>
        <w:ind w:left="-284"/>
        <w:jc w:val="both"/>
        <w:rPr>
          <w:rFonts w:ascii="Palatino Linotype" w:eastAsia="Palatino Linotype" w:hAnsi="Palatino Linotype" w:cs="Palatino Linotype"/>
        </w:rPr>
      </w:pPr>
      <w:r w:rsidRPr="005F3BD6">
        <w:rPr>
          <w:rFonts w:ascii="Palatino Linotype" w:eastAsia="Palatino Linotype" w:hAnsi="Palatino Linotype" w:cs="Palatino Linotype"/>
          <w:b/>
        </w:rPr>
        <w:t>PRIMERO. COMPETENCIA.</w:t>
      </w:r>
      <w:r w:rsidRPr="005F3BD6">
        <w:rPr>
          <w:rFonts w:ascii="Palatino Linotype" w:eastAsia="Palatino Linotype" w:hAnsi="Palatino Linotype" w:cs="Palatino Linotype"/>
        </w:rPr>
        <w:t xml:space="preserve"> </w:t>
      </w:r>
      <w:r w:rsidR="00FF32EF" w:rsidRPr="005F3BD6">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6366AA" w:rsidRPr="005F3BD6">
        <w:rPr>
          <w:rFonts w:ascii="Palatino Linotype" w:eastAsia="Palatino Linotype" w:hAnsi="Palatino Linotype" w:cs="Palatino Linotype"/>
        </w:rPr>
        <w:t xml:space="preserve"> segundo, trigésimo tercero y trigésimo cuarto</w:t>
      </w:r>
      <w:r w:rsidR="00FF32EF" w:rsidRPr="005F3BD6">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5F3BD6">
        <w:rPr>
          <w:rFonts w:ascii="Palatino Linotype" w:eastAsia="Palatino Linotype" w:hAnsi="Palatino Linotype" w:cs="Palatino Linotype"/>
        </w:rPr>
        <w:t>nicipios; 9, fracciones I y XXIII</w:t>
      </w:r>
      <w:r w:rsidR="00FF32EF" w:rsidRPr="005F3BD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3642DE" w:rsidP="005F3BD6">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5F3BD6">
        <w:rPr>
          <w:rFonts w:ascii="Palatino Linotype" w:eastAsia="Palatino Linotype" w:hAnsi="Palatino Linotype" w:cs="Palatino Linotype"/>
          <w:b/>
        </w:rPr>
        <w:lastRenderedPageBreak/>
        <w:t xml:space="preserve">SEGUNDO. OPORTUNIDAD Y PROCEDIBILIDAD. </w:t>
      </w:r>
      <w:r w:rsidR="00FF32EF" w:rsidRPr="005F3BD6">
        <w:rPr>
          <w:rFonts w:ascii="Palatino Linotype" w:eastAsia="Palatino Linotype" w:hAnsi="Palatino Linotype" w:cs="Palatino Linotype"/>
        </w:rPr>
        <w:t>Es de precisar que la</w:t>
      </w:r>
      <w:r w:rsidR="00FF32EF" w:rsidRPr="005F3BD6">
        <w:rPr>
          <w:rFonts w:ascii="Palatino Linotype" w:eastAsia="Palatino Linotype" w:hAnsi="Palatino Linotype" w:cs="Palatino Linotype"/>
          <w:b/>
        </w:rPr>
        <w:t xml:space="preserve"> </w:t>
      </w:r>
      <w:r w:rsidR="00FF32EF" w:rsidRPr="005F3BD6">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w:t>
      </w:r>
      <w:r w:rsidR="007A60EC" w:rsidRPr="005F3BD6">
        <w:rPr>
          <w:rFonts w:ascii="Palatino Linotype" w:eastAsia="Palatino Linotype" w:hAnsi="Palatino Linotype" w:cs="Palatino Linotype"/>
        </w:rPr>
        <w:t xml:space="preserve"> cuarto párrafo del</w:t>
      </w:r>
      <w:r w:rsidR="00FF32EF" w:rsidRPr="005F3BD6">
        <w:rPr>
          <w:rFonts w:ascii="Palatino Linotype" w:eastAsia="Palatino Linotype" w:hAnsi="Palatino Linotype" w:cs="Palatino Linotype"/>
        </w:rPr>
        <w:t xml:space="preserve"> 166, del tenor literal siguiente: </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Artículo 163. </w:t>
      </w:r>
      <w:r w:rsidRPr="005F3BD6">
        <w:rPr>
          <w:rFonts w:ascii="Palatino Linotype" w:eastAsia="Palatino Linotype" w:hAnsi="Palatino Linotype"/>
          <w:color w:val="auto"/>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Artículo 166.</w:t>
      </w:r>
    </w:p>
    <w:p w:rsidR="007A60EC" w:rsidRPr="005F3BD6" w:rsidRDefault="007A60E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 xml:space="preserve">Cuando el sujeto obligado no entregue la respuesta a la solicitud dentro del plazo previsto en la Ley, la solicitud se entenderá negada y el solicitante podrá interponer el recurso de revisión </w:t>
      </w:r>
      <w:r w:rsidR="007A60EC" w:rsidRPr="005F3BD6">
        <w:rPr>
          <w:rFonts w:ascii="Palatino Linotype" w:eastAsia="Palatino Linotype" w:hAnsi="Palatino Linotype"/>
          <w:color w:val="auto"/>
          <w:sz w:val="22"/>
          <w:szCs w:val="22"/>
        </w:rPr>
        <w:t>previsto en este ordenamiento.</w:t>
      </w:r>
    </w:p>
    <w:p w:rsidR="007A60EC" w:rsidRPr="005F3BD6" w:rsidRDefault="007A60E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7A60EC" w:rsidRPr="005F3BD6" w:rsidRDefault="007A60EC" w:rsidP="005F3BD6">
      <w:pPr>
        <w:pStyle w:val="Cita"/>
        <w:spacing w:before="0" w:after="0"/>
        <w:jc w:val="both"/>
        <w:rPr>
          <w:rFonts w:ascii="Palatino Linotype" w:eastAsia="Palatino Linotype" w:hAnsi="Palatino Linotype"/>
          <w:color w:val="auto"/>
          <w:sz w:val="22"/>
          <w:szCs w:val="22"/>
        </w:rPr>
      </w:pPr>
    </w:p>
    <w:p w:rsidR="00620E35" w:rsidRPr="005F3BD6" w:rsidRDefault="00FF32EF" w:rsidP="005F3BD6">
      <w:pPr>
        <w:spacing w:line="360" w:lineRule="auto"/>
        <w:ind w:left="-426"/>
        <w:jc w:val="both"/>
        <w:rPr>
          <w:rFonts w:ascii="Palatino Linotype" w:eastAsia="Palatino Linotype" w:hAnsi="Palatino Linotype" w:cs="Palatino Linotype"/>
        </w:rPr>
      </w:pPr>
      <w:r w:rsidRPr="005F3BD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w:t>
      </w:r>
      <w:r w:rsidR="007A60EC" w:rsidRPr="005F3BD6">
        <w:rPr>
          <w:rFonts w:ascii="Palatino Linotype" w:eastAsia="Palatino Linotype" w:hAnsi="Palatino Linotype" w:cs="Palatino Linotype"/>
        </w:rPr>
        <w:t xml:space="preserve">o plazo de quince días hábiles, </w:t>
      </w:r>
      <w:r w:rsidRPr="005F3BD6">
        <w:rPr>
          <w:rFonts w:ascii="Palatino Linotype" w:eastAsia="Palatino Linotype" w:hAnsi="Palatino Linotype" w:cs="Palatino Linotype"/>
        </w:rPr>
        <w:t>sin que los Sujetos Obligados entreguen la respuesta a la solicitud de información, esta se considera negada; por lo que a la persona solicitante le asiste el derecho para presentar el recurso de revisión.</w:t>
      </w:r>
    </w:p>
    <w:p w:rsidR="00620E35" w:rsidRPr="005F3BD6" w:rsidRDefault="00620E35" w:rsidP="005F3BD6">
      <w:pPr>
        <w:spacing w:line="360" w:lineRule="auto"/>
        <w:ind w:left="-426"/>
        <w:jc w:val="both"/>
        <w:rPr>
          <w:rFonts w:ascii="Palatino Linotype" w:eastAsia="Palatino Linotype" w:hAnsi="Palatino Linotype" w:cs="Palatino Linotype"/>
        </w:rPr>
      </w:pPr>
    </w:p>
    <w:p w:rsidR="00620E35" w:rsidRPr="005F3BD6" w:rsidRDefault="00FF32EF" w:rsidP="005F3BD6">
      <w:pPr>
        <w:spacing w:line="360" w:lineRule="auto"/>
        <w:ind w:left="-426"/>
        <w:jc w:val="both"/>
        <w:rPr>
          <w:rFonts w:ascii="Palatino Linotype" w:eastAsia="Palatino Linotype" w:hAnsi="Palatino Linotype" w:cs="Palatino Linotype"/>
        </w:rPr>
      </w:pPr>
      <w:r w:rsidRPr="005F3BD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620E35" w:rsidRPr="005F3BD6" w:rsidRDefault="00620E35" w:rsidP="005F3BD6">
      <w:pPr>
        <w:spacing w:line="360" w:lineRule="auto"/>
        <w:ind w:left="-426"/>
        <w:jc w:val="both"/>
        <w:rPr>
          <w:rFonts w:ascii="Palatino Linotype" w:eastAsia="Palatino Linotype" w:hAnsi="Palatino Linotype" w:cs="Palatino Linotype"/>
        </w:rPr>
      </w:pPr>
    </w:p>
    <w:p w:rsidR="009842D1" w:rsidRPr="005F3BD6" w:rsidRDefault="00FF32EF" w:rsidP="005F3BD6">
      <w:pPr>
        <w:spacing w:line="360" w:lineRule="auto"/>
        <w:ind w:left="-426"/>
        <w:jc w:val="both"/>
        <w:rPr>
          <w:rFonts w:ascii="Palatino Linotype" w:eastAsia="Palatino Linotype" w:hAnsi="Palatino Linotype" w:cs="Palatino Linotype"/>
        </w:rPr>
      </w:pPr>
      <w:r w:rsidRPr="005F3BD6">
        <w:rPr>
          <w:rFonts w:ascii="Palatino Linotype" w:eastAsia="Palatino Linotype" w:hAnsi="Palatino Linotype" w:cs="Palatino Linotype"/>
        </w:rPr>
        <w:t>Por su parte, el artículo 178 del citado ordenamiento, establece:</w:t>
      </w:r>
    </w:p>
    <w:p w:rsidR="009842D1" w:rsidRPr="005F3BD6" w:rsidRDefault="009842D1" w:rsidP="005F3BD6">
      <w:pPr>
        <w:pStyle w:val="Cita"/>
        <w:spacing w:before="0" w:after="0"/>
        <w:jc w:val="both"/>
        <w:rPr>
          <w:rFonts w:ascii="Palatino Linotype" w:eastAsia="Palatino Linotype" w:hAnsi="Palatino Linotype"/>
          <w:color w:val="auto"/>
        </w:rPr>
      </w:pPr>
    </w:p>
    <w:p w:rsidR="002D440C" w:rsidRPr="005F3BD6" w:rsidRDefault="00FF32EF" w:rsidP="005F3BD6">
      <w:pPr>
        <w:pStyle w:val="Cita"/>
        <w:spacing w:before="0" w:after="0"/>
        <w:jc w:val="both"/>
        <w:rPr>
          <w:rFonts w:ascii="Palatino Linotype" w:eastAsia="Palatino Linotype" w:hAnsi="Palatino Linotype"/>
          <w:b/>
          <w:color w:val="auto"/>
          <w:sz w:val="22"/>
          <w:szCs w:val="22"/>
        </w:rPr>
      </w:pPr>
      <w:r w:rsidRPr="005F3BD6">
        <w:rPr>
          <w:rFonts w:ascii="Palatino Linotype" w:eastAsia="Palatino Linotype" w:hAnsi="Palatino Linotype"/>
          <w:b/>
          <w:color w:val="auto"/>
          <w:sz w:val="22"/>
          <w:szCs w:val="22"/>
        </w:rPr>
        <w:t xml:space="preserve">Artículo 178. </w:t>
      </w:r>
      <w:r w:rsidRPr="005F3BD6">
        <w:rPr>
          <w:rFonts w:ascii="Palatino Linotype" w:eastAsia="Palatino Linotype" w:hAnsi="Palatino Linotype"/>
          <w:color w:val="auto"/>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F3BD6">
        <w:rPr>
          <w:rFonts w:ascii="Palatino Linotype" w:eastAsia="Palatino Linotype" w:hAnsi="Palatino Linotype"/>
          <w:b/>
          <w:color w:val="auto"/>
          <w:sz w:val="22"/>
          <w:szCs w:val="22"/>
        </w:rPr>
        <w:t>.</w:t>
      </w:r>
    </w:p>
    <w:p w:rsidR="009842D1" w:rsidRPr="005F3BD6" w:rsidRDefault="002D440C" w:rsidP="005F3BD6">
      <w:pPr>
        <w:pStyle w:val="Cita"/>
        <w:spacing w:before="0" w:after="0"/>
        <w:jc w:val="both"/>
        <w:rPr>
          <w:rFonts w:ascii="Palatino Linotype" w:eastAsia="Palatino Linotype" w:hAnsi="Palatino Linotype"/>
          <w:b/>
          <w:color w:val="auto"/>
          <w:sz w:val="22"/>
          <w:szCs w:val="22"/>
        </w:rPr>
      </w:pPr>
      <w:r w:rsidRPr="005F3BD6">
        <w:rPr>
          <w:rFonts w:ascii="Palatino Linotype" w:eastAsia="Palatino Linotype" w:hAnsi="Palatino Linotype"/>
          <w:color w:val="auto"/>
          <w:sz w:val="22"/>
          <w:szCs w:val="22"/>
        </w:rPr>
        <w:t>A falta de respuesta del sujeto obligado, dentro de los plazos establecidos en esta Ley, a una solicitud de acceso a la información pública, el recurso podrá ser interpuesto en cualquier momento,</w:t>
      </w:r>
      <w:r w:rsidRPr="005F3BD6">
        <w:rPr>
          <w:rFonts w:ascii="Palatino Linotype" w:hAnsi="Palatino Linotype"/>
          <w:color w:val="auto"/>
        </w:rPr>
        <w:t xml:space="preserve"> </w:t>
      </w:r>
      <w:r w:rsidRPr="005F3BD6">
        <w:rPr>
          <w:rFonts w:ascii="Palatino Linotype" w:eastAsia="Palatino Linotype" w:hAnsi="Palatino Linotype"/>
          <w:color w:val="auto"/>
          <w:sz w:val="22"/>
          <w:szCs w:val="22"/>
        </w:rPr>
        <w:t>acompañado con el documento que pruebe la fecha en que presentó la solicitud</w:t>
      </w:r>
      <w:r w:rsidRPr="005F3BD6">
        <w:rPr>
          <w:rFonts w:ascii="Palatino Linotype" w:eastAsia="Palatino Linotype" w:hAnsi="Palatino Linotype"/>
          <w:b/>
          <w:color w:val="auto"/>
          <w:sz w:val="22"/>
          <w:szCs w:val="22"/>
        </w:rPr>
        <w:t>.</w:t>
      </w:r>
    </w:p>
    <w:p w:rsidR="007A60EC" w:rsidRPr="005F3BD6" w:rsidRDefault="007A60EC" w:rsidP="005F3BD6">
      <w:pPr>
        <w:pStyle w:val="Cita"/>
        <w:spacing w:before="0" w:after="0"/>
        <w:jc w:val="both"/>
        <w:rPr>
          <w:rFonts w:ascii="Palatino Linotype" w:eastAsia="Palatino Linotype" w:hAnsi="Palatino Linotype"/>
          <w:b/>
          <w:color w:val="auto"/>
          <w:sz w:val="22"/>
          <w:szCs w:val="22"/>
        </w:rPr>
      </w:pPr>
      <w:r w:rsidRPr="005F3BD6">
        <w:rPr>
          <w:rFonts w:ascii="Palatino Linotype" w:eastAsia="Palatino Linotype" w:hAnsi="Palatino Linotype"/>
          <w:color w:val="auto"/>
          <w:sz w:val="22"/>
          <w:szCs w:val="22"/>
        </w:rPr>
        <w:t>(</w:t>
      </w:r>
      <w:r w:rsidRPr="005F3BD6">
        <w:rPr>
          <w:rFonts w:ascii="Palatino Linotype" w:eastAsia="Palatino Linotype" w:hAnsi="Palatino Linotype"/>
          <w:b/>
          <w:color w:val="auto"/>
          <w:sz w:val="22"/>
          <w:szCs w:val="22"/>
        </w:rPr>
        <w:t>…)</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007A60EC" w:rsidRPr="005F3BD6">
        <w:rPr>
          <w:rFonts w:ascii="Palatino Linotype" w:eastAsia="Palatino Linotype" w:hAnsi="Palatino Linotype" w:cs="Palatino Linotype"/>
          <w:b/>
        </w:rPr>
        <w:t xml:space="preserve">EL SUJETO OBLIGADO </w:t>
      </w:r>
      <w:r w:rsidRPr="005F3BD6">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5F3BD6">
        <w:rPr>
          <w:rFonts w:ascii="Palatino Linotype" w:eastAsia="Palatino Linotype" w:hAnsi="Palatino Linotype" w:cs="Palatino Linotype"/>
          <w:b/>
          <w:u w:val="single"/>
        </w:rPr>
        <w:t>la interposición del recurso de revisión puede ser en cualquier momento.</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La negativa ficta constituye una presunción legal, en el entendido de que donde no hubo respuesta por parte del </w:t>
      </w:r>
      <w:r w:rsidR="007A60EC" w:rsidRPr="005F3BD6">
        <w:rPr>
          <w:rFonts w:ascii="Palatino Linotype" w:eastAsia="Palatino Linotype" w:hAnsi="Palatino Linotype" w:cs="Palatino Linotype"/>
          <w:b/>
        </w:rPr>
        <w:t xml:space="preserve">SUJETO OBLIGADO, </w:t>
      </w:r>
      <w:r w:rsidRPr="005F3BD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5F3BD6">
        <w:rPr>
          <w:rFonts w:ascii="Palatino Linotype" w:eastAsia="Palatino Linotype" w:hAnsi="Palatino Linotype" w:cs="Palatino Linotype"/>
        </w:rPr>
        <w:t>onsagrado en nuestra Constitución</w:t>
      </w:r>
      <w:r w:rsidRPr="005F3BD6">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7A60EC" w:rsidRPr="005F3BD6">
        <w:rPr>
          <w:rFonts w:ascii="Palatino Linotype" w:eastAsia="Palatino Linotype" w:hAnsi="Palatino Linotype" w:cs="Palatino Linotype"/>
          <w:b/>
        </w:rPr>
        <w:t>SUJETO OBLIGADO</w:t>
      </w:r>
      <w:r w:rsidR="007A60E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5F3BD6">
        <w:rPr>
          <w:rFonts w:ascii="Palatino Linotype" w:eastAsia="Palatino Linotype" w:hAnsi="Palatino Linotype" w:cs="Palatino Linotype"/>
        </w:rPr>
        <w:t>desechamiento</w:t>
      </w:r>
      <w:proofErr w:type="spellEnd"/>
      <w:r w:rsidRPr="005F3BD6">
        <w:rPr>
          <w:rFonts w:ascii="Palatino Linotype" w:eastAsia="Palatino Linotype" w:hAnsi="Palatino Linotype" w:cs="Palatino Linotype"/>
        </w:rPr>
        <w:t xml:space="preserve"> del mismo.</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7A60EC" w:rsidRPr="005F3BD6">
        <w:rPr>
          <w:rFonts w:ascii="Palatino Linotype" w:eastAsia="Palatino Linotype" w:hAnsi="Palatino Linotype" w:cs="Palatino Linotype"/>
          <w:b/>
        </w:rPr>
        <w:t>SUJETO OBLIGADO,</w:t>
      </w:r>
      <w:r w:rsidR="007A60E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842D1" w:rsidRPr="005F3BD6" w:rsidRDefault="009842D1" w:rsidP="005F3BD6">
      <w:pPr>
        <w:spacing w:line="276" w:lineRule="auto"/>
        <w:jc w:val="both"/>
        <w:rPr>
          <w:rFonts w:ascii="Palatino Linotype" w:eastAsia="Palatino Linotype" w:hAnsi="Palatino Linotype" w:cs="Palatino Linotype"/>
          <w:i/>
        </w:rPr>
      </w:pPr>
    </w:p>
    <w:p w:rsidR="009842D1" w:rsidRPr="005F3BD6" w:rsidRDefault="00FF32EF" w:rsidP="005F3BD6">
      <w:pPr>
        <w:tabs>
          <w:tab w:val="left" w:pos="1276"/>
        </w:tabs>
        <w:spacing w:line="276" w:lineRule="auto"/>
        <w:ind w:left="567" w:right="616"/>
        <w:jc w:val="both"/>
        <w:rPr>
          <w:rFonts w:ascii="Palatino Linotype" w:eastAsia="Palatino Linotype" w:hAnsi="Palatino Linotype" w:cs="Palatino Linotype"/>
          <w:i/>
        </w:rPr>
      </w:pPr>
      <w:r w:rsidRPr="005F3BD6">
        <w:rPr>
          <w:rFonts w:ascii="Palatino Linotype" w:eastAsia="Palatino Linotype" w:hAnsi="Palatino Linotype" w:cs="Palatino Linotype"/>
          <w:b/>
          <w:i/>
          <w:sz w:val="22"/>
          <w:szCs w:val="22"/>
        </w:rPr>
        <w:t>CRITERIO 0001-15. NEGATIVA FICTA. PLAZO PARA INTERPONER EL RECURSO DE REVISIÓN TRATÁNDOSE DE</w:t>
      </w:r>
      <w:r w:rsidRPr="005F3BD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5F3BD6">
        <w:rPr>
          <w:rFonts w:ascii="Palatino Linotype" w:eastAsia="Palatino Linotype" w:hAnsi="Palatino Linotype" w:cs="Palatino Linotype"/>
          <w:i/>
          <w:sz w:val="22"/>
          <w:szCs w:val="22"/>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w:t>
      </w:r>
      <w:r w:rsidR="007A60EC" w:rsidRPr="005F3BD6">
        <w:rPr>
          <w:rFonts w:ascii="Palatino Linotype" w:eastAsia="Palatino Linotype" w:hAnsi="Palatino Linotype" w:cs="Palatino Linotype"/>
          <w:i/>
          <w:sz w:val="22"/>
          <w:szCs w:val="22"/>
        </w:rPr>
        <w:t>l artículo 72 de la citada Ley.</w:t>
      </w:r>
    </w:p>
    <w:p w:rsidR="009842D1" w:rsidRPr="005F3BD6" w:rsidRDefault="009842D1" w:rsidP="005F3BD6">
      <w:pPr>
        <w:spacing w:line="276" w:lineRule="auto"/>
        <w:ind w:right="851"/>
        <w:jc w:val="both"/>
        <w:rPr>
          <w:rFonts w:ascii="Palatino Linotype" w:eastAsia="Palatino Linotype" w:hAnsi="Palatino Linotype" w:cs="Palatino Linotype"/>
        </w:rPr>
      </w:pPr>
    </w:p>
    <w:p w:rsidR="004D1906" w:rsidRPr="005F3BD6" w:rsidRDefault="004D1906" w:rsidP="005F3BD6">
      <w:pPr>
        <w:pBdr>
          <w:top w:val="nil"/>
          <w:left w:val="nil"/>
          <w:bottom w:val="nil"/>
          <w:right w:val="nil"/>
          <w:between w:val="nil"/>
        </w:pBd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Asimismo, por cuanto hace a la </w:t>
      </w:r>
      <w:proofErr w:type="spellStart"/>
      <w:r w:rsidRPr="005F3BD6">
        <w:rPr>
          <w:rFonts w:ascii="Palatino Linotype" w:eastAsia="Palatino Linotype" w:hAnsi="Palatino Linotype" w:cs="Palatino Linotype"/>
        </w:rPr>
        <w:t>procedibilidad</w:t>
      </w:r>
      <w:proofErr w:type="spellEnd"/>
      <w:r w:rsidRPr="005F3BD6">
        <w:rPr>
          <w:rFonts w:ascii="Palatino Linotype" w:eastAsia="Palatino Linotype" w:hAnsi="Palatino Linotype" w:cs="Palatino Linotype"/>
        </w:rPr>
        <w:t xml:space="preserve"> de</w:t>
      </w:r>
      <w:r w:rsidR="000B50E6" w:rsidRPr="005F3BD6">
        <w:rPr>
          <w:rFonts w:ascii="Palatino Linotype" w:eastAsia="Palatino Linotype" w:hAnsi="Palatino Linotype" w:cs="Palatino Linotype"/>
        </w:rPr>
        <w:t>l</w:t>
      </w:r>
      <w:r w:rsidRPr="005F3BD6">
        <w:rPr>
          <w:rFonts w:ascii="Palatino Linotype" w:eastAsia="Palatino Linotype" w:hAnsi="Palatino Linotype" w:cs="Palatino Linotype"/>
        </w:rPr>
        <w:t xml:space="preserve"> recurso de revisión, es de suma importancia señalar que </w:t>
      </w:r>
      <w:r w:rsidR="007A60EC" w:rsidRPr="005F3BD6">
        <w:rPr>
          <w:rFonts w:ascii="Palatino Linotype" w:eastAsia="Palatino Linotype" w:hAnsi="Palatino Linotype" w:cs="Palatino Linotype"/>
          <w:b/>
        </w:rPr>
        <w:t>LA PARTE RECURRENTE,</w:t>
      </w:r>
      <w:r w:rsidR="007A60E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b/>
        </w:rPr>
        <w:t>señaló</w:t>
      </w:r>
      <w:r w:rsidR="003642DE" w:rsidRPr="005F3BD6">
        <w:rPr>
          <w:rFonts w:ascii="Palatino Linotype" w:eastAsia="Palatino Linotype" w:hAnsi="Palatino Linotype" w:cs="Palatino Linotype"/>
          <w:b/>
        </w:rPr>
        <w:t xml:space="preserve"> </w:t>
      </w:r>
      <w:r w:rsidR="000B50E6" w:rsidRPr="005F3BD6">
        <w:rPr>
          <w:rFonts w:ascii="Palatino Linotype" w:eastAsia="Palatino Linotype" w:hAnsi="Palatino Linotype" w:cs="Palatino Linotype"/>
          <w:b/>
        </w:rPr>
        <w:t xml:space="preserve">un </w:t>
      </w:r>
      <w:r w:rsidRPr="005F3BD6">
        <w:rPr>
          <w:rFonts w:ascii="Palatino Linotype" w:eastAsia="Palatino Linotype" w:hAnsi="Palatino Linotype" w:cs="Palatino Linotype"/>
          <w:b/>
        </w:rPr>
        <w:t>seudónimo para ser identificada,</w:t>
      </w:r>
      <w:r w:rsidRPr="005F3BD6">
        <w:rPr>
          <w:rFonts w:ascii="Palatino Linotype" w:eastAsia="Palatino Linotype" w:hAnsi="Palatino Linotype" w:cs="Palatino Linotype"/>
        </w:rPr>
        <w:t xml:space="preserve"> como se advierte en el detalle de seguimiento del SAIMEX, no obstante lo anterior, el </w:t>
      </w:r>
      <w:r w:rsidR="003642DE" w:rsidRPr="005F3BD6">
        <w:rPr>
          <w:rFonts w:ascii="Palatino Linotype" w:eastAsia="Palatino Linotype" w:hAnsi="Palatino Linotype" w:cs="Palatino Linotype"/>
        </w:rPr>
        <w:t xml:space="preserve">no </w:t>
      </w:r>
      <w:r w:rsidR="000B50E6" w:rsidRPr="005F3BD6">
        <w:rPr>
          <w:rFonts w:ascii="Palatino Linotype" w:eastAsia="Palatino Linotype" w:hAnsi="Palatino Linotype" w:cs="Palatino Linotype"/>
        </w:rPr>
        <w:t xml:space="preserve">proporcionar nombre </w:t>
      </w:r>
      <w:r w:rsidRPr="005F3BD6">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A60EC" w:rsidRPr="005F3BD6" w:rsidRDefault="007A60EC" w:rsidP="005F3BD6">
      <w:pPr>
        <w:pStyle w:val="Cita"/>
        <w:spacing w:before="0" w:after="0"/>
        <w:jc w:val="both"/>
        <w:rPr>
          <w:rFonts w:ascii="Palatino Linotype" w:eastAsia="Palatino Linotype" w:hAnsi="Palatino Linotype"/>
          <w:color w:val="auto"/>
        </w:rPr>
      </w:pPr>
    </w:p>
    <w:p w:rsidR="003642DE" w:rsidRPr="005F3BD6" w:rsidRDefault="007A60E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3642DE" w:rsidRPr="005F3BD6" w:rsidRDefault="004D1906"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Las solicitudes anónimas, </w:t>
      </w:r>
      <w:r w:rsidRPr="005F3BD6">
        <w:rPr>
          <w:rFonts w:ascii="Palatino Linotype" w:eastAsia="Palatino Linotype" w:hAnsi="Palatino Linotype"/>
          <w:color w:val="auto"/>
          <w:sz w:val="22"/>
          <w:szCs w:val="22"/>
        </w:rPr>
        <w:t>con nombre incompleto o seudónimo serán procedentes para su trámite por parte del sujeto obligado ante quien se presente. No podrá requerirse información adicional con motivo del nombre pr</w:t>
      </w:r>
      <w:r w:rsidR="007A60EC" w:rsidRPr="005F3BD6">
        <w:rPr>
          <w:rFonts w:ascii="Palatino Linotype" w:eastAsia="Palatino Linotype" w:hAnsi="Palatino Linotype"/>
          <w:color w:val="auto"/>
          <w:sz w:val="22"/>
          <w:szCs w:val="22"/>
        </w:rPr>
        <w:t>oporcionado por el solicitante.</w:t>
      </w:r>
    </w:p>
    <w:p w:rsidR="007A60EC" w:rsidRPr="005F3BD6" w:rsidRDefault="007A60EC" w:rsidP="005F3BD6">
      <w:pPr>
        <w:pStyle w:val="Cita"/>
        <w:spacing w:before="0" w:after="0"/>
        <w:jc w:val="both"/>
        <w:rPr>
          <w:rFonts w:ascii="Palatino Linotype" w:eastAsia="Palatino Linotype" w:hAnsi="Palatino Linotype"/>
          <w:color w:val="auto"/>
        </w:rPr>
      </w:pPr>
      <w:r w:rsidRPr="005F3BD6">
        <w:rPr>
          <w:rFonts w:ascii="Palatino Linotype" w:eastAsia="Palatino Linotype" w:hAnsi="Palatino Linotype"/>
          <w:b/>
          <w:color w:val="auto"/>
          <w:sz w:val="22"/>
          <w:szCs w:val="22"/>
        </w:rPr>
        <w:t>(…)</w:t>
      </w:r>
    </w:p>
    <w:p w:rsidR="003642DE" w:rsidRPr="005F3BD6" w:rsidRDefault="003642DE"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Al mismo tiempo, por cuanto hace a la </w:t>
      </w:r>
      <w:proofErr w:type="spellStart"/>
      <w:r w:rsidRPr="005F3BD6">
        <w:rPr>
          <w:rFonts w:ascii="Palatino Linotype" w:eastAsia="Palatino Linotype" w:hAnsi="Palatino Linotype" w:cs="Palatino Linotype"/>
        </w:rPr>
        <w:t>procedibilidad</w:t>
      </w:r>
      <w:proofErr w:type="spellEnd"/>
      <w:r w:rsidRPr="005F3BD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5F3BD6">
        <w:rPr>
          <w:rFonts w:ascii="Palatino Linotype" w:eastAsia="Palatino Linotype" w:hAnsi="Palatino Linotype" w:cs="Palatino Linotype"/>
        </w:rPr>
        <w:lastRenderedPageBreak/>
        <w:t>Municipios, en atención a que fue presentado mediante el formato visible en el SAIMEX.</w:t>
      </w:r>
    </w:p>
    <w:p w:rsidR="00BA0529" w:rsidRPr="005F3BD6" w:rsidRDefault="00BA0529"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w:t>
      </w:r>
      <w:r w:rsidR="00E90B56" w:rsidRPr="005F3BD6">
        <w:rPr>
          <w:rFonts w:ascii="Palatino Linotype" w:eastAsia="Palatino Linotype" w:hAnsi="Palatino Linotype" w:cs="Palatino Linotype"/>
        </w:rPr>
        <w:t xml:space="preserve">is prevista en la </w:t>
      </w:r>
      <w:r w:rsidRPr="005F3BD6">
        <w:rPr>
          <w:rFonts w:ascii="Palatino Linotype" w:eastAsia="Palatino Linotype" w:hAnsi="Palatino Linotype" w:cs="Palatino Linotype"/>
        </w:rPr>
        <w:t xml:space="preserve">fracción VII </w:t>
      </w:r>
      <w:r w:rsidR="00E90B56" w:rsidRPr="005F3BD6">
        <w:rPr>
          <w:rFonts w:ascii="Palatino Linotype" w:eastAsia="Palatino Linotype" w:hAnsi="Palatino Linotype" w:cs="Palatino Linotype"/>
        </w:rPr>
        <w:t xml:space="preserve">del artículo 179 </w:t>
      </w:r>
      <w:r w:rsidRPr="005F3BD6">
        <w:rPr>
          <w:rFonts w:ascii="Palatino Linotype" w:eastAsia="Palatino Linotype" w:hAnsi="Palatino Linotype" w:cs="Palatino Linotype"/>
        </w:rPr>
        <w:t>de la ley de la materia, que a la letra dice:</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Artículo 179. </w:t>
      </w:r>
      <w:r w:rsidRPr="005F3BD6">
        <w:rPr>
          <w:rFonts w:ascii="Palatino Linotype" w:eastAsia="Palatino Linotype" w:hAnsi="Palatino Linotype"/>
          <w:color w:val="auto"/>
          <w:sz w:val="22"/>
          <w:szCs w:val="22"/>
        </w:rPr>
        <w:t>El recurso de revisión es un medio de protección que la Ley otorga a los particulares, para hacer valer su derecho de acceso a la información pública, y procederá en contra de las siguientes causas:</w:t>
      </w:r>
    </w:p>
    <w:p w:rsidR="009842D1" w:rsidRPr="005F3BD6" w:rsidRDefault="007A60E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r w:rsidR="00FF32EF" w:rsidRPr="005F3BD6">
        <w:rPr>
          <w:rFonts w:ascii="Palatino Linotype" w:eastAsia="Palatino Linotype" w:hAnsi="Palatino Linotype"/>
          <w:color w:val="auto"/>
          <w:sz w:val="22"/>
          <w:szCs w:val="22"/>
        </w:rPr>
        <w:t>…</w:t>
      </w:r>
      <w:r w:rsidRPr="005F3BD6">
        <w:rPr>
          <w:rFonts w:ascii="Palatino Linotype" w:eastAsia="Palatino Linotype" w:hAnsi="Palatino Linotype"/>
          <w:color w:val="auto"/>
          <w:sz w:val="22"/>
          <w:szCs w:val="22"/>
        </w:rPr>
        <w:t>)</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VII. </w:t>
      </w:r>
      <w:r w:rsidRPr="005F3BD6">
        <w:rPr>
          <w:rFonts w:ascii="Palatino Linotype" w:eastAsia="Palatino Linotype" w:hAnsi="Palatino Linotype"/>
          <w:color w:val="auto"/>
          <w:sz w:val="22"/>
          <w:szCs w:val="22"/>
        </w:rPr>
        <w:t>La falta de respuesta a una solicitud de acceso a la información;”</w:t>
      </w:r>
    </w:p>
    <w:p w:rsidR="009842D1" w:rsidRPr="005F3BD6" w:rsidRDefault="007A60E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7A60EC" w:rsidRPr="005F3BD6" w:rsidRDefault="007A60EC"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El precepto legal citado, establece como supuesto de procedencia del recurso de revisión, e</w:t>
      </w:r>
      <w:r w:rsidR="001F1619" w:rsidRPr="005F3BD6">
        <w:rPr>
          <w:rFonts w:ascii="Palatino Linotype" w:eastAsia="Palatino Linotype" w:hAnsi="Palatino Linotype" w:cs="Palatino Linotype"/>
        </w:rPr>
        <w:t xml:space="preserve">n aquellos casos en que </w:t>
      </w:r>
      <w:r w:rsidR="001F1619" w:rsidRPr="005F3BD6">
        <w:rPr>
          <w:rFonts w:ascii="Palatino Linotype" w:eastAsia="Palatino Linotype" w:hAnsi="Palatino Linotype" w:cs="Palatino Linotype"/>
          <w:b/>
        </w:rPr>
        <w:t xml:space="preserve">LA PARTE RECURRENTE </w:t>
      </w:r>
      <w:r w:rsidRPr="005F3BD6">
        <w:rPr>
          <w:rFonts w:ascii="Palatino Linotype" w:eastAsia="Palatino Linotype" w:hAnsi="Palatino Linotype" w:cs="Palatino Linotype"/>
        </w:rPr>
        <w:t xml:space="preserve">estime negado el acceso a la información por la falta de respuesta por </w:t>
      </w:r>
      <w:r w:rsidR="001F1619" w:rsidRPr="005F3BD6">
        <w:rPr>
          <w:rFonts w:ascii="Palatino Linotype" w:eastAsia="Palatino Linotype" w:hAnsi="Palatino Linotype" w:cs="Palatino Linotype"/>
          <w:b/>
        </w:rPr>
        <w:t>EL SUJETO OBLIGADO,</w:t>
      </w:r>
      <w:r w:rsidR="001F1619"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en este asunto se actualiza la hipótesis jurídica citada, en atención a </w:t>
      </w:r>
      <w:r w:rsidR="001F1619" w:rsidRPr="005F3BD6">
        <w:rPr>
          <w:rFonts w:ascii="Palatino Linotype" w:eastAsia="Palatino Linotype" w:hAnsi="Palatino Linotype" w:cs="Palatino Linotype"/>
        </w:rPr>
        <w:t xml:space="preserve">que </w:t>
      </w:r>
      <w:r w:rsidR="001F1619" w:rsidRPr="005F3BD6">
        <w:rPr>
          <w:rFonts w:ascii="Palatino Linotype" w:eastAsia="Palatino Linotype" w:hAnsi="Palatino Linotype" w:cs="Palatino Linotype"/>
          <w:b/>
        </w:rPr>
        <w:t>LA PARTE</w:t>
      </w:r>
      <w:r w:rsidR="001F1619" w:rsidRPr="005F3BD6">
        <w:rPr>
          <w:rFonts w:ascii="Palatino Linotype" w:eastAsia="Palatino Linotype" w:hAnsi="Palatino Linotype" w:cs="Palatino Linotype"/>
        </w:rPr>
        <w:t xml:space="preserve"> </w:t>
      </w:r>
      <w:r w:rsidR="001F1619" w:rsidRPr="005F3BD6">
        <w:rPr>
          <w:rFonts w:ascii="Palatino Linotype" w:eastAsia="Palatino Linotype" w:hAnsi="Palatino Linotype" w:cs="Palatino Linotype"/>
          <w:b/>
        </w:rPr>
        <w:t>RECURRENTE</w:t>
      </w:r>
      <w:r w:rsidR="001F1619"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combate falta de trámite por </w:t>
      </w:r>
      <w:r w:rsidR="001F1619" w:rsidRPr="005F3BD6">
        <w:rPr>
          <w:rFonts w:ascii="Palatino Linotype" w:eastAsia="Palatino Linotype" w:hAnsi="Palatino Linotype" w:cs="Palatino Linotype"/>
          <w:b/>
        </w:rPr>
        <w:t>EL SUJETO OBLIGADO</w:t>
      </w:r>
      <w:r w:rsidRPr="005F3BD6">
        <w:rPr>
          <w:rFonts w:ascii="Palatino Linotype" w:eastAsia="Palatino Linotype" w:hAnsi="Palatino Linotype" w:cs="Palatino Linotype"/>
        </w:rPr>
        <w:t xml:space="preserve"> y expresa motivos de inconformidad en contra de dicha circunstancia.</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3642DE" w:rsidP="005F3BD6">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5F3BD6">
        <w:rPr>
          <w:rFonts w:ascii="Palatino Linotype" w:eastAsia="Palatino Linotype" w:hAnsi="Palatino Linotype"/>
          <w:b/>
        </w:rPr>
        <w:t>TERCERO. MATERIA DE LA REVISIÓN.</w:t>
      </w:r>
      <w:r w:rsidR="00FF32EF" w:rsidRPr="005F3BD6">
        <w:rPr>
          <w:rFonts w:ascii="Palatino Linotype" w:eastAsia="Palatino Linotype" w:hAnsi="Palatino Linotype" w:cs="Palatino Linotype"/>
          <w:b/>
        </w:rPr>
        <w:t xml:space="preserve"> </w:t>
      </w:r>
      <w:r w:rsidR="00E90B56" w:rsidRPr="005F3BD6">
        <w:rPr>
          <w:rFonts w:ascii="Palatino Linotype" w:eastAsia="Palatino Linotype" w:hAnsi="Palatino Linotype" w:cs="Palatino Linotype"/>
        </w:rPr>
        <w:t>Este Órgano</w:t>
      </w:r>
      <w:r w:rsidR="00FF32EF" w:rsidRPr="005F3BD6">
        <w:rPr>
          <w:rFonts w:ascii="Palatino Linotype" w:eastAsia="Palatino Linotype" w:hAnsi="Palatino Linotype" w:cs="Palatino Linotype"/>
        </w:rPr>
        <w:t xml:space="preserve"> Garante procede del análisis de los agravios hechos valer por </w:t>
      </w:r>
      <w:r w:rsidR="001F1619" w:rsidRPr="005F3BD6">
        <w:rPr>
          <w:rFonts w:ascii="Palatino Linotype" w:eastAsia="Palatino Linotype" w:hAnsi="Palatino Linotype" w:cs="Palatino Linotype"/>
          <w:b/>
        </w:rPr>
        <w:t>LA PARTE RECURRENTE,</w:t>
      </w:r>
      <w:r w:rsidR="001F1619" w:rsidRPr="005F3BD6">
        <w:rPr>
          <w:rFonts w:ascii="Palatino Linotype" w:eastAsia="Palatino Linotype" w:hAnsi="Palatino Linotype" w:cs="Palatino Linotype"/>
        </w:rPr>
        <w:t xml:space="preserve"> </w:t>
      </w:r>
      <w:r w:rsidR="00FF32EF" w:rsidRPr="005F3BD6">
        <w:rPr>
          <w:rFonts w:ascii="Palatino Linotype" w:eastAsia="Palatino Linotype" w:hAnsi="Palatino Linotype" w:cs="Palatino Linotype"/>
        </w:rPr>
        <w:t xml:space="preserve">a fin de determinar si se violenta en perjuicio de este, el derecho de acceso a la información previsto en la Constitución Política de los Estados Unidos Mexicanos y en la Constitución Política del Estado Libre y Soberano de México. </w:t>
      </w:r>
    </w:p>
    <w:p w:rsidR="009842D1" w:rsidRPr="005F3BD6" w:rsidRDefault="009842D1" w:rsidP="005F3BD6">
      <w:pPr>
        <w:tabs>
          <w:tab w:val="left" w:pos="8647"/>
        </w:tabs>
        <w:spacing w:line="360" w:lineRule="auto"/>
        <w:jc w:val="both"/>
        <w:rPr>
          <w:rFonts w:ascii="Palatino Linotype" w:eastAsia="Palatino Linotype" w:hAnsi="Palatino Linotype" w:cs="Palatino Linotype"/>
          <w:b/>
        </w:rPr>
      </w:pPr>
    </w:p>
    <w:p w:rsidR="009842D1" w:rsidRPr="005F3BD6" w:rsidRDefault="003642DE"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CUARTO. ESTUDIO DEL ASUNTO. </w:t>
      </w:r>
      <w:r w:rsidR="00FF32EF" w:rsidRPr="005F3BD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001F1619" w:rsidRPr="005F3BD6">
        <w:rPr>
          <w:rFonts w:ascii="Palatino Linotype" w:eastAsia="Palatino Linotype" w:hAnsi="Palatino Linotype" w:cs="Palatino Linotype"/>
          <w:b/>
        </w:rPr>
        <w:t xml:space="preserve">EL SUJETO OBLIGADO </w:t>
      </w:r>
      <w:r w:rsidR="00FF32EF" w:rsidRPr="005F3BD6">
        <w:rPr>
          <w:rFonts w:ascii="Palatino Linotype" w:eastAsia="Palatino Linotype" w:hAnsi="Palatino Linotype" w:cs="Palatino Linotype"/>
        </w:rPr>
        <w:t xml:space="preserve">no dio respuesta a la solicitud de información planteada por </w:t>
      </w:r>
      <w:r w:rsidR="001F1619" w:rsidRPr="005F3BD6">
        <w:rPr>
          <w:rFonts w:ascii="Palatino Linotype" w:eastAsia="Palatino Linotype" w:hAnsi="Palatino Linotype" w:cs="Palatino Linotype"/>
          <w:b/>
        </w:rPr>
        <w:t>LA PARTE RECURRENTE</w:t>
      </w:r>
      <w:r w:rsidR="00FF32EF" w:rsidRPr="005F3BD6">
        <w:rPr>
          <w:rFonts w:ascii="Palatino Linotype" w:eastAsia="Palatino Linotype" w:hAnsi="Palatino Linotype" w:cs="Palatino Linotype"/>
        </w:rPr>
        <w:t xml:space="preserve">, lo que se traduce como la configuración de la </w:t>
      </w:r>
      <w:r w:rsidR="001F1619" w:rsidRPr="005F3BD6">
        <w:rPr>
          <w:rFonts w:ascii="Palatino Linotype" w:eastAsia="Palatino Linotype" w:hAnsi="Palatino Linotype" w:cs="Palatino Linotype"/>
          <w:b/>
        </w:rPr>
        <w:t>NEGATIVA FICTA</w:t>
      </w:r>
      <w:r w:rsidR="001F1619" w:rsidRPr="005F3BD6">
        <w:rPr>
          <w:rFonts w:ascii="Palatino Linotype" w:eastAsia="Palatino Linotype" w:hAnsi="Palatino Linotype" w:cs="Palatino Linotype"/>
        </w:rPr>
        <w:t xml:space="preserve">, </w:t>
      </w:r>
      <w:r w:rsidR="00FF32EF" w:rsidRPr="005F3BD6">
        <w:rPr>
          <w:rFonts w:ascii="Palatino Linotype" w:eastAsia="Palatino Linotype" w:hAnsi="Palatino Linotype" w:cs="Palatino Linotype"/>
        </w:rPr>
        <w:t xml:space="preserve">situación que demuestra la existencia del acto impugnado y procedencia del motivo de inconformidad, que en términos generales consistente en que </w:t>
      </w:r>
      <w:r w:rsidR="001F1619" w:rsidRPr="005F3BD6">
        <w:rPr>
          <w:rFonts w:ascii="Palatino Linotype" w:eastAsia="Palatino Linotype" w:hAnsi="Palatino Linotype" w:cs="Palatino Linotype"/>
          <w:b/>
        </w:rPr>
        <w:t>EL SUJETO OBLIGADO</w:t>
      </w:r>
      <w:r w:rsidR="001F1619" w:rsidRPr="005F3BD6">
        <w:rPr>
          <w:rFonts w:ascii="Palatino Linotype" w:eastAsia="Palatino Linotype" w:hAnsi="Palatino Linotype" w:cs="Palatino Linotype"/>
        </w:rPr>
        <w:t xml:space="preserve"> </w:t>
      </w:r>
      <w:r w:rsidR="00FF32EF" w:rsidRPr="005F3BD6">
        <w:rPr>
          <w:rFonts w:ascii="Palatino Linotype" w:eastAsia="Palatino Linotype" w:hAnsi="Palatino Linotype" w:cs="Palatino Linotype"/>
        </w:rPr>
        <w:t>no emitió respuesta a la solicitud de información, dentro del plazo legal previsto para ello.</w:t>
      </w:r>
    </w:p>
    <w:p w:rsidR="009842D1" w:rsidRPr="005F3BD6" w:rsidRDefault="009842D1" w:rsidP="005F3BD6">
      <w:pPr>
        <w:spacing w:line="360" w:lineRule="auto"/>
        <w:jc w:val="both"/>
        <w:rPr>
          <w:rFonts w:ascii="Palatino Linotype" w:eastAsia="Palatino Linotype" w:hAnsi="Palatino Linotype" w:cs="Palatino Linotype"/>
        </w:rPr>
      </w:pPr>
    </w:p>
    <w:p w:rsidR="001F1619"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Previo a exponer los argumentos que justifiquen la afirmación que antecede, es necesario precisar q</w:t>
      </w:r>
      <w:r w:rsidR="003642DE" w:rsidRPr="005F3BD6">
        <w:rPr>
          <w:rFonts w:ascii="Palatino Linotype" w:eastAsia="Palatino Linotype" w:hAnsi="Palatino Linotype" w:cs="Palatino Linotype"/>
        </w:rPr>
        <w:t>ue, del análisis realizado a la solicitud formulada</w:t>
      </w:r>
      <w:r w:rsidRPr="005F3BD6">
        <w:rPr>
          <w:rFonts w:ascii="Palatino Linotype" w:eastAsia="Palatino Linotype" w:hAnsi="Palatino Linotype" w:cs="Palatino Linotype"/>
        </w:rPr>
        <w:t xml:space="preserve"> por </w:t>
      </w:r>
      <w:r w:rsidR="001F1619" w:rsidRPr="005F3BD6">
        <w:rPr>
          <w:rFonts w:ascii="Palatino Linotype" w:eastAsia="Palatino Linotype" w:hAnsi="Palatino Linotype" w:cs="Palatino Linotype"/>
          <w:b/>
        </w:rPr>
        <w:t xml:space="preserve">LA PARTE RECURRENTE, </w:t>
      </w:r>
      <w:r w:rsidRPr="005F3BD6">
        <w:rPr>
          <w:rFonts w:ascii="Palatino Linotype" w:eastAsia="Palatino Linotype" w:hAnsi="Palatino Linotype" w:cs="Palatino Linotype"/>
        </w:rPr>
        <w:t xml:space="preserve">se advierte que requirió al </w:t>
      </w:r>
      <w:r w:rsidR="001F1619" w:rsidRPr="005F3BD6">
        <w:rPr>
          <w:rFonts w:ascii="Palatino Linotype" w:eastAsia="Palatino Linotype" w:hAnsi="Palatino Linotype" w:cs="Palatino Linotype"/>
          <w:b/>
        </w:rPr>
        <w:t>SUJETO OBLIGADO</w:t>
      </w:r>
      <w:r w:rsidR="001F1619"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le proporcionara, información consistente en lo siguiente:</w:t>
      </w: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6937D6" w:rsidP="005F3BD6">
      <w:pPr>
        <w:pStyle w:val="Prrafodelista"/>
        <w:numPr>
          <w:ilvl w:val="0"/>
          <w:numId w:val="15"/>
        </w:num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¿Cuál es el análisis detallado de la implementación de las tecnologías de la información y la comunicación (TIC) en las escuelas del municipio y cómo se está midiendo su efectividad en el aprendizaje de los estudiantes?</w:t>
      </w:r>
    </w:p>
    <w:p w:rsidR="000B50E6" w:rsidRPr="005F3BD6" w:rsidRDefault="000B50E6"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w:t>
      </w:r>
      <w:r w:rsidRPr="005F3BD6">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842D1" w:rsidRPr="005F3BD6" w:rsidRDefault="009842D1" w:rsidP="005F3BD6">
      <w:pPr>
        <w:spacing w:line="360" w:lineRule="auto"/>
        <w:jc w:val="both"/>
        <w:rPr>
          <w:rFonts w:ascii="Palatino Linotype" w:eastAsia="Palatino Linotype" w:hAnsi="Palatino Linotype" w:cs="Palatino Linotype"/>
        </w:rPr>
      </w:pPr>
    </w:p>
    <w:p w:rsidR="001F1619" w:rsidRPr="005F3BD6" w:rsidRDefault="00FF32EF" w:rsidP="005F3BD6">
      <w:pPr>
        <w:tabs>
          <w:tab w:val="left" w:pos="709"/>
        </w:tabs>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2250E" w:rsidRPr="005F3BD6" w:rsidRDefault="00C2250E" w:rsidP="005F3BD6">
      <w:pPr>
        <w:tabs>
          <w:tab w:val="left" w:pos="709"/>
        </w:tabs>
        <w:spacing w:line="360" w:lineRule="auto"/>
        <w:jc w:val="both"/>
        <w:rPr>
          <w:rFonts w:ascii="Palatino Linotype" w:eastAsia="Palatino Linotype" w:hAnsi="Palatino Linotype" w:cs="Palatino Linotype"/>
        </w:rPr>
      </w:pPr>
    </w:p>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F3BD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F3BD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rPr>
      </w:pPr>
      <w:r w:rsidRPr="005F3BD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F3BD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F1619" w:rsidRPr="005F3BD6" w:rsidRDefault="00E90B56"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t>(…)</w:t>
      </w:r>
    </w:p>
    <w:p w:rsidR="001F1619" w:rsidRPr="005F3BD6" w:rsidRDefault="001F1619" w:rsidP="005F3BD6"/>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rPr>
      </w:pPr>
      <w:r w:rsidRPr="005F3BD6">
        <w:rPr>
          <w:rFonts w:ascii="Palatino Linotype" w:eastAsia="Palatino Linotype" w:hAnsi="Palatino Linotype" w:cs="Palatino Linotype"/>
          <w:b/>
          <w:i/>
          <w:sz w:val="22"/>
          <w:szCs w:val="22"/>
        </w:rPr>
        <w:t>Artículo 6o.</w:t>
      </w:r>
    </w:p>
    <w:p w:rsidR="001F1619" w:rsidRPr="005F3BD6" w:rsidRDefault="00E90B56" w:rsidP="005F3BD6">
      <w:pPr>
        <w:pBdr>
          <w:top w:val="nil"/>
          <w:left w:val="nil"/>
          <w:bottom w:val="nil"/>
          <w:right w:val="nil"/>
          <w:between w:val="nil"/>
        </w:pBdr>
        <w:ind w:left="864" w:right="864"/>
        <w:jc w:val="both"/>
        <w:rPr>
          <w:rFonts w:ascii="Palatino Linotype" w:eastAsia="Palatino Linotype" w:hAnsi="Palatino Linotype" w:cs="Palatino Linotype"/>
          <w:i/>
        </w:rPr>
      </w:pPr>
      <w:r w:rsidRPr="005F3BD6">
        <w:rPr>
          <w:rFonts w:ascii="Palatino Linotype" w:eastAsia="Palatino Linotype" w:hAnsi="Palatino Linotype" w:cs="Palatino Linotype"/>
          <w:i/>
          <w:sz w:val="22"/>
          <w:szCs w:val="22"/>
        </w:rPr>
        <w:t>(...)</w:t>
      </w:r>
    </w:p>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b/>
          <w:i/>
          <w:sz w:val="22"/>
          <w:szCs w:val="22"/>
        </w:rPr>
        <w:t xml:space="preserve">A. Para el ejercicio del derecho de acceso a la información, la Federación y </w:t>
      </w:r>
      <w:r w:rsidRPr="005F3BD6">
        <w:rPr>
          <w:rFonts w:ascii="Palatino Linotype" w:eastAsia="Palatino Linotype" w:hAnsi="Palatino Linotype" w:cs="Palatino Linotype"/>
          <w:b/>
          <w:i/>
          <w:sz w:val="22"/>
          <w:szCs w:val="22"/>
          <w:u w:val="single"/>
        </w:rPr>
        <w:t>las entidades federativas</w:t>
      </w:r>
      <w:r w:rsidRPr="005F3BD6">
        <w:rPr>
          <w:rFonts w:ascii="Palatino Linotype" w:eastAsia="Palatino Linotype" w:hAnsi="Palatino Linotype" w:cs="Palatino Linotype"/>
          <w:b/>
          <w:i/>
          <w:sz w:val="22"/>
          <w:szCs w:val="22"/>
        </w:rPr>
        <w:t>,</w:t>
      </w:r>
      <w:r w:rsidRPr="005F3BD6">
        <w:rPr>
          <w:rFonts w:ascii="Palatino Linotype" w:eastAsia="Palatino Linotype" w:hAnsi="Palatino Linotype" w:cs="Palatino Linotype"/>
          <w:i/>
          <w:sz w:val="22"/>
          <w:szCs w:val="22"/>
        </w:rPr>
        <w:t xml:space="preserve"> en el ámbito de sus respectivas competencias, se regirán por los siguientes principios y bases:</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t> </w:t>
      </w:r>
      <w:r w:rsidRPr="005F3BD6">
        <w:rPr>
          <w:rFonts w:ascii="Palatino Linotype" w:eastAsia="Palatino Linotype" w:hAnsi="Palatino Linotype" w:cs="Palatino Linotype"/>
          <w:b/>
          <w:i/>
          <w:sz w:val="22"/>
          <w:szCs w:val="22"/>
        </w:rPr>
        <w:t xml:space="preserve">I. </w:t>
      </w:r>
      <w:r w:rsidRPr="005F3BD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F3BD6">
        <w:rPr>
          <w:rFonts w:ascii="Palatino Linotype" w:eastAsia="Palatino Linotype" w:hAnsi="Palatino Linotype" w:cs="Palatino Linotype"/>
          <w:i/>
          <w:sz w:val="22"/>
          <w:szCs w:val="22"/>
        </w:rPr>
        <w:t xml:space="preserve"> Ejecutivo, Legislativo </w:t>
      </w:r>
      <w:r w:rsidRPr="005F3BD6">
        <w:rPr>
          <w:rFonts w:ascii="Palatino Linotype" w:eastAsia="Palatino Linotype" w:hAnsi="Palatino Linotype" w:cs="Palatino Linotype"/>
          <w:b/>
          <w:i/>
          <w:sz w:val="22"/>
          <w:szCs w:val="22"/>
          <w:u w:val="single"/>
        </w:rPr>
        <w:t>y Judicial</w:t>
      </w:r>
      <w:r w:rsidRPr="005F3BD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F3BD6">
        <w:rPr>
          <w:rFonts w:ascii="Palatino Linotype" w:eastAsia="Palatino Linotype" w:hAnsi="Palatino Linotype" w:cs="Palatino Linotype"/>
          <w:b/>
          <w:i/>
          <w:sz w:val="22"/>
          <w:szCs w:val="22"/>
        </w:rPr>
        <w:t>es pública y sólo podrá ser reservada temporalmente por razones de interés público y seguridad nacional,</w:t>
      </w:r>
      <w:r w:rsidRPr="005F3BD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F3BD6">
        <w:rPr>
          <w:rFonts w:ascii="Palatino Linotype" w:eastAsia="Palatino Linotype" w:hAnsi="Palatino Linotype" w:cs="Palatino Linotype"/>
          <w:i/>
          <w:sz w:val="22"/>
          <w:szCs w:val="22"/>
        </w:rPr>
        <w:t> </w:t>
      </w:r>
      <w:r w:rsidRPr="005F3BD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t> </w:t>
      </w:r>
      <w:r w:rsidRPr="005F3BD6">
        <w:rPr>
          <w:rFonts w:ascii="Palatino Linotype" w:eastAsia="Palatino Linotype" w:hAnsi="Palatino Linotype" w:cs="Palatino Linotype"/>
          <w:b/>
          <w:i/>
          <w:sz w:val="22"/>
          <w:szCs w:val="22"/>
        </w:rPr>
        <w:t xml:space="preserve">III. </w:t>
      </w:r>
      <w:r w:rsidRPr="005F3BD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F3BD6">
        <w:rPr>
          <w:rFonts w:ascii="Palatino Linotype" w:eastAsia="Palatino Linotype" w:hAnsi="Palatino Linotype" w:cs="Palatino Linotype"/>
          <w:i/>
          <w:sz w:val="22"/>
          <w:szCs w:val="22"/>
        </w:rPr>
        <w:t xml:space="preserve"> a sus datos personales o a la rectificación de éstos.</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t> </w:t>
      </w:r>
      <w:r w:rsidRPr="005F3BD6">
        <w:rPr>
          <w:rFonts w:ascii="Palatino Linotype" w:eastAsia="Palatino Linotype" w:hAnsi="Palatino Linotype" w:cs="Palatino Linotype"/>
          <w:b/>
          <w:i/>
          <w:sz w:val="22"/>
          <w:szCs w:val="22"/>
        </w:rPr>
        <w:t xml:space="preserve">IV. </w:t>
      </w:r>
      <w:r w:rsidRPr="005F3BD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b/>
          <w:i/>
          <w:sz w:val="22"/>
          <w:szCs w:val="22"/>
        </w:rPr>
        <w:t xml:space="preserve">V. </w:t>
      </w:r>
      <w:r w:rsidRPr="005F3BD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lastRenderedPageBreak/>
        <w:t> </w:t>
      </w:r>
      <w:r w:rsidRPr="005F3BD6">
        <w:rPr>
          <w:rFonts w:ascii="Palatino Linotype" w:eastAsia="Palatino Linotype" w:hAnsi="Palatino Linotype" w:cs="Palatino Linotype"/>
          <w:b/>
          <w:i/>
          <w:sz w:val="22"/>
          <w:szCs w:val="22"/>
        </w:rPr>
        <w:t xml:space="preserve">VI. </w:t>
      </w:r>
      <w:r w:rsidRPr="005F3BD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F1619" w:rsidRPr="005F3BD6" w:rsidRDefault="001F1619" w:rsidP="005F3BD6"/>
    <w:p w:rsidR="001F1619" w:rsidRPr="005F3BD6" w:rsidRDefault="001F1619"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t> </w:t>
      </w:r>
      <w:r w:rsidRPr="005F3BD6">
        <w:rPr>
          <w:rFonts w:ascii="Palatino Linotype" w:eastAsia="Palatino Linotype" w:hAnsi="Palatino Linotype" w:cs="Palatino Linotype"/>
          <w:b/>
          <w:i/>
          <w:sz w:val="22"/>
          <w:szCs w:val="22"/>
        </w:rPr>
        <w:t xml:space="preserve">VII. </w:t>
      </w:r>
      <w:r w:rsidRPr="005F3BD6">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1F1619" w:rsidRPr="005F3BD6" w:rsidRDefault="00E90B56" w:rsidP="005F3BD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F3BD6">
        <w:rPr>
          <w:rFonts w:ascii="Palatino Linotype" w:eastAsia="Palatino Linotype" w:hAnsi="Palatino Linotype" w:cs="Palatino Linotype"/>
          <w:i/>
          <w:sz w:val="22"/>
          <w:szCs w:val="22"/>
        </w:rPr>
        <w:t>(...)</w:t>
      </w:r>
    </w:p>
    <w:p w:rsidR="007206CD" w:rsidRPr="005F3BD6" w:rsidRDefault="007206CD" w:rsidP="005F3BD6">
      <w:pPr>
        <w:tabs>
          <w:tab w:val="left" w:pos="709"/>
        </w:tabs>
        <w:spacing w:line="360" w:lineRule="auto"/>
        <w:jc w:val="both"/>
        <w:rPr>
          <w:rFonts w:ascii="Palatino Linotype" w:eastAsia="Palatino Linotype" w:hAnsi="Palatino Linotype" w:cs="Palatino Linotype"/>
        </w:rPr>
      </w:pPr>
    </w:p>
    <w:p w:rsidR="00C2250E" w:rsidRPr="005F3BD6" w:rsidRDefault="00C2250E" w:rsidP="005F3BD6">
      <w:pPr>
        <w:tabs>
          <w:tab w:val="left" w:pos="709"/>
        </w:tabs>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2250E" w:rsidRPr="005F3BD6" w:rsidRDefault="00C2250E" w:rsidP="005F3BD6">
      <w:pPr>
        <w:tabs>
          <w:tab w:val="left" w:pos="709"/>
        </w:tabs>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Artículo</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23.</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Son</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sujetos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obligados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transparentar</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y</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permitir</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el</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acceso</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su</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información</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y</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proteger</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los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datos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personales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que</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obren</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en</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su</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poder</w:t>
      </w:r>
      <w:r w:rsidRPr="005F3BD6">
        <w:rPr>
          <w:rFonts w:ascii="Palatino Linotype" w:eastAsia="Palatino Linotype" w:hAnsi="Palatino Linotype"/>
          <w:color w:val="auto"/>
          <w:sz w:val="22"/>
          <w:szCs w:val="22"/>
        </w:rPr>
        <w:t>:</w:t>
      </w:r>
    </w:p>
    <w:p w:rsidR="009842D1" w:rsidRPr="005F3BD6" w:rsidRDefault="00FF32EF" w:rsidP="005F3BD6">
      <w:pPr>
        <w:pStyle w:val="Cita"/>
        <w:spacing w:before="0" w:after="0"/>
        <w:jc w:val="both"/>
        <w:rPr>
          <w:rFonts w:ascii="Palatino Linotype" w:eastAsia="Palatino Linotype" w:hAnsi="Palatino Linotype"/>
          <w:b/>
          <w:color w:val="auto"/>
          <w:sz w:val="22"/>
          <w:szCs w:val="22"/>
        </w:rPr>
      </w:pPr>
      <w:r w:rsidRPr="005F3BD6">
        <w:rPr>
          <w:rFonts w:ascii="Palatino Linotype" w:eastAsia="Palatino Linotype" w:hAnsi="Palatino Linotype"/>
          <w:b/>
          <w:color w:val="auto"/>
          <w:sz w:val="22"/>
          <w:szCs w:val="22"/>
        </w:rPr>
        <w:t>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Poder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Ejecutivo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Estado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México,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dependencias,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organismos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auxiliares,</w:t>
      </w:r>
      <w:r w:rsidRPr="005F3BD6">
        <w:rPr>
          <w:rFonts w:ascii="Palatino Linotype" w:eastAsia="Palatino Linotype" w:hAnsi="Palatino Linotype"/>
          <w:b/>
          <w:color w:val="auto"/>
        </w:rPr>
        <w:t xml:space="preserve"> </w:t>
      </w:r>
      <w:r w:rsidRPr="005F3BD6">
        <w:rPr>
          <w:rFonts w:ascii="Palatino Linotype" w:eastAsia="Palatino Linotype" w:hAnsi="Palatino Linotype"/>
          <w:color w:val="auto"/>
          <w:sz w:val="22"/>
          <w:szCs w:val="22"/>
        </w:rPr>
        <w:t>órganos,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entidades,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fideicomisos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fondos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así</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como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Procuraduría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General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Justicia;</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II.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Poder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Legislativo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Estado,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organismos,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órganos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entidades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Legislatura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sus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dependencias;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III.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Poder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Judicial,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sus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organismos,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órganos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entidades,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así</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como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Consejo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Judicatura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Estado;</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IV.</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ayuntamientos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dependencias,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organismos,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órganos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entidades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administración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municipal;</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V.</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órganos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autónomos;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lastRenderedPageBreak/>
        <w:t>VI.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tribunales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administrativos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autoridades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jurisdiccionales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materia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laboral;</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VII.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partidos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políticos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agrupaciones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políticas,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términos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disposiciones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aplicables;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VIII.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fideicomisos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fondos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que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cuenten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financiamiento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parcial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total,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participación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entidades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gobierno;</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IX.</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sindicatos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que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reciban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ejerzan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recursos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ámbito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estatal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municipal;</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X.</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Cualquier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persona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física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jurídico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colectiva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que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reciba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ejerza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recursos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ámbito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estatal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municipal;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XI.</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Cualquier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otra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autoridad,</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entidad,</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órgano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u</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organismo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poderes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estatal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municipal,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que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reciba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recursos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sujetos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obligados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deberán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hacer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toda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aquella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información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relativa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montos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personas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quienes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entreguen,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por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cualquier</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motivo,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recursos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públicos,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así</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como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informes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que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dichas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personas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les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entreguen</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sobre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el</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uso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y</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destino</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de</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dichos</w:t>
      </w:r>
      <w:r w:rsidRPr="005F3BD6">
        <w:rPr>
          <w:rFonts w:ascii="Palatino Linotype" w:eastAsia="Palatino Linotype" w:hAnsi="Palatino Linotype"/>
          <w:color w:val="auto"/>
        </w:rPr>
        <w:t xml:space="preserve"> </w:t>
      </w:r>
      <w:r w:rsidRPr="005F3BD6">
        <w:rPr>
          <w:rFonts w:ascii="Palatino Linotype" w:eastAsia="Palatino Linotype" w:hAnsi="Palatino Linotype"/>
          <w:color w:val="auto"/>
          <w:sz w:val="22"/>
          <w:szCs w:val="22"/>
        </w:rPr>
        <w:t>recursos.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Los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servidores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públicos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deberán</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transparentar</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sus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acciones,</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así</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como</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garantizar</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y</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respetar</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el</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derecho</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de</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acceso</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a</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la</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información</w:t>
      </w:r>
      <w:r w:rsidRPr="005F3BD6">
        <w:rPr>
          <w:rFonts w:ascii="Palatino Linotype" w:eastAsia="Palatino Linotype" w:hAnsi="Palatino Linotype"/>
          <w:b/>
          <w:color w:val="auto"/>
        </w:rPr>
        <w:t xml:space="preserve"> </w:t>
      </w:r>
      <w:r w:rsidRPr="005F3BD6">
        <w:rPr>
          <w:rFonts w:ascii="Palatino Linotype" w:eastAsia="Palatino Linotype" w:hAnsi="Palatino Linotype"/>
          <w:b/>
          <w:color w:val="auto"/>
          <w:sz w:val="22"/>
          <w:szCs w:val="22"/>
        </w:rPr>
        <w:t>pública</w:t>
      </w:r>
      <w:r w:rsidR="001F1619" w:rsidRPr="005F3BD6">
        <w:rPr>
          <w:rFonts w:ascii="Palatino Linotype" w:eastAsia="Palatino Linotype" w:hAnsi="Palatino Linotype"/>
          <w:color w:val="auto"/>
          <w:sz w:val="22"/>
          <w:szCs w:val="22"/>
        </w:rPr>
        <w:t>.</w:t>
      </w:r>
    </w:p>
    <w:p w:rsidR="001F1619" w:rsidRPr="005F3BD6" w:rsidRDefault="001F1619"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ind w:left="-142"/>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842D1" w:rsidRPr="005F3BD6" w:rsidRDefault="009842D1" w:rsidP="005F3BD6">
      <w:pPr>
        <w:spacing w:line="360" w:lineRule="auto"/>
        <w:ind w:left="-142"/>
        <w:jc w:val="both"/>
        <w:rPr>
          <w:rFonts w:ascii="Palatino Linotype" w:eastAsia="Palatino Linotype" w:hAnsi="Palatino Linotype" w:cs="Palatino Linotype"/>
        </w:rPr>
      </w:pPr>
    </w:p>
    <w:p w:rsidR="009842D1" w:rsidRPr="005F3BD6" w:rsidRDefault="00FF32EF" w:rsidP="005F3BD6">
      <w:pPr>
        <w:spacing w:line="360" w:lineRule="auto"/>
        <w:ind w:left="-142"/>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842D1" w:rsidRPr="005F3BD6" w:rsidRDefault="009842D1" w:rsidP="005F3BD6">
      <w:pPr>
        <w:spacing w:line="360" w:lineRule="auto"/>
        <w:ind w:left="-142"/>
        <w:jc w:val="both"/>
        <w:rPr>
          <w:rFonts w:ascii="Palatino Linotype" w:eastAsia="Palatino Linotype" w:hAnsi="Palatino Linotype" w:cs="Palatino Linotype"/>
        </w:rPr>
      </w:pPr>
    </w:p>
    <w:p w:rsidR="009842D1" w:rsidRPr="005F3BD6" w:rsidRDefault="00FF32EF" w:rsidP="005F3BD6">
      <w:pPr>
        <w:widowControl w:val="0"/>
        <w:tabs>
          <w:tab w:val="left" w:pos="1276"/>
        </w:tabs>
        <w:spacing w:line="360" w:lineRule="auto"/>
        <w:ind w:left="-142"/>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Dicho lo anterior, se precisa que la ya mencionada Unidad de Transparencia es la </w:t>
      </w:r>
      <w:r w:rsidRPr="005F3BD6">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842D1" w:rsidRPr="005F3BD6" w:rsidRDefault="009842D1" w:rsidP="005F3BD6">
      <w:pPr>
        <w:widowControl w:val="0"/>
        <w:tabs>
          <w:tab w:val="left" w:pos="1276"/>
        </w:tabs>
        <w:spacing w:line="360" w:lineRule="auto"/>
        <w:jc w:val="both"/>
        <w:rPr>
          <w:rFonts w:ascii="Palatino Linotype" w:eastAsia="Palatino Linotype" w:hAnsi="Palatino Linotype" w:cs="Palatino Linotype"/>
        </w:rPr>
      </w:pPr>
    </w:p>
    <w:p w:rsidR="009842D1" w:rsidRPr="005F3BD6" w:rsidRDefault="00FF32EF" w:rsidP="005F3BD6">
      <w:pPr>
        <w:widowControl w:val="0"/>
        <w:tabs>
          <w:tab w:val="left" w:pos="1276"/>
        </w:tabs>
        <w:spacing w:line="360" w:lineRule="auto"/>
        <w:ind w:left="-142"/>
        <w:jc w:val="both"/>
        <w:rPr>
          <w:rFonts w:ascii="Palatino Linotype" w:eastAsia="Palatino Linotype" w:hAnsi="Palatino Linotype" w:cs="Palatino Linotype"/>
        </w:rPr>
      </w:pPr>
      <w:r w:rsidRPr="005F3BD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842D1" w:rsidRPr="005F3BD6" w:rsidRDefault="009842D1" w:rsidP="005F3BD6">
      <w:pPr>
        <w:spacing w:line="360" w:lineRule="auto"/>
        <w:ind w:left="-284"/>
        <w:jc w:val="both"/>
        <w:rPr>
          <w:rFonts w:ascii="Palatino Linotype" w:eastAsia="Palatino Linotype" w:hAnsi="Palatino Linotype" w:cs="Palatino Linotype"/>
        </w:rPr>
      </w:pPr>
    </w:p>
    <w:p w:rsidR="009842D1" w:rsidRPr="005F3BD6" w:rsidRDefault="00FF32EF" w:rsidP="005F3BD6">
      <w:pPr>
        <w:spacing w:line="360" w:lineRule="auto"/>
        <w:ind w:left="-142"/>
        <w:jc w:val="both"/>
        <w:rPr>
          <w:rFonts w:ascii="Palatino Linotype" w:eastAsia="Palatino Linotype" w:hAnsi="Palatino Linotype" w:cs="Palatino Linotype"/>
        </w:rPr>
      </w:pPr>
      <w:r w:rsidRPr="005F3BD6">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widowControl w:val="0"/>
        <w:tabs>
          <w:tab w:val="left" w:pos="1276"/>
        </w:tabs>
        <w:spacing w:line="360" w:lineRule="auto"/>
        <w:ind w:left="-142" w:right="-93"/>
        <w:jc w:val="both"/>
        <w:rPr>
          <w:rFonts w:ascii="Palatino Linotype" w:eastAsia="Palatino Linotype" w:hAnsi="Palatino Linotype" w:cs="Palatino Linotype"/>
        </w:rPr>
      </w:pPr>
      <w:r w:rsidRPr="005F3BD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842D1" w:rsidRPr="005F3BD6" w:rsidRDefault="009842D1" w:rsidP="005F3BD6">
      <w:pPr>
        <w:widowControl w:val="0"/>
        <w:tabs>
          <w:tab w:val="left" w:pos="1276"/>
        </w:tabs>
        <w:spacing w:line="360" w:lineRule="auto"/>
        <w:ind w:left="-142" w:right="-93"/>
        <w:jc w:val="both"/>
        <w:rPr>
          <w:rFonts w:ascii="Palatino Linotype" w:eastAsia="Palatino Linotype" w:hAnsi="Palatino Linotype" w:cs="Palatino Linotype"/>
        </w:rPr>
      </w:pPr>
    </w:p>
    <w:p w:rsidR="009842D1" w:rsidRPr="005F3BD6" w:rsidRDefault="00FF32EF" w:rsidP="005F3BD6">
      <w:pPr>
        <w:spacing w:line="360" w:lineRule="auto"/>
        <w:ind w:left="-142" w:right="-93"/>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5F3BD6">
        <w:rPr>
          <w:rFonts w:ascii="Palatino Linotype" w:eastAsia="Palatino Linotype" w:hAnsi="Palatino Linotype" w:cs="Palatino Linotype"/>
          <w:b/>
        </w:rPr>
        <w:t>quince días hábiles,</w:t>
      </w:r>
      <w:r w:rsidRPr="005F3BD6">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ind w:left="-142"/>
        <w:jc w:val="both"/>
        <w:rPr>
          <w:rFonts w:ascii="Palatino Linotype" w:eastAsia="Palatino Linotype" w:hAnsi="Palatino Linotype" w:cs="Palatino Linotype"/>
        </w:rPr>
      </w:pPr>
      <w:r w:rsidRPr="005F3BD6">
        <w:rPr>
          <w:rFonts w:ascii="Palatino Linotype" w:eastAsia="Palatino Linotype" w:hAnsi="Palatino Linotype" w:cs="Palatino Linotype"/>
        </w:rPr>
        <w:t>Sirve de sustento a lo anterior, el precepto legal en cita:</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Artículo 163. La Unidad de Transparencia deberá notificar la respuesta a la solicitud al interesado en el menor tiempo posible, que no podrá exceder de quince días hábiles</w:t>
      </w:r>
      <w:r w:rsidRPr="005F3BD6">
        <w:rPr>
          <w:rFonts w:ascii="Palatino Linotype" w:eastAsia="Palatino Linotype" w:hAnsi="Palatino Linotype"/>
          <w:color w:val="auto"/>
          <w:sz w:val="22"/>
          <w:szCs w:val="22"/>
        </w:rPr>
        <w:t xml:space="preserve">, contados a partir del día siguiente a la presentación de aquélla. </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w:t>
      </w:r>
      <w:r w:rsidR="00E671BC" w:rsidRPr="005F3BD6">
        <w:rPr>
          <w:rFonts w:ascii="Palatino Linotype" w:eastAsia="Palatino Linotype" w:hAnsi="Palatino Linotype"/>
          <w:color w:val="auto"/>
          <w:sz w:val="22"/>
          <w:szCs w:val="22"/>
        </w:rPr>
        <w:t>en el desahogo de la solicitud.</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En mérito de lo expuesto, es claro que en este caso </w:t>
      </w:r>
      <w:r w:rsidR="00E671BC" w:rsidRPr="005F3BD6">
        <w:rPr>
          <w:rFonts w:ascii="Palatino Linotype" w:eastAsia="Palatino Linotype" w:hAnsi="Palatino Linotype" w:cs="Palatino Linotype"/>
          <w:b/>
        </w:rPr>
        <w:t>EL SUJETO OBLIGADO</w:t>
      </w:r>
      <w:r w:rsidR="00E671B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incumplió la normativa en la materia, puesto que no dio trámite ni respuesta a la solicitud de acceso a la información, limitando el derecho de acceso a la información, accionado por la persona solicitante.</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E671BC" w:rsidRPr="005F3BD6">
        <w:rPr>
          <w:rFonts w:ascii="Palatino Linotype" w:eastAsia="Palatino Linotype" w:hAnsi="Palatino Linotype" w:cs="Palatino Linotype"/>
          <w:b/>
        </w:rPr>
        <w:t>EL SUJETO OBLIGADO;</w:t>
      </w:r>
      <w:r w:rsidR="00E671B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por lo que, en caso de no atender de manera positiva</w:t>
      </w:r>
      <w:r w:rsidRPr="005F3BD6">
        <w:rPr>
          <w:rFonts w:ascii="Palatino Linotype" w:eastAsia="Palatino Linotype" w:hAnsi="Palatino Linotype" w:cs="Palatino Linotype"/>
          <w:vertAlign w:val="superscript"/>
        </w:rPr>
        <w:footnoteReference w:id="1"/>
      </w:r>
      <w:r w:rsidRPr="005F3BD6">
        <w:rPr>
          <w:rFonts w:ascii="Palatino Linotype" w:eastAsia="Palatino Linotype" w:hAnsi="Palatino Linotype" w:cs="Palatino Linotype"/>
        </w:rPr>
        <w:t>, el requerimiento de información deberá manifestarse al respecto.</w:t>
      </w:r>
    </w:p>
    <w:p w:rsidR="002D440C" w:rsidRPr="005F3BD6" w:rsidRDefault="002D440C" w:rsidP="005F3BD6">
      <w:pPr>
        <w:spacing w:line="360" w:lineRule="auto"/>
        <w:jc w:val="both"/>
        <w:rPr>
          <w:rFonts w:ascii="Palatino Linotype" w:eastAsia="Palatino Linotype" w:hAnsi="Palatino Linotype" w:cs="Palatino Linotype"/>
        </w:rPr>
      </w:pPr>
    </w:p>
    <w:p w:rsidR="009842D1" w:rsidRPr="005F3BD6" w:rsidRDefault="00E671BC" w:rsidP="005F3BD6">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5F3BD6">
        <w:rPr>
          <w:rFonts w:ascii="Palatino Linotype" w:eastAsia="Palatino Linotype" w:hAnsi="Palatino Linotype" w:cs="Palatino Linotype"/>
          <w:b/>
        </w:rPr>
        <w:t>DE LA CLASIFICACIÓN DE LA INFORMACIÓN.</w:t>
      </w:r>
    </w:p>
    <w:p w:rsidR="009842D1" w:rsidRPr="005F3BD6" w:rsidRDefault="009842D1" w:rsidP="005F3BD6">
      <w:pPr>
        <w:spacing w:line="360" w:lineRule="auto"/>
        <w:jc w:val="both"/>
        <w:rPr>
          <w:rFonts w:ascii="Palatino Linotype" w:eastAsia="Palatino Linotype" w:hAnsi="Palatino Linotype" w:cs="Palatino Linotype"/>
          <w:b/>
        </w:rPr>
      </w:pPr>
    </w:p>
    <w:p w:rsidR="009842D1" w:rsidRPr="005F3BD6" w:rsidRDefault="00FF32EF" w:rsidP="005F3BD6">
      <w:pPr>
        <w:spacing w:line="360" w:lineRule="auto"/>
        <w:ind w:right="51"/>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w:t>
      </w:r>
      <w:r w:rsidRPr="005F3BD6">
        <w:rPr>
          <w:rFonts w:ascii="Palatino Linotype" w:eastAsia="Palatino Linotype" w:hAnsi="Palatino Linotype" w:cs="Palatino Linotype"/>
        </w:rPr>
        <w:lastRenderedPageBreak/>
        <w:t>por la Ley, a través de la clasificación de la información como confidencial o reservada para permitir el acceso, como se d</w:t>
      </w:r>
      <w:r w:rsidR="00E671BC" w:rsidRPr="005F3BD6">
        <w:rPr>
          <w:rFonts w:ascii="Palatino Linotype" w:eastAsia="Palatino Linotype" w:hAnsi="Palatino Linotype" w:cs="Palatino Linotype"/>
        </w:rPr>
        <w:t>esprende del artículo 91 de la ley de la m</w:t>
      </w:r>
      <w:r w:rsidRPr="005F3BD6">
        <w:rPr>
          <w:rFonts w:ascii="Palatino Linotype" w:eastAsia="Palatino Linotype" w:hAnsi="Palatino Linotype" w:cs="Palatino Linotype"/>
        </w:rPr>
        <w:t>ateria que es del tenor literal siguiente:</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Artículo 91. </w:t>
      </w:r>
      <w:r w:rsidRPr="005F3BD6">
        <w:rPr>
          <w:rFonts w:ascii="Palatino Linotype" w:eastAsia="Palatino Linotype" w:hAnsi="Palatino Linotype"/>
          <w:color w:val="auto"/>
          <w:sz w:val="22"/>
          <w:szCs w:val="22"/>
        </w:rPr>
        <w:t>El acceso a la información pública será restringido excepcionalmente, cuando ésta sea clasificada</w:t>
      </w:r>
      <w:r w:rsidR="00E671BC" w:rsidRPr="005F3BD6">
        <w:rPr>
          <w:rFonts w:ascii="Palatino Linotype" w:eastAsia="Palatino Linotype" w:hAnsi="Palatino Linotype"/>
          <w:color w:val="auto"/>
          <w:sz w:val="22"/>
          <w:szCs w:val="22"/>
        </w:rPr>
        <w:t xml:space="preserve"> como reservada o confidencial.</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jc w:val="both"/>
        <w:rPr>
          <w:rFonts w:ascii="Palatino Linotype" w:eastAsia="Palatino Linotype" w:hAnsi="Palatino Linotype" w:cs="Palatino Linotype"/>
          <w:sz w:val="18"/>
          <w:szCs w:val="18"/>
        </w:rPr>
      </w:pPr>
      <w:r w:rsidRPr="005F3BD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F3BD6">
        <w:rPr>
          <w:rFonts w:ascii="Palatino Linotype" w:eastAsia="Palatino Linotype" w:hAnsi="Palatino Linotype" w:cs="Palatino Linotype"/>
          <w:sz w:val="18"/>
          <w:szCs w:val="18"/>
        </w:rPr>
        <w:t xml:space="preserve">. </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Artículo 140. </w:t>
      </w:r>
      <w:r w:rsidRPr="005F3BD6">
        <w:rPr>
          <w:rFonts w:ascii="Palatino Linotype" w:eastAsia="Palatino Linotype" w:hAnsi="Palatino Linotype"/>
          <w:color w:val="auto"/>
          <w:sz w:val="22"/>
          <w:szCs w:val="22"/>
        </w:rPr>
        <w:t>El acceso a la información pública será restringido excepcionalmente, cuando por razones de interés público, ésta sea clasificada como reservada, conforme a los criterios siguientes: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 </w:t>
      </w:r>
      <w:r w:rsidRPr="005F3BD6">
        <w:rPr>
          <w:rFonts w:ascii="Palatino Linotype" w:eastAsia="Palatino Linotype" w:hAnsi="Palatino Linotype"/>
          <w:color w:val="auto"/>
          <w:sz w:val="22"/>
          <w:szCs w:val="22"/>
        </w:rPr>
        <w:t>Comprometa la seguridad pública y cuente con un propósito genuino y un efecto demostrable;</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II. </w:t>
      </w:r>
      <w:r w:rsidRPr="005F3BD6">
        <w:rPr>
          <w:rFonts w:ascii="Palatino Linotype" w:eastAsia="Palatino Linotype" w:hAnsi="Palatino Linotype"/>
          <w:color w:val="auto"/>
          <w:sz w:val="22"/>
          <w:szCs w:val="22"/>
        </w:rPr>
        <w:t>Pueda menoscabar la conducción de las negociaciones y relaciones internacionales;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III. </w:t>
      </w:r>
      <w:r w:rsidRPr="005F3BD6">
        <w:rPr>
          <w:rFonts w:ascii="Palatino Linotype" w:eastAsia="Palatino Linotype" w:hAnsi="Palatino Linotype"/>
          <w:color w:val="auto"/>
          <w:sz w:val="22"/>
          <w:szCs w:val="22"/>
        </w:rPr>
        <w:t xml:space="preserve">Se entregue a la Entidad expresamente con ese carácter o el de confidencialidad por otro u otros sujetos de derecho internacional, excepto cuando </w:t>
      </w:r>
      <w:r w:rsidRPr="005F3BD6">
        <w:rPr>
          <w:rFonts w:ascii="Palatino Linotype" w:eastAsia="Palatino Linotype" w:hAnsi="Palatino Linotype"/>
          <w:color w:val="auto"/>
          <w:sz w:val="22"/>
          <w:szCs w:val="22"/>
        </w:rPr>
        <w:lastRenderedPageBreak/>
        <w:t>se trate de violaciones graves de derechos humanos o delitos de lesa humanidad de conformidad con el derecho internacional;</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IV. </w:t>
      </w:r>
      <w:r w:rsidRPr="005F3BD6">
        <w:rPr>
          <w:rFonts w:ascii="Palatino Linotype" w:eastAsia="Palatino Linotype" w:hAnsi="Palatino Linotype"/>
          <w:color w:val="auto"/>
          <w:sz w:val="22"/>
          <w:szCs w:val="22"/>
        </w:rPr>
        <w:t>Ponga en riesgo la vida, la seguridad o la salud de una persona física;</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V. </w:t>
      </w:r>
      <w:r w:rsidRPr="005F3BD6">
        <w:rPr>
          <w:rFonts w:ascii="Palatino Linotype" w:eastAsia="Palatino Linotype" w:hAnsi="Palatino Linotype"/>
          <w:color w:val="auto"/>
          <w:sz w:val="22"/>
          <w:szCs w:val="22"/>
        </w:rPr>
        <w:t>Aquella cuya divulgación obstruya o pueda causar un serio perjuicio a:</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1. </w:t>
      </w:r>
      <w:r w:rsidRPr="005F3BD6">
        <w:rPr>
          <w:rFonts w:ascii="Palatino Linotype" w:eastAsia="Palatino Linotype" w:hAnsi="Palatino Linotype"/>
          <w:color w:val="auto"/>
          <w:sz w:val="22"/>
          <w:szCs w:val="22"/>
        </w:rPr>
        <w:t xml:space="preserve">Las actividades de fiscalización, verificación, inspección, comprobación y auditoría sobre el cumplimiento de las Leyes; o </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2. </w:t>
      </w:r>
      <w:r w:rsidRPr="005F3BD6">
        <w:rPr>
          <w:rFonts w:ascii="Palatino Linotype" w:eastAsia="Palatino Linotype" w:hAnsi="Palatino Linotype"/>
          <w:color w:val="auto"/>
          <w:sz w:val="22"/>
          <w:szCs w:val="22"/>
        </w:rPr>
        <w:t>La recaudación de las contribuciones.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VI. </w:t>
      </w:r>
      <w:r w:rsidRPr="005F3BD6">
        <w:rPr>
          <w:rFonts w:ascii="Palatino Linotype" w:eastAsia="Palatino Linotype" w:hAnsi="Palatino Linotype"/>
          <w:color w:val="auto"/>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VII. </w:t>
      </w:r>
      <w:r w:rsidRPr="005F3BD6">
        <w:rPr>
          <w:rFonts w:ascii="Palatino Linotype" w:eastAsia="Palatino Linotype" w:hAnsi="Palatino Linotype"/>
          <w:color w:val="auto"/>
          <w:sz w:val="22"/>
          <w:szCs w:val="22"/>
        </w:rPr>
        <w:t>La que contengan las opiniones, recomendaciones o puntos de vista que formen parte del proceso deliberativo de los servidores públicos, hasta en tanto sea adoptada la decisión definitiva, la cual deberá estar documentada;</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VIII</w:t>
      </w:r>
      <w:r w:rsidRPr="005F3BD6">
        <w:rPr>
          <w:rFonts w:ascii="Palatino Linotype" w:eastAsia="Palatino Linotype" w:hAnsi="Palatino Linotype"/>
          <w:color w:val="auto"/>
          <w:sz w:val="22"/>
          <w:szCs w:val="22"/>
        </w:rPr>
        <w:t>. Vulnere la conducción de los expedientes judiciales o de los procedimientos administrativos seguidos en forma de juicio, en tanto no hayan quedado firmes</w:t>
      </w:r>
      <w:r w:rsidRPr="005F3BD6">
        <w:rPr>
          <w:rFonts w:ascii="Palatino Linotype" w:eastAsia="Palatino Linotype" w:hAnsi="Palatino Linotype"/>
          <w:b/>
          <w:color w:val="auto"/>
          <w:sz w:val="22"/>
          <w:szCs w:val="22"/>
        </w:rPr>
        <w:t>;</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IX. </w:t>
      </w:r>
      <w:r w:rsidRPr="005F3BD6">
        <w:rPr>
          <w:rFonts w:ascii="Palatino Linotype" w:eastAsia="Palatino Linotype" w:hAnsi="Palatino Linotype"/>
          <w:color w:val="auto"/>
          <w:sz w:val="22"/>
          <w:szCs w:val="22"/>
        </w:rPr>
        <w:t>Se encuentre contenida dentro de las investigaciones de hechos que la Ley señale como delitos y se tramiten ante el Ministerio Público;</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X. </w:t>
      </w:r>
      <w:r w:rsidRPr="005F3BD6">
        <w:rPr>
          <w:rFonts w:ascii="Palatino Linotype" w:eastAsia="Palatino Linotype" w:hAnsi="Palatino Linotype"/>
          <w:color w:val="auto"/>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XI. </w:t>
      </w:r>
      <w:r w:rsidRPr="005F3BD6">
        <w:rPr>
          <w:rFonts w:ascii="Palatino Linotype" w:eastAsia="Palatino Linotype" w:hAnsi="Palatino Linotype"/>
          <w:color w:val="auto"/>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Artículo 143. </w:t>
      </w:r>
      <w:r w:rsidRPr="005F3BD6">
        <w:rPr>
          <w:rFonts w:ascii="Palatino Linotype" w:eastAsia="Palatino Linotype" w:hAnsi="Palatino Linotype"/>
          <w:color w:val="auto"/>
          <w:sz w:val="22"/>
          <w:szCs w:val="22"/>
        </w:rPr>
        <w:t>Para los efectos de esta Ley se considera información confidencial, la clasificada como tal, de manera permanente, por su naturaleza, cuando:</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 </w:t>
      </w:r>
      <w:r w:rsidRPr="005F3BD6">
        <w:rPr>
          <w:rFonts w:ascii="Palatino Linotype" w:eastAsia="Palatino Linotype" w:hAnsi="Palatino Linotype"/>
          <w:color w:val="auto"/>
          <w:sz w:val="22"/>
          <w:szCs w:val="22"/>
        </w:rPr>
        <w:t xml:space="preserve">Se refiera a la información privada y los datos personales concernientes a una persona física o </w:t>
      </w:r>
      <w:proofErr w:type="gramStart"/>
      <w:r w:rsidRPr="005F3BD6">
        <w:rPr>
          <w:rFonts w:ascii="Palatino Linotype" w:eastAsia="Palatino Linotype" w:hAnsi="Palatino Linotype"/>
          <w:color w:val="auto"/>
          <w:sz w:val="22"/>
          <w:szCs w:val="22"/>
        </w:rPr>
        <w:t>jurídico</w:t>
      </w:r>
      <w:proofErr w:type="gramEnd"/>
      <w:r w:rsidRPr="005F3BD6">
        <w:rPr>
          <w:rFonts w:ascii="Palatino Linotype" w:eastAsia="Palatino Linotype" w:hAnsi="Palatino Linotype"/>
          <w:color w:val="auto"/>
          <w:sz w:val="22"/>
          <w:szCs w:val="22"/>
        </w:rPr>
        <w:t xml:space="preserve"> colectiva identificada o identificable;</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lastRenderedPageBreak/>
        <w:t xml:space="preserve">II. </w:t>
      </w:r>
      <w:r w:rsidRPr="005F3BD6">
        <w:rPr>
          <w:rFonts w:ascii="Palatino Linotype" w:eastAsia="Palatino Linotype" w:hAnsi="Palatino Linotype"/>
          <w:color w:val="auto"/>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III. </w:t>
      </w:r>
      <w:r w:rsidRPr="005F3BD6">
        <w:rPr>
          <w:rFonts w:ascii="Palatino Linotype" w:eastAsia="Palatino Linotype" w:hAnsi="Palatino Linotype"/>
          <w:color w:val="auto"/>
          <w:sz w:val="22"/>
          <w:szCs w:val="22"/>
        </w:rPr>
        <w:t>La que presenten los particulares a los sujetos obligados, de conformidad con lo dispuesto por las leyes o los tratados internacionales.</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La información confidencial no estará sujeta a temporalidad alguna y sólo podrán tener acceso a ella los titulares de la misma, sus representantes y los servidores públicos facultados para ello.</w:t>
      </w: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No se considerará confidencial la información que se encuentre en los registros públicos o en fuentes de acceso público, ni tampoco la que sea considerada por la present</w:t>
      </w:r>
      <w:r w:rsidR="00E671BC" w:rsidRPr="005F3BD6">
        <w:rPr>
          <w:rFonts w:ascii="Palatino Linotype" w:eastAsia="Palatino Linotype" w:hAnsi="Palatino Linotype"/>
          <w:color w:val="auto"/>
          <w:sz w:val="22"/>
          <w:szCs w:val="22"/>
        </w:rPr>
        <w:t>e ley como información pública.</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De este modo, conforme al artículo 132 de la</w:t>
      </w:r>
      <w:r w:rsidR="00E671BC" w:rsidRPr="005F3BD6">
        <w:rPr>
          <w:rFonts w:ascii="Palatino Linotype" w:eastAsia="Palatino Linotype" w:hAnsi="Palatino Linotype" w:cs="Palatino Linotype"/>
        </w:rPr>
        <w:t xml:space="preserve"> ley en referencia</w:t>
      </w:r>
      <w:r w:rsidRPr="005F3BD6">
        <w:rPr>
          <w:rFonts w:ascii="Palatino Linotype" w:eastAsia="Palatino Linotype" w:hAnsi="Palatino Linotype" w:cs="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E671BC" w:rsidRPr="005F3BD6" w:rsidRDefault="00E671BC" w:rsidP="005F3BD6">
      <w:pPr>
        <w:tabs>
          <w:tab w:val="left" w:pos="851"/>
        </w:tabs>
        <w:spacing w:line="360" w:lineRule="auto"/>
        <w:jc w:val="both"/>
        <w:rPr>
          <w:rFonts w:ascii="Palatino Linotype" w:eastAsia="Palatino Linotype" w:hAnsi="Palatino Linotype" w:cs="Palatino Linotype"/>
        </w:rPr>
      </w:pPr>
    </w:p>
    <w:p w:rsidR="009842D1" w:rsidRPr="005F3BD6" w:rsidRDefault="00FF32EF" w:rsidP="005F3BD6">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Se reciba una solicitud de acceso a la información;</w:t>
      </w:r>
    </w:p>
    <w:p w:rsidR="009842D1" w:rsidRPr="005F3BD6" w:rsidRDefault="00FF32EF" w:rsidP="005F3BD6">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Se determine mediante resolución de autoridad competente; y/o</w:t>
      </w:r>
    </w:p>
    <w:p w:rsidR="009842D1" w:rsidRPr="005F3BD6" w:rsidRDefault="00FF32EF" w:rsidP="005F3BD6">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Se generen versiones públicas para dar cumplimiento a las obligaciones de transparencia previstas en la Ley.</w:t>
      </w:r>
    </w:p>
    <w:p w:rsidR="009842D1" w:rsidRPr="005F3BD6" w:rsidRDefault="009842D1" w:rsidP="005F3BD6">
      <w:pPr>
        <w:tabs>
          <w:tab w:val="left" w:pos="851"/>
        </w:tabs>
        <w:spacing w:line="360" w:lineRule="auto"/>
        <w:ind w:left="567"/>
        <w:jc w:val="both"/>
        <w:rPr>
          <w:rFonts w:ascii="Palatino Linotype" w:eastAsia="Palatino Linotype" w:hAnsi="Palatino Linotype" w:cs="Palatino Linotype"/>
        </w:rPr>
      </w:pPr>
    </w:p>
    <w:p w:rsidR="00E671BC" w:rsidRPr="005F3BD6" w:rsidRDefault="00FF32EF" w:rsidP="005F3BD6">
      <w:pPr>
        <w:spacing w:line="360" w:lineRule="auto"/>
        <w:ind w:right="51"/>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En ese sentido, es de precisar que la clasificación de la información no se </w:t>
      </w:r>
      <w:r w:rsidR="00E671BC" w:rsidRPr="005F3BD6">
        <w:rPr>
          <w:rFonts w:ascii="Palatino Linotype" w:eastAsia="Palatino Linotype" w:hAnsi="Palatino Linotype" w:cs="Palatino Linotype"/>
        </w:rPr>
        <w:t>da por el simple mandato de la l</w:t>
      </w:r>
      <w:r w:rsidRPr="005F3BD6">
        <w:rPr>
          <w:rFonts w:ascii="Palatino Linotype" w:eastAsia="Palatino Linotype" w:hAnsi="Palatino Linotype" w:cs="Palatino Linotype"/>
        </w:rPr>
        <w:t xml:space="preserve">ey, sino que es necesario que </w:t>
      </w:r>
      <w:r w:rsidR="00E671BC" w:rsidRPr="005F3BD6">
        <w:rPr>
          <w:rFonts w:ascii="Palatino Linotype" w:eastAsia="Palatino Linotype" w:hAnsi="Palatino Linotype" w:cs="Palatino Linotype"/>
          <w:b/>
        </w:rPr>
        <w:t>EL SUJETO OBLIGADO,</w:t>
      </w:r>
      <w:r w:rsidRPr="005F3BD6">
        <w:rPr>
          <w:rFonts w:ascii="Palatino Linotype" w:eastAsia="Palatino Linotype" w:hAnsi="Palatino Linotype" w:cs="Palatino Linotype"/>
        </w:rPr>
        <w:t xml:space="preserve"> cuando clasifique algún documento o información, ya sea todo o en parte</w:t>
      </w:r>
      <w:r w:rsidR="00E671BC" w:rsidRPr="005F3BD6">
        <w:rPr>
          <w:rFonts w:ascii="Palatino Linotype" w:eastAsia="Palatino Linotype" w:hAnsi="Palatino Linotype" w:cs="Palatino Linotype"/>
        </w:rPr>
        <w:t>, atienda lo dispuesto por la le</w:t>
      </w:r>
      <w:r w:rsidRPr="005F3BD6">
        <w:rPr>
          <w:rFonts w:ascii="Palatino Linotype" w:eastAsia="Palatino Linotype" w:hAnsi="Palatino Linotype" w:cs="Palatino Linotype"/>
        </w:rPr>
        <w:t xml:space="preserve">y de la materia, siendo que dicha clasificación es un trabajo en conjunto tanto de los Servidores Públicos Habilitados, de las Unidades de Transparencia y del Comité de Transparencia del </w:t>
      </w:r>
      <w:r w:rsidR="00E671BC" w:rsidRPr="005F3BD6">
        <w:rPr>
          <w:rFonts w:ascii="Palatino Linotype" w:eastAsia="Palatino Linotype" w:hAnsi="Palatino Linotype" w:cs="Palatino Linotype"/>
          <w:b/>
        </w:rPr>
        <w:t>SUJETO OBLIGADO</w:t>
      </w:r>
      <w:r w:rsidR="00E671B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teniendo </w:t>
      </w:r>
      <w:r w:rsidRPr="005F3BD6">
        <w:rPr>
          <w:rFonts w:ascii="Palatino Linotype" w:eastAsia="Palatino Linotype" w:hAnsi="Palatino Linotype" w:cs="Palatino Linotype"/>
        </w:rPr>
        <w:lastRenderedPageBreak/>
        <w:t>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Artículo 59. Los servidores públicos habilitados tendrán las funciones siguientes:</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V. Integrar y presentar al responsable de la Unidad de Transparencia la propuesta de clasificación de información, la cual tendrá los fundamentos y argumentos en que se basa dicha propuesta;</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E671BC" w:rsidRPr="005F3BD6" w:rsidRDefault="00E671BC" w:rsidP="005F3BD6">
      <w:pPr>
        <w:pStyle w:val="Cita"/>
        <w:spacing w:before="0" w:after="0"/>
        <w:jc w:val="both"/>
        <w:rPr>
          <w:rFonts w:ascii="Palatino Linotype" w:hAnsi="Palatino Linotype"/>
          <w:color w:val="auto"/>
          <w:sz w:val="22"/>
          <w:szCs w:val="22"/>
          <w:vertAlign w:val="superscript"/>
        </w:rPr>
      </w:pP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Artículo 53. Las Unidades de Transparencia tendrán las siguientes funciones:</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X. Presentar ante el Comité, el proyecto de clasificación de información;</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 xml:space="preserve">(…) </w:t>
      </w:r>
    </w:p>
    <w:p w:rsidR="00E671BC" w:rsidRPr="005F3BD6" w:rsidRDefault="00E671BC" w:rsidP="005F3BD6">
      <w:pPr>
        <w:pStyle w:val="Cita"/>
        <w:spacing w:before="0" w:after="0"/>
        <w:jc w:val="both"/>
        <w:rPr>
          <w:rFonts w:ascii="Palatino Linotype" w:hAnsi="Palatino Linotype"/>
          <w:color w:val="auto"/>
          <w:sz w:val="22"/>
          <w:szCs w:val="22"/>
          <w:vertAlign w:val="superscript"/>
        </w:rPr>
      </w:pP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Artículo 49. Los Comités de Transparencia tendrán las siguientes atribuciones:</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VIII. Aprobar, modificar o revocar la clasificación de la información;</w:t>
      </w:r>
    </w:p>
    <w:p w:rsidR="00E671BC" w:rsidRPr="005F3BD6" w:rsidRDefault="00E671BC"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color w:val="auto"/>
          <w:sz w:val="22"/>
          <w:szCs w:val="22"/>
        </w:rPr>
        <w:t>(…)</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Bajo tales consideraciones, este Organismo Garante no omite señalar que, si </w:t>
      </w:r>
      <w:r w:rsidR="00E671BC" w:rsidRPr="005F3BD6">
        <w:rPr>
          <w:rFonts w:ascii="Palatino Linotype" w:eastAsia="Palatino Linotype" w:hAnsi="Palatino Linotype" w:cs="Palatino Linotype"/>
        </w:rPr>
        <w:t xml:space="preserve">EL </w:t>
      </w:r>
      <w:r w:rsidR="00E671BC" w:rsidRPr="005F3BD6">
        <w:rPr>
          <w:rFonts w:ascii="Palatino Linotype" w:eastAsia="Palatino Linotype" w:hAnsi="Palatino Linotype" w:cs="Palatino Linotype"/>
          <w:b/>
        </w:rPr>
        <w:t>SUJETO OBLIGADO</w:t>
      </w:r>
      <w:r w:rsidR="00E671BC"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advierte que la información solicitada contiene datos personales que sean susceptibles de ser clasificados como confidenciales,</w:t>
      </w:r>
      <w:r w:rsidRPr="005F3BD6">
        <w:rPr>
          <w:rFonts w:ascii="Palatino Linotype" w:eastAsia="Palatino Linotype" w:hAnsi="Palatino Linotype" w:cs="Palatino Linotype"/>
          <w:b/>
        </w:rPr>
        <w:t xml:space="preserve"> </w:t>
      </w:r>
      <w:r w:rsidRPr="005F3BD6">
        <w:rPr>
          <w:rFonts w:ascii="Palatino Linotype" w:eastAsia="Palatino Linotype" w:hAnsi="Palatino Linotype" w:cs="Palatino Linotype"/>
        </w:rPr>
        <w:t xml:space="preserve">o, si por </w:t>
      </w:r>
      <w:r w:rsidRPr="005F3BD6">
        <w:rPr>
          <w:rFonts w:ascii="Palatino Linotype" w:eastAsia="Palatino Linotype" w:hAnsi="Palatino Linotype" w:cs="Palatino Linotype"/>
        </w:rPr>
        <w:lastRenderedPageBreak/>
        <w:t xml:space="preserve">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E671BC" w:rsidP="005F3BD6">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DE LA CLASIFICACIÓN PARCIAL DE LA INFORMACIÓN.</w:t>
      </w:r>
    </w:p>
    <w:p w:rsidR="009842D1" w:rsidRPr="005F3BD6" w:rsidRDefault="009842D1" w:rsidP="005F3BD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5F3BD6">
        <w:rPr>
          <w:rFonts w:ascii="Palatino Linotype" w:eastAsia="Palatino Linotype" w:hAnsi="Palatino Linotype" w:cs="Palatino Linotype"/>
        </w:rPr>
        <w:t xml:space="preserve"> conlleve un riesgo grave para e</w:t>
      </w:r>
      <w:r w:rsidRPr="005F3BD6">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7C6463" w:rsidP="005F3BD6">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5F3BD6">
        <w:rPr>
          <w:rFonts w:ascii="Palatino Linotype" w:eastAsia="Palatino Linotype" w:hAnsi="Palatino Linotype" w:cs="Palatino Linotype"/>
          <w:b/>
        </w:rPr>
        <w:t>DE LA CLASIFICACIÓN DE INFORMACIÓN COMO RESERVADA.</w:t>
      </w:r>
    </w:p>
    <w:p w:rsidR="009842D1" w:rsidRPr="005F3BD6" w:rsidRDefault="009842D1" w:rsidP="005F3BD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842D1" w:rsidRPr="005F3BD6" w:rsidRDefault="00FF32EF" w:rsidP="005F3BD6">
      <w:pPr>
        <w:spacing w:line="360" w:lineRule="auto"/>
        <w:ind w:right="51"/>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007C6463" w:rsidRPr="005F3BD6">
        <w:rPr>
          <w:rFonts w:ascii="Palatino Linotype" w:eastAsia="Palatino Linotype" w:hAnsi="Palatino Linotype" w:cs="Palatino Linotype"/>
          <w:b/>
        </w:rPr>
        <w:t>SUJETO OBLIGADO</w:t>
      </w:r>
      <w:r w:rsidR="007C6463"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a concluir que, el </w:t>
      </w:r>
      <w:r w:rsidRPr="005F3BD6">
        <w:rPr>
          <w:rFonts w:ascii="Palatino Linotype" w:eastAsia="Palatino Linotype" w:hAnsi="Palatino Linotype" w:cs="Palatino Linotype"/>
        </w:rPr>
        <w:lastRenderedPageBreak/>
        <w:t>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w:t>
      </w:r>
      <w:r w:rsidR="007C6463" w:rsidRPr="005F3BD6">
        <w:rPr>
          <w:rFonts w:ascii="Palatino Linotype" w:eastAsia="Palatino Linotype" w:hAnsi="Palatino Linotype" w:cs="Palatino Linotype"/>
        </w:rPr>
        <w:t>s debidamente protegido por la l</w:t>
      </w:r>
      <w:r w:rsidRPr="005F3BD6">
        <w:rPr>
          <w:rFonts w:ascii="Palatino Linotype" w:eastAsia="Palatino Linotype" w:hAnsi="Palatino Linotype" w:cs="Palatino Linotype"/>
        </w:rPr>
        <w:t>ey y que el menoscabo o daño que puede producirse con la publicidad de la información, es mayor que el interés de conocerla; debiendo clasificarse como reservada.</w:t>
      </w:r>
    </w:p>
    <w:p w:rsidR="009842D1" w:rsidRPr="005F3BD6" w:rsidRDefault="009842D1" w:rsidP="005F3BD6">
      <w:pPr>
        <w:spacing w:line="360" w:lineRule="auto"/>
        <w:ind w:right="51"/>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La divulgación de la información representa un </w:t>
      </w:r>
      <w:r w:rsidRPr="005F3BD6">
        <w:rPr>
          <w:rFonts w:ascii="Palatino Linotype" w:eastAsia="Palatino Linotype" w:hAnsi="Palatino Linotype" w:cs="Palatino Linotype"/>
          <w:b/>
        </w:rPr>
        <w:t>riesgo real, demostrable e identificable del perjuicio significativo al interés público o a la seguridad pública</w:t>
      </w:r>
      <w:r w:rsidRPr="005F3BD6">
        <w:rPr>
          <w:rFonts w:ascii="Palatino Linotype" w:eastAsia="Palatino Linotype" w:hAnsi="Palatino Linotype" w:cs="Palatino Linotype"/>
        </w:rPr>
        <w:t>;</w:t>
      </w:r>
    </w:p>
    <w:p w:rsidR="009842D1" w:rsidRPr="005F3BD6" w:rsidRDefault="00FF32EF" w:rsidP="005F3BD6">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5F3BD6">
        <w:rPr>
          <w:rFonts w:ascii="Palatino Linotype" w:eastAsia="Palatino Linotype" w:hAnsi="Palatino Linotype" w:cs="Palatino Linotype"/>
        </w:rPr>
        <w:t>El riesgo de perjuicio que supondría la divulgación supera el interés público general de que se difunda; y,</w:t>
      </w:r>
    </w:p>
    <w:p w:rsidR="009842D1" w:rsidRPr="005F3BD6" w:rsidRDefault="00FF32EF" w:rsidP="005F3BD6">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842D1" w:rsidRPr="005F3BD6" w:rsidRDefault="009842D1" w:rsidP="005F3BD6">
      <w:pPr>
        <w:tabs>
          <w:tab w:val="left" w:pos="851"/>
        </w:tabs>
        <w:spacing w:line="360" w:lineRule="auto"/>
        <w:ind w:left="568"/>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Siendo pertinente aclarar que, la información que se clasifica bajo la premisa de reservada, no pierde el carácter de pública, sino que se reserva temporalmente del </w:t>
      </w:r>
      <w:r w:rsidRPr="005F3BD6">
        <w:rPr>
          <w:rFonts w:ascii="Palatino Linotype" w:eastAsia="Palatino Linotype" w:hAnsi="Palatino Linotype" w:cs="Palatino Linotype"/>
        </w:rPr>
        <w:lastRenderedPageBreak/>
        <w:t>conocimiento público, es decir, que, por un tiempo determinado, se conservará y custodiará la información de manera especial, y una vez transcurrido el plazo de reserva, el documento podrá divulgarse.</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7C6463" w:rsidP="005F3BD6">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5F3BD6">
        <w:rPr>
          <w:rFonts w:ascii="Palatino Linotype" w:eastAsia="Palatino Linotype" w:hAnsi="Palatino Linotype" w:cs="Palatino Linotype"/>
          <w:b/>
        </w:rPr>
        <w:t>DE LA CLASIFICACIÓN DE LA INFORMACIÓN COMO TOTALMENTE CONFIDENCIAL.</w:t>
      </w:r>
    </w:p>
    <w:p w:rsidR="009842D1" w:rsidRPr="005F3BD6" w:rsidRDefault="009842D1" w:rsidP="005F3BD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842D1" w:rsidRPr="005F3BD6" w:rsidRDefault="00FF32EF" w:rsidP="005F3BD6">
      <w:pPr>
        <w:tabs>
          <w:tab w:val="left" w:pos="709"/>
        </w:tabs>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5F3BD6">
        <w:rPr>
          <w:rFonts w:ascii="Palatino Linotype" w:eastAsia="Palatino Linotype" w:hAnsi="Palatino Linotype" w:cs="Palatino Linotype"/>
        </w:rPr>
        <w:lastRenderedPageBreak/>
        <w:t>Datos Personales en Posesión de los Sujetos Obligados del Estado de México y Municipios.</w:t>
      </w:r>
    </w:p>
    <w:p w:rsidR="009842D1" w:rsidRPr="005F3BD6" w:rsidRDefault="009842D1" w:rsidP="005F3BD6">
      <w:pPr>
        <w:tabs>
          <w:tab w:val="left" w:pos="709"/>
        </w:tabs>
        <w:spacing w:line="360" w:lineRule="auto"/>
        <w:jc w:val="both"/>
        <w:rPr>
          <w:rFonts w:ascii="Palatino Linotype" w:eastAsia="Palatino Linotype" w:hAnsi="Palatino Linotype" w:cs="Palatino Linotype"/>
        </w:rPr>
      </w:pPr>
    </w:p>
    <w:p w:rsidR="009842D1" w:rsidRPr="005F3BD6" w:rsidRDefault="00FF32EF" w:rsidP="005F3BD6">
      <w:pPr>
        <w:spacing w:line="360" w:lineRule="auto"/>
        <w:ind w:right="51"/>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007C6463" w:rsidRPr="005F3BD6">
        <w:rPr>
          <w:rFonts w:ascii="Palatino Linotype" w:eastAsia="Palatino Linotype" w:hAnsi="Palatino Linotype" w:cs="Palatino Linotype"/>
        </w:rPr>
        <w:t xml:space="preserve">Lineamientos Generales en Materia de Clasificación y Desclasificación de la Información, así como para la Elaboración de Versiones Públicas, </w:t>
      </w:r>
      <w:r w:rsidRPr="005F3BD6">
        <w:rPr>
          <w:rFonts w:ascii="Palatino Linotype" w:eastAsia="Palatino Linotype" w:hAnsi="Palatino Linotype" w:cs="Palatino Linotype"/>
        </w:rPr>
        <w:t>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842D1" w:rsidRPr="005F3BD6" w:rsidRDefault="009842D1" w:rsidP="005F3BD6">
      <w:pPr>
        <w:spacing w:line="360" w:lineRule="auto"/>
        <w:ind w:right="51"/>
        <w:jc w:val="both"/>
        <w:rPr>
          <w:rFonts w:ascii="Palatino Linotype" w:eastAsia="Palatino Linotype" w:hAnsi="Palatino Linotype" w:cs="Palatino Linotype"/>
          <w:b/>
        </w:rPr>
      </w:pPr>
    </w:p>
    <w:p w:rsidR="009842D1" w:rsidRPr="005F3BD6" w:rsidRDefault="007C6463" w:rsidP="005F3BD6">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5F3BD6">
        <w:rPr>
          <w:rFonts w:ascii="Palatino Linotype" w:eastAsia="Palatino Linotype" w:hAnsi="Palatino Linotype" w:cs="Palatino Linotype"/>
          <w:b/>
        </w:rPr>
        <w:t>DE LA DECLARATORIA DE INEXISTENCIA DE LA INFORMACIÓN.</w:t>
      </w:r>
    </w:p>
    <w:p w:rsidR="009842D1" w:rsidRPr="005F3BD6" w:rsidRDefault="009842D1" w:rsidP="005F3BD6">
      <w:pPr>
        <w:spacing w:line="360" w:lineRule="auto"/>
        <w:ind w:right="51"/>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Por otro lado, estima prudente señalar al </w:t>
      </w:r>
      <w:r w:rsidR="007C6463" w:rsidRPr="005F3BD6">
        <w:rPr>
          <w:rFonts w:ascii="Palatino Linotype" w:eastAsia="Palatino Linotype" w:hAnsi="Palatino Linotype" w:cs="Palatino Linotype"/>
          <w:b/>
        </w:rPr>
        <w:t>SUJETO OBLIGADO</w:t>
      </w:r>
      <w:r w:rsidR="007C6463"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que, en caso de que la información solicitada, debiera obrar en sus archivos y no cuente con ella, deberá entregar el Acuerdo del Comité de Transparencia, en donde conste la declaratoria de inexistencia de la misma.</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842D1" w:rsidRPr="005F3BD6" w:rsidRDefault="009842D1" w:rsidP="005F3BD6">
      <w:pPr>
        <w:pStyle w:val="Cita"/>
        <w:spacing w:before="0" w:after="0"/>
        <w:jc w:val="both"/>
        <w:rPr>
          <w:rFonts w:ascii="Palatino Linotype" w:eastAsia="Palatino Linotype" w:hAnsi="Palatino Linotype"/>
          <w:color w:val="auto"/>
        </w:rPr>
      </w:pPr>
    </w:p>
    <w:p w:rsidR="009842D1" w:rsidRPr="005F3BD6" w:rsidRDefault="00FF32EF" w:rsidP="005F3BD6">
      <w:pPr>
        <w:pStyle w:val="Cita"/>
        <w:spacing w:before="0" w:after="0"/>
        <w:jc w:val="both"/>
        <w:rPr>
          <w:rFonts w:ascii="Palatino Linotype" w:eastAsia="Palatino Linotype" w:hAnsi="Palatino Linotype"/>
          <w:color w:val="auto"/>
          <w:sz w:val="22"/>
          <w:szCs w:val="22"/>
        </w:rPr>
      </w:pPr>
      <w:r w:rsidRPr="005F3BD6">
        <w:rPr>
          <w:rFonts w:ascii="Palatino Linotype" w:eastAsia="Palatino Linotype" w:hAnsi="Palatino Linotype"/>
          <w:b/>
          <w:color w:val="auto"/>
          <w:sz w:val="22"/>
          <w:szCs w:val="22"/>
        </w:rPr>
        <w:t xml:space="preserve">INEXISTENCIA DE LA INFORMACIÓN. SUPUESTOS PARA EMITIR LA RESOLUCIÓN DE LA. </w:t>
      </w:r>
      <w:r w:rsidRPr="005F3BD6">
        <w:rPr>
          <w:rFonts w:ascii="Palatino Linotype" w:eastAsia="Palatino Linotype" w:hAnsi="Palatino Linotype"/>
          <w:color w:val="auto"/>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w:t>
      </w:r>
      <w:r w:rsidRPr="005F3BD6">
        <w:rPr>
          <w:rFonts w:ascii="Palatino Linotype" w:eastAsia="Palatino Linotype" w:hAnsi="Palatino Linotype"/>
          <w:color w:val="auto"/>
          <w:sz w:val="22"/>
          <w:szCs w:val="22"/>
        </w:rPr>
        <w:lastRenderedPageBreak/>
        <w:t>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w:t>
      </w:r>
      <w:r w:rsidR="007C6463" w:rsidRPr="005F3BD6">
        <w:rPr>
          <w:rFonts w:ascii="Palatino Linotype" w:eastAsia="Palatino Linotype" w:hAnsi="Palatino Linotype"/>
          <w:color w:val="auto"/>
          <w:sz w:val="22"/>
          <w:szCs w:val="22"/>
        </w:rPr>
        <w:t>aso, las consecuencias de ello.</w:t>
      </w:r>
    </w:p>
    <w:p w:rsidR="009842D1" w:rsidRPr="005F3BD6" w:rsidRDefault="009842D1" w:rsidP="005F3BD6">
      <w:pPr>
        <w:pStyle w:val="Cita"/>
        <w:spacing w:before="0" w:after="0"/>
        <w:jc w:val="both"/>
        <w:rPr>
          <w:rFonts w:ascii="Palatino Linotype" w:eastAsia="Palatino Linotype" w:hAnsi="Palatino Linotype"/>
          <w:color w:val="auto"/>
          <w:sz w:val="22"/>
          <w:szCs w:val="22"/>
        </w:rPr>
      </w:pPr>
    </w:p>
    <w:p w:rsidR="009842D1" w:rsidRPr="005F3BD6" w:rsidRDefault="00FF32EF"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En mérito de todo lo expuesto, ante lo </w:t>
      </w:r>
      <w:r w:rsidR="007C6463" w:rsidRPr="005F3BD6">
        <w:rPr>
          <w:rFonts w:ascii="Palatino Linotype" w:eastAsia="Palatino Linotype" w:hAnsi="Palatino Linotype" w:cs="Palatino Linotype"/>
          <w:b/>
        </w:rPr>
        <w:t>FUNDADO</w:t>
      </w:r>
      <w:r w:rsidRPr="005F3BD6">
        <w:rPr>
          <w:rFonts w:ascii="Palatino Linotype" w:eastAsia="Palatino Linotype" w:hAnsi="Palatino Linotype" w:cs="Palatino Linotype"/>
        </w:rPr>
        <w:t xml:space="preserve"> de las razones o motivos de inconformidad hechos valer por </w:t>
      </w:r>
      <w:r w:rsidR="007C6463" w:rsidRPr="005F3BD6">
        <w:rPr>
          <w:rFonts w:ascii="Palatino Linotype" w:eastAsia="Palatino Linotype" w:hAnsi="Palatino Linotype" w:cs="Palatino Linotype"/>
          <w:b/>
        </w:rPr>
        <w:t xml:space="preserve">LA PARTE RECURRENTE, </w:t>
      </w:r>
      <w:r w:rsidRPr="005F3BD6">
        <w:rPr>
          <w:rFonts w:ascii="Palatino Linotype" w:eastAsia="Palatino Linotype" w:hAnsi="Palatino Linotype" w:cs="Palatino Linotype"/>
        </w:rPr>
        <w:t xml:space="preserve">este Instituto estima que lo dable es </w:t>
      </w:r>
      <w:r w:rsidR="007C6463" w:rsidRPr="005F3BD6">
        <w:rPr>
          <w:rFonts w:ascii="Palatino Linotype" w:eastAsia="Palatino Linotype" w:hAnsi="Palatino Linotype" w:cs="Palatino Linotype"/>
          <w:b/>
        </w:rPr>
        <w:t>ORDENAR</w:t>
      </w:r>
      <w:r w:rsidR="007C6463"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al </w:t>
      </w:r>
      <w:r w:rsidR="007C6463" w:rsidRPr="005F3BD6">
        <w:rPr>
          <w:rFonts w:ascii="Palatino Linotype" w:eastAsia="Palatino Linotype" w:hAnsi="Palatino Linotype" w:cs="Palatino Linotype"/>
          <w:b/>
        </w:rPr>
        <w:t>SUJETO OBLIGADO</w:t>
      </w:r>
      <w:r w:rsidR="007C6463" w:rsidRPr="005F3BD6">
        <w:rPr>
          <w:rFonts w:ascii="Palatino Linotype" w:eastAsia="Palatino Linotype" w:hAnsi="Palatino Linotype" w:cs="Palatino Linotype"/>
        </w:rPr>
        <w:t xml:space="preserve"> atienda la</w:t>
      </w:r>
      <w:r w:rsidR="00E90B56" w:rsidRPr="005F3BD6">
        <w:rPr>
          <w:rFonts w:ascii="Palatino Linotype" w:eastAsia="Palatino Linotype" w:hAnsi="Palatino Linotype" w:cs="Palatino Linotype"/>
        </w:rPr>
        <w:t xml:space="preserve"> solicitud</w:t>
      </w:r>
      <w:r w:rsidRPr="005F3BD6">
        <w:rPr>
          <w:rFonts w:ascii="Palatino Linotype" w:eastAsia="Palatino Linotype" w:hAnsi="Palatino Linotype" w:cs="Palatino Linotype"/>
        </w:rPr>
        <w:t xml:space="preserve"> de acceso a la información, atendiendo lo señalado en el presente Considerando.</w:t>
      </w:r>
    </w:p>
    <w:p w:rsidR="006A7490" w:rsidRPr="005F3BD6" w:rsidRDefault="006A7490" w:rsidP="005F3BD6">
      <w:pPr>
        <w:spacing w:line="360" w:lineRule="auto"/>
        <w:jc w:val="both"/>
        <w:rPr>
          <w:rFonts w:ascii="Palatino Linotype" w:eastAsia="Palatino Linotype" w:hAnsi="Palatino Linotype" w:cs="Palatino Linotype"/>
        </w:rPr>
      </w:pPr>
    </w:p>
    <w:p w:rsidR="00624608" w:rsidRPr="005F3BD6" w:rsidRDefault="0047009F" w:rsidP="005F3BD6">
      <w:pPr>
        <w:spacing w:line="360" w:lineRule="auto"/>
        <w:ind w:right="49"/>
        <w:jc w:val="both"/>
        <w:rPr>
          <w:rFonts w:ascii="Palatino Linotype" w:eastAsia="Palatino Linotype" w:hAnsi="Palatino Linotype" w:cs="Palatino Linotype"/>
        </w:rPr>
      </w:pPr>
      <w:r w:rsidRPr="005F3BD6">
        <w:rPr>
          <w:rFonts w:ascii="Palatino Linotype" w:eastAsia="Palatino Linotype" w:hAnsi="Palatino Linotype" w:cs="Palatino Linotype"/>
        </w:rPr>
        <w:t xml:space="preserve">Finalmente, es de señalar que, como ya se mencionó </w:t>
      </w:r>
      <w:r w:rsidR="007C6463" w:rsidRPr="005F3BD6">
        <w:rPr>
          <w:rFonts w:ascii="Palatino Linotype" w:eastAsia="Palatino Linotype" w:hAnsi="Palatino Linotype" w:cs="Palatino Linotype"/>
          <w:b/>
        </w:rPr>
        <w:t>EL SUJETO OBLIGADO,</w:t>
      </w:r>
      <w:r w:rsidR="007C6463"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omitió</w:t>
      </w:r>
      <w:r w:rsidR="007C6463" w:rsidRPr="005F3BD6">
        <w:rPr>
          <w:rFonts w:ascii="Palatino Linotype" w:eastAsia="Palatino Linotype" w:hAnsi="Palatino Linotype" w:cs="Palatino Linotype"/>
        </w:rPr>
        <w:t xml:space="preserve"> proporcionar la respuesta a la</w:t>
      </w:r>
      <w:r w:rsidRPr="005F3BD6">
        <w:rPr>
          <w:rFonts w:ascii="Palatino Linotype" w:eastAsia="Palatino Linotype" w:hAnsi="Palatino Linotype" w:cs="Palatino Linotype"/>
        </w:rPr>
        <w:t xml:space="preserve"> </w:t>
      </w:r>
      <w:r w:rsidR="007C6463" w:rsidRPr="005F3BD6">
        <w:rPr>
          <w:rFonts w:ascii="Palatino Linotype" w:eastAsia="Palatino Linotype" w:hAnsi="Palatino Linotype" w:cs="Palatino Linotype"/>
        </w:rPr>
        <w:t>solicitud</w:t>
      </w:r>
      <w:r w:rsidRPr="005F3BD6">
        <w:rPr>
          <w:rFonts w:ascii="Palatino Linotype" w:eastAsia="Palatino Linotype" w:hAnsi="Palatino Linotype" w:cs="Palatino Linotype"/>
        </w:rPr>
        <w:t xml:space="preserve"> de acceso a la información pública, en el término contemplado en e</w:t>
      </w:r>
      <w:r w:rsidR="007C6463" w:rsidRPr="005F3BD6">
        <w:rPr>
          <w:rFonts w:ascii="Palatino Linotype" w:eastAsia="Palatino Linotype" w:hAnsi="Palatino Linotype" w:cs="Palatino Linotype"/>
        </w:rPr>
        <w:t>l ya citado artículo 163 de la l</w:t>
      </w:r>
      <w:r w:rsidRPr="005F3BD6">
        <w:rPr>
          <w:rFonts w:ascii="Palatino Linotype" w:eastAsia="Palatino Linotype" w:hAnsi="Palatino Linotype" w:cs="Palatino Linotype"/>
        </w:rPr>
        <w:t xml:space="preserve">ey de la materia, razón por la que, en términos de lo previsto en el artículo 190 de la Ley de Transparencia y Acceso a la Información Pública del Estado de México y Municipios, se </w:t>
      </w:r>
      <w:r w:rsidR="007C6463" w:rsidRPr="005F3BD6">
        <w:rPr>
          <w:rFonts w:ascii="Palatino Linotype" w:eastAsia="Palatino Linotype" w:hAnsi="Palatino Linotype" w:cs="Palatino Linotype"/>
          <w:b/>
        </w:rPr>
        <w:t xml:space="preserve">ORDENA </w:t>
      </w:r>
      <w:r w:rsidRPr="005F3BD6">
        <w:rPr>
          <w:rFonts w:ascii="Palatino Linotype" w:eastAsia="Palatino Linotype" w:hAnsi="Palatino Linotype" w:cs="Palatino Linotype"/>
        </w:rPr>
        <w:t xml:space="preserve">dar vista a la </w:t>
      </w:r>
      <w:r w:rsidR="00B773C0" w:rsidRPr="005F3BD6">
        <w:rPr>
          <w:rFonts w:ascii="Palatino Linotype" w:eastAsia="Palatino Linotype" w:hAnsi="Palatino Linotype" w:cs="Palatino Linotype"/>
          <w:b/>
        </w:rPr>
        <w:t>SECRETARÍA TÉCNICA DEL PLENO</w:t>
      </w:r>
      <w:r w:rsidR="00B773C0"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 xml:space="preserve">a efecto de que ejerza las atribuciones previstas en la normatividad aplicable y comunique al </w:t>
      </w:r>
      <w:r w:rsidR="00B773C0" w:rsidRPr="005F3BD6">
        <w:rPr>
          <w:rFonts w:ascii="Palatino Linotype" w:eastAsia="Palatino Linotype" w:hAnsi="Palatino Linotype" w:cs="Palatino Linotype"/>
          <w:b/>
        </w:rPr>
        <w:t xml:space="preserve">ÓRGANO INTERNO DE CONTROL COMPETENTE </w:t>
      </w:r>
      <w:r w:rsidRPr="005F3BD6">
        <w:rPr>
          <w:rFonts w:ascii="Palatino Linotype" w:eastAsia="Palatino Linotype" w:hAnsi="Palatino Linotype" w:cs="Palatino Linotype"/>
        </w:rPr>
        <w:t>para que éste último</w:t>
      </w:r>
      <w:r w:rsidR="007C6463" w:rsidRPr="005F3BD6">
        <w:rPr>
          <w:rFonts w:ascii="Palatino Linotype" w:eastAsia="Palatino Linotype" w:hAnsi="Palatino Linotype" w:cs="Palatino Linotype"/>
        </w:rPr>
        <w:t>,</w:t>
      </w:r>
      <w:r w:rsidRPr="005F3BD6">
        <w:rPr>
          <w:rFonts w:ascii="Palatino Linotype" w:eastAsia="Palatino Linotype" w:hAnsi="Palatino Linotype" w:cs="Palatino Linotype"/>
        </w:rPr>
        <w:t xml:space="preserve"> en ejercicio de sus atribuciones resuelva lo conducente y determine en su caso el grado de responsabilidad en el incumplimiento de las obligaci</w:t>
      </w:r>
      <w:r w:rsidR="007C6463" w:rsidRPr="005F3BD6">
        <w:rPr>
          <w:rFonts w:ascii="Palatino Linotype" w:eastAsia="Palatino Linotype" w:hAnsi="Palatino Linotype" w:cs="Palatino Linotype"/>
        </w:rPr>
        <w:t>ones establecidas en la citada l</w:t>
      </w:r>
      <w:r w:rsidRPr="005F3BD6">
        <w:rPr>
          <w:rFonts w:ascii="Palatino Linotype" w:eastAsia="Palatino Linotype" w:hAnsi="Palatino Linotype" w:cs="Palatino Linotype"/>
        </w:rPr>
        <w:t xml:space="preserve">ey. </w:t>
      </w:r>
    </w:p>
    <w:p w:rsidR="0047009F" w:rsidRPr="005F3BD6" w:rsidRDefault="0047009F" w:rsidP="005F3BD6">
      <w:pPr>
        <w:spacing w:line="360" w:lineRule="auto"/>
        <w:ind w:right="49"/>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bookmarkStart w:id="4" w:name="_heading=h.1fob9te" w:colFirst="0" w:colLast="0"/>
      <w:bookmarkEnd w:id="4"/>
      <w:r w:rsidRPr="005F3BD6">
        <w:rPr>
          <w:rFonts w:ascii="Palatino Linotype" w:eastAsia="Palatino Linotype" w:hAnsi="Palatino Linotype" w:cs="Palatino Linotype"/>
        </w:rPr>
        <w:lastRenderedPageBreak/>
        <w:t>Así, con fundamento en lo prescrito en los</w:t>
      </w:r>
      <w:r w:rsidRPr="005F3BD6">
        <w:t xml:space="preserve"> </w:t>
      </w:r>
      <w:r w:rsidRPr="005F3BD6">
        <w:rPr>
          <w:rFonts w:ascii="Palatino Linotype" w:eastAsia="Palatino Linotype" w:hAnsi="Palatino Linotype" w:cs="Palatino Linotype"/>
        </w:rPr>
        <w:t>artículos 5 párrafos trigésimo</w:t>
      </w:r>
      <w:r w:rsidR="006366AA" w:rsidRPr="005F3BD6">
        <w:rPr>
          <w:rFonts w:ascii="Palatino Linotype" w:eastAsia="Palatino Linotype" w:hAnsi="Palatino Linotype" w:cs="Palatino Linotype"/>
        </w:rPr>
        <w:t xml:space="preserve"> segundo, trigésimo tercero y trigésimo cuarto</w:t>
      </w:r>
      <w:r w:rsidRPr="005F3BD6">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w:t>
      </w:r>
      <w:r w:rsidR="007C6463" w:rsidRPr="005F3BD6">
        <w:rPr>
          <w:rFonts w:ascii="Palatino Linotype" w:eastAsia="Palatino Linotype" w:hAnsi="Palatino Linotype" w:cs="Palatino Linotype"/>
        </w:rPr>
        <w:t>éxico y Municipios, este Pleno</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FF32EF" w:rsidP="005F3BD6">
      <w:pPr>
        <w:pBdr>
          <w:top w:val="nil"/>
          <w:left w:val="nil"/>
          <w:bottom w:val="nil"/>
          <w:right w:val="nil"/>
          <w:between w:val="nil"/>
        </w:pBdr>
        <w:spacing w:line="360" w:lineRule="auto"/>
        <w:jc w:val="center"/>
        <w:rPr>
          <w:rFonts w:ascii="Palatino Linotype" w:eastAsia="Palatino Linotype" w:hAnsi="Palatino Linotype" w:cs="Palatino Linotype"/>
          <w:b/>
        </w:rPr>
      </w:pPr>
      <w:r w:rsidRPr="005F3BD6">
        <w:rPr>
          <w:rFonts w:ascii="Palatino Linotype" w:eastAsia="Palatino Linotype" w:hAnsi="Palatino Linotype" w:cs="Palatino Linotype"/>
          <w:b/>
        </w:rPr>
        <w:t>III. R E S U E L V E</w:t>
      </w:r>
      <w:r w:rsidR="007C6463" w:rsidRPr="005F3BD6">
        <w:rPr>
          <w:rFonts w:ascii="Palatino Linotype" w:eastAsia="Palatino Linotype" w:hAnsi="Palatino Linotype" w:cs="Palatino Linotype"/>
          <w:b/>
        </w:rPr>
        <w:t>:</w:t>
      </w:r>
    </w:p>
    <w:p w:rsidR="009842D1" w:rsidRPr="005F3BD6" w:rsidRDefault="009842D1" w:rsidP="005F3BD6">
      <w:pPr>
        <w:pBdr>
          <w:top w:val="nil"/>
          <w:left w:val="nil"/>
          <w:bottom w:val="nil"/>
          <w:right w:val="nil"/>
          <w:between w:val="nil"/>
        </w:pBdr>
        <w:spacing w:line="360" w:lineRule="auto"/>
        <w:jc w:val="center"/>
        <w:rPr>
          <w:rFonts w:ascii="Palatino Linotype" w:eastAsia="Palatino Linotype" w:hAnsi="Palatino Linotype" w:cs="Palatino Linotype"/>
          <w:b/>
        </w:rPr>
      </w:pPr>
    </w:p>
    <w:p w:rsidR="009842D1" w:rsidRPr="005F3BD6" w:rsidRDefault="003642DE" w:rsidP="005F3BD6">
      <w:pPr>
        <w:spacing w:line="360" w:lineRule="auto"/>
        <w:ind w:right="49"/>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PRIMERO. </w:t>
      </w:r>
      <w:r w:rsidR="00FF32EF" w:rsidRPr="005F3BD6">
        <w:rPr>
          <w:rFonts w:ascii="Palatino Linotype" w:eastAsia="Palatino Linotype" w:hAnsi="Palatino Linotype" w:cs="Palatino Linotype"/>
        </w:rPr>
        <w:t xml:space="preserve">Resultan </w:t>
      </w:r>
      <w:r w:rsidRPr="005F3BD6">
        <w:rPr>
          <w:rFonts w:ascii="Palatino Linotype" w:eastAsia="Palatino Linotype" w:hAnsi="Palatino Linotype" w:cs="Palatino Linotype"/>
          <w:b/>
        </w:rPr>
        <w:t>FUNDADOS</w:t>
      </w:r>
      <w:r w:rsidR="00FF32EF" w:rsidRPr="005F3BD6">
        <w:rPr>
          <w:rFonts w:ascii="Palatino Linotype" w:eastAsia="Palatino Linotype" w:hAnsi="Palatino Linotype" w:cs="Palatino Linotype"/>
        </w:rPr>
        <w:t xml:space="preserve"> los motivos de inconformidad de </w:t>
      </w:r>
      <w:r w:rsidRPr="005F3BD6">
        <w:rPr>
          <w:rFonts w:ascii="Palatino Linotype" w:eastAsia="Palatino Linotype" w:hAnsi="Palatino Linotype" w:cs="Palatino Linotype"/>
          <w:b/>
        </w:rPr>
        <w:t>LA PARTE</w:t>
      </w:r>
      <w:r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b/>
        </w:rPr>
        <w:t>RECURRENTE</w:t>
      </w:r>
      <w:r w:rsidRPr="005F3BD6">
        <w:rPr>
          <w:rFonts w:ascii="Palatino Linotype" w:eastAsia="Palatino Linotype" w:hAnsi="Palatino Linotype" w:cs="Palatino Linotype"/>
        </w:rPr>
        <w:t xml:space="preserve">, </w:t>
      </w:r>
      <w:r w:rsidR="00FF32EF" w:rsidRPr="005F3BD6">
        <w:rPr>
          <w:rFonts w:ascii="Palatino Linotype" w:eastAsia="Palatino Linotype" w:hAnsi="Palatino Linotype" w:cs="Palatino Linotype"/>
        </w:rPr>
        <w:t xml:space="preserve">en términos del </w:t>
      </w:r>
      <w:r w:rsidRPr="005F3BD6">
        <w:rPr>
          <w:rFonts w:ascii="Palatino Linotype" w:eastAsia="Palatino Linotype" w:hAnsi="Palatino Linotype" w:cs="Palatino Linotype"/>
          <w:b/>
        </w:rPr>
        <w:t>CONSIDERANDO</w:t>
      </w:r>
      <w:r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b/>
        </w:rPr>
        <w:t>CUARTO</w:t>
      </w:r>
      <w:r w:rsidRPr="005F3BD6">
        <w:rPr>
          <w:rFonts w:ascii="Palatino Linotype" w:eastAsia="Palatino Linotype" w:hAnsi="Palatino Linotype" w:cs="Palatino Linotype"/>
        </w:rPr>
        <w:t xml:space="preserve"> </w:t>
      </w:r>
      <w:r w:rsidR="00FF32EF" w:rsidRPr="005F3BD6">
        <w:rPr>
          <w:rFonts w:ascii="Palatino Linotype" w:eastAsia="Palatino Linotype" w:hAnsi="Palatino Linotype" w:cs="Palatino Linotype"/>
        </w:rPr>
        <w:t>de la presente resolución.</w:t>
      </w:r>
    </w:p>
    <w:p w:rsidR="009842D1" w:rsidRPr="005F3BD6" w:rsidRDefault="009842D1" w:rsidP="005F3BD6">
      <w:pPr>
        <w:spacing w:line="360" w:lineRule="auto"/>
        <w:ind w:right="49"/>
        <w:jc w:val="both"/>
        <w:rPr>
          <w:rFonts w:ascii="Palatino Linotype" w:eastAsia="Palatino Linotype" w:hAnsi="Palatino Linotype" w:cs="Palatino Linotype"/>
        </w:rPr>
      </w:pPr>
    </w:p>
    <w:p w:rsidR="00E90B56" w:rsidRPr="005F3BD6" w:rsidRDefault="003642DE" w:rsidP="005F3BD6">
      <w:pPr>
        <w:spacing w:line="360" w:lineRule="auto"/>
        <w:jc w:val="both"/>
        <w:rPr>
          <w:rFonts w:ascii="Palatino Linotype" w:eastAsia="Palatino Linotype" w:hAnsi="Palatino Linotype" w:cs="Palatino Linotype"/>
        </w:rPr>
      </w:pPr>
      <w:bookmarkStart w:id="5" w:name="_heading=h.3dy6vkm" w:colFirst="0" w:colLast="0"/>
      <w:bookmarkEnd w:id="5"/>
      <w:r w:rsidRPr="005F3BD6">
        <w:rPr>
          <w:rFonts w:ascii="Palatino Linotype" w:eastAsia="Palatino Linotype" w:hAnsi="Palatino Linotype" w:cs="Palatino Linotype"/>
          <w:b/>
        </w:rPr>
        <w:t>SEGUNDO.</w:t>
      </w:r>
      <w:r w:rsidR="00FF32EF" w:rsidRPr="005F3BD6">
        <w:rPr>
          <w:rFonts w:ascii="Palatino Linotype" w:eastAsia="Palatino Linotype" w:hAnsi="Palatino Linotype" w:cs="Palatino Linotype"/>
        </w:rPr>
        <w:t xml:space="preserve"> </w:t>
      </w:r>
      <w:r w:rsidR="007C6463" w:rsidRPr="005F3BD6">
        <w:rPr>
          <w:rFonts w:ascii="Palatino Linotype" w:eastAsia="Palatino Linotype" w:hAnsi="Palatino Linotype" w:cs="Palatino Linotype"/>
        </w:rPr>
        <w:t xml:space="preserve">Se </w:t>
      </w:r>
      <w:r w:rsidR="007C6463" w:rsidRPr="005F3BD6">
        <w:rPr>
          <w:rFonts w:ascii="Palatino Linotype" w:eastAsia="Palatino Linotype" w:hAnsi="Palatino Linotype" w:cs="Palatino Linotype"/>
          <w:b/>
        </w:rPr>
        <w:t>ORDENA</w:t>
      </w:r>
      <w:r w:rsidR="007C6463" w:rsidRPr="005F3BD6">
        <w:rPr>
          <w:rFonts w:ascii="Palatino Linotype" w:eastAsia="Palatino Linotype" w:hAnsi="Palatino Linotype" w:cs="Palatino Linotype"/>
        </w:rPr>
        <w:t xml:space="preserve"> al </w:t>
      </w:r>
      <w:r w:rsidR="007C6463" w:rsidRPr="005F3BD6">
        <w:rPr>
          <w:rFonts w:ascii="Palatino Linotype" w:eastAsia="Palatino Linotype" w:hAnsi="Palatino Linotype" w:cs="Palatino Linotype"/>
          <w:b/>
        </w:rPr>
        <w:t>SUJETO OBLIGADO</w:t>
      </w:r>
      <w:r w:rsidR="007C6463" w:rsidRPr="005F3BD6">
        <w:rPr>
          <w:rFonts w:ascii="Palatino Linotype" w:eastAsia="Palatino Linotype" w:hAnsi="Palatino Linotype" w:cs="Palatino Linotype"/>
        </w:rPr>
        <w:t xml:space="preserve"> atienda la Solicitud de Acceso a la Información Pública </w:t>
      </w:r>
      <w:r w:rsidR="006937D6" w:rsidRPr="005F3BD6">
        <w:rPr>
          <w:rFonts w:ascii="Palatino Linotype" w:eastAsia="Palatino Linotype" w:hAnsi="Palatino Linotype" w:cs="Palatino Linotype"/>
          <w:b/>
        </w:rPr>
        <w:t>00061</w:t>
      </w:r>
      <w:r w:rsidR="008B4514" w:rsidRPr="005F3BD6">
        <w:rPr>
          <w:rFonts w:ascii="Palatino Linotype" w:eastAsia="Palatino Linotype" w:hAnsi="Palatino Linotype" w:cs="Palatino Linotype"/>
          <w:b/>
        </w:rPr>
        <w:t>/</w:t>
      </w:r>
      <w:r w:rsidR="000B50E6" w:rsidRPr="005F3BD6">
        <w:rPr>
          <w:rFonts w:ascii="Palatino Linotype" w:eastAsia="Palatino Linotype" w:hAnsi="Palatino Linotype" w:cs="Palatino Linotype"/>
          <w:b/>
        </w:rPr>
        <w:t>APAXCO</w:t>
      </w:r>
      <w:r w:rsidR="00E90B56" w:rsidRPr="005F3BD6">
        <w:rPr>
          <w:rFonts w:ascii="Palatino Linotype" w:eastAsia="Palatino Linotype" w:hAnsi="Palatino Linotype" w:cs="Palatino Linotype"/>
          <w:b/>
        </w:rPr>
        <w:t xml:space="preserve">/IP/2023, </w:t>
      </w:r>
      <w:r w:rsidR="00E90B56" w:rsidRPr="005F3BD6">
        <w:rPr>
          <w:rFonts w:ascii="Palatino Linotype" w:eastAsia="Palatino Linotype" w:hAnsi="Palatino Linotype" w:cs="Palatino Linotype"/>
        </w:rPr>
        <w:t>que di</w:t>
      </w:r>
      <w:r w:rsidR="00B773C0" w:rsidRPr="005F3BD6">
        <w:rPr>
          <w:rFonts w:ascii="Palatino Linotype" w:eastAsia="Palatino Linotype" w:hAnsi="Palatino Linotype" w:cs="Palatino Linotype"/>
        </w:rPr>
        <w:t xml:space="preserve">o origen al recurso de revisión </w:t>
      </w:r>
      <w:r w:rsidR="006937D6" w:rsidRPr="005F3BD6">
        <w:rPr>
          <w:rFonts w:ascii="Palatino Linotype" w:eastAsia="Palatino Linotype" w:hAnsi="Palatino Linotype" w:cs="Palatino Linotype"/>
          <w:b/>
        </w:rPr>
        <w:t>06704</w:t>
      </w:r>
      <w:r w:rsidR="00E90B56" w:rsidRPr="005F3BD6">
        <w:rPr>
          <w:rFonts w:ascii="Palatino Linotype" w:eastAsia="Palatino Linotype" w:hAnsi="Palatino Linotype" w:cs="Palatino Linotype"/>
          <w:b/>
        </w:rPr>
        <w:t>/INFOEM/IP/RR/2023</w:t>
      </w:r>
      <w:r w:rsidR="00E90B56" w:rsidRPr="005F3BD6">
        <w:rPr>
          <w:rFonts w:ascii="Palatino Linotype" w:eastAsia="Palatino Linotype" w:hAnsi="Palatino Linotype" w:cs="Palatino Linotype"/>
        </w:rPr>
        <w:t>,</w:t>
      </w:r>
      <w:r w:rsidR="00E90B56" w:rsidRPr="005F3BD6">
        <w:rPr>
          <w:rFonts w:ascii="Palatino Linotype" w:eastAsia="Palatino Linotype" w:hAnsi="Palatino Linotype" w:cs="Palatino Linotype"/>
          <w:b/>
        </w:rPr>
        <w:t xml:space="preserve"> </w:t>
      </w:r>
      <w:r w:rsidR="00E90B56" w:rsidRPr="005F3BD6">
        <w:rPr>
          <w:rFonts w:ascii="Palatino Linotype" w:eastAsia="Palatino Linotype" w:hAnsi="Palatino Linotype" w:cs="Palatino Linotype"/>
        </w:rPr>
        <w:t xml:space="preserve">en términos del </w:t>
      </w:r>
      <w:r w:rsidR="00E90B56" w:rsidRPr="005F3BD6">
        <w:rPr>
          <w:rFonts w:ascii="Palatino Linotype" w:eastAsia="Palatino Linotype" w:hAnsi="Palatino Linotype" w:cs="Palatino Linotype"/>
          <w:b/>
        </w:rPr>
        <w:t>CONSIDERANDO CUARTO</w:t>
      </w:r>
      <w:r w:rsidR="00E90B56" w:rsidRPr="005F3BD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7C6463" w:rsidRPr="005F3BD6" w:rsidRDefault="007C6463" w:rsidP="005F3BD6">
      <w:pPr>
        <w:spacing w:line="360" w:lineRule="auto"/>
        <w:jc w:val="both"/>
        <w:rPr>
          <w:rFonts w:ascii="Palatino Linotype" w:eastAsia="Palatino Linotype" w:hAnsi="Palatino Linotype" w:cs="Palatino Linotype"/>
        </w:rPr>
      </w:pPr>
    </w:p>
    <w:p w:rsidR="009842D1" w:rsidRPr="005F3BD6" w:rsidRDefault="003642DE" w:rsidP="005F3BD6">
      <w:pPr>
        <w:spacing w:line="360" w:lineRule="auto"/>
        <w:jc w:val="both"/>
        <w:rPr>
          <w:rFonts w:ascii="Palatino Linotype" w:eastAsia="Palatino Linotype" w:hAnsi="Palatino Linotype" w:cs="Palatino Linotype"/>
        </w:rPr>
      </w:pPr>
      <w:bookmarkStart w:id="6" w:name="_heading=h.3znysh7" w:colFirst="0" w:colLast="0"/>
      <w:bookmarkEnd w:id="6"/>
      <w:r w:rsidRPr="005F3BD6">
        <w:rPr>
          <w:rFonts w:ascii="Palatino Linotype" w:eastAsia="Palatino Linotype" w:hAnsi="Palatino Linotype" w:cs="Palatino Linotype"/>
          <w:b/>
        </w:rPr>
        <w:t>TERCERO</w:t>
      </w:r>
      <w:r w:rsidR="00E90B56" w:rsidRPr="005F3BD6">
        <w:rPr>
          <w:rFonts w:ascii="Palatino Linotype" w:eastAsia="Palatino Linotype" w:hAnsi="Palatino Linotype" w:cs="Palatino Linotype"/>
          <w:b/>
          <w:sz w:val="28"/>
          <w:szCs w:val="28"/>
        </w:rPr>
        <w:t>.</w:t>
      </w:r>
      <w:r w:rsidRPr="005F3BD6">
        <w:rPr>
          <w:rFonts w:ascii="Palatino Linotype" w:eastAsia="Palatino Linotype" w:hAnsi="Palatino Linotype" w:cs="Palatino Linotype"/>
          <w:b/>
          <w:sz w:val="28"/>
          <w:szCs w:val="28"/>
        </w:rPr>
        <w:t xml:space="preserve"> </w:t>
      </w:r>
      <w:r w:rsidR="00E90B56" w:rsidRPr="005F3BD6">
        <w:rPr>
          <w:rFonts w:ascii="Palatino Linotype" w:eastAsia="Palatino Linotype" w:hAnsi="Palatino Linotype" w:cs="Palatino Linotype"/>
          <w:b/>
        </w:rPr>
        <w:t>NOTIFÍQUESE</w:t>
      </w:r>
      <w:r w:rsidR="003F6566" w:rsidRPr="005F3BD6">
        <w:rPr>
          <w:rFonts w:ascii="Palatino Linotype" w:eastAsia="Palatino Linotype" w:hAnsi="Palatino Linotype" w:cs="Palatino Linotype"/>
          <w:b/>
        </w:rPr>
        <w:t xml:space="preserve"> </w:t>
      </w:r>
      <w:r w:rsidR="003F6566" w:rsidRPr="005F3BD6">
        <w:rPr>
          <w:rFonts w:ascii="Palatino Linotype" w:eastAsia="Palatino Linotype" w:hAnsi="Palatino Linotype" w:cs="Palatino Linotype"/>
        </w:rPr>
        <w:t>vía SAIMEX,</w:t>
      </w:r>
      <w:r w:rsidR="003F6566" w:rsidRPr="005F3BD6">
        <w:rPr>
          <w:rFonts w:ascii="Palatino Linotype" w:eastAsia="Palatino Linotype" w:hAnsi="Palatino Linotype" w:cs="Palatino Linotype"/>
          <w:b/>
          <w:sz w:val="28"/>
          <w:szCs w:val="28"/>
        </w:rPr>
        <w:t xml:space="preserve"> </w:t>
      </w:r>
      <w:r w:rsidR="00E90B56" w:rsidRPr="005F3BD6">
        <w:rPr>
          <w:rFonts w:ascii="Palatino Linotype" w:eastAsia="Palatino Linotype" w:hAnsi="Palatino Linotype" w:cs="Palatino Linotype"/>
        </w:rPr>
        <w:t>la presente resolución a la Persona</w:t>
      </w:r>
      <w:r w:rsidR="003F6566" w:rsidRPr="005F3BD6">
        <w:rPr>
          <w:rFonts w:ascii="Palatino Linotype" w:eastAsia="Palatino Linotype" w:hAnsi="Palatino Linotype" w:cs="Palatino Linotype"/>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003F6566" w:rsidRPr="005F3BD6">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4094" w:rsidRPr="005F3BD6" w:rsidRDefault="00D64094" w:rsidP="005F3BD6">
      <w:pPr>
        <w:spacing w:line="360" w:lineRule="auto"/>
        <w:jc w:val="both"/>
        <w:rPr>
          <w:rFonts w:ascii="Palatino Linotype" w:eastAsia="Palatino Linotype" w:hAnsi="Palatino Linotype" w:cs="Palatino Linotype"/>
          <w:b/>
        </w:rPr>
      </w:pPr>
    </w:p>
    <w:p w:rsidR="009842D1" w:rsidRPr="005F3BD6" w:rsidRDefault="00D64094"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CUARTO.</w:t>
      </w:r>
      <w:r w:rsidR="00FF32EF" w:rsidRPr="005F3BD6">
        <w:rPr>
          <w:rFonts w:ascii="Palatino Linotype" w:eastAsia="Palatino Linotype" w:hAnsi="Palatino Linotype" w:cs="Palatino Linotype"/>
          <w:b/>
        </w:rPr>
        <w:t xml:space="preserve"> </w:t>
      </w:r>
      <w:r w:rsidR="00E90B56" w:rsidRPr="005F3BD6">
        <w:rPr>
          <w:rFonts w:ascii="Palatino Linotype" w:eastAsia="Palatino Linotype" w:hAnsi="Palatino Linotype" w:cs="Palatino Linotype"/>
          <w:b/>
        </w:rPr>
        <w:t>NOTIFÍQUESE</w:t>
      </w:r>
      <w:r w:rsidR="00E90B56" w:rsidRPr="005F3BD6">
        <w:rPr>
          <w:rFonts w:ascii="Palatino Linotype" w:eastAsia="Palatino Linotype" w:hAnsi="Palatino Linotype" w:cs="Palatino Linotype"/>
        </w:rPr>
        <w:t>,</w:t>
      </w:r>
      <w:r w:rsidR="00E90B56" w:rsidRPr="005F3BD6">
        <w:rPr>
          <w:rFonts w:ascii="Palatino Linotype" w:eastAsia="Palatino Linotype" w:hAnsi="Palatino Linotype" w:cs="Palatino Linotype"/>
          <w:b/>
        </w:rPr>
        <w:t xml:space="preserve"> </w:t>
      </w:r>
      <w:r w:rsidR="00FF32EF" w:rsidRPr="005F3BD6">
        <w:rPr>
          <w:rFonts w:ascii="Palatino Linotype" w:eastAsia="Palatino Linotype" w:hAnsi="Palatino Linotype" w:cs="Palatino Linotype"/>
        </w:rPr>
        <w:t>vía SAIMEX</w:t>
      </w:r>
      <w:r w:rsidR="00AC02AD" w:rsidRPr="005F3BD6">
        <w:rPr>
          <w:rFonts w:ascii="Palatino Linotype" w:eastAsia="Palatino Linotype" w:hAnsi="Palatino Linotype" w:cs="Palatino Linotype"/>
        </w:rPr>
        <w:t xml:space="preserve">, a </w:t>
      </w:r>
      <w:r w:rsidRPr="005F3BD6">
        <w:rPr>
          <w:rFonts w:ascii="Palatino Linotype" w:eastAsia="Palatino Linotype" w:hAnsi="Palatino Linotype" w:cs="Palatino Linotype"/>
          <w:b/>
        </w:rPr>
        <w:t>LA PARTE</w:t>
      </w:r>
      <w:r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b/>
        </w:rPr>
        <w:t xml:space="preserve">RECURRENTE </w:t>
      </w:r>
      <w:r w:rsidR="00FF32EF" w:rsidRPr="005F3BD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E90B56"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QUINTO. NOTIFÍQUESE, </w:t>
      </w:r>
      <w:r w:rsidR="00FF32EF" w:rsidRPr="005F3BD6">
        <w:rPr>
          <w:rFonts w:ascii="Palatino Linotype" w:eastAsia="Palatino Linotype" w:hAnsi="Palatino Linotype" w:cs="Palatino Linotype"/>
        </w:rPr>
        <w:t xml:space="preserve">a </w:t>
      </w:r>
      <w:r w:rsidR="003642DE" w:rsidRPr="005F3BD6">
        <w:rPr>
          <w:rFonts w:ascii="Palatino Linotype" w:eastAsia="Palatino Linotype" w:hAnsi="Palatino Linotype" w:cs="Palatino Linotype"/>
          <w:b/>
        </w:rPr>
        <w:t xml:space="preserve">LA PARTE RECURRENTE </w:t>
      </w:r>
      <w:r w:rsidR="00FF32EF" w:rsidRPr="005F3BD6">
        <w:rPr>
          <w:rFonts w:ascii="Palatino Linotype" w:eastAsia="Palatino Linotype" w:hAnsi="Palatino Linotype" w:cs="Palatino Linotype"/>
        </w:rPr>
        <w:t xml:space="preserve">que la respuesta que dé </w:t>
      </w:r>
      <w:r w:rsidR="003642DE" w:rsidRPr="005F3BD6">
        <w:rPr>
          <w:rFonts w:ascii="Palatino Linotype" w:eastAsia="Palatino Linotype" w:hAnsi="Palatino Linotype" w:cs="Palatino Linotype"/>
          <w:b/>
        </w:rPr>
        <w:t>EL SUJETO OBLIGADO</w:t>
      </w:r>
      <w:r w:rsidR="00FF32EF" w:rsidRPr="005F3BD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42D1" w:rsidRPr="005F3BD6" w:rsidRDefault="009842D1" w:rsidP="005F3BD6">
      <w:pPr>
        <w:spacing w:line="360" w:lineRule="auto"/>
        <w:jc w:val="both"/>
        <w:rPr>
          <w:rFonts w:ascii="Palatino Linotype" w:eastAsia="Palatino Linotype" w:hAnsi="Palatino Linotype" w:cs="Palatino Linotype"/>
          <w:b/>
        </w:rPr>
      </w:pPr>
    </w:p>
    <w:p w:rsidR="00402B29" w:rsidRPr="005F3BD6" w:rsidRDefault="00E90B56" w:rsidP="005F3BD6">
      <w:pPr>
        <w:spacing w:line="360" w:lineRule="auto"/>
        <w:jc w:val="both"/>
        <w:rPr>
          <w:rFonts w:ascii="Palatino Linotype" w:eastAsia="Palatino Linotype" w:hAnsi="Palatino Linotype" w:cs="Palatino Linotype"/>
        </w:rPr>
      </w:pPr>
      <w:r w:rsidRPr="005F3BD6">
        <w:rPr>
          <w:rFonts w:ascii="Palatino Linotype" w:eastAsia="Palatino Linotype" w:hAnsi="Palatino Linotype" w:cs="Palatino Linotype"/>
          <w:b/>
        </w:rPr>
        <w:t xml:space="preserve">SEXTO. GÍRESE </w:t>
      </w:r>
      <w:r w:rsidR="00402B29" w:rsidRPr="005F3BD6">
        <w:rPr>
          <w:rFonts w:ascii="Palatino Linotype" w:eastAsia="Palatino Linotype" w:hAnsi="Palatino Linotype" w:cs="Palatino Linotype"/>
        </w:rPr>
        <w:t>oficio a la</w:t>
      </w:r>
      <w:r w:rsidR="00402B29" w:rsidRPr="005F3BD6">
        <w:rPr>
          <w:rFonts w:ascii="Palatino Linotype" w:eastAsia="Palatino Linotype" w:hAnsi="Palatino Linotype" w:cs="Palatino Linotype"/>
          <w:b/>
        </w:rPr>
        <w:t xml:space="preserve"> </w:t>
      </w:r>
      <w:r w:rsidR="00C2250E" w:rsidRPr="005F3BD6">
        <w:rPr>
          <w:rFonts w:ascii="Palatino Linotype" w:eastAsia="Palatino Linotype" w:hAnsi="Palatino Linotype" w:cs="Palatino Linotype"/>
          <w:b/>
        </w:rPr>
        <w:t xml:space="preserve">SECRETARÍA TÉCNICA DEL PLENO </w:t>
      </w:r>
      <w:r w:rsidR="00AC02AD" w:rsidRPr="005F3BD6">
        <w:rPr>
          <w:rFonts w:ascii="Palatino Linotype" w:eastAsia="Palatino Linotype" w:hAnsi="Palatino Linotype" w:cs="Palatino Linotype"/>
        </w:rPr>
        <w:t xml:space="preserve">de este Instituto a fin de que </w:t>
      </w:r>
      <w:r w:rsidR="00402B29" w:rsidRPr="005F3BD6">
        <w:rPr>
          <w:rFonts w:ascii="Palatino Linotype" w:eastAsia="Palatino Linotype" w:hAnsi="Palatino Linotype" w:cs="Palatino Linotype"/>
        </w:rPr>
        <w:t xml:space="preserve">en ejercicio de sus atribuciones haga del conocimiento del </w:t>
      </w:r>
      <w:r w:rsidR="00C2250E" w:rsidRPr="005F3BD6">
        <w:rPr>
          <w:rFonts w:ascii="Palatino Linotype" w:eastAsia="Palatino Linotype" w:hAnsi="Palatino Linotype" w:cs="Palatino Linotype"/>
          <w:b/>
        </w:rPr>
        <w:t>ÓRGANO INTERNO DE CONTROL COMPETENTE</w:t>
      </w:r>
      <w:r w:rsidR="00402B29" w:rsidRPr="005F3BD6">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003642DE" w:rsidRPr="005F3BD6">
        <w:rPr>
          <w:rFonts w:ascii="Palatino Linotype" w:eastAsia="Palatino Linotype" w:hAnsi="Palatino Linotype" w:cs="Palatino Linotype"/>
          <w:b/>
        </w:rPr>
        <w:t>CONSIDERANDO CUARTO</w:t>
      </w:r>
      <w:r w:rsidR="003642DE" w:rsidRPr="005F3BD6">
        <w:rPr>
          <w:rFonts w:ascii="Palatino Linotype" w:eastAsia="Palatino Linotype" w:hAnsi="Palatino Linotype" w:cs="Palatino Linotype"/>
        </w:rPr>
        <w:t xml:space="preserve"> </w:t>
      </w:r>
      <w:r w:rsidR="00402B29" w:rsidRPr="005F3BD6">
        <w:rPr>
          <w:rFonts w:ascii="Palatino Linotype" w:eastAsia="Palatino Linotype" w:hAnsi="Palatino Linotype" w:cs="Palatino Linotype"/>
        </w:rPr>
        <w:t>de</w:t>
      </w:r>
      <w:r w:rsidRPr="005F3BD6">
        <w:rPr>
          <w:rFonts w:ascii="Palatino Linotype" w:eastAsia="Palatino Linotype" w:hAnsi="Palatino Linotype" w:cs="Palatino Linotype"/>
        </w:rPr>
        <w:t xml:space="preserve"> este fallo</w:t>
      </w:r>
      <w:r w:rsidR="00402B29" w:rsidRPr="005F3BD6">
        <w:rPr>
          <w:rFonts w:ascii="Palatino Linotype" w:eastAsia="Palatino Linotype" w:hAnsi="Palatino Linotype" w:cs="Palatino Linotype"/>
        </w:rPr>
        <w:t>.</w:t>
      </w:r>
    </w:p>
    <w:p w:rsidR="003642DE" w:rsidRPr="005F3BD6" w:rsidRDefault="003642DE" w:rsidP="005F3BD6">
      <w:pPr>
        <w:spacing w:line="360" w:lineRule="auto"/>
        <w:jc w:val="both"/>
        <w:rPr>
          <w:rFonts w:ascii="Palatino Linotype" w:eastAsia="Palatino Linotype" w:hAnsi="Palatino Linotype" w:cs="Palatino Linotype"/>
        </w:rPr>
      </w:pPr>
    </w:p>
    <w:p w:rsidR="009842D1" w:rsidRPr="005F3BD6" w:rsidRDefault="00FF32EF" w:rsidP="005F3BD6">
      <w:pPr>
        <w:spacing w:line="360" w:lineRule="auto"/>
        <w:jc w:val="both"/>
        <w:rPr>
          <w:rFonts w:ascii="Palatino Linotype" w:eastAsia="Palatino Linotype" w:hAnsi="Palatino Linotype" w:cs="Palatino Linotype"/>
        </w:rPr>
      </w:pPr>
      <w:bookmarkStart w:id="7" w:name="_heading=h.1t3h5sf" w:colFirst="0" w:colLast="0"/>
      <w:bookmarkEnd w:id="7"/>
      <w:r w:rsidRPr="005F3BD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90337" w:rsidRPr="005F3BD6">
        <w:rPr>
          <w:rFonts w:ascii="Palatino Linotype" w:eastAsia="Palatino Linotype" w:hAnsi="Palatino Linotype" w:cs="Palatino Linotype"/>
        </w:rPr>
        <w:t>; EN</w:t>
      </w:r>
      <w:r w:rsidR="003D777F" w:rsidRPr="005F3BD6">
        <w:rPr>
          <w:rFonts w:ascii="Palatino Linotype" w:eastAsia="Palatino Linotype" w:hAnsi="Palatino Linotype" w:cs="Palatino Linotype"/>
        </w:rPr>
        <w:t xml:space="preserve"> LA </w:t>
      </w:r>
      <w:r w:rsidR="005E3C84">
        <w:rPr>
          <w:rFonts w:ascii="Palatino Linotype" w:eastAsia="Palatino Linotype" w:hAnsi="Palatino Linotype" w:cs="Palatino Linotype"/>
        </w:rPr>
        <w:t>TRIGÉSIMA</w:t>
      </w:r>
      <w:r w:rsidR="005E3C84" w:rsidRPr="005F3BD6">
        <w:rPr>
          <w:rFonts w:ascii="Palatino Linotype" w:eastAsia="Palatino Linotype" w:hAnsi="Palatino Linotype" w:cs="Palatino Linotype"/>
        </w:rPr>
        <w:t xml:space="preserve"> </w:t>
      </w:r>
      <w:r w:rsidR="000B50E6" w:rsidRPr="005F3BD6">
        <w:rPr>
          <w:rFonts w:ascii="Palatino Linotype" w:eastAsia="Palatino Linotype" w:hAnsi="Palatino Linotype" w:cs="Palatino Linotype"/>
        </w:rPr>
        <w:t>OCTAVA</w:t>
      </w:r>
      <w:r w:rsidR="00402B29" w:rsidRPr="005F3BD6">
        <w:rPr>
          <w:rFonts w:ascii="Palatino Linotype" w:eastAsia="Palatino Linotype" w:hAnsi="Palatino Linotype" w:cs="Palatino Linotype"/>
        </w:rPr>
        <w:t xml:space="preserve"> </w:t>
      </w:r>
      <w:r w:rsidRPr="005F3BD6">
        <w:rPr>
          <w:rFonts w:ascii="Palatino Linotype" w:eastAsia="Palatino Linotype" w:hAnsi="Palatino Linotype" w:cs="Palatino Linotype"/>
        </w:rPr>
        <w:t>SESIÓ</w:t>
      </w:r>
      <w:r w:rsidR="003F6566" w:rsidRPr="005F3BD6">
        <w:rPr>
          <w:rFonts w:ascii="Palatino Linotype" w:eastAsia="Palatino Linotype" w:hAnsi="Palatino Linotype" w:cs="Palatino Linotype"/>
        </w:rPr>
        <w:t>N O</w:t>
      </w:r>
      <w:r w:rsidR="00AA7201" w:rsidRPr="005F3BD6">
        <w:rPr>
          <w:rFonts w:ascii="Palatino Linotype" w:eastAsia="Palatino Linotype" w:hAnsi="Palatino Linotype" w:cs="Palatino Linotype"/>
        </w:rPr>
        <w:t xml:space="preserve">RDINARIA CELEBRADA </w:t>
      </w:r>
      <w:r w:rsidR="00402B29" w:rsidRPr="005F3BD6">
        <w:rPr>
          <w:rFonts w:ascii="Palatino Linotype" w:eastAsia="Palatino Linotype" w:hAnsi="Palatino Linotype" w:cs="Palatino Linotype"/>
        </w:rPr>
        <w:t>EL VEINTI</w:t>
      </w:r>
      <w:r w:rsidR="000B50E6" w:rsidRPr="005F3BD6">
        <w:rPr>
          <w:rFonts w:ascii="Palatino Linotype" w:eastAsia="Palatino Linotype" w:hAnsi="Palatino Linotype" w:cs="Palatino Linotype"/>
        </w:rPr>
        <w:t>CINCO DE OCTUBRE</w:t>
      </w:r>
      <w:r w:rsidRPr="005F3BD6">
        <w:rPr>
          <w:rFonts w:ascii="Palatino Linotype" w:eastAsia="Palatino Linotype" w:hAnsi="Palatino Linotype" w:cs="Palatino Linotype"/>
        </w:rPr>
        <w:t xml:space="preserve"> DE DOS MIL VEINTITRÉS, ANTE EL SECRETARIO TÉCNICO DEL PLENO ALEXIS TAPIA RAMÍREZ.</w:t>
      </w:r>
    </w:p>
    <w:p w:rsidR="00C34264" w:rsidRPr="005F3BD6" w:rsidRDefault="00C34264" w:rsidP="005F3BD6">
      <w:pPr>
        <w:spacing w:line="360" w:lineRule="auto"/>
        <w:jc w:val="both"/>
        <w:rPr>
          <w:rFonts w:ascii="Palatino Linotype" w:eastAsia="Palatino Linotype" w:hAnsi="Palatino Linotype" w:cs="Palatino Linotype"/>
        </w:rPr>
      </w:pPr>
    </w:p>
    <w:p w:rsidR="00C34264" w:rsidRPr="005F3BD6" w:rsidRDefault="00C34264" w:rsidP="005F3BD6">
      <w:pPr>
        <w:spacing w:line="360" w:lineRule="auto"/>
        <w:jc w:val="both"/>
        <w:rPr>
          <w:rFonts w:ascii="Palatino Linotype" w:eastAsia="Palatino Linotype" w:hAnsi="Palatino Linotype" w:cs="Palatino Linotype"/>
        </w:rPr>
      </w:pPr>
    </w:p>
    <w:p w:rsidR="00C34264" w:rsidRPr="005F3BD6" w:rsidRDefault="00C34264" w:rsidP="005F3BD6">
      <w:pPr>
        <w:spacing w:line="360" w:lineRule="auto"/>
        <w:jc w:val="both"/>
        <w:rPr>
          <w:rFonts w:ascii="Palatino Linotype" w:eastAsia="Palatino Linotype" w:hAnsi="Palatino Linotype" w:cs="Palatino Linotype"/>
        </w:rPr>
      </w:pPr>
    </w:p>
    <w:p w:rsidR="00C34264" w:rsidRPr="005F3BD6" w:rsidRDefault="00C34264" w:rsidP="005F3BD6">
      <w:pPr>
        <w:spacing w:line="360" w:lineRule="auto"/>
        <w:jc w:val="both"/>
        <w:rPr>
          <w:rFonts w:ascii="Palatino Linotype" w:eastAsia="Palatino Linotype" w:hAnsi="Palatino Linotype" w:cs="Palatino Linotype"/>
        </w:rPr>
      </w:pP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9842D1" w:rsidP="005F3BD6">
      <w:pPr>
        <w:spacing w:line="360" w:lineRule="auto"/>
        <w:jc w:val="both"/>
        <w:rPr>
          <w:rFonts w:ascii="Palatino Linotype" w:eastAsia="Palatino Linotype" w:hAnsi="Palatino Linotype" w:cs="Palatino Linotype"/>
        </w:rPr>
      </w:pPr>
    </w:p>
    <w:p w:rsidR="009842D1" w:rsidRPr="005F3BD6" w:rsidRDefault="009842D1"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p w:rsidR="000B50E6" w:rsidRPr="005F3BD6" w:rsidRDefault="000B50E6" w:rsidP="005F3BD6">
      <w:pPr>
        <w:spacing w:line="360" w:lineRule="auto"/>
        <w:jc w:val="both"/>
        <w:rPr>
          <w:rFonts w:ascii="Palatino Linotype" w:eastAsia="Palatino Linotype" w:hAnsi="Palatino Linotype" w:cs="Palatino Linotype"/>
        </w:rPr>
      </w:pPr>
    </w:p>
    <w:sectPr w:rsidR="000B50E6" w:rsidRPr="005F3BD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D9D" w:rsidRDefault="000D5D9D">
      <w:r>
        <w:separator/>
      </w:r>
    </w:p>
  </w:endnote>
  <w:endnote w:type="continuationSeparator" w:id="0">
    <w:p w:rsidR="000D5D9D" w:rsidRDefault="000D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942B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942B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942B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942B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D9D" w:rsidRDefault="000D5D9D">
      <w:r>
        <w:separator/>
      </w:r>
    </w:p>
  </w:footnote>
  <w:footnote w:type="continuationSeparator" w:id="0">
    <w:p w:rsidR="000D5D9D" w:rsidRDefault="000D5D9D">
      <w:r>
        <w:continuationSeparator/>
      </w:r>
    </w:p>
  </w:footnote>
  <w:footnote w:id="1">
    <w:p w:rsidR="009842D1" w:rsidRPr="00E90B56" w:rsidRDefault="00FF32EF">
      <w:pPr>
        <w:pBdr>
          <w:top w:val="nil"/>
          <w:left w:val="nil"/>
          <w:bottom w:val="nil"/>
          <w:right w:val="nil"/>
          <w:between w:val="nil"/>
        </w:pBdr>
        <w:jc w:val="both"/>
        <w:rPr>
          <w:rFonts w:ascii="Palatino Linotype" w:eastAsia="Palatino Linotype" w:hAnsi="Palatino Linotype" w:cs="Palatino Linotype"/>
          <w:color w:val="000000"/>
          <w:sz w:val="20"/>
          <w:szCs w:val="20"/>
        </w:rPr>
      </w:pPr>
      <w:r w:rsidRPr="00E90B56">
        <w:rPr>
          <w:rFonts w:ascii="Palatino Linotype" w:hAnsi="Palatino Linotype"/>
          <w:sz w:val="20"/>
          <w:szCs w:val="20"/>
          <w:vertAlign w:val="superscript"/>
        </w:rPr>
        <w:footnoteRef/>
      </w:r>
      <w:r w:rsidRPr="00E90B56">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-1079500</wp:posOffset>
          </wp:positionH>
          <wp:positionV relativeFrom="paragraph">
            <wp:posOffset>-487680</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tc>
        <w:tcPr>
          <w:tcW w:w="2489" w:type="dxa"/>
          <w:shd w:val="clear" w:color="auto" w:fill="auto"/>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842D1" w:rsidRDefault="006937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06704</w:t>
          </w:r>
          <w:r w:rsidR="00D31D08" w:rsidRPr="00D31D08">
            <w:rPr>
              <w:rFonts w:ascii="Palatino Linotype" w:eastAsia="Palatino Linotype" w:hAnsi="Palatino Linotype" w:cs="Palatino Linotype"/>
              <w:b/>
              <w:sz w:val="22"/>
              <w:szCs w:val="22"/>
            </w:rPr>
            <w:t>/INFOEM/IP/RR/2023</w:t>
          </w:r>
        </w:p>
      </w:tc>
    </w:tr>
    <w:tr w:rsidR="009842D1">
      <w:trPr>
        <w:trHeight w:val="228"/>
      </w:trPr>
      <w:tc>
        <w:tcPr>
          <w:tcW w:w="2489"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3642DE" w:rsidRDefault="000B50E6" w:rsidP="000B50E6">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Apaxco</w:t>
          </w:r>
          <w:proofErr w:type="spellEnd"/>
          <w:r>
            <w:rPr>
              <w:rFonts w:ascii="Palatino Linotype" w:eastAsia="Palatino Linotype" w:hAnsi="Palatino Linotype" w:cs="Palatino Linotype"/>
              <w:b/>
              <w:sz w:val="22"/>
              <w:szCs w:val="22"/>
            </w:rPr>
            <w:t xml:space="preserve"> </w:t>
          </w:r>
        </w:p>
      </w:tc>
    </w:tr>
    <w:tr w:rsidR="009842D1">
      <w:tc>
        <w:tcPr>
          <w:tcW w:w="2489" w:type="dxa"/>
          <w:shd w:val="clear" w:color="auto" w:fill="auto"/>
          <w:vAlign w:val="center"/>
        </w:tcPr>
        <w:p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F600ED" w:rsidRDefault="00F600ED">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-1069340</wp:posOffset>
          </wp:positionH>
          <wp:positionV relativeFrom="paragraph">
            <wp:posOffset>-452755</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842D1" w:rsidRDefault="006937D6" w:rsidP="000B50E6">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06704</w:t>
          </w:r>
          <w:r w:rsidR="0047009F" w:rsidRPr="0047009F">
            <w:rPr>
              <w:rFonts w:ascii="Palatino Linotype" w:eastAsia="Palatino Linotype" w:hAnsi="Palatino Linotype" w:cs="Palatino Linotype"/>
              <w:b/>
              <w:sz w:val="22"/>
              <w:szCs w:val="22"/>
            </w:rPr>
            <w:t>/</w:t>
          </w:r>
          <w:r w:rsidR="007A60EC">
            <w:rPr>
              <w:rFonts w:ascii="Palatino Linotype" w:eastAsia="Palatino Linotype" w:hAnsi="Palatino Linotype" w:cs="Palatino Linotype"/>
              <w:b/>
              <w:sz w:val="22"/>
              <w:szCs w:val="22"/>
            </w:rPr>
            <w:t>INFOEM/IP/RR/2023</w:t>
          </w:r>
        </w:p>
      </w:tc>
    </w:tr>
    <w:tr w:rsidR="009842D1">
      <w:trPr>
        <w:trHeight w:val="130"/>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842D1" w:rsidRDefault="00B942B4" w:rsidP="00B942B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0B50E6">
            <w:rPr>
              <w:rFonts w:ascii="Palatino Linotype" w:eastAsia="Palatino Linotype" w:hAnsi="Palatino Linotype" w:cs="Palatino Linotype"/>
              <w:b/>
              <w:sz w:val="22"/>
              <w:szCs w:val="22"/>
            </w:rPr>
            <w:t xml:space="preserve"> </w:t>
          </w:r>
        </w:p>
      </w:tc>
    </w:tr>
    <w:tr w:rsidR="009842D1">
      <w:trPr>
        <w:trHeight w:val="228"/>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842D1" w:rsidRDefault="000B50E6"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Apaxco</w:t>
          </w:r>
          <w:proofErr w:type="spellEnd"/>
        </w:p>
      </w:tc>
    </w:tr>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842D1" w:rsidRDefault="00FF32EF" w:rsidP="000B50E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nsid w:val="03F86CC9"/>
    <w:multiLevelType w:val="hybridMultilevel"/>
    <w:tmpl w:val="79760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15603EC4"/>
    <w:multiLevelType w:val="hybridMultilevel"/>
    <w:tmpl w:val="3304800A"/>
    <w:lvl w:ilvl="0" w:tplc="A35C6F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7964B0"/>
    <w:multiLevelType w:val="hybridMultilevel"/>
    <w:tmpl w:val="613CA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5"/>
  </w:num>
  <w:num w:numId="4">
    <w:abstractNumId w:val="14"/>
  </w:num>
  <w:num w:numId="5">
    <w:abstractNumId w:val="3"/>
  </w:num>
  <w:num w:numId="6">
    <w:abstractNumId w:val="10"/>
  </w:num>
  <w:num w:numId="7">
    <w:abstractNumId w:val="9"/>
  </w:num>
  <w:num w:numId="8">
    <w:abstractNumId w:val="0"/>
  </w:num>
  <w:num w:numId="9">
    <w:abstractNumId w:val="4"/>
  </w:num>
  <w:num w:numId="10">
    <w:abstractNumId w:val="13"/>
  </w:num>
  <w:num w:numId="11">
    <w:abstractNumId w:val="12"/>
  </w:num>
  <w:num w:numId="12">
    <w:abstractNumId w:val="11"/>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1"/>
    <w:rsid w:val="00033B5D"/>
    <w:rsid w:val="0004327D"/>
    <w:rsid w:val="00066C2F"/>
    <w:rsid w:val="000A6798"/>
    <w:rsid w:val="000B3EE0"/>
    <w:rsid w:val="000B50E6"/>
    <w:rsid w:val="000B734F"/>
    <w:rsid w:val="000D5D9D"/>
    <w:rsid w:val="001F1619"/>
    <w:rsid w:val="001F4BA8"/>
    <w:rsid w:val="00245840"/>
    <w:rsid w:val="00250C02"/>
    <w:rsid w:val="00267219"/>
    <w:rsid w:val="00271731"/>
    <w:rsid w:val="002B7D36"/>
    <w:rsid w:val="002D440C"/>
    <w:rsid w:val="00341B8E"/>
    <w:rsid w:val="003642DE"/>
    <w:rsid w:val="003D3197"/>
    <w:rsid w:val="003D777F"/>
    <w:rsid w:val="003F6566"/>
    <w:rsid w:val="00402B29"/>
    <w:rsid w:val="004065A4"/>
    <w:rsid w:val="0047009F"/>
    <w:rsid w:val="004C11AA"/>
    <w:rsid w:val="004D1906"/>
    <w:rsid w:val="005424A3"/>
    <w:rsid w:val="00576C4D"/>
    <w:rsid w:val="005C71A3"/>
    <w:rsid w:val="005E194C"/>
    <w:rsid w:val="005E3C84"/>
    <w:rsid w:val="005F3BD6"/>
    <w:rsid w:val="00620E35"/>
    <w:rsid w:val="006234BF"/>
    <w:rsid w:val="00624608"/>
    <w:rsid w:val="006366AA"/>
    <w:rsid w:val="00642056"/>
    <w:rsid w:val="006937D6"/>
    <w:rsid w:val="006A7490"/>
    <w:rsid w:val="006B1C06"/>
    <w:rsid w:val="006F7438"/>
    <w:rsid w:val="007206CD"/>
    <w:rsid w:val="007854AD"/>
    <w:rsid w:val="00790337"/>
    <w:rsid w:val="007A60EC"/>
    <w:rsid w:val="007C6463"/>
    <w:rsid w:val="007D7A95"/>
    <w:rsid w:val="00802772"/>
    <w:rsid w:val="00813922"/>
    <w:rsid w:val="008A1856"/>
    <w:rsid w:val="008B4514"/>
    <w:rsid w:val="00940CC2"/>
    <w:rsid w:val="00982F53"/>
    <w:rsid w:val="009842D1"/>
    <w:rsid w:val="00A22390"/>
    <w:rsid w:val="00A6192E"/>
    <w:rsid w:val="00AA194E"/>
    <w:rsid w:val="00AA2B9E"/>
    <w:rsid w:val="00AA7201"/>
    <w:rsid w:val="00AB6731"/>
    <w:rsid w:val="00AC02AD"/>
    <w:rsid w:val="00B0028C"/>
    <w:rsid w:val="00B0423A"/>
    <w:rsid w:val="00B70485"/>
    <w:rsid w:val="00B773C0"/>
    <w:rsid w:val="00B938F2"/>
    <w:rsid w:val="00B942B4"/>
    <w:rsid w:val="00BA0529"/>
    <w:rsid w:val="00BA1621"/>
    <w:rsid w:val="00BA49D4"/>
    <w:rsid w:val="00BE3F00"/>
    <w:rsid w:val="00C2250E"/>
    <w:rsid w:val="00C34264"/>
    <w:rsid w:val="00C44B7F"/>
    <w:rsid w:val="00C65BCD"/>
    <w:rsid w:val="00CA1EE4"/>
    <w:rsid w:val="00D31D08"/>
    <w:rsid w:val="00D64094"/>
    <w:rsid w:val="00D86BE1"/>
    <w:rsid w:val="00E27E42"/>
    <w:rsid w:val="00E42A40"/>
    <w:rsid w:val="00E43919"/>
    <w:rsid w:val="00E671BC"/>
    <w:rsid w:val="00E90B56"/>
    <w:rsid w:val="00F23CAC"/>
    <w:rsid w:val="00F431B7"/>
    <w:rsid w:val="00F600ED"/>
    <w:rsid w:val="00F7341E"/>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052">
      <w:bodyDiv w:val="1"/>
      <w:marLeft w:val="0"/>
      <w:marRight w:val="0"/>
      <w:marTop w:val="0"/>
      <w:marBottom w:val="0"/>
      <w:divBdr>
        <w:top w:val="none" w:sz="0" w:space="0" w:color="auto"/>
        <w:left w:val="none" w:sz="0" w:space="0" w:color="auto"/>
        <w:bottom w:val="none" w:sz="0" w:space="0" w:color="auto"/>
        <w:right w:val="none" w:sz="0" w:space="0" w:color="auto"/>
      </w:divBdr>
    </w:div>
    <w:div w:id="152694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7571</Words>
  <Characters>41643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2023-10-27T19:48:00Z</cp:lastPrinted>
  <dcterms:created xsi:type="dcterms:W3CDTF">2023-11-08T18:01:00Z</dcterms:created>
  <dcterms:modified xsi:type="dcterms:W3CDTF">2023-11-08T18:01:00Z</dcterms:modified>
</cp:coreProperties>
</file>