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76A6" w:rsidRPr="006A6FF8" w:rsidRDefault="000941EF">
      <w:pPr>
        <w:spacing w:before="240" w:after="240" w:line="360" w:lineRule="auto"/>
        <w:jc w:val="both"/>
        <w:rPr>
          <w:rFonts w:ascii="Palatino Linotype" w:eastAsia="Palatino Linotype" w:hAnsi="Palatino Linotype" w:cs="Palatino Linotype"/>
        </w:rPr>
      </w:pPr>
      <w:bookmarkStart w:id="0" w:name="_GoBack"/>
      <w:bookmarkEnd w:id="0"/>
      <w:r w:rsidRPr="006A6FF8">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F861C4" w:rsidRPr="006A6FF8">
        <w:rPr>
          <w:rFonts w:ascii="Palatino Linotype" w:eastAsia="Palatino Linotype" w:hAnsi="Palatino Linotype" w:cs="Palatino Linotype"/>
          <w:b/>
        </w:rPr>
        <w:t>veinte</w:t>
      </w:r>
      <w:r w:rsidR="00ED7890" w:rsidRPr="006A6FF8">
        <w:rPr>
          <w:rFonts w:ascii="Palatino Linotype" w:eastAsia="Palatino Linotype" w:hAnsi="Palatino Linotype" w:cs="Palatino Linotype"/>
          <w:b/>
        </w:rPr>
        <w:t xml:space="preserve"> de septiembre</w:t>
      </w:r>
      <w:r w:rsidRPr="006A6FF8">
        <w:rPr>
          <w:rFonts w:ascii="Palatino Linotype" w:eastAsia="Palatino Linotype" w:hAnsi="Palatino Linotype" w:cs="Palatino Linotype"/>
          <w:b/>
        </w:rPr>
        <w:t xml:space="preserve"> de dos mil veintitrés</w:t>
      </w:r>
      <w:r w:rsidRPr="006A6FF8">
        <w:rPr>
          <w:rFonts w:ascii="Palatino Linotype" w:eastAsia="Palatino Linotype" w:hAnsi="Palatino Linotype" w:cs="Palatino Linotype"/>
        </w:rPr>
        <w:t xml:space="preserve">. </w:t>
      </w:r>
    </w:p>
    <w:p w:rsidR="001576A6" w:rsidRPr="006A6FF8" w:rsidRDefault="000941EF">
      <w:pPr>
        <w:spacing w:before="240" w:after="240" w:line="360" w:lineRule="auto"/>
        <w:jc w:val="both"/>
        <w:rPr>
          <w:rFonts w:ascii="Palatino Linotype" w:eastAsia="Palatino Linotype" w:hAnsi="Palatino Linotype" w:cs="Palatino Linotype"/>
          <w:b/>
        </w:rPr>
      </w:pPr>
      <w:r w:rsidRPr="006A6FF8">
        <w:rPr>
          <w:rFonts w:ascii="Palatino Linotype" w:eastAsia="Palatino Linotype" w:hAnsi="Palatino Linotype" w:cs="Palatino Linotype"/>
          <w:b/>
        </w:rPr>
        <w:t>Visto</w:t>
      </w:r>
      <w:r w:rsidRPr="006A6FF8">
        <w:rPr>
          <w:rFonts w:ascii="Palatino Linotype" w:eastAsia="Palatino Linotype" w:hAnsi="Palatino Linotype" w:cs="Palatino Linotype"/>
        </w:rPr>
        <w:t xml:space="preserve"> el expediente formado con motivo del recurso de revisión </w:t>
      </w:r>
      <w:r w:rsidR="00F861C4" w:rsidRPr="006A6FF8">
        <w:rPr>
          <w:rFonts w:ascii="Palatino Linotype" w:eastAsia="Palatino Linotype" w:hAnsi="Palatino Linotype" w:cs="Palatino Linotype"/>
          <w:b/>
        </w:rPr>
        <w:t>02244/INFOEM/IP/RR/2023</w:t>
      </w:r>
      <w:r w:rsidRPr="006A6FF8">
        <w:rPr>
          <w:rFonts w:ascii="Palatino Linotype" w:eastAsia="Palatino Linotype" w:hAnsi="Palatino Linotype" w:cs="Palatino Linotype"/>
        </w:rPr>
        <w:t>, interpuesto por</w:t>
      </w:r>
      <w:r w:rsidR="00F861C4" w:rsidRPr="006A6FF8">
        <w:rPr>
          <w:rFonts w:ascii="Palatino Linotype" w:eastAsia="Palatino Linotype" w:hAnsi="Palatino Linotype" w:cs="Palatino Linotype"/>
          <w:b/>
        </w:rPr>
        <w:t xml:space="preserve"> un particular de manera anónima</w:t>
      </w:r>
      <w:r w:rsidRPr="006A6FF8">
        <w:rPr>
          <w:rFonts w:ascii="Palatino Linotype" w:eastAsia="Palatino Linotype" w:hAnsi="Palatino Linotype" w:cs="Palatino Linotype"/>
        </w:rPr>
        <w:t xml:space="preserve">, en lo sucesivo </w:t>
      </w:r>
      <w:r w:rsidRPr="006A6FF8">
        <w:rPr>
          <w:rFonts w:ascii="Palatino Linotype" w:eastAsia="Palatino Linotype" w:hAnsi="Palatino Linotype" w:cs="Palatino Linotype"/>
          <w:b/>
        </w:rPr>
        <w:t>la</w:t>
      </w:r>
      <w:r w:rsidRPr="006A6FF8">
        <w:rPr>
          <w:rFonts w:ascii="Palatino Linotype" w:eastAsia="Palatino Linotype" w:hAnsi="Palatino Linotype" w:cs="Palatino Linotype"/>
        </w:rPr>
        <w:t xml:space="preserve"> </w:t>
      </w:r>
      <w:r w:rsidRPr="006A6FF8">
        <w:rPr>
          <w:rFonts w:ascii="Palatino Linotype" w:eastAsia="Palatino Linotype" w:hAnsi="Palatino Linotype" w:cs="Palatino Linotype"/>
          <w:b/>
        </w:rPr>
        <w:t>parte</w:t>
      </w:r>
      <w:r w:rsidRPr="006A6FF8">
        <w:rPr>
          <w:rFonts w:ascii="Palatino Linotype" w:eastAsia="Palatino Linotype" w:hAnsi="Palatino Linotype" w:cs="Palatino Linotype"/>
        </w:rPr>
        <w:t xml:space="preserve"> </w:t>
      </w:r>
      <w:r w:rsidRPr="006A6FF8">
        <w:rPr>
          <w:rFonts w:ascii="Palatino Linotype" w:eastAsia="Palatino Linotype" w:hAnsi="Palatino Linotype" w:cs="Palatino Linotype"/>
          <w:b/>
        </w:rPr>
        <w:t>Recurrente,</w:t>
      </w:r>
      <w:r w:rsidRPr="006A6FF8">
        <w:rPr>
          <w:rFonts w:ascii="Palatino Linotype" w:eastAsia="Palatino Linotype" w:hAnsi="Palatino Linotype" w:cs="Palatino Linotype"/>
        </w:rPr>
        <w:t xml:space="preserve"> en contra de la respuesta a su solicitud por parte del </w:t>
      </w:r>
      <w:r w:rsidR="00F861C4" w:rsidRPr="006A6FF8">
        <w:rPr>
          <w:rFonts w:ascii="Palatino Linotype" w:eastAsia="Palatino Linotype" w:hAnsi="Palatino Linotype" w:cs="Palatino Linotype"/>
          <w:b/>
        </w:rPr>
        <w:t>Sistema Municipal Para el Desarrollo Integral de la Familia de Toluca</w:t>
      </w:r>
      <w:r w:rsidRPr="006A6FF8">
        <w:rPr>
          <w:rFonts w:ascii="Palatino Linotype" w:eastAsia="Palatino Linotype" w:hAnsi="Palatino Linotype" w:cs="Palatino Linotype"/>
          <w:b/>
        </w:rPr>
        <w:t xml:space="preserve">, </w:t>
      </w:r>
      <w:r w:rsidRPr="006A6FF8">
        <w:rPr>
          <w:rFonts w:ascii="Palatino Linotype" w:eastAsia="Palatino Linotype" w:hAnsi="Palatino Linotype" w:cs="Palatino Linotype"/>
        </w:rPr>
        <w:t xml:space="preserve">en lo sucesivo el </w:t>
      </w:r>
      <w:r w:rsidRPr="006A6FF8">
        <w:rPr>
          <w:rFonts w:ascii="Palatino Linotype" w:eastAsia="Palatino Linotype" w:hAnsi="Palatino Linotype" w:cs="Palatino Linotype"/>
          <w:b/>
        </w:rPr>
        <w:t xml:space="preserve">Sujeto Obligado, </w:t>
      </w:r>
      <w:r w:rsidRPr="006A6FF8">
        <w:rPr>
          <w:rFonts w:ascii="Palatino Linotype" w:eastAsia="Palatino Linotype" w:hAnsi="Palatino Linotype" w:cs="Palatino Linotype"/>
        </w:rPr>
        <w:t xml:space="preserve">se procede a dictar la presente resolución con base en los siguientes: </w:t>
      </w:r>
    </w:p>
    <w:p w:rsidR="001576A6" w:rsidRPr="006A6FF8" w:rsidRDefault="000941EF">
      <w:pPr>
        <w:spacing w:before="240" w:after="240" w:line="360" w:lineRule="auto"/>
        <w:jc w:val="center"/>
        <w:rPr>
          <w:rFonts w:ascii="Palatino Linotype" w:eastAsia="Palatino Linotype" w:hAnsi="Palatino Linotype" w:cs="Palatino Linotype"/>
          <w:b/>
        </w:rPr>
      </w:pPr>
      <w:r w:rsidRPr="006A6FF8">
        <w:rPr>
          <w:rFonts w:ascii="Palatino Linotype" w:eastAsia="Palatino Linotype" w:hAnsi="Palatino Linotype" w:cs="Palatino Linotype"/>
          <w:b/>
        </w:rPr>
        <w:t>I. A N T E C E D E N T E S</w:t>
      </w:r>
    </w:p>
    <w:p w:rsidR="001576A6" w:rsidRPr="006A6FF8" w:rsidRDefault="000941EF">
      <w:pPr>
        <w:spacing w:before="240" w:after="240" w:line="360" w:lineRule="auto"/>
        <w:jc w:val="both"/>
        <w:rPr>
          <w:rFonts w:ascii="Palatino Linotype" w:eastAsia="Palatino Linotype" w:hAnsi="Palatino Linotype" w:cs="Palatino Linotype"/>
        </w:rPr>
      </w:pPr>
      <w:r w:rsidRPr="006A6FF8">
        <w:rPr>
          <w:rFonts w:ascii="Palatino Linotype" w:eastAsia="Palatino Linotype" w:hAnsi="Palatino Linotype" w:cs="Palatino Linotype"/>
          <w:b/>
        </w:rPr>
        <w:t>1. Solicitud de acceso a la información.</w:t>
      </w:r>
      <w:r w:rsidRPr="006A6FF8">
        <w:rPr>
          <w:rFonts w:ascii="Palatino Linotype" w:eastAsia="Palatino Linotype" w:hAnsi="Palatino Linotype" w:cs="Palatino Linotype"/>
        </w:rPr>
        <w:t xml:space="preserve"> El </w:t>
      </w:r>
      <w:r w:rsidR="00F861C4" w:rsidRPr="006A6FF8">
        <w:rPr>
          <w:rFonts w:ascii="Palatino Linotype" w:eastAsia="Palatino Linotype" w:hAnsi="Palatino Linotype" w:cs="Palatino Linotype"/>
          <w:b/>
        </w:rPr>
        <w:t>veintinueve de marzo del dos mil veintitré</w:t>
      </w:r>
      <w:r w:rsidR="00ED7890" w:rsidRPr="006A6FF8">
        <w:rPr>
          <w:rFonts w:ascii="Palatino Linotype" w:eastAsia="Palatino Linotype" w:hAnsi="Palatino Linotype" w:cs="Palatino Linotype"/>
          <w:b/>
        </w:rPr>
        <w:t>s</w:t>
      </w:r>
      <w:r w:rsidRPr="006A6FF8">
        <w:rPr>
          <w:rFonts w:ascii="Palatino Linotype" w:eastAsia="Palatino Linotype" w:hAnsi="Palatino Linotype" w:cs="Palatino Linotype"/>
          <w:b/>
        </w:rPr>
        <w:t>,</w:t>
      </w:r>
      <w:r w:rsidRPr="006A6FF8">
        <w:rPr>
          <w:rFonts w:ascii="Palatino Linotype" w:eastAsia="Palatino Linotype" w:hAnsi="Palatino Linotype" w:cs="Palatino Linotype"/>
        </w:rPr>
        <w:t xml:space="preserve"> </w:t>
      </w:r>
      <w:r w:rsidRPr="006A6FF8">
        <w:rPr>
          <w:rFonts w:ascii="Palatino Linotype" w:eastAsia="Palatino Linotype" w:hAnsi="Palatino Linotype" w:cs="Palatino Linotype"/>
          <w:b/>
        </w:rPr>
        <w:t xml:space="preserve">la parte Recurrente </w:t>
      </w:r>
      <w:r w:rsidRPr="006A6FF8">
        <w:rPr>
          <w:rFonts w:ascii="Palatino Linotype" w:eastAsia="Palatino Linotype" w:hAnsi="Palatino Linotype" w:cs="Palatino Linotype"/>
        </w:rPr>
        <w:t xml:space="preserve">presentó, a través del Sistema de Acceso a la Información Mexiquense, en lo subsecuente el </w:t>
      </w:r>
      <w:r w:rsidRPr="006A6FF8">
        <w:rPr>
          <w:rFonts w:ascii="Palatino Linotype" w:eastAsia="Palatino Linotype" w:hAnsi="Palatino Linotype" w:cs="Palatino Linotype"/>
          <w:b/>
        </w:rPr>
        <w:t>SAIMEX,</w:t>
      </w:r>
      <w:r w:rsidRPr="006A6FF8">
        <w:rPr>
          <w:rFonts w:ascii="Palatino Linotype" w:eastAsia="Palatino Linotype" w:hAnsi="Palatino Linotype" w:cs="Palatino Linotype"/>
        </w:rPr>
        <w:t xml:space="preserve"> ante el </w:t>
      </w:r>
      <w:r w:rsidRPr="006A6FF8">
        <w:rPr>
          <w:rFonts w:ascii="Palatino Linotype" w:eastAsia="Palatino Linotype" w:hAnsi="Palatino Linotype" w:cs="Palatino Linotype"/>
          <w:b/>
        </w:rPr>
        <w:t>Sujeto Obligado</w:t>
      </w:r>
      <w:r w:rsidRPr="006A6FF8">
        <w:rPr>
          <w:rFonts w:ascii="Palatino Linotype" w:eastAsia="Palatino Linotype" w:hAnsi="Palatino Linotype" w:cs="Palatino Linotype"/>
        </w:rPr>
        <w:t>, la solicitud de acceso a la información pública, a la que se le asignó el número</w:t>
      </w:r>
      <w:r w:rsidRPr="006A6FF8">
        <w:rPr>
          <w:rFonts w:ascii="Palatino Linotype" w:eastAsia="Palatino Linotype" w:hAnsi="Palatino Linotype" w:cs="Palatino Linotype"/>
          <w:b/>
        </w:rPr>
        <w:t xml:space="preserve"> </w:t>
      </w:r>
      <w:r w:rsidR="00F861C4" w:rsidRPr="006A6FF8">
        <w:rPr>
          <w:rFonts w:ascii="Palatino Linotype" w:eastAsia="Palatino Linotype" w:hAnsi="Palatino Linotype" w:cs="Palatino Linotype"/>
          <w:b/>
        </w:rPr>
        <w:t>00066/DIFTOLUCA/IP/2023</w:t>
      </w:r>
      <w:r w:rsidRPr="006A6FF8">
        <w:rPr>
          <w:rFonts w:ascii="Palatino Linotype" w:eastAsia="Palatino Linotype" w:hAnsi="Palatino Linotype" w:cs="Palatino Linotype"/>
          <w:b/>
        </w:rPr>
        <w:t xml:space="preserve">, </w:t>
      </w:r>
      <w:r w:rsidRPr="006A6FF8">
        <w:rPr>
          <w:rFonts w:ascii="Palatino Linotype" w:eastAsia="Palatino Linotype" w:hAnsi="Palatino Linotype" w:cs="Palatino Linotype"/>
        </w:rPr>
        <w:t xml:space="preserve">mediante la cual requirió la información siguiente: </w:t>
      </w:r>
    </w:p>
    <w:p w:rsidR="001576A6" w:rsidRPr="006A6FF8" w:rsidRDefault="000941EF">
      <w:pPr>
        <w:spacing w:before="240"/>
        <w:ind w:left="851" w:right="902"/>
        <w:jc w:val="both"/>
        <w:rPr>
          <w:rFonts w:ascii="Palatino Linotype" w:eastAsia="Palatino Linotype" w:hAnsi="Palatino Linotype" w:cs="Palatino Linotype"/>
          <w:i/>
          <w:sz w:val="22"/>
          <w:szCs w:val="22"/>
        </w:rPr>
      </w:pPr>
      <w:bookmarkStart w:id="1" w:name="_heading=h.gjdgxs" w:colFirst="0" w:colLast="0"/>
      <w:bookmarkEnd w:id="1"/>
      <w:r w:rsidRPr="006A6FF8">
        <w:rPr>
          <w:rFonts w:ascii="Palatino Linotype" w:eastAsia="Palatino Linotype" w:hAnsi="Palatino Linotype" w:cs="Palatino Linotype"/>
          <w:i/>
          <w:sz w:val="22"/>
          <w:szCs w:val="22"/>
        </w:rPr>
        <w:t>“</w:t>
      </w:r>
      <w:r w:rsidR="00F861C4" w:rsidRPr="006A6FF8">
        <w:rPr>
          <w:rFonts w:ascii="Palatino Linotype" w:eastAsia="Palatino Linotype" w:hAnsi="Palatino Linotype" w:cs="Palatino Linotype"/>
          <w:i/>
          <w:sz w:val="22"/>
          <w:szCs w:val="22"/>
        </w:rPr>
        <w:t xml:space="preserve">Solicito </w:t>
      </w:r>
      <w:r w:rsidR="00F861C4" w:rsidRPr="006A6FF8">
        <w:rPr>
          <w:rFonts w:ascii="Palatino Linotype" w:eastAsia="Palatino Linotype" w:hAnsi="Palatino Linotype" w:cs="Palatino Linotype"/>
          <w:b/>
          <w:i/>
          <w:sz w:val="22"/>
          <w:szCs w:val="22"/>
          <w:u w:val="single"/>
        </w:rPr>
        <w:t>al DIF de Toluca</w:t>
      </w:r>
      <w:r w:rsidR="00F861C4" w:rsidRPr="006A6FF8">
        <w:rPr>
          <w:rFonts w:ascii="Palatino Linotype" w:eastAsia="Palatino Linotype" w:hAnsi="Palatino Linotype" w:cs="Palatino Linotype"/>
          <w:i/>
          <w:sz w:val="22"/>
          <w:szCs w:val="22"/>
        </w:rPr>
        <w:t xml:space="preserve"> la siguiente información pública, con fundamento en lo establecido por los artículos 4; 23, fracción IV; 24, fracción XI; 25; 53, fracción II; 150;151;152; 155;156; 162 y 163 primer párrafo de la Ley de Transparencia y Acceso a la Información Pública del Estado de México y Municipios: </w:t>
      </w:r>
      <w:r w:rsidR="00F861C4" w:rsidRPr="006A6FF8">
        <w:rPr>
          <w:rFonts w:ascii="Palatino Linotype" w:eastAsia="Palatino Linotype" w:hAnsi="Palatino Linotype" w:cs="Palatino Linotype"/>
          <w:b/>
          <w:i/>
          <w:sz w:val="22"/>
          <w:szCs w:val="22"/>
          <w:u w:val="single"/>
        </w:rPr>
        <w:t xml:space="preserve">todos los contratos de adquisición de bienes y servicios licitados en su municipio, tanto en adjudicación directa, licitación pública e invitación a cuando meses tres personas, de los años 2021, 2022 y 2023 y las facturas pagadas </w:t>
      </w:r>
      <w:r w:rsidR="00F861C4" w:rsidRPr="006A6FF8">
        <w:rPr>
          <w:rFonts w:ascii="Palatino Linotype" w:eastAsia="Palatino Linotype" w:hAnsi="Palatino Linotype" w:cs="Palatino Linotype"/>
          <w:b/>
          <w:i/>
          <w:sz w:val="22"/>
          <w:szCs w:val="22"/>
          <w:u w:val="single"/>
        </w:rPr>
        <w:lastRenderedPageBreak/>
        <w:t>por estos conceptos a los prestadores de servicios o proveedores</w:t>
      </w:r>
      <w:r w:rsidR="00F861C4" w:rsidRPr="006A6FF8">
        <w:rPr>
          <w:rFonts w:ascii="Palatino Linotype" w:eastAsia="Palatino Linotype" w:hAnsi="Palatino Linotype" w:cs="Palatino Linotype"/>
          <w:i/>
          <w:sz w:val="22"/>
          <w:szCs w:val="22"/>
        </w:rPr>
        <w:t>.</w:t>
      </w:r>
      <w:r w:rsidRPr="006A6FF8">
        <w:rPr>
          <w:rFonts w:ascii="Palatino Linotype" w:eastAsia="Palatino Linotype" w:hAnsi="Palatino Linotype" w:cs="Palatino Linotype"/>
          <w:i/>
          <w:sz w:val="22"/>
          <w:szCs w:val="22"/>
        </w:rPr>
        <w:t>” (Sic) (Énfasis añadido)</w:t>
      </w:r>
    </w:p>
    <w:p w:rsidR="001576A6" w:rsidRPr="006A6FF8" w:rsidRDefault="000941EF">
      <w:pPr>
        <w:tabs>
          <w:tab w:val="left" w:pos="1080"/>
        </w:tabs>
        <w:spacing w:line="360" w:lineRule="auto"/>
        <w:jc w:val="both"/>
        <w:rPr>
          <w:rFonts w:ascii="Palatino Linotype" w:eastAsia="Palatino Linotype" w:hAnsi="Palatino Linotype" w:cs="Palatino Linotype"/>
        </w:rPr>
      </w:pPr>
      <w:r w:rsidRPr="006A6FF8">
        <w:rPr>
          <w:rFonts w:ascii="Palatino Linotype" w:eastAsia="Palatino Linotype" w:hAnsi="Palatino Linotype" w:cs="Palatino Linotype"/>
        </w:rPr>
        <w:tab/>
      </w:r>
    </w:p>
    <w:p w:rsidR="001576A6" w:rsidRPr="006A6FF8" w:rsidRDefault="000941EF">
      <w:pPr>
        <w:spacing w:line="360" w:lineRule="auto"/>
        <w:jc w:val="both"/>
        <w:rPr>
          <w:rFonts w:ascii="Palatino Linotype" w:eastAsia="Palatino Linotype" w:hAnsi="Palatino Linotype" w:cs="Palatino Linotype"/>
        </w:rPr>
      </w:pPr>
      <w:r w:rsidRPr="006A6FF8">
        <w:rPr>
          <w:rFonts w:ascii="Palatino Linotype" w:eastAsia="Palatino Linotype" w:hAnsi="Palatino Linotype" w:cs="Palatino Linotype"/>
          <w:b/>
        </w:rPr>
        <w:t>Modalidad de Entrega:</w:t>
      </w:r>
      <w:r w:rsidRPr="006A6FF8">
        <w:rPr>
          <w:rFonts w:ascii="Palatino Linotype" w:eastAsia="Palatino Linotype" w:hAnsi="Palatino Linotype" w:cs="Palatino Linotype"/>
        </w:rPr>
        <w:t xml:space="preserve"> A través de </w:t>
      </w:r>
      <w:r w:rsidRPr="006A6FF8">
        <w:rPr>
          <w:rFonts w:ascii="Palatino Linotype" w:eastAsia="Palatino Linotype" w:hAnsi="Palatino Linotype" w:cs="Palatino Linotype"/>
          <w:b/>
        </w:rPr>
        <w:t>SAIMEX</w:t>
      </w:r>
      <w:r w:rsidRPr="006A6FF8">
        <w:rPr>
          <w:rFonts w:ascii="Palatino Linotype" w:eastAsia="Palatino Linotype" w:hAnsi="Palatino Linotype" w:cs="Palatino Linotype"/>
        </w:rPr>
        <w:t>.</w:t>
      </w:r>
    </w:p>
    <w:p w:rsidR="001576A6" w:rsidRPr="006A6FF8" w:rsidRDefault="001576A6" w:rsidP="00ED7890">
      <w:pPr>
        <w:spacing w:line="360" w:lineRule="auto"/>
        <w:ind w:right="900"/>
        <w:rPr>
          <w:rFonts w:ascii="Palatino Linotype" w:eastAsia="Palatino Linotype" w:hAnsi="Palatino Linotype" w:cs="Palatino Linotype"/>
          <w:sz w:val="22"/>
          <w:szCs w:val="22"/>
        </w:rPr>
      </w:pPr>
    </w:p>
    <w:p w:rsidR="001576A6" w:rsidRPr="006A6FF8" w:rsidRDefault="000941EF">
      <w:pPr>
        <w:spacing w:after="240" w:line="360" w:lineRule="auto"/>
        <w:jc w:val="both"/>
        <w:rPr>
          <w:rFonts w:ascii="Palatino Linotype" w:eastAsia="Palatino Linotype" w:hAnsi="Palatino Linotype" w:cs="Palatino Linotype"/>
          <w:b/>
        </w:rPr>
      </w:pPr>
      <w:r w:rsidRPr="006A6FF8">
        <w:rPr>
          <w:rFonts w:ascii="Palatino Linotype" w:eastAsia="Palatino Linotype" w:hAnsi="Palatino Linotype" w:cs="Palatino Linotype"/>
          <w:b/>
        </w:rPr>
        <w:t xml:space="preserve">2. </w:t>
      </w:r>
      <w:r w:rsidR="001315B7" w:rsidRPr="006A6FF8">
        <w:rPr>
          <w:rFonts w:ascii="Palatino Linotype" w:eastAsia="Palatino Linotype" w:hAnsi="Palatino Linotype" w:cs="Palatino Linotype"/>
          <w:b/>
        </w:rPr>
        <w:t>Información que Puede estar en Poder de Otro Sujeto Obligado</w:t>
      </w:r>
      <w:r w:rsidRPr="006A6FF8">
        <w:rPr>
          <w:rFonts w:ascii="Palatino Linotype" w:eastAsia="Palatino Linotype" w:hAnsi="Palatino Linotype" w:cs="Palatino Linotype"/>
          <w:b/>
        </w:rPr>
        <w:t xml:space="preserve">. </w:t>
      </w:r>
      <w:r w:rsidRPr="006A6FF8">
        <w:rPr>
          <w:rFonts w:ascii="Palatino Linotype" w:eastAsia="Palatino Linotype" w:hAnsi="Palatino Linotype" w:cs="Palatino Linotype"/>
        </w:rPr>
        <w:t xml:space="preserve">El </w:t>
      </w:r>
      <w:r w:rsidR="001315B7" w:rsidRPr="006A6FF8">
        <w:rPr>
          <w:rFonts w:ascii="Palatino Linotype" w:eastAsia="Palatino Linotype" w:hAnsi="Palatino Linotype" w:cs="Palatino Linotype"/>
          <w:b/>
        </w:rPr>
        <w:t>diez de abril</w:t>
      </w:r>
      <w:r w:rsidRPr="006A6FF8">
        <w:rPr>
          <w:rFonts w:ascii="Palatino Linotype" w:eastAsia="Palatino Linotype" w:hAnsi="Palatino Linotype" w:cs="Palatino Linotype"/>
          <w:b/>
        </w:rPr>
        <w:t xml:space="preserve"> de dos mil veintitrés</w:t>
      </w:r>
      <w:r w:rsidRPr="006A6FF8">
        <w:rPr>
          <w:rFonts w:ascii="Palatino Linotype" w:eastAsia="Palatino Linotype" w:hAnsi="Palatino Linotype" w:cs="Palatino Linotype"/>
        </w:rPr>
        <w:t xml:space="preserve">, el </w:t>
      </w:r>
      <w:r w:rsidRPr="006A6FF8">
        <w:rPr>
          <w:rFonts w:ascii="Palatino Linotype" w:eastAsia="Palatino Linotype" w:hAnsi="Palatino Linotype" w:cs="Palatino Linotype"/>
          <w:b/>
        </w:rPr>
        <w:t xml:space="preserve">Sujeto Obligado </w:t>
      </w:r>
      <w:r w:rsidRPr="006A6FF8">
        <w:rPr>
          <w:rFonts w:ascii="Palatino Linotype" w:eastAsia="Palatino Linotype" w:hAnsi="Palatino Linotype" w:cs="Palatino Linotype"/>
        </w:rPr>
        <w:t xml:space="preserve">remitió su respuesta a la solicitud de acceso a la información a través de SAIMEX, sustancialmente en los términos siguientes:   </w:t>
      </w:r>
    </w:p>
    <w:p w:rsidR="001315B7" w:rsidRPr="006A6FF8" w:rsidRDefault="000941EF" w:rsidP="001315B7">
      <w:pPr>
        <w:spacing w:before="240" w:after="240"/>
        <w:ind w:left="567" w:right="902"/>
        <w:jc w:val="both"/>
        <w:rPr>
          <w:rFonts w:ascii="Palatino Linotype" w:eastAsia="Palatino Linotype" w:hAnsi="Palatino Linotype" w:cs="Palatino Linotype"/>
          <w:i/>
          <w:sz w:val="22"/>
          <w:szCs w:val="22"/>
        </w:rPr>
      </w:pPr>
      <w:r w:rsidRPr="006A6FF8">
        <w:rPr>
          <w:rFonts w:ascii="Palatino Linotype" w:eastAsia="Palatino Linotype" w:hAnsi="Palatino Linotype" w:cs="Palatino Linotype"/>
          <w:i/>
          <w:sz w:val="22"/>
          <w:szCs w:val="22"/>
        </w:rPr>
        <w:t>“</w:t>
      </w:r>
      <w:r w:rsidR="001315B7" w:rsidRPr="006A6FF8">
        <w:rPr>
          <w:rFonts w:ascii="Palatino Linotype" w:eastAsia="Palatino Linotype" w:hAnsi="Palatino Linotype" w:cs="Palatino Linotype"/>
          <w:i/>
          <w:sz w:val="22"/>
          <w:szCs w:val="22"/>
        </w:rPr>
        <w:t>En atención a su solicitud de información pública, presentada a través del Sistema de Acceso a la Información Mexiquense (SAIMEX) a este Sistema para el Desarrollo Integral de la Familia de Toluca y registrada con el folio 00066/DIFTOLUCA/IP/2023, en la cual requiere: “Solicito al DIF de Toluca la siguiente información pública, con fundamento en lo establecido por los artículos 4; 23, fracción IV; 24, fracción XI; 25; 53, fracción II; 150;151;152; 155;156; 162 y 163 primer párrafo de la Ley de Transparencia y Acceso a la Información Pública del Estado de México y Municipios: todos los contratos de adquisición de bienes y servicios licitados en su municipio, tanto en adjudicación directa, licitación pública e invitación a cuando meses tres personas, de los años 2021, 2022 y 2023 y las facturas pagadas por estos conceptos a los prestadores de servicios o proveedores..” (</w:t>
      </w:r>
      <w:proofErr w:type="gramStart"/>
      <w:r w:rsidR="001315B7" w:rsidRPr="006A6FF8">
        <w:rPr>
          <w:rFonts w:ascii="Palatino Linotype" w:eastAsia="Palatino Linotype" w:hAnsi="Palatino Linotype" w:cs="Palatino Linotype"/>
          <w:i/>
          <w:sz w:val="22"/>
          <w:szCs w:val="22"/>
        </w:rPr>
        <w:t>sic</w:t>
      </w:r>
      <w:proofErr w:type="gramEnd"/>
      <w:r w:rsidR="001315B7" w:rsidRPr="006A6FF8">
        <w:rPr>
          <w:rFonts w:ascii="Palatino Linotype" w:eastAsia="Palatino Linotype" w:hAnsi="Palatino Linotype" w:cs="Palatino Linotype"/>
          <w:i/>
          <w:sz w:val="22"/>
          <w:szCs w:val="22"/>
        </w:rPr>
        <w:t xml:space="preserve">) Por lo anteriormente expuesto y con fundamento en los artículos 155, 162, 163, 165, 166, 167 de la Ley de Transparencia y Acceso a la Información Pública del Estado de México y Municipios </w:t>
      </w:r>
      <w:r w:rsidR="001315B7" w:rsidRPr="006A6FF8">
        <w:rPr>
          <w:rFonts w:ascii="Palatino Linotype" w:eastAsia="Palatino Linotype" w:hAnsi="Palatino Linotype" w:cs="Palatino Linotype"/>
          <w:b/>
          <w:i/>
          <w:sz w:val="22"/>
          <w:szCs w:val="22"/>
          <w:u w:val="single"/>
        </w:rPr>
        <w:t>este Sujeto Obligado le informa lo siguiente: se le orienta presentar su requerimiento en el Portal del AYUNTAMIENTO DE TOLUCA (https://ipomex.org.mx/ipo3/lgt/indice/TOLUCA.web), ya que este Sistema Municipal DIF de Toluca, dentro de su esfera de competencia no cuenta con información referente a su solicitud</w:t>
      </w:r>
      <w:r w:rsidR="001315B7" w:rsidRPr="006A6FF8">
        <w:rPr>
          <w:rFonts w:ascii="Palatino Linotype" w:eastAsia="Palatino Linotype" w:hAnsi="Palatino Linotype" w:cs="Palatino Linotype"/>
          <w:i/>
          <w:sz w:val="22"/>
          <w:szCs w:val="22"/>
        </w:rPr>
        <w:t>. Sin otro particular por el momento, quedamos a sus órdenes, enviándole un cordial saludo.</w:t>
      </w:r>
    </w:p>
    <w:p w:rsidR="001315B7" w:rsidRPr="006A6FF8" w:rsidRDefault="001315B7" w:rsidP="001315B7">
      <w:pPr>
        <w:spacing w:before="240" w:after="240"/>
        <w:ind w:left="567" w:right="902"/>
        <w:jc w:val="both"/>
        <w:rPr>
          <w:rFonts w:ascii="Palatino Linotype" w:eastAsia="Palatino Linotype" w:hAnsi="Palatino Linotype" w:cs="Palatino Linotype"/>
          <w:i/>
          <w:sz w:val="22"/>
          <w:szCs w:val="22"/>
        </w:rPr>
      </w:pPr>
      <w:r w:rsidRPr="006A6FF8">
        <w:rPr>
          <w:rFonts w:ascii="Palatino Linotype" w:eastAsia="Palatino Linotype" w:hAnsi="Palatino Linotype" w:cs="Palatino Linotype"/>
          <w:i/>
          <w:sz w:val="22"/>
          <w:szCs w:val="22"/>
        </w:rPr>
        <w:t>ATENTAMENTE</w:t>
      </w:r>
    </w:p>
    <w:p w:rsidR="001576A6" w:rsidRPr="006A6FF8" w:rsidRDefault="001315B7" w:rsidP="001315B7">
      <w:pPr>
        <w:spacing w:before="240" w:after="240"/>
        <w:ind w:left="567" w:right="902"/>
        <w:jc w:val="both"/>
        <w:rPr>
          <w:rFonts w:ascii="Palatino Linotype" w:eastAsia="Palatino Linotype" w:hAnsi="Palatino Linotype" w:cs="Palatino Linotype"/>
          <w:i/>
          <w:sz w:val="22"/>
          <w:szCs w:val="22"/>
        </w:rPr>
      </w:pPr>
      <w:r w:rsidRPr="006A6FF8">
        <w:rPr>
          <w:rFonts w:ascii="Palatino Linotype" w:eastAsia="Palatino Linotype" w:hAnsi="Palatino Linotype" w:cs="Palatino Linotype"/>
          <w:i/>
          <w:sz w:val="22"/>
          <w:szCs w:val="22"/>
        </w:rPr>
        <w:t xml:space="preserve">Lic. en C. </w:t>
      </w:r>
      <w:proofErr w:type="spellStart"/>
      <w:r w:rsidRPr="006A6FF8">
        <w:rPr>
          <w:rFonts w:ascii="Palatino Linotype" w:eastAsia="Palatino Linotype" w:hAnsi="Palatino Linotype" w:cs="Palatino Linotype"/>
          <w:i/>
          <w:sz w:val="22"/>
          <w:szCs w:val="22"/>
        </w:rPr>
        <w:t>Jasmin</w:t>
      </w:r>
      <w:proofErr w:type="spellEnd"/>
      <w:r w:rsidRPr="006A6FF8">
        <w:rPr>
          <w:rFonts w:ascii="Palatino Linotype" w:eastAsia="Palatino Linotype" w:hAnsi="Palatino Linotype" w:cs="Palatino Linotype"/>
          <w:i/>
          <w:sz w:val="22"/>
          <w:szCs w:val="22"/>
        </w:rPr>
        <w:t xml:space="preserve"> </w:t>
      </w:r>
      <w:proofErr w:type="spellStart"/>
      <w:r w:rsidRPr="006A6FF8">
        <w:rPr>
          <w:rFonts w:ascii="Palatino Linotype" w:eastAsia="Palatino Linotype" w:hAnsi="Palatino Linotype" w:cs="Palatino Linotype"/>
          <w:i/>
          <w:sz w:val="22"/>
          <w:szCs w:val="22"/>
        </w:rPr>
        <w:t>Arlet</w:t>
      </w:r>
      <w:proofErr w:type="spellEnd"/>
      <w:r w:rsidRPr="006A6FF8">
        <w:rPr>
          <w:rFonts w:ascii="Palatino Linotype" w:eastAsia="Palatino Linotype" w:hAnsi="Palatino Linotype" w:cs="Palatino Linotype"/>
          <w:i/>
          <w:sz w:val="22"/>
          <w:szCs w:val="22"/>
        </w:rPr>
        <w:t xml:space="preserve"> Sánchez Gutiérrez</w:t>
      </w:r>
      <w:r w:rsidR="000941EF" w:rsidRPr="006A6FF8">
        <w:rPr>
          <w:rFonts w:ascii="Palatino Linotype" w:eastAsia="Palatino Linotype" w:hAnsi="Palatino Linotype" w:cs="Palatino Linotype"/>
          <w:i/>
          <w:sz w:val="22"/>
          <w:szCs w:val="22"/>
        </w:rPr>
        <w:t xml:space="preserve">” (Sic) </w:t>
      </w:r>
    </w:p>
    <w:p w:rsidR="001576A6" w:rsidRPr="006A6FF8" w:rsidRDefault="000941EF">
      <w:pPr>
        <w:spacing w:before="240" w:after="240" w:line="360" w:lineRule="auto"/>
        <w:ind w:left="567" w:right="49"/>
        <w:jc w:val="both"/>
        <w:rPr>
          <w:rFonts w:ascii="Palatino Linotype" w:eastAsia="Palatino Linotype" w:hAnsi="Palatino Linotype" w:cs="Palatino Linotype"/>
          <w:b/>
        </w:rPr>
      </w:pPr>
      <w:r w:rsidRPr="006A6FF8">
        <w:rPr>
          <w:rFonts w:ascii="Palatino Linotype" w:eastAsia="Palatino Linotype" w:hAnsi="Palatino Linotype" w:cs="Palatino Linotype"/>
          <w:b/>
        </w:rPr>
        <w:lastRenderedPageBreak/>
        <w:t xml:space="preserve">Archivos adjuntos: </w:t>
      </w:r>
    </w:p>
    <w:p w:rsidR="001315B7" w:rsidRPr="006A6FF8" w:rsidRDefault="00ED7890" w:rsidP="001315B7">
      <w:pPr>
        <w:spacing w:before="240" w:after="240" w:line="360" w:lineRule="auto"/>
        <w:ind w:left="567" w:right="900"/>
        <w:jc w:val="both"/>
        <w:rPr>
          <w:rFonts w:ascii="Palatino Linotype" w:eastAsia="Palatino Linotype" w:hAnsi="Palatino Linotype" w:cs="Palatino Linotype"/>
        </w:rPr>
      </w:pPr>
      <w:r w:rsidRPr="006A6FF8">
        <w:rPr>
          <w:rFonts w:ascii="Palatino Linotype" w:eastAsia="Palatino Linotype" w:hAnsi="Palatino Linotype" w:cs="Palatino Linotype"/>
          <w:b/>
          <w:i/>
        </w:rPr>
        <w:t>“</w:t>
      </w:r>
      <w:r w:rsidR="001315B7" w:rsidRPr="006A6FF8">
        <w:rPr>
          <w:rFonts w:ascii="Palatino Linotype" w:eastAsia="Palatino Linotype" w:hAnsi="Palatino Linotype" w:cs="Palatino Linotype"/>
          <w:b/>
          <w:i/>
        </w:rPr>
        <w:t>img124.pdf</w:t>
      </w:r>
      <w:r w:rsidRPr="006A6FF8">
        <w:rPr>
          <w:rFonts w:ascii="Palatino Linotype" w:eastAsia="Palatino Linotype" w:hAnsi="Palatino Linotype" w:cs="Palatino Linotype"/>
          <w:b/>
          <w:i/>
        </w:rPr>
        <w:t xml:space="preserve">”: </w:t>
      </w:r>
      <w:r w:rsidRPr="006A6FF8">
        <w:rPr>
          <w:rFonts w:ascii="Palatino Linotype" w:eastAsia="Palatino Linotype" w:hAnsi="Palatino Linotype" w:cs="Palatino Linotype"/>
        </w:rPr>
        <w:t xml:space="preserve">Oficio signado por </w:t>
      </w:r>
      <w:r w:rsidR="001315B7" w:rsidRPr="006A6FF8">
        <w:rPr>
          <w:rFonts w:ascii="Palatino Linotype" w:eastAsia="Palatino Linotype" w:hAnsi="Palatino Linotype" w:cs="Palatino Linotype"/>
        </w:rPr>
        <w:t xml:space="preserve">la Titular de la Unidad de Transparencia, mediante el cual </w:t>
      </w:r>
      <w:r w:rsidR="006F7F49" w:rsidRPr="006A6FF8">
        <w:rPr>
          <w:rFonts w:ascii="Palatino Linotype" w:eastAsia="Palatino Linotype" w:hAnsi="Palatino Linotype" w:cs="Palatino Linotype"/>
        </w:rPr>
        <w:t xml:space="preserve">declara la incompetencia para atender la presente solicitud de información, por lo que orienta al particular para que formule su requerimiento de información en el portal del Ayuntamiento de Toluca.  </w:t>
      </w:r>
    </w:p>
    <w:p w:rsidR="001315B7" w:rsidRPr="006A6FF8" w:rsidRDefault="001315B7" w:rsidP="006F7F49">
      <w:pPr>
        <w:spacing w:before="240" w:after="240" w:line="360" w:lineRule="auto"/>
        <w:ind w:left="567" w:right="900"/>
        <w:jc w:val="center"/>
        <w:rPr>
          <w:rFonts w:ascii="Palatino Linotype" w:eastAsia="Palatino Linotype" w:hAnsi="Palatino Linotype" w:cs="Palatino Linotype"/>
        </w:rPr>
      </w:pPr>
      <w:r w:rsidRPr="006A6FF8">
        <w:rPr>
          <w:rFonts w:ascii="Palatino Linotype" w:eastAsia="Palatino Linotype" w:hAnsi="Palatino Linotype" w:cs="Palatino Linotype"/>
          <w:noProof/>
          <w:lang w:val="es-MX"/>
        </w:rPr>
        <w:drawing>
          <wp:inline distT="0" distB="0" distL="0" distR="0" wp14:anchorId="7D1244B1" wp14:editId="47DF8186">
            <wp:extent cx="3757732" cy="4924425"/>
            <wp:effectExtent l="19050" t="19050" r="1460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77617" cy="4950484"/>
                    </a:xfrm>
                    <a:prstGeom prst="rect">
                      <a:avLst/>
                    </a:prstGeom>
                    <a:ln>
                      <a:solidFill>
                        <a:schemeClr val="tx1"/>
                      </a:solidFill>
                    </a:ln>
                  </pic:spPr>
                </pic:pic>
              </a:graphicData>
            </a:graphic>
          </wp:inline>
        </w:drawing>
      </w:r>
    </w:p>
    <w:p w:rsidR="001576A6" w:rsidRPr="006A6FF8" w:rsidRDefault="000941EF">
      <w:pPr>
        <w:spacing w:before="240" w:after="240" w:line="360" w:lineRule="auto"/>
        <w:ind w:right="49"/>
        <w:jc w:val="both"/>
        <w:rPr>
          <w:rFonts w:ascii="Palatino Linotype" w:eastAsia="Palatino Linotype" w:hAnsi="Palatino Linotype" w:cs="Palatino Linotype"/>
        </w:rPr>
      </w:pPr>
      <w:r w:rsidRPr="006A6FF8">
        <w:rPr>
          <w:rFonts w:ascii="Palatino Linotype" w:eastAsia="Palatino Linotype" w:hAnsi="Palatino Linotype" w:cs="Palatino Linotype"/>
          <w:b/>
        </w:rPr>
        <w:lastRenderedPageBreak/>
        <w:t xml:space="preserve">3. Interposición del recurso de revisión. </w:t>
      </w:r>
      <w:r w:rsidRPr="006A6FF8">
        <w:rPr>
          <w:rFonts w:ascii="Palatino Linotype" w:eastAsia="Palatino Linotype" w:hAnsi="Palatino Linotype" w:cs="Palatino Linotype"/>
        </w:rPr>
        <w:t xml:space="preserve">Inconforme con los términos de la respuesta emitida por parte del </w:t>
      </w:r>
      <w:r w:rsidRPr="006A6FF8">
        <w:rPr>
          <w:rFonts w:ascii="Palatino Linotype" w:eastAsia="Palatino Linotype" w:hAnsi="Palatino Linotype" w:cs="Palatino Linotype"/>
          <w:b/>
        </w:rPr>
        <w:t>Sujeto Obligado</w:t>
      </w:r>
      <w:r w:rsidRPr="006A6FF8">
        <w:rPr>
          <w:rFonts w:ascii="Palatino Linotype" w:eastAsia="Palatino Linotype" w:hAnsi="Palatino Linotype" w:cs="Palatino Linotype"/>
        </w:rPr>
        <w:t xml:space="preserve">, el </w:t>
      </w:r>
      <w:r w:rsidR="006F7F49" w:rsidRPr="006A6FF8">
        <w:rPr>
          <w:rFonts w:ascii="Palatino Linotype" w:eastAsia="Palatino Linotype" w:hAnsi="Palatino Linotype" w:cs="Palatino Linotype"/>
          <w:b/>
        </w:rPr>
        <w:t>veintisiete</w:t>
      </w:r>
      <w:r w:rsidRPr="006A6FF8">
        <w:rPr>
          <w:rFonts w:ascii="Palatino Linotype" w:eastAsia="Palatino Linotype" w:hAnsi="Palatino Linotype" w:cs="Palatino Linotype"/>
          <w:b/>
        </w:rPr>
        <w:t xml:space="preserve"> de </w:t>
      </w:r>
      <w:r w:rsidR="006F7F49" w:rsidRPr="006A6FF8">
        <w:rPr>
          <w:rFonts w:ascii="Palatino Linotype" w:eastAsia="Palatino Linotype" w:hAnsi="Palatino Linotype" w:cs="Palatino Linotype"/>
          <w:b/>
        </w:rPr>
        <w:t>abril</w:t>
      </w:r>
      <w:r w:rsidRPr="006A6FF8">
        <w:rPr>
          <w:rFonts w:ascii="Palatino Linotype" w:eastAsia="Palatino Linotype" w:hAnsi="Palatino Linotype" w:cs="Palatino Linotype"/>
          <w:b/>
        </w:rPr>
        <w:t xml:space="preserve"> de dos mil veintitrés,</w:t>
      </w:r>
      <w:r w:rsidRPr="006A6FF8">
        <w:rPr>
          <w:rFonts w:ascii="Palatino Linotype" w:eastAsia="Palatino Linotype" w:hAnsi="Palatino Linotype" w:cs="Palatino Linotype"/>
        </w:rPr>
        <w:t xml:space="preserve"> </w:t>
      </w:r>
      <w:r w:rsidRPr="006A6FF8">
        <w:rPr>
          <w:rFonts w:ascii="Palatino Linotype" w:eastAsia="Palatino Linotype" w:hAnsi="Palatino Linotype" w:cs="Palatino Linotype"/>
          <w:b/>
        </w:rPr>
        <w:t>la parte Recurrente</w:t>
      </w:r>
      <w:r w:rsidRPr="006A6FF8">
        <w:rPr>
          <w:rFonts w:ascii="Palatino Linotype" w:eastAsia="Palatino Linotype" w:hAnsi="Palatino Linotype" w:cs="Palatino Linotype"/>
        </w:rPr>
        <w:t xml:space="preserve"> interpuso el recurso de revisión a través de </w:t>
      </w:r>
      <w:r w:rsidRPr="006A6FF8">
        <w:rPr>
          <w:rFonts w:ascii="Palatino Linotype" w:eastAsia="Palatino Linotype" w:hAnsi="Palatino Linotype" w:cs="Palatino Linotype"/>
          <w:b/>
        </w:rPr>
        <w:t xml:space="preserve">SAIMEX, </w:t>
      </w:r>
      <w:r w:rsidRPr="006A6FF8">
        <w:rPr>
          <w:rFonts w:ascii="Palatino Linotype" w:eastAsia="Palatino Linotype" w:hAnsi="Palatino Linotype" w:cs="Palatino Linotype"/>
        </w:rPr>
        <w:t>en donde se manifestó de la siguiente manera:</w:t>
      </w:r>
    </w:p>
    <w:p w:rsidR="001576A6" w:rsidRPr="006A6FF8" w:rsidRDefault="000941EF">
      <w:pPr>
        <w:tabs>
          <w:tab w:val="left" w:pos="2745"/>
        </w:tabs>
        <w:spacing w:before="240" w:after="240" w:line="360" w:lineRule="auto"/>
        <w:jc w:val="both"/>
        <w:rPr>
          <w:rFonts w:ascii="Palatino Linotype" w:eastAsia="Palatino Linotype" w:hAnsi="Palatino Linotype" w:cs="Palatino Linotype"/>
          <w:b/>
        </w:rPr>
      </w:pPr>
      <w:r w:rsidRPr="006A6FF8">
        <w:rPr>
          <w:rFonts w:ascii="Palatino Linotype" w:eastAsia="Palatino Linotype" w:hAnsi="Palatino Linotype" w:cs="Palatino Linotype"/>
          <w:b/>
        </w:rPr>
        <w:t xml:space="preserve">a) Acto impugnado: </w:t>
      </w:r>
      <w:r w:rsidRPr="006A6FF8">
        <w:rPr>
          <w:rFonts w:ascii="Palatino Linotype" w:eastAsia="Palatino Linotype" w:hAnsi="Palatino Linotype" w:cs="Palatino Linotype"/>
          <w:b/>
        </w:rPr>
        <w:tab/>
      </w:r>
    </w:p>
    <w:p w:rsidR="001576A6" w:rsidRPr="006A6FF8" w:rsidRDefault="000941EF">
      <w:pPr>
        <w:ind w:left="567" w:right="902"/>
        <w:jc w:val="both"/>
        <w:rPr>
          <w:rFonts w:ascii="Palatino Linotype" w:eastAsia="Palatino Linotype" w:hAnsi="Palatino Linotype" w:cs="Palatino Linotype"/>
          <w:i/>
          <w:sz w:val="22"/>
          <w:szCs w:val="22"/>
        </w:rPr>
      </w:pPr>
      <w:r w:rsidRPr="006A6FF8">
        <w:rPr>
          <w:rFonts w:ascii="Palatino Linotype" w:eastAsia="Palatino Linotype" w:hAnsi="Palatino Linotype" w:cs="Palatino Linotype"/>
          <w:i/>
          <w:sz w:val="22"/>
          <w:szCs w:val="22"/>
        </w:rPr>
        <w:t>“</w:t>
      </w:r>
      <w:r w:rsidR="006F7F49" w:rsidRPr="006A6FF8">
        <w:rPr>
          <w:rFonts w:ascii="Palatino Linotype" w:eastAsia="Palatino Linotype" w:hAnsi="Palatino Linotype" w:cs="Palatino Linotype"/>
          <w:i/>
          <w:sz w:val="22"/>
          <w:szCs w:val="22"/>
        </w:rPr>
        <w:t>Niega la información que es pública son opacos</w:t>
      </w:r>
      <w:r w:rsidRPr="006A6FF8">
        <w:rPr>
          <w:rFonts w:ascii="Palatino Linotype" w:eastAsia="Palatino Linotype" w:hAnsi="Palatino Linotype" w:cs="Palatino Linotype"/>
          <w:i/>
          <w:sz w:val="22"/>
          <w:szCs w:val="22"/>
        </w:rPr>
        <w:t>” (Sic)</w:t>
      </w:r>
    </w:p>
    <w:p w:rsidR="001576A6" w:rsidRPr="006A6FF8" w:rsidRDefault="001576A6">
      <w:pPr>
        <w:ind w:left="851" w:right="902"/>
        <w:jc w:val="both"/>
        <w:rPr>
          <w:rFonts w:ascii="Palatino Linotype" w:eastAsia="Palatino Linotype" w:hAnsi="Palatino Linotype" w:cs="Palatino Linotype"/>
          <w:i/>
          <w:sz w:val="22"/>
          <w:szCs w:val="22"/>
        </w:rPr>
      </w:pPr>
    </w:p>
    <w:p w:rsidR="001576A6" w:rsidRPr="006A6FF8" w:rsidRDefault="000941EF">
      <w:pPr>
        <w:spacing w:line="360" w:lineRule="auto"/>
        <w:jc w:val="both"/>
        <w:rPr>
          <w:rFonts w:ascii="Palatino Linotype" w:eastAsia="Palatino Linotype" w:hAnsi="Palatino Linotype" w:cs="Palatino Linotype"/>
        </w:rPr>
      </w:pPr>
      <w:r w:rsidRPr="006A6FF8">
        <w:rPr>
          <w:rFonts w:ascii="Palatino Linotype" w:eastAsia="Palatino Linotype" w:hAnsi="Palatino Linotype" w:cs="Palatino Linotype"/>
          <w:b/>
        </w:rPr>
        <w:t>b) Razones o motivos de inconformidad</w:t>
      </w:r>
      <w:r w:rsidRPr="006A6FF8">
        <w:rPr>
          <w:rFonts w:ascii="Palatino Linotype" w:eastAsia="Palatino Linotype" w:hAnsi="Palatino Linotype" w:cs="Palatino Linotype"/>
        </w:rPr>
        <w:t>:</w:t>
      </w:r>
    </w:p>
    <w:p w:rsidR="001576A6" w:rsidRPr="006A6FF8" w:rsidRDefault="000941EF">
      <w:pPr>
        <w:ind w:left="567" w:right="902"/>
        <w:jc w:val="both"/>
        <w:rPr>
          <w:rFonts w:ascii="Palatino Linotype" w:eastAsia="Palatino Linotype" w:hAnsi="Palatino Linotype" w:cs="Palatino Linotype"/>
          <w:i/>
          <w:sz w:val="22"/>
          <w:szCs w:val="22"/>
        </w:rPr>
      </w:pPr>
      <w:bookmarkStart w:id="2" w:name="_heading=h.30j0zll" w:colFirst="0" w:colLast="0"/>
      <w:bookmarkEnd w:id="2"/>
      <w:r w:rsidRPr="006A6FF8">
        <w:rPr>
          <w:rFonts w:ascii="Palatino Linotype" w:eastAsia="Palatino Linotype" w:hAnsi="Palatino Linotype" w:cs="Palatino Linotype"/>
          <w:i/>
          <w:sz w:val="22"/>
          <w:szCs w:val="22"/>
        </w:rPr>
        <w:t xml:space="preserve"> </w:t>
      </w:r>
      <w:r w:rsidRPr="006A6FF8">
        <w:rPr>
          <w:rFonts w:ascii="Palatino Linotype" w:eastAsia="Palatino Linotype" w:hAnsi="Palatino Linotype" w:cs="Palatino Linotype"/>
          <w:b/>
          <w:i/>
          <w:sz w:val="22"/>
          <w:szCs w:val="22"/>
          <w:u w:val="single"/>
        </w:rPr>
        <w:t>“</w:t>
      </w:r>
      <w:r w:rsidR="006F7F49" w:rsidRPr="006A6FF8">
        <w:rPr>
          <w:rFonts w:ascii="Palatino Linotype" w:eastAsia="Palatino Linotype" w:hAnsi="Palatino Linotype" w:cs="Palatino Linotype"/>
          <w:b/>
          <w:i/>
          <w:sz w:val="22"/>
          <w:szCs w:val="22"/>
          <w:u w:val="single"/>
        </w:rPr>
        <w:t>no entrega la información solicitada por esta vía.</w:t>
      </w:r>
      <w:r w:rsidRPr="006A6FF8">
        <w:rPr>
          <w:rFonts w:ascii="Palatino Linotype" w:eastAsia="Palatino Linotype" w:hAnsi="Palatino Linotype" w:cs="Palatino Linotype"/>
          <w:b/>
          <w:i/>
          <w:sz w:val="22"/>
          <w:szCs w:val="22"/>
          <w:u w:val="single"/>
        </w:rPr>
        <w:t xml:space="preserve">” </w:t>
      </w:r>
      <w:r w:rsidRPr="006A6FF8">
        <w:rPr>
          <w:rFonts w:ascii="Palatino Linotype" w:eastAsia="Palatino Linotype" w:hAnsi="Palatino Linotype" w:cs="Palatino Linotype"/>
          <w:i/>
          <w:sz w:val="22"/>
          <w:szCs w:val="22"/>
        </w:rPr>
        <w:t>(Sic) (Énfasis añadido)</w:t>
      </w:r>
    </w:p>
    <w:p w:rsidR="00192541" w:rsidRPr="006A6FF8" w:rsidRDefault="00192541">
      <w:pPr>
        <w:ind w:left="567" w:right="902"/>
        <w:jc w:val="both"/>
        <w:rPr>
          <w:rFonts w:ascii="Palatino Linotype" w:eastAsia="Palatino Linotype" w:hAnsi="Palatino Linotype" w:cs="Palatino Linotype"/>
          <w:i/>
          <w:sz w:val="22"/>
          <w:szCs w:val="22"/>
        </w:rPr>
      </w:pPr>
    </w:p>
    <w:p w:rsidR="001576A6" w:rsidRPr="006A6FF8" w:rsidRDefault="001576A6">
      <w:pPr>
        <w:ind w:left="851" w:right="902"/>
        <w:jc w:val="both"/>
        <w:rPr>
          <w:rFonts w:ascii="Palatino Linotype" w:eastAsia="Palatino Linotype" w:hAnsi="Palatino Linotype" w:cs="Palatino Linotype"/>
          <w:i/>
          <w:sz w:val="22"/>
          <w:szCs w:val="22"/>
        </w:rPr>
      </w:pPr>
    </w:p>
    <w:p w:rsidR="001576A6" w:rsidRPr="006A6FF8" w:rsidRDefault="000941EF">
      <w:pPr>
        <w:spacing w:line="360" w:lineRule="auto"/>
        <w:ind w:right="51"/>
        <w:jc w:val="both"/>
        <w:rPr>
          <w:rFonts w:ascii="Palatino Linotype" w:eastAsia="Palatino Linotype" w:hAnsi="Palatino Linotype" w:cs="Palatino Linotype"/>
        </w:rPr>
      </w:pPr>
      <w:r w:rsidRPr="006A6FF8">
        <w:rPr>
          <w:rFonts w:ascii="Palatino Linotype" w:eastAsia="Palatino Linotype" w:hAnsi="Palatino Linotype" w:cs="Palatino Linotype"/>
          <w:b/>
        </w:rPr>
        <w:t xml:space="preserve">4. Turno. </w:t>
      </w:r>
      <w:r w:rsidRPr="006A6FF8">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6A6FF8">
        <w:rPr>
          <w:rFonts w:ascii="Palatino Linotype" w:eastAsia="Palatino Linotype" w:hAnsi="Palatino Linotype" w:cs="Palatino Linotype"/>
          <w:b/>
        </w:rPr>
        <w:t>Comisionada</w:t>
      </w:r>
      <w:r w:rsidRPr="006A6FF8">
        <w:rPr>
          <w:rFonts w:ascii="Palatino Linotype" w:eastAsia="Palatino Linotype" w:hAnsi="Palatino Linotype" w:cs="Palatino Linotype"/>
        </w:rPr>
        <w:t xml:space="preserve"> </w:t>
      </w:r>
      <w:r w:rsidRPr="006A6FF8">
        <w:rPr>
          <w:rFonts w:ascii="Palatino Linotype" w:eastAsia="Palatino Linotype" w:hAnsi="Palatino Linotype" w:cs="Palatino Linotype"/>
          <w:b/>
        </w:rPr>
        <w:t xml:space="preserve">Guadalupe Ramírez Peña, </w:t>
      </w:r>
      <w:r w:rsidRPr="006A6FF8">
        <w:rPr>
          <w:rFonts w:ascii="Palatino Linotype" w:eastAsia="Palatino Linotype" w:hAnsi="Palatino Linotype" w:cs="Palatino Linotype"/>
        </w:rPr>
        <w:t xml:space="preserve">a efecto de que analizara sobre su admisión o su </w:t>
      </w:r>
      <w:proofErr w:type="spellStart"/>
      <w:r w:rsidRPr="006A6FF8">
        <w:rPr>
          <w:rFonts w:ascii="Palatino Linotype" w:eastAsia="Palatino Linotype" w:hAnsi="Palatino Linotype" w:cs="Palatino Linotype"/>
        </w:rPr>
        <w:t>desechamiento</w:t>
      </w:r>
      <w:proofErr w:type="spellEnd"/>
      <w:r w:rsidRPr="006A6FF8">
        <w:rPr>
          <w:rFonts w:ascii="Palatino Linotype" w:eastAsia="Palatino Linotype" w:hAnsi="Palatino Linotype" w:cs="Palatino Linotype"/>
        </w:rPr>
        <w:t>.</w:t>
      </w:r>
    </w:p>
    <w:p w:rsidR="001576A6" w:rsidRPr="006A6FF8" w:rsidRDefault="001576A6">
      <w:pPr>
        <w:spacing w:line="360" w:lineRule="auto"/>
        <w:ind w:right="51"/>
        <w:jc w:val="both"/>
        <w:rPr>
          <w:rFonts w:ascii="Palatino Linotype" w:eastAsia="Palatino Linotype" w:hAnsi="Palatino Linotype" w:cs="Palatino Linotype"/>
        </w:rPr>
      </w:pPr>
    </w:p>
    <w:p w:rsidR="001576A6" w:rsidRPr="006A6FF8" w:rsidRDefault="000941EF">
      <w:pPr>
        <w:spacing w:after="240" w:line="360" w:lineRule="auto"/>
        <w:jc w:val="both"/>
        <w:rPr>
          <w:rFonts w:ascii="Palatino Linotype" w:eastAsia="Palatino Linotype" w:hAnsi="Palatino Linotype" w:cs="Palatino Linotype"/>
        </w:rPr>
      </w:pPr>
      <w:r w:rsidRPr="006A6FF8">
        <w:rPr>
          <w:rFonts w:ascii="Palatino Linotype" w:eastAsia="Palatino Linotype" w:hAnsi="Palatino Linotype" w:cs="Palatino Linotype"/>
          <w:b/>
        </w:rPr>
        <w:t>5. Admisión del Recurso de Revisión.</w:t>
      </w:r>
      <w:r w:rsidRPr="006A6FF8">
        <w:rPr>
          <w:rFonts w:ascii="Palatino Linotype" w:eastAsia="Palatino Linotype" w:hAnsi="Palatino Linotype" w:cs="Palatino Linotype"/>
        </w:rPr>
        <w:t xml:space="preserve"> El</w:t>
      </w:r>
      <w:r w:rsidR="006F7F49" w:rsidRPr="006A6FF8">
        <w:rPr>
          <w:rFonts w:ascii="Palatino Linotype" w:eastAsia="Palatino Linotype" w:hAnsi="Palatino Linotype" w:cs="Palatino Linotype"/>
          <w:b/>
        </w:rPr>
        <w:t xml:space="preserve"> tres de may</w:t>
      </w:r>
      <w:r w:rsidRPr="006A6FF8">
        <w:rPr>
          <w:rFonts w:ascii="Palatino Linotype" w:eastAsia="Palatino Linotype" w:hAnsi="Palatino Linotype" w:cs="Palatino Linotype"/>
          <w:b/>
        </w:rPr>
        <w:t xml:space="preserve">o de dos mil veintitrés, </w:t>
      </w:r>
      <w:r w:rsidRPr="006A6FF8">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w:t>
      </w:r>
      <w:r w:rsidRPr="006A6FF8">
        <w:rPr>
          <w:rFonts w:ascii="Palatino Linotype" w:eastAsia="Palatino Linotype" w:hAnsi="Palatino Linotype" w:cs="Palatino Linotype"/>
        </w:rPr>
        <w:lastRenderedPageBreak/>
        <w:t xml:space="preserve">pruebas, formularan alegatos y el </w:t>
      </w:r>
      <w:r w:rsidRPr="006A6FF8">
        <w:rPr>
          <w:rFonts w:ascii="Palatino Linotype" w:eastAsia="Palatino Linotype" w:hAnsi="Palatino Linotype" w:cs="Palatino Linotype"/>
          <w:b/>
        </w:rPr>
        <w:t xml:space="preserve">Sujeto Obligado </w:t>
      </w:r>
      <w:r w:rsidRPr="006A6FF8">
        <w:rPr>
          <w:rFonts w:ascii="Palatino Linotype" w:eastAsia="Palatino Linotype" w:hAnsi="Palatino Linotype" w:cs="Palatino Linotype"/>
        </w:rPr>
        <w:t>presentara su informe justificado.</w:t>
      </w:r>
    </w:p>
    <w:p w:rsidR="00192541" w:rsidRPr="006A6FF8" w:rsidRDefault="000941EF" w:rsidP="006F7F49">
      <w:pPr>
        <w:spacing w:after="240" w:line="360" w:lineRule="auto"/>
        <w:jc w:val="both"/>
        <w:rPr>
          <w:rFonts w:ascii="Palatino Linotype" w:eastAsia="Palatino Linotype" w:hAnsi="Palatino Linotype" w:cs="Palatino Linotype"/>
        </w:rPr>
      </w:pPr>
      <w:bookmarkStart w:id="3" w:name="_heading=h.2s8eyo1" w:colFirst="0" w:colLast="0"/>
      <w:bookmarkEnd w:id="3"/>
      <w:r w:rsidRPr="006A6FF8">
        <w:rPr>
          <w:rFonts w:ascii="Palatino Linotype" w:eastAsia="Palatino Linotype" w:hAnsi="Palatino Linotype" w:cs="Palatino Linotype"/>
          <w:b/>
        </w:rPr>
        <w:t>6. Manifestaciones</w:t>
      </w:r>
      <w:r w:rsidRPr="006A6FF8">
        <w:rPr>
          <w:rFonts w:ascii="Palatino Linotype" w:eastAsia="Palatino Linotype" w:hAnsi="Palatino Linotype" w:cs="Palatino Linotype"/>
        </w:rPr>
        <w:t>. Durante este plazo, se tiene constancia que</w:t>
      </w:r>
      <w:r w:rsidR="00192541" w:rsidRPr="006A6FF8">
        <w:rPr>
          <w:rFonts w:ascii="Palatino Linotype" w:eastAsia="Palatino Linotype" w:hAnsi="Palatino Linotype" w:cs="Palatino Linotype"/>
        </w:rPr>
        <w:t xml:space="preserve"> el </w:t>
      </w:r>
      <w:r w:rsidR="00192541" w:rsidRPr="006A6FF8">
        <w:rPr>
          <w:rFonts w:ascii="Palatino Linotype" w:eastAsia="Palatino Linotype" w:hAnsi="Palatino Linotype" w:cs="Palatino Linotype"/>
          <w:b/>
        </w:rPr>
        <w:t>Sujeto Obligado</w:t>
      </w:r>
      <w:r w:rsidR="00192541" w:rsidRPr="006A6FF8">
        <w:rPr>
          <w:rFonts w:ascii="Palatino Linotype" w:eastAsia="Palatino Linotype" w:hAnsi="Palatino Linotype" w:cs="Palatino Linotype"/>
        </w:rPr>
        <w:t xml:space="preserve"> remitió su informe justificado el </w:t>
      </w:r>
      <w:r w:rsidR="006F7F49" w:rsidRPr="006A6FF8">
        <w:rPr>
          <w:rFonts w:ascii="Palatino Linotype" w:eastAsia="Palatino Linotype" w:hAnsi="Palatino Linotype" w:cs="Palatino Linotype"/>
          <w:b/>
        </w:rPr>
        <w:t>once de may</w:t>
      </w:r>
      <w:r w:rsidR="00192541" w:rsidRPr="006A6FF8">
        <w:rPr>
          <w:rFonts w:ascii="Palatino Linotype" w:eastAsia="Palatino Linotype" w:hAnsi="Palatino Linotype" w:cs="Palatino Linotype"/>
          <w:b/>
        </w:rPr>
        <w:t xml:space="preserve">o de dos mil veintitrés, </w:t>
      </w:r>
      <w:r w:rsidR="00192541" w:rsidRPr="006A6FF8">
        <w:rPr>
          <w:rFonts w:ascii="Palatino Linotype" w:eastAsia="Palatino Linotype" w:hAnsi="Palatino Linotype" w:cs="Palatino Linotype"/>
        </w:rPr>
        <w:t xml:space="preserve">mediante </w:t>
      </w:r>
      <w:r w:rsidR="006F7F49" w:rsidRPr="006A6FF8">
        <w:rPr>
          <w:rFonts w:ascii="Palatino Linotype" w:eastAsia="Palatino Linotype" w:hAnsi="Palatino Linotype" w:cs="Palatino Linotype"/>
        </w:rPr>
        <w:t xml:space="preserve">el archivo electrónico denominado </w:t>
      </w:r>
      <w:r w:rsidR="006F7F49" w:rsidRPr="006A6FF8">
        <w:rPr>
          <w:rFonts w:ascii="Palatino Linotype" w:eastAsia="Palatino Linotype" w:hAnsi="Palatino Linotype" w:cs="Palatino Linotype"/>
          <w:b/>
          <w:i/>
        </w:rPr>
        <w:t xml:space="preserve">“RR02244_2023.PDF”, </w:t>
      </w:r>
      <w:r w:rsidR="006F7F49" w:rsidRPr="006A6FF8">
        <w:rPr>
          <w:rFonts w:ascii="Palatino Linotype" w:eastAsia="Palatino Linotype" w:hAnsi="Palatino Linotype" w:cs="Palatino Linotype"/>
        </w:rPr>
        <w:t xml:space="preserve">el cual medularmente ratifica los términos de la respuesta inicial del </w:t>
      </w:r>
      <w:r w:rsidR="006F7F49" w:rsidRPr="006A6FF8">
        <w:rPr>
          <w:rFonts w:ascii="Palatino Linotype" w:eastAsia="Palatino Linotype" w:hAnsi="Palatino Linotype" w:cs="Palatino Linotype"/>
          <w:b/>
        </w:rPr>
        <w:t>Sujeto Obligado</w:t>
      </w:r>
      <w:r w:rsidR="006F7F49" w:rsidRPr="006A6FF8">
        <w:rPr>
          <w:rFonts w:ascii="Palatino Linotype" w:eastAsia="Palatino Linotype" w:hAnsi="Palatino Linotype" w:cs="Palatino Linotype"/>
        </w:rPr>
        <w:t>.</w:t>
      </w:r>
    </w:p>
    <w:p w:rsidR="001576A6" w:rsidRPr="006A6FF8" w:rsidRDefault="006F7F49">
      <w:pPr>
        <w:spacing w:after="240" w:line="360" w:lineRule="auto"/>
        <w:jc w:val="both"/>
        <w:rPr>
          <w:rFonts w:ascii="Palatino Linotype" w:eastAsia="Palatino Linotype" w:hAnsi="Palatino Linotype" w:cs="Palatino Linotype"/>
        </w:rPr>
      </w:pPr>
      <w:r w:rsidRPr="006A6FF8">
        <w:rPr>
          <w:rFonts w:ascii="Palatino Linotype" w:eastAsia="Palatino Linotype" w:hAnsi="Palatino Linotype" w:cs="Palatino Linotype"/>
        </w:rPr>
        <w:t xml:space="preserve">Es de precisar que una </w:t>
      </w:r>
      <w:r w:rsidR="00A73319" w:rsidRPr="006A6FF8">
        <w:rPr>
          <w:rFonts w:ascii="Palatino Linotype" w:eastAsia="Palatino Linotype" w:hAnsi="Palatino Linotype" w:cs="Palatino Linotype"/>
        </w:rPr>
        <w:t xml:space="preserve">vez analizada esta documentación, se puso a disposición de </w:t>
      </w:r>
      <w:r w:rsidR="00A73319" w:rsidRPr="006A6FF8">
        <w:rPr>
          <w:rFonts w:ascii="Palatino Linotype" w:eastAsia="Palatino Linotype" w:hAnsi="Palatino Linotype" w:cs="Palatino Linotype"/>
          <w:b/>
        </w:rPr>
        <w:t>la parte Recurrente</w:t>
      </w:r>
      <w:r w:rsidR="00A73319" w:rsidRPr="006A6FF8">
        <w:rPr>
          <w:rFonts w:ascii="Palatino Linotype" w:eastAsia="Palatino Linotype" w:hAnsi="Palatino Linotype" w:cs="Palatino Linotype"/>
        </w:rPr>
        <w:t xml:space="preserve"> mediante acuerdo signado por la Comisionada Ponente el </w:t>
      </w:r>
      <w:r w:rsidRPr="006A6FF8">
        <w:rPr>
          <w:rFonts w:ascii="Palatino Linotype" w:eastAsia="Palatino Linotype" w:hAnsi="Palatino Linotype" w:cs="Palatino Linotype"/>
          <w:b/>
        </w:rPr>
        <w:t>doce</w:t>
      </w:r>
      <w:r w:rsidR="00A73319" w:rsidRPr="006A6FF8">
        <w:rPr>
          <w:rFonts w:ascii="Palatino Linotype" w:eastAsia="Palatino Linotype" w:hAnsi="Palatino Linotype" w:cs="Palatino Linotype"/>
          <w:b/>
        </w:rPr>
        <w:t xml:space="preserve"> de </w:t>
      </w:r>
      <w:r w:rsidRPr="006A6FF8">
        <w:rPr>
          <w:rFonts w:ascii="Palatino Linotype" w:eastAsia="Palatino Linotype" w:hAnsi="Palatino Linotype" w:cs="Palatino Linotype"/>
          <w:b/>
        </w:rPr>
        <w:t>septiembre</w:t>
      </w:r>
      <w:r w:rsidR="00A73319" w:rsidRPr="006A6FF8">
        <w:rPr>
          <w:rFonts w:ascii="Palatino Linotype" w:eastAsia="Palatino Linotype" w:hAnsi="Palatino Linotype" w:cs="Palatino Linotype"/>
          <w:b/>
        </w:rPr>
        <w:t xml:space="preserve"> de dos mil veintitrés</w:t>
      </w:r>
      <w:r w:rsidR="00A73319" w:rsidRPr="006A6FF8">
        <w:rPr>
          <w:rFonts w:ascii="Palatino Linotype" w:eastAsia="Palatino Linotype" w:hAnsi="Palatino Linotype" w:cs="Palatino Linotype"/>
        </w:rPr>
        <w:t xml:space="preserve">, teniendo como resultado que </w:t>
      </w:r>
      <w:r w:rsidR="00A73319" w:rsidRPr="006A6FF8">
        <w:rPr>
          <w:rFonts w:ascii="Palatino Linotype" w:eastAsia="Palatino Linotype" w:hAnsi="Palatino Linotype" w:cs="Palatino Linotype"/>
          <w:b/>
        </w:rPr>
        <w:t>la parte Recurrente</w:t>
      </w:r>
      <w:r w:rsidR="00A73319" w:rsidRPr="006A6FF8">
        <w:rPr>
          <w:rFonts w:ascii="Palatino Linotype" w:eastAsia="Palatino Linotype" w:hAnsi="Palatino Linotype" w:cs="Palatino Linotype"/>
        </w:rPr>
        <w:t xml:space="preserve"> fue omisa en pronunciarse respecto de estas apuntaciones novedosas, </w:t>
      </w:r>
      <w:r w:rsidR="000941EF" w:rsidRPr="006A6FF8">
        <w:rPr>
          <w:rFonts w:ascii="Palatino Linotype" w:eastAsia="Palatino Linotype" w:hAnsi="Palatino Linotype" w:cs="Palatino Linotype"/>
        </w:rPr>
        <w:t xml:space="preserve">por lo que se tiene por </w:t>
      </w:r>
      <w:proofErr w:type="spellStart"/>
      <w:r w:rsidR="000941EF" w:rsidRPr="006A6FF8">
        <w:rPr>
          <w:rFonts w:ascii="Palatino Linotype" w:eastAsia="Palatino Linotype" w:hAnsi="Palatino Linotype" w:cs="Palatino Linotype"/>
        </w:rPr>
        <w:t>precluido</w:t>
      </w:r>
      <w:proofErr w:type="spellEnd"/>
      <w:r w:rsidR="000941EF" w:rsidRPr="006A6FF8">
        <w:rPr>
          <w:rFonts w:ascii="Palatino Linotype" w:eastAsia="Palatino Linotype" w:hAnsi="Palatino Linotype" w:cs="Palatino Linotype"/>
        </w:rPr>
        <w:t xml:space="preserve"> su derecho para tal efecto. </w:t>
      </w:r>
    </w:p>
    <w:p w:rsidR="001576A6" w:rsidRPr="006A6FF8" w:rsidRDefault="006F7F49">
      <w:pPr>
        <w:spacing w:after="240" w:line="360" w:lineRule="auto"/>
        <w:jc w:val="both"/>
        <w:rPr>
          <w:rFonts w:ascii="Palatino Linotype" w:eastAsia="Palatino Linotype" w:hAnsi="Palatino Linotype" w:cs="Palatino Linotype"/>
        </w:rPr>
      </w:pPr>
      <w:r w:rsidRPr="006A6FF8">
        <w:rPr>
          <w:rFonts w:ascii="Palatino Linotype" w:eastAsia="Palatino Linotype" w:hAnsi="Palatino Linotype" w:cs="Palatino Linotype"/>
          <w:noProof/>
          <w:lang w:val="es-MX"/>
        </w:rPr>
        <w:drawing>
          <wp:inline distT="0" distB="0" distL="0" distR="0" wp14:anchorId="7069E9EE" wp14:editId="2456D308">
            <wp:extent cx="5612130" cy="1915795"/>
            <wp:effectExtent l="19050" t="19050" r="26670" b="273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1915795"/>
                    </a:xfrm>
                    <a:prstGeom prst="rect">
                      <a:avLst/>
                    </a:prstGeom>
                    <a:ln>
                      <a:solidFill>
                        <a:schemeClr val="tx1"/>
                      </a:solidFill>
                    </a:ln>
                  </pic:spPr>
                </pic:pic>
              </a:graphicData>
            </a:graphic>
          </wp:inline>
        </w:drawing>
      </w:r>
    </w:p>
    <w:p w:rsidR="00A73319" w:rsidRPr="006A6FF8" w:rsidRDefault="00A73319" w:rsidP="00A73319">
      <w:pPr>
        <w:widowControl w:val="0"/>
        <w:spacing w:after="240" w:line="360" w:lineRule="auto"/>
        <w:jc w:val="both"/>
        <w:rPr>
          <w:rFonts w:ascii="Palatino Linotype" w:eastAsia="Palatino Linotype" w:hAnsi="Palatino Linotype" w:cs="Palatino Linotype"/>
        </w:rPr>
      </w:pPr>
      <w:r w:rsidRPr="006A6FF8">
        <w:rPr>
          <w:rFonts w:ascii="Palatino Linotype" w:eastAsia="Palatino Linotype" w:hAnsi="Palatino Linotype" w:cs="Palatino Linotype"/>
          <w:b/>
        </w:rPr>
        <w:t>7.</w:t>
      </w:r>
      <w:r w:rsidRPr="006A6FF8">
        <w:rPr>
          <w:rFonts w:ascii="Palatino Linotype" w:eastAsia="Palatino Linotype" w:hAnsi="Palatino Linotype" w:cs="Palatino Linotype"/>
        </w:rPr>
        <w:t xml:space="preserve"> </w:t>
      </w:r>
      <w:r w:rsidRPr="006A6FF8">
        <w:rPr>
          <w:rFonts w:ascii="Palatino Linotype" w:eastAsia="Palatino Linotype" w:hAnsi="Palatino Linotype" w:cs="Palatino Linotype"/>
          <w:b/>
        </w:rPr>
        <w:t>Ampliación del término para resolver</w:t>
      </w:r>
      <w:r w:rsidRPr="006A6FF8">
        <w:rPr>
          <w:rFonts w:ascii="Palatino Linotype" w:eastAsia="Palatino Linotype" w:hAnsi="Palatino Linotype" w:cs="Palatino Linotype"/>
        </w:rPr>
        <w:t xml:space="preserve">. El </w:t>
      </w:r>
      <w:r w:rsidR="006F7F49" w:rsidRPr="006A6FF8">
        <w:rPr>
          <w:rFonts w:ascii="Palatino Linotype" w:eastAsia="Palatino Linotype" w:hAnsi="Palatino Linotype" w:cs="Palatino Linotype"/>
          <w:b/>
        </w:rPr>
        <w:t>doce de septiembre</w:t>
      </w:r>
      <w:r w:rsidRPr="006A6FF8">
        <w:rPr>
          <w:rFonts w:ascii="Palatino Linotype" w:eastAsia="Palatino Linotype" w:hAnsi="Palatino Linotype" w:cs="Palatino Linotype"/>
          <w:b/>
        </w:rPr>
        <w:t xml:space="preserve"> del año dos mil veintitrés</w:t>
      </w:r>
      <w:r w:rsidRPr="006A6FF8">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rsidR="00A73319" w:rsidRPr="006A6FF8" w:rsidRDefault="00A73319" w:rsidP="00A73319">
      <w:pPr>
        <w:spacing w:line="360" w:lineRule="auto"/>
        <w:jc w:val="both"/>
        <w:rPr>
          <w:rFonts w:ascii="Palatino Linotype" w:eastAsia="Palatino Linotype" w:hAnsi="Palatino Linotype" w:cs="Palatino Linotype"/>
        </w:rPr>
      </w:pPr>
      <w:r w:rsidRPr="006A6FF8">
        <w:rPr>
          <w:rFonts w:ascii="Palatino Linotype" w:eastAsia="Palatino Linotype" w:hAnsi="Palatino Linotype" w:cs="Palatino Linotype"/>
        </w:rPr>
        <w:lastRenderedPageBreak/>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dentro del mismo periodo, se incrementó aproximadamente un 300%, circunstancia atípica que ha rebasado las capacidades técnicas y humanas del personal encargado de la proyección de las resoluciones a dichos medios de impugnación.</w:t>
      </w:r>
    </w:p>
    <w:p w:rsidR="00A73319" w:rsidRPr="006A6FF8" w:rsidRDefault="00A73319" w:rsidP="00A73319">
      <w:pPr>
        <w:spacing w:line="360" w:lineRule="auto"/>
        <w:jc w:val="both"/>
        <w:rPr>
          <w:rFonts w:ascii="Palatino Linotype" w:eastAsia="Palatino Linotype" w:hAnsi="Palatino Linotype" w:cs="Palatino Linotype"/>
        </w:rPr>
      </w:pPr>
    </w:p>
    <w:p w:rsidR="00A73319" w:rsidRPr="006A6FF8" w:rsidRDefault="00A73319" w:rsidP="00A73319">
      <w:pPr>
        <w:spacing w:line="360" w:lineRule="auto"/>
        <w:jc w:val="both"/>
        <w:rPr>
          <w:rFonts w:ascii="Palatino Linotype" w:eastAsia="Palatino Linotype" w:hAnsi="Palatino Linotype" w:cs="Palatino Linotype"/>
        </w:rPr>
      </w:pPr>
      <w:r w:rsidRPr="006A6FF8">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A73319" w:rsidRPr="006A6FF8" w:rsidRDefault="00A73319" w:rsidP="00A73319">
      <w:pPr>
        <w:spacing w:line="360" w:lineRule="auto"/>
        <w:jc w:val="both"/>
        <w:rPr>
          <w:rFonts w:ascii="Palatino Linotype" w:eastAsia="Palatino Linotype" w:hAnsi="Palatino Linotype" w:cs="Palatino Linotype"/>
        </w:rPr>
      </w:pPr>
    </w:p>
    <w:p w:rsidR="00A73319" w:rsidRPr="006A6FF8" w:rsidRDefault="00A73319" w:rsidP="00A73319">
      <w:pPr>
        <w:spacing w:line="360" w:lineRule="auto"/>
        <w:jc w:val="both"/>
        <w:rPr>
          <w:rFonts w:ascii="Palatino Linotype" w:eastAsia="Palatino Linotype" w:hAnsi="Palatino Linotype" w:cs="Palatino Linotype"/>
        </w:rPr>
      </w:pPr>
      <w:r w:rsidRPr="006A6FF8">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A73319" w:rsidRPr="006A6FF8" w:rsidRDefault="00A73319" w:rsidP="00A73319">
      <w:pPr>
        <w:spacing w:line="360" w:lineRule="auto"/>
        <w:jc w:val="both"/>
        <w:rPr>
          <w:rFonts w:ascii="Palatino Linotype" w:eastAsia="Palatino Linotype" w:hAnsi="Palatino Linotype" w:cs="Palatino Linotype"/>
        </w:rPr>
      </w:pPr>
    </w:p>
    <w:p w:rsidR="00A73319" w:rsidRPr="006A6FF8" w:rsidRDefault="00A73319" w:rsidP="00A73319">
      <w:pPr>
        <w:spacing w:line="360" w:lineRule="auto"/>
        <w:jc w:val="both"/>
        <w:rPr>
          <w:rFonts w:ascii="Palatino Linotype" w:eastAsia="Palatino Linotype" w:hAnsi="Palatino Linotype" w:cs="Palatino Linotype"/>
        </w:rPr>
      </w:pPr>
      <w:r w:rsidRPr="006A6FF8">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w:t>
      </w:r>
      <w:r w:rsidRPr="006A6FF8">
        <w:rPr>
          <w:rFonts w:ascii="Palatino Linotype" w:eastAsia="Palatino Linotype" w:hAnsi="Palatino Linotype" w:cs="Palatino Linotype"/>
        </w:rPr>
        <w:lastRenderedPageBreak/>
        <w:t xml:space="preserve">órganos jurisdiccionales o cuasi jurisdiccionales, tanto por la complejidad de los hechos, como por el número de casos que conocen. </w:t>
      </w:r>
    </w:p>
    <w:p w:rsidR="00A73319" w:rsidRPr="006A6FF8" w:rsidRDefault="00A73319" w:rsidP="00A73319">
      <w:pPr>
        <w:spacing w:line="360" w:lineRule="auto"/>
        <w:jc w:val="both"/>
        <w:rPr>
          <w:rFonts w:ascii="Palatino Linotype" w:eastAsia="Palatino Linotype" w:hAnsi="Palatino Linotype" w:cs="Palatino Linotype"/>
        </w:rPr>
      </w:pPr>
    </w:p>
    <w:p w:rsidR="00A73319" w:rsidRPr="006A6FF8" w:rsidRDefault="00A73319" w:rsidP="00A73319">
      <w:pPr>
        <w:spacing w:line="360" w:lineRule="auto"/>
        <w:jc w:val="both"/>
        <w:rPr>
          <w:rFonts w:ascii="Palatino Linotype" w:eastAsia="Palatino Linotype" w:hAnsi="Palatino Linotype" w:cs="Palatino Linotype"/>
          <w:strike/>
        </w:rPr>
      </w:pPr>
      <w:r w:rsidRPr="006A6FF8">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A73319" w:rsidRPr="006A6FF8" w:rsidRDefault="00A73319" w:rsidP="00A73319">
      <w:pPr>
        <w:spacing w:line="360" w:lineRule="auto"/>
        <w:jc w:val="both"/>
        <w:rPr>
          <w:rFonts w:ascii="Palatino Linotype" w:eastAsia="Palatino Linotype" w:hAnsi="Palatino Linotype" w:cs="Palatino Linotype"/>
        </w:rPr>
      </w:pPr>
    </w:p>
    <w:p w:rsidR="00A73319" w:rsidRPr="006A6FF8" w:rsidRDefault="00A73319" w:rsidP="00A73319">
      <w:pPr>
        <w:numPr>
          <w:ilvl w:val="0"/>
          <w:numId w:val="5"/>
        </w:numPr>
        <w:spacing w:line="360" w:lineRule="auto"/>
        <w:ind w:left="567" w:right="900" w:hanging="141"/>
        <w:jc w:val="both"/>
        <w:rPr>
          <w:rFonts w:ascii="Palatino Linotype" w:eastAsia="Palatino Linotype" w:hAnsi="Palatino Linotype" w:cs="Palatino Linotype"/>
        </w:rPr>
      </w:pPr>
      <w:r w:rsidRPr="006A6FF8">
        <w:rPr>
          <w:rFonts w:ascii="Palatino Linotype" w:eastAsia="Palatino Linotype" w:hAnsi="Palatino Linotype" w:cs="Palatino Linotype"/>
          <w:b/>
        </w:rPr>
        <w:t>Complejidad del Asunto:</w:t>
      </w:r>
      <w:r w:rsidRPr="006A6FF8">
        <w:rPr>
          <w:rFonts w:ascii="Palatino Linotype" w:eastAsia="Palatino Linotype" w:hAnsi="Palatino Linotype" w:cs="Palatino Linotype"/>
        </w:rPr>
        <w:t xml:space="preserve"> La complejidad de la prueba, la pluralidad de sujetos procesales, el tiempo transcurrido, las características y contexto del recurso. </w:t>
      </w:r>
    </w:p>
    <w:p w:rsidR="00A73319" w:rsidRPr="006A6FF8" w:rsidRDefault="00A73319" w:rsidP="00A73319">
      <w:pPr>
        <w:spacing w:line="360" w:lineRule="auto"/>
        <w:ind w:left="567" w:right="900" w:hanging="141"/>
        <w:jc w:val="both"/>
        <w:rPr>
          <w:rFonts w:ascii="Palatino Linotype" w:eastAsia="Palatino Linotype" w:hAnsi="Palatino Linotype" w:cs="Palatino Linotype"/>
          <w:b/>
        </w:rPr>
      </w:pPr>
    </w:p>
    <w:p w:rsidR="00A73319" w:rsidRPr="006A6FF8" w:rsidRDefault="00A73319" w:rsidP="00A73319">
      <w:pPr>
        <w:numPr>
          <w:ilvl w:val="0"/>
          <w:numId w:val="5"/>
        </w:numPr>
        <w:spacing w:line="360" w:lineRule="auto"/>
        <w:ind w:left="567" w:right="900" w:hanging="141"/>
        <w:jc w:val="both"/>
        <w:rPr>
          <w:rFonts w:ascii="Palatino Linotype" w:eastAsia="Palatino Linotype" w:hAnsi="Palatino Linotype" w:cs="Palatino Linotype"/>
        </w:rPr>
      </w:pPr>
      <w:r w:rsidRPr="006A6FF8">
        <w:rPr>
          <w:rFonts w:ascii="Palatino Linotype" w:eastAsia="Palatino Linotype" w:hAnsi="Palatino Linotype" w:cs="Palatino Linotype"/>
          <w:b/>
        </w:rPr>
        <w:t>Actividad Procesal del interesado.</w:t>
      </w:r>
      <w:r w:rsidRPr="006A6FF8">
        <w:rPr>
          <w:rFonts w:ascii="Palatino Linotype" w:eastAsia="Palatino Linotype" w:hAnsi="Palatino Linotype" w:cs="Palatino Linotype"/>
        </w:rPr>
        <w:t xml:space="preserve"> Acciones u omisiones del interesado.</w:t>
      </w:r>
    </w:p>
    <w:p w:rsidR="00A73319" w:rsidRPr="006A6FF8" w:rsidRDefault="00A73319" w:rsidP="00A73319">
      <w:pPr>
        <w:spacing w:line="360" w:lineRule="auto"/>
        <w:ind w:left="567" w:right="900" w:hanging="141"/>
        <w:jc w:val="both"/>
        <w:rPr>
          <w:rFonts w:ascii="Palatino Linotype" w:eastAsia="Palatino Linotype" w:hAnsi="Palatino Linotype" w:cs="Palatino Linotype"/>
        </w:rPr>
      </w:pPr>
    </w:p>
    <w:p w:rsidR="00A73319" w:rsidRPr="006A6FF8" w:rsidRDefault="00A73319" w:rsidP="00A73319">
      <w:pPr>
        <w:numPr>
          <w:ilvl w:val="0"/>
          <w:numId w:val="5"/>
        </w:numPr>
        <w:spacing w:line="360" w:lineRule="auto"/>
        <w:ind w:left="567" w:right="900" w:hanging="141"/>
        <w:jc w:val="both"/>
        <w:rPr>
          <w:rFonts w:ascii="Palatino Linotype" w:eastAsia="Palatino Linotype" w:hAnsi="Palatino Linotype" w:cs="Palatino Linotype"/>
        </w:rPr>
      </w:pPr>
      <w:r w:rsidRPr="006A6FF8">
        <w:rPr>
          <w:rFonts w:ascii="Palatino Linotype" w:eastAsia="Palatino Linotype" w:hAnsi="Palatino Linotype" w:cs="Palatino Linotype"/>
          <w:b/>
        </w:rPr>
        <w:t>Conducta de la Autoridad:</w:t>
      </w:r>
      <w:r w:rsidRPr="006A6FF8">
        <w:rPr>
          <w:rFonts w:ascii="Palatino Linotype" w:eastAsia="Palatino Linotype" w:hAnsi="Palatino Linotype" w:cs="Palatino Linotype"/>
        </w:rPr>
        <w:t xml:space="preserve"> Las Acciones u omisiones realizadas en el procedimiento. Así como si la autoridad actuó con la debida diligencia.</w:t>
      </w:r>
    </w:p>
    <w:p w:rsidR="00A73319" w:rsidRPr="006A6FF8" w:rsidRDefault="00A73319" w:rsidP="00A73319">
      <w:pPr>
        <w:spacing w:line="360" w:lineRule="auto"/>
        <w:ind w:left="567" w:right="900" w:hanging="141"/>
        <w:rPr>
          <w:rFonts w:ascii="Palatino Linotype" w:eastAsia="Palatino Linotype" w:hAnsi="Palatino Linotype" w:cs="Palatino Linotype"/>
        </w:rPr>
      </w:pPr>
    </w:p>
    <w:p w:rsidR="00A73319" w:rsidRPr="006A6FF8" w:rsidRDefault="00A73319" w:rsidP="00A73319">
      <w:pPr>
        <w:spacing w:line="360" w:lineRule="auto"/>
        <w:ind w:left="567" w:right="900" w:hanging="141"/>
        <w:jc w:val="both"/>
        <w:rPr>
          <w:rFonts w:ascii="Palatino Linotype" w:eastAsia="Palatino Linotype" w:hAnsi="Palatino Linotype" w:cs="Palatino Linotype"/>
        </w:rPr>
      </w:pPr>
      <w:r w:rsidRPr="006A6FF8">
        <w:rPr>
          <w:rFonts w:ascii="Palatino Linotype" w:eastAsia="Palatino Linotype" w:hAnsi="Palatino Linotype" w:cs="Palatino Linotype"/>
          <w:b/>
        </w:rPr>
        <w:t>d) La afectación generada en la situación jurídica de la persona involucrada en el proceso</w:t>
      </w:r>
      <w:r w:rsidRPr="006A6FF8">
        <w:rPr>
          <w:rFonts w:ascii="Palatino Linotype" w:eastAsia="Palatino Linotype" w:hAnsi="Palatino Linotype" w:cs="Palatino Linotype"/>
        </w:rPr>
        <w:t>: Violación a sus derechos humanos.</w:t>
      </w:r>
    </w:p>
    <w:p w:rsidR="00A73319" w:rsidRPr="006A6FF8" w:rsidRDefault="00A73319" w:rsidP="00A73319">
      <w:pPr>
        <w:spacing w:line="360" w:lineRule="auto"/>
        <w:jc w:val="both"/>
        <w:rPr>
          <w:rFonts w:ascii="Palatino Linotype" w:eastAsia="Palatino Linotype" w:hAnsi="Palatino Linotype" w:cs="Palatino Linotype"/>
        </w:rPr>
      </w:pPr>
    </w:p>
    <w:p w:rsidR="00A73319" w:rsidRPr="006A6FF8" w:rsidRDefault="00A73319" w:rsidP="00A73319">
      <w:pPr>
        <w:spacing w:line="360" w:lineRule="auto"/>
        <w:jc w:val="both"/>
        <w:rPr>
          <w:rFonts w:ascii="Palatino Linotype" w:eastAsia="Palatino Linotype" w:hAnsi="Palatino Linotype" w:cs="Palatino Linotype"/>
        </w:rPr>
      </w:pPr>
      <w:r w:rsidRPr="006A6FF8">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w:t>
      </w:r>
      <w:r w:rsidRPr="006A6FF8">
        <w:rPr>
          <w:rFonts w:ascii="Palatino Linotype" w:eastAsia="Palatino Linotype" w:hAnsi="Palatino Linotype" w:cs="Palatino Linotype"/>
        </w:rPr>
        <w:lastRenderedPageBreak/>
        <w:t>jurisdiccional o cuasi jurisdiccional respectivo supere notoriamente al que podría considerarse normal, debe concluirse que es una excluyente de responsabilidad en relación con la actuación del funcionario, como ha acontecido en el caso que nos ocupa.</w:t>
      </w:r>
    </w:p>
    <w:p w:rsidR="00A73319" w:rsidRPr="006A6FF8" w:rsidRDefault="00A73319" w:rsidP="00A73319">
      <w:pPr>
        <w:spacing w:line="360" w:lineRule="auto"/>
        <w:jc w:val="both"/>
        <w:rPr>
          <w:rFonts w:ascii="Palatino Linotype" w:eastAsia="Palatino Linotype" w:hAnsi="Palatino Linotype" w:cs="Palatino Linotype"/>
        </w:rPr>
      </w:pPr>
    </w:p>
    <w:p w:rsidR="00A73319" w:rsidRPr="006A6FF8" w:rsidRDefault="00A73319" w:rsidP="00A73319">
      <w:pPr>
        <w:spacing w:line="360" w:lineRule="auto"/>
        <w:jc w:val="both"/>
        <w:rPr>
          <w:rFonts w:ascii="Palatino Linotype" w:eastAsia="Palatino Linotype" w:hAnsi="Palatino Linotype" w:cs="Palatino Linotype"/>
          <w:b/>
        </w:rPr>
      </w:pPr>
      <w:r w:rsidRPr="006A6FF8">
        <w:rPr>
          <w:rFonts w:ascii="Palatino Linotype" w:eastAsia="Palatino Linotype" w:hAnsi="Palatino Linotype" w:cs="Palatino Linotype"/>
        </w:rPr>
        <w:t>Argumento que encuentra sustento en la jurisprudencia P</w:t>
      </w:r>
      <w:proofErr w:type="gramStart"/>
      <w:r w:rsidRPr="006A6FF8">
        <w:rPr>
          <w:rFonts w:ascii="Palatino Linotype" w:eastAsia="Palatino Linotype" w:hAnsi="Palatino Linotype" w:cs="Palatino Linotype"/>
        </w:rPr>
        <w:t>./</w:t>
      </w:r>
      <w:proofErr w:type="gramEnd"/>
      <w:r w:rsidRPr="006A6FF8">
        <w:rPr>
          <w:rFonts w:ascii="Palatino Linotype" w:eastAsia="Palatino Linotype" w:hAnsi="Palatino Linotype" w:cs="Palatino Linotype"/>
        </w:rPr>
        <w:t xml:space="preserve">J. 32/92 emitida por el Pleno de la Suprema Corte de Justicia de la Nación de rubro </w:t>
      </w:r>
      <w:r w:rsidRPr="006A6FF8">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6A6FF8">
        <w:rPr>
          <w:rFonts w:ascii="Palatino Linotype" w:eastAsia="Palatino Linotype" w:hAnsi="Palatino Linotype" w:cs="Palatino Linotype"/>
        </w:rPr>
        <w:t>, visible en la Gaceta del Seminario Judicial de la Federación con el registro digital 205635.</w:t>
      </w:r>
    </w:p>
    <w:p w:rsidR="00A73319" w:rsidRPr="006A6FF8" w:rsidRDefault="00A73319" w:rsidP="00A73319">
      <w:pPr>
        <w:spacing w:line="360" w:lineRule="auto"/>
        <w:jc w:val="both"/>
        <w:rPr>
          <w:rFonts w:ascii="Palatino Linotype" w:eastAsia="Palatino Linotype" w:hAnsi="Palatino Linotype" w:cs="Palatino Linotype"/>
        </w:rPr>
      </w:pPr>
    </w:p>
    <w:p w:rsidR="00A73319" w:rsidRPr="006A6FF8" w:rsidRDefault="00A73319" w:rsidP="00A73319">
      <w:pPr>
        <w:spacing w:line="360" w:lineRule="auto"/>
        <w:jc w:val="both"/>
        <w:rPr>
          <w:rFonts w:ascii="Palatino Linotype" w:eastAsia="Palatino Linotype" w:hAnsi="Palatino Linotype" w:cs="Palatino Linotype"/>
        </w:rPr>
      </w:pPr>
      <w:r w:rsidRPr="006A6FF8">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A73319" w:rsidRPr="006A6FF8" w:rsidRDefault="00A73319" w:rsidP="00A73319">
      <w:pPr>
        <w:spacing w:line="360" w:lineRule="auto"/>
        <w:jc w:val="both"/>
        <w:rPr>
          <w:rFonts w:ascii="Palatino Linotype" w:eastAsia="Palatino Linotype" w:hAnsi="Palatino Linotype" w:cs="Palatino Linotype"/>
        </w:rPr>
      </w:pPr>
    </w:p>
    <w:p w:rsidR="00A73319" w:rsidRPr="006A6FF8" w:rsidRDefault="00A73319" w:rsidP="00A73319">
      <w:pPr>
        <w:spacing w:line="360" w:lineRule="auto"/>
        <w:jc w:val="both"/>
        <w:rPr>
          <w:rFonts w:ascii="Palatino Linotype" w:eastAsia="Palatino Linotype" w:hAnsi="Palatino Linotype" w:cs="Palatino Linotype"/>
        </w:rPr>
      </w:pPr>
      <w:r w:rsidRPr="006A6FF8">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A73319" w:rsidRPr="006A6FF8" w:rsidRDefault="00A73319" w:rsidP="00A73319">
      <w:pPr>
        <w:spacing w:line="360" w:lineRule="auto"/>
        <w:jc w:val="both"/>
        <w:rPr>
          <w:rFonts w:ascii="Palatino Linotype" w:eastAsia="Palatino Linotype" w:hAnsi="Palatino Linotype" w:cs="Palatino Linotype"/>
        </w:rPr>
      </w:pPr>
    </w:p>
    <w:p w:rsidR="00A73319" w:rsidRPr="006A6FF8" w:rsidRDefault="00A73319" w:rsidP="00A73319">
      <w:pPr>
        <w:spacing w:line="360" w:lineRule="auto"/>
        <w:jc w:val="both"/>
        <w:rPr>
          <w:rFonts w:ascii="Palatino Linotype" w:eastAsia="Palatino Linotype" w:hAnsi="Palatino Linotype" w:cs="Palatino Linotype"/>
        </w:rPr>
      </w:pPr>
      <w:r w:rsidRPr="006A6FF8">
        <w:rPr>
          <w:rFonts w:ascii="Palatino Linotype" w:eastAsia="Palatino Linotype" w:hAnsi="Palatino Linotype" w:cs="Palatino Linotype"/>
        </w:rPr>
        <w:t xml:space="preserve"> </w:t>
      </w:r>
      <w:r w:rsidRPr="006A6FF8">
        <w:rPr>
          <w:rFonts w:ascii="Palatino Linotype" w:eastAsia="Palatino Linotype" w:hAnsi="Palatino Linotype" w:cs="Palatino Linotype"/>
          <w:i/>
        </w:rPr>
        <w:t>“PLAZO RAZONABLE PARA RESOLVER. DIMENSIÓN Y EFECTOS DE ESTE CONCEPTO CUANDO SE ADUCE EXCESIVA CARGA DE TRABAJO.”</w:t>
      </w:r>
      <w:r w:rsidRPr="006A6FF8">
        <w:rPr>
          <w:rFonts w:ascii="Palatino Linotype" w:eastAsia="Palatino Linotype" w:hAnsi="Palatino Linotype" w:cs="Palatino Linotype"/>
        </w:rPr>
        <w:t xml:space="preserve"> consultable en el Seminario Judicial de la Federación y su gaceta, con el registro digital 2002351.</w:t>
      </w:r>
    </w:p>
    <w:p w:rsidR="00A73319" w:rsidRPr="006A6FF8" w:rsidRDefault="00A73319" w:rsidP="00A73319">
      <w:pPr>
        <w:spacing w:line="360" w:lineRule="auto"/>
        <w:jc w:val="both"/>
        <w:rPr>
          <w:rFonts w:ascii="Palatino Linotype" w:eastAsia="Palatino Linotype" w:hAnsi="Palatino Linotype" w:cs="Palatino Linotype"/>
          <w:b/>
        </w:rPr>
      </w:pPr>
    </w:p>
    <w:p w:rsidR="00A73319" w:rsidRPr="006A6FF8" w:rsidRDefault="00A73319" w:rsidP="00A73319">
      <w:pPr>
        <w:spacing w:line="360" w:lineRule="auto"/>
        <w:jc w:val="both"/>
        <w:rPr>
          <w:rFonts w:ascii="Palatino Linotype" w:eastAsia="Palatino Linotype" w:hAnsi="Palatino Linotype" w:cs="Palatino Linotype"/>
        </w:rPr>
      </w:pPr>
      <w:r w:rsidRPr="006A6FF8">
        <w:rPr>
          <w:rFonts w:ascii="Palatino Linotype" w:eastAsia="Palatino Linotype" w:hAnsi="Palatino Linotype" w:cs="Palatino Linotype"/>
          <w:i/>
        </w:rPr>
        <w:t>“PLAZO RAZONABLE PARA RESOLVER. CONCEPTO Y ELEMENTOS QUE LO INTEGRAN A LA LUZ DEL DERECHO INTERNACIONAL DE LOS DERECHOS HUMANOS.”</w:t>
      </w:r>
      <w:r w:rsidRPr="006A6FF8">
        <w:rPr>
          <w:rFonts w:ascii="Palatino Linotype" w:eastAsia="Palatino Linotype" w:hAnsi="Palatino Linotype" w:cs="Palatino Linotype"/>
        </w:rPr>
        <w:t>, visible en el Seminario Judicial de la Federación y su gaceta, con el registro digital 2002350.</w:t>
      </w:r>
    </w:p>
    <w:p w:rsidR="00A73319" w:rsidRPr="006A6FF8" w:rsidRDefault="00A73319" w:rsidP="00A73319">
      <w:pPr>
        <w:spacing w:line="360" w:lineRule="auto"/>
        <w:jc w:val="both"/>
        <w:rPr>
          <w:rFonts w:ascii="Palatino Linotype" w:eastAsia="Palatino Linotype" w:hAnsi="Palatino Linotype" w:cs="Palatino Linotype"/>
        </w:rPr>
      </w:pPr>
    </w:p>
    <w:p w:rsidR="00A73319" w:rsidRPr="006A6FF8" w:rsidRDefault="00A73319" w:rsidP="00A73319">
      <w:pPr>
        <w:spacing w:line="360" w:lineRule="auto"/>
        <w:jc w:val="both"/>
        <w:rPr>
          <w:rFonts w:ascii="Palatino Linotype" w:eastAsia="Palatino Linotype" w:hAnsi="Palatino Linotype" w:cs="Palatino Linotype"/>
        </w:rPr>
      </w:pPr>
      <w:r w:rsidRPr="006A6FF8">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rsidR="009436B1" w:rsidRPr="006A6FF8" w:rsidRDefault="009436B1">
      <w:pPr>
        <w:spacing w:after="240" w:line="360" w:lineRule="auto"/>
        <w:jc w:val="both"/>
        <w:rPr>
          <w:rFonts w:ascii="Palatino Linotype" w:eastAsia="Palatino Linotype" w:hAnsi="Palatino Linotype" w:cs="Palatino Linotype"/>
          <w:b/>
        </w:rPr>
      </w:pPr>
    </w:p>
    <w:p w:rsidR="001576A6" w:rsidRPr="006A6FF8" w:rsidRDefault="009436B1">
      <w:pPr>
        <w:spacing w:after="240" w:line="360" w:lineRule="auto"/>
        <w:jc w:val="both"/>
        <w:rPr>
          <w:rFonts w:ascii="Palatino Linotype" w:eastAsia="Palatino Linotype" w:hAnsi="Palatino Linotype" w:cs="Palatino Linotype"/>
          <w:b/>
        </w:rPr>
      </w:pPr>
      <w:r w:rsidRPr="006A6FF8">
        <w:rPr>
          <w:rFonts w:ascii="Palatino Linotype" w:eastAsia="Palatino Linotype" w:hAnsi="Palatino Linotype" w:cs="Palatino Linotype"/>
          <w:b/>
        </w:rPr>
        <w:t xml:space="preserve">8. </w:t>
      </w:r>
      <w:r w:rsidR="000941EF" w:rsidRPr="006A6FF8">
        <w:rPr>
          <w:rFonts w:ascii="Palatino Linotype" w:eastAsia="Palatino Linotype" w:hAnsi="Palatino Linotype" w:cs="Palatino Linotype"/>
          <w:b/>
        </w:rPr>
        <w:t xml:space="preserve">Cierre de instrucción. </w:t>
      </w:r>
      <w:r w:rsidR="000941EF" w:rsidRPr="006A6FF8">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006F7F49" w:rsidRPr="006A6FF8">
        <w:rPr>
          <w:rFonts w:ascii="Palatino Linotype" w:eastAsia="Palatino Linotype" w:hAnsi="Palatino Linotype" w:cs="Palatino Linotype"/>
          <w:b/>
        </w:rPr>
        <w:t>dieciocho</w:t>
      </w:r>
      <w:r w:rsidRPr="006A6FF8">
        <w:rPr>
          <w:rFonts w:ascii="Palatino Linotype" w:eastAsia="Palatino Linotype" w:hAnsi="Palatino Linotype" w:cs="Palatino Linotype"/>
          <w:b/>
        </w:rPr>
        <w:t xml:space="preserve"> de septiembre</w:t>
      </w:r>
      <w:r w:rsidR="000941EF" w:rsidRPr="006A6FF8">
        <w:rPr>
          <w:rFonts w:ascii="Palatino Linotype" w:eastAsia="Palatino Linotype" w:hAnsi="Palatino Linotype" w:cs="Palatino Linotype"/>
          <w:b/>
        </w:rPr>
        <w:t xml:space="preserve"> de dos mil veintitrés</w:t>
      </w:r>
      <w:r w:rsidR="000941EF" w:rsidRPr="006A6FF8">
        <w:rPr>
          <w:rFonts w:ascii="Palatino Linotype" w:eastAsia="Palatino Linotype" w:hAnsi="Palatino Linotype" w:cs="Palatino Linotype"/>
        </w:rPr>
        <w:t xml:space="preserve">, la Comisionada Ponente determinó el cierre de instrucción en términos de la fracción VI del artículo 185 de </w:t>
      </w:r>
      <w:r w:rsidR="000941EF" w:rsidRPr="006A6FF8">
        <w:rPr>
          <w:rFonts w:ascii="Palatino Linotype" w:eastAsia="Palatino Linotype" w:hAnsi="Palatino Linotype" w:cs="Palatino Linotype"/>
        </w:rPr>
        <w:lastRenderedPageBreak/>
        <w:t>la Ley de Transparencia y Acceso a la Información Pública del Estado de México y Municipios.</w:t>
      </w:r>
    </w:p>
    <w:p w:rsidR="009436B1" w:rsidRPr="006A6FF8" w:rsidRDefault="000941EF">
      <w:pPr>
        <w:spacing w:before="240" w:after="240" w:line="360" w:lineRule="auto"/>
        <w:jc w:val="both"/>
        <w:rPr>
          <w:rFonts w:ascii="Palatino Linotype" w:eastAsia="Palatino Linotype" w:hAnsi="Palatino Linotype" w:cs="Palatino Linotype"/>
        </w:rPr>
      </w:pPr>
      <w:r w:rsidRPr="006A6FF8">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1576A6" w:rsidRPr="006A6FF8" w:rsidRDefault="000941EF">
      <w:pPr>
        <w:widowControl w:val="0"/>
        <w:spacing w:line="360" w:lineRule="auto"/>
        <w:jc w:val="center"/>
        <w:rPr>
          <w:rFonts w:ascii="Palatino Linotype" w:eastAsia="Palatino Linotype" w:hAnsi="Palatino Linotype" w:cs="Palatino Linotype"/>
          <w:b/>
        </w:rPr>
      </w:pPr>
      <w:r w:rsidRPr="006A6FF8">
        <w:rPr>
          <w:rFonts w:ascii="Palatino Linotype" w:eastAsia="Palatino Linotype" w:hAnsi="Palatino Linotype" w:cs="Palatino Linotype"/>
          <w:b/>
        </w:rPr>
        <w:t>II. C O N S I D E R A N D O S</w:t>
      </w:r>
    </w:p>
    <w:p w:rsidR="001576A6" w:rsidRPr="006A6FF8" w:rsidRDefault="001576A6">
      <w:pPr>
        <w:widowControl w:val="0"/>
        <w:spacing w:line="360" w:lineRule="auto"/>
        <w:jc w:val="center"/>
        <w:rPr>
          <w:rFonts w:ascii="Palatino Linotype" w:eastAsia="Palatino Linotype" w:hAnsi="Palatino Linotype" w:cs="Palatino Linotype"/>
          <w:b/>
        </w:rPr>
      </w:pPr>
    </w:p>
    <w:p w:rsidR="001576A6" w:rsidRPr="006A6FF8" w:rsidRDefault="000941EF">
      <w:pPr>
        <w:spacing w:line="360" w:lineRule="auto"/>
        <w:jc w:val="both"/>
        <w:rPr>
          <w:rFonts w:ascii="Palatino Linotype" w:eastAsia="Palatino Linotype" w:hAnsi="Palatino Linotype" w:cs="Palatino Linotype"/>
        </w:rPr>
      </w:pPr>
      <w:r w:rsidRPr="006A6FF8">
        <w:rPr>
          <w:rFonts w:ascii="Palatino Linotype" w:eastAsia="Palatino Linotype" w:hAnsi="Palatino Linotype" w:cs="Palatino Linotype"/>
          <w:b/>
        </w:rPr>
        <w:t>Primero. Competencia.</w:t>
      </w:r>
      <w:r w:rsidRPr="006A6FF8">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sidRPr="006A6FF8">
        <w:rPr>
          <w:rFonts w:ascii="Palatino Linotype" w:eastAsia="Palatino Linotype" w:hAnsi="Palatino Linotype" w:cs="Palatino Linotype"/>
          <w:b/>
        </w:rPr>
        <w:t>la parte Recurrente</w:t>
      </w:r>
      <w:r w:rsidRPr="006A6FF8">
        <w:rPr>
          <w:rFonts w:ascii="Palatino Linotype" w:eastAsia="Palatino Linotype" w:hAnsi="Palatino Linotype" w:cs="Palatino Linotype"/>
        </w:rPr>
        <w:t>,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1576A6" w:rsidRPr="006A6FF8" w:rsidRDefault="000941EF">
      <w:pPr>
        <w:spacing w:before="240" w:after="240" w:line="360" w:lineRule="auto"/>
        <w:jc w:val="both"/>
        <w:rPr>
          <w:rFonts w:ascii="Palatino Linotype" w:eastAsia="Palatino Linotype" w:hAnsi="Palatino Linotype" w:cs="Palatino Linotype"/>
        </w:rPr>
      </w:pPr>
      <w:bookmarkStart w:id="4" w:name="_heading=h.tyjcwt" w:colFirst="0" w:colLast="0"/>
      <w:bookmarkEnd w:id="4"/>
      <w:r w:rsidRPr="006A6FF8">
        <w:rPr>
          <w:rFonts w:ascii="Palatino Linotype" w:eastAsia="Palatino Linotype" w:hAnsi="Palatino Linotype" w:cs="Palatino Linotype"/>
          <w:b/>
        </w:rPr>
        <w:t xml:space="preserve">Segundo. Oportunidad y </w:t>
      </w:r>
      <w:proofErr w:type="spellStart"/>
      <w:r w:rsidRPr="006A6FF8">
        <w:rPr>
          <w:rFonts w:ascii="Palatino Linotype" w:eastAsia="Palatino Linotype" w:hAnsi="Palatino Linotype" w:cs="Palatino Linotype"/>
          <w:b/>
        </w:rPr>
        <w:t>Procedibilidad</w:t>
      </w:r>
      <w:proofErr w:type="spellEnd"/>
      <w:r w:rsidRPr="006A6FF8">
        <w:rPr>
          <w:rFonts w:ascii="Palatino Linotype" w:eastAsia="Palatino Linotype" w:hAnsi="Palatino Linotype" w:cs="Palatino Linotype"/>
          <w:b/>
        </w:rPr>
        <w:t xml:space="preserve"> del Recurso de Revisión. </w:t>
      </w:r>
      <w:r w:rsidRPr="006A6FF8">
        <w:rPr>
          <w:rFonts w:ascii="Palatino Linotype" w:eastAsia="Palatino Linotype" w:hAnsi="Palatino Linotype" w:cs="Palatino Linotype"/>
        </w:rPr>
        <w:t xml:space="preserve">Previo al estudio del fondo del asunto, se procede a analizar los requisitos de oportunidad y </w:t>
      </w:r>
      <w:proofErr w:type="spellStart"/>
      <w:r w:rsidRPr="006A6FF8">
        <w:rPr>
          <w:rFonts w:ascii="Palatino Linotype" w:eastAsia="Palatino Linotype" w:hAnsi="Palatino Linotype" w:cs="Palatino Linotype"/>
        </w:rPr>
        <w:t>procedibilidad</w:t>
      </w:r>
      <w:proofErr w:type="spellEnd"/>
      <w:r w:rsidRPr="006A6FF8">
        <w:rPr>
          <w:rFonts w:ascii="Palatino Linotype" w:eastAsia="Palatino Linotype" w:hAnsi="Palatino Linotype" w:cs="Palatino Linotype"/>
        </w:rPr>
        <w:t xml:space="preserve"> que debe reunir el recurso de revisión interpuesto, previstos en los </w:t>
      </w:r>
      <w:r w:rsidRPr="006A6FF8">
        <w:rPr>
          <w:rFonts w:ascii="Palatino Linotype" w:eastAsia="Palatino Linotype" w:hAnsi="Palatino Linotype" w:cs="Palatino Linotype"/>
        </w:rPr>
        <w:lastRenderedPageBreak/>
        <w:t>artículos 178 y 180 de la Ley de Transparencia y Acceso a la Información Pública del Estado de México y Municipios.</w:t>
      </w:r>
    </w:p>
    <w:p w:rsidR="001576A6" w:rsidRPr="006A6FF8" w:rsidRDefault="000941EF">
      <w:pPr>
        <w:pBdr>
          <w:top w:val="nil"/>
          <w:left w:val="nil"/>
          <w:bottom w:val="nil"/>
          <w:right w:val="nil"/>
          <w:between w:val="nil"/>
        </w:pBdr>
        <w:spacing w:line="360" w:lineRule="auto"/>
        <w:jc w:val="both"/>
        <w:rPr>
          <w:rFonts w:ascii="Palatino Linotype" w:eastAsia="Palatino Linotype" w:hAnsi="Palatino Linotype" w:cs="Palatino Linotype"/>
        </w:rPr>
      </w:pPr>
      <w:r w:rsidRPr="006A6FF8">
        <w:rPr>
          <w:rFonts w:ascii="Palatino Linotype" w:eastAsia="Palatino Linotype" w:hAnsi="Palatino Linotype" w:cs="Palatino Linotype"/>
        </w:rPr>
        <w:t xml:space="preserve">El recurso de revisión fue interpuesto dentro del plazo de quince días hábiles, previsto en el artículo 178 de la Ley de Transparencia, toda vez que </w:t>
      </w:r>
      <w:r w:rsidRPr="006A6FF8">
        <w:rPr>
          <w:rFonts w:ascii="Palatino Linotype" w:eastAsia="Palatino Linotype" w:hAnsi="Palatino Linotype" w:cs="Palatino Linotype"/>
          <w:b/>
        </w:rPr>
        <w:t>el Sujeto Obligado</w:t>
      </w:r>
      <w:r w:rsidRPr="006A6FF8">
        <w:rPr>
          <w:rFonts w:ascii="Palatino Linotype" w:eastAsia="Palatino Linotype" w:hAnsi="Palatino Linotype" w:cs="Palatino Linotype"/>
        </w:rPr>
        <w:t xml:space="preserve"> respondió a la solicitud de información el </w:t>
      </w:r>
      <w:r w:rsidR="006F7F49" w:rsidRPr="006A6FF8">
        <w:rPr>
          <w:rFonts w:ascii="Palatino Linotype" w:eastAsia="Palatino Linotype" w:hAnsi="Palatino Linotype" w:cs="Palatino Linotype"/>
          <w:b/>
        </w:rPr>
        <w:t>diez de abril</w:t>
      </w:r>
      <w:r w:rsidRPr="006A6FF8">
        <w:rPr>
          <w:rFonts w:ascii="Palatino Linotype" w:eastAsia="Palatino Linotype" w:hAnsi="Palatino Linotype" w:cs="Palatino Linotype"/>
          <w:b/>
        </w:rPr>
        <w:t xml:space="preserve"> de dos mil veintitrés, </w:t>
      </w:r>
      <w:r w:rsidRPr="006A6FF8">
        <w:rPr>
          <w:rFonts w:ascii="Palatino Linotype" w:eastAsia="Palatino Linotype" w:hAnsi="Palatino Linotype" w:cs="Palatino Linotype"/>
        </w:rPr>
        <w:t xml:space="preserve">mientras que el recurso de revisión se interpuso el </w:t>
      </w:r>
      <w:r w:rsidR="006F7F49" w:rsidRPr="006A6FF8">
        <w:rPr>
          <w:rFonts w:ascii="Palatino Linotype" w:eastAsia="Palatino Linotype" w:hAnsi="Palatino Linotype" w:cs="Palatino Linotype"/>
          <w:b/>
        </w:rPr>
        <w:t>veintisiete de abril</w:t>
      </w:r>
      <w:r w:rsidRPr="006A6FF8">
        <w:rPr>
          <w:rFonts w:ascii="Palatino Linotype" w:eastAsia="Palatino Linotype" w:hAnsi="Palatino Linotype" w:cs="Palatino Linotype"/>
          <w:b/>
        </w:rPr>
        <w:t xml:space="preserve"> de dos mil veintitrés</w:t>
      </w:r>
      <w:r w:rsidRPr="006A6FF8">
        <w:rPr>
          <w:rFonts w:ascii="Palatino Linotype" w:eastAsia="Palatino Linotype" w:hAnsi="Palatino Linotype" w:cs="Palatino Linotype"/>
        </w:rPr>
        <w:t xml:space="preserve">, esto es, el </w:t>
      </w:r>
      <w:r w:rsidR="006F7F49" w:rsidRPr="006A6FF8">
        <w:rPr>
          <w:rFonts w:ascii="Palatino Linotype" w:eastAsia="Palatino Linotype" w:hAnsi="Palatino Linotype" w:cs="Palatino Linotype"/>
          <w:b/>
        </w:rPr>
        <w:t>décimo tercer</w:t>
      </w:r>
      <w:r w:rsidRPr="006A6FF8">
        <w:rPr>
          <w:rFonts w:ascii="Palatino Linotype" w:eastAsia="Palatino Linotype" w:hAnsi="Palatino Linotype" w:cs="Palatino Linotype"/>
          <w:b/>
        </w:rPr>
        <w:t xml:space="preserve"> día hábil </w:t>
      </w:r>
      <w:r w:rsidRPr="006A6FF8">
        <w:rPr>
          <w:rFonts w:ascii="Palatino Linotype" w:eastAsia="Palatino Linotype" w:hAnsi="Palatino Linotype" w:cs="Palatino Linotype"/>
        </w:rPr>
        <w:t>posterior en que tuvo conocimiento de la respuesta impugnada.</w:t>
      </w:r>
    </w:p>
    <w:p w:rsidR="001576A6" w:rsidRPr="006A6FF8" w:rsidRDefault="000941EF">
      <w:pPr>
        <w:spacing w:before="240" w:after="240" w:line="360" w:lineRule="auto"/>
        <w:jc w:val="both"/>
        <w:rPr>
          <w:rFonts w:ascii="Palatino Linotype" w:eastAsia="Palatino Linotype" w:hAnsi="Palatino Linotype" w:cs="Palatino Linotype"/>
        </w:rPr>
      </w:pPr>
      <w:r w:rsidRPr="006A6FF8">
        <w:rPr>
          <w:rFonts w:ascii="Palatino Linotype" w:eastAsia="Palatino Linotype" w:hAnsi="Palatino Linotype" w:cs="Palatino Linotype"/>
        </w:rPr>
        <w:t xml:space="preserve">En este sentido, al considerar la fecha en que se formuló la solicitud y la fecha en que respondió a esta el </w:t>
      </w:r>
      <w:r w:rsidRPr="006A6FF8">
        <w:rPr>
          <w:rFonts w:ascii="Palatino Linotype" w:eastAsia="Palatino Linotype" w:hAnsi="Palatino Linotype" w:cs="Palatino Linotype"/>
          <w:b/>
        </w:rPr>
        <w:t>Sujeto Obligado</w:t>
      </w:r>
      <w:r w:rsidRPr="006A6FF8">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rsidR="006F7F49" w:rsidRPr="006A6FF8" w:rsidRDefault="006F7F49" w:rsidP="006F7F49">
      <w:pPr>
        <w:spacing w:before="240" w:after="240" w:line="360" w:lineRule="auto"/>
        <w:jc w:val="both"/>
        <w:rPr>
          <w:rFonts w:ascii="Palatino Linotype" w:eastAsia="Palatino Linotype" w:hAnsi="Palatino Linotype" w:cs="Palatino Linotype"/>
        </w:rPr>
      </w:pPr>
      <w:r w:rsidRPr="006A6FF8">
        <w:rPr>
          <w:rFonts w:ascii="Palatino Linotype" w:eastAsia="Palatino Linotype" w:hAnsi="Palatino Linotype" w:cs="Palatino Linotype"/>
        </w:rPr>
        <w:t xml:space="preserve">Asimismo, por cuanto hace a la </w:t>
      </w:r>
      <w:proofErr w:type="spellStart"/>
      <w:r w:rsidRPr="006A6FF8">
        <w:rPr>
          <w:rFonts w:ascii="Palatino Linotype" w:eastAsia="Palatino Linotype" w:hAnsi="Palatino Linotype" w:cs="Palatino Linotype"/>
        </w:rPr>
        <w:t>procedibilidad</w:t>
      </w:r>
      <w:proofErr w:type="spellEnd"/>
      <w:r w:rsidRPr="006A6FF8">
        <w:rPr>
          <w:rFonts w:ascii="Palatino Linotype" w:eastAsia="Palatino Linotype" w:hAnsi="Palatino Linotype" w:cs="Palatino Linotype"/>
        </w:rPr>
        <w:t xml:space="preserve"> del  recurso de revisión, es de suma importancia señalar que </w:t>
      </w:r>
      <w:r w:rsidRPr="006A6FF8">
        <w:rPr>
          <w:rFonts w:ascii="Palatino Linotype" w:eastAsia="Palatino Linotype" w:hAnsi="Palatino Linotype" w:cs="Palatino Linotype"/>
          <w:b/>
        </w:rPr>
        <w:t>la parte Recurrente</w:t>
      </w:r>
      <w:r w:rsidRPr="006A6FF8">
        <w:rPr>
          <w:rFonts w:ascii="Palatino Linotype" w:eastAsia="Palatino Linotype" w:hAnsi="Palatino Linotype" w:cs="Palatino Linotype"/>
        </w:rPr>
        <w:t>, no señaló nombre o dato alguno con el que pueda ser identificado, tal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6F7F49" w:rsidRPr="006A6FF8" w:rsidRDefault="006F7F49" w:rsidP="006F7F49">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sz w:val="22"/>
          <w:szCs w:val="22"/>
        </w:rPr>
      </w:pPr>
      <w:r w:rsidRPr="006A6FF8">
        <w:rPr>
          <w:rFonts w:ascii="Palatino Linotype" w:eastAsia="Palatino Linotype" w:hAnsi="Palatino Linotype" w:cs="Palatino Linotype"/>
          <w:i/>
          <w:sz w:val="22"/>
          <w:szCs w:val="22"/>
        </w:rPr>
        <w:lastRenderedPageBreak/>
        <w:t>"</w:t>
      </w:r>
      <w:r w:rsidRPr="006A6FF8">
        <w:rPr>
          <w:rFonts w:ascii="Palatino Linotype" w:eastAsia="Palatino Linotype" w:hAnsi="Palatino Linotype" w:cs="Palatino Linotype"/>
          <w:b/>
          <w:i/>
          <w:sz w:val="22"/>
          <w:szCs w:val="22"/>
        </w:rPr>
        <w:t>Las solicitudes anónimas</w:t>
      </w:r>
      <w:r w:rsidRPr="006A6FF8">
        <w:rPr>
          <w:rFonts w:ascii="Palatino Linotype" w:eastAsia="Palatino Linotype" w:hAnsi="Palatino Linotype" w:cs="Palatino Linotype"/>
          <w:i/>
          <w:sz w:val="22"/>
          <w:szCs w:val="22"/>
        </w:rPr>
        <w:t>, con nombre incompleto o seudónimo serán procedentes para su trámite por parte del sujeto obligado ante quien se presente. No podrá requerirse información adicional con motivo del nombre proporcionado por el solicitante."</w:t>
      </w:r>
    </w:p>
    <w:p w:rsidR="001576A6" w:rsidRPr="006A6FF8" w:rsidRDefault="000941EF">
      <w:pPr>
        <w:spacing w:before="240" w:after="240" w:line="360" w:lineRule="auto"/>
        <w:jc w:val="both"/>
        <w:rPr>
          <w:rFonts w:ascii="Palatino Linotype" w:eastAsia="Palatino Linotype" w:hAnsi="Palatino Linotype" w:cs="Palatino Linotype"/>
        </w:rPr>
      </w:pPr>
      <w:r w:rsidRPr="006A6FF8">
        <w:rPr>
          <w:rFonts w:ascii="Palatino Linotype" w:eastAsia="Palatino Linotype" w:hAnsi="Palatino Linotype" w:cs="Palatino Linotype"/>
        </w:rPr>
        <w:t xml:space="preserve">Así también, por cuanto hace a la </w:t>
      </w:r>
      <w:proofErr w:type="spellStart"/>
      <w:r w:rsidRPr="006A6FF8">
        <w:rPr>
          <w:rFonts w:ascii="Palatino Linotype" w:eastAsia="Palatino Linotype" w:hAnsi="Palatino Linotype" w:cs="Palatino Linotype"/>
        </w:rPr>
        <w:t>procedibilidad</w:t>
      </w:r>
      <w:proofErr w:type="spellEnd"/>
      <w:r w:rsidRPr="006A6FF8">
        <w:rPr>
          <w:rFonts w:ascii="Palatino Linotype" w:eastAsia="Palatino Linotype" w:hAnsi="Palatino Linotype" w:cs="Palatino Linotype"/>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1576A6" w:rsidRPr="006A6FF8" w:rsidRDefault="000941EF">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6A6FF8">
        <w:rPr>
          <w:rFonts w:ascii="Palatino Linotype" w:eastAsia="Palatino Linotype" w:hAnsi="Palatino Linotype" w:cs="Palatino Linotype"/>
        </w:rPr>
        <w:t xml:space="preserve">Ahora bien, resulta procedente la interposición del recurso, según lo aducido por la parte recurrente en sus razones o motivos de inconformidad, de acuerdo al artículo 179, </w:t>
      </w:r>
      <w:r w:rsidR="006F7F49" w:rsidRPr="006A6FF8">
        <w:rPr>
          <w:rFonts w:ascii="Palatino Linotype" w:eastAsia="Palatino Linotype" w:hAnsi="Palatino Linotype" w:cs="Palatino Linotype"/>
        </w:rPr>
        <w:t>fracción I</w:t>
      </w:r>
      <w:r w:rsidRPr="006A6FF8">
        <w:rPr>
          <w:rFonts w:ascii="Palatino Linotype" w:eastAsia="Palatino Linotype" w:hAnsi="Palatino Linotype" w:cs="Palatino Linotype"/>
        </w:rPr>
        <w:t xml:space="preserve"> de la Ley de Transparencia y Acceso a la Información Pública del Estado de México y Municipios; que a la letra dice:</w:t>
      </w:r>
    </w:p>
    <w:p w:rsidR="001576A6" w:rsidRPr="006A6FF8" w:rsidRDefault="000941EF">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6A6FF8">
        <w:rPr>
          <w:rFonts w:ascii="Palatino Linotype" w:eastAsia="Palatino Linotype" w:hAnsi="Palatino Linotype" w:cs="Palatino Linotype"/>
          <w:b/>
          <w:i/>
          <w:sz w:val="22"/>
          <w:szCs w:val="22"/>
        </w:rPr>
        <w:t>“Artículo 179</w:t>
      </w:r>
      <w:r w:rsidRPr="006A6FF8">
        <w:rPr>
          <w:rFonts w:ascii="Palatino Linotype" w:eastAsia="Palatino Linotype" w:hAnsi="Palatino Linotype" w:cs="Palatino Linotype"/>
          <w:i/>
          <w:sz w:val="22"/>
          <w:szCs w:val="22"/>
        </w:rPr>
        <w:t xml:space="preserve">. </w:t>
      </w:r>
      <w:r w:rsidRPr="006A6FF8">
        <w:rPr>
          <w:rFonts w:ascii="Palatino Linotype" w:eastAsia="Palatino Linotype" w:hAnsi="Palatino Linotype" w:cs="Palatino Linotype"/>
          <w:b/>
          <w:i/>
          <w:sz w:val="22"/>
          <w:szCs w:val="22"/>
        </w:rPr>
        <w:t>El recurso de revisión</w:t>
      </w:r>
      <w:r w:rsidRPr="006A6FF8">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6A6FF8">
        <w:rPr>
          <w:rFonts w:ascii="Palatino Linotype" w:eastAsia="Palatino Linotype" w:hAnsi="Palatino Linotype" w:cs="Palatino Linotype"/>
          <w:b/>
          <w:i/>
          <w:sz w:val="22"/>
          <w:szCs w:val="22"/>
        </w:rPr>
        <w:t>, y procederá en contra de las siguientes causas</w:t>
      </w:r>
      <w:r w:rsidRPr="006A6FF8">
        <w:rPr>
          <w:rFonts w:ascii="Palatino Linotype" w:eastAsia="Palatino Linotype" w:hAnsi="Palatino Linotype" w:cs="Palatino Linotype"/>
          <w:i/>
          <w:sz w:val="22"/>
          <w:szCs w:val="22"/>
        </w:rPr>
        <w:t>:</w:t>
      </w:r>
    </w:p>
    <w:p w:rsidR="001576A6" w:rsidRPr="006A6FF8" w:rsidRDefault="006F7F49">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6A6FF8">
        <w:rPr>
          <w:rFonts w:ascii="Palatino Linotype" w:eastAsia="Palatino Linotype" w:hAnsi="Palatino Linotype" w:cs="Palatino Linotype"/>
          <w:b/>
          <w:i/>
          <w:sz w:val="22"/>
          <w:szCs w:val="22"/>
        </w:rPr>
        <w:t>I. La negativa a la información solicitada</w:t>
      </w:r>
      <w:r w:rsidR="000941EF" w:rsidRPr="006A6FF8">
        <w:rPr>
          <w:rFonts w:ascii="Palatino Linotype" w:eastAsia="Palatino Linotype" w:hAnsi="Palatino Linotype" w:cs="Palatino Linotype"/>
          <w:i/>
          <w:sz w:val="22"/>
          <w:szCs w:val="22"/>
        </w:rPr>
        <w:t>;” (Énfasis añadido)</w:t>
      </w:r>
    </w:p>
    <w:p w:rsidR="001576A6" w:rsidRPr="006A6FF8" w:rsidRDefault="000941EF">
      <w:pPr>
        <w:spacing w:before="240" w:after="240" w:line="360" w:lineRule="auto"/>
        <w:jc w:val="both"/>
        <w:rPr>
          <w:rFonts w:ascii="Palatino Linotype" w:eastAsia="Palatino Linotype" w:hAnsi="Palatino Linotype" w:cs="Palatino Linotype"/>
        </w:rPr>
      </w:pPr>
      <w:r w:rsidRPr="006A6FF8">
        <w:rPr>
          <w:rFonts w:ascii="Palatino Linotype" w:eastAsia="Palatino Linotype" w:hAnsi="Palatino Linotype" w:cs="Palatino Linotype"/>
          <w:b/>
        </w:rPr>
        <w:t xml:space="preserve">Tercero. Materia de la revisión. </w:t>
      </w:r>
      <w:r w:rsidRPr="006A6FF8">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6A6FF8">
        <w:rPr>
          <w:rFonts w:ascii="Palatino Linotype" w:eastAsia="Palatino Linotype" w:hAnsi="Palatino Linotype" w:cs="Palatino Linotype"/>
          <w:b/>
        </w:rPr>
        <w:t xml:space="preserve">verificar si la respuesta </w:t>
      </w:r>
      <w:r w:rsidR="009436B1" w:rsidRPr="006A6FF8">
        <w:rPr>
          <w:rFonts w:ascii="Palatino Linotype" w:eastAsia="Palatino Linotype" w:hAnsi="Palatino Linotype" w:cs="Palatino Linotype"/>
          <w:b/>
        </w:rPr>
        <w:t>e informe justificado otorgados</w:t>
      </w:r>
      <w:r w:rsidR="00440DAB" w:rsidRPr="006A6FF8">
        <w:rPr>
          <w:rFonts w:ascii="Palatino Linotype" w:eastAsia="Palatino Linotype" w:hAnsi="Palatino Linotype" w:cs="Palatino Linotype"/>
          <w:b/>
        </w:rPr>
        <w:t xml:space="preserve"> por el Sujeto Obligado son adecuados</w:t>
      </w:r>
      <w:r w:rsidRPr="006A6FF8">
        <w:rPr>
          <w:rFonts w:ascii="Palatino Linotype" w:eastAsia="Palatino Linotype" w:hAnsi="Palatino Linotype" w:cs="Palatino Linotype"/>
          <w:b/>
        </w:rPr>
        <w:t xml:space="preserve"> y suficiente</w:t>
      </w:r>
      <w:r w:rsidR="00440DAB" w:rsidRPr="006A6FF8">
        <w:rPr>
          <w:rFonts w:ascii="Palatino Linotype" w:eastAsia="Palatino Linotype" w:hAnsi="Palatino Linotype" w:cs="Palatino Linotype"/>
          <w:b/>
        </w:rPr>
        <w:t>s</w:t>
      </w:r>
      <w:r w:rsidRPr="006A6FF8">
        <w:rPr>
          <w:rFonts w:ascii="Palatino Linotype" w:eastAsia="Palatino Linotype" w:hAnsi="Palatino Linotype" w:cs="Palatino Linotype"/>
          <w:b/>
        </w:rPr>
        <w:t xml:space="preserve"> para satisfacer el derecho de acceso a la información </w:t>
      </w:r>
      <w:r w:rsidRPr="006A6FF8">
        <w:rPr>
          <w:rFonts w:ascii="Palatino Linotype" w:eastAsia="Palatino Linotype" w:hAnsi="Palatino Linotype" w:cs="Palatino Linotype"/>
          <w:b/>
        </w:rPr>
        <w:lastRenderedPageBreak/>
        <w:t xml:space="preserve">pública </w:t>
      </w:r>
      <w:r w:rsidRPr="006A6FF8">
        <w:rPr>
          <w:rFonts w:ascii="Palatino Linotype" w:eastAsia="Palatino Linotype" w:hAnsi="Palatino Linotype" w:cs="Palatino Linotype"/>
        </w:rPr>
        <w:t xml:space="preserve">de </w:t>
      </w:r>
      <w:r w:rsidRPr="006A6FF8">
        <w:rPr>
          <w:rFonts w:ascii="Palatino Linotype" w:eastAsia="Palatino Linotype" w:hAnsi="Palatino Linotype" w:cs="Palatino Linotype"/>
          <w:b/>
        </w:rPr>
        <w:t>la parte Recurrente,</w:t>
      </w:r>
      <w:r w:rsidRPr="006A6FF8">
        <w:rPr>
          <w:rFonts w:ascii="Palatino Linotype" w:eastAsia="Palatino Linotype" w:hAnsi="Palatino Linotype" w:cs="Palatino Linotype"/>
        </w:rPr>
        <w:t xml:space="preserve"> o en su defecto, en caso de ser procedente, ordenar la entrega de información oportuna.</w:t>
      </w:r>
    </w:p>
    <w:p w:rsidR="001576A6" w:rsidRPr="006A6FF8" w:rsidRDefault="000941EF">
      <w:pPr>
        <w:pBdr>
          <w:top w:val="nil"/>
          <w:left w:val="nil"/>
          <w:bottom w:val="nil"/>
          <w:right w:val="nil"/>
          <w:between w:val="nil"/>
        </w:pBdr>
        <w:spacing w:before="240" w:after="240" w:line="360" w:lineRule="auto"/>
        <w:jc w:val="both"/>
      </w:pPr>
      <w:r w:rsidRPr="006A6FF8">
        <w:rPr>
          <w:rFonts w:ascii="Palatino Linotype" w:eastAsia="Palatino Linotype" w:hAnsi="Palatino Linotype" w:cs="Palatino Linotype"/>
          <w:b/>
        </w:rPr>
        <w:t xml:space="preserve">Cuarto. Estudio del asunto. </w:t>
      </w:r>
      <w:r w:rsidRPr="006A6FF8">
        <w:rPr>
          <w:rFonts w:ascii="Palatino Linotype" w:eastAsia="Palatino Linotype" w:hAnsi="Palatino Linotype" w:cs="Palatino Linotype"/>
        </w:rPr>
        <w:t xml:space="preserve">Antes de entrar al análisis de los pronunciamientos del </w:t>
      </w:r>
      <w:r w:rsidRPr="006A6FF8">
        <w:rPr>
          <w:rFonts w:ascii="Palatino Linotype" w:eastAsia="Palatino Linotype" w:hAnsi="Palatino Linotype" w:cs="Palatino Linotype"/>
          <w:b/>
        </w:rPr>
        <w:t>Sujeto Obligado</w:t>
      </w:r>
      <w:r w:rsidRPr="006A6FF8">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1576A6" w:rsidRPr="006A6FF8" w:rsidRDefault="000941EF">
      <w:pPr>
        <w:pBdr>
          <w:top w:val="nil"/>
          <w:left w:val="nil"/>
          <w:bottom w:val="nil"/>
          <w:right w:val="nil"/>
          <w:between w:val="nil"/>
        </w:pBdr>
        <w:spacing w:before="240" w:after="240"/>
        <w:ind w:left="851" w:right="850"/>
        <w:jc w:val="both"/>
      </w:pPr>
      <w:r w:rsidRPr="006A6FF8">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6A6FF8">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rsidR="001576A6" w:rsidRPr="006A6FF8" w:rsidRDefault="000941EF">
      <w:pPr>
        <w:pBdr>
          <w:top w:val="nil"/>
          <w:left w:val="nil"/>
          <w:bottom w:val="nil"/>
          <w:right w:val="nil"/>
          <w:between w:val="nil"/>
        </w:pBdr>
        <w:spacing w:before="240" w:after="240"/>
        <w:ind w:left="851" w:right="850"/>
        <w:jc w:val="both"/>
      </w:pPr>
      <w:r w:rsidRPr="006A6FF8">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1576A6" w:rsidRPr="006A6FF8" w:rsidRDefault="000941EF">
      <w:pPr>
        <w:pBdr>
          <w:top w:val="nil"/>
          <w:left w:val="nil"/>
          <w:bottom w:val="nil"/>
          <w:right w:val="nil"/>
          <w:between w:val="nil"/>
        </w:pBdr>
        <w:spacing w:before="240" w:after="240"/>
        <w:ind w:left="851" w:right="850"/>
        <w:jc w:val="both"/>
      </w:pPr>
      <w:r w:rsidRPr="006A6FF8">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6A6FF8">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rsidR="001576A6" w:rsidRPr="006A6FF8" w:rsidRDefault="000941EF">
      <w:pPr>
        <w:pBdr>
          <w:top w:val="nil"/>
          <w:left w:val="nil"/>
          <w:bottom w:val="nil"/>
          <w:right w:val="nil"/>
          <w:between w:val="nil"/>
        </w:pBdr>
        <w:spacing w:before="240" w:after="240"/>
        <w:ind w:left="851" w:right="850"/>
        <w:jc w:val="both"/>
      </w:pPr>
      <w:r w:rsidRPr="006A6FF8">
        <w:rPr>
          <w:rFonts w:ascii="Palatino Linotype" w:eastAsia="Palatino Linotype" w:hAnsi="Palatino Linotype" w:cs="Palatino Linotype"/>
          <w:i/>
          <w:sz w:val="22"/>
          <w:szCs w:val="22"/>
        </w:rPr>
        <w:t>[…]</w:t>
      </w:r>
    </w:p>
    <w:p w:rsidR="001576A6" w:rsidRPr="006A6FF8" w:rsidRDefault="000941EF">
      <w:pPr>
        <w:pBdr>
          <w:top w:val="nil"/>
          <w:left w:val="nil"/>
          <w:bottom w:val="nil"/>
          <w:right w:val="nil"/>
          <w:between w:val="nil"/>
        </w:pBdr>
        <w:spacing w:before="240" w:after="240"/>
        <w:ind w:left="851" w:right="901"/>
        <w:jc w:val="both"/>
      </w:pPr>
      <w:r w:rsidRPr="006A6FF8">
        <w:rPr>
          <w:rFonts w:ascii="Palatino Linotype" w:eastAsia="Palatino Linotype" w:hAnsi="Palatino Linotype" w:cs="Palatino Linotype"/>
          <w:b/>
          <w:i/>
          <w:sz w:val="22"/>
          <w:szCs w:val="22"/>
        </w:rPr>
        <w:lastRenderedPageBreak/>
        <w:t>“Artículo 6o.</w:t>
      </w:r>
    </w:p>
    <w:p w:rsidR="001576A6" w:rsidRPr="006A6FF8" w:rsidRDefault="000941EF">
      <w:pPr>
        <w:pBdr>
          <w:top w:val="nil"/>
          <w:left w:val="nil"/>
          <w:bottom w:val="nil"/>
          <w:right w:val="nil"/>
          <w:between w:val="nil"/>
        </w:pBdr>
        <w:spacing w:before="240" w:after="240"/>
        <w:ind w:left="851" w:right="901"/>
        <w:jc w:val="both"/>
      </w:pPr>
      <w:r w:rsidRPr="006A6FF8">
        <w:rPr>
          <w:rFonts w:ascii="Palatino Linotype" w:eastAsia="Palatino Linotype" w:hAnsi="Palatino Linotype" w:cs="Palatino Linotype"/>
          <w:i/>
          <w:sz w:val="22"/>
          <w:szCs w:val="22"/>
        </w:rPr>
        <w:t>[...]</w:t>
      </w:r>
    </w:p>
    <w:p w:rsidR="001576A6" w:rsidRPr="006A6FF8" w:rsidRDefault="000941EF">
      <w:pPr>
        <w:pBdr>
          <w:top w:val="nil"/>
          <w:left w:val="nil"/>
          <w:bottom w:val="nil"/>
          <w:right w:val="nil"/>
          <w:between w:val="nil"/>
        </w:pBdr>
        <w:spacing w:before="240" w:after="240"/>
        <w:ind w:left="851" w:right="851"/>
        <w:jc w:val="both"/>
      </w:pPr>
      <w:r w:rsidRPr="006A6FF8">
        <w:rPr>
          <w:rFonts w:ascii="Palatino Linotype" w:eastAsia="Palatino Linotype" w:hAnsi="Palatino Linotype" w:cs="Palatino Linotype"/>
          <w:b/>
          <w:i/>
          <w:sz w:val="22"/>
          <w:szCs w:val="22"/>
        </w:rPr>
        <w:t xml:space="preserve">A. Para el ejercicio del derecho de acceso a la información, la Federación y </w:t>
      </w:r>
      <w:r w:rsidRPr="006A6FF8">
        <w:rPr>
          <w:rFonts w:ascii="Palatino Linotype" w:eastAsia="Palatino Linotype" w:hAnsi="Palatino Linotype" w:cs="Palatino Linotype"/>
          <w:b/>
          <w:i/>
          <w:sz w:val="22"/>
          <w:szCs w:val="22"/>
          <w:u w:val="single"/>
        </w:rPr>
        <w:t>las entidades federativas</w:t>
      </w:r>
      <w:r w:rsidRPr="006A6FF8">
        <w:rPr>
          <w:rFonts w:ascii="Palatino Linotype" w:eastAsia="Palatino Linotype" w:hAnsi="Palatino Linotype" w:cs="Palatino Linotype"/>
          <w:b/>
          <w:i/>
          <w:sz w:val="22"/>
          <w:szCs w:val="22"/>
        </w:rPr>
        <w:t>,</w:t>
      </w:r>
      <w:r w:rsidRPr="006A6FF8">
        <w:rPr>
          <w:rFonts w:ascii="Palatino Linotype" w:eastAsia="Palatino Linotype" w:hAnsi="Palatino Linotype" w:cs="Palatino Linotype"/>
          <w:i/>
          <w:sz w:val="22"/>
          <w:szCs w:val="22"/>
        </w:rPr>
        <w:t xml:space="preserve"> en el ámbito de sus respectivas competencias, se regirán por los siguientes principios y bases:</w:t>
      </w:r>
    </w:p>
    <w:p w:rsidR="001576A6" w:rsidRPr="006A6FF8" w:rsidRDefault="000941EF">
      <w:pPr>
        <w:pBdr>
          <w:top w:val="nil"/>
          <w:left w:val="nil"/>
          <w:bottom w:val="nil"/>
          <w:right w:val="nil"/>
          <w:between w:val="nil"/>
        </w:pBdr>
        <w:spacing w:before="240" w:after="240"/>
        <w:ind w:left="851" w:right="851"/>
        <w:jc w:val="both"/>
      </w:pPr>
      <w:r w:rsidRPr="006A6FF8">
        <w:rPr>
          <w:rFonts w:ascii="Palatino Linotype" w:eastAsia="Palatino Linotype" w:hAnsi="Palatino Linotype" w:cs="Palatino Linotype"/>
          <w:i/>
          <w:sz w:val="22"/>
          <w:szCs w:val="22"/>
        </w:rPr>
        <w:t> </w:t>
      </w:r>
      <w:r w:rsidRPr="006A6FF8">
        <w:rPr>
          <w:rFonts w:ascii="Palatino Linotype" w:eastAsia="Palatino Linotype" w:hAnsi="Palatino Linotype" w:cs="Palatino Linotype"/>
          <w:b/>
          <w:i/>
          <w:sz w:val="22"/>
          <w:szCs w:val="22"/>
        </w:rPr>
        <w:t xml:space="preserve">I. </w:t>
      </w:r>
      <w:r w:rsidRPr="006A6FF8">
        <w:rPr>
          <w:rFonts w:ascii="Palatino Linotype" w:eastAsia="Palatino Linotype" w:hAnsi="Palatino Linotype" w:cs="Palatino Linotype"/>
          <w:b/>
          <w:i/>
          <w:sz w:val="22"/>
          <w:szCs w:val="22"/>
          <w:u w:val="single"/>
        </w:rPr>
        <w:t>Toda la información en posesión de cualquier autoridad, entidad, órgano y organismo de los Poderes</w:t>
      </w:r>
      <w:r w:rsidRPr="006A6FF8">
        <w:rPr>
          <w:rFonts w:ascii="Palatino Linotype" w:eastAsia="Palatino Linotype" w:hAnsi="Palatino Linotype" w:cs="Palatino Linotype"/>
          <w:i/>
          <w:sz w:val="22"/>
          <w:szCs w:val="22"/>
        </w:rPr>
        <w:t xml:space="preserve"> Ejecutivo, Legislativo </w:t>
      </w:r>
      <w:r w:rsidRPr="006A6FF8">
        <w:rPr>
          <w:rFonts w:ascii="Palatino Linotype" w:eastAsia="Palatino Linotype" w:hAnsi="Palatino Linotype" w:cs="Palatino Linotype"/>
          <w:b/>
          <w:i/>
          <w:sz w:val="22"/>
          <w:szCs w:val="22"/>
          <w:u w:val="single"/>
        </w:rPr>
        <w:t>y Judicial</w:t>
      </w:r>
      <w:r w:rsidRPr="006A6FF8">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6A6FF8">
        <w:rPr>
          <w:rFonts w:ascii="Palatino Linotype" w:eastAsia="Palatino Linotype" w:hAnsi="Palatino Linotype" w:cs="Palatino Linotype"/>
          <w:b/>
          <w:i/>
          <w:sz w:val="22"/>
          <w:szCs w:val="22"/>
        </w:rPr>
        <w:t>es pública y sólo podrá ser reservada temporalmente por razones de interés público y seguridad nacional,</w:t>
      </w:r>
      <w:r w:rsidRPr="006A6FF8">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576A6" w:rsidRPr="006A6FF8" w:rsidRDefault="000941EF">
      <w:pPr>
        <w:pBdr>
          <w:top w:val="nil"/>
          <w:left w:val="nil"/>
          <w:bottom w:val="nil"/>
          <w:right w:val="nil"/>
          <w:between w:val="nil"/>
        </w:pBdr>
        <w:spacing w:before="240" w:after="240"/>
        <w:ind w:left="851" w:right="851"/>
        <w:jc w:val="both"/>
      </w:pPr>
      <w:r w:rsidRPr="006A6FF8">
        <w:rPr>
          <w:rFonts w:ascii="Palatino Linotype" w:eastAsia="Palatino Linotype" w:hAnsi="Palatino Linotype" w:cs="Palatino Linotype"/>
          <w:i/>
          <w:sz w:val="22"/>
          <w:szCs w:val="22"/>
        </w:rPr>
        <w:t> </w:t>
      </w:r>
      <w:r w:rsidRPr="006A6FF8">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1576A6" w:rsidRPr="006A6FF8" w:rsidRDefault="000941EF">
      <w:pPr>
        <w:pBdr>
          <w:top w:val="nil"/>
          <w:left w:val="nil"/>
          <w:bottom w:val="nil"/>
          <w:right w:val="nil"/>
          <w:between w:val="nil"/>
        </w:pBdr>
        <w:spacing w:before="240" w:after="240"/>
        <w:ind w:left="851" w:right="851"/>
        <w:jc w:val="both"/>
      </w:pPr>
      <w:r w:rsidRPr="006A6FF8">
        <w:rPr>
          <w:rFonts w:ascii="Palatino Linotype" w:eastAsia="Palatino Linotype" w:hAnsi="Palatino Linotype" w:cs="Palatino Linotype"/>
          <w:i/>
          <w:sz w:val="22"/>
          <w:szCs w:val="22"/>
        </w:rPr>
        <w:t> </w:t>
      </w:r>
      <w:r w:rsidRPr="006A6FF8">
        <w:rPr>
          <w:rFonts w:ascii="Palatino Linotype" w:eastAsia="Palatino Linotype" w:hAnsi="Palatino Linotype" w:cs="Palatino Linotype"/>
          <w:b/>
          <w:i/>
          <w:sz w:val="22"/>
          <w:szCs w:val="22"/>
        </w:rPr>
        <w:t xml:space="preserve">III. </w:t>
      </w:r>
      <w:r w:rsidRPr="006A6FF8">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6A6FF8">
        <w:rPr>
          <w:rFonts w:ascii="Palatino Linotype" w:eastAsia="Palatino Linotype" w:hAnsi="Palatino Linotype" w:cs="Palatino Linotype"/>
          <w:i/>
          <w:sz w:val="22"/>
          <w:szCs w:val="22"/>
        </w:rPr>
        <w:t xml:space="preserve"> a sus datos personales o a la rectificación de éstos.</w:t>
      </w:r>
    </w:p>
    <w:p w:rsidR="001576A6" w:rsidRPr="006A6FF8" w:rsidRDefault="000941EF">
      <w:pPr>
        <w:pBdr>
          <w:top w:val="nil"/>
          <w:left w:val="nil"/>
          <w:bottom w:val="nil"/>
          <w:right w:val="nil"/>
          <w:between w:val="nil"/>
        </w:pBdr>
        <w:spacing w:before="240" w:after="240"/>
        <w:ind w:left="851" w:right="851"/>
        <w:jc w:val="both"/>
      </w:pPr>
      <w:r w:rsidRPr="006A6FF8">
        <w:rPr>
          <w:rFonts w:ascii="Palatino Linotype" w:eastAsia="Palatino Linotype" w:hAnsi="Palatino Linotype" w:cs="Palatino Linotype"/>
          <w:i/>
          <w:sz w:val="22"/>
          <w:szCs w:val="22"/>
        </w:rPr>
        <w:t> </w:t>
      </w:r>
      <w:r w:rsidRPr="006A6FF8">
        <w:rPr>
          <w:rFonts w:ascii="Palatino Linotype" w:eastAsia="Palatino Linotype" w:hAnsi="Palatino Linotype" w:cs="Palatino Linotype"/>
          <w:b/>
          <w:i/>
          <w:sz w:val="22"/>
          <w:szCs w:val="22"/>
        </w:rPr>
        <w:t xml:space="preserve">IV. </w:t>
      </w:r>
      <w:r w:rsidRPr="006A6FF8">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rsidR="001576A6" w:rsidRPr="006A6FF8" w:rsidRDefault="000941EF">
      <w:pPr>
        <w:pBdr>
          <w:top w:val="nil"/>
          <w:left w:val="nil"/>
          <w:bottom w:val="nil"/>
          <w:right w:val="nil"/>
          <w:between w:val="nil"/>
        </w:pBdr>
        <w:spacing w:before="240" w:after="240"/>
        <w:ind w:left="851" w:right="851"/>
        <w:jc w:val="both"/>
      </w:pPr>
      <w:r w:rsidRPr="006A6FF8">
        <w:rPr>
          <w:rFonts w:ascii="Palatino Linotype" w:eastAsia="Palatino Linotype" w:hAnsi="Palatino Linotype" w:cs="Palatino Linotype"/>
          <w:b/>
          <w:i/>
          <w:sz w:val="22"/>
          <w:szCs w:val="22"/>
        </w:rPr>
        <w:t xml:space="preserve">V. </w:t>
      </w:r>
      <w:r w:rsidRPr="006A6FF8">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1576A6" w:rsidRPr="006A6FF8" w:rsidRDefault="000941EF">
      <w:pPr>
        <w:pBdr>
          <w:top w:val="nil"/>
          <w:left w:val="nil"/>
          <w:bottom w:val="nil"/>
          <w:right w:val="nil"/>
          <w:between w:val="nil"/>
        </w:pBdr>
        <w:spacing w:before="240" w:after="240"/>
        <w:ind w:left="851" w:right="851"/>
        <w:jc w:val="both"/>
      </w:pPr>
      <w:r w:rsidRPr="006A6FF8">
        <w:rPr>
          <w:rFonts w:ascii="Palatino Linotype" w:eastAsia="Palatino Linotype" w:hAnsi="Palatino Linotype" w:cs="Palatino Linotype"/>
          <w:i/>
          <w:sz w:val="22"/>
          <w:szCs w:val="22"/>
        </w:rPr>
        <w:lastRenderedPageBreak/>
        <w:t> </w:t>
      </w:r>
      <w:r w:rsidRPr="006A6FF8">
        <w:rPr>
          <w:rFonts w:ascii="Palatino Linotype" w:eastAsia="Palatino Linotype" w:hAnsi="Palatino Linotype" w:cs="Palatino Linotype"/>
          <w:b/>
          <w:i/>
          <w:sz w:val="22"/>
          <w:szCs w:val="22"/>
        </w:rPr>
        <w:t xml:space="preserve">VI. </w:t>
      </w:r>
      <w:r w:rsidRPr="006A6FF8">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rsidR="001576A6" w:rsidRPr="006A6FF8" w:rsidRDefault="000941EF">
      <w:pPr>
        <w:pBdr>
          <w:top w:val="nil"/>
          <w:left w:val="nil"/>
          <w:bottom w:val="nil"/>
          <w:right w:val="nil"/>
          <w:between w:val="nil"/>
        </w:pBdr>
        <w:spacing w:before="240" w:after="240"/>
        <w:ind w:left="851" w:right="851"/>
        <w:jc w:val="both"/>
      </w:pPr>
      <w:r w:rsidRPr="006A6FF8">
        <w:rPr>
          <w:rFonts w:ascii="Palatino Linotype" w:eastAsia="Palatino Linotype" w:hAnsi="Palatino Linotype" w:cs="Palatino Linotype"/>
          <w:i/>
          <w:sz w:val="22"/>
          <w:szCs w:val="22"/>
        </w:rPr>
        <w:t> </w:t>
      </w:r>
      <w:r w:rsidRPr="006A6FF8">
        <w:rPr>
          <w:rFonts w:ascii="Palatino Linotype" w:eastAsia="Palatino Linotype" w:hAnsi="Palatino Linotype" w:cs="Palatino Linotype"/>
          <w:b/>
          <w:i/>
          <w:sz w:val="22"/>
          <w:szCs w:val="22"/>
        </w:rPr>
        <w:t xml:space="preserve">VII. </w:t>
      </w:r>
      <w:r w:rsidRPr="006A6FF8">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rsidR="001576A6" w:rsidRPr="006A6FF8" w:rsidRDefault="000941EF">
      <w:pPr>
        <w:pBdr>
          <w:top w:val="nil"/>
          <w:left w:val="nil"/>
          <w:bottom w:val="nil"/>
          <w:right w:val="nil"/>
          <w:between w:val="nil"/>
        </w:pBdr>
        <w:spacing w:before="240" w:after="240" w:line="360" w:lineRule="auto"/>
        <w:jc w:val="both"/>
      </w:pPr>
      <w:r w:rsidRPr="006A6FF8">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1576A6" w:rsidRPr="006A6FF8" w:rsidRDefault="000941EF">
      <w:pPr>
        <w:pBdr>
          <w:top w:val="nil"/>
          <w:left w:val="nil"/>
          <w:bottom w:val="nil"/>
          <w:right w:val="nil"/>
          <w:between w:val="nil"/>
        </w:pBdr>
        <w:spacing w:before="240" w:after="240"/>
        <w:ind w:left="709" w:right="760"/>
        <w:jc w:val="both"/>
      </w:pPr>
      <w:r w:rsidRPr="006A6FF8">
        <w:rPr>
          <w:rFonts w:ascii="Palatino Linotype" w:eastAsia="Palatino Linotype" w:hAnsi="Palatino Linotype" w:cs="Palatino Linotype"/>
          <w:i/>
          <w:sz w:val="22"/>
          <w:szCs w:val="22"/>
        </w:rPr>
        <w:t>“</w:t>
      </w:r>
      <w:r w:rsidRPr="006A6FF8">
        <w:rPr>
          <w:rFonts w:ascii="Palatino Linotype" w:eastAsia="Palatino Linotype" w:hAnsi="Palatino Linotype" w:cs="Palatino Linotype"/>
          <w:b/>
          <w:i/>
          <w:sz w:val="22"/>
          <w:szCs w:val="22"/>
        </w:rPr>
        <w:t>Artículo 4</w:t>
      </w:r>
      <w:r w:rsidRPr="006A6FF8">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rsidR="001576A6" w:rsidRPr="006A6FF8" w:rsidRDefault="000941EF">
      <w:pPr>
        <w:pBdr>
          <w:top w:val="nil"/>
          <w:left w:val="nil"/>
          <w:bottom w:val="nil"/>
          <w:right w:val="nil"/>
          <w:between w:val="nil"/>
        </w:pBdr>
        <w:spacing w:before="240" w:after="240"/>
        <w:ind w:left="709" w:right="760"/>
        <w:jc w:val="both"/>
      </w:pPr>
      <w:r w:rsidRPr="006A6FF8">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1576A6" w:rsidRPr="006A6FF8" w:rsidRDefault="000941EF">
      <w:pPr>
        <w:pBdr>
          <w:top w:val="nil"/>
          <w:left w:val="nil"/>
          <w:bottom w:val="nil"/>
          <w:right w:val="nil"/>
          <w:between w:val="nil"/>
        </w:pBdr>
        <w:spacing w:before="240" w:after="240"/>
        <w:ind w:left="709" w:right="760"/>
        <w:jc w:val="both"/>
      </w:pPr>
      <w:r w:rsidRPr="006A6FF8">
        <w:rPr>
          <w:rFonts w:ascii="Palatino Linotype" w:eastAsia="Palatino Linotype" w:hAnsi="Palatino Linotype" w:cs="Palatino Linotype"/>
          <w:i/>
          <w:sz w:val="22"/>
          <w:szCs w:val="22"/>
        </w:rPr>
        <w:lastRenderedPageBreak/>
        <w:t>Los sujetos obligados deben poner en práctica, políticas y programas de acceso a la información que se apeguen a criterios de publicidad, veracidad, oportunidad, precisión y suficiencia en beneficio de los solicitantes.”(Sic)</w:t>
      </w:r>
    </w:p>
    <w:p w:rsidR="001576A6" w:rsidRPr="006A6FF8" w:rsidRDefault="000941EF">
      <w:pPr>
        <w:pBdr>
          <w:top w:val="nil"/>
          <w:left w:val="nil"/>
          <w:bottom w:val="nil"/>
          <w:right w:val="nil"/>
          <w:between w:val="nil"/>
        </w:pBdr>
        <w:spacing w:before="240" w:after="240" w:line="360" w:lineRule="auto"/>
        <w:jc w:val="both"/>
      </w:pPr>
      <w:r w:rsidRPr="006A6FF8">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1576A6" w:rsidRPr="006A6FF8" w:rsidRDefault="000941EF">
      <w:pPr>
        <w:pBdr>
          <w:top w:val="nil"/>
          <w:left w:val="nil"/>
          <w:bottom w:val="nil"/>
          <w:right w:val="nil"/>
          <w:between w:val="nil"/>
        </w:pBdr>
        <w:spacing w:before="240" w:after="240"/>
        <w:ind w:left="567" w:right="758"/>
        <w:jc w:val="both"/>
      </w:pPr>
      <w:r w:rsidRPr="006A6FF8">
        <w:rPr>
          <w:rFonts w:ascii="Palatino Linotype" w:eastAsia="Palatino Linotype" w:hAnsi="Palatino Linotype" w:cs="Palatino Linotype"/>
          <w:i/>
          <w:sz w:val="22"/>
          <w:szCs w:val="22"/>
        </w:rPr>
        <w:t>“</w:t>
      </w:r>
      <w:r w:rsidRPr="006A6FF8">
        <w:rPr>
          <w:rFonts w:ascii="Palatino Linotype" w:eastAsia="Palatino Linotype" w:hAnsi="Palatino Linotype" w:cs="Palatino Linotype"/>
          <w:b/>
          <w:i/>
          <w:sz w:val="22"/>
          <w:szCs w:val="22"/>
        </w:rPr>
        <w:t>Artículo 12</w:t>
      </w:r>
      <w:r w:rsidRPr="006A6FF8">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rsidR="001576A6" w:rsidRPr="006A6FF8" w:rsidRDefault="000941EF">
      <w:pPr>
        <w:pBdr>
          <w:top w:val="nil"/>
          <w:left w:val="nil"/>
          <w:bottom w:val="nil"/>
          <w:right w:val="nil"/>
          <w:between w:val="nil"/>
        </w:pBdr>
        <w:spacing w:before="240" w:after="240"/>
        <w:ind w:left="567" w:right="758"/>
        <w:jc w:val="both"/>
      </w:pPr>
      <w:r w:rsidRPr="006A6FF8">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1576A6" w:rsidRPr="006A6FF8" w:rsidRDefault="000941EF">
      <w:pPr>
        <w:pBdr>
          <w:top w:val="nil"/>
          <w:left w:val="nil"/>
          <w:bottom w:val="nil"/>
          <w:right w:val="nil"/>
          <w:between w:val="nil"/>
        </w:pBdr>
        <w:spacing w:before="240" w:after="240" w:line="360" w:lineRule="auto"/>
        <w:jc w:val="both"/>
      </w:pPr>
      <w:r w:rsidRPr="006A6FF8">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6A6FF8">
        <w:rPr>
          <w:rFonts w:ascii="Palatino Linotype" w:eastAsia="Palatino Linotype" w:hAnsi="Palatino Linotype" w:cs="Palatino Linotype"/>
          <w:b/>
        </w:rPr>
        <w:t xml:space="preserve"> </w:t>
      </w:r>
      <w:r w:rsidRPr="006A6FF8">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6A6FF8">
        <w:rPr>
          <w:rFonts w:ascii="Palatino Linotype" w:eastAsia="Palatino Linotype" w:hAnsi="Palatino Linotype" w:cs="Palatino Linotype"/>
          <w:i/>
        </w:rPr>
        <w:t>ad hoc</w:t>
      </w:r>
      <w:r w:rsidRPr="006A6FF8">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rsidR="001576A6" w:rsidRPr="006A6FF8" w:rsidRDefault="000941EF">
      <w:pPr>
        <w:pBdr>
          <w:top w:val="nil"/>
          <w:left w:val="nil"/>
          <w:bottom w:val="nil"/>
          <w:right w:val="nil"/>
          <w:between w:val="nil"/>
        </w:pBdr>
        <w:spacing w:before="240" w:after="240"/>
        <w:ind w:left="567" w:right="567"/>
        <w:jc w:val="both"/>
      </w:pPr>
      <w:r w:rsidRPr="006A6FF8">
        <w:rPr>
          <w:rFonts w:ascii="Palatino Linotype" w:eastAsia="Palatino Linotype" w:hAnsi="Palatino Linotype" w:cs="Palatino Linotype"/>
          <w:b/>
          <w:i/>
          <w:sz w:val="22"/>
          <w:szCs w:val="22"/>
        </w:rPr>
        <w:t>03/17</w:t>
      </w:r>
    </w:p>
    <w:p w:rsidR="001576A6" w:rsidRPr="006A6FF8" w:rsidRDefault="000941EF">
      <w:pPr>
        <w:pBdr>
          <w:top w:val="nil"/>
          <w:left w:val="nil"/>
          <w:bottom w:val="nil"/>
          <w:right w:val="nil"/>
          <w:between w:val="nil"/>
        </w:pBdr>
        <w:spacing w:before="240" w:after="240"/>
        <w:ind w:left="567" w:right="567"/>
        <w:jc w:val="both"/>
      </w:pPr>
      <w:r w:rsidRPr="006A6FF8">
        <w:rPr>
          <w:rFonts w:ascii="Palatino Linotype" w:eastAsia="Palatino Linotype" w:hAnsi="Palatino Linotype" w:cs="Palatino Linotype"/>
          <w:b/>
          <w:i/>
          <w:sz w:val="22"/>
          <w:szCs w:val="22"/>
        </w:rPr>
        <w:lastRenderedPageBreak/>
        <w:t>“NO EXISTE OBLIGACIÓN DE ELABORAR DOCUMENTOS AD HOC PARA ATENDER LAS SOLICITUDES DE ACCESO A LA INFORMACIÓN.</w:t>
      </w:r>
    </w:p>
    <w:p w:rsidR="001576A6" w:rsidRPr="006A6FF8" w:rsidRDefault="000941EF">
      <w:pPr>
        <w:pBdr>
          <w:top w:val="nil"/>
          <w:left w:val="nil"/>
          <w:bottom w:val="nil"/>
          <w:right w:val="nil"/>
          <w:between w:val="nil"/>
        </w:pBdr>
        <w:spacing w:before="240" w:after="240"/>
        <w:ind w:left="567" w:right="567"/>
        <w:jc w:val="both"/>
      </w:pPr>
      <w:r w:rsidRPr="006A6FF8">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1576A6" w:rsidRPr="006A6FF8" w:rsidRDefault="000941EF">
      <w:pPr>
        <w:pBdr>
          <w:top w:val="nil"/>
          <w:left w:val="nil"/>
          <w:bottom w:val="nil"/>
          <w:right w:val="nil"/>
          <w:between w:val="nil"/>
        </w:pBdr>
        <w:spacing w:before="240" w:after="240" w:line="360" w:lineRule="auto"/>
        <w:jc w:val="both"/>
      </w:pPr>
      <w:r w:rsidRPr="006A6FF8">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1576A6" w:rsidRPr="006A6FF8" w:rsidRDefault="000941EF">
      <w:pPr>
        <w:pBdr>
          <w:top w:val="nil"/>
          <w:left w:val="nil"/>
          <w:bottom w:val="nil"/>
          <w:right w:val="nil"/>
          <w:between w:val="nil"/>
        </w:pBdr>
        <w:spacing w:before="240" w:after="240" w:line="360" w:lineRule="auto"/>
        <w:ind w:right="49"/>
        <w:jc w:val="both"/>
      </w:pPr>
      <w:r w:rsidRPr="006A6FF8">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1576A6" w:rsidRPr="006A6FF8" w:rsidRDefault="000941EF">
      <w:pPr>
        <w:pBdr>
          <w:top w:val="nil"/>
          <w:left w:val="nil"/>
          <w:bottom w:val="nil"/>
          <w:right w:val="nil"/>
          <w:between w:val="nil"/>
        </w:pBdr>
        <w:spacing w:before="240" w:after="240" w:line="360" w:lineRule="auto"/>
        <w:jc w:val="both"/>
      </w:pPr>
      <w:r w:rsidRPr="006A6FF8">
        <w:rPr>
          <w:rFonts w:ascii="Palatino Linotype" w:eastAsia="Palatino Linotype" w:hAnsi="Palatino Linotype" w:cs="Palatino Linotype"/>
        </w:rPr>
        <w:lastRenderedPageBreak/>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1576A6" w:rsidRPr="006A6FF8" w:rsidRDefault="000941EF">
      <w:pPr>
        <w:pBdr>
          <w:top w:val="nil"/>
          <w:left w:val="nil"/>
          <w:bottom w:val="nil"/>
          <w:right w:val="nil"/>
          <w:between w:val="nil"/>
        </w:pBdr>
        <w:spacing w:before="240" w:after="240"/>
        <w:ind w:left="567" w:right="567"/>
        <w:jc w:val="both"/>
      </w:pPr>
      <w:r w:rsidRPr="006A6FF8">
        <w:rPr>
          <w:rFonts w:ascii="Palatino Linotype" w:eastAsia="Palatino Linotype" w:hAnsi="Palatino Linotype" w:cs="Palatino Linotype"/>
          <w:i/>
          <w:sz w:val="22"/>
          <w:szCs w:val="22"/>
        </w:rPr>
        <w:t>“</w:t>
      </w:r>
      <w:r w:rsidRPr="006A6FF8">
        <w:rPr>
          <w:rFonts w:ascii="Palatino Linotype" w:eastAsia="Palatino Linotype" w:hAnsi="Palatino Linotype" w:cs="Palatino Linotype"/>
          <w:b/>
          <w:i/>
          <w:sz w:val="22"/>
          <w:szCs w:val="22"/>
        </w:rPr>
        <w:t xml:space="preserve">Artículo 3. </w:t>
      </w:r>
      <w:r w:rsidRPr="006A6FF8">
        <w:rPr>
          <w:rFonts w:ascii="Palatino Linotype" w:eastAsia="Palatino Linotype" w:hAnsi="Palatino Linotype" w:cs="Palatino Linotype"/>
          <w:i/>
          <w:sz w:val="22"/>
          <w:szCs w:val="22"/>
        </w:rPr>
        <w:t>Para los efectos de la presente Ley se entenderá por:</w:t>
      </w:r>
    </w:p>
    <w:p w:rsidR="001576A6" w:rsidRPr="006A6FF8" w:rsidRDefault="000941EF">
      <w:pPr>
        <w:pBdr>
          <w:top w:val="nil"/>
          <w:left w:val="nil"/>
          <w:bottom w:val="nil"/>
          <w:right w:val="nil"/>
          <w:between w:val="nil"/>
        </w:pBdr>
        <w:spacing w:before="240" w:after="240"/>
        <w:ind w:left="567" w:right="567"/>
        <w:jc w:val="both"/>
      </w:pPr>
      <w:r w:rsidRPr="006A6FF8">
        <w:rPr>
          <w:rFonts w:ascii="Palatino Linotype" w:eastAsia="Palatino Linotype" w:hAnsi="Palatino Linotype" w:cs="Palatino Linotype"/>
          <w:i/>
          <w:sz w:val="22"/>
          <w:szCs w:val="22"/>
        </w:rPr>
        <w:t>…</w:t>
      </w:r>
    </w:p>
    <w:p w:rsidR="001576A6" w:rsidRPr="006A6FF8" w:rsidRDefault="000941EF">
      <w:pPr>
        <w:pBdr>
          <w:top w:val="nil"/>
          <w:left w:val="nil"/>
          <w:bottom w:val="nil"/>
          <w:right w:val="nil"/>
          <w:between w:val="nil"/>
        </w:pBdr>
        <w:spacing w:before="240" w:after="240"/>
        <w:ind w:left="567" w:right="567"/>
        <w:jc w:val="both"/>
      </w:pPr>
      <w:r w:rsidRPr="006A6FF8">
        <w:rPr>
          <w:rFonts w:ascii="Palatino Linotype" w:eastAsia="Palatino Linotype" w:hAnsi="Palatino Linotype" w:cs="Palatino Linotype"/>
          <w:b/>
          <w:i/>
          <w:sz w:val="22"/>
          <w:szCs w:val="22"/>
        </w:rPr>
        <w:t>XI. Documento:</w:t>
      </w:r>
      <w:r w:rsidRPr="006A6FF8">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6A6FF8">
        <w:rPr>
          <w:rFonts w:ascii="Palatino Linotype" w:eastAsia="Palatino Linotype" w:hAnsi="Palatino Linotype" w:cs="Palatino Linotype"/>
          <w:b/>
          <w:i/>
          <w:sz w:val="22"/>
          <w:szCs w:val="22"/>
        </w:rPr>
        <w:t>…</w:t>
      </w:r>
      <w:r w:rsidRPr="006A6FF8">
        <w:rPr>
          <w:rFonts w:ascii="Palatino Linotype" w:eastAsia="Palatino Linotype" w:hAnsi="Palatino Linotype" w:cs="Palatino Linotype"/>
          <w:i/>
          <w:sz w:val="22"/>
          <w:szCs w:val="22"/>
        </w:rPr>
        <w:t>” (Sic)</w:t>
      </w:r>
    </w:p>
    <w:p w:rsidR="001576A6" w:rsidRPr="006A6FF8" w:rsidRDefault="000941EF">
      <w:pPr>
        <w:pBdr>
          <w:top w:val="nil"/>
          <w:left w:val="nil"/>
          <w:bottom w:val="nil"/>
          <w:right w:val="nil"/>
          <w:between w:val="nil"/>
        </w:pBdr>
        <w:spacing w:before="240" w:after="240" w:line="360" w:lineRule="auto"/>
        <w:jc w:val="both"/>
      </w:pPr>
      <w:r w:rsidRPr="006A6FF8">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1576A6" w:rsidRPr="006A6FF8" w:rsidRDefault="000941EF">
      <w:pPr>
        <w:pBdr>
          <w:top w:val="nil"/>
          <w:left w:val="nil"/>
          <w:bottom w:val="nil"/>
          <w:right w:val="nil"/>
          <w:between w:val="nil"/>
        </w:pBdr>
        <w:spacing w:before="240" w:after="240"/>
        <w:ind w:left="567" w:right="567"/>
        <w:jc w:val="both"/>
      </w:pPr>
      <w:r w:rsidRPr="006A6FF8">
        <w:rPr>
          <w:rFonts w:ascii="Palatino Linotype" w:eastAsia="Palatino Linotype" w:hAnsi="Palatino Linotype" w:cs="Palatino Linotype"/>
          <w:b/>
          <w:sz w:val="22"/>
          <w:szCs w:val="22"/>
        </w:rPr>
        <w:t>“</w:t>
      </w:r>
      <w:r w:rsidRPr="006A6FF8">
        <w:rPr>
          <w:rFonts w:ascii="Palatino Linotype" w:eastAsia="Palatino Linotype" w:hAnsi="Palatino Linotype" w:cs="Palatino Linotype"/>
          <w:b/>
          <w:i/>
          <w:sz w:val="22"/>
          <w:szCs w:val="22"/>
        </w:rPr>
        <w:t>CRITERIO 0002-11</w:t>
      </w:r>
    </w:p>
    <w:p w:rsidR="001576A6" w:rsidRPr="006A6FF8" w:rsidRDefault="000941EF">
      <w:pPr>
        <w:pBdr>
          <w:top w:val="nil"/>
          <w:left w:val="nil"/>
          <w:bottom w:val="nil"/>
          <w:right w:val="nil"/>
          <w:between w:val="nil"/>
        </w:pBdr>
        <w:spacing w:before="240" w:after="240"/>
        <w:ind w:left="567" w:right="567"/>
        <w:jc w:val="both"/>
      </w:pPr>
      <w:r w:rsidRPr="006A6FF8">
        <w:rPr>
          <w:rFonts w:ascii="Palatino Linotype" w:eastAsia="Palatino Linotype" w:hAnsi="Palatino Linotype" w:cs="Palatino Linotype"/>
          <w:b/>
          <w:i/>
          <w:sz w:val="22"/>
          <w:szCs w:val="22"/>
        </w:rPr>
        <w:lastRenderedPageBreak/>
        <w:t>INFORMACIÓN PÚBLICA, CONCEPTO DE, EN MATERIA DE TRANSPARENCIA. INTERPRETACIÓN SISTEMÁTICA DE LOS ARTÍCULOS 2°, FRACCIÓN V, XV, Y XVI, 3°, 4°, 11 Y 41.</w:t>
      </w:r>
      <w:r w:rsidRPr="006A6FF8">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1576A6" w:rsidRPr="006A6FF8" w:rsidRDefault="000941EF">
      <w:pPr>
        <w:pBdr>
          <w:top w:val="nil"/>
          <w:left w:val="nil"/>
          <w:bottom w:val="nil"/>
          <w:right w:val="nil"/>
          <w:between w:val="nil"/>
        </w:pBdr>
        <w:spacing w:before="240" w:after="240"/>
        <w:ind w:left="567" w:right="567"/>
        <w:jc w:val="both"/>
      </w:pPr>
      <w:r w:rsidRPr="006A6FF8">
        <w:rPr>
          <w:rFonts w:ascii="Palatino Linotype" w:eastAsia="Palatino Linotype" w:hAnsi="Palatino Linotype" w:cs="Palatino Linotype"/>
          <w:i/>
          <w:sz w:val="22"/>
          <w:szCs w:val="22"/>
        </w:rPr>
        <w:t>En consecuencia el acceso a la información se refiere a que se cumplan cualquiera de los siguientes tres supuestos:</w:t>
      </w:r>
    </w:p>
    <w:p w:rsidR="001576A6" w:rsidRPr="006A6FF8" w:rsidRDefault="000941EF">
      <w:pPr>
        <w:numPr>
          <w:ilvl w:val="0"/>
          <w:numId w:val="4"/>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6A6FF8">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rsidR="001576A6" w:rsidRPr="006A6FF8" w:rsidRDefault="000941EF">
      <w:pPr>
        <w:numPr>
          <w:ilvl w:val="0"/>
          <w:numId w:val="4"/>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6A6FF8">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rsidR="001576A6" w:rsidRPr="006A6FF8" w:rsidRDefault="000941EF">
      <w:pPr>
        <w:pBdr>
          <w:top w:val="nil"/>
          <w:left w:val="nil"/>
          <w:bottom w:val="nil"/>
          <w:right w:val="nil"/>
          <w:between w:val="nil"/>
        </w:pBdr>
        <w:spacing w:before="240" w:after="240"/>
        <w:ind w:left="567" w:right="567" w:hanging="284"/>
        <w:jc w:val="both"/>
      </w:pPr>
      <w:r w:rsidRPr="006A6FF8">
        <w:rPr>
          <w:rFonts w:ascii="Palatino Linotype" w:eastAsia="Palatino Linotype" w:hAnsi="Palatino Linotype" w:cs="Palatino Linotype"/>
          <w:i/>
          <w:sz w:val="22"/>
          <w:szCs w:val="22"/>
        </w:rPr>
        <w:t xml:space="preserve">3. </w:t>
      </w:r>
      <w:r w:rsidRPr="006A6FF8">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rsidR="001576A6" w:rsidRPr="006A6FF8" w:rsidRDefault="000941EF">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6A6FF8">
        <w:rPr>
          <w:rFonts w:ascii="Palatino Linotype" w:eastAsia="Palatino Linotype" w:hAnsi="Palatino Linotype" w:cs="Palatino Linotype"/>
        </w:rPr>
        <w:t xml:space="preserve">De ahí que el </w:t>
      </w:r>
      <w:r w:rsidRPr="006A6FF8">
        <w:rPr>
          <w:rFonts w:ascii="Palatino Linotype" w:eastAsia="Palatino Linotype" w:hAnsi="Palatino Linotype" w:cs="Palatino Linotype"/>
          <w:b/>
        </w:rPr>
        <w:t>Sujeto Obligado</w:t>
      </w:r>
      <w:r w:rsidRPr="006A6FF8">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rsidR="004D2769" w:rsidRPr="006A6FF8" w:rsidRDefault="004D2769" w:rsidP="004D2769">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6A6FF8">
        <w:rPr>
          <w:rFonts w:ascii="Palatino Linotype" w:eastAsia="Palatino Linotype" w:hAnsi="Palatino Linotype" w:cs="Palatino Linotype"/>
        </w:rPr>
        <w:lastRenderedPageBreak/>
        <w:t xml:space="preserve">Ahora bien, para profundizar en el estudio del presente asunto, es conveniente recordar que la parte solicitante requirió al </w:t>
      </w:r>
      <w:r w:rsidRPr="006A6FF8">
        <w:rPr>
          <w:rFonts w:ascii="Palatino Linotype" w:eastAsia="Palatino Linotype" w:hAnsi="Palatino Linotype" w:cs="Palatino Linotype"/>
          <w:b/>
        </w:rPr>
        <w:t>Sujeto Obligado</w:t>
      </w:r>
      <w:r w:rsidRPr="006A6FF8">
        <w:rPr>
          <w:rFonts w:ascii="Palatino Linotype" w:eastAsia="Palatino Linotype" w:hAnsi="Palatino Linotype" w:cs="Palatino Linotype"/>
        </w:rPr>
        <w:t>, le proporcionara lo siguiente:</w:t>
      </w:r>
    </w:p>
    <w:p w:rsidR="004D2769" w:rsidRPr="006A6FF8" w:rsidRDefault="00CD6F7D" w:rsidP="00CD6F7D">
      <w:pPr>
        <w:pStyle w:val="Prrafodelista"/>
        <w:numPr>
          <w:ilvl w:val="0"/>
          <w:numId w:val="14"/>
        </w:numPr>
        <w:pBdr>
          <w:top w:val="nil"/>
          <w:left w:val="nil"/>
          <w:bottom w:val="nil"/>
          <w:right w:val="nil"/>
          <w:between w:val="nil"/>
        </w:pBdr>
        <w:spacing w:before="240" w:after="240" w:line="360" w:lineRule="auto"/>
        <w:ind w:right="900"/>
        <w:jc w:val="both"/>
        <w:rPr>
          <w:rFonts w:ascii="Palatino Linotype" w:hAnsi="Palatino Linotype"/>
          <w:b/>
          <w:u w:val="single"/>
        </w:rPr>
      </w:pPr>
      <w:r w:rsidRPr="006A6FF8">
        <w:rPr>
          <w:rFonts w:ascii="Palatino Linotype" w:hAnsi="Palatino Linotype"/>
          <w:b/>
          <w:u w:val="single"/>
        </w:rPr>
        <w:t>Solicito al DIF de Toluca</w:t>
      </w:r>
      <w:r w:rsidRPr="006A6FF8">
        <w:rPr>
          <w:rFonts w:ascii="Palatino Linotype" w:hAnsi="Palatino Linotype"/>
          <w:b/>
        </w:rPr>
        <w:t xml:space="preserve"> </w:t>
      </w:r>
      <w:r w:rsidRPr="006A6FF8">
        <w:rPr>
          <w:rFonts w:ascii="Palatino Linotype" w:hAnsi="Palatino Linotype"/>
        </w:rPr>
        <w:t>la siguiente información pública, con fundamento en lo establecido por los artículos 4; 23, fracción IV; 24, fracción XI; 25; 53, fracción II; 150;151;152; 155;156; 162 y 163 primer párrafo de la Ley de Transparencia y Acceso a la Información Pública del Estado de México y Municipios:</w:t>
      </w:r>
      <w:r w:rsidRPr="006A6FF8">
        <w:rPr>
          <w:rFonts w:ascii="Palatino Linotype" w:hAnsi="Palatino Linotype"/>
          <w:b/>
        </w:rPr>
        <w:t xml:space="preserve"> </w:t>
      </w:r>
      <w:r w:rsidRPr="006A6FF8">
        <w:rPr>
          <w:rFonts w:ascii="Palatino Linotype" w:hAnsi="Palatino Linotype"/>
          <w:b/>
          <w:u w:val="single"/>
        </w:rPr>
        <w:t>todos los contratos de adquisición de bienes y servicios licitados en su municipio, tanto en adjudicación directa, licitación pública e invitación a cuando meses tres personas, de los años 2021, 2022 y 2023 y las facturas pagadas por estos conceptos a los prestadores de servicios o proveedores.</w:t>
      </w:r>
      <w:r w:rsidR="004D2769" w:rsidRPr="006A6FF8">
        <w:rPr>
          <w:rFonts w:ascii="Palatino Linotype" w:hAnsi="Palatino Linotype"/>
          <w:b/>
          <w:u w:val="single"/>
        </w:rPr>
        <w:t>.</w:t>
      </w:r>
    </w:p>
    <w:p w:rsidR="004D2769" w:rsidRPr="006A6FF8" w:rsidRDefault="004D2769" w:rsidP="004D2769">
      <w:pPr>
        <w:pBdr>
          <w:top w:val="nil"/>
          <w:left w:val="nil"/>
          <w:bottom w:val="nil"/>
          <w:right w:val="nil"/>
          <w:between w:val="nil"/>
        </w:pBdr>
        <w:spacing w:before="240" w:after="240" w:line="360" w:lineRule="auto"/>
        <w:ind w:right="49"/>
        <w:jc w:val="both"/>
        <w:rPr>
          <w:rFonts w:ascii="Palatino Linotype" w:hAnsi="Palatino Linotype"/>
        </w:rPr>
      </w:pPr>
      <w:r w:rsidRPr="006A6FF8">
        <w:rPr>
          <w:rFonts w:ascii="Palatino Linotype" w:hAnsi="Palatino Linotype"/>
        </w:rPr>
        <w:t xml:space="preserve">Al tercer día hábil de haberse presentado la solicitud de información, el </w:t>
      </w:r>
      <w:r w:rsidRPr="006A6FF8">
        <w:rPr>
          <w:rFonts w:ascii="Palatino Linotype" w:hAnsi="Palatino Linotype"/>
          <w:b/>
        </w:rPr>
        <w:t xml:space="preserve">Sujeto Obligado </w:t>
      </w:r>
      <w:r w:rsidRPr="006A6FF8">
        <w:rPr>
          <w:rFonts w:ascii="Palatino Linotype" w:hAnsi="Palatino Linotype"/>
        </w:rPr>
        <w:t>declaró la incompetencia para atender la presente solicitud de información, por lo que orienta al particular para que formule su requerimiento de información en el portal del Ayuntamiento de Toluca.</w:t>
      </w:r>
    </w:p>
    <w:p w:rsidR="004D2769" w:rsidRPr="006A6FF8" w:rsidRDefault="004D2769" w:rsidP="004D2769">
      <w:pPr>
        <w:spacing w:before="240" w:after="240" w:line="360" w:lineRule="auto"/>
        <w:jc w:val="both"/>
        <w:rPr>
          <w:rFonts w:ascii="Palatino Linotype" w:eastAsia="Palatino Linotype" w:hAnsi="Palatino Linotype" w:cs="Palatino Linotype"/>
          <w:i/>
        </w:rPr>
      </w:pPr>
      <w:r w:rsidRPr="006A6FF8">
        <w:rPr>
          <w:rFonts w:ascii="Palatino Linotype" w:eastAsia="Palatino Linotype" w:hAnsi="Palatino Linotype" w:cs="Palatino Linotype"/>
        </w:rPr>
        <w:t xml:space="preserve">En esta tesitura, una vez conocida la respuesta emitida por el </w:t>
      </w:r>
      <w:r w:rsidRPr="006A6FF8">
        <w:rPr>
          <w:rFonts w:ascii="Palatino Linotype" w:eastAsia="Palatino Linotype" w:hAnsi="Palatino Linotype" w:cs="Palatino Linotype"/>
          <w:b/>
        </w:rPr>
        <w:t>Sujeto Obligado</w:t>
      </w:r>
      <w:r w:rsidRPr="006A6FF8">
        <w:rPr>
          <w:rFonts w:ascii="Palatino Linotype" w:eastAsia="Palatino Linotype" w:hAnsi="Palatino Linotype" w:cs="Palatino Linotype"/>
        </w:rPr>
        <w:t xml:space="preserve">, </w:t>
      </w:r>
      <w:r w:rsidRPr="006A6FF8">
        <w:rPr>
          <w:rFonts w:ascii="Palatino Linotype" w:eastAsia="Palatino Linotype" w:hAnsi="Palatino Linotype" w:cs="Palatino Linotype"/>
          <w:b/>
        </w:rPr>
        <w:t>la parte Recurrente</w:t>
      </w:r>
      <w:r w:rsidRPr="006A6FF8">
        <w:rPr>
          <w:rFonts w:ascii="Palatino Linotype" w:eastAsia="Palatino Linotype" w:hAnsi="Palatino Linotype" w:cs="Palatino Linotype"/>
        </w:rPr>
        <w:t xml:space="preserve">, al no estar conforme con los términos de la misma, interpuso el recurso de revisión que nos ocupa, donde señaló en sus razones o motivos de inconformidad lo siguiente: </w:t>
      </w:r>
      <w:r w:rsidRPr="006A6FF8">
        <w:rPr>
          <w:rFonts w:ascii="Palatino Linotype" w:eastAsia="Palatino Linotype" w:hAnsi="Palatino Linotype" w:cs="Palatino Linotype"/>
          <w:i/>
        </w:rPr>
        <w:t>“</w:t>
      </w:r>
      <w:r w:rsidRPr="006A6FF8">
        <w:rPr>
          <w:rFonts w:ascii="Palatino Linotype" w:eastAsia="Palatino Linotype" w:hAnsi="Palatino Linotype" w:cs="Palatino Linotype"/>
          <w:b/>
          <w:i/>
          <w:u w:val="single"/>
        </w:rPr>
        <w:t>“no entrega la información solicitada por esta vía.”</w:t>
      </w:r>
      <w:r w:rsidRPr="006A6FF8">
        <w:rPr>
          <w:rFonts w:ascii="Palatino Linotype" w:eastAsia="Palatino Linotype" w:hAnsi="Palatino Linotype" w:cs="Palatino Linotype"/>
          <w:i/>
        </w:rPr>
        <w:t xml:space="preserve">” (Sic) (Énfasis añadido), </w:t>
      </w:r>
      <w:r w:rsidRPr="006A6FF8">
        <w:rPr>
          <w:rFonts w:ascii="Palatino Linotype" w:eastAsia="Palatino Linotype" w:hAnsi="Palatino Linotype" w:cs="Palatino Linotype"/>
        </w:rPr>
        <w:t xml:space="preserve">es decir, su inconformidad medularmente versa sobre la </w:t>
      </w:r>
      <w:r w:rsidRPr="006A6FF8">
        <w:rPr>
          <w:rFonts w:ascii="Palatino Linotype" w:eastAsia="Palatino Linotype" w:hAnsi="Palatino Linotype" w:cs="Palatino Linotype"/>
        </w:rPr>
        <w:lastRenderedPageBreak/>
        <w:t>entrega o puesta a disposición de información en un formato incomprensible y/o no accesible para el solicitante.</w:t>
      </w:r>
    </w:p>
    <w:p w:rsidR="004D2769" w:rsidRPr="006A6FF8" w:rsidRDefault="004D2769" w:rsidP="004D2769">
      <w:pPr>
        <w:spacing w:before="240" w:after="240" w:line="360" w:lineRule="auto"/>
        <w:jc w:val="both"/>
        <w:rPr>
          <w:rFonts w:ascii="Palatino Linotype" w:eastAsia="Palatino Linotype" w:hAnsi="Palatino Linotype" w:cs="Palatino Linotype"/>
        </w:rPr>
      </w:pPr>
      <w:r w:rsidRPr="006A6FF8">
        <w:rPr>
          <w:rFonts w:ascii="Palatino Linotype" w:eastAsia="Palatino Linotype" w:hAnsi="Palatino Linotype" w:cs="Palatino Linotype"/>
        </w:rPr>
        <w:t xml:space="preserve">Así las cosas, durante la etapa de manifestaciones, se tiene que el </w:t>
      </w:r>
      <w:r w:rsidRPr="006A6FF8">
        <w:rPr>
          <w:rFonts w:ascii="Palatino Linotype" w:eastAsia="Palatino Linotype" w:hAnsi="Palatino Linotype" w:cs="Palatino Linotype"/>
          <w:b/>
        </w:rPr>
        <w:t>Sujeto Obligado</w:t>
      </w:r>
      <w:r w:rsidRPr="006A6FF8">
        <w:rPr>
          <w:rFonts w:ascii="Palatino Linotype" w:eastAsia="Palatino Linotype" w:hAnsi="Palatino Linotype" w:cs="Palatino Linotype"/>
        </w:rPr>
        <w:t xml:space="preserve"> ratificó los términos de su respuesta inicial, mientras que </w:t>
      </w:r>
      <w:r w:rsidRPr="006A6FF8">
        <w:rPr>
          <w:rFonts w:ascii="Palatino Linotype" w:eastAsia="Palatino Linotype" w:hAnsi="Palatino Linotype" w:cs="Palatino Linotype"/>
          <w:b/>
        </w:rPr>
        <w:t xml:space="preserve">la parte Recurrente  </w:t>
      </w:r>
      <w:r w:rsidRPr="006A6FF8">
        <w:rPr>
          <w:rFonts w:ascii="Palatino Linotype" w:eastAsia="Palatino Linotype" w:hAnsi="Palatino Linotype" w:cs="Palatino Linotype"/>
        </w:rPr>
        <w:t xml:space="preserve">fue omisa en remitir sus alegatos o cualquier manifestación que a su derecho conviniera, por lo tanto, se tiene por </w:t>
      </w:r>
      <w:proofErr w:type="spellStart"/>
      <w:r w:rsidRPr="006A6FF8">
        <w:rPr>
          <w:rFonts w:ascii="Palatino Linotype" w:eastAsia="Palatino Linotype" w:hAnsi="Palatino Linotype" w:cs="Palatino Linotype"/>
        </w:rPr>
        <w:t>precluido</w:t>
      </w:r>
      <w:proofErr w:type="spellEnd"/>
      <w:r w:rsidRPr="006A6FF8">
        <w:rPr>
          <w:rFonts w:ascii="Palatino Linotype" w:eastAsia="Palatino Linotype" w:hAnsi="Palatino Linotype" w:cs="Palatino Linotype"/>
        </w:rPr>
        <w:t xml:space="preserve"> su derecho para tal efecto.</w:t>
      </w:r>
    </w:p>
    <w:p w:rsidR="004D2769" w:rsidRPr="006A6FF8" w:rsidRDefault="004D2769" w:rsidP="004D2769">
      <w:pPr>
        <w:spacing w:before="240" w:after="240" w:line="360" w:lineRule="auto"/>
        <w:jc w:val="both"/>
        <w:rPr>
          <w:rFonts w:ascii="Palatino Linotype" w:hAnsi="Palatino Linotype"/>
        </w:rPr>
      </w:pPr>
      <w:r w:rsidRPr="006A6FF8">
        <w:rPr>
          <w:rFonts w:ascii="Palatino Linotype" w:eastAsia="Palatino Linotype" w:hAnsi="Palatino Linotype" w:cs="Palatino Linotype"/>
        </w:rPr>
        <w:t xml:space="preserve">Teniendo en cuenta las posturas de las partes, es necesario iniciar señalando que de un análisis al requerimiento de información de </w:t>
      </w:r>
      <w:r w:rsidRPr="006A6FF8">
        <w:rPr>
          <w:rFonts w:ascii="Palatino Linotype" w:eastAsia="Palatino Linotype" w:hAnsi="Palatino Linotype" w:cs="Palatino Linotype"/>
          <w:b/>
        </w:rPr>
        <w:t>la parte Recurrente</w:t>
      </w:r>
      <w:r w:rsidRPr="006A6FF8">
        <w:rPr>
          <w:rFonts w:ascii="Palatino Linotype" w:eastAsia="Palatino Linotype" w:hAnsi="Palatino Linotype" w:cs="Palatino Linotype"/>
        </w:rPr>
        <w:t>, se advierte que hizo referencia a “</w:t>
      </w:r>
      <w:r w:rsidRPr="006A6FF8">
        <w:rPr>
          <w:rFonts w:ascii="Palatino Linotype" w:hAnsi="Palatino Linotype"/>
          <w:b/>
        </w:rPr>
        <w:t xml:space="preserve">Todos los contratos de adquisición de bienes y servicios licitados en su </w:t>
      </w:r>
      <w:r w:rsidRPr="006A6FF8">
        <w:rPr>
          <w:rFonts w:ascii="Palatino Linotype" w:hAnsi="Palatino Linotype"/>
          <w:b/>
          <w:u w:val="single"/>
        </w:rPr>
        <w:t>municipio</w:t>
      </w:r>
      <w:r w:rsidRPr="006A6FF8">
        <w:rPr>
          <w:rFonts w:ascii="Palatino Linotype" w:hAnsi="Palatino Linotype"/>
          <w:b/>
        </w:rPr>
        <w:t xml:space="preserve">”, </w:t>
      </w:r>
      <w:r w:rsidRPr="006A6FF8">
        <w:rPr>
          <w:rFonts w:ascii="Palatino Linotype" w:hAnsi="Palatino Linotype"/>
        </w:rPr>
        <w:t>sin embargo,</w:t>
      </w:r>
      <w:r w:rsidRPr="006A6FF8">
        <w:rPr>
          <w:rFonts w:ascii="Palatino Linotype" w:hAnsi="Palatino Linotype"/>
          <w:b/>
        </w:rPr>
        <w:t xml:space="preserve"> </w:t>
      </w:r>
      <w:r w:rsidRPr="006A6FF8">
        <w:rPr>
          <w:rFonts w:ascii="Palatino Linotype" w:hAnsi="Palatino Linotype"/>
        </w:rPr>
        <w:t>en el</w:t>
      </w:r>
      <w:r w:rsidRPr="006A6FF8">
        <w:rPr>
          <w:rFonts w:ascii="Palatino Linotype" w:hAnsi="Palatino Linotype"/>
          <w:b/>
        </w:rPr>
        <w:t xml:space="preserve"> </w:t>
      </w:r>
      <w:r w:rsidRPr="006A6FF8">
        <w:rPr>
          <w:rFonts w:ascii="Palatino Linotype" w:hAnsi="Palatino Linotype"/>
        </w:rPr>
        <w:t xml:space="preserve">caso particular, se tiene que emplea la expresión “municipio” como un ámbito territorial y no así como ámbito de gobierno, tan es así, que al inicio de la propia solicitud de información, expresa </w:t>
      </w:r>
      <w:r w:rsidRPr="006A6FF8">
        <w:rPr>
          <w:rFonts w:ascii="Palatino Linotype" w:hAnsi="Palatino Linotype"/>
          <w:b/>
          <w:i/>
        </w:rPr>
        <w:t xml:space="preserve">“Solicito al DIF de Toluca”, </w:t>
      </w:r>
      <w:r w:rsidRPr="006A6FF8">
        <w:rPr>
          <w:rFonts w:ascii="Palatino Linotype" w:hAnsi="Palatino Linotype"/>
        </w:rPr>
        <w:t>no así al Ayuntamiento de T</w:t>
      </w:r>
      <w:r w:rsidR="00B36179" w:rsidRPr="006A6FF8">
        <w:rPr>
          <w:rFonts w:ascii="Palatino Linotype" w:hAnsi="Palatino Linotype"/>
        </w:rPr>
        <w:t xml:space="preserve">oluca como pretende hacer valer el </w:t>
      </w:r>
      <w:r w:rsidR="00B36179" w:rsidRPr="006A6FF8">
        <w:rPr>
          <w:rFonts w:ascii="Palatino Linotype" w:hAnsi="Palatino Linotype"/>
          <w:b/>
        </w:rPr>
        <w:t>Sujeto Obligado</w:t>
      </w:r>
      <w:r w:rsidR="000D1635" w:rsidRPr="006A6FF8">
        <w:rPr>
          <w:rFonts w:ascii="Palatino Linotype" w:hAnsi="Palatino Linotype"/>
        </w:rPr>
        <w:t>, por lo tanto, no es procedente la declaración de incompetencia.</w:t>
      </w:r>
    </w:p>
    <w:p w:rsidR="0023593D" w:rsidRPr="006A6FF8" w:rsidRDefault="00CD6F7D" w:rsidP="0023593D">
      <w:pPr>
        <w:pBdr>
          <w:top w:val="nil"/>
          <w:left w:val="nil"/>
          <w:bottom w:val="nil"/>
          <w:right w:val="nil"/>
          <w:between w:val="nil"/>
        </w:pBdr>
        <w:spacing w:before="240" w:after="240" w:line="360" w:lineRule="auto"/>
        <w:jc w:val="both"/>
        <w:rPr>
          <w:lang w:val="es-MX"/>
        </w:rPr>
      </w:pPr>
      <w:r w:rsidRPr="006A6FF8">
        <w:rPr>
          <w:rFonts w:ascii="Palatino Linotype" w:hAnsi="Palatino Linotype"/>
          <w:lang w:val="es-MX"/>
        </w:rPr>
        <w:t xml:space="preserve">Ahora bien, respecto </w:t>
      </w:r>
      <w:r w:rsidR="0023593D" w:rsidRPr="006A6FF8">
        <w:rPr>
          <w:rFonts w:ascii="Palatino Linotype" w:hAnsi="Palatino Linotype"/>
          <w:lang w:val="es-MX"/>
        </w:rPr>
        <w:t xml:space="preserve">a los procesos de licitación y contratación que la Ley de la  Contratación Pública del Estado de México y Municipios, tiene por objeto regular los actos relativos a la planeación, programación, </w:t>
      </w:r>
      <w:proofErr w:type="spellStart"/>
      <w:r w:rsidR="0023593D" w:rsidRPr="006A6FF8">
        <w:rPr>
          <w:rFonts w:ascii="Palatino Linotype" w:hAnsi="Palatino Linotype"/>
          <w:lang w:val="es-MX"/>
        </w:rPr>
        <w:t>presupuestación</w:t>
      </w:r>
      <w:proofErr w:type="spellEnd"/>
      <w:r w:rsidR="0023593D" w:rsidRPr="006A6FF8">
        <w:rPr>
          <w:rFonts w:ascii="Palatino Linotype" w:hAnsi="Palatino Linotype"/>
          <w:lang w:val="es-MX"/>
        </w:rPr>
        <w:t xml:space="preserve">, ejecución y control de la </w:t>
      </w:r>
      <w:r w:rsidR="0023593D" w:rsidRPr="006A6FF8">
        <w:rPr>
          <w:rFonts w:ascii="Palatino Linotype" w:hAnsi="Palatino Linotype"/>
          <w:b/>
          <w:bCs/>
          <w:u w:val="single"/>
          <w:lang w:val="es-MX"/>
        </w:rPr>
        <w:t>adquisición</w:t>
      </w:r>
      <w:r w:rsidR="0023593D" w:rsidRPr="006A6FF8">
        <w:rPr>
          <w:rFonts w:ascii="Palatino Linotype" w:hAnsi="Palatino Linotype"/>
          <w:lang w:val="es-MX"/>
        </w:rPr>
        <w:t xml:space="preserve">, enajenación y arrendamiento </w:t>
      </w:r>
      <w:r w:rsidR="0023593D" w:rsidRPr="006A6FF8">
        <w:rPr>
          <w:rFonts w:ascii="Palatino Linotype" w:hAnsi="Palatino Linotype"/>
          <w:b/>
          <w:bCs/>
          <w:u w:val="single"/>
          <w:lang w:val="es-MX"/>
        </w:rPr>
        <w:t>de bienes</w:t>
      </w:r>
      <w:r w:rsidR="0023593D" w:rsidRPr="006A6FF8">
        <w:rPr>
          <w:rFonts w:ascii="Palatino Linotype" w:hAnsi="Palatino Linotype"/>
          <w:lang w:val="es-MX"/>
        </w:rPr>
        <w:t xml:space="preserve">, y la </w:t>
      </w:r>
      <w:r w:rsidR="0023593D" w:rsidRPr="006A6FF8">
        <w:rPr>
          <w:rFonts w:ascii="Palatino Linotype" w:hAnsi="Palatino Linotype"/>
          <w:b/>
          <w:bCs/>
          <w:u w:val="single"/>
          <w:lang w:val="es-MX"/>
        </w:rPr>
        <w:t>contratación de servicios de cualquier naturaleza, que realicen los Ayuntamientos del Estado</w:t>
      </w:r>
      <w:r w:rsidR="0023593D" w:rsidRPr="006A6FF8">
        <w:rPr>
          <w:rFonts w:ascii="Palatino Linotype" w:hAnsi="Palatino Linotype"/>
          <w:lang w:val="es-MX"/>
        </w:rPr>
        <w:t xml:space="preserve">; los cuales se adjudicarán a través de </w:t>
      </w:r>
      <w:r w:rsidR="0023593D" w:rsidRPr="006A6FF8">
        <w:rPr>
          <w:rFonts w:ascii="Palatino Linotype" w:hAnsi="Palatino Linotype"/>
          <w:b/>
          <w:bCs/>
          <w:u w:val="single"/>
          <w:lang w:val="es-MX"/>
        </w:rPr>
        <w:t>licitaciones públicas</w:t>
      </w:r>
      <w:r w:rsidR="0023593D" w:rsidRPr="006A6FF8">
        <w:rPr>
          <w:rFonts w:ascii="Palatino Linotype" w:hAnsi="Palatino Linotype"/>
          <w:lang w:val="es-MX"/>
        </w:rPr>
        <w:t xml:space="preserve">, invitación restringida o </w:t>
      </w:r>
      <w:r w:rsidR="0023593D" w:rsidRPr="006A6FF8">
        <w:rPr>
          <w:rFonts w:ascii="Palatino Linotype" w:hAnsi="Palatino Linotype"/>
          <w:lang w:val="es-MX"/>
        </w:rPr>
        <w:lastRenderedPageBreak/>
        <w:t>adjudicación directa, mediante convocatoria pública, tal y como lo establecen los artículos 4, 26 y 27 de dicha Ley, los cuales son del tenor siguiente:</w:t>
      </w:r>
    </w:p>
    <w:p w:rsidR="0023593D" w:rsidRPr="006A6FF8" w:rsidRDefault="0023593D" w:rsidP="005C3AFE">
      <w:pPr>
        <w:pBdr>
          <w:top w:val="nil"/>
          <w:left w:val="nil"/>
          <w:bottom w:val="nil"/>
          <w:right w:val="nil"/>
          <w:between w:val="nil"/>
        </w:pBdr>
        <w:spacing w:before="240" w:after="240" w:line="276" w:lineRule="auto"/>
        <w:ind w:left="567" w:right="900"/>
        <w:jc w:val="both"/>
        <w:rPr>
          <w:rFonts w:ascii="Palatino Linotype" w:hAnsi="Palatino Linotype"/>
          <w:sz w:val="22"/>
          <w:lang w:val="es-MX"/>
        </w:rPr>
      </w:pPr>
      <w:r w:rsidRPr="006A6FF8">
        <w:rPr>
          <w:rFonts w:ascii="Palatino Linotype" w:hAnsi="Palatino Linotype"/>
          <w:i/>
          <w:iCs/>
          <w:sz w:val="22"/>
          <w:lang w:val="es-MX"/>
        </w:rPr>
        <w:t>“</w:t>
      </w:r>
      <w:r w:rsidRPr="006A6FF8">
        <w:rPr>
          <w:rFonts w:ascii="Palatino Linotype" w:hAnsi="Palatino Linotype"/>
          <w:b/>
          <w:bCs/>
          <w:i/>
          <w:iCs/>
          <w:sz w:val="22"/>
          <w:lang w:val="es-MX"/>
        </w:rPr>
        <w:t>Artículo 4.-</w:t>
      </w:r>
      <w:r w:rsidRPr="006A6FF8">
        <w:rPr>
          <w:rFonts w:ascii="Palatino Linotype" w:hAnsi="Palatino Linotype"/>
          <w:i/>
          <w:iCs/>
          <w:sz w:val="22"/>
          <w:lang w:val="es-MX"/>
        </w:rPr>
        <w:t xml:space="preserve"> Para los efectos de esta Ley, en las adquisiciones, enajenaciones, arrendamientos y servicios, quedan comprendidos: </w:t>
      </w:r>
    </w:p>
    <w:p w:rsidR="0023593D" w:rsidRPr="006A6FF8" w:rsidRDefault="0023593D" w:rsidP="005C3AFE">
      <w:pPr>
        <w:pBdr>
          <w:top w:val="nil"/>
          <w:left w:val="nil"/>
          <w:bottom w:val="nil"/>
          <w:right w:val="nil"/>
          <w:between w:val="nil"/>
        </w:pBdr>
        <w:spacing w:before="240" w:after="240" w:line="276" w:lineRule="auto"/>
        <w:ind w:left="567" w:right="900"/>
        <w:jc w:val="both"/>
        <w:rPr>
          <w:rFonts w:ascii="Palatino Linotype" w:hAnsi="Palatino Linotype"/>
          <w:sz w:val="22"/>
          <w:lang w:val="es-MX"/>
        </w:rPr>
      </w:pPr>
      <w:r w:rsidRPr="006A6FF8">
        <w:rPr>
          <w:rFonts w:ascii="Palatino Linotype" w:hAnsi="Palatino Linotype"/>
          <w:b/>
          <w:bCs/>
          <w:i/>
          <w:iCs/>
          <w:sz w:val="22"/>
          <w:u w:val="single"/>
          <w:lang w:val="es-MX"/>
        </w:rPr>
        <w:t>I. La adquisición de bienes muebles. </w:t>
      </w:r>
    </w:p>
    <w:p w:rsidR="0023593D" w:rsidRPr="006A6FF8" w:rsidRDefault="0023593D" w:rsidP="005C3AFE">
      <w:pPr>
        <w:pBdr>
          <w:top w:val="nil"/>
          <w:left w:val="nil"/>
          <w:bottom w:val="nil"/>
          <w:right w:val="nil"/>
          <w:between w:val="nil"/>
        </w:pBdr>
        <w:spacing w:before="240" w:after="240" w:line="276" w:lineRule="auto"/>
        <w:ind w:left="567" w:right="900"/>
        <w:jc w:val="both"/>
        <w:rPr>
          <w:rFonts w:ascii="Palatino Linotype" w:hAnsi="Palatino Linotype"/>
          <w:sz w:val="22"/>
          <w:lang w:val="es-MX"/>
        </w:rPr>
      </w:pPr>
      <w:r w:rsidRPr="006A6FF8">
        <w:rPr>
          <w:rFonts w:ascii="Palatino Linotype" w:hAnsi="Palatino Linotype"/>
          <w:i/>
          <w:iCs/>
          <w:sz w:val="22"/>
          <w:lang w:val="es-MX"/>
        </w:rPr>
        <w:t>II. La adquisición de bienes inmuebles, a través de compraventa. </w:t>
      </w:r>
    </w:p>
    <w:p w:rsidR="0023593D" w:rsidRPr="006A6FF8" w:rsidRDefault="0023593D" w:rsidP="005C3AFE">
      <w:pPr>
        <w:pBdr>
          <w:top w:val="nil"/>
          <w:left w:val="nil"/>
          <w:bottom w:val="nil"/>
          <w:right w:val="nil"/>
          <w:between w:val="nil"/>
        </w:pBdr>
        <w:spacing w:before="240" w:after="240" w:line="276" w:lineRule="auto"/>
        <w:ind w:left="567" w:right="900"/>
        <w:jc w:val="both"/>
        <w:rPr>
          <w:rFonts w:ascii="Palatino Linotype" w:hAnsi="Palatino Linotype"/>
          <w:sz w:val="22"/>
          <w:lang w:val="es-MX"/>
        </w:rPr>
      </w:pPr>
      <w:r w:rsidRPr="006A6FF8">
        <w:rPr>
          <w:rFonts w:ascii="Palatino Linotype" w:hAnsi="Palatino Linotype"/>
          <w:i/>
          <w:iCs/>
          <w:sz w:val="22"/>
          <w:lang w:val="es-MX"/>
        </w:rPr>
        <w:t>III. La enajenación de bienes muebles e inmuebles. </w:t>
      </w:r>
    </w:p>
    <w:p w:rsidR="0023593D" w:rsidRPr="006A6FF8" w:rsidRDefault="0023593D" w:rsidP="005C3AFE">
      <w:pPr>
        <w:pBdr>
          <w:top w:val="nil"/>
          <w:left w:val="nil"/>
          <w:bottom w:val="nil"/>
          <w:right w:val="nil"/>
          <w:between w:val="nil"/>
        </w:pBdr>
        <w:spacing w:before="240" w:after="240" w:line="276" w:lineRule="auto"/>
        <w:ind w:left="567" w:right="900"/>
        <w:jc w:val="both"/>
        <w:rPr>
          <w:rFonts w:ascii="Palatino Linotype" w:hAnsi="Palatino Linotype"/>
          <w:sz w:val="22"/>
          <w:lang w:val="es-MX"/>
        </w:rPr>
      </w:pPr>
      <w:r w:rsidRPr="006A6FF8">
        <w:rPr>
          <w:rFonts w:ascii="Palatino Linotype" w:hAnsi="Palatino Linotype"/>
          <w:b/>
          <w:bCs/>
          <w:i/>
          <w:iCs/>
          <w:sz w:val="22"/>
          <w:u w:val="single"/>
          <w:lang w:val="es-MX"/>
        </w:rPr>
        <w:t>IV. El arrendamiento de bienes muebles</w:t>
      </w:r>
      <w:r w:rsidRPr="006A6FF8">
        <w:rPr>
          <w:rFonts w:ascii="Palatino Linotype" w:hAnsi="Palatino Linotype"/>
          <w:i/>
          <w:iCs/>
          <w:sz w:val="22"/>
          <w:lang w:val="es-MX"/>
        </w:rPr>
        <w:t xml:space="preserve"> e inmuebles. </w:t>
      </w:r>
    </w:p>
    <w:p w:rsidR="0023593D" w:rsidRPr="006A6FF8" w:rsidRDefault="0023593D" w:rsidP="005C3AFE">
      <w:pPr>
        <w:pBdr>
          <w:top w:val="nil"/>
          <w:left w:val="nil"/>
          <w:bottom w:val="nil"/>
          <w:right w:val="nil"/>
          <w:between w:val="nil"/>
        </w:pBdr>
        <w:spacing w:before="240" w:after="240" w:line="276" w:lineRule="auto"/>
        <w:ind w:left="567" w:right="900"/>
        <w:jc w:val="both"/>
        <w:rPr>
          <w:rFonts w:ascii="Palatino Linotype" w:hAnsi="Palatino Linotype"/>
          <w:sz w:val="22"/>
          <w:lang w:val="es-MX"/>
        </w:rPr>
      </w:pPr>
      <w:r w:rsidRPr="006A6FF8">
        <w:rPr>
          <w:rFonts w:ascii="Palatino Linotype" w:hAnsi="Palatino Linotype"/>
          <w:b/>
          <w:bCs/>
          <w:i/>
          <w:iCs/>
          <w:sz w:val="22"/>
          <w:u w:val="single"/>
          <w:lang w:val="es-MX"/>
        </w:rPr>
        <w:t>V. La contratación de los servicios, relacionados con bienes muebles que se encuentran incorporados o adheridos a bienes inmuebles, cuya instalación o mantenimiento no implique modificación al bien inmueble. </w:t>
      </w:r>
    </w:p>
    <w:p w:rsidR="0023593D" w:rsidRPr="006A6FF8" w:rsidRDefault="0023593D" w:rsidP="005C3AFE">
      <w:pPr>
        <w:pBdr>
          <w:top w:val="nil"/>
          <w:left w:val="nil"/>
          <w:bottom w:val="nil"/>
          <w:right w:val="nil"/>
          <w:between w:val="nil"/>
        </w:pBdr>
        <w:spacing w:before="240" w:after="240" w:line="276" w:lineRule="auto"/>
        <w:ind w:left="567" w:right="900"/>
        <w:jc w:val="both"/>
        <w:rPr>
          <w:rFonts w:ascii="Palatino Linotype" w:hAnsi="Palatino Linotype"/>
          <w:sz w:val="22"/>
          <w:lang w:val="es-MX"/>
        </w:rPr>
      </w:pPr>
      <w:r w:rsidRPr="006A6FF8">
        <w:rPr>
          <w:rFonts w:ascii="Palatino Linotype" w:hAnsi="Palatino Linotype"/>
          <w:i/>
          <w:iCs/>
          <w:sz w:val="22"/>
          <w:lang w:val="es-MX"/>
        </w:rPr>
        <w:t>VI. La contratación de los servicios de reconstrucción y mantenimiento de bienes muebles. </w:t>
      </w:r>
    </w:p>
    <w:p w:rsidR="0023593D" w:rsidRPr="006A6FF8" w:rsidRDefault="0023593D" w:rsidP="005C3AFE">
      <w:pPr>
        <w:pBdr>
          <w:top w:val="nil"/>
          <w:left w:val="nil"/>
          <w:bottom w:val="nil"/>
          <w:right w:val="nil"/>
          <w:between w:val="nil"/>
        </w:pBdr>
        <w:spacing w:before="240" w:after="240" w:line="276" w:lineRule="auto"/>
        <w:ind w:left="567" w:right="900"/>
        <w:jc w:val="both"/>
        <w:rPr>
          <w:rFonts w:ascii="Palatino Linotype" w:hAnsi="Palatino Linotype"/>
          <w:sz w:val="22"/>
          <w:lang w:val="es-MX"/>
        </w:rPr>
      </w:pPr>
      <w:r w:rsidRPr="006A6FF8">
        <w:rPr>
          <w:rFonts w:ascii="Palatino Linotype" w:hAnsi="Palatino Linotype"/>
          <w:b/>
          <w:bCs/>
          <w:i/>
          <w:iCs/>
          <w:sz w:val="22"/>
          <w:u w:val="single"/>
          <w:lang w:val="es-MX"/>
        </w:rPr>
        <w:t xml:space="preserve">VII. La contratación de los servicios </w:t>
      </w:r>
      <w:r w:rsidRPr="006A6FF8">
        <w:rPr>
          <w:rFonts w:ascii="Palatino Linotype" w:hAnsi="Palatino Linotype"/>
          <w:i/>
          <w:iCs/>
          <w:sz w:val="22"/>
          <w:lang w:val="es-MX"/>
        </w:rPr>
        <w:t>de maquila, seguros y transportación, así como de los de limpieza y vigilancia de bienes inmuebles</w:t>
      </w:r>
    </w:p>
    <w:p w:rsidR="0023593D" w:rsidRPr="006A6FF8" w:rsidRDefault="0023593D" w:rsidP="005C3AFE">
      <w:pPr>
        <w:pBdr>
          <w:top w:val="nil"/>
          <w:left w:val="nil"/>
          <w:bottom w:val="nil"/>
          <w:right w:val="nil"/>
          <w:between w:val="nil"/>
        </w:pBdr>
        <w:spacing w:before="240" w:after="240" w:line="276" w:lineRule="auto"/>
        <w:ind w:left="567" w:right="900"/>
        <w:jc w:val="both"/>
        <w:rPr>
          <w:rFonts w:ascii="Palatino Linotype" w:hAnsi="Palatino Linotype"/>
          <w:sz w:val="22"/>
          <w:lang w:val="es-MX"/>
        </w:rPr>
      </w:pPr>
      <w:r w:rsidRPr="006A6FF8">
        <w:rPr>
          <w:rFonts w:ascii="Palatino Linotype" w:hAnsi="Palatino Linotype"/>
          <w:i/>
          <w:iCs/>
          <w:sz w:val="22"/>
          <w:lang w:val="es-MX"/>
        </w:rPr>
        <w:t>VIII. La prestación de servicios profesionales, la contratación de consultorías, asesorías y estudios e investigaciones, excepto la contratación de servicios personales de personas físicas bajo el régimen de honorarios. </w:t>
      </w:r>
    </w:p>
    <w:p w:rsidR="0023593D" w:rsidRPr="006A6FF8" w:rsidRDefault="0023593D" w:rsidP="005C3AFE">
      <w:pPr>
        <w:pBdr>
          <w:top w:val="nil"/>
          <w:left w:val="nil"/>
          <w:bottom w:val="nil"/>
          <w:right w:val="nil"/>
          <w:between w:val="nil"/>
        </w:pBdr>
        <w:spacing w:before="240" w:after="240" w:line="276" w:lineRule="auto"/>
        <w:ind w:left="567" w:right="900"/>
        <w:jc w:val="both"/>
        <w:rPr>
          <w:rFonts w:ascii="Palatino Linotype" w:hAnsi="Palatino Linotype"/>
          <w:sz w:val="22"/>
          <w:lang w:val="es-MX"/>
        </w:rPr>
      </w:pPr>
      <w:r w:rsidRPr="006A6FF8">
        <w:rPr>
          <w:rFonts w:ascii="Palatino Linotype" w:hAnsi="Palatino Linotype"/>
          <w:b/>
          <w:bCs/>
          <w:i/>
          <w:iCs/>
          <w:sz w:val="22"/>
          <w:u w:val="single"/>
          <w:lang w:val="es-MX"/>
        </w:rPr>
        <w:t>En general, otros actos que impliquen la contratación de servicios de cualquier naturaleza.</w:t>
      </w:r>
    </w:p>
    <w:p w:rsidR="0023593D" w:rsidRPr="006A6FF8" w:rsidRDefault="0023593D" w:rsidP="005C3AFE">
      <w:pPr>
        <w:pBdr>
          <w:top w:val="nil"/>
          <w:left w:val="nil"/>
          <w:bottom w:val="nil"/>
          <w:right w:val="nil"/>
          <w:between w:val="nil"/>
        </w:pBdr>
        <w:spacing w:before="240" w:after="240" w:line="276" w:lineRule="auto"/>
        <w:ind w:left="567" w:right="900"/>
        <w:jc w:val="both"/>
        <w:rPr>
          <w:rFonts w:ascii="Palatino Linotype" w:hAnsi="Palatino Linotype"/>
          <w:sz w:val="22"/>
          <w:lang w:val="es-MX"/>
        </w:rPr>
      </w:pPr>
      <w:r w:rsidRPr="006A6FF8">
        <w:rPr>
          <w:rFonts w:ascii="Palatino Linotype" w:hAnsi="Palatino Linotype"/>
          <w:b/>
          <w:bCs/>
          <w:i/>
          <w:iCs/>
          <w:sz w:val="22"/>
          <w:lang w:val="es-MX"/>
        </w:rPr>
        <w:t>Artículo 26.- Las adquisiciones, arrendamientos y servicios se adjudicarán a través de licitaciones públicas, mediante convocatoria pública.</w:t>
      </w:r>
    </w:p>
    <w:p w:rsidR="0023593D" w:rsidRPr="006A6FF8" w:rsidRDefault="0023593D" w:rsidP="005C3AFE">
      <w:pPr>
        <w:pBdr>
          <w:top w:val="nil"/>
          <w:left w:val="nil"/>
          <w:bottom w:val="nil"/>
          <w:right w:val="nil"/>
          <w:between w:val="nil"/>
        </w:pBdr>
        <w:spacing w:before="240" w:after="240" w:line="276" w:lineRule="auto"/>
        <w:ind w:left="567" w:right="900"/>
        <w:jc w:val="both"/>
        <w:rPr>
          <w:rFonts w:ascii="Palatino Linotype" w:hAnsi="Palatino Linotype"/>
          <w:sz w:val="22"/>
          <w:lang w:val="es-MX"/>
        </w:rPr>
      </w:pPr>
      <w:r w:rsidRPr="006A6FF8">
        <w:rPr>
          <w:rFonts w:ascii="Palatino Linotype" w:hAnsi="Palatino Linotype"/>
          <w:b/>
          <w:bCs/>
          <w:i/>
          <w:iCs/>
          <w:sz w:val="22"/>
          <w:lang w:val="es-MX"/>
        </w:rPr>
        <w:t xml:space="preserve">Artículo 27.- </w:t>
      </w:r>
      <w:r w:rsidRPr="006A6FF8">
        <w:rPr>
          <w:rFonts w:ascii="Palatino Linotype" w:hAnsi="Palatino Linotype"/>
          <w:i/>
          <w:iCs/>
          <w:sz w:val="22"/>
          <w:lang w:val="es-MX"/>
        </w:rPr>
        <w:t xml:space="preserve">La Secretaría, las entidades, los tribunales administrativos y </w:t>
      </w:r>
      <w:r w:rsidRPr="006A6FF8">
        <w:rPr>
          <w:rFonts w:ascii="Palatino Linotype" w:hAnsi="Palatino Linotype"/>
          <w:b/>
          <w:bCs/>
          <w:i/>
          <w:iCs/>
          <w:sz w:val="22"/>
          <w:lang w:val="es-MX"/>
        </w:rPr>
        <w:t xml:space="preserve">los ayuntamientos podrán adjudicar adquisiciones, arrendamientos y servicios, </w:t>
      </w:r>
      <w:r w:rsidRPr="006A6FF8">
        <w:rPr>
          <w:rFonts w:ascii="Palatino Linotype" w:hAnsi="Palatino Linotype"/>
          <w:b/>
          <w:bCs/>
          <w:i/>
          <w:iCs/>
          <w:sz w:val="22"/>
          <w:lang w:val="es-MX"/>
        </w:rPr>
        <w:lastRenderedPageBreak/>
        <w:t>mediante las excepciones al procedimiento de licitación que a continuación se señalan: </w:t>
      </w:r>
    </w:p>
    <w:p w:rsidR="0023593D" w:rsidRPr="006A6FF8" w:rsidRDefault="0023593D" w:rsidP="005C3AFE">
      <w:pPr>
        <w:pBdr>
          <w:top w:val="nil"/>
          <w:left w:val="nil"/>
          <w:bottom w:val="nil"/>
          <w:right w:val="nil"/>
          <w:between w:val="nil"/>
        </w:pBdr>
        <w:spacing w:before="240" w:after="240" w:line="276" w:lineRule="auto"/>
        <w:ind w:left="567" w:right="900"/>
        <w:jc w:val="both"/>
        <w:rPr>
          <w:rFonts w:ascii="Palatino Linotype" w:hAnsi="Palatino Linotype"/>
          <w:sz w:val="22"/>
          <w:lang w:val="es-MX"/>
        </w:rPr>
      </w:pPr>
      <w:r w:rsidRPr="006A6FF8">
        <w:rPr>
          <w:rFonts w:ascii="Palatino Linotype" w:hAnsi="Palatino Linotype"/>
          <w:b/>
          <w:bCs/>
          <w:i/>
          <w:iCs/>
          <w:sz w:val="22"/>
          <w:lang w:val="es-MX"/>
        </w:rPr>
        <w:t>I. Invitación restringida. </w:t>
      </w:r>
    </w:p>
    <w:p w:rsidR="0023593D" w:rsidRPr="006A6FF8" w:rsidRDefault="0023593D" w:rsidP="005C3AFE">
      <w:pPr>
        <w:pBdr>
          <w:top w:val="nil"/>
          <w:left w:val="nil"/>
          <w:bottom w:val="nil"/>
          <w:right w:val="nil"/>
          <w:between w:val="nil"/>
        </w:pBdr>
        <w:spacing w:before="240" w:after="240" w:line="276" w:lineRule="auto"/>
        <w:ind w:left="567" w:right="900"/>
        <w:jc w:val="both"/>
        <w:rPr>
          <w:rFonts w:ascii="Palatino Linotype" w:hAnsi="Palatino Linotype"/>
          <w:sz w:val="22"/>
          <w:lang w:val="es-MX"/>
        </w:rPr>
      </w:pPr>
      <w:r w:rsidRPr="006A6FF8">
        <w:rPr>
          <w:rFonts w:ascii="Palatino Linotype" w:hAnsi="Palatino Linotype"/>
          <w:b/>
          <w:bCs/>
          <w:i/>
          <w:iCs/>
          <w:sz w:val="22"/>
          <w:lang w:val="es-MX"/>
        </w:rPr>
        <w:t>II. Adjudicación directa.”</w:t>
      </w:r>
      <w:r w:rsidRPr="006A6FF8">
        <w:rPr>
          <w:rFonts w:ascii="Palatino Linotype" w:hAnsi="Palatino Linotype"/>
          <w:i/>
          <w:iCs/>
          <w:sz w:val="22"/>
          <w:lang w:val="es-MX"/>
        </w:rPr>
        <w:t xml:space="preserve"> (Énfasis añadido) </w:t>
      </w:r>
    </w:p>
    <w:p w:rsidR="0023593D" w:rsidRPr="006A6FF8" w:rsidRDefault="0023593D" w:rsidP="0023593D">
      <w:pPr>
        <w:pBdr>
          <w:top w:val="nil"/>
          <w:left w:val="nil"/>
          <w:bottom w:val="nil"/>
          <w:right w:val="nil"/>
          <w:between w:val="nil"/>
        </w:pBdr>
        <w:spacing w:before="240" w:after="240" w:line="360" w:lineRule="auto"/>
        <w:jc w:val="both"/>
        <w:rPr>
          <w:rFonts w:ascii="Palatino Linotype" w:hAnsi="Palatino Linotype"/>
          <w:lang w:val="es-MX"/>
        </w:rPr>
      </w:pPr>
      <w:r w:rsidRPr="006A6FF8">
        <w:rPr>
          <w:rFonts w:ascii="Palatino Linotype" w:hAnsi="Palatino Linotype"/>
          <w:lang w:val="es-MX"/>
        </w:rPr>
        <w:t>Así, en lo que respecta sobre la licitación pública, el artículo 29 de la Ley de la Contratación Pública en mención, indica que en este procedimiento deberán establecerse los mismos requisitos y condiciones para todos los licitantes. Todo licitante que satisfaga los requisitos de la convocatoria y de las bases de la licitación tendrá der</w:t>
      </w:r>
      <w:r w:rsidR="005C3AFE" w:rsidRPr="006A6FF8">
        <w:rPr>
          <w:rFonts w:ascii="Palatino Linotype" w:hAnsi="Palatino Linotype"/>
          <w:lang w:val="es-MX"/>
        </w:rPr>
        <w:t>echo a presentar su propuesta. </w:t>
      </w:r>
    </w:p>
    <w:p w:rsidR="0023593D" w:rsidRPr="006A6FF8" w:rsidRDefault="0023593D" w:rsidP="0023593D">
      <w:pPr>
        <w:pBdr>
          <w:top w:val="nil"/>
          <w:left w:val="nil"/>
          <w:bottom w:val="nil"/>
          <w:right w:val="nil"/>
          <w:between w:val="nil"/>
        </w:pBdr>
        <w:spacing w:before="240" w:after="240" w:line="360" w:lineRule="auto"/>
        <w:jc w:val="both"/>
        <w:rPr>
          <w:rFonts w:ascii="Palatino Linotype" w:hAnsi="Palatino Linotype"/>
          <w:lang w:val="es-MX"/>
        </w:rPr>
      </w:pPr>
      <w:r w:rsidRPr="006A6FF8">
        <w:rPr>
          <w:rFonts w:ascii="Palatino Linotype" w:hAnsi="Palatino Linotype"/>
          <w:lang w:val="es-MX"/>
        </w:rPr>
        <w:t xml:space="preserve">Asimismo, el artículo 33, del mismo ordenamiento legal, puntualmente señala el contenido que deberá tener la convocatoria para la celebración de las licitaciones públicas y por su parte, el consecutivo 34 señala que las bases de la licitación pública tendrán un costo de recuperación y contendrán los requisitos que se establezcan </w:t>
      </w:r>
      <w:r w:rsidR="005C3AFE" w:rsidRPr="006A6FF8">
        <w:rPr>
          <w:rFonts w:ascii="Palatino Linotype" w:hAnsi="Palatino Linotype"/>
          <w:lang w:val="es-MX"/>
        </w:rPr>
        <w:t>en el reglamento de dicha Ley. </w:t>
      </w:r>
    </w:p>
    <w:p w:rsidR="0023593D" w:rsidRPr="006A6FF8" w:rsidRDefault="0023593D" w:rsidP="0023593D">
      <w:pPr>
        <w:pBdr>
          <w:top w:val="nil"/>
          <w:left w:val="nil"/>
          <w:bottom w:val="nil"/>
          <w:right w:val="nil"/>
          <w:between w:val="nil"/>
        </w:pBdr>
        <w:spacing w:before="240" w:after="240" w:line="360" w:lineRule="auto"/>
        <w:jc w:val="both"/>
        <w:rPr>
          <w:rFonts w:ascii="Palatino Linotype" w:hAnsi="Palatino Linotype"/>
          <w:lang w:val="es-MX"/>
        </w:rPr>
      </w:pPr>
      <w:r w:rsidRPr="006A6FF8">
        <w:rPr>
          <w:rFonts w:ascii="Palatino Linotype" w:hAnsi="Palatino Linotype"/>
          <w:lang w:val="es-MX"/>
        </w:rPr>
        <w:t>Por lo que, en las licitaciones se debe seguir el procedimiento marcado en el artículo 35 del precitado ordenamien</w:t>
      </w:r>
      <w:r w:rsidR="005C3AFE" w:rsidRPr="006A6FF8">
        <w:rPr>
          <w:rFonts w:ascii="Palatino Linotype" w:hAnsi="Palatino Linotype"/>
          <w:lang w:val="es-MX"/>
        </w:rPr>
        <w:t>to, que literalmente establece:</w:t>
      </w:r>
    </w:p>
    <w:p w:rsidR="0023593D" w:rsidRPr="006A6FF8" w:rsidRDefault="0023593D" w:rsidP="005C3AFE">
      <w:pPr>
        <w:pBdr>
          <w:top w:val="nil"/>
          <w:left w:val="nil"/>
          <w:bottom w:val="nil"/>
          <w:right w:val="nil"/>
          <w:between w:val="nil"/>
        </w:pBdr>
        <w:spacing w:before="240" w:after="240" w:line="276" w:lineRule="auto"/>
        <w:ind w:left="567" w:right="758"/>
        <w:jc w:val="both"/>
        <w:rPr>
          <w:rFonts w:ascii="Palatino Linotype" w:hAnsi="Palatino Linotype"/>
          <w:sz w:val="22"/>
          <w:lang w:val="es-MX"/>
        </w:rPr>
      </w:pPr>
      <w:r w:rsidRPr="006A6FF8">
        <w:rPr>
          <w:rFonts w:ascii="Palatino Linotype" w:hAnsi="Palatino Linotype"/>
          <w:b/>
          <w:bCs/>
          <w:i/>
          <w:iCs/>
          <w:sz w:val="22"/>
          <w:lang w:val="es-MX"/>
        </w:rPr>
        <w:t>“Artículo 35</w:t>
      </w:r>
      <w:r w:rsidRPr="006A6FF8">
        <w:rPr>
          <w:rFonts w:ascii="Palatino Linotype" w:hAnsi="Palatino Linotype"/>
          <w:i/>
          <w:iCs/>
          <w:sz w:val="22"/>
          <w:lang w:val="es-MX"/>
        </w:rPr>
        <w:t>.- En los procedimientos de licitación pública se observará lo siguiente:</w:t>
      </w:r>
    </w:p>
    <w:p w:rsidR="0023593D" w:rsidRPr="006A6FF8" w:rsidRDefault="0023593D" w:rsidP="005C3AFE">
      <w:pPr>
        <w:pBdr>
          <w:top w:val="nil"/>
          <w:left w:val="nil"/>
          <w:bottom w:val="nil"/>
          <w:right w:val="nil"/>
          <w:between w:val="nil"/>
        </w:pBdr>
        <w:spacing w:before="240" w:after="240" w:line="276" w:lineRule="auto"/>
        <w:ind w:left="567" w:right="758"/>
        <w:jc w:val="both"/>
        <w:rPr>
          <w:rFonts w:ascii="Palatino Linotype" w:hAnsi="Palatino Linotype"/>
          <w:sz w:val="22"/>
          <w:lang w:val="es-MX"/>
        </w:rPr>
      </w:pPr>
      <w:r w:rsidRPr="006A6FF8">
        <w:rPr>
          <w:rFonts w:ascii="Palatino Linotype" w:hAnsi="Palatino Linotype"/>
          <w:i/>
          <w:iCs/>
          <w:sz w:val="22"/>
          <w:lang w:val="es-MX"/>
        </w:rPr>
        <w:t>I. El acto de presentación y apertura de propuestas se llevará a cabo por el servidor público que designe la convocante, conforme al procedimiento que se establezca en el reglamento de esta Ley.</w:t>
      </w:r>
    </w:p>
    <w:p w:rsidR="0023593D" w:rsidRPr="006A6FF8" w:rsidRDefault="0023593D" w:rsidP="005C3AFE">
      <w:pPr>
        <w:pBdr>
          <w:top w:val="nil"/>
          <w:left w:val="nil"/>
          <w:bottom w:val="nil"/>
          <w:right w:val="nil"/>
          <w:between w:val="nil"/>
        </w:pBdr>
        <w:spacing w:before="240" w:after="240" w:line="276" w:lineRule="auto"/>
        <w:ind w:left="567" w:right="758"/>
        <w:jc w:val="both"/>
        <w:rPr>
          <w:rFonts w:ascii="Palatino Linotype" w:hAnsi="Palatino Linotype"/>
          <w:sz w:val="22"/>
          <w:lang w:val="es-MX"/>
        </w:rPr>
      </w:pPr>
      <w:r w:rsidRPr="006A6FF8">
        <w:rPr>
          <w:rFonts w:ascii="Palatino Linotype" w:hAnsi="Palatino Linotype"/>
          <w:i/>
          <w:iCs/>
          <w:sz w:val="22"/>
          <w:lang w:val="es-MX"/>
        </w:rPr>
        <w:lastRenderedPageBreak/>
        <w:t>II. El comité de adquisiciones y servicios evaluará y analizará las propuestas técnicas y económicas presentadas por los licitantes en el ámbito de las respectivas competencias de sus integrantes, y emitirá el dictamen de adjudicación.</w:t>
      </w:r>
    </w:p>
    <w:p w:rsidR="0023593D" w:rsidRPr="006A6FF8" w:rsidRDefault="0023593D" w:rsidP="005C3AFE">
      <w:pPr>
        <w:pBdr>
          <w:top w:val="nil"/>
          <w:left w:val="nil"/>
          <w:bottom w:val="nil"/>
          <w:right w:val="nil"/>
          <w:between w:val="nil"/>
        </w:pBdr>
        <w:spacing w:before="240" w:after="240" w:line="276" w:lineRule="auto"/>
        <w:ind w:left="567" w:right="758"/>
        <w:jc w:val="both"/>
        <w:rPr>
          <w:rFonts w:ascii="Palatino Linotype" w:hAnsi="Palatino Linotype"/>
          <w:sz w:val="22"/>
          <w:lang w:val="es-MX"/>
        </w:rPr>
      </w:pPr>
      <w:r w:rsidRPr="006A6FF8">
        <w:rPr>
          <w:rFonts w:ascii="Palatino Linotype" w:hAnsi="Palatino Linotype"/>
          <w:i/>
          <w:iCs/>
          <w:sz w:val="22"/>
          <w:lang w:val="es-MX"/>
        </w:rPr>
        <w:t>III. Las bases de licitación se pondrán a la venta a partir de la fecha de publicación de la convocatoria y hasta el día hábil anterior a la fecha de celebración de la junta de aclaraciones o, en su defecto, del acto de presentación y apertura de propuestas.</w:t>
      </w:r>
    </w:p>
    <w:p w:rsidR="0023593D" w:rsidRPr="006A6FF8" w:rsidRDefault="0023593D" w:rsidP="005C3AFE">
      <w:pPr>
        <w:pBdr>
          <w:top w:val="nil"/>
          <w:left w:val="nil"/>
          <w:bottom w:val="nil"/>
          <w:right w:val="nil"/>
          <w:between w:val="nil"/>
        </w:pBdr>
        <w:spacing w:before="240" w:after="240" w:line="276" w:lineRule="auto"/>
        <w:ind w:left="567" w:right="758"/>
        <w:jc w:val="both"/>
        <w:rPr>
          <w:rFonts w:ascii="Palatino Linotype" w:hAnsi="Palatino Linotype"/>
          <w:sz w:val="22"/>
          <w:lang w:val="es-MX"/>
        </w:rPr>
      </w:pPr>
      <w:r w:rsidRPr="006A6FF8">
        <w:rPr>
          <w:rFonts w:ascii="Palatino Linotype" w:hAnsi="Palatino Linotype"/>
          <w:i/>
          <w:iCs/>
          <w:sz w:val="22"/>
          <w:lang w:val="es-MX"/>
        </w:rPr>
        <w:t>IV. Las convocantes podrán modificar los plazos y términos establecidos en la convocatoria o en las bases de licitación, hasta cinco días hábiles anteriores a la fecha de la celebración del acto de presentación y apertura de propuestas.</w:t>
      </w:r>
    </w:p>
    <w:p w:rsidR="005C3AFE" w:rsidRPr="006A6FF8" w:rsidRDefault="0023593D" w:rsidP="005C3AFE">
      <w:pPr>
        <w:pBdr>
          <w:top w:val="nil"/>
          <w:left w:val="nil"/>
          <w:bottom w:val="nil"/>
          <w:right w:val="nil"/>
          <w:between w:val="nil"/>
        </w:pBdr>
        <w:spacing w:before="240" w:after="240" w:line="276" w:lineRule="auto"/>
        <w:ind w:left="567" w:right="758"/>
        <w:jc w:val="both"/>
        <w:rPr>
          <w:rFonts w:ascii="Palatino Linotype" w:hAnsi="Palatino Linotype"/>
          <w:sz w:val="22"/>
          <w:lang w:val="es-MX"/>
        </w:rPr>
      </w:pPr>
      <w:r w:rsidRPr="006A6FF8">
        <w:rPr>
          <w:rFonts w:ascii="Palatino Linotype" w:hAnsi="Palatino Linotype"/>
          <w:i/>
          <w:iCs/>
          <w:sz w:val="22"/>
          <w:lang w:val="es-MX"/>
        </w:rPr>
        <w:t>V. Las modificaciones no podrán limitar el número de licitantes, sustituir o variar sustancialmente los bienes o servicios convocados originalmente, ni adicionar otros distintos.</w:t>
      </w:r>
    </w:p>
    <w:p w:rsidR="005C3AFE" w:rsidRPr="006A6FF8" w:rsidRDefault="0023593D" w:rsidP="005C3AFE">
      <w:pPr>
        <w:pBdr>
          <w:top w:val="nil"/>
          <w:left w:val="nil"/>
          <w:bottom w:val="nil"/>
          <w:right w:val="nil"/>
          <w:between w:val="nil"/>
        </w:pBdr>
        <w:spacing w:before="240" w:after="240" w:line="276" w:lineRule="auto"/>
        <w:ind w:left="567" w:right="758"/>
        <w:jc w:val="both"/>
        <w:rPr>
          <w:rFonts w:ascii="Palatino Linotype" w:hAnsi="Palatino Linotype"/>
          <w:sz w:val="22"/>
          <w:lang w:val="es-MX"/>
        </w:rPr>
      </w:pPr>
      <w:r w:rsidRPr="006A6FF8">
        <w:rPr>
          <w:rFonts w:ascii="Palatino Linotype" w:hAnsi="Palatino Linotype"/>
          <w:i/>
          <w:iCs/>
          <w:sz w:val="22"/>
          <w:lang w:val="es-MX"/>
        </w:rPr>
        <w:t>VI. Las modificaciones a la convocatoria o a las bases se harán del conocimiento de los interesados hasta tres días hábiles antes de la fecha señalada para el acto de presentación y apertura de propuestas.</w:t>
      </w:r>
    </w:p>
    <w:p w:rsidR="005C3AFE" w:rsidRPr="006A6FF8" w:rsidRDefault="0023593D" w:rsidP="005C3AFE">
      <w:pPr>
        <w:pBdr>
          <w:top w:val="nil"/>
          <w:left w:val="nil"/>
          <w:bottom w:val="nil"/>
          <w:right w:val="nil"/>
          <w:between w:val="nil"/>
        </w:pBdr>
        <w:spacing w:before="240" w:after="240" w:line="276" w:lineRule="auto"/>
        <w:ind w:left="567" w:right="758"/>
        <w:jc w:val="both"/>
        <w:rPr>
          <w:rFonts w:ascii="Palatino Linotype" w:hAnsi="Palatino Linotype"/>
          <w:sz w:val="22"/>
          <w:lang w:val="es-MX"/>
        </w:rPr>
      </w:pPr>
      <w:r w:rsidRPr="006A6FF8">
        <w:rPr>
          <w:rFonts w:ascii="Palatino Linotype" w:hAnsi="Palatino Linotype"/>
          <w:i/>
          <w:iCs/>
          <w:sz w:val="22"/>
          <w:lang w:val="es-MX"/>
        </w:rPr>
        <w:t>VII. Se emitirá el fallo dentro de los 15 días hábiles siguientes a la publicación de la convocatoria.</w:t>
      </w:r>
    </w:p>
    <w:p w:rsidR="0023593D" w:rsidRPr="006A6FF8" w:rsidRDefault="0023593D" w:rsidP="005C3AFE">
      <w:pPr>
        <w:pBdr>
          <w:top w:val="nil"/>
          <w:left w:val="nil"/>
          <w:bottom w:val="nil"/>
          <w:right w:val="nil"/>
          <w:between w:val="nil"/>
        </w:pBdr>
        <w:spacing w:before="240" w:after="240" w:line="276" w:lineRule="auto"/>
        <w:ind w:left="567" w:right="758"/>
        <w:jc w:val="both"/>
        <w:rPr>
          <w:rFonts w:ascii="Palatino Linotype" w:hAnsi="Palatino Linotype"/>
          <w:sz w:val="22"/>
          <w:lang w:val="es-MX"/>
        </w:rPr>
      </w:pPr>
      <w:r w:rsidRPr="006A6FF8">
        <w:rPr>
          <w:rFonts w:ascii="Palatino Linotype" w:hAnsi="Palatino Linotype"/>
          <w:i/>
          <w:iCs/>
          <w:sz w:val="22"/>
          <w:lang w:val="es-MX"/>
        </w:rPr>
        <w:t>VIII. Los licitantes se podrán registrar hasta el día y la hora fijados para el acto de presentación y apertura de propuestas.</w:t>
      </w:r>
      <w:r w:rsidRPr="006A6FF8">
        <w:rPr>
          <w:rFonts w:ascii="Palatino Linotype" w:hAnsi="Palatino Linotype"/>
          <w:b/>
          <w:bCs/>
          <w:i/>
          <w:iCs/>
          <w:sz w:val="22"/>
          <w:lang w:val="es-MX"/>
        </w:rPr>
        <w:t>”</w:t>
      </w:r>
      <w:r w:rsidRPr="006A6FF8">
        <w:rPr>
          <w:rFonts w:ascii="Palatino Linotype" w:hAnsi="Palatino Linotype"/>
          <w:i/>
          <w:iCs/>
          <w:sz w:val="22"/>
          <w:lang w:val="es-MX"/>
        </w:rPr>
        <w:t xml:space="preserve"> </w:t>
      </w:r>
    </w:p>
    <w:p w:rsidR="0023593D" w:rsidRPr="006A6FF8" w:rsidRDefault="0023593D" w:rsidP="0023593D">
      <w:pPr>
        <w:pBdr>
          <w:top w:val="nil"/>
          <w:left w:val="nil"/>
          <w:bottom w:val="nil"/>
          <w:right w:val="nil"/>
          <w:between w:val="nil"/>
        </w:pBdr>
        <w:spacing w:before="240" w:after="240" w:line="360" w:lineRule="auto"/>
        <w:jc w:val="both"/>
        <w:rPr>
          <w:rFonts w:ascii="Palatino Linotype" w:hAnsi="Palatino Linotype"/>
          <w:lang w:val="es-MX"/>
        </w:rPr>
      </w:pPr>
      <w:r w:rsidRPr="006A6FF8">
        <w:rPr>
          <w:rFonts w:ascii="Palatino Linotype" w:hAnsi="Palatino Linotype"/>
          <w:lang w:val="es-MX"/>
        </w:rPr>
        <w:t>Del precepto legal, se desprende que al Comité de Adquisiciones y Servicios, le corresponde evaluar y analizar las propuestas técnicas y económicas presentadas por los licitantes en el ámbito de las respectivas competencias de sus integrantes, debiendo emitir para ello un dictamen de adjudicación y conforme a dicho dictamen se deberá emitir el fallo dentro de los quince días hábiles siguientes a la publicación de la convocatoria.</w:t>
      </w:r>
    </w:p>
    <w:p w:rsidR="0023593D" w:rsidRPr="006A6FF8" w:rsidRDefault="0023593D" w:rsidP="0023593D">
      <w:pPr>
        <w:pBdr>
          <w:top w:val="nil"/>
          <w:left w:val="nil"/>
          <w:bottom w:val="nil"/>
          <w:right w:val="nil"/>
          <w:between w:val="nil"/>
        </w:pBdr>
        <w:spacing w:before="240" w:after="240" w:line="360" w:lineRule="auto"/>
        <w:jc w:val="both"/>
        <w:rPr>
          <w:rFonts w:ascii="Palatino Linotype" w:hAnsi="Palatino Linotype"/>
          <w:lang w:val="es-MX"/>
        </w:rPr>
      </w:pPr>
      <w:r w:rsidRPr="006A6FF8">
        <w:rPr>
          <w:rFonts w:ascii="Palatino Linotype" w:hAnsi="Palatino Linotype"/>
          <w:lang w:val="es-MX"/>
        </w:rPr>
        <w:lastRenderedPageBreak/>
        <w:t xml:space="preserve">Además, respecto al dictamen y el fallo de la adjudicación, es de señalar que la Ley </w:t>
      </w:r>
      <w:r w:rsidR="005C3AFE" w:rsidRPr="006A6FF8">
        <w:rPr>
          <w:rFonts w:ascii="Palatino Linotype" w:hAnsi="Palatino Linotype"/>
          <w:lang w:val="es-MX"/>
        </w:rPr>
        <w:t>en mención indica lo siguiente:</w:t>
      </w:r>
    </w:p>
    <w:p w:rsidR="0023593D" w:rsidRPr="006A6FF8" w:rsidRDefault="0023593D" w:rsidP="005C3AFE">
      <w:pPr>
        <w:pBdr>
          <w:top w:val="nil"/>
          <w:left w:val="nil"/>
          <w:bottom w:val="nil"/>
          <w:right w:val="nil"/>
          <w:between w:val="nil"/>
        </w:pBdr>
        <w:spacing w:before="240" w:after="240" w:line="276" w:lineRule="auto"/>
        <w:ind w:left="567" w:right="900"/>
        <w:jc w:val="both"/>
        <w:rPr>
          <w:rFonts w:ascii="Palatino Linotype" w:hAnsi="Palatino Linotype"/>
          <w:sz w:val="22"/>
          <w:lang w:val="es-MX"/>
        </w:rPr>
      </w:pPr>
      <w:r w:rsidRPr="006A6FF8">
        <w:rPr>
          <w:rFonts w:ascii="Palatino Linotype" w:hAnsi="Palatino Linotype"/>
          <w:b/>
          <w:bCs/>
          <w:i/>
          <w:iCs/>
          <w:sz w:val="22"/>
          <w:lang w:val="es-MX"/>
        </w:rPr>
        <w:t>“Artículo 37.-</w:t>
      </w:r>
      <w:r w:rsidRPr="006A6FF8">
        <w:rPr>
          <w:rFonts w:ascii="Palatino Linotype" w:hAnsi="Palatino Linotype"/>
          <w:i/>
          <w:iCs/>
          <w:sz w:val="22"/>
          <w:lang w:val="es-MX"/>
        </w:rPr>
        <w:t xml:space="preserve"> El comité de adquisiciones y servicios realizará el análisis y evaluación de las propuestas, mediante la verificación del cumplimiento de la información y de la documentación solicitada en las bases de la licitación y conforme al criterio establecidas en las mismas. Una vez efectuado el análisis cualitativo de las propuestas presentadas, emitirá el dictamen de adjudicación a favor del oferente u oferentes que reúnan los requisitos administrativos, financieros, legales y técnicos requeridos por la convocante; garantizando en todo momento la obtención de las mejores condiciones en cuanto a precio, calidad, financiamiento, oportunidad y demás circunstancias pertinentes.</w:t>
      </w:r>
    </w:p>
    <w:p w:rsidR="0023593D" w:rsidRPr="006A6FF8" w:rsidRDefault="0023593D" w:rsidP="005C3AFE">
      <w:pPr>
        <w:pBdr>
          <w:top w:val="nil"/>
          <w:left w:val="nil"/>
          <w:bottom w:val="nil"/>
          <w:right w:val="nil"/>
          <w:between w:val="nil"/>
        </w:pBdr>
        <w:spacing w:before="240" w:after="240" w:line="276" w:lineRule="auto"/>
        <w:ind w:left="567" w:right="900"/>
        <w:jc w:val="both"/>
        <w:rPr>
          <w:rFonts w:ascii="Palatino Linotype" w:hAnsi="Palatino Linotype"/>
          <w:sz w:val="22"/>
          <w:lang w:val="es-MX"/>
        </w:rPr>
      </w:pPr>
      <w:r w:rsidRPr="006A6FF8">
        <w:rPr>
          <w:rFonts w:ascii="Palatino Linotype" w:hAnsi="Palatino Linotype"/>
          <w:b/>
          <w:bCs/>
          <w:i/>
          <w:iCs/>
          <w:sz w:val="22"/>
          <w:lang w:val="es-MX"/>
        </w:rPr>
        <w:t>Artículo 38.-</w:t>
      </w:r>
      <w:r w:rsidRPr="006A6FF8">
        <w:rPr>
          <w:rFonts w:ascii="Palatino Linotype" w:hAnsi="Palatino Linotype"/>
          <w:i/>
          <w:iCs/>
          <w:sz w:val="22"/>
          <w:lang w:val="es-MX"/>
        </w:rPr>
        <w:t xml:space="preserve"> La convocante emitirá el fallo con base en el dictamen de adjudicación emitido por el comité de adquisiciones y servicios, y lo dará a conocer a los licitantes en junta pública, cuya fecha se informará en el acto de presentación y apertura de proposiciones, pudiéndose diferir por una sola ocasión.</w:t>
      </w:r>
    </w:p>
    <w:p w:rsidR="0023593D" w:rsidRPr="006A6FF8" w:rsidRDefault="0023593D" w:rsidP="005C3AFE">
      <w:pPr>
        <w:pBdr>
          <w:top w:val="nil"/>
          <w:left w:val="nil"/>
          <w:bottom w:val="nil"/>
          <w:right w:val="nil"/>
          <w:between w:val="nil"/>
        </w:pBdr>
        <w:spacing w:before="240" w:after="240" w:line="276" w:lineRule="auto"/>
        <w:ind w:left="567"/>
        <w:jc w:val="both"/>
        <w:rPr>
          <w:rFonts w:ascii="Palatino Linotype" w:hAnsi="Palatino Linotype"/>
          <w:sz w:val="22"/>
          <w:lang w:val="es-MX"/>
        </w:rPr>
      </w:pPr>
      <w:r w:rsidRPr="006A6FF8">
        <w:rPr>
          <w:rFonts w:ascii="Palatino Linotype" w:hAnsi="Palatino Linotype"/>
          <w:i/>
          <w:iCs/>
          <w:sz w:val="22"/>
          <w:lang w:val="es-MX"/>
        </w:rPr>
        <w:t>El fallo de adjudicación surtirá efectos desde la emisión, siendo responsabilidad de los licitantes enterarse de su contenido, por lo que a partir de ese momento, las obligaciones derivadas de éste serán exigibles sin perjuicio de la formalización del contrato respectivo, en los términos señalados en el fallo.</w:t>
      </w:r>
      <w:r w:rsidRPr="006A6FF8">
        <w:rPr>
          <w:rFonts w:ascii="Palatino Linotype" w:hAnsi="Palatino Linotype"/>
          <w:b/>
          <w:bCs/>
          <w:i/>
          <w:iCs/>
          <w:sz w:val="22"/>
          <w:lang w:val="es-MX"/>
        </w:rPr>
        <w:t>”</w:t>
      </w:r>
      <w:r w:rsidRPr="006A6FF8">
        <w:rPr>
          <w:rFonts w:ascii="Palatino Linotype" w:hAnsi="Palatino Linotype"/>
          <w:i/>
          <w:iCs/>
          <w:sz w:val="22"/>
          <w:lang w:val="es-MX"/>
        </w:rPr>
        <w:t> </w:t>
      </w:r>
    </w:p>
    <w:p w:rsidR="0023593D" w:rsidRPr="006A6FF8" w:rsidRDefault="0023593D" w:rsidP="005C3AFE">
      <w:pPr>
        <w:pBdr>
          <w:top w:val="nil"/>
          <w:left w:val="nil"/>
          <w:bottom w:val="nil"/>
          <w:right w:val="nil"/>
          <w:between w:val="nil"/>
        </w:pBdr>
        <w:spacing w:before="240" w:after="240" w:line="360" w:lineRule="auto"/>
        <w:jc w:val="both"/>
        <w:rPr>
          <w:rFonts w:ascii="Palatino Linotype" w:hAnsi="Palatino Linotype"/>
          <w:lang w:val="es-MX"/>
        </w:rPr>
      </w:pPr>
      <w:r w:rsidRPr="006A6FF8">
        <w:rPr>
          <w:rFonts w:ascii="Palatino Linotype" w:hAnsi="Palatino Linotype"/>
          <w:lang w:val="es-MX"/>
        </w:rPr>
        <w:t xml:space="preserve">Ahora bien, por cuanto hace a la invitación restringida el artículo 44 de la Ley de la Contratación Pública del Estado de México y Municipios, dispone que podrá realizarse cuando se hubiere declarado desierto un procedimiento de licitación o cuando el importe de la operación no exceda de los montos establecidos por el Presupuesto de Egresos del Gobierno del Estado de México </w:t>
      </w:r>
      <w:r w:rsidR="005C3AFE" w:rsidRPr="006A6FF8">
        <w:rPr>
          <w:rFonts w:ascii="Palatino Linotype" w:hAnsi="Palatino Linotype"/>
          <w:lang w:val="es-MX"/>
        </w:rPr>
        <w:t>del ejercicio correspondiente. </w:t>
      </w:r>
    </w:p>
    <w:p w:rsidR="0023593D" w:rsidRPr="006A6FF8" w:rsidRDefault="0023593D" w:rsidP="005C3AFE">
      <w:pPr>
        <w:pBdr>
          <w:top w:val="nil"/>
          <w:left w:val="nil"/>
          <w:bottom w:val="nil"/>
          <w:right w:val="nil"/>
          <w:between w:val="nil"/>
        </w:pBdr>
        <w:spacing w:before="240" w:after="240" w:line="360" w:lineRule="auto"/>
        <w:jc w:val="both"/>
        <w:rPr>
          <w:rFonts w:ascii="Palatino Linotype" w:hAnsi="Palatino Linotype"/>
          <w:lang w:val="es-MX"/>
        </w:rPr>
      </w:pPr>
      <w:r w:rsidRPr="006A6FF8">
        <w:rPr>
          <w:rFonts w:ascii="Palatino Linotype" w:hAnsi="Palatino Linotype"/>
          <w:lang w:val="es-MX"/>
        </w:rPr>
        <w:lastRenderedPageBreak/>
        <w:t>Además, es oportuno señalar que, las disposiciones respecto a las bases, dictámenes, fallos y fianzas, se realizan con similitud al procedimiento de licitación pública, tal como lo señalan los artículos 46 y 90 de la misma Le</w:t>
      </w:r>
      <w:r w:rsidR="005C3AFE" w:rsidRPr="006A6FF8">
        <w:rPr>
          <w:rFonts w:ascii="Palatino Linotype" w:hAnsi="Palatino Linotype"/>
          <w:lang w:val="es-MX"/>
        </w:rPr>
        <w:t>y, que literalmente establecen:</w:t>
      </w:r>
    </w:p>
    <w:p w:rsidR="005C3AFE" w:rsidRPr="006A6FF8" w:rsidRDefault="0023593D" w:rsidP="005C3AFE">
      <w:pPr>
        <w:pBdr>
          <w:top w:val="nil"/>
          <w:left w:val="nil"/>
          <w:bottom w:val="nil"/>
          <w:right w:val="nil"/>
          <w:between w:val="nil"/>
        </w:pBdr>
        <w:spacing w:before="240" w:after="240" w:line="276" w:lineRule="auto"/>
        <w:ind w:left="567" w:right="900"/>
        <w:jc w:val="both"/>
        <w:rPr>
          <w:rFonts w:ascii="Palatino Linotype" w:hAnsi="Palatino Linotype"/>
          <w:i/>
          <w:iCs/>
          <w:sz w:val="22"/>
          <w:lang w:val="es-MX"/>
        </w:rPr>
      </w:pPr>
      <w:r w:rsidRPr="006A6FF8">
        <w:rPr>
          <w:rFonts w:ascii="Palatino Linotype" w:hAnsi="Palatino Linotype"/>
          <w:b/>
          <w:bCs/>
          <w:i/>
          <w:iCs/>
          <w:sz w:val="22"/>
          <w:lang w:val="es-MX"/>
        </w:rPr>
        <w:t>“Artículo 46.-</w:t>
      </w:r>
      <w:r w:rsidRPr="006A6FF8">
        <w:rPr>
          <w:rFonts w:ascii="Palatino Linotype" w:hAnsi="Palatino Linotype"/>
          <w:i/>
          <w:iCs/>
          <w:sz w:val="22"/>
          <w:lang w:val="es-MX"/>
        </w:rPr>
        <w:t xml:space="preserve"> El procedimiento de invitación restringida se desarrollará en los términos de la licitación pública, a excepción de la publicación de la convocatoria.</w:t>
      </w:r>
    </w:p>
    <w:p w:rsidR="0023593D" w:rsidRPr="006A6FF8" w:rsidRDefault="005C3AFE" w:rsidP="005C3AFE">
      <w:pPr>
        <w:pBdr>
          <w:top w:val="nil"/>
          <w:left w:val="nil"/>
          <w:bottom w:val="nil"/>
          <w:right w:val="nil"/>
          <w:between w:val="nil"/>
        </w:pBdr>
        <w:spacing w:before="240" w:after="240" w:line="276" w:lineRule="auto"/>
        <w:ind w:left="567" w:right="900"/>
        <w:jc w:val="both"/>
        <w:rPr>
          <w:rFonts w:ascii="Palatino Linotype" w:hAnsi="Palatino Linotype"/>
          <w:sz w:val="22"/>
          <w:lang w:val="es-MX"/>
        </w:rPr>
      </w:pPr>
      <w:r w:rsidRPr="006A6FF8">
        <w:rPr>
          <w:rFonts w:ascii="Palatino Linotype" w:hAnsi="Palatino Linotype"/>
          <w:b/>
          <w:bCs/>
          <w:i/>
          <w:iCs/>
          <w:sz w:val="22"/>
          <w:lang w:val="es-MX"/>
        </w:rPr>
        <w:t>…</w:t>
      </w:r>
      <w:r w:rsidR="0023593D" w:rsidRPr="006A6FF8">
        <w:rPr>
          <w:rFonts w:ascii="Palatino Linotype" w:hAnsi="Palatino Linotype"/>
          <w:i/>
          <w:iCs/>
          <w:sz w:val="22"/>
          <w:lang w:val="es-MX"/>
        </w:rPr>
        <w:t xml:space="preserve"> </w:t>
      </w:r>
    </w:p>
    <w:p w:rsidR="0023593D" w:rsidRPr="006A6FF8" w:rsidRDefault="0023593D" w:rsidP="005C3AFE">
      <w:pPr>
        <w:pBdr>
          <w:top w:val="nil"/>
          <w:left w:val="nil"/>
          <w:bottom w:val="nil"/>
          <w:right w:val="nil"/>
          <w:between w:val="nil"/>
        </w:pBdr>
        <w:spacing w:before="240" w:after="240" w:line="276" w:lineRule="auto"/>
        <w:ind w:left="567" w:right="900"/>
        <w:jc w:val="both"/>
        <w:rPr>
          <w:rFonts w:ascii="Palatino Linotype" w:hAnsi="Palatino Linotype"/>
          <w:sz w:val="22"/>
          <w:lang w:val="es-MX"/>
        </w:rPr>
      </w:pPr>
      <w:r w:rsidRPr="006A6FF8">
        <w:rPr>
          <w:rFonts w:ascii="Palatino Linotype" w:hAnsi="Palatino Linotype"/>
          <w:i/>
          <w:iCs/>
          <w:sz w:val="22"/>
          <w:lang w:val="es-MX"/>
        </w:rPr>
        <w:t>Por ello, el Reglamento de la Ley en comento, en su artículo 90, indica cuales lo son los supuestos que deberán observarse para llevar a cabo dicho procedimiento:</w:t>
      </w:r>
    </w:p>
    <w:p w:rsidR="0023593D" w:rsidRPr="006A6FF8" w:rsidRDefault="0023593D" w:rsidP="005C3AFE">
      <w:pPr>
        <w:pBdr>
          <w:top w:val="nil"/>
          <w:left w:val="nil"/>
          <w:bottom w:val="nil"/>
          <w:right w:val="nil"/>
          <w:between w:val="nil"/>
        </w:pBdr>
        <w:spacing w:before="240" w:after="240" w:line="276" w:lineRule="auto"/>
        <w:ind w:left="567" w:right="900"/>
        <w:jc w:val="both"/>
        <w:rPr>
          <w:rFonts w:ascii="Palatino Linotype" w:hAnsi="Palatino Linotype"/>
          <w:sz w:val="22"/>
          <w:lang w:val="es-MX"/>
        </w:rPr>
      </w:pPr>
      <w:r w:rsidRPr="006A6FF8">
        <w:rPr>
          <w:rFonts w:ascii="Palatino Linotype" w:hAnsi="Palatino Linotype"/>
          <w:b/>
          <w:bCs/>
          <w:i/>
          <w:iCs/>
          <w:sz w:val="22"/>
          <w:lang w:val="es-MX"/>
        </w:rPr>
        <w:t>Artículo 90.-</w:t>
      </w:r>
      <w:r w:rsidRPr="006A6FF8">
        <w:rPr>
          <w:rFonts w:ascii="Palatino Linotype" w:hAnsi="Palatino Linotype"/>
          <w:i/>
          <w:iCs/>
          <w:sz w:val="22"/>
          <w:lang w:val="es-MX"/>
        </w:rPr>
        <w:t xml:space="preserve"> En el procedimiento de invitación restringida se deberá observar lo siguiente:</w:t>
      </w:r>
    </w:p>
    <w:p w:rsidR="0023593D" w:rsidRPr="006A6FF8" w:rsidRDefault="0023593D" w:rsidP="005C3AFE">
      <w:pPr>
        <w:pBdr>
          <w:top w:val="nil"/>
          <w:left w:val="nil"/>
          <w:bottom w:val="nil"/>
          <w:right w:val="nil"/>
          <w:between w:val="nil"/>
        </w:pBdr>
        <w:spacing w:before="240" w:after="240" w:line="276" w:lineRule="auto"/>
        <w:ind w:left="567" w:right="900"/>
        <w:jc w:val="both"/>
        <w:rPr>
          <w:rFonts w:ascii="Palatino Linotype" w:hAnsi="Palatino Linotype"/>
          <w:sz w:val="22"/>
          <w:lang w:val="es-MX"/>
        </w:rPr>
      </w:pPr>
      <w:r w:rsidRPr="006A6FF8">
        <w:rPr>
          <w:rFonts w:ascii="Palatino Linotype" w:hAnsi="Palatino Linotype"/>
          <w:i/>
          <w:iCs/>
          <w:sz w:val="22"/>
          <w:lang w:val="es-MX"/>
        </w:rPr>
        <w:t>I. Se invitará a un mínimo de tres personas seleccionadas de entre las que se encuentren inscritas en el catálogo de proveedores y de prestadores de servicios.</w:t>
      </w:r>
    </w:p>
    <w:p w:rsidR="0023593D" w:rsidRPr="006A6FF8" w:rsidRDefault="0023593D" w:rsidP="005C3AFE">
      <w:pPr>
        <w:pBdr>
          <w:top w:val="nil"/>
          <w:left w:val="nil"/>
          <w:bottom w:val="nil"/>
          <w:right w:val="nil"/>
          <w:between w:val="nil"/>
        </w:pBdr>
        <w:spacing w:before="240" w:after="240" w:line="276" w:lineRule="auto"/>
        <w:ind w:left="567" w:right="900"/>
        <w:jc w:val="both"/>
        <w:rPr>
          <w:rFonts w:ascii="Palatino Linotype" w:hAnsi="Palatino Linotype"/>
          <w:sz w:val="22"/>
          <w:lang w:val="es-MX"/>
        </w:rPr>
      </w:pPr>
      <w:r w:rsidRPr="006A6FF8">
        <w:rPr>
          <w:rFonts w:ascii="Palatino Linotype" w:hAnsi="Palatino Linotype"/>
          <w:i/>
          <w:iCs/>
          <w:sz w:val="22"/>
          <w:lang w:val="es-MX"/>
        </w:rPr>
        <w:t>Se podrá invitar a personas que no se encuentren inscritas, cuando en el giro correspondiente del catálogo de proveedores y prestadores de servicios no exista el registro mínimo de personas requeridas para tal modalidad;</w:t>
      </w:r>
    </w:p>
    <w:p w:rsidR="0023593D" w:rsidRPr="006A6FF8" w:rsidRDefault="0023593D" w:rsidP="005C3AFE">
      <w:pPr>
        <w:pBdr>
          <w:top w:val="nil"/>
          <w:left w:val="nil"/>
          <w:bottom w:val="nil"/>
          <w:right w:val="nil"/>
          <w:between w:val="nil"/>
        </w:pBdr>
        <w:spacing w:before="240" w:after="240" w:line="276" w:lineRule="auto"/>
        <w:ind w:left="567" w:right="900"/>
        <w:jc w:val="both"/>
        <w:rPr>
          <w:rFonts w:ascii="Palatino Linotype" w:hAnsi="Palatino Linotype"/>
          <w:sz w:val="22"/>
          <w:lang w:val="es-MX"/>
        </w:rPr>
      </w:pPr>
      <w:r w:rsidRPr="006A6FF8">
        <w:rPr>
          <w:rFonts w:ascii="Palatino Linotype" w:hAnsi="Palatino Linotype"/>
          <w:i/>
          <w:iCs/>
          <w:sz w:val="22"/>
          <w:lang w:val="es-MX"/>
        </w:rPr>
        <w:t>II. Las bases de la invitación restringida indicarán los aspectos de la adquisición o contratación; y</w:t>
      </w:r>
    </w:p>
    <w:p w:rsidR="0023593D" w:rsidRPr="006A6FF8" w:rsidRDefault="0023593D" w:rsidP="005C3AFE">
      <w:pPr>
        <w:pBdr>
          <w:top w:val="nil"/>
          <w:left w:val="nil"/>
          <w:bottom w:val="nil"/>
          <w:right w:val="nil"/>
          <w:between w:val="nil"/>
        </w:pBdr>
        <w:spacing w:before="240" w:after="240" w:line="276" w:lineRule="auto"/>
        <w:ind w:left="567" w:right="900"/>
        <w:jc w:val="both"/>
        <w:rPr>
          <w:rFonts w:ascii="Palatino Linotype" w:hAnsi="Palatino Linotype"/>
          <w:sz w:val="22"/>
          <w:lang w:val="es-MX"/>
        </w:rPr>
      </w:pPr>
      <w:r w:rsidRPr="006A6FF8">
        <w:rPr>
          <w:rFonts w:ascii="Palatino Linotype" w:hAnsi="Palatino Linotype"/>
          <w:i/>
          <w:iCs/>
          <w:sz w:val="22"/>
          <w:lang w:val="es-MX"/>
        </w:rPr>
        <w:t>III. Serán aplicables, en lo conducente, las disposiciones de la licitación pública.</w:t>
      </w:r>
      <w:r w:rsidRPr="006A6FF8">
        <w:rPr>
          <w:rFonts w:ascii="Palatino Linotype" w:hAnsi="Palatino Linotype"/>
          <w:b/>
          <w:bCs/>
          <w:i/>
          <w:iCs/>
          <w:sz w:val="22"/>
          <w:lang w:val="es-MX"/>
        </w:rPr>
        <w:t>”</w:t>
      </w:r>
    </w:p>
    <w:p w:rsidR="0023593D" w:rsidRPr="006A6FF8" w:rsidRDefault="0023593D" w:rsidP="0023593D">
      <w:pPr>
        <w:pBdr>
          <w:top w:val="nil"/>
          <w:left w:val="nil"/>
          <w:bottom w:val="nil"/>
          <w:right w:val="nil"/>
          <w:between w:val="nil"/>
        </w:pBdr>
        <w:spacing w:before="240" w:after="240" w:line="360" w:lineRule="auto"/>
        <w:jc w:val="both"/>
        <w:rPr>
          <w:rFonts w:ascii="Palatino Linotype" w:hAnsi="Palatino Linotype"/>
          <w:lang w:val="es-MX"/>
        </w:rPr>
      </w:pPr>
      <w:r w:rsidRPr="006A6FF8">
        <w:rPr>
          <w:rFonts w:ascii="Palatino Linotype" w:hAnsi="Palatino Linotype"/>
          <w:lang w:val="es-MX"/>
        </w:rPr>
        <w:t xml:space="preserve">En conclusión, referente a este punto cuando los procedimientos de adquisición o prestación de servicios materia de la Ley en cita, se hubieran llevado a cabo mediante invitación restringida, por cada procedimiento se debe contar con las bases, dictámenes, fallos y en su caso, fianzas, de haber </w:t>
      </w:r>
      <w:r w:rsidR="005C3AFE" w:rsidRPr="006A6FF8">
        <w:rPr>
          <w:rFonts w:ascii="Palatino Linotype" w:hAnsi="Palatino Linotype"/>
          <w:lang w:val="es-MX"/>
        </w:rPr>
        <w:t>sido esta la garantía exhibida.</w:t>
      </w:r>
    </w:p>
    <w:p w:rsidR="0023593D" w:rsidRPr="006A6FF8" w:rsidRDefault="0023593D" w:rsidP="0023593D">
      <w:pPr>
        <w:pBdr>
          <w:top w:val="nil"/>
          <w:left w:val="nil"/>
          <w:bottom w:val="nil"/>
          <w:right w:val="nil"/>
          <w:between w:val="nil"/>
        </w:pBdr>
        <w:spacing w:before="240" w:after="240" w:line="360" w:lineRule="auto"/>
        <w:jc w:val="both"/>
        <w:rPr>
          <w:rFonts w:ascii="Palatino Linotype" w:hAnsi="Palatino Linotype"/>
          <w:lang w:val="es-MX"/>
        </w:rPr>
      </w:pPr>
      <w:r w:rsidRPr="006A6FF8">
        <w:rPr>
          <w:rFonts w:ascii="Palatino Linotype" w:hAnsi="Palatino Linotype"/>
          <w:lang w:val="es-MX"/>
        </w:rPr>
        <w:lastRenderedPageBreak/>
        <w:t>Por último, y en cuanto hace a la adjudicación directa, el artículo 48 de la Ley de la Contratación Pública del Estado de México y Municipios y 91 del Reglamento de dicha Ley, indican en qué supuestos puede llev</w:t>
      </w:r>
      <w:r w:rsidR="005C3AFE" w:rsidRPr="006A6FF8">
        <w:rPr>
          <w:rFonts w:ascii="Palatino Linotype" w:hAnsi="Palatino Linotype"/>
          <w:lang w:val="es-MX"/>
        </w:rPr>
        <w:t>arse a cabo este procedimiento.</w:t>
      </w:r>
    </w:p>
    <w:p w:rsidR="0023593D" w:rsidRPr="006A6FF8" w:rsidRDefault="0023593D" w:rsidP="0023593D">
      <w:pPr>
        <w:pBdr>
          <w:top w:val="nil"/>
          <w:left w:val="nil"/>
          <w:bottom w:val="nil"/>
          <w:right w:val="nil"/>
          <w:between w:val="nil"/>
        </w:pBdr>
        <w:spacing w:before="240" w:after="240" w:line="360" w:lineRule="auto"/>
        <w:jc w:val="both"/>
        <w:rPr>
          <w:rFonts w:ascii="Palatino Linotype" w:hAnsi="Palatino Linotype"/>
          <w:lang w:val="es-MX"/>
        </w:rPr>
      </w:pPr>
      <w:r w:rsidRPr="006A6FF8">
        <w:rPr>
          <w:rFonts w:ascii="Palatino Linotype" w:hAnsi="Palatino Linotype"/>
          <w:lang w:val="es-MX"/>
        </w:rPr>
        <w:t>En este sentido, el convocante debe solicitar a su comité el dictamen correspondiente del procedimiento de adjudicación directa, en el que se acredite previamente la descripción general de los bienes a adquirir; la justificación o conveniencia de llevar a cabo la adjudicación directa; y la certificación de sufici</w:t>
      </w:r>
      <w:r w:rsidR="005C3AFE" w:rsidRPr="006A6FF8">
        <w:rPr>
          <w:rFonts w:ascii="Palatino Linotype" w:hAnsi="Palatino Linotype"/>
          <w:lang w:val="es-MX"/>
        </w:rPr>
        <w:t>encia presupuestaria.</w:t>
      </w:r>
    </w:p>
    <w:p w:rsidR="0023593D" w:rsidRPr="006A6FF8" w:rsidRDefault="0023593D" w:rsidP="0023593D">
      <w:pPr>
        <w:pBdr>
          <w:top w:val="nil"/>
          <w:left w:val="nil"/>
          <w:bottom w:val="nil"/>
          <w:right w:val="nil"/>
          <w:between w:val="nil"/>
        </w:pBdr>
        <w:spacing w:before="240" w:after="240" w:line="360" w:lineRule="auto"/>
        <w:jc w:val="both"/>
        <w:rPr>
          <w:rFonts w:ascii="Palatino Linotype" w:hAnsi="Palatino Linotype"/>
          <w:lang w:val="es-MX"/>
        </w:rPr>
      </w:pPr>
      <w:r w:rsidRPr="006A6FF8">
        <w:rPr>
          <w:rFonts w:ascii="Palatino Linotype" w:hAnsi="Palatino Linotype"/>
          <w:lang w:val="es-MX"/>
        </w:rPr>
        <w:t>Además, el artículo 94 del referido Reglamento, detalla el procedimiento que se llevará a cabo en la adjudicación di</w:t>
      </w:r>
      <w:r w:rsidR="005C3AFE" w:rsidRPr="006A6FF8">
        <w:rPr>
          <w:rFonts w:ascii="Palatino Linotype" w:hAnsi="Palatino Linotype"/>
          <w:lang w:val="es-MX"/>
        </w:rPr>
        <w:t>recta, de la siguiente manera: </w:t>
      </w:r>
    </w:p>
    <w:p w:rsidR="0023593D" w:rsidRPr="006A6FF8" w:rsidRDefault="0023593D" w:rsidP="005C3AFE">
      <w:pPr>
        <w:pBdr>
          <w:top w:val="nil"/>
          <w:left w:val="nil"/>
          <w:bottom w:val="nil"/>
          <w:right w:val="nil"/>
          <w:between w:val="nil"/>
        </w:pBdr>
        <w:spacing w:before="240" w:after="240" w:line="276" w:lineRule="auto"/>
        <w:ind w:left="567" w:right="900"/>
        <w:jc w:val="both"/>
        <w:rPr>
          <w:rFonts w:ascii="Palatino Linotype" w:hAnsi="Palatino Linotype"/>
          <w:sz w:val="22"/>
          <w:lang w:val="es-MX"/>
        </w:rPr>
      </w:pPr>
      <w:r w:rsidRPr="006A6FF8">
        <w:rPr>
          <w:rFonts w:ascii="Palatino Linotype" w:hAnsi="Palatino Linotype"/>
          <w:b/>
          <w:bCs/>
          <w:i/>
          <w:iCs/>
          <w:sz w:val="22"/>
          <w:lang w:val="es-MX"/>
        </w:rPr>
        <w:t xml:space="preserve">“Artículo 94.- </w:t>
      </w:r>
      <w:r w:rsidRPr="006A6FF8">
        <w:rPr>
          <w:rFonts w:ascii="Palatino Linotype" w:hAnsi="Palatino Linotype"/>
          <w:i/>
          <w:iCs/>
          <w:sz w:val="22"/>
          <w:lang w:val="es-MX"/>
        </w:rPr>
        <w:t>En el procedimiento de adjudicación directa se observará lo siguiente:</w:t>
      </w:r>
      <w:r w:rsidRPr="006A6FF8">
        <w:rPr>
          <w:rFonts w:ascii="Palatino Linotype" w:hAnsi="Palatino Linotype"/>
          <w:b/>
          <w:bCs/>
          <w:i/>
          <w:iCs/>
          <w:sz w:val="22"/>
          <w:lang w:val="es-MX"/>
        </w:rPr>
        <w:t> </w:t>
      </w:r>
    </w:p>
    <w:p w:rsidR="0023593D" w:rsidRPr="006A6FF8" w:rsidRDefault="0023593D" w:rsidP="005C3AFE">
      <w:pPr>
        <w:pBdr>
          <w:top w:val="nil"/>
          <w:left w:val="nil"/>
          <w:bottom w:val="nil"/>
          <w:right w:val="nil"/>
          <w:between w:val="nil"/>
        </w:pBdr>
        <w:spacing w:before="240" w:after="240" w:line="276" w:lineRule="auto"/>
        <w:ind w:left="567" w:right="900"/>
        <w:jc w:val="both"/>
        <w:rPr>
          <w:rFonts w:ascii="Palatino Linotype" w:hAnsi="Palatino Linotype"/>
          <w:sz w:val="22"/>
          <w:lang w:val="es-MX"/>
        </w:rPr>
      </w:pPr>
      <w:r w:rsidRPr="006A6FF8">
        <w:rPr>
          <w:rFonts w:ascii="Palatino Linotype" w:hAnsi="Palatino Linotype"/>
          <w:b/>
          <w:bCs/>
          <w:i/>
          <w:iCs/>
          <w:sz w:val="22"/>
          <w:lang w:val="es-MX"/>
        </w:rPr>
        <w:t>I.</w:t>
      </w:r>
      <w:r w:rsidRPr="006A6FF8">
        <w:rPr>
          <w:rFonts w:ascii="Palatino Linotype" w:hAnsi="Palatino Linotype"/>
          <w:i/>
          <w:iCs/>
          <w:sz w:val="22"/>
          <w:lang w:val="es-MX"/>
        </w:rPr>
        <w:t xml:space="preserve"> Las adquisiciones de bienes y la contratación de servicios, se efectuaran previa </w:t>
      </w:r>
      <w:proofErr w:type="spellStart"/>
      <w:r w:rsidRPr="006A6FF8">
        <w:rPr>
          <w:rFonts w:ascii="Palatino Linotype" w:hAnsi="Palatino Linotype"/>
          <w:i/>
          <w:iCs/>
          <w:sz w:val="22"/>
          <w:lang w:val="es-MX"/>
        </w:rPr>
        <w:t>dictaminación</w:t>
      </w:r>
      <w:proofErr w:type="spellEnd"/>
      <w:r w:rsidRPr="006A6FF8">
        <w:rPr>
          <w:rFonts w:ascii="Palatino Linotype" w:hAnsi="Palatino Linotype"/>
          <w:i/>
          <w:iCs/>
          <w:sz w:val="22"/>
          <w:lang w:val="es-MX"/>
        </w:rPr>
        <w:t xml:space="preserve"> del comité, a excepción de los casos previstos en las fracciones IV, VII, IX y XI del artículo 48 de la Ley; las contrataciones que se realicen con fundamento en las fracciones IV y VII, deberán corresponder a lo estrictamente necesario para atender la eventualidad o urgencia y no deberán observar ninguna otra formalidad más que la suscripción del contrato respectivo.</w:t>
      </w:r>
    </w:p>
    <w:p w:rsidR="0023593D" w:rsidRPr="006A6FF8" w:rsidRDefault="0023593D" w:rsidP="005C3AFE">
      <w:pPr>
        <w:pBdr>
          <w:top w:val="nil"/>
          <w:left w:val="nil"/>
          <w:bottom w:val="nil"/>
          <w:right w:val="nil"/>
          <w:between w:val="nil"/>
        </w:pBdr>
        <w:spacing w:before="240" w:after="240" w:line="276" w:lineRule="auto"/>
        <w:ind w:left="567" w:right="900"/>
        <w:jc w:val="both"/>
        <w:rPr>
          <w:rFonts w:ascii="Palatino Linotype" w:hAnsi="Palatino Linotype"/>
          <w:sz w:val="22"/>
          <w:lang w:val="es-MX"/>
        </w:rPr>
      </w:pPr>
      <w:r w:rsidRPr="006A6FF8">
        <w:rPr>
          <w:rFonts w:ascii="Palatino Linotype" w:hAnsi="Palatino Linotype"/>
          <w:b/>
          <w:bCs/>
          <w:i/>
          <w:iCs/>
          <w:sz w:val="22"/>
          <w:lang w:val="es-MX"/>
        </w:rPr>
        <w:t>II.</w:t>
      </w:r>
      <w:r w:rsidRPr="006A6FF8">
        <w:rPr>
          <w:rFonts w:ascii="Palatino Linotype" w:hAnsi="Palatino Linotype"/>
          <w:i/>
          <w:iCs/>
          <w:sz w:val="22"/>
          <w:lang w:val="es-MX"/>
        </w:rPr>
        <w:t xml:space="preserve"> Se considerará a la persona que atendiendo al bien o servicio que se pretenda adquirir o contratar, pueda suministrarlo o prestarlo en las mejores condiciones disponibles en cuanto a precio, calidad, financiamiento, oportunidad y demás circunstancias pertinentes;</w:t>
      </w:r>
    </w:p>
    <w:p w:rsidR="0023593D" w:rsidRPr="006A6FF8" w:rsidRDefault="0023593D" w:rsidP="005C3AFE">
      <w:pPr>
        <w:pBdr>
          <w:top w:val="nil"/>
          <w:left w:val="nil"/>
          <w:bottom w:val="nil"/>
          <w:right w:val="nil"/>
          <w:between w:val="nil"/>
        </w:pBdr>
        <w:spacing w:before="240" w:after="240" w:line="276" w:lineRule="auto"/>
        <w:ind w:left="567" w:right="900"/>
        <w:jc w:val="both"/>
        <w:rPr>
          <w:rFonts w:ascii="Palatino Linotype" w:hAnsi="Palatino Linotype"/>
          <w:sz w:val="22"/>
          <w:lang w:val="es-MX"/>
        </w:rPr>
      </w:pPr>
      <w:r w:rsidRPr="006A6FF8">
        <w:rPr>
          <w:rFonts w:ascii="Palatino Linotype" w:hAnsi="Palatino Linotype"/>
          <w:b/>
          <w:bCs/>
          <w:i/>
          <w:iCs/>
          <w:sz w:val="22"/>
          <w:lang w:val="es-MX"/>
        </w:rPr>
        <w:t>III.</w:t>
      </w:r>
      <w:r w:rsidRPr="006A6FF8">
        <w:rPr>
          <w:rFonts w:ascii="Palatino Linotype" w:hAnsi="Palatino Linotype"/>
          <w:i/>
          <w:iCs/>
          <w:sz w:val="22"/>
          <w:lang w:val="es-MX"/>
        </w:rPr>
        <w:t xml:space="preserve"> La solicitud de participación contendrá, como mínimo, la descripción y cantidad de los bienes o servicios requeridos, lugar, plazo de entrega o duración del servicio y forma de pago;</w:t>
      </w:r>
    </w:p>
    <w:p w:rsidR="0023593D" w:rsidRPr="006A6FF8" w:rsidRDefault="0023593D" w:rsidP="005C3AFE">
      <w:pPr>
        <w:pBdr>
          <w:top w:val="nil"/>
          <w:left w:val="nil"/>
          <w:bottom w:val="nil"/>
          <w:right w:val="nil"/>
          <w:between w:val="nil"/>
        </w:pBdr>
        <w:spacing w:before="240" w:after="240" w:line="276" w:lineRule="auto"/>
        <w:ind w:left="567" w:right="900"/>
        <w:jc w:val="both"/>
        <w:rPr>
          <w:rFonts w:ascii="Palatino Linotype" w:hAnsi="Palatino Linotype"/>
          <w:sz w:val="22"/>
          <w:lang w:val="es-MX"/>
        </w:rPr>
      </w:pPr>
      <w:r w:rsidRPr="006A6FF8">
        <w:rPr>
          <w:rFonts w:ascii="Palatino Linotype" w:hAnsi="Palatino Linotype"/>
          <w:b/>
          <w:bCs/>
          <w:i/>
          <w:iCs/>
          <w:sz w:val="22"/>
          <w:lang w:val="es-MX"/>
        </w:rPr>
        <w:lastRenderedPageBreak/>
        <w:t>IV.</w:t>
      </w:r>
      <w:r w:rsidRPr="006A6FF8">
        <w:rPr>
          <w:rFonts w:ascii="Palatino Linotype" w:hAnsi="Palatino Linotype"/>
          <w:i/>
          <w:iCs/>
          <w:sz w:val="22"/>
          <w:lang w:val="es-MX"/>
        </w:rPr>
        <w:t xml:space="preserve"> La solicitud de participación deberá señalar el día, hora y lugar en que tendrá verificativo el acto de presentación y apertura de ofertas;</w:t>
      </w:r>
    </w:p>
    <w:p w:rsidR="0023593D" w:rsidRPr="006A6FF8" w:rsidRDefault="0023593D" w:rsidP="005C3AFE">
      <w:pPr>
        <w:pBdr>
          <w:top w:val="nil"/>
          <w:left w:val="nil"/>
          <w:bottom w:val="nil"/>
          <w:right w:val="nil"/>
          <w:between w:val="nil"/>
        </w:pBdr>
        <w:spacing w:before="240" w:after="240" w:line="276" w:lineRule="auto"/>
        <w:ind w:left="567" w:right="900"/>
        <w:jc w:val="both"/>
        <w:rPr>
          <w:rFonts w:ascii="Palatino Linotype" w:hAnsi="Palatino Linotype"/>
          <w:sz w:val="22"/>
          <w:lang w:val="es-MX"/>
        </w:rPr>
      </w:pPr>
      <w:r w:rsidRPr="006A6FF8">
        <w:rPr>
          <w:rFonts w:ascii="Palatino Linotype" w:hAnsi="Palatino Linotype"/>
          <w:b/>
          <w:bCs/>
          <w:i/>
          <w:iCs/>
          <w:sz w:val="22"/>
          <w:lang w:val="es-MX"/>
        </w:rPr>
        <w:t>V.</w:t>
      </w:r>
      <w:r w:rsidRPr="006A6FF8">
        <w:rPr>
          <w:rFonts w:ascii="Palatino Linotype" w:hAnsi="Palatino Linotype"/>
          <w:i/>
          <w:iCs/>
          <w:sz w:val="22"/>
          <w:lang w:val="es-MX"/>
        </w:rPr>
        <w:t xml:space="preserve"> Atendiendo a la naturaleza de los bienes o servicios, la convocante podrá optar entre celebrar o no junta de aclaraciones, en términos de lo dispuesto por este Reglamento;</w:t>
      </w:r>
    </w:p>
    <w:p w:rsidR="0023593D" w:rsidRPr="006A6FF8" w:rsidRDefault="0023593D" w:rsidP="005C3AFE">
      <w:pPr>
        <w:pBdr>
          <w:top w:val="nil"/>
          <w:left w:val="nil"/>
          <w:bottom w:val="nil"/>
          <w:right w:val="nil"/>
          <w:between w:val="nil"/>
        </w:pBdr>
        <w:spacing w:before="240" w:after="240" w:line="276" w:lineRule="auto"/>
        <w:ind w:left="567" w:right="900"/>
        <w:jc w:val="both"/>
        <w:rPr>
          <w:rFonts w:ascii="Palatino Linotype" w:hAnsi="Palatino Linotype"/>
          <w:sz w:val="22"/>
          <w:lang w:val="es-MX"/>
        </w:rPr>
      </w:pPr>
      <w:r w:rsidRPr="006A6FF8">
        <w:rPr>
          <w:rFonts w:ascii="Palatino Linotype" w:hAnsi="Palatino Linotype"/>
          <w:b/>
          <w:bCs/>
          <w:i/>
          <w:iCs/>
          <w:sz w:val="22"/>
          <w:lang w:val="es-MX"/>
        </w:rPr>
        <w:t>VI.</w:t>
      </w:r>
      <w:r w:rsidRPr="006A6FF8">
        <w:rPr>
          <w:rFonts w:ascii="Palatino Linotype" w:hAnsi="Palatino Linotype"/>
          <w:i/>
          <w:iCs/>
          <w:sz w:val="22"/>
          <w:lang w:val="es-MX"/>
        </w:rPr>
        <w:t xml:space="preserve"> El servidor público designado por la convocante será el responsable de llevar a cabo el acto de presentación y apertura de propuestas;</w:t>
      </w:r>
    </w:p>
    <w:p w:rsidR="0023593D" w:rsidRPr="006A6FF8" w:rsidRDefault="0023593D" w:rsidP="005C3AFE">
      <w:pPr>
        <w:pBdr>
          <w:top w:val="nil"/>
          <w:left w:val="nil"/>
          <w:bottom w:val="nil"/>
          <w:right w:val="nil"/>
          <w:between w:val="nil"/>
        </w:pBdr>
        <w:spacing w:before="240" w:after="240" w:line="276" w:lineRule="auto"/>
        <w:ind w:left="567" w:right="900"/>
        <w:jc w:val="both"/>
        <w:rPr>
          <w:rFonts w:ascii="Palatino Linotype" w:hAnsi="Palatino Linotype"/>
          <w:sz w:val="22"/>
          <w:lang w:val="es-MX"/>
        </w:rPr>
      </w:pPr>
      <w:r w:rsidRPr="006A6FF8">
        <w:rPr>
          <w:rFonts w:ascii="Palatino Linotype" w:hAnsi="Palatino Linotype"/>
          <w:b/>
          <w:bCs/>
          <w:i/>
          <w:iCs/>
          <w:sz w:val="22"/>
          <w:lang w:val="es-MX"/>
        </w:rPr>
        <w:t>VII.</w:t>
      </w:r>
      <w:r w:rsidRPr="006A6FF8">
        <w:rPr>
          <w:rFonts w:ascii="Palatino Linotype" w:hAnsi="Palatino Linotype"/>
          <w:i/>
          <w:iCs/>
          <w:sz w:val="22"/>
          <w:lang w:val="es-MX"/>
        </w:rPr>
        <w:t xml:space="preserve"> Se observarán, en lo conducente, las disposiciones relativas a la contraoferta; y</w:t>
      </w:r>
    </w:p>
    <w:p w:rsidR="0023593D" w:rsidRPr="006A6FF8" w:rsidRDefault="0023593D" w:rsidP="005C3AFE">
      <w:pPr>
        <w:pBdr>
          <w:top w:val="nil"/>
          <w:left w:val="nil"/>
          <w:bottom w:val="nil"/>
          <w:right w:val="nil"/>
          <w:between w:val="nil"/>
        </w:pBdr>
        <w:spacing w:before="240" w:after="240" w:line="276" w:lineRule="auto"/>
        <w:ind w:left="567" w:right="900"/>
        <w:jc w:val="both"/>
        <w:rPr>
          <w:rFonts w:ascii="Palatino Linotype" w:hAnsi="Palatino Linotype"/>
          <w:sz w:val="22"/>
          <w:lang w:val="es-MX"/>
        </w:rPr>
      </w:pPr>
      <w:r w:rsidRPr="006A6FF8">
        <w:rPr>
          <w:rFonts w:ascii="Palatino Linotype" w:hAnsi="Palatino Linotype"/>
          <w:b/>
          <w:bCs/>
          <w:i/>
          <w:iCs/>
          <w:sz w:val="22"/>
          <w:lang w:val="es-MX"/>
        </w:rPr>
        <w:t>VIII.</w:t>
      </w:r>
      <w:r w:rsidRPr="006A6FF8">
        <w:rPr>
          <w:rFonts w:ascii="Palatino Linotype" w:hAnsi="Palatino Linotype"/>
          <w:i/>
          <w:iCs/>
          <w:sz w:val="22"/>
          <w:lang w:val="es-MX"/>
        </w:rPr>
        <w:t xml:space="preserve"> El comité será responsable de emitir el dictamen de adjudicación que servirá de base para el fallo de adjudicación; correspondiendo a la convocante emitir dicho fallo, quien lo hará del conocimiento de los licitantes.</w:t>
      </w:r>
      <w:r w:rsidRPr="006A6FF8">
        <w:rPr>
          <w:rFonts w:ascii="Palatino Linotype" w:hAnsi="Palatino Linotype"/>
          <w:b/>
          <w:bCs/>
          <w:i/>
          <w:iCs/>
          <w:sz w:val="22"/>
          <w:lang w:val="es-MX"/>
        </w:rPr>
        <w:t>”</w:t>
      </w:r>
      <w:r w:rsidRPr="006A6FF8">
        <w:rPr>
          <w:rFonts w:ascii="Palatino Linotype" w:hAnsi="Palatino Linotype"/>
          <w:i/>
          <w:iCs/>
          <w:sz w:val="22"/>
          <w:lang w:val="es-MX"/>
        </w:rPr>
        <w:t> (Énfasis añadido)</w:t>
      </w:r>
    </w:p>
    <w:p w:rsidR="0023593D" w:rsidRPr="006A6FF8" w:rsidRDefault="0023593D" w:rsidP="005C3AFE">
      <w:pPr>
        <w:pBdr>
          <w:top w:val="nil"/>
          <w:left w:val="nil"/>
          <w:bottom w:val="nil"/>
          <w:right w:val="nil"/>
          <w:between w:val="nil"/>
        </w:pBdr>
        <w:spacing w:before="240" w:after="240" w:line="360" w:lineRule="auto"/>
        <w:jc w:val="both"/>
        <w:rPr>
          <w:rFonts w:ascii="Palatino Linotype" w:hAnsi="Palatino Linotype"/>
          <w:lang w:val="es-MX"/>
        </w:rPr>
      </w:pPr>
      <w:r w:rsidRPr="006A6FF8">
        <w:rPr>
          <w:rFonts w:ascii="Palatino Linotype" w:hAnsi="Palatino Linotype"/>
          <w:lang w:val="es-MX"/>
        </w:rPr>
        <w:t xml:space="preserve">En este sentido, debe decirse que los </w:t>
      </w:r>
      <w:r w:rsidRPr="006A6FF8">
        <w:rPr>
          <w:rFonts w:ascii="Palatino Linotype" w:hAnsi="Palatino Linotype"/>
          <w:b/>
          <w:bCs/>
          <w:u w:val="single"/>
          <w:lang w:val="es-MX"/>
        </w:rPr>
        <w:t>expedientes de las adquisiciones, arrendamientos, enajenaciones y servicios</w:t>
      </w:r>
      <w:r w:rsidRPr="006A6FF8">
        <w:rPr>
          <w:rFonts w:ascii="Palatino Linotype" w:hAnsi="Palatino Linotype"/>
          <w:lang w:val="es-MX"/>
        </w:rPr>
        <w:t>, se encuentra considerada como una de las obligaciones de transparencias comunes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 fracc</w:t>
      </w:r>
      <w:r w:rsidR="005C3AFE" w:rsidRPr="006A6FF8">
        <w:rPr>
          <w:rFonts w:ascii="Palatino Linotype" w:hAnsi="Palatino Linotype"/>
          <w:lang w:val="es-MX"/>
        </w:rPr>
        <w:t>ión XXIX, dispone lo siguiente:</w:t>
      </w:r>
    </w:p>
    <w:p w:rsidR="0023593D" w:rsidRPr="006A6FF8" w:rsidRDefault="0023593D" w:rsidP="005C3AFE">
      <w:pPr>
        <w:pBdr>
          <w:top w:val="nil"/>
          <w:left w:val="nil"/>
          <w:bottom w:val="nil"/>
          <w:right w:val="nil"/>
          <w:between w:val="nil"/>
        </w:pBdr>
        <w:spacing w:before="240" w:after="240" w:line="276" w:lineRule="auto"/>
        <w:ind w:left="567" w:right="900"/>
        <w:jc w:val="both"/>
        <w:rPr>
          <w:rFonts w:ascii="Palatino Linotype" w:hAnsi="Palatino Linotype"/>
          <w:sz w:val="22"/>
          <w:lang w:val="es-MX"/>
        </w:rPr>
      </w:pPr>
      <w:r w:rsidRPr="006A6FF8">
        <w:rPr>
          <w:rFonts w:ascii="Palatino Linotype" w:hAnsi="Palatino Linotype"/>
          <w:b/>
          <w:bCs/>
          <w:i/>
          <w:iCs/>
          <w:sz w:val="22"/>
          <w:lang w:val="es-MX"/>
        </w:rPr>
        <w:t>“Artículo 92. </w:t>
      </w:r>
      <w:r w:rsidRPr="006A6FF8">
        <w:rPr>
          <w:rFonts w:ascii="Palatino Linotype" w:hAnsi="Palatino Linotype"/>
          <w:i/>
          <w:iCs/>
          <w:sz w:val="22"/>
          <w:lang w:val="es-MX"/>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23593D" w:rsidRPr="006A6FF8" w:rsidRDefault="0023593D" w:rsidP="005C3AFE">
      <w:pPr>
        <w:pBdr>
          <w:top w:val="nil"/>
          <w:left w:val="nil"/>
          <w:bottom w:val="nil"/>
          <w:right w:val="nil"/>
          <w:between w:val="nil"/>
        </w:pBdr>
        <w:spacing w:before="240" w:after="240" w:line="276" w:lineRule="auto"/>
        <w:ind w:left="567" w:right="900"/>
        <w:jc w:val="both"/>
        <w:rPr>
          <w:rFonts w:ascii="Palatino Linotype" w:hAnsi="Palatino Linotype"/>
          <w:sz w:val="22"/>
          <w:lang w:val="es-MX"/>
        </w:rPr>
      </w:pPr>
      <w:r w:rsidRPr="006A6FF8">
        <w:rPr>
          <w:rFonts w:ascii="Palatino Linotype" w:hAnsi="Palatino Linotype"/>
          <w:i/>
          <w:iCs/>
          <w:sz w:val="22"/>
          <w:lang w:val="es-MX"/>
        </w:rPr>
        <w:lastRenderedPageBreak/>
        <w:t>(…)</w:t>
      </w:r>
    </w:p>
    <w:p w:rsidR="0023593D" w:rsidRPr="006A6FF8" w:rsidRDefault="0023593D" w:rsidP="005C3AFE">
      <w:pPr>
        <w:pBdr>
          <w:top w:val="nil"/>
          <w:left w:val="nil"/>
          <w:bottom w:val="nil"/>
          <w:right w:val="nil"/>
          <w:between w:val="nil"/>
        </w:pBdr>
        <w:spacing w:before="240" w:after="240" w:line="276" w:lineRule="auto"/>
        <w:ind w:left="567" w:right="900"/>
        <w:jc w:val="both"/>
        <w:rPr>
          <w:rFonts w:ascii="Palatino Linotype" w:hAnsi="Palatino Linotype"/>
          <w:sz w:val="22"/>
          <w:lang w:val="es-MX"/>
        </w:rPr>
      </w:pPr>
      <w:r w:rsidRPr="006A6FF8">
        <w:rPr>
          <w:rFonts w:ascii="Palatino Linotype" w:hAnsi="Palatino Linotype"/>
          <w:b/>
          <w:bCs/>
          <w:i/>
          <w:iCs/>
          <w:sz w:val="22"/>
          <w:lang w:val="es-MX"/>
        </w:rPr>
        <w:t>XXIX. </w:t>
      </w:r>
      <w:r w:rsidRPr="006A6FF8">
        <w:rPr>
          <w:rFonts w:ascii="Palatino Linotype" w:hAnsi="Palatino Linotype"/>
          <w:b/>
          <w:i/>
          <w:iCs/>
          <w:sz w:val="22"/>
          <w:u w:val="single"/>
          <w:lang w:val="es-MX"/>
        </w:rPr>
        <w:t>La información sobre los procesos y resultados sobre procedimientos de adjudicación directa, invitación restringida y licitación de cualquier naturaleza,</w:t>
      </w:r>
      <w:r w:rsidRPr="006A6FF8">
        <w:rPr>
          <w:rFonts w:ascii="Palatino Linotype" w:hAnsi="Palatino Linotype"/>
          <w:i/>
          <w:iCs/>
          <w:sz w:val="22"/>
          <w:lang w:val="es-MX"/>
        </w:rPr>
        <w:t> </w:t>
      </w:r>
      <w:r w:rsidRPr="006A6FF8">
        <w:rPr>
          <w:rFonts w:ascii="Palatino Linotype" w:hAnsi="Palatino Linotype"/>
          <w:b/>
          <w:bCs/>
          <w:i/>
          <w:iCs/>
          <w:sz w:val="22"/>
          <w:u w:val="single"/>
          <w:lang w:val="es-MX"/>
        </w:rPr>
        <w:t>incluyendo la versión pública del expediente respectivo y de los contratos</w:t>
      </w:r>
      <w:r w:rsidRPr="006A6FF8">
        <w:rPr>
          <w:rFonts w:ascii="Palatino Linotype" w:hAnsi="Palatino Linotype"/>
          <w:i/>
          <w:iCs/>
          <w:sz w:val="22"/>
          <w:lang w:val="es-MX"/>
        </w:rPr>
        <w:t> celebrados, que deberán contener, por los menos, lo siguiente:</w:t>
      </w:r>
    </w:p>
    <w:p w:rsidR="0023593D" w:rsidRPr="006A6FF8" w:rsidRDefault="0023593D" w:rsidP="005C3AFE">
      <w:pPr>
        <w:pBdr>
          <w:top w:val="nil"/>
          <w:left w:val="nil"/>
          <w:bottom w:val="nil"/>
          <w:right w:val="nil"/>
          <w:between w:val="nil"/>
        </w:pBdr>
        <w:spacing w:before="240" w:after="240" w:line="276" w:lineRule="auto"/>
        <w:ind w:left="567" w:right="900"/>
        <w:jc w:val="both"/>
        <w:rPr>
          <w:rFonts w:ascii="Palatino Linotype" w:hAnsi="Palatino Linotype"/>
          <w:sz w:val="22"/>
          <w:lang w:val="es-MX"/>
        </w:rPr>
      </w:pPr>
      <w:r w:rsidRPr="006A6FF8">
        <w:rPr>
          <w:rFonts w:ascii="Palatino Linotype" w:hAnsi="Palatino Linotype"/>
          <w:b/>
          <w:bCs/>
          <w:i/>
          <w:iCs/>
          <w:sz w:val="22"/>
          <w:lang w:val="es-MX"/>
        </w:rPr>
        <w:t>a) </w:t>
      </w:r>
      <w:r w:rsidRPr="006A6FF8">
        <w:rPr>
          <w:rFonts w:ascii="Palatino Linotype" w:hAnsi="Palatino Linotype"/>
          <w:i/>
          <w:iCs/>
          <w:sz w:val="22"/>
          <w:lang w:val="es-MX"/>
        </w:rPr>
        <w:t>De licitaciones públicas o procedimientos de invitación restringida:</w:t>
      </w:r>
    </w:p>
    <w:p w:rsidR="0023593D" w:rsidRPr="006A6FF8" w:rsidRDefault="0023593D" w:rsidP="005C3AFE">
      <w:pPr>
        <w:pBdr>
          <w:top w:val="nil"/>
          <w:left w:val="nil"/>
          <w:bottom w:val="nil"/>
          <w:right w:val="nil"/>
          <w:between w:val="nil"/>
        </w:pBdr>
        <w:spacing w:before="240" w:after="240" w:line="276" w:lineRule="auto"/>
        <w:ind w:left="567" w:right="900"/>
        <w:jc w:val="both"/>
        <w:rPr>
          <w:rFonts w:ascii="Palatino Linotype" w:hAnsi="Palatino Linotype"/>
          <w:sz w:val="22"/>
          <w:lang w:val="es-MX"/>
        </w:rPr>
      </w:pPr>
      <w:r w:rsidRPr="006A6FF8">
        <w:rPr>
          <w:rFonts w:ascii="Palatino Linotype" w:hAnsi="Palatino Linotype"/>
          <w:b/>
          <w:bCs/>
          <w:i/>
          <w:iCs/>
          <w:sz w:val="22"/>
          <w:lang w:val="es-MX"/>
        </w:rPr>
        <w:t>1)</w:t>
      </w:r>
      <w:r w:rsidRPr="006A6FF8">
        <w:rPr>
          <w:rFonts w:ascii="Palatino Linotype" w:hAnsi="Palatino Linotype"/>
          <w:i/>
          <w:iCs/>
          <w:sz w:val="22"/>
          <w:lang w:val="es-MX"/>
        </w:rPr>
        <w:t> La convocatoria o invitación emitida, así como los fundamentos legales aplicados para llevarla a cabo;</w:t>
      </w:r>
    </w:p>
    <w:p w:rsidR="0023593D" w:rsidRPr="006A6FF8" w:rsidRDefault="0023593D" w:rsidP="005C3AFE">
      <w:pPr>
        <w:pBdr>
          <w:top w:val="nil"/>
          <w:left w:val="nil"/>
          <w:bottom w:val="nil"/>
          <w:right w:val="nil"/>
          <w:between w:val="nil"/>
        </w:pBdr>
        <w:spacing w:before="240" w:after="240" w:line="276" w:lineRule="auto"/>
        <w:ind w:left="567" w:right="900"/>
        <w:jc w:val="both"/>
        <w:rPr>
          <w:rFonts w:ascii="Palatino Linotype" w:hAnsi="Palatino Linotype"/>
          <w:sz w:val="22"/>
          <w:lang w:val="es-MX"/>
        </w:rPr>
      </w:pPr>
      <w:r w:rsidRPr="006A6FF8">
        <w:rPr>
          <w:rFonts w:ascii="Palatino Linotype" w:hAnsi="Palatino Linotype"/>
          <w:b/>
          <w:bCs/>
          <w:i/>
          <w:iCs/>
          <w:sz w:val="22"/>
          <w:lang w:val="es-MX"/>
        </w:rPr>
        <w:t>2) </w:t>
      </w:r>
      <w:r w:rsidRPr="006A6FF8">
        <w:rPr>
          <w:rFonts w:ascii="Palatino Linotype" w:hAnsi="Palatino Linotype"/>
          <w:i/>
          <w:iCs/>
          <w:sz w:val="22"/>
          <w:lang w:val="es-MX"/>
        </w:rPr>
        <w:t>Los nombres de los participantes o invitados;</w:t>
      </w:r>
    </w:p>
    <w:p w:rsidR="0023593D" w:rsidRPr="006A6FF8" w:rsidRDefault="0023593D" w:rsidP="005C3AFE">
      <w:pPr>
        <w:pBdr>
          <w:top w:val="nil"/>
          <w:left w:val="nil"/>
          <w:bottom w:val="nil"/>
          <w:right w:val="nil"/>
          <w:between w:val="nil"/>
        </w:pBdr>
        <w:spacing w:before="240" w:after="240" w:line="276" w:lineRule="auto"/>
        <w:ind w:left="567" w:right="900"/>
        <w:jc w:val="both"/>
        <w:rPr>
          <w:rFonts w:ascii="Palatino Linotype" w:hAnsi="Palatino Linotype"/>
          <w:sz w:val="22"/>
          <w:lang w:val="es-MX"/>
        </w:rPr>
      </w:pPr>
      <w:r w:rsidRPr="006A6FF8">
        <w:rPr>
          <w:rFonts w:ascii="Palatino Linotype" w:hAnsi="Palatino Linotype"/>
          <w:b/>
          <w:bCs/>
          <w:i/>
          <w:iCs/>
          <w:sz w:val="22"/>
          <w:lang w:val="es-MX"/>
        </w:rPr>
        <w:t>3)</w:t>
      </w:r>
      <w:r w:rsidRPr="006A6FF8">
        <w:rPr>
          <w:rFonts w:ascii="Palatino Linotype" w:hAnsi="Palatino Linotype"/>
          <w:i/>
          <w:iCs/>
          <w:sz w:val="22"/>
          <w:lang w:val="es-MX"/>
        </w:rPr>
        <w:t> El nombre del ganador y las razones que lo justifican;</w:t>
      </w:r>
    </w:p>
    <w:p w:rsidR="0023593D" w:rsidRPr="006A6FF8" w:rsidRDefault="0023593D" w:rsidP="005C3AFE">
      <w:pPr>
        <w:pBdr>
          <w:top w:val="nil"/>
          <w:left w:val="nil"/>
          <w:bottom w:val="nil"/>
          <w:right w:val="nil"/>
          <w:between w:val="nil"/>
        </w:pBdr>
        <w:spacing w:before="240" w:after="240" w:line="276" w:lineRule="auto"/>
        <w:ind w:left="567" w:right="900"/>
        <w:jc w:val="both"/>
        <w:rPr>
          <w:rFonts w:ascii="Palatino Linotype" w:hAnsi="Palatino Linotype"/>
          <w:sz w:val="22"/>
          <w:lang w:val="es-MX"/>
        </w:rPr>
      </w:pPr>
      <w:r w:rsidRPr="006A6FF8">
        <w:rPr>
          <w:rFonts w:ascii="Palatino Linotype" w:hAnsi="Palatino Linotype"/>
          <w:b/>
          <w:bCs/>
          <w:i/>
          <w:iCs/>
          <w:sz w:val="22"/>
          <w:lang w:val="es-MX"/>
        </w:rPr>
        <w:t>4) </w:t>
      </w:r>
      <w:r w:rsidRPr="006A6FF8">
        <w:rPr>
          <w:rFonts w:ascii="Palatino Linotype" w:hAnsi="Palatino Linotype"/>
          <w:i/>
          <w:iCs/>
          <w:sz w:val="22"/>
          <w:lang w:val="es-MX"/>
        </w:rPr>
        <w:t>El área solicitante y la responsable de su ejecución;</w:t>
      </w:r>
    </w:p>
    <w:p w:rsidR="0023593D" w:rsidRPr="006A6FF8" w:rsidRDefault="0023593D" w:rsidP="005C3AFE">
      <w:pPr>
        <w:pBdr>
          <w:top w:val="nil"/>
          <w:left w:val="nil"/>
          <w:bottom w:val="nil"/>
          <w:right w:val="nil"/>
          <w:between w:val="nil"/>
        </w:pBdr>
        <w:spacing w:before="240" w:after="240" w:line="276" w:lineRule="auto"/>
        <w:ind w:left="567" w:right="900"/>
        <w:jc w:val="both"/>
        <w:rPr>
          <w:rFonts w:ascii="Palatino Linotype" w:hAnsi="Palatino Linotype"/>
          <w:sz w:val="22"/>
          <w:lang w:val="es-MX"/>
        </w:rPr>
      </w:pPr>
      <w:r w:rsidRPr="006A6FF8">
        <w:rPr>
          <w:rFonts w:ascii="Palatino Linotype" w:hAnsi="Palatino Linotype"/>
          <w:b/>
          <w:bCs/>
          <w:i/>
          <w:iCs/>
          <w:sz w:val="22"/>
          <w:lang w:val="es-MX"/>
        </w:rPr>
        <w:t>5) </w:t>
      </w:r>
      <w:r w:rsidRPr="006A6FF8">
        <w:rPr>
          <w:rFonts w:ascii="Palatino Linotype" w:hAnsi="Palatino Linotype"/>
          <w:i/>
          <w:iCs/>
          <w:sz w:val="22"/>
          <w:lang w:val="es-MX"/>
        </w:rPr>
        <w:t>Las convocatorias e invitaciones emitidas;</w:t>
      </w:r>
    </w:p>
    <w:p w:rsidR="0023593D" w:rsidRPr="006A6FF8" w:rsidRDefault="0023593D" w:rsidP="005C3AFE">
      <w:pPr>
        <w:pBdr>
          <w:top w:val="nil"/>
          <w:left w:val="nil"/>
          <w:bottom w:val="nil"/>
          <w:right w:val="nil"/>
          <w:between w:val="nil"/>
        </w:pBdr>
        <w:spacing w:before="240" w:after="240" w:line="276" w:lineRule="auto"/>
        <w:ind w:left="567"/>
        <w:jc w:val="both"/>
        <w:rPr>
          <w:rFonts w:ascii="Palatino Linotype" w:hAnsi="Palatino Linotype"/>
          <w:sz w:val="22"/>
          <w:lang w:val="es-MX"/>
        </w:rPr>
      </w:pPr>
      <w:r w:rsidRPr="006A6FF8">
        <w:rPr>
          <w:rFonts w:ascii="Palatino Linotype" w:hAnsi="Palatino Linotype"/>
          <w:b/>
          <w:bCs/>
          <w:i/>
          <w:iCs/>
          <w:sz w:val="22"/>
          <w:lang w:val="es-MX"/>
        </w:rPr>
        <w:t>6)</w:t>
      </w:r>
      <w:r w:rsidRPr="006A6FF8">
        <w:rPr>
          <w:rFonts w:ascii="Palatino Linotype" w:hAnsi="Palatino Linotype"/>
          <w:i/>
          <w:iCs/>
          <w:sz w:val="22"/>
          <w:lang w:val="es-MX"/>
        </w:rPr>
        <w:t> Los dictámenes y fallo de adjudicación;</w:t>
      </w:r>
    </w:p>
    <w:p w:rsidR="0023593D" w:rsidRPr="006A6FF8" w:rsidRDefault="0023593D" w:rsidP="005C3AFE">
      <w:pPr>
        <w:pBdr>
          <w:top w:val="nil"/>
          <w:left w:val="nil"/>
          <w:bottom w:val="nil"/>
          <w:right w:val="nil"/>
          <w:between w:val="nil"/>
        </w:pBdr>
        <w:spacing w:before="240" w:after="240" w:line="276" w:lineRule="auto"/>
        <w:ind w:left="567"/>
        <w:jc w:val="both"/>
        <w:rPr>
          <w:rFonts w:ascii="Palatino Linotype" w:hAnsi="Palatino Linotype"/>
          <w:sz w:val="22"/>
          <w:lang w:val="es-MX"/>
        </w:rPr>
      </w:pPr>
      <w:r w:rsidRPr="006A6FF8">
        <w:rPr>
          <w:rFonts w:ascii="Palatino Linotype" w:hAnsi="Palatino Linotype"/>
          <w:b/>
          <w:bCs/>
          <w:i/>
          <w:iCs/>
          <w:sz w:val="22"/>
          <w:u w:val="single"/>
          <w:lang w:val="es-MX"/>
        </w:rPr>
        <w:t>7) El contrato y, en su caso, sus anexos</w:t>
      </w:r>
      <w:r w:rsidRPr="006A6FF8">
        <w:rPr>
          <w:rFonts w:ascii="Palatino Linotype" w:hAnsi="Palatino Linotype"/>
          <w:i/>
          <w:iCs/>
          <w:sz w:val="22"/>
          <w:lang w:val="es-MX"/>
        </w:rPr>
        <w:t>;</w:t>
      </w:r>
    </w:p>
    <w:p w:rsidR="0023593D" w:rsidRPr="006A6FF8" w:rsidRDefault="0023593D" w:rsidP="005C3AFE">
      <w:pPr>
        <w:pBdr>
          <w:top w:val="nil"/>
          <w:left w:val="nil"/>
          <w:bottom w:val="nil"/>
          <w:right w:val="nil"/>
          <w:between w:val="nil"/>
        </w:pBdr>
        <w:spacing w:before="240" w:after="240" w:line="276" w:lineRule="auto"/>
        <w:ind w:left="567" w:right="900"/>
        <w:jc w:val="both"/>
        <w:rPr>
          <w:rFonts w:ascii="Palatino Linotype" w:hAnsi="Palatino Linotype"/>
          <w:sz w:val="22"/>
          <w:szCs w:val="22"/>
          <w:lang w:val="es-MX"/>
        </w:rPr>
      </w:pPr>
      <w:r w:rsidRPr="006A6FF8">
        <w:rPr>
          <w:rFonts w:ascii="Palatino Linotype" w:hAnsi="Palatino Linotype"/>
          <w:b/>
          <w:bCs/>
          <w:i/>
          <w:iCs/>
          <w:sz w:val="22"/>
          <w:szCs w:val="22"/>
          <w:lang w:val="es-MX"/>
        </w:rPr>
        <w:t>8) </w:t>
      </w:r>
      <w:r w:rsidRPr="006A6FF8">
        <w:rPr>
          <w:rFonts w:ascii="Palatino Linotype" w:hAnsi="Palatino Linotype"/>
          <w:i/>
          <w:iCs/>
          <w:sz w:val="22"/>
          <w:szCs w:val="22"/>
          <w:lang w:val="es-MX"/>
        </w:rPr>
        <w:t>Los mecanismos de vigilancia y supervisión, incluyendo en su caso, los estudios de impacto urbano y ambiental, según corresponda;</w:t>
      </w:r>
    </w:p>
    <w:p w:rsidR="0023593D" w:rsidRPr="006A6FF8" w:rsidRDefault="0023593D" w:rsidP="005C3AFE">
      <w:pPr>
        <w:pBdr>
          <w:top w:val="nil"/>
          <w:left w:val="nil"/>
          <w:bottom w:val="nil"/>
          <w:right w:val="nil"/>
          <w:between w:val="nil"/>
        </w:pBdr>
        <w:spacing w:before="240" w:after="240" w:line="276" w:lineRule="auto"/>
        <w:ind w:left="567" w:right="900"/>
        <w:jc w:val="both"/>
        <w:rPr>
          <w:rFonts w:ascii="Palatino Linotype" w:hAnsi="Palatino Linotype"/>
          <w:sz w:val="22"/>
          <w:szCs w:val="22"/>
          <w:lang w:val="es-MX"/>
        </w:rPr>
      </w:pPr>
      <w:r w:rsidRPr="006A6FF8">
        <w:rPr>
          <w:rFonts w:ascii="Palatino Linotype" w:hAnsi="Palatino Linotype"/>
          <w:b/>
          <w:bCs/>
          <w:i/>
          <w:iCs/>
          <w:sz w:val="22"/>
          <w:szCs w:val="22"/>
          <w:lang w:val="es-MX"/>
        </w:rPr>
        <w:t>9) </w:t>
      </w:r>
      <w:r w:rsidRPr="006A6FF8">
        <w:rPr>
          <w:rFonts w:ascii="Palatino Linotype" w:hAnsi="Palatino Linotype"/>
          <w:i/>
          <w:iCs/>
          <w:sz w:val="22"/>
          <w:szCs w:val="22"/>
          <w:lang w:val="es-MX"/>
        </w:rPr>
        <w:t>La partida presupuestal, de conformidad con el clasificador por objeto del gasto, en el caso de ser aplicable;</w:t>
      </w:r>
    </w:p>
    <w:p w:rsidR="0023593D" w:rsidRPr="006A6FF8" w:rsidRDefault="0023593D" w:rsidP="005C3AFE">
      <w:pPr>
        <w:pBdr>
          <w:top w:val="nil"/>
          <w:left w:val="nil"/>
          <w:bottom w:val="nil"/>
          <w:right w:val="nil"/>
          <w:between w:val="nil"/>
        </w:pBdr>
        <w:spacing w:before="240" w:after="240" w:line="276" w:lineRule="auto"/>
        <w:ind w:left="567" w:right="900"/>
        <w:jc w:val="both"/>
        <w:rPr>
          <w:rFonts w:ascii="Palatino Linotype" w:hAnsi="Palatino Linotype"/>
          <w:sz w:val="22"/>
          <w:szCs w:val="22"/>
          <w:lang w:val="es-MX"/>
        </w:rPr>
      </w:pPr>
      <w:r w:rsidRPr="006A6FF8">
        <w:rPr>
          <w:rFonts w:ascii="Palatino Linotype" w:hAnsi="Palatino Linotype"/>
          <w:b/>
          <w:bCs/>
          <w:i/>
          <w:iCs/>
          <w:sz w:val="22"/>
          <w:szCs w:val="22"/>
          <w:lang w:val="es-MX"/>
        </w:rPr>
        <w:t>10) </w:t>
      </w:r>
      <w:r w:rsidRPr="006A6FF8">
        <w:rPr>
          <w:rFonts w:ascii="Palatino Linotype" w:hAnsi="Palatino Linotype"/>
          <w:bCs/>
          <w:i/>
          <w:iCs/>
          <w:sz w:val="22"/>
          <w:szCs w:val="22"/>
          <w:lang w:val="es-MX"/>
        </w:rPr>
        <w:t xml:space="preserve">Origen de los recursos especificando si son federales, estatales o municipales, </w:t>
      </w:r>
      <w:r w:rsidRPr="006A6FF8">
        <w:rPr>
          <w:rFonts w:ascii="Palatino Linotype" w:hAnsi="Palatino Linotype"/>
          <w:i/>
          <w:iCs/>
          <w:sz w:val="22"/>
          <w:szCs w:val="22"/>
          <w:lang w:val="es-MX"/>
        </w:rPr>
        <w:t>así como el tipo de fondo de participación o aportación respectiva;</w:t>
      </w:r>
    </w:p>
    <w:p w:rsidR="0023593D" w:rsidRPr="006A6FF8" w:rsidRDefault="0023593D" w:rsidP="005C3AFE">
      <w:pPr>
        <w:pBdr>
          <w:top w:val="nil"/>
          <w:left w:val="nil"/>
          <w:bottom w:val="nil"/>
          <w:right w:val="nil"/>
          <w:between w:val="nil"/>
        </w:pBdr>
        <w:spacing w:before="240" w:after="240" w:line="276" w:lineRule="auto"/>
        <w:ind w:left="567" w:right="900"/>
        <w:jc w:val="both"/>
        <w:rPr>
          <w:rFonts w:ascii="Palatino Linotype" w:hAnsi="Palatino Linotype"/>
          <w:sz w:val="22"/>
          <w:szCs w:val="22"/>
          <w:lang w:val="es-MX"/>
        </w:rPr>
      </w:pPr>
      <w:r w:rsidRPr="006A6FF8">
        <w:rPr>
          <w:rFonts w:ascii="Palatino Linotype" w:hAnsi="Palatino Linotype"/>
          <w:b/>
          <w:bCs/>
          <w:i/>
          <w:iCs/>
          <w:sz w:val="22"/>
          <w:szCs w:val="22"/>
          <w:lang w:val="es-MX"/>
        </w:rPr>
        <w:t>11) </w:t>
      </w:r>
      <w:r w:rsidRPr="006A6FF8">
        <w:rPr>
          <w:rFonts w:ascii="Palatino Linotype" w:hAnsi="Palatino Linotype"/>
          <w:i/>
          <w:iCs/>
          <w:sz w:val="22"/>
          <w:szCs w:val="22"/>
          <w:lang w:val="es-MX"/>
        </w:rPr>
        <w:t>Los convenios modificatorios que, en su caso, sean firmados, precisando el objeto y la fecha de celebración;</w:t>
      </w:r>
    </w:p>
    <w:p w:rsidR="0023593D" w:rsidRPr="006A6FF8" w:rsidRDefault="0023593D" w:rsidP="005C3AFE">
      <w:pPr>
        <w:pBdr>
          <w:top w:val="nil"/>
          <w:left w:val="nil"/>
          <w:bottom w:val="nil"/>
          <w:right w:val="nil"/>
          <w:between w:val="nil"/>
        </w:pBdr>
        <w:spacing w:before="240" w:after="240" w:line="276" w:lineRule="auto"/>
        <w:ind w:left="567" w:right="900"/>
        <w:jc w:val="both"/>
        <w:rPr>
          <w:rFonts w:ascii="Palatino Linotype" w:hAnsi="Palatino Linotype"/>
          <w:sz w:val="22"/>
          <w:szCs w:val="22"/>
          <w:lang w:val="es-MX"/>
        </w:rPr>
      </w:pPr>
      <w:r w:rsidRPr="006A6FF8">
        <w:rPr>
          <w:rFonts w:ascii="Palatino Linotype" w:hAnsi="Palatino Linotype"/>
          <w:b/>
          <w:bCs/>
          <w:i/>
          <w:iCs/>
          <w:sz w:val="22"/>
          <w:szCs w:val="22"/>
          <w:lang w:val="es-MX"/>
        </w:rPr>
        <w:t>12) </w:t>
      </w:r>
      <w:r w:rsidRPr="006A6FF8">
        <w:rPr>
          <w:rFonts w:ascii="Palatino Linotype" w:hAnsi="Palatino Linotype"/>
          <w:i/>
          <w:iCs/>
          <w:sz w:val="22"/>
          <w:szCs w:val="22"/>
          <w:lang w:val="es-MX"/>
        </w:rPr>
        <w:t>Los informes de avance físico y financiero sobre las obras o servicios contratados;</w:t>
      </w:r>
    </w:p>
    <w:p w:rsidR="0023593D" w:rsidRPr="006A6FF8" w:rsidRDefault="0023593D" w:rsidP="005C3AFE">
      <w:pPr>
        <w:pBdr>
          <w:top w:val="nil"/>
          <w:left w:val="nil"/>
          <w:bottom w:val="nil"/>
          <w:right w:val="nil"/>
          <w:between w:val="nil"/>
        </w:pBdr>
        <w:spacing w:before="240" w:after="240" w:line="276" w:lineRule="auto"/>
        <w:ind w:left="567" w:right="900"/>
        <w:jc w:val="both"/>
        <w:rPr>
          <w:rFonts w:ascii="Palatino Linotype" w:hAnsi="Palatino Linotype"/>
          <w:sz w:val="22"/>
          <w:szCs w:val="22"/>
          <w:lang w:val="es-MX"/>
        </w:rPr>
      </w:pPr>
      <w:r w:rsidRPr="006A6FF8">
        <w:rPr>
          <w:rFonts w:ascii="Palatino Linotype" w:hAnsi="Palatino Linotype"/>
          <w:b/>
          <w:bCs/>
          <w:i/>
          <w:iCs/>
          <w:sz w:val="22"/>
          <w:szCs w:val="22"/>
          <w:lang w:val="es-MX"/>
        </w:rPr>
        <w:lastRenderedPageBreak/>
        <w:t>13) </w:t>
      </w:r>
      <w:r w:rsidRPr="006A6FF8">
        <w:rPr>
          <w:rFonts w:ascii="Palatino Linotype" w:hAnsi="Palatino Linotype"/>
          <w:i/>
          <w:iCs/>
          <w:sz w:val="22"/>
          <w:szCs w:val="22"/>
          <w:lang w:val="es-MX"/>
        </w:rPr>
        <w:t>El convenio de terminación; y</w:t>
      </w:r>
    </w:p>
    <w:p w:rsidR="0023593D" w:rsidRPr="006A6FF8" w:rsidRDefault="0023593D" w:rsidP="005C3AFE">
      <w:pPr>
        <w:pBdr>
          <w:top w:val="nil"/>
          <w:left w:val="nil"/>
          <w:bottom w:val="nil"/>
          <w:right w:val="nil"/>
          <w:between w:val="nil"/>
        </w:pBdr>
        <w:spacing w:before="240" w:after="240" w:line="276" w:lineRule="auto"/>
        <w:ind w:left="567" w:right="900"/>
        <w:jc w:val="both"/>
        <w:rPr>
          <w:rFonts w:ascii="Palatino Linotype" w:hAnsi="Palatino Linotype"/>
          <w:sz w:val="22"/>
          <w:szCs w:val="22"/>
          <w:lang w:val="es-MX"/>
        </w:rPr>
      </w:pPr>
      <w:r w:rsidRPr="006A6FF8">
        <w:rPr>
          <w:rFonts w:ascii="Palatino Linotype" w:hAnsi="Palatino Linotype"/>
          <w:b/>
          <w:bCs/>
          <w:i/>
          <w:iCs/>
          <w:sz w:val="22"/>
          <w:szCs w:val="22"/>
          <w:lang w:val="es-MX"/>
        </w:rPr>
        <w:t>14) </w:t>
      </w:r>
      <w:r w:rsidRPr="006A6FF8">
        <w:rPr>
          <w:rFonts w:ascii="Palatino Linotype" w:hAnsi="Palatino Linotype"/>
          <w:i/>
          <w:iCs/>
          <w:sz w:val="22"/>
          <w:szCs w:val="22"/>
          <w:lang w:val="es-MX"/>
        </w:rPr>
        <w:t>El finiquito.</w:t>
      </w:r>
    </w:p>
    <w:p w:rsidR="0023593D" w:rsidRPr="006A6FF8" w:rsidRDefault="0023593D" w:rsidP="005C3AFE">
      <w:pPr>
        <w:pBdr>
          <w:top w:val="nil"/>
          <w:left w:val="nil"/>
          <w:bottom w:val="nil"/>
          <w:right w:val="nil"/>
          <w:between w:val="nil"/>
        </w:pBdr>
        <w:spacing w:before="240" w:after="240" w:line="276" w:lineRule="auto"/>
        <w:ind w:left="567" w:right="900"/>
        <w:jc w:val="both"/>
        <w:rPr>
          <w:rFonts w:ascii="Palatino Linotype" w:hAnsi="Palatino Linotype"/>
          <w:sz w:val="22"/>
          <w:szCs w:val="22"/>
          <w:lang w:val="es-MX"/>
        </w:rPr>
      </w:pPr>
      <w:r w:rsidRPr="006A6FF8">
        <w:rPr>
          <w:rFonts w:ascii="Palatino Linotype" w:hAnsi="Palatino Linotype"/>
          <w:b/>
          <w:bCs/>
          <w:i/>
          <w:iCs/>
          <w:sz w:val="22"/>
          <w:szCs w:val="22"/>
          <w:lang w:val="es-MX"/>
        </w:rPr>
        <w:t>b) </w:t>
      </w:r>
      <w:r w:rsidRPr="006A6FF8">
        <w:rPr>
          <w:rFonts w:ascii="Palatino Linotype" w:hAnsi="Palatino Linotype"/>
          <w:i/>
          <w:iCs/>
          <w:sz w:val="22"/>
          <w:szCs w:val="22"/>
          <w:lang w:val="es-MX"/>
        </w:rPr>
        <w:t>De las adjudicaciones directas:</w:t>
      </w:r>
    </w:p>
    <w:p w:rsidR="0023593D" w:rsidRPr="006A6FF8" w:rsidRDefault="0023593D" w:rsidP="005C3AFE">
      <w:pPr>
        <w:pBdr>
          <w:top w:val="nil"/>
          <w:left w:val="nil"/>
          <w:bottom w:val="nil"/>
          <w:right w:val="nil"/>
          <w:between w:val="nil"/>
        </w:pBdr>
        <w:spacing w:before="240" w:after="240" w:line="276" w:lineRule="auto"/>
        <w:ind w:left="567" w:right="900"/>
        <w:jc w:val="both"/>
        <w:rPr>
          <w:rFonts w:ascii="Palatino Linotype" w:hAnsi="Palatino Linotype"/>
          <w:sz w:val="22"/>
          <w:szCs w:val="22"/>
          <w:lang w:val="es-MX"/>
        </w:rPr>
      </w:pPr>
      <w:r w:rsidRPr="006A6FF8">
        <w:rPr>
          <w:rFonts w:ascii="Palatino Linotype" w:hAnsi="Palatino Linotype"/>
          <w:b/>
          <w:bCs/>
          <w:i/>
          <w:iCs/>
          <w:sz w:val="22"/>
          <w:szCs w:val="22"/>
          <w:lang w:val="es-MX"/>
        </w:rPr>
        <w:t>1) </w:t>
      </w:r>
      <w:r w:rsidRPr="006A6FF8">
        <w:rPr>
          <w:rFonts w:ascii="Palatino Linotype" w:hAnsi="Palatino Linotype"/>
          <w:i/>
          <w:iCs/>
          <w:sz w:val="22"/>
          <w:szCs w:val="22"/>
          <w:lang w:val="es-MX"/>
        </w:rPr>
        <w:t>La propuesta enviada por el participante;</w:t>
      </w:r>
    </w:p>
    <w:p w:rsidR="0023593D" w:rsidRPr="006A6FF8" w:rsidRDefault="0023593D" w:rsidP="005C3AFE">
      <w:pPr>
        <w:pBdr>
          <w:top w:val="nil"/>
          <w:left w:val="nil"/>
          <w:bottom w:val="nil"/>
          <w:right w:val="nil"/>
          <w:between w:val="nil"/>
        </w:pBdr>
        <w:spacing w:before="240" w:after="240" w:line="276" w:lineRule="auto"/>
        <w:ind w:left="567" w:right="900"/>
        <w:jc w:val="both"/>
        <w:rPr>
          <w:rFonts w:ascii="Palatino Linotype" w:hAnsi="Palatino Linotype"/>
          <w:sz w:val="22"/>
          <w:szCs w:val="22"/>
          <w:lang w:val="es-MX"/>
        </w:rPr>
      </w:pPr>
      <w:r w:rsidRPr="006A6FF8">
        <w:rPr>
          <w:rFonts w:ascii="Palatino Linotype" w:hAnsi="Palatino Linotype"/>
          <w:b/>
          <w:bCs/>
          <w:i/>
          <w:iCs/>
          <w:sz w:val="22"/>
          <w:szCs w:val="22"/>
          <w:lang w:val="es-MX"/>
        </w:rPr>
        <w:t>2) </w:t>
      </w:r>
      <w:r w:rsidRPr="006A6FF8">
        <w:rPr>
          <w:rFonts w:ascii="Palatino Linotype" w:hAnsi="Palatino Linotype"/>
          <w:i/>
          <w:iCs/>
          <w:sz w:val="22"/>
          <w:szCs w:val="22"/>
          <w:lang w:val="es-MX"/>
        </w:rPr>
        <w:t>Los motivos y fundamentos legales aplicados para llevarla a cabo;</w:t>
      </w:r>
    </w:p>
    <w:p w:rsidR="0023593D" w:rsidRPr="006A6FF8" w:rsidRDefault="0023593D" w:rsidP="005C3AFE">
      <w:pPr>
        <w:pBdr>
          <w:top w:val="nil"/>
          <w:left w:val="nil"/>
          <w:bottom w:val="nil"/>
          <w:right w:val="nil"/>
          <w:between w:val="nil"/>
        </w:pBdr>
        <w:spacing w:before="240" w:after="240" w:line="276" w:lineRule="auto"/>
        <w:ind w:left="567" w:right="900"/>
        <w:jc w:val="both"/>
        <w:rPr>
          <w:rFonts w:ascii="Palatino Linotype" w:hAnsi="Palatino Linotype"/>
          <w:sz w:val="22"/>
          <w:szCs w:val="22"/>
          <w:lang w:val="es-MX"/>
        </w:rPr>
      </w:pPr>
      <w:r w:rsidRPr="006A6FF8">
        <w:rPr>
          <w:rFonts w:ascii="Palatino Linotype" w:hAnsi="Palatino Linotype"/>
          <w:b/>
          <w:bCs/>
          <w:i/>
          <w:iCs/>
          <w:sz w:val="22"/>
          <w:szCs w:val="22"/>
          <w:lang w:val="es-MX"/>
        </w:rPr>
        <w:t>3) </w:t>
      </w:r>
      <w:r w:rsidRPr="006A6FF8">
        <w:rPr>
          <w:rFonts w:ascii="Palatino Linotype" w:hAnsi="Palatino Linotype"/>
          <w:i/>
          <w:iCs/>
          <w:sz w:val="22"/>
          <w:szCs w:val="22"/>
          <w:lang w:val="es-MX"/>
        </w:rPr>
        <w:t>La autorización del ejercicio de la opción;</w:t>
      </w:r>
    </w:p>
    <w:p w:rsidR="0023593D" w:rsidRPr="006A6FF8" w:rsidRDefault="0023593D" w:rsidP="005C3AFE">
      <w:pPr>
        <w:pBdr>
          <w:top w:val="nil"/>
          <w:left w:val="nil"/>
          <w:bottom w:val="nil"/>
          <w:right w:val="nil"/>
          <w:between w:val="nil"/>
        </w:pBdr>
        <w:spacing w:before="240" w:after="240" w:line="276" w:lineRule="auto"/>
        <w:ind w:left="567" w:right="900"/>
        <w:jc w:val="both"/>
        <w:rPr>
          <w:rFonts w:ascii="Palatino Linotype" w:hAnsi="Palatino Linotype"/>
          <w:sz w:val="22"/>
          <w:szCs w:val="22"/>
          <w:lang w:val="es-MX"/>
        </w:rPr>
      </w:pPr>
      <w:r w:rsidRPr="006A6FF8">
        <w:rPr>
          <w:rFonts w:ascii="Palatino Linotype" w:hAnsi="Palatino Linotype"/>
          <w:b/>
          <w:bCs/>
          <w:i/>
          <w:iCs/>
          <w:sz w:val="22"/>
          <w:szCs w:val="22"/>
          <w:lang w:val="es-MX"/>
        </w:rPr>
        <w:t>4)</w:t>
      </w:r>
      <w:r w:rsidRPr="006A6FF8">
        <w:rPr>
          <w:rFonts w:ascii="Palatino Linotype" w:hAnsi="Palatino Linotype"/>
          <w:i/>
          <w:iCs/>
          <w:sz w:val="22"/>
          <w:szCs w:val="22"/>
          <w:lang w:val="es-MX"/>
        </w:rPr>
        <w:t> En su caso, las cotizaciones consideradas, especificando los nombres de los proveedores y sus montos;</w:t>
      </w:r>
    </w:p>
    <w:p w:rsidR="0023593D" w:rsidRPr="006A6FF8" w:rsidRDefault="0023593D" w:rsidP="005C3AFE">
      <w:pPr>
        <w:pBdr>
          <w:top w:val="nil"/>
          <w:left w:val="nil"/>
          <w:bottom w:val="nil"/>
          <w:right w:val="nil"/>
          <w:between w:val="nil"/>
        </w:pBdr>
        <w:spacing w:before="240" w:after="240" w:line="276" w:lineRule="auto"/>
        <w:ind w:left="567" w:right="900"/>
        <w:jc w:val="both"/>
        <w:rPr>
          <w:rFonts w:ascii="Palatino Linotype" w:hAnsi="Palatino Linotype"/>
          <w:sz w:val="22"/>
          <w:szCs w:val="22"/>
          <w:lang w:val="es-MX"/>
        </w:rPr>
      </w:pPr>
      <w:r w:rsidRPr="006A6FF8">
        <w:rPr>
          <w:rFonts w:ascii="Palatino Linotype" w:hAnsi="Palatino Linotype"/>
          <w:b/>
          <w:bCs/>
          <w:i/>
          <w:iCs/>
          <w:sz w:val="22"/>
          <w:szCs w:val="22"/>
          <w:lang w:val="es-MX"/>
        </w:rPr>
        <w:t>5) </w:t>
      </w:r>
      <w:r w:rsidRPr="006A6FF8">
        <w:rPr>
          <w:rFonts w:ascii="Palatino Linotype" w:hAnsi="Palatino Linotype"/>
          <w:i/>
          <w:iCs/>
          <w:sz w:val="22"/>
          <w:szCs w:val="22"/>
          <w:lang w:val="es-MX"/>
        </w:rPr>
        <w:t>El nombre de la persona física o jurídica colectiva adjudicada;</w:t>
      </w:r>
    </w:p>
    <w:p w:rsidR="0023593D" w:rsidRPr="006A6FF8" w:rsidRDefault="0023593D" w:rsidP="005C3AFE">
      <w:pPr>
        <w:pBdr>
          <w:top w:val="nil"/>
          <w:left w:val="nil"/>
          <w:bottom w:val="nil"/>
          <w:right w:val="nil"/>
          <w:between w:val="nil"/>
        </w:pBdr>
        <w:spacing w:before="240" w:after="240" w:line="276" w:lineRule="auto"/>
        <w:ind w:left="567" w:right="900"/>
        <w:jc w:val="both"/>
        <w:rPr>
          <w:rFonts w:ascii="Palatino Linotype" w:hAnsi="Palatino Linotype"/>
          <w:sz w:val="22"/>
          <w:szCs w:val="22"/>
          <w:lang w:val="es-MX"/>
        </w:rPr>
      </w:pPr>
      <w:r w:rsidRPr="006A6FF8">
        <w:rPr>
          <w:rFonts w:ascii="Palatino Linotype" w:hAnsi="Palatino Linotype"/>
          <w:b/>
          <w:bCs/>
          <w:i/>
          <w:iCs/>
          <w:sz w:val="22"/>
          <w:szCs w:val="22"/>
          <w:lang w:val="es-MX"/>
        </w:rPr>
        <w:t>6) </w:t>
      </w:r>
      <w:r w:rsidRPr="006A6FF8">
        <w:rPr>
          <w:rFonts w:ascii="Palatino Linotype" w:hAnsi="Palatino Linotype"/>
          <w:i/>
          <w:iCs/>
          <w:sz w:val="22"/>
          <w:szCs w:val="22"/>
          <w:lang w:val="es-MX"/>
        </w:rPr>
        <w:t>La unidad administrativa solicitante y la responsable de su ejecución;</w:t>
      </w:r>
    </w:p>
    <w:p w:rsidR="005C3AFE" w:rsidRPr="006A6FF8" w:rsidRDefault="0023593D" w:rsidP="005C3AFE">
      <w:pPr>
        <w:pBdr>
          <w:top w:val="nil"/>
          <w:left w:val="nil"/>
          <w:bottom w:val="nil"/>
          <w:right w:val="nil"/>
          <w:between w:val="nil"/>
        </w:pBdr>
        <w:spacing w:before="240" w:after="240" w:line="276" w:lineRule="auto"/>
        <w:ind w:left="567" w:right="900"/>
        <w:jc w:val="both"/>
        <w:rPr>
          <w:rFonts w:ascii="Palatino Linotype" w:hAnsi="Palatino Linotype"/>
          <w:sz w:val="22"/>
          <w:szCs w:val="22"/>
          <w:lang w:val="es-MX"/>
        </w:rPr>
      </w:pPr>
      <w:r w:rsidRPr="006A6FF8">
        <w:rPr>
          <w:rFonts w:ascii="Palatino Linotype" w:hAnsi="Palatino Linotype"/>
          <w:b/>
          <w:bCs/>
          <w:i/>
          <w:iCs/>
          <w:sz w:val="22"/>
          <w:szCs w:val="22"/>
          <w:lang w:val="es-MX"/>
        </w:rPr>
        <w:t>7)</w:t>
      </w:r>
      <w:r w:rsidRPr="006A6FF8">
        <w:rPr>
          <w:rFonts w:ascii="Palatino Linotype" w:hAnsi="Palatino Linotype"/>
          <w:i/>
          <w:iCs/>
          <w:sz w:val="22"/>
          <w:szCs w:val="22"/>
          <w:lang w:val="es-MX"/>
        </w:rPr>
        <w:t> El número, fecha, el monto del contrato y el plazo de entrega o de ejecución de los servicios u obra;</w:t>
      </w:r>
    </w:p>
    <w:p w:rsidR="0023593D" w:rsidRPr="006A6FF8" w:rsidRDefault="0023593D" w:rsidP="005C3AFE">
      <w:pPr>
        <w:pBdr>
          <w:top w:val="nil"/>
          <w:left w:val="nil"/>
          <w:bottom w:val="nil"/>
          <w:right w:val="nil"/>
          <w:between w:val="nil"/>
        </w:pBdr>
        <w:spacing w:before="240" w:after="240" w:line="276" w:lineRule="auto"/>
        <w:ind w:left="567" w:right="900"/>
        <w:jc w:val="both"/>
        <w:rPr>
          <w:rFonts w:ascii="Palatino Linotype" w:hAnsi="Palatino Linotype"/>
          <w:sz w:val="20"/>
          <w:szCs w:val="22"/>
          <w:lang w:val="es-MX"/>
        </w:rPr>
      </w:pPr>
      <w:r w:rsidRPr="006A6FF8">
        <w:rPr>
          <w:b/>
          <w:bCs/>
          <w:i/>
          <w:iCs/>
          <w:lang w:val="es-MX"/>
        </w:rPr>
        <w:t>8</w:t>
      </w:r>
      <w:r w:rsidRPr="006A6FF8">
        <w:rPr>
          <w:rFonts w:ascii="Palatino Linotype" w:hAnsi="Palatino Linotype"/>
          <w:b/>
          <w:bCs/>
          <w:i/>
          <w:iCs/>
          <w:sz w:val="22"/>
          <w:lang w:val="es-MX"/>
        </w:rPr>
        <w:t>) </w:t>
      </w:r>
      <w:r w:rsidRPr="006A6FF8">
        <w:rPr>
          <w:rFonts w:ascii="Palatino Linotype" w:hAnsi="Palatino Linotype"/>
          <w:i/>
          <w:iCs/>
          <w:sz w:val="22"/>
          <w:lang w:val="es-MX"/>
        </w:rPr>
        <w:t>Los mecanismos de vigilancia y supervisión, incluyendo, en su caso, los estudios de impacto urbano y ambiental, según corresponda;</w:t>
      </w:r>
    </w:p>
    <w:p w:rsidR="0023593D" w:rsidRPr="006A6FF8" w:rsidRDefault="0023593D" w:rsidP="005C3AFE">
      <w:pPr>
        <w:pBdr>
          <w:top w:val="nil"/>
          <w:left w:val="nil"/>
          <w:bottom w:val="nil"/>
          <w:right w:val="nil"/>
          <w:between w:val="nil"/>
        </w:pBdr>
        <w:spacing w:before="240" w:after="240" w:line="276" w:lineRule="auto"/>
        <w:ind w:left="567"/>
        <w:jc w:val="both"/>
        <w:rPr>
          <w:rFonts w:ascii="Palatino Linotype" w:hAnsi="Palatino Linotype"/>
          <w:sz w:val="22"/>
          <w:lang w:val="es-MX"/>
        </w:rPr>
      </w:pPr>
      <w:r w:rsidRPr="006A6FF8">
        <w:rPr>
          <w:rFonts w:ascii="Palatino Linotype" w:hAnsi="Palatino Linotype"/>
          <w:b/>
          <w:bCs/>
          <w:i/>
          <w:iCs/>
          <w:sz w:val="22"/>
          <w:lang w:val="es-MX"/>
        </w:rPr>
        <w:t>9) </w:t>
      </w:r>
      <w:r w:rsidRPr="006A6FF8">
        <w:rPr>
          <w:rFonts w:ascii="Palatino Linotype" w:hAnsi="Palatino Linotype"/>
          <w:i/>
          <w:iCs/>
          <w:sz w:val="22"/>
          <w:lang w:val="es-MX"/>
        </w:rPr>
        <w:t>Los informes de avance sobre las obras o servicios contratados;</w:t>
      </w:r>
    </w:p>
    <w:p w:rsidR="0023593D" w:rsidRPr="006A6FF8" w:rsidRDefault="0023593D" w:rsidP="005C3AFE">
      <w:pPr>
        <w:pBdr>
          <w:top w:val="nil"/>
          <w:left w:val="nil"/>
          <w:bottom w:val="nil"/>
          <w:right w:val="nil"/>
          <w:between w:val="nil"/>
        </w:pBdr>
        <w:spacing w:before="240" w:after="240" w:line="276" w:lineRule="auto"/>
        <w:ind w:left="567"/>
        <w:jc w:val="both"/>
        <w:rPr>
          <w:rFonts w:ascii="Palatino Linotype" w:hAnsi="Palatino Linotype"/>
          <w:sz w:val="22"/>
          <w:lang w:val="es-MX"/>
        </w:rPr>
      </w:pPr>
      <w:r w:rsidRPr="006A6FF8">
        <w:rPr>
          <w:rFonts w:ascii="Palatino Linotype" w:hAnsi="Palatino Linotype"/>
          <w:b/>
          <w:bCs/>
          <w:i/>
          <w:iCs/>
          <w:sz w:val="22"/>
          <w:lang w:val="es-MX"/>
        </w:rPr>
        <w:t>10) </w:t>
      </w:r>
      <w:r w:rsidRPr="006A6FF8">
        <w:rPr>
          <w:rFonts w:ascii="Palatino Linotype" w:hAnsi="Palatino Linotype"/>
          <w:i/>
          <w:iCs/>
          <w:sz w:val="22"/>
          <w:lang w:val="es-MX"/>
        </w:rPr>
        <w:t>El convenio de terminación; y</w:t>
      </w:r>
    </w:p>
    <w:p w:rsidR="0023593D" w:rsidRPr="006A6FF8" w:rsidRDefault="0023593D" w:rsidP="005C3AFE">
      <w:pPr>
        <w:pBdr>
          <w:top w:val="nil"/>
          <w:left w:val="nil"/>
          <w:bottom w:val="nil"/>
          <w:right w:val="nil"/>
          <w:between w:val="nil"/>
        </w:pBdr>
        <w:spacing w:before="240" w:after="240" w:line="276" w:lineRule="auto"/>
        <w:ind w:left="567"/>
        <w:jc w:val="both"/>
        <w:rPr>
          <w:rFonts w:ascii="Palatino Linotype" w:hAnsi="Palatino Linotype"/>
          <w:sz w:val="22"/>
          <w:lang w:val="es-MX"/>
        </w:rPr>
      </w:pPr>
      <w:r w:rsidRPr="006A6FF8">
        <w:rPr>
          <w:rFonts w:ascii="Palatino Linotype" w:hAnsi="Palatino Linotype"/>
          <w:b/>
          <w:bCs/>
          <w:i/>
          <w:iCs/>
          <w:sz w:val="22"/>
          <w:lang w:val="es-MX"/>
        </w:rPr>
        <w:t>11) </w:t>
      </w:r>
      <w:r w:rsidRPr="006A6FF8">
        <w:rPr>
          <w:rFonts w:ascii="Palatino Linotype" w:hAnsi="Palatino Linotype"/>
          <w:i/>
          <w:iCs/>
          <w:sz w:val="22"/>
          <w:lang w:val="es-MX"/>
        </w:rPr>
        <w:t>El finiquito.</w:t>
      </w:r>
      <w:r w:rsidRPr="006A6FF8">
        <w:rPr>
          <w:rFonts w:ascii="Palatino Linotype" w:hAnsi="Palatino Linotype"/>
          <w:b/>
          <w:bCs/>
          <w:i/>
          <w:iCs/>
          <w:sz w:val="22"/>
          <w:lang w:val="es-MX"/>
        </w:rPr>
        <w:t>”</w:t>
      </w:r>
    </w:p>
    <w:p w:rsidR="0023593D" w:rsidRPr="006A6FF8" w:rsidRDefault="0023593D" w:rsidP="0023593D">
      <w:pPr>
        <w:pBdr>
          <w:top w:val="nil"/>
          <w:left w:val="nil"/>
          <w:bottom w:val="nil"/>
          <w:right w:val="nil"/>
          <w:between w:val="nil"/>
        </w:pBdr>
        <w:spacing w:before="240" w:after="240" w:line="360" w:lineRule="auto"/>
        <w:jc w:val="both"/>
        <w:rPr>
          <w:rFonts w:ascii="Palatino Linotype" w:hAnsi="Palatino Linotype"/>
          <w:lang w:val="es-MX"/>
        </w:rPr>
      </w:pPr>
      <w:r w:rsidRPr="006A6FF8">
        <w:rPr>
          <w:rFonts w:ascii="Palatino Linotype" w:hAnsi="Palatino Linotype"/>
          <w:lang w:val="es-MX"/>
        </w:rPr>
        <w:t xml:space="preserve">De lo anterior, se desprende que los Sujetos Obligados están obligados a poner a disposición del público de manera constante y actualizada, de forma sencilla, precisa y entendible, en los respectivos medios electrónicos, la información referente a los procesos y resultados sobre procedimientos de adjudicación directa, invitación </w:t>
      </w:r>
      <w:r w:rsidRPr="006A6FF8">
        <w:rPr>
          <w:rFonts w:ascii="Palatino Linotype" w:hAnsi="Palatino Linotype"/>
          <w:lang w:val="es-MX"/>
        </w:rPr>
        <w:lastRenderedPageBreak/>
        <w:t xml:space="preserve">restringida y licitación de cualquier naturaleza, en el que se debe contener dentro de la versión pública del expediente respectivo los contratos celebrados, el cual debe contener entre otros requisitos, nombre de los proveedores y sus montos, así </w:t>
      </w:r>
      <w:r w:rsidR="005C3AFE" w:rsidRPr="006A6FF8">
        <w:rPr>
          <w:rFonts w:ascii="Palatino Linotype" w:hAnsi="Palatino Linotype"/>
          <w:lang w:val="es-MX"/>
        </w:rPr>
        <w:t>como el origen de los recursos.</w:t>
      </w:r>
    </w:p>
    <w:p w:rsidR="0023593D" w:rsidRPr="006A6FF8" w:rsidRDefault="0023593D" w:rsidP="0023593D">
      <w:pPr>
        <w:pBdr>
          <w:top w:val="nil"/>
          <w:left w:val="nil"/>
          <w:bottom w:val="nil"/>
          <w:right w:val="nil"/>
          <w:between w:val="nil"/>
        </w:pBdr>
        <w:spacing w:before="240" w:after="240" w:line="360" w:lineRule="auto"/>
        <w:jc w:val="both"/>
        <w:rPr>
          <w:rFonts w:ascii="Palatino Linotype" w:hAnsi="Palatino Linotype"/>
          <w:lang w:val="es-MX"/>
        </w:rPr>
      </w:pPr>
      <w:r w:rsidRPr="006A6FF8">
        <w:rPr>
          <w:rFonts w:ascii="Palatino Linotype" w:hAnsi="Palatino Linotype"/>
          <w:lang w:val="es-MX"/>
        </w:rPr>
        <w:t>De la interpretación armónica de los preceptos transcritos, se advierte que el</w:t>
      </w:r>
      <w:r w:rsidRPr="006A6FF8">
        <w:rPr>
          <w:rFonts w:ascii="Palatino Linotype" w:hAnsi="Palatino Linotype"/>
          <w:b/>
          <w:bCs/>
          <w:lang w:val="es-MX"/>
        </w:rPr>
        <w:t xml:space="preserve"> </w:t>
      </w:r>
      <w:r w:rsidRPr="006A6FF8">
        <w:rPr>
          <w:rFonts w:ascii="Palatino Linotype" w:hAnsi="Palatino Linotype"/>
          <w:lang w:val="es-MX"/>
        </w:rPr>
        <w:t xml:space="preserve">Sujeto Obligado, cuenta con la competencia para regular los actos relativos a la planeación, programación, </w:t>
      </w:r>
      <w:proofErr w:type="spellStart"/>
      <w:r w:rsidRPr="006A6FF8">
        <w:rPr>
          <w:rFonts w:ascii="Palatino Linotype" w:hAnsi="Palatino Linotype"/>
          <w:lang w:val="es-MX"/>
        </w:rPr>
        <w:t>presupuestación</w:t>
      </w:r>
      <w:proofErr w:type="spellEnd"/>
      <w:r w:rsidRPr="006A6FF8">
        <w:rPr>
          <w:rFonts w:ascii="Palatino Linotype" w:hAnsi="Palatino Linotype"/>
          <w:lang w:val="es-MX"/>
        </w:rPr>
        <w:t xml:space="preserve">, ejecución y </w:t>
      </w:r>
      <w:r w:rsidRPr="006A6FF8">
        <w:rPr>
          <w:rFonts w:ascii="Palatino Linotype" w:hAnsi="Palatino Linotype"/>
          <w:b/>
          <w:bCs/>
          <w:u w:val="single"/>
          <w:lang w:val="es-MX"/>
        </w:rPr>
        <w:t>control de la adquisición y arrendamiento de bienes, así como la contratación de servicios de cualquier naturaleza</w:t>
      </w:r>
      <w:r w:rsidRPr="006A6FF8">
        <w:rPr>
          <w:rFonts w:ascii="Palatino Linotype" w:hAnsi="Palatino Linotype"/>
          <w:lang w:val="es-MX"/>
        </w:rPr>
        <w:t>; para tales efectos, se auxilia de los comités de arrendamientos y de adquisiciones de inmuebles y enajenaciones, quienes, entre otras funciones, emiten los dictámenes correspondientes a la adjudicación, debiendo levantar para cada procedimiento a</w:t>
      </w:r>
      <w:r w:rsidR="005C3AFE" w:rsidRPr="006A6FF8">
        <w:rPr>
          <w:rFonts w:ascii="Palatino Linotype" w:hAnsi="Palatino Linotype"/>
          <w:lang w:val="es-MX"/>
        </w:rPr>
        <w:t>dquisitivo el acta respectiva. </w:t>
      </w:r>
    </w:p>
    <w:p w:rsidR="0023593D" w:rsidRPr="006A6FF8" w:rsidRDefault="0023593D" w:rsidP="005C3AFE">
      <w:pPr>
        <w:pBdr>
          <w:top w:val="nil"/>
          <w:left w:val="nil"/>
          <w:bottom w:val="nil"/>
          <w:right w:val="nil"/>
          <w:between w:val="nil"/>
        </w:pBdr>
        <w:spacing w:before="240" w:after="240" w:line="360" w:lineRule="auto"/>
        <w:jc w:val="both"/>
        <w:rPr>
          <w:rFonts w:ascii="Palatino Linotype" w:hAnsi="Palatino Linotype"/>
          <w:lang w:val="es-MX"/>
        </w:rPr>
      </w:pPr>
      <w:r w:rsidRPr="006A6FF8">
        <w:rPr>
          <w:rFonts w:ascii="Palatino Linotype" w:hAnsi="Palatino Linotype"/>
          <w:lang w:val="es-MX"/>
        </w:rPr>
        <w:t>De lo anteriormente citado, se advierte que derivado de los procedimientos de adquisiciones de bienes y servicios, se generan</w:t>
      </w:r>
      <w:r w:rsidR="005C3AFE" w:rsidRPr="006A6FF8">
        <w:rPr>
          <w:rFonts w:ascii="Palatino Linotype" w:hAnsi="Palatino Linotype"/>
          <w:lang w:val="es-MX"/>
        </w:rPr>
        <w:t xml:space="preserve"> diversos soportes documentales, sin embargo, los que revisten nuestro interés, son los contratos, mismos que son susceptibles de publicación, por lo tanto, es procedente su entrega.</w:t>
      </w:r>
    </w:p>
    <w:p w:rsidR="00C63CBC" w:rsidRPr="006A6FF8" w:rsidRDefault="005C3AFE" w:rsidP="00C63CBC">
      <w:pPr>
        <w:pBdr>
          <w:top w:val="nil"/>
          <w:left w:val="nil"/>
          <w:bottom w:val="nil"/>
          <w:right w:val="nil"/>
          <w:between w:val="nil"/>
        </w:pBdr>
        <w:spacing w:before="240" w:after="240" w:line="360" w:lineRule="auto"/>
        <w:jc w:val="both"/>
        <w:rPr>
          <w:rFonts w:ascii="Palatino Linotype" w:hAnsi="Palatino Linotype"/>
          <w:lang w:val="es-MX"/>
        </w:rPr>
      </w:pPr>
      <w:r w:rsidRPr="006A6FF8">
        <w:rPr>
          <w:rFonts w:ascii="Palatino Linotype" w:hAnsi="Palatino Linotype"/>
          <w:lang w:val="es-MX"/>
        </w:rPr>
        <w:t xml:space="preserve">En otro orden de ideas, por cuanto hace a las facturas, </w:t>
      </w:r>
      <w:r w:rsidR="00C63CBC" w:rsidRPr="006A6FF8">
        <w:rPr>
          <w:rFonts w:ascii="Palatino Linotype" w:hAnsi="Palatino Linotype"/>
          <w:lang w:val="es-MX"/>
        </w:rPr>
        <w:t xml:space="preserve">es necesario traer a colación lo que establece el Glosario de Términos Hacendarios que emite el Instituto Hacendario del Estado de México, el cual define como </w:t>
      </w:r>
      <w:r w:rsidR="00C63CBC" w:rsidRPr="006A6FF8">
        <w:rPr>
          <w:rFonts w:ascii="Palatino Linotype" w:hAnsi="Palatino Linotype"/>
          <w:i/>
          <w:iCs/>
          <w:lang w:val="es-MX"/>
        </w:rPr>
        <w:t>“factura” al</w:t>
      </w:r>
      <w:r w:rsidR="00C63CBC" w:rsidRPr="006A6FF8">
        <w:rPr>
          <w:rFonts w:ascii="Palatino Linotype" w:hAnsi="Palatino Linotype"/>
          <w:b/>
          <w:bCs/>
          <w:i/>
          <w:iCs/>
          <w:lang w:val="es-MX"/>
        </w:rPr>
        <w:t xml:space="preserve"> documento fiscal que emite la persona física o moral para comprobar la venta o adquisición de un bien y/o servicio.</w:t>
      </w:r>
    </w:p>
    <w:p w:rsidR="00C63CBC" w:rsidRPr="006A6FF8" w:rsidRDefault="00C63CBC" w:rsidP="00C63CBC">
      <w:pPr>
        <w:pBdr>
          <w:top w:val="nil"/>
          <w:left w:val="nil"/>
          <w:bottom w:val="nil"/>
          <w:right w:val="nil"/>
          <w:between w:val="nil"/>
        </w:pBdr>
        <w:spacing w:before="240" w:after="240" w:line="360" w:lineRule="auto"/>
        <w:jc w:val="both"/>
        <w:rPr>
          <w:rFonts w:ascii="Palatino Linotype" w:hAnsi="Palatino Linotype"/>
          <w:lang w:val="es-MX"/>
        </w:rPr>
      </w:pPr>
      <w:r w:rsidRPr="006A6FF8">
        <w:rPr>
          <w:rFonts w:ascii="Palatino Linotype" w:hAnsi="Palatino Linotype"/>
          <w:lang w:val="es-MX"/>
        </w:rPr>
        <w:lastRenderedPageBreak/>
        <w:t>En ese sentido, es de señalar que cuando las facturas amparan las erogaciones que se realizan con erario público tienen naturaleza pública, pues constituyen un medio idóneo de evidencia del gasto realizado con recursos públicos. </w:t>
      </w:r>
    </w:p>
    <w:p w:rsidR="00C63CBC" w:rsidRPr="006A6FF8" w:rsidRDefault="00C63CBC" w:rsidP="00C63CBC">
      <w:pPr>
        <w:pBdr>
          <w:top w:val="nil"/>
          <w:left w:val="nil"/>
          <w:bottom w:val="nil"/>
          <w:right w:val="nil"/>
          <w:between w:val="nil"/>
        </w:pBdr>
        <w:spacing w:before="240" w:after="240" w:line="360" w:lineRule="auto"/>
        <w:jc w:val="both"/>
        <w:rPr>
          <w:rFonts w:ascii="Palatino Linotype" w:hAnsi="Palatino Linotype"/>
          <w:lang w:val="es-MX"/>
        </w:rPr>
      </w:pPr>
      <w:r w:rsidRPr="006A6FF8">
        <w:rPr>
          <w:rFonts w:ascii="Palatino Linotype" w:hAnsi="Palatino Linotype"/>
          <w:lang w:val="es-MX"/>
        </w:rPr>
        <w:t>En tal contexto, es necesario referir que los artículos 342, 343, 344 y 345 del Código Financiero del Estado de México y Municipios, disponen el sistema y las políticas que deben seguirse para llevar el registro contable y presupuestal de las operaciones financieras, en los siguientes términos:</w:t>
      </w:r>
    </w:p>
    <w:p w:rsidR="00C63CBC" w:rsidRPr="006A6FF8" w:rsidRDefault="00C63CBC" w:rsidP="00C63CBC">
      <w:pPr>
        <w:pBdr>
          <w:top w:val="nil"/>
          <w:left w:val="nil"/>
          <w:bottom w:val="nil"/>
          <w:right w:val="nil"/>
          <w:between w:val="nil"/>
        </w:pBdr>
        <w:spacing w:before="240" w:after="240" w:line="276" w:lineRule="auto"/>
        <w:ind w:left="567" w:right="900"/>
        <w:jc w:val="both"/>
        <w:rPr>
          <w:rFonts w:ascii="Palatino Linotype" w:hAnsi="Palatino Linotype"/>
          <w:sz w:val="22"/>
          <w:lang w:val="es-MX"/>
        </w:rPr>
      </w:pPr>
      <w:r w:rsidRPr="006A6FF8">
        <w:rPr>
          <w:rFonts w:ascii="Palatino Linotype" w:hAnsi="Palatino Linotype"/>
          <w:i/>
          <w:iCs/>
          <w:sz w:val="22"/>
          <w:lang w:val="es-MX"/>
        </w:rPr>
        <w:t>“</w:t>
      </w:r>
      <w:r w:rsidRPr="006A6FF8">
        <w:rPr>
          <w:rFonts w:ascii="Palatino Linotype" w:hAnsi="Palatino Linotype"/>
          <w:b/>
          <w:bCs/>
          <w:i/>
          <w:iCs/>
          <w:sz w:val="22"/>
          <w:lang w:val="es-MX"/>
        </w:rPr>
        <w:t>Artículo 342.-</w:t>
      </w:r>
      <w:r w:rsidRPr="006A6FF8">
        <w:rPr>
          <w:rFonts w:ascii="Palatino Linotype" w:hAnsi="Palatino Linotype"/>
          <w:i/>
          <w:iCs/>
          <w:sz w:val="22"/>
          <w:lang w:val="es-MX"/>
        </w:rPr>
        <w:t xml:space="preserve">  El registro contable del efecto patrimonial y presupuestal de las operaciones financieras, se realizará conforme al sistema y a las disposiciones que se aprueben en materia de planeación, programación, </w:t>
      </w:r>
      <w:proofErr w:type="spellStart"/>
      <w:r w:rsidRPr="006A6FF8">
        <w:rPr>
          <w:rFonts w:ascii="Palatino Linotype" w:hAnsi="Palatino Linotype"/>
          <w:i/>
          <w:iCs/>
          <w:sz w:val="22"/>
          <w:lang w:val="es-MX"/>
        </w:rPr>
        <w:t>presupuestación</w:t>
      </w:r>
      <w:proofErr w:type="spellEnd"/>
      <w:r w:rsidRPr="006A6FF8">
        <w:rPr>
          <w:rFonts w:ascii="Palatino Linotype" w:hAnsi="Palatino Linotype"/>
          <w:i/>
          <w:iCs/>
          <w:sz w:val="22"/>
          <w:lang w:val="es-MX"/>
        </w:rPr>
        <w:t>, evaluación y contabilidad gubernamental.</w:t>
      </w:r>
    </w:p>
    <w:p w:rsidR="00C63CBC" w:rsidRPr="006A6FF8" w:rsidRDefault="00C63CBC" w:rsidP="00C63CBC">
      <w:pPr>
        <w:pBdr>
          <w:top w:val="nil"/>
          <w:left w:val="nil"/>
          <w:bottom w:val="nil"/>
          <w:right w:val="nil"/>
          <w:between w:val="nil"/>
        </w:pBdr>
        <w:spacing w:before="240" w:after="240" w:line="276" w:lineRule="auto"/>
        <w:ind w:left="567" w:right="900"/>
        <w:jc w:val="both"/>
        <w:rPr>
          <w:rFonts w:ascii="Palatino Linotype" w:hAnsi="Palatino Linotype"/>
          <w:sz w:val="22"/>
          <w:lang w:val="es-MX"/>
        </w:rPr>
      </w:pPr>
      <w:r w:rsidRPr="006A6FF8">
        <w:rPr>
          <w:rFonts w:ascii="Palatino Linotype" w:hAnsi="Palatino Linotype"/>
          <w:i/>
          <w:iCs/>
          <w:sz w:val="22"/>
          <w:lang w:val="es-MX"/>
        </w:rPr>
        <w:t xml:space="preserve">En el caso de los municipios, el registro a que se refiere el párrafo anterior, se realizará conforme al sistema y a las disposiciones en materia de planeación, programación, </w:t>
      </w:r>
      <w:proofErr w:type="spellStart"/>
      <w:r w:rsidRPr="006A6FF8">
        <w:rPr>
          <w:rFonts w:ascii="Palatino Linotype" w:hAnsi="Palatino Linotype"/>
          <w:i/>
          <w:iCs/>
          <w:sz w:val="22"/>
          <w:lang w:val="es-MX"/>
        </w:rPr>
        <w:t>presupuestación</w:t>
      </w:r>
      <w:proofErr w:type="spellEnd"/>
      <w:r w:rsidRPr="006A6FF8">
        <w:rPr>
          <w:rFonts w:ascii="Palatino Linotype" w:hAnsi="Palatino Linotype"/>
          <w:i/>
          <w:iCs/>
          <w:sz w:val="22"/>
          <w:lang w:val="es-MX"/>
        </w:rPr>
        <w:t>, evaluación y contabilidad gubernamental, que se aprueben en el marco del Sistema de Coordinación Hacendaria del Estado de México.</w:t>
      </w:r>
    </w:p>
    <w:p w:rsidR="00C63CBC" w:rsidRPr="006A6FF8" w:rsidRDefault="00C63CBC" w:rsidP="00C63CBC">
      <w:pPr>
        <w:pBdr>
          <w:top w:val="nil"/>
          <w:left w:val="nil"/>
          <w:bottom w:val="nil"/>
          <w:right w:val="nil"/>
          <w:between w:val="nil"/>
        </w:pBdr>
        <w:spacing w:before="240" w:after="240" w:line="276" w:lineRule="auto"/>
        <w:ind w:left="567" w:right="900"/>
        <w:jc w:val="both"/>
        <w:rPr>
          <w:rFonts w:ascii="Palatino Linotype" w:hAnsi="Palatino Linotype"/>
          <w:sz w:val="22"/>
          <w:lang w:val="es-MX"/>
        </w:rPr>
      </w:pPr>
      <w:r w:rsidRPr="006A6FF8">
        <w:rPr>
          <w:rFonts w:ascii="Palatino Linotype" w:hAnsi="Palatino Linotype"/>
          <w:b/>
          <w:bCs/>
          <w:i/>
          <w:iCs/>
          <w:sz w:val="22"/>
          <w:lang w:val="es-MX"/>
        </w:rPr>
        <w:t>Artículo 343.-</w:t>
      </w:r>
      <w:r w:rsidRPr="006A6FF8">
        <w:rPr>
          <w:rFonts w:ascii="Palatino Linotype" w:hAnsi="Palatino Linotype"/>
          <w:i/>
          <w:iCs/>
          <w:sz w:val="22"/>
          <w:lang w:val="es-MX"/>
        </w:rPr>
        <w:t xml:space="preserve"> -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rsidR="00C63CBC" w:rsidRPr="006A6FF8" w:rsidRDefault="00C63CBC" w:rsidP="00C63CBC">
      <w:pPr>
        <w:pBdr>
          <w:top w:val="nil"/>
          <w:left w:val="nil"/>
          <w:bottom w:val="nil"/>
          <w:right w:val="nil"/>
          <w:between w:val="nil"/>
        </w:pBdr>
        <w:spacing w:before="240" w:after="240" w:line="276" w:lineRule="auto"/>
        <w:ind w:left="567" w:right="900"/>
        <w:jc w:val="both"/>
        <w:rPr>
          <w:rFonts w:ascii="Palatino Linotype" w:hAnsi="Palatino Linotype"/>
          <w:sz w:val="22"/>
          <w:lang w:val="es-MX"/>
        </w:rPr>
      </w:pPr>
      <w:r w:rsidRPr="006A6FF8">
        <w:rPr>
          <w:rFonts w:ascii="Palatino Linotype" w:hAnsi="Palatino Linotype"/>
          <w:i/>
          <w:iCs/>
          <w:sz w:val="22"/>
          <w:lang w:val="es-MX"/>
        </w:rPr>
        <w:t>El sistema de contabilidad sobre base acumulativa total, se sustentará en las normas emitidas por el Consejo Nacional de Armonización Contable.</w:t>
      </w:r>
    </w:p>
    <w:p w:rsidR="00C63CBC" w:rsidRPr="006A6FF8" w:rsidRDefault="00C63CBC" w:rsidP="00C63CBC">
      <w:pPr>
        <w:pBdr>
          <w:top w:val="nil"/>
          <w:left w:val="nil"/>
          <w:bottom w:val="nil"/>
          <w:right w:val="nil"/>
          <w:between w:val="nil"/>
        </w:pBdr>
        <w:spacing w:before="240" w:after="240" w:line="276" w:lineRule="auto"/>
        <w:ind w:left="567" w:right="900"/>
        <w:jc w:val="both"/>
        <w:rPr>
          <w:rFonts w:ascii="Palatino Linotype" w:hAnsi="Palatino Linotype"/>
          <w:sz w:val="22"/>
          <w:lang w:val="es-MX"/>
        </w:rPr>
      </w:pPr>
      <w:r w:rsidRPr="006A6FF8">
        <w:rPr>
          <w:rFonts w:ascii="Palatino Linotype" w:hAnsi="Palatino Linotype"/>
          <w:b/>
          <w:bCs/>
          <w:i/>
          <w:iCs/>
          <w:sz w:val="22"/>
          <w:lang w:val="es-MX"/>
        </w:rPr>
        <w:t xml:space="preserve">Artículo 344.- Los Entes Públicos, a través de cualquiera de sus unidades administrativas, de acuerdo con su naturaleza jurídica y según corresponda, </w:t>
      </w:r>
      <w:r w:rsidRPr="006A6FF8">
        <w:rPr>
          <w:rFonts w:ascii="Palatino Linotype" w:hAnsi="Palatino Linotype"/>
          <w:b/>
          <w:bCs/>
          <w:i/>
          <w:iCs/>
          <w:sz w:val="22"/>
          <w:u w:val="single"/>
          <w:lang w:val="es-MX"/>
        </w:rPr>
        <w:t xml:space="preserve">registrarán contablemente el efecto patrimonial y presupuestal de las operaciones financieras que realicen, en el momento en que ocurran, con base </w:t>
      </w:r>
      <w:r w:rsidRPr="006A6FF8">
        <w:rPr>
          <w:rFonts w:ascii="Palatino Linotype" w:hAnsi="Palatino Linotype"/>
          <w:b/>
          <w:bCs/>
          <w:i/>
          <w:iCs/>
          <w:sz w:val="22"/>
          <w:u w:val="single"/>
          <w:lang w:val="es-MX"/>
        </w:rPr>
        <w:lastRenderedPageBreak/>
        <w:t>en el sistema y políticas de registro establecidas, en el caso de los Municipios, se hará por la Tesorería</w:t>
      </w:r>
      <w:r w:rsidRPr="006A6FF8">
        <w:rPr>
          <w:rFonts w:ascii="Palatino Linotype" w:hAnsi="Palatino Linotype"/>
          <w:b/>
          <w:bCs/>
          <w:i/>
          <w:iCs/>
          <w:sz w:val="22"/>
          <w:lang w:val="es-MX"/>
        </w:rPr>
        <w:t>.</w:t>
      </w:r>
    </w:p>
    <w:p w:rsidR="00C63CBC" w:rsidRPr="006A6FF8" w:rsidRDefault="00C63CBC" w:rsidP="00C63CBC">
      <w:pPr>
        <w:pBdr>
          <w:top w:val="nil"/>
          <w:left w:val="nil"/>
          <w:bottom w:val="nil"/>
          <w:right w:val="nil"/>
          <w:between w:val="nil"/>
        </w:pBdr>
        <w:spacing w:before="240" w:after="240" w:line="276" w:lineRule="auto"/>
        <w:ind w:left="567" w:right="900"/>
        <w:jc w:val="both"/>
        <w:rPr>
          <w:rFonts w:ascii="Palatino Linotype" w:hAnsi="Palatino Linotype"/>
          <w:sz w:val="22"/>
          <w:lang w:val="es-MX"/>
        </w:rPr>
      </w:pPr>
      <w:r w:rsidRPr="006A6FF8">
        <w:rPr>
          <w:rFonts w:ascii="Palatino Linotype" w:hAnsi="Palatino Linotype"/>
          <w:b/>
          <w:bCs/>
          <w:i/>
          <w:iCs/>
          <w:sz w:val="22"/>
          <w:lang w:val="es-MX"/>
        </w:rPr>
        <w:t xml:space="preserve">Todo registro contable y presupuestal deberá estar soportado con los documentos comprobatorios originales o en medios electrónicos, los que deberán permanecer en custodia y conservación de los Entes Públicos a través de las unidades administrativas que ejercieron el gasto y a disposición de los Órganos de Fiscalización locales y federales, </w:t>
      </w:r>
      <w:r w:rsidRPr="006A6FF8">
        <w:rPr>
          <w:rFonts w:ascii="Palatino Linotype" w:hAnsi="Palatino Linotype"/>
          <w:i/>
          <w:iCs/>
          <w:sz w:val="22"/>
          <w:lang w:val="es-MX"/>
        </w:rPr>
        <w:t>según corresponda, así como de los órganos internos de control, por un término de cinco años, contados a partir del ejercicio presupuestal siguiente al que corresponda,</w:t>
      </w:r>
      <w:r w:rsidRPr="006A6FF8">
        <w:rPr>
          <w:rFonts w:ascii="Palatino Linotype" w:hAnsi="Palatino Linotype"/>
          <w:b/>
          <w:bCs/>
          <w:i/>
          <w:iCs/>
          <w:sz w:val="22"/>
          <w:lang w:val="es-MX"/>
        </w:rPr>
        <w:t xml:space="preserve"> en el caso de los Municipios, dicha obligación corresponderá a la Tesorería.</w:t>
      </w:r>
    </w:p>
    <w:p w:rsidR="00C63CBC" w:rsidRPr="006A6FF8" w:rsidRDefault="00C63CBC" w:rsidP="00C63CBC">
      <w:pPr>
        <w:pBdr>
          <w:top w:val="nil"/>
          <w:left w:val="nil"/>
          <w:bottom w:val="nil"/>
          <w:right w:val="nil"/>
          <w:between w:val="nil"/>
        </w:pBdr>
        <w:spacing w:before="240" w:after="240" w:line="276" w:lineRule="auto"/>
        <w:ind w:left="567" w:right="900"/>
        <w:jc w:val="both"/>
        <w:rPr>
          <w:rFonts w:ascii="Palatino Linotype" w:hAnsi="Palatino Linotype"/>
          <w:sz w:val="22"/>
          <w:lang w:val="es-MX"/>
        </w:rPr>
      </w:pPr>
      <w:r w:rsidRPr="006A6FF8">
        <w:rPr>
          <w:rFonts w:ascii="Palatino Linotype" w:hAnsi="Palatino Linotype"/>
          <w:i/>
          <w:iCs/>
          <w:sz w:val="22"/>
          <w:lang w:val="es-MX"/>
        </w:rPr>
        <w:t>Tratándose de documentos de carácter histórico, se estará a lo dispuesto por la legislación de la materia.</w:t>
      </w:r>
    </w:p>
    <w:p w:rsidR="00C63CBC" w:rsidRPr="006A6FF8" w:rsidRDefault="00C63CBC" w:rsidP="00C63CBC">
      <w:pPr>
        <w:pBdr>
          <w:top w:val="nil"/>
          <w:left w:val="nil"/>
          <w:bottom w:val="nil"/>
          <w:right w:val="nil"/>
          <w:between w:val="nil"/>
        </w:pBdr>
        <w:spacing w:before="240" w:after="240" w:line="276" w:lineRule="auto"/>
        <w:ind w:left="567" w:right="900"/>
        <w:jc w:val="both"/>
        <w:rPr>
          <w:rFonts w:ascii="Palatino Linotype" w:hAnsi="Palatino Linotype"/>
          <w:sz w:val="22"/>
          <w:lang w:val="es-MX"/>
        </w:rPr>
      </w:pPr>
      <w:r w:rsidRPr="006A6FF8">
        <w:rPr>
          <w:rFonts w:ascii="Palatino Linotype" w:hAnsi="Palatino Linotype"/>
          <w:i/>
          <w:iCs/>
          <w:sz w:val="22"/>
          <w:lang w:val="es-MX"/>
        </w:rPr>
        <w:t>…</w:t>
      </w:r>
    </w:p>
    <w:p w:rsidR="00C63CBC" w:rsidRPr="006A6FF8" w:rsidRDefault="00C63CBC" w:rsidP="00C63CBC">
      <w:pPr>
        <w:pBdr>
          <w:top w:val="nil"/>
          <w:left w:val="nil"/>
          <w:bottom w:val="nil"/>
          <w:right w:val="nil"/>
          <w:between w:val="nil"/>
        </w:pBdr>
        <w:spacing w:before="240" w:after="240" w:line="276" w:lineRule="auto"/>
        <w:ind w:left="567" w:right="900"/>
        <w:jc w:val="both"/>
        <w:rPr>
          <w:rFonts w:ascii="Palatino Linotype" w:hAnsi="Palatino Linotype"/>
          <w:sz w:val="22"/>
          <w:lang w:val="es-MX"/>
        </w:rPr>
      </w:pPr>
      <w:r w:rsidRPr="006A6FF8">
        <w:rPr>
          <w:rFonts w:ascii="Palatino Linotype" w:hAnsi="Palatino Linotype"/>
          <w:b/>
          <w:bCs/>
          <w:i/>
          <w:iCs/>
          <w:sz w:val="22"/>
          <w:lang w:val="es-MX"/>
        </w:rPr>
        <w:t>Artículo 345.-</w:t>
      </w:r>
      <w:r w:rsidRPr="006A6FF8">
        <w:rPr>
          <w:rFonts w:ascii="Palatino Linotype" w:hAnsi="Palatino Linotype"/>
          <w:i/>
          <w:iCs/>
          <w:sz w:val="22"/>
          <w:lang w:val="es-MX"/>
        </w:rPr>
        <w:t xml:space="preserve"> </w:t>
      </w:r>
      <w:r w:rsidRPr="006A6FF8">
        <w:rPr>
          <w:rFonts w:ascii="Palatino Linotype" w:hAnsi="Palatino Linotype"/>
          <w:b/>
          <w:bCs/>
          <w:i/>
          <w:iCs/>
          <w:sz w:val="22"/>
          <w:lang w:val="es-MX"/>
        </w:rPr>
        <w:t xml:space="preserve">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Tratándose de los comprobantes fiscales digitales, estos deberán estar agregados en forma electrónica a cada póliza de </w:t>
      </w:r>
      <w:r w:rsidRPr="006A6FF8">
        <w:rPr>
          <w:rFonts w:ascii="Palatino Linotype" w:hAnsi="Palatino Linotype"/>
          <w:i/>
          <w:iCs/>
          <w:sz w:val="22"/>
          <w:lang w:val="es-MX"/>
        </w:rPr>
        <w:t>registro contable.</w:t>
      </w:r>
    </w:p>
    <w:p w:rsidR="00C63CBC" w:rsidRPr="006A6FF8" w:rsidRDefault="00C63CBC" w:rsidP="00C63CBC">
      <w:pPr>
        <w:pBdr>
          <w:top w:val="nil"/>
          <w:left w:val="nil"/>
          <w:bottom w:val="nil"/>
          <w:right w:val="nil"/>
          <w:between w:val="nil"/>
        </w:pBdr>
        <w:spacing w:before="240" w:after="240" w:line="276" w:lineRule="auto"/>
        <w:ind w:left="567" w:right="900"/>
        <w:jc w:val="both"/>
        <w:rPr>
          <w:rFonts w:ascii="Palatino Linotype" w:hAnsi="Palatino Linotype"/>
          <w:sz w:val="22"/>
          <w:lang w:val="es-MX"/>
        </w:rPr>
      </w:pPr>
      <w:r w:rsidRPr="006A6FF8">
        <w:rPr>
          <w:rFonts w:ascii="Palatino Linotype" w:hAnsi="Palatino Linotype"/>
          <w:i/>
          <w:iCs/>
          <w:sz w:val="22"/>
          <w:lang w:val="es-MX"/>
        </w:rPr>
        <w:t>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deberán estar agregados en forma electrónica a cada póliza de registro contable.</w:t>
      </w:r>
    </w:p>
    <w:p w:rsidR="00C63CBC" w:rsidRPr="006A6FF8" w:rsidRDefault="00C63CBC" w:rsidP="00C63CBC">
      <w:pPr>
        <w:pBdr>
          <w:top w:val="nil"/>
          <w:left w:val="nil"/>
          <w:bottom w:val="nil"/>
          <w:right w:val="nil"/>
          <w:between w:val="nil"/>
        </w:pBdr>
        <w:spacing w:before="240" w:after="240" w:line="276" w:lineRule="auto"/>
        <w:ind w:left="567" w:right="900"/>
        <w:jc w:val="both"/>
        <w:rPr>
          <w:rFonts w:ascii="Palatino Linotype" w:hAnsi="Palatino Linotype"/>
          <w:sz w:val="22"/>
          <w:lang w:val="es-MX"/>
        </w:rPr>
      </w:pPr>
      <w:r w:rsidRPr="006A6FF8">
        <w:rPr>
          <w:rFonts w:ascii="Palatino Linotype" w:hAnsi="Palatino Linotype"/>
          <w:i/>
          <w:iCs/>
          <w:sz w:val="22"/>
          <w:lang w:val="es-MX"/>
        </w:rPr>
        <w:t>El plazo señalado en este artículo empezará a contar a partir de la publicación en el Periódico Oficial, del decreto correspondiente</w:t>
      </w:r>
      <w:r w:rsidRPr="006A6FF8">
        <w:rPr>
          <w:rFonts w:ascii="Palatino Linotype" w:hAnsi="Palatino Linotype"/>
          <w:b/>
          <w:bCs/>
          <w:i/>
          <w:iCs/>
          <w:sz w:val="22"/>
          <w:lang w:val="es-MX"/>
        </w:rPr>
        <w:t xml:space="preserve"> </w:t>
      </w:r>
      <w:r w:rsidRPr="006A6FF8">
        <w:rPr>
          <w:rFonts w:ascii="Palatino Linotype" w:hAnsi="Palatino Linotype"/>
          <w:i/>
          <w:iCs/>
          <w:sz w:val="22"/>
          <w:lang w:val="es-MX"/>
        </w:rPr>
        <w:t>“(Énfasis añadido)</w:t>
      </w:r>
    </w:p>
    <w:p w:rsidR="00C63CBC" w:rsidRPr="006A6FF8" w:rsidRDefault="00C63CBC" w:rsidP="00C63CBC">
      <w:pPr>
        <w:pBdr>
          <w:top w:val="nil"/>
          <w:left w:val="nil"/>
          <w:bottom w:val="nil"/>
          <w:right w:val="nil"/>
          <w:between w:val="nil"/>
        </w:pBdr>
        <w:spacing w:before="240" w:after="240" w:line="360" w:lineRule="auto"/>
        <w:jc w:val="both"/>
        <w:rPr>
          <w:rFonts w:ascii="Palatino Linotype" w:hAnsi="Palatino Linotype"/>
          <w:lang w:val="es-MX"/>
        </w:rPr>
      </w:pPr>
      <w:r w:rsidRPr="006A6FF8">
        <w:rPr>
          <w:rFonts w:ascii="Palatino Linotype" w:hAnsi="Palatino Linotype"/>
          <w:lang w:val="es-MX"/>
        </w:rPr>
        <w:lastRenderedPageBreak/>
        <w:t xml:space="preserve">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w:t>
      </w:r>
      <w:proofErr w:type="spellStart"/>
      <w:r w:rsidRPr="006A6FF8">
        <w:rPr>
          <w:rFonts w:ascii="Palatino Linotype" w:hAnsi="Palatino Linotype"/>
          <w:lang w:val="es-MX"/>
        </w:rPr>
        <w:t>presupuestación</w:t>
      </w:r>
      <w:proofErr w:type="spellEnd"/>
      <w:r w:rsidRPr="006A6FF8">
        <w:rPr>
          <w:rFonts w:ascii="Palatino Linotype" w:hAnsi="Palatino Linotype"/>
          <w:lang w:val="es-MX"/>
        </w:rPr>
        <w:t>, evaluación y contabilidad gubernamental.</w:t>
      </w:r>
    </w:p>
    <w:p w:rsidR="00C63CBC" w:rsidRPr="006A6FF8" w:rsidRDefault="00C63CBC" w:rsidP="00C63CBC">
      <w:pPr>
        <w:pBdr>
          <w:top w:val="nil"/>
          <w:left w:val="nil"/>
          <w:bottom w:val="nil"/>
          <w:right w:val="nil"/>
          <w:between w:val="nil"/>
        </w:pBdr>
        <w:spacing w:before="240" w:after="240" w:line="360" w:lineRule="auto"/>
        <w:jc w:val="both"/>
        <w:rPr>
          <w:rFonts w:ascii="Palatino Linotype" w:hAnsi="Palatino Linotype"/>
          <w:lang w:val="es-MX"/>
        </w:rPr>
      </w:pPr>
      <w:r w:rsidRPr="006A6FF8">
        <w:rPr>
          <w:rFonts w:ascii="Palatino Linotype" w:hAnsi="Palatino Linotype"/>
          <w:lang w:val="es-MX"/>
        </w:rPr>
        <w:t xml:space="preserve">Al respecto, si bien es cierto que el Código Financiero del Estado de México y Municipios establece la obligación de los organismos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w:t>
      </w:r>
      <w:proofErr w:type="spellStart"/>
      <w:r w:rsidRPr="006A6FF8">
        <w:rPr>
          <w:rFonts w:ascii="Palatino Linotype" w:hAnsi="Palatino Linotype"/>
          <w:lang w:val="es-MX"/>
        </w:rPr>
        <w:t>Presupuestación</w:t>
      </w:r>
      <w:proofErr w:type="spellEnd"/>
      <w:r w:rsidRPr="006A6FF8">
        <w:rPr>
          <w:rFonts w:ascii="Palatino Linotype" w:hAnsi="Palatino Linotype"/>
          <w:lang w:val="es-MX"/>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rsidR="00C63CBC" w:rsidRPr="006A6FF8" w:rsidRDefault="00C63CBC" w:rsidP="00C63CBC">
      <w:pPr>
        <w:pBdr>
          <w:top w:val="nil"/>
          <w:left w:val="nil"/>
          <w:bottom w:val="nil"/>
          <w:right w:val="nil"/>
          <w:between w:val="nil"/>
        </w:pBdr>
        <w:spacing w:before="240" w:after="240" w:line="276" w:lineRule="auto"/>
        <w:ind w:left="567" w:right="900"/>
        <w:jc w:val="both"/>
        <w:rPr>
          <w:rFonts w:ascii="Palatino Linotype" w:hAnsi="Palatino Linotype"/>
          <w:sz w:val="22"/>
          <w:lang w:val="es-MX"/>
        </w:rPr>
      </w:pPr>
      <w:r w:rsidRPr="006A6FF8">
        <w:rPr>
          <w:rFonts w:ascii="Palatino Linotype" w:hAnsi="Palatino Linotype"/>
          <w:b/>
          <w:bCs/>
          <w:i/>
          <w:iCs/>
          <w:sz w:val="22"/>
          <w:lang w:val="es-MX"/>
        </w:rPr>
        <w:t>“REGISTRO CONTABLE </w:t>
      </w:r>
    </w:p>
    <w:p w:rsidR="00C63CBC" w:rsidRPr="006A6FF8" w:rsidRDefault="00C63CBC" w:rsidP="00C63CBC">
      <w:pPr>
        <w:pBdr>
          <w:top w:val="nil"/>
          <w:left w:val="nil"/>
          <w:bottom w:val="nil"/>
          <w:right w:val="nil"/>
          <w:between w:val="nil"/>
        </w:pBdr>
        <w:spacing w:before="240" w:after="240" w:line="276" w:lineRule="auto"/>
        <w:ind w:left="567" w:right="900"/>
        <w:jc w:val="both"/>
        <w:rPr>
          <w:rFonts w:ascii="Palatino Linotype" w:hAnsi="Palatino Linotype"/>
          <w:i/>
          <w:iCs/>
          <w:sz w:val="22"/>
          <w:lang w:val="es-MX"/>
        </w:rPr>
      </w:pPr>
      <w:r w:rsidRPr="006A6FF8">
        <w:rPr>
          <w:rFonts w:ascii="Palatino Linotype" w:hAnsi="Palatino Linotype"/>
          <w:i/>
          <w:iCs/>
          <w:sz w:val="22"/>
          <w:lang w:val="es-MX"/>
        </w:rPr>
        <w:t xml:space="preserve">Asiento que se realiza en los libros de contabilidad de las actividades relacionadas con el ingreso y egresos de un ente económico.” </w:t>
      </w:r>
    </w:p>
    <w:p w:rsidR="00C63CBC" w:rsidRPr="006A6FF8" w:rsidRDefault="00C63CBC" w:rsidP="00C63CBC">
      <w:pPr>
        <w:pBdr>
          <w:top w:val="nil"/>
          <w:left w:val="nil"/>
          <w:bottom w:val="nil"/>
          <w:right w:val="nil"/>
          <w:between w:val="nil"/>
        </w:pBdr>
        <w:spacing w:before="240" w:after="240" w:line="276" w:lineRule="auto"/>
        <w:ind w:left="567" w:right="900"/>
        <w:jc w:val="both"/>
        <w:rPr>
          <w:rFonts w:ascii="Palatino Linotype" w:hAnsi="Palatino Linotype"/>
          <w:sz w:val="22"/>
          <w:lang w:val="es-MX"/>
        </w:rPr>
      </w:pPr>
      <w:r w:rsidRPr="006A6FF8">
        <w:rPr>
          <w:rFonts w:ascii="Palatino Linotype" w:hAnsi="Palatino Linotype"/>
          <w:b/>
          <w:bCs/>
          <w:i/>
          <w:iCs/>
          <w:sz w:val="22"/>
          <w:lang w:val="es-MX"/>
        </w:rPr>
        <w:t>“REGISTRO PRESUPUESTARIO</w:t>
      </w:r>
    </w:p>
    <w:p w:rsidR="00C63CBC" w:rsidRPr="006A6FF8" w:rsidRDefault="00C63CBC" w:rsidP="00C63CBC">
      <w:pPr>
        <w:pBdr>
          <w:top w:val="nil"/>
          <w:left w:val="nil"/>
          <w:bottom w:val="nil"/>
          <w:right w:val="nil"/>
          <w:between w:val="nil"/>
        </w:pBdr>
        <w:spacing w:before="240" w:after="240" w:line="276" w:lineRule="auto"/>
        <w:ind w:left="567" w:right="900"/>
        <w:jc w:val="both"/>
        <w:rPr>
          <w:rFonts w:ascii="Palatino Linotype" w:hAnsi="Palatino Linotype"/>
          <w:sz w:val="22"/>
          <w:lang w:val="es-MX"/>
        </w:rPr>
      </w:pPr>
      <w:r w:rsidRPr="006A6FF8">
        <w:rPr>
          <w:rFonts w:ascii="Palatino Linotype" w:hAnsi="Palatino Linotype"/>
          <w:i/>
          <w:iCs/>
          <w:sz w:val="22"/>
          <w:lang w:val="es-MX"/>
        </w:rPr>
        <w:lastRenderedPageBreak/>
        <w:t xml:space="preserve">Asiento contable de las erogaciones realizadas por las dependencias y entidades con relación a la asignación, modificación y ejercicio de los recursos presupuestarios que se les hayan autorizado.” </w:t>
      </w:r>
    </w:p>
    <w:p w:rsidR="00C63CBC" w:rsidRPr="006A6FF8" w:rsidRDefault="00C63CBC" w:rsidP="00C63CBC">
      <w:pPr>
        <w:pBdr>
          <w:top w:val="nil"/>
          <w:left w:val="nil"/>
          <w:bottom w:val="nil"/>
          <w:right w:val="nil"/>
          <w:between w:val="nil"/>
        </w:pBdr>
        <w:spacing w:before="240" w:after="240" w:line="360" w:lineRule="auto"/>
        <w:jc w:val="both"/>
        <w:rPr>
          <w:rFonts w:ascii="Palatino Linotype" w:hAnsi="Palatino Linotype"/>
          <w:lang w:val="es-MX"/>
        </w:rPr>
      </w:pPr>
      <w:r w:rsidRPr="006A6FF8">
        <w:rPr>
          <w:rFonts w:ascii="Palatino Linotype" w:hAnsi="Palatino Linotype"/>
          <w:lang w:val="es-MX"/>
        </w:rPr>
        <w:t>Por otra parte, se establece que el sistema de contabilidad sobre base acumulativa total se sustentará en los principios de contabilidad gubernamental.</w:t>
      </w:r>
    </w:p>
    <w:p w:rsidR="00C63CBC" w:rsidRPr="006A6FF8" w:rsidRDefault="00C63CBC" w:rsidP="00C63CBC">
      <w:pPr>
        <w:pBdr>
          <w:top w:val="nil"/>
          <w:left w:val="nil"/>
          <w:bottom w:val="nil"/>
          <w:right w:val="nil"/>
          <w:between w:val="nil"/>
        </w:pBdr>
        <w:spacing w:before="240" w:after="240" w:line="360" w:lineRule="auto"/>
        <w:jc w:val="both"/>
        <w:rPr>
          <w:rFonts w:ascii="Palatino Linotype" w:hAnsi="Palatino Linotype"/>
          <w:lang w:val="es-MX"/>
        </w:rPr>
      </w:pPr>
      <w:r w:rsidRPr="006A6FF8">
        <w:rPr>
          <w:rFonts w:ascii="Palatino Linotype" w:hAnsi="Palatino Linotype"/>
          <w:lang w:val="es-MX"/>
        </w:rPr>
        <w:t xml:space="preserve">Correlativo a lo anterior, es preciso referir una definición de </w:t>
      </w:r>
      <w:r w:rsidRPr="006A6FF8">
        <w:rPr>
          <w:rFonts w:ascii="Palatino Linotype" w:hAnsi="Palatino Linotype"/>
          <w:i/>
          <w:iCs/>
          <w:lang w:val="es-MX"/>
        </w:rPr>
        <w:t>póliza contable</w:t>
      </w:r>
      <w:r w:rsidRPr="006A6FF8">
        <w:rPr>
          <w:rFonts w:ascii="Palatino Linotype" w:hAnsi="Palatino Linotype"/>
          <w:lang w:val="es-MX"/>
        </w:rPr>
        <w:t>, la cual, primeramente, no está definida en el Código Financiero del Estado de México y Municipios; no obstante, los ya mencionados Glosarios la definen como: </w:t>
      </w:r>
    </w:p>
    <w:p w:rsidR="00C63CBC" w:rsidRPr="006A6FF8" w:rsidRDefault="00C63CBC" w:rsidP="00C63CBC">
      <w:pPr>
        <w:pBdr>
          <w:top w:val="nil"/>
          <w:left w:val="nil"/>
          <w:bottom w:val="nil"/>
          <w:right w:val="nil"/>
          <w:between w:val="nil"/>
        </w:pBdr>
        <w:spacing w:before="240" w:after="240" w:line="276" w:lineRule="auto"/>
        <w:ind w:left="567" w:right="900"/>
        <w:jc w:val="both"/>
        <w:rPr>
          <w:rFonts w:ascii="Palatino Linotype" w:hAnsi="Palatino Linotype"/>
          <w:sz w:val="22"/>
          <w:lang w:val="es-MX"/>
        </w:rPr>
      </w:pPr>
      <w:r w:rsidRPr="006A6FF8">
        <w:rPr>
          <w:rFonts w:ascii="Palatino Linotype" w:hAnsi="Palatino Linotype"/>
          <w:i/>
          <w:iCs/>
          <w:sz w:val="22"/>
          <w:lang w:val="es-MX"/>
        </w:rPr>
        <w:t>“</w:t>
      </w:r>
      <w:r w:rsidRPr="006A6FF8">
        <w:rPr>
          <w:rFonts w:ascii="Palatino Linotype" w:hAnsi="Palatino Linotype"/>
          <w:b/>
          <w:bCs/>
          <w:i/>
          <w:iCs/>
          <w:sz w:val="22"/>
          <w:lang w:val="es-MX"/>
        </w:rPr>
        <w:t>PÓLIZA CONTABLE</w:t>
      </w:r>
    </w:p>
    <w:p w:rsidR="00C63CBC" w:rsidRPr="006A6FF8" w:rsidRDefault="00C63CBC" w:rsidP="00C63CBC">
      <w:pPr>
        <w:pBdr>
          <w:top w:val="nil"/>
          <w:left w:val="nil"/>
          <w:bottom w:val="nil"/>
          <w:right w:val="nil"/>
          <w:between w:val="nil"/>
        </w:pBdr>
        <w:spacing w:before="240" w:after="240" w:line="276" w:lineRule="auto"/>
        <w:ind w:left="567" w:right="900"/>
        <w:jc w:val="both"/>
        <w:rPr>
          <w:rFonts w:ascii="Palatino Linotype" w:hAnsi="Palatino Linotype"/>
          <w:sz w:val="22"/>
          <w:lang w:val="es-MX"/>
        </w:rPr>
      </w:pPr>
      <w:r w:rsidRPr="006A6FF8">
        <w:rPr>
          <w:rFonts w:ascii="Palatino Linotype" w:hAnsi="Palatino Linotype"/>
          <w:i/>
          <w:iCs/>
          <w:sz w:val="22"/>
          <w:lang w:val="es-MX"/>
        </w:rPr>
        <w:t xml:space="preserve">Documento en el cual se asientan en forma individual todas y cada una de las operaciones desarrolladas por una institución, así como la información necesaria para la identificación de dichas operaciones.” </w:t>
      </w:r>
    </w:p>
    <w:p w:rsidR="00C63CBC" w:rsidRPr="006A6FF8" w:rsidRDefault="00C63CBC" w:rsidP="00C63CBC">
      <w:pPr>
        <w:pBdr>
          <w:top w:val="nil"/>
          <w:left w:val="nil"/>
          <w:bottom w:val="nil"/>
          <w:right w:val="nil"/>
          <w:between w:val="nil"/>
        </w:pBdr>
        <w:spacing w:before="240" w:after="240" w:line="360" w:lineRule="auto"/>
        <w:jc w:val="both"/>
        <w:rPr>
          <w:rFonts w:ascii="Palatino Linotype" w:hAnsi="Palatino Linotype"/>
          <w:lang w:val="es-MX"/>
        </w:rPr>
      </w:pPr>
      <w:r w:rsidRPr="006A6FF8">
        <w:rPr>
          <w:rFonts w:ascii="Palatino Linotype" w:hAnsi="Palatino Linotype"/>
          <w:lang w:val="es-MX"/>
        </w:rPr>
        <w:t xml:space="preserve">Así, se advierte que la </w:t>
      </w:r>
      <w:r w:rsidRPr="006A6FF8">
        <w:rPr>
          <w:rFonts w:ascii="Palatino Linotype" w:hAnsi="Palatino Linotype"/>
          <w:i/>
          <w:iCs/>
          <w:lang w:val="es-MX"/>
        </w:rPr>
        <w:t>póliza contable</w:t>
      </w:r>
      <w:r w:rsidRPr="006A6FF8">
        <w:rPr>
          <w:rFonts w:ascii="Palatino Linotype" w:hAnsi="Palatino Linotype"/>
          <w:lang w:val="es-MX"/>
        </w:rPr>
        <w:t xml:space="preserve"> constituye un registro contable y presupuestal con el que cuentan los </w:t>
      </w:r>
      <w:r w:rsidR="009D12E4" w:rsidRPr="006A6FF8">
        <w:rPr>
          <w:rFonts w:ascii="Palatino Linotype" w:hAnsi="Palatino Linotype"/>
          <w:lang w:val="es-MX"/>
        </w:rPr>
        <w:t xml:space="preserve">entes públicos </w:t>
      </w:r>
      <w:r w:rsidRPr="006A6FF8">
        <w:rPr>
          <w:rFonts w:ascii="Palatino Linotype" w:hAnsi="Palatino Linotype"/>
          <w:lang w:val="es-MX"/>
        </w:rPr>
        <w:t>para el registro de sus operaciones relacionadas con sus ingresos y egresos y se anexan los documentos o comprobantes que justifiquen las anotaciones y cantidades en ellas registradas, lo que permite la identificación plena de dichas operaciones.</w:t>
      </w:r>
    </w:p>
    <w:p w:rsidR="00C63CBC" w:rsidRPr="006A6FF8" w:rsidRDefault="00C63CBC" w:rsidP="00C63CBC">
      <w:pPr>
        <w:pBdr>
          <w:top w:val="nil"/>
          <w:left w:val="nil"/>
          <w:bottom w:val="nil"/>
          <w:right w:val="nil"/>
          <w:between w:val="nil"/>
        </w:pBdr>
        <w:spacing w:before="240" w:after="240" w:line="360" w:lineRule="auto"/>
        <w:jc w:val="both"/>
        <w:rPr>
          <w:rFonts w:ascii="Palatino Linotype" w:hAnsi="Palatino Linotype"/>
          <w:lang w:val="es-MX"/>
        </w:rPr>
      </w:pPr>
      <w:r w:rsidRPr="006A6FF8">
        <w:rPr>
          <w:rFonts w:ascii="Palatino Linotype" w:hAnsi="Palatino Linotype"/>
          <w:lang w:val="es-MX"/>
        </w:rPr>
        <w:t xml:space="preserve">En este sentido, existen diversos tipos de pólizas contables de acuerdo a las operaciones realizadas, dentro de las cuales, encontramos las llamadas </w:t>
      </w:r>
      <w:r w:rsidRPr="006A6FF8">
        <w:rPr>
          <w:rFonts w:ascii="Palatino Linotype" w:hAnsi="Palatino Linotype"/>
          <w:i/>
          <w:iCs/>
          <w:lang w:val="es-MX"/>
        </w:rPr>
        <w:t>pólizas de egresos</w:t>
      </w:r>
      <w:r w:rsidRPr="006A6FF8">
        <w:rPr>
          <w:rFonts w:ascii="Palatino Linotype" w:hAnsi="Palatino Linotype"/>
          <w:lang w:val="es-MX"/>
        </w:rPr>
        <w:t xml:space="preserve">, son aquellas en las cuales se anotan diariamente las operaciones que representan gastos, es decir, salidas de dinero para el </w:t>
      </w:r>
      <w:r w:rsidRPr="006A6FF8">
        <w:rPr>
          <w:rFonts w:ascii="Palatino Linotype" w:hAnsi="Palatino Linotype"/>
          <w:b/>
          <w:bCs/>
          <w:lang w:val="es-MX"/>
        </w:rPr>
        <w:t>Sujeto Obligado</w:t>
      </w:r>
      <w:r w:rsidRPr="006A6FF8">
        <w:rPr>
          <w:rFonts w:ascii="Palatino Linotype" w:hAnsi="Palatino Linotype"/>
          <w:lang w:val="es-MX"/>
        </w:rPr>
        <w:t xml:space="preserve">, las que </w:t>
      </w:r>
      <w:r w:rsidRPr="006A6FF8">
        <w:rPr>
          <w:rFonts w:ascii="Palatino Linotype" w:hAnsi="Palatino Linotype"/>
          <w:lang w:val="es-MX"/>
        </w:rPr>
        <w:lastRenderedPageBreak/>
        <w:t>además, deben encontrarse acompañadas de las documentales que sirven de soporte de dicho movimiento. </w:t>
      </w:r>
    </w:p>
    <w:p w:rsidR="00C63CBC" w:rsidRPr="006A6FF8" w:rsidRDefault="00C63CBC" w:rsidP="00C63CBC">
      <w:pPr>
        <w:pBdr>
          <w:top w:val="nil"/>
          <w:left w:val="nil"/>
          <w:bottom w:val="nil"/>
          <w:right w:val="nil"/>
          <w:between w:val="nil"/>
        </w:pBdr>
        <w:spacing w:before="240" w:after="240" w:line="360" w:lineRule="auto"/>
        <w:jc w:val="both"/>
        <w:rPr>
          <w:rFonts w:ascii="Palatino Linotype" w:hAnsi="Palatino Linotype"/>
          <w:lang w:val="es-MX"/>
        </w:rPr>
      </w:pPr>
      <w:r w:rsidRPr="006A6FF8">
        <w:rPr>
          <w:rFonts w:ascii="Palatino Linotype" w:hAnsi="Palatino Linotype"/>
          <w:lang w:val="es-MX"/>
        </w:rPr>
        <w:t xml:space="preserve">Asimismo, los Lineamientos para la integración y entrega del Informe Trimestral Municipal 2022, emitidos por el Órgano Superior de Fiscalización del Estado de México, contienen los formatos e información que debe ser proporcionada para la integración de los informes trimestrales, reviste interés para nuestro estudio lo previsto en el módulo 1, el cual contiene la información relativa a las </w:t>
      </w:r>
      <w:r w:rsidRPr="006A6FF8">
        <w:rPr>
          <w:rFonts w:ascii="Palatino Linotype" w:hAnsi="Palatino Linotype"/>
          <w:b/>
          <w:bCs/>
          <w:i/>
          <w:iCs/>
          <w:lang w:val="es-MX"/>
        </w:rPr>
        <w:t>pólizas de egresos</w:t>
      </w:r>
      <w:r w:rsidRPr="006A6FF8">
        <w:rPr>
          <w:rFonts w:ascii="Palatino Linotype" w:hAnsi="Palatino Linotype"/>
          <w:i/>
          <w:iCs/>
          <w:lang w:val="es-MX"/>
        </w:rPr>
        <w:t xml:space="preserve">, </w:t>
      </w:r>
      <w:r w:rsidRPr="006A6FF8">
        <w:rPr>
          <w:rFonts w:ascii="Palatino Linotype" w:hAnsi="Palatino Linotype"/>
          <w:lang w:val="es-MX"/>
        </w:rPr>
        <w:t xml:space="preserve">de tal manera que, dichos formatos constituyen un soporte documental con el cual de manera enunciativa más no limitativa, el </w:t>
      </w:r>
      <w:r w:rsidRPr="006A6FF8">
        <w:rPr>
          <w:rFonts w:ascii="Palatino Linotype" w:hAnsi="Palatino Linotype"/>
          <w:b/>
          <w:bCs/>
          <w:lang w:val="es-MX"/>
        </w:rPr>
        <w:t xml:space="preserve">Sujeto Obligado </w:t>
      </w:r>
      <w:r w:rsidRPr="006A6FF8">
        <w:rPr>
          <w:rFonts w:ascii="Palatino Linotype" w:hAnsi="Palatino Linotype"/>
          <w:lang w:val="es-MX"/>
        </w:rPr>
        <w:t>pudiera atender los requerimientos de información, para una mayor referencia se inserta la captura de pantalla del formato correspondiente: </w:t>
      </w:r>
    </w:p>
    <w:p w:rsidR="00C63CBC" w:rsidRPr="006A6FF8" w:rsidRDefault="00C63CBC" w:rsidP="00C63CBC">
      <w:pPr>
        <w:pBdr>
          <w:top w:val="nil"/>
          <w:left w:val="nil"/>
          <w:bottom w:val="nil"/>
          <w:right w:val="nil"/>
          <w:between w:val="nil"/>
        </w:pBdr>
        <w:spacing w:before="240" w:after="240" w:line="360" w:lineRule="auto"/>
        <w:jc w:val="both"/>
        <w:rPr>
          <w:rFonts w:ascii="Palatino Linotype" w:hAnsi="Palatino Linotype"/>
          <w:lang w:val="es-MX"/>
        </w:rPr>
      </w:pPr>
      <w:r w:rsidRPr="006A6FF8">
        <w:rPr>
          <w:rFonts w:ascii="Palatino Linotype" w:hAnsi="Palatino Linotype"/>
          <w:noProof/>
          <w:lang w:val="es-MX"/>
        </w:rPr>
        <w:lastRenderedPageBreak/>
        <w:drawing>
          <wp:inline distT="0" distB="0" distL="0" distR="0">
            <wp:extent cx="5124450" cy="4486275"/>
            <wp:effectExtent l="19050" t="19050" r="19050" b="28575"/>
            <wp:docPr id="19" name="Imagen 19" descr="https://lh4.googleusercontent.com/55GWU5DYJVOtrdt6zfMOgV4gR1SYzgvRisvFa5IKjRvNCNJvlSEAh9zf6Se2IHGZciIurNd8PVmy0GH9PxVB7t6jy3juX-XYilhfHomh-_FRn22YGoFRHty0go9XaelnipEho0AelITJzI9yZkH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55GWU5DYJVOtrdt6zfMOgV4gR1SYzgvRisvFa5IKjRvNCNJvlSEAh9zf6Se2IHGZciIurNd8PVmy0GH9PxVB7t6jy3juX-XYilhfHomh-_FRn22YGoFRHty0go9XaelnipEho0AelITJzI9yZkH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24450" cy="4486275"/>
                    </a:xfrm>
                    <a:prstGeom prst="rect">
                      <a:avLst/>
                    </a:prstGeom>
                    <a:noFill/>
                    <a:ln>
                      <a:solidFill>
                        <a:schemeClr val="tx1"/>
                      </a:solidFill>
                    </a:ln>
                  </pic:spPr>
                </pic:pic>
              </a:graphicData>
            </a:graphic>
          </wp:inline>
        </w:drawing>
      </w:r>
    </w:p>
    <w:p w:rsidR="00C63CBC" w:rsidRPr="006A6FF8" w:rsidRDefault="00C63CBC" w:rsidP="00C63CBC">
      <w:pPr>
        <w:pBdr>
          <w:top w:val="nil"/>
          <w:left w:val="nil"/>
          <w:bottom w:val="nil"/>
          <w:right w:val="nil"/>
          <w:between w:val="nil"/>
        </w:pBdr>
        <w:spacing w:before="240" w:after="240" w:line="360" w:lineRule="auto"/>
        <w:jc w:val="both"/>
        <w:rPr>
          <w:rFonts w:ascii="Palatino Linotype" w:hAnsi="Palatino Linotype"/>
          <w:lang w:val="es-MX"/>
        </w:rPr>
      </w:pPr>
      <w:r w:rsidRPr="006A6FF8">
        <w:rPr>
          <w:rFonts w:ascii="Palatino Linotype" w:hAnsi="Palatino Linotype"/>
          <w:noProof/>
          <w:lang w:val="es-MX"/>
        </w:rPr>
        <w:lastRenderedPageBreak/>
        <w:drawing>
          <wp:inline distT="0" distB="0" distL="0" distR="0">
            <wp:extent cx="5276850" cy="6438900"/>
            <wp:effectExtent l="19050" t="19050" r="19050" b="19050"/>
            <wp:docPr id="18" name="Imagen 18" descr="https://lh3.googleusercontent.com/mH4MFUmRnVCeV8QTHH0SLMqwLhl2cymJTZ8nn7wVoLjaqi2-mQn7DyDmXC05PLyyPp-EUBQQipZU2mfPUZEM1Asoc_uCcvohKgKOjR2axIB1RCC8g5nrvQOC5tPfczQPKrGlfvYdez0WeZZmK7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mH4MFUmRnVCeV8QTHH0SLMqwLhl2cymJTZ8nn7wVoLjaqi2-mQn7DyDmXC05PLyyPp-EUBQQipZU2mfPUZEM1Asoc_uCcvohKgKOjR2axIB1RCC8g5nrvQOC5tPfczQPKrGlfvYdez0WeZZmK7u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6850" cy="6438900"/>
                    </a:xfrm>
                    <a:prstGeom prst="rect">
                      <a:avLst/>
                    </a:prstGeom>
                    <a:noFill/>
                    <a:ln>
                      <a:solidFill>
                        <a:schemeClr val="tx1"/>
                      </a:solidFill>
                    </a:ln>
                  </pic:spPr>
                </pic:pic>
              </a:graphicData>
            </a:graphic>
          </wp:inline>
        </w:drawing>
      </w:r>
    </w:p>
    <w:p w:rsidR="00C63CBC" w:rsidRPr="006A6FF8" w:rsidRDefault="00C63CBC" w:rsidP="00C63CBC">
      <w:pPr>
        <w:pBdr>
          <w:top w:val="nil"/>
          <w:left w:val="nil"/>
          <w:bottom w:val="nil"/>
          <w:right w:val="nil"/>
          <w:between w:val="nil"/>
        </w:pBdr>
        <w:spacing w:before="240" w:after="240" w:line="360" w:lineRule="auto"/>
        <w:jc w:val="both"/>
        <w:rPr>
          <w:rFonts w:ascii="Palatino Linotype" w:hAnsi="Palatino Linotype"/>
          <w:lang w:val="es-MX"/>
        </w:rPr>
      </w:pPr>
      <w:r w:rsidRPr="006A6FF8">
        <w:rPr>
          <w:rFonts w:ascii="Palatino Linotype" w:hAnsi="Palatino Linotype"/>
          <w:noProof/>
          <w:lang w:val="es-MX"/>
        </w:rPr>
        <w:lastRenderedPageBreak/>
        <w:drawing>
          <wp:inline distT="0" distB="0" distL="0" distR="0">
            <wp:extent cx="5486400" cy="6772275"/>
            <wp:effectExtent l="19050" t="19050" r="19050" b="28575"/>
            <wp:docPr id="17" name="Imagen 17" descr="https://lh3.googleusercontent.com/Q76BPR_I_rFrWw4RYMxY0EcGQsBAzBytbh_cQ5g4ZODzhJX16BAzPcber3AexxT2Bvlt7cK7Ig5h_r_4ZVJNbJXepbYjSE-5Q8qs9ysai80w7xorjqTqOfkruIcpxXF1srmLfY9501-HD77Dce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Q76BPR_I_rFrWw4RYMxY0EcGQsBAzBytbh_cQ5g4ZODzhJX16BAzPcber3AexxT2Bvlt7cK7Ig5h_r_4ZVJNbJXepbYjSE-5Q8qs9ysai80w7xorjqTqOfkruIcpxXF1srmLfY9501-HD77DceT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6772275"/>
                    </a:xfrm>
                    <a:prstGeom prst="rect">
                      <a:avLst/>
                    </a:prstGeom>
                    <a:noFill/>
                    <a:ln>
                      <a:solidFill>
                        <a:schemeClr val="tx1"/>
                      </a:solidFill>
                    </a:ln>
                  </pic:spPr>
                </pic:pic>
              </a:graphicData>
            </a:graphic>
          </wp:inline>
        </w:drawing>
      </w:r>
    </w:p>
    <w:p w:rsidR="00C63CBC" w:rsidRPr="006A6FF8" w:rsidRDefault="00C63CBC" w:rsidP="00C63CBC">
      <w:pPr>
        <w:pBdr>
          <w:top w:val="nil"/>
          <w:left w:val="nil"/>
          <w:bottom w:val="nil"/>
          <w:right w:val="nil"/>
          <w:between w:val="nil"/>
        </w:pBdr>
        <w:spacing w:before="240" w:after="240" w:line="360" w:lineRule="auto"/>
        <w:jc w:val="both"/>
        <w:rPr>
          <w:rFonts w:ascii="Palatino Linotype" w:hAnsi="Palatino Linotype"/>
          <w:lang w:val="es-MX"/>
        </w:rPr>
      </w:pPr>
      <w:r w:rsidRPr="006A6FF8">
        <w:rPr>
          <w:rFonts w:ascii="Palatino Linotype" w:hAnsi="Palatino Linotype"/>
          <w:lang w:val="es-MX"/>
        </w:rPr>
        <w:lastRenderedPageBreak/>
        <w:t>Aunado a lo anterior, los citados Lineamientos especifican que las imágenes contenidas deben ser indexadas de manera que se permita su vinculación con la información financiera, de tal forma que al consultar la citada información financiera se pueda visualizar el soporte documental que justifique los registros contables. </w:t>
      </w:r>
    </w:p>
    <w:p w:rsidR="00CD6F7D" w:rsidRPr="006A6FF8" w:rsidRDefault="00CD6F7D" w:rsidP="00CD6F7D">
      <w:pPr>
        <w:spacing w:before="240" w:after="240" w:line="360" w:lineRule="auto"/>
        <w:jc w:val="both"/>
        <w:rPr>
          <w:rFonts w:ascii="Palatino Linotype" w:hAnsi="Palatino Linotype"/>
        </w:rPr>
      </w:pPr>
      <w:r w:rsidRPr="006A6FF8">
        <w:rPr>
          <w:rFonts w:ascii="Palatino Linotype" w:hAnsi="Palatino Linotype"/>
        </w:rPr>
        <w:t xml:space="preserve">Asimismo en cuanto al marco normativo que regula la actuación del </w:t>
      </w:r>
      <w:r w:rsidRPr="006A6FF8">
        <w:rPr>
          <w:rFonts w:ascii="Palatino Linotype" w:hAnsi="Palatino Linotype"/>
          <w:b/>
        </w:rPr>
        <w:t>Sujeto Obligado</w:t>
      </w:r>
      <w:r w:rsidRPr="006A6FF8">
        <w:rPr>
          <w:rFonts w:ascii="Palatino Linotype" w:hAnsi="Palatino Linotype"/>
        </w:rPr>
        <w:t>, obteniendo así que de conformidad con el Reglamento Interno del Sistema Municipal para el Desarrollo Integral de la Familia de Toluca, cuenta con una Dirección de Administración y Tesorería, la cual dentro de su estructura orgánica tiene un Departamento de Adquisiciones:</w:t>
      </w:r>
    </w:p>
    <w:p w:rsidR="00CD6F7D" w:rsidRPr="006A6FF8" w:rsidRDefault="00CD6F7D" w:rsidP="00CD6F7D">
      <w:pPr>
        <w:spacing w:before="240" w:after="240" w:line="276" w:lineRule="auto"/>
        <w:ind w:left="567" w:right="900"/>
        <w:jc w:val="both"/>
        <w:rPr>
          <w:rFonts w:ascii="Palatino Linotype" w:hAnsi="Palatino Linotype"/>
          <w:i/>
          <w:sz w:val="22"/>
        </w:rPr>
      </w:pPr>
      <w:r w:rsidRPr="006A6FF8">
        <w:rPr>
          <w:rFonts w:ascii="Palatino Linotype" w:hAnsi="Palatino Linotype"/>
          <w:i/>
          <w:sz w:val="22"/>
        </w:rPr>
        <w:t>“</w:t>
      </w:r>
      <w:r w:rsidRPr="006A6FF8">
        <w:rPr>
          <w:rFonts w:ascii="Palatino Linotype" w:hAnsi="Palatino Linotype"/>
          <w:b/>
          <w:i/>
          <w:sz w:val="22"/>
        </w:rPr>
        <w:t>Artículo 19.- La Dirección de Administración y Tesorería, estará integrada por los siguientes Departamentos:</w:t>
      </w:r>
    </w:p>
    <w:p w:rsidR="00CD6F7D" w:rsidRPr="006A6FF8" w:rsidRDefault="00CD6F7D" w:rsidP="00CD6F7D">
      <w:pPr>
        <w:spacing w:before="240" w:after="240" w:line="276" w:lineRule="auto"/>
        <w:ind w:left="567" w:right="900"/>
        <w:jc w:val="both"/>
        <w:rPr>
          <w:rFonts w:ascii="Palatino Linotype" w:hAnsi="Palatino Linotype"/>
          <w:i/>
          <w:sz w:val="22"/>
        </w:rPr>
      </w:pPr>
      <w:r w:rsidRPr="006A6FF8">
        <w:rPr>
          <w:rFonts w:ascii="Palatino Linotype" w:hAnsi="Palatino Linotype"/>
          <w:i/>
          <w:sz w:val="22"/>
        </w:rPr>
        <w:t>I. Departamento de Personal;</w:t>
      </w:r>
    </w:p>
    <w:p w:rsidR="00CD6F7D" w:rsidRPr="006A6FF8" w:rsidRDefault="00CD6F7D" w:rsidP="00CD6F7D">
      <w:pPr>
        <w:spacing w:before="240" w:after="240" w:line="276" w:lineRule="auto"/>
        <w:ind w:left="567" w:right="900"/>
        <w:jc w:val="both"/>
        <w:rPr>
          <w:rFonts w:ascii="Palatino Linotype" w:hAnsi="Palatino Linotype"/>
          <w:i/>
          <w:sz w:val="22"/>
        </w:rPr>
      </w:pPr>
      <w:r w:rsidRPr="006A6FF8">
        <w:rPr>
          <w:rFonts w:ascii="Palatino Linotype" w:hAnsi="Palatino Linotype"/>
          <w:b/>
          <w:i/>
          <w:sz w:val="22"/>
        </w:rPr>
        <w:t>II. Departamento de Adquisiciones</w:t>
      </w:r>
      <w:r w:rsidRPr="006A6FF8">
        <w:rPr>
          <w:rFonts w:ascii="Palatino Linotype" w:hAnsi="Palatino Linotype"/>
          <w:i/>
          <w:sz w:val="22"/>
        </w:rPr>
        <w:t>;</w:t>
      </w:r>
    </w:p>
    <w:p w:rsidR="00CD6F7D" w:rsidRPr="006A6FF8" w:rsidRDefault="00CD6F7D" w:rsidP="00CD6F7D">
      <w:pPr>
        <w:spacing w:before="240" w:after="240" w:line="276" w:lineRule="auto"/>
        <w:ind w:left="567" w:right="900"/>
        <w:jc w:val="both"/>
        <w:rPr>
          <w:rFonts w:ascii="Palatino Linotype" w:hAnsi="Palatino Linotype"/>
          <w:i/>
          <w:sz w:val="22"/>
        </w:rPr>
      </w:pPr>
      <w:r w:rsidRPr="006A6FF8">
        <w:rPr>
          <w:rFonts w:ascii="Palatino Linotype" w:hAnsi="Palatino Linotype"/>
          <w:i/>
          <w:sz w:val="22"/>
        </w:rPr>
        <w:t>…</w:t>
      </w:r>
    </w:p>
    <w:p w:rsidR="00CD6F7D" w:rsidRPr="006A6FF8" w:rsidRDefault="00CD6F7D" w:rsidP="00CD6F7D">
      <w:pPr>
        <w:spacing w:before="240" w:after="240" w:line="276" w:lineRule="auto"/>
        <w:ind w:left="567" w:right="900"/>
        <w:jc w:val="both"/>
        <w:rPr>
          <w:rFonts w:ascii="Palatino Linotype" w:hAnsi="Palatino Linotype"/>
          <w:i/>
          <w:sz w:val="22"/>
        </w:rPr>
      </w:pPr>
      <w:r w:rsidRPr="006A6FF8">
        <w:rPr>
          <w:rFonts w:ascii="Palatino Linotype" w:hAnsi="Palatino Linotype"/>
          <w:b/>
          <w:i/>
          <w:sz w:val="22"/>
        </w:rPr>
        <w:t>Artículo 20.- Corresponde a la Dirección de Administración y Tesorería</w:t>
      </w:r>
      <w:r w:rsidRPr="006A6FF8">
        <w:rPr>
          <w:rFonts w:ascii="Palatino Linotype" w:hAnsi="Palatino Linotype"/>
          <w:i/>
          <w:sz w:val="22"/>
        </w:rPr>
        <w:t xml:space="preserve">, quien tendrá  además de las señaladas en el artículo 16 de la Ley, </w:t>
      </w:r>
      <w:r w:rsidRPr="006A6FF8">
        <w:rPr>
          <w:rFonts w:ascii="Palatino Linotype" w:hAnsi="Palatino Linotype"/>
          <w:b/>
          <w:i/>
          <w:sz w:val="22"/>
        </w:rPr>
        <w:t>las siguientes atribuciones:</w:t>
      </w:r>
      <w:r w:rsidRPr="006A6FF8">
        <w:rPr>
          <w:rFonts w:ascii="Palatino Linotype" w:hAnsi="Palatino Linotype"/>
          <w:b/>
          <w:i/>
          <w:sz w:val="22"/>
        </w:rPr>
        <w:cr/>
      </w:r>
      <w:r w:rsidRPr="006A6FF8">
        <w:rPr>
          <w:rFonts w:ascii="Palatino Linotype" w:hAnsi="Palatino Linotype"/>
          <w:i/>
          <w:sz w:val="22"/>
        </w:rPr>
        <w:t>…</w:t>
      </w:r>
    </w:p>
    <w:p w:rsidR="00CD6F7D" w:rsidRPr="006A6FF8" w:rsidRDefault="00CD6F7D" w:rsidP="00CD6F7D">
      <w:pPr>
        <w:spacing w:before="240" w:after="240" w:line="276" w:lineRule="auto"/>
        <w:ind w:left="567" w:right="900"/>
        <w:jc w:val="both"/>
        <w:rPr>
          <w:rFonts w:ascii="Palatino Linotype" w:hAnsi="Palatino Linotype"/>
          <w:b/>
          <w:i/>
          <w:sz w:val="22"/>
          <w:u w:val="single"/>
        </w:rPr>
      </w:pPr>
      <w:r w:rsidRPr="006A6FF8">
        <w:rPr>
          <w:rFonts w:ascii="Palatino Linotype" w:hAnsi="Palatino Linotype"/>
          <w:b/>
          <w:i/>
          <w:sz w:val="22"/>
          <w:u w:val="single"/>
        </w:rPr>
        <w:t>X. Proveer a las Unidades Administrativas de los recursos humanos y materiales necesarios  para su buen funcionamiento, así como de servicios de mantenimiento de inmuebles,  parque vehicular y apoyo para la realización de eventos cuando así sea requerido;</w:t>
      </w:r>
    </w:p>
    <w:p w:rsidR="00CD6F7D" w:rsidRPr="006A6FF8" w:rsidRDefault="00CD6F7D" w:rsidP="00CD6F7D">
      <w:pPr>
        <w:spacing w:before="240" w:after="240" w:line="276" w:lineRule="auto"/>
        <w:ind w:left="567" w:right="900"/>
        <w:jc w:val="both"/>
        <w:rPr>
          <w:rFonts w:ascii="Palatino Linotype" w:hAnsi="Palatino Linotype"/>
          <w:b/>
          <w:i/>
          <w:sz w:val="22"/>
          <w:u w:val="single"/>
        </w:rPr>
      </w:pPr>
      <w:r w:rsidRPr="006A6FF8">
        <w:rPr>
          <w:rFonts w:ascii="Palatino Linotype" w:hAnsi="Palatino Linotype"/>
          <w:b/>
          <w:i/>
          <w:sz w:val="22"/>
          <w:u w:val="single"/>
        </w:rPr>
        <w:t xml:space="preserve">XI. Fungir como Vocal Financiero en el Comité de Adquisiciones, Enajenaciones, Arrendamientos y Servicios; </w:t>
      </w:r>
    </w:p>
    <w:p w:rsidR="00CD6F7D" w:rsidRPr="006A6FF8" w:rsidRDefault="00CD6F7D" w:rsidP="00CD6F7D">
      <w:pPr>
        <w:spacing w:before="240" w:after="240" w:line="276" w:lineRule="auto"/>
        <w:ind w:left="567" w:right="900"/>
        <w:jc w:val="both"/>
        <w:rPr>
          <w:rFonts w:ascii="Palatino Linotype" w:hAnsi="Palatino Linotype"/>
          <w:i/>
          <w:sz w:val="22"/>
        </w:rPr>
      </w:pPr>
      <w:r w:rsidRPr="006A6FF8">
        <w:rPr>
          <w:rFonts w:ascii="Palatino Linotype" w:hAnsi="Palatino Linotype"/>
          <w:i/>
          <w:sz w:val="22"/>
        </w:rPr>
        <w:lastRenderedPageBreak/>
        <w:t>…</w:t>
      </w:r>
    </w:p>
    <w:p w:rsidR="00CD6F7D" w:rsidRPr="006A6FF8" w:rsidRDefault="00CD6F7D" w:rsidP="00CD6F7D">
      <w:pPr>
        <w:spacing w:before="240" w:after="240" w:line="276" w:lineRule="auto"/>
        <w:ind w:left="567" w:right="900"/>
        <w:jc w:val="both"/>
        <w:rPr>
          <w:rFonts w:ascii="Palatino Linotype" w:hAnsi="Palatino Linotype"/>
          <w:i/>
          <w:sz w:val="22"/>
        </w:rPr>
      </w:pPr>
      <w:r w:rsidRPr="006A6FF8">
        <w:rPr>
          <w:rFonts w:ascii="Palatino Linotype" w:hAnsi="Palatino Linotype"/>
          <w:b/>
          <w:i/>
          <w:sz w:val="22"/>
          <w:u w:val="single"/>
        </w:rPr>
        <w:t>XIII. Suscribir contratos de bienes y servicios en términos de la legislación aplicable</w:t>
      </w:r>
      <w:r w:rsidRPr="006A6FF8">
        <w:rPr>
          <w:rFonts w:ascii="Palatino Linotype" w:hAnsi="Palatino Linotype"/>
          <w:i/>
          <w:sz w:val="22"/>
        </w:rPr>
        <w:t>;” (Énfasis añadido)</w:t>
      </w:r>
    </w:p>
    <w:p w:rsidR="00CD6F7D" w:rsidRPr="006A6FF8" w:rsidRDefault="00CD6F7D" w:rsidP="00CD6F7D">
      <w:pPr>
        <w:spacing w:before="240" w:after="240" w:line="360" w:lineRule="auto"/>
        <w:ind w:right="49"/>
        <w:jc w:val="both"/>
        <w:rPr>
          <w:rFonts w:ascii="Palatino Linotype" w:hAnsi="Palatino Linotype"/>
        </w:rPr>
      </w:pPr>
      <w:r w:rsidRPr="006A6FF8">
        <w:rPr>
          <w:rFonts w:ascii="Palatino Linotype" w:hAnsi="Palatino Linotype"/>
        </w:rPr>
        <w:t xml:space="preserve">Correlativo a lo anterior, el Manual de Organización del Sistema Municipal para el Desarrollo Integral de la Familia de Toluca, señala concretamente que el Departamento de Adquisiciones, cuenta con las siguientes atribuciones: </w:t>
      </w:r>
    </w:p>
    <w:p w:rsidR="00CD6F7D" w:rsidRPr="006A6FF8" w:rsidRDefault="00CD6F7D" w:rsidP="00CD6F7D">
      <w:pPr>
        <w:spacing w:before="240" w:after="240" w:line="360" w:lineRule="auto"/>
        <w:ind w:right="49"/>
        <w:jc w:val="both"/>
        <w:rPr>
          <w:rFonts w:ascii="Palatino Linotype" w:hAnsi="Palatino Linotype"/>
        </w:rPr>
      </w:pPr>
      <w:r w:rsidRPr="006A6FF8">
        <w:rPr>
          <w:rFonts w:ascii="Palatino Linotype" w:hAnsi="Palatino Linotype"/>
          <w:noProof/>
          <w:lang w:val="es-MX"/>
        </w:rPr>
        <w:lastRenderedPageBreak/>
        <w:drawing>
          <wp:inline distT="0" distB="0" distL="0" distR="0" wp14:anchorId="066DCE74" wp14:editId="3D95E399">
            <wp:extent cx="5612130" cy="7004050"/>
            <wp:effectExtent l="19050" t="19050" r="26670" b="2540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7004050"/>
                    </a:xfrm>
                    <a:prstGeom prst="rect">
                      <a:avLst/>
                    </a:prstGeom>
                    <a:ln>
                      <a:solidFill>
                        <a:schemeClr val="tx1"/>
                      </a:solidFill>
                    </a:ln>
                  </pic:spPr>
                </pic:pic>
              </a:graphicData>
            </a:graphic>
          </wp:inline>
        </w:drawing>
      </w:r>
    </w:p>
    <w:p w:rsidR="00CD6F7D" w:rsidRPr="006A6FF8" w:rsidRDefault="00CD6F7D" w:rsidP="00CD6F7D">
      <w:pPr>
        <w:spacing w:before="240" w:after="240" w:line="360" w:lineRule="auto"/>
        <w:jc w:val="both"/>
        <w:rPr>
          <w:rFonts w:ascii="Palatino Linotype" w:hAnsi="Palatino Linotype"/>
        </w:rPr>
      </w:pPr>
      <w:r w:rsidRPr="006A6FF8">
        <w:rPr>
          <w:rFonts w:ascii="Palatino Linotype" w:hAnsi="Palatino Linotype"/>
          <w:noProof/>
          <w:lang w:val="es-MX"/>
        </w:rPr>
        <w:lastRenderedPageBreak/>
        <w:drawing>
          <wp:inline distT="0" distB="0" distL="0" distR="0" wp14:anchorId="3A494BE9" wp14:editId="28F1EFA1">
            <wp:extent cx="5612130" cy="1562735"/>
            <wp:effectExtent l="19050" t="19050" r="26670" b="184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1562735"/>
                    </a:xfrm>
                    <a:prstGeom prst="rect">
                      <a:avLst/>
                    </a:prstGeom>
                    <a:ln>
                      <a:solidFill>
                        <a:schemeClr val="tx1"/>
                      </a:solidFill>
                    </a:ln>
                  </pic:spPr>
                </pic:pic>
              </a:graphicData>
            </a:graphic>
          </wp:inline>
        </w:drawing>
      </w:r>
    </w:p>
    <w:p w:rsidR="00CD6F7D" w:rsidRPr="006A6FF8" w:rsidRDefault="00CD6F7D" w:rsidP="00CD6F7D">
      <w:pPr>
        <w:spacing w:before="240" w:after="240" w:line="360" w:lineRule="auto"/>
        <w:jc w:val="both"/>
        <w:rPr>
          <w:rFonts w:ascii="Palatino Linotype" w:hAnsi="Palatino Linotype"/>
        </w:rPr>
      </w:pPr>
      <w:r w:rsidRPr="006A6FF8">
        <w:rPr>
          <w:rFonts w:ascii="Palatino Linotype" w:hAnsi="Palatino Linotype"/>
        </w:rPr>
        <w:t xml:space="preserve">De manera que con lo insertado hasta este punto, queda debidamente acreditado que el </w:t>
      </w:r>
      <w:r w:rsidRPr="006A6FF8">
        <w:rPr>
          <w:rFonts w:ascii="Palatino Linotype" w:hAnsi="Palatino Linotype"/>
          <w:b/>
        </w:rPr>
        <w:t>Sujeto Obligado</w:t>
      </w:r>
      <w:r w:rsidRPr="006A6FF8">
        <w:rPr>
          <w:rFonts w:ascii="Palatino Linotype" w:hAnsi="Palatino Linotype"/>
        </w:rPr>
        <w:t xml:space="preserve"> si es competente para llevar a cabo los procesos de adquisiciones y servicios por conducto de su Dirección de Administración y Tesorería, que a su vez tiene a su cargo el Departamento de Adquisiciones, mismo que cuenta con la atribución de celebrar procesos adquisitivos de los bienes y servicios que soliciten las unidades administrativas que integran el Sistema Municipal para el Desarrollo Integral de la Familia de Toluca. </w:t>
      </w:r>
    </w:p>
    <w:p w:rsidR="00CD6F7D" w:rsidRPr="006A6FF8" w:rsidRDefault="00CD6F7D" w:rsidP="00CD6F7D">
      <w:pPr>
        <w:spacing w:before="240" w:after="240" w:line="360" w:lineRule="auto"/>
        <w:jc w:val="both"/>
        <w:rPr>
          <w:rFonts w:ascii="Palatino Linotype" w:hAnsi="Palatino Linotype"/>
        </w:rPr>
      </w:pPr>
      <w:r w:rsidRPr="006A6FF8">
        <w:rPr>
          <w:rFonts w:ascii="Palatino Linotype" w:hAnsi="Palatino Linotype"/>
        </w:rPr>
        <w:t>Bajo este orden de ideas, para reforzar la premisa inicial, este Instituto procedió a consultar el portal de Información Pública de Oficio Mexiquense (IPOMEX), en el cual localizó que en lo concerniente a la fracción XXIX A, relativa a Resultados de procedimientos de licitación pública e invitación a cuando menos tres personas realiza, se registraron diversos procesos de adquisición por medio de la licitación pública e invitación restringida, se inserta una captura de pantalla que da cuenta de una invitación restringida durante el ejercicio fiscal 2022:</w:t>
      </w:r>
    </w:p>
    <w:p w:rsidR="00CD6F7D" w:rsidRPr="006A6FF8" w:rsidRDefault="00CD6F7D" w:rsidP="00CD6F7D">
      <w:pPr>
        <w:spacing w:before="240" w:after="240" w:line="360" w:lineRule="auto"/>
        <w:jc w:val="both"/>
        <w:rPr>
          <w:rFonts w:ascii="Palatino Linotype" w:hAnsi="Palatino Linotype"/>
        </w:rPr>
      </w:pPr>
    </w:p>
    <w:p w:rsidR="00CD6F7D" w:rsidRPr="006A6FF8" w:rsidRDefault="00CD6F7D" w:rsidP="00CD6F7D">
      <w:pPr>
        <w:spacing w:before="240" w:after="240" w:line="360" w:lineRule="auto"/>
        <w:jc w:val="both"/>
        <w:rPr>
          <w:rFonts w:ascii="Palatino Linotype" w:hAnsi="Palatino Linotype"/>
        </w:rPr>
      </w:pPr>
    </w:p>
    <w:p w:rsidR="00CD6F7D" w:rsidRPr="006A6FF8" w:rsidRDefault="00CD6F7D" w:rsidP="00250DCB">
      <w:pPr>
        <w:spacing w:before="240" w:after="240" w:line="360" w:lineRule="auto"/>
        <w:jc w:val="center"/>
        <w:rPr>
          <w:rFonts w:ascii="Palatino Linotype" w:hAnsi="Palatino Linotype"/>
        </w:rPr>
      </w:pPr>
      <w:r w:rsidRPr="006A6FF8">
        <w:rPr>
          <w:rFonts w:ascii="Palatino Linotype" w:hAnsi="Palatino Linotype"/>
          <w:noProof/>
          <w:lang w:val="es-MX"/>
        </w:rPr>
        <w:lastRenderedPageBreak/>
        <w:drawing>
          <wp:inline distT="0" distB="0" distL="0" distR="0" wp14:anchorId="6482BFFD" wp14:editId="070C3836">
            <wp:extent cx="5182323" cy="5144218"/>
            <wp:effectExtent l="19050" t="19050" r="18415" b="184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82323" cy="5144218"/>
                    </a:xfrm>
                    <a:prstGeom prst="rect">
                      <a:avLst/>
                    </a:prstGeom>
                    <a:ln>
                      <a:solidFill>
                        <a:schemeClr val="tx1"/>
                      </a:solidFill>
                    </a:ln>
                  </pic:spPr>
                </pic:pic>
              </a:graphicData>
            </a:graphic>
          </wp:inline>
        </w:drawing>
      </w:r>
    </w:p>
    <w:p w:rsidR="00250DCB" w:rsidRPr="006A6FF8" w:rsidRDefault="00250DCB" w:rsidP="00250DCB">
      <w:pPr>
        <w:spacing w:before="240" w:after="240" w:line="360" w:lineRule="auto"/>
        <w:jc w:val="both"/>
        <w:rPr>
          <w:rFonts w:ascii="Palatino Linotype" w:eastAsia="Palatino Linotype" w:hAnsi="Palatino Linotype" w:cs="Palatino Linotype"/>
          <w:lang w:val="es-MX" w:eastAsia="es-ES"/>
        </w:rPr>
      </w:pPr>
      <w:r w:rsidRPr="006A6FF8">
        <w:rPr>
          <w:rFonts w:ascii="Palatino Linotype" w:eastAsia="Palatino Linotype" w:hAnsi="Palatino Linotype" w:cs="Palatino Linotype"/>
          <w:lang w:val="es-MX" w:eastAsia="es-ES"/>
        </w:rPr>
        <w:t xml:space="preserve">Acotado lo anterior, se puede vislumbrar de manera fehaciente que no se turnó la solicitud a los servidores públicos habilitados, por lo que no se satisfizo en su totalidad el derecho de acceso el derecho de acceso a la información pública de </w:t>
      </w:r>
      <w:r w:rsidRPr="006A6FF8">
        <w:rPr>
          <w:rFonts w:ascii="Palatino Linotype" w:eastAsia="Palatino Linotype" w:hAnsi="Palatino Linotype" w:cs="Palatino Linotype"/>
          <w:b/>
          <w:lang w:val="es-MX" w:eastAsia="es-ES"/>
        </w:rPr>
        <w:t>la ahora parte</w:t>
      </w:r>
      <w:r w:rsidRPr="006A6FF8">
        <w:rPr>
          <w:rFonts w:ascii="Palatino Linotype" w:eastAsia="Palatino Linotype" w:hAnsi="Palatino Linotype" w:cs="Palatino Linotype"/>
          <w:lang w:val="es-MX" w:eastAsia="es-ES"/>
        </w:rPr>
        <w:t xml:space="preserve"> </w:t>
      </w:r>
      <w:r w:rsidRPr="006A6FF8">
        <w:rPr>
          <w:rFonts w:ascii="Palatino Linotype" w:eastAsia="Palatino Linotype" w:hAnsi="Palatino Linotype" w:cs="Palatino Linotype"/>
          <w:b/>
          <w:lang w:val="es-MX" w:eastAsia="es-ES"/>
        </w:rPr>
        <w:t>Recurrente</w:t>
      </w:r>
      <w:r w:rsidRPr="006A6FF8">
        <w:rPr>
          <w:rFonts w:ascii="Palatino Linotype" w:eastAsia="Palatino Linotype" w:hAnsi="Palatino Linotype" w:cs="Palatino Linotype"/>
          <w:lang w:val="es-MX" w:eastAsia="es-ES"/>
        </w:rPr>
        <w:t xml:space="preserve">, toda vez que quien se pronunció en todo momento es la Titular de la Unidad de Transparencia, por lo que se incumplió con el principio de exhaustividad, pues se reitera que no existe una correcta búsqueda exhaustiva y </w:t>
      </w:r>
      <w:r w:rsidRPr="006A6FF8">
        <w:rPr>
          <w:rFonts w:ascii="Palatino Linotype" w:eastAsia="Palatino Linotype" w:hAnsi="Palatino Linotype" w:cs="Palatino Linotype"/>
          <w:lang w:val="es-MX" w:eastAsia="es-ES"/>
        </w:rPr>
        <w:lastRenderedPageBreak/>
        <w:t xml:space="preserve">razonable de la información solicitada por la parte solicitante, lo anterior es así, en razón de que como se verá en las próximas líneas argumentativas, para otorgar mayor certeza jurídica al particular de que se realizaron las gestiones necesarias para obtener la información, dichos requerimientos debió turnarse a su vez a los servidores públicos habilitados competentes, en ese sentido, concierne a los sujetos obligados seguir el procedimiento para la atención a las solicitudes de acceso a la información, establecido en los artículos 151, 160, 162, 163, 164, 165 y 166, de la Ley de Transparencia y Acceso a la Información Pública del Estado de México y Municipios, el cual es el siguiente: </w:t>
      </w:r>
    </w:p>
    <w:p w:rsidR="00250DCB" w:rsidRPr="006A6FF8" w:rsidRDefault="00250DCB" w:rsidP="00250DCB">
      <w:pPr>
        <w:spacing w:after="240" w:line="360" w:lineRule="auto"/>
        <w:jc w:val="both"/>
        <w:rPr>
          <w:rFonts w:ascii="Palatino Linotype" w:eastAsia="Palatino Linotype" w:hAnsi="Palatino Linotype" w:cs="Palatino Linotype"/>
          <w:lang w:val="es-MX" w:eastAsia="es-ES"/>
        </w:rPr>
      </w:pPr>
      <w:r w:rsidRPr="006A6FF8">
        <w:rPr>
          <w:rFonts w:ascii="Palatino Linotype" w:eastAsia="Palatino Linotype" w:hAnsi="Palatino Linotype" w:cs="Palatino Linotype"/>
          <w:lang w:val="es-MX" w:eastAsia="es-ES"/>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rsidR="00250DCB" w:rsidRPr="006A6FF8" w:rsidRDefault="00250DCB" w:rsidP="00250DCB">
      <w:pPr>
        <w:spacing w:after="240" w:line="360" w:lineRule="auto"/>
        <w:jc w:val="both"/>
        <w:rPr>
          <w:rFonts w:ascii="Palatino Linotype" w:eastAsia="Palatino Linotype" w:hAnsi="Palatino Linotype" w:cs="Palatino Linotype"/>
          <w:lang w:val="es-MX" w:eastAsia="es-ES"/>
        </w:rPr>
      </w:pPr>
      <w:r w:rsidRPr="006A6FF8">
        <w:rPr>
          <w:rFonts w:ascii="Palatino Linotype" w:eastAsia="Palatino Linotype" w:hAnsi="Palatino Linotype" w:cs="Palatino Linotype"/>
          <w:lang w:val="es-MX" w:eastAsia="es-ES"/>
        </w:rPr>
        <w:t xml:space="preserve">• La respuesta a los requerimientos informativos, deberá notificarse al interesado en el menor tiempo posible, que no podrá exceder de quince días hábiles, contados a partir del día siguiente a la presentación de esta. </w:t>
      </w:r>
    </w:p>
    <w:p w:rsidR="00250DCB" w:rsidRPr="006A6FF8" w:rsidRDefault="00250DCB" w:rsidP="00250DCB">
      <w:pPr>
        <w:spacing w:after="240" w:line="360" w:lineRule="auto"/>
        <w:jc w:val="both"/>
        <w:rPr>
          <w:rFonts w:ascii="Palatino Linotype" w:eastAsia="Palatino Linotype" w:hAnsi="Palatino Linotype" w:cs="Palatino Linotype"/>
          <w:lang w:val="es-MX" w:eastAsia="es-ES"/>
        </w:rPr>
      </w:pPr>
      <w:r w:rsidRPr="006A6FF8">
        <w:rPr>
          <w:rFonts w:ascii="Palatino Linotype" w:eastAsia="Palatino Linotype" w:hAnsi="Palatino Linotype" w:cs="Palatino Linotype"/>
          <w:lang w:val="es-MX" w:eastAsia="es-ES"/>
        </w:rPr>
        <w:t xml:space="preserve">Excepcionalmente, el plazo referido podrá ampliarse por siete días hábiles más, cuando existan razones fundadas y motivadas, a través del Comité de Transparencia; </w:t>
      </w:r>
    </w:p>
    <w:p w:rsidR="00250DCB" w:rsidRPr="006A6FF8" w:rsidRDefault="00250DCB" w:rsidP="00250DCB">
      <w:pPr>
        <w:spacing w:after="240" w:line="360" w:lineRule="auto"/>
        <w:jc w:val="both"/>
        <w:rPr>
          <w:rFonts w:ascii="Palatino Linotype" w:eastAsia="Palatino Linotype" w:hAnsi="Palatino Linotype" w:cs="Palatino Linotype"/>
          <w:lang w:val="es-MX" w:eastAsia="es-ES"/>
        </w:rPr>
      </w:pPr>
      <w:r w:rsidRPr="006A6FF8">
        <w:rPr>
          <w:rFonts w:ascii="Palatino Linotype" w:eastAsia="Palatino Linotype" w:hAnsi="Palatino Linotype" w:cs="Palatino Linotype"/>
          <w:lang w:val="es-MX" w:eastAsia="es-ES"/>
        </w:rPr>
        <w:lastRenderedPageBreak/>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rsidR="00250DCB" w:rsidRPr="006A6FF8" w:rsidRDefault="00250DCB" w:rsidP="00250DCB">
      <w:pPr>
        <w:spacing w:after="240" w:line="360" w:lineRule="auto"/>
        <w:jc w:val="both"/>
        <w:rPr>
          <w:rFonts w:ascii="Palatino Linotype" w:eastAsia="Palatino Linotype" w:hAnsi="Palatino Linotype" w:cs="Palatino Linotype"/>
          <w:lang w:val="es-MX" w:eastAsia="es-ES"/>
        </w:rPr>
      </w:pPr>
      <w:r w:rsidRPr="006A6FF8">
        <w:rPr>
          <w:rFonts w:ascii="Palatino Linotype" w:eastAsia="Palatino Linotype" w:hAnsi="Palatino Linotype" w:cs="Palatino Linotype"/>
          <w:lang w:val="es-MX" w:eastAsia="es-ES"/>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rsidR="00250DCB" w:rsidRPr="006A6FF8" w:rsidRDefault="00250DCB" w:rsidP="00250DCB">
      <w:pPr>
        <w:spacing w:after="240" w:line="360" w:lineRule="auto"/>
        <w:jc w:val="both"/>
        <w:rPr>
          <w:rFonts w:ascii="Palatino Linotype" w:eastAsia="Palatino Linotype" w:hAnsi="Palatino Linotype" w:cs="Palatino Linotype"/>
          <w:lang w:val="es-MX" w:eastAsia="es-ES"/>
        </w:rPr>
      </w:pPr>
      <w:r w:rsidRPr="006A6FF8">
        <w:rPr>
          <w:rFonts w:ascii="Palatino Linotype" w:eastAsia="Palatino Linotype" w:hAnsi="Palatino Linotype" w:cs="Palatino Linotype"/>
          <w:lang w:val="es-MX" w:eastAsia="es-ES"/>
        </w:rPr>
        <w:t>•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rsidR="00250DCB" w:rsidRPr="006A6FF8" w:rsidRDefault="00250DCB" w:rsidP="00250DCB">
      <w:pPr>
        <w:shd w:val="clear" w:color="auto" w:fill="FFFFFF"/>
        <w:spacing w:before="240" w:after="240" w:line="360" w:lineRule="auto"/>
        <w:jc w:val="both"/>
        <w:rPr>
          <w:rFonts w:ascii="Palatino Linotype" w:eastAsia="Palatino Linotype" w:hAnsi="Palatino Linotype" w:cs="Palatino Linotype"/>
          <w:lang w:val="es-MX" w:eastAsia="es-ES"/>
        </w:rPr>
      </w:pPr>
      <w:r w:rsidRPr="006A6FF8">
        <w:rPr>
          <w:rFonts w:ascii="Palatino Linotype" w:eastAsia="Palatino Linotype" w:hAnsi="Palatino Linotype" w:cs="Palatino Linotype"/>
          <w:lang w:val="es-MX" w:eastAsia="es-ES"/>
        </w:rPr>
        <w:t xml:space="preserve">En este orden de ideas, se reitera que el </w:t>
      </w:r>
      <w:r w:rsidRPr="006A6FF8">
        <w:rPr>
          <w:rFonts w:ascii="Palatino Linotype" w:eastAsia="Palatino Linotype" w:hAnsi="Palatino Linotype" w:cs="Palatino Linotype"/>
          <w:b/>
          <w:lang w:val="es-MX" w:eastAsia="es-ES"/>
        </w:rPr>
        <w:t>Sujeto Obligado</w:t>
      </w:r>
      <w:r w:rsidRPr="006A6FF8">
        <w:rPr>
          <w:rFonts w:ascii="Palatino Linotype" w:eastAsia="Palatino Linotype" w:hAnsi="Palatino Linotype" w:cs="Palatino Linotype"/>
          <w:lang w:val="es-MX" w:eastAsia="es-ES"/>
        </w:rPr>
        <w:t xml:space="preserve"> debió turnar la solicitud a las áreas competentes para conocer de la solicitud de información para efecto de que emitieran su respuesta dentro de los plazos establecidos por la legislación, como en el caso concreto lo procedente era turnar este requerimiento a la Dirección de Administración y Tesorería, ello en virtud de que como ya se señaló en líneas </w:t>
      </w:r>
      <w:r w:rsidRPr="006A6FF8">
        <w:rPr>
          <w:rFonts w:ascii="Palatino Linotype" w:eastAsia="Palatino Linotype" w:hAnsi="Palatino Linotype" w:cs="Palatino Linotype"/>
          <w:lang w:val="es-MX" w:eastAsia="es-ES"/>
        </w:rPr>
        <w:lastRenderedPageBreak/>
        <w:t xml:space="preserve">argumentativas anteriores, es la unidad administrativa encargada de realizar las adquisiciones necesarias para el funcionamiento del </w:t>
      </w:r>
      <w:r w:rsidRPr="006A6FF8">
        <w:rPr>
          <w:rFonts w:ascii="Palatino Linotype" w:eastAsia="Palatino Linotype" w:hAnsi="Palatino Linotype" w:cs="Palatino Linotype"/>
          <w:b/>
          <w:lang w:val="es-MX" w:eastAsia="es-ES"/>
        </w:rPr>
        <w:t>Sujeto Obligado</w:t>
      </w:r>
      <w:r w:rsidRPr="006A6FF8">
        <w:rPr>
          <w:rFonts w:ascii="Palatino Linotype" w:eastAsia="Palatino Linotype" w:hAnsi="Palatino Linotype" w:cs="Palatino Linotype"/>
          <w:lang w:val="es-MX" w:eastAsia="es-ES"/>
        </w:rPr>
        <w:t>.</w:t>
      </w:r>
    </w:p>
    <w:p w:rsidR="00CD6F7D" w:rsidRPr="006A6FF8" w:rsidRDefault="00CD6F7D" w:rsidP="00CD6F7D">
      <w:pPr>
        <w:pBdr>
          <w:top w:val="nil"/>
          <w:left w:val="nil"/>
          <w:bottom w:val="nil"/>
          <w:right w:val="nil"/>
          <w:between w:val="nil"/>
        </w:pBdr>
        <w:spacing w:before="240" w:after="240" w:line="360" w:lineRule="auto"/>
        <w:jc w:val="both"/>
        <w:rPr>
          <w:rFonts w:ascii="Palatino Linotype" w:hAnsi="Palatino Linotype"/>
        </w:rPr>
      </w:pPr>
      <w:r w:rsidRPr="006A6FF8">
        <w:rPr>
          <w:rFonts w:ascii="Palatino Linotype" w:hAnsi="Palatino Linotype"/>
        </w:rPr>
        <w:t xml:space="preserve">Es por todo lo señalado hasta este punto que este Organismo Garante no puede tener por válida la manifestación del </w:t>
      </w:r>
      <w:r w:rsidRPr="006A6FF8">
        <w:rPr>
          <w:rFonts w:ascii="Palatino Linotype" w:hAnsi="Palatino Linotype"/>
          <w:b/>
        </w:rPr>
        <w:t>Sujeto Obligado</w:t>
      </w:r>
      <w:r w:rsidRPr="006A6FF8">
        <w:rPr>
          <w:rFonts w:ascii="Palatino Linotype" w:hAnsi="Palatino Linotype"/>
        </w:rPr>
        <w:t xml:space="preserve"> referente a la incompetencia para atender la solicitud de información, en virtud de que como se ha sostenido a lo largo del presente análisis, el ente público, dentro de su estructura orgánica cuenta con una instancia encargada de las adquisiciones, tan es así que efectivamente las ha llevado a cabo, como se acredita con la información vertida en su portal de Información Pública de Oficio, por lo tanto, se insiste en que en estricta tutela al derecho de acceso a la información pública de la parte Recurrente, debe realizarse una búsqueda exhaustiva y razonable para efecto de localizar la información solicitada.</w:t>
      </w:r>
    </w:p>
    <w:p w:rsidR="009D12E4" w:rsidRPr="006A6FF8" w:rsidRDefault="000941EF" w:rsidP="009D12E4">
      <w:pPr>
        <w:spacing w:before="240" w:after="240" w:line="360" w:lineRule="auto"/>
        <w:ind w:right="49"/>
        <w:jc w:val="both"/>
        <w:rPr>
          <w:rFonts w:ascii="Palatino Linotype" w:eastAsia="Palatino Linotype" w:hAnsi="Palatino Linotype" w:cs="Palatino Linotype"/>
        </w:rPr>
      </w:pPr>
      <w:r w:rsidRPr="006A6FF8">
        <w:rPr>
          <w:rFonts w:ascii="Palatino Linotype" w:eastAsia="Palatino Linotype" w:hAnsi="Palatino Linotype" w:cs="Palatino Linotype"/>
        </w:rPr>
        <w:t>E</w:t>
      </w:r>
      <w:r w:rsidR="00EB37EF" w:rsidRPr="006A6FF8">
        <w:rPr>
          <w:rFonts w:ascii="Palatino Linotype" w:eastAsia="Palatino Linotype" w:hAnsi="Palatino Linotype" w:cs="Palatino Linotype"/>
        </w:rPr>
        <w:t>s por todo lo anterior que</w:t>
      </w:r>
      <w:r w:rsidRPr="006A6FF8">
        <w:rPr>
          <w:rFonts w:ascii="Palatino Linotype" w:eastAsia="Palatino Linotype" w:hAnsi="Palatino Linotype" w:cs="Palatino Linotype"/>
        </w:rPr>
        <w:t xml:space="preserve"> esta autoridad estima que las razones o motivos de inconformidad hechos valer por </w:t>
      </w:r>
      <w:r w:rsidRPr="006A6FF8">
        <w:rPr>
          <w:rFonts w:ascii="Palatino Linotype" w:eastAsia="Palatino Linotype" w:hAnsi="Palatino Linotype" w:cs="Palatino Linotype"/>
          <w:b/>
        </w:rPr>
        <w:t>la</w:t>
      </w:r>
      <w:r w:rsidRPr="006A6FF8">
        <w:rPr>
          <w:rFonts w:ascii="Palatino Linotype" w:eastAsia="Palatino Linotype" w:hAnsi="Palatino Linotype" w:cs="Palatino Linotype"/>
        </w:rPr>
        <w:t xml:space="preserve"> parte </w:t>
      </w:r>
      <w:r w:rsidRPr="006A6FF8">
        <w:rPr>
          <w:rFonts w:ascii="Palatino Linotype" w:eastAsia="Palatino Linotype" w:hAnsi="Palatino Linotype" w:cs="Palatino Linotype"/>
          <w:b/>
        </w:rPr>
        <w:t>Recurrente</w:t>
      </w:r>
      <w:r w:rsidRPr="006A6FF8">
        <w:rPr>
          <w:rFonts w:ascii="Palatino Linotype" w:eastAsia="Palatino Linotype" w:hAnsi="Palatino Linotype" w:cs="Palatino Linotype"/>
        </w:rPr>
        <w:t xml:space="preserve"> se </w:t>
      </w:r>
      <w:r w:rsidR="00D222CD" w:rsidRPr="006A6FF8">
        <w:rPr>
          <w:rFonts w:ascii="Palatino Linotype" w:eastAsia="Palatino Linotype" w:hAnsi="Palatino Linotype" w:cs="Palatino Linotype"/>
        </w:rPr>
        <w:t>estiman fundados</w:t>
      </w:r>
      <w:r w:rsidRPr="006A6FF8">
        <w:rPr>
          <w:rFonts w:ascii="Palatino Linotype" w:eastAsia="Palatino Linotype" w:hAnsi="Palatino Linotype" w:cs="Palatino Linotype"/>
        </w:rPr>
        <w:t>; por lo que, lo procedente es </w:t>
      </w:r>
      <w:r w:rsidR="00D222CD" w:rsidRPr="006A6FF8">
        <w:rPr>
          <w:rFonts w:ascii="Palatino Linotype" w:eastAsia="Palatino Linotype" w:hAnsi="Palatino Linotype" w:cs="Palatino Linotype"/>
          <w:b/>
        </w:rPr>
        <w:t>REVO</w:t>
      </w:r>
      <w:r w:rsidRPr="006A6FF8">
        <w:rPr>
          <w:rFonts w:ascii="Palatino Linotype" w:eastAsia="Palatino Linotype" w:hAnsi="Palatino Linotype" w:cs="Palatino Linotype"/>
          <w:b/>
        </w:rPr>
        <w:t>CAR</w:t>
      </w:r>
      <w:r w:rsidRPr="006A6FF8">
        <w:rPr>
          <w:rFonts w:ascii="Palatino Linotype" w:eastAsia="Palatino Linotype" w:hAnsi="Palatino Linotype" w:cs="Palatino Linotype"/>
        </w:rPr>
        <w:t xml:space="preserve"> la respuesta del </w:t>
      </w:r>
      <w:r w:rsidRPr="006A6FF8">
        <w:rPr>
          <w:rFonts w:ascii="Palatino Linotype" w:eastAsia="Palatino Linotype" w:hAnsi="Palatino Linotype" w:cs="Palatino Linotype"/>
          <w:b/>
        </w:rPr>
        <w:t xml:space="preserve">Sujeto Obligado y previa búsqueda exhaustiva y razonable, ordenar la entrega </w:t>
      </w:r>
      <w:r w:rsidR="00D222CD" w:rsidRPr="006A6FF8">
        <w:rPr>
          <w:rFonts w:ascii="Palatino Linotype" w:eastAsia="Palatino Linotype" w:hAnsi="Palatino Linotype" w:cs="Palatino Linotype"/>
        </w:rPr>
        <w:t>d</w:t>
      </w:r>
      <w:r w:rsidR="002710DD" w:rsidRPr="006A6FF8">
        <w:rPr>
          <w:rFonts w:ascii="Palatino Linotype" w:eastAsia="Palatino Linotype" w:hAnsi="Palatino Linotype" w:cs="Palatino Linotype"/>
        </w:rPr>
        <w:t>e lo siguiente</w:t>
      </w:r>
      <w:r w:rsidR="00E77D99" w:rsidRPr="006A6FF8">
        <w:rPr>
          <w:rFonts w:ascii="Palatino Linotype" w:eastAsia="Palatino Linotype" w:hAnsi="Palatino Linotype" w:cs="Palatino Linotype"/>
        </w:rPr>
        <w:t>, en versión pública, atendiendo a lo dispuesto por el considerando quinto</w:t>
      </w:r>
      <w:r w:rsidR="002710DD" w:rsidRPr="006A6FF8">
        <w:rPr>
          <w:rFonts w:ascii="Palatino Linotype" w:eastAsia="Palatino Linotype" w:hAnsi="Palatino Linotype" w:cs="Palatino Linotype"/>
        </w:rPr>
        <w:t xml:space="preserve">: </w:t>
      </w:r>
    </w:p>
    <w:p w:rsidR="009D12E4" w:rsidRPr="006A6FF8" w:rsidRDefault="009D12E4" w:rsidP="009D12E4">
      <w:pPr>
        <w:spacing w:line="276" w:lineRule="auto"/>
        <w:ind w:left="567" w:right="900"/>
        <w:jc w:val="both"/>
        <w:rPr>
          <w:rFonts w:ascii="Palatino Linotype" w:eastAsia="Palatino Linotype" w:hAnsi="Palatino Linotype" w:cs="Palatino Linotype"/>
          <w:b/>
          <w:i/>
          <w:sz w:val="22"/>
        </w:rPr>
      </w:pPr>
      <w:r w:rsidRPr="006A6FF8">
        <w:rPr>
          <w:rFonts w:ascii="Palatino Linotype" w:eastAsia="Palatino Linotype" w:hAnsi="Palatino Linotype" w:cs="Palatino Linotype"/>
          <w:b/>
          <w:i/>
          <w:sz w:val="22"/>
        </w:rPr>
        <w:t xml:space="preserve">Contratos de adquisición de bienes y servicios </w:t>
      </w:r>
      <w:r w:rsidR="00CD6F7D" w:rsidRPr="006A6FF8">
        <w:rPr>
          <w:rFonts w:ascii="Palatino Linotype" w:eastAsia="Palatino Linotype" w:hAnsi="Palatino Linotype" w:cs="Palatino Linotype"/>
          <w:b/>
          <w:i/>
          <w:sz w:val="22"/>
        </w:rPr>
        <w:t>derivados de procedimientos de</w:t>
      </w:r>
      <w:r w:rsidRPr="006A6FF8">
        <w:rPr>
          <w:rFonts w:ascii="Palatino Linotype" w:eastAsia="Palatino Linotype" w:hAnsi="Palatino Linotype" w:cs="Palatino Linotype"/>
          <w:b/>
          <w:i/>
          <w:sz w:val="22"/>
        </w:rPr>
        <w:t xml:space="preserve"> adjudicación directa, licitación pública e invitación a cuando meses tres personas, así como las factu</w:t>
      </w:r>
      <w:r w:rsidR="00CD6F7D" w:rsidRPr="006A6FF8">
        <w:rPr>
          <w:rFonts w:ascii="Palatino Linotype" w:eastAsia="Palatino Linotype" w:hAnsi="Palatino Linotype" w:cs="Palatino Linotype"/>
          <w:b/>
          <w:i/>
          <w:sz w:val="22"/>
        </w:rPr>
        <w:t xml:space="preserve">ras pagadas por estos conceptos, generados </w:t>
      </w:r>
      <w:r w:rsidRPr="006A6FF8">
        <w:rPr>
          <w:rFonts w:ascii="Palatino Linotype" w:eastAsia="Palatino Linotype" w:hAnsi="Palatino Linotype" w:cs="Palatino Linotype"/>
          <w:b/>
          <w:i/>
          <w:sz w:val="22"/>
        </w:rPr>
        <w:t>del 1 de enero de 2021 al 29 de marzo de 2023.</w:t>
      </w:r>
    </w:p>
    <w:p w:rsidR="009D12E4" w:rsidRPr="006A6FF8" w:rsidRDefault="009D12E4" w:rsidP="0068701F">
      <w:pPr>
        <w:spacing w:line="360" w:lineRule="auto"/>
        <w:jc w:val="both"/>
        <w:rPr>
          <w:rFonts w:ascii="Palatino Linotype" w:eastAsia="Palatino Linotype" w:hAnsi="Palatino Linotype" w:cs="Palatino Linotype"/>
          <w:b/>
        </w:rPr>
      </w:pPr>
    </w:p>
    <w:p w:rsidR="0068701F" w:rsidRPr="006A6FF8" w:rsidRDefault="0068701F" w:rsidP="0068701F">
      <w:pPr>
        <w:spacing w:line="360" w:lineRule="auto"/>
        <w:jc w:val="both"/>
        <w:rPr>
          <w:rFonts w:ascii="Palatino Linotype" w:eastAsia="Palatino Linotype" w:hAnsi="Palatino Linotype" w:cs="Palatino Linotype"/>
        </w:rPr>
      </w:pPr>
      <w:r w:rsidRPr="006A6FF8">
        <w:rPr>
          <w:rFonts w:ascii="Palatino Linotype" w:eastAsia="Palatino Linotype" w:hAnsi="Palatino Linotype" w:cs="Palatino Linotype"/>
          <w:b/>
        </w:rPr>
        <w:lastRenderedPageBreak/>
        <w:t xml:space="preserve">Quinto. Versión Pública. </w:t>
      </w:r>
      <w:r w:rsidRPr="006A6FF8">
        <w:rPr>
          <w:rFonts w:ascii="Palatino Linotype" w:eastAsia="Palatino Linotype" w:hAnsi="Palatino Linotype" w:cs="Palatino Linotype"/>
        </w:rPr>
        <w:t xml:space="preserve">Finalmente para la entrega de los soportes documentales que deberá proporcionar el </w:t>
      </w:r>
      <w:r w:rsidRPr="006A6FF8">
        <w:rPr>
          <w:rFonts w:ascii="Palatino Linotype" w:eastAsia="Palatino Linotype" w:hAnsi="Palatino Linotype" w:cs="Palatino Linotype"/>
          <w:b/>
        </w:rPr>
        <w:t>Sujeto Obligado</w:t>
      </w:r>
      <w:r w:rsidRPr="006A6FF8">
        <w:rPr>
          <w:rFonts w:ascii="Palatino Linotype" w:eastAsia="Palatino Linotype" w:hAnsi="Palatino Linotype" w:cs="Palatino Linotype"/>
        </w:rPr>
        <w:t xml:space="preserve">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sidRPr="006A6FF8">
        <w:rPr>
          <w:rFonts w:ascii="Palatino Linotype" w:eastAsia="Palatino Linotype" w:hAnsi="Palatino Linotype" w:cs="Palatino Linotype"/>
          <w:b/>
        </w:rPr>
        <w:t>Sujeto Obligado</w:t>
      </w:r>
      <w:r w:rsidRPr="006A6FF8">
        <w:rPr>
          <w:rFonts w:ascii="Palatino Linotype" w:eastAsia="Palatino Linotype" w:hAnsi="Palatino Linotype" w:cs="Palatino Linotype"/>
        </w:rPr>
        <w:t xml:space="preserve"> tendrá que elaborar la versión pública de los documentos que vaya entregar para dar cumplimiento a esta resolución, a fin de satisfacer el derecho de acceso a la información pública del recurrente sin menoscabar el derecho a la protección de los datos personales de terceros.</w:t>
      </w:r>
    </w:p>
    <w:p w:rsidR="0068701F" w:rsidRPr="006A6FF8" w:rsidRDefault="0068701F" w:rsidP="0068701F">
      <w:pPr>
        <w:spacing w:before="240" w:after="240" w:line="360" w:lineRule="auto"/>
        <w:ind w:right="50"/>
        <w:jc w:val="both"/>
        <w:rPr>
          <w:rFonts w:ascii="Palatino Linotype" w:eastAsia="Palatino Linotype" w:hAnsi="Palatino Linotype" w:cs="Palatino Linotype"/>
        </w:rPr>
      </w:pPr>
      <w:r w:rsidRPr="006A6FF8">
        <w:rPr>
          <w:rFonts w:ascii="Palatino Linotype" w:eastAsia="Palatino Linotype" w:hAnsi="Palatino Linotype" w:cs="Palatino Linotype"/>
        </w:rPr>
        <w:t xml:space="preserve">Lo anterior, de conformidad a lo que señalan los artículos 3 fracciones IX, XX, XXI y XLV, 91, 132 fracciones II y III, y 143 </w:t>
      </w:r>
      <w:proofErr w:type="gramStart"/>
      <w:r w:rsidRPr="006A6FF8">
        <w:rPr>
          <w:rFonts w:ascii="Palatino Linotype" w:eastAsia="Palatino Linotype" w:hAnsi="Palatino Linotype" w:cs="Palatino Linotype"/>
        </w:rPr>
        <w:t>fracción</w:t>
      </w:r>
      <w:proofErr w:type="gramEnd"/>
      <w:r w:rsidRPr="006A6FF8">
        <w:rPr>
          <w:rFonts w:ascii="Palatino Linotype" w:eastAsia="Palatino Linotype" w:hAnsi="Palatino Linotype" w:cs="Palatino Linotype"/>
        </w:rPr>
        <w:t xml:space="preserve"> I de la Ley de Transparencia y Acceso a la Información Pública del Estado de México y Municipios que establecen:</w:t>
      </w:r>
    </w:p>
    <w:p w:rsidR="0068701F" w:rsidRPr="006A6FF8" w:rsidRDefault="0068701F" w:rsidP="0068701F">
      <w:pPr>
        <w:spacing w:before="120" w:after="120"/>
        <w:ind w:left="567" w:right="902"/>
        <w:jc w:val="both"/>
        <w:rPr>
          <w:rFonts w:ascii="Palatino Linotype" w:eastAsia="Palatino Linotype" w:hAnsi="Palatino Linotype" w:cs="Palatino Linotype"/>
          <w:i/>
          <w:sz w:val="22"/>
          <w:szCs w:val="22"/>
        </w:rPr>
      </w:pPr>
      <w:r w:rsidRPr="006A6FF8">
        <w:rPr>
          <w:rFonts w:ascii="Palatino Linotype" w:eastAsia="Palatino Linotype" w:hAnsi="Palatino Linotype" w:cs="Palatino Linotype"/>
          <w:i/>
          <w:sz w:val="22"/>
          <w:szCs w:val="22"/>
        </w:rPr>
        <w:t>“</w:t>
      </w:r>
      <w:r w:rsidRPr="006A6FF8">
        <w:rPr>
          <w:rFonts w:ascii="Palatino Linotype" w:eastAsia="Palatino Linotype" w:hAnsi="Palatino Linotype" w:cs="Palatino Linotype"/>
          <w:b/>
          <w:i/>
          <w:sz w:val="22"/>
          <w:szCs w:val="22"/>
        </w:rPr>
        <w:t>Artículo 3</w:t>
      </w:r>
      <w:r w:rsidRPr="006A6FF8">
        <w:rPr>
          <w:rFonts w:ascii="Palatino Linotype" w:eastAsia="Palatino Linotype" w:hAnsi="Palatino Linotype" w:cs="Palatino Linotype"/>
          <w:i/>
          <w:sz w:val="22"/>
          <w:szCs w:val="22"/>
        </w:rPr>
        <w:t>. Para los efectos de la presente Ley se entenderá por:</w:t>
      </w:r>
    </w:p>
    <w:p w:rsidR="0068701F" w:rsidRPr="006A6FF8" w:rsidRDefault="0068701F" w:rsidP="0068701F">
      <w:pPr>
        <w:spacing w:before="120" w:after="120"/>
        <w:ind w:left="567" w:right="902"/>
        <w:jc w:val="both"/>
        <w:rPr>
          <w:rFonts w:ascii="Palatino Linotype" w:eastAsia="Palatino Linotype" w:hAnsi="Palatino Linotype" w:cs="Palatino Linotype"/>
          <w:i/>
          <w:sz w:val="22"/>
          <w:szCs w:val="22"/>
        </w:rPr>
      </w:pPr>
      <w:r w:rsidRPr="006A6FF8">
        <w:rPr>
          <w:rFonts w:ascii="Palatino Linotype" w:eastAsia="Palatino Linotype" w:hAnsi="Palatino Linotype" w:cs="Palatino Linotype"/>
          <w:i/>
          <w:sz w:val="22"/>
          <w:szCs w:val="22"/>
        </w:rPr>
        <w:t>[…]</w:t>
      </w:r>
    </w:p>
    <w:p w:rsidR="0068701F" w:rsidRPr="006A6FF8" w:rsidRDefault="0068701F" w:rsidP="0068701F">
      <w:pPr>
        <w:spacing w:before="120" w:after="120"/>
        <w:ind w:left="567" w:right="902"/>
        <w:jc w:val="both"/>
        <w:rPr>
          <w:rFonts w:ascii="Palatino Linotype" w:eastAsia="Palatino Linotype" w:hAnsi="Palatino Linotype" w:cs="Palatino Linotype"/>
          <w:i/>
          <w:sz w:val="22"/>
          <w:szCs w:val="22"/>
        </w:rPr>
      </w:pPr>
      <w:r w:rsidRPr="006A6FF8">
        <w:rPr>
          <w:rFonts w:ascii="Palatino Linotype" w:eastAsia="Palatino Linotype" w:hAnsi="Palatino Linotype" w:cs="Palatino Linotype"/>
          <w:b/>
          <w:i/>
          <w:sz w:val="22"/>
          <w:szCs w:val="22"/>
        </w:rPr>
        <w:t>IX. Datos personales:</w:t>
      </w:r>
      <w:r w:rsidRPr="006A6FF8">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rsidR="0068701F" w:rsidRPr="006A6FF8" w:rsidRDefault="0068701F" w:rsidP="0068701F">
      <w:pPr>
        <w:spacing w:before="120" w:after="120"/>
        <w:ind w:left="567" w:right="902"/>
        <w:jc w:val="both"/>
        <w:rPr>
          <w:rFonts w:ascii="Palatino Linotype" w:eastAsia="Palatino Linotype" w:hAnsi="Palatino Linotype" w:cs="Palatino Linotype"/>
          <w:i/>
          <w:sz w:val="22"/>
          <w:szCs w:val="22"/>
        </w:rPr>
      </w:pPr>
      <w:r w:rsidRPr="006A6FF8">
        <w:rPr>
          <w:rFonts w:ascii="Palatino Linotype" w:eastAsia="Palatino Linotype" w:hAnsi="Palatino Linotype" w:cs="Palatino Linotype"/>
          <w:b/>
          <w:i/>
          <w:sz w:val="22"/>
          <w:szCs w:val="22"/>
        </w:rPr>
        <w:t>XX. Información clasificada</w:t>
      </w:r>
      <w:r w:rsidRPr="006A6FF8">
        <w:rPr>
          <w:rFonts w:ascii="Palatino Linotype" w:eastAsia="Palatino Linotype" w:hAnsi="Palatino Linotype" w:cs="Palatino Linotype"/>
          <w:i/>
          <w:sz w:val="22"/>
          <w:szCs w:val="22"/>
        </w:rPr>
        <w:t>: Aquella considerada por la presente Ley como reservada o confidencial;</w:t>
      </w:r>
    </w:p>
    <w:p w:rsidR="0068701F" w:rsidRPr="006A6FF8" w:rsidRDefault="0068701F" w:rsidP="0068701F">
      <w:pPr>
        <w:spacing w:before="120" w:after="120"/>
        <w:ind w:left="567" w:right="902"/>
        <w:jc w:val="both"/>
        <w:rPr>
          <w:rFonts w:ascii="Palatino Linotype" w:eastAsia="Palatino Linotype" w:hAnsi="Palatino Linotype" w:cs="Palatino Linotype"/>
          <w:i/>
          <w:sz w:val="22"/>
          <w:szCs w:val="22"/>
        </w:rPr>
      </w:pPr>
      <w:r w:rsidRPr="006A6FF8">
        <w:rPr>
          <w:rFonts w:ascii="Palatino Linotype" w:eastAsia="Palatino Linotype" w:hAnsi="Palatino Linotype" w:cs="Palatino Linotype"/>
          <w:b/>
          <w:i/>
          <w:sz w:val="22"/>
          <w:szCs w:val="22"/>
        </w:rPr>
        <w:t>XXI. Información confidencial:</w:t>
      </w:r>
      <w:r w:rsidRPr="006A6FF8">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68701F" w:rsidRPr="006A6FF8" w:rsidRDefault="0068701F" w:rsidP="0068701F">
      <w:pPr>
        <w:spacing w:before="120" w:after="120"/>
        <w:ind w:left="567" w:right="902"/>
        <w:jc w:val="both"/>
        <w:rPr>
          <w:rFonts w:ascii="Palatino Linotype" w:eastAsia="Palatino Linotype" w:hAnsi="Palatino Linotype" w:cs="Palatino Linotype"/>
          <w:i/>
          <w:sz w:val="22"/>
          <w:szCs w:val="22"/>
        </w:rPr>
      </w:pPr>
      <w:r w:rsidRPr="006A6FF8">
        <w:rPr>
          <w:rFonts w:ascii="Palatino Linotype" w:eastAsia="Palatino Linotype" w:hAnsi="Palatino Linotype" w:cs="Palatino Linotype"/>
          <w:b/>
          <w:i/>
          <w:sz w:val="22"/>
          <w:szCs w:val="22"/>
        </w:rPr>
        <w:t>XLV. Versión pública:</w:t>
      </w:r>
      <w:r w:rsidRPr="006A6FF8">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rsidR="0068701F" w:rsidRPr="006A6FF8" w:rsidRDefault="0068701F" w:rsidP="0068701F">
      <w:pPr>
        <w:spacing w:before="120" w:after="120"/>
        <w:ind w:left="567" w:right="902"/>
        <w:jc w:val="both"/>
        <w:rPr>
          <w:rFonts w:ascii="Palatino Linotype" w:eastAsia="Palatino Linotype" w:hAnsi="Palatino Linotype" w:cs="Palatino Linotype"/>
          <w:i/>
          <w:sz w:val="22"/>
          <w:szCs w:val="22"/>
        </w:rPr>
      </w:pPr>
      <w:r w:rsidRPr="006A6FF8">
        <w:rPr>
          <w:rFonts w:ascii="Palatino Linotype" w:eastAsia="Palatino Linotype" w:hAnsi="Palatino Linotype" w:cs="Palatino Linotype"/>
          <w:i/>
          <w:sz w:val="22"/>
          <w:szCs w:val="22"/>
        </w:rPr>
        <w:lastRenderedPageBreak/>
        <w:t>[…]</w:t>
      </w:r>
    </w:p>
    <w:p w:rsidR="0068701F" w:rsidRPr="006A6FF8" w:rsidRDefault="0068701F" w:rsidP="0068701F">
      <w:pPr>
        <w:spacing w:before="120" w:after="120"/>
        <w:ind w:left="567" w:right="902"/>
        <w:jc w:val="both"/>
        <w:rPr>
          <w:rFonts w:ascii="Palatino Linotype" w:eastAsia="Palatino Linotype" w:hAnsi="Palatino Linotype" w:cs="Palatino Linotype"/>
          <w:i/>
          <w:sz w:val="22"/>
          <w:szCs w:val="22"/>
        </w:rPr>
      </w:pPr>
      <w:r w:rsidRPr="006A6FF8">
        <w:rPr>
          <w:rFonts w:ascii="Palatino Linotype" w:eastAsia="Palatino Linotype" w:hAnsi="Palatino Linotype" w:cs="Palatino Linotype"/>
          <w:b/>
          <w:i/>
          <w:sz w:val="22"/>
          <w:szCs w:val="22"/>
        </w:rPr>
        <w:t xml:space="preserve">Artículo 91. </w:t>
      </w:r>
      <w:r w:rsidRPr="006A6FF8">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rsidR="0068701F" w:rsidRPr="006A6FF8" w:rsidRDefault="0068701F" w:rsidP="0068701F">
      <w:pPr>
        <w:spacing w:before="120" w:after="120"/>
        <w:ind w:left="567" w:right="902"/>
        <w:jc w:val="both"/>
        <w:rPr>
          <w:rFonts w:ascii="Palatino Linotype" w:eastAsia="Palatino Linotype" w:hAnsi="Palatino Linotype" w:cs="Palatino Linotype"/>
          <w:i/>
          <w:sz w:val="22"/>
          <w:szCs w:val="22"/>
        </w:rPr>
      </w:pPr>
      <w:r w:rsidRPr="006A6FF8">
        <w:rPr>
          <w:rFonts w:ascii="Palatino Linotype" w:eastAsia="Palatino Linotype" w:hAnsi="Palatino Linotype" w:cs="Palatino Linotype"/>
          <w:b/>
          <w:i/>
          <w:sz w:val="22"/>
          <w:szCs w:val="22"/>
        </w:rPr>
        <w:t xml:space="preserve">Artículo 132. </w:t>
      </w:r>
      <w:r w:rsidRPr="006A6FF8">
        <w:rPr>
          <w:rFonts w:ascii="Palatino Linotype" w:eastAsia="Palatino Linotype" w:hAnsi="Palatino Linotype" w:cs="Palatino Linotype"/>
          <w:i/>
          <w:sz w:val="22"/>
          <w:szCs w:val="22"/>
        </w:rPr>
        <w:t>La clasificación de la información se llevará a cabo en el momento en que:</w:t>
      </w:r>
    </w:p>
    <w:p w:rsidR="0068701F" w:rsidRPr="006A6FF8" w:rsidRDefault="0068701F" w:rsidP="0068701F">
      <w:pPr>
        <w:spacing w:before="120" w:after="120"/>
        <w:ind w:left="567" w:right="902"/>
        <w:jc w:val="both"/>
        <w:rPr>
          <w:rFonts w:ascii="Palatino Linotype" w:eastAsia="Palatino Linotype" w:hAnsi="Palatino Linotype" w:cs="Palatino Linotype"/>
          <w:i/>
          <w:sz w:val="22"/>
          <w:szCs w:val="22"/>
        </w:rPr>
      </w:pPr>
      <w:r w:rsidRPr="006A6FF8">
        <w:rPr>
          <w:rFonts w:ascii="Palatino Linotype" w:eastAsia="Palatino Linotype" w:hAnsi="Palatino Linotype" w:cs="Palatino Linotype"/>
          <w:b/>
          <w:i/>
          <w:sz w:val="22"/>
          <w:szCs w:val="22"/>
        </w:rPr>
        <w:t>I</w:t>
      </w:r>
      <w:r w:rsidRPr="006A6FF8">
        <w:rPr>
          <w:rFonts w:ascii="Palatino Linotype" w:eastAsia="Palatino Linotype" w:hAnsi="Palatino Linotype" w:cs="Palatino Linotype"/>
          <w:i/>
          <w:sz w:val="22"/>
          <w:szCs w:val="22"/>
        </w:rPr>
        <w:t>. Se reciba una solicitud de acceso a la información;</w:t>
      </w:r>
    </w:p>
    <w:p w:rsidR="0068701F" w:rsidRPr="006A6FF8" w:rsidRDefault="0068701F" w:rsidP="0068701F">
      <w:pPr>
        <w:spacing w:before="120" w:after="120"/>
        <w:ind w:left="567" w:right="902"/>
        <w:jc w:val="both"/>
        <w:rPr>
          <w:rFonts w:ascii="Palatino Linotype" w:eastAsia="Palatino Linotype" w:hAnsi="Palatino Linotype" w:cs="Palatino Linotype"/>
          <w:i/>
          <w:sz w:val="22"/>
          <w:szCs w:val="22"/>
        </w:rPr>
      </w:pPr>
      <w:r w:rsidRPr="006A6FF8">
        <w:rPr>
          <w:rFonts w:ascii="Palatino Linotype" w:eastAsia="Palatino Linotype" w:hAnsi="Palatino Linotype" w:cs="Palatino Linotype"/>
          <w:b/>
          <w:i/>
          <w:sz w:val="22"/>
          <w:szCs w:val="22"/>
        </w:rPr>
        <w:t>II</w:t>
      </w:r>
      <w:r w:rsidRPr="006A6FF8">
        <w:rPr>
          <w:rFonts w:ascii="Palatino Linotype" w:eastAsia="Palatino Linotype" w:hAnsi="Palatino Linotype" w:cs="Palatino Linotype"/>
          <w:i/>
          <w:sz w:val="22"/>
          <w:szCs w:val="22"/>
        </w:rPr>
        <w:t>. Se determine mediante resolución de autoridad competente; o</w:t>
      </w:r>
    </w:p>
    <w:p w:rsidR="0068701F" w:rsidRPr="006A6FF8" w:rsidRDefault="0068701F" w:rsidP="0068701F">
      <w:pPr>
        <w:spacing w:before="120" w:after="120"/>
        <w:ind w:left="567" w:right="902"/>
        <w:jc w:val="both"/>
        <w:rPr>
          <w:rFonts w:ascii="Palatino Linotype" w:eastAsia="Palatino Linotype" w:hAnsi="Palatino Linotype" w:cs="Palatino Linotype"/>
          <w:i/>
          <w:sz w:val="22"/>
          <w:szCs w:val="22"/>
        </w:rPr>
      </w:pPr>
      <w:r w:rsidRPr="006A6FF8">
        <w:rPr>
          <w:rFonts w:ascii="Palatino Linotype" w:eastAsia="Palatino Linotype" w:hAnsi="Palatino Linotype" w:cs="Palatino Linotype"/>
          <w:b/>
          <w:i/>
          <w:sz w:val="22"/>
          <w:szCs w:val="22"/>
        </w:rPr>
        <w:t>III</w:t>
      </w:r>
      <w:r w:rsidRPr="006A6FF8">
        <w:rPr>
          <w:rFonts w:ascii="Palatino Linotype" w:eastAsia="Palatino Linotype" w:hAnsi="Palatino Linotype" w:cs="Palatino Linotype"/>
          <w:i/>
          <w:sz w:val="22"/>
          <w:szCs w:val="22"/>
        </w:rPr>
        <w:t>. Se generen versiones públicas para dar cumplimiento a las obligaciones de transparencia previstas en esta Ley.</w:t>
      </w:r>
    </w:p>
    <w:p w:rsidR="0068701F" w:rsidRPr="006A6FF8" w:rsidRDefault="0068701F" w:rsidP="0068701F">
      <w:pPr>
        <w:spacing w:before="120" w:after="120"/>
        <w:ind w:left="567" w:right="902"/>
        <w:jc w:val="both"/>
        <w:rPr>
          <w:rFonts w:ascii="Palatino Linotype" w:eastAsia="Palatino Linotype" w:hAnsi="Palatino Linotype" w:cs="Palatino Linotype"/>
          <w:i/>
          <w:sz w:val="22"/>
          <w:szCs w:val="22"/>
        </w:rPr>
      </w:pPr>
      <w:r w:rsidRPr="006A6FF8">
        <w:rPr>
          <w:rFonts w:ascii="Palatino Linotype" w:eastAsia="Palatino Linotype" w:hAnsi="Palatino Linotype" w:cs="Palatino Linotype"/>
          <w:i/>
          <w:sz w:val="22"/>
          <w:szCs w:val="22"/>
        </w:rPr>
        <w:t>[…]</w:t>
      </w:r>
    </w:p>
    <w:p w:rsidR="0068701F" w:rsidRPr="006A6FF8" w:rsidRDefault="0068701F" w:rsidP="0068701F">
      <w:pPr>
        <w:spacing w:before="120" w:after="120"/>
        <w:ind w:left="567" w:right="902"/>
        <w:jc w:val="both"/>
        <w:rPr>
          <w:rFonts w:ascii="Palatino Linotype" w:eastAsia="Palatino Linotype" w:hAnsi="Palatino Linotype" w:cs="Palatino Linotype"/>
          <w:i/>
          <w:sz w:val="22"/>
          <w:szCs w:val="22"/>
        </w:rPr>
      </w:pPr>
      <w:r w:rsidRPr="006A6FF8">
        <w:rPr>
          <w:rFonts w:ascii="Palatino Linotype" w:eastAsia="Palatino Linotype" w:hAnsi="Palatino Linotype" w:cs="Palatino Linotype"/>
          <w:b/>
          <w:i/>
          <w:sz w:val="22"/>
          <w:szCs w:val="22"/>
        </w:rPr>
        <w:t>Artículo 143</w:t>
      </w:r>
      <w:r w:rsidRPr="006A6FF8">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68701F" w:rsidRPr="006A6FF8" w:rsidRDefault="0068701F" w:rsidP="0068701F">
      <w:pPr>
        <w:spacing w:before="120" w:after="120"/>
        <w:ind w:left="567" w:right="902"/>
        <w:jc w:val="both"/>
        <w:rPr>
          <w:rFonts w:ascii="Palatino Linotype" w:eastAsia="Palatino Linotype" w:hAnsi="Palatino Linotype" w:cs="Palatino Linotype"/>
          <w:i/>
          <w:sz w:val="22"/>
          <w:szCs w:val="22"/>
        </w:rPr>
      </w:pPr>
      <w:r w:rsidRPr="006A6FF8">
        <w:rPr>
          <w:rFonts w:ascii="Palatino Linotype" w:eastAsia="Palatino Linotype" w:hAnsi="Palatino Linotype" w:cs="Palatino Linotype"/>
          <w:b/>
          <w:i/>
          <w:sz w:val="22"/>
          <w:szCs w:val="22"/>
        </w:rPr>
        <w:t>I.</w:t>
      </w:r>
      <w:r w:rsidRPr="006A6FF8">
        <w:rPr>
          <w:rFonts w:ascii="Palatino Linotype" w:eastAsia="Palatino Linotype" w:hAnsi="Palatino Linotype" w:cs="Palatino Linotype"/>
          <w:i/>
          <w:sz w:val="22"/>
          <w:szCs w:val="22"/>
        </w:rPr>
        <w:t xml:space="preserve"> Se refiera a la información privada y los datos personales concernientes a una persona física o </w:t>
      </w:r>
      <w:proofErr w:type="gramStart"/>
      <w:r w:rsidRPr="006A6FF8">
        <w:rPr>
          <w:rFonts w:ascii="Palatino Linotype" w:eastAsia="Palatino Linotype" w:hAnsi="Palatino Linotype" w:cs="Palatino Linotype"/>
          <w:i/>
          <w:sz w:val="22"/>
          <w:szCs w:val="22"/>
        </w:rPr>
        <w:t>jurídico</w:t>
      </w:r>
      <w:proofErr w:type="gramEnd"/>
      <w:r w:rsidRPr="006A6FF8">
        <w:rPr>
          <w:rFonts w:ascii="Palatino Linotype" w:eastAsia="Palatino Linotype" w:hAnsi="Palatino Linotype" w:cs="Palatino Linotype"/>
          <w:i/>
          <w:sz w:val="22"/>
          <w:szCs w:val="22"/>
        </w:rPr>
        <w:t xml:space="preserve"> colectiva identificada o identificable;</w:t>
      </w:r>
    </w:p>
    <w:p w:rsidR="0068701F" w:rsidRPr="006A6FF8" w:rsidRDefault="0068701F" w:rsidP="0068701F">
      <w:pPr>
        <w:spacing w:before="120" w:after="120"/>
        <w:ind w:left="567" w:right="902"/>
        <w:jc w:val="both"/>
        <w:rPr>
          <w:rFonts w:ascii="Palatino Linotype" w:eastAsia="Palatino Linotype" w:hAnsi="Palatino Linotype" w:cs="Palatino Linotype"/>
          <w:i/>
          <w:sz w:val="22"/>
          <w:szCs w:val="22"/>
        </w:rPr>
      </w:pPr>
      <w:r w:rsidRPr="006A6FF8">
        <w:rPr>
          <w:rFonts w:ascii="Palatino Linotype" w:eastAsia="Palatino Linotype" w:hAnsi="Palatino Linotype" w:cs="Palatino Linotype"/>
          <w:b/>
          <w:i/>
          <w:sz w:val="22"/>
          <w:szCs w:val="22"/>
        </w:rPr>
        <w:t>II.</w:t>
      </w:r>
      <w:r w:rsidRPr="006A6FF8">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68701F" w:rsidRPr="006A6FF8" w:rsidRDefault="0068701F" w:rsidP="0068701F">
      <w:pPr>
        <w:spacing w:before="120" w:after="120"/>
        <w:ind w:left="567" w:right="902"/>
        <w:jc w:val="both"/>
        <w:rPr>
          <w:rFonts w:ascii="Palatino Linotype" w:eastAsia="Palatino Linotype" w:hAnsi="Palatino Linotype" w:cs="Palatino Linotype"/>
          <w:i/>
          <w:sz w:val="22"/>
          <w:szCs w:val="22"/>
        </w:rPr>
      </w:pPr>
      <w:r w:rsidRPr="006A6FF8">
        <w:rPr>
          <w:rFonts w:ascii="Palatino Linotype" w:eastAsia="Palatino Linotype" w:hAnsi="Palatino Linotype" w:cs="Palatino Linotype"/>
          <w:b/>
          <w:i/>
          <w:sz w:val="22"/>
          <w:szCs w:val="22"/>
        </w:rPr>
        <w:t>III</w:t>
      </w:r>
      <w:r w:rsidRPr="006A6FF8">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rsidR="0068701F" w:rsidRPr="006A6FF8" w:rsidRDefault="0068701F" w:rsidP="0068701F">
      <w:pPr>
        <w:spacing w:before="120" w:after="120"/>
        <w:ind w:left="567" w:right="902"/>
        <w:jc w:val="both"/>
        <w:rPr>
          <w:rFonts w:ascii="Palatino Linotype" w:eastAsia="Palatino Linotype" w:hAnsi="Palatino Linotype" w:cs="Palatino Linotype"/>
          <w:i/>
          <w:sz w:val="22"/>
          <w:szCs w:val="22"/>
        </w:rPr>
      </w:pPr>
      <w:r w:rsidRPr="006A6FF8">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rsidR="0068701F" w:rsidRPr="006A6FF8" w:rsidRDefault="0068701F" w:rsidP="0068701F">
      <w:pPr>
        <w:spacing w:before="120" w:after="120"/>
        <w:ind w:left="567" w:right="902"/>
        <w:jc w:val="both"/>
        <w:rPr>
          <w:rFonts w:ascii="Palatino Linotype" w:eastAsia="Palatino Linotype" w:hAnsi="Palatino Linotype" w:cs="Palatino Linotype"/>
          <w:i/>
          <w:sz w:val="22"/>
          <w:szCs w:val="22"/>
        </w:rPr>
      </w:pPr>
      <w:r w:rsidRPr="006A6FF8">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rsidR="0068701F" w:rsidRPr="006A6FF8" w:rsidRDefault="0068701F" w:rsidP="0068701F">
      <w:pPr>
        <w:spacing w:before="240" w:after="240" w:line="360" w:lineRule="auto"/>
        <w:jc w:val="both"/>
        <w:rPr>
          <w:rFonts w:ascii="Palatino Linotype" w:eastAsia="Palatino Linotype" w:hAnsi="Palatino Linotype" w:cs="Palatino Linotype"/>
        </w:rPr>
      </w:pPr>
      <w:r w:rsidRPr="006A6FF8">
        <w:rPr>
          <w:rFonts w:ascii="Palatino Linotype" w:eastAsia="Palatino Linotype" w:hAnsi="Palatino Linotype" w:cs="Palatino Linotype"/>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w:t>
      </w:r>
      <w:r w:rsidRPr="006A6FF8">
        <w:rPr>
          <w:rFonts w:ascii="Palatino Linotype" w:eastAsia="Palatino Linotype" w:hAnsi="Palatino Linotype" w:cs="Palatino Linotype"/>
        </w:rPr>
        <w:lastRenderedPageBreak/>
        <w:t>reservada o confidencial la información que posean, desclasificarán y generarán, en su caso, versiones públicas de expedientes o documentos que contengan partes o secciones clasificadas.</w:t>
      </w:r>
    </w:p>
    <w:p w:rsidR="009D12E4" w:rsidRPr="006A6FF8" w:rsidRDefault="009D12E4" w:rsidP="009D12E4">
      <w:pPr>
        <w:spacing w:before="240" w:after="240" w:line="360" w:lineRule="auto"/>
        <w:jc w:val="both"/>
        <w:rPr>
          <w:rFonts w:ascii="Palatino Linotype" w:eastAsia="Palatino Linotype" w:hAnsi="Palatino Linotype" w:cs="Palatino Linotype"/>
          <w:lang w:val="es-MX"/>
        </w:rPr>
      </w:pPr>
      <w:r w:rsidRPr="006A6FF8">
        <w:rPr>
          <w:rFonts w:ascii="Palatino Linotype" w:eastAsia="Palatino Linotype" w:hAnsi="Palatino Linotype" w:cs="Palatino Linotype"/>
          <w:lang w:val="es-MX"/>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clave de elector, numero de OCR, CURP, el número de cuenta bancaria, que sean exclusivamente de particulares, entre otros.</w:t>
      </w:r>
    </w:p>
    <w:p w:rsidR="009D12E4" w:rsidRPr="006A6FF8" w:rsidRDefault="009D12E4" w:rsidP="009D12E4">
      <w:pPr>
        <w:spacing w:before="240" w:after="240" w:line="360" w:lineRule="auto"/>
        <w:jc w:val="both"/>
        <w:rPr>
          <w:rFonts w:ascii="Palatino Linotype" w:eastAsia="Palatino Linotype" w:hAnsi="Palatino Linotype" w:cs="Palatino Linotype"/>
          <w:lang w:val="es-MX"/>
        </w:rPr>
      </w:pPr>
      <w:r w:rsidRPr="006A6FF8">
        <w:rPr>
          <w:rFonts w:ascii="Palatino Linotype" w:eastAsia="Palatino Linotype" w:hAnsi="Palatino Linotype" w:cs="Palatino Linotype"/>
          <w:lang w:val="es-MX"/>
        </w:rPr>
        <w:t xml:space="preserve">La </w:t>
      </w:r>
      <w:r w:rsidRPr="006A6FF8">
        <w:rPr>
          <w:rFonts w:ascii="Palatino Linotype" w:eastAsia="Palatino Linotype" w:hAnsi="Palatino Linotype" w:cs="Palatino Linotype"/>
          <w:b/>
          <w:bCs/>
          <w:lang w:val="es-MX"/>
        </w:rPr>
        <w:t>clave de elector</w:t>
      </w:r>
      <w:r w:rsidRPr="006A6FF8">
        <w:rPr>
          <w:rFonts w:ascii="Palatino Linotype" w:eastAsia="Palatino Linotype" w:hAnsi="Palatino Linotype" w:cs="Palatino Linotype"/>
          <w:lang w:val="es-MX"/>
        </w:rPr>
        <w:t xml:space="preserve">, es la composición alfanumérica compuesta de 18 caracteres, mismos que hacen identificable a una persona física, que se conforma por las primeras letras de los apellidos, año, mes, día, sexo, clave del estado en donde nació su titular, así como una </w:t>
      </w:r>
      <w:proofErr w:type="spellStart"/>
      <w:r w:rsidRPr="006A6FF8">
        <w:rPr>
          <w:rFonts w:ascii="Palatino Linotype" w:eastAsia="Palatino Linotype" w:hAnsi="Palatino Linotype" w:cs="Palatino Linotype"/>
          <w:lang w:val="es-MX"/>
        </w:rPr>
        <w:t>homoclave</w:t>
      </w:r>
      <w:proofErr w:type="spellEnd"/>
      <w:r w:rsidRPr="006A6FF8">
        <w:rPr>
          <w:rFonts w:ascii="Palatino Linotype" w:eastAsia="Palatino Linotype" w:hAnsi="Palatino Linotype" w:cs="Palatino Linotype"/>
          <w:lang w:val="es-MX"/>
        </w:rPr>
        <w:t xml:space="preserve"> que distingue a su titular de cualquier otro homónimo, por lo tanto, se trata de un dato personal que debe ser protegido.</w:t>
      </w:r>
    </w:p>
    <w:p w:rsidR="009D12E4" w:rsidRPr="006A6FF8" w:rsidRDefault="009D12E4" w:rsidP="009D12E4">
      <w:pPr>
        <w:spacing w:before="240" w:after="240" w:line="360" w:lineRule="auto"/>
        <w:jc w:val="both"/>
        <w:rPr>
          <w:rFonts w:ascii="Palatino Linotype" w:eastAsia="Palatino Linotype" w:hAnsi="Palatino Linotype" w:cs="Palatino Linotype"/>
          <w:lang w:val="es-MX"/>
        </w:rPr>
      </w:pPr>
      <w:r w:rsidRPr="006A6FF8">
        <w:rPr>
          <w:rFonts w:ascii="Palatino Linotype" w:eastAsia="Palatino Linotype" w:hAnsi="Palatino Linotype" w:cs="Palatino Linotype"/>
          <w:lang w:val="es-MX"/>
        </w:rPr>
        <w:t xml:space="preserve">El </w:t>
      </w:r>
      <w:r w:rsidRPr="006A6FF8">
        <w:rPr>
          <w:rFonts w:ascii="Palatino Linotype" w:eastAsia="Palatino Linotype" w:hAnsi="Palatino Linotype" w:cs="Palatino Linotype"/>
          <w:b/>
          <w:bCs/>
          <w:lang w:val="es-MX"/>
        </w:rPr>
        <w:t>número de OCR,</w:t>
      </w:r>
      <w:r w:rsidRPr="006A6FF8">
        <w:rPr>
          <w:rFonts w:ascii="Palatino Linotype" w:eastAsia="Palatino Linotype" w:hAnsi="Palatino Linotype" w:cs="Palatino Linotype"/>
          <w:lang w:val="es-MX"/>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w:t>
      </w:r>
      <w:r w:rsidRPr="006A6FF8">
        <w:rPr>
          <w:rFonts w:ascii="Palatino Linotype" w:eastAsia="Palatino Linotype" w:hAnsi="Palatino Linotype" w:cs="Palatino Linotype"/>
          <w:lang w:val="es-MX"/>
        </w:rPr>
        <w:lastRenderedPageBreak/>
        <w:t xml:space="preserve">de la información </w:t>
      </w:r>
      <w:proofErr w:type="spellStart"/>
      <w:r w:rsidRPr="006A6FF8">
        <w:rPr>
          <w:rFonts w:ascii="Palatino Linotype" w:eastAsia="Palatino Linotype" w:hAnsi="Palatino Linotype" w:cs="Palatino Linotype"/>
          <w:lang w:val="es-MX"/>
        </w:rPr>
        <w:t>geoelectoral</w:t>
      </w:r>
      <w:proofErr w:type="spellEnd"/>
      <w:r w:rsidRPr="006A6FF8">
        <w:rPr>
          <w:rFonts w:ascii="Palatino Linotype" w:eastAsia="Palatino Linotype" w:hAnsi="Palatino Linotype" w:cs="Palatino Linotype"/>
          <w:lang w:val="es-MX"/>
        </w:rPr>
        <w:t xml:space="preserve"> ahí contenida, por lo que es susceptible de resguardarse.</w:t>
      </w:r>
    </w:p>
    <w:p w:rsidR="009D12E4" w:rsidRPr="006A6FF8" w:rsidRDefault="009D12E4" w:rsidP="009D12E4">
      <w:pPr>
        <w:spacing w:before="240" w:after="240" w:line="360" w:lineRule="auto"/>
        <w:jc w:val="both"/>
        <w:rPr>
          <w:rFonts w:ascii="Palatino Linotype" w:eastAsia="Palatino Linotype" w:hAnsi="Palatino Linotype" w:cs="Palatino Linotype"/>
          <w:lang w:val="es-MX"/>
        </w:rPr>
      </w:pPr>
      <w:r w:rsidRPr="006A6FF8">
        <w:rPr>
          <w:rFonts w:ascii="Palatino Linotype" w:eastAsia="Palatino Linotype" w:hAnsi="Palatino Linotype" w:cs="Palatino Linotype"/>
          <w:lang w:val="es-MX"/>
        </w:rPr>
        <w:t xml:space="preserve">La </w:t>
      </w:r>
      <w:r w:rsidRPr="006A6FF8">
        <w:rPr>
          <w:rFonts w:ascii="Palatino Linotype" w:eastAsia="Palatino Linotype" w:hAnsi="Palatino Linotype" w:cs="Palatino Linotype"/>
          <w:b/>
          <w:bCs/>
          <w:lang w:val="es-MX"/>
        </w:rPr>
        <w:t>clave única del registro de población,</w:t>
      </w:r>
      <w:r w:rsidRPr="006A6FF8">
        <w:rPr>
          <w:rFonts w:ascii="Palatino Linotype" w:eastAsia="Palatino Linotype" w:hAnsi="Palatino Linotype" w:cs="Palatino Linotype"/>
          <w:i/>
          <w:iCs/>
          <w:lang w:val="es-MX"/>
        </w:rPr>
        <w:t xml:space="preserve"> </w:t>
      </w:r>
      <w:r w:rsidRPr="006A6FF8">
        <w:rPr>
          <w:rFonts w:ascii="Palatino Linotype" w:eastAsia="Palatino Linotype" w:hAnsi="Palatino Linotype" w:cs="Palatino Linotype"/>
          <w:lang w:val="es-MX"/>
        </w:rPr>
        <w:t>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está considerada como información confidencial.</w:t>
      </w:r>
    </w:p>
    <w:p w:rsidR="009D12E4" w:rsidRPr="006A6FF8" w:rsidRDefault="009D12E4" w:rsidP="009D12E4">
      <w:pPr>
        <w:spacing w:before="240" w:after="240" w:line="360" w:lineRule="auto"/>
        <w:jc w:val="both"/>
        <w:rPr>
          <w:rFonts w:ascii="Palatino Linotype" w:eastAsia="Palatino Linotype" w:hAnsi="Palatino Linotype" w:cs="Palatino Linotype"/>
          <w:lang w:val="es-MX"/>
        </w:rPr>
      </w:pPr>
      <w:r w:rsidRPr="006A6FF8">
        <w:rPr>
          <w:rFonts w:ascii="Palatino Linotype" w:eastAsia="Palatino Linotype" w:hAnsi="Palatino Linotype" w:cs="Palatino Linotype"/>
          <w:lang w:val="es-MX"/>
        </w:rPr>
        <w:t xml:space="preserve">Igualmente, resulta importante destacar que el </w:t>
      </w:r>
      <w:r w:rsidRPr="006A6FF8">
        <w:rPr>
          <w:rFonts w:ascii="Palatino Linotype" w:eastAsia="Palatino Linotype" w:hAnsi="Palatino Linotype" w:cs="Palatino Linotype"/>
          <w:i/>
          <w:iCs/>
          <w:lang w:val="es-MX"/>
        </w:rPr>
        <w:t>número de cuenta bancaria</w:t>
      </w:r>
      <w:r w:rsidRPr="006A6FF8">
        <w:rPr>
          <w:rFonts w:ascii="Palatino Linotype" w:eastAsia="Palatino Linotype" w:hAnsi="Palatino Linotype" w:cs="Palatino Linotype"/>
          <w:lang w:val="es-MX"/>
        </w:rPr>
        <w:t xml:space="preserve">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rsidR="009D12E4" w:rsidRPr="006A6FF8" w:rsidRDefault="009D12E4" w:rsidP="009D12E4">
      <w:pPr>
        <w:spacing w:before="240" w:after="240" w:line="360" w:lineRule="auto"/>
        <w:jc w:val="both"/>
        <w:rPr>
          <w:rFonts w:ascii="Palatino Linotype" w:eastAsia="Palatino Linotype" w:hAnsi="Palatino Linotype" w:cs="Palatino Linotype"/>
          <w:lang w:val="es-MX"/>
        </w:rPr>
      </w:pPr>
      <w:r w:rsidRPr="006A6FF8">
        <w:rPr>
          <w:rFonts w:ascii="Palatino Linotype" w:eastAsia="Palatino Linotype" w:hAnsi="Palatino Linotype" w:cs="Palatino Linotype"/>
          <w:lang w:val="es-MX"/>
        </w:rPr>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rsidR="009D12E4" w:rsidRPr="006A6FF8" w:rsidRDefault="009D12E4" w:rsidP="009D12E4">
      <w:pPr>
        <w:spacing w:before="240" w:after="240" w:line="360" w:lineRule="auto"/>
        <w:jc w:val="both"/>
        <w:rPr>
          <w:rFonts w:ascii="Palatino Linotype" w:eastAsia="Palatino Linotype" w:hAnsi="Palatino Linotype" w:cs="Palatino Linotype"/>
          <w:lang w:val="es-MX"/>
        </w:rPr>
      </w:pPr>
      <w:r w:rsidRPr="006A6FF8">
        <w:rPr>
          <w:rFonts w:ascii="Palatino Linotype" w:eastAsia="Palatino Linotype" w:hAnsi="Palatino Linotype" w:cs="Palatino Linotype"/>
          <w:lang w:val="es-MX"/>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w:t>
      </w:r>
      <w:r w:rsidRPr="006A6FF8">
        <w:rPr>
          <w:rFonts w:ascii="Palatino Linotype" w:eastAsia="Palatino Linotype" w:hAnsi="Palatino Linotype" w:cs="Palatino Linotype"/>
          <w:lang w:val="es-MX"/>
        </w:rPr>
        <w:lastRenderedPageBreak/>
        <w:t>virtud, este Instituto determina que dicha información no puede ser del dominio público, toda vez que se podría dar un uso inadecuado a la misma o cometer algún ilícito o fraude en contra del patrimonio de los particulares. </w:t>
      </w:r>
    </w:p>
    <w:p w:rsidR="009D12E4" w:rsidRPr="006A6FF8" w:rsidRDefault="009D12E4" w:rsidP="009D12E4">
      <w:pPr>
        <w:spacing w:before="240" w:after="240" w:line="360" w:lineRule="auto"/>
        <w:jc w:val="both"/>
        <w:rPr>
          <w:rFonts w:ascii="Palatino Linotype" w:eastAsia="Palatino Linotype" w:hAnsi="Palatino Linotype" w:cs="Palatino Linotype"/>
          <w:lang w:val="es-MX"/>
        </w:rPr>
      </w:pPr>
      <w:r w:rsidRPr="006A6FF8">
        <w:rPr>
          <w:rFonts w:ascii="Palatino Linotype" w:eastAsia="Palatino Linotype" w:hAnsi="Palatino Linotype" w:cs="Palatino Linotype"/>
          <w:lang w:val="es-MX"/>
        </w:rPr>
        <w:t>En esa virtud, este Pleno determina que dicha información no puede ser del dominio público, toda vez que se podría dar un uso inadecuado a la misma o cometer algún ilícito o fraude como ya ha sido expuesto. </w:t>
      </w:r>
    </w:p>
    <w:p w:rsidR="009D12E4" w:rsidRPr="006A6FF8" w:rsidRDefault="009D12E4" w:rsidP="009D12E4">
      <w:pPr>
        <w:spacing w:before="240" w:after="240" w:line="360" w:lineRule="auto"/>
        <w:jc w:val="both"/>
        <w:rPr>
          <w:rFonts w:ascii="Palatino Linotype" w:eastAsia="Palatino Linotype" w:hAnsi="Palatino Linotype" w:cs="Palatino Linotype"/>
          <w:lang w:val="es-MX"/>
        </w:rPr>
      </w:pPr>
      <w:r w:rsidRPr="006A6FF8">
        <w:rPr>
          <w:rFonts w:ascii="Palatino Linotype" w:eastAsia="Palatino Linotype" w:hAnsi="Palatino Linotype" w:cs="Palatino Linotype"/>
          <w:lang w:val="es-MX"/>
        </w:rPr>
        <w:t>Es por esta razón que se debe omitir el o los números de cuentas bancarias de particulares en las versiones públicas que de las facturas se hagan, para ser entregadas.</w:t>
      </w:r>
    </w:p>
    <w:p w:rsidR="009D12E4" w:rsidRPr="006A6FF8" w:rsidRDefault="009D12E4" w:rsidP="009D12E4">
      <w:pPr>
        <w:spacing w:before="240" w:after="240" w:line="360" w:lineRule="auto"/>
        <w:jc w:val="both"/>
        <w:rPr>
          <w:rFonts w:ascii="Palatino Linotype" w:eastAsia="Palatino Linotype" w:hAnsi="Palatino Linotype" w:cs="Palatino Linotype"/>
          <w:lang w:val="es-MX"/>
        </w:rPr>
      </w:pPr>
      <w:r w:rsidRPr="006A6FF8">
        <w:rPr>
          <w:rFonts w:ascii="Palatino Linotype" w:eastAsia="Palatino Linotype" w:hAnsi="Palatino Linotype" w:cs="Palatino Linotype"/>
          <w:lang w:val="es-MX"/>
        </w:rPr>
        <w:t>Lo anterior, no es así tratándose de las cuentas bancarias o claves interbancarias de los Sujetos Obligados ya que su publicidad cede a la rendición de cuentas al transparentar la forma en que son administrados los recursos públicos.</w:t>
      </w:r>
    </w:p>
    <w:p w:rsidR="009D12E4" w:rsidRPr="006A6FF8" w:rsidRDefault="009D12E4" w:rsidP="009D12E4">
      <w:pPr>
        <w:spacing w:before="240" w:after="240" w:line="360" w:lineRule="auto"/>
        <w:jc w:val="both"/>
        <w:rPr>
          <w:rFonts w:ascii="Palatino Linotype" w:eastAsia="Palatino Linotype" w:hAnsi="Palatino Linotype" w:cs="Palatino Linotype"/>
          <w:lang w:val="es-MX"/>
        </w:rPr>
      </w:pPr>
      <w:r w:rsidRPr="006A6FF8">
        <w:rPr>
          <w:rFonts w:ascii="Palatino Linotype" w:eastAsia="Palatino Linotype" w:hAnsi="Palatino Linotype" w:cs="Palatino Linotype"/>
          <w:lang w:val="es-MX"/>
        </w:rPr>
        <w:t>Lo argumentado encuentra sustento en los criterios 10/17 y 11/17 emitidos por el Instituto Nacional de Transparencia, Acceso a la Información y Protección de Datos Personales, INAI, que llevan por rubro y texto los siguientes:</w:t>
      </w:r>
    </w:p>
    <w:p w:rsidR="009D12E4" w:rsidRPr="006A6FF8" w:rsidRDefault="009D12E4" w:rsidP="009D12E4">
      <w:pPr>
        <w:spacing w:before="240" w:after="240" w:line="276" w:lineRule="auto"/>
        <w:ind w:left="567" w:right="900"/>
        <w:jc w:val="both"/>
        <w:rPr>
          <w:rFonts w:ascii="Palatino Linotype" w:eastAsia="Palatino Linotype" w:hAnsi="Palatino Linotype" w:cs="Palatino Linotype"/>
          <w:lang w:val="es-MX"/>
        </w:rPr>
      </w:pPr>
      <w:r w:rsidRPr="006A6FF8">
        <w:rPr>
          <w:rFonts w:ascii="Palatino Linotype" w:eastAsia="Palatino Linotype" w:hAnsi="Palatino Linotype" w:cs="Palatino Linotype"/>
          <w:b/>
          <w:bCs/>
          <w:i/>
          <w:iCs/>
          <w:lang w:val="es-MX"/>
        </w:rPr>
        <w:t>“Cuentas bancarias y/o CLABE interbancaria de personas físicas y morales privadas.</w:t>
      </w:r>
      <w:r w:rsidRPr="006A6FF8">
        <w:rPr>
          <w:rFonts w:ascii="Palatino Linotype" w:eastAsia="Palatino Linotype" w:hAnsi="Palatino Linotype" w:cs="Palatino Linotype"/>
          <w:i/>
          <w:iCs/>
          <w:lang w:val="es-MX"/>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w:t>
      </w:r>
      <w:r w:rsidRPr="006A6FF8">
        <w:rPr>
          <w:rFonts w:ascii="Palatino Linotype" w:eastAsia="Palatino Linotype" w:hAnsi="Palatino Linotype" w:cs="Palatino Linotype"/>
          <w:i/>
          <w:iCs/>
          <w:lang w:val="es-MX"/>
        </w:rPr>
        <w:lastRenderedPageBreak/>
        <w:t>Ley General de Transparencia y Acceso a la Información Pública y 113 de la Ley Federal de Transparencia y Acceso a la Información Pública.</w:t>
      </w:r>
    </w:p>
    <w:p w:rsidR="009D12E4" w:rsidRPr="006A6FF8" w:rsidRDefault="009D12E4" w:rsidP="009D12E4">
      <w:pPr>
        <w:spacing w:before="240" w:after="240" w:line="276" w:lineRule="auto"/>
        <w:ind w:left="567" w:right="900"/>
        <w:jc w:val="both"/>
        <w:rPr>
          <w:rFonts w:ascii="Palatino Linotype" w:eastAsia="Palatino Linotype" w:hAnsi="Palatino Linotype" w:cs="Palatino Linotype"/>
          <w:lang w:val="es-MX"/>
        </w:rPr>
      </w:pPr>
      <w:r w:rsidRPr="006A6FF8">
        <w:rPr>
          <w:rFonts w:ascii="Palatino Linotype" w:eastAsia="Palatino Linotype" w:hAnsi="Palatino Linotype" w:cs="Palatino Linotype"/>
          <w:b/>
          <w:bCs/>
          <w:i/>
          <w:iCs/>
          <w:lang w:val="es-MX"/>
        </w:rPr>
        <w:t>Cuentas bancarias y/o CLABE interbancaria de sujetos obligados que reciben y/o transfieren recursos públicos, son información pública</w:t>
      </w:r>
      <w:r w:rsidRPr="006A6FF8">
        <w:rPr>
          <w:rFonts w:ascii="Palatino Linotype" w:eastAsia="Palatino Linotype" w:hAnsi="Palatino Linotype" w:cs="Palatino Linotype"/>
          <w:i/>
          <w:iCs/>
          <w:lang w:val="es-MX"/>
        </w:rPr>
        <w:t xml:space="preserve">. La difusión de las cuentas bancarias y claves interbancarias pertenecientes a un sujeto obligado favorece </w:t>
      </w:r>
      <w:r w:rsidRPr="006A6FF8">
        <w:rPr>
          <w:rFonts w:ascii="Palatino Linotype" w:eastAsia="Palatino Linotype" w:hAnsi="Palatino Linotype" w:cs="Palatino Linotype"/>
          <w:i/>
          <w:iCs/>
          <w:sz w:val="22"/>
          <w:lang w:val="es-MX"/>
        </w:rPr>
        <w:t>la rendición de cuentas al transparentar la forma en que se administran los recursos públicos, razón por la cual no pueden considerarse como información clasificada.”</w:t>
      </w:r>
    </w:p>
    <w:p w:rsidR="009D12E4" w:rsidRPr="006A6FF8" w:rsidRDefault="009D12E4" w:rsidP="009D12E4">
      <w:pPr>
        <w:spacing w:before="240" w:after="240" w:line="360" w:lineRule="auto"/>
        <w:jc w:val="both"/>
        <w:rPr>
          <w:rFonts w:ascii="Palatino Linotype" w:eastAsia="Palatino Linotype" w:hAnsi="Palatino Linotype" w:cs="Palatino Linotype"/>
          <w:lang w:val="es-MX"/>
        </w:rPr>
      </w:pPr>
      <w:r w:rsidRPr="006A6FF8">
        <w:rPr>
          <w:rFonts w:ascii="Palatino Linotype" w:eastAsia="Palatino Linotype" w:hAnsi="Palatino Linotype" w:cs="Palatino Linotype"/>
          <w:lang w:val="es-MX"/>
        </w:rPr>
        <w:t xml:space="preserve">Por cuanto hace al </w:t>
      </w:r>
      <w:r w:rsidRPr="006A6FF8">
        <w:rPr>
          <w:rFonts w:ascii="Palatino Linotype" w:eastAsia="Palatino Linotype" w:hAnsi="Palatino Linotype" w:cs="Palatino Linotype"/>
          <w:b/>
          <w:bCs/>
          <w:lang w:val="es-MX"/>
        </w:rPr>
        <w:t xml:space="preserve">Registro Federal de Contribuyentes (RFC) </w:t>
      </w:r>
      <w:r w:rsidRPr="006A6FF8">
        <w:rPr>
          <w:rFonts w:ascii="Palatino Linotype" w:eastAsia="Palatino Linotype" w:hAnsi="Palatino Linotype" w:cs="Palatino Linotype"/>
          <w:lang w:val="es-MX"/>
        </w:rPr>
        <w:t>y</w:t>
      </w:r>
      <w:r w:rsidRPr="006A6FF8">
        <w:rPr>
          <w:rFonts w:ascii="Palatino Linotype" w:eastAsia="Palatino Linotype" w:hAnsi="Palatino Linotype" w:cs="Palatino Linotype"/>
          <w:b/>
          <w:bCs/>
          <w:lang w:val="es-MX"/>
        </w:rPr>
        <w:t xml:space="preserve"> el domicilio fiscal </w:t>
      </w:r>
      <w:r w:rsidRPr="006A6FF8">
        <w:rPr>
          <w:rFonts w:ascii="Palatino Linotype" w:eastAsia="Palatino Linotype" w:hAnsi="Palatino Linotype" w:cs="Palatino Linotype"/>
          <w:lang w:val="es-MX"/>
        </w:rPr>
        <w:t>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rsidR="009D12E4" w:rsidRPr="006A6FF8" w:rsidRDefault="009D12E4" w:rsidP="009D12E4">
      <w:pPr>
        <w:spacing w:before="240" w:after="240" w:line="360" w:lineRule="auto"/>
        <w:jc w:val="both"/>
        <w:rPr>
          <w:rFonts w:ascii="Palatino Linotype" w:eastAsia="Palatino Linotype" w:hAnsi="Palatino Linotype" w:cs="Palatino Linotype"/>
          <w:lang w:val="es-MX"/>
        </w:rPr>
      </w:pPr>
      <w:r w:rsidRPr="006A6FF8">
        <w:rPr>
          <w:rFonts w:ascii="Palatino Linotype" w:eastAsia="Palatino Linotype" w:hAnsi="Palatino Linotype" w:cs="Palatino Linotype"/>
          <w:lang w:val="es-MX"/>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rsidR="009D12E4" w:rsidRPr="006A6FF8" w:rsidRDefault="009D12E4" w:rsidP="009D12E4">
      <w:pPr>
        <w:spacing w:before="240" w:after="240" w:line="360" w:lineRule="auto"/>
        <w:jc w:val="both"/>
        <w:rPr>
          <w:rFonts w:ascii="Palatino Linotype" w:eastAsia="Palatino Linotype" w:hAnsi="Palatino Linotype" w:cs="Palatino Linotype"/>
          <w:lang w:val="es-MX"/>
        </w:rPr>
      </w:pPr>
      <w:r w:rsidRPr="006A6FF8">
        <w:rPr>
          <w:rFonts w:ascii="Palatino Linotype" w:eastAsia="Palatino Linotype" w:hAnsi="Palatino Linotype" w:cs="Palatino Linotype"/>
          <w:lang w:val="es-MX"/>
        </w:rPr>
        <w:t xml:space="preserve">Además, las personas físicas que realicen las actividades contratadas por las instituciones, renuncian implícitamente a una parte de su derecho a la intimidad al </w:t>
      </w:r>
      <w:r w:rsidRPr="006A6FF8">
        <w:rPr>
          <w:rFonts w:ascii="Palatino Linotype" w:eastAsia="Palatino Linotype" w:hAnsi="Palatino Linotype" w:cs="Palatino Linotype"/>
          <w:lang w:val="es-MX"/>
        </w:rPr>
        <w:lastRenderedPageBreak/>
        <w:t xml:space="preserve">obtener beneficios y lucros de los recursos públicos por dicha contratación, por lo que </w:t>
      </w:r>
      <w:r w:rsidRPr="006A6FF8">
        <w:rPr>
          <w:rFonts w:ascii="Palatino Linotype" w:eastAsia="Palatino Linotype" w:hAnsi="Palatino Linotype" w:cs="Palatino Linotype"/>
          <w:b/>
          <w:bCs/>
          <w:lang w:val="es-MX"/>
        </w:rPr>
        <w:t>no puede considerarse como información clasificada lo relativo a su nombre, registro federal de contribuyentes y domicilio fiscal</w:t>
      </w:r>
      <w:r w:rsidRPr="006A6FF8">
        <w:rPr>
          <w:rFonts w:ascii="Palatino Linotype" w:eastAsia="Palatino Linotype" w:hAnsi="Palatino Linotype" w:cs="Palatino Linotype"/>
          <w:lang w:val="es-MX"/>
        </w:rPr>
        <w:t>, atento a que dicha información es la que puede generar certeza en los gobernados en que se está ejerciendo debidamente el presupuesto.</w:t>
      </w:r>
    </w:p>
    <w:p w:rsidR="009D12E4" w:rsidRPr="006A6FF8" w:rsidRDefault="009D12E4" w:rsidP="009D12E4">
      <w:pPr>
        <w:spacing w:before="240" w:after="240" w:line="360" w:lineRule="auto"/>
        <w:jc w:val="both"/>
        <w:rPr>
          <w:rFonts w:ascii="Palatino Linotype" w:eastAsia="Palatino Linotype" w:hAnsi="Palatino Linotype" w:cs="Palatino Linotype"/>
          <w:lang w:val="es-MX"/>
        </w:rPr>
      </w:pPr>
      <w:r w:rsidRPr="006A6FF8">
        <w:rPr>
          <w:rFonts w:ascii="Palatino Linotype" w:eastAsia="Palatino Linotype" w:hAnsi="Palatino Linotype" w:cs="Palatino Linotype"/>
          <w:lang w:val="es-MX"/>
        </w:rPr>
        <w:t>Robustece lo anterior el criterio orientador 04/21 emitido por el Instituto Nacional de Transparencia, Acceso a la Información y Protección de Datos Personales, INAI, el cual refiere:</w:t>
      </w:r>
    </w:p>
    <w:p w:rsidR="009D12E4" w:rsidRPr="006A6FF8" w:rsidRDefault="009D12E4" w:rsidP="009D12E4">
      <w:pPr>
        <w:spacing w:before="240" w:after="240" w:line="276" w:lineRule="auto"/>
        <w:ind w:left="567" w:right="900"/>
        <w:jc w:val="both"/>
        <w:rPr>
          <w:rFonts w:ascii="Palatino Linotype" w:eastAsia="Palatino Linotype" w:hAnsi="Palatino Linotype" w:cs="Palatino Linotype"/>
          <w:sz w:val="22"/>
          <w:lang w:val="es-MX"/>
        </w:rPr>
      </w:pPr>
      <w:r w:rsidRPr="006A6FF8">
        <w:rPr>
          <w:rFonts w:ascii="Palatino Linotype" w:eastAsia="Palatino Linotype" w:hAnsi="Palatino Linotype" w:cs="Palatino Linotype"/>
          <w:b/>
          <w:bCs/>
          <w:i/>
          <w:iCs/>
          <w:sz w:val="22"/>
          <w:lang w:val="es-MX"/>
        </w:rPr>
        <w:t xml:space="preserve">“Registro Federal de Contribuyentes (RFC) de personas físicas proveedoras o contratistas. </w:t>
      </w:r>
      <w:r w:rsidRPr="006A6FF8">
        <w:rPr>
          <w:rFonts w:ascii="Palatino Linotype" w:eastAsia="Palatino Linotype" w:hAnsi="Palatino Linotype" w:cs="Palatino Linotype"/>
          <w:i/>
          <w:iCs/>
          <w:sz w:val="22"/>
          <w:lang w:val="es-MX"/>
        </w:rPr>
        <w:t>El RFC de contratistas o proveedores de los sujetos obligados debe ser público, ya que al tratarse de personas con contrataciones públicas, su difusión favorece la transparencia con la que deben administrarse los recursos públicos, en términos del artículo 134 de la Constitución Política de los Estados Unidos Mexicanos.”</w:t>
      </w:r>
    </w:p>
    <w:p w:rsidR="009D12E4" w:rsidRPr="006A6FF8" w:rsidRDefault="009D12E4" w:rsidP="009D12E4">
      <w:pPr>
        <w:spacing w:before="240" w:after="240" w:line="360" w:lineRule="auto"/>
        <w:jc w:val="both"/>
        <w:rPr>
          <w:rFonts w:ascii="Palatino Linotype" w:eastAsia="Palatino Linotype" w:hAnsi="Palatino Linotype" w:cs="Palatino Linotype"/>
          <w:lang w:val="es-MX"/>
        </w:rPr>
      </w:pPr>
      <w:r w:rsidRPr="006A6FF8">
        <w:rPr>
          <w:rFonts w:ascii="Palatino Linotype" w:eastAsia="Palatino Linotype" w:hAnsi="Palatino Linotype" w:cs="Palatino Linotype"/>
          <w:lang w:val="es-MX"/>
        </w:rPr>
        <w:t xml:space="preserve">Relacionado con lo anterior, el </w:t>
      </w:r>
      <w:r w:rsidRPr="006A6FF8">
        <w:rPr>
          <w:rFonts w:ascii="Palatino Linotype" w:eastAsia="Palatino Linotype" w:hAnsi="Palatino Linotype" w:cs="Palatino Linotype"/>
          <w:b/>
          <w:bCs/>
          <w:lang w:val="es-MX"/>
        </w:rPr>
        <w:t>nombre de las personas físicas</w:t>
      </w:r>
      <w:r w:rsidRPr="006A6FF8">
        <w:rPr>
          <w:rFonts w:ascii="Palatino Linotype" w:eastAsia="Palatino Linotype" w:hAnsi="Palatino Linotype" w:cs="Palatino Linotype"/>
          <w:lang w:val="es-MX"/>
        </w:rPr>
        <w:t xml:space="preserve"> o los </w:t>
      </w:r>
      <w:r w:rsidRPr="006A6FF8">
        <w:rPr>
          <w:rFonts w:ascii="Palatino Linotype" w:eastAsia="Palatino Linotype" w:hAnsi="Palatino Linotype" w:cs="Palatino Linotype"/>
          <w:b/>
          <w:bCs/>
          <w:lang w:val="es-MX"/>
        </w:rPr>
        <w:t>representantes legales de las personas morales</w:t>
      </w:r>
      <w:r w:rsidRPr="006A6FF8">
        <w:rPr>
          <w:rFonts w:ascii="Palatino Linotype" w:eastAsia="Palatino Linotype" w:hAnsi="Palatino Linotype" w:cs="Palatino Linotype"/>
          <w:lang w:val="es-MX"/>
        </w:rPr>
        <w:t xml:space="preserve">,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w:t>
      </w:r>
      <w:r w:rsidRPr="006A6FF8">
        <w:rPr>
          <w:rFonts w:ascii="Palatino Linotype" w:eastAsia="Palatino Linotype" w:hAnsi="Palatino Linotype" w:cs="Palatino Linotype"/>
          <w:lang w:val="es-MX"/>
        </w:rPr>
        <w:lastRenderedPageBreak/>
        <w:t>moral que resultó favorecida con el procedimiento de licitación no conservan el carácter de confidencial y por tanto no deben ser testados.</w:t>
      </w:r>
    </w:p>
    <w:p w:rsidR="009D12E4" w:rsidRPr="006A6FF8" w:rsidRDefault="009D12E4" w:rsidP="009D12E4">
      <w:pPr>
        <w:spacing w:before="240" w:after="240" w:line="360" w:lineRule="auto"/>
        <w:jc w:val="both"/>
        <w:rPr>
          <w:rFonts w:ascii="Palatino Linotype" w:eastAsia="Palatino Linotype" w:hAnsi="Palatino Linotype" w:cs="Palatino Linotype"/>
          <w:lang w:val="es-MX"/>
        </w:rPr>
      </w:pPr>
      <w:r w:rsidRPr="006A6FF8">
        <w:rPr>
          <w:rFonts w:ascii="Palatino Linotype" w:eastAsia="Palatino Linotype" w:hAnsi="Palatino Linotype" w:cs="Palatino Linotype"/>
          <w:lang w:val="es-MX"/>
        </w:rPr>
        <w:t>Argumentación que guarda sustento en lo estipulado por el artículo 23 de la Ley de Transparencia y Acceso a la Información Pública del Estado de México y Municipios en su penúltimo párrafo, mismo que es del tenor literal siguiente:</w:t>
      </w:r>
    </w:p>
    <w:p w:rsidR="009D12E4" w:rsidRPr="006A6FF8" w:rsidRDefault="009D12E4" w:rsidP="009D12E4">
      <w:pPr>
        <w:spacing w:before="240" w:after="240" w:line="276" w:lineRule="auto"/>
        <w:ind w:left="567" w:right="900"/>
        <w:jc w:val="both"/>
        <w:rPr>
          <w:rFonts w:ascii="Palatino Linotype" w:eastAsia="Palatino Linotype" w:hAnsi="Palatino Linotype" w:cs="Palatino Linotype"/>
          <w:sz w:val="22"/>
          <w:lang w:val="es-MX"/>
        </w:rPr>
      </w:pPr>
      <w:r w:rsidRPr="006A6FF8">
        <w:rPr>
          <w:rFonts w:ascii="Palatino Linotype" w:eastAsia="Palatino Linotype" w:hAnsi="Palatino Linotype" w:cs="Palatino Linotype"/>
          <w:i/>
          <w:iCs/>
          <w:sz w:val="22"/>
          <w:lang w:val="es-MX"/>
        </w:rPr>
        <w:t>“</w:t>
      </w:r>
      <w:r w:rsidRPr="006A6FF8">
        <w:rPr>
          <w:rFonts w:ascii="Palatino Linotype" w:eastAsia="Palatino Linotype" w:hAnsi="Palatino Linotype" w:cs="Palatino Linotype"/>
          <w:b/>
          <w:bCs/>
          <w:i/>
          <w:iCs/>
          <w:sz w:val="22"/>
          <w:lang w:val="es-MX"/>
        </w:rPr>
        <w:t>Artículo 23.</w:t>
      </w:r>
      <w:r w:rsidRPr="006A6FF8">
        <w:rPr>
          <w:rFonts w:ascii="Palatino Linotype" w:eastAsia="Palatino Linotype" w:hAnsi="Palatino Linotype" w:cs="Palatino Linotype"/>
          <w:i/>
          <w:iCs/>
          <w:sz w:val="22"/>
          <w:lang w:val="es-MX"/>
        </w:rPr>
        <w:t xml:space="preserve"> (…)</w:t>
      </w:r>
    </w:p>
    <w:p w:rsidR="009D12E4" w:rsidRPr="006A6FF8" w:rsidRDefault="009D12E4" w:rsidP="009D12E4">
      <w:pPr>
        <w:spacing w:before="240" w:after="240" w:line="276" w:lineRule="auto"/>
        <w:ind w:left="567" w:right="900"/>
        <w:jc w:val="both"/>
        <w:rPr>
          <w:rFonts w:ascii="Palatino Linotype" w:eastAsia="Palatino Linotype" w:hAnsi="Palatino Linotype" w:cs="Palatino Linotype"/>
          <w:sz w:val="22"/>
          <w:lang w:val="es-MX"/>
        </w:rPr>
      </w:pPr>
      <w:r w:rsidRPr="006A6FF8">
        <w:rPr>
          <w:rFonts w:ascii="Palatino Linotype" w:eastAsia="Palatino Linotype" w:hAnsi="Palatino Linotype" w:cs="Palatino Linotype"/>
          <w:i/>
          <w:iCs/>
          <w:sz w:val="22"/>
          <w:lang w:val="es-MX"/>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9D12E4" w:rsidRPr="006A6FF8" w:rsidRDefault="009D12E4" w:rsidP="009D12E4">
      <w:pPr>
        <w:spacing w:before="240" w:after="240" w:line="360" w:lineRule="auto"/>
        <w:jc w:val="both"/>
        <w:rPr>
          <w:rFonts w:ascii="Palatino Linotype" w:eastAsia="Palatino Linotype" w:hAnsi="Palatino Linotype" w:cs="Palatino Linotype"/>
          <w:lang w:val="es-MX"/>
        </w:rPr>
      </w:pPr>
      <w:r w:rsidRPr="006A6FF8">
        <w:rPr>
          <w:rFonts w:ascii="Palatino Linotype" w:eastAsia="Palatino Linotype" w:hAnsi="Palatino Linotype" w:cs="Palatino Linotype"/>
          <w:lang w:val="es-MX"/>
        </w:rPr>
        <w:t>Asimismo, resulta aplicable el contenido del criterio de interpretación 01/19 emitido por el Instituto Nacional de Transparencia, Acceso a la Información, y Protección de Datos Personales, INAI, que lleva por rubro y texto los siguientes</w:t>
      </w:r>
    </w:p>
    <w:p w:rsidR="009D12E4" w:rsidRPr="006A6FF8" w:rsidRDefault="009D12E4" w:rsidP="009D12E4">
      <w:pPr>
        <w:spacing w:before="240" w:after="240" w:line="276" w:lineRule="auto"/>
        <w:ind w:left="567" w:right="900"/>
        <w:jc w:val="both"/>
        <w:rPr>
          <w:rFonts w:ascii="Palatino Linotype" w:eastAsia="Palatino Linotype" w:hAnsi="Palatino Linotype" w:cs="Palatino Linotype"/>
          <w:sz w:val="22"/>
          <w:lang w:val="es-MX"/>
        </w:rPr>
      </w:pPr>
      <w:r w:rsidRPr="006A6FF8">
        <w:rPr>
          <w:rFonts w:ascii="Palatino Linotype" w:eastAsia="Palatino Linotype" w:hAnsi="Palatino Linotype" w:cs="Palatino Linotype"/>
          <w:b/>
          <w:bCs/>
          <w:i/>
          <w:iCs/>
          <w:sz w:val="22"/>
          <w:lang w:val="es-MX"/>
        </w:rPr>
        <w:t>“Datos de identificación del representante o apoderado legal.</w:t>
      </w:r>
      <w:r w:rsidRPr="006A6FF8">
        <w:rPr>
          <w:rFonts w:ascii="Palatino Linotype" w:eastAsia="Palatino Linotype" w:hAnsi="Palatino Linotype" w:cs="Palatino Linotype"/>
          <w:i/>
          <w:iCs/>
          <w:sz w:val="22"/>
          <w:lang w:val="es-MX"/>
        </w:rPr>
        <w:t xml:space="preserve"> </w:t>
      </w:r>
      <w:r w:rsidRPr="006A6FF8">
        <w:rPr>
          <w:rFonts w:ascii="Palatino Linotype" w:eastAsia="Palatino Linotype" w:hAnsi="Palatino Linotype" w:cs="Palatino Linotype"/>
          <w:b/>
          <w:bCs/>
          <w:i/>
          <w:iCs/>
          <w:sz w:val="22"/>
          <w:lang w:val="es-MX"/>
        </w:rPr>
        <w:t xml:space="preserve">Naturaleza jurídica. </w:t>
      </w:r>
      <w:r w:rsidRPr="006A6FF8">
        <w:rPr>
          <w:rFonts w:ascii="Palatino Linotype" w:eastAsia="Palatino Linotype" w:hAnsi="Palatino Linotype" w:cs="Palatino Linotype"/>
          <w:i/>
          <w:iCs/>
          <w:sz w:val="22"/>
          <w:lang w:val="es-MX"/>
        </w:rPr>
        <w:t xml:space="preserve">El nombre, la firma y la rúbrica de una persona física, que actúe como representante o apoderado legal de un tercero que haya celebrado un acto jurídico, con algún sujeto obligado, </w:t>
      </w:r>
      <w:r w:rsidRPr="006A6FF8">
        <w:rPr>
          <w:rFonts w:ascii="Palatino Linotype" w:eastAsia="Palatino Linotype" w:hAnsi="Palatino Linotype" w:cs="Palatino Linotype"/>
          <w:b/>
          <w:bCs/>
          <w:i/>
          <w:iCs/>
          <w:sz w:val="22"/>
          <w:lang w:val="es-MX"/>
        </w:rPr>
        <w:t>es información pública, en razón de que tales datos fueron proporcionados con el objeto de expresar el consentimiento obligacional del tercero y otorgar validez a dicho instrumento jurídico</w:t>
      </w:r>
      <w:r w:rsidRPr="006A6FF8">
        <w:rPr>
          <w:rFonts w:ascii="Palatino Linotype" w:eastAsia="Palatino Linotype" w:hAnsi="Palatino Linotype" w:cs="Palatino Linotype"/>
          <w:i/>
          <w:iCs/>
          <w:sz w:val="22"/>
          <w:lang w:val="es-MX"/>
        </w:rPr>
        <w:t>.”</w:t>
      </w:r>
    </w:p>
    <w:p w:rsidR="009D12E4" w:rsidRPr="006A6FF8" w:rsidRDefault="009D12E4" w:rsidP="009D12E4">
      <w:pPr>
        <w:spacing w:before="240" w:after="240" w:line="360" w:lineRule="auto"/>
        <w:jc w:val="both"/>
        <w:rPr>
          <w:rFonts w:ascii="Palatino Linotype" w:eastAsia="Palatino Linotype" w:hAnsi="Palatino Linotype" w:cs="Palatino Linotype"/>
          <w:lang w:val="es-MX"/>
        </w:rPr>
      </w:pPr>
      <w:r w:rsidRPr="006A6FF8">
        <w:rPr>
          <w:rFonts w:ascii="Palatino Linotype" w:eastAsia="Palatino Linotype" w:hAnsi="Palatino Linotype" w:cs="Palatino Linotype"/>
          <w:lang w:val="es-MX"/>
        </w:rPr>
        <w:t xml:space="preserve">Mientras que en el caso del </w:t>
      </w:r>
      <w:r w:rsidRPr="006A6FF8">
        <w:rPr>
          <w:rFonts w:ascii="Palatino Linotype" w:eastAsia="Palatino Linotype" w:hAnsi="Palatino Linotype" w:cs="Palatino Linotype"/>
          <w:b/>
          <w:bCs/>
          <w:lang w:val="es-MX"/>
        </w:rPr>
        <w:t>folio fiscal</w:t>
      </w:r>
      <w:r w:rsidRPr="006A6FF8">
        <w:rPr>
          <w:rFonts w:ascii="Palatino Linotype" w:eastAsia="Palatino Linotype" w:hAnsi="Palatino Linotype" w:cs="Palatino Linotype"/>
          <w:lang w:val="es-MX"/>
        </w:rPr>
        <w:t xml:space="preserve">, la </w:t>
      </w:r>
      <w:r w:rsidRPr="006A6FF8">
        <w:rPr>
          <w:rFonts w:ascii="Palatino Linotype" w:eastAsia="Palatino Linotype" w:hAnsi="Palatino Linotype" w:cs="Palatino Linotype"/>
          <w:b/>
          <w:bCs/>
          <w:lang w:val="es-MX"/>
        </w:rPr>
        <w:t xml:space="preserve">cadena original, </w:t>
      </w:r>
      <w:r w:rsidRPr="006A6FF8">
        <w:rPr>
          <w:rFonts w:ascii="Palatino Linotype" w:eastAsia="Palatino Linotype" w:hAnsi="Palatino Linotype" w:cs="Palatino Linotype"/>
          <w:lang w:val="es-MX"/>
        </w:rPr>
        <w:t>los</w:t>
      </w:r>
      <w:r w:rsidRPr="006A6FF8">
        <w:rPr>
          <w:rFonts w:ascii="Palatino Linotype" w:eastAsia="Palatino Linotype" w:hAnsi="Palatino Linotype" w:cs="Palatino Linotype"/>
          <w:b/>
          <w:bCs/>
          <w:lang w:val="es-MX"/>
        </w:rPr>
        <w:t xml:space="preserve"> códigos bidimensionales o códigos QR,</w:t>
      </w:r>
      <w:r w:rsidRPr="006A6FF8">
        <w:rPr>
          <w:rFonts w:ascii="Palatino Linotype" w:eastAsia="Palatino Linotype" w:hAnsi="Palatino Linotype" w:cs="Palatino Linotype"/>
          <w:lang w:val="es-MX"/>
        </w:rPr>
        <w:t xml:space="preserve"> y, en general, cualquier información de carácter fiscal,  pudiera contener un Comprobante Fiscal Digital por Internet, CFDI,  se debe hacer un análisis caso por caso, con la finalidad de determinar si de dicha información se pueden obtener datos personales que no sean susceptibles de </w:t>
      </w:r>
      <w:r w:rsidRPr="006A6FF8">
        <w:rPr>
          <w:rFonts w:ascii="Palatino Linotype" w:eastAsia="Palatino Linotype" w:hAnsi="Palatino Linotype" w:cs="Palatino Linotype"/>
          <w:lang w:val="es-MX"/>
        </w:rPr>
        <w:lastRenderedPageBreak/>
        <w:t>conocimiento público, como por ejemplo la Clave Única del Registro de Población, que, de difundirse, pudieran hacer identificable a una persona, debiendo, de ser el caso,  clasificarse como información confidencial, de manera fundada y motivada en términos del artículo 143, fracción I de la Ley de Transparencia y Acceso a la Información Pública del Estado de México y Municipios, de lo contrario, no es procedente su clasificación.</w:t>
      </w:r>
    </w:p>
    <w:p w:rsidR="009D12E4" w:rsidRPr="006A6FF8" w:rsidRDefault="009D12E4" w:rsidP="0068701F">
      <w:pPr>
        <w:spacing w:before="240" w:after="240" w:line="360" w:lineRule="auto"/>
        <w:jc w:val="both"/>
        <w:rPr>
          <w:rFonts w:ascii="Palatino Linotype" w:eastAsia="Palatino Linotype" w:hAnsi="Palatino Linotype" w:cs="Palatino Linotype"/>
          <w:lang w:val="es-MX"/>
        </w:rPr>
      </w:pPr>
      <w:r w:rsidRPr="006A6FF8">
        <w:rPr>
          <w:rFonts w:ascii="Palatino Linotype" w:eastAsia="Palatino Linotype" w:hAnsi="Palatino Linotype" w:cs="Palatino Linotype"/>
          <w:lang w:val="es-MX"/>
        </w:rPr>
        <w:t>Con base en lo expuesto, se insiste que en la versión pública de los documentos que se ordenan se deben testar aquellos elementos señalados en la presente resolución, en el entendido de que debe ser pública toda la demás información relacionada que no encuadre en los conceptos anteriores.</w:t>
      </w:r>
    </w:p>
    <w:p w:rsidR="0068701F" w:rsidRPr="006A6FF8" w:rsidRDefault="0068701F" w:rsidP="0068701F">
      <w:pPr>
        <w:spacing w:line="360" w:lineRule="auto"/>
        <w:jc w:val="both"/>
        <w:rPr>
          <w:rFonts w:ascii="Palatino Linotype" w:eastAsia="Palatino Linotype" w:hAnsi="Palatino Linotype" w:cs="Palatino Linotype"/>
        </w:rPr>
      </w:pPr>
      <w:r w:rsidRPr="006A6FF8">
        <w:rPr>
          <w:rFonts w:ascii="Palatino Linotype" w:eastAsia="Palatino Linotype" w:hAnsi="Palatino Linotype" w:cs="Palatino Linotype"/>
        </w:rPr>
        <w:t xml:space="preserve">Entorno a lo que aquí nos interesa, los Lineamientos Quincuagésimo, Quincuagésimo primero, Quincuagésimo segundo, Quincuagésimo tercero, Quincuagésimo cuarto y Quincuagésimo quinto señalan las formalidades que deberá llevar el acuerdo de clasificación que deberá emitir el </w:t>
      </w:r>
      <w:r w:rsidRPr="006A6FF8">
        <w:rPr>
          <w:rFonts w:ascii="Palatino Linotype" w:eastAsia="Palatino Linotype" w:hAnsi="Palatino Linotype" w:cs="Palatino Linotype"/>
          <w:b/>
        </w:rPr>
        <w:t>Sujeto Obligado</w:t>
      </w:r>
      <w:r w:rsidR="009D12E4" w:rsidRPr="006A6FF8">
        <w:rPr>
          <w:rFonts w:ascii="Palatino Linotype" w:eastAsia="Palatino Linotype" w:hAnsi="Palatino Linotype" w:cs="Palatino Linotype"/>
        </w:rPr>
        <w:t>, siendo estas las siguientes:</w:t>
      </w:r>
    </w:p>
    <w:p w:rsidR="0068701F" w:rsidRPr="006A6FF8" w:rsidRDefault="0068701F" w:rsidP="0068701F">
      <w:pPr>
        <w:spacing w:line="276" w:lineRule="auto"/>
        <w:ind w:left="567"/>
        <w:jc w:val="both"/>
        <w:rPr>
          <w:rFonts w:ascii="Palatino Linotype" w:eastAsia="Palatino Linotype" w:hAnsi="Palatino Linotype" w:cs="Palatino Linotype"/>
          <w:i/>
          <w:sz w:val="22"/>
          <w:szCs w:val="22"/>
        </w:rPr>
      </w:pPr>
      <w:r w:rsidRPr="006A6FF8">
        <w:rPr>
          <w:rFonts w:ascii="Palatino Linotype" w:eastAsia="Palatino Linotype" w:hAnsi="Palatino Linotype" w:cs="Palatino Linotype"/>
          <w:i/>
          <w:sz w:val="22"/>
          <w:szCs w:val="22"/>
        </w:rPr>
        <w:t xml:space="preserve">“CAPÍTULO VIII </w:t>
      </w:r>
    </w:p>
    <w:p w:rsidR="0068701F" w:rsidRPr="006A6FF8" w:rsidRDefault="0068701F" w:rsidP="0068701F">
      <w:pPr>
        <w:spacing w:line="276" w:lineRule="auto"/>
        <w:ind w:left="567"/>
        <w:jc w:val="both"/>
        <w:rPr>
          <w:rFonts w:ascii="Palatino Linotype" w:eastAsia="Palatino Linotype" w:hAnsi="Palatino Linotype" w:cs="Palatino Linotype"/>
          <w:i/>
          <w:sz w:val="22"/>
          <w:szCs w:val="22"/>
        </w:rPr>
      </w:pPr>
      <w:r w:rsidRPr="006A6FF8">
        <w:rPr>
          <w:rFonts w:ascii="Palatino Linotype" w:eastAsia="Palatino Linotype" w:hAnsi="Palatino Linotype" w:cs="Palatino Linotype"/>
          <w:i/>
          <w:sz w:val="22"/>
          <w:szCs w:val="22"/>
        </w:rPr>
        <w:t xml:space="preserve">DE LOS ELEMENTOS PARA LA CLASIFICACIÓN </w:t>
      </w:r>
    </w:p>
    <w:p w:rsidR="0068701F" w:rsidRPr="006A6FF8" w:rsidRDefault="0068701F" w:rsidP="0068701F">
      <w:pPr>
        <w:spacing w:line="276" w:lineRule="auto"/>
        <w:ind w:left="567" w:right="900"/>
        <w:jc w:val="both"/>
        <w:rPr>
          <w:rFonts w:ascii="Palatino Linotype" w:eastAsia="Palatino Linotype" w:hAnsi="Palatino Linotype" w:cs="Palatino Linotype"/>
          <w:i/>
          <w:sz w:val="22"/>
          <w:szCs w:val="22"/>
        </w:rPr>
      </w:pPr>
      <w:r w:rsidRPr="006A6FF8">
        <w:rPr>
          <w:rFonts w:ascii="Palatino Linotype" w:eastAsia="Palatino Linotype" w:hAnsi="Palatino Linotype" w:cs="Palatino Linotype"/>
          <w:b/>
          <w:i/>
          <w:sz w:val="22"/>
          <w:szCs w:val="22"/>
        </w:rPr>
        <w:t xml:space="preserve">Quincuagésimo. </w:t>
      </w:r>
      <w:r w:rsidRPr="006A6FF8">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68701F" w:rsidRPr="006A6FF8" w:rsidRDefault="0068701F" w:rsidP="0068701F">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6A6FF8">
        <w:rPr>
          <w:rFonts w:ascii="Palatino Linotype" w:eastAsia="Palatino Linotype" w:hAnsi="Palatino Linotype" w:cs="Palatino Linotype"/>
          <w:b/>
          <w:i/>
          <w:sz w:val="22"/>
          <w:szCs w:val="22"/>
        </w:rPr>
        <w:t xml:space="preserve">Quincuagésimo primero. </w:t>
      </w:r>
      <w:r w:rsidRPr="006A6FF8">
        <w:rPr>
          <w:rFonts w:ascii="Palatino Linotype" w:eastAsia="Palatino Linotype" w:hAnsi="Palatino Linotype" w:cs="Palatino Linotype"/>
          <w:i/>
          <w:sz w:val="22"/>
          <w:szCs w:val="22"/>
        </w:rPr>
        <w:t xml:space="preserve">Toda acta del Comité de Transparencia deberá contener: </w:t>
      </w:r>
    </w:p>
    <w:p w:rsidR="0068701F" w:rsidRPr="006A6FF8" w:rsidRDefault="0068701F" w:rsidP="0068701F">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6A6FF8">
        <w:rPr>
          <w:rFonts w:ascii="Palatino Linotype" w:eastAsia="Palatino Linotype" w:hAnsi="Palatino Linotype" w:cs="Palatino Linotype"/>
          <w:i/>
          <w:sz w:val="22"/>
          <w:szCs w:val="22"/>
        </w:rPr>
        <w:t xml:space="preserve">I. El número de sesión y fecha; </w:t>
      </w:r>
    </w:p>
    <w:p w:rsidR="0068701F" w:rsidRPr="006A6FF8" w:rsidRDefault="0068701F" w:rsidP="0068701F">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6A6FF8">
        <w:rPr>
          <w:rFonts w:ascii="Palatino Linotype" w:eastAsia="Palatino Linotype" w:hAnsi="Palatino Linotype" w:cs="Palatino Linotype"/>
          <w:i/>
          <w:sz w:val="22"/>
          <w:szCs w:val="22"/>
        </w:rPr>
        <w:t xml:space="preserve">II. El nombre del área que solicitó la clasificación de información; </w:t>
      </w:r>
    </w:p>
    <w:p w:rsidR="0068701F" w:rsidRPr="006A6FF8" w:rsidRDefault="0068701F" w:rsidP="0068701F">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6A6FF8">
        <w:rPr>
          <w:rFonts w:ascii="Palatino Linotype" w:eastAsia="Palatino Linotype" w:hAnsi="Palatino Linotype" w:cs="Palatino Linotype"/>
          <w:i/>
          <w:sz w:val="22"/>
          <w:szCs w:val="22"/>
        </w:rPr>
        <w:t xml:space="preserve">III. La fundamentación legal y motivación correspondiente; </w:t>
      </w:r>
    </w:p>
    <w:p w:rsidR="0068701F" w:rsidRPr="006A6FF8" w:rsidRDefault="0068701F" w:rsidP="0068701F">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6A6FF8">
        <w:rPr>
          <w:rFonts w:ascii="Palatino Linotype" w:eastAsia="Palatino Linotype" w:hAnsi="Palatino Linotype" w:cs="Palatino Linotype"/>
          <w:i/>
          <w:sz w:val="22"/>
          <w:szCs w:val="22"/>
        </w:rPr>
        <w:lastRenderedPageBreak/>
        <w:t xml:space="preserve">IV. La resolución o resoluciones aprobadas; y </w:t>
      </w:r>
    </w:p>
    <w:p w:rsidR="0068701F" w:rsidRPr="006A6FF8" w:rsidRDefault="0068701F" w:rsidP="0068701F">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6A6FF8">
        <w:rPr>
          <w:rFonts w:ascii="Palatino Linotype" w:eastAsia="Palatino Linotype" w:hAnsi="Palatino Linotype" w:cs="Palatino Linotype"/>
          <w:i/>
          <w:sz w:val="22"/>
          <w:szCs w:val="22"/>
        </w:rPr>
        <w:t xml:space="preserve">V. La rúbrica o firma digital de cada integrante del Comité de Transparencia. Las resoluciones del Comité en las que se haya determinado confirmar o modificar la clasificación de información pública como reservada, deberán incluir, cuando menos: </w:t>
      </w:r>
    </w:p>
    <w:p w:rsidR="0068701F" w:rsidRPr="006A6FF8" w:rsidRDefault="0068701F" w:rsidP="0068701F">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6A6FF8">
        <w:rPr>
          <w:rFonts w:ascii="Palatino Linotype" w:eastAsia="Palatino Linotype" w:hAnsi="Palatino Linotype" w:cs="Palatino Linotype"/>
          <w:i/>
          <w:sz w:val="22"/>
          <w:szCs w:val="22"/>
        </w:rPr>
        <w:t>I. Los motivos y razonamientos que sustenten la confirmación o modificación de la prueba de daño;</w:t>
      </w:r>
    </w:p>
    <w:p w:rsidR="0068701F" w:rsidRPr="006A6FF8" w:rsidRDefault="0068701F" w:rsidP="0068701F">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6A6FF8">
        <w:rPr>
          <w:rFonts w:ascii="Palatino Linotype" w:eastAsia="Palatino Linotype" w:hAnsi="Palatino Linotype" w:cs="Palatino Linotype"/>
          <w:i/>
          <w:sz w:val="22"/>
          <w:szCs w:val="22"/>
        </w:rPr>
        <w:t xml:space="preserve">II. Descripción de las partes o secciones reservadas, en caso de clasificación parcial; III. El periodo por el que mantendrá su clasificación y fecha de expiración; y </w:t>
      </w:r>
    </w:p>
    <w:p w:rsidR="0068701F" w:rsidRPr="006A6FF8" w:rsidRDefault="0068701F" w:rsidP="0068701F">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6A6FF8">
        <w:rPr>
          <w:rFonts w:ascii="Palatino Linotype" w:eastAsia="Palatino Linotype" w:hAnsi="Palatino Linotype" w:cs="Palatino Linotype"/>
          <w:i/>
          <w:sz w:val="22"/>
          <w:szCs w:val="22"/>
        </w:rPr>
        <w:t xml:space="preserve">IV. El nombre del titular y área encargada de realizar la versión pública del documento, en su caso. </w:t>
      </w:r>
    </w:p>
    <w:p w:rsidR="0068701F" w:rsidRPr="006A6FF8" w:rsidRDefault="0068701F" w:rsidP="0068701F">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6A6FF8">
        <w:rPr>
          <w:rFonts w:ascii="Palatino Linotype" w:eastAsia="Palatino Linotype" w:hAnsi="Palatino Linotype" w:cs="Palatino Linotype"/>
          <w:i/>
          <w:sz w:val="22"/>
          <w:szCs w:val="22"/>
        </w:rPr>
        <w:t>En los casos en que se clasifique la información como reservada siempre se entregará o anexará la prueba de daño con la respuesta al solicitante. En los casos de resoluciones del Comité de Transparencia en las que se confirme la clasificación de información confidencial solo se deberán de identificar los tipos de datos protegidos, de conformidad con el lineamiento trigésimo octavo.</w:t>
      </w:r>
    </w:p>
    <w:p w:rsidR="0068701F" w:rsidRPr="006A6FF8" w:rsidRDefault="0068701F" w:rsidP="0068701F">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6A6FF8">
        <w:rPr>
          <w:rFonts w:ascii="Palatino Linotype" w:eastAsia="Palatino Linotype" w:hAnsi="Palatino Linotype" w:cs="Palatino Linotype"/>
          <w:b/>
          <w:i/>
          <w:sz w:val="22"/>
          <w:szCs w:val="22"/>
        </w:rPr>
        <w:t xml:space="preserve">Quincuagésimo segundo. </w:t>
      </w:r>
      <w:r w:rsidRPr="006A6FF8">
        <w:rPr>
          <w:rFonts w:ascii="Palatino Linotype" w:eastAsia="Palatino Linotype" w:hAnsi="Palatino Linotype" w:cs="Palatino Linotype"/>
          <w:i/>
          <w:sz w:val="22"/>
          <w:szCs w:val="22"/>
        </w:rPr>
        <w:t xml:space="preserve">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6A6FF8">
        <w:rPr>
          <w:rFonts w:ascii="Palatino Linotype" w:eastAsia="Palatino Linotype" w:hAnsi="Palatino Linotype" w:cs="Palatino Linotype"/>
          <w:i/>
          <w:sz w:val="22"/>
          <w:szCs w:val="22"/>
        </w:rPr>
        <w:t>sobreposición</w:t>
      </w:r>
      <w:proofErr w:type="spellEnd"/>
      <w:r w:rsidRPr="006A6FF8">
        <w:rPr>
          <w:rFonts w:ascii="Palatino Linotype" w:eastAsia="Palatino Linotype" w:hAnsi="Palatino Linotype" w:cs="Palatino Linotype"/>
          <w:i/>
          <w:sz w:val="22"/>
          <w:szCs w:val="22"/>
        </w:rPr>
        <w:t xml:space="preserve"> de contenido distinto al autorizado por el Comité.</w:t>
      </w:r>
    </w:p>
    <w:p w:rsidR="0068701F" w:rsidRPr="006A6FF8" w:rsidRDefault="0068701F" w:rsidP="0068701F">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6A6FF8">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rsidR="0068701F" w:rsidRPr="006A6FF8" w:rsidRDefault="0068701F" w:rsidP="0068701F">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6A6FF8">
        <w:rPr>
          <w:rFonts w:ascii="Palatino Linotype" w:eastAsia="Palatino Linotype" w:hAnsi="Palatino Linotype" w:cs="Palatino Linotype"/>
          <w:i/>
          <w:sz w:val="22"/>
          <w:szCs w:val="22"/>
        </w:rPr>
        <w:t xml:space="preserve">I. Fijar la fecha en que se elaboró la versión pública y la fecha en la cual el Comité de Transparencia confirmó dicha versión; </w:t>
      </w:r>
    </w:p>
    <w:p w:rsidR="0068701F" w:rsidRPr="006A6FF8" w:rsidRDefault="0068701F" w:rsidP="0068701F">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6A6FF8">
        <w:rPr>
          <w:rFonts w:ascii="Palatino Linotype" w:eastAsia="Palatino Linotype" w:hAnsi="Palatino Linotype" w:cs="Palatino Linotype"/>
          <w:i/>
          <w:sz w:val="22"/>
          <w:szCs w:val="22"/>
        </w:rPr>
        <w:t xml:space="preserve">II. Señalar dentro del documento el tipo de información confidencial que fue testada en cada caso específico, de conformidad con el lineamiento trigésimo octavo; y </w:t>
      </w:r>
    </w:p>
    <w:p w:rsidR="0068701F" w:rsidRPr="006A6FF8" w:rsidRDefault="0068701F" w:rsidP="0068701F">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6A6FF8">
        <w:rPr>
          <w:rFonts w:ascii="Palatino Linotype" w:eastAsia="Palatino Linotype" w:hAnsi="Palatino Linotype" w:cs="Palatino Linotype"/>
          <w:i/>
          <w:sz w:val="22"/>
          <w:szCs w:val="22"/>
        </w:rPr>
        <w:t xml:space="preserve">III. Señalar las personas o instancias autorizadas a acceder a la información clasificada. </w:t>
      </w:r>
    </w:p>
    <w:p w:rsidR="0068701F" w:rsidRPr="006A6FF8" w:rsidRDefault="0068701F" w:rsidP="0068701F">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6A6FF8">
        <w:rPr>
          <w:rFonts w:ascii="Palatino Linotype" w:eastAsia="Palatino Linotype" w:hAnsi="Palatino Linotype" w:cs="Palatino Linotype"/>
          <w:i/>
          <w:sz w:val="22"/>
          <w:szCs w:val="22"/>
        </w:rPr>
        <w:t xml:space="preserve">En los documentos de difusión electrónica, señalar en la primera hoja y en el nombre del archivo, que la versión pública corresponde a un documento que contiene información confidencial. </w:t>
      </w:r>
    </w:p>
    <w:p w:rsidR="0068701F" w:rsidRPr="006A6FF8" w:rsidRDefault="0068701F" w:rsidP="0068701F">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6A6FF8">
        <w:rPr>
          <w:rFonts w:ascii="Palatino Linotype" w:eastAsia="Palatino Linotype" w:hAnsi="Palatino Linotype" w:cs="Palatino Linotype"/>
          <w:b/>
          <w:i/>
          <w:sz w:val="22"/>
          <w:szCs w:val="22"/>
        </w:rPr>
        <w:lastRenderedPageBreak/>
        <w:t>Quincuagésimo tercero.</w:t>
      </w:r>
      <w:r w:rsidRPr="006A6FF8">
        <w:rPr>
          <w:rFonts w:ascii="Palatino Linotype" w:eastAsia="Palatino Linotype" w:hAnsi="Palatino Linotype" w:cs="Palatino Linotype"/>
          <w:i/>
          <w:sz w:val="22"/>
          <w:szCs w:val="22"/>
        </w:rPr>
        <w:t xml:space="preserve"> El formato para señalar la clasificación de un documento o expediente que contenga información reservada, es el siguiente:</w:t>
      </w:r>
      <w:r w:rsidRPr="006A6FF8">
        <w:rPr>
          <w:noProof/>
          <w:lang w:val="es-MX"/>
        </w:rPr>
        <w:drawing>
          <wp:anchor distT="0" distB="0" distL="114300" distR="114300" simplePos="0" relativeHeight="251663360" behindDoc="0" locked="0" layoutInCell="1" hidden="0" allowOverlap="1" wp14:anchorId="18D77601" wp14:editId="1CD6B957">
            <wp:simplePos x="0" y="0"/>
            <wp:positionH relativeFrom="column">
              <wp:posOffset>377190</wp:posOffset>
            </wp:positionH>
            <wp:positionV relativeFrom="paragraph">
              <wp:posOffset>798830</wp:posOffset>
            </wp:positionV>
            <wp:extent cx="4568190" cy="330200"/>
            <wp:effectExtent l="0" t="0" r="0" b="0"/>
            <wp:wrapTopAndBottom distT="0" distB="0"/>
            <wp:docPr id="56396809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4568190" cy="330200"/>
                    </a:xfrm>
                    <a:prstGeom prst="rect">
                      <a:avLst/>
                    </a:prstGeom>
                    <a:ln/>
                  </pic:spPr>
                </pic:pic>
              </a:graphicData>
            </a:graphic>
          </wp:anchor>
        </w:drawing>
      </w:r>
    </w:p>
    <w:p w:rsidR="0068701F" w:rsidRPr="006A6FF8" w:rsidRDefault="0068701F" w:rsidP="0068701F">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6A6FF8">
        <w:rPr>
          <w:rFonts w:ascii="Palatino Linotype" w:eastAsia="Palatino Linotype" w:hAnsi="Palatino Linotype" w:cs="Palatino Linotype"/>
          <w:b/>
          <w:i/>
          <w:noProof/>
          <w:sz w:val="22"/>
          <w:szCs w:val="22"/>
          <w:lang w:val="es-MX"/>
        </w:rPr>
        <w:drawing>
          <wp:inline distT="0" distB="0" distL="0" distR="0" wp14:anchorId="74910230" wp14:editId="7A0DE57E">
            <wp:extent cx="4576404" cy="5139653"/>
            <wp:effectExtent l="0" t="0" r="0" b="0"/>
            <wp:docPr id="56396809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4576404" cy="5139653"/>
                    </a:xfrm>
                    <a:prstGeom prst="rect">
                      <a:avLst/>
                    </a:prstGeom>
                    <a:ln/>
                  </pic:spPr>
                </pic:pic>
              </a:graphicData>
            </a:graphic>
          </wp:inline>
        </w:drawing>
      </w:r>
    </w:p>
    <w:p w:rsidR="0068701F" w:rsidRPr="006A6FF8" w:rsidRDefault="0068701F" w:rsidP="0068701F">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rsidR="0068701F" w:rsidRPr="006A6FF8" w:rsidRDefault="0068701F" w:rsidP="0068701F">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6A6FF8">
        <w:rPr>
          <w:rFonts w:ascii="Palatino Linotype" w:eastAsia="Palatino Linotype" w:hAnsi="Palatino Linotype" w:cs="Palatino Linotype"/>
          <w:b/>
          <w:i/>
          <w:sz w:val="22"/>
          <w:szCs w:val="22"/>
        </w:rPr>
        <w:t xml:space="preserve">Quincuagésimo cuarto. </w:t>
      </w:r>
      <w:r w:rsidRPr="006A6FF8">
        <w:rPr>
          <w:rFonts w:ascii="Palatino Linotype" w:eastAsia="Palatino Linotype" w:hAnsi="Palatino Linotype" w:cs="Palatino Linotype"/>
          <w:i/>
          <w:sz w:val="22"/>
          <w:szCs w:val="22"/>
        </w:rPr>
        <w:t xml:space="preserve">Cuando el Comité de Transparencia confirme la clasificación de documentos reservados y/o confidenciales, sea total o parcialmente; se deberá anexar al expediente la resolución que determinó la clasificación o, en su </w:t>
      </w:r>
      <w:r w:rsidRPr="006A6FF8">
        <w:rPr>
          <w:rFonts w:ascii="Palatino Linotype" w:eastAsia="Palatino Linotype" w:hAnsi="Palatino Linotype" w:cs="Palatino Linotype"/>
          <w:i/>
          <w:sz w:val="22"/>
          <w:szCs w:val="22"/>
        </w:rPr>
        <w:lastRenderedPageBreak/>
        <w:t>defecto, identificar en la carátula del expediente del cual formen parte, la fecha y sesión del Comité de Transparencia en la que se confirmó dicha clasificación.</w:t>
      </w:r>
      <w:r w:rsidRPr="006A6FF8">
        <w:rPr>
          <w:rFonts w:ascii="Palatino Linotype" w:eastAsia="Palatino Linotype" w:hAnsi="Palatino Linotype" w:cs="Palatino Linotype"/>
          <w:b/>
          <w:i/>
          <w:sz w:val="22"/>
          <w:szCs w:val="22"/>
        </w:rPr>
        <w:t xml:space="preserve"> </w:t>
      </w:r>
    </w:p>
    <w:p w:rsidR="0068701F" w:rsidRPr="006A6FF8" w:rsidRDefault="0068701F" w:rsidP="0068701F">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6A6FF8">
        <w:rPr>
          <w:rFonts w:ascii="Palatino Linotype" w:eastAsia="Palatino Linotype" w:hAnsi="Palatino Linotype" w:cs="Palatino Linotype"/>
          <w:b/>
          <w:i/>
          <w:sz w:val="22"/>
          <w:szCs w:val="22"/>
        </w:rPr>
        <w:t xml:space="preserve">Quincuagésimo quinto. </w:t>
      </w:r>
      <w:r w:rsidRPr="006A6FF8">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6A6FF8">
        <w:rPr>
          <w:rFonts w:ascii="Palatino Linotype" w:eastAsia="Palatino Linotype" w:hAnsi="Palatino Linotype" w:cs="Palatino Linotype"/>
          <w:i/>
          <w:sz w:val="22"/>
          <w:szCs w:val="22"/>
        </w:rPr>
        <w:t>testado</w:t>
      </w:r>
      <w:proofErr w:type="spellEnd"/>
      <w:r w:rsidRPr="006A6FF8">
        <w:rPr>
          <w:rFonts w:ascii="Palatino Linotype" w:eastAsia="Palatino Linotype" w:hAnsi="Palatino Linotype" w:cs="Palatino Linotype"/>
          <w:i/>
          <w:sz w:val="22"/>
          <w:szCs w:val="22"/>
        </w:rPr>
        <w:t xml:space="preserve">,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(Énfasis añadido) </w:t>
      </w:r>
    </w:p>
    <w:p w:rsidR="00D222CD" w:rsidRPr="006A6FF8" w:rsidRDefault="0068701F" w:rsidP="00E77D99">
      <w:pPr>
        <w:spacing w:before="240" w:after="240" w:line="360" w:lineRule="auto"/>
        <w:jc w:val="both"/>
        <w:rPr>
          <w:rFonts w:ascii="Palatino Linotype" w:eastAsia="Palatino Linotype" w:hAnsi="Palatino Linotype" w:cs="Palatino Linotype"/>
        </w:rPr>
      </w:pPr>
      <w:r w:rsidRPr="006A6FF8">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6A6FF8">
        <w:rPr>
          <w:rFonts w:ascii="Palatino Linotype" w:eastAsia="Palatino Linotype" w:hAnsi="Palatino Linotype" w:cs="Palatino Linotype"/>
          <w:b/>
        </w:rPr>
        <w:t>Sujeto Obligado</w:t>
      </w:r>
      <w:r w:rsidRPr="006A6FF8">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1576A6" w:rsidRPr="006A6FF8" w:rsidRDefault="000941EF">
      <w:pPr>
        <w:spacing w:before="240" w:after="240" w:line="360" w:lineRule="auto"/>
        <w:jc w:val="both"/>
        <w:rPr>
          <w:rFonts w:ascii="Palatino Linotype" w:eastAsia="Palatino Linotype" w:hAnsi="Palatino Linotype" w:cs="Palatino Linotype"/>
        </w:rPr>
      </w:pPr>
      <w:r w:rsidRPr="006A6FF8">
        <w:rPr>
          <w:rFonts w:ascii="Palatino Linotype" w:eastAsia="Palatino Linotype" w:hAnsi="Palatino Linotype" w:cs="Palatino Linotype"/>
        </w:rPr>
        <w:t>Por lo anteriormente expuesto y con fundamento en lo prescrito en los artículos 5 párrafos trigésimo segundo, trigésimo tercero y trigésimo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rsidR="009941B9" w:rsidRPr="006A6FF8" w:rsidRDefault="009941B9">
      <w:pPr>
        <w:spacing w:before="240" w:after="240" w:line="360" w:lineRule="auto"/>
        <w:jc w:val="both"/>
        <w:rPr>
          <w:rFonts w:ascii="Palatino Linotype" w:eastAsia="Palatino Linotype" w:hAnsi="Palatino Linotype" w:cs="Palatino Linotype"/>
        </w:rPr>
      </w:pPr>
    </w:p>
    <w:p w:rsidR="001576A6" w:rsidRPr="006A6FF8" w:rsidRDefault="000941EF">
      <w:pPr>
        <w:numPr>
          <w:ilvl w:val="0"/>
          <w:numId w:val="3"/>
        </w:numPr>
        <w:pBdr>
          <w:top w:val="nil"/>
          <w:left w:val="nil"/>
          <w:bottom w:val="nil"/>
          <w:right w:val="nil"/>
          <w:between w:val="nil"/>
        </w:pBdr>
        <w:spacing w:before="240" w:after="240" w:line="360" w:lineRule="auto"/>
        <w:ind w:left="567" w:hanging="141"/>
        <w:jc w:val="center"/>
        <w:rPr>
          <w:rFonts w:ascii="Palatino Linotype" w:eastAsia="Palatino Linotype" w:hAnsi="Palatino Linotype" w:cs="Palatino Linotype"/>
          <w:b/>
        </w:rPr>
      </w:pPr>
      <w:r w:rsidRPr="006A6FF8">
        <w:rPr>
          <w:rFonts w:ascii="Palatino Linotype" w:eastAsia="Palatino Linotype" w:hAnsi="Palatino Linotype" w:cs="Palatino Linotype"/>
          <w:b/>
        </w:rPr>
        <w:lastRenderedPageBreak/>
        <w:t>R E S U E L V E:</w:t>
      </w:r>
    </w:p>
    <w:p w:rsidR="001576A6" w:rsidRPr="006A6FF8" w:rsidRDefault="000941EF">
      <w:pPr>
        <w:spacing w:before="240" w:after="240" w:line="360" w:lineRule="auto"/>
        <w:jc w:val="both"/>
        <w:rPr>
          <w:rFonts w:ascii="Palatino Linotype" w:eastAsia="Palatino Linotype" w:hAnsi="Palatino Linotype" w:cs="Palatino Linotype"/>
        </w:rPr>
      </w:pPr>
      <w:bookmarkStart w:id="5" w:name="_heading=h.3znysh7" w:colFirst="0" w:colLast="0"/>
      <w:bookmarkEnd w:id="5"/>
      <w:r w:rsidRPr="006A6FF8">
        <w:rPr>
          <w:rFonts w:ascii="Palatino Linotype" w:eastAsia="Palatino Linotype" w:hAnsi="Palatino Linotype" w:cs="Palatino Linotype"/>
          <w:b/>
        </w:rPr>
        <w:t xml:space="preserve">Primero. </w:t>
      </w:r>
      <w:r w:rsidRPr="006A6FF8">
        <w:rPr>
          <w:rFonts w:ascii="Palatino Linotype" w:eastAsia="Palatino Linotype" w:hAnsi="Palatino Linotype" w:cs="Palatino Linotype"/>
        </w:rPr>
        <w:t xml:space="preserve">Resultan </w:t>
      </w:r>
      <w:r w:rsidRPr="006A6FF8">
        <w:rPr>
          <w:rFonts w:ascii="Palatino Linotype" w:eastAsia="Palatino Linotype" w:hAnsi="Palatino Linotype" w:cs="Palatino Linotype"/>
          <w:b/>
        </w:rPr>
        <w:t>fundadas</w:t>
      </w:r>
      <w:r w:rsidRPr="006A6FF8">
        <w:rPr>
          <w:rFonts w:ascii="Palatino Linotype" w:eastAsia="Palatino Linotype" w:hAnsi="Palatino Linotype" w:cs="Palatino Linotype"/>
        </w:rPr>
        <w:t xml:space="preserve"> las razones o motivos de inconformidad hechos valer por </w:t>
      </w:r>
      <w:r w:rsidRPr="006A6FF8">
        <w:rPr>
          <w:rFonts w:ascii="Palatino Linotype" w:eastAsia="Palatino Linotype" w:hAnsi="Palatino Linotype" w:cs="Palatino Linotype"/>
          <w:b/>
        </w:rPr>
        <w:t>la parte Recurrente</w:t>
      </w:r>
      <w:r w:rsidRPr="006A6FF8">
        <w:rPr>
          <w:rFonts w:ascii="Palatino Linotype" w:eastAsia="Palatino Linotype" w:hAnsi="Palatino Linotype" w:cs="Palatino Linotype"/>
        </w:rPr>
        <w:t xml:space="preserve"> en el recurso de revisión </w:t>
      </w:r>
      <w:r w:rsidR="009D12E4" w:rsidRPr="006A6FF8">
        <w:rPr>
          <w:rFonts w:ascii="Palatino Linotype" w:eastAsia="Palatino Linotype" w:hAnsi="Palatino Linotype" w:cs="Palatino Linotype"/>
          <w:b/>
        </w:rPr>
        <w:t>02244/INFOEM/IP/RR/2023</w:t>
      </w:r>
      <w:r w:rsidRPr="006A6FF8">
        <w:rPr>
          <w:rFonts w:ascii="Palatino Linotype" w:eastAsia="Palatino Linotype" w:hAnsi="Palatino Linotype" w:cs="Palatino Linotype"/>
        </w:rPr>
        <w:t xml:space="preserve">; por lo que, en términos del </w:t>
      </w:r>
      <w:r w:rsidRPr="006A6FF8">
        <w:rPr>
          <w:rFonts w:ascii="Palatino Linotype" w:eastAsia="Palatino Linotype" w:hAnsi="Palatino Linotype" w:cs="Palatino Linotype"/>
          <w:b/>
        </w:rPr>
        <w:t>Considerando</w:t>
      </w:r>
      <w:r w:rsidRPr="006A6FF8">
        <w:rPr>
          <w:rFonts w:ascii="Palatino Linotype" w:eastAsia="Palatino Linotype" w:hAnsi="Palatino Linotype" w:cs="Palatino Linotype"/>
        </w:rPr>
        <w:t xml:space="preserve"> </w:t>
      </w:r>
      <w:r w:rsidRPr="006A6FF8">
        <w:rPr>
          <w:rFonts w:ascii="Palatino Linotype" w:eastAsia="Palatino Linotype" w:hAnsi="Palatino Linotype" w:cs="Palatino Linotype"/>
          <w:b/>
        </w:rPr>
        <w:t xml:space="preserve">Cuarto </w:t>
      </w:r>
      <w:r w:rsidRPr="006A6FF8">
        <w:rPr>
          <w:rFonts w:ascii="Palatino Linotype" w:eastAsia="Palatino Linotype" w:hAnsi="Palatino Linotype" w:cs="Palatino Linotype"/>
        </w:rPr>
        <w:t xml:space="preserve">de esta resolución, se </w:t>
      </w:r>
      <w:r w:rsidR="00D222CD" w:rsidRPr="006A6FF8">
        <w:rPr>
          <w:rFonts w:ascii="Palatino Linotype" w:eastAsia="Palatino Linotype" w:hAnsi="Palatino Linotype" w:cs="Palatino Linotype"/>
          <w:b/>
        </w:rPr>
        <w:t>REVO</w:t>
      </w:r>
      <w:r w:rsidRPr="006A6FF8">
        <w:rPr>
          <w:rFonts w:ascii="Palatino Linotype" w:eastAsia="Palatino Linotype" w:hAnsi="Palatino Linotype" w:cs="Palatino Linotype"/>
          <w:b/>
        </w:rPr>
        <w:t xml:space="preserve">CA </w:t>
      </w:r>
      <w:r w:rsidRPr="006A6FF8">
        <w:rPr>
          <w:rFonts w:ascii="Palatino Linotype" w:eastAsia="Palatino Linotype" w:hAnsi="Palatino Linotype" w:cs="Palatino Linotype"/>
        </w:rPr>
        <w:t xml:space="preserve">la respuesta emitida por el </w:t>
      </w:r>
      <w:r w:rsidRPr="006A6FF8">
        <w:rPr>
          <w:rFonts w:ascii="Palatino Linotype" w:eastAsia="Palatino Linotype" w:hAnsi="Palatino Linotype" w:cs="Palatino Linotype"/>
          <w:b/>
        </w:rPr>
        <w:t>Sujeto Obligado.</w:t>
      </w:r>
    </w:p>
    <w:p w:rsidR="001576A6" w:rsidRPr="006A6FF8" w:rsidRDefault="000941EF">
      <w:pPr>
        <w:spacing w:before="240" w:after="240" w:line="360" w:lineRule="auto"/>
        <w:ind w:right="49"/>
        <w:jc w:val="both"/>
        <w:rPr>
          <w:rFonts w:ascii="Palatino Linotype" w:eastAsia="Palatino Linotype" w:hAnsi="Palatino Linotype" w:cs="Palatino Linotype"/>
          <w:b/>
        </w:rPr>
      </w:pPr>
      <w:r w:rsidRPr="006A6FF8">
        <w:rPr>
          <w:rFonts w:ascii="Palatino Linotype" w:eastAsia="Palatino Linotype" w:hAnsi="Palatino Linotype" w:cs="Palatino Linotype"/>
          <w:b/>
        </w:rPr>
        <w:t xml:space="preserve">Segundo. </w:t>
      </w:r>
      <w:r w:rsidRPr="006A6FF8">
        <w:rPr>
          <w:rFonts w:ascii="Palatino Linotype" w:eastAsia="Palatino Linotype" w:hAnsi="Palatino Linotype" w:cs="Palatino Linotype"/>
        </w:rPr>
        <w:t xml:space="preserve">Se </w:t>
      </w:r>
      <w:r w:rsidRPr="006A6FF8">
        <w:rPr>
          <w:rFonts w:ascii="Palatino Linotype" w:eastAsia="Palatino Linotype" w:hAnsi="Palatino Linotype" w:cs="Palatino Linotype"/>
          <w:b/>
        </w:rPr>
        <w:t xml:space="preserve">Ordena </w:t>
      </w:r>
      <w:r w:rsidRPr="006A6FF8">
        <w:rPr>
          <w:rFonts w:ascii="Palatino Linotype" w:eastAsia="Palatino Linotype" w:hAnsi="Palatino Linotype" w:cs="Palatino Linotype"/>
        </w:rPr>
        <w:t xml:space="preserve">al </w:t>
      </w:r>
      <w:r w:rsidRPr="006A6FF8">
        <w:rPr>
          <w:rFonts w:ascii="Palatino Linotype" w:eastAsia="Palatino Linotype" w:hAnsi="Palatino Linotype" w:cs="Palatino Linotype"/>
          <w:b/>
        </w:rPr>
        <w:t>Sujeto Obligado</w:t>
      </w:r>
      <w:r w:rsidRPr="006A6FF8">
        <w:rPr>
          <w:rFonts w:ascii="Palatino Linotype" w:eastAsia="Palatino Linotype" w:hAnsi="Palatino Linotype" w:cs="Palatino Linotype"/>
        </w:rPr>
        <w:t xml:space="preserve"> entregue, a</w:t>
      </w:r>
      <w:r w:rsidRPr="006A6FF8">
        <w:rPr>
          <w:rFonts w:ascii="Palatino Linotype" w:eastAsia="Palatino Linotype" w:hAnsi="Palatino Linotype" w:cs="Palatino Linotype"/>
          <w:b/>
        </w:rPr>
        <w:t xml:space="preserve"> la parte</w:t>
      </w:r>
      <w:r w:rsidRPr="006A6FF8">
        <w:rPr>
          <w:rFonts w:ascii="Palatino Linotype" w:eastAsia="Palatino Linotype" w:hAnsi="Palatino Linotype" w:cs="Palatino Linotype"/>
        </w:rPr>
        <w:t xml:space="preserve"> </w:t>
      </w:r>
      <w:r w:rsidRPr="006A6FF8">
        <w:rPr>
          <w:rFonts w:ascii="Palatino Linotype" w:eastAsia="Palatino Linotype" w:hAnsi="Palatino Linotype" w:cs="Palatino Linotype"/>
          <w:b/>
        </w:rPr>
        <w:t>Recurrente</w:t>
      </w:r>
      <w:r w:rsidRPr="006A6FF8">
        <w:rPr>
          <w:rFonts w:ascii="Palatino Linotype" w:eastAsia="Palatino Linotype" w:hAnsi="Palatino Linotype" w:cs="Palatino Linotype"/>
        </w:rPr>
        <w:t xml:space="preserve">, </w:t>
      </w:r>
      <w:r w:rsidRPr="006A6FF8">
        <w:rPr>
          <w:rFonts w:ascii="Palatino Linotype" w:eastAsia="Palatino Linotype" w:hAnsi="Palatino Linotype" w:cs="Palatino Linotype"/>
          <w:b/>
        </w:rPr>
        <w:t xml:space="preserve">vía SAIMEX, </w:t>
      </w:r>
      <w:r w:rsidR="009D12E4" w:rsidRPr="006A6FF8">
        <w:rPr>
          <w:rFonts w:ascii="Palatino Linotype" w:eastAsia="Palatino Linotype" w:hAnsi="Palatino Linotype" w:cs="Palatino Linotype"/>
          <w:b/>
        </w:rPr>
        <w:t xml:space="preserve">previa búsqueda exhaustiva y razonable, </w:t>
      </w:r>
      <w:r w:rsidRPr="006A6FF8">
        <w:rPr>
          <w:rFonts w:ascii="Palatino Linotype" w:eastAsia="Palatino Linotype" w:hAnsi="Palatino Linotype" w:cs="Palatino Linotype"/>
        </w:rPr>
        <w:t xml:space="preserve">en términos de </w:t>
      </w:r>
      <w:r w:rsidRPr="006A6FF8">
        <w:rPr>
          <w:rFonts w:ascii="Palatino Linotype" w:eastAsia="Palatino Linotype" w:hAnsi="Palatino Linotype" w:cs="Palatino Linotype"/>
          <w:b/>
        </w:rPr>
        <w:t>los Considerandos</w:t>
      </w:r>
      <w:r w:rsidRPr="006A6FF8">
        <w:rPr>
          <w:rFonts w:ascii="Palatino Linotype" w:eastAsia="Palatino Linotype" w:hAnsi="Palatino Linotype" w:cs="Palatino Linotype"/>
        </w:rPr>
        <w:t xml:space="preserve"> </w:t>
      </w:r>
      <w:r w:rsidRPr="006A6FF8">
        <w:rPr>
          <w:rFonts w:ascii="Palatino Linotype" w:eastAsia="Palatino Linotype" w:hAnsi="Palatino Linotype" w:cs="Palatino Linotype"/>
          <w:b/>
        </w:rPr>
        <w:t xml:space="preserve">Cuarto y Quinto, </w:t>
      </w:r>
      <w:r w:rsidR="00CD6F7D" w:rsidRPr="006A6FF8">
        <w:rPr>
          <w:rFonts w:ascii="Palatino Linotype" w:eastAsia="Palatino Linotype" w:hAnsi="Palatino Linotype" w:cs="Palatino Linotype"/>
          <w:b/>
        </w:rPr>
        <w:t xml:space="preserve"> </w:t>
      </w:r>
      <w:r w:rsidR="00CD6F7D" w:rsidRPr="006A6FF8">
        <w:rPr>
          <w:rFonts w:ascii="Palatino Linotype" w:eastAsia="Palatino Linotype" w:hAnsi="Palatino Linotype" w:cs="Palatino Linotype"/>
        </w:rPr>
        <w:t>de ser el caso</w:t>
      </w:r>
      <w:r w:rsidR="00CD6F7D" w:rsidRPr="006A6FF8">
        <w:rPr>
          <w:rFonts w:ascii="Palatino Linotype" w:eastAsia="Palatino Linotype" w:hAnsi="Palatino Linotype" w:cs="Palatino Linotype"/>
          <w:b/>
        </w:rPr>
        <w:t xml:space="preserve"> </w:t>
      </w:r>
      <w:r w:rsidRPr="006A6FF8">
        <w:rPr>
          <w:rFonts w:ascii="Palatino Linotype" w:eastAsia="Palatino Linotype" w:hAnsi="Palatino Linotype" w:cs="Palatino Linotype"/>
        </w:rPr>
        <w:t>en versión pública</w:t>
      </w:r>
      <w:r w:rsidRPr="006A6FF8">
        <w:rPr>
          <w:rFonts w:ascii="Palatino Linotype" w:eastAsia="Palatino Linotype" w:hAnsi="Palatino Linotype" w:cs="Palatino Linotype"/>
          <w:b/>
        </w:rPr>
        <w:t xml:space="preserve"> lo siguiente:</w:t>
      </w:r>
    </w:p>
    <w:p w:rsidR="00CD6F7D" w:rsidRPr="006A6FF8" w:rsidRDefault="00CD6F7D" w:rsidP="00250DCB">
      <w:pPr>
        <w:pStyle w:val="Prrafodelista"/>
        <w:numPr>
          <w:ilvl w:val="0"/>
          <w:numId w:val="15"/>
        </w:numPr>
        <w:spacing w:line="276" w:lineRule="auto"/>
        <w:ind w:left="567" w:right="900" w:hanging="141"/>
        <w:jc w:val="both"/>
        <w:rPr>
          <w:rFonts w:ascii="Palatino Linotype" w:eastAsia="Palatino Linotype" w:hAnsi="Palatino Linotype" w:cs="Palatino Linotype"/>
          <w:b/>
          <w:i/>
          <w:sz w:val="22"/>
        </w:rPr>
      </w:pPr>
      <w:bookmarkStart w:id="6" w:name="_heading=h.1fob9te" w:colFirst="0" w:colLast="0"/>
      <w:bookmarkEnd w:id="6"/>
      <w:r w:rsidRPr="006A6FF8">
        <w:rPr>
          <w:rFonts w:ascii="Palatino Linotype" w:eastAsia="Palatino Linotype" w:hAnsi="Palatino Linotype" w:cs="Palatino Linotype"/>
          <w:b/>
          <w:i/>
          <w:sz w:val="22"/>
        </w:rPr>
        <w:t>Contratos de adquisición de bienes y servicios derivados de procedimientos de adjudicación directa, licitación pública e invitación a cuando meses tres personas, así como las facturas pagadas por estos conceptos, generados del 1 de enero de 2021 al 29 de marzo de 2023.</w:t>
      </w:r>
    </w:p>
    <w:p w:rsidR="002B4360" w:rsidRPr="006A6FF8" w:rsidRDefault="000941EF" w:rsidP="00250DCB">
      <w:pPr>
        <w:spacing w:before="240" w:after="240" w:line="276" w:lineRule="auto"/>
        <w:ind w:left="567" w:right="900"/>
        <w:jc w:val="both"/>
        <w:rPr>
          <w:rFonts w:ascii="Palatino Linotype" w:eastAsia="Palatino Linotype" w:hAnsi="Palatino Linotype" w:cs="Palatino Linotype"/>
          <w:i/>
          <w:sz w:val="22"/>
          <w:szCs w:val="22"/>
        </w:rPr>
      </w:pPr>
      <w:r w:rsidRPr="006A6FF8">
        <w:rPr>
          <w:rFonts w:ascii="Palatino Linotype" w:eastAsia="Palatino Linotype" w:hAnsi="Palatino Linotype" w:cs="Palatino Linotype"/>
          <w:i/>
          <w:sz w:val="22"/>
          <w:szCs w:val="22"/>
        </w:rPr>
        <w:t xml:space="preserve">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RPr="006A6FF8">
        <w:rPr>
          <w:rFonts w:ascii="Palatino Linotype" w:eastAsia="Palatino Linotype" w:hAnsi="Palatino Linotype" w:cs="Palatino Linotype"/>
          <w:b/>
          <w:i/>
          <w:sz w:val="22"/>
          <w:szCs w:val="22"/>
        </w:rPr>
        <w:t>la parte Recurrente</w:t>
      </w:r>
      <w:r w:rsidRPr="006A6FF8">
        <w:rPr>
          <w:rFonts w:ascii="Palatino Linotype" w:eastAsia="Palatino Linotype" w:hAnsi="Palatino Linotype" w:cs="Palatino Linotype"/>
          <w:i/>
          <w:sz w:val="22"/>
          <w:szCs w:val="22"/>
        </w:rPr>
        <w:t>.</w:t>
      </w:r>
    </w:p>
    <w:p w:rsidR="001576A6" w:rsidRPr="006A6FF8" w:rsidRDefault="000941EF">
      <w:pPr>
        <w:spacing w:before="240" w:after="240" w:line="360" w:lineRule="auto"/>
        <w:jc w:val="both"/>
        <w:rPr>
          <w:rFonts w:ascii="Palatino Linotype" w:eastAsia="Palatino Linotype" w:hAnsi="Palatino Linotype" w:cs="Palatino Linotype"/>
        </w:rPr>
      </w:pPr>
      <w:r w:rsidRPr="006A6FF8">
        <w:rPr>
          <w:rFonts w:ascii="Palatino Linotype" w:eastAsia="Palatino Linotype" w:hAnsi="Palatino Linotype" w:cs="Palatino Linotype"/>
          <w:b/>
        </w:rPr>
        <w:t>Tercero</w:t>
      </w:r>
      <w:r w:rsidRPr="006A6FF8">
        <w:rPr>
          <w:rFonts w:ascii="Palatino Linotype" w:eastAsia="Palatino Linotype" w:hAnsi="Palatino Linotype" w:cs="Palatino Linotype"/>
          <w:b/>
          <w:sz w:val="28"/>
          <w:szCs w:val="28"/>
        </w:rPr>
        <w:t xml:space="preserve">.  </w:t>
      </w:r>
      <w:r w:rsidRPr="006A6FF8">
        <w:rPr>
          <w:rFonts w:ascii="Palatino Linotype" w:eastAsia="Palatino Linotype" w:hAnsi="Palatino Linotype" w:cs="Palatino Linotype"/>
          <w:b/>
        </w:rPr>
        <w:t>Notifíquese vía SAIMEX,</w:t>
      </w:r>
      <w:r w:rsidRPr="006A6FF8">
        <w:rPr>
          <w:rFonts w:ascii="Palatino Linotype" w:eastAsia="Palatino Linotype" w:hAnsi="Palatino Linotype" w:cs="Palatino Linotype"/>
          <w:b/>
          <w:sz w:val="28"/>
          <w:szCs w:val="28"/>
        </w:rPr>
        <w:t xml:space="preserve"> </w:t>
      </w:r>
      <w:r w:rsidRPr="006A6FF8">
        <w:rPr>
          <w:rFonts w:ascii="Palatino Linotype" w:eastAsia="Palatino Linotype" w:hAnsi="Palatino Linotype" w:cs="Palatino Linotype"/>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w:t>
      </w:r>
      <w:r w:rsidRPr="006A6FF8">
        <w:rPr>
          <w:rFonts w:ascii="Palatino Linotype" w:eastAsia="Palatino Linotype" w:hAnsi="Palatino Linotype" w:cs="Palatino Linotype"/>
        </w:rPr>
        <w:lastRenderedPageBreak/>
        <w:t>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1576A6" w:rsidRPr="006A6FF8" w:rsidRDefault="000941EF">
      <w:pPr>
        <w:spacing w:before="240" w:after="240" w:line="360" w:lineRule="auto"/>
        <w:jc w:val="both"/>
        <w:rPr>
          <w:rFonts w:ascii="Palatino Linotype" w:eastAsia="Palatino Linotype" w:hAnsi="Palatino Linotype" w:cs="Palatino Linotype"/>
        </w:rPr>
      </w:pPr>
      <w:r w:rsidRPr="006A6FF8">
        <w:rPr>
          <w:rFonts w:ascii="Palatino Linotype" w:eastAsia="Palatino Linotype" w:hAnsi="Palatino Linotype" w:cs="Palatino Linotype"/>
          <w:b/>
        </w:rPr>
        <w:t>Cuarto</w:t>
      </w:r>
      <w:r w:rsidRPr="006A6FF8">
        <w:rPr>
          <w:rFonts w:ascii="Palatino Linotype" w:eastAsia="Palatino Linotype" w:hAnsi="Palatino Linotype" w:cs="Palatino Linotype"/>
          <w:b/>
          <w:sz w:val="28"/>
          <w:szCs w:val="28"/>
        </w:rPr>
        <w:t xml:space="preserve">. </w:t>
      </w:r>
      <w:r w:rsidRPr="006A6FF8">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6A6FF8">
        <w:rPr>
          <w:rFonts w:ascii="Palatino Linotype" w:eastAsia="Palatino Linotype" w:hAnsi="Palatino Linotype" w:cs="Palatino Linotype"/>
          <w:b/>
        </w:rPr>
        <w:t>Sujeto Obligado</w:t>
      </w:r>
      <w:r w:rsidRPr="006A6FF8">
        <w:rPr>
          <w:rFonts w:ascii="Palatino Linotype" w:eastAsia="Palatino Linotype" w:hAnsi="Palatino Linotype" w:cs="Palatino Linotype"/>
        </w:rPr>
        <w:t xml:space="preserve"> de manera fundada y motivada, podrá solicitar una ampliación de plazo para el cumplimiento de la presente resolución.</w:t>
      </w:r>
    </w:p>
    <w:p w:rsidR="001576A6" w:rsidRDefault="000941EF">
      <w:pPr>
        <w:pBdr>
          <w:top w:val="nil"/>
          <w:left w:val="nil"/>
          <w:bottom w:val="nil"/>
          <w:right w:val="nil"/>
          <w:between w:val="nil"/>
        </w:pBdr>
        <w:spacing w:after="240" w:line="360" w:lineRule="auto"/>
        <w:jc w:val="both"/>
        <w:rPr>
          <w:rFonts w:ascii="Palatino Linotype" w:eastAsia="Palatino Linotype" w:hAnsi="Palatino Linotype" w:cs="Palatino Linotype"/>
        </w:rPr>
      </w:pPr>
      <w:r w:rsidRPr="006A6FF8">
        <w:rPr>
          <w:rFonts w:ascii="Palatino Linotype" w:eastAsia="Palatino Linotype" w:hAnsi="Palatino Linotype" w:cs="Palatino Linotype"/>
          <w:b/>
        </w:rPr>
        <w:t>Quinto</w:t>
      </w:r>
      <w:r w:rsidRPr="006A6FF8">
        <w:rPr>
          <w:rFonts w:ascii="Palatino Linotype" w:eastAsia="Palatino Linotype" w:hAnsi="Palatino Linotype" w:cs="Palatino Linotype"/>
          <w:b/>
          <w:sz w:val="28"/>
          <w:szCs w:val="28"/>
        </w:rPr>
        <w:t xml:space="preserve">. </w:t>
      </w:r>
      <w:r w:rsidRPr="006A6FF8">
        <w:rPr>
          <w:rFonts w:ascii="Palatino Linotype" w:eastAsia="Palatino Linotype" w:hAnsi="Palatino Linotype" w:cs="Palatino Linotype"/>
          <w:b/>
        </w:rPr>
        <w:t xml:space="preserve">Notifíquese, </w:t>
      </w:r>
      <w:r w:rsidRPr="006A6FF8">
        <w:rPr>
          <w:rFonts w:ascii="Palatino Linotype" w:eastAsia="Palatino Linotype" w:hAnsi="Palatino Linotype" w:cs="Palatino Linotype"/>
        </w:rPr>
        <w:t xml:space="preserve">vía </w:t>
      </w:r>
      <w:r w:rsidRPr="006A6FF8">
        <w:rPr>
          <w:rFonts w:ascii="Palatino Linotype" w:eastAsia="Palatino Linotype" w:hAnsi="Palatino Linotype" w:cs="Palatino Linotype"/>
          <w:b/>
        </w:rPr>
        <w:t>SAIMEX</w:t>
      </w:r>
      <w:r w:rsidRPr="006A6FF8">
        <w:rPr>
          <w:rFonts w:ascii="Palatino Linotype" w:eastAsia="Palatino Linotype" w:hAnsi="Palatino Linotype" w:cs="Palatino Linotype"/>
        </w:rPr>
        <w:t xml:space="preserve">, a </w:t>
      </w:r>
      <w:r w:rsidRPr="006A6FF8">
        <w:rPr>
          <w:rFonts w:ascii="Palatino Linotype" w:eastAsia="Palatino Linotype" w:hAnsi="Palatino Linotype" w:cs="Palatino Linotype"/>
          <w:b/>
        </w:rPr>
        <w:t>la parte Recurrente</w:t>
      </w:r>
      <w:r w:rsidRPr="006A6FF8">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6A6FF8" w:rsidRPr="006A6FF8" w:rsidRDefault="006A6FF8">
      <w:pPr>
        <w:pBdr>
          <w:top w:val="nil"/>
          <w:left w:val="nil"/>
          <w:bottom w:val="nil"/>
          <w:right w:val="nil"/>
          <w:between w:val="nil"/>
        </w:pBdr>
        <w:spacing w:after="240" w:line="360" w:lineRule="auto"/>
        <w:jc w:val="both"/>
        <w:rPr>
          <w:rFonts w:ascii="Palatino Linotype" w:eastAsia="Palatino Linotype" w:hAnsi="Palatino Linotype" w:cs="Palatino Linotype"/>
        </w:rPr>
      </w:pPr>
    </w:p>
    <w:p w:rsidR="001576A6" w:rsidRPr="006A6FF8" w:rsidRDefault="006A6F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LO RESUELVE</w:t>
      </w:r>
      <w:r w:rsidR="000941EF" w:rsidRPr="006A6FF8">
        <w:rPr>
          <w:rFonts w:ascii="Palatino Linotype" w:eastAsia="Palatino Linotype" w:hAnsi="Palatino Linotype" w:cs="Palatino Linotype"/>
        </w:rPr>
        <w:t xml:space="preserve"> POR UNANIMIDAD DE VOTOS EL PLENO DEL INSTITUTO DE TRANSPARENCIA, ACCESO A LA INFORMACIÓN PÚBLICA Y PROTECCIÓN DE DATOS PERSONALES DEL ESTADO DE MEXICO Y MUNICIPIOS, CONFORMADO POR LOS COMISIONADOS JOSÉ MARTÍNEZ VILCHIS; MARÍA DEL ROSARIO MEJÍA AYALA</w:t>
      </w:r>
      <w:r w:rsidR="00124F9A" w:rsidRPr="006A6FF8">
        <w:rPr>
          <w:rFonts w:ascii="Palatino Linotype" w:eastAsia="Palatino Linotype" w:hAnsi="Palatino Linotype" w:cs="Palatino Linotype"/>
        </w:rPr>
        <w:t xml:space="preserve"> (AUSENCIA JUSTIFICADA);</w:t>
      </w:r>
      <w:r w:rsidR="000941EF" w:rsidRPr="006A6FF8">
        <w:rPr>
          <w:rFonts w:ascii="Palatino Linotype" w:eastAsia="Palatino Linotype" w:hAnsi="Palatino Linotype" w:cs="Palatino Linotype"/>
        </w:rPr>
        <w:t xml:space="preserve"> SHARON CRISTINA MORALES MARTÍNEZ, LUIS GUSTAVO PARRA NORIEGA Y GUADALUPE RAMÍREZ PEÑA;</w:t>
      </w:r>
      <w:r w:rsidR="00DB5A80" w:rsidRPr="006A6FF8">
        <w:rPr>
          <w:rFonts w:ascii="Palatino Linotype" w:eastAsia="Palatino Linotype" w:hAnsi="Palatino Linotype" w:cs="Palatino Linotype"/>
        </w:rPr>
        <w:t xml:space="preserve"> </w:t>
      </w:r>
      <w:r w:rsidR="000941EF" w:rsidRPr="006A6FF8">
        <w:rPr>
          <w:rFonts w:ascii="Palatino Linotype" w:eastAsia="Palatino Linotype" w:hAnsi="Palatino Linotype" w:cs="Palatino Linotype"/>
        </w:rPr>
        <w:t xml:space="preserve">EN LA TRIGÉSIMA </w:t>
      </w:r>
      <w:r w:rsidR="009941B9" w:rsidRPr="006A6FF8">
        <w:rPr>
          <w:rFonts w:ascii="Palatino Linotype" w:eastAsia="Palatino Linotype" w:hAnsi="Palatino Linotype" w:cs="Palatino Linotype"/>
        </w:rPr>
        <w:t>CUARTA</w:t>
      </w:r>
      <w:r w:rsidR="00EB37EF" w:rsidRPr="006A6FF8">
        <w:rPr>
          <w:rFonts w:ascii="Palatino Linotype" w:eastAsia="Palatino Linotype" w:hAnsi="Palatino Linotype" w:cs="Palatino Linotype"/>
        </w:rPr>
        <w:t xml:space="preserve"> </w:t>
      </w:r>
      <w:r w:rsidR="000941EF" w:rsidRPr="006A6FF8">
        <w:rPr>
          <w:rFonts w:ascii="Palatino Linotype" w:eastAsia="Palatino Linotype" w:hAnsi="Palatino Linotype" w:cs="Palatino Linotype"/>
        </w:rPr>
        <w:t xml:space="preserve">SESIÓN </w:t>
      </w:r>
      <w:r w:rsidR="000941EF" w:rsidRPr="006A6FF8">
        <w:rPr>
          <w:rFonts w:ascii="Palatino Linotype" w:eastAsia="Palatino Linotype" w:hAnsi="Palatino Linotype" w:cs="Palatino Linotype"/>
        </w:rPr>
        <w:lastRenderedPageBreak/>
        <w:t>O</w:t>
      </w:r>
      <w:r w:rsidR="00D222CD" w:rsidRPr="006A6FF8">
        <w:rPr>
          <w:rFonts w:ascii="Palatino Linotype" w:eastAsia="Palatino Linotype" w:hAnsi="Palatino Linotype" w:cs="Palatino Linotype"/>
        </w:rPr>
        <w:t>R</w:t>
      </w:r>
      <w:r w:rsidR="004071D3" w:rsidRPr="006A6FF8">
        <w:rPr>
          <w:rFonts w:ascii="Palatino Linotype" w:eastAsia="Palatino Linotype" w:hAnsi="Palatino Linotype" w:cs="Palatino Linotype"/>
        </w:rPr>
        <w:t xml:space="preserve">DINARIA </w:t>
      </w:r>
      <w:r w:rsidR="009941B9" w:rsidRPr="006A6FF8">
        <w:rPr>
          <w:rFonts w:ascii="Palatino Linotype" w:eastAsia="Palatino Linotype" w:hAnsi="Palatino Linotype" w:cs="Palatino Linotype"/>
        </w:rPr>
        <w:t>CELEBRADA EL VEINTE</w:t>
      </w:r>
      <w:r w:rsidR="00EB37EF" w:rsidRPr="006A6FF8">
        <w:rPr>
          <w:rFonts w:ascii="Palatino Linotype" w:eastAsia="Palatino Linotype" w:hAnsi="Palatino Linotype" w:cs="Palatino Linotype"/>
        </w:rPr>
        <w:t xml:space="preserve"> DE SEPTIEMBRE</w:t>
      </w:r>
      <w:r w:rsidR="000941EF" w:rsidRPr="006A6FF8">
        <w:rPr>
          <w:rFonts w:ascii="Palatino Linotype" w:eastAsia="Palatino Linotype" w:hAnsi="Palatino Linotype" w:cs="Palatino Linotype"/>
        </w:rPr>
        <w:t xml:space="preserve"> DE DOS MIL VEINTITRÉS, ANTE EL SECRETARIO TÉCNICO DEL PLENO ALEXIS TAPIA RAMÍREZ.</w:t>
      </w:r>
    </w:p>
    <w:p w:rsidR="001576A6" w:rsidRPr="006A6FF8" w:rsidRDefault="007115A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mc:AlternateContent>
          <mc:Choice Requires="wps">
            <w:drawing>
              <wp:anchor distT="0" distB="0" distL="114300" distR="114300" simplePos="0" relativeHeight="251664384" behindDoc="0" locked="0" layoutInCell="1" allowOverlap="1">
                <wp:simplePos x="0" y="0"/>
                <wp:positionH relativeFrom="column">
                  <wp:posOffset>262889</wp:posOffset>
                </wp:positionH>
                <wp:positionV relativeFrom="paragraph">
                  <wp:posOffset>29845</wp:posOffset>
                </wp:positionV>
                <wp:extent cx="5400675" cy="5715000"/>
                <wp:effectExtent l="0" t="0" r="28575" b="19050"/>
                <wp:wrapNone/>
                <wp:docPr id="2" name="Conector recto 2"/>
                <wp:cNvGraphicFramePr/>
                <a:graphic xmlns:a="http://schemas.openxmlformats.org/drawingml/2006/main">
                  <a:graphicData uri="http://schemas.microsoft.com/office/word/2010/wordprocessingShape">
                    <wps:wsp>
                      <wps:cNvCnPr/>
                      <wps:spPr>
                        <a:xfrm>
                          <a:off x="0" y="0"/>
                          <a:ext cx="5400675" cy="571500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58C67599" id="Conector recto 2"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0.7pt,2.35pt" to="445.95pt,4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" strokecolor="#f68c36 [3049]"/>
            </w:pict>
          </mc:Fallback>
        </mc:AlternateContent>
      </w:r>
    </w:p>
    <w:p w:rsidR="001576A6" w:rsidRPr="006A6FF8" w:rsidRDefault="001576A6">
      <w:pPr>
        <w:spacing w:before="240" w:after="240" w:line="360" w:lineRule="auto"/>
        <w:jc w:val="both"/>
        <w:rPr>
          <w:rFonts w:ascii="Palatino Linotype" w:eastAsia="Palatino Linotype" w:hAnsi="Palatino Linotype" w:cs="Palatino Linotype"/>
        </w:rPr>
      </w:pPr>
    </w:p>
    <w:p w:rsidR="001576A6" w:rsidRPr="006A6FF8" w:rsidRDefault="001576A6">
      <w:pPr>
        <w:spacing w:before="240" w:after="240" w:line="360" w:lineRule="auto"/>
        <w:jc w:val="both"/>
        <w:rPr>
          <w:rFonts w:ascii="Palatino Linotype" w:eastAsia="Palatino Linotype" w:hAnsi="Palatino Linotype" w:cs="Palatino Linotype"/>
        </w:rPr>
      </w:pPr>
    </w:p>
    <w:p w:rsidR="001576A6" w:rsidRPr="006A6FF8" w:rsidRDefault="001576A6">
      <w:pPr>
        <w:spacing w:before="240" w:after="240" w:line="360" w:lineRule="auto"/>
        <w:jc w:val="both"/>
        <w:rPr>
          <w:rFonts w:ascii="Palatino Linotype" w:eastAsia="Palatino Linotype" w:hAnsi="Palatino Linotype" w:cs="Palatino Linotype"/>
        </w:rPr>
      </w:pPr>
    </w:p>
    <w:p w:rsidR="001576A6" w:rsidRPr="006A6FF8" w:rsidRDefault="001576A6">
      <w:pPr>
        <w:spacing w:before="240" w:after="240" w:line="360" w:lineRule="auto"/>
        <w:jc w:val="both"/>
        <w:rPr>
          <w:rFonts w:ascii="Palatino Linotype" w:eastAsia="Palatino Linotype" w:hAnsi="Palatino Linotype" w:cs="Palatino Linotype"/>
        </w:rPr>
      </w:pPr>
    </w:p>
    <w:p w:rsidR="001576A6" w:rsidRPr="006A6FF8" w:rsidRDefault="001576A6">
      <w:pPr>
        <w:spacing w:before="240" w:after="240" w:line="360" w:lineRule="auto"/>
        <w:jc w:val="both"/>
        <w:rPr>
          <w:rFonts w:ascii="Palatino Linotype" w:eastAsia="Palatino Linotype" w:hAnsi="Palatino Linotype" w:cs="Palatino Linotype"/>
        </w:rPr>
      </w:pPr>
    </w:p>
    <w:p w:rsidR="001576A6" w:rsidRPr="006A6FF8" w:rsidRDefault="001576A6">
      <w:pPr>
        <w:spacing w:before="240" w:after="240" w:line="360" w:lineRule="auto"/>
        <w:jc w:val="both"/>
        <w:rPr>
          <w:rFonts w:ascii="Palatino Linotype" w:eastAsia="Palatino Linotype" w:hAnsi="Palatino Linotype" w:cs="Palatino Linotype"/>
        </w:rPr>
      </w:pPr>
    </w:p>
    <w:p w:rsidR="001576A6" w:rsidRPr="006A6FF8" w:rsidRDefault="001576A6">
      <w:pPr>
        <w:spacing w:before="240" w:after="240" w:line="360" w:lineRule="auto"/>
        <w:jc w:val="both"/>
        <w:rPr>
          <w:rFonts w:ascii="Palatino Linotype" w:eastAsia="Palatino Linotype" w:hAnsi="Palatino Linotype" w:cs="Palatino Linotype"/>
        </w:rPr>
      </w:pPr>
    </w:p>
    <w:p w:rsidR="001576A6" w:rsidRPr="006A6FF8" w:rsidRDefault="001576A6">
      <w:pPr>
        <w:spacing w:before="240" w:after="240" w:line="360" w:lineRule="auto"/>
        <w:jc w:val="both"/>
        <w:rPr>
          <w:rFonts w:ascii="Palatino Linotype" w:eastAsia="Palatino Linotype" w:hAnsi="Palatino Linotype" w:cs="Palatino Linotype"/>
        </w:rPr>
      </w:pPr>
    </w:p>
    <w:p w:rsidR="001576A6" w:rsidRPr="006A6FF8" w:rsidRDefault="001576A6">
      <w:pPr>
        <w:spacing w:before="240" w:after="240" w:line="360" w:lineRule="auto"/>
        <w:jc w:val="both"/>
        <w:rPr>
          <w:rFonts w:ascii="Palatino Linotype" w:eastAsia="Palatino Linotype" w:hAnsi="Palatino Linotype" w:cs="Palatino Linotype"/>
        </w:rPr>
      </w:pPr>
    </w:p>
    <w:p w:rsidR="001576A6" w:rsidRPr="006A6FF8" w:rsidRDefault="001576A6">
      <w:pPr>
        <w:spacing w:before="240" w:after="240" w:line="360" w:lineRule="auto"/>
        <w:jc w:val="both"/>
        <w:rPr>
          <w:rFonts w:ascii="Palatino Linotype" w:eastAsia="Palatino Linotype" w:hAnsi="Palatino Linotype" w:cs="Palatino Linotype"/>
        </w:rPr>
      </w:pPr>
    </w:p>
    <w:p w:rsidR="001576A6" w:rsidRPr="006A6FF8" w:rsidRDefault="001576A6">
      <w:pPr>
        <w:spacing w:before="240" w:after="240" w:line="360" w:lineRule="auto"/>
        <w:jc w:val="both"/>
        <w:rPr>
          <w:rFonts w:ascii="Palatino Linotype" w:eastAsia="Palatino Linotype" w:hAnsi="Palatino Linotype" w:cs="Palatino Linotype"/>
        </w:rPr>
      </w:pPr>
    </w:p>
    <w:p w:rsidR="001576A6" w:rsidRPr="006A6FF8" w:rsidRDefault="001576A6">
      <w:pPr>
        <w:spacing w:before="240" w:after="240" w:line="360" w:lineRule="auto"/>
        <w:jc w:val="both"/>
        <w:rPr>
          <w:rFonts w:ascii="Palatino Linotype" w:eastAsia="Palatino Linotype" w:hAnsi="Palatino Linotype" w:cs="Palatino Linotype"/>
        </w:rPr>
      </w:pPr>
    </w:p>
    <w:p w:rsidR="001576A6" w:rsidRPr="006A6FF8" w:rsidRDefault="001576A6">
      <w:pPr>
        <w:spacing w:before="240" w:after="240" w:line="360" w:lineRule="auto"/>
        <w:jc w:val="both"/>
        <w:rPr>
          <w:rFonts w:ascii="Palatino Linotype" w:eastAsia="Palatino Linotype" w:hAnsi="Palatino Linotype" w:cs="Palatino Linotype"/>
        </w:rPr>
      </w:pPr>
    </w:p>
    <w:p w:rsidR="001576A6" w:rsidRPr="006A6FF8" w:rsidRDefault="001576A6">
      <w:pPr>
        <w:spacing w:before="240" w:after="240" w:line="360" w:lineRule="auto"/>
        <w:jc w:val="both"/>
        <w:rPr>
          <w:rFonts w:ascii="Palatino Linotype" w:eastAsia="Palatino Linotype" w:hAnsi="Palatino Linotype" w:cs="Palatino Linotype"/>
        </w:rPr>
      </w:pPr>
    </w:p>
    <w:sectPr w:rsidR="001576A6" w:rsidRPr="006A6FF8">
      <w:headerReference w:type="default" r:id="rId18"/>
      <w:footerReference w:type="default" r:id="rId19"/>
      <w:headerReference w:type="first" r:id="rId20"/>
      <w:footerReference w:type="first" r:id="rId21"/>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53C6" w:rsidRDefault="005A53C6">
      <w:r>
        <w:separator/>
      </w:r>
    </w:p>
  </w:endnote>
  <w:endnote w:type="continuationSeparator" w:id="0">
    <w:p w:rsidR="005A53C6" w:rsidRDefault="005A53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93D" w:rsidRDefault="0023593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20B97">
      <w:rPr>
        <w:rFonts w:ascii="Palatino Linotype" w:eastAsia="Palatino Linotype" w:hAnsi="Palatino Linotype" w:cs="Palatino Linotype"/>
        <w:b/>
        <w:noProof/>
        <w:color w:val="000000"/>
        <w:sz w:val="20"/>
        <w:szCs w:val="20"/>
      </w:rPr>
      <w:t>7</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20B97">
      <w:rPr>
        <w:rFonts w:ascii="Palatino Linotype" w:eastAsia="Palatino Linotype" w:hAnsi="Palatino Linotype" w:cs="Palatino Linotype"/>
        <w:b/>
        <w:noProof/>
        <w:color w:val="000000"/>
        <w:sz w:val="20"/>
        <w:szCs w:val="20"/>
      </w:rPr>
      <w:t>63</w:t>
    </w:r>
    <w:r>
      <w:rPr>
        <w:rFonts w:ascii="Palatino Linotype" w:eastAsia="Palatino Linotype" w:hAnsi="Palatino Linotype" w:cs="Palatino Linotype"/>
        <w:b/>
        <w:color w:val="000000"/>
        <w:sz w:val="20"/>
        <w:szCs w:val="20"/>
      </w:rPr>
      <w:fldChar w:fldCharType="end"/>
    </w:r>
  </w:p>
  <w:p w:rsidR="0023593D" w:rsidRDefault="0023593D">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93D" w:rsidRDefault="0023593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20B97">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20B97">
      <w:rPr>
        <w:rFonts w:ascii="Palatino Linotype" w:eastAsia="Palatino Linotype" w:hAnsi="Palatino Linotype" w:cs="Palatino Linotype"/>
        <w:b/>
        <w:noProof/>
        <w:color w:val="000000"/>
        <w:sz w:val="20"/>
        <w:szCs w:val="20"/>
      </w:rPr>
      <w:t>63</w:t>
    </w:r>
    <w:r>
      <w:rPr>
        <w:rFonts w:ascii="Palatino Linotype" w:eastAsia="Palatino Linotype" w:hAnsi="Palatino Linotype" w:cs="Palatino Linotype"/>
        <w:b/>
        <w:color w:val="000000"/>
        <w:sz w:val="20"/>
        <w:szCs w:val="20"/>
      </w:rPr>
      <w:fldChar w:fldCharType="end"/>
    </w:r>
  </w:p>
  <w:p w:rsidR="0023593D" w:rsidRDefault="0023593D">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53C6" w:rsidRDefault="005A53C6">
      <w:r>
        <w:separator/>
      </w:r>
    </w:p>
  </w:footnote>
  <w:footnote w:type="continuationSeparator" w:id="0">
    <w:p w:rsidR="005A53C6" w:rsidRDefault="005A53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93D" w:rsidRDefault="0023593D">
    <w:pPr>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-1127123</wp:posOffset>
          </wp:positionH>
          <wp:positionV relativeFrom="paragraph">
            <wp:posOffset>-344803</wp:posOffset>
          </wp:positionV>
          <wp:extent cx="7809865" cy="10165715"/>
          <wp:effectExtent l="0" t="0" r="0" b="0"/>
          <wp:wrapNone/>
          <wp:docPr id="6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3"/>
      <w:tblW w:w="6945" w:type="dxa"/>
      <w:tblInd w:w="3261" w:type="dxa"/>
      <w:tblLayout w:type="fixed"/>
      <w:tblLook w:val="0400" w:firstRow="0" w:lastRow="0" w:firstColumn="0" w:lastColumn="0" w:noHBand="0" w:noVBand="1"/>
    </w:tblPr>
    <w:tblGrid>
      <w:gridCol w:w="2489"/>
      <w:gridCol w:w="4456"/>
    </w:tblGrid>
    <w:tr w:rsidR="0023593D">
      <w:tc>
        <w:tcPr>
          <w:tcW w:w="2489" w:type="dxa"/>
          <w:shd w:val="clear" w:color="auto" w:fill="auto"/>
        </w:tcPr>
        <w:p w:rsidR="0023593D" w:rsidRDefault="0023593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456" w:type="dxa"/>
          <w:shd w:val="clear" w:color="auto" w:fill="auto"/>
          <w:vAlign w:val="center"/>
        </w:tcPr>
        <w:p w:rsidR="0023593D" w:rsidRDefault="0023593D">
          <w:pPr>
            <w:ind w:left="-53" w:right="175"/>
            <w:jc w:val="both"/>
            <w:rPr>
              <w:rFonts w:ascii="Palatino Linotype" w:eastAsia="Palatino Linotype" w:hAnsi="Palatino Linotype" w:cs="Palatino Linotype"/>
              <w:b/>
              <w:sz w:val="22"/>
              <w:szCs w:val="22"/>
            </w:rPr>
          </w:pPr>
          <w:r w:rsidRPr="00F861C4">
            <w:rPr>
              <w:rFonts w:ascii="Palatino Linotype" w:eastAsia="Palatino Linotype" w:hAnsi="Palatino Linotype" w:cs="Palatino Linotype"/>
              <w:b/>
              <w:sz w:val="22"/>
              <w:szCs w:val="22"/>
            </w:rPr>
            <w:t>02244/INFOEM/IP/RR/2023</w:t>
          </w:r>
        </w:p>
      </w:tc>
    </w:tr>
    <w:tr w:rsidR="0023593D">
      <w:trPr>
        <w:trHeight w:val="228"/>
      </w:trPr>
      <w:tc>
        <w:tcPr>
          <w:tcW w:w="2489" w:type="dxa"/>
          <w:shd w:val="clear" w:color="auto" w:fill="auto"/>
          <w:vAlign w:val="center"/>
        </w:tcPr>
        <w:p w:rsidR="0023593D" w:rsidRDefault="0023593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456" w:type="dxa"/>
          <w:shd w:val="clear" w:color="auto" w:fill="auto"/>
          <w:vAlign w:val="center"/>
        </w:tcPr>
        <w:p w:rsidR="0023593D" w:rsidRDefault="0023593D" w:rsidP="00ED7890">
          <w:pPr>
            <w:ind w:left="-45" w:right="1586"/>
            <w:jc w:val="both"/>
            <w:rPr>
              <w:rFonts w:ascii="Palatino Linotype" w:eastAsia="Palatino Linotype" w:hAnsi="Palatino Linotype" w:cs="Palatino Linotype"/>
              <w:b/>
              <w:sz w:val="22"/>
              <w:szCs w:val="22"/>
            </w:rPr>
          </w:pPr>
          <w:r w:rsidRPr="00F861C4">
            <w:rPr>
              <w:rFonts w:ascii="Palatino Linotype" w:eastAsia="Palatino Linotype" w:hAnsi="Palatino Linotype" w:cs="Palatino Linotype"/>
              <w:b/>
              <w:sz w:val="22"/>
              <w:szCs w:val="22"/>
            </w:rPr>
            <w:t>Sistema Municipal Para el Desarrollo Integral de la Familia de Toluca</w:t>
          </w:r>
        </w:p>
      </w:tc>
    </w:tr>
    <w:tr w:rsidR="0023593D">
      <w:tc>
        <w:tcPr>
          <w:tcW w:w="2489" w:type="dxa"/>
          <w:shd w:val="clear" w:color="auto" w:fill="auto"/>
          <w:vAlign w:val="center"/>
        </w:tcPr>
        <w:p w:rsidR="0023593D" w:rsidRDefault="0023593D">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456" w:type="dxa"/>
          <w:shd w:val="clear" w:color="auto" w:fill="auto"/>
          <w:vAlign w:val="center"/>
        </w:tcPr>
        <w:p w:rsidR="0023593D" w:rsidRDefault="0023593D">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23593D" w:rsidRDefault="0023593D">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93D" w:rsidRDefault="0023593D">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simplePos x="0" y="0"/>
          <wp:positionH relativeFrom="column">
            <wp:posOffset>-1035685</wp:posOffset>
          </wp:positionH>
          <wp:positionV relativeFrom="paragraph">
            <wp:posOffset>-183515</wp:posOffset>
          </wp:positionV>
          <wp:extent cx="7809865" cy="10165715"/>
          <wp:effectExtent l="0" t="0" r="0" b="0"/>
          <wp:wrapNone/>
          <wp:docPr id="6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2"/>
      <w:tblW w:w="6520" w:type="dxa"/>
      <w:tblInd w:w="3261" w:type="dxa"/>
      <w:tblLayout w:type="fixed"/>
      <w:tblLook w:val="0400" w:firstRow="0" w:lastRow="0" w:firstColumn="0" w:lastColumn="0" w:noHBand="0" w:noVBand="1"/>
    </w:tblPr>
    <w:tblGrid>
      <w:gridCol w:w="2551"/>
      <w:gridCol w:w="3969"/>
    </w:tblGrid>
    <w:tr w:rsidR="0023593D">
      <w:tc>
        <w:tcPr>
          <w:tcW w:w="2551" w:type="dxa"/>
          <w:shd w:val="clear" w:color="auto" w:fill="auto"/>
          <w:vAlign w:val="center"/>
        </w:tcPr>
        <w:p w:rsidR="0023593D" w:rsidRDefault="0023593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69" w:type="dxa"/>
          <w:shd w:val="clear" w:color="auto" w:fill="auto"/>
          <w:vAlign w:val="center"/>
        </w:tcPr>
        <w:p w:rsidR="0023593D" w:rsidRDefault="0023593D">
          <w:pPr>
            <w:tabs>
              <w:tab w:val="left" w:pos="3153"/>
            </w:tabs>
            <w:ind w:left="-115"/>
            <w:jc w:val="both"/>
            <w:rPr>
              <w:rFonts w:ascii="Palatino Linotype" w:eastAsia="Palatino Linotype" w:hAnsi="Palatino Linotype" w:cs="Palatino Linotype"/>
              <w:b/>
              <w:sz w:val="22"/>
              <w:szCs w:val="22"/>
            </w:rPr>
          </w:pPr>
          <w:r w:rsidRPr="00F861C4">
            <w:rPr>
              <w:rFonts w:ascii="Palatino Linotype" w:eastAsia="Palatino Linotype" w:hAnsi="Palatino Linotype" w:cs="Palatino Linotype"/>
              <w:b/>
              <w:sz w:val="22"/>
              <w:szCs w:val="22"/>
            </w:rPr>
            <w:t>02244/INFOEM/IP/RR/2023</w:t>
          </w:r>
        </w:p>
      </w:tc>
    </w:tr>
    <w:tr w:rsidR="0023593D">
      <w:trPr>
        <w:trHeight w:val="130"/>
      </w:trPr>
      <w:tc>
        <w:tcPr>
          <w:tcW w:w="2551" w:type="dxa"/>
          <w:shd w:val="clear" w:color="auto" w:fill="auto"/>
          <w:vAlign w:val="center"/>
        </w:tcPr>
        <w:p w:rsidR="0023593D" w:rsidRDefault="0023593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69" w:type="dxa"/>
          <w:shd w:val="clear" w:color="auto" w:fill="auto"/>
          <w:vAlign w:val="center"/>
        </w:tcPr>
        <w:p w:rsidR="0023593D" w:rsidRDefault="0023593D">
          <w:pPr>
            <w:ind w:left="-115" w:right="176"/>
            <w:jc w:val="both"/>
            <w:rPr>
              <w:rFonts w:ascii="Palatino Linotype" w:eastAsia="Palatino Linotype" w:hAnsi="Palatino Linotype" w:cs="Palatino Linotype"/>
              <w:b/>
              <w:sz w:val="22"/>
              <w:szCs w:val="22"/>
            </w:rPr>
          </w:pPr>
        </w:p>
      </w:tc>
    </w:tr>
    <w:tr w:rsidR="0023593D">
      <w:trPr>
        <w:trHeight w:val="228"/>
      </w:trPr>
      <w:tc>
        <w:tcPr>
          <w:tcW w:w="2551" w:type="dxa"/>
          <w:shd w:val="clear" w:color="auto" w:fill="auto"/>
          <w:vAlign w:val="center"/>
        </w:tcPr>
        <w:p w:rsidR="0023593D" w:rsidRDefault="0023593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69" w:type="dxa"/>
          <w:shd w:val="clear" w:color="auto" w:fill="auto"/>
          <w:vAlign w:val="center"/>
        </w:tcPr>
        <w:p w:rsidR="0023593D" w:rsidRDefault="0023593D" w:rsidP="00ED7890">
          <w:pPr>
            <w:ind w:left="-115" w:right="1302"/>
            <w:jc w:val="both"/>
            <w:rPr>
              <w:rFonts w:ascii="Palatino Linotype" w:eastAsia="Palatino Linotype" w:hAnsi="Palatino Linotype" w:cs="Palatino Linotype"/>
              <w:b/>
              <w:sz w:val="22"/>
              <w:szCs w:val="22"/>
            </w:rPr>
          </w:pPr>
          <w:r w:rsidRPr="00F861C4">
            <w:rPr>
              <w:rFonts w:ascii="Palatino Linotype" w:eastAsia="Palatino Linotype" w:hAnsi="Palatino Linotype" w:cs="Palatino Linotype"/>
              <w:b/>
              <w:sz w:val="22"/>
              <w:szCs w:val="22"/>
            </w:rPr>
            <w:t>Sistema Municipal Para el Desarrollo Integral de la Familia de Toluca</w:t>
          </w:r>
        </w:p>
      </w:tc>
    </w:tr>
    <w:tr w:rsidR="0023593D">
      <w:tc>
        <w:tcPr>
          <w:tcW w:w="2551" w:type="dxa"/>
          <w:shd w:val="clear" w:color="auto" w:fill="auto"/>
          <w:vAlign w:val="center"/>
        </w:tcPr>
        <w:p w:rsidR="0023593D" w:rsidRDefault="0023593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69" w:type="dxa"/>
          <w:shd w:val="clear" w:color="auto" w:fill="auto"/>
          <w:vAlign w:val="center"/>
        </w:tcPr>
        <w:p w:rsidR="0023593D" w:rsidRDefault="0023593D">
          <w:pPr>
            <w:ind w:left="-11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23593D" w:rsidRDefault="0023593D">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F09A9"/>
    <w:multiLevelType w:val="hybridMultilevel"/>
    <w:tmpl w:val="9808F3C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A842C5"/>
    <w:multiLevelType w:val="multilevel"/>
    <w:tmpl w:val="66C2A062"/>
    <w:lvl w:ilvl="0">
      <w:start w:val="1"/>
      <w:numFmt w:val="bullet"/>
      <w:pStyle w:val="Listaconvietas3"/>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
    <w:nsid w:val="184F4FCF"/>
    <w:multiLevelType w:val="multilevel"/>
    <w:tmpl w:val="13A61CD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22961FF2"/>
    <w:multiLevelType w:val="hybridMultilevel"/>
    <w:tmpl w:val="8A2EA12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nsid w:val="29363F40"/>
    <w:multiLevelType w:val="multilevel"/>
    <w:tmpl w:val="7B3E9272"/>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nsid w:val="2DD4658C"/>
    <w:multiLevelType w:val="hybridMultilevel"/>
    <w:tmpl w:val="13A04C7A"/>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
    <w:nsid w:val="2ECD2AD1"/>
    <w:multiLevelType w:val="hybridMultilevel"/>
    <w:tmpl w:val="C856081E"/>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
    <w:nsid w:val="40EC544E"/>
    <w:multiLevelType w:val="multilevel"/>
    <w:tmpl w:val="DCD6B69C"/>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42127669"/>
    <w:multiLevelType w:val="hybridMultilevel"/>
    <w:tmpl w:val="C856081E"/>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9">
    <w:nsid w:val="43572E1E"/>
    <w:multiLevelType w:val="multilevel"/>
    <w:tmpl w:val="F76A1F4C"/>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0">
    <w:nsid w:val="530C3026"/>
    <w:multiLevelType w:val="hybridMultilevel"/>
    <w:tmpl w:val="C856081E"/>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1">
    <w:nsid w:val="5E506864"/>
    <w:multiLevelType w:val="hybridMultilevel"/>
    <w:tmpl w:val="26F4D30A"/>
    <w:lvl w:ilvl="0" w:tplc="D37258D4">
      <w:numFmt w:val="bullet"/>
      <w:lvlText w:val="-"/>
      <w:lvlJc w:val="left"/>
      <w:pPr>
        <w:ind w:left="927" w:hanging="360"/>
      </w:pPr>
      <w:rPr>
        <w:rFonts w:ascii="Palatino Linotype" w:eastAsia="Palatino Linotype" w:hAnsi="Palatino Linotype" w:cs="Palatino Linotype"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2">
    <w:nsid w:val="6BAE3C1D"/>
    <w:multiLevelType w:val="hybridMultilevel"/>
    <w:tmpl w:val="A8F079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954505A"/>
    <w:multiLevelType w:val="hybridMultilevel"/>
    <w:tmpl w:val="8D6C15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B7926F0"/>
    <w:multiLevelType w:val="hybridMultilevel"/>
    <w:tmpl w:val="5B86958C"/>
    <w:lvl w:ilvl="0" w:tplc="B5061F84">
      <w:start w:val="5"/>
      <w:numFmt w:val="bullet"/>
      <w:lvlText w:val="-"/>
      <w:lvlJc w:val="left"/>
      <w:pPr>
        <w:ind w:left="720" w:hanging="360"/>
      </w:pPr>
      <w:rPr>
        <w:rFonts w:ascii="Palatino Linotype" w:eastAsia="Palatino Linotype" w:hAnsi="Palatino Linotype" w:cs="Palatino Linotype"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7"/>
  </w:num>
  <w:num w:numId="4">
    <w:abstractNumId w:val="2"/>
  </w:num>
  <w:num w:numId="5">
    <w:abstractNumId w:val="4"/>
  </w:num>
  <w:num w:numId="6">
    <w:abstractNumId w:val="13"/>
  </w:num>
  <w:num w:numId="7">
    <w:abstractNumId w:val="0"/>
  </w:num>
  <w:num w:numId="8">
    <w:abstractNumId w:val="14"/>
  </w:num>
  <w:num w:numId="9">
    <w:abstractNumId w:val="12"/>
  </w:num>
  <w:num w:numId="10">
    <w:abstractNumId w:val="5"/>
  </w:num>
  <w:num w:numId="11">
    <w:abstractNumId w:val="10"/>
  </w:num>
  <w:num w:numId="12">
    <w:abstractNumId w:val="6"/>
  </w:num>
  <w:num w:numId="13">
    <w:abstractNumId w:val="8"/>
  </w:num>
  <w:num w:numId="14">
    <w:abstractNumId w:val="3"/>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6A6"/>
    <w:rsid w:val="00020B97"/>
    <w:rsid w:val="000527B6"/>
    <w:rsid w:val="0008096A"/>
    <w:rsid w:val="00080B68"/>
    <w:rsid w:val="00081D9B"/>
    <w:rsid w:val="00091F22"/>
    <w:rsid w:val="000941EF"/>
    <w:rsid w:val="00097405"/>
    <w:rsid w:val="000D1635"/>
    <w:rsid w:val="000E7A66"/>
    <w:rsid w:val="00124F9A"/>
    <w:rsid w:val="001315B7"/>
    <w:rsid w:val="001576A6"/>
    <w:rsid w:val="00192541"/>
    <w:rsid w:val="001C47FD"/>
    <w:rsid w:val="001F3DFE"/>
    <w:rsid w:val="0023593D"/>
    <w:rsid w:val="00250DCB"/>
    <w:rsid w:val="00263F68"/>
    <w:rsid w:val="002710DD"/>
    <w:rsid w:val="002B143E"/>
    <w:rsid w:val="002B4360"/>
    <w:rsid w:val="003901AA"/>
    <w:rsid w:val="004071D3"/>
    <w:rsid w:val="00410C1D"/>
    <w:rsid w:val="00440DAB"/>
    <w:rsid w:val="004C004F"/>
    <w:rsid w:val="004D05D6"/>
    <w:rsid w:val="004D2769"/>
    <w:rsid w:val="004D5C7C"/>
    <w:rsid w:val="0053693A"/>
    <w:rsid w:val="00572925"/>
    <w:rsid w:val="00572C39"/>
    <w:rsid w:val="005A53C6"/>
    <w:rsid w:val="005C3AFE"/>
    <w:rsid w:val="00601A9C"/>
    <w:rsid w:val="006457B0"/>
    <w:rsid w:val="00670004"/>
    <w:rsid w:val="0068701F"/>
    <w:rsid w:val="006A6FF8"/>
    <w:rsid w:val="006F7F49"/>
    <w:rsid w:val="007014D5"/>
    <w:rsid w:val="007115AF"/>
    <w:rsid w:val="007C770F"/>
    <w:rsid w:val="007D159B"/>
    <w:rsid w:val="007F6987"/>
    <w:rsid w:val="008061E3"/>
    <w:rsid w:val="008321A3"/>
    <w:rsid w:val="00861013"/>
    <w:rsid w:val="008B5A65"/>
    <w:rsid w:val="008D580D"/>
    <w:rsid w:val="00943048"/>
    <w:rsid w:val="009436B1"/>
    <w:rsid w:val="009941B9"/>
    <w:rsid w:val="009D124B"/>
    <w:rsid w:val="009D12E4"/>
    <w:rsid w:val="00A00447"/>
    <w:rsid w:val="00A73319"/>
    <w:rsid w:val="00A80257"/>
    <w:rsid w:val="00A952A6"/>
    <w:rsid w:val="00AF7466"/>
    <w:rsid w:val="00B36179"/>
    <w:rsid w:val="00B70550"/>
    <w:rsid w:val="00C00D84"/>
    <w:rsid w:val="00C244FC"/>
    <w:rsid w:val="00C63CBC"/>
    <w:rsid w:val="00CD6F7D"/>
    <w:rsid w:val="00D1670A"/>
    <w:rsid w:val="00D222CD"/>
    <w:rsid w:val="00D41DE9"/>
    <w:rsid w:val="00DB5A80"/>
    <w:rsid w:val="00DD7678"/>
    <w:rsid w:val="00E377ED"/>
    <w:rsid w:val="00E77D99"/>
    <w:rsid w:val="00EB37EF"/>
    <w:rsid w:val="00EC6471"/>
    <w:rsid w:val="00ED7890"/>
    <w:rsid w:val="00EE4394"/>
    <w:rsid w:val="00EF1111"/>
    <w:rsid w:val="00F61DCC"/>
    <w:rsid w:val="00F75BFD"/>
    <w:rsid w:val="00F861C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51A601-EFB9-4A60-B9BF-DA135417B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69AF"/>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tblPr>
      <w:tblStyleRowBandSize w:val="1"/>
      <w:tblStyleColBandSize w:val="1"/>
      <w:tblCellMar>
        <w:top w:w="0" w:type="dxa"/>
        <w:left w:w="115" w:type="dxa"/>
        <w:bottom w:w="0" w:type="dxa"/>
        <w:right w:w="115" w:type="dxa"/>
      </w:tblCellMar>
    </w:tblPr>
  </w:style>
  <w:style w:type="table" w:customStyle="1" w:styleId="6">
    <w:name w:val="6"/>
    <w:basedOn w:val="TableNormal10"/>
    <w:tblPr>
      <w:tblStyleRowBandSize w:val="1"/>
      <w:tblStyleColBandSize w:val="1"/>
      <w:tblCellMar>
        <w:top w:w="0" w:type="dxa"/>
        <w:left w:w="115" w:type="dxa"/>
        <w:bottom w:w="0" w:type="dxa"/>
        <w:right w:w="115" w:type="dxa"/>
      </w:tblCellMar>
    </w:tblPr>
  </w:style>
  <w:style w:type="table" w:customStyle="1" w:styleId="5">
    <w:name w:val="5"/>
    <w:basedOn w:val="TableNormal10"/>
    <w:tblPr>
      <w:tblStyleRowBandSize w:val="1"/>
      <w:tblStyleColBandSize w:val="1"/>
      <w:tblCellMar>
        <w:top w:w="0" w:type="dxa"/>
        <w:left w:w="108" w:type="dxa"/>
        <w:bottom w:w="0" w:type="dxa"/>
        <w:right w:w="108" w:type="dxa"/>
      </w:tblCellMar>
    </w:tblPr>
  </w:style>
  <w:style w:type="table" w:customStyle="1" w:styleId="4">
    <w:name w:val="4"/>
    <w:basedOn w:val="TableNormal10"/>
    <w:tblPr>
      <w:tblStyleRowBandSize w:val="1"/>
      <w:tblStyleColBandSize w:val="1"/>
      <w:tblCellMar>
        <w:top w:w="0" w:type="dxa"/>
        <w:left w:w="115" w:type="dxa"/>
        <w:bottom w:w="0" w:type="dxa"/>
        <w:right w:w="115" w:type="dxa"/>
      </w:tblCellMar>
    </w:tblPr>
  </w:style>
  <w:style w:type="table" w:customStyle="1" w:styleId="3">
    <w:name w:val="3"/>
    <w:basedOn w:val="TableNormal10"/>
    <w:tblPr>
      <w:tblStyleRowBandSize w:val="1"/>
      <w:tblStyleColBandSize w:val="1"/>
      <w:tblCellMar>
        <w:top w:w="0" w:type="dxa"/>
        <w:left w:w="115" w:type="dxa"/>
        <w:bottom w:w="0" w:type="dxa"/>
        <w:right w:w="115" w:type="dxa"/>
      </w:tblCellMar>
    </w:tblPr>
  </w:style>
  <w:style w:type="table" w:customStyle="1" w:styleId="2">
    <w:name w:val="2"/>
    <w:basedOn w:val="TableNormal10"/>
    <w:tblPr>
      <w:tblStyleRowBandSize w:val="1"/>
      <w:tblStyleColBandSize w:val="1"/>
      <w:tblCellMar>
        <w:top w:w="0" w:type="dxa"/>
        <w:left w:w="115" w:type="dxa"/>
        <w:bottom w:w="0" w:type="dxa"/>
        <w:right w:w="115" w:type="dxa"/>
      </w:tblCellMar>
    </w:tblPr>
  </w:style>
  <w:style w:type="table" w:customStyle="1" w:styleId="1">
    <w:name w:val="1"/>
    <w:basedOn w:val="TableNormal10"/>
    <w:tblPr>
      <w:tblStyleRowBandSize w:val="1"/>
      <w:tblStyleColBandSize w:val="1"/>
      <w:tblCellMar>
        <w:top w:w="0" w:type="dxa"/>
        <w:left w:w="115" w:type="dxa"/>
        <w:bottom w:w="0" w:type="dxa"/>
        <w:right w:w="115" w:type="dxa"/>
      </w:tblCellMar>
    </w:tblPr>
  </w:style>
  <w:style w:type="table" w:customStyle="1" w:styleId="Tablaconcuadrcula1">
    <w:name w:val="Tabla con cuadrícula1"/>
    <w:basedOn w:val="Tablanormal"/>
    <w:next w:val="Tablaconcuadrcula"/>
    <w:uiPriority w:val="59"/>
    <w:rsid w:val="00311D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Tabladelista1clara-nfasis111">
    <w:name w:val="Tabla de lista 1 clara - Énfasis 111"/>
    <w:basedOn w:val="Tablanormal"/>
    <w:uiPriority w:val="46"/>
    <w:rsid w:val="0044086B"/>
    <w:rPr>
      <w:rFonts w:eastAsia="MS Mincho"/>
      <w:lang w:val="es-MX"/>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9147248">
      <w:bodyDiv w:val="1"/>
      <w:marLeft w:val="0"/>
      <w:marRight w:val="0"/>
      <w:marTop w:val="0"/>
      <w:marBottom w:val="0"/>
      <w:divBdr>
        <w:top w:val="none" w:sz="0" w:space="0" w:color="auto"/>
        <w:left w:val="none" w:sz="0" w:space="0" w:color="auto"/>
        <w:bottom w:val="none" w:sz="0" w:space="0" w:color="auto"/>
        <w:right w:val="none" w:sz="0" w:space="0" w:color="auto"/>
      </w:divBdr>
    </w:div>
    <w:div w:id="669869762">
      <w:bodyDiv w:val="1"/>
      <w:marLeft w:val="0"/>
      <w:marRight w:val="0"/>
      <w:marTop w:val="0"/>
      <w:marBottom w:val="0"/>
      <w:divBdr>
        <w:top w:val="none" w:sz="0" w:space="0" w:color="auto"/>
        <w:left w:val="none" w:sz="0" w:space="0" w:color="auto"/>
        <w:bottom w:val="none" w:sz="0" w:space="0" w:color="auto"/>
        <w:right w:val="none" w:sz="0" w:space="0" w:color="auto"/>
      </w:divBdr>
    </w:div>
    <w:div w:id="18519860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mSkwqeW9/V9LpkkTYUBxy0vsCA==">CgMxLjAyCGguZ2pkZ3hzMgloLjMwajB6bGwyCWguMnM4ZXlvMTIIaC50eWpjd3QyCWguMmV0OTJwMDIJaC4xdDNoNXNmMgloLjRkMzRvZzgyCWguM3pueXNoNzIJaC4xZm9iOXRlOAByITFUUlVwZ0FjSDBLN2Fscl8wcXNBYnB4Y0FxZDMyQWNFdg==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13236</Words>
  <Characters>72803</Characters>
  <Application>Microsoft Office Word</Application>
  <DocSecurity>0</DocSecurity>
  <Lines>606</Lines>
  <Paragraphs>171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2023-09-22T16:05:00Z</cp:lastPrinted>
  <dcterms:created xsi:type="dcterms:W3CDTF">2023-09-27T19:01:00Z</dcterms:created>
  <dcterms:modified xsi:type="dcterms:W3CDTF">2023-09-27T19:01:00Z</dcterms:modified>
</cp:coreProperties>
</file>